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 w:val="0"/>
        <w:snapToGrid w:val="0"/>
        <w:spacing w:line="600" w:lineRule="exact"/>
        <w:rPr>
          <w:rFonts w:ascii="Times New Roman" w:hAnsi="Times New Roman" w:eastAsia="方正仿宋_GBK" w:cs="方正仿宋_GBK"/>
          <w:color w:val="0F1115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F1115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color w:val="0F1115"/>
          <w:kern w:val="0"/>
          <w:sz w:val="32"/>
          <w:szCs w:val="32"/>
        </w:rPr>
        <w:t>4</w:t>
      </w:r>
    </w:p>
    <w:p>
      <w:pPr>
        <w:adjustRightInd w:val="0"/>
        <w:snapToGrid w:val="0"/>
        <w:spacing w:before="312" w:beforeLines="100" w:line="600" w:lineRule="exact"/>
        <w:jc w:val="center"/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  <w:u w:val="single"/>
        </w:rPr>
        <w:t xml:space="preserve">         </w:t>
      </w: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  <w:t>市场监管局</w:t>
      </w:r>
    </w:p>
    <w:p>
      <w:pPr>
        <w:adjustRightInd w:val="0"/>
        <w:snapToGrid w:val="0"/>
        <w:spacing w:after="312" w:afterLines="100" w:line="600" w:lineRule="exact"/>
        <w:jc w:val="center"/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  <w:t>餐饮服务经营者静态风险因素量化分值表</w:t>
      </w:r>
    </w:p>
    <w:tbl>
      <w:tblPr>
        <w:tblStyle w:val="5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460"/>
        <w:gridCol w:w="360"/>
        <w:gridCol w:w="795"/>
        <w:gridCol w:w="1380"/>
        <w:gridCol w:w="170"/>
        <w:gridCol w:w="1097"/>
        <w:gridCol w:w="112"/>
        <w:gridCol w:w="342"/>
        <w:gridCol w:w="1038"/>
        <w:gridCol w:w="235"/>
        <w:gridCol w:w="1148"/>
        <w:gridCol w:w="94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被评定人</w:t>
            </w:r>
          </w:p>
        </w:tc>
        <w:tc>
          <w:tcPr>
            <w:tcW w:w="38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7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评定时间</w:t>
            </w:r>
          </w:p>
        </w:tc>
        <w:tc>
          <w:tcPr>
            <w:tcW w:w="20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735"/>
                <w:tab w:val="left" w:pos="1242"/>
                <w:tab w:val="left" w:pos="1748"/>
              </w:tabs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ab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ab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ab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评分项（共40分）</w:t>
            </w:r>
          </w:p>
        </w:tc>
        <w:tc>
          <w:tcPr>
            <w:tcW w:w="552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参考分值</w:t>
            </w:r>
          </w:p>
        </w:tc>
        <w:tc>
          <w:tcPr>
            <w:tcW w:w="9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社会餐饮服务经营者（20分）</w:t>
            </w:r>
          </w:p>
        </w:tc>
        <w:tc>
          <w:tcPr>
            <w:tcW w:w="82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基础项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（10分）</w:t>
            </w:r>
          </w:p>
        </w:tc>
        <w:tc>
          <w:tcPr>
            <w:tcW w:w="7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规模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面积150m</w:t>
            </w:r>
            <w:r>
              <w:rPr>
                <w:rFonts w:hint="eastAsia" w:ascii="Times New Roman" w:hAnsi="Times New Roman" w:eastAsia="方正仿宋_GBK" w:cs="方正仿宋_GBK"/>
                <w:position w:val="11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以下</w:t>
            </w:r>
          </w:p>
        </w:tc>
        <w:tc>
          <w:tcPr>
            <w:tcW w:w="15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面积150m</w:t>
            </w:r>
            <w:r>
              <w:rPr>
                <w:rFonts w:hint="eastAsia" w:ascii="Times New Roman" w:hAnsi="Times New Roman" w:eastAsia="方正仿宋_GBK" w:cs="方正仿宋_GBK"/>
                <w:position w:val="11"/>
                <w:sz w:val="24"/>
                <w:szCs w:val="24"/>
              </w:rPr>
              <w:t>2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（含）～1000m</w:t>
            </w:r>
            <w:r>
              <w:rPr>
                <w:rFonts w:hint="eastAsia" w:ascii="Times New Roman" w:hAnsi="Times New Roman" w:eastAsia="方正仿宋_GBK" w:cs="方正仿宋_GBK"/>
                <w:position w:val="11"/>
                <w:sz w:val="24"/>
                <w:szCs w:val="24"/>
              </w:rPr>
              <w:t>2</w:t>
            </w:r>
          </w:p>
        </w:tc>
        <w:tc>
          <w:tcPr>
            <w:tcW w:w="24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面积1000m</w:t>
            </w:r>
            <w:r>
              <w:rPr>
                <w:rFonts w:hint="eastAsia" w:ascii="Times New Roman" w:hAnsi="Times New Roman" w:eastAsia="方正仿宋_GBK" w:cs="方正仿宋_GBK"/>
                <w:position w:val="11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（含）以上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</w:t>
            </w:r>
          </w:p>
        </w:tc>
        <w:tc>
          <w:tcPr>
            <w:tcW w:w="15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8</w:t>
            </w:r>
          </w:p>
        </w:tc>
        <w:tc>
          <w:tcPr>
            <w:tcW w:w="24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特殊项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（10分）</w:t>
            </w:r>
          </w:p>
        </w:tc>
        <w:tc>
          <w:tcPr>
            <w:tcW w:w="7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类别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从事入网餐饮服务经营</w:t>
            </w:r>
          </w:p>
        </w:tc>
        <w:tc>
          <w:tcPr>
            <w:tcW w:w="15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食品原料采购无固定的供应商</w:t>
            </w:r>
          </w:p>
        </w:tc>
        <w:tc>
          <w:tcPr>
            <w:tcW w:w="24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承办集体聚餐（含旅游团餐、婚宴、会议、年夜饭等）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15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4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制作食品的类别和数量（20分）</w:t>
            </w:r>
          </w:p>
        </w:tc>
        <w:tc>
          <w:tcPr>
            <w:tcW w:w="82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冷食类食品制售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（6分）</w:t>
            </w: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单品数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1～10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11～40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含易腐原料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1～10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11～20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生食类食品制售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（6分）</w:t>
            </w: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单品数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（6分）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1～10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11～20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热食类食品制售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（4分）</w:t>
            </w: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单品数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（2分）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1～30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31～200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201及以上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1.5分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含易腐原料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（2分）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1～20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21～80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81及以上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1.5分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制作食品的类别和数量（20分）</w:t>
            </w:r>
          </w:p>
        </w:tc>
        <w:tc>
          <w:tcPr>
            <w:tcW w:w="82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自制饮品制售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（4分）</w:t>
            </w: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单品数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（2分）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1～5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6～20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1.5分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含易腐原料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（2分）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1～5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6～20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21及以上</w:t>
            </w:r>
          </w:p>
        </w:tc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1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1.5分</w:t>
            </w:r>
          </w:p>
        </w:tc>
        <w:tc>
          <w:tcPr>
            <w:tcW w:w="13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2分</w:t>
            </w:r>
          </w:p>
        </w:tc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静态风险总评分</w:t>
            </w:r>
          </w:p>
        </w:tc>
        <w:tc>
          <w:tcPr>
            <w:tcW w:w="6468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备注</w:t>
            </w:r>
          </w:p>
        </w:tc>
        <w:tc>
          <w:tcPr>
            <w:tcW w:w="80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29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餐饮服务经营者是指面向一般社会公众的餐饮服务经营者。</w:t>
            </w:r>
          </w:p>
          <w:p>
            <w:pPr>
              <w:tabs>
                <w:tab w:val="left" w:pos="231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各项分值总和为40分。因实际情况存在缺项情形的，该项评分为“0”。特殊项得分为各特殊项分值累加。</w:t>
            </w:r>
          </w:p>
          <w:p>
            <w:pPr>
              <w:tabs>
                <w:tab w:val="left" w:pos="229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单品数是指最新菜单中展示的独立销售的食品品种数，不含制作过程中各类食品原料和半成品数量。</w:t>
            </w:r>
          </w:p>
          <w:p>
            <w:pPr>
              <w:tabs>
                <w:tab w:val="left" w:pos="229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具有热食、冷食、生食等多种情形，难以明确归类的食品，按食品安全风险等级最高的情形进行归类。</w:t>
            </w:r>
          </w:p>
          <w:p>
            <w:pPr>
              <w:tabs>
                <w:tab w:val="left" w:pos="229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易腐原料是指蛋白质或碳水化合物含量较高，通常pH大于4.6且水分活度大于0.85，需要控制温度和时间以防止腐败变质和细菌生长、繁殖、产毒的食品。如乳、蛋、禽、畜、水产品等动物源性食品（含）及豆制品等。</w:t>
            </w:r>
          </w:p>
        </w:tc>
      </w:tr>
    </w:tbl>
    <w:p>
      <w:pPr>
        <w:adjustRightInd w:val="0"/>
        <w:snapToGrid w:val="0"/>
        <w:jc w:val="left"/>
        <w:rPr>
          <w:rFonts w:ascii="Times New Roman" w:hAnsi="Times New Roman" w:eastAsia="方正仿宋_GBK" w:cs="方正仿宋_GBK"/>
          <w:color w:val="0F1115"/>
          <w:kern w:val="0"/>
          <w:sz w:val="28"/>
          <w:szCs w:val="28"/>
        </w:rPr>
      </w:pPr>
    </w:p>
    <w:p>
      <w:pPr>
        <w:adjustRightInd w:val="0"/>
        <w:snapToGrid w:val="0"/>
        <w:ind w:firstLine="560" w:firstLineChars="200"/>
        <w:jc w:val="left"/>
        <w:rPr>
          <w:rFonts w:ascii="Times New Roman" w:hAnsi="Times New Roman" w:eastAsia="方正仿宋_GBK" w:cs="方正仿宋_GBK"/>
          <w:color w:val="0F1115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F1115"/>
          <w:kern w:val="0"/>
          <w:sz w:val="28"/>
          <w:szCs w:val="28"/>
        </w:rPr>
        <w:t>评定人                               被评定人负责人</w:t>
      </w:r>
    </w:p>
    <w:p>
      <w:pPr>
        <w:spacing w:after="160" w:line="278" w:lineRule="auto"/>
        <w:jc w:val="left"/>
        <w:rPr>
          <w:rFonts w:hint="eastAsia" w:ascii="方正黑体_GBK" w:hAnsi="方正黑体_GBK" w:eastAsia="方正黑体_GBK" w:cs="方正黑体_GBK"/>
          <w:color w:val="0F1115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F1115"/>
          <w:kern w:val="0"/>
          <w:sz w:val="32"/>
          <w:szCs w:val="32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C7D50"/>
    <w:rsid w:val="59DC7D50"/>
    <w:rsid w:val="798F4F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="Calibri Light" w:hAnsi="Calibri Light" w:eastAsia="宋体" w:cs="Times New Roman"/>
      <w:color w:val="2E75B5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2"/>
    <w:tblPr>
      <w:tblStyle w:val="3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2026-08-14T17:05:00Z</dcterms:created>
  <dc:creator>kylin</dc:creator>
  <cp:lastModifiedBy>kylin</cp:lastModifiedBy>
  <dcterms:modified xsi:type="dcterms:W3CDTF">2026-08-14T09:13:56Z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1E05081F8592B916D46B7E6A27EE7379</vt:lpwstr>
  </property>
</Properties>
</file>