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left"/>
        <w:rPr>
          <w:rFonts w:ascii="Times New Roman" w:hAnsi="Times New Roman" w:eastAsia="方正仿宋_GBK" w:cs="方正仿宋_GBK"/>
          <w:color w:val="0F1115"/>
          <w:kern w:val="0"/>
          <w:sz w:val="32"/>
          <w:szCs w:val="32"/>
          <w14:ligatures w14:val="none"/>
        </w:rPr>
      </w:pPr>
      <w:bookmarkStart w:id="0" w:name="OLE_LINK7"/>
      <w:r>
        <w:rPr>
          <w:rFonts w:hint="eastAsia" w:ascii="方正黑体_GBK" w:hAnsi="方正黑体_GBK" w:eastAsia="方正黑体_GBK" w:cs="方正黑体_GBK"/>
          <w:color w:val="0F1115"/>
          <w:kern w:val="0"/>
          <w:sz w:val="32"/>
          <w:szCs w:val="32"/>
          <w14:ligatures w14:val="none"/>
        </w:rPr>
        <w:t>附件</w:t>
      </w:r>
      <w:r>
        <w:rPr>
          <w:rFonts w:hint="eastAsia" w:ascii="Times New Roman" w:hAnsi="Times New Roman" w:eastAsia="方正仿宋_GBK" w:cs="方正仿宋_GBK"/>
          <w:color w:val="0F1115"/>
          <w:kern w:val="0"/>
          <w:sz w:val="32"/>
          <w:szCs w:val="32"/>
          <w14:ligatures w14:val="none"/>
        </w:rPr>
        <w:t>1</w:t>
      </w:r>
    </w:p>
    <w:p>
      <w:pPr>
        <w:topLinePunct/>
        <w:adjustRightInd w:val="0"/>
        <w:snapToGrid w:val="0"/>
        <w:spacing w:line="600" w:lineRule="exact"/>
        <w:jc w:val="center"/>
        <w:rPr>
          <w:rFonts w:hint="eastAsia" w:ascii="方正小标宋_GBK" w:hAnsi="方正小标宋_GBK" w:eastAsia="方正小标宋_GBK" w:cs="方正小标宋_GBK"/>
          <w:color w:val="0F1115"/>
          <w:kern w:val="0"/>
          <w:sz w:val="44"/>
          <w:szCs w:val="44"/>
          <w14:ligatures w14:val="none"/>
        </w:rPr>
      </w:pPr>
    </w:p>
    <w:p>
      <w:pPr>
        <w:topLinePunct/>
        <w:adjustRightInd w:val="0"/>
        <w:snapToGrid w:val="0"/>
        <w:spacing w:line="600" w:lineRule="exact"/>
        <w:jc w:val="center"/>
        <w:rPr>
          <w:rFonts w:hint="eastAsia" w:ascii="方正小标宋_GBK" w:hAnsi="方正小标宋_GBK" w:eastAsia="方正小标宋_GBK" w:cs="方正小标宋_GBK"/>
          <w:color w:val="0F1115"/>
          <w:kern w:val="0"/>
          <w:sz w:val="44"/>
          <w:szCs w:val="44"/>
          <w14:ligatures w14:val="none"/>
        </w:rPr>
      </w:pPr>
      <w:r>
        <w:rPr>
          <w:rFonts w:hint="eastAsia" w:ascii="方正小标宋_GBK" w:hAnsi="方正小标宋_GBK" w:eastAsia="方正小标宋_GBK" w:cs="方正小标宋_GBK"/>
          <w:color w:val="0F1115"/>
          <w:kern w:val="0"/>
          <w:sz w:val="44"/>
          <w:szCs w:val="44"/>
          <w14:ligatures w14:val="none"/>
        </w:rPr>
        <w:t>食品经营者风险等级确定表</w:t>
      </w:r>
    </w:p>
    <w:p>
      <w:pPr>
        <w:topLinePunct/>
        <w:adjustRightInd w:val="0"/>
        <w:snapToGrid w:val="0"/>
        <w:spacing w:line="600" w:lineRule="exact"/>
        <w:jc w:val="center"/>
        <w:rPr>
          <w:rFonts w:hint="eastAsia" w:ascii="方正小标宋_GBK" w:hAnsi="方正小标宋_GBK" w:eastAsia="方正小标宋_GBK" w:cs="方正小标宋_GBK"/>
          <w:color w:val="0F1115"/>
          <w:kern w:val="0"/>
          <w:sz w:val="44"/>
          <w:szCs w:val="44"/>
          <w14:ligatures w14:val="none"/>
        </w:rPr>
      </w:pPr>
    </w:p>
    <w:tbl>
      <w:tblPr>
        <w:tblStyle w:val="39"/>
        <w:tblW w:w="9071"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673"/>
        <w:gridCol w:w="462"/>
        <w:gridCol w:w="2512"/>
        <w:gridCol w:w="2122"/>
        <w:gridCol w:w="1448"/>
        <w:gridCol w:w="1854"/>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73" w:type="dxa"/>
            <w:vMerge w:val="restart"/>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主体信息</w:t>
            </w:r>
          </w:p>
        </w:tc>
        <w:tc>
          <w:tcPr>
            <w:tcW w:w="2974" w:type="dxa"/>
            <w:gridSpan w:val="2"/>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食品经营者名称</w:t>
            </w:r>
          </w:p>
        </w:tc>
        <w:tc>
          <w:tcPr>
            <w:tcW w:w="5424" w:type="dxa"/>
            <w:gridSpan w:val="3"/>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73" w:type="dxa"/>
            <w:vMerge w:val="continue"/>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2974" w:type="dxa"/>
            <w:gridSpan w:val="2"/>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食品经营者地址</w:t>
            </w:r>
          </w:p>
        </w:tc>
        <w:tc>
          <w:tcPr>
            <w:tcW w:w="5424" w:type="dxa"/>
            <w:gridSpan w:val="3"/>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73" w:type="dxa"/>
            <w:vMerge w:val="continue"/>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2974" w:type="dxa"/>
            <w:gridSpan w:val="2"/>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食品经营许可证编号/仅</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销售预包装食品备案编号</w:t>
            </w:r>
          </w:p>
        </w:tc>
        <w:tc>
          <w:tcPr>
            <w:tcW w:w="5424" w:type="dxa"/>
            <w:gridSpan w:val="3"/>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73" w:type="dxa"/>
            <w:vMerge w:val="continue"/>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2974" w:type="dxa"/>
            <w:gridSpan w:val="2"/>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主体业态</w:t>
            </w:r>
          </w:p>
        </w:tc>
        <w:tc>
          <w:tcPr>
            <w:tcW w:w="5424" w:type="dxa"/>
            <w:gridSpan w:val="3"/>
            <w:tcBorders>
              <w:tl2br w:val="nil"/>
              <w:tr2bl w:val="nil"/>
            </w:tcBorders>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□食品销售经营者（□大型食品销售连锁企业总部□学校及校园周边食品销售经营者）</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□集中交易市场开办者（□零售市场</w:t>
            </w:r>
            <w:r>
              <w:rPr>
                <w:rFonts w:ascii="Times New Roman" w:hAnsi="Times New Roman" w:eastAsia="方正仿宋_GBK" w:cs="方正仿宋_GBK"/>
                <w:sz w:val="24"/>
                <w:szCs w:val="24"/>
              </w:rPr>
              <w:t xml:space="preserve"> </w:t>
            </w:r>
            <w:r>
              <w:rPr>
                <w:rFonts w:hint="eastAsia" w:ascii="Times New Roman" w:hAnsi="Times New Roman" w:eastAsia="方正仿宋_GBK" w:cs="方正仿宋_GBK"/>
                <w:sz w:val="24"/>
                <w:szCs w:val="24"/>
              </w:rPr>
              <w:t>□食用农产品批发市场</w:t>
            </w:r>
            <w:r>
              <w:rPr>
                <w:rFonts w:ascii="Times New Roman" w:hAnsi="Times New Roman" w:eastAsia="方正仿宋_GBK" w:cs="方正仿宋_GBK"/>
                <w:sz w:val="24"/>
                <w:szCs w:val="24"/>
              </w:rPr>
              <w:t xml:space="preserve"> </w:t>
            </w:r>
            <w:r>
              <w:rPr>
                <w:rFonts w:hint="eastAsia" w:ascii="Times New Roman" w:hAnsi="Times New Roman" w:eastAsia="方正仿宋_GBK" w:cs="方正仿宋_GBK"/>
                <w:sz w:val="24"/>
                <w:szCs w:val="24"/>
              </w:rPr>
              <w:t>□其他批发市场）</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□餐饮服务经营者（□社会餐饮服务经营者</w:t>
            </w:r>
            <w:r>
              <w:rPr>
                <w:rFonts w:ascii="Times New Roman" w:hAnsi="Times New Roman" w:eastAsia="方正仿宋_GBK" w:cs="方正仿宋_GBK"/>
                <w:sz w:val="24"/>
                <w:szCs w:val="24"/>
              </w:rPr>
              <w:t xml:space="preserve"> </w:t>
            </w:r>
            <w:r>
              <w:rPr>
                <w:rFonts w:hint="eastAsia" w:ascii="Times New Roman" w:hAnsi="Times New Roman" w:eastAsia="方正仿宋_GBK" w:cs="方正仿宋_GBK"/>
                <w:sz w:val="24"/>
                <w:szCs w:val="24"/>
              </w:rPr>
              <w:t>□餐饮服务连锁企业总部</w:t>
            </w:r>
            <w:r>
              <w:rPr>
                <w:rFonts w:ascii="Times New Roman" w:hAnsi="Times New Roman" w:eastAsia="方正仿宋_GBK" w:cs="方正仿宋_GBK"/>
                <w:sz w:val="24"/>
                <w:szCs w:val="24"/>
              </w:rPr>
              <w:t xml:space="preserve"> </w:t>
            </w:r>
            <w:bookmarkStart w:id="1" w:name="OLE_LINK13"/>
            <w:r>
              <w:rPr>
                <w:rFonts w:hint="eastAsia" w:ascii="Times New Roman" w:hAnsi="Times New Roman" w:eastAsia="方正仿宋_GBK" w:cs="方正仿宋_GBK"/>
                <w:sz w:val="24"/>
                <w:szCs w:val="24"/>
              </w:rPr>
              <w:t>□</w:t>
            </w:r>
            <w:bookmarkEnd w:id="1"/>
            <w:r>
              <w:rPr>
                <w:rFonts w:hint="eastAsia" w:ascii="Times New Roman" w:hAnsi="Times New Roman" w:eastAsia="方正仿宋_GBK" w:cs="方正仿宋_GBK"/>
                <w:sz w:val="24"/>
                <w:szCs w:val="24"/>
              </w:rPr>
              <w:t>餐饮服务管理企业</w:t>
            </w:r>
            <w:r>
              <w:rPr>
                <w:rFonts w:ascii="Times New Roman" w:hAnsi="Times New Roman" w:eastAsia="方正仿宋_GBK" w:cs="方正仿宋_GBK"/>
                <w:sz w:val="24"/>
                <w:szCs w:val="24"/>
              </w:rPr>
              <w:t xml:space="preserve"> </w:t>
            </w:r>
            <w:r>
              <w:rPr>
                <w:rFonts w:hint="eastAsia" w:ascii="Times New Roman" w:hAnsi="Times New Roman" w:eastAsia="方正仿宋_GBK" w:cs="方正仿宋_GBK"/>
                <w:sz w:val="24"/>
                <w:szCs w:val="24"/>
              </w:rPr>
              <w:t>□中央厨房和集体用餐配送单位</w:t>
            </w:r>
            <w:r>
              <w:rPr>
                <w:rFonts w:hint="eastAsia" w:ascii="Times New Roman" w:hAnsi="Times New Roman" w:eastAsia="方正仿宋_GBK" w:cs="方正仿宋_GBK"/>
                <w:color w:val="000000" w:themeColor="text1"/>
                <w:sz w:val="24"/>
                <w:szCs w:val="24"/>
                <w14:textFill>
                  <w14:solidFill>
                    <w14:schemeClr w14:val="tx1"/>
                  </w14:solidFill>
                </w14:textFill>
              </w:rPr>
              <w:t>□校园周边餐饮服务经营者）</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□集中用餐单位食堂（□养老机构食堂</w:t>
            </w:r>
            <w:r>
              <w:rPr>
                <w:rFonts w:ascii="Times New Roman" w:hAnsi="Times New Roman" w:eastAsia="方正仿宋_GBK" w:cs="方正仿宋_GBK"/>
                <w:sz w:val="24"/>
                <w:szCs w:val="24"/>
              </w:rPr>
              <w:t xml:space="preserve"> </w:t>
            </w:r>
            <w:r>
              <w:rPr>
                <w:rFonts w:hint="eastAsia" w:ascii="Times New Roman" w:hAnsi="Times New Roman" w:eastAsia="方正仿宋_GBK" w:cs="方正仿宋_GBK"/>
                <w:sz w:val="24"/>
                <w:szCs w:val="24"/>
              </w:rPr>
              <w:t>□学校（含托幼机构）食堂</w:t>
            </w:r>
            <w:r>
              <w:rPr>
                <w:rFonts w:ascii="Times New Roman" w:hAnsi="Times New Roman" w:eastAsia="方正仿宋_GBK" w:cs="方正仿宋_GBK"/>
                <w:sz w:val="24"/>
                <w:szCs w:val="24"/>
              </w:rPr>
              <w:t xml:space="preserve"> </w:t>
            </w:r>
            <w:r>
              <w:rPr>
                <w:rFonts w:hint="eastAsia" w:ascii="Times New Roman" w:hAnsi="Times New Roman" w:eastAsia="方正仿宋_GBK" w:cs="方正仿宋_GBK"/>
                <w:sz w:val="24"/>
                <w:szCs w:val="24"/>
              </w:rPr>
              <w:t>□</w:t>
            </w:r>
            <w:r>
              <w:rPr>
                <w:rFonts w:ascii="Times New Roman" w:hAnsi="Times New Roman" w:eastAsia="方正仿宋_GBK" w:cs="方正仿宋_GBK"/>
                <w:sz w:val="24"/>
                <w:szCs w:val="24"/>
              </w:rPr>
              <w:t xml:space="preserve"> </w:t>
            </w:r>
            <w:r>
              <w:rPr>
                <w:rFonts w:hint="eastAsia" w:ascii="Times New Roman" w:hAnsi="Times New Roman" w:eastAsia="方正仿宋_GBK" w:cs="方正仿宋_GBK"/>
                <w:sz w:val="24"/>
                <w:szCs w:val="24"/>
              </w:rPr>
              <w:t>医疗机构食堂</w:t>
            </w:r>
            <w:r>
              <w:rPr>
                <w:rFonts w:ascii="Times New Roman" w:hAnsi="Times New Roman" w:eastAsia="方正仿宋_GBK" w:cs="方正仿宋_GBK"/>
                <w:sz w:val="24"/>
                <w:szCs w:val="24"/>
              </w:rPr>
              <w:t xml:space="preserve"> </w:t>
            </w:r>
            <w:r>
              <w:rPr>
                <w:rFonts w:hint="eastAsia" w:ascii="Times New Roman" w:hAnsi="Times New Roman" w:eastAsia="方正仿宋_GBK" w:cs="方正仿宋_GBK"/>
                <w:sz w:val="24"/>
                <w:szCs w:val="24"/>
              </w:rPr>
              <w:t>□建筑工地食堂）</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73" w:type="dxa"/>
            <w:vMerge w:val="continue"/>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2974" w:type="dxa"/>
            <w:gridSpan w:val="2"/>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联系人</w:t>
            </w:r>
          </w:p>
        </w:tc>
        <w:tc>
          <w:tcPr>
            <w:tcW w:w="2122" w:type="dxa"/>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1448" w:type="dxa"/>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联系方式</w:t>
            </w:r>
          </w:p>
        </w:tc>
        <w:tc>
          <w:tcPr>
            <w:tcW w:w="1854" w:type="dxa"/>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73" w:type="dxa"/>
            <w:vMerge w:val="continue"/>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2974" w:type="dxa"/>
            <w:gridSpan w:val="2"/>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上次风险等级</w:t>
            </w:r>
          </w:p>
        </w:tc>
        <w:tc>
          <w:tcPr>
            <w:tcW w:w="5424" w:type="dxa"/>
            <w:gridSpan w:val="3"/>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73" w:type="dxa"/>
            <w:vMerge w:val="continue"/>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2974" w:type="dxa"/>
            <w:gridSpan w:val="2"/>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校园及其周边100米范围内的食品销售经营者、餐饮服务经营者</w:t>
            </w:r>
          </w:p>
        </w:tc>
        <w:tc>
          <w:tcPr>
            <w:tcW w:w="5424" w:type="dxa"/>
            <w:gridSpan w:val="3"/>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647" w:type="dxa"/>
            <w:gridSpan w:val="3"/>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本次静态风险因素量化风险分值</w:t>
            </w:r>
          </w:p>
        </w:tc>
        <w:tc>
          <w:tcPr>
            <w:tcW w:w="2122" w:type="dxa"/>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1448" w:type="dxa"/>
            <w:vMerge w:val="restart"/>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本次风险等级得分</w:t>
            </w:r>
          </w:p>
        </w:tc>
        <w:tc>
          <w:tcPr>
            <w:tcW w:w="1854" w:type="dxa"/>
            <w:vMerge w:val="restart"/>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647" w:type="dxa"/>
            <w:gridSpan w:val="3"/>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本次动态风险因素量化风险分值</w:t>
            </w:r>
          </w:p>
        </w:tc>
        <w:tc>
          <w:tcPr>
            <w:tcW w:w="2122" w:type="dxa"/>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1448" w:type="dxa"/>
            <w:vMerge w:val="continue"/>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1854" w:type="dxa"/>
            <w:vMerge w:val="continue"/>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647" w:type="dxa"/>
            <w:gridSpan w:val="3"/>
            <w:tcBorders>
              <w:tl2br w:val="nil"/>
              <w:tr2bl w:val="nil"/>
            </w:tcBorders>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通用信用风险量化风险分值（由全省市场主体信用风险分类管理平台提供。信用风险低的A级市场主体，赋0分；信用风险一般的B级市场主体，赋4分；信用风险较高的C级市场主体，赋8分；信用风险高的D级市场主体，赋10分）。</w:t>
            </w:r>
          </w:p>
        </w:tc>
        <w:tc>
          <w:tcPr>
            <w:tcW w:w="2122" w:type="dxa"/>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1448" w:type="dxa"/>
            <w:vMerge w:val="continue"/>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c>
          <w:tcPr>
            <w:tcW w:w="1854" w:type="dxa"/>
            <w:vMerge w:val="continue"/>
            <w:tcBorders>
              <w:tl2br w:val="nil"/>
              <w:tr2bl w:val="nil"/>
            </w:tcBorders>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647" w:type="dxa"/>
            <w:gridSpan w:val="3"/>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风险等级评定</w:t>
            </w:r>
          </w:p>
        </w:tc>
        <w:tc>
          <w:tcPr>
            <w:tcW w:w="5424" w:type="dxa"/>
            <w:gridSpan w:val="3"/>
            <w:tcBorders>
              <w:tl2br w:val="nil"/>
              <w:tr2bl w:val="nil"/>
            </w:tcBorders>
            <w:vAlign w:val="center"/>
          </w:tcPr>
          <w:p>
            <w:pPr>
              <w:tabs>
                <w:tab w:val="left" w:pos="2796"/>
              </w:tabs>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□A级0－30（含）分   □B级30－45（含）分</w:t>
            </w:r>
          </w:p>
          <w:p>
            <w:pPr>
              <w:tabs>
                <w:tab w:val="left" w:pos="2796"/>
              </w:tabs>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□C级45－60（含）分  □D级60分以上</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135" w:type="dxa"/>
            <w:gridSpan w:val="2"/>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调整风险等级的情形（在存</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在的情形前打“√”）</w:t>
            </w:r>
          </w:p>
        </w:tc>
        <w:tc>
          <w:tcPr>
            <w:tcW w:w="7936" w:type="dxa"/>
            <w:gridSpan w:val="4"/>
            <w:tcBorders>
              <w:tl2br w:val="nil"/>
              <w:tr2bl w:val="nil"/>
            </w:tcBorders>
            <w:vAlign w:val="center"/>
          </w:tcPr>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是否存在下列情形（1-8 可调高等级项 9-12 可调低等级项）：□是，□否</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bookmarkStart w:id="2" w:name="OLE_LINK18"/>
            <w:r>
              <w:rPr>
                <w:rFonts w:hint="eastAsia" w:ascii="Times New Roman" w:hAnsi="Times New Roman" w:eastAsia="方正仿宋_GBK" w:cs="方正仿宋_GBK"/>
                <w:sz w:val="24"/>
                <w:szCs w:val="24"/>
              </w:rPr>
              <w:t>□</w:t>
            </w:r>
            <w:bookmarkEnd w:id="2"/>
            <w:r>
              <w:rPr>
                <w:rFonts w:hint="eastAsia" w:ascii="Times New Roman" w:hAnsi="Times New Roman" w:eastAsia="方正仿宋_GBK" w:cs="方正仿宋_GBK"/>
                <w:sz w:val="24"/>
                <w:szCs w:val="24"/>
              </w:rPr>
              <w:t>故意违反食品安全法律法规，且受到罚款、没收违法所得（非法财物）、责令停产停业等行政处罚的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2.□有1次及以上国家或者省级监督抽检不符合食品安全标准，且经查证未落实相关责任义务的；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3.□违反食品安全法律法规，造成不良社会影响的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4.□发生食品安全事故的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5.□不按规定进行召回或者停止经营的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6.□拒绝、逃避、阻挠执法人员进行监督检查，或者拒不配合执法人员依法进行案件调查的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7.□按照《市场监督管理严重违法失信名单管理办法》，因实施除食品安全以外其他领域违法行为被列入严重违法失信名单的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8.□未按规定配备食品安全总监、食品安全员等食品安全管理人员，未依据实际制定《食品安全风险管控清单》，或未落实“日管控、周排查、月调度”工作制度和机制的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9.□具有法律、法规、规章和</w:t>
            </w:r>
            <w:r>
              <w:rPr>
                <w:rFonts w:hint="eastAsia" w:ascii="Times New Roman" w:hAnsi="Times New Roman" w:eastAsia="方正仿宋_GBK" w:cs="方正仿宋_GBK"/>
                <w:sz w:val="24"/>
                <w:szCs w:val="24"/>
                <w:lang w:eastAsia="zh-CN"/>
              </w:rPr>
              <w:t>总局或省局</w:t>
            </w:r>
            <w:r>
              <w:rPr>
                <w:rFonts w:hint="eastAsia" w:ascii="Times New Roman" w:hAnsi="Times New Roman" w:eastAsia="方正仿宋_GBK" w:cs="方正仿宋_GBK"/>
                <w:sz w:val="24"/>
                <w:szCs w:val="24"/>
              </w:rPr>
              <w:t>规定的其他可以上调风险等级的情形（请在备注中说明具体情形）；</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10.□连续3年食品安全监督管理记录没有以上所列情形的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11.□获得危害分析与关键控制点体系、食品安全管理体系、食品防护计划等质量管理规范认证的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12.□获得市级以上人民政府质量奖的</w:t>
            </w:r>
          </w:p>
          <w:p>
            <w:pPr>
              <w:keepNext w:val="0"/>
              <w:keepLines w:val="0"/>
              <w:pageBreakBefore w:val="0"/>
              <w:widowControl w:val="0"/>
              <w:kinsoku/>
              <w:wordWrap/>
              <w:overflowPunct/>
              <w:topLinePunct/>
              <w:autoSpaceDE/>
              <w:autoSpaceDN/>
              <w:bidi w:val="0"/>
              <w:adjustRightInd w:val="0"/>
              <w:snapToGrid w:val="0"/>
              <w:spacing w:line="320" w:lineRule="exact"/>
              <w:jc w:val="lef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13□主动将自有产品或原料定期送检或自检并公示结果的</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14.□具</w:t>
            </w:r>
            <w:r>
              <w:rPr>
                <w:rFonts w:hint="eastAsia" w:ascii="Times New Roman" w:hAnsi="Times New Roman" w:eastAsia="方正仿宋_GBK" w:cs="方正仿宋_GBK"/>
                <w:spacing w:val="-6"/>
                <w:sz w:val="24"/>
                <w:szCs w:val="24"/>
              </w:rPr>
              <w:t>有法律、法规、规章和</w:t>
            </w:r>
            <w:r>
              <w:rPr>
                <w:rFonts w:hint="eastAsia" w:ascii="Times New Roman" w:hAnsi="Times New Roman" w:eastAsia="方正仿宋_GBK" w:cs="方正仿宋_GBK"/>
                <w:sz w:val="24"/>
                <w:szCs w:val="24"/>
                <w:lang w:eastAsia="zh-CN"/>
              </w:rPr>
              <w:t>总局或省局</w:t>
            </w:r>
            <w:r>
              <w:rPr>
                <w:rFonts w:hint="eastAsia" w:ascii="Times New Roman" w:hAnsi="Times New Roman" w:eastAsia="方正仿宋_GBK" w:cs="方正仿宋_GBK"/>
                <w:spacing w:val="-6"/>
                <w:sz w:val="24"/>
                <w:szCs w:val="24"/>
              </w:rPr>
              <w:t>规定的其他（如网络餐饮服务单位安装“互联网+明厨亮灶”）可以下调风险等级的情形（请在备注中说明具体情形）。</w:t>
            </w:r>
          </w:p>
          <w:p>
            <w:pPr>
              <w:keepNext w:val="0"/>
              <w:keepLines w:val="0"/>
              <w:pageBreakBefore w:val="0"/>
              <w:widowControl w:val="0"/>
              <w:tabs>
                <w:tab w:val="left" w:pos="2796"/>
              </w:tabs>
              <w:kinsoku/>
              <w:wordWrap/>
              <w:overflowPunct/>
              <w:autoSpaceDE/>
              <w:autoSpaceDN/>
              <w:bidi w:val="0"/>
              <w:adjustRightInd w:val="0"/>
              <w:snapToGrid w:val="0"/>
              <w:spacing w:line="320" w:lineRule="exact"/>
              <w:textAlignment w:val="auto"/>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建议：□ 上调  个风险等级 □ 不调整风险等级 □ 下调  个风险等级</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647" w:type="dxa"/>
            <w:gridSpan w:val="3"/>
            <w:tcBorders>
              <w:tl2br w:val="nil"/>
              <w:tr2bl w:val="nil"/>
            </w:tcBorders>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本次评定风险等级建议</w:t>
            </w:r>
          </w:p>
        </w:tc>
        <w:tc>
          <w:tcPr>
            <w:tcW w:w="5424" w:type="dxa"/>
            <w:gridSpan w:val="3"/>
            <w:tcBorders>
              <w:tl2br w:val="nil"/>
              <w:tr2bl w:val="nil"/>
            </w:tcBorders>
            <w:vAlign w:val="center"/>
          </w:tcPr>
          <w:p>
            <w:pPr>
              <w:tabs>
                <w:tab w:val="left" w:pos="2796"/>
              </w:tabs>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647" w:type="dxa"/>
            <w:gridSpan w:val="3"/>
            <w:tcBorders>
              <w:tl2br w:val="nil"/>
              <w:tr2bl w:val="nil"/>
            </w:tcBorders>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检查人员签名：</w:t>
            </w:r>
          </w:p>
          <w:p>
            <w:pPr>
              <w:adjustRightInd w:val="0"/>
              <w:snapToGrid w:val="0"/>
              <w:jc w:val="center"/>
              <w:rPr>
                <w:rFonts w:ascii="Times New Roman" w:hAnsi="Times New Roman" w:eastAsia="方正仿宋_GBK" w:cs="方正仿宋_GBK"/>
                <w:sz w:val="24"/>
                <w:szCs w:val="24"/>
              </w:rPr>
            </w:pP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 xml:space="preserve"> </w:t>
            </w:r>
          </w:p>
          <w:p>
            <w:pPr>
              <w:adjustRightInd w:val="0"/>
              <w:snapToGrid w:val="0"/>
              <w:jc w:val="righ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 xml:space="preserve">     年   月   日</w:t>
            </w:r>
          </w:p>
        </w:tc>
        <w:tc>
          <w:tcPr>
            <w:tcW w:w="5424" w:type="dxa"/>
            <w:gridSpan w:val="3"/>
            <w:tcBorders>
              <w:tl2br w:val="nil"/>
              <w:tr2bl w:val="nil"/>
            </w:tcBorders>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审核人员签名：</w:t>
            </w:r>
          </w:p>
          <w:p>
            <w:pPr>
              <w:adjustRightInd w:val="0"/>
              <w:snapToGrid w:val="0"/>
              <w:jc w:val="center"/>
              <w:rPr>
                <w:rFonts w:ascii="Times New Roman" w:hAnsi="Times New Roman" w:eastAsia="方正仿宋_GBK" w:cs="方正仿宋_GBK"/>
                <w:sz w:val="24"/>
                <w:szCs w:val="24"/>
              </w:rPr>
            </w:pP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 xml:space="preserve"> </w:t>
            </w:r>
          </w:p>
          <w:p>
            <w:pPr>
              <w:tabs>
                <w:tab w:val="left" w:pos="2796"/>
              </w:tabs>
              <w:adjustRightInd w:val="0"/>
              <w:snapToGrid w:val="0"/>
              <w:jc w:val="righ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 xml:space="preserve">     年   月   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071" w:type="dxa"/>
            <w:gridSpan w:val="6"/>
            <w:tcBorders>
              <w:tl2br w:val="nil"/>
              <w:tr2bl w:val="nil"/>
            </w:tcBorders>
            <w:vAlign w:val="center"/>
          </w:tcPr>
          <w:p>
            <w:pPr>
              <w:tabs>
                <w:tab w:val="left" w:pos="2796"/>
              </w:tabs>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备注：</w:t>
            </w:r>
          </w:p>
          <w:p>
            <w:pPr>
              <w:tabs>
                <w:tab w:val="left" w:pos="2796"/>
              </w:tabs>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1.大型食品销售连锁企业总部、餐饮服务连锁企业总部、学校及校园周边食品经营者、中央厨房、集体用餐配送单位等直接纳入D级风险等级进行管理无需打分评定和动态调整</w:t>
            </w:r>
          </w:p>
          <w:p>
            <w:pPr>
              <w:tabs>
                <w:tab w:val="left" w:pos="2796"/>
              </w:tabs>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2.中小型食品销售连锁企业总部直接纳入不低于C级风险等级进行管理</w:t>
            </w:r>
          </w:p>
          <w:p>
            <w:pPr>
              <w:tabs>
                <w:tab w:val="left" w:pos="2796"/>
              </w:tabs>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w:t>
            </w:r>
            <w:r>
              <w:rPr>
                <w:rFonts w:ascii="Times New Roman" w:hAnsi="Times New Roman" w:eastAsia="方正仿宋_GBK" w:cs="方正仿宋_GBK"/>
                <w:sz w:val="24"/>
                <w:szCs w:val="24"/>
              </w:rPr>
              <w:t>表中校园周边食品销售经营者和餐饮服务经营者指校园周边100米范围内的经营者</w:t>
            </w:r>
          </w:p>
        </w:tc>
      </w:tr>
    </w:tbl>
    <w:p>
      <w:pPr>
        <w:topLinePunct/>
        <w:adjustRightInd w:val="0"/>
        <w:snapToGrid w:val="0"/>
        <w:spacing w:line="600" w:lineRule="exact"/>
        <w:rPr>
          <w:rFonts w:hint="eastAsia"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评定时间：</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年</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月</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日   编号：</w:t>
      </w:r>
      <w:r>
        <w:rPr>
          <w:rFonts w:hint="eastAsia" w:ascii="方正仿宋_GBK" w:hAnsi="方正仿宋_GBK" w:eastAsia="方正仿宋_GBK" w:cs="方正仿宋_GBK"/>
          <w:sz w:val="24"/>
          <w:szCs w:val="24"/>
          <w:u w:val="single"/>
        </w:rPr>
        <w:t xml:space="preserve">                 </w:t>
      </w:r>
    </w:p>
    <w:bookmarkEnd w:id="0"/>
    <w:p>
      <w:pPr>
        <w:spacing w:after="160" w:line="278" w:lineRule="auto"/>
        <w:jc w:val="left"/>
        <w:rPr>
          <w:rFonts w:hint="eastAsia" w:ascii="Times New Roman" w:hAnsi="Times New Roman" w:eastAsia="方正仿宋_GBK" w:cs="方正仿宋_GBK"/>
          <w:sz w:val="28"/>
          <w:szCs w:val="28"/>
        </w:rPr>
      </w:pPr>
      <w:bookmarkStart w:id="3" w:name="_GoBack"/>
      <w:bookmarkEnd w:id="3"/>
    </w:p>
    <w:sectPr>
      <w:footerReference r:id="rId3" w:type="default"/>
      <w:pgSz w:w="11906" w:h="16838"/>
      <w:pgMar w:top="1984" w:right="1474" w:bottom="1474" w:left="1474" w:header="851" w:footer="1134" w:gutter="0"/>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Light">
    <w:altName w:val="华文中宋"/>
    <w:panose1 w:val="02010600030101010101"/>
    <w:charset w:val="86"/>
    <w:family w:val="auto"/>
    <w:pitch w:val="default"/>
    <w:sig w:usb0="00000000" w:usb1="00000000" w:usb2="00000016" w:usb3="00000000" w:csb0="0004000F" w:csb1="00000000"/>
  </w:font>
  <w:font w:name="方正仿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等线 Light">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 xml:space="preserve">— </w:t>
                          </w:r>
                          <w:r>
                            <w:rPr>
                              <w:rFonts w:hint="eastAsia" w:ascii="Times New Roman" w:hAnsi="Times New Roman" w:eastAsia="方正仿宋_GBK" w:cs="方正仿宋_GBK"/>
                              <w:sz w:val="28"/>
                              <w:szCs w:val="28"/>
                            </w:rPr>
                            <w:fldChar w:fldCharType="begin"/>
                          </w:r>
                          <w:r>
                            <w:rPr>
                              <w:rFonts w:hint="eastAsia" w:ascii="Times New Roman" w:hAnsi="Times New Roman" w:eastAsia="方正仿宋_GBK" w:cs="方正仿宋_GBK"/>
                              <w:sz w:val="28"/>
                              <w:szCs w:val="28"/>
                            </w:rPr>
                            <w:instrText xml:space="preserve"> PAGE  \* MERGEFORMAT </w:instrText>
                          </w:r>
                          <w:r>
                            <w:rPr>
                              <w:rFonts w:hint="eastAsia" w:ascii="Times New Roman" w:hAnsi="Times New Roman" w:eastAsia="方正仿宋_GBK" w:cs="方正仿宋_GBK"/>
                              <w:sz w:val="28"/>
                              <w:szCs w:val="28"/>
                            </w:rPr>
                            <w:fldChar w:fldCharType="separate"/>
                          </w:r>
                          <w:r>
                            <w:rPr>
                              <w:rFonts w:hint="eastAsia" w:ascii="Times New Roman" w:hAnsi="Times New Roman" w:eastAsia="方正仿宋_GBK" w:cs="方正仿宋_GBK"/>
                              <w:sz w:val="28"/>
                              <w:szCs w:val="28"/>
                            </w:rPr>
                            <w:t>1</w:t>
                          </w:r>
                          <w:r>
                            <w:rPr>
                              <w:rFonts w:hint="eastAsia" w:ascii="Times New Roman" w:hAnsi="Times New Roman" w:eastAsia="方正仿宋_GBK" w:cs="方正仿宋_GBK"/>
                              <w:sz w:val="28"/>
                              <w:szCs w:val="28"/>
                            </w:rPr>
                            <w:fldChar w:fldCharType="end"/>
                          </w:r>
                          <w:r>
                            <w:rPr>
                              <w:rFonts w:hint="eastAsia" w:ascii="Times New Roman" w:hAnsi="Times New Roman"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12"/>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 xml:space="preserve">— </w:t>
                    </w:r>
                    <w:r>
                      <w:rPr>
                        <w:rFonts w:hint="eastAsia" w:ascii="Times New Roman" w:hAnsi="Times New Roman" w:eastAsia="方正仿宋_GBK" w:cs="方正仿宋_GBK"/>
                        <w:sz w:val="28"/>
                        <w:szCs w:val="28"/>
                      </w:rPr>
                      <w:fldChar w:fldCharType="begin"/>
                    </w:r>
                    <w:r>
                      <w:rPr>
                        <w:rFonts w:hint="eastAsia" w:ascii="Times New Roman" w:hAnsi="Times New Roman" w:eastAsia="方正仿宋_GBK" w:cs="方正仿宋_GBK"/>
                        <w:sz w:val="28"/>
                        <w:szCs w:val="28"/>
                      </w:rPr>
                      <w:instrText xml:space="preserve"> PAGE  \* MERGEFORMAT </w:instrText>
                    </w:r>
                    <w:r>
                      <w:rPr>
                        <w:rFonts w:hint="eastAsia" w:ascii="Times New Roman" w:hAnsi="Times New Roman" w:eastAsia="方正仿宋_GBK" w:cs="方正仿宋_GBK"/>
                        <w:sz w:val="28"/>
                        <w:szCs w:val="28"/>
                      </w:rPr>
                      <w:fldChar w:fldCharType="separate"/>
                    </w:r>
                    <w:r>
                      <w:rPr>
                        <w:rFonts w:hint="eastAsia" w:ascii="Times New Roman" w:hAnsi="Times New Roman" w:eastAsia="方正仿宋_GBK" w:cs="方正仿宋_GBK"/>
                        <w:sz w:val="28"/>
                        <w:szCs w:val="28"/>
                      </w:rPr>
                      <w:t>1</w:t>
                    </w:r>
                    <w:r>
                      <w:rPr>
                        <w:rFonts w:hint="eastAsia" w:ascii="Times New Roman" w:hAnsi="Times New Roman" w:eastAsia="方正仿宋_GBK" w:cs="方正仿宋_GBK"/>
                        <w:sz w:val="28"/>
                        <w:szCs w:val="28"/>
                      </w:rPr>
                      <w:fldChar w:fldCharType="end"/>
                    </w:r>
                    <w:r>
                      <w:rPr>
                        <w:rFonts w:hint="eastAsia" w:ascii="Times New Roman" w:hAnsi="Times New Roman" w:eastAsia="方正仿宋_GBK" w:cs="方正仿宋_GBK"/>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FC4"/>
    <w:rsid w:val="0026355F"/>
    <w:rsid w:val="00334B02"/>
    <w:rsid w:val="00453DE4"/>
    <w:rsid w:val="004C4A73"/>
    <w:rsid w:val="004D56C9"/>
    <w:rsid w:val="004F4104"/>
    <w:rsid w:val="00512653"/>
    <w:rsid w:val="00651C56"/>
    <w:rsid w:val="0069248A"/>
    <w:rsid w:val="007E2587"/>
    <w:rsid w:val="008F08FB"/>
    <w:rsid w:val="00B303BE"/>
    <w:rsid w:val="00B47FC4"/>
    <w:rsid w:val="00C42DC4"/>
    <w:rsid w:val="00CA1879"/>
    <w:rsid w:val="00CF4BF2"/>
    <w:rsid w:val="00CF54C9"/>
    <w:rsid w:val="00D949B4"/>
    <w:rsid w:val="00F40E20"/>
    <w:rsid w:val="00F55741"/>
    <w:rsid w:val="00F67A6F"/>
    <w:rsid w:val="00F82173"/>
    <w:rsid w:val="00F90B73"/>
    <w:rsid w:val="00FB7CC4"/>
    <w:rsid w:val="07631D4B"/>
    <w:rsid w:val="33BFF074"/>
    <w:rsid w:val="3EFFA365"/>
    <w:rsid w:val="4FDBC4C7"/>
    <w:rsid w:val="50D55C06"/>
    <w:rsid w:val="57FF5A8C"/>
    <w:rsid w:val="5CD421CB"/>
    <w:rsid w:val="5EFB6935"/>
    <w:rsid w:val="69284969"/>
    <w:rsid w:val="6A47119C"/>
    <w:rsid w:val="6EF10E34"/>
    <w:rsid w:val="6FEB1725"/>
    <w:rsid w:val="741B539D"/>
    <w:rsid w:val="77CFE93D"/>
    <w:rsid w:val="77FE9CD2"/>
    <w:rsid w:val="77FF9FCB"/>
    <w:rsid w:val="7DFF9FD3"/>
    <w:rsid w:val="7E0AE7E1"/>
    <w:rsid w:val="7FDE1BB3"/>
    <w:rsid w:val="AEEB8EBD"/>
    <w:rsid w:val="D0EF3310"/>
    <w:rsid w:val="DB7F0295"/>
    <w:rsid w:val="E2BFD993"/>
    <w:rsid w:val="EED6DD80"/>
    <w:rsid w:val="EFFFA7D5"/>
    <w:rsid w:val="F0FE284E"/>
    <w:rsid w:val="F9AE6FD0"/>
    <w:rsid w:val="FBDBEFBD"/>
    <w:rsid w:val="FDB47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3">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2">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11">
    <w:name w:val="Body Text"/>
    <w:basedOn w:val="1"/>
    <w:link w:val="38"/>
    <w:semiHidden/>
    <w:unhideWhenUsed/>
    <w:qFormat/>
    <w:uiPriority w:val="1"/>
    <w:pPr>
      <w:autoSpaceDE w:val="0"/>
      <w:autoSpaceDN w:val="0"/>
      <w:jc w:val="left"/>
    </w:pPr>
    <w:rPr>
      <w:rFonts w:ascii="宋体" w:hAnsi="宋体" w:eastAsia="宋体" w:cs="宋体"/>
      <w:kern w:val="0"/>
      <w:sz w:val="32"/>
      <w:szCs w:val="32"/>
      <w14:ligatures w14:val="none"/>
    </w:rPr>
  </w:style>
  <w:style w:type="paragraph" w:styleId="12">
    <w:name w:val="footer"/>
    <w:basedOn w:val="1"/>
    <w:unhideWhenUsed/>
    <w:qFormat/>
    <w:uiPriority w:val="99"/>
    <w:pPr>
      <w:tabs>
        <w:tab w:val="center" w:pos="4153"/>
        <w:tab w:val="right" w:pos="8306"/>
      </w:tabs>
      <w:snapToGrid w:val="0"/>
      <w:jc w:val="left"/>
    </w:pPr>
    <w:rPr>
      <w:sz w:val="18"/>
    </w:rPr>
  </w:style>
  <w:style w:type="paragraph" w:styleId="1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0"/>
    <w:pPr>
      <w:spacing w:beforeAutospacing="1" w:afterAutospacing="1"/>
      <w:jc w:val="left"/>
    </w:pPr>
    <w:rPr>
      <w:rFonts w:ascii="Calibri" w:hAnsi="Calibri"/>
      <w:kern w:val="0"/>
      <w:sz w:val="24"/>
    </w:rPr>
  </w:style>
  <w:style w:type="paragraph" w:styleId="16">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9">
    <w:name w:val="Strong"/>
    <w:basedOn w:val="18"/>
    <w:qFormat/>
    <w:uiPriority w:val="0"/>
    <w:rPr>
      <w:rFonts w:cs="Times New Roman"/>
      <w:b/>
    </w:rPr>
  </w:style>
  <w:style w:type="character" w:customStyle="1" w:styleId="20">
    <w:name w:val="标题 1 字符"/>
    <w:basedOn w:val="18"/>
    <w:link w:val="3"/>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8"/>
    <w:link w:val="2"/>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8"/>
    <w:link w:val="5"/>
    <w:semiHidden/>
    <w:qFormat/>
    <w:uiPriority w:val="9"/>
    <w:rPr>
      <w:rFonts w:cstheme="majorBidi"/>
      <w:color w:val="2F5597" w:themeColor="accent1" w:themeShade="BF"/>
      <w:sz w:val="28"/>
      <w:szCs w:val="28"/>
    </w:rPr>
  </w:style>
  <w:style w:type="character" w:customStyle="1" w:styleId="24">
    <w:name w:val="标题 5 字符"/>
    <w:basedOn w:val="18"/>
    <w:link w:val="6"/>
    <w:semiHidden/>
    <w:qFormat/>
    <w:uiPriority w:val="9"/>
    <w:rPr>
      <w:rFonts w:cstheme="majorBidi"/>
      <w:color w:val="2F5597" w:themeColor="accent1" w:themeShade="BF"/>
      <w:sz w:val="24"/>
      <w:szCs w:val="24"/>
    </w:rPr>
  </w:style>
  <w:style w:type="character" w:customStyle="1" w:styleId="25">
    <w:name w:val="标题 6 字符"/>
    <w:basedOn w:val="18"/>
    <w:link w:val="7"/>
    <w:semiHidden/>
    <w:qFormat/>
    <w:uiPriority w:val="9"/>
    <w:rPr>
      <w:rFonts w:cstheme="majorBidi"/>
      <w:b/>
      <w:bCs/>
      <w:color w:val="2F5597"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8"/>
    <w:link w:val="35"/>
    <w:qFormat/>
    <w:uiPriority w:val="30"/>
    <w:rPr>
      <w:i/>
      <w:iCs/>
      <w:color w:val="2F5597" w:themeColor="accent1" w:themeShade="BF"/>
    </w:rPr>
  </w:style>
  <w:style w:type="character" w:customStyle="1" w:styleId="37">
    <w:name w:val="明显参考1"/>
    <w:basedOn w:val="18"/>
    <w:qFormat/>
    <w:uiPriority w:val="32"/>
    <w:rPr>
      <w:b/>
      <w:bCs/>
      <w:smallCaps/>
      <w:color w:val="2F5597" w:themeColor="accent1" w:themeShade="BF"/>
      <w:spacing w:val="5"/>
    </w:rPr>
  </w:style>
  <w:style w:type="character" w:customStyle="1" w:styleId="38">
    <w:name w:val="正文文本 字符"/>
    <w:basedOn w:val="18"/>
    <w:link w:val="11"/>
    <w:semiHidden/>
    <w:qFormat/>
    <w:uiPriority w:val="1"/>
    <w:rPr>
      <w:rFonts w:ascii="宋体" w:hAnsi="宋体" w:eastAsia="宋体" w:cs="宋体"/>
      <w:kern w:val="0"/>
      <w:sz w:val="32"/>
      <w:szCs w:val="32"/>
      <w14:ligatures w14:val="none"/>
    </w:rPr>
  </w:style>
  <w:style w:type="table" w:customStyle="1" w:styleId="39">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10480</Words>
  <Characters>11008</Characters>
  <Lines>727</Lines>
  <Paragraphs>371</Paragraphs>
  <TotalTime>14</TotalTime>
  <ScaleCrop>false</ScaleCrop>
  <LinksUpToDate>false</LinksUpToDate>
  <CharactersWithSpaces>11421</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2026-06-25T18:40:00Z</dcterms:created>
  <dc:creator>Lenovo</dc:creator>
  <cp:lastModifiedBy>kylin</cp:lastModifiedBy>
  <dcterms:modified xsi:type="dcterms:W3CDTF">2026-08-14T09:02:39Z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eyJoZGlkIjoiOWJmNzBmMWFjNmFkN2Q5NDA3NzRkNmM0YTNlYTJhZDkiLCJ1c2VySWQiOiIxMDQ1OTYwMzc3In0=</vt:lpwstr>
  </property>
  <property fmtid="{D5CDD505-2E9C-101B-9397-08002B2CF9AE}" pid="3" name="KSOProductBuildVer">
    <vt:lpwstr>2052-11.8.2.1132</vt:lpwstr>
  </property>
  <property fmtid="{D5CDD505-2E9C-101B-9397-08002B2CF9AE}" pid="4" name="ICV">
    <vt:lpwstr>4C0751AC545B47A6A25DA03E54F6FDFF</vt:lpwstr>
  </property>
</Properties>
</file>