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adjustRightInd w:val="0"/>
        <w:snapToGrid w:val="0"/>
        <w:spacing w:line="600" w:lineRule="exact"/>
        <w:rPr>
          <w:rFonts w:ascii="Times New Roman" w:hAnsi="Times New Roman" w:eastAsia="方正黑体_GBK" w:cs="方正仿宋_GBK"/>
          <w:color w:val="0F1115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F1115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仿宋_GBK" w:cs="方正仿宋_GBK"/>
          <w:color w:val="0F1115"/>
          <w:kern w:val="0"/>
          <w:sz w:val="32"/>
          <w:szCs w:val="32"/>
        </w:rPr>
        <w:t>2</w:t>
      </w:r>
    </w:p>
    <w:p>
      <w:pPr>
        <w:adjustRightInd w:val="0"/>
        <w:snapToGrid w:val="0"/>
        <w:spacing w:before="312" w:beforeLines="100" w:after="312" w:afterLines="100" w:line="600" w:lineRule="exact"/>
        <w:jc w:val="center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食品销售者静态风险因素量化分值表</w:t>
      </w:r>
    </w:p>
    <w:p>
      <w:pPr>
        <w:adjustRightInd w:val="0"/>
        <w:snapToGrid w:val="0"/>
        <w:spacing w:line="600" w:lineRule="exact"/>
        <w:jc w:val="left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ascii="方正仿宋_GBK" w:hAnsi="方正仿宋_GBK" w:eastAsia="方正仿宋_GBK" w:cs="方正仿宋_GBK"/>
          <w:sz w:val="24"/>
          <w:szCs w:val="24"/>
        </w:rPr>
        <w:t>食品销售者：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                              </w:t>
      </w:r>
      <w:r>
        <w:rPr>
          <w:rFonts w:ascii="方正仿宋_GBK" w:hAnsi="方正仿宋_GBK" w:eastAsia="方正仿宋_GBK" w:cs="方正仿宋_GBK"/>
          <w:sz w:val="24"/>
          <w:szCs w:val="24"/>
        </w:rPr>
        <w:t>评定时间：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   </w:t>
      </w:r>
      <w:r>
        <w:rPr>
          <w:rFonts w:ascii="方正仿宋_GBK" w:hAnsi="方正仿宋_GBK" w:eastAsia="方正仿宋_GBK" w:cs="方正仿宋_GBK"/>
          <w:sz w:val="24"/>
          <w:szCs w:val="24"/>
        </w:rPr>
        <w:t xml:space="preserve"> 年 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 </w:t>
      </w:r>
      <w:r>
        <w:rPr>
          <w:rFonts w:ascii="方正仿宋_GBK" w:hAnsi="方正仿宋_GBK" w:eastAsia="方正仿宋_GBK" w:cs="方正仿宋_GBK"/>
          <w:sz w:val="24"/>
          <w:szCs w:val="24"/>
        </w:rPr>
        <w:t>月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 </w:t>
      </w:r>
      <w:r>
        <w:rPr>
          <w:rFonts w:ascii="方正仿宋_GBK" w:hAnsi="方正仿宋_GBK" w:eastAsia="方正仿宋_GBK" w:cs="方正仿宋_GBK"/>
          <w:sz w:val="24"/>
          <w:szCs w:val="24"/>
        </w:rPr>
        <w:t xml:space="preserve"> 日</w:t>
      </w:r>
    </w:p>
    <w:tbl>
      <w:tblPr>
        <w:tblStyle w:val="5"/>
        <w:tblW w:w="907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5"/>
        <w:gridCol w:w="1751"/>
        <w:gridCol w:w="419"/>
        <w:gridCol w:w="595"/>
        <w:gridCol w:w="1590"/>
        <w:gridCol w:w="2016"/>
        <w:gridCol w:w="89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评分项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（共40分）</w:t>
            </w:r>
          </w:p>
        </w:tc>
        <w:tc>
          <w:tcPr>
            <w:tcW w:w="6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参考分值</w:t>
            </w:r>
          </w:p>
        </w:tc>
        <w:tc>
          <w:tcPr>
            <w:tcW w:w="8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评分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食品经营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场所面积（㎡）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（10 分）</w:t>
            </w:r>
          </w:p>
        </w:tc>
        <w:tc>
          <w:tcPr>
            <w:tcW w:w="21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200以下</w:t>
            </w: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201—1000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1001以上</w:t>
            </w:r>
          </w:p>
        </w:tc>
        <w:tc>
          <w:tcPr>
            <w:tcW w:w="8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1分</w:t>
            </w: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5分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10分</w:t>
            </w:r>
          </w:p>
        </w:tc>
        <w:tc>
          <w:tcPr>
            <w:tcW w:w="8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经营种类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（20分）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预包装食品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（不含冷藏冷冻）</w:t>
            </w:r>
          </w:p>
        </w:tc>
        <w:tc>
          <w:tcPr>
            <w:tcW w:w="10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特殊食品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食用农产品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（不含冷藏冷冻）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冷藏冷冻预包装食品、冷藏冷冻食用农产品；散装食品</w:t>
            </w:r>
          </w:p>
        </w:tc>
        <w:tc>
          <w:tcPr>
            <w:tcW w:w="8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5分</w:t>
            </w:r>
          </w:p>
        </w:tc>
        <w:tc>
          <w:tcPr>
            <w:tcW w:w="10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10分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15分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20分</w:t>
            </w:r>
          </w:p>
        </w:tc>
        <w:tc>
          <w:tcPr>
            <w:tcW w:w="8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经营方式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（10分）</w:t>
            </w:r>
          </w:p>
        </w:tc>
        <w:tc>
          <w:tcPr>
            <w:tcW w:w="21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零售</w:t>
            </w: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批发；批发兼零售；自动售货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网络销售</w:t>
            </w:r>
          </w:p>
        </w:tc>
        <w:tc>
          <w:tcPr>
            <w:tcW w:w="8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1分</w:t>
            </w:r>
          </w:p>
        </w:tc>
        <w:tc>
          <w:tcPr>
            <w:tcW w:w="21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5分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10分</w:t>
            </w:r>
          </w:p>
        </w:tc>
        <w:tc>
          <w:tcPr>
            <w:tcW w:w="8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5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静态风险因素量化分值</w:t>
            </w:r>
          </w:p>
        </w:tc>
        <w:tc>
          <w:tcPr>
            <w:tcW w:w="551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55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检查人员签名</w:t>
            </w:r>
          </w:p>
        </w:tc>
        <w:tc>
          <w:tcPr>
            <w:tcW w:w="551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备注</w:t>
            </w:r>
          </w:p>
        </w:tc>
        <w:tc>
          <w:tcPr>
            <w:tcW w:w="726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337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pacing w:val="-5"/>
                <w:w w:val="99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本表不涉及食品集中交易市场开办者、网络食品交易第三方平台提供者、食品摊贩等的风险分级，以上主体风险分级指标可由各地制定。</w:t>
            </w:r>
          </w:p>
          <w:p>
            <w:pPr>
              <w:tabs>
                <w:tab w:val="left" w:pos="337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pacing w:val="-5"/>
                <w:w w:val="99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食品经营场所面积为同一经营地址内食品销售、贮存场所的面积总和。</w:t>
            </w:r>
          </w:p>
          <w:p>
            <w:pPr>
              <w:tabs>
                <w:tab w:val="left" w:pos="337"/>
              </w:tabs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spacing w:val="-5"/>
                <w:w w:val="99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具有多种经营种类的，按照风险等级最高的分数进行计算，如既有预包装食品又有散装食品的，按20分计。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EB767F"/>
    <w:rsid w:val="6D1F72F0"/>
    <w:rsid w:val="7D5BA333"/>
    <w:rsid w:val="FDEB76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60" w:after="80"/>
      <w:outlineLvl w:val="1"/>
    </w:pPr>
    <w:rPr>
      <w:rFonts w:ascii="Calibri Light" w:hAnsi="Calibri Light" w:eastAsia="宋体" w:cs="Times New Roman"/>
      <w:color w:val="2E75B5"/>
      <w:sz w:val="40"/>
      <w:szCs w:val="4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unhideWhenUsed/>
    <w:qFormat/>
    <w:uiPriority w:val="2"/>
    <w:tblPr>
      <w:tblStyle w:val="3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2026-08-15T01:03:00Z</dcterms:created>
  <dc:creator>kylin</dc:creator>
  <cp:lastModifiedBy>kylin</cp:lastModifiedBy>
  <dcterms:modified xsi:type="dcterms:W3CDTF">2026-08-14T09:13:06Z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A021F78DFC4EEFB6A26B7E6AE290FAD4</vt:lpwstr>
  </property>
</Properties>
</file>