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adjustRightInd w:val="0"/>
        <w:snapToGrid w:val="0"/>
        <w:spacing w:line="600" w:lineRule="exact"/>
        <w:rPr>
          <w:rFonts w:ascii="Times New Roman" w:hAnsi="Times New Roman" w:eastAsia="方正黑体_GBK" w:cs="方正仿宋_GBK"/>
          <w:color w:val="0F1115"/>
          <w:kern w:val="0"/>
          <w:sz w:val="32"/>
          <w:szCs w:val="32"/>
        </w:rPr>
      </w:pPr>
      <w:bookmarkStart w:id="0" w:name="_GoBack"/>
      <w:bookmarkEnd w:id="0"/>
      <w:r>
        <w:rPr>
          <w:rFonts w:hint="eastAsia" w:ascii="方正黑体_GBK" w:hAnsi="方正黑体_GBK" w:eastAsia="方正黑体_GBK" w:cs="方正黑体_GBK"/>
          <w:color w:val="0F1115"/>
          <w:kern w:val="0"/>
          <w:sz w:val="32"/>
          <w:szCs w:val="32"/>
        </w:rPr>
        <w:t>附件</w:t>
      </w:r>
      <w:r>
        <w:rPr>
          <w:rFonts w:hint="eastAsia" w:ascii="Times New Roman" w:hAnsi="Times New Roman" w:eastAsia="方正仿宋_GBK" w:cs="方正仿宋_GBK"/>
          <w:color w:val="0F1115"/>
          <w:kern w:val="0"/>
          <w:sz w:val="32"/>
          <w:szCs w:val="32"/>
        </w:rPr>
        <w:t>7</w:t>
      </w:r>
    </w:p>
    <w:p>
      <w:pPr>
        <w:topLinePunct/>
        <w:adjustRightInd w:val="0"/>
        <w:snapToGrid w:val="0"/>
        <w:spacing w:before="312" w:beforeLines="100" w:line="600" w:lineRule="exact"/>
        <w:jc w:val="center"/>
        <w:rPr>
          <w:rFonts w:hint="eastAsia" w:ascii="方正小标宋_GBK" w:hAnsi="方正小标宋_GBK" w:eastAsia="方正小标宋_GBK" w:cs="方正小标宋_GBK"/>
          <w:color w:val="0F1115"/>
          <w:kern w:val="0"/>
          <w:sz w:val="44"/>
          <w:szCs w:val="44"/>
        </w:rPr>
      </w:pPr>
      <w:r>
        <w:rPr>
          <w:rFonts w:hint="eastAsia" w:ascii="方正小标宋_GBK" w:hAnsi="方正小标宋_GBK" w:eastAsia="方正小标宋_GBK" w:cs="方正小标宋_GBK"/>
          <w:color w:val="0F1115"/>
          <w:kern w:val="0"/>
          <w:sz w:val="44"/>
          <w:szCs w:val="44"/>
          <w:u w:val="single"/>
        </w:rPr>
        <w:t xml:space="preserve">           </w:t>
      </w:r>
      <w:r>
        <w:rPr>
          <w:rFonts w:hint="eastAsia" w:ascii="方正小标宋_GBK" w:hAnsi="方正小标宋_GBK" w:eastAsia="方正小标宋_GBK" w:cs="方正小标宋_GBK"/>
          <w:color w:val="0F1115"/>
          <w:kern w:val="0"/>
          <w:sz w:val="44"/>
          <w:szCs w:val="44"/>
        </w:rPr>
        <w:t>市场监管局</w:t>
      </w:r>
    </w:p>
    <w:p>
      <w:pPr>
        <w:topLinePunct/>
        <w:adjustRightInd w:val="0"/>
        <w:snapToGrid w:val="0"/>
        <w:spacing w:line="600" w:lineRule="exact"/>
        <w:jc w:val="center"/>
        <w:rPr>
          <w:rFonts w:hint="eastAsia" w:ascii="方正小标宋_GBK" w:hAnsi="方正小标宋_GBK" w:eastAsia="方正小标宋_GBK" w:cs="方正小标宋_GBK"/>
          <w:color w:val="0F1115"/>
          <w:kern w:val="0"/>
          <w:sz w:val="44"/>
          <w:szCs w:val="44"/>
        </w:rPr>
      </w:pPr>
      <w:r>
        <w:rPr>
          <w:rFonts w:hint="eastAsia" w:ascii="方正小标宋_GBK" w:hAnsi="方正小标宋_GBK" w:eastAsia="方正小标宋_GBK" w:cs="方正小标宋_GBK"/>
          <w:color w:val="0F1115"/>
          <w:kern w:val="0"/>
          <w:sz w:val="44"/>
          <w:szCs w:val="44"/>
        </w:rPr>
        <w:t>集中交易市场开办者动态风险因素量化</w:t>
      </w:r>
    </w:p>
    <w:p>
      <w:pPr>
        <w:topLinePunct/>
        <w:adjustRightInd w:val="0"/>
        <w:snapToGrid w:val="0"/>
        <w:spacing w:line="600" w:lineRule="exact"/>
        <w:jc w:val="center"/>
        <w:rPr>
          <w:rFonts w:hint="eastAsia" w:ascii="方正小标宋_GBK" w:hAnsi="方正小标宋_GBK" w:eastAsia="方正小标宋_GBK" w:cs="方正小标宋_GBK"/>
          <w:color w:val="0F1115"/>
          <w:kern w:val="0"/>
          <w:sz w:val="44"/>
          <w:szCs w:val="44"/>
        </w:rPr>
      </w:pPr>
      <w:r>
        <w:rPr>
          <w:rFonts w:hint="eastAsia" w:ascii="方正小标宋_GBK" w:hAnsi="方正小标宋_GBK" w:eastAsia="方正小标宋_GBK" w:cs="方正小标宋_GBK"/>
          <w:color w:val="0F1115"/>
          <w:kern w:val="0"/>
          <w:sz w:val="44"/>
          <w:szCs w:val="44"/>
        </w:rPr>
        <w:t>分值表</w:t>
      </w:r>
    </w:p>
    <w:p>
      <w:pPr>
        <w:topLinePunct/>
        <w:adjustRightInd w:val="0"/>
        <w:snapToGrid w:val="0"/>
        <w:spacing w:after="312" w:afterLines="100" w:line="600" w:lineRule="exact"/>
        <w:jc w:val="center"/>
        <w:rPr>
          <w:rFonts w:hint="eastAsia" w:ascii="方正楷体_GBK" w:hAnsi="方正楷体_GBK" w:eastAsia="方正楷体_GBK" w:cs="方正楷体_GBK"/>
          <w:color w:val="0F1115"/>
          <w:kern w:val="0"/>
          <w:sz w:val="32"/>
          <w:szCs w:val="32"/>
        </w:rPr>
      </w:pPr>
      <w:r>
        <w:rPr>
          <w:rFonts w:hint="eastAsia" w:ascii="方正楷体_GBK" w:hAnsi="方正楷体_GBK" w:eastAsia="方正楷体_GBK" w:cs="方正楷体_GBK"/>
          <w:color w:val="0F1115"/>
          <w:kern w:val="0"/>
          <w:sz w:val="32"/>
          <w:szCs w:val="32"/>
        </w:rPr>
        <w:t>（日常监督检查要点表）</w:t>
      </w:r>
    </w:p>
    <w:tbl>
      <w:tblPr>
        <w:tblStyle w:val="5"/>
        <w:tblW w:w="9071" w:type="dxa"/>
        <w:tblInd w:w="227"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87"/>
        <w:gridCol w:w="415"/>
        <w:gridCol w:w="838"/>
        <w:gridCol w:w="3759"/>
        <w:gridCol w:w="1241"/>
        <w:gridCol w:w="1229"/>
        <w:gridCol w:w="702"/>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302"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被评定人</w:t>
            </w:r>
          </w:p>
        </w:tc>
        <w:tc>
          <w:tcPr>
            <w:tcW w:w="4597"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24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评定时间</w:t>
            </w:r>
          </w:p>
        </w:tc>
        <w:tc>
          <w:tcPr>
            <w:tcW w:w="1931" w:type="dxa"/>
            <w:gridSpan w:val="2"/>
            <w:tcBorders>
              <w:tl2br w:val="nil"/>
              <w:tr2bl w:val="nil"/>
            </w:tcBorders>
            <w:noWrap w:val="0"/>
            <w:vAlign w:val="center"/>
          </w:tcPr>
          <w:p>
            <w:pPr>
              <w:tabs>
                <w:tab w:val="left" w:pos="1128"/>
                <w:tab w:val="left" w:pos="1634"/>
              </w:tabs>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202  年</w:t>
            </w:r>
            <w:r>
              <w:rPr>
                <w:rFonts w:hint="eastAsia" w:ascii="Times New Roman" w:hAnsi="Times New Roman" w:eastAsia="方正仿宋_GBK" w:cs="方正仿宋_GBK"/>
                <w:sz w:val="24"/>
                <w:szCs w:val="24"/>
              </w:rPr>
              <w:tab/>
            </w:r>
            <w:r>
              <w:rPr>
                <w:rFonts w:hint="eastAsia" w:ascii="Times New Roman" w:hAnsi="Times New Roman" w:eastAsia="方正仿宋_GBK" w:cs="方正仿宋_GBK"/>
                <w:sz w:val="24"/>
                <w:szCs w:val="24"/>
              </w:rPr>
              <w:t>月</w:t>
            </w:r>
            <w:r>
              <w:rPr>
                <w:rFonts w:hint="eastAsia" w:ascii="Times New Roman" w:hAnsi="Times New Roman" w:eastAsia="方正仿宋_GBK" w:cs="方正仿宋_GBK"/>
                <w:sz w:val="24"/>
                <w:szCs w:val="24"/>
              </w:rPr>
              <w:tab/>
            </w:r>
            <w:r>
              <w:rPr>
                <w:rFonts w:hint="eastAsia" w:ascii="Times New Roman" w:hAnsi="Times New Roman" w:eastAsia="方正仿宋_GBK" w:cs="方正仿宋_GBK"/>
                <w:sz w:val="24"/>
                <w:szCs w:val="24"/>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302"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检查项目</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序号</w:t>
            </w:r>
          </w:p>
        </w:tc>
        <w:tc>
          <w:tcPr>
            <w:tcW w:w="5000"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检查内容</w:t>
            </w:r>
          </w:p>
        </w:tc>
        <w:tc>
          <w:tcPr>
            <w:tcW w:w="122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检查结果</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分值</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9071" w:type="dxa"/>
            <w:gridSpan w:val="7"/>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集中交易市场通用检查项目（16项）</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302"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1.主体资格</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持有的营业执照等法定主体资格证明文件合法有效。</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302" w:type="dxa"/>
            <w:gridSpan w:val="2"/>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2.食品安全管理责任</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建立食品安全管理制度、食品安全事故处置方案。</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302" w:type="dxa"/>
            <w:gridSpan w:val="2"/>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★2.2</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明确规定主要负责人对本市场的食用农产品质量安全工作全面负责。</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302" w:type="dxa"/>
            <w:gridSpan w:val="2"/>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★2.3</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开展食品安全知识培训并有培训记录。</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302" w:type="dxa"/>
            <w:gridSpan w:val="2"/>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3.经营条件</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销售和贮存食用农产品的环境、设备设施等符合食用农产品质量安全的要求。</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302" w:type="dxa"/>
            <w:gridSpan w:val="2"/>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★3.2</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按照食用农产品类别实施分区销售</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302" w:type="dxa"/>
            <w:gridSpan w:val="2"/>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4.入场销售者准入管理</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建立并依法更新入场食用农产品销售者档案，查验并留存入场销售者的</w:t>
            </w:r>
            <w:r>
              <w:rPr>
                <w:rFonts w:hint="eastAsia" w:ascii="Times New Roman" w:hAnsi="Times New Roman" w:eastAsia="方正仿宋_GBK" w:cs="方正仿宋_GBK"/>
                <w:sz w:val="24"/>
                <w:szCs w:val="24"/>
                <w:lang w:eastAsia="zh-CN"/>
              </w:rPr>
              <w:t>统一</w:t>
            </w:r>
            <w:r>
              <w:rPr>
                <w:rFonts w:hint="eastAsia" w:ascii="Times New Roman" w:hAnsi="Times New Roman" w:eastAsia="方正仿宋_GBK" w:cs="方正仿宋_GBK"/>
                <w:sz w:val="24"/>
                <w:szCs w:val="24"/>
              </w:rPr>
              <w:t>社会信用代码或者身份证复印件，如实记录入场销售者名称或姓名、</w:t>
            </w:r>
            <w:r>
              <w:rPr>
                <w:rFonts w:hint="eastAsia" w:ascii="Times New Roman" w:hAnsi="Times New Roman" w:eastAsia="方正仿宋_GBK" w:cs="方正仿宋_GBK"/>
                <w:sz w:val="24"/>
                <w:szCs w:val="24"/>
                <w:lang w:eastAsia="zh-CN"/>
              </w:rPr>
              <w:t>统一</w:t>
            </w:r>
            <w:r>
              <w:rPr>
                <w:rFonts w:hint="eastAsia" w:ascii="Times New Roman" w:hAnsi="Times New Roman" w:eastAsia="方正仿宋_GBK" w:cs="方正仿宋_GBK"/>
                <w:sz w:val="24"/>
                <w:szCs w:val="24"/>
              </w:rPr>
              <w:t>社会信用代码或者身份证号码、联系方式、住址、食用农产品主要品种、进货渠道、产地等信息，且入场销售者档案保存期限符合法定要求。</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302" w:type="dxa"/>
            <w:gridSpan w:val="2"/>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★4.2</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如实向所在地市场监管部门报告市场名称、住所、类型、法定代表人或者负责人姓名、食用农产品安全管理制度、食用农产品主要种类、摊位数量等信息。</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5.食用农产品准入管理</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查验并留存入场销售的食用农产品产地证明或者购货凭证、合格证明文件。</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★5.2</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对无法提供产地证明或者购物凭证、合格证明文件的，进行快速检测或抽样检验，不准检测不合格的食用农产品进入集中交易市场销售。</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6.食用农产品质量检测</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设立快速检测中心（室）或委托第三方检测机构开展日常检测，并有检测记录。</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7.日常检查与不合格食用农产品、食品处置报告</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建立食用农产品检查制度，定期检查销售者的经营环境和条件及其销售的食用农产品。</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★7.2</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发现入场销售者存在违法行为的，及时制止并立即报告当地县级市场监管部门。依照集中交易市场管理规定或者与入场销售者签订的协议进行后处理，并记录存档。</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8.信息公示</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★8.1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在市场醒目位置及时公布食品安全管理制度、食品安全管理人员、食用农产品检测结果以及不合格食用农产品处理结果、投诉举报电话等信息。</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9.签订食用农产品质量</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集中交易市场开办者与入场销售者签订食用农产品质量安全协议。</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安全协议</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情况</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9.2</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集中交易市场开办者不准未签订食用农产品质量安全责任协议的销售者进入批发市场进行销售。</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071" w:type="dxa"/>
            <w:gridSpan w:val="7"/>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批发市场开办者特有检查项目（5项）</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10.食用农产品质量检测</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批发市场开办者配备与市场规模及经营种类相适应的检验设备和检验人员，或者委托具有资质的食品检验机构，开展食用农产品抽样检验或者快速检测，并有检测记录。</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11.签订食用农产品质量安全协议</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情况</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★11.1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批发市场开办者与入场销售者签订食用农产品质量安全协议。</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★11.2</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批发市场开办者不准未签订食用农产品质量安全责任协议的销售者进入批发市场进行销售。</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12.食用农产品销售凭证</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批发市场开办者印制统一格式的销售凭证。</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302"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13.实地考察</w:t>
            </w:r>
          </w:p>
        </w:tc>
        <w:tc>
          <w:tcPr>
            <w:tcW w:w="83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★13.1</w:t>
            </w:r>
          </w:p>
        </w:tc>
        <w:tc>
          <w:tcPr>
            <w:tcW w:w="5000" w:type="dxa"/>
            <w:gridSpan w:val="2"/>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与屠宰厂（场）、食用农产品种植养殖基地签订协议的批发市场开办者对屠宰厂（场）和食用农产品种植养殖基地进行实地考察，了解食用农产品生产过程以及相关信息，查验种植养殖基地食用农产品相关证明材料以及票据等。</w:t>
            </w:r>
          </w:p>
        </w:tc>
        <w:tc>
          <w:tcPr>
            <w:tcW w:w="1229"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702"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140" w:type="dxa"/>
            <w:gridSpan w:val="3"/>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动态风险总评分</w:t>
            </w:r>
          </w:p>
        </w:tc>
        <w:tc>
          <w:tcPr>
            <w:tcW w:w="6931" w:type="dxa"/>
            <w:gridSpan w:val="4"/>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506" w:hRule="atLeast"/>
        </w:trPr>
        <w:tc>
          <w:tcPr>
            <w:tcW w:w="9071" w:type="dxa"/>
            <w:gridSpan w:val="7"/>
            <w:tcBorders>
              <w:tl2br w:val="nil"/>
              <w:tr2bl w:val="nil"/>
            </w:tcBorders>
            <w:noWrap w:val="0"/>
            <w:vAlign w:val="top"/>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其他需要记录的问题</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87"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备注</w:t>
            </w:r>
          </w:p>
        </w:tc>
        <w:tc>
          <w:tcPr>
            <w:tcW w:w="8184" w:type="dxa"/>
            <w:gridSpan w:val="6"/>
            <w:tcBorders>
              <w:tl2br w:val="nil"/>
              <w:tr2bl w:val="nil"/>
            </w:tcBorders>
            <w:noWrap w:val="0"/>
            <w:vAlign w:val="center"/>
          </w:tcPr>
          <w:p>
            <w:pPr>
              <w:tabs>
                <w:tab w:val="left" w:pos="308"/>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1.</w:t>
            </w:r>
            <w:r>
              <w:rPr>
                <w:rFonts w:hint="eastAsia" w:ascii="Times New Roman" w:hAnsi="Times New Roman" w:eastAsia="方正仿宋_GBK" w:cs="方正仿宋_GBK"/>
                <w:sz w:val="24"/>
                <w:szCs w:val="24"/>
              </w:rPr>
              <w:t>集中交易市场开办者是指依法设立、为食用农产品（食品）交易提供平台、场地、设施、服务以及日常管理的企业法人或者其他组织。</w:t>
            </w:r>
          </w:p>
          <w:p>
            <w:pPr>
              <w:tabs>
                <w:tab w:val="left" w:pos="308"/>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2.</w:t>
            </w:r>
            <w:r>
              <w:rPr>
                <w:rFonts w:hint="eastAsia" w:ascii="Times New Roman" w:hAnsi="Times New Roman" w:eastAsia="方正仿宋_GBK" w:cs="方正仿宋_GBK"/>
                <w:sz w:val="24"/>
                <w:szCs w:val="24"/>
              </w:rPr>
              <w:t>集中交易市场是指由集中交易市场开办者经营管理、多个场内经营者集中进行现货食用农产品（食品）交易的固定场所。</w:t>
            </w:r>
          </w:p>
          <w:p>
            <w:pPr>
              <w:tabs>
                <w:tab w:val="left" w:pos="308"/>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3.</w:t>
            </w:r>
            <w:r>
              <w:rPr>
                <w:rFonts w:hint="eastAsia" w:ascii="Times New Roman" w:hAnsi="Times New Roman" w:eastAsia="方正仿宋_GBK" w:cs="方正仿宋_GBK"/>
                <w:sz w:val="24"/>
                <w:szCs w:val="24"/>
              </w:rPr>
              <w:t>属于一家市场开办者开办多个市场的情形的，将具体市场作为实施风险分级的工作对象。</w:t>
            </w:r>
          </w:p>
          <w:p>
            <w:pPr>
              <w:tabs>
                <w:tab w:val="left" w:pos="308"/>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4.</w:t>
            </w:r>
            <w:r>
              <w:rPr>
                <w:rFonts w:hint="eastAsia" w:ascii="Times New Roman" w:hAnsi="Times New Roman" w:eastAsia="方正仿宋_GBK" w:cs="方正仿宋_GBK"/>
                <w:sz w:val="24"/>
                <w:szCs w:val="24"/>
              </w:rPr>
              <w:t>各评分总和为50分，选择“否”，得分，选择“是”或者“合理缺项”，不得分。</w:t>
            </w:r>
          </w:p>
          <w:p>
            <w:pPr>
              <w:tabs>
                <w:tab w:val="left" w:pos="308"/>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5.</w:t>
            </w:r>
            <w:r>
              <w:rPr>
                <w:rFonts w:hint="eastAsia" w:ascii="Times New Roman" w:hAnsi="Times New Roman" w:eastAsia="方正仿宋_GBK" w:cs="方正仿宋_GBK"/>
                <w:sz w:val="24"/>
                <w:szCs w:val="24"/>
              </w:rPr>
              <w:t>日常监督检查内容中，检查序号打★号的是重点项，其他是一般项。</w:t>
            </w:r>
          </w:p>
          <w:p>
            <w:pPr>
              <w:tabs>
                <w:tab w:val="left" w:pos="308"/>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6.</w:t>
            </w:r>
            <w:r>
              <w:rPr>
                <w:rFonts w:hint="eastAsia" w:ascii="Times New Roman" w:hAnsi="Times New Roman" w:eastAsia="方正仿宋_GBK" w:cs="方正仿宋_GBK"/>
                <w:sz w:val="24"/>
                <w:szCs w:val="24"/>
              </w:rPr>
              <w:t>检查结果判定方法：①是：检查中未发现问题；②合理缺项：该被评定人当前合理不列入该检查项目；③否：检查项目中有多个要求的，其中任何一条未达成，即可判定该项整体未达成。</w:t>
            </w:r>
          </w:p>
        </w:tc>
      </w:tr>
    </w:tbl>
    <w:p>
      <w:pPr>
        <w:adjustRightInd w:val="0"/>
        <w:snapToGrid w:val="0"/>
        <w:jc w:val="left"/>
        <w:rPr>
          <w:rFonts w:ascii="Times New Roman" w:hAnsi="Times New Roman" w:eastAsia="方正仿宋_GBK" w:cs="方正仿宋_GBK"/>
          <w:color w:val="0F1115"/>
          <w:kern w:val="0"/>
          <w:sz w:val="28"/>
          <w:szCs w:val="28"/>
        </w:rPr>
      </w:pPr>
    </w:p>
    <w:p>
      <w:pPr>
        <w:adjustRightInd w:val="0"/>
        <w:snapToGrid w:val="0"/>
        <w:ind w:firstLine="560" w:firstLineChars="200"/>
        <w:jc w:val="left"/>
        <w:rPr>
          <w:rFonts w:ascii="Times New Roman" w:hAnsi="Times New Roman" w:eastAsia="方正仿宋_GBK" w:cs="方正仿宋_GBK"/>
          <w:color w:val="0F1115"/>
          <w:kern w:val="0"/>
          <w:sz w:val="28"/>
          <w:szCs w:val="28"/>
        </w:rPr>
      </w:pPr>
      <w:r>
        <w:rPr>
          <w:rFonts w:hint="eastAsia" w:ascii="Times New Roman" w:hAnsi="Times New Roman" w:eastAsia="方正仿宋_GBK" w:cs="方正仿宋_GBK"/>
          <w:color w:val="0F1115"/>
          <w:kern w:val="0"/>
          <w:sz w:val="28"/>
          <w:szCs w:val="28"/>
        </w:rPr>
        <w:t>总分：50分</w:t>
      </w:r>
    </w:p>
    <w:p>
      <w:pPr>
        <w:adjustRightInd w:val="0"/>
        <w:snapToGrid w:val="0"/>
        <w:ind w:firstLine="560" w:firstLineChars="200"/>
        <w:jc w:val="left"/>
        <w:rPr>
          <w:rFonts w:hint="eastAsia" w:ascii="Times New Roman" w:hAnsi="Times New Roman" w:eastAsia="方正仿宋_GBK" w:cs="方正仿宋_GBK"/>
          <w:color w:val="0F1115"/>
          <w:kern w:val="0"/>
          <w:sz w:val="28"/>
          <w:szCs w:val="28"/>
        </w:rPr>
      </w:pPr>
    </w:p>
    <w:p>
      <w:pPr>
        <w:adjustRightInd w:val="0"/>
        <w:snapToGrid w:val="0"/>
        <w:ind w:firstLine="560" w:firstLineChars="200"/>
        <w:jc w:val="left"/>
        <w:rPr>
          <w:rFonts w:ascii="Times New Roman" w:hAnsi="Times New Roman" w:eastAsia="方正仿宋_GBK" w:cs="方正仿宋_GBK"/>
          <w:color w:val="0F1115"/>
          <w:kern w:val="0"/>
          <w:sz w:val="28"/>
          <w:szCs w:val="28"/>
        </w:rPr>
      </w:pPr>
      <w:r>
        <w:rPr>
          <w:rFonts w:hint="eastAsia" w:ascii="Times New Roman" w:hAnsi="Times New Roman" w:eastAsia="方正仿宋_GBK" w:cs="方正仿宋_GBK"/>
          <w:color w:val="0F1115"/>
          <w:kern w:val="0"/>
          <w:sz w:val="28"/>
          <w:szCs w:val="28"/>
        </w:rPr>
        <w:t>评定人：                             被评定人负责人：</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auto"/>
    <w:pitch w:val="default"/>
    <w:sig w:usb0="00000000" w:usb1="00000000" w:usb2="00000000"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FFAA04"/>
    <w:rsid w:val="4FFFAA04"/>
    <w:rsid w:val="62F36B0E"/>
    <w:rsid w:val="F7BF56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9"/>
    <w:pPr>
      <w:keepNext/>
      <w:keepLines/>
      <w:spacing w:before="160" w:after="80"/>
      <w:outlineLvl w:val="1"/>
    </w:pPr>
    <w:rPr>
      <w:rFonts w:ascii="Calibri Light" w:hAnsi="Calibri Light" w:eastAsia="宋体" w:cs="Times New Roman"/>
      <w:color w:val="2E75B5"/>
      <w:sz w:val="40"/>
      <w:szCs w:val="40"/>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table" w:customStyle="1" w:styleId="5">
    <w:name w:val="Table Normal"/>
    <w:unhideWhenUsed/>
    <w:qFormat/>
    <w:uiPriority w:val="2"/>
    <w:tblPr>
      <w:tblStyle w:val="3"/>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2026-08-15T01:07:00Z</dcterms:created>
  <dc:creator>kylin</dc:creator>
  <cp:lastModifiedBy>kylin</cp:lastModifiedBy>
  <dcterms:modified xsi:type="dcterms:W3CDTF">2026-08-14T09:14:26Z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EBEECDC03DA184DAF26B7E6A0896040D</vt:lpwstr>
  </property>
</Properties>
</file>