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D6E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A1FA0B9">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4A8D8F9">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729D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A675D5A">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1F686D0F">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784FA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9013F45">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14:paraId="35F53F45">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386CA3D9">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36BFDAC4">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7FE21E12">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AB6BBA3">
      <w:pPr>
        <w:pStyle w:val="50"/>
        <w:framePr w:w="9639" w:h="6976" w:hRule="exact" w:hSpace="0" w:vSpace="0" w:wrap="around" w:hAnchor="page" w:y="6408"/>
        <w:jc w:val="center"/>
        <w:rPr>
          <w:rFonts w:ascii="黑体" w:hAnsi="黑体" w:eastAsia="黑体"/>
          <w:b w:val="0"/>
          <w:bCs w:val="0"/>
          <w:w w:val="100"/>
        </w:rPr>
      </w:pPr>
    </w:p>
    <w:p w14:paraId="423831C6">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湘派骨伤手法治疗桡骨远端骨折复位固定技术规范</w:t>
      </w:r>
      <w:r>
        <w:fldChar w:fldCharType="end"/>
      </w:r>
      <w:bookmarkEnd w:id="9"/>
    </w:p>
    <w:p w14:paraId="3162A814">
      <w:pPr>
        <w:framePr w:w="9639" w:h="6974" w:hRule="exact" w:wrap="around" w:vAnchor="page" w:hAnchor="page" w:x="1419" w:y="6408" w:anchorLock="1"/>
        <w:ind w:left="-1418"/>
      </w:pPr>
    </w:p>
    <w:p w14:paraId="1E0C5FEC">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 xml:space="preserve">Technical </w:t>
      </w:r>
      <w:r>
        <w:rPr>
          <w:rFonts w:hint="eastAsia" w:ascii="黑体" w:hAnsi="黑体" w:eastAsia="黑体"/>
          <w:szCs w:val="28"/>
        </w:rPr>
        <w:t>s</w:t>
      </w:r>
      <w:r>
        <w:rPr>
          <w:rFonts w:ascii="黑体" w:hAnsi="黑体" w:eastAsia="黑体"/>
          <w:szCs w:val="28"/>
        </w:rPr>
        <w:t xml:space="preserve">pecification for </w:t>
      </w:r>
      <w:r>
        <w:rPr>
          <w:rFonts w:hint="eastAsia" w:ascii="黑体" w:hAnsi="黑体" w:eastAsia="黑体"/>
          <w:szCs w:val="28"/>
        </w:rPr>
        <w:t>r</w:t>
      </w:r>
      <w:r>
        <w:rPr>
          <w:rFonts w:ascii="黑体" w:hAnsi="黑体" w:eastAsia="黑体"/>
          <w:szCs w:val="28"/>
        </w:rPr>
        <w:t xml:space="preserve">eduction and </w:t>
      </w:r>
      <w:r>
        <w:rPr>
          <w:rFonts w:hint="eastAsia" w:ascii="黑体" w:hAnsi="黑体" w:eastAsia="黑体"/>
          <w:szCs w:val="28"/>
        </w:rPr>
        <w:t>f</w:t>
      </w:r>
      <w:r>
        <w:rPr>
          <w:rFonts w:ascii="黑体" w:hAnsi="黑体" w:eastAsia="黑体"/>
          <w:szCs w:val="28"/>
        </w:rPr>
        <w:t xml:space="preserve">ixation of </w:t>
      </w:r>
      <w:r>
        <w:rPr>
          <w:rFonts w:hint="eastAsia" w:ascii="黑体" w:hAnsi="黑体" w:eastAsia="黑体"/>
          <w:szCs w:val="28"/>
        </w:rPr>
        <w:t>d</w:t>
      </w:r>
      <w:r>
        <w:rPr>
          <w:rFonts w:ascii="黑体" w:hAnsi="黑体" w:eastAsia="黑体"/>
          <w:szCs w:val="28"/>
        </w:rPr>
        <w:t xml:space="preserve">istal </w:t>
      </w:r>
      <w:r>
        <w:rPr>
          <w:rFonts w:hint="eastAsia" w:ascii="黑体" w:hAnsi="黑体" w:eastAsia="黑体"/>
          <w:szCs w:val="28"/>
        </w:rPr>
        <w:t>r</w:t>
      </w:r>
      <w:r>
        <w:rPr>
          <w:rFonts w:ascii="黑体" w:hAnsi="黑体" w:eastAsia="黑体"/>
          <w:szCs w:val="28"/>
        </w:rPr>
        <w:t xml:space="preserve">adius </w:t>
      </w:r>
      <w:r>
        <w:rPr>
          <w:rFonts w:hint="eastAsia" w:ascii="黑体" w:hAnsi="黑体" w:eastAsia="黑体"/>
          <w:szCs w:val="28"/>
        </w:rPr>
        <w:t>f</w:t>
      </w:r>
      <w:r>
        <w:rPr>
          <w:rFonts w:ascii="黑体" w:hAnsi="黑体" w:eastAsia="黑体"/>
          <w:szCs w:val="28"/>
        </w:rPr>
        <w:t xml:space="preserve">ractures </w:t>
      </w:r>
      <w:r>
        <w:rPr>
          <w:rFonts w:hint="eastAsia" w:ascii="黑体" w:hAnsi="黑体" w:eastAsia="黑体"/>
          <w:szCs w:val="28"/>
        </w:rPr>
        <w:t>u</w:t>
      </w:r>
      <w:r>
        <w:rPr>
          <w:rFonts w:ascii="黑体" w:hAnsi="黑体" w:eastAsia="黑体"/>
          <w:szCs w:val="28"/>
        </w:rPr>
        <w:t xml:space="preserve">sing Xiang-Style </w:t>
      </w:r>
      <w:r>
        <w:rPr>
          <w:rFonts w:hint="eastAsia" w:ascii="黑体" w:hAnsi="黑体" w:eastAsia="黑体"/>
          <w:szCs w:val="28"/>
        </w:rPr>
        <w:t>b</w:t>
      </w:r>
      <w:r>
        <w:rPr>
          <w:rFonts w:ascii="黑体" w:hAnsi="黑体" w:eastAsia="黑体"/>
          <w:szCs w:val="28"/>
        </w:rPr>
        <w:t xml:space="preserve">one </w:t>
      </w:r>
      <w:r>
        <w:rPr>
          <w:rFonts w:hint="eastAsia" w:ascii="黑体" w:hAnsi="黑体" w:eastAsia="黑体"/>
          <w:szCs w:val="28"/>
        </w:rPr>
        <w:t>s</w:t>
      </w:r>
      <w:r>
        <w:rPr>
          <w:rFonts w:ascii="黑体" w:hAnsi="黑体" w:eastAsia="黑体"/>
          <w:szCs w:val="28"/>
        </w:rPr>
        <w:t xml:space="preserve">etting </w:t>
      </w:r>
      <w:r>
        <w:rPr>
          <w:rFonts w:hint="eastAsia" w:ascii="黑体" w:hAnsi="黑体" w:eastAsia="黑体"/>
          <w:szCs w:val="28"/>
        </w:rPr>
        <w:t>m</w:t>
      </w:r>
      <w:r>
        <w:rPr>
          <w:rFonts w:ascii="黑体" w:hAnsi="黑体" w:eastAsia="黑体"/>
          <w:szCs w:val="28"/>
        </w:rPr>
        <w:t>anipulation</w:t>
      </w:r>
      <w:r>
        <w:rPr>
          <w:rFonts w:ascii="黑体" w:hAnsi="黑体" w:eastAsia="黑体"/>
          <w:szCs w:val="28"/>
        </w:rPr>
        <w:fldChar w:fldCharType="end"/>
      </w:r>
      <w:bookmarkEnd w:id="10"/>
    </w:p>
    <w:p w14:paraId="30293374">
      <w:pPr>
        <w:framePr w:w="9639" w:h="6974" w:hRule="exact" w:wrap="around" w:vAnchor="page" w:hAnchor="page" w:x="1419" w:y="6408" w:anchorLock="1"/>
        <w:spacing w:line="760" w:lineRule="exact"/>
        <w:ind w:left="-1418"/>
      </w:pPr>
    </w:p>
    <w:p w14:paraId="31E3FA4A">
      <w:pPr>
        <w:pStyle w:val="125"/>
        <w:framePr w:w="9639" w:h="6974" w:hRule="exact" w:wrap="around" w:vAnchor="page" w:hAnchor="page" w:x="1419" w:y="6408" w:anchorLock="1"/>
        <w:textAlignment w:val="bottom"/>
        <w:rPr>
          <w:rFonts w:eastAsia="黑体"/>
          <w:szCs w:val="28"/>
        </w:rPr>
      </w:pPr>
    </w:p>
    <w:p w14:paraId="00A9F2DB">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3EE74FEE">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rFonts w:hint="eastAsia"/>
          <w:sz w:val="21"/>
          <w:szCs w:val="28"/>
        </w:rPr>
        <w:t>（本草案完成时间：2026年10月</w:t>
      </w:r>
      <w:r>
        <w:rPr>
          <w:rFonts w:hint="eastAsia"/>
          <w:sz w:val="21"/>
          <w:szCs w:val="28"/>
          <w:lang w:val="en-US" w:eastAsia="zh-CN"/>
        </w:rPr>
        <w:t>30</w:t>
      </w:r>
      <w:r>
        <w:rPr>
          <w:rFonts w:hint="eastAsia"/>
          <w:sz w:val="21"/>
          <w:szCs w:val="28"/>
        </w:rPr>
        <w:t>日）</w:t>
      </w:r>
      <w:r>
        <w:rPr>
          <w:sz w:val="21"/>
          <w:szCs w:val="28"/>
        </w:rPr>
        <w:fldChar w:fldCharType="end"/>
      </w:r>
      <w:bookmarkEnd w:id="12"/>
    </w:p>
    <w:p w14:paraId="43D2FDBF">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78CCEBC">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10632389">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29EC13C8">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w:t>
      </w:r>
      <w:r>
        <w:rPr>
          <w:rFonts w:hAnsi="黑体"/>
          <w:w w:val="100"/>
          <w:sz w:val="28"/>
        </w:rPr>
        <w:t>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71504AD4">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48D9A18">
      <w:pPr>
        <w:pStyle w:val="91"/>
        <w:spacing w:after="468"/>
        <w:rPr>
          <w:rFonts w:hint="eastAsia"/>
        </w:rPr>
      </w:pPr>
      <w:bookmarkStart w:id="21" w:name="BookMark1"/>
      <w:bookmarkStart w:id="22" w:name="_Toc242820271"/>
      <w:bookmarkStart w:id="23" w:name="_Toc240020534"/>
      <w:bookmarkStart w:id="24" w:name="_Toc240020779"/>
      <w:bookmarkStart w:id="25" w:name="_Toc242820311"/>
      <w:r>
        <w:rPr>
          <w:rFonts w:hint="eastAsia"/>
          <w:spacing w:val="320"/>
        </w:rPr>
        <w:t>目</w:t>
      </w:r>
      <w:r>
        <w:rPr>
          <w:rFonts w:hint="eastAsia"/>
        </w:rPr>
        <w:t>次</w:t>
      </w:r>
    </w:p>
    <w:p w14:paraId="38EBCE36">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"标准文件_一级条标题,2,标准文件_二级条标题,3,标准文件_附录一级条标题,2,标准文件_附录二级条标题,3," </w:instrText>
      </w:r>
      <w:r>
        <w:fldChar w:fldCharType="separate"/>
      </w:r>
      <w:r>
        <w:fldChar w:fldCharType="begin"/>
      </w:r>
      <w:r>
        <w:instrText xml:space="preserve"> HYPERLINK \l "_Toc242823324" </w:instrText>
      </w:r>
      <w:r>
        <w:fldChar w:fldCharType="separate"/>
      </w:r>
      <w:r>
        <w:rPr>
          <w:rStyle w:val="32"/>
          <w:rFonts w:hint="eastAsia"/>
        </w:rPr>
        <w:t>前言</w:t>
      </w:r>
      <w:r>
        <w:tab/>
      </w:r>
      <w:r>
        <w:fldChar w:fldCharType="begin"/>
      </w:r>
      <w:r>
        <w:instrText xml:space="preserve"> PAGEREF _Toc242823324 \h </w:instrText>
      </w:r>
      <w:r>
        <w:fldChar w:fldCharType="separate"/>
      </w:r>
      <w:r>
        <w:t>III</w:t>
      </w:r>
      <w:r>
        <w:fldChar w:fldCharType="end"/>
      </w:r>
      <w:r>
        <w:fldChar w:fldCharType="end"/>
      </w:r>
    </w:p>
    <w:p w14:paraId="1ECB042F">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"_Toc242823325" </w:instrText>
      </w:r>
      <w:r>
        <w:fldChar w:fldCharType="separate"/>
      </w:r>
      <w:r>
        <w:rPr>
          <w:rStyle w:val="32"/>
        </w:rPr>
        <w:t xml:space="preserve">1 </w:t>
      </w:r>
      <w:r>
        <w:rPr>
          <w:rStyle w:val="32"/>
          <w:rFonts w:hint="eastAsia"/>
        </w:rPr>
        <w:t xml:space="preserve"> 范围</w:t>
      </w:r>
      <w:r>
        <w:tab/>
      </w:r>
      <w:r>
        <w:fldChar w:fldCharType="begin"/>
      </w:r>
      <w:r>
        <w:instrText xml:space="preserve"> PAGEREF _Toc242823325 \h </w:instrText>
      </w:r>
      <w:r>
        <w:fldChar w:fldCharType="separate"/>
      </w:r>
      <w:r>
        <w:t>1</w:t>
      </w:r>
      <w:r>
        <w:fldChar w:fldCharType="end"/>
      </w:r>
      <w:r>
        <w:fldChar w:fldCharType="end"/>
      </w:r>
    </w:p>
    <w:p w14:paraId="111808F5">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"_Toc242823326" </w:instrText>
      </w:r>
      <w:r>
        <w:fldChar w:fldCharType="separate"/>
      </w:r>
      <w:r>
        <w:rPr>
          <w:rStyle w:val="32"/>
        </w:rPr>
        <w:t xml:space="preserve">2 </w:t>
      </w:r>
      <w:r>
        <w:rPr>
          <w:rStyle w:val="32"/>
          <w:rFonts w:hint="eastAsia"/>
        </w:rPr>
        <w:t xml:space="preserve"> 规范性引用文件</w:t>
      </w:r>
      <w:r>
        <w:tab/>
      </w:r>
      <w:r>
        <w:fldChar w:fldCharType="begin"/>
      </w:r>
      <w:r>
        <w:instrText xml:space="preserve"> PAGEREF _Toc242823326 \h </w:instrText>
      </w:r>
      <w:r>
        <w:fldChar w:fldCharType="separate"/>
      </w:r>
      <w:r>
        <w:t>1</w:t>
      </w:r>
      <w:r>
        <w:fldChar w:fldCharType="end"/>
      </w:r>
      <w:r>
        <w:fldChar w:fldCharType="end"/>
      </w:r>
    </w:p>
    <w:p w14:paraId="7B6F9D7F">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"_Toc242823327" </w:instrText>
      </w:r>
      <w:r>
        <w:fldChar w:fldCharType="separate"/>
      </w:r>
      <w:r>
        <w:rPr>
          <w:rStyle w:val="32"/>
        </w:rPr>
        <w:t xml:space="preserve">3 </w:t>
      </w:r>
      <w:r>
        <w:rPr>
          <w:rStyle w:val="32"/>
          <w:rFonts w:hint="eastAsia"/>
        </w:rPr>
        <w:t xml:space="preserve"> 术语和定义</w:t>
      </w:r>
      <w:r>
        <w:tab/>
      </w:r>
      <w:r>
        <w:fldChar w:fldCharType="begin"/>
      </w:r>
      <w:r>
        <w:instrText xml:space="preserve"> PAGEREF _Toc242823327 \h </w:instrText>
      </w:r>
      <w:r>
        <w:fldChar w:fldCharType="separate"/>
      </w:r>
      <w:r>
        <w:t>1</w:t>
      </w:r>
      <w:r>
        <w:fldChar w:fldCharType="end"/>
      </w:r>
      <w:r>
        <w:fldChar w:fldCharType="end"/>
      </w:r>
    </w:p>
    <w:p w14:paraId="09B59C83">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"_Toc242823328" </w:instrText>
      </w:r>
      <w:r>
        <w:fldChar w:fldCharType="separate"/>
      </w:r>
      <w:r>
        <w:rPr>
          <w:rStyle w:val="32"/>
        </w:rPr>
        <w:t xml:space="preserve">4 </w:t>
      </w:r>
      <w:r>
        <w:rPr>
          <w:rStyle w:val="32"/>
          <w:rFonts w:hint="eastAsia"/>
        </w:rPr>
        <w:t xml:space="preserve"> 诊断依据与分型</w:t>
      </w:r>
      <w:r>
        <w:tab/>
      </w:r>
      <w:r>
        <w:fldChar w:fldCharType="begin"/>
      </w:r>
      <w:r>
        <w:instrText xml:space="preserve"> PAGEREF _Toc242823328 \h </w:instrText>
      </w:r>
      <w:r>
        <w:fldChar w:fldCharType="separate"/>
      </w:r>
      <w:r>
        <w:t>1</w:t>
      </w:r>
      <w:r>
        <w:fldChar w:fldCharType="end"/>
      </w:r>
      <w:r>
        <w:fldChar w:fldCharType="end"/>
      </w:r>
    </w:p>
    <w:p w14:paraId="140E84DA">
      <w:pPr>
        <w:pStyle w:val="24"/>
        <w:tabs>
          <w:tab w:val="left" w:pos="839"/>
        </w:tabs>
        <w:rPr>
          <w:rFonts w:asciiTheme="minorHAnsi" w:hAnsiTheme="minorHAnsi" w:eastAsiaTheme="minorEastAsia" w:cstheme="minorBidi"/>
          <w:szCs w:val="22"/>
        </w:rPr>
      </w:pPr>
      <w:r>
        <w:fldChar w:fldCharType="begin"/>
      </w:r>
      <w:r>
        <w:instrText xml:space="preserve"> HYPERLINK \l "_Toc242823329" </w:instrText>
      </w:r>
      <w:r>
        <w:fldChar w:fldCharType="separate"/>
      </w:r>
      <w:r>
        <w:rPr>
          <w:rStyle w:val="32"/>
        </w:rPr>
        <w:t>4.1</w:t>
      </w:r>
      <w:r>
        <w:rPr>
          <w:rFonts w:asciiTheme="minorHAnsi" w:hAnsiTheme="minorHAnsi" w:eastAsiaTheme="minorEastAsia" w:cstheme="minorBidi"/>
          <w:szCs w:val="22"/>
        </w:rPr>
        <w:tab/>
      </w:r>
      <w:r>
        <w:rPr>
          <w:rStyle w:val="32"/>
          <w:rFonts w:hint="eastAsia"/>
          <w14:scene3d>
            <w14:lightRig w14:rig="threePt" w14:dir="t">
              <w14:rot w14:lat="0" w14:lon="0" w14:rev="0"/>
            </w14:lightRig>
          </w14:scene3d>
        </w:rPr>
        <w:t>诊断依据</w:t>
      </w:r>
      <w:r>
        <w:tab/>
      </w:r>
      <w:r>
        <w:fldChar w:fldCharType="begin"/>
      </w:r>
      <w:r>
        <w:instrText xml:space="preserve"> PAGEREF _Toc242823329 \h </w:instrText>
      </w:r>
      <w:r>
        <w:fldChar w:fldCharType="separate"/>
      </w:r>
      <w:r>
        <w:t>1</w:t>
      </w:r>
      <w:r>
        <w:fldChar w:fldCharType="end"/>
      </w:r>
      <w:r>
        <w:fldChar w:fldCharType="end"/>
      </w:r>
    </w:p>
    <w:p w14:paraId="38B6942E">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"_Toc242823330" </w:instrText>
      </w:r>
      <w:r>
        <w:fldChar w:fldCharType="separate"/>
      </w:r>
      <w:r>
        <w:rPr>
          <w:rStyle w:val="32"/>
        </w:rPr>
        <w:t xml:space="preserve">4.1.1 </w:t>
      </w:r>
      <w:r>
        <w:rPr>
          <w:rStyle w:val="32"/>
          <w:rFonts w:hint="eastAsia"/>
        </w:rPr>
        <w:t xml:space="preserve"> 病史</w:t>
      </w:r>
      <w:r>
        <w:tab/>
      </w:r>
      <w:r>
        <w:fldChar w:fldCharType="begin"/>
      </w:r>
      <w:r>
        <w:instrText xml:space="preserve"> PAGEREF _Toc242823330 \h </w:instrText>
      </w:r>
      <w:r>
        <w:fldChar w:fldCharType="separate"/>
      </w:r>
      <w:r>
        <w:t>1</w:t>
      </w:r>
      <w:r>
        <w:fldChar w:fldCharType="end"/>
      </w:r>
      <w:r>
        <w:fldChar w:fldCharType="end"/>
      </w:r>
    </w:p>
    <w:p w14:paraId="25936DB2">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"_Toc242823331" </w:instrText>
      </w:r>
      <w:r>
        <w:fldChar w:fldCharType="separate"/>
      </w:r>
      <w:r>
        <w:rPr>
          <w:rStyle w:val="32"/>
        </w:rPr>
        <w:t xml:space="preserve">4.1.2 </w:t>
      </w:r>
      <w:r>
        <w:rPr>
          <w:rStyle w:val="32"/>
          <w:rFonts w:hint="eastAsia"/>
        </w:rPr>
        <w:t xml:space="preserve"> 症状体征</w:t>
      </w:r>
      <w:r>
        <w:tab/>
      </w:r>
      <w:r>
        <w:fldChar w:fldCharType="begin"/>
      </w:r>
      <w:r>
        <w:instrText xml:space="preserve"> PAGEREF _Toc242823331 \h </w:instrText>
      </w:r>
      <w:r>
        <w:fldChar w:fldCharType="separate"/>
      </w:r>
      <w:r>
        <w:t>1</w:t>
      </w:r>
      <w:r>
        <w:fldChar w:fldCharType="end"/>
      </w:r>
      <w:r>
        <w:fldChar w:fldCharType="end"/>
      </w:r>
    </w:p>
    <w:p w14:paraId="348FEF51">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"_Toc242823332" </w:instrText>
      </w:r>
      <w:r>
        <w:fldChar w:fldCharType="separate"/>
      </w:r>
      <w:r>
        <w:rPr>
          <w:rStyle w:val="32"/>
        </w:rPr>
        <w:t xml:space="preserve">4.1.3 </w:t>
      </w:r>
      <w:r>
        <w:rPr>
          <w:rStyle w:val="32"/>
          <w:rFonts w:hint="eastAsia"/>
        </w:rPr>
        <w:t xml:space="preserve"> 影像学检查</w:t>
      </w:r>
      <w:r>
        <w:tab/>
      </w:r>
      <w:r>
        <w:fldChar w:fldCharType="begin"/>
      </w:r>
      <w:r>
        <w:instrText xml:space="preserve"> PAGEREF _Toc242823332 \h </w:instrText>
      </w:r>
      <w:r>
        <w:fldChar w:fldCharType="separate"/>
      </w:r>
      <w:r>
        <w:t>1</w:t>
      </w:r>
      <w:r>
        <w:fldChar w:fldCharType="end"/>
      </w:r>
      <w:r>
        <w:fldChar w:fldCharType="end"/>
      </w:r>
    </w:p>
    <w:p w14:paraId="34893D18">
      <w:pPr>
        <w:pStyle w:val="24"/>
        <w:rPr>
          <w:rFonts w:asciiTheme="minorHAnsi" w:hAnsiTheme="minorHAnsi" w:eastAsiaTheme="minorEastAsia" w:cstheme="minorBidi"/>
          <w:szCs w:val="22"/>
        </w:rPr>
      </w:pPr>
      <w:r>
        <w:fldChar w:fldCharType="begin"/>
      </w:r>
      <w:r>
        <w:instrText xml:space="preserve"> HYPERLINK \l "_Toc242823333" </w:instrText>
      </w:r>
      <w:r>
        <w:fldChar w:fldCharType="separate"/>
      </w:r>
      <w:r>
        <w:rPr>
          <w:rStyle w:val="32"/>
          <w14:scene3d>
            <w14:lightRig w14:rig="threePt" w14:dir="t">
              <w14:rot w14:lat="0" w14:lon="0" w14:rev="0"/>
            </w14:lightRig>
          </w14:scene3d>
        </w:rPr>
        <w:t xml:space="preserve">4.2 </w:t>
      </w:r>
      <w:r>
        <w:rPr>
          <w:rStyle w:val="32"/>
          <w:rFonts w:hint="eastAsia" w:ascii="Times New Roman"/>
        </w:rPr>
        <w:t xml:space="preserve"> 分型</w:t>
      </w:r>
      <w:r>
        <w:tab/>
      </w:r>
      <w:r>
        <w:fldChar w:fldCharType="begin"/>
      </w:r>
      <w:r>
        <w:instrText xml:space="preserve"> PAGEREF _Toc242823333 \h </w:instrText>
      </w:r>
      <w:r>
        <w:fldChar w:fldCharType="separate"/>
      </w:r>
      <w:r>
        <w:t>2</w:t>
      </w:r>
      <w:r>
        <w:fldChar w:fldCharType="end"/>
      </w:r>
      <w:r>
        <w:fldChar w:fldCharType="end"/>
      </w:r>
    </w:p>
    <w:p w14:paraId="357DA641">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"_Toc242823334" </w:instrText>
      </w:r>
      <w:r>
        <w:fldChar w:fldCharType="separate"/>
      </w:r>
      <w:r>
        <w:rPr>
          <w:rStyle w:val="32"/>
        </w:rPr>
        <w:t xml:space="preserve">4.2.1 </w:t>
      </w:r>
      <w:r>
        <w:rPr>
          <w:rStyle w:val="32"/>
          <w:rFonts w:hint="eastAsia"/>
        </w:rPr>
        <w:t xml:space="preserve"> 伸直型骨折（</w:t>
      </w:r>
      <w:r>
        <w:rPr>
          <w:rStyle w:val="32"/>
        </w:rPr>
        <w:t>Colles</w:t>
      </w:r>
      <w:r>
        <w:rPr>
          <w:rStyle w:val="32"/>
          <w:rFonts w:hint="eastAsia"/>
        </w:rPr>
        <w:t>骨折）</w:t>
      </w:r>
      <w:r>
        <w:tab/>
      </w:r>
      <w:r>
        <w:fldChar w:fldCharType="begin"/>
      </w:r>
      <w:r>
        <w:instrText xml:space="preserve"> PAGEREF _Toc242823334 \h </w:instrText>
      </w:r>
      <w:r>
        <w:fldChar w:fldCharType="separate"/>
      </w:r>
      <w:r>
        <w:t>2</w:t>
      </w:r>
      <w:r>
        <w:fldChar w:fldCharType="end"/>
      </w:r>
      <w:r>
        <w:fldChar w:fldCharType="end"/>
      </w:r>
    </w:p>
    <w:p w14:paraId="3F5E5AD5">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"_Toc242823335" </w:instrText>
      </w:r>
      <w:r>
        <w:fldChar w:fldCharType="separate"/>
      </w:r>
      <w:r>
        <w:rPr>
          <w:rStyle w:val="32"/>
        </w:rPr>
        <w:t xml:space="preserve">4.2.2 </w:t>
      </w:r>
      <w:r>
        <w:rPr>
          <w:rStyle w:val="32"/>
          <w:rFonts w:hint="eastAsia"/>
        </w:rPr>
        <w:t xml:space="preserve"> 屈曲型骨折（</w:t>
      </w:r>
      <w:r>
        <w:rPr>
          <w:rStyle w:val="32"/>
        </w:rPr>
        <w:t>Smith</w:t>
      </w:r>
      <w:r>
        <w:rPr>
          <w:rStyle w:val="32"/>
          <w:rFonts w:hint="eastAsia"/>
        </w:rPr>
        <w:t>骨折）</w:t>
      </w:r>
      <w:r>
        <w:tab/>
      </w:r>
      <w:r>
        <w:fldChar w:fldCharType="begin"/>
      </w:r>
      <w:r>
        <w:instrText xml:space="preserve"> PAGEREF _Toc242823335 \h </w:instrText>
      </w:r>
      <w:r>
        <w:fldChar w:fldCharType="separate"/>
      </w:r>
      <w:r>
        <w:t>2</w:t>
      </w:r>
      <w:r>
        <w:fldChar w:fldCharType="end"/>
      </w:r>
      <w:r>
        <w:fldChar w:fldCharType="end"/>
      </w:r>
    </w:p>
    <w:p w14:paraId="0179371B">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"_Toc242823336" </w:instrText>
      </w:r>
      <w:r>
        <w:fldChar w:fldCharType="separate"/>
      </w:r>
      <w:r>
        <w:rPr>
          <w:rStyle w:val="32"/>
        </w:rPr>
        <w:t xml:space="preserve">4.2.3 </w:t>
      </w:r>
      <w:r>
        <w:rPr>
          <w:rStyle w:val="32"/>
          <w:rFonts w:hint="eastAsia" w:ascii="Times New Roman"/>
        </w:rPr>
        <w:t xml:space="preserve"> 巴尔通型骨折（</w:t>
      </w:r>
      <w:r>
        <w:rPr>
          <w:rStyle w:val="32"/>
        </w:rPr>
        <w:t>Barton</w:t>
      </w:r>
      <w:r>
        <w:rPr>
          <w:rStyle w:val="32"/>
          <w:rFonts w:hint="eastAsia"/>
        </w:rPr>
        <w:t>骨折）</w:t>
      </w:r>
      <w:r>
        <w:tab/>
      </w:r>
      <w:r>
        <w:fldChar w:fldCharType="begin"/>
      </w:r>
      <w:r>
        <w:instrText xml:space="preserve"> PAGEREF _Toc242823336 \h </w:instrText>
      </w:r>
      <w:r>
        <w:fldChar w:fldCharType="separate"/>
      </w:r>
      <w:r>
        <w:t>2</w:t>
      </w:r>
      <w:r>
        <w:fldChar w:fldCharType="end"/>
      </w:r>
      <w:r>
        <w:fldChar w:fldCharType="end"/>
      </w:r>
    </w:p>
    <w:p w14:paraId="302A9DA7">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"_Toc242823337" </w:instrText>
      </w:r>
      <w:r>
        <w:fldChar w:fldCharType="separate"/>
      </w:r>
      <w:r>
        <w:rPr>
          <w:rStyle w:val="32"/>
        </w:rPr>
        <w:t xml:space="preserve">5 </w:t>
      </w:r>
      <w:r>
        <w:rPr>
          <w:rStyle w:val="32"/>
          <w:rFonts w:hint="eastAsia"/>
        </w:rPr>
        <w:t xml:space="preserve"> 操作准备</w:t>
      </w:r>
      <w:r>
        <w:tab/>
      </w:r>
      <w:r>
        <w:fldChar w:fldCharType="begin"/>
      </w:r>
      <w:r>
        <w:instrText xml:space="preserve"> PAGEREF _Toc242823337 \h </w:instrText>
      </w:r>
      <w:r>
        <w:fldChar w:fldCharType="separate"/>
      </w:r>
      <w:r>
        <w:t>2</w:t>
      </w:r>
      <w:r>
        <w:fldChar w:fldCharType="end"/>
      </w:r>
      <w:r>
        <w:fldChar w:fldCharType="end"/>
      </w:r>
    </w:p>
    <w:p w14:paraId="12DAAFA1">
      <w:pPr>
        <w:pStyle w:val="24"/>
        <w:rPr>
          <w:rFonts w:asciiTheme="minorHAnsi" w:hAnsiTheme="minorHAnsi" w:eastAsiaTheme="minorEastAsia" w:cstheme="minorBidi"/>
          <w:szCs w:val="22"/>
        </w:rPr>
      </w:pPr>
      <w:r>
        <w:fldChar w:fldCharType="begin"/>
      </w:r>
      <w:r>
        <w:instrText xml:space="preserve"> HYPERLINK \l "_Toc242823338" </w:instrText>
      </w:r>
      <w:r>
        <w:fldChar w:fldCharType="separate"/>
      </w:r>
      <w:r>
        <w:rPr>
          <w:rStyle w:val="32"/>
          <w14:scene3d>
            <w14:lightRig w14:rig="threePt" w14:dir="t">
              <w14:rot w14:lat="0" w14:lon="0" w14:rev="0"/>
            </w14:lightRig>
          </w14:scene3d>
        </w:rPr>
        <w:t xml:space="preserve">5.1 </w:t>
      </w:r>
      <w:r>
        <w:rPr>
          <w:rStyle w:val="32"/>
          <w:rFonts w:hint="eastAsia"/>
        </w:rPr>
        <w:t xml:space="preserve"> 人员准备</w:t>
      </w:r>
      <w:r>
        <w:tab/>
      </w:r>
      <w:r>
        <w:fldChar w:fldCharType="begin"/>
      </w:r>
      <w:r>
        <w:instrText xml:space="preserve"> PAGEREF _Toc242823338 \h </w:instrText>
      </w:r>
      <w:r>
        <w:fldChar w:fldCharType="separate"/>
      </w:r>
      <w:r>
        <w:t>2</w:t>
      </w:r>
      <w:r>
        <w:fldChar w:fldCharType="end"/>
      </w:r>
      <w:r>
        <w:fldChar w:fldCharType="end"/>
      </w:r>
    </w:p>
    <w:p w14:paraId="3418A6D0">
      <w:pPr>
        <w:pStyle w:val="24"/>
        <w:rPr>
          <w:rFonts w:asciiTheme="minorHAnsi" w:hAnsiTheme="minorHAnsi" w:eastAsiaTheme="minorEastAsia" w:cstheme="minorBidi"/>
          <w:szCs w:val="22"/>
        </w:rPr>
      </w:pPr>
      <w:r>
        <w:fldChar w:fldCharType="begin"/>
      </w:r>
      <w:r>
        <w:instrText xml:space="preserve"> HYPERLINK \l "_Toc242823339" </w:instrText>
      </w:r>
      <w:r>
        <w:fldChar w:fldCharType="separate"/>
      </w:r>
      <w:r>
        <w:rPr>
          <w:rStyle w:val="32"/>
          <w14:scene3d>
            <w14:lightRig w14:rig="threePt" w14:dir="t">
              <w14:rot w14:lat="0" w14:lon="0" w14:rev="0"/>
            </w14:lightRig>
          </w14:scene3d>
        </w:rPr>
        <w:t xml:space="preserve">5.2 </w:t>
      </w:r>
      <w:r>
        <w:rPr>
          <w:rStyle w:val="32"/>
          <w:rFonts w:hint="eastAsia"/>
        </w:rPr>
        <w:t xml:space="preserve"> 器械与材料准备</w:t>
      </w:r>
      <w:r>
        <w:tab/>
      </w:r>
      <w:r>
        <w:fldChar w:fldCharType="begin"/>
      </w:r>
      <w:r>
        <w:instrText xml:space="preserve"> PAGEREF _Toc242823339 \h </w:instrText>
      </w:r>
      <w:r>
        <w:fldChar w:fldCharType="separate"/>
      </w:r>
      <w:r>
        <w:t>2</w:t>
      </w:r>
      <w:r>
        <w:fldChar w:fldCharType="end"/>
      </w:r>
      <w:r>
        <w:fldChar w:fldCharType="end"/>
      </w:r>
    </w:p>
    <w:p w14:paraId="48093B1B">
      <w:pPr>
        <w:pStyle w:val="24"/>
        <w:rPr>
          <w:rFonts w:asciiTheme="minorHAnsi" w:hAnsiTheme="minorHAnsi" w:eastAsiaTheme="minorEastAsia" w:cstheme="minorBidi"/>
          <w:szCs w:val="22"/>
        </w:rPr>
      </w:pPr>
      <w:r>
        <w:fldChar w:fldCharType="begin"/>
      </w:r>
      <w:r>
        <w:instrText xml:space="preserve"> HYPERLINK \l "_Toc242823340" </w:instrText>
      </w:r>
      <w:r>
        <w:fldChar w:fldCharType="separate"/>
      </w:r>
      <w:r>
        <w:rPr>
          <w:rStyle w:val="32"/>
          <w14:scene3d>
            <w14:lightRig w14:rig="threePt" w14:dir="t">
              <w14:rot w14:lat="0" w14:lon="0" w14:rev="0"/>
            </w14:lightRig>
          </w14:scene3d>
        </w:rPr>
        <w:t xml:space="preserve">5.3 </w:t>
      </w:r>
      <w:r>
        <w:rPr>
          <w:rStyle w:val="32"/>
          <w:rFonts w:hint="eastAsia"/>
        </w:rPr>
        <w:t xml:space="preserve"> 患者准备</w:t>
      </w:r>
      <w:r>
        <w:tab/>
      </w:r>
      <w:r>
        <w:fldChar w:fldCharType="begin"/>
      </w:r>
      <w:r>
        <w:instrText xml:space="preserve"> PAGEREF _Toc242823340 \h </w:instrText>
      </w:r>
      <w:r>
        <w:fldChar w:fldCharType="separate"/>
      </w:r>
      <w:r>
        <w:t>2</w:t>
      </w:r>
      <w:r>
        <w:fldChar w:fldCharType="end"/>
      </w:r>
      <w:r>
        <w:fldChar w:fldCharType="end"/>
      </w:r>
    </w:p>
    <w:p w14:paraId="7CBE1EFD">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"_Toc242823341" </w:instrText>
      </w:r>
      <w:r>
        <w:fldChar w:fldCharType="separate"/>
      </w:r>
      <w:r>
        <w:rPr>
          <w:rStyle w:val="32"/>
        </w:rPr>
        <w:t xml:space="preserve">6 </w:t>
      </w:r>
      <w:r>
        <w:rPr>
          <w:rStyle w:val="32"/>
          <w:rFonts w:hint="eastAsia"/>
        </w:rPr>
        <w:t xml:space="preserve"> 复位固定操作方法</w:t>
      </w:r>
      <w:r>
        <w:tab/>
      </w:r>
      <w:r>
        <w:fldChar w:fldCharType="begin"/>
      </w:r>
      <w:r>
        <w:instrText xml:space="preserve"> PAGEREF _Toc242823341 \h </w:instrText>
      </w:r>
      <w:r>
        <w:fldChar w:fldCharType="separate"/>
      </w:r>
      <w:r>
        <w:t>2</w:t>
      </w:r>
      <w:r>
        <w:fldChar w:fldCharType="end"/>
      </w:r>
      <w:r>
        <w:fldChar w:fldCharType="end"/>
      </w:r>
    </w:p>
    <w:p w14:paraId="744632F7">
      <w:pPr>
        <w:pStyle w:val="24"/>
        <w:rPr>
          <w:rFonts w:asciiTheme="minorHAnsi" w:hAnsiTheme="minorHAnsi" w:eastAsiaTheme="minorEastAsia" w:cstheme="minorBidi"/>
          <w:szCs w:val="22"/>
        </w:rPr>
      </w:pPr>
      <w:r>
        <w:fldChar w:fldCharType="begin"/>
      </w:r>
      <w:r>
        <w:instrText xml:space="preserve"> HYPERLINK \l "_Toc242823342" </w:instrText>
      </w:r>
      <w:r>
        <w:fldChar w:fldCharType="separate"/>
      </w:r>
      <w:r>
        <w:rPr>
          <w:rStyle w:val="32"/>
          <w14:scene3d>
            <w14:lightRig w14:rig="threePt" w14:dir="t">
              <w14:rot w14:lat="0" w14:lon="0" w14:rev="0"/>
            </w14:lightRig>
          </w14:scene3d>
        </w:rPr>
        <w:t xml:space="preserve">6.1 </w:t>
      </w:r>
      <w:r>
        <w:rPr>
          <w:rStyle w:val="32"/>
          <w:rFonts w:hint="eastAsia"/>
        </w:rPr>
        <w:t xml:space="preserve"> 麻醉</w:t>
      </w:r>
      <w:r>
        <w:tab/>
      </w:r>
      <w:r>
        <w:fldChar w:fldCharType="begin"/>
      </w:r>
      <w:r>
        <w:instrText xml:space="preserve"> PAGEREF _Toc242823342 \h </w:instrText>
      </w:r>
      <w:r>
        <w:fldChar w:fldCharType="separate"/>
      </w:r>
      <w:r>
        <w:t>2</w:t>
      </w:r>
      <w:r>
        <w:fldChar w:fldCharType="end"/>
      </w:r>
      <w:r>
        <w:fldChar w:fldCharType="end"/>
      </w:r>
    </w:p>
    <w:p w14:paraId="71045E24">
      <w:pPr>
        <w:pStyle w:val="24"/>
        <w:rPr>
          <w:rFonts w:asciiTheme="minorHAnsi" w:hAnsiTheme="minorHAnsi" w:eastAsiaTheme="minorEastAsia" w:cstheme="minorBidi"/>
          <w:szCs w:val="22"/>
        </w:rPr>
      </w:pPr>
      <w:r>
        <w:fldChar w:fldCharType="begin"/>
      </w:r>
      <w:r>
        <w:instrText xml:space="preserve"> HYPERLINK \l "_Toc242823343" </w:instrText>
      </w:r>
      <w:r>
        <w:fldChar w:fldCharType="separate"/>
      </w:r>
      <w:r>
        <w:rPr>
          <w:rStyle w:val="32"/>
          <w14:scene3d>
            <w14:lightRig w14:rig="threePt" w14:dir="t">
              <w14:rot w14:lat="0" w14:lon="0" w14:rev="0"/>
            </w14:lightRig>
          </w14:scene3d>
        </w:rPr>
        <w:t xml:space="preserve">6.2 </w:t>
      </w:r>
      <w:r>
        <w:rPr>
          <w:rStyle w:val="32"/>
          <w:rFonts w:hint="eastAsia"/>
        </w:rPr>
        <w:t xml:space="preserve"> 复位手法</w:t>
      </w:r>
      <w:r>
        <w:tab/>
      </w:r>
      <w:r>
        <w:fldChar w:fldCharType="begin"/>
      </w:r>
      <w:r>
        <w:instrText xml:space="preserve"> PAGEREF _Toc242823343 \h </w:instrText>
      </w:r>
      <w:r>
        <w:fldChar w:fldCharType="separate"/>
      </w:r>
      <w:r>
        <w:t>2</w:t>
      </w:r>
      <w:r>
        <w:fldChar w:fldCharType="end"/>
      </w:r>
      <w:r>
        <w:fldChar w:fldCharType="end"/>
      </w:r>
    </w:p>
    <w:p w14:paraId="560FCA8F">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"_Toc242823344" </w:instrText>
      </w:r>
      <w:r>
        <w:fldChar w:fldCharType="separate"/>
      </w:r>
      <w:r>
        <w:rPr>
          <w:rStyle w:val="32"/>
        </w:rPr>
        <w:t xml:space="preserve">6.2.1 </w:t>
      </w:r>
      <w:r>
        <w:rPr>
          <w:rStyle w:val="32"/>
          <w:rFonts w:hint="eastAsia"/>
        </w:rPr>
        <w:t xml:space="preserve"> 总体原则</w:t>
      </w:r>
      <w:r>
        <w:tab/>
      </w:r>
      <w:r>
        <w:fldChar w:fldCharType="begin"/>
      </w:r>
      <w:r>
        <w:instrText xml:space="preserve"> PAGEREF _Toc242823344 \h </w:instrText>
      </w:r>
      <w:r>
        <w:fldChar w:fldCharType="separate"/>
      </w:r>
      <w:r>
        <w:t>3</w:t>
      </w:r>
      <w:r>
        <w:fldChar w:fldCharType="end"/>
      </w:r>
      <w:r>
        <w:fldChar w:fldCharType="end"/>
      </w:r>
    </w:p>
    <w:p w14:paraId="3352BCC6">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"_Toc242823345" </w:instrText>
      </w:r>
      <w:r>
        <w:fldChar w:fldCharType="separate"/>
      </w:r>
      <w:r>
        <w:rPr>
          <w:rStyle w:val="32"/>
        </w:rPr>
        <w:t xml:space="preserve">6.2.2 </w:t>
      </w:r>
      <w:r>
        <w:rPr>
          <w:rStyle w:val="32"/>
          <w:rFonts w:hint="eastAsia"/>
        </w:rPr>
        <w:t xml:space="preserve"> 伸直型骨折（</w:t>
      </w:r>
      <w:r>
        <w:rPr>
          <w:rStyle w:val="32"/>
        </w:rPr>
        <w:t>Colles</w:t>
      </w:r>
      <w:r>
        <w:rPr>
          <w:rStyle w:val="32"/>
          <w:rFonts w:hint="eastAsia"/>
        </w:rPr>
        <w:t>骨折）复位</w:t>
      </w:r>
      <w:r>
        <w:tab/>
      </w:r>
      <w:r>
        <w:fldChar w:fldCharType="begin"/>
      </w:r>
      <w:r>
        <w:instrText xml:space="preserve"> PAGEREF _Toc242823345 \h </w:instrText>
      </w:r>
      <w:r>
        <w:fldChar w:fldCharType="separate"/>
      </w:r>
      <w:r>
        <w:t>3</w:t>
      </w:r>
      <w:r>
        <w:fldChar w:fldCharType="end"/>
      </w:r>
      <w:r>
        <w:fldChar w:fldCharType="end"/>
      </w:r>
    </w:p>
    <w:p w14:paraId="2C9EA461">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"_Toc242823346" </w:instrText>
      </w:r>
      <w:r>
        <w:fldChar w:fldCharType="separate"/>
      </w:r>
      <w:r>
        <w:rPr>
          <w:rStyle w:val="32"/>
        </w:rPr>
        <w:t xml:space="preserve">6.2.3 </w:t>
      </w:r>
      <w:r>
        <w:rPr>
          <w:rStyle w:val="32"/>
          <w:rFonts w:hint="eastAsia"/>
        </w:rPr>
        <w:t xml:space="preserve"> 屈曲型骨折（</w:t>
      </w:r>
      <w:r>
        <w:rPr>
          <w:rStyle w:val="32"/>
        </w:rPr>
        <w:t>Smith</w:t>
      </w:r>
      <w:r>
        <w:rPr>
          <w:rStyle w:val="32"/>
          <w:rFonts w:hint="eastAsia"/>
        </w:rPr>
        <w:t>骨折）复位</w:t>
      </w:r>
      <w:r>
        <w:tab/>
      </w:r>
      <w:r>
        <w:fldChar w:fldCharType="begin"/>
      </w:r>
      <w:r>
        <w:instrText xml:space="preserve"> PAGEREF _Toc242823346 \h </w:instrText>
      </w:r>
      <w:r>
        <w:fldChar w:fldCharType="separate"/>
      </w:r>
      <w:r>
        <w:t>3</w:t>
      </w:r>
      <w:r>
        <w:fldChar w:fldCharType="end"/>
      </w:r>
      <w:r>
        <w:fldChar w:fldCharType="end"/>
      </w:r>
    </w:p>
    <w:p w14:paraId="70102C0B">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"_Toc242823347" </w:instrText>
      </w:r>
      <w:r>
        <w:fldChar w:fldCharType="separate"/>
      </w:r>
      <w:r>
        <w:rPr>
          <w:rStyle w:val="32"/>
        </w:rPr>
        <w:t xml:space="preserve">6.2.4 </w:t>
      </w:r>
      <w:r>
        <w:rPr>
          <w:rStyle w:val="32"/>
          <w:rFonts w:hint="eastAsia"/>
        </w:rPr>
        <w:t xml:space="preserve"> 背侧型巴尔通型骨折（</w:t>
      </w:r>
      <w:r>
        <w:rPr>
          <w:rStyle w:val="32"/>
        </w:rPr>
        <w:t>Barton</w:t>
      </w:r>
      <w:r>
        <w:rPr>
          <w:rStyle w:val="32"/>
          <w:rFonts w:hint="eastAsia"/>
        </w:rPr>
        <w:t>骨折）复位</w:t>
      </w:r>
      <w:r>
        <w:tab/>
      </w:r>
      <w:r>
        <w:fldChar w:fldCharType="begin"/>
      </w:r>
      <w:r>
        <w:instrText xml:space="preserve"> PAGEREF _Toc242823347 \h </w:instrText>
      </w:r>
      <w:r>
        <w:fldChar w:fldCharType="separate"/>
      </w:r>
      <w:r>
        <w:t>3</w:t>
      </w:r>
      <w:r>
        <w:fldChar w:fldCharType="end"/>
      </w:r>
      <w:r>
        <w:fldChar w:fldCharType="end"/>
      </w:r>
    </w:p>
    <w:p w14:paraId="75EF34BF">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"_Toc242823348" </w:instrText>
      </w:r>
      <w:r>
        <w:fldChar w:fldCharType="separate"/>
      </w:r>
      <w:r>
        <w:rPr>
          <w:rStyle w:val="32"/>
        </w:rPr>
        <w:t xml:space="preserve">6.2.5 </w:t>
      </w:r>
      <w:r>
        <w:rPr>
          <w:rStyle w:val="32"/>
          <w:rFonts w:hint="eastAsia"/>
        </w:rPr>
        <w:t xml:space="preserve"> 掌侧型巴尔通型骨折（</w:t>
      </w:r>
      <w:r>
        <w:rPr>
          <w:rStyle w:val="32"/>
        </w:rPr>
        <w:t>Barton</w:t>
      </w:r>
      <w:r>
        <w:rPr>
          <w:rStyle w:val="32"/>
          <w:rFonts w:hint="eastAsia"/>
        </w:rPr>
        <w:t>骨折）复位</w:t>
      </w:r>
      <w:r>
        <w:tab/>
      </w:r>
      <w:r>
        <w:fldChar w:fldCharType="begin"/>
      </w:r>
      <w:r>
        <w:instrText xml:space="preserve"> PAGEREF _Toc242823348 \h </w:instrText>
      </w:r>
      <w:r>
        <w:fldChar w:fldCharType="separate"/>
      </w:r>
      <w:r>
        <w:t>3</w:t>
      </w:r>
      <w:r>
        <w:fldChar w:fldCharType="end"/>
      </w:r>
      <w:r>
        <w:fldChar w:fldCharType="end"/>
      </w:r>
    </w:p>
    <w:p w14:paraId="3E0A4562">
      <w:pPr>
        <w:pStyle w:val="24"/>
        <w:rPr>
          <w:rFonts w:asciiTheme="minorHAnsi" w:hAnsiTheme="minorHAnsi" w:eastAsiaTheme="minorEastAsia" w:cstheme="minorBidi"/>
          <w:szCs w:val="22"/>
        </w:rPr>
      </w:pPr>
      <w:r>
        <w:fldChar w:fldCharType="begin"/>
      </w:r>
      <w:r>
        <w:instrText xml:space="preserve"> HYPERLINK \l "_Toc242823349" </w:instrText>
      </w:r>
      <w:r>
        <w:fldChar w:fldCharType="separate"/>
      </w:r>
      <w:r>
        <w:rPr>
          <w:rStyle w:val="32"/>
          <w14:scene3d>
            <w14:lightRig w14:rig="threePt" w14:dir="t">
              <w14:rot w14:lat="0" w14:lon="0" w14:rev="0"/>
            </w14:lightRig>
          </w14:scene3d>
        </w:rPr>
        <w:t xml:space="preserve">6.3 </w:t>
      </w:r>
      <w:r>
        <w:rPr>
          <w:rStyle w:val="32"/>
          <w:rFonts w:hint="eastAsia"/>
        </w:rPr>
        <w:t xml:space="preserve"> 固定方法</w:t>
      </w:r>
      <w:r>
        <w:tab/>
      </w:r>
      <w:r>
        <w:fldChar w:fldCharType="begin"/>
      </w:r>
      <w:r>
        <w:instrText xml:space="preserve"> PAGEREF _Toc242823349 \h </w:instrText>
      </w:r>
      <w:r>
        <w:fldChar w:fldCharType="separate"/>
      </w:r>
      <w:r>
        <w:t>4</w:t>
      </w:r>
      <w:r>
        <w:fldChar w:fldCharType="end"/>
      </w:r>
      <w:r>
        <w:fldChar w:fldCharType="end"/>
      </w:r>
    </w:p>
    <w:p w14:paraId="33A912B8">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"_Toc242823350" </w:instrText>
      </w:r>
      <w:r>
        <w:fldChar w:fldCharType="separate"/>
      </w:r>
      <w:r>
        <w:rPr>
          <w:rStyle w:val="32"/>
        </w:rPr>
        <w:t xml:space="preserve">6.3.1 </w:t>
      </w:r>
      <w:r>
        <w:rPr>
          <w:rStyle w:val="32"/>
          <w:rFonts w:hint="eastAsia"/>
        </w:rPr>
        <w:t xml:space="preserve"> 压垫，夹板固定</w:t>
      </w:r>
      <w:r>
        <w:tab/>
      </w:r>
      <w:r>
        <w:fldChar w:fldCharType="begin"/>
      </w:r>
      <w:r>
        <w:instrText xml:space="preserve"> PAGEREF _Toc242823350 \h </w:instrText>
      </w:r>
      <w:r>
        <w:fldChar w:fldCharType="separate"/>
      </w:r>
      <w:r>
        <w:t>4</w:t>
      </w:r>
      <w:r>
        <w:fldChar w:fldCharType="end"/>
      </w:r>
      <w:r>
        <w:fldChar w:fldCharType="end"/>
      </w:r>
    </w:p>
    <w:p w14:paraId="4DC90C0E">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"_Toc242823351" </w:instrText>
      </w:r>
      <w:r>
        <w:fldChar w:fldCharType="separate"/>
      </w:r>
      <w:r>
        <w:rPr>
          <w:rStyle w:val="32"/>
        </w:rPr>
        <w:t xml:space="preserve">6.3.2 </w:t>
      </w:r>
      <w:r>
        <w:rPr>
          <w:rStyle w:val="32"/>
          <w:rFonts w:hint="eastAsia"/>
        </w:rPr>
        <w:t xml:space="preserve"> 绑带固定</w:t>
      </w:r>
      <w:r>
        <w:tab/>
      </w:r>
      <w:r>
        <w:fldChar w:fldCharType="begin"/>
      </w:r>
      <w:r>
        <w:instrText xml:space="preserve"> PAGEREF _Toc242823351 \h </w:instrText>
      </w:r>
      <w:r>
        <w:fldChar w:fldCharType="separate"/>
      </w:r>
      <w:r>
        <w:t>4</w:t>
      </w:r>
      <w:r>
        <w:fldChar w:fldCharType="end"/>
      </w:r>
      <w:r>
        <w:fldChar w:fldCharType="end"/>
      </w:r>
    </w:p>
    <w:p w14:paraId="5F12A07F">
      <w:pPr>
        <w:pStyle w:val="15"/>
        <w:tabs>
          <w:tab w:val="right" w:leader="dot" w:pos="9344"/>
        </w:tabs>
        <w:rPr>
          <w:rFonts w:asciiTheme="minorHAnsi" w:hAnsiTheme="minorHAnsi" w:eastAsiaTheme="minorEastAsia" w:cstheme="minorBidi"/>
          <w:szCs w:val="22"/>
        </w:rPr>
      </w:pPr>
      <w:r>
        <w:fldChar w:fldCharType="begin"/>
      </w:r>
      <w:r>
        <w:instrText xml:space="preserve"> HYPERLINK \l "_Toc242823352" </w:instrText>
      </w:r>
      <w:r>
        <w:fldChar w:fldCharType="separate"/>
      </w:r>
      <w:r>
        <w:rPr>
          <w:rStyle w:val="32"/>
        </w:rPr>
        <w:t xml:space="preserve">6.3.3 </w:t>
      </w:r>
      <w:r>
        <w:rPr>
          <w:rStyle w:val="32"/>
          <w:rFonts w:hint="eastAsia"/>
        </w:rPr>
        <w:t xml:space="preserve"> 体位固定及时间</w:t>
      </w:r>
      <w:r>
        <w:tab/>
      </w:r>
      <w:r>
        <w:fldChar w:fldCharType="begin"/>
      </w:r>
      <w:r>
        <w:instrText xml:space="preserve"> PAGEREF _Toc242823352 \h </w:instrText>
      </w:r>
      <w:r>
        <w:fldChar w:fldCharType="separate"/>
      </w:r>
      <w:r>
        <w:t>4</w:t>
      </w:r>
      <w:r>
        <w:fldChar w:fldCharType="end"/>
      </w:r>
      <w:r>
        <w:fldChar w:fldCharType="end"/>
      </w:r>
    </w:p>
    <w:p w14:paraId="1EACC4A6">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"_Toc242823353" </w:instrText>
      </w:r>
      <w:r>
        <w:fldChar w:fldCharType="separate"/>
      </w:r>
      <w:r>
        <w:rPr>
          <w:rStyle w:val="32"/>
        </w:rPr>
        <w:t xml:space="preserve">7 </w:t>
      </w:r>
      <w:r>
        <w:rPr>
          <w:rStyle w:val="32"/>
          <w:rFonts w:hint="eastAsia"/>
        </w:rPr>
        <w:t xml:space="preserve"> 术后调理与康复指导</w:t>
      </w:r>
      <w:r>
        <w:tab/>
      </w:r>
      <w:r>
        <w:fldChar w:fldCharType="begin"/>
      </w:r>
      <w:r>
        <w:instrText xml:space="preserve"> PAGEREF _Toc242823353 \h </w:instrText>
      </w:r>
      <w:r>
        <w:fldChar w:fldCharType="separate"/>
      </w:r>
      <w:r>
        <w:t>4</w:t>
      </w:r>
      <w:r>
        <w:fldChar w:fldCharType="end"/>
      </w:r>
      <w:r>
        <w:fldChar w:fldCharType="end"/>
      </w:r>
    </w:p>
    <w:p w14:paraId="3112D0E1">
      <w:pPr>
        <w:pStyle w:val="24"/>
        <w:rPr>
          <w:rFonts w:asciiTheme="minorHAnsi" w:hAnsiTheme="minorHAnsi" w:eastAsiaTheme="minorEastAsia" w:cstheme="minorBidi"/>
          <w:szCs w:val="22"/>
        </w:rPr>
      </w:pPr>
      <w:r>
        <w:fldChar w:fldCharType="begin"/>
      </w:r>
      <w:r>
        <w:instrText xml:space="preserve"> HYPERLINK \l "_Toc242823354" </w:instrText>
      </w:r>
      <w:r>
        <w:fldChar w:fldCharType="separate"/>
      </w:r>
      <w:r>
        <w:rPr>
          <w:rStyle w:val="32"/>
          <w14:scene3d>
            <w14:lightRig w14:rig="threePt" w14:dir="t">
              <w14:rot w14:lat="0" w14:lon="0" w14:rev="0"/>
            </w14:lightRig>
          </w14:scene3d>
        </w:rPr>
        <w:t xml:space="preserve">7.1 </w:t>
      </w:r>
      <w:r>
        <w:rPr>
          <w:rStyle w:val="32"/>
          <w:rFonts w:hint="eastAsia"/>
        </w:rPr>
        <w:t xml:space="preserve"> 术后调理</w:t>
      </w:r>
      <w:r>
        <w:tab/>
      </w:r>
      <w:r>
        <w:fldChar w:fldCharType="begin"/>
      </w:r>
      <w:r>
        <w:instrText xml:space="preserve"> PAGEREF _Toc242823354 \h </w:instrText>
      </w:r>
      <w:r>
        <w:fldChar w:fldCharType="separate"/>
      </w:r>
      <w:r>
        <w:t>4</w:t>
      </w:r>
      <w:r>
        <w:fldChar w:fldCharType="end"/>
      </w:r>
      <w:r>
        <w:fldChar w:fldCharType="end"/>
      </w:r>
    </w:p>
    <w:p w14:paraId="69C4B90A">
      <w:pPr>
        <w:pStyle w:val="24"/>
        <w:rPr>
          <w:rFonts w:asciiTheme="minorHAnsi" w:hAnsiTheme="minorHAnsi" w:eastAsiaTheme="minorEastAsia" w:cstheme="minorBidi"/>
          <w:szCs w:val="22"/>
        </w:rPr>
      </w:pPr>
      <w:r>
        <w:fldChar w:fldCharType="begin"/>
      </w:r>
      <w:r>
        <w:instrText xml:space="preserve"> HYPERLINK \l "_Toc242823355" </w:instrText>
      </w:r>
      <w:r>
        <w:fldChar w:fldCharType="separate"/>
      </w:r>
      <w:r>
        <w:rPr>
          <w:rStyle w:val="32"/>
          <w14:scene3d>
            <w14:lightRig w14:rig="threePt" w14:dir="t">
              <w14:rot w14:lat="0" w14:lon="0" w14:rev="0"/>
            </w14:lightRig>
          </w14:scene3d>
        </w:rPr>
        <w:t xml:space="preserve">7.2 </w:t>
      </w:r>
      <w:r>
        <w:rPr>
          <w:rStyle w:val="32"/>
          <w:rFonts w:hint="eastAsia"/>
        </w:rPr>
        <w:t xml:space="preserve"> 康复训练</w:t>
      </w:r>
      <w:r>
        <w:tab/>
      </w:r>
      <w:r>
        <w:fldChar w:fldCharType="begin"/>
      </w:r>
      <w:r>
        <w:instrText xml:space="preserve"> PAGEREF _Toc242823355 \h </w:instrText>
      </w:r>
      <w:r>
        <w:fldChar w:fldCharType="separate"/>
      </w:r>
      <w:r>
        <w:t>4</w:t>
      </w:r>
      <w:r>
        <w:fldChar w:fldCharType="end"/>
      </w:r>
      <w:r>
        <w:fldChar w:fldCharType="end"/>
      </w:r>
    </w:p>
    <w:p w14:paraId="3543E172">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"_Toc242823356" </w:instrText>
      </w:r>
      <w:r>
        <w:fldChar w:fldCharType="separate"/>
      </w:r>
      <w:r>
        <w:rPr>
          <w:rStyle w:val="32"/>
        </w:rPr>
        <w:t xml:space="preserve">8 </w:t>
      </w:r>
      <w:r>
        <w:rPr>
          <w:rStyle w:val="32"/>
          <w:rFonts w:hint="eastAsia"/>
        </w:rPr>
        <w:t xml:space="preserve"> 疗效评价</w:t>
      </w:r>
      <w:r>
        <w:tab/>
      </w:r>
      <w:r>
        <w:fldChar w:fldCharType="begin"/>
      </w:r>
      <w:r>
        <w:instrText xml:space="preserve"> PAGEREF _Toc242823356 \h </w:instrText>
      </w:r>
      <w:r>
        <w:fldChar w:fldCharType="separate"/>
      </w:r>
      <w:r>
        <w:t>5</w:t>
      </w:r>
      <w:r>
        <w:fldChar w:fldCharType="end"/>
      </w:r>
      <w:r>
        <w:fldChar w:fldCharType="end"/>
      </w:r>
    </w:p>
    <w:p w14:paraId="2C17BCD7">
      <w:pPr>
        <w:pStyle w:val="24"/>
        <w:rPr>
          <w:rFonts w:asciiTheme="minorHAnsi" w:hAnsiTheme="minorHAnsi" w:eastAsiaTheme="minorEastAsia" w:cstheme="minorBidi"/>
          <w:szCs w:val="22"/>
        </w:rPr>
      </w:pPr>
      <w:r>
        <w:fldChar w:fldCharType="begin"/>
      </w:r>
      <w:r>
        <w:instrText xml:space="preserve"> HYPERLINK \l "_Toc242823357" </w:instrText>
      </w:r>
      <w:r>
        <w:fldChar w:fldCharType="separate"/>
      </w:r>
      <w:r>
        <w:rPr>
          <w:rStyle w:val="32"/>
          <w14:scene3d>
            <w14:lightRig w14:rig="threePt" w14:dir="t">
              <w14:rot w14:lat="0" w14:lon="0" w14:rev="0"/>
            </w14:lightRig>
          </w14:scene3d>
        </w:rPr>
        <w:t xml:space="preserve">8.1 </w:t>
      </w:r>
      <w:r>
        <w:rPr>
          <w:rStyle w:val="32"/>
          <w:rFonts w:hint="eastAsia"/>
        </w:rPr>
        <w:t xml:space="preserve"> 治愈</w:t>
      </w:r>
      <w:r>
        <w:tab/>
      </w:r>
      <w:r>
        <w:fldChar w:fldCharType="begin"/>
      </w:r>
      <w:r>
        <w:instrText xml:space="preserve"> PAGEREF _Toc242823357 \h </w:instrText>
      </w:r>
      <w:r>
        <w:fldChar w:fldCharType="separate"/>
      </w:r>
      <w:r>
        <w:t>5</w:t>
      </w:r>
      <w:r>
        <w:fldChar w:fldCharType="end"/>
      </w:r>
      <w:r>
        <w:fldChar w:fldCharType="end"/>
      </w:r>
    </w:p>
    <w:p w14:paraId="0A87822C">
      <w:pPr>
        <w:pStyle w:val="24"/>
        <w:rPr>
          <w:rFonts w:asciiTheme="minorHAnsi" w:hAnsiTheme="minorHAnsi" w:eastAsiaTheme="minorEastAsia" w:cstheme="minorBidi"/>
          <w:szCs w:val="22"/>
        </w:rPr>
      </w:pPr>
      <w:r>
        <w:fldChar w:fldCharType="begin"/>
      </w:r>
      <w:r>
        <w:instrText xml:space="preserve"> HYPERLINK \l "_Toc242823358" </w:instrText>
      </w:r>
      <w:r>
        <w:fldChar w:fldCharType="separate"/>
      </w:r>
      <w:r>
        <w:rPr>
          <w:rStyle w:val="32"/>
          <w14:scene3d>
            <w14:lightRig w14:rig="threePt" w14:dir="t">
              <w14:rot w14:lat="0" w14:lon="0" w14:rev="0"/>
            </w14:lightRig>
          </w14:scene3d>
        </w:rPr>
        <w:t xml:space="preserve">8.2 </w:t>
      </w:r>
      <w:r>
        <w:rPr>
          <w:rStyle w:val="32"/>
          <w:rFonts w:hint="eastAsia"/>
        </w:rPr>
        <w:t xml:space="preserve"> 好转</w:t>
      </w:r>
      <w:r>
        <w:tab/>
      </w:r>
      <w:r>
        <w:fldChar w:fldCharType="begin"/>
      </w:r>
      <w:r>
        <w:instrText xml:space="preserve"> PAGEREF _Toc242823358 \h </w:instrText>
      </w:r>
      <w:r>
        <w:fldChar w:fldCharType="separate"/>
      </w:r>
      <w:r>
        <w:t>5</w:t>
      </w:r>
      <w:r>
        <w:fldChar w:fldCharType="end"/>
      </w:r>
      <w:r>
        <w:fldChar w:fldCharType="end"/>
      </w:r>
    </w:p>
    <w:p w14:paraId="341E96DC">
      <w:pPr>
        <w:pStyle w:val="24"/>
        <w:rPr>
          <w:rFonts w:asciiTheme="minorHAnsi" w:hAnsiTheme="minorHAnsi" w:eastAsiaTheme="minorEastAsia" w:cstheme="minorBidi"/>
          <w:szCs w:val="22"/>
        </w:rPr>
      </w:pPr>
      <w:r>
        <w:fldChar w:fldCharType="begin"/>
      </w:r>
      <w:r>
        <w:instrText xml:space="preserve"> HYPERLINK \l "_Toc242823359" </w:instrText>
      </w:r>
      <w:r>
        <w:fldChar w:fldCharType="separate"/>
      </w:r>
      <w:r>
        <w:rPr>
          <w:rStyle w:val="32"/>
          <w14:scene3d>
            <w14:lightRig w14:rig="threePt" w14:dir="t">
              <w14:rot w14:lat="0" w14:lon="0" w14:rev="0"/>
            </w14:lightRig>
          </w14:scene3d>
        </w:rPr>
        <w:t xml:space="preserve">8.3 </w:t>
      </w:r>
      <w:r>
        <w:rPr>
          <w:rStyle w:val="32"/>
          <w:rFonts w:hint="eastAsia"/>
        </w:rPr>
        <w:t xml:space="preserve"> 未愈</w:t>
      </w:r>
      <w:r>
        <w:tab/>
      </w:r>
      <w:r>
        <w:fldChar w:fldCharType="begin"/>
      </w:r>
      <w:r>
        <w:instrText xml:space="preserve"> PAGEREF _Toc242823359 \h </w:instrText>
      </w:r>
      <w:r>
        <w:fldChar w:fldCharType="separate"/>
      </w:r>
      <w:r>
        <w:t>5</w:t>
      </w:r>
      <w:r>
        <w:fldChar w:fldCharType="end"/>
      </w:r>
      <w:r>
        <w:fldChar w:fldCharType="end"/>
      </w:r>
    </w:p>
    <w:p w14:paraId="504A3539">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"_Toc242823360" </w:instrText>
      </w:r>
      <w:r>
        <w:fldChar w:fldCharType="separate"/>
      </w:r>
      <w:r>
        <w:rPr>
          <w:rStyle w:val="32"/>
        </w:rPr>
        <w:t xml:space="preserve">9 </w:t>
      </w:r>
      <w:r>
        <w:rPr>
          <w:rStyle w:val="32"/>
          <w:rFonts w:hint="eastAsia"/>
        </w:rPr>
        <w:t xml:space="preserve"> 注意事项</w:t>
      </w:r>
      <w:r>
        <w:tab/>
      </w:r>
      <w:r>
        <w:fldChar w:fldCharType="begin"/>
      </w:r>
      <w:r>
        <w:instrText xml:space="preserve"> PAGEREF _Toc242823360 \h </w:instrText>
      </w:r>
      <w:r>
        <w:fldChar w:fldCharType="separate"/>
      </w:r>
      <w:r>
        <w:t>5</w:t>
      </w:r>
      <w:r>
        <w:fldChar w:fldCharType="end"/>
      </w:r>
      <w:r>
        <w:fldChar w:fldCharType="end"/>
      </w:r>
    </w:p>
    <w:p w14:paraId="79A3CF70">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"_Toc242823361" </w:instrText>
      </w:r>
      <w:r>
        <w:fldChar w:fldCharType="separate"/>
      </w:r>
      <w:r>
        <w:rPr>
          <w:rStyle w:val="32"/>
        </w:rPr>
        <w:t xml:space="preserve">10 </w:t>
      </w:r>
      <w:r>
        <w:rPr>
          <w:rStyle w:val="32"/>
          <w:rFonts w:hint="eastAsia"/>
        </w:rPr>
        <w:t xml:space="preserve"> 禁忌</w:t>
      </w:r>
      <w:r>
        <w:tab/>
      </w:r>
      <w:r>
        <w:fldChar w:fldCharType="begin"/>
      </w:r>
      <w:r>
        <w:instrText xml:space="preserve"> PAGEREF _Toc242823361 \h </w:instrText>
      </w:r>
      <w:r>
        <w:fldChar w:fldCharType="separate"/>
      </w:r>
      <w:r>
        <w:t>5</w:t>
      </w:r>
      <w:r>
        <w:fldChar w:fldCharType="end"/>
      </w:r>
      <w:r>
        <w:fldChar w:fldCharType="end"/>
      </w:r>
    </w:p>
    <w:p w14:paraId="29B02AD4">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"_Toc242823362" </w:instrText>
      </w:r>
      <w:r>
        <w:fldChar w:fldCharType="separate"/>
      </w:r>
      <w:r>
        <w:rPr>
          <w:rStyle w:val="32"/>
          <w:rFonts w:hint="eastAsia"/>
        </w:rPr>
        <w:t>附录A（资料性）</w:t>
      </w:r>
      <w:r>
        <w:rPr>
          <w:rStyle w:val="32"/>
        </w:rPr>
        <w:t xml:space="preserve">  </w:t>
      </w:r>
      <w:r>
        <w:rPr>
          <w:rStyle w:val="32"/>
          <w:rFonts w:hint="eastAsia"/>
        </w:rPr>
        <w:t>桡骨远端骨折分型示意图</w:t>
      </w:r>
      <w:r>
        <w:tab/>
      </w:r>
      <w:r>
        <w:fldChar w:fldCharType="begin"/>
      </w:r>
      <w:r>
        <w:instrText xml:space="preserve"> PAGEREF _Toc242823362 \h </w:instrText>
      </w:r>
      <w:r>
        <w:fldChar w:fldCharType="separate"/>
      </w:r>
      <w:r>
        <w:t>6</w:t>
      </w:r>
      <w:r>
        <w:fldChar w:fldCharType="end"/>
      </w:r>
      <w:r>
        <w:fldChar w:fldCharType="end"/>
      </w:r>
    </w:p>
    <w:p w14:paraId="4E1D18C0">
      <w:pPr>
        <w:pStyle w:val="19"/>
        <w:tabs>
          <w:tab w:val="right" w:leader="dot" w:pos="9344"/>
        </w:tabs>
        <w:rPr>
          <w:rFonts w:asciiTheme="minorHAnsi" w:hAnsiTheme="minorHAnsi" w:eastAsiaTheme="minorEastAsia" w:cstheme="minorBidi"/>
          <w:szCs w:val="22"/>
        </w:rPr>
      </w:pPr>
      <w:r>
        <w:fldChar w:fldCharType="begin"/>
      </w:r>
      <w:r>
        <w:instrText xml:space="preserve"> HYPERLINK \l "_Toc242823363" </w:instrText>
      </w:r>
      <w:r>
        <w:fldChar w:fldCharType="separate"/>
      </w:r>
      <w:r>
        <w:rPr>
          <w:rStyle w:val="32"/>
          <w:rFonts w:hint="eastAsia"/>
        </w:rPr>
        <w:t>参考文献</w:t>
      </w:r>
      <w:r>
        <w:tab/>
      </w:r>
      <w:r>
        <w:fldChar w:fldCharType="begin"/>
      </w:r>
      <w:r>
        <w:instrText xml:space="preserve"> PAGEREF _Toc242823363 \h </w:instrText>
      </w:r>
      <w:r>
        <w:fldChar w:fldCharType="separate"/>
      </w:r>
      <w:r>
        <w:t>7</w:t>
      </w:r>
      <w:r>
        <w:fldChar w:fldCharType="end"/>
      </w:r>
      <w:r>
        <w:fldChar w:fldCharType="end"/>
      </w:r>
    </w:p>
    <w:p w14:paraId="2E9F630A">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7EDAEE20">
      <w:pPr>
        <w:pStyle w:val="89"/>
        <w:spacing w:before="900" w:after="468"/>
      </w:pPr>
      <w:bookmarkStart w:id="26" w:name="_Toc242823324"/>
      <w:bookmarkStart w:id="27" w:name="BookMark2"/>
      <w:r>
        <w:rPr>
          <w:spacing w:val="320"/>
        </w:rPr>
        <w:t>前</w:t>
      </w:r>
      <w:r>
        <w:t>言</w:t>
      </w:r>
      <w:bookmarkEnd w:id="22"/>
      <w:bookmarkEnd w:id="23"/>
      <w:bookmarkEnd w:id="24"/>
      <w:bookmarkEnd w:id="25"/>
      <w:bookmarkEnd w:id="26"/>
    </w:p>
    <w:p w14:paraId="19EF168C">
      <w:pPr>
        <w:pStyle w:val="56"/>
        <w:ind w:firstLine="420"/>
      </w:pPr>
      <w:r>
        <w:rPr>
          <w:rFonts w:hint="eastAsia"/>
        </w:rPr>
        <w:t>本文件按照GB/T 1.1—2020《标准化工作导则  第1部分：标准化文件的结构和起草规则》的规定起草。</w:t>
      </w:r>
    </w:p>
    <w:p w14:paraId="19273DFC">
      <w:pPr>
        <w:pStyle w:val="56"/>
        <w:ind w:firstLine="420"/>
      </w:pPr>
      <w:r>
        <w:rPr>
          <w:rFonts w:hint="eastAsia"/>
        </w:rPr>
        <w:t>本文件由湖南省中医药管理局提出并归口。</w:t>
      </w:r>
    </w:p>
    <w:p w14:paraId="1E893E65">
      <w:pPr>
        <w:pStyle w:val="56"/>
        <w:ind w:firstLine="420"/>
      </w:pPr>
      <w:r>
        <w:rPr>
          <w:rFonts w:hint="eastAsia"/>
        </w:rPr>
        <w:t>本文件起草单位：湖南中医药大学第一附属医院、湖南中医药大学第二附属医院、常德市第一中医医院、湘潭市中医医院、岳阳市中医医院、株洲市中医伤科医院、浏阳市骨伤医院、宜章县中医医院。</w:t>
      </w:r>
    </w:p>
    <w:p w14:paraId="1996D71A">
      <w:pPr>
        <w:pStyle w:val="56"/>
        <w:ind w:firstLine="420"/>
        <w:rPr>
          <w:rFonts w:hint="eastAsia" w:ascii="宋体" w:hAnsi="Times New Roman" w:eastAsia="宋体" w:cs="Times New Roman"/>
        </w:rPr>
      </w:pPr>
      <w:r>
        <w:rPr>
          <w:rFonts w:hint="eastAsia"/>
        </w:rPr>
        <w:t>本文件主要起草人：</w:t>
      </w:r>
      <w:r>
        <w:rPr>
          <w:rFonts w:hint="eastAsia" w:ascii="宋体" w:hAnsi="Times New Roman" w:eastAsia="宋体" w:cs="Times New Roman"/>
        </w:rPr>
        <w:t>杨少锋、</w:t>
      </w:r>
      <w:r>
        <w:rPr>
          <w:rFonts w:hint="eastAsia" w:ascii="宋体" w:hAnsi="Times New Roman" w:eastAsia="宋体" w:cs="Times New Roman"/>
          <w:lang w:val="en-US" w:eastAsia="zh-CN"/>
        </w:rPr>
        <w:t>谢求恩</w:t>
      </w:r>
      <w:r>
        <w:rPr>
          <w:rFonts w:hint="eastAsia" w:ascii="宋体" w:hAnsi="Times New Roman" w:eastAsia="宋体" w:cs="Times New Roman"/>
        </w:rPr>
        <w:t>、</w:t>
      </w:r>
      <w:r>
        <w:rPr>
          <w:rFonts w:hint="eastAsia" w:ascii="宋体" w:hAnsi="Times New Roman" w:eastAsia="宋体" w:cs="Times New Roman"/>
          <w:lang w:val="en-US" w:eastAsia="zh-CN"/>
        </w:rPr>
        <w:t>龚志贤</w:t>
      </w:r>
      <w:r>
        <w:rPr>
          <w:rFonts w:hint="eastAsia" w:ascii="宋体" w:hAnsi="Times New Roman" w:eastAsia="宋体" w:cs="Times New Roman"/>
        </w:rPr>
        <w:t>、</w:t>
      </w:r>
      <w:r>
        <w:rPr>
          <w:rFonts w:hint="eastAsia" w:ascii="宋体" w:hAnsi="Times New Roman" w:eastAsia="宋体" w:cs="Times New Roman"/>
          <w:lang w:val="en-US" w:eastAsia="zh-CN"/>
        </w:rPr>
        <w:t>吴官保、孙绍裘、孙江波、陈辉明、曹谦、蒋君、江涛、尹书东、申明高、范学斌、杨雷、段嘉豪、郭彦涛。</w:t>
      </w:r>
    </w:p>
    <w:p w14:paraId="03F459C6">
      <w:pPr>
        <w:pStyle w:val="56"/>
        <w:ind w:firstLine="420"/>
        <w:rPr>
          <w:rFonts w:hint="eastAsia" w:ascii="宋体" w:hAnsi="Times New Roman" w:eastAsia="宋体" w:cs="Times New Roman"/>
        </w:rPr>
      </w:pPr>
    </w:p>
    <w:p w14:paraId="38C09468">
      <w:pPr>
        <w:pStyle w:val="56"/>
        <w:ind w:firstLine="420"/>
        <w:rPr>
          <w:rFonts w:hint="eastAsia" w:ascii="宋体" w:hAnsi="Times New Roman" w:eastAsia="宋体" w:cs="Times New Roman"/>
        </w:rPr>
      </w:pPr>
    </w:p>
    <w:p w14:paraId="7497373C">
      <w:pPr>
        <w:pStyle w:val="56"/>
        <w:ind w:firstLine="420"/>
        <w:rPr>
          <w:rFonts w:hint="eastAsia" w:ascii="宋体" w:hAnsi="Times New Roman" w:eastAsia="宋体" w:cs="Times New Roman"/>
        </w:rPr>
        <w:sectPr>
          <w:pgSz w:w="11906" w:h="16838"/>
          <w:pgMar w:top="1928" w:right="1134" w:bottom="1134" w:left="1134" w:header="1418" w:footer="1134" w:gutter="284"/>
          <w:pgNumType w:fmt="upperRoman"/>
          <w:cols w:space="425" w:num="1"/>
          <w:formProt w:val="0"/>
          <w:docGrid w:type="lines" w:linePitch="312" w:charSpace="0"/>
        </w:sectPr>
      </w:pPr>
    </w:p>
    <w:bookmarkEnd w:id="27"/>
    <w:p w14:paraId="25D2FC8C">
      <w:pPr>
        <w:spacing w:line="20" w:lineRule="exact"/>
        <w:jc w:val="center"/>
        <w:rPr>
          <w:rFonts w:ascii="黑体" w:hAnsi="黑体" w:eastAsia="黑体"/>
          <w:sz w:val="32"/>
          <w:szCs w:val="32"/>
        </w:rPr>
      </w:pPr>
      <w:bookmarkStart w:id="28" w:name="BookMark4"/>
    </w:p>
    <w:p w14:paraId="7AB22150">
      <w:pPr>
        <w:spacing w:line="20" w:lineRule="exact"/>
        <w:jc w:val="center"/>
        <w:rPr>
          <w:rFonts w:ascii="黑体" w:hAnsi="黑体" w:eastAsia="黑体"/>
          <w:sz w:val="32"/>
          <w:szCs w:val="32"/>
        </w:rPr>
      </w:pPr>
    </w:p>
    <w:sdt>
      <w:sdtPr>
        <w:tag w:val="NEW_STAND_NAME"/>
        <w:id w:val="595910757"/>
        <w:lock w:val="sdtLocked"/>
        <w:placeholder>
          <w:docPart w:val="FBD83B9DCD4347759D9B84AEA596D71E"/>
        </w:placeholder>
      </w:sdtPr>
      <w:sdtContent>
        <w:p w14:paraId="41826A6C">
          <w:pPr>
            <w:pStyle w:val="177"/>
            <w:spacing w:before="3" w:beforeLines="1" w:after="686" w:afterLines="220"/>
          </w:pPr>
          <w:bookmarkStart w:id="29" w:name="NEW_STAND_NAME"/>
          <w:r>
            <w:rPr>
              <w:rFonts w:hint="eastAsia"/>
            </w:rPr>
            <w:t>湘派骨伤手法治疗桡骨远端骨折复位固定技术规范</w:t>
          </w:r>
        </w:p>
      </w:sdtContent>
    </w:sdt>
    <w:bookmarkEnd w:id="29"/>
    <w:p w14:paraId="638F9ED1">
      <w:pPr>
        <w:pStyle w:val="104"/>
        <w:spacing w:before="312" w:after="312"/>
      </w:pPr>
      <w:bookmarkStart w:id="30" w:name="_Toc97191423"/>
      <w:bookmarkStart w:id="31" w:name="_Toc26648465"/>
      <w:bookmarkStart w:id="32" w:name="_Toc242820312"/>
      <w:bookmarkStart w:id="33" w:name="_Toc24884218"/>
      <w:bookmarkStart w:id="34" w:name="_Toc26718930"/>
      <w:bookmarkStart w:id="35" w:name="_Toc242820272"/>
      <w:bookmarkStart w:id="36" w:name="_Toc26986530"/>
      <w:bookmarkStart w:id="37" w:name="_Toc17233325"/>
      <w:bookmarkStart w:id="38" w:name="_Toc26986771"/>
      <w:bookmarkStart w:id="39" w:name="_Toc240020780"/>
      <w:bookmarkStart w:id="40" w:name="_Toc242823325"/>
      <w:bookmarkStart w:id="41" w:name="_Toc24884211"/>
      <w:bookmarkStart w:id="42" w:name="_Toc240020535"/>
      <w:bookmarkStart w:id="43" w:name="_Toc17233333"/>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432C711">
      <w:pPr>
        <w:pStyle w:val="56"/>
        <w:ind w:firstLine="420"/>
      </w:pPr>
      <w:bookmarkStart w:id="44" w:name="_Toc24884219"/>
      <w:bookmarkStart w:id="45" w:name="_Toc17233334"/>
      <w:bookmarkStart w:id="46" w:name="_Toc17233326"/>
      <w:bookmarkStart w:id="47" w:name="_Toc26648466"/>
      <w:bookmarkStart w:id="48" w:name="_Toc24884212"/>
      <w:r>
        <w:rPr>
          <w:rFonts w:hint="eastAsia"/>
        </w:rPr>
        <w:t>本文件规定了湘派骨伤手法治疗桡骨远端骨折的术语和定义、诊断依据与分型、操作准备、复位固定操作方法、术后调理与康复指导、疗效评价、注意事项及禁忌。</w:t>
      </w:r>
    </w:p>
    <w:p w14:paraId="5AD4320B">
      <w:pPr>
        <w:pStyle w:val="56"/>
        <w:ind w:firstLine="420"/>
        <w:rPr>
          <w:rFonts w:hint="eastAsia"/>
        </w:rPr>
      </w:pPr>
      <w:r>
        <w:rPr>
          <w:rFonts w:hint="eastAsia"/>
        </w:rPr>
        <w:t>本文件适用于各级各类医疗机构、中医骨伤科诊所中，具备中医骨伤科执业资质且经湘派骨伤手法规范化培训合格的医师，对闭合性桡骨远端骨折患者开展的复位固定操作。</w:t>
      </w:r>
    </w:p>
    <w:p w14:paraId="622BC742">
      <w:pPr>
        <w:pStyle w:val="104"/>
        <w:spacing w:before="312" w:after="312"/>
      </w:pPr>
      <w:bookmarkStart w:id="49" w:name="_Toc26718931"/>
      <w:bookmarkStart w:id="50" w:name="_Toc26986531"/>
      <w:bookmarkStart w:id="51" w:name="_Toc240020781"/>
      <w:bookmarkStart w:id="52" w:name="_Toc97191424"/>
      <w:bookmarkStart w:id="53" w:name="_Toc242823326"/>
      <w:bookmarkStart w:id="54" w:name="_Toc242820273"/>
      <w:bookmarkStart w:id="55" w:name="_Toc242820313"/>
      <w:bookmarkStart w:id="56" w:name="_Toc26986772"/>
      <w:bookmarkStart w:id="57" w:name="_Toc240020536"/>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695BFB63">
      <w:pPr>
        <w:pStyle w:val="56"/>
        <w:ind w:firstLine="420"/>
      </w:pPr>
      <w:sdt>
        <w:sdtPr>
          <w:rPr>
            <w:rFonts w:hint="eastAsia"/>
          </w:rPr>
          <w:id w:val="715848253"/>
          <w:placeholder>
            <w:docPart w:val="CA880A5E4BAC496AA205F0D3DF5450B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r>
            <w:rPr>
              <w:rFonts w:hint="eastAsia"/>
            </w:rPr>
            <w:t>本文件没有规范性引用文件。</w:t>
          </w:r>
        </w:sdtContent>
      </w:sdt>
    </w:p>
    <w:p w14:paraId="4866701A">
      <w:pPr>
        <w:pStyle w:val="104"/>
        <w:spacing w:before="312" w:after="312"/>
      </w:pPr>
      <w:bookmarkStart w:id="58" w:name="_Toc242820314"/>
      <w:bookmarkStart w:id="59" w:name="_Toc242823327"/>
      <w:bookmarkStart w:id="60" w:name="_Toc240020537"/>
      <w:bookmarkStart w:id="61" w:name="_Toc242820274"/>
      <w:bookmarkStart w:id="62" w:name="_Toc97191425"/>
      <w:bookmarkStart w:id="63" w:name="_Toc240020782"/>
      <w:r>
        <w:rPr>
          <w:rFonts w:hint="eastAsia"/>
          <w:szCs w:val="21"/>
        </w:rPr>
        <w:t>术语和定义</w:t>
      </w:r>
      <w:bookmarkEnd w:id="58"/>
      <w:bookmarkEnd w:id="59"/>
      <w:bookmarkEnd w:id="60"/>
      <w:bookmarkEnd w:id="61"/>
      <w:bookmarkEnd w:id="62"/>
      <w:bookmarkEnd w:id="63"/>
    </w:p>
    <w:sdt>
      <w:sdtPr>
        <w:id w:val="-1909835108"/>
        <w:placeholder>
          <w:docPart w:val="7FC846A906C441FEB732CB3DFF3976C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7096812">
          <w:pPr>
            <w:pStyle w:val="56"/>
            <w:ind w:firstLine="420"/>
          </w:pPr>
          <w:bookmarkStart w:id="64" w:name="_Toc26986532"/>
          <w:bookmarkEnd w:id="64"/>
          <w:r>
            <w:t>下列术语和定义适用于本文件。</w:t>
          </w:r>
        </w:p>
      </w:sdtContent>
    </w:sdt>
    <w:p w14:paraId="743AA43E">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湘派骨伤手法</w:t>
      </w:r>
      <w:r>
        <w:rPr>
          <w:rFonts w:hint="eastAsia" w:ascii="黑体" w:hAnsi="黑体" w:eastAsia="黑体"/>
          <w:lang w:val="en-US" w:eastAsia="zh-CN"/>
        </w:rPr>
        <w:t>x</w:t>
      </w:r>
      <w:r>
        <w:rPr>
          <w:rFonts w:hint="eastAsia" w:ascii="黑体" w:hAnsi="黑体" w:eastAsia="黑体"/>
        </w:rPr>
        <w:t>iang-style bone-setting manipulation</w:t>
      </w:r>
    </w:p>
    <w:p w14:paraId="6AAC6A21">
      <w:pPr>
        <w:pStyle w:val="56"/>
        <w:ind w:firstLine="420"/>
      </w:pPr>
      <w:r>
        <w:rPr>
          <w:rFonts w:hint="eastAsia"/>
        </w:rPr>
        <w:t>以“筋骨并重，内外兼治，康复为先”为核心理念，由湖湘地域中医骨伤诸流派在长期传承与发展中形成的中医骨伤手法技术体系。手法以“轻、巧、柔、准”为核心特点，结合人体筋骨力学特点，采用摸、接、端、提、按、摩、推、拿等手法，辅以杉树皮小夹板固定，实现骨折复位与筋骨修复的中医骨伤治疗技术。</w:t>
      </w:r>
    </w:p>
    <w:p w14:paraId="328AE756">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桡骨远端骨折</w:t>
      </w:r>
      <w:r>
        <w:rPr>
          <w:rFonts w:hint="eastAsia" w:ascii="黑体" w:hAnsi="黑体" w:eastAsia="黑体"/>
          <w:lang w:val="en-US" w:eastAsia="zh-CN"/>
        </w:rPr>
        <w:t>d</w:t>
      </w:r>
      <w:r>
        <w:rPr>
          <w:rFonts w:hint="eastAsia" w:ascii="黑体" w:hAnsi="黑体" w:eastAsia="黑体"/>
        </w:rPr>
        <w:t>istal radius fracture</w:t>
      </w:r>
    </w:p>
    <w:p w14:paraId="5BD36820">
      <w:pPr>
        <w:pStyle w:val="56"/>
        <w:ind w:firstLine="420"/>
      </w:pPr>
      <w:r>
        <w:rPr>
          <w:rFonts w:hint="eastAsia"/>
        </w:rPr>
        <w:t>发生在距桡骨远端关节面3cm以内的骨折，是临床上最常见的骨折之一，约占急诊骨折病人的1/6。</w:t>
      </w:r>
    </w:p>
    <w:p w14:paraId="7A0071D8">
      <w:pPr>
        <w:pStyle w:val="223"/>
        <w:ind w:left="420" w:hanging="420" w:hangingChars="200"/>
        <w:rPr>
          <w:rFonts w:ascii="黑体" w:hAnsi="黑体" w:eastAsia="黑体"/>
          <w:color w:val="FF0000"/>
        </w:rPr>
      </w:pPr>
      <w:r>
        <w:rPr>
          <w:rFonts w:ascii="黑体" w:hAnsi="黑体" w:eastAsia="黑体"/>
        </w:rPr>
        <w:br w:type="textWrapping"/>
      </w:r>
      <w:r>
        <w:rPr>
          <w:rFonts w:hint="eastAsia" w:ascii="黑体" w:hAnsi="黑体" w:eastAsia="黑体"/>
        </w:rPr>
        <w:t>杉树皮小夹板</w:t>
      </w:r>
      <w:r>
        <w:rPr>
          <w:rFonts w:hint="eastAsia" w:ascii="黑体" w:hAnsi="黑体" w:eastAsia="黑体"/>
          <w:lang w:val="en-US" w:eastAsia="zh-CN"/>
        </w:rPr>
        <w:t>c</w:t>
      </w:r>
      <w:r>
        <w:rPr>
          <w:rFonts w:hint="eastAsia" w:ascii="黑体" w:hAnsi="黑体" w:eastAsia="黑体"/>
        </w:rPr>
        <w:t>hinese fir bark splint</w:t>
      </w:r>
    </w:p>
    <w:p w14:paraId="72298C66">
      <w:pPr>
        <w:pStyle w:val="56"/>
        <w:ind w:firstLine="420"/>
      </w:pPr>
      <w:r>
        <w:rPr>
          <w:rFonts w:hint="eastAsia"/>
        </w:rPr>
        <w:t>采用湖湘本土杉木树皮制作夹板，配合医用衬垫及绑带，对复位后的桡骨远端骨折部位实施外固定的方法。该方法的优点为透气性良好、质地轻便、塑形性能佳。</w:t>
      </w:r>
    </w:p>
    <w:p w14:paraId="1406028D">
      <w:pPr>
        <w:pStyle w:val="104"/>
        <w:spacing w:before="312" w:after="312"/>
        <w:rPr>
          <w:szCs w:val="21"/>
        </w:rPr>
      </w:pPr>
      <w:bookmarkStart w:id="65" w:name="_Toc242820275"/>
      <w:bookmarkStart w:id="66" w:name="_Toc242820315"/>
      <w:bookmarkStart w:id="67" w:name="_Toc217046375"/>
      <w:bookmarkStart w:id="68" w:name="_Toc240020783"/>
      <w:bookmarkStart w:id="69" w:name="_Toc240020538"/>
      <w:bookmarkStart w:id="70" w:name="_Toc242823328"/>
      <w:r>
        <w:rPr>
          <w:rFonts w:hint="eastAsia"/>
          <w:szCs w:val="21"/>
        </w:rPr>
        <w:t>诊断依据与分型</w:t>
      </w:r>
      <w:bookmarkEnd w:id="65"/>
      <w:bookmarkEnd w:id="66"/>
      <w:bookmarkEnd w:id="67"/>
      <w:bookmarkEnd w:id="68"/>
      <w:bookmarkEnd w:id="69"/>
      <w:bookmarkEnd w:id="70"/>
    </w:p>
    <w:p w14:paraId="113044EE">
      <w:pPr>
        <w:pStyle w:val="105"/>
        <w:numPr>
          <w:ilvl w:val="1"/>
          <w:numId w:val="32"/>
        </w:numPr>
        <w:spacing w:before="156" w:after="156"/>
      </w:pPr>
      <w:bookmarkStart w:id="71" w:name="_Toc217046376"/>
      <w:r>
        <w:rPr>
          <w:rFonts w:hint="eastAsia"/>
          <w:color w:val="000000"/>
          <w14:scene3d>
            <w14:lightRig w14:rig="threePt" w14:dir="t">
              <w14:rot w14:lat="0" w14:lon="0" w14:rev="0"/>
            </w14:lightRig>
          </w14:scene3d>
        </w:rPr>
        <w:t xml:space="preserve"> </w:t>
      </w:r>
      <w:bookmarkStart w:id="72" w:name="_Toc240020784"/>
      <w:bookmarkStart w:id="73" w:name="_Toc242820276"/>
      <w:bookmarkStart w:id="74" w:name="_Toc242820316"/>
      <w:bookmarkStart w:id="75" w:name="_Toc240020539"/>
      <w:bookmarkStart w:id="76" w:name="_Toc242823329"/>
      <w:r>
        <w:rPr>
          <w:rFonts w:hint="eastAsia"/>
          <w:color w:val="000000"/>
          <w14:scene3d>
            <w14:lightRig w14:rig="threePt" w14:dir="t">
              <w14:rot w14:lat="0" w14:lon="0" w14:rev="0"/>
            </w14:lightRig>
          </w14:scene3d>
        </w:rPr>
        <w:t>诊断依据</w:t>
      </w:r>
      <w:bookmarkEnd w:id="71"/>
      <w:bookmarkEnd w:id="72"/>
      <w:bookmarkEnd w:id="73"/>
      <w:bookmarkEnd w:id="74"/>
      <w:bookmarkEnd w:id="75"/>
      <w:bookmarkEnd w:id="76"/>
    </w:p>
    <w:p w14:paraId="6ED58A2D">
      <w:pPr>
        <w:pStyle w:val="65"/>
        <w:spacing w:before="156" w:after="156"/>
      </w:pPr>
      <w:bookmarkStart w:id="77" w:name="_Toc242823330"/>
      <w:bookmarkStart w:id="78" w:name="_Toc240020785"/>
      <w:bookmarkStart w:id="79" w:name="_Toc242820317"/>
      <w:bookmarkStart w:id="80" w:name="_Toc242820277"/>
      <w:bookmarkStart w:id="81" w:name="_Toc240020540"/>
      <w:r>
        <w:t>病史</w:t>
      </w:r>
      <w:bookmarkEnd w:id="77"/>
      <w:bookmarkEnd w:id="78"/>
      <w:bookmarkEnd w:id="79"/>
      <w:bookmarkEnd w:id="80"/>
      <w:bookmarkEnd w:id="81"/>
    </w:p>
    <w:p w14:paraId="37D63945">
      <w:pPr>
        <w:pStyle w:val="56"/>
        <w:ind w:firstLine="420"/>
      </w:pPr>
      <w:r>
        <w:t>有跌倒用手掌撑地的病史或有腕关节掌屈着地而受伤的病史。</w:t>
      </w:r>
    </w:p>
    <w:p w14:paraId="3405F5E7">
      <w:pPr>
        <w:pStyle w:val="65"/>
        <w:spacing w:before="156" w:after="156"/>
      </w:pPr>
      <w:bookmarkStart w:id="82" w:name="_Toc242820278"/>
      <w:bookmarkStart w:id="83" w:name="_Toc240020541"/>
      <w:bookmarkStart w:id="84" w:name="_Toc240020786"/>
      <w:bookmarkStart w:id="85" w:name="_Toc242820318"/>
      <w:bookmarkStart w:id="86" w:name="_Toc242823331"/>
      <w:r>
        <w:t>症状体征</w:t>
      </w:r>
      <w:bookmarkEnd w:id="82"/>
      <w:bookmarkEnd w:id="83"/>
      <w:bookmarkEnd w:id="84"/>
      <w:bookmarkEnd w:id="85"/>
      <w:bookmarkEnd w:id="86"/>
    </w:p>
    <w:p w14:paraId="0F925745">
      <w:pPr>
        <w:pStyle w:val="56"/>
        <w:ind w:firstLine="420"/>
      </w:pPr>
      <w:r>
        <w:t>腕部肿胀、疼痛剧烈，压痛明显，可触及骨擦感，腕关节活动功能障碍，典型畸形表现为餐叉样畸形或枪刺样畸形。</w:t>
      </w:r>
    </w:p>
    <w:p w14:paraId="6673646D">
      <w:pPr>
        <w:pStyle w:val="65"/>
        <w:spacing w:before="156" w:after="156"/>
      </w:pPr>
      <w:bookmarkStart w:id="87" w:name="_Toc242820319"/>
      <w:bookmarkStart w:id="88" w:name="_Toc240020787"/>
      <w:bookmarkStart w:id="89" w:name="_Toc242820279"/>
      <w:bookmarkStart w:id="90" w:name="_Toc240020542"/>
      <w:bookmarkStart w:id="91" w:name="_Toc242823332"/>
      <w:r>
        <w:t>影像学检查</w:t>
      </w:r>
      <w:bookmarkEnd w:id="87"/>
      <w:bookmarkEnd w:id="88"/>
      <w:bookmarkEnd w:id="89"/>
      <w:bookmarkEnd w:id="90"/>
      <w:bookmarkEnd w:id="91"/>
    </w:p>
    <w:p w14:paraId="7D3CEA3D">
      <w:pPr>
        <w:pStyle w:val="56"/>
        <w:ind w:firstLine="420"/>
      </w:pPr>
      <w:r>
        <w:t>腕关节正侧位X线片可见桡骨远端骨折线，明确骨折移位、成角情况。</w:t>
      </w:r>
    </w:p>
    <w:p w14:paraId="1FB41372">
      <w:pPr>
        <w:pStyle w:val="105"/>
        <w:spacing w:before="156" w:after="156"/>
        <w:rPr>
          <w:rFonts w:ascii="Times New Roman"/>
        </w:rPr>
      </w:pPr>
      <w:bookmarkStart w:id="92" w:name="_Toc240020543"/>
      <w:bookmarkStart w:id="93" w:name="_Toc217046377"/>
      <w:bookmarkStart w:id="94" w:name="_Toc242823333"/>
      <w:bookmarkStart w:id="95" w:name="_Toc242820280"/>
      <w:bookmarkStart w:id="96" w:name="_Toc240020788"/>
      <w:bookmarkStart w:id="97" w:name="_Toc242820320"/>
      <w:r>
        <w:rPr>
          <w:rFonts w:ascii="Times New Roman"/>
        </w:rPr>
        <w:t>分型</w:t>
      </w:r>
      <w:bookmarkEnd w:id="92"/>
      <w:bookmarkEnd w:id="93"/>
      <w:bookmarkEnd w:id="94"/>
      <w:bookmarkEnd w:id="95"/>
      <w:bookmarkEnd w:id="96"/>
      <w:bookmarkEnd w:id="97"/>
    </w:p>
    <w:p w14:paraId="0C64FB46">
      <w:pPr>
        <w:pStyle w:val="65"/>
        <w:spacing w:before="156" w:after="156"/>
      </w:pPr>
      <w:bookmarkStart w:id="98" w:name="_Toc242823334"/>
      <w:bookmarkStart w:id="99" w:name="_Toc242820321"/>
      <w:bookmarkStart w:id="100" w:name="_Toc242820281"/>
      <w:bookmarkStart w:id="101" w:name="_Toc240020544"/>
      <w:bookmarkStart w:id="102" w:name="_Toc240020789"/>
      <w:r>
        <w:t>伸直型骨折（</w:t>
      </w:r>
      <w:r>
        <w:rPr>
          <w:rFonts w:hint="eastAsia"/>
          <w:lang w:val="en-US" w:eastAsia="zh-CN"/>
        </w:rPr>
        <w:t>c</w:t>
      </w:r>
      <w:r>
        <w:t>olles骨折）</w:t>
      </w:r>
      <w:bookmarkEnd w:id="98"/>
      <w:bookmarkEnd w:id="99"/>
      <w:bookmarkEnd w:id="100"/>
      <w:bookmarkEnd w:id="101"/>
      <w:bookmarkEnd w:id="102"/>
    </w:p>
    <w:p w14:paraId="7881DAE4">
      <w:pPr>
        <w:pStyle w:val="56"/>
        <w:ind w:firstLine="420"/>
      </w:pPr>
      <w:r>
        <w:t>跌倒时手掌撑地，骨折远端向背侧、桡侧移位，占桡骨远端骨折的80%以上。示意图参见附录</w:t>
      </w:r>
      <w:r>
        <w:rPr>
          <w:rFonts w:hint="eastAsia"/>
        </w:rPr>
        <w:t>A图A.1。</w:t>
      </w:r>
    </w:p>
    <w:p w14:paraId="117C615E">
      <w:pPr>
        <w:pStyle w:val="65"/>
        <w:spacing w:before="156" w:after="156"/>
      </w:pPr>
      <w:bookmarkStart w:id="103" w:name="_Toc240020790"/>
      <w:bookmarkStart w:id="104" w:name="_Toc242820322"/>
      <w:bookmarkStart w:id="105" w:name="_Toc240020545"/>
      <w:bookmarkStart w:id="106" w:name="_Toc242820282"/>
      <w:bookmarkStart w:id="107" w:name="_Toc242823335"/>
      <w:r>
        <w:t>屈曲型骨折（</w:t>
      </w:r>
      <w:r>
        <w:rPr>
          <w:rFonts w:hint="eastAsia"/>
          <w:lang w:val="en-US" w:eastAsia="zh-CN"/>
        </w:rPr>
        <w:t>s</w:t>
      </w:r>
      <w:r>
        <w:t>mith骨折）</w:t>
      </w:r>
      <w:bookmarkEnd w:id="103"/>
      <w:bookmarkEnd w:id="104"/>
      <w:bookmarkEnd w:id="105"/>
      <w:bookmarkEnd w:id="106"/>
      <w:bookmarkEnd w:id="107"/>
    </w:p>
    <w:p w14:paraId="0C2651DF">
      <w:pPr>
        <w:pStyle w:val="56"/>
        <w:ind w:firstLine="420"/>
      </w:pPr>
      <w:r>
        <w:t>跌倒时手背撑地，骨折远端向掌侧、桡侧移位，临床相对少见。</w:t>
      </w:r>
      <w:r>
        <w:rPr>
          <w:rFonts w:hint="eastAsia" w:ascii="Times New Roman"/>
        </w:rPr>
        <w:t>示意图参见附录A图A.2。</w:t>
      </w:r>
    </w:p>
    <w:p w14:paraId="40BAC8DA">
      <w:pPr>
        <w:pStyle w:val="65"/>
        <w:spacing w:before="156" w:after="156"/>
      </w:pPr>
      <w:bookmarkStart w:id="108" w:name="_Toc240020546"/>
      <w:bookmarkStart w:id="109" w:name="_Toc240020791"/>
      <w:bookmarkStart w:id="110" w:name="_Toc242820283"/>
      <w:bookmarkStart w:id="111" w:name="_Toc242820323"/>
      <w:bookmarkStart w:id="112" w:name="_Toc242823336"/>
      <w:r>
        <w:rPr>
          <w:rFonts w:ascii="Times New Roman"/>
        </w:rPr>
        <w:t>巴尔通型骨折（</w:t>
      </w:r>
      <w:r>
        <w:rPr>
          <w:rFonts w:hint="eastAsia"/>
          <w:lang w:val="en-US" w:eastAsia="zh-CN"/>
        </w:rPr>
        <w:t>b</w:t>
      </w:r>
      <w:r>
        <w:rPr>
          <w:rFonts w:hint="eastAsia"/>
        </w:rPr>
        <w:t>arton骨折）</w:t>
      </w:r>
      <w:bookmarkEnd w:id="108"/>
      <w:bookmarkEnd w:id="109"/>
      <w:bookmarkEnd w:id="110"/>
      <w:bookmarkEnd w:id="111"/>
      <w:bookmarkEnd w:id="112"/>
    </w:p>
    <w:p w14:paraId="103B18E1">
      <w:pPr>
        <w:pStyle w:val="56"/>
        <w:ind w:firstLine="420"/>
      </w:pPr>
      <w:r>
        <w:rPr>
          <w:rFonts w:hint="eastAsia"/>
        </w:rPr>
        <w:t>骨折线累及腕关节面，并带着一小块关节软骨发生移位。根据移位的方向不同，又分为掌侧Barton骨折和背侧Barton骨折，属于关节内骨折，复位要求更高。示意图参见附录A图A.3。</w:t>
      </w:r>
    </w:p>
    <w:p w14:paraId="37E1652C">
      <w:pPr>
        <w:pStyle w:val="104"/>
        <w:spacing w:before="312" w:after="312"/>
      </w:pPr>
      <w:bookmarkStart w:id="113" w:name="_Toc242820324"/>
      <w:bookmarkStart w:id="114" w:name="_Toc242823337"/>
      <w:bookmarkStart w:id="115" w:name="_Toc242820284"/>
      <w:bookmarkStart w:id="116" w:name="_Toc240020547"/>
      <w:bookmarkStart w:id="117" w:name="_Toc217046378"/>
      <w:bookmarkStart w:id="118" w:name="_Toc240020792"/>
      <w:r>
        <w:rPr>
          <w:rFonts w:hint="eastAsia"/>
        </w:rPr>
        <w:t>操作准备</w:t>
      </w:r>
      <w:bookmarkEnd w:id="113"/>
      <w:bookmarkEnd w:id="114"/>
      <w:bookmarkEnd w:id="115"/>
      <w:bookmarkEnd w:id="116"/>
      <w:bookmarkEnd w:id="117"/>
      <w:bookmarkEnd w:id="118"/>
    </w:p>
    <w:p w14:paraId="47F201C4">
      <w:pPr>
        <w:pStyle w:val="105"/>
        <w:spacing w:before="156" w:after="156"/>
      </w:pPr>
      <w:bookmarkStart w:id="119" w:name="_Toc217046379"/>
      <w:bookmarkStart w:id="120" w:name="_Toc240020548"/>
      <w:bookmarkStart w:id="121" w:name="_Toc240020793"/>
      <w:bookmarkStart w:id="122" w:name="_Toc242823338"/>
      <w:bookmarkStart w:id="123" w:name="_Toc242820285"/>
      <w:bookmarkStart w:id="124" w:name="_Toc242820325"/>
      <w:r>
        <w:rPr>
          <w:rFonts w:hint="eastAsia"/>
        </w:rPr>
        <w:t>人员准备</w:t>
      </w:r>
      <w:bookmarkEnd w:id="119"/>
      <w:bookmarkEnd w:id="120"/>
      <w:bookmarkEnd w:id="121"/>
      <w:bookmarkEnd w:id="122"/>
      <w:bookmarkEnd w:id="123"/>
      <w:bookmarkEnd w:id="124"/>
    </w:p>
    <w:p w14:paraId="78A864B0">
      <w:pPr>
        <w:pStyle w:val="165"/>
      </w:pPr>
      <w:r>
        <w:rPr>
          <w:rFonts w:hint="eastAsia"/>
        </w:rPr>
        <w:t>术者操作前洗净双手，佩戴口罩，明确骨折分型，充分阅片，掌握骨折部位、移位情况（包括桡骨高度、尺偏角、掌倾角及关节面情况），制定个性化复位固定方案。</w:t>
      </w:r>
    </w:p>
    <w:p w14:paraId="6AE294AD">
      <w:pPr>
        <w:pStyle w:val="165"/>
      </w:pPr>
      <w:r>
        <w:rPr>
          <w:rFonts w:hint="eastAsia"/>
        </w:rPr>
        <w:t>向患者及家属告知操作目的、流程、风险（包括复位失败、骨折再移位、固定压迫导致血管神经损伤、骨筋膜室综合征、感染、关节僵硬等）及注意事项，签署知情同意书。</w:t>
      </w:r>
    </w:p>
    <w:p w14:paraId="04BDAF78">
      <w:pPr>
        <w:pStyle w:val="165"/>
      </w:pPr>
      <w:r>
        <w:rPr>
          <w:rFonts w:hint="eastAsia"/>
        </w:rPr>
        <w:t>助手1～2名，协助牵引及固定操作。</w:t>
      </w:r>
    </w:p>
    <w:p w14:paraId="1266AEAE">
      <w:pPr>
        <w:pStyle w:val="105"/>
        <w:spacing w:before="156" w:after="156"/>
      </w:pPr>
      <w:bookmarkStart w:id="125" w:name="_Toc217046380"/>
      <w:bookmarkStart w:id="126" w:name="_Toc240020549"/>
      <w:bookmarkStart w:id="127" w:name="_Toc242820326"/>
      <w:bookmarkStart w:id="128" w:name="_Toc240020794"/>
      <w:bookmarkStart w:id="129" w:name="_Toc242820286"/>
      <w:bookmarkStart w:id="130" w:name="_Toc242823339"/>
      <w:r>
        <w:rPr>
          <w:rFonts w:hint="eastAsia"/>
        </w:rPr>
        <w:t>器械与材料准备</w:t>
      </w:r>
      <w:bookmarkEnd w:id="125"/>
      <w:bookmarkEnd w:id="126"/>
      <w:bookmarkEnd w:id="127"/>
      <w:bookmarkEnd w:id="128"/>
      <w:bookmarkEnd w:id="129"/>
      <w:bookmarkEnd w:id="130"/>
    </w:p>
    <w:p w14:paraId="1D31E089">
      <w:pPr>
        <w:pStyle w:val="165"/>
      </w:pPr>
      <w:r>
        <w:rPr>
          <w:rFonts w:hint="eastAsia"/>
        </w:rPr>
        <w:t>准备湖湘杉树皮小夹板4块，包括掌侧、背侧、桡侧、尺侧夹板各1块。掌侧夹板：1块，长度从腕关节掌侧至前臂中上段，宽度</w:t>
      </w:r>
      <w:r>
        <w:rPr>
          <w:rFonts w:hint="eastAsia"/>
          <w:highlight w:val="yellow"/>
        </w:rPr>
        <w:t>适中</w:t>
      </w:r>
      <w:r>
        <w:rPr>
          <w:rFonts w:hint="eastAsia"/>
        </w:rPr>
        <w:t>；背侧夹板：1块，</w:t>
      </w:r>
      <w:r>
        <w:rPr>
          <w:rFonts w:hint="eastAsia"/>
          <w:highlight w:val="yellow"/>
        </w:rPr>
        <w:t>长度同掌侧</w:t>
      </w:r>
      <w:r>
        <w:rPr>
          <w:rFonts w:hint="eastAsia"/>
          <w:highlight w:val="yellow"/>
          <w:lang w:val="en-US" w:eastAsia="zh-CN"/>
        </w:rPr>
        <w:t>夹板</w:t>
      </w:r>
      <w:r>
        <w:rPr>
          <w:rFonts w:hint="eastAsia"/>
        </w:rPr>
        <w:t>，覆盖腕关节背侧至前臂中上段；桡侧夹板：1块，长度</w:t>
      </w:r>
      <w:r>
        <w:rPr>
          <w:rFonts w:hint="eastAsia"/>
          <w:lang w:val="en-US" w:eastAsia="zh-CN"/>
        </w:rPr>
        <w:t>比掌背侧夹板</w:t>
      </w:r>
      <w:r>
        <w:rPr>
          <w:rFonts w:hint="eastAsia"/>
          <w:highlight w:val="yellow"/>
        </w:rPr>
        <w:t>略短</w:t>
      </w:r>
      <w:r>
        <w:rPr>
          <w:rFonts w:hint="eastAsia"/>
        </w:rPr>
        <w:t>，覆盖桡骨茎突至前臂桡侧；尺侧夹板：1块，长度</w:t>
      </w:r>
      <w:r>
        <w:rPr>
          <w:rFonts w:hint="eastAsia"/>
          <w:lang w:val="en-US" w:eastAsia="zh-CN"/>
        </w:rPr>
        <w:t>比掌背侧夹板</w:t>
      </w:r>
      <w:r>
        <w:rPr>
          <w:rFonts w:hint="eastAsia"/>
          <w:highlight w:val="yellow"/>
        </w:rPr>
        <w:t>略短</w:t>
      </w:r>
      <w:r>
        <w:rPr>
          <w:rFonts w:hint="eastAsia"/>
        </w:rPr>
        <w:t>，覆盖尺骨小头至前臂尺侧。备齐医用脱脂棉、无菌纱布、压垫、胶布、剪刀、牵引带、前臂吊带等。</w:t>
      </w:r>
    </w:p>
    <w:p w14:paraId="7BA1B38D">
      <w:pPr>
        <w:pStyle w:val="165"/>
      </w:pPr>
      <w:r>
        <w:rPr>
          <w:rFonts w:hint="eastAsia"/>
        </w:rPr>
        <w:t>准备消肿止痛的中药外敷制剂。</w:t>
      </w:r>
    </w:p>
    <w:p w14:paraId="469BD77B">
      <w:pPr>
        <w:pStyle w:val="105"/>
        <w:spacing w:before="156" w:after="156"/>
      </w:pPr>
      <w:bookmarkStart w:id="131" w:name="_Toc242820287"/>
      <w:bookmarkStart w:id="132" w:name="_Toc242820327"/>
      <w:bookmarkStart w:id="133" w:name="_Toc240020550"/>
      <w:bookmarkStart w:id="134" w:name="_Toc242823340"/>
      <w:bookmarkStart w:id="135" w:name="_Toc217046381"/>
      <w:bookmarkStart w:id="136" w:name="_Toc240020795"/>
      <w:r>
        <w:rPr>
          <w:rFonts w:hint="eastAsia"/>
        </w:rPr>
        <w:t>患者准备</w:t>
      </w:r>
      <w:bookmarkEnd w:id="131"/>
      <w:bookmarkEnd w:id="132"/>
      <w:bookmarkEnd w:id="133"/>
      <w:bookmarkEnd w:id="134"/>
      <w:bookmarkEnd w:id="135"/>
      <w:bookmarkEnd w:id="136"/>
    </w:p>
    <w:p w14:paraId="16ABA76B">
      <w:pPr>
        <w:pStyle w:val="165"/>
      </w:pPr>
      <w:r>
        <w:rPr>
          <w:rFonts w:hint="eastAsia"/>
        </w:rPr>
        <w:t>评估患者全身状况，详细询问病史，排除手法禁忌等。</w:t>
      </w:r>
    </w:p>
    <w:p w14:paraId="532A66BE">
      <w:pPr>
        <w:pStyle w:val="165"/>
        <w:rPr>
          <w:rFonts w:hint="eastAsia" w:ascii="Times New Roman"/>
        </w:rPr>
      </w:pPr>
      <w:bookmarkStart w:id="137" w:name="_Toc217046382"/>
      <w:r>
        <w:rPr>
          <w:rFonts w:ascii="Times New Roman"/>
        </w:rPr>
        <w:t>协助患者取仰卧位或坐位，患肢外展，手腕部适当垫高，暴露腕部。</w:t>
      </w:r>
    </w:p>
    <w:p w14:paraId="3100885C">
      <w:pPr>
        <w:pStyle w:val="165"/>
        <w:rPr>
          <w:rFonts w:ascii="Times New Roman"/>
        </w:rPr>
      </w:pPr>
      <w:r>
        <w:rPr>
          <w:rFonts w:ascii="Times New Roman"/>
        </w:rPr>
        <w:t>复位前应拍摄患肢腕关节正侧位X线片，用来与初次X线片对比，以确认骨折移位情况。</w:t>
      </w:r>
    </w:p>
    <w:p w14:paraId="41DE5E45">
      <w:pPr>
        <w:pStyle w:val="104"/>
        <w:spacing w:before="312" w:after="312"/>
      </w:pPr>
      <w:bookmarkStart w:id="138" w:name="_Toc240020796"/>
      <w:bookmarkStart w:id="139" w:name="_Toc240020551"/>
      <w:bookmarkStart w:id="140" w:name="_Toc242820328"/>
      <w:bookmarkStart w:id="141" w:name="_Toc242820288"/>
      <w:bookmarkStart w:id="142" w:name="_Toc242823341"/>
      <w:r>
        <w:rPr>
          <w:rFonts w:hint="eastAsia"/>
        </w:rPr>
        <w:t>复位固定操作方法</w:t>
      </w:r>
      <w:bookmarkEnd w:id="137"/>
      <w:bookmarkEnd w:id="138"/>
      <w:bookmarkEnd w:id="139"/>
      <w:bookmarkEnd w:id="140"/>
      <w:bookmarkEnd w:id="141"/>
      <w:bookmarkEnd w:id="142"/>
    </w:p>
    <w:p w14:paraId="43F6A646">
      <w:pPr>
        <w:pStyle w:val="105"/>
        <w:spacing w:before="156" w:after="156"/>
        <w:rPr>
          <w:rFonts w:ascii="宋体" w:eastAsia="宋体"/>
        </w:rPr>
      </w:pPr>
      <w:bookmarkStart w:id="143" w:name="_Toc242820289"/>
      <w:bookmarkStart w:id="144" w:name="_Toc242820329"/>
      <w:bookmarkStart w:id="145" w:name="_Toc240020797"/>
      <w:bookmarkStart w:id="146" w:name="_Toc217046383"/>
      <w:bookmarkStart w:id="147" w:name="_Toc240020552"/>
      <w:bookmarkStart w:id="148" w:name="_Toc242823342"/>
      <w:r>
        <w:rPr>
          <w:rFonts w:hint="eastAsia"/>
        </w:rPr>
        <w:t>麻醉</w:t>
      </w:r>
      <w:bookmarkEnd w:id="143"/>
      <w:bookmarkEnd w:id="144"/>
      <w:bookmarkEnd w:id="145"/>
      <w:bookmarkEnd w:id="146"/>
      <w:bookmarkEnd w:id="147"/>
      <w:bookmarkEnd w:id="148"/>
      <w:bookmarkStart w:id="149" w:name="_Toc217046384"/>
    </w:p>
    <w:p w14:paraId="42E9E04A">
      <w:pPr>
        <w:pStyle w:val="56"/>
        <w:ind w:firstLine="420"/>
      </w:pPr>
      <w:bookmarkStart w:id="150" w:name="_Toc240020553"/>
      <w:r>
        <w:rPr>
          <w:rFonts w:hint="eastAsia"/>
        </w:rPr>
        <w:t>对疼痛耐受差者，采用腕部局部浸润麻醉或神经阻滞麻醉。麻醉操作需注意剂量符合临床用药规范，密切观察患者有无过敏反应等不良反应。</w:t>
      </w:r>
      <w:bookmarkEnd w:id="150"/>
    </w:p>
    <w:p w14:paraId="262900CD">
      <w:pPr>
        <w:pStyle w:val="105"/>
        <w:spacing w:before="156" w:after="156"/>
      </w:pPr>
      <w:bookmarkStart w:id="151" w:name="_Toc242823343"/>
      <w:bookmarkStart w:id="152" w:name="_Toc242820290"/>
      <w:bookmarkStart w:id="153" w:name="_Toc240020554"/>
      <w:bookmarkStart w:id="154" w:name="_Toc240020798"/>
      <w:bookmarkStart w:id="155" w:name="_Toc242820330"/>
      <w:r>
        <w:rPr>
          <w:rFonts w:hint="eastAsia"/>
        </w:rPr>
        <w:t>复位手法</w:t>
      </w:r>
      <w:bookmarkEnd w:id="149"/>
      <w:bookmarkEnd w:id="151"/>
      <w:bookmarkEnd w:id="152"/>
      <w:bookmarkEnd w:id="153"/>
      <w:bookmarkEnd w:id="154"/>
      <w:bookmarkEnd w:id="155"/>
    </w:p>
    <w:p w14:paraId="1444D02A">
      <w:pPr>
        <w:pStyle w:val="65"/>
        <w:spacing w:before="156" w:after="156"/>
      </w:pPr>
      <w:bookmarkStart w:id="156" w:name="_Toc242820291"/>
      <w:bookmarkStart w:id="157" w:name="_Toc242820331"/>
      <w:bookmarkStart w:id="158" w:name="_Toc240020799"/>
      <w:bookmarkStart w:id="159" w:name="_Toc242823344"/>
      <w:bookmarkStart w:id="160" w:name="_Toc240020555"/>
      <w:r>
        <w:rPr>
          <w:rFonts w:hint="eastAsia"/>
        </w:rPr>
        <w:t>总体原则</w:t>
      </w:r>
      <w:bookmarkEnd w:id="156"/>
      <w:bookmarkEnd w:id="157"/>
      <w:bookmarkEnd w:id="158"/>
      <w:bookmarkEnd w:id="159"/>
      <w:bookmarkEnd w:id="160"/>
    </w:p>
    <w:p w14:paraId="68749B50">
      <w:pPr>
        <w:pStyle w:val="56"/>
        <w:ind w:firstLine="420"/>
      </w:pPr>
      <w:r>
        <w:rPr>
          <w:rFonts w:hint="eastAsia"/>
        </w:rPr>
        <w:t>复位操作应遵循“先牵引、后复位，先纠正重叠、后矫正侧方及成角移位”的原则，手法强调“轻、巧、柔、准”，避免暴力。</w:t>
      </w:r>
    </w:p>
    <w:p w14:paraId="51F472DC">
      <w:pPr>
        <w:pStyle w:val="65"/>
        <w:spacing w:before="156" w:after="156"/>
      </w:pPr>
      <w:bookmarkStart w:id="161" w:name="_Toc240020556"/>
      <w:bookmarkStart w:id="162" w:name="_Toc242820292"/>
      <w:bookmarkStart w:id="163" w:name="_Toc242823345"/>
      <w:bookmarkStart w:id="164" w:name="_Toc240020800"/>
      <w:bookmarkStart w:id="165" w:name="_Toc242820332"/>
      <w:r>
        <w:t>伸直型骨折（</w:t>
      </w:r>
      <w:r>
        <w:rPr>
          <w:rFonts w:hint="eastAsia"/>
          <w:lang w:val="en-US" w:eastAsia="zh-CN"/>
        </w:rPr>
        <w:t>c</w:t>
      </w:r>
      <w:r>
        <w:t>olles骨折）复位</w:t>
      </w:r>
      <w:bookmarkEnd w:id="161"/>
      <w:bookmarkEnd w:id="162"/>
      <w:bookmarkEnd w:id="163"/>
      <w:bookmarkEnd w:id="164"/>
      <w:bookmarkEnd w:id="165"/>
    </w:p>
    <w:p w14:paraId="6527B529">
      <w:pPr>
        <w:pStyle w:val="164"/>
        <w:rPr>
          <w:szCs w:val="21"/>
        </w:rPr>
      </w:pPr>
      <w:r>
        <w:rPr>
          <w:rFonts w:hAnsi="宋体" w:cs="宋体"/>
          <w:b/>
          <w:szCs w:val="21"/>
        </w:rPr>
        <w:t>拔伸端提回旋法</w:t>
      </w:r>
      <w:r>
        <w:rPr>
          <w:rFonts w:hint="eastAsia"/>
          <w:szCs w:val="21"/>
        </w:rPr>
        <w:t>：患者取坐位或平卧位，屈肘90°，前臂旋前位，一助手握住上臂，术者两手分别握持患手大、小鱼际部，四指置于骨折近端掌侧，两手拇指在前臂背侧骨折端，摸清向背侧移位的远折端，并用拇指将其扣紧，做拔伸牵引，矫正重叠移位，同时极度掌曲尺偏，骨折得到复位。</w:t>
      </w:r>
    </w:p>
    <w:p w14:paraId="54C6D600">
      <w:pPr>
        <w:pStyle w:val="164"/>
        <w:rPr>
          <w:b/>
          <w:bCs/>
          <w:szCs w:val="21"/>
        </w:rPr>
      </w:pPr>
      <w:r>
        <w:rPr>
          <w:rFonts w:hAnsi="宋体" w:cs="宋体"/>
          <w:b/>
          <w:szCs w:val="21"/>
        </w:rPr>
        <w:t>牵抖掌屈尺偏法</w:t>
      </w:r>
      <w:r>
        <w:rPr>
          <w:rFonts w:hint="eastAsia"/>
          <w:szCs w:val="21"/>
        </w:rPr>
        <w:t>：患者取坐位或卧位，屈肘90°，前臂旋前位。一助手握持上臂，术者双手紧握患手大小鱼际部，两拇指并置于骨折远端背侧。先行持续对抗牵引（2～3）min，待重叠移位基本矫正后，术者迅速、有节律地猛力牵抖患手，同时顺势将腕关节极度掌屈尺偏，使骨折远端复位。此法可概括为“一拉二抖三屈掌四尺偏”口诀。</w:t>
      </w:r>
    </w:p>
    <w:p w14:paraId="042E6EA1">
      <w:pPr>
        <w:pStyle w:val="65"/>
        <w:spacing w:before="156" w:after="156"/>
      </w:pPr>
      <w:bookmarkStart w:id="166" w:name="_Toc242820293"/>
      <w:bookmarkStart w:id="167" w:name="_Toc240020557"/>
      <w:bookmarkStart w:id="168" w:name="_Toc240020801"/>
      <w:bookmarkStart w:id="169" w:name="_Toc242823346"/>
      <w:bookmarkStart w:id="170" w:name="_Toc242820333"/>
      <w:r>
        <w:rPr>
          <w:rFonts w:hint="eastAsia"/>
        </w:rPr>
        <w:t>屈曲型骨折（</w:t>
      </w:r>
      <w:r>
        <w:rPr>
          <w:rFonts w:hint="eastAsia"/>
          <w:lang w:val="en-US" w:eastAsia="zh-CN"/>
        </w:rPr>
        <w:t>s</w:t>
      </w:r>
      <w:r>
        <w:rPr>
          <w:rFonts w:hint="eastAsia"/>
        </w:rPr>
        <w:t>mith骨折）复位</w:t>
      </w:r>
      <w:bookmarkEnd w:id="166"/>
      <w:bookmarkEnd w:id="167"/>
      <w:bookmarkEnd w:id="168"/>
      <w:bookmarkEnd w:id="169"/>
      <w:bookmarkEnd w:id="170"/>
    </w:p>
    <w:p w14:paraId="15167077">
      <w:pPr>
        <w:pStyle w:val="164"/>
      </w:pPr>
      <w:r>
        <w:rPr>
          <w:rFonts w:hint="eastAsia"/>
          <w:b/>
        </w:rPr>
        <w:t>拔伸顶按法</w:t>
      </w:r>
      <w:r>
        <w:rPr>
          <w:rFonts w:hint="eastAsia"/>
        </w:rPr>
        <w:t>：患者取坐位或卧位，屈肘90°，前臂旋后位。一助手握持患肢前臂上段，另一助手握持患手拇指及余四指，做对抗牵引2min～3min。术者两手拇指由掌侧将骨折远端向背侧推挤，同时食、中、环三指将骨折近端由背侧向掌侧提拉。牵引手指的助手徐徐将腕关节背伸尺偏，使屈肌腱紧张，防止复位后骨折块再移位。</w:t>
      </w:r>
    </w:p>
    <w:p w14:paraId="4E11E254">
      <w:pPr>
        <w:pStyle w:val="164"/>
      </w:pPr>
      <w:r>
        <w:rPr>
          <w:rFonts w:hint="eastAsia"/>
          <w:b/>
        </w:rPr>
        <w:t>旋前按压尺偏法</w:t>
      </w:r>
      <w:r>
        <w:rPr>
          <w:rFonts w:hint="eastAsia"/>
        </w:rPr>
        <w:t>：患者取仰卧位或坐位，屈肘90°，前臂旋前位。一助手握持患肢前臂上段固定，术者双手拇指按压骨折远端掌侧，同时双手四指托住骨折近端背侧。在持续牵引下，术者拇指用力向背侧推顶骨折远端，四指将骨折近端向掌侧按压，同时助手配合将腕关节尺偏，以矫正桡偏畸形及掌侧移位。</w:t>
      </w:r>
    </w:p>
    <w:p w14:paraId="1C6285EC">
      <w:pPr>
        <w:pStyle w:val="65"/>
        <w:spacing w:before="156" w:after="156"/>
      </w:pPr>
      <w:bookmarkStart w:id="171" w:name="_Toc242820294"/>
      <w:bookmarkStart w:id="172" w:name="_Toc242823347"/>
      <w:bookmarkStart w:id="173" w:name="_Toc240020802"/>
      <w:bookmarkStart w:id="174" w:name="_Toc242820334"/>
      <w:bookmarkStart w:id="175" w:name="_Toc240020558"/>
      <w:r>
        <w:rPr>
          <w:rFonts w:hint="eastAsia"/>
        </w:rPr>
        <w:t>背侧型巴尔通型骨折（</w:t>
      </w:r>
      <w:r>
        <w:rPr>
          <w:rFonts w:hint="eastAsia"/>
          <w:lang w:val="en-US" w:eastAsia="zh-CN"/>
        </w:rPr>
        <w:t>b</w:t>
      </w:r>
      <w:r>
        <w:rPr>
          <w:rFonts w:hint="eastAsia"/>
        </w:rPr>
        <w:t>arton骨折）复位</w:t>
      </w:r>
      <w:bookmarkEnd w:id="171"/>
      <w:bookmarkEnd w:id="172"/>
      <w:bookmarkEnd w:id="173"/>
      <w:bookmarkEnd w:id="174"/>
      <w:bookmarkEnd w:id="175"/>
    </w:p>
    <w:p w14:paraId="7F5401CF">
      <w:pPr>
        <w:pStyle w:val="164"/>
      </w:pPr>
      <w:r>
        <w:rPr>
          <w:rFonts w:hint="eastAsia"/>
          <w:b/>
        </w:rPr>
        <w:t>拔伸端提回旋法</w:t>
      </w:r>
      <w:r>
        <w:rPr>
          <w:rFonts w:hint="eastAsia"/>
        </w:rPr>
        <w:t>：患者取坐位或卧位，屈肘90°，前臂旋前位。一助手握持患肢前臂上段，另一助手握持患手拇指及余四指，沿前臂纵轴做对抗牵引2min～3min，使腕关节脱位及骨折端嵌插得以松解。术者将两手拇指压于远端背侧骨折块近侧，其余四指环抱腕部掌侧。在持续牵引下，助手将腕关节轻度掌屈，术者两手拇指向远端和掌侧</w:t>
      </w:r>
      <w:bookmarkStart w:id="267" w:name="_GoBack"/>
      <w:bookmarkEnd w:id="267"/>
      <w:r>
        <w:rPr>
          <w:rFonts w:hint="eastAsia"/>
        </w:rPr>
        <w:t>推挤骨折块，使骨块复位至关节面原位。复位后，助手徐徐将腕关节背伸，利用腕掌侧韧带紧张维持复位稳定。</w:t>
      </w:r>
    </w:p>
    <w:p w14:paraId="00FA34C1">
      <w:pPr>
        <w:pStyle w:val="164"/>
      </w:pPr>
      <w:r>
        <w:rPr>
          <w:rFonts w:hint="eastAsia"/>
          <w:b/>
        </w:rPr>
        <w:t>牵引屈腕推挤法</w:t>
      </w:r>
      <w:r>
        <w:rPr>
          <w:rFonts w:hint="eastAsia"/>
        </w:rPr>
        <w:t>：患者仰卧位，前臂旋前位，一助手握住肘关节上肱骨下端，另一助手双手握住腕关节，两助手先进行对抗拔伸7s，术者双手四指握住骨折近端掌侧向上端提，同时两手拇指按压骨折远端向下按压，若有桡偏畸形，在向上端提的同时，握住近端向桡背侧做小回旋端提即可纠正背桡侧畸形及脱位。</w:t>
      </w:r>
    </w:p>
    <w:p w14:paraId="3B3DD1EB">
      <w:pPr>
        <w:pStyle w:val="65"/>
        <w:spacing w:before="156" w:after="156"/>
      </w:pPr>
      <w:bookmarkStart w:id="176" w:name="_Toc240020559"/>
      <w:bookmarkStart w:id="177" w:name="_Toc242820335"/>
      <w:bookmarkStart w:id="178" w:name="_Toc242820295"/>
      <w:bookmarkStart w:id="179" w:name="_Toc240020803"/>
      <w:bookmarkStart w:id="180" w:name="_Toc242823348"/>
      <w:r>
        <w:rPr>
          <w:rFonts w:hint="eastAsia"/>
        </w:rPr>
        <w:t>掌侧型巴尔通型骨折（Barton骨折）复位</w:t>
      </w:r>
      <w:bookmarkEnd w:id="176"/>
      <w:bookmarkEnd w:id="177"/>
      <w:bookmarkEnd w:id="178"/>
      <w:bookmarkEnd w:id="179"/>
      <w:bookmarkEnd w:id="180"/>
    </w:p>
    <w:p w14:paraId="29196A56">
      <w:pPr>
        <w:pStyle w:val="164"/>
      </w:pPr>
      <w:r>
        <w:rPr>
          <w:rFonts w:hint="eastAsia"/>
          <w:b/>
        </w:rPr>
        <w:t>拔伸顶按法</w:t>
      </w:r>
      <w:r>
        <w:rPr>
          <w:rFonts w:hint="eastAsia"/>
        </w:rPr>
        <w:t>：患者取坐位或卧位，屈肘90°，前臂中立位或轻度旋后位。一助手握持患肢前臂上段，另一助手握持患手拇指及余四指，沿前臂纵轴做对抗牵引2min～3min。术者两手拇指由掌侧将骨折远端向背侧推挤，同时食、中、环三指将骨折近端由背侧向掌侧提拉。在持续牵引下，助手徐徐将腕关节轻度掌屈，利用腕背侧韧带紧张产生的张力，辅助维持复位稳定。</w:t>
      </w:r>
    </w:p>
    <w:p w14:paraId="522A7A0C">
      <w:pPr>
        <w:pStyle w:val="164"/>
      </w:pPr>
      <w:r>
        <w:rPr>
          <w:rFonts w:hint="eastAsia"/>
          <w:b/>
        </w:rPr>
        <w:t>牵引屈腕推顶法</w:t>
      </w:r>
      <w:r>
        <w:rPr>
          <w:rFonts w:hint="eastAsia"/>
        </w:rPr>
        <w:t>：患者仰卧位，屈肘90°，前臂旋后位。一助手握持肘关节上肱骨下端，另一助手双手握持腕关节，两助手先行对抗拔伸约7s。术者双手四指握住骨折近端背侧向掌侧按压，同时两手拇指按压骨折远端掌侧向背侧顶推。复位成功时，拇指可感到明显的骨折端滑动感，或闻及弹响声。</w:t>
      </w:r>
    </w:p>
    <w:p w14:paraId="74C4AB96">
      <w:pPr>
        <w:pStyle w:val="105"/>
        <w:spacing w:before="156" w:after="156"/>
      </w:pPr>
      <w:bookmarkStart w:id="181" w:name="_Toc242820296"/>
      <w:bookmarkStart w:id="182" w:name="_Toc240020804"/>
      <w:bookmarkStart w:id="183" w:name="_Toc217046385"/>
      <w:bookmarkStart w:id="184" w:name="_Toc242820336"/>
      <w:bookmarkStart w:id="185" w:name="_Toc240020560"/>
      <w:bookmarkStart w:id="186" w:name="_Toc242823349"/>
      <w:r>
        <w:rPr>
          <w:rFonts w:hint="eastAsia"/>
        </w:rPr>
        <w:t>固定方法</w:t>
      </w:r>
      <w:bookmarkEnd w:id="181"/>
      <w:bookmarkEnd w:id="182"/>
      <w:bookmarkEnd w:id="183"/>
      <w:bookmarkEnd w:id="184"/>
      <w:bookmarkEnd w:id="185"/>
      <w:bookmarkEnd w:id="186"/>
    </w:p>
    <w:p w14:paraId="15E042A9">
      <w:pPr>
        <w:pStyle w:val="65"/>
        <w:spacing w:before="156" w:after="156"/>
      </w:pPr>
      <w:bookmarkStart w:id="187" w:name="_Toc242820337"/>
      <w:bookmarkStart w:id="188" w:name="_Toc240020805"/>
      <w:bookmarkStart w:id="189" w:name="_Toc242823350"/>
      <w:bookmarkStart w:id="190" w:name="_Toc240020561"/>
      <w:bookmarkStart w:id="191" w:name="_Toc242820297"/>
      <w:r>
        <w:rPr>
          <w:rFonts w:hint="eastAsia"/>
        </w:rPr>
        <w:t>压垫，夹板固定</w:t>
      </w:r>
      <w:bookmarkEnd w:id="187"/>
      <w:bookmarkEnd w:id="188"/>
      <w:bookmarkEnd w:id="189"/>
      <w:bookmarkEnd w:id="190"/>
      <w:bookmarkEnd w:id="191"/>
    </w:p>
    <w:p w14:paraId="2B39F059">
      <w:pPr>
        <w:pStyle w:val="164"/>
      </w:pPr>
      <w:r>
        <w:t>伸直型骨折</w:t>
      </w:r>
      <w:r>
        <w:rPr>
          <w:rFonts w:hint="eastAsia"/>
        </w:rPr>
        <w:t>：</w:t>
      </w:r>
      <w:r>
        <w:t>伸直型骨折先在骨折远端背侧和近端掌侧，</w:t>
      </w:r>
      <w:r>
        <w:rPr>
          <w:rFonts w:hint="eastAsia"/>
        </w:rPr>
        <w:t>（桡侧）</w:t>
      </w:r>
      <w:r>
        <w:t>按两垫固定原则分别放置一平垫，然后放上夹板，夹板上端达前臂中、上1/3，桡、背侧夹板下端应超过腕关节</w:t>
      </w:r>
      <w:r>
        <w:rPr>
          <w:rFonts w:hint="eastAsia"/>
        </w:rPr>
        <w:t>固定于掌屈尺偏位</w:t>
      </w:r>
      <w:r>
        <w:t>，限制手腕的桡偏和背伸活动</w:t>
      </w:r>
      <w:r>
        <w:rPr>
          <w:rFonts w:hint="eastAsia"/>
        </w:rPr>
        <w:t>。</w:t>
      </w:r>
    </w:p>
    <w:p w14:paraId="7ED5D279">
      <w:pPr>
        <w:pStyle w:val="164"/>
      </w:pPr>
      <w:r>
        <w:rPr>
          <w:rFonts w:hint="eastAsia"/>
        </w:rPr>
        <w:t>屈曲型骨折：屈曲型骨折则在远端的掌侧和近端的背侧各放一平垫，桡、掌侧夹板下端应超过腕关节，固定于背伸尺偏位，限制桡偏和掌屈活动。</w:t>
      </w:r>
    </w:p>
    <w:p w14:paraId="369E9734">
      <w:pPr>
        <w:pStyle w:val="164"/>
      </w:pPr>
      <w:r>
        <w:rPr>
          <w:rFonts w:hint="eastAsia"/>
        </w:rPr>
        <w:t>背侧缘骨折：骨折远端背侧和近端掌侧各放一平垫。掌侧夹板下端超腕关节，固定于背伸位，利用腕掌侧韧带张力拮抗背侧脱位。</w:t>
      </w:r>
    </w:p>
    <w:p w14:paraId="07B251AA">
      <w:pPr>
        <w:pStyle w:val="164"/>
      </w:pPr>
      <w:r>
        <w:rPr>
          <w:rFonts w:hint="eastAsia"/>
        </w:rPr>
        <w:t>掌侧缘骨折：骨折远端掌侧和近端背侧各放一平垫。背侧夹板下端超腕关节，固定于掌屈位，利用腕背侧韧带张力拮抗掌侧脱位。</w:t>
      </w:r>
    </w:p>
    <w:p w14:paraId="548E1415">
      <w:pPr>
        <w:pStyle w:val="65"/>
        <w:spacing w:before="156" w:after="156"/>
      </w:pPr>
      <w:bookmarkStart w:id="192" w:name="_Toc240020562"/>
      <w:bookmarkStart w:id="193" w:name="_Toc240020806"/>
      <w:bookmarkStart w:id="194" w:name="_Toc242820298"/>
      <w:bookmarkStart w:id="195" w:name="_Toc242820338"/>
      <w:bookmarkStart w:id="196" w:name="_Toc242823351"/>
      <w:r>
        <w:rPr>
          <w:rFonts w:hint="eastAsia"/>
        </w:rPr>
        <w:t>绑带固定</w:t>
      </w:r>
      <w:bookmarkEnd w:id="192"/>
      <w:bookmarkEnd w:id="193"/>
      <w:bookmarkEnd w:id="194"/>
      <w:bookmarkEnd w:id="195"/>
      <w:bookmarkEnd w:id="196"/>
    </w:p>
    <w:p w14:paraId="48CADA0C">
      <w:pPr>
        <w:pStyle w:val="56"/>
        <w:ind w:firstLine="420"/>
      </w:pPr>
      <w:r>
        <w:rPr>
          <w:rFonts w:hint="eastAsia"/>
        </w:rPr>
        <w:t>压垫、夹板放妥后，用3条布带于夹板近、中、远1/3处捆扎，松紧度以能在夹板下上下移动1.0cm为宜。</w:t>
      </w:r>
    </w:p>
    <w:p w14:paraId="63719ED7">
      <w:pPr>
        <w:pStyle w:val="65"/>
        <w:spacing w:before="156" w:after="156"/>
      </w:pPr>
      <w:r>
        <w:rPr>
          <w:rFonts w:hint="eastAsia"/>
        </w:rPr>
        <w:t xml:space="preserve"> </w:t>
      </w:r>
      <w:bookmarkStart w:id="197" w:name="_Toc242823352"/>
      <w:bookmarkStart w:id="198" w:name="_Toc240020807"/>
      <w:bookmarkStart w:id="199" w:name="_Toc242820299"/>
      <w:bookmarkStart w:id="200" w:name="_Toc242820339"/>
      <w:bookmarkStart w:id="201" w:name="_Toc240020563"/>
      <w:r>
        <w:rPr>
          <w:rFonts w:hint="eastAsia"/>
        </w:rPr>
        <w:t>体位固定及时间</w:t>
      </w:r>
      <w:bookmarkEnd w:id="197"/>
      <w:bookmarkEnd w:id="198"/>
      <w:bookmarkEnd w:id="199"/>
      <w:bookmarkEnd w:id="200"/>
      <w:bookmarkEnd w:id="201"/>
    </w:p>
    <w:p w14:paraId="5E2229FE">
      <w:pPr>
        <w:pStyle w:val="56"/>
        <w:ind w:firstLine="420"/>
      </w:pPr>
      <w:r>
        <w:rPr>
          <w:rFonts w:hint="eastAsia"/>
        </w:rPr>
        <w:t>复位固定后，将前臂置中立位，屈肘90，悬挂胸前，保持固定(4～6)周，儿童为3周左右，老年合并骨质疏松症患者固定6周。</w:t>
      </w:r>
    </w:p>
    <w:p w14:paraId="715B069D">
      <w:pPr>
        <w:pStyle w:val="104"/>
        <w:spacing w:before="312" w:after="312"/>
      </w:pPr>
      <w:bookmarkStart w:id="202" w:name="_Toc240020564"/>
      <w:bookmarkStart w:id="203" w:name="_Toc242820300"/>
      <w:bookmarkStart w:id="204" w:name="_Toc242820340"/>
      <w:bookmarkStart w:id="205" w:name="_Toc242823353"/>
      <w:bookmarkStart w:id="206" w:name="_Toc217046386"/>
      <w:bookmarkStart w:id="207" w:name="_Toc240020808"/>
      <w:r>
        <w:rPr>
          <w:rFonts w:hint="eastAsia"/>
        </w:rPr>
        <w:t>术后调理与康复指导</w:t>
      </w:r>
      <w:bookmarkEnd w:id="202"/>
      <w:bookmarkEnd w:id="203"/>
      <w:bookmarkEnd w:id="204"/>
      <w:bookmarkEnd w:id="205"/>
      <w:bookmarkEnd w:id="206"/>
      <w:bookmarkEnd w:id="207"/>
    </w:p>
    <w:p w14:paraId="70F69671">
      <w:pPr>
        <w:pStyle w:val="105"/>
        <w:spacing w:before="156" w:after="156"/>
      </w:pPr>
      <w:bookmarkStart w:id="208" w:name="_Toc240020809"/>
      <w:bookmarkStart w:id="209" w:name="_Toc240020565"/>
      <w:bookmarkStart w:id="210" w:name="_Toc242823354"/>
      <w:bookmarkStart w:id="211" w:name="_Toc242820301"/>
      <w:bookmarkStart w:id="212" w:name="_Toc242820341"/>
      <w:bookmarkStart w:id="213" w:name="_Toc217046387"/>
      <w:r>
        <w:rPr>
          <w:rFonts w:hint="eastAsia"/>
        </w:rPr>
        <w:t>术后调理</w:t>
      </w:r>
      <w:bookmarkEnd w:id="208"/>
      <w:bookmarkEnd w:id="209"/>
      <w:bookmarkEnd w:id="210"/>
      <w:bookmarkEnd w:id="211"/>
      <w:bookmarkEnd w:id="212"/>
      <w:bookmarkEnd w:id="213"/>
    </w:p>
    <w:p w14:paraId="08F8B312">
      <w:pPr>
        <w:pStyle w:val="165"/>
      </w:pPr>
      <w:r>
        <w:rPr>
          <w:rFonts w:hint="eastAsia"/>
        </w:rPr>
        <w:t>术后(1～3)日，患肢肿胀疼痛明显者，宜活血祛瘀、消肿止痛，可内服湖湘骨伤验方活血止痛汤，或外敷湘派骨伤消肿止痛膏，每(2～3)日换药1次；肿胀消退后，改用活血通络膏外敷续疗。</w:t>
      </w:r>
    </w:p>
    <w:p w14:paraId="4057E52A">
      <w:pPr>
        <w:pStyle w:val="165"/>
      </w:pPr>
      <w:r>
        <w:rPr>
          <w:rFonts w:hint="eastAsia"/>
        </w:rPr>
        <w:t>可配合口服中药汤剂，内治遵循湖湘骨伤"破、和、补"三期辨证体系：初期（1～2）周予活血止痛汤，活血祛瘀、消肿止痛；中期（3～6）周予新伤续断汤，和营生新、接骨续筋，外敷接骨续筋药膏；后期（7周后）予补肾壮筋汤，益气血、补肝肾、强筋骨。外治与内治相须为用，体现湘派"内外兼治"之特色。</w:t>
      </w:r>
    </w:p>
    <w:p w14:paraId="3637E9D8">
      <w:pPr>
        <w:pStyle w:val="165"/>
      </w:pPr>
      <w:r>
        <w:rPr>
          <w:rFonts w:hint="eastAsia"/>
        </w:rPr>
        <w:t>解除夹板固定后，均可应用中药熏洗以舒筋活络，通利关节，可选用上肢损伤洗方或四肢损伤洗方。</w:t>
      </w:r>
    </w:p>
    <w:p w14:paraId="2428559B">
      <w:pPr>
        <w:pStyle w:val="105"/>
        <w:spacing w:before="156" w:after="156"/>
      </w:pPr>
      <w:bookmarkStart w:id="214" w:name="_Toc217046388"/>
      <w:bookmarkStart w:id="215" w:name="_Toc242820302"/>
      <w:bookmarkStart w:id="216" w:name="_Toc242823355"/>
      <w:bookmarkStart w:id="217" w:name="_Toc242820342"/>
      <w:bookmarkStart w:id="218" w:name="_Toc240020566"/>
      <w:bookmarkStart w:id="219" w:name="_Toc240020810"/>
      <w:r>
        <w:rPr>
          <w:rFonts w:hint="eastAsia"/>
        </w:rPr>
        <w:t>康复训练</w:t>
      </w:r>
      <w:bookmarkEnd w:id="214"/>
      <w:bookmarkEnd w:id="215"/>
      <w:bookmarkEnd w:id="216"/>
      <w:bookmarkEnd w:id="217"/>
      <w:bookmarkEnd w:id="218"/>
      <w:bookmarkEnd w:id="219"/>
    </w:p>
    <w:p w14:paraId="645FD910">
      <w:pPr>
        <w:pStyle w:val="165"/>
      </w:pPr>
      <w:r>
        <w:rPr>
          <w:rFonts w:hint="eastAsia"/>
        </w:rPr>
        <w:t>早期（术后1周～2周）。</w:t>
      </w:r>
      <w:r>
        <w:t>复位固定后即开始握拳伸指训练，握拳尽力收紧，伸指力求伸直，困难者健侧辅助完成。肩关节环转训练：站位，患肢由前向后画圈，尽力完成肩关节环转动作。每日3组，每组（10</w:t>
      </w:r>
      <w:r>
        <w:rPr>
          <w:rFonts w:hint="eastAsia"/>
        </w:rPr>
        <w:t>～</w:t>
      </w:r>
      <w:r>
        <w:t>15）次。</w:t>
      </w:r>
    </w:p>
    <w:p w14:paraId="7164AE75">
      <w:pPr>
        <w:pStyle w:val="165"/>
        <w:rPr>
          <w:rFonts w:ascii="Times New Roman"/>
        </w:rPr>
      </w:pPr>
      <w:r>
        <w:rPr>
          <w:rFonts w:hint="eastAsia"/>
        </w:rPr>
        <w:t>中期（术后3周～6周）。 满3周后，在前述锻炼基础上增加前臂旋前旋后训练，坐位或站位，肩关节自然放松，屈肘90°，缓慢完成旋前旋后动作，幅度以不加重疼痛为度，最大幅度位坚持10s～15s，每日3组，每组20次。拆除夹板后，逐步开展腕关节屈伸、桡尺偏、旋转等主动及被动训练。</w:t>
      </w:r>
    </w:p>
    <w:p w14:paraId="0C1BA016">
      <w:pPr>
        <w:pStyle w:val="165"/>
        <w:rPr>
          <w:rFonts w:ascii="Times New Roman"/>
        </w:rPr>
      </w:pPr>
      <w:r>
        <w:rPr>
          <w:rFonts w:hint="eastAsia"/>
        </w:rPr>
        <w:t>后期（术后7周～12周）。进行握力器、弹力带等抗阻力量训练，配合中药熏洗，每日（1～2）次，促进关节功能恢复。</w:t>
      </w:r>
    </w:p>
    <w:p w14:paraId="0E8F7871">
      <w:pPr>
        <w:pStyle w:val="104"/>
        <w:spacing w:before="312" w:after="312"/>
      </w:pPr>
      <w:bookmarkStart w:id="220" w:name="_Toc242820343"/>
      <w:bookmarkStart w:id="221" w:name="_Toc240020567"/>
      <w:bookmarkStart w:id="222" w:name="_Toc242823356"/>
      <w:bookmarkStart w:id="223" w:name="_Toc242820303"/>
      <w:bookmarkStart w:id="224" w:name="_Toc240020811"/>
      <w:r>
        <w:rPr>
          <w:rFonts w:hint="eastAsia"/>
        </w:rPr>
        <w:t>疗效评价</w:t>
      </w:r>
      <w:bookmarkEnd w:id="220"/>
      <w:bookmarkEnd w:id="221"/>
      <w:bookmarkEnd w:id="222"/>
      <w:bookmarkEnd w:id="223"/>
      <w:bookmarkEnd w:id="224"/>
    </w:p>
    <w:p w14:paraId="4AF75FCE">
      <w:pPr>
        <w:pStyle w:val="105"/>
        <w:spacing w:before="156" w:after="156"/>
      </w:pPr>
      <w:bookmarkStart w:id="225" w:name="_Toc242820344"/>
      <w:bookmarkStart w:id="226" w:name="_Toc240020568"/>
      <w:bookmarkStart w:id="227" w:name="_Toc242823357"/>
      <w:bookmarkStart w:id="228" w:name="_Toc240020812"/>
      <w:bookmarkStart w:id="229" w:name="_Toc242820304"/>
      <w:r>
        <w:t>治愈</w:t>
      </w:r>
      <w:bookmarkEnd w:id="225"/>
      <w:bookmarkEnd w:id="226"/>
      <w:bookmarkEnd w:id="227"/>
      <w:bookmarkEnd w:id="228"/>
      <w:bookmarkEnd w:id="229"/>
    </w:p>
    <w:p w14:paraId="10F9BA08">
      <w:pPr>
        <w:pStyle w:val="56"/>
        <w:ind w:firstLine="420"/>
      </w:pPr>
      <w:r>
        <w:t>骨折对位满意，连续性骨痂形成，局部无畸形、无肿痛，腕关节功能完全或基本恢复，掌屈、背伸及前臂旋转受限</w:t>
      </w:r>
      <w:r>
        <w:rPr>
          <w:rFonts w:hint="eastAsia"/>
        </w:rPr>
        <w:t>不大于</w:t>
      </w:r>
      <w:r>
        <w:t>15°。</w:t>
      </w:r>
    </w:p>
    <w:p w14:paraId="4A90DF2B">
      <w:pPr>
        <w:pStyle w:val="105"/>
        <w:spacing w:before="156" w:after="156"/>
        <w:rPr>
          <w:rFonts w:ascii="Times New Roman"/>
          <w:sz w:val="24"/>
        </w:rPr>
      </w:pPr>
      <w:bookmarkStart w:id="230" w:name="_Toc242820305"/>
      <w:bookmarkStart w:id="231" w:name="_Toc240020813"/>
      <w:bookmarkStart w:id="232" w:name="_Toc242820345"/>
      <w:bookmarkStart w:id="233" w:name="_Toc242823358"/>
      <w:bookmarkStart w:id="234" w:name="_Toc240020569"/>
      <w:r>
        <w:t>好转</w:t>
      </w:r>
      <w:bookmarkEnd w:id="230"/>
      <w:bookmarkEnd w:id="231"/>
      <w:bookmarkEnd w:id="232"/>
      <w:bookmarkEnd w:id="233"/>
      <w:bookmarkEnd w:id="234"/>
    </w:p>
    <w:p w14:paraId="40B442E4">
      <w:pPr>
        <w:pStyle w:val="56"/>
        <w:ind w:firstLine="420"/>
        <w:rPr>
          <w:rFonts w:ascii="Times New Roman"/>
          <w:sz w:val="24"/>
        </w:rPr>
      </w:pPr>
      <w:r>
        <w:t>骨折对位尚可，局部轻度疼痛、轻度畸形，腕关节掌屈、背伸及前臂旋转受限</w:t>
      </w:r>
      <w:r>
        <w:rPr>
          <w:rFonts w:hint="eastAsia"/>
        </w:rPr>
        <w:t>不大于</w:t>
      </w:r>
      <w:r>
        <w:t>45°。</w:t>
      </w:r>
    </w:p>
    <w:p w14:paraId="51B435AD">
      <w:pPr>
        <w:pStyle w:val="105"/>
        <w:spacing w:before="156" w:after="156"/>
        <w:rPr>
          <w:rFonts w:ascii="Times New Roman"/>
          <w:sz w:val="24"/>
        </w:rPr>
      </w:pPr>
      <w:bookmarkStart w:id="235" w:name="_Toc242823359"/>
      <w:bookmarkStart w:id="236" w:name="_Toc240020814"/>
      <w:bookmarkStart w:id="237" w:name="_Toc240020570"/>
      <w:bookmarkStart w:id="238" w:name="_Toc242820306"/>
      <w:bookmarkStart w:id="239" w:name="_Toc242820346"/>
      <w:r>
        <w:t>未愈</w:t>
      </w:r>
      <w:bookmarkEnd w:id="235"/>
      <w:bookmarkEnd w:id="236"/>
      <w:bookmarkEnd w:id="237"/>
      <w:bookmarkEnd w:id="238"/>
      <w:bookmarkEnd w:id="239"/>
    </w:p>
    <w:p w14:paraId="6AD903EE">
      <w:pPr>
        <w:pStyle w:val="56"/>
        <w:ind w:firstLine="420"/>
        <w:rPr>
          <w:rFonts w:ascii="Times New Roman"/>
          <w:sz w:val="24"/>
        </w:rPr>
      </w:pPr>
      <w:r>
        <w:t>骨折不愈合或畸形愈合，局部压痛、叩击痛存在，腕关节功能障碍。</w:t>
      </w:r>
    </w:p>
    <w:p w14:paraId="193D4056">
      <w:pPr>
        <w:pStyle w:val="104"/>
        <w:spacing w:before="312" w:after="312"/>
        <w:rPr>
          <w:color w:val="000000" w:themeColor="text1"/>
          <w14:textFill>
            <w14:solidFill>
              <w14:schemeClr w14:val="tx1"/>
            </w14:solidFill>
          </w14:textFill>
        </w:rPr>
      </w:pPr>
      <w:bookmarkStart w:id="240" w:name="_Toc242820307"/>
      <w:bookmarkStart w:id="241" w:name="_Toc242820347"/>
      <w:bookmarkStart w:id="242" w:name="_Toc242823360"/>
      <w:bookmarkStart w:id="243" w:name="_Toc240020815"/>
      <w:bookmarkStart w:id="244" w:name="_Toc217046390"/>
      <w:bookmarkStart w:id="245" w:name="_Toc240020571"/>
      <w:r>
        <w:rPr>
          <w:rFonts w:hint="eastAsia"/>
          <w:color w:val="000000" w:themeColor="text1"/>
          <w14:textFill>
            <w14:solidFill>
              <w14:schemeClr w14:val="tx1"/>
            </w14:solidFill>
          </w14:textFill>
        </w:rPr>
        <w:t>注意事项</w:t>
      </w:r>
      <w:bookmarkEnd w:id="240"/>
      <w:bookmarkEnd w:id="241"/>
      <w:bookmarkEnd w:id="242"/>
      <w:bookmarkEnd w:id="243"/>
      <w:bookmarkEnd w:id="244"/>
      <w:bookmarkEnd w:id="245"/>
    </w:p>
    <w:p w14:paraId="6F643B2E">
      <w:pPr>
        <w:pStyle w:val="162"/>
      </w:pPr>
      <w:r>
        <w:rPr>
          <w:rFonts w:hint="eastAsia"/>
        </w:rPr>
        <w:t>针对重叠成角不明显、老年患者、女姓患者复位手法相对要轻，畸形明显、成年男子、肌肉丰厚、两周以上的患者提拉手法要适当加重。</w:t>
      </w:r>
    </w:p>
    <w:p w14:paraId="6930DED9">
      <w:pPr>
        <w:pStyle w:val="162"/>
      </w:pPr>
      <w:r>
        <w:rPr>
          <w:rFonts w:hint="eastAsia"/>
        </w:rPr>
        <w:t>针对皮肤肿胀明显、皮肤薄、皮肤紫暗的高龄患者禁用暴力拔伸牵引。</w:t>
      </w:r>
    </w:p>
    <w:p w14:paraId="2905CCCF">
      <w:pPr>
        <w:pStyle w:val="162"/>
      </w:pPr>
      <w:r>
        <w:rPr>
          <w:rFonts w:hint="eastAsia"/>
        </w:rPr>
        <w:t>术后密切观察患肢皮肤颜色、温度、感觉及手指活动情况，若出现皮肤发紫、麻木、疼痛加剧等情况，需立即调整夹板松紧度。</w:t>
      </w:r>
    </w:p>
    <w:p w14:paraId="201C63AE">
      <w:pPr>
        <w:pStyle w:val="162"/>
      </w:pPr>
      <w:r>
        <w:rPr>
          <w:rFonts w:hint="eastAsia"/>
        </w:rPr>
        <w:t>复诊与调整：建议复位后3天、1周、2周、4周复查X线，根据骨折愈合情况调整固定。1周内是再移位高风险期，须重点复查。</w:t>
      </w:r>
    </w:p>
    <w:p w14:paraId="66E7902E">
      <w:pPr>
        <w:pStyle w:val="162"/>
      </w:pPr>
      <w:r>
        <w:rPr>
          <w:rFonts w:hint="eastAsia"/>
        </w:rPr>
        <w:t>固定细节：夹板固定方向（顺夹/反夹）应基于远端骨折线与近端骨折线的相对位置。远端在上应掌屈位固定；远端在下应背伸位固定。</w:t>
      </w:r>
    </w:p>
    <w:p w14:paraId="31844D01">
      <w:pPr>
        <w:pStyle w:val="162"/>
      </w:pPr>
      <w:r>
        <w:rPr>
          <w:rFonts w:hint="eastAsia"/>
        </w:rPr>
        <w:t>中药外敷：密切观察皮肤反应，出现过敏立即停用并处理。</w:t>
      </w:r>
    </w:p>
    <w:p w14:paraId="3A3A3D3C">
      <w:pPr>
        <w:pStyle w:val="104"/>
        <w:spacing w:before="312" w:after="312"/>
      </w:pPr>
      <w:bookmarkStart w:id="246" w:name="_Toc242820348"/>
      <w:bookmarkStart w:id="247" w:name="_Toc217046391"/>
      <w:bookmarkStart w:id="248" w:name="_Toc240020572"/>
      <w:bookmarkStart w:id="249" w:name="_Toc240020816"/>
      <w:bookmarkStart w:id="250" w:name="_Toc242820308"/>
      <w:bookmarkStart w:id="251" w:name="_Toc242823361"/>
      <w:r>
        <w:rPr>
          <w:rFonts w:hint="eastAsia"/>
        </w:rPr>
        <w:t>禁忌</w:t>
      </w:r>
      <w:bookmarkEnd w:id="246"/>
      <w:bookmarkEnd w:id="247"/>
      <w:bookmarkEnd w:id="248"/>
      <w:bookmarkEnd w:id="249"/>
      <w:bookmarkEnd w:id="250"/>
      <w:bookmarkEnd w:id="251"/>
    </w:p>
    <w:p w14:paraId="0FBF524E">
      <w:pPr>
        <w:pStyle w:val="56"/>
        <w:ind w:firstLine="4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下列情况不应进行复位处理：</w:t>
      </w:r>
    </w:p>
    <w:p w14:paraId="0EBDBF29">
      <w:pPr>
        <w:pStyle w:val="174"/>
      </w:pPr>
      <w:r>
        <w:rPr>
          <w:rFonts w:hint="eastAsia"/>
        </w:rPr>
        <w:t>开放性桡骨远端骨折或骨折端刺破皮肤者。</w:t>
      </w:r>
    </w:p>
    <w:p w14:paraId="440F0870">
      <w:pPr>
        <w:pStyle w:val="174"/>
      </w:pPr>
      <w:r>
        <w:rPr>
          <w:rFonts w:hint="eastAsia"/>
        </w:rPr>
        <w:t>骨折合并严重血管神经损伤、腕关节脱位无法手法复位者。</w:t>
      </w:r>
    </w:p>
    <w:p w14:paraId="5B6F64CC">
      <w:pPr>
        <w:pStyle w:val="174"/>
      </w:pPr>
      <w:r>
        <w:rPr>
          <w:rFonts w:hint="eastAsia"/>
        </w:rPr>
        <w:t>患者有严重心脑血管疾病、凝血功能障碍、糖尿病血糖控制不佳等，无法耐受手法复位者。</w:t>
      </w:r>
    </w:p>
    <w:p w14:paraId="7CB916D7">
      <w:pPr>
        <w:pStyle w:val="174"/>
      </w:pPr>
      <w:r>
        <w:rPr>
          <w:rFonts w:hint="eastAsia"/>
        </w:rPr>
        <w:t>骨质疏松严重、骨折端粉碎性严重，手法复位后无法维持对位者。</w:t>
      </w:r>
    </w:p>
    <w:p w14:paraId="4562A3D5">
      <w:pPr>
        <w:pStyle w:val="174"/>
      </w:pPr>
      <w:r>
        <w:rPr>
          <w:rFonts w:hint="eastAsia"/>
        </w:rPr>
        <w:t>病理性骨折（肿瘤、感染等）者及受伤时间过长（&gt;3周），骨折端已形成骨痂，闭合复位困难者。</w:t>
      </w:r>
    </w:p>
    <w:p w14:paraId="0E6C10F5">
      <w:pPr>
        <w:pStyle w:val="174"/>
        <w:sectPr>
          <w:pgSz w:w="11906" w:h="16838"/>
          <w:pgMar w:top="1928" w:right="1134" w:bottom="1134" w:left="1134" w:header="1418" w:footer="1134" w:gutter="284"/>
          <w:pgNumType w:start="1"/>
          <w:cols w:space="425" w:num="1"/>
          <w:formProt w:val="0"/>
          <w:docGrid w:type="lines" w:linePitch="312" w:charSpace="0"/>
        </w:sectPr>
      </w:pPr>
    </w:p>
    <w:bookmarkEnd w:id="28"/>
    <w:p w14:paraId="4EF7F85D">
      <w:pPr>
        <w:pStyle w:val="198"/>
        <w:rPr>
          <w:vanish w:val="0"/>
        </w:rPr>
      </w:pPr>
      <w:bookmarkStart w:id="252" w:name="BookMark5"/>
    </w:p>
    <w:p w14:paraId="6C8EB057">
      <w:pPr>
        <w:pStyle w:val="199"/>
        <w:rPr>
          <w:vanish w:val="0"/>
        </w:rPr>
      </w:pPr>
    </w:p>
    <w:p w14:paraId="219DE31B">
      <w:pPr>
        <w:pStyle w:val="76"/>
        <w:spacing w:after="156"/>
      </w:pPr>
      <w:r>
        <w:br w:type="textWrapping"/>
      </w:r>
      <w:bookmarkStart w:id="253" w:name="_Toc240020573"/>
      <w:bookmarkStart w:id="254" w:name="_Toc240020817"/>
      <w:bookmarkStart w:id="255" w:name="_Toc242820309"/>
      <w:bookmarkStart w:id="256" w:name="_Toc242823362"/>
      <w:bookmarkStart w:id="257" w:name="_Toc242820349"/>
      <w:r>
        <w:rPr>
          <w:rFonts w:hint="eastAsia"/>
        </w:rPr>
        <w:t>（资料性）</w:t>
      </w:r>
      <w:r>
        <w:br w:type="textWrapping"/>
      </w:r>
      <w:r>
        <w:rPr>
          <w:rFonts w:hint="eastAsia"/>
        </w:rPr>
        <w:t>桡骨远端骨折分型示意图</w:t>
      </w:r>
      <w:bookmarkEnd w:id="253"/>
      <w:bookmarkEnd w:id="254"/>
      <w:bookmarkEnd w:id="255"/>
      <w:bookmarkEnd w:id="256"/>
      <w:bookmarkEnd w:id="257"/>
    </w:p>
    <w:p w14:paraId="5B099220">
      <w:pPr>
        <w:pStyle w:val="211"/>
      </w:pPr>
      <w:r>
        <w:rPr>
          <w:rFonts w:hint="eastAsia"/>
        </w:rPr>
        <w:t>伸直型桡骨远端骨折示意图参见图A.1.</w:t>
      </w:r>
    </w:p>
    <w:p w14:paraId="008F998A">
      <w:pPr>
        <w:pStyle w:val="211"/>
        <w:numPr>
          <w:ilvl w:val="0"/>
          <w:numId w:val="0"/>
        </w:numPr>
      </w:pPr>
    </w:p>
    <w:p w14:paraId="65C83FF5">
      <w:pPr>
        <w:pStyle w:val="56"/>
        <w:ind w:firstLine="0" w:firstLineChars="0"/>
        <w:jc w:val="center"/>
      </w:pPr>
      <w:r>
        <w:drawing>
          <wp:inline distT="0" distB="0" distL="0" distR="0">
            <wp:extent cx="2259965" cy="1779270"/>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60453" cy="1780107"/>
                    </a:xfrm>
                    <a:prstGeom prst="rect">
                      <a:avLst/>
                    </a:prstGeom>
                    <a:noFill/>
                  </pic:spPr>
                </pic:pic>
              </a:graphicData>
            </a:graphic>
          </wp:inline>
        </w:drawing>
      </w:r>
    </w:p>
    <w:p w14:paraId="2134DCD8">
      <w:pPr>
        <w:pStyle w:val="83"/>
        <w:spacing w:before="156" w:after="156"/>
      </w:pPr>
      <w:r>
        <w:rPr>
          <w:rFonts w:hint="eastAsia"/>
        </w:rPr>
        <w:t>伸直型桡骨远端骨折示意图</w:t>
      </w:r>
    </w:p>
    <w:p w14:paraId="75A37E73">
      <w:pPr>
        <w:pStyle w:val="211"/>
      </w:pPr>
      <w:bookmarkStart w:id="258" w:name="_Toc240020574"/>
      <w:r>
        <w:rPr>
          <w:rFonts w:hint="eastAsia"/>
        </w:rPr>
        <w:t>屈曲型桡骨远端骨折示意图参见图A.2.</w:t>
      </w:r>
      <w:bookmarkEnd w:id="258"/>
    </w:p>
    <w:p w14:paraId="200A48CB">
      <w:pPr>
        <w:pStyle w:val="56"/>
        <w:ind w:firstLine="0" w:firstLineChars="0"/>
        <w:jc w:val="center"/>
      </w:pPr>
      <w:r>
        <w:drawing>
          <wp:inline distT="0" distB="0" distL="0" distR="0">
            <wp:extent cx="2233930" cy="18796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239401" cy="1883922"/>
                    </a:xfrm>
                    <a:prstGeom prst="rect">
                      <a:avLst/>
                    </a:prstGeom>
                    <a:noFill/>
                  </pic:spPr>
                </pic:pic>
              </a:graphicData>
            </a:graphic>
          </wp:inline>
        </w:drawing>
      </w:r>
    </w:p>
    <w:p w14:paraId="20DBD8FF">
      <w:pPr>
        <w:pStyle w:val="83"/>
        <w:spacing w:before="156" w:after="156"/>
      </w:pPr>
      <w:r>
        <w:rPr>
          <w:rFonts w:hint="eastAsia"/>
        </w:rPr>
        <w:t>屈曲型桡骨远端骨折示意图</w:t>
      </w:r>
    </w:p>
    <w:p w14:paraId="5BCEA0FD">
      <w:pPr>
        <w:pStyle w:val="211"/>
      </w:pPr>
      <w:bookmarkStart w:id="259" w:name="_Toc240020575"/>
      <w:r>
        <w:rPr>
          <w:rFonts w:hint="eastAsia"/>
        </w:rPr>
        <w:t>巴尔通型骨折（背侧型、掌侧型）示意图参见图A.3。</w:t>
      </w:r>
      <w:bookmarkEnd w:id="259"/>
    </w:p>
    <w:p w14:paraId="1E01F3B5">
      <w:pPr>
        <w:pStyle w:val="56"/>
        <w:ind w:firstLine="420"/>
      </w:pPr>
      <w:r>
        <w:drawing>
          <wp:inline distT="0" distB="0" distL="0" distR="0">
            <wp:extent cx="5932170" cy="1256030"/>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932170" cy="1256030"/>
                    </a:xfrm>
                    <a:prstGeom prst="rect">
                      <a:avLst/>
                    </a:prstGeom>
                    <a:noFill/>
                  </pic:spPr>
                </pic:pic>
              </a:graphicData>
            </a:graphic>
          </wp:inline>
        </w:drawing>
      </w:r>
    </w:p>
    <w:p w14:paraId="436C0ECB">
      <w:pPr>
        <w:pStyle w:val="83"/>
        <w:spacing w:before="156" w:after="156"/>
      </w:pPr>
      <w:r>
        <w:rPr>
          <w:rFonts w:hint="eastAsia"/>
        </w:rPr>
        <w:t>巴尔通型骨折（背侧型、掌侧型）示意图</w:t>
      </w:r>
    </w:p>
    <w:p w14:paraId="2EF5914C">
      <w:pPr>
        <w:pStyle w:val="56"/>
        <w:ind w:firstLine="420"/>
      </w:pPr>
    </w:p>
    <w:bookmarkEnd w:id="252"/>
    <w:p w14:paraId="031987B5">
      <w:pPr>
        <w:pStyle w:val="56"/>
        <w:ind w:firstLine="420"/>
        <w:sectPr>
          <w:pgSz w:w="11906" w:h="16838"/>
          <w:pgMar w:top="1928" w:right="1134" w:bottom="1134" w:left="1134" w:header="1418" w:footer="1134" w:gutter="284"/>
          <w:cols w:space="425" w:num="1"/>
          <w:formProt w:val="0"/>
          <w:docGrid w:type="lines" w:linePitch="312" w:charSpace="0"/>
        </w:sectPr>
      </w:pPr>
      <w:bookmarkStart w:id="260" w:name="BookMark6"/>
    </w:p>
    <w:p w14:paraId="2F4EC7E5">
      <w:pPr>
        <w:pStyle w:val="63"/>
        <w:spacing w:after="156"/>
      </w:pPr>
      <w:bookmarkStart w:id="261" w:name="_Toc242820310"/>
      <w:bookmarkStart w:id="262" w:name="_Toc240020576"/>
      <w:bookmarkStart w:id="263" w:name="_Toc242823363"/>
      <w:bookmarkStart w:id="264" w:name="_Toc242820350"/>
      <w:bookmarkStart w:id="265" w:name="_Toc240020818"/>
      <w:r>
        <w:rPr>
          <w:rFonts w:hint="eastAsia"/>
          <w:spacing w:val="105"/>
        </w:rPr>
        <w:t>参考文</w:t>
      </w:r>
      <w:r>
        <w:rPr>
          <w:rFonts w:hint="eastAsia"/>
        </w:rPr>
        <w:t>献</w:t>
      </w:r>
      <w:bookmarkEnd w:id="261"/>
      <w:bookmarkEnd w:id="262"/>
      <w:bookmarkEnd w:id="263"/>
      <w:bookmarkEnd w:id="264"/>
      <w:bookmarkEnd w:id="265"/>
    </w:p>
    <w:p w14:paraId="16416F83">
      <w:pPr>
        <w:pStyle w:val="56"/>
        <w:ind w:firstLine="420"/>
      </w:pPr>
      <w:r>
        <w:rPr>
          <w:rFonts w:hint="eastAsia"/>
        </w:rPr>
        <w:t>[1] 国家中医药管理局. 中医病证诊断疗效标准：ZY/T001.9-94[S]. 南京：南京大学出版社，1994.</w:t>
      </w:r>
    </w:p>
    <w:p w14:paraId="1002C6C8">
      <w:pPr>
        <w:pStyle w:val="56"/>
        <w:ind w:firstLine="420"/>
      </w:pPr>
      <w:r>
        <w:rPr>
          <w:rFonts w:hint="eastAsia"/>
        </w:rPr>
        <w:t>[2] 湖南中医药大学. 湖湘中医骨伤科学[M]. 长沙：湖南科学技术出版社，2015.</w:t>
      </w:r>
    </w:p>
    <w:p w14:paraId="1477B32D">
      <w:pPr>
        <w:pStyle w:val="56"/>
        <w:ind w:firstLine="420"/>
      </w:pPr>
      <w:r>
        <w:rPr>
          <w:rFonts w:hint="eastAsia"/>
        </w:rPr>
        <w:t>[3] 中华医学会骨科分会. 临床诊疗指南•骨科分册[M]. 北京：人民卫生出版社，2009.</w:t>
      </w:r>
    </w:p>
    <w:p w14:paraId="531DCFEE">
      <w:pPr>
        <w:pStyle w:val="56"/>
        <w:ind w:firstLine="420"/>
      </w:pPr>
      <w:r>
        <w:rPr>
          <w:rFonts w:hint="eastAsia"/>
        </w:rPr>
        <w:t>[4] 黄桂成，王拥军. 中医骨伤科学[M]. 5版. 北京：中国中医药出版社，2021.</w:t>
      </w:r>
    </w:p>
    <w:p w14:paraId="62B55830">
      <w:pPr>
        <w:pStyle w:val="56"/>
        <w:ind w:firstLine="420"/>
      </w:pPr>
      <w:r>
        <w:rPr>
          <w:rFonts w:hint="eastAsia"/>
        </w:rPr>
        <w:t>[5]《中医骨伤科临床诊疗指南》（国家中医药管理局发布）</w:t>
      </w:r>
    </w:p>
    <w:p w14:paraId="1B338403">
      <w:pPr>
        <w:pStyle w:val="56"/>
        <w:ind w:firstLine="420"/>
      </w:pPr>
      <w:r>
        <w:rPr>
          <w:rFonts w:hint="eastAsia"/>
        </w:rPr>
        <w:t>[6]《骨科临床诊疗指南》（中华医学会骨科分会发布）</w:t>
      </w:r>
    </w:p>
    <w:p w14:paraId="438D283D">
      <w:pPr>
        <w:pStyle w:val="56"/>
        <w:ind w:firstLine="420"/>
      </w:pPr>
    </w:p>
    <w:p w14:paraId="70F23167">
      <w:pPr>
        <w:pStyle w:val="56"/>
        <w:ind w:firstLine="420"/>
      </w:pPr>
    </w:p>
    <w:bookmarkEnd w:id="260"/>
    <w:p w14:paraId="515FF5EF">
      <w:pPr>
        <w:pStyle w:val="56"/>
        <w:ind w:firstLine="0" w:firstLineChars="0"/>
        <w:jc w:val="center"/>
      </w:pPr>
      <w:bookmarkStart w:id="266" w:name="BookMark8"/>
      <w:r>
        <w:drawing>
          <wp:inline distT="0" distB="0" distL="0" distR="0">
            <wp:extent cx="1485900" cy="317500"/>
            <wp:effectExtent l="0" t="0" r="0" b="635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9"/>
                    <a:stretch>
                      <a:fillRect/>
                    </a:stretch>
                  </pic:blipFill>
                  <pic:spPr>
                    <a:xfrm>
                      <a:off x="0" y="0"/>
                      <a:ext cx="1485900" cy="317500"/>
                    </a:xfrm>
                    <a:prstGeom prst="rect">
                      <a:avLst/>
                    </a:prstGeom>
                  </pic:spPr>
                </pic:pic>
              </a:graphicData>
            </a:graphic>
          </wp:inline>
        </w:drawing>
      </w:r>
      <w:bookmarkEnd w:id="266"/>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94C">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E3B1">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CBE7E">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6BB2E">
    <w:pPr>
      <w:pStyle w:val="52"/>
    </w:pPr>
    <w:r>
      <w:fldChar w:fldCharType="begin"/>
    </w:r>
    <w:r>
      <w:instrText xml:space="preserve">PAGE   \* MERGEFORMAT</w:instrText>
    </w:r>
    <w:r>
      <w:fldChar w:fldCharType="separate"/>
    </w:r>
    <w:r>
      <w:rPr>
        <w:lang w:val="zh-CN"/>
      </w:rPr>
      <w:t>III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B7B06">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38C6E">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4B64">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972CB">
    <w:pPr>
      <w:pStyle w:val="61"/>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4FD0F">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9DE3FAD"/>
    <w:multiLevelType w:val="multilevel"/>
    <w:tmpl w:val="69DE3FAD"/>
    <w:lvl w:ilvl="0" w:tentative="0">
      <w:start w:val="4"/>
      <w:numFmt w:val="decimal"/>
      <w:lvlText w:val="%1"/>
      <w:lvlJc w:val="left"/>
      <w:pPr>
        <w:ind w:left="360" w:hanging="360"/>
      </w:pPr>
      <w:rPr>
        <w:rFonts w:hint="default"/>
        <w:color w:val="000000"/>
      </w:rPr>
    </w:lvl>
    <w:lvl w:ilvl="1" w:tentative="0">
      <w:start w:val="1"/>
      <w:numFmt w:val="decimal"/>
      <w:lvlText w:val="%1.%2"/>
      <w:lvlJc w:val="left"/>
      <w:pPr>
        <w:ind w:left="360" w:hanging="360"/>
      </w:pPr>
      <w:rPr>
        <w:rFonts w:hint="default"/>
        <w:color w:val="000000"/>
      </w:rPr>
    </w:lvl>
    <w:lvl w:ilvl="2" w:tentative="0">
      <w:start w:val="1"/>
      <w:numFmt w:val="decimal"/>
      <w:lvlText w:val="%1.%2.%3"/>
      <w:lvlJc w:val="left"/>
      <w:pPr>
        <w:ind w:left="720" w:hanging="720"/>
      </w:pPr>
      <w:rPr>
        <w:rFonts w:hint="default"/>
        <w:color w:val="000000"/>
      </w:rPr>
    </w:lvl>
    <w:lvl w:ilvl="3" w:tentative="0">
      <w:start w:val="1"/>
      <w:numFmt w:val="decimal"/>
      <w:lvlText w:val="%1.%2.%3.%4"/>
      <w:lvlJc w:val="left"/>
      <w:pPr>
        <w:ind w:left="720" w:hanging="720"/>
      </w:pPr>
      <w:rPr>
        <w:rFonts w:hint="default"/>
        <w:color w:val="000000"/>
      </w:rPr>
    </w:lvl>
    <w:lvl w:ilvl="4" w:tentative="0">
      <w:start w:val="1"/>
      <w:numFmt w:val="decimal"/>
      <w:lvlText w:val="%1.%2.%3.%4.%5"/>
      <w:lvlJc w:val="left"/>
      <w:pPr>
        <w:ind w:left="1080" w:hanging="1080"/>
      </w:pPr>
      <w:rPr>
        <w:rFonts w:hint="default"/>
        <w:color w:val="000000"/>
      </w:rPr>
    </w:lvl>
    <w:lvl w:ilvl="5" w:tentative="0">
      <w:start w:val="1"/>
      <w:numFmt w:val="decimal"/>
      <w:lvlText w:val="%1.%2.%3.%4.%5.%6"/>
      <w:lvlJc w:val="left"/>
      <w:pPr>
        <w:ind w:left="1080" w:hanging="1080"/>
      </w:pPr>
      <w:rPr>
        <w:rFonts w:hint="default"/>
        <w:color w:val="000000"/>
      </w:rPr>
    </w:lvl>
    <w:lvl w:ilvl="6" w:tentative="0">
      <w:start w:val="1"/>
      <w:numFmt w:val="decimal"/>
      <w:lvlText w:val="%1.%2.%3.%4.%5.%6.%7"/>
      <w:lvlJc w:val="left"/>
      <w:pPr>
        <w:ind w:left="1080" w:hanging="1080"/>
      </w:pPr>
      <w:rPr>
        <w:rFonts w:hint="default"/>
        <w:color w:val="000000"/>
      </w:rPr>
    </w:lvl>
    <w:lvl w:ilvl="7" w:tentative="0">
      <w:start w:val="1"/>
      <w:numFmt w:val="decimal"/>
      <w:lvlText w:val="%1.%2.%3.%4.%5.%6.%7.%8"/>
      <w:lvlJc w:val="left"/>
      <w:pPr>
        <w:ind w:left="1440" w:hanging="1440"/>
      </w:pPr>
      <w:rPr>
        <w:rFonts w:hint="default"/>
        <w:color w:val="000000"/>
      </w:rPr>
    </w:lvl>
    <w:lvl w:ilvl="8" w:tentative="0">
      <w:start w:val="1"/>
      <w:numFmt w:val="decimal"/>
      <w:lvlText w:val="%1.%2.%3.%4.%5.%6.%7.%8.%9"/>
      <w:lvlJc w:val="left"/>
      <w:pPr>
        <w:ind w:left="1440" w:hanging="1440"/>
      </w:pPr>
      <w:rPr>
        <w:rFonts w:hint="default"/>
        <w:color w:val="000000"/>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0"/>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4"/>
  </w:num>
  <w:num w:numId="31">
    <w:abstractNumId w:val="2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attachedTemplate r:id="rId1"/>
  <w:documentProtection w:edit="forms" w:enforcement="1" w:cryptProviderType="rsaFull" w:cryptAlgorithmClass="hash" w:cryptAlgorithmType="typeAny" w:cryptAlgorithmSid="4" w:cryptSpinCount="100000" w:hash="6jZRYNrhsne88vGjl93Eo+7ItaE=" w:salt="Tk1tnLa+//rgOkfBJUorvQ=="/>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3ED"/>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25B43"/>
    <w:rsid w:val="000303C3"/>
    <w:rsid w:val="000331D3"/>
    <w:rsid w:val="000346A5"/>
    <w:rsid w:val="000359C3"/>
    <w:rsid w:val="00035A7D"/>
    <w:rsid w:val="000365ED"/>
    <w:rsid w:val="000411A5"/>
    <w:rsid w:val="0004249A"/>
    <w:rsid w:val="00043282"/>
    <w:rsid w:val="00044286"/>
    <w:rsid w:val="00047F28"/>
    <w:rsid w:val="000503AA"/>
    <w:rsid w:val="000506A1"/>
    <w:rsid w:val="000515DD"/>
    <w:rsid w:val="00052326"/>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395B"/>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5E6"/>
    <w:rsid w:val="00176DFD"/>
    <w:rsid w:val="001852C9"/>
    <w:rsid w:val="00187806"/>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40E2"/>
    <w:rsid w:val="00336C64"/>
    <w:rsid w:val="00337162"/>
    <w:rsid w:val="0034194F"/>
    <w:rsid w:val="00341F0E"/>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394A"/>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719"/>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372"/>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4F48"/>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512"/>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5DB"/>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56"/>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53ED"/>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9F3201"/>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D6115"/>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673A4"/>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5ED0"/>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15D2"/>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5EE"/>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4EEA"/>
    <w:rsid w:val="00FE54AE"/>
    <w:rsid w:val="00FE576A"/>
    <w:rsid w:val="00FE7E79"/>
    <w:rsid w:val="00FF3E7D"/>
    <w:rsid w:val="00FF5B99"/>
    <w:rsid w:val="00FF730C"/>
    <w:rsid w:val="00FF73F4"/>
    <w:rsid w:val="00FF7CE4"/>
    <w:rsid w:val="00FF7E39"/>
    <w:rsid w:val="0A8E0A58"/>
    <w:rsid w:val="24B17EEE"/>
    <w:rsid w:val="25C64874"/>
    <w:rsid w:val="33F64577"/>
    <w:rsid w:val="38A60D97"/>
    <w:rsid w:val="3C42004F"/>
    <w:rsid w:val="427C033D"/>
    <w:rsid w:val="44CF48BB"/>
    <w:rsid w:val="4D5C34C2"/>
    <w:rsid w:val="52416EDB"/>
    <w:rsid w:val="536F14DF"/>
    <w:rsid w:val="6521764F"/>
    <w:rsid w:val="73C27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glossaryDocument" Target="glossary/document.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BD83B9DCD4347759D9B84AEA596D71E"/>
        <w:style w:val=""/>
        <w:category>
          <w:name w:val="常规"/>
          <w:gallery w:val="placeholder"/>
        </w:category>
        <w:types>
          <w:type w:val="bbPlcHdr"/>
        </w:types>
        <w:behaviors>
          <w:behavior w:val="content"/>
        </w:behaviors>
        <w:description w:val=""/>
        <w:guid w:val="{02682EE9-4565-48C6-9207-324E415DD25C}"/>
      </w:docPartPr>
      <w:docPartBody>
        <w:p w14:paraId="650E53C8">
          <w:pPr>
            <w:pStyle w:val="5"/>
          </w:pPr>
          <w:r>
            <w:rPr>
              <w:rStyle w:val="4"/>
              <w:rFonts w:hint="eastAsia"/>
            </w:rPr>
            <w:t>单击或点击此处输入文字。</w:t>
          </w:r>
        </w:p>
      </w:docPartBody>
    </w:docPart>
    <w:docPart>
      <w:docPartPr>
        <w:name w:val="CA880A5E4BAC496AA205F0D3DF5450BF"/>
        <w:style w:val=""/>
        <w:category>
          <w:name w:val="常规"/>
          <w:gallery w:val="placeholder"/>
        </w:category>
        <w:types>
          <w:type w:val="bbPlcHdr"/>
        </w:types>
        <w:behaviors>
          <w:behavior w:val="content"/>
        </w:behaviors>
        <w:description w:val=""/>
        <w:guid w:val="{74A521D0-DE90-4E1E-82A8-56AEAD96CE61}"/>
      </w:docPartPr>
      <w:docPartBody>
        <w:p w14:paraId="19AA1716">
          <w:pPr>
            <w:pStyle w:val="6"/>
          </w:pPr>
          <w:r>
            <w:rPr>
              <w:rStyle w:val="4"/>
              <w:rFonts w:hint="eastAsia"/>
            </w:rPr>
            <w:t>选择一项。</w:t>
          </w:r>
        </w:p>
      </w:docPartBody>
    </w:docPart>
    <w:docPart>
      <w:docPartPr>
        <w:name w:val="7FC846A906C441FEB732CB3DFF3976C0"/>
        <w:style w:val=""/>
        <w:category>
          <w:name w:val="常规"/>
          <w:gallery w:val="placeholder"/>
        </w:category>
        <w:types>
          <w:type w:val="bbPlcHdr"/>
        </w:types>
        <w:behaviors>
          <w:behavior w:val="content"/>
        </w:behaviors>
        <w:description w:val=""/>
        <w:guid w:val="{3C2E8876-790F-4F08-BD0B-3939BBFCEF4B}"/>
      </w:docPartPr>
      <w:docPartBody>
        <w:p w14:paraId="61594446">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625"/>
    <w:rsid w:val="002B4CA9"/>
    <w:rsid w:val="00F02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FBD83B9DCD4347759D9B84AEA596D71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CA880A5E4BAC496AA205F0D3DF5450B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7FC846A906C441FEB732CB3DFF3976C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9C02F7-D9DD-4DA7-AED3-A2BDF31E1D4E}">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11</Pages>
  <Words>5127</Words>
  <Characters>5626</Characters>
  <Lines>63</Lines>
  <Paragraphs>17</Paragraphs>
  <TotalTime>1</TotalTime>
  <ScaleCrop>false</ScaleCrop>
  <LinksUpToDate>false</LinksUpToDate>
  <CharactersWithSpaces>5797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2026-09-11T02:14:00Z</dcterms:created>
  <dc:creator>Windows 用户</dc:creator>
  <dc:description>&lt;config cover="true" show_menu="true" version="1.0.0" doctype="SDKXY"&gt;_x000d_
&lt;/config&gt;</dc:description>
  <cp:lastModifiedBy>WPS_599226698</cp:lastModifiedBy>
  <cp:lastPrinted>2020-08-30T10:00:00Z</cp:lastPrinted>
  <dcterms:modified xsi:type="dcterms:W3CDTF">2026-10-29T14:21:57Z</dcterms:modified>
  <dc:title>地方标准</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eyJoZGlkIjoiMzEwNTM5NzYwMDRjMzkwZTVkZjY2ODkwMGIxNGU0OTUiLCJ1c2VySWQiOiI1OTkyMjY2OTgifQ==</vt:lpwstr>
  </property>
  <property fmtid="{D5CDD505-2E9C-101B-9397-08002B2CF9AE}" pid="15" name="KSOProductBuildVer">
    <vt:lpwstr>2052-12.1.0.29161</vt:lpwstr>
  </property>
  <property fmtid="{D5CDD505-2E9C-101B-9397-08002B2CF9AE}" pid="16" name="ICV">
    <vt:lpwstr>C065178C8AF54563880AD3A2132FC869_12</vt:lpwstr>
  </property>
</Properties>
</file>