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03.120.10</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k 00</w:t>
            </w:r>
            <w:r>
              <w:rPr>
                <w:rFonts w:ascii="黑体" w:hAnsi="黑体" w:eastAsia="黑体"/>
                <w:sz w:val="21"/>
                <w:szCs w:val="21"/>
              </w:rPr>
              <w:fldChar w:fldCharType="end"/>
            </w:r>
            <w:bookmarkEnd w:id="1"/>
          </w:p>
        </w:tc>
      </w:tr>
    </w:tbl>
    <w:tbl>
      <w:tblPr>
        <w:tblStyle w:val="33"/>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Ex>
        <w:tc>
          <w:tcPr>
            <w:tcW w:w="6407" w:type="dxa"/>
          </w:tcPr>
          <w:p>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pPr>
        <w:pStyle w:val="50"/>
        <w:framePr w:w="9639" w:h="624" w:hRule="exact" w:hSpace="181" w:vSpace="181"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hint="eastAsia" w:ascii="黑体" w:hAnsi="黑体" w:eastAsia="黑体"/>
          <w:b w:val="0"/>
          <w:bCs w:val="0"/>
          <w:w w:val="100"/>
        </w:rPr>
      </w:pPr>
    </w:p>
    <w:p>
      <w:pPr>
        <w:pStyle w:val="197"/>
        <w:framePr w:h="6974" w:hRule="exact"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精品钢材行业中小企业数字化转型</w:t>
      </w:r>
    </w:p>
    <w:p>
      <w:pPr>
        <w:pStyle w:val="197"/>
        <w:framePr w:h="6974" w:hRule="exact" w:x="1419" w:anchorLock="1"/>
        <w:rPr>
          <w:rFonts w:hint="eastAsia"/>
        </w:rPr>
      </w:pPr>
      <w:r>
        <w:rPr>
          <w:rFonts w:hint="eastAsia"/>
        </w:rPr>
        <w:t>投入产出核算参考指南</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p>
    <w:p>
      <w:pPr>
        <w:pStyle w:val="125"/>
        <w:framePr w:w="9639" w:h="6974" w:hRule="exact" w:wrap="around" w:vAnchor="page" w:hAnchor="page" w:x="1419" w:y="6408" w:anchorLock="1"/>
        <w:textAlignment w:val="bottom"/>
        <w:rPr>
          <w:rFonts w:hint="eastAsia" w:ascii="黑体" w:hAnsi="黑体" w:eastAsia="黑体"/>
          <w:szCs w:val="28"/>
        </w:rPr>
      </w:pPr>
      <w:r>
        <w:rPr>
          <w:rFonts w:hint="eastAsia" w:ascii="黑体" w:hAnsi="黑体" w:eastAsia="黑体"/>
          <w:szCs w:val="28"/>
        </w:rPr>
        <w:t>Reference Guide on Input-Output Accounting for Digital Transformation of SMEs in the High-Quality Steel Industry</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hint="eastAsia" w:ascii="宋体" w:hAnsi="宋体"/>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1"/>
        <w:spacing w:after="468"/>
      </w:pPr>
      <w:bookmarkStart w:id="21" w:name="BookMark1"/>
      <w:r>
        <w:rPr>
          <w:rFonts w:hint="eastAsia"/>
          <w:spacing w:val="320"/>
        </w:rPr>
        <w:t>目</w:t>
      </w:r>
      <w:r>
        <w:rPr>
          <w:rFonts w:hint="eastAsia"/>
        </w:rPr>
        <w:t>次</w:t>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"_Toc233986972" </w:instrText>
      </w:r>
      <w:r>
        <w:fldChar w:fldCharType="separate"/>
      </w:r>
      <w:r>
        <w:rPr>
          <w:rStyle w:val="30"/>
          <w:rFonts w:hint="eastAsia"/>
        </w:rPr>
        <w:t>前言</w:t>
      </w:r>
      <w:r>
        <w:rPr>
          <w:rFonts w:hint="eastAsia"/>
        </w:rPr>
        <w:tab/>
      </w:r>
      <w:r>
        <w:rPr>
          <w:rFonts w:hint="eastAsia"/>
        </w:rPr>
        <w:fldChar w:fldCharType="begin"/>
      </w:r>
      <w:r>
        <w:rPr>
          <w:rFonts w:hint="eastAsia"/>
        </w:rPr>
        <w:instrText xml:space="preserve"> </w:instrText>
      </w:r>
      <w:r>
        <w:instrText xml:space="preserve">PAGEREF _Toc233986972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"_Toc233986973" </w:instrText>
      </w:r>
      <w:r>
        <w:fldChar w:fldCharType="separate"/>
      </w:r>
      <w:r>
        <w:rPr>
          <w:rStyle w:val="30"/>
          <w:rFonts w:hint="eastAsia"/>
        </w:rPr>
        <w:t>1</w:t>
      </w:r>
      <w:r>
        <w:rPr>
          <w:rStyle w:val="30"/>
        </w:rPr>
        <w:t xml:space="preserve"> </w:t>
      </w:r>
      <w:r>
        <w:rPr>
          <w:rStyle w:val="30"/>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_Toc233986973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"_Toc233986974" </w:instrText>
      </w:r>
      <w:r>
        <w:fldChar w:fldCharType="separate"/>
      </w:r>
      <w:r>
        <w:rPr>
          <w:rStyle w:val="30"/>
          <w:rFonts w:hint="eastAsia"/>
        </w:rPr>
        <w:t>2</w:t>
      </w:r>
      <w:r>
        <w:rPr>
          <w:rStyle w:val="30"/>
        </w:rPr>
        <w:t xml:space="preserve"> </w:t>
      </w:r>
      <w:r>
        <w:rPr>
          <w:rStyle w:val="30"/>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_Toc233986974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"_Toc233986975" </w:instrText>
      </w:r>
      <w:r>
        <w:fldChar w:fldCharType="separate"/>
      </w:r>
      <w:r>
        <w:rPr>
          <w:rStyle w:val="30"/>
          <w:rFonts w:hint="eastAsia"/>
        </w:rPr>
        <w:t>3</w:t>
      </w:r>
      <w:r>
        <w:rPr>
          <w:rStyle w:val="30"/>
        </w:rPr>
        <w:t xml:space="preserve"> </w:t>
      </w:r>
      <w:r>
        <w:rPr>
          <w:rStyle w:val="30"/>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_Toc233986975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"_Toc233986976" </w:instrText>
      </w:r>
      <w:r>
        <w:fldChar w:fldCharType="separate"/>
      </w:r>
      <w:r>
        <w:rPr>
          <w:rStyle w:val="30"/>
          <w:rFonts w:hint="eastAsia"/>
        </w:rPr>
        <w:t>4</w:t>
      </w:r>
      <w:r>
        <w:rPr>
          <w:rStyle w:val="30"/>
        </w:rPr>
        <w:t xml:space="preserve"> </w:t>
      </w:r>
      <w:r>
        <w:rPr>
          <w:rStyle w:val="30"/>
          <w:rFonts w:hint="eastAsia"/>
        </w:rPr>
        <w:t xml:space="preserve"> 符号</w:t>
      </w:r>
      <w:r>
        <w:rPr>
          <w:rFonts w:hint="eastAsia"/>
        </w:rPr>
        <w:tab/>
      </w:r>
      <w:r>
        <w:rPr>
          <w:rFonts w:hint="eastAsia"/>
        </w:rPr>
        <w:fldChar w:fldCharType="begin"/>
      </w:r>
      <w:r>
        <w:rPr>
          <w:rFonts w:hint="eastAsia"/>
        </w:rPr>
        <w:instrText xml:space="preserve"> </w:instrText>
      </w:r>
      <w:r>
        <w:instrText xml:space="preserve">PAGEREF _Toc233986976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"_Toc233986977" </w:instrText>
      </w:r>
      <w:r>
        <w:fldChar w:fldCharType="separate"/>
      </w:r>
      <w:r>
        <w:rPr>
          <w:rStyle w:val="30"/>
          <w:rFonts w:hint="eastAsia"/>
        </w:rPr>
        <w:t>5</w:t>
      </w:r>
      <w:r>
        <w:rPr>
          <w:rStyle w:val="30"/>
        </w:rPr>
        <w:t xml:space="preserve"> </w:t>
      </w:r>
      <w:r>
        <w:rPr>
          <w:rStyle w:val="30"/>
          <w:rFonts w:hint="eastAsia"/>
        </w:rPr>
        <w:t xml:space="preserve"> 指导原则</w:t>
      </w:r>
      <w:r>
        <w:rPr>
          <w:rFonts w:hint="eastAsia"/>
        </w:rPr>
        <w:tab/>
      </w:r>
      <w:r>
        <w:rPr>
          <w:rFonts w:hint="eastAsia"/>
        </w:rPr>
        <w:fldChar w:fldCharType="begin"/>
      </w:r>
      <w:r>
        <w:rPr>
          <w:rFonts w:hint="eastAsia"/>
        </w:rPr>
        <w:instrText xml:space="preserve"> </w:instrText>
      </w:r>
      <w:r>
        <w:instrText xml:space="preserve">PAGEREF _Toc233986977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"_Toc233986978" </w:instrText>
      </w:r>
      <w:r>
        <w:fldChar w:fldCharType="separate"/>
      </w:r>
      <w:r>
        <w:rPr>
          <w:rStyle w:val="30"/>
          <w:rFonts w:hint="eastAsia"/>
          <w14:scene3d w14:prst="orthographicFront">
            <w14:lightRig w14:rig="threePt" w14:dir="t">
              <w14:rot w14:lat="0" w14:lon="0" w14:rev="0"/>
            </w14:lightRig>
          </w14:scene3d>
        </w:rPr>
        <w:t>5.1</w:t>
      </w:r>
      <w:r>
        <w:rPr>
          <w:rStyle w:val="30"/>
          <w14:scene3d w14:prst="orthographicFront">
            <w14:lightRig w14:rig="threePt" w14:dir="t">
              <w14:rot w14:lat="0" w14:lon="0" w14:rev="0"/>
            </w14:lightRig>
          </w14:scene3d>
        </w:rPr>
        <w:t xml:space="preserve"> </w:t>
      </w:r>
      <w:r>
        <w:rPr>
          <w:rStyle w:val="30"/>
          <w:rFonts w:hint="eastAsia"/>
        </w:rPr>
        <w:t xml:space="preserve"> 客观准确原则</w:t>
      </w:r>
      <w:r>
        <w:rPr>
          <w:rFonts w:hint="eastAsia"/>
        </w:rPr>
        <w:tab/>
      </w:r>
      <w:r>
        <w:rPr>
          <w:rFonts w:hint="eastAsia"/>
        </w:rPr>
        <w:fldChar w:fldCharType="begin"/>
      </w:r>
      <w:r>
        <w:rPr>
          <w:rFonts w:hint="eastAsia"/>
        </w:rPr>
        <w:instrText xml:space="preserve"> </w:instrText>
      </w:r>
      <w:r>
        <w:instrText xml:space="preserve">PAGEREF _Toc233986978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"_Toc233986979" </w:instrText>
      </w:r>
      <w:r>
        <w:fldChar w:fldCharType="separate"/>
      </w:r>
      <w:r>
        <w:rPr>
          <w:rStyle w:val="30"/>
          <w:rFonts w:hint="eastAsia"/>
          <w14:scene3d w14:prst="orthographicFront">
            <w14:lightRig w14:rig="threePt" w14:dir="t">
              <w14:rot w14:lat="0" w14:lon="0" w14:rev="0"/>
            </w14:lightRig>
          </w14:scene3d>
        </w:rPr>
        <w:t>5.2</w:t>
      </w:r>
      <w:r>
        <w:rPr>
          <w:rStyle w:val="30"/>
          <w14:scene3d w14:prst="orthographicFront">
            <w14:lightRig w14:rig="threePt" w14:dir="t">
              <w14:rot w14:lat="0" w14:lon="0" w14:rev="0"/>
            </w14:lightRig>
          </w14:scene3d>
        </w:rPr>
        <w:t xml:space="preserve"> </w:t>
      </w:r>
      <w:r>
        <w:rPr>
          <w:rStyle w:val="30"/>
          <w:rFonts w:hint="eastAsia"/>
        </w:rPr>
        <w:t xml:space="preserve"> 全面系统原则</w:t>
      </w:r>
      <w:r>
        <w:rPr>
          <w:rFonts w:hint="eastAsia"/>
        </w:rPr>
        <w:tab/>
      </w:r>
      <w:r>
        <w:rPr>
          <w:rFonts w:hint="eastAsia"/>
        </w:rPr>
        <w:fldChar w:fldCharType="begin"/>
      </w:r>
      <w:r>
        <w:rPr>
          <w:rFonts w:hint="eastAsia"/>
        </w:rPr>
        <w:instrText xml:space="preserve"> </w:instrText>
      </w:r>
      <w:r>
        <w:instrText xml:space="preserve">PAGEREF _Toc233986979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"_Toc233986980" </w:instrText>
      </w:r>
      <w:r>
        <w:fldChar w:fldCharType="separate"/>
      </w:r>
      <w:r>
        <w:rPr>
          <w:rStyle w:val="30"/>
          <w:rFonts w:hint="eastAsia"/>
          <w14:scene3d w14:prst="orthographicFront">
            <w14:lightRig w14:rig="threePt" w14:dir="t">
              <w14:rot w14:lat="0" w14:lon="0" w14:rev="0"/>
            </w14:lightRig>
          </w14:scene3d>
        </w:rPr>
        <w:t>5.3</w:t>
      </w:r>
      <w:r>
        <w:rPr>
          <w:rStyle w:val="30"/>
          <w14:scene3d w14:prst="orthographicFront">
            <w14:lightRig w14:rig="threePt" w14:dir="t">
              <w14:rot w14:lat="0" w14:lon="0" w14:rev="0"/>
            </w14:lightRig>
          </w14:scene3d>
        </w:rPr>
        <w:t xml:space="preserve"> </w:t>
      </w:r>
      <w:r>
        <w:rPr>
          <w:rStyle w:val="30"/>
          <w:rFonts w:hint="eastAsia"/>
        </w:rPr>
        <w:t xml:space="preserve"> 分类量化原则</w:t>
      </w:r>
      <w:r>
        <w:rPr>
          <w:rFonts w:hint="eastAsia"/>
        </w:rPr>
        <w:tab/>
      </w:r>
      <w:r>
        <w:rPr>
          <w:rFonts w:hint="eastAsia"/>
        </w:rPr>
        <w:fldChar w:fldCharType="begin"/>
      </w:r>
      <w:r>
        <w:rPr>
          <w:rFonts w:hint="eastAsia"/>
        </w:rPr>
        <w:instrText xml:space="preserve"> </w:instrText>
      </w:r>
      <w:r>
        <w:instrText xml:space="preserve">PAGEREF _Toc233986980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"_Toc233986981" </w:instrText>
      </w:r>
      <w:r>
        <w:fldChar w:fldCharType="separate"/>
      </w:r>
      <w:r>
        <w:rPr>
          <w:rStyle w:val="30"/>
          <w:rFonts w:hint="eastAsia"/>
          <w14:scene3d w14:prst="orthographicFront">
            <w14:lightRig w14:rig="threePt" w14:dir="t">
              <w14:rot w14:lat="0" w14:lon="0" w14:rev="0"/>
            </w14:lightRig>
          </w14:scene3d>
        </w:rPr>
        <w:t>5.4</w:t>
      </w:r>
      <w:r>
        <w:rPr>
          <w:rStyle w:val="30"/>
          <w14:scene3d w14:prst="orthographicFront">
            <w14:lightRig w14:rig="threePt" w14:dir="t">
              <w14:rot w14:lat="0" w14:lon="0" w14:rev="0"/>
            </w14:lightRig>
          </w14:scene3d>
        </w:rPr>
        <w:t xml:space="preserve"> </w:t>
      </w:r>
      <w:r>
        <w:rPr>
          <w:rStyle w:val="30"/>
          <w:rFonts w:hint="eastAsia"/>
        </w:rPr>
        <w:t xml:space="preserve"> 收益优先原则</w:t>
      </w:r>
      <w:r>
        <w:rPr>
          <w:rFonts w:hint="eastAsia"/>
        </w:rPr>
        <w:tab/>
      </w:r>
      <w:r>
        <w:rPr>
          <w:rFonts w:hint="eastAsia"/>
        </w:rPr>
        <w:fldChar w:fldCharType="begin"/>
      </w:r>
      <w:r>
        <w:rPr>
          <w:rFonts w:hint="eastAsia"/>
        </w:rPr>
        <w:instrText xml:space="preserve"> </w:instrText>
      </w:r>
      <w:r>
        <w:instrText xml:space="preserve">PAGEREF _Toc233986981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"_Toc233986982" </w:instrText>
      </w:r>
      <w:r>
        <w:fldChar w:fldCharType="separate"/>
      </w:r>
      <w:r>
        <w:rPr>
          <w:rStyle w:val="30"/>
          <w:rFonts w:hint="eastAsia"/>
          <w14:scene3d w14:prst="orthographicFront">
            <w14:lightRig w14:rig="threePt" w14:dir="t">
              <w14:rot w14:lat="0" w14:lon="0" w14:rev="0"/>
            </w14:lightRig>
          </w14:scene3d>
        </w:rPr>
        <w:t>5.5</w:t>
      </w:r>
      <w:r>
        <w:rPr>
          <w:rStyle w:val="30"/>
          <w14:scene3d w14:prst="orthographicFront">
            <w14:lightRig w14:rig="threePt" w14:dir="t">
              <w14:rot w14:lat="0" w14:lon="0" w14:rev="0"/>
            </w14:lightRig>
          </w14:scene3d>
        </w:rPr>
        <w:t xml:space="preserve"> </w:t>
      </w:r>
      <w:r>
        <w:rPr>
          <w:rStyle w:val="30"/>
          <w:rFonts w:hint="eastAsia"/>
        </w:rPr>
        <w:t xml:space="preserve"> 动态评估原则</w:t>
      </w:r>
      <w:r>
        <w:rPr>
          <w:rFonts w:hint="eastAsia"/>
        </w:rPr>
        <w:tab/>
      </w:r>
      <w:r>
        <w:rPr>
          <w:rFonts w:hint="eastAsia"/>
        </w:rPr>
        <w:fldChar w:fldCharType="begin"/>
      </w:r>
      <w:r>
        <w:rPr>
          <w:rFonts w:hint="eastAsia"/>
        </w:rPr>
        <w:instrText xml:space="preserve"> </w:instrText>
      </w:r>
      <w:r>
        <w:instrText xml:space="preserve">PAGEREF _Toc233986982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"_Toc233986983" </w:instrText>
      </w:r>
      <w:r>
        <w:fldChar w:fldCharType="separate"/>
      </w:r>
      <w:r>
        <w:rPr>
          <w:rStyle w:val="30"/>
          <w:rFonts w:hint="eastAsia"/>
          <w14:scene3d w14:prst="orthographicFront">
            <w14:lightRig w14:rig="threePt" w14:dir="t">
              <w14:rot w14:lat="0" w14:lon="0" w14:rev="0"/>
            </w14:lightRig>
          </w14:scene3d>
        </w:rPr>
        <w:t>5.6</w:t>
      </w:r>
      <w:r>
        <w:rPr>
          <w:rStyle w:val="30"/>
          <w14:scene3d w14:prst="orthographicFront">
            <w14:lightRig w14:rig="threePt" w14:dir="t">
              <w14:rot w14:lat="0" w14:lon="0" w14:rev="0"/>
            </w14:lightRig>
          </w14:scene3d>
        </w:rPr>
        <w:t xml:space="preserve"> </w:t>
      </w:r>
      <w:r>
        <w:rPr>
          <w:rStyle w:val="30"/>
          <w:rFonts w:hint="eastAsia"/>
        </w:rPr>
        <w:t xml:space="preserve"> 简明实用原则</w:t>
      </w:r>
      <w:r>
        <w:rPr>
          <w:rFonts w:hint="eastAsia"/>
        </w:rPr>
        <w:tab/>
      </w:r>
      <w:r>
        <w:rPr>
          <w:rFonts w:hint="eastAsia"/>
        </w:rPr>
        <w:fldChar w:fldCharType="begin"/>
      </w:r>
      <w:r>
        <w:rPr>
          <w:rFonts w:hint="eastAsia"/>
        </w:rPr>
        <w:instrText xml:space="preserve"> </w:instrText>
      </w:r>
      <w:r>
        <w:instrText xml:space="preserve">PAGEREF _Toc233986983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"_Toc233986984" </w:instrText>
      </w:r>
      <w:r>
        <w:fldChar w:fldCharType="separate"/>
      </w:r>
      <w:r>
        <w:rPr>
          <w:rStyle w:val="30"/>
          <w:rFonts w:hint="eastAsia"/>
        </w:rPr>
        <w:t>6</w:t>
      </w:r>
      <w:r>
        <w:rPr>
          <w:rStyle w:val="30"/>
        </w:rPr>
        <w:t xml:space="preserve"> </w:t>
      </w:r>
      <w:r>
        <w:rPr>
          <w:rStyle w:val="30"/>
          <w:rFonts w:hint="eastAsia"/>
        </w:rPr>
        <w:t xml:space="preserve"> 核算模型</w:t>
      </w:r>
      <w:r>
        <w:rPr>
          <w:rFonts w:hint="eastAsia"/>
        </w:rPr>
        <w:tab/>
      </w:r>
      <w:r>
        <w:rPr>
          <w:rFonts w:hint="eastAsia"/>
        </w:rPr>
        <w:fldChar w:fldCharType="begin"/>
      </w:r>
      <w:r>
        <w:rPr>
          <w:rFonts w:hint="eastAsia"/>
        </w:rPr>
        <w:instrText xml:space="preserve"> </w:instrText>
      </w:r>
      <w:r>
        <w:instrText xml:space="preserve">PAGEREF _Toc233986984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"_Toc233986985" </w:instrText>
      </w:r>
      <w:r>
        <w:fldChar w:fldCharType="separate"/>
      </w:r>
      <w:r>
        <w:rPr>
          <w:rStyle w:val="30"/>
          <w:rFonts w:hint="eastAsia"/>
          <w14:scene3d w14:prst="orthographicFront">
            <w14:lightRig w14:rig="threePt" w14:dir="t">
              <w14:rot w14:lat="0" w14:lon="0" w14:rev="0"/>
            </w14:lightRig>
          </w14:scene3d>
        </w:rPr>
        <w:t>6.1</w:t>
      </w:r>
      <w:r>
        <w:rPr>
          <w:rStyle w:val="30"/>
          <w14:scene3d w14:prst="orthographicFront">
            <w14:lightRig w14:rig="threePt" w14:dir="t">
              <w14:rot w14:lat="0" w14:lon="0" w14:rev="0"/>
            </w14:lightRig>
          </w14:scene3d>
        </w:rPr>
        <w:t xml:space="preserve"> </w:t>
      </w:r>
      <w:r>
        <w:rPr>
          <w:rStyle w:val="30"/>
          <w:rFonts w:hint="eastAsia"/>
        </w:rPr>
        <w:t xml:space="preserve"> 模型概述</w:t>
      </w:r>
      <w:r>
        <w:rPr>
          <w:rFonts w:hint="eastAsia"/>
        </w:rPr>
        <w:tab/>
      </w:r>
      <w:r>
        <w:rPr>
          <w:rFonts w:hint="eastAsia"/>
        </w:rPr>
        <w:fldChar w:fldCharType="begin"/>
      </w:r>
      <w:r>
        <w:rPr>
          <w:rFonts w:hint="eastAsia"/>
        </w:rPr>
        <w:instrText xml:space="preserve"> </w:instrText>
      </w:r>
      <w:r>
        <w:instrText xml:space="preserve">PAGEREF _Toc233986985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"_Toc233986987" </w:instrText>
      </w:r>
      <w:r>
        <w:fldChar w:fldCharType="separate"/>
      </w:r>
      <w:r>
        <w:rPr>
          <w:rStyle w:val="30"/>
          <w:rFonts w:hint="eastAsia"/>
          <w14:scene3d w14:prst="orthographicFront">
            <w14:lightRig w14:rig="threePt" w14:dir="t">
              <w14:rot w14:lat="0" w14:lon="0" w14:rev="0"/>
            </w14:lightRig>
          </w14:scene3d>
        </w:rPr>
        <w:t>6.2</w:t>
      </w:r>
      <w:r>
        <w:rPr>
          <w:rStyle w:val="30"/>
          <w14:scene3d w14:prst="orthographicFront">
            <w14:lightRig w14:rig="threePt" w14:dir="t">
              <w14:rot w14:lat="0" w14:lon="0" w14:rev="0"/>
            </w14:lightRig>
          </w14:scene3d>
        </w:rPr>
        <w:t xml:space="preserve"> </w:t>
      </w:r>
      <w:r>
        <w:rPr>
          <w:rStyle w:val="30"/>
          <w:rFonts w:hint="eastAsia"/>
        </w:rPr>
        <w:t xml:space="preserve"> 成效分类体系</w:t>
      </w:r>
      <w:r>
        <w:rPr>
          <w:rFonts w:hint="eastAsia"/>
        </w:rPr>
        <w:tab/>
      </w:r>
      <w:r>
        <w:rPr>
          <w:rFonts w:hint="eastAsia"/>
        </w:rPr>
        <w:fldChar w:fldCharType="begin"/>
      </w:r>
      <w:r>
        <w:rPr>
          <w:rFonts w:hint="eastAsia"/>
        </w:rPr>
        <w:instrText xml:space="preserve"> </w:instrText>
      </w:r>
      <w:r>
        <w:instrText xml:space="preserve">PAGEREF _Toc233986987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"_Toc233986988" </w:instrText>
      </w:r>
      <w:r>
        <w:fldChar w:fldCharType="separate"/>
      </w:r>
      <w:r>
        <w:rPr>
          <w:rStyle w:val="30"/>
          <w:rFonts w:hint="eastAsia"/>
          <w14:scene3d w14:prst="orthographicFront">
            <w14:lightRig w14:rig="threePt" w14:dir="t">
              <w14:rot w14:lat="0" w14:lon="0" w14:rev="0"/>
            </w14:lightRig>
          </w14:scene3d>
        </w:rPr>
        <w:t>6.3</w:t>
      </w:r>
      <w:r>
        <w:rPr>
          <w:rStyle w:val="30"/>
          <w14:scene3d w14:prst="orthographicFront">
            <w14:lightRig w14:rig="threePt" w14:dir="t">
              <w14:rot w14:lat="0" w14:lon="0" w14:rev="0"/>
            </w14:lightRig>
          </w14:scene3d>
        </w:rPr>
        <w:t xml:space="preserve"> </w:t>
      </w:r>
      <w:r>
        <w:rPr>
          <w:rStyle w:val="30"/>
          <w:rFonts w:hint="eastAsia"/>
        </w:rPr>
        <w:t xml:space="preserve"> 收益计算模型</w:t>
      </w:r>
      <w:r>
        <w:rPr>
          <w:rFonts w:hint="eastAsia"/>
        </w:rPr>
        <w:tab/>
      </w:r>
      <w:r>
        <w:rPr>
          <w:rFonts w:hint="eastAsia"/>
        </w:rPr>
        <w:fldChar w:fldCharType="begin"/>
      </w:r>
      <w:r>
        <w:rPr>
          <w:rFonts w:hint="eastAsia"/>
        </w:rPr>
        <w:instrText xml:space="preserve"> </w:instrText>
      </w:r>
      <w:r>
        <w:instrText xml:space="preserve">PAGEREF _Toc233986988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"_Toc233986990" </w:instrText>
      </w:r>
      <w:r>
        <w:fldChar w:fldCharType="separate"/>
      </w:r>
      <w:r>
        <w:rPr>
          <w:rStyle w:val="30"/>
          <w:rFonts w:hint="eastAsia"/>
          <w14:scene3d w14:prst="orthographicFront">
            <w14:lightRig w14:rig="threePt" w14:dir="t">
              <w14:rot w14:lat="0" w14:lon="0" w14:rev="0"/>
            </w14:lightRig>
          </w14:scene3d>
        </w:rPr>
        <w:t>6.4</w:t>
      </w:r>
      <w:r>
        <w:rPr>
          <w:rStyle w:val="30"/>
          <w14:scene3d w14:prst="orthographicFront">
            <w14:lightRig w14:rig="threePt" w14:dir="t">
              <w14:rot w14:lat="0" w14:lon="0" w14:rev="0"/>
            </w14:lightRig>
          </w14:scene3d>
        </w:rPr>
        <w:t xml:space="preserve"> </w:t>
      </w:r>
      <w:r>
        <w:rPr>
          <w:rStyle w:val="30"/>
          <w:rFonts w:hint="eastAsia"/>
        </w:rPr>
        <w:t xml:space="preserve"> 模型应用</w:t>
      </w:r>
      <w:r>
        <w:rPr>
          <w:rFonts w:hint="eastAsia"/>
        </w:rPr>
        <w:tab/>
      </w:r>
      <w:r>
        <w:rPr>
          <w:rFonts w:hint="eastAsia"/>
        </w:rPr>
        <w:fldChar w:fldCharType="begin"/>
      </w:r>
      <w:r>
        <w:rPr>
          <w:rFonts w:hint="eastAsia"/>
        </w:rPr>
        <w:instrText xml:space="preserve"> </w:instrText>
      </w:r>
      <w:r>
        <w:instrText xml:space="preserve">PAGEREF _Toc233986990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"_Toc233986991" </w:instrText>
      </w:r>
      <w:r>
        <w:fldChar w:fldCharType="separate"/>
      </w:r>
      <w:r>
        <w:rPr>
          <w:rStyle w:val="30"/>
          <w:rFonts w:hint="eastAsia"/>
        </w:rPr>
        <w:t>7</w:t>
      </w:r>
      <w:r>
        <w:rPr>
          <w:rStyle w:val="30"/>
        </w:rPr>
        <w:t xml:space="preserve"> </w:t>
      </w:r>
      <w:r>
        <w:rPr>
          <w:rStyle w:val="30"/>
          <w:rFonts w:hint="eastAsia"/>
        </w:rPr>
        <w:t xml:space="preserve"> 计算方法</w:t>
      </w:r>
      <w:r>
        <w:rPr>
          <w:rFonts w:hint="eastAsia"/>
        </w:rPr>
        <w:tab/>
      </w:r>
      <w:r>
        <w:rPr>
          <w:rFonts w:hint="eastAsia"/>
        </w:rPr>
        <w:fldChar w:fldCharType="begin"/>
      </w:r>
      <w:r>
        <w:rPr>
          <w:rFonts w:hint="eastAsia"/>
        </w:rPr>
        <w:instrText xml:space="preserve"> </w:instrText>
      </w:r>
      <w:r>
        <w:instrText xml:space="preserve">PAGEREF _Toc233986991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"_Toc233986993" </w:instrText>
      </w:r>
      <w:r>
        <w:fldChar w:fldCharType="separate"/>
      </w:r>
      <w:r>
        <w:rPr>
          <w:rStyle w:val="30"/>
          <w:rFonts w:hint="eastAsia"/>
          <w14:scene3d w14:prst="orthographicFront">
            <w14:lightRig w14:rig="threePt" w14:dir="t">
              <w14:rot w14:lat="0" w14:lon="0" w14:rev="0"/>
            </w14:lightRig>
          </w14:scene3d>
        </w:rPr>
        <w:t>7.1</w:t>
      </w:r>
      <w:r>
        <w:rPr>
          <w:rStyle w:val="30"/>
          <w14:scene3d w14:prst="orthographicFront">
            <w14:lightRig w14:rig="threePt" w14:dir="t">
              <w14:rot w14:lat="0" w14:lon="0" w14:rev="0"/>
            </w14:lightRig>
          </w14:scene3d>
        </w:rPr>
        <w:t xml:space="preserve"> </w:t>
      </w:r>
      <w:r>
        <w:rPr>
          <w:rStyle w:val="30"/>
          <w:rFonts w:hint="eastAsia"/>
        </w:rPr>
        <w:t xml:space="preserve"> 数字化投入核算</w:t>
      </w:r>
      <w:r>
        <w:rPr>
          <w:rFonts w:hint="eastAsia"/>
        </w:rPr>
        <w:tab/>
      </w:r>
      <w:r>
        <w:rPr>
          <w:rFonts w:hint="eastAsia"/>
        </w:rPr>
        <w:fldChar w:fldCharType="begin"/>
      </w:r>
      <w:r>
        <w:rPr>
          <w:rFonts w:hint="eastAsia"/>
        </w:rPr>
        <w:instrText xml:space="preserve"> </w:instrText>
      </w:r>
      <w:r>
        <w:instrText xml:space="preserve">PAGEREF _Toc233986993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"_Toc233986994" </w:instrText>
      </w:r>
      <w:r>
        <w:fldChar w:fldCharType="separate"/>
      </w:r>
      <w:r>
        <w:rPr>
          <w:rStyle w:val="30"/>
          <w:rFonts w:hint="eastAsia"/>
          <w14:scene3d w14:prst="orthographicFront">
            <w14:lightRig w14:rig="threePt" w14:dir="t">
              <w14:rot w14:lat="0" w14:lon="0" w14:rev="0"/>
            </w14:lightRig>
          </w14:scene3d>
        </w:rPr>
        <w:t>7.2</w:t>
      </w:r>
      <w:r>
        <w:rPr>
          <w:rStyle w:val="30"/>
          <w14:scene3d w14:prst="orthographicFront">
            <w14:lightRig w14:rig="threePt" w14:dir="t">
              <w14:rot w14:lat="0" w14:lon="0" w14:rev="0"/>
            </w14:lightRig>
          </w14:scene3d>
        </w:rPr>
        <w:t xml:space="preserve"> </w:t>
      </w:r>
      <w:r>
        <w:rPr>
          <w:rStyle w:val="30"/>
          <w:rFonts w:hint="eastAsia"/>
        </w:rPr>
        <w:t xml:space="preserve"> 确定转型评价指标</w:t>
      </w:r>
      <w:r>
        <w:rPr>
          <w:rFonts w:hint="eastAsia"/>
        </w:rPr>
        <w:tab/>
      </w:r>
      <w:r>
        <w:rPr>
          <w:rFonts w:hint="eastAsia"/>
        </w:rPr>
        <w:fldChar w:fldCharType="begin"/>
      </w:r>
      <w:r>
        <w:rPr>
          <w:rFonts w:hint="eastAsia"/>
        </w:rPr>
        <w:instrText xml:space="preserve"> </w:instrText>
      </w:r>
      <w:r>
        <w:instrText xml:space="preserve">PAGEREF _Toc233986994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"_Toc233986995" </w:instrText>
      </w:r>
      <w:r>
        <w:fldChar w:fldCharType="separate"/>
      </w:r>
      <w:r>
        <w:rPr>
          <w:rStyle w:val="30"/>
          <w:rFonts w:hint="eastAsia"/>
          <w14:scene3d w14:prst="orthographicFront">
            <w14:lightRig w14:rig="threePt" w14:dir="t">
              <w14:rot w14:lat="0" w14:lon="0" w14:rev="0"/>
            </w14:lightRig>
          </w14:scene3d>
        </w:rPr>
        <w:t>7.3</w:t>
      </w:r>
      <w:r>
        <w:rPr>
          <w:rStyle w:val="30"/>
          <w14:scene3d w14:prst="orthographicFront">
            <w14:lightRig w14:rig="threePt" w14:dir="t">
              <w14:rot w14:lat="0" w14:lon="0" w14:rev="0"/>
            </w14:lightRig>
          </w14:scene3d>
        </w:rPr>
        <w:t xml:space="preserve"> </w:t>
      </w:r>
      <w:r>
        <w:rPr>
          <w:rStyle w:val="30"/>
          <w:rFonts w:hint="eastAsia"/>
        </w:rPr>
        <w:t xml:space="preserve"> 财务收益计算</w:t>
      </w:r>
      <w:r>
        <w:rPr>
          <w:rFonts w:hint="eastAsia"/>
        </w:rPr>
        <w:tab/>
      </w:r>
      <w:r>
        <w:rPr>
          <w:rFonts w:hint="eastAsia"/>
        </w:rPr>
        <w:fldChar w:fldCharType="begin"/>
      </w:r>
      <w:r>
        <w:rPr>
          <w:rFonts w:hint="eastAsia"/>
        </w:rPr>
        <w:instrText xml:space="preserve"> </w:instrText>
      </w:r>
      <w:r>
        <w:instrText xml:space="preserve">PAGEREF _Toc233986995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"_Toc233986997" </w:instrText>
      </w:r>
      <w:r>
        <w:fldChar w:fldCharType="separate"/>
      </w:r>
      <w:r>
        <w:rPr>
          <w:rStyle w:val="30"/>
          <w:rFonts w:hint="eastAsia"/>
          <w14:scene3d w14:prst="orthographicFront">
            <w14:lightRig w14:rig="threePt" w14:dir="t">
              <w14:rot w14:lat="0" w14:lon="0" w14:rev="0"/>
            </w14:lightRig>
          </w14:scene3d>
        </w:rPr>
        <w:t>7.4</w:t>
      </w:r>
      <w:r>
        <w:rPr>
          <w:rStyle w:val="30"/>
          <w14:scene3d w14:prst="orthographicFront">
            <w14:lightRig w14:rig="threePt" w14:dir="t">
              <w14:rot w14:lat="0" w14:lon="0" w14:rev="0"/>
            </w14:lightRig>
          </w14:scene3d>
        </w:rPr>
        <w:t xml:space="preserve"> </w:t>
      </w:r>
      <w:r>
        <w:rPr>
          <w:rStyle w:val="30"/>
          <w:rFonts w:hint="eastAsia"/>
        </w:rPr>
        <w:t xml:space="preserve"> 投资回报分析</w:t>
      </w:r>
      <w:r>
        <w:rPr>
          <w:rFonts w:hint="eastAsia"/>
        </w:rPr>
        <w:tab/>
      </w:r>
      <w:r>
        <w:rPr>
          <w:rFonts w:hint="eastAsia"/>
        </w:rPr>
        <w:fldChar w:fldCharType="begin"/>
      </w:r>
      <w:r>
        <w:rPr>
          <w:rFonts w:hint="eastAsia"/>
        </w:rPr>
        <w:instrText xml:space="preserve"> </w:instrText>
      </w:r>
      <w:r>
        <w:instrText xml:space="preserve">PAGEREF _Toc233986997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"_Toc233986998" </w:instrText>
      </w:r>
      <w:r>
        <w:fldChar w:fldCharType="separate"/>
      </w:r>
      <w:r>
        <w:rPr>
          <w:rStyle w:val="30"/>
          <w:rFonts w:hint="eastAsia"/>
          <w14:scene3d w14:prst="orthographicFront">
            <w14:lightRig w14:rig="threePt" w14:dir="t">
              <w14:rot w14:lat="0" w14:lon="0" w14:rev="0"/>
            </w14:lightRig>
          </w14:scene3d>
        </w:rPr>
        <w:t>7.5</w:t>
      </w:r>
      <w:r>
        <w:rPr>
          <w:rStyle w:val="30"/>
          <w14:scene3d w14:prst="orthographicFront">
            <w14:lightRig w14:rig="threePt" w14:dir="t">
              <w14:rot w14:lat="0" w14:lon="0" w14:rev="0"/>
            </w14:lightRig>
          </w14:scene3d>
        </w:rPr>
        <w:t xml:space="preserve"> </w:t>
      </w:r>
      <w:r>
        <w:rPr>
          <w:rStyle w:val="30"/>
          <w:rFonts w:hint="eastAsia"/>
        </w:rPr>
        <w:t xml:space="preserve"> 综合评价与决策</w:t>
      </w:r>
      <w:r>
        <w:rPr>
          <w:rFonts w:hint="eastAsia"/>
        </w:rPr>
        <w:tab/>
      </w:r>
      <w:r>
        <w:rPr>
          <w:rFonts w:hint="eastAsia"/>
        </w:rPr>
        <w:fldChar w:fldCharType="begin"/>
      </w:r>
      <w:r>
        <w:rPr>
          <w:rFonts w:hint="eastAsia"/>
        </w:rPr>
        <w:instrText xml:space="preserve"> </w:instrText>
      </w:r>
      <w:r>
        <w:instrText xml:space="preserve">PAGEREF _Toc233986998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"_Toc233986999" </w:instrText>
      </w:r>
      <w:r>
        <w:fldChar w:fldCharType="separate"/>
      </w:r>
      <w:r>
        <w:rPr>
          <w:rStyle w:val="30"/>
          <w:rFonts w:hint="eastAsia"/>
        </w:rPr>
        <w:t>8</w:t>
      </w:r>
      <w:r>
        <w:rPr>
          <w:rStyle w:val="30"/>
        </w:rPr>
        <w:t xml:space="preserve"> </w:t>
      </w:r>
      <w:r>
        <w:rPr>
          <w:rStyle w:val="30"/>
          <w:rFonts w:hint="eastAsia"/>
        </w:rPr>
        <w:t xml:space="preserve"> 实施要求</w:t>
      </w:r>
      <w:r>
        <w:rPr>
          <w:rFonts w:hint="eastAsia"/>
        </w:rPr>
        <w:tab/>
      </w:r>
      <w:r>
        <w:rPr>
          <w:rFonts w:hint="eastAsia"/>
        </w:rPr>
        <w:fldChar w:fldCharType="begin"/>
      </w:r>
      <w:r>
        <w:rPr>
          <w:rFonts w:hint="eastAsia"/>
        </w:rPr>
        <w:instrText xml:space="preserve"> </w:instrText>
      </w:r>
      <w:r>
        <w:instrText xml:space="preserve">PAGEREF _Toc233986999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"_Toc233987000" </w:instrText>
      </w:r>
      <w:r>
        <w:fldChar w:fldCharType="separate"/>
      </w:r>
      <w:r>
        <w:rPr>
          <w:rStyle w:val="30"/>
          <w:rFonts w:hint="eastAsia"/>
        </w:rPr>
        <w:t>9</w:t>
      </w:r>
      <w:r>
        <w:rPr>
          <w:rStyle w:val="30"/>
        </w:rPr>
        <w:t xml:space="preserve"> </w:t>
      </w:r>
      <w:r>
        <w:rPr>
          <w:rStyle w:val="30"/>
          <w:rFonts w:hint="eastAsia"/>
        </w:rPr>
        <w:t xml:space="preserve"> 示例说明</w:t>
      </w:r>
      <w:r>
        <w:rPr>
          <w:rFonts w:hint="eastAsia"/>
        </w:rPr>
        <w:tab/>
      </w:r>
      <w:r>
        <w:rPr>
          <w:rFonts w:hint="eastAsia"/>
        </w:rPr>
        <w:fldChar w:fldCharType="begin"/>
      </w:r>
      <w:r>
        <w:rPr>
          <w:rFonts w:hint="eastAsia"/>
        </w:rPr>
        <w:instrText xml:space="preserve"> </w:instrText>
      </w:r>
      <w:r>
        <w:instrText xml:space="preserve">PAGEREF _Toc233987000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"_Toc233987001" </w:instrText>
      </w:r>
      <w:r>
        <w:fldChar w:fldCharType="separate"/>
      </w:r>
      <w:r>
        <w:rPr>
          <w:rStyle w:val="30"/>
          <w:rFonts w:hint="eastAsia"/>
        </w:rPr>
        <w:t>附录A（资料性）</w:t>
      </w:r>
      <w:r>
        <w:rPr>
          <w:rStyle w:val="30"/>
        </w:rPr>
        <w:t xml:space="preserve"> </w:t>
      </w:r>
      <w:r>
        <w:rPr>
          <w:rStyle w:val="30"/>
          <w:rFonts w:hint="eastAsia"/>
        </w:rPr>
        <w:t xml:space="preserve"> 数字化转型投入产出核算表（试用）参考模板</w:t>
      </w:r>
      <w:r>
        <w:rPr>
          <w:rFonts w:hint="eastAsia"/>
        </w:rPr>
        <w:tab/>
      </w:r>
      <w:r>
        <w:rPr>
          <w:rFonts w:hint="eastAsia"/>
        </w:rPr>
        <w:fldChar w:fldCharType="begin"/>
      </w:r>
      <w:r>
        <w:rPr>
          <w:rFonts w:hint="eastAsia"/>
        </w:rPr>
        <w:instrText xml:space="preserve"> </w:instrText>
      </w:r>
      <w:r>
        <w:instrText xml:space="preserve">PAGEREF _Toc233987001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"_Toc233987002" </w:instrText>
      </w:r>
      <w:r>
        <w:fldChar w:fldCharType="separate"/>
      </w:r>
      <w:r>
        <w:rPr>
          <w:rStyle w:val="30"/>
          <w:rFonts w:hint="eastAsia"/>
        </w:rPr>
        <w:t>参考文献</w:t>
      </w:r>
      <w:r>
        <w:rPr>
          <w:rFonts w:hint="eastAsia"/>
        </w:rPr>
        <w:tab/>
      </w:r>
      <w:r>
        <w:rPr>
          <w:rFonts w:hint="eastAsia"/>
        </w:rPr>
        <w:fldChar w:fldCharType="begin"/>
      </w:r>
      <w:r>
        <w:rPr>
          <w:rFonts w:hint="eastAsia"/>
        </w:rPr>
        <w:instrText xml:space="preserve"> </w:instrText>
      </w:r>
      <w:r>
        <w:instrText xml:space="preserve">PAGEREF _Toc233987002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pPr>
        <w:pStyle w:val="91"/>
        <w:spacing w:after="468"/>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pPr>
        <w:pStyle w:val="89"/>
        <w:spacing w:before="900" w:after="468"/>
      </w:pPr>
      <w:bookmarkStart w:id="22" w:name="_Toc233986972"/>
      <w:bookmarkStart w:id="23" w:name="BookMark2"/>
      <w:r>
        <w:rPr>
          <w:rFonts w:hint="eastAsia"/>
          <w:spacing w:val="320"/>
        </w:rPr>
        <w:t>前</w:t>
      </w:r>
      <w:r>
        <w:rPr>
          <w:rFonts w:hint="eastAsia"/>
        </w:rPr>
        <w:t>言</w:t>
      </w:r>
      <w:bookmarkEnd w:id="22"/>
    </w:p>
    <w:p>
      <w:pPr>
        <w:pStyle w:val="56"/>
        <w:ind w:firstLine="420"/>
      </w:pPr>
      <w:r>
        <w:rPr>
          <w:rFonts w:hint="eastAsia"/>
        </w:rPr>
        <w:t>本文件按照GB/T 1.1—2020《标准化工作导则  第1部分：标准化文件的结构和起草规则》的规定起草。</w:t>
      </w:r>
    </w:p>
    <w:p>
      <w:pPr>
        <w:pStyle w:val="56"/>
        <w:ind w:firstLine="420"/>
      </w:pPr>
      <w:r>
        <w:t>请注意本文件的某些内容可能涉及专利。本文件的发布机构不承担识别专利的责任。</w:t>
      </w:r>
    </w:p>
    <w:p>
      <w:pPr>
        <w:pStyle w:val="56"/>
        <w:ind w:firstLine="420"/>
      </w:pPr>
      <w:r>
        <w:rPr>
          <w:rFonts w:hint="eastAsia"/>
        </w:rPr>
        <w:t>本文件由湖南省工业和信息化厅提出</w:t>
      </w:r>
      <w:r>
        <w:t>。</w:t>
      </w:r>
      <w:bookmarkStart w:id="87" w:name="_GoBack"/>
      <w:bookmarkEnd w:id="87"/>
    </w:p>
    <w:p>
      <w:pPr>
        <w:pStyle w:val="56"/>
        <w:ind w:firstLine="420"/>
      </w:pPr>
      <w:r>
        <w:rPr>
          <w:rFonts w:hint="eastAsia"/>
        </w:rPr>
        <w:t>本文件由湖南省信息技术标准化技术委员会归口</w:t>
      </w:r>
      <w:r>
        <w:t>。</w:t>
      </w:r>
    </w:p>
    <w:p>
      <w:pPr>
        <w:pStyle w:val="56"/>
        <w:ind w:firstLine="420"/>
      </w:pPr>
      <w:r>
        <w:t>本文件起草单位：</w:t>
      </w:r>
      <w:bookmarkStart w:id="24" w:name="_Hlk244266358"/>
      <w:r>
        <w:rPr>
          <w:rFonts w:hint="eastAsia"/>
        </w:rPr>
        <w:t>湖南省工业互联网发展研究中心、娄底市工业和信息化局、湖南天择质量技术服务有限公司、湖南理工职业技术学院。</w:t>
      </w:r>
      <w:bookmarkEnd w:id="24"/>
    </w:p>
    <w:p>
      <w:pPr>
        <w:pStyle w:val="56"/>
        <w:ind w:firstLine="420"/>
      </w:pPr>
      <w:r>
        <w:t>本文件主要起草人：</w:t>
      </w:r>
      <w:bookmarkStart w:id="25" w:name="_Hlk244266366"/>
      <w:r>
        <w:rPr>
          <w:rFonts w:hint="eastAsia"/>
        </w:rPr>
        <w:t>曾扬博 、严佳龙、何鸿曦、王喻、秦雪峰、汤玮刚、喻昕、徐运韬、梁力、刘婷、万林林、涂惠群、王宏兵。</w:t>
      </w:r>
      <w:bookmarkEnd w:id="25"/>
    </w:p>
    <w:p>
      <w:pPr>
        <w:pStyle w:val="56"/>
        <w:ind w:firstLine="420"/>
      </w:pPr>
    </w:p>
    <w:p>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3"/>
    <w:p>
      <w:pPr>
        <w:spacing w:line="20" w:lineRule="exact"/>
        <w:jc w:val="center"/>
        <w:rPr>
          <w:rFonts w:hint="eastAsia" w:ascii="黑体" w:hAnsi="黑体" w:eastAsia="黑体"/>
          <w:sz w:val="32"/>
          <w:szCs w:val="32"/>
        </w:rPr>
      </w:pPr>
      <w:bookmarkStart w:id="26" w:name="BookMark4"/>
    </w:p>
    <w:p>
      <w:pPr>
        <w:spacing w:line="20" w:lineRule="exact"/>
        <w:jc w:val="center"/>
        <w:rPr>
          <w:rFonts w:hint="eastAsia" w:ascii="黑体" w:hAnsi="黑体" w:eastAsia="黑体"/>
          <w:sz w:val="32"/>
          <w:szCs w:val="32"/>
        </w:rPr>
      </w:pPr>
    </w:p>
    <w:sdt>
      <w:sdtPr>
        <w:tag w:val="NEW_STAND_NAME"/>
        <w:id w:val="595910757"/>
        <w:lock w:val="sdtLocked"/>
        <w:placeholder>
          <w:docPart w:val="41A6000553DC47DFADF00A80D9C305A8"/>
        </w:placeholder>
      </w:sdtPr>
      <w:sdtContent>
        <w:p>
          <w:pPr>
            <w:pStyle w:val="177"/>
            <w:spacing w:before="3" w:beforeLines="1" w:after="686" w:afterLines="220"/>
            <w:rPr>
              <w:rFonts w:hint="eastAsia"/>
            </w:rPr>
          </w:pPr>
          <w:bookmarkStart w:id="27" w:name="NEW_STAND_NAME"/>
          <w:r>
            <w:rPr>
              <w:rFonts w:hint="eastAsia"/>
            </w:rPr>
            <w:t>湖南省"成本制"数字化转型投入产出核算参考指南</w:t>
          </w:r>
        </w:p>
      </w:sdtContent>
    </w:sdt>
    <w:bookmarkEnd w:id="27"/>
    <w:p>
      <w:pPr>
        <w:pStyle w:val="104"/>
        <w:spacing w:before="312" w:after="312"/>
      </w:pPr>
      <w:bookmarkStart w:id="28" w:name="_Toc233986973"/>
      <w:bookmarkStart w:id="29" w:name="_Toc26986771"/>
      <w:bookmarkStart w:id="30" w:name="_Toc24884211"/>
      <w:bookmarkStart w:id="31" w:name="_Toc26718930"/>
      <w:bookmarkStart w:id="32" w:name="_Toc26986530"/>
      <w:bookmarkStart w:id="33" w:name="_Toc24884218"/>
      <w:bookmarkStart w:id="34" w:name="_Toc26648465"/>
      <w:bookmarkStart w:id="35" w:name="_Toc17233325"/>
      <w:bookmarkStart w:id="36" w:name="_Toc97191423"/>
      <w:bookmarkStart w:id="37" w:name="_Toc17233333"/>
      <w:r>
        <w:rPr>
          <w:rFonts w:hint="eastAsia"/>
        </w:rPr>
        <w:t>范围</w:t>
      </w:r>
      <w:bookmarkEnd w:id="28"/>
      <w:bookmarkEnd w:id="29"/>
      <w:bookmarkEnd w:id="30"/>
      <w:bookmarkEnd w:id="31"/>
      <w:bookmarkEnd w:id="32"/>
      <w:bookmarkEnd w:id="33"/>
      <w:bookmarkEnd w:id="34"/>
      <w:bookmarkEnd w:id="35"/>
      <w:bookmarkEnd w:id="36"/>
      <w:bookmarkEnd w:id="37"/>
    </w:p>
    <w:p>
      <w:pPr>
        <w:pStyle w:val="56"/>
        <w:ind w:firstLine="420"/>
      </w:pPr>
      <w:bookmarkStart w:id="38" w:name="_Toc17233326"/>
      <w:bookmarkStart w:id="39" w:name="_Toc17233334"/>
      <w:bookmarkStart w:id="40" w:name="_Toc24884212"/>
      <w:bookmarkStart w:id="41" w:name="_Toc26648466"/>
      <w:bookmarkStart w:id="42" w:name="_Toc24884219"/>
      <w:r>
        <w:rPr>
          <w:rFonts w:hint="eastAsia"/>
        </w:rPr>
        <w:t>本标准给出了湖南省中小企业开展数字化转型投入产出核算工作的参考方法，确立了数字化转型投入结构及成效分类体系，定义了投入产出核算的框架和流程，提供了投资回报率与投资回收期的计算模型。本标准适用于指导湖南省中小企业对数字化转型项目进行投入产出测算和成效评估，包括数字化转型的投资构成、转型成效指标及其财务收益计算，以及投资回报率和回收期的核算等工作。</w:t>
      </w:r>
    </w:p>
    <w:p>
      <w:pPr>
        <w:pStyle w:val="56"/>
        <w:ind w:firstLine="420"/>
      </w:pPr>
      <w:r>
        <w:rPr>
          <w:rFonts w:hint="eastAsia"/>
        </w:rPr>
        <w:t>本标准所提供的方法适用于有以下需求的组织： a) 希望量化评估数字化转型项目经济效益，以数据支撑决策数字化转型投入的中小企业；b) 开展数字化转型解决方案研发和服务，希望为企业提供投入产出评估工具的方法提供方；c) 地方主管部门或第三方服务机构，为中小企业数字化转型效果评价提供参考依据的情况。</w:t>
      </w:r>
    </w:p>
    <w:p>
      <w:pPr>
        <w:pStyle w:val="104"/>
        <w:spacing w:before="312" w:after="312"/>
      </w:pPr>
      <w:bookmarkStart w:id="43" w:name="_Toc26986772"/>
      <w:bookmarkStart w:id="44" w:name="_Toc233986974"/>
      <w:bookmarkStart w:id="45" w:name="_Toc26986531"/>
      <w:bookmarkStart w:id="46" w:name="_Toc26718931"/>
      <w:bookmarkStart w:id="47" w:name="_Toc97191424"/>
      <w:r>
        <w:rPr>
          <w:rFonts w:hint="eastAsia"/>
        </w:rPr>
        <w:t>规范性引用文件</w:t>
      </w:r>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4454A8ACCE854DFA99C237D1B65912E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pPr>
      <w:r>
        <w:rPr>
          <w:rFonts w:hint="eastAsia"/>
        </w:rPr>
        <w:t>GB/T 23011-2022 信息化和工业化融合 数字化转型价值效益参考模型</w:t>
      </w:r>
    </w:p>
    <w:p>
      <w:pPr>
        <w:pStyle w:val="56"/>
        <w:ind w:firstLine="420"/>
      </w:pPr>
      <w:r>
        <w:rPr>
          <w:rFonts w:hint="eastAsia"/>
        </w:rPr>
        <w:t>GB/T 22900-2017 信息化和工业化融合管理体系 基础和术语</w:t>
      </w:r>
    </w:p>
    <w:p>
      <w:pPr>
        <w:pStyle w:val="104"/>
        <w:spacing w:before="312" w:after="312"/>
      </w:pPr>
      <w:bookmarkStart w:id="48" w:name="_Toc233986975"/>
      <w:bookmarkStart w:id="49" w:name="_Toc97191425"/>
      <w:r>
        <w:rPr>
          <w:rFonts w:hint="eastAsia"/>
          <w:szCs w:val="21"/>
        </w:rPr>
        <w:t>术语和定义</w:t>
      </w:r>
      <w:bookmarkEnd w:id="48"/>
      <w:bookmarkEnd w:id="49"/>
    </w:p>
    <w:sdt>
      <w:sdtPr>
        <w:id w:val="-1909835108"/>
        <w:placeholder>
          <w:docPart w:val="F2822CDA9A0D470785B99C6E431BFAF8"/>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50" w:name="_Toc26986532"/>
          <w:bookmarkEnd w:id="50"/>
          <w:r>
            <w:rPr>
              <w:rFonts w:hint="eastAsia"/>
            </w:rPr>
            <w:t>下列术语和定义适用于本文件。为方便起见，本文件列出了以下主要术语。</w:t>
          </w:r>
        </w:p>
      </w:sdtContent>
    </w:sdt>
    <w:p>
      <w:pPr>
        <w:pStyle w:val="223"/>
        <w:rPr>
          <w:rFonts w:hint="eastAsia" w:ascii="黑体" w:hAnsi="黑体" w:eastAsia="黑体"/>
          <w:szCs w:val="21"/>
        </w:rPr>
      </w:pPr>
      <w:r>
        <w:rPr>
          <w:rFonts w:ascii="黑体" w:hAnsi="黑体" w:eastAsia="黑体"/>
        </w:rPr>
        <w:br w:type="textWrapping"/>
      </w:r>
      <w:r>
        <w:rPr>
          <w:rFonts w:hint="eastAsia" w:ascii="黑体" w:hAnsi="黑体" w:eastAsia="黑体"/>
          <w:szCs w:val="21"/>
        </w:rPr>
        <w:t xml:space="preserve">    数字化转型  digital transformation</w:t>
      </w:r>
    </w:p>
    <w:p>
      <w:pPr>
        <w:pStyle w:val="223"/>
        <w:numPr>
          <w:ilvl w:val="0"/>
          <w:numId w:val="0"/>
        </w:numPr>
        <w:ind w:firstLine="420" w:firstLineChars="200"/>
      </w:pPr>
      <w:r>
        <w:rPr>
          <w:rFonts w:hint="eastAsia"/>
        </w:rPr>
        <w:t>指企业利用新一代信息技术手段，对业务流程、商业模式和组织管理进行全面变革，以提升企业运营效率、降低成本、提高创新能力和竞争力的过程。数字化转型不仅包括技术的应用，还涉及管理理念和模式的转变。</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数字化投入</w:t>
      </w:r>
      <w:r>
        <w:rPr>
          <w:rFonts w:ascii="黑体" w:hAnsi="黑体" w:eastAsia="黑体"/>
        </w:rPr>
        <w:t xml:space="preserve">  digital transformation investment</w:t>
      </w:r>
    </w:p>
    <w:p>
      <w:pPr>
        <w:pStyle w:val="56"/>
        <w:ind w:firstLine="420"/>
      </w:pPr>
      <w:r>
        <w:t>企业为实施数字化转型所投入的各类资源总和，包括软件、硬件、网络和人才等方面的投入。本指南中，数字化投入既可以是一次性投资，也可以是持续的运营支出。</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数字化转型成效</w:t>
      </w:r>
      <w:r>
        <w:rPr>
          <w:rFonts w:ascii="黑体" w:hAnsi="黑体" w:eastAsia="黑体"/>
        </w:rPr>
        <w:t xml:space="preserve">  digital transformation outcome/benefit</w:t>
      </w:r>
    </w:p>
    <w:p>
      <w:pPr>
        <w:pStyle w:val="56"/>
        <w:ind w:firstLine="420"/>
      </w:pPr>
      <w:r>
        <w:t>企业为实施数字化转型所投入的各类资源总和，包括软件、硬件、网络和人才等方面的投入。本指南中，数字化投入既可以是一次性投资，也可以是持续的运营支出。</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直接财务收益</w:t>
      </w:r>
      <w:r>
        <w:rPr>
          <w:rFonts w:ascii="黑体" w:hAnsi="黑体" w:eastAsia="黑体"/>
        </w:rPr>
        <w:t xml:space="preserve">  direct financial benefit</w:t>
      </w:r>
    </w:p>
    <w:p>
      <w:pPr>
        <w:pStyle w:val="56"/>
        <w:ind w:firstLine="420"/>
      </w:pPr>
      <w:r>
        <w:t>由数字化转型直接带来的可量化的财务收益，通常对应于成本类指标的降低或直接收入的增加。这类收益能够与财务指标直接挂钩，计算方式明确，例如人工成本、材料成本、能源成本的直接减少。</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间接财务收益</w:t>
      </w:r>
      <w:r>
        <w:rPr>
          <w:rFonts w:ascii="黑体" w:hAnsi="黑体" w:eastAsia="黑体"/>
        </w:rPr>
        <w:t xml:space="preserve">  indirect financial benefit</w:t>
      </w:r>
    </w:p>
    <w:p>
      <w:pPr>
        <w:pStyle w:val="56"/>
        <w:ind w:firstLine="420"/>
      </w:pPr>
      <w:r>
        <w:t>由数字化转型带来的绩效改善所产生的间接经济效益。这类收益不直接对应于财务科目，通常通过绩效指标的改善间接体现，核算较为困难 。例如产品质量提高、生产效率提升、安全事故减少等带来的潜在收益，需要通过一定的转化模型或假设计算折算为财务价值。</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提质  q</w:t>
      </w:r>
      <w:r>
        <w:rPr>
          <w:rFonts w:ascii="黑体" w:hAnsi="黑体" w:eastAsia="黑体"/>
        </w:rPr>
        <w:t>uality improvement</w:t>
      </w:r>
    </w:p>
    <w:p>
      <w:pPr>
        <w:pStyle w:val="56"/>
        <w:ind w:firstLine="420"/>
      </w:pPr>
      <w:r>
        <w:t>通过数字化转型提高产品或服务质量所体现的成效类别。例如产品一次交验合格率提高、不良品率下降、客户投诉减少等。这类成效通常能够提高客户满意度和企业声誉，并间接带来经济效益。</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降本</w:t>
      </w:r>
      <w:r>
        <w:rPr>
          <w:rFonts w:ascii="黑体" w:hAnsi="黑体" w:eastAsia="黑体"/>
        </w:rPr>
        <w:t xml:space="preserve">  cost reduction </w:t>
      </w:r>
    </w:p>
    <w:p>
      <w:pPr>
        <w:pStyle w:val="56"/>
        <w:ind w:firstLine="420"/>
      </w:pPr>
      <w:r>
        <w:t>通过数字化转型降低企业成本所体现的成效类别。例如人工成本、原材料消耗、能源费用的降低等 。这类成效直接体现为财务成本支出的减少，即直接财务收益。</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增效</w:t>
      </w:r>
      <w:r>
        <w:rPr>
          <w:rFonts w:ascii="黑体" w:hAnsi="黑体" w:eastAsia="黑体"/>
        </w:rPr>
        <w:t xml:space="preserve">  efficiency increase</w:t>
      </w:r>
    </w:p>
    <w:p>
      <w:pPr>
        <w:pStyle w:val="56"/>
        <w:ind w:firstLine="420"/>
      </w:pPr>
      <w:r>
        <w:t>通过数字化转型提升运营效率所体现的成效类别。例如生产周期缩短、设备利用率提高、库存周转率提升等。效率提升通常可以间接带来成本的节约和产出的增加。</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安全</w:t>
      </w:r>
      <w:r>
        <w:rPr>
          <w:rFonts w:ascii="黑体" w:hAnsi="黑体" w:eastAsia="黑体"/>
        </w:rPr>
        <w:t xml:space="preserve">  safety improvement</w:t>
      </w:r>
    </w:p>
    <w:p>
      <w:pPr>
        <w:pStyle w:val="56"/>
        <w:ind w:firstLine="420"/>
      </w:pPr>
      <w:r>
        <w:t>通过数字化转型增强安全保障水平所体现的成效类别。例如生产安全事故率降低、数据安全事件减少等。安全水平提高可减少事故损失、罚款赔偿等支出，提升企业可持续经营能力。</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绿色</w:t>
      </w:r>
      <w:r>
        <w:rPr>
          <w:rFonts w:ascii="黑体" w:hAnsi="黑体" w:eastAsia="黑体"/>
        </w:rPr>
        <w:t xml:space="preserve">  green development</w:t>
      </w:r>
    </w:p>
    <w:p>
      <w:pPr>
        <w:pStyle w:val="56"/>
        <w:ind w:firstLine="420"/>
      </w:pPr>
      <w:r>
        <w:t>通过数字化转型实现绿色低碳发展所体现的成效类别。例如能源消耗降低、物料浪费减少、污染物排放减少等。绿色发展成效可降低能源资源消耗成本和环境治理成本，符合可持续发展要求。</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投资回报率</w:t>
      </w:r>
      <w:r>
        <w:rPr>
          <w:rFonts w:ascii="黑体" w:hAnsi="黑体" w:eastAsia="黑体"/>
        </w:rPr>
        <w:t xml:space="preserve">  return on investment，ROI</w:t>
      </w:r>
    </w:p>
    <w:p>
      <w:pPr>
        <w:pStyle w:val="56"/>
        <w:ind w:firstLine="420"/>
      </w:pPr>
      <w:r>
        <w:t>衡量数字化转型项目收益相对其投入成本的比率。计算公式通常为：</w:t>
      </w:r>
      <w:r>
        <w:rPr>
          <w:bCs/>
        </w:rPr>
        <w:t>ROI = （累计投资收益 − 投资成本） / 投资成本 × 100%</w:t>
      </w:r>
      <w:r>
        <w:t xml:space="preserve"> 。投资回报率反映了项目产生净收益相对于投入的百分比，是评估投资效益的重要指标。</w:t>
      </w:r>
    </w:p>
    <w:p>
      <w:pPr>
        <w:pStyle w:val="223"/>
        <w:ind w:left="420" w:hanging="420" w:hangingChars="200"/>
        <w:rPr>
          <w:rFonts w:hint="eastAsia" w:ascii="黑体" w:hAnsi="黑体" w:eastAsia="黑体"/>
        </w:rPr>
      </w:pPr>
      <w:r>
        <w:rPr>
          <w:rFonts w:ascii="黑体" w:hAnsi="黑体" w:eastAsia="黑体"/>
          <w:color w:val="000000"/>
          <w:szCs w:val="21"/>
        </w:rPr>
        <w:br w:type="textWrapping"/>
      </w:r>
      <w:r>
        <w:rPr>
          <w:rFonts w:ascii="黑体" w:hAnsi="黑体" w:eastAsia="黑体"/>
          <w:b/>
        </w:rPr>
        <w:t>投资回收期</w:t>
      </w:r>
      <w:r>
        <w:rPr>
          <w:rFonts w:ascii="黑体" w:hAnsi="黑体" w:eastAsia="黑体"/>
        </w:rPr>
        <w:t xml:space="preserve">  payback period</w:t>
      </w:r>
    </w:p>
    <w:p>
      <w:pPr>
        <w:pStyle w:val="56"/>
        <w:ind w:firstLine="420"/>
      </w:pPr>
      <w:r>
        <w:t>通过数字化转型项目产生的累计收益收回初始投资所需的时间。可以根据累计净收益等于初始总投资的时长来确定。对于收益年均恒定的项目，投资回收期可按公式近似计算：</w:t>
      </w:r>
      <w:r>
        <w:rPr>
          <w:bCs/>
        </w:rPr>
        <w:t xml:space="preserve">投资回收期 = 初始总投资 / 年度平均净收益 </w:t>
      </w:r>
      <w:r>
        <w:t>。投资回收期反映项目收回成本所需的周期，数值越小表明回本越快。</w:t>
      </w:r>
    </w:p>
    <w:p>
      <w:pPr>
        <w:pStyle w:val="104"/>
        <w:spacing w:before="312" w:after="312"/>
      </w:pPr>
      <w:bookmarkStart w:id="51" w:name="_Toc233986976"/>
      <w:r>
        <w:rPr>
          <w:rFonts w:hint="eastAsia"/>
        </w:rPr>
        <w:t>符号</w:t>
      </w:r>
      <w:bookmarkEnd w:id="51"/>
    </w:p>
    <w:p>
      <w:pPr>
        <w:pStyle w:val="56"/>
        <w:ind w:firstLine="420"/>
      </w:pPr>
      <w:r>
        <w:rPr>
          <w:rFonts w:hint="eastAsia"/>
        </w:rPr>
        <w:t>下列符号和缩略语适用于本文件：</w:t>
      </w:r>
    </w:p>
    <w:p>
      <w:pPr>
        <w:pStyle w:val="56"/>
        <w:ind w:firstLine="422"/>
      </w:pPr>
      <w:r>
        <w:rPr>
          <w:rFonts w:hint="eastAsia"/>
          <w:b/>
          <w:bCs/>
        </w:rPr>
        <w:t>ROI</w:t>
      </w:r>
      <w:r>
        <w:rPr>
          <w:rFonts w:hint="eastAsia"/>
        </w:rPr>
        <w:t xml:space="preserve">：Return on Investment，投资回报率（以%表示）。 </w:t>
      </w:r>
    </w:p>
    <w:p>
      <w:pPr>
        <w:pStyle w:val="56"/>
        <w:ind w:firstLine="422"/>
      </w:pPr>
      <w:r>
        <w:rPr>
          <w:rFonts w:hint="eastAsia"/>
          <w:b/>
          <w:bCs/>
        </w:rPr>
        <w:t>PP</w:t>
      </w:r>
      <w:r>
        <w:rPr>
          <w:rFonts w:hint="eastAsia"/>
        </w:rPr>
        <w:t xml:space="preserve">：Payback Period，投资回收期（年）。 </w:t>
      </w:r>
    </w:p>
    <w:p>
      <w:pPr>
        <w:pStyle w:val="56"/>
        <w:ind w:firstLine="422"/>
      </w:pPr>
      <w:r>
        <w:rPr>
          <w:rFonts w:hint="eastAsia"/>
          <w:b/>
          <w:bCs/>
        </w:rPr>
        <w:t>PV</w:t>
      </w:r>
      <w:r>
        <w:rPr>
          <w:rFonts w:hint="eastAsia"/>
        </w:rPr>
        <w:t>：Present Value，现值或折现值。通常用于计算投资回报时将未来收益折算为当前价值。</w:t>
      </w:r>
    </w:p>
    <w:p>
      <w:pPr>
        <w:pStyle w:val="179"/>
      </w:pPr>
      <w:r>
        <w:rPr>
          <w:rFonts w:hint="eastAsia"/>
        </w:rPr>
        <w:t>如无特殊说明，本指南中的货币单位均为人民币元。常用计量单位“万元”表示1万人民币。</w:t>
      </w:r>
    </w:p>
    <w:p>
      <w:pPr>
        <w:pStyle w:val="104"/>
        <w:spacing w:before="312" w:after="312"/>
      </w:pPr>
      <w:bookmarkStart w:id="52" w:name="_Toc233986977"/>
      <w:r>
        <w:rPr>
          <w:rFonts w:hint="eastAsia"/>
        </w:rPr>
        <w:t>指导原则</w:t>
      </w:r>
      <w:bookmarkEnd w:id="52"/>
    </w:p>
    <w:p>
      <w:pPr>
        <w:pStyle w:val="56"/>
        <w:ind w:firstLine="420"/>
      </w:pPr>
      <w:r>
        <w:rPr>
          <w:rFonts w:hint="eastAsia"/>
        </w:rPr>
        <w:t>数字化转型投入产出核算工作应遵循以下指导原则：</w:t>
      </w:r>
    </w:p>
    <w:p>
      <w:pPr>
        <w:pStyle w:val="105"/>
        <w:spacing w:before="156" w:after="156"/>
      </w:pPr>
      <w:bookmarkStart w:id="53" w:name="_Toc233986978"/>
      <w:r>
        <w:rPr>
          <w:rFonts w:hint="eastAsia"/>
        </w:rPr>
        <w:t>客观准确原则</w:t>
      </w:r>
      <w:bookmarkEnd w:id="53"/>
    </w:p>
    <w:p>
      <w:pPr>
        <w:pStyle w:val="223"/>
        <w:numPr>
          <w:ilvl w:val="0"/>
          <w:numId w:val="0"/>
        </w:numPr>
        <w:ind w:firstLine="420" w:firstLineChars="200"/>
      </w:pPr>
      <w:r>
        <w:rPr>
          <w:rFonts w:hint="eastAsia"/>
        </w:rPr>
        <w:t>核算应基</w:t>
      </w:r>
      <w:bookmarkStart w:id="54" w:name="OLE_LINK2"/>
      <w:r>
        <w:rPr>
          <w:rFonts w:hint="eastAsia"/>
        </w:rPr>
        <w:t>于真实可信的数</w:t>
      </w:r>
      <w:bookmarkEnd w:id="54"/>
      <w:r>
        <w:rPr>
          <w:rFonts w:hint="eastAsia"/>
        </w:rPr>
        <w:t>据和事实，尽可能采集客观的投入与成效数据，避免主观臆断。投入产出计量方法应科学严谨，确保计算结果准确可靠。</w:t>
      </w:r>
    </w:p>
    <w:p>
      <w:pPr>
        <w:pStyle w:val="105"/>
        <w:spacing w:before="156" w:after="156"/>
      </w:pPr>
      <w:bookmarkStart w:id="55" w:name="_Toc233986979"/>
      <w:r>
        <w:rPr>
          <w:rFonts w:hint="eastAsia"/>
        </w:rPr>
        <w:t>全面系统原则</w:t>
      </w:r>
      <w:bookmarkEnd w:id="55"/>
    </w:p>
    <w:p>
      <w:pPr>
        <w:pStyle w:val="223"/>
        <w:numPr>
          <w:ilvl w:val="0"/>
          <w:numId w:val="0"/>
        </w:numPr>
        <w:ind w:firstLine="420" w:firstLineChars="200"/>
      </w:pPr>
      <w:r>
        <w:rPr>
          <w:rFonts w:hint="eastAsia"/>
        </w:rPr>
        <w:t>核算应覆盖数字化转型项目的全生命周期和影响范围，全面考虑各类直接和间接效益，以及全部成本投入，防止遗漏重要投入或成效指标。通过系统性的方法框架，将投入与产出关联起来综合评估。</w:t>
      </w:r>
    </w:p>
    <w:p>
      <w:pPr>
        <w:pStyle w:val="105"/>
        <w:spacing w:before="156" w:after="156"/>
      </w:pPr>
      <w:bookmarkStart w:id="56" w:name="_Toc233986980"/>
      <w:r>
        <w:rPr>
          <w:rFonts w:hint="eastAsia"/>
        </w:rPr>
        <w:t>分类量化原则</w:t>
      </w:r>
      <w:bookmarkEnd w:id="56"/>
    </w:p>
    <w:p>
      <w:pPr>
        <w:pStyle w:val="223"/>
        <w:numPr>
          <w:ilvl w:val="0"/>
          <w:numId w:val="0"/>
        </w:numPr>
        <w:ind w:firstLine="420" w:firstLineChars="200"/>
      </w:pPr>
      <w:r>
        <w:rPr>
          <w:rFonts w:hint="eastAsia"/>
        </w:rPr>
        <w:t>按照投入结构和成效类型对相关指标分类管理。对直接财务收益类成效，采用直接计算法量化；对间接收益类成效，通过预先建立的转化模型或参考公式量化。将提质、降本、增效、安全、绿色等不同类别的转型效果尽量转换为可计量的财务指标，以货币金额来表示效益 。</w:t>
      </w:r>
    </w:p>
    <w:p>
      <w:pPr>
        <w:pStyle w:val="105"/>
        <w:spacing w:before="156" w:after="156"/>
      </w:pPr>
      <w:bookmarkStart w:id="57" w:name="_Toc233986981"/>
      <w:r>
        <w:rPr>
          <w:rFonts w:hint="eastAsia"/>
        </w:rPr>
        <w:t>收益优先原则</w:t>
      </w:r>
      <w:bookmarkEnd w:id="57"/>
    </w:p>
    <w:p>
      <w:pPr>
        <w:pStyle w:val="223"/>
        <w:numPr>
          <w:ilvl w:val="0"/>
          <w:numId w:val="0"/>
        </w:numPr>
        <w:ind w:firstLine="420" w:firstLineChars="200"/>
      </w:pPr>
      <w:r>
        <w:rPr>
          <w:rFonts w:hint="eastAsia"/>
        </w:rPr>
        <w:t>在核算时注重评估数字化转型为企业带来的效益，提高效益指标在决策中的权重。中小企业应以提高经营效益为导向，优先考虑投入产出比高、回报周期短的数字化转型举措 。对于难以量化的战略性收益，也应作必要的定性分析，确保转型决策聚焦于能够提升企业价值的方向。</w:t>
      </w:r>
    </w:p>
    <w:p>
      <w:pPr>
        <w:pStyle w:val="105"/>
        <w:spacing w:before="156" w:after="156"/>
      </w:pPr>
      <w:bookmarkStart w:id="58" w:name="_Toc233986982"/>
      <w:r>
        <w:rPr>
          <w:rFonts w:hint="eastAsia"/>
        </w:rPr>
        <w:t>动态评估原则</w:t>
      </w:r>
      <w:bookmarkEnd w:id="58"/>
    </w:p>
    <w:p>
      <w:pPr>
        <w:pStyle w:val="223"/>
        <w:numPr>
          <w:ilvl w:val="0"/>
          <w:numId w:val="0"/>
        </w:numPr>
        <w:ind w:firstLine="420" w:firstLineChars="200"/>
      </w:pPr>
      <w:r>
        <w:rPr>
          <w:rFonts w:hint="eastAsia"/>
        </w:rPr>
        <w:t>数字化转型投入产出核算应当是一个持续改进、动态反馈的过程。企业宜定期（如每年）评估已实施项目的实际投入产出效果，并根据环境变化、技术进步和企业战略及时调整后续数字化投入规划 。同时，可在项目前期进行投入产出预测分析，事中进行跟踪监控，事后进行总结评估，以动态优化转型投入。</w:t>
      </w:r>
    </w:p>
    <w:p>
      <w:pPr>
        <w:pStyle w:val="105"/>
        <w:spacing w:before="156" w:after="156"/>
      </w:pPr>
      <w:bookmarkStart w:id="59" w:name="_Toc233986983"/>
      <w:r>
        <w:rPr>
          <w:rFonts w:hint="eastAsia"/>
        </w:rPr>
        <w:t>简明实用原则</w:t>
      </w:r>
      <w:bookmarkEnd w:id="59"/>
    </w:p>
    <w:p>
      <w:pPr>
        <w:pStyle w:val="223"/>
        <w:numPr>
          <w:ilvl w:val="0"/>
          <w:numId w:val="0"/>
        </w:numPr>
        <w:ind w:firstLine="420" w:firstLineChars="200"/>
      </w:pPr>
      <w:r>
        <w:rPr>
          <w:rFonts w:hint="eastAsia"/>
        </w:rPr>
        <w:t>面向中小企业的特点，核算方法力求简明易行。尽量采用企业现有财务和业务数据，借助本指南提供的模板和公式，降低核算工作的专业门槛。保证方法的适用性和可操作性，使中小企业能够以合理成本开展投入产出核算，切实用好核算结果指导决策。</w:t>
      </w:r>
    </w:p>
    <w:p>
      <w:pPr>
        <w:pStyle w:val="104"/>
        <w:spacing w:before="312" w:after="312"/>
      </w:pPr>
      <w:bookmarkStart w:id="60" w:name="_Toc233986984"/>
      <w:r>
        <w:rPr>
          <w:rFonts w:hint="eastAsia"/>
        </w:rPr>
        <w:t>核算模型</w:t>
      </w:r>
      <w:bookmarkEnd w:id="60"/>
    </w:p>
    <w:p>
      <w:pPr>
        <w:pStyle w:val="105"/>
        <w:spacing w:before="156" w:after="156"/>
      </w:pPr>
      <w:bookmarkStart w:id="61" w:name="_Toc233986985"/>
      <w:r>
        <w:rPr>
          <w:rFonts w:hint="eastAsia"/>
        </w:rPr>
        <w:t>模型概述</w:t>
      </w:r>
      <w:bookmarkEnd w:id="61"/>
    </w:p>
    <w:p>
      <w:pPr>
        <w:pStyle w:val="105"/>
        <w:numPr>
          <w:ilvl w:val="0"/>
          <w:numId w:val="0"/>
        </w:numPr>
        <w:spacing w:before="156" w:after="156"/>
        <w:ind w:firstLine="420" w:firstLineChars="200"/>
        <w:rPr>
          <w:rFonts w:ascii="宋体" w:eastAsia="宋体"/>
        </w:rPr>
      </w:pPr>
      <w:bookmarkStart w:id="62" w:name="_Toc233986986"/>
      <w:r>
        <w:rPr>
          <w:rFonts w:hint="eastAsia" w:ascii="宋体" w:eastAsia="宋体"/>
        </w:rPr>
        <w:t>“成本制”数字化转型投入产出核算模型以成本效益分析为核心思想，建立了从数字化投入到转型成效再到财务收益的映射关系。该模型由投入层、成效层和收益层三部分构成，整体流程如图1所示：</w:t>
      </w:r>
      <w:bookmarkEnd w:id="62"/>
    </w:p>
    <w:p>
      <w:pPr>
        <w:pStyle w:val="56"/>
        <w:ind w:firstLine="420"/>
      </w:pPr>
    </w:p>
    <w:p>
      <w:pPr>
        <w:pStyle w:val="56"/>
        <w:ind w:firstLine="0" w:firstLineChars="0"/>
      </w:pPr>
      <w:r>
        <w:drawing>
          <wp:inline distT="0" distB="0" distL="0" distR="0">
            <wp:extent cx="5939790" cy="3250565"/>
            <wp:effectExtent l="0" t="0" r="3810" b="6985"/>
            <wp:docPr id="10142123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212378" name="图片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3250565"/>
                    </a:xfrm>
                    <a:prstGeom prst="rect">
                      <a:avLst/>
                    </a:prstGeom>
                  </pic:spPr>
                </pic:pic>
              </a:graphicData>
            </a:graphic>
          </wp:inline>
        </w:drawing>
      </w:r>
    </w:p>
    <w:p>
      <w:pPr>
        <w:pStyle w:val="114"/>
        <w:spacing w:before="156" w:after="156"/>
      </w:pPr>
      <w:r>
        <w:rPr>
          <w:rFonts w:hint="eastAsia"/>
        </w:rPr>
        <w:t>数字化转型投入产出核算模型框架</w:t>
      </w:r>
    </w:p>
    <w:p>
      <w:pPr>
        <w:pStyle w:val="56"/>
        <w:ind w:firstLine="420"/>
      </w:pPr>
      <w:r>
        <w:rPr>
          <w:rFonts w:hint="eastAsia"/>
        </w:rPr>
        <w:t>投入层：定义数字化转型的投入构成，包括软件、硬件、网络和人才四大要素投入。企业数字化投入可以一次性发生（如系统购置费用）或以持续费用形式发生（如云服务订阅费用、人力投入等），需要对各项投入进行分类统计。</w:t>
      </w:r>
    </w:p>
    <w:p>
      <w:pPr>
        <w:pStyle w:val="56"/>
        <w:ind w:firstLine="420"/>
      </w:pPr>
      <w:r>
        <w:rPr>
          <w:rFonts w:hint="eastAsia"/>
        </w:rPr>
        <w:t>成效层：定义数字化转型取得的业务成效，主要以关键绩效指标（KPI）的改善来衡量。根据本模型，将成效划分为提质、降本、增效、安全、绿色五大类别。每一类别下包含若干具体的KPI指标，用以刻画数字化转型在相应方面产生的改进。例如提质类包括产品合格率提升、客户投诉率降低等，增效类包括生产效率提升、库存周转率提高等，安全类包括事故率降低、系统可靠性提高等。</w:t>
      </w:r>
    </w:p>
    <w:p>
      <w:pPr>
        <w:pStyle w:val="56"/>
        <w:ind w:firstLine="420"/>
      </w:pPr>
      <w:r>
        <w:rPr>
          <w:rFonts w:hint="eastAsia"/>
        </w:rPr>
        <w:t>收益层：将成效层的KPI改善转化为财务收益指标。对于降本类成效，往往可以直接对应财务成本科目的降低，直接计算出节约金额（直接财务收益）。对于提质、增效、安全、绿色等非直接财务指标，需要通过一定的核算模型或参考公式，将这些改进换算成相应的经济效益（间接财务收益）。收益层以货币金额（元）衡量各项成效的年化财务贡献，并汇总得到数字化转型项目的总年度收益。</w:t>
      </w:r>
    </w:p>
    <w:p>
      <w:pPr>
        <w:pStyle w:val="56"/>
        <w:ind w:firstLine="420"/>
      </w:pPr>
      <w:r>
        <w:rPr>
          <w:rFonts w:hint="eastAsia"/>
        </w:rPr>
        <w:t>绩效评价：在汇总收益层结果与投入层投入后，进一步计算投资回报率（ROI）和投资回收期等评价指标，对数字化转型项目的经济可行性和效益水平进行评估。</w:t>
      </w:r>
    </w:p>
    <w:p>
      <w:pPr>
        <w:pStyle w:val="56"/>
        <w:ind w:firstLine="420"/>
      </w:pPr>
      <w:r>
        <w:rPr>
          <w:rFonts w:hint="eastAsia"/>
        </w:rPr>
        <w:t>上述模型强调投入—成效—收益之间的对应关系，要求企业首先明确投入项目及金额，然后识别该项目带来的具体业务成效，最后计算每项成效的经济价值。通过该模型，企业能够构建清晰的数字化转型投入产出链路，量化“投入产出账”。</w:t>
      </w:r>
    </w:p>
    <w:p>
      <w:pPr>
        <w:pStyle w:val="105"/>
        <w:spacing w:before="156" w:after="156"/>
      </w:pPr>
      <w:bookmarkStart w:id="63" w:name="_Toc233986987"/>
      <w:r>
        <w:rPr>
          <w:rFonts w:hint="eastAsia"/>
        </w:rPr>
        <w:t>成效分类体系</w:t>
      </w:r>
      <w:bookmarkEnd w:id="63"/>
    </w:p>
    <w:p>
      <w:pPr>
        <w:pStyle w:val="56"/>
        <w:ind w:firstLine="420"/>
      </w:pPr>
      <w:r>
        <w:rPr>
          <w:rFonts w:hint="eastAsia"/>
        </w:rPr>
        <w:t>数字化转型成效分类体系按提质、降本、增效、安全、绿色五个一级类别组织，下表给出了各类别的典型指标示例：</w:t>
      </w:r>
    </w:p>
    <w:p>
      <w:pPr>
        <w:pStyle w:val="56"/>
        <w:ind w:firstLine="420"/>
      </w:pPr>
      <w:r>
        <w:rPr>
          <w:rFonts w:hint="eastAsia"/>
        </w:rPr>
        <w:t>提质（提高质量）：聚焦产品和服务质量的改善。例如：</w:t>
      </w:r>
    </w:p>
    <w:p>
      <w:pPr>
        <w:pStyle w:val="56"/>
        <w:ind w:firstLine="420"/>
      </w:pPr>
      <w:r>
        <w:rPr>
          <w:rFonts w:hint="eastAsia"/>
        </w:rPr>
        <w:t xml:space="preserve">产品一次合格率（提高产品初检合格的比例，降低废品率和返工率） </w:t>
      </w:r>
    </w:p>
    <w:p>
      <w:pPr>
        <w:pStyle w:val="56"/>
        <w:ind w:firstLine="420"/>
      </w:pPr>
      <w:r>
        <w:rPr>
          <w:rFonts w:hint="eastAsia"/>
        </w:rPr>
        <w:t>客户满意度（提升客户对产品/服务的满意程度，降低客户投诉数量）提质类成效通常能够增强企业品牌和市场竞争力，间接形成经济收益。提高产品合格率可直接减少内部废品损失和返工成本 ；客户满意度提升可带来重复购买增加、品牌溢价等长期收益。</w:t>
      </w:r>
    </w:p>
    <w:p>
      <w:pPr>
        <w:pStyle w:val="56"/>
        <w:ind w:firstLine="420"/>
      </w:pPr>
      <w:r>
        <w:rPr>
          <w:rFonts w:hint="eastAsia"/>
        </w:rPr>
        <w:t>降本（降低成本）：直接指向成本要素削减的成效。例如：</w:t>
      </w:r>
    </w:p>
    <w:p>
      <w:pPr>
        <w:pStyle w:val="56"/>
        <w:ind w:firstLine="420"/>
      </w:pPr>
      <w:r>
        <w:rPr>
          <w:rFonts w:hint="eastAsia"/>
        </w:rPr>
        <w:t xml:space="preserve">人工成本降低（通过自动化等手段减少人工投入） </w:t>
      </w:r>
    </w:p>
    <w:p>
      <w:pPr>
        <w:pStyle w:val="56"/>
        <w:ind w:firstLine="420"/>
      </w:pPr>
      <w:r>
        <w:rPr>
          <w:rFonts w:hint="eastAsia"/>
        </w:rPr>
        <w:t xml:space="preserve">原材料节约（优化工艺降低单位产品材料耗用） </w:t>
      </w:r>
    </w:p>
    <w:p>
      <w:pPr>
        <w:pStyle w:val="56"/>
        <w:ind w:firstLine="420"/>
      </w:pPr>
      <w:r>
        <w:rPr>
          <w:rFonts w:hint="eastAsia"/>
        </w:rPr>
        <w:t>能源费用降低（实施能效管理降低电、水、燃料等消耗）这类成效可以直接以财务成本减少额衡量，是最直接的财务收益来源 。例如，引入自动化生产线后人力成本每年降低X万元；能耗管理系统使电费年支出降低Y%。</w:t>
      </w:r>
    </w:p>
    <w:p>
      <w:pPr>
        <w:pStyle w:val="56"/>
        <w:ind w:firstLine="420"/>
      </w:pPr>
      <w:r>
        <w:rPr>
          <w:rFonts w:hint="eastAsia"/>
        </w:rPr>
        <w:t>增效（增加效率）：体现为运营效率和产出提高的成效。例如：</w:t>
      </w:r>
    </w:p>
    <w:p>
      <w:pPr>
        <w:pStyle w:val="56"/>
        <w:ind w:firstLine="420"/>
      </w:pPr>
      <w:r>
        <w:rPr>
          <w:rFonts w:hint="eastAsia"/>
        </w:rPr>
        <w:t xml:space="preserve">生产效率提升（单位时间内产出增加，设备生产节奏加快） </w:t>
      </w:r>
    </w:p>
    <w:p>
      <w:pPr>
        <w:pStyle w:val="56"/>
        <w:ind w:firstLine="420"/>
      </w:pPr>
      <w:r>
        <w:rPr>
          <w:rFonts w:hint="eastAsia"/>
        </w:rPr>
        <w:t xml:space="preserve">库存周转率提高（库存周转加快，减少库存持有成本和资金占用） </w:t>
      </w:r>
    </w:p>
    <w:p>
      <w:pPr>
        <w:pStyle w:val="56"/>
        <w:ind w:firstLine="420"/>
      </w:pPr>
      <w:r>
        <w:rPr>
          <w:rFonts w:hint="eastAsia"/>
        </w:rPr>
        <w:t>订单交付周期缩短（交付更及时，提升客户响应速度）增效类成效多以时间和产能的改善体现，往往需转换为成本节约或收入增加来量化价值。例如，生产效率提高可降低单位产品固定成本摊销，库存周转加快可减少仓储成本和库存资金占用利息等。</w:t>
      </w:r>
    </w:p>
    <w:p>
      <w:pPr>
        <w:pStyle w:val="56"/>
        <w:ind w:firstLine="420"/>
      </w:pPr>
      <w:r>
        <w:rPr>
          <w:rFonts w:hint="eastAsia"/>
        </w:rPr>
        <w:t>安全（安全保障提升）：涉及生产安全、数据安全等方面的改进。例如：</w:t>
      </w:r>
    </w:p>
    <w:p>
      <w:pPr>
        <w:pStyle w:val="56"/>
        <w:ind w:firstLine="420"/>
      </w:pPr>
      <w:r>
        <w:rPr>
          <w:rFonts w:hint="eastAsia"/>
        </w:rPr>
        <w:t xml:space="preserve">事故发生率降低（安全事故次数减少，人员伤亡及财产损失降低） </w:t>
      </w:r>
    </w:p>
    <w:p>
      <w:pPr>
        <w:pStyle w:val="56"/>
        <w:ind w:firstLine="420"/>
      </w:pPr>
      <w:r>
        <w:rPr>
          <w:rFonts w:hint="eastAsia"/>
        </w:rPr>
        <w:t>系统安全性提升（网络安全事件减少，数据泄露风险降低）安全类成效通过减少事故和风险损失体现其价值。例如，事故率降低直接减少事故处理和赔偿成本，增强系统安全性则避免潜在的数据泄露损失、法规罚款等支出。</w:t>
      </w:r>
    </w:p>
    <w:p>
      <w:pPr>
        <w:pStyle w:val="56"/>
        <w:ind w:firstLine="420"/>
      </w:pPr>
      <w:r>
        <w:rPr>
          <w:rFonts w:hint="eastAsia"/>
        </w:rPr>
        <w:t>绿色（绿色低碳发展）：反映能源资源利用效率和环保绩效提升的成效。例如：</w:t>
      </w:r>
    </w:p>
    <w:p>
      <w:pPr>
        <w:pStyle w:val="56"/>
        <w:ind w:firstLine="420"/>
      </w:pPr>
      <w:r>
        <w:rPr>
          <w:rFonts w:hint="eastAsia"/>
        </w:rPr>
        <w:t xml:space="preserve">能源消耗降低（单位产出能耗降低，水、电、气等费用减少） </w:t>
      </w:r>
    </w:p>
    <w:p>
      <w:pPr>
        <w:pStyle w:val="56"/>
        <w:ind w:firstLine="420"/>
      </w:pPr>
      <w:r>
        <w:rPr>
          <w:rFonts w:hint="eastAsia"/>
        </w:rPr>
        <w:t xml:space="preserve">废弃物排放减少（减少排污费、环保处理成本） </w:t>
      </w:r>
    </w:p>
    <w:p>
      <w:pPr>
        <w:pStyle w:val="56"/>
        <w:ind w:firstLine="420"/>
      </w:pPr>
      <w:r>
        <w:rPr>
          <w:rFonts w:hint="eastAsia"/>
        </w:rPr>
        <w:t>循环利用提高（材料循环利用率提高，节省原材料采购成本）绿色类成效既直接节省能源资源采购成本，也降低环境违法风险和治理投入，体现企业社会责任价值。</w:t>
      </w:r>
    </w:p>
    <w:p>
      <w:pPr>
        <w:pStyle w:val="56"/>
        <w:ind w:firstLine="420"/>
      </w:pPr>
      <w:r>
        <w:rPr>
          <w:rFonts w:hint="eastAsia"/>
        </w:rPr>
        <w:t>每个成效类别下的具体KPI指标需要结合企业行业和项目特点选取。本模型预设了典型的业务领域及指标库：涵盖研发、生产、质量、设备、仓储、物流、采购、销售、售后、财务、人事、综合、安全、能源等14个企业经营领域的关键KPI及其对应的财务指标和计算方法。企业可参考该指标库选择适用的成效指标进行核算（见附录A示例）。通过成效分类体系，确保数字化转型成效的识别全面而有条理，各类成效都能够在模型中找到对应的量化途径。</w:t>
      </w:r>
    </w:p>
    <w:p>
      <w:pPr>
        <w:pStyle w:val="105"/>
        <w:spacing w:before="156" w:after="156"/>
      </w:pPr>
      <w:bookmarkStart w:id="64" w:name="_Toc233986988"/>
      <w:r>
        <w:rPr>
          <w:rFonts w:hint="eastAsia"/>
        </w:rPr>
        <w:t>收益计算模型</w:t>
      </w:r>
      <w:bookmarkEnd w:id="64"/>
    </w:p>
    <w:p>
      <w:pPr>
        <w:pStyle w:val="105"/>
        <w:numPr>
          <w:ilvl w:val="0"/>
          <w:numId w:val="0"/>
        </w:numPr>
        <w:spacing w:before="156" w:after="156"/>
        <w:ind w:firstLine="420" w:firstLineChars="200"/>
        <w:rPr>
          <w:rFonts w:ascii="宋体" w:eastAsia="宋体"/>
        </w:rPr>
      </w:pPr>
      <w:bookmarkStart w:id="65" w:name="_Toc233986989"/>
      <w:r>
        <w:rPr>
          <w:rFonts w:hint="eastAsia" w:ascii="宋体" w:eastAsia="宋体"/>
        </w:rPr>
        <w:t>数字化转型收益计算模型负责将成效指标的改善量转化为财务收益值。模型由直接收益计算和间接收益转换两部分组成：</w:t>
      </w:r>
      <w:bookmarkEnd w:id="65"/>
    </w:p>
    <w:p>
      <w:pPr>
        <w:pStyle w:val="65"/>
        <w:spacing w:before="156" w:after="156"/>
      </w:pPr>
      <w:r>
        <w:rPr>
          <w:rFonts w:hint="eastAsia"/>
        </w:rPr>
        <w:t>直接收益计算</w:t>
      </w:r>
    </w:p>
    <w:p>
      <w:pPr>
        <w:pStyle w:val="56"/>
        <w:ind w:firstLine="420"/>
      </w:pPr>
      <w:r>
        <w:rPr>
          <w:rFonts w:hint="eastAsia"/>
        </w:rPr>
        <w:t xml:space="preserve">对降本类的成效指标，采用直接收益计算方法。即成效指标的改善可以直接对应相关成本科目的降低额，按照财务公式计算节约金额。例如： </w:t>
      </w:r>
    </w:p>
    <w:p>
      <w:pPr>
        <w:pStyle w:val="56"/>
        <w:ind w:firstLine="420"/>
      </w:pPr>
      <w:r>
        <w:rPr>
          <w:rFonts w:hint="eastAsia"/>
        </w:rPr>
        <w:t xml:space="preserve">人工成本节约：如果某数字化项目使生产线所需操作人员减少，则人工成本节约额=减少的员工人数×该岗位人均年薪酬。又如，提高设备自动化程度减少加班，则加班费用节约=减少的加班小时数×平均加班小时费用。 </w:t>
      </w:r>
    </w:p>
    <w:p>
      <w:pPr>
        <w:pStyle w:val="56"/>
        <w:ind w:firstLine="420"/>
      </w:pPr>
      <w:r>
        <w:rPr>
          <w:rFonts w:hint="eastAsia"/>
        </w:rPr>
        <w:t xml:space="preserve">材料成本节约：如通过工艺优化每件产品材料耗用下降，则材料成本节约=年产量×单位产品材料耗用降低量×材料单价。 </w:t>
      </w:r>
    </w:p>
    <w:p>
      <w:pPr>
        <w:pStyle w:val="56"/>
        <w:ind w:firstLine="420"/>
      </w:pPr>
      <w:r>
        <w:rPr>
          <w:rFonts w:hint="eastAsia"/>
        </w:rPr>
        <w:t>能源成本节约：如能源管理系统降低单位产品能耗，则能源费用节约=年产量×单位产品能耗降低量×能源单价；或按用能总量计算节约=降低的用电（或水、气）量×单位价格。</w:t>
      </w:r>
    </w:p>
    <w:p>
      <w:pPr>
        <w:pStyle w:val="56"/>
        <w:ind w:firstLine="420"/>
      </w:pPr>
      <w:r>
        <w:rPr>
          <w:rFonts w:hint="eastAsia"/>
        </w:rPr>
        <w:t>上述计算可直接基于财务账目和运营数据。例如实施节能改造后，年耗电量由</w:t>
      </w:r>
      <w:r>
        <w:t>A</w:t>
      </w:r>
      <w:r>
        <w:rPr>
          <w:rFonts w:hint="eastAsia"/>
        </w:rPr>
        <w:t>度降至</w:t>
      </w:r>
      <w:r>
        <w:t>B</w:t>
      </w:r>
      <w:r>
        <w:rPr>
          <w:rFonts w:hint="eastAsia"/>
        </w:rPr>
        <w:t>度，电费单价</w:t>
      </w:r>
      <w:r>
        <w:t>P</w:t>
      </w:r>
      <w:r>
        <w:rPr>
          <w:rFonts w:hint="eastAsia"/>
        </w:rPr>
        <w:t>元</w:t>
      </w:r>
      <w:r>
        <w:t>/</w:t>
      </w:r>
      <w:r>
        <w:rPr>
          <w:rFonts w:hint="eastAsia"/>
        </w:rPr>
        <w:t>度，则年度电费节约</w:t>
      </w:r>
      <w:r>
        <w:t>=(A−B)×P</w:t>
      </w:r>
      <w:r>
        <w:rPr>
          <w:rFonts w:hint="eastAsia"/>
        </w:rPr>
        <w:t>元。</w:t>
      </w:r>
    </w:p>
    <w:p>
      <w:pPr>
        <w:pStyle w:val="65"/>
        <w:spacing w:before="156" w:after="156"/>
      </w:pPr>
      <w:r>
        <w:rPr>
          <w:rFonts w:hint="eastAsia"/>
        </w:rPr>
        <w:t>间接收益转换</w:t>
      </w:r>
    </w:p>
    <w:p>
      <w:pPr>
        <w:pStyle w:val="56"/>
        <w:ind w:firstLine="420"/>
      </w:pPr>
      <w:r>
        <w:rPr>
          <w:rFonts w:hint="eastAsia"/>
        </w:rPr>
        <w:t>对于提质、增效、安全、绿色等无法直接从财务科目读取效益的成效，需要借助一定的假设或参考模型将其转换为财务收益。本指南基于对大量中小企业数字化转型案例的研究，梳理了各类常见KPI与财务指标之间的关系及转换公式。企业可参考这些标准化公式估算间接收益。以下给出部分典型转换模型示例：</w:t>
      </w:r>
    </w:p>
    <w:p>
      <w:pPr>
        <w:pStyle w:val="56"/>
        <w:ind w:firstLine="420"/>
      </w:pPr>
      <w:r>
        <w:rPr>
          <w:rFonts w:hint="eastAsia"/>
        </w:rPr>
        <w:t xml:space="preserve">产品合格率提升的收益：产品一次合格率提高能够带来的主要财务收益是质量成本的降低，尤其是内部故障成本（报废、返工）和鉴定检验成本的降低 。其计算可基于质量成本的构成公式： </w:t>
      </w:r>
    </w:p>
    <w:p>
      <w:pPr>
        <w:pStyle w:val="56"/>
        <w:ind w:firstLine="420"/>
      </w:pPr>
      <w:r>
        <w:rPr>
          <w:rFonts w:hint="eastAsia"/>
        </w:rPr>
        <w:t>案例: 某企业上线质量管理系统后产品一次合格率提高4%。由此每年可减少约2000件废品（每件成本10元），节约废品损失约2万元；每月减少约60小时的返修作业（按人工成本36元/小时计），一年返修人工费节约约2.6万元。同时，由于不合格率下降，质检工作量减少，可优化1名质检员的配置，节省人工成本约8万元/年。汇总计算，一次合格率提升4%带来的直接财务收益约12.6万元/年。</w:t>
      </w:r>
    </w:p>
    <w:p>
      <w:pPr>
        <w:pStyle w:val="56"/>
        <w:ind w:firstLine="420"/>
      </w:pPr>
      <w:r>
        <w:rPr>
          <w:rFonts w:hint="eastAsia"/>
        </w:rPr>
        <w:t xml:space="preserve">鉴定成本：包括质量检验、测试、审核等活动成本，可近似视为质检人员费用等固定成本。如合格率提升后可减少部分检验工作量或人员投入，则节约相应人工成本。 </w:t>
      </w:r>
    </w:p>
    <w:p>
      <w:pPr>
        <w:pStyle w:val="56"/>
        <w:ind w:firstLine="420"/>
      </w:pPr>
      <w:r>
        <w:rPr>
          <w:rFonts w:hint="eastAsia"/>
        </w:rPr>
        <w:t>内部失败成本：主要指废品损失。节约额计算公式例如：废品损失节约</w:t>
      </w:r>
      <w:r>
        <w:t>=</w:t>
      </w:r>
      <w:r>
        <w:rPr>
          <w:rFonts w:hint="eastAsia"/>
        </w:rPr>
        <w:t>减少的废品数量×单位产品成本。若数字化系统减少了生产过程中的不合格品数量，从原有每年不合格</w:t>
      </w:r>
      <w:r>
        <w:t>N</w:t>
      </w:r>
      <w:r>
        <w:rPr>
          <w:rFonts w:hint="eastAsia"/>
        </w:rPr>
        <w:t>件减少为</w:t>
      </w:r>
      <w:r>
        <w:t>N'</w:t>
      </w:r>
      <w:r>
        <w:rPr>
          <w:rFonts w:hint="eastAsia"/>
        </w:rPr>
        <w:t>件，单位产品生产成本为</w:t>
      </w:r>
      <w:r>
        <w:t>C</w:t>
      </w:r>
      <w:r>
        <w:rPr>
          <w:rFonts w:hint="eastAsia"/>
        </w:rPr>
        <w:t>，则废品损失降低</w:t>
      </w:r>
      <w:r>
        <w:t>=(N−N')×C</w:t>
      </w:r>
      <w:r>
        <w:rPr>
          <w:rFonts w:hint="eastAsia"/>
        </w:rPr>
        <w:t>元。</w:t>
      </w:r>
      <w:r>
        <w:t xml:space="preserve"> </w:t>
      </w:r>
    </w:p>
    <w:p>
      <w:pPr>
        <w:pStyle w:val="56"/>
        <w:ind w:firstLine="420"/>
      </w:pPr>
      <w:r>
        <w:rPr>
          <w:rFonts w:hint="eastAsia"/>
        </w:rPr>
        <w:t>返工成本：提高合格率也减少了需要返修的不合格品数量，从而节省返工的人力和材料投入。节约额可按公式：返工成本节约 = 减少的不合格品数量×（每件返工所需人力成本+每件返工所耗材料成本）。如每件不合格品返修需工时h小时、工时成本w元/小时，另需材料费m元，则单件返工成= h×w +m；乘以减少的不合格品件数得到年返工成本节约额。</w:t>
      </w:r>
    </w:p>
    <w:p>
      <w:pPr>
        <w:pStyle w:val="56"/>
        <w:ind w:firstLine="420"/>
      </w:pPr>
      <w:r>
        <w:rPr>
          <w:rFonts w:hint="eastAsia"/>
        </w:rPr>
        <w:t xml:space="preserve">原材料合格率提升的收益：原材料进厂合格率提高意味着来料质量提升，可减少来料检验工作和不合格来料处理成本。其主要收益在于检验成本和预防成本的降低： </w:t>
      </w:r>
    </w:p>
    <w:p>
      <w:pPr>
        <w:pStyle w:val="56"/>
        <w:ind w:firstLine="420"/>
      </w:pPr>
      <w:r>
        <w:rPr>
          <w:rFonts w:hint="eastAsia"/>
        </w:rPr>
        <w:t>案例: 上述企业的来料合格率同时提升了5%，使来料检验成本相应下降。经测算，每年可减少部分检验工作量，节省检验人工费约0.6万元，检验材料耗材费约0.4万元，合计每年节约1.0万元。</w:t>
      </w:r>
    </w:p>
    <w:p>
      <w:pPr>
        <w:pStyle w:val="56"/>
        <w:ind w:firstLine="420"/>
      </w:pPr>
      <w:r>
        <w:rPr>
          <w:rFonts w:hint="eastAsia"/>
        </w:rPr>
        <w:t xml:space="preserve">检验成本：包括来料检验的人工、设备折旧和检验耗材等。若来料质量提升后验收合格率提高，抽检频次或检验力度可下降，从而节约检验人工和耗材成本。 </w:t>
      </w:r>
    </w:p>
    <w:p>
      <w:pPr>
        <w:pStyle w:val="56"/>
        <w:ind w:firstLine="420"/>
      </w:pPr>
      <w:r>
        <w:rPr>
          <w:rFonts w:hint="eastAsia"/>
        </w:rPr>
        <w:t>不合格来料处理成本：指因来料不合格而产生的退货、索赔、额外采购等成本，此处简化计入预防和外部失败成本中。</w:t>
      </w:r>
    </w:p>
    <w:p>
      <w:pPr>
        <w:pStyle w:val="56"/>
        <w:ind w:firstLine="420"/>
      </w:pPr>
      <w:r>
        <w:rPr>
          <w:rFonts w:hint="eastAsia"/>
        </w:rPr>
        <w:t xml:space="preserve">生产效率提升的收益：生产效率（如单位时间产量）提高带来的收益可以通过单位产品成本的摊薄来体现，也可通过缩短生产周期减少在制品资金占用： </w:t>
      </w:r>
    </w:p>
    <w:p>
      <w:pPr>
        <w:pStyle w:val="56"/>
        <w:ind w:firstLine="420"/>
      </w:pPr>
      <w:r>
        <w:rPr>
          <w:rFonts w:hint="eastAsia"/>
        </w:rPr>
        <w:t>例如某企业导入生产调度优化系统后生产效率提高20%，在制品平均占用资金从500万元降至400万元，则按资金年成本假设5%，年资金占用成本节约= (500-400)*5%= 5万元。</w:t>
      </w:r>
    </w:p>
    <w:p>
      <w:pPr>
        <w:pStyle w:val="56"/>
        <w:ind w:firstLine="420"/>
      </w:pPr>
      <w:r>
        <w:rPr>
          <w:rFonts w:hint="eastAsia"/>
        </w:rPr>
        <w:t xml:space="preserve">单位产品直接成本摊薄：在产能未达到瓶颈时，提高生产效率相当于在相同固定成本投入下产出增加，从而降低单位产品固定成本部分。财务上可表现为单位产品成本下降，毛利率提高。 </w:t>
      </w:r>
    </w:p>
    <w:p>
      <w:pPr>
        <w:pStyle w:val="56"/>
        <w:ind w:firstLine="420"/>
      </w:pPr>
      <w:r>
        <w:rPr>
          <w:rFonts w:hint="eastAsia"/>
        </w:rPr>
        <w:t>产能释放效益：效率提高后在相同时间内完成更多生产任务，多出的产能可用于追加生产带来新增销售收入，或用于缩短交期提高客户满意度（间接收益）。</w:t>
      </w:r>
    </w:p>
    <w:p>
      <w:pPr>
        <w:pStyle w:val="56"/>
        <w:ind w:firstLine="420"/>
      </w:pPr>
      <w:r>
        <w:rPr>
          <w:rFonts w:hint="eastAsia"/>
        </w:rPr>
        <w:t>在制品减少：生产加快意味着在制品和半成品库存周转加快，减少在制品资金占用和保管成本。可通过计算减少的平均在制品库存量乘以资金成本率，估算资金占用成本节约。</w:t>
      </w:r>
    </w:p>
    <w:p>
      <w:pPr>
        <w:pStyle w:val="56"/>
        <w:ind w:firstLine="420"/>
      </w:pPr>
      <w:r>
        <w:rPr>
          <w:rFonts w:hint="eastAsia"/>
        </w:rPr>
        <w:t xml:space="preserve">设备故障率降低的收益：通过数字化手段加强设备预测性维护，降低故障停机率，可带来以下收益： </w:t>
      </w:r>
    </w:p>
    <w:p>
      <w:pPr>
        <w:pStyle w:val="56"/>
        <w:ind w:firstLine="420"/>
      </w:pPr>
      <w:r>
        <w:rPr>
          <w:rFonts w:hint="eastAsia"/>
        </w:rPr>
        <w:t>例如某工厂设备故障率从每月5次降至2次，平均每次停机1小时、小时产值1万元，则月停机损失由5万元降至2万元，月减少损失3万元；若每次维修成本降低20%，年维修费也可节省若干。</w:t>
      </w:r>
    </w:p>
    <w:p>
      <w:pPr>
        <w:pStyle w:val="56"/>
        <w:ind w:firstLine="420"/>
      </w:pPr>
      <w:r>
        <w:rPr>
          <w:rFonts w:hint="eastAsia"/>
        </w:rPr>
        <w:t>停机损失降低：故障停机时间减少，生产中断损失降低。可按停机损失=停机时间×单位时间产值计算经济损失，故障率降低后该损失相应减少。</w:t>
      </w:r>
    </w:p>
    <w:p>
      <w:pPr>
        <w:pStyle w:val="56"/>
        <w:ind w:firstLine="420"/>
      </w:pPr>
      <w:r>
        <w:rPr>
          <w:rFonts w:hint="eastAsia"/>
        </w:rPr>
        <w:t xml:space="preserve">维修成本优化：数字化监测减少重大故障发生频率，维修工作更多以计划性维护取代抢修，平均每次维修成本降低。设备维护总成本可能下降，也减少紧急维修造成的附加损失。 </w:t>
      </w:r>
    </w:p>
    <w:p>
      <w:pPr>
        <w:pStyle w:val="56"/>
        <w:ind w:firstLine="420"/>
      </w:pPr>
      <w:r>
        <w:rPr>
          <w:rFonts w:hint="eastAsia"/>
        </w:rPr>
        <w:t>备件及库存成本：可靠性提高可降低备件消耗和备件库存需求，节约备件采购和库存持有成本。</w:t>
      </w:r>
    </w:p>
    <w:p>
      <w:pPr>
        <w:pStyle w:val="56"/>
        <w:ind w:firstLine="420"/>
      </w:pPr>
      <w:r>
        <w:rPr>
          <w:rFonts w:hint="eastAsia"/>
        </w:rPr>
        <w:t xml:space="preserve">安全事故率降低的收益：安全管理数字化可减少安全事故发生，带来的直接经济收益包括： </w:t>
      </w:r>
    </w:p>
    <w:p>
      <w:pPr>
        <w:pStyle w:val="56"/>
        <w:ind w:firstLine="420"/>
      </w:pPr>
      <w:r>
        <w:rPr>
          <w:rFonts w:hint="eastAsia"/>
        </w:rPr>
        <w:t xml:space="preserve">事故处理成本降低：事故次数减少，直接的医疗、赔偿、事故调查处理费用下降。例如某企业安全事故年发生数从3起降至1起，平均每起事故处理成本10万元，则年事故处理成本由30万降至10万，节约20万元。 </w:t>
      </w:r>
    </w:p>
    <w:p>
      <w:pPr>
        <w:pStyle w:val="56"/>
        <w:ind w:firstLine="420"/>
      </w:pPr>
      <w:r>
        <w:rPr>
          <w:rFonts w:hint="eastAsia"/>
        </w:rPr>
        <w:t xml:space="preserve">停工损失降低：因事故造成的停工停产时间减少，避免了潜在产值损失。 </w:t>
      </w:r>
    </w:p>
    <w:p>
      <w:pPr>
        <w:pStyle w:val="56"/>
        <w:ind w:firstLine="420"/>
      </w:pPr>
      <w:r>
        <w:rPr>
          <w:rFonts w:hint="eastAsia"/>
        </w:rPr>
        <w:t>保险费用影响：长期事故率下降可降低保险费率，或者使保险赔付减少，从而间接节约保险成本。</w:t>
      </w:r>
    </w:p>
    <w:p>
      <w:pPr>
        <w:pStyle w:val="56"/>
        <w:ind w:firstLine="420"/>
      </w:pPr>
      <w:r>
        <w:rPr>
          <w:rFonts w:hint="eastAsia"/>
        </w:rPr>
        <w:t>以上列举的只是部分典型间接收益的量化模型。实际应用中，企业应根据自身的数据和行业情况，选取恰当的模型和参数来计算间接财务收益。本指南附录给出了各业务领域常见成效指标对应财务收益的参考计算公式，企业可据此进行估算，并根据需要调整模型参数以贴近自身实际。</w:t>
      </w:r>
    </w:p>
    <w:p>
      <w:pPr>
        <w:pStyle w:val="105"/>
        <w:spacing w:before="156" w:after="156"/>
      </w:pPr>
      <w:bookmarkStart w:id="66" w:name="_Toc233986990"/>
      <w:r>
        <w:rPr>
          <w:rFonts w:hint="eastAsia"/>
        </w:rPr>
        <w:t>模型应用</w:t>
      </w:r>
      <w:bookmarkEnd w:id="66"/>
    </w:p>
    <w:p>
      <w:pPr>
        <w:pStyle w:val="56"/>
        <w:ind w:firstLine="420"/>
      </w:pPr>
      <w:r>
        <w:rPr>
          <w:rFonts w:hint="eastAsia"/>
        </w:rPr>
        <w:t>在实际核算时，企业可按照以下方式应用本模型：</w:t>
      </w:r>
    </w:p>
    <w:p>
      <w:pPr>
        <w:pStyle w:val="56"/>
        <w:ind w:firstLine="420"/>
      </w:pPr>
      <w:r>
        <w:rPr>
          <w:rFonts w:hint="eastAsia"/>
        </w:rPr>
        <w:t>确定核算边界：明确本次核算所针对的数字化转型项目或范围。可以是单个数字化项目（如上线某信息系统），也可以是一个时期内实施的数字化转型综合举措。核算边界内的所有投入和相应成效都应纳入模型评估。</w:t>
      </w:r>
    </w:p>
    <w:p>
      <w:pPr>
        <w:pStyle w:val="56"/>
        <w:ind w:firstLine="420"/>
      </w:pPr>
      <w:r>
        <w:rPr>
          <w:rFonts w:hint="eastAsia"/>
        </w:rPr>
        <w:t>收集基础数据：包括项目投入的财务数据（预算或实际支出），以及项目实施前后的各项业务KPI数据。尽量收集最近年度或周期的数据作为基准，对间接收益的计算有参考意义。例如收集改造前后产品合格率、能耗指标、生产节拍等数据。</w:t>
      </w:r>
    </w:p>
    <w:p>
      <w:pPr>
        <w:pStyle w:val="56"/>
        <w:ind w:firstLine="420"/>
      </w:pPr>
      <w:r>
        <w:rPr>
          <w:rFonts w:hint="eastAsia"/>
        </w:rPr>
        <w:t>选择成效指标：依据数字化项目的类型和目标，从模型的指标库中挑选相关的KPI作为转型成效衡量指标。必要时补充企业特定的成效指标。对每项指标，确定其基准值和改善值（或改善幅度）。</w:t>
      </w:r>
    </w:p>
    <w:p>
      <w:pPr>
        <w:pStyle w:val="56"/>
        <w:ind w:firstLine="420"/>
      </w:pPr>
      <w:r>
        <w:rPr>
          <w:rFonts w:hint="eastAsia"/>
        </w:rPr>
        <w:t>计算收益：分别对每项成效指标计算其年度财务收益。对降本类指标直接计算成本差额；对其他指标套用适当的转换模型计算收益值。需注意时间周期的统一，例如都折算为年化收益。若项目效益在逐年变化（如逐年递增），可分年度计算。</w:t>
      </w:r>
    </w:p>
    <w:p>
      <w:pPr>
        <w:pStyle w:val="56"/>
        <w:ind w:firstLine="420"/>
      </w:pPr>
      <w:r>
        <w:rPr>
          <w:rFonts w:hint="eastAsia"/>
        </w:rPr>
        <w:t>汇总评估：将所有成效的年度收益相加得到总年度收益。将项目总投入与总收益进行对比，计算ROI、投资回收期等评价指标。必要时可进一步进行敏感性分析或不确定性分析，例如假设不同效益情景下ROI的变化。</w:t>
      </w:r>
    </w:p>
    <w:p>
      <w:pPr>
        <w:pStyle w:val="56"/>
        <w:ind w:firstLine="420"/>
      </w:pPr>
      <w:r>
        <w:rPr>
          <w:rFonts w:hint="eastAsia"/>
        </w:rPr>
        <w:t>通过上述步骤应用模型，企业可以形成数字化转型投入产出分析报告，用于指导决策和沟通。例如，在立项阶段凭借ROI预测决定是否投资某项目，在验收阶段以核算结果评估项目成败并总结经验等。</w:t>
      </w:r>
    </w:p>
    <w:p>
      <w:pPr>
        <w:pStyle w:val="104"/>
        <w:spacing w:before="312" w:after="312"/>
      </w:pPr>
      <w:bookmarkStart w:id="67" w:name="_Toc233986991"/>
      <w:r>
        <w:rPr>
          <w:rFonts w:hint="eastAsia"/>
        </w:rPr>
        <w:t>计算方法</w:t>
      </w:r>
      <w:bookmarkEnd w:id="67"/>
    </w:p>
    <w:p>
      <w:pPr>
        <w:pStyle w:val="104"/>
        <w:numPr>
          <w:ilvl w:val="0"/>
          <w:numId w:val="0"/>
        </w:numPr>
        <w:spacing w:before="312" w:after="312"/>
        <w:ind w:firstLine="420" w:firstLineChars="200"/>
        <w:rPr>
          <w:rFonts w:ascii="宋体" w:eastAsia="宋体"/>
        </w:rPr>
      </w:pPr>
      <w:bookmarkStart w:id="68" w:name="_Toc233986992"/>
      <w:r>
        <w:rPr>
          <w:rFonts w:hint="eastAsia" w:ascii="宋体" w:eastAsia="宋体"/>
        </w:rPr>
        <w:t>数字化转型投入产出的具体计算可按以下步骤和方法进行：</w:t>
      </w:r>
      <w:bookmarkEnd w:id="68"/>
    </w:p>
    <w:p>
      <w:pPr>
        <w:pStyle w:val="105"/>
        <w:spacing w:before="156" w:after="156"/>
      </w:pPr>
      <w:bookmarkStart w:id="69" w:name="_Toc233986993"/>
      <w:r>
        <w:rPr>
          <w:rFonts w:hint="eastAsia"/>
        </w:rPr>
        <w:t>数字化投入核算</w:t>
      </w:r>
      <w:bookmarkEnd w:id="69"/>
    </w:p>
    <w:p>
      <w:pPr>
        <w:pStyle w:val="56"/>
        <w:ind w:firstLine="420"/>
      </w:pPr>
      <w:r>
        <w:rPr>
          <w:rFonts w:hint="eastAsia"/>
        </w:rPr>
        <w:t>首先计算数字化转型项目的总投入金额。应当涵盖项目全生命周期的各项相关支出，典型包括：</w:t>
      </w:r>
    </w:p>
    <w:p>
      <w:pPr>
        <w:pStyle w:val="56"/>
        <w:ind w:firstLine="420"/>
      </w:pPr>
      <w:r>
        <w:rPr>
          <w:rFonts w:hint="eastAsia"/>
        </w:rPr>
        <w:t>软件投入：购置或开发软件的费用，如业务应用软件、操作系统、数据库、中间件、开发平台的许可费或订阅费等 。也包括软件升级、技术支持等相关费用。</w:t>
      </w:r>
    </w:p>
    <w:p>
      <w:pPr>
        <w:pStyle w:val="56"/>
        <w:ind w:firstLine="420"/>
      </w:pPr>
      <w:r>
        <w:rPr>
          <w:rFonts w:hint="eastAsia"/>
        </w:rPr>
        <w:t>硬件投入：为实施数字化转型配置的硬件资产投入 。主要包括服务器、存储、网络设备、工业控制及数据采集设备、终端设备等购置支出。如果硬件以服务形式获取（如设备租赁、IaaS云服务），也将相关费用计入硬件投入。</w:t>
      </w:r>
    </w:p>
    <w:p>
      <w:pPr>
        <w:pStyle w:val="56"/>
        <w:ind w:firstLine="420"/>
      </w:pPr>
      <w:r>
        <w:rPr>
          <w:rFonts w:hint="eastAsia"/>
        </w:rPr>
        <w:t>网络投入：数字化系统所需的网络和通信费用 。包括宽带网络费用、专线接入费、5G通信服务资费、无线网络建设投入、工业以太网或现场总线网络布置费用，以及云服务租用费用等。</w:t>
      </w:r>
    </w:p>
    <w:p>
      <w:pPr>
        <w:pStyle w:val="56"/>
        <w:ind w:firstLine="420"/>
      </w:pPr>
      <w:r>
        <w:rPr>
          <w:rFonts w:hint="eastAsia"/>
        </w:rPr>
        <w:t>人才投入：与项目实施相关的人力资源投入 。包括数字化转型项目团队人员工资、招聘培训费用，外部顾问或技术服务费用，以及对全员开展数字化技能培训的费用等。人才投入既包含专职的数字化人员，也包括实施过程中各部门投入的人力成本（可按工时折算）。</w:t>
      </w:r>
    </w:p>
    <w:p>
      <w:pPr>
        <w:pStyle w:val="56"/>
        <w:ind w:firstLine="420"/>
      </w:pPr>
      <w:r>
        <w:rPr>
          <w:rFonts w:hint="eastAsia"/>
        </w:rPr>
        <w:t>将上述各项投入加总，即得到数字化转型项目的总投入金额。在核算时，可区分一次性投资（资本性支出，如系统购置）和持续性投入（运营性支出，如每年的运维、订阅、人力成本）。对于持续性投入，应明确时间段（如按年计）。在填写投入产出核算表时，可采用“投入类型”字段注明是一次性还是按年持续投入（参见附录A）。</w:t>
      </w:r>
    </w:p>
    <w:p>
      <w:pPr>
        <w:pStyle w:val="56"/>
        <w:ind w:firstLine="420"/>
      </w:pPr>
      <w:r>
        <w:rPr>
          <w:rFonts w:hint="eastAsia"/>
        </w:rPr>
        <w:t>必要时，企业可对未来年度的投入采用折现计算现值的方法。例如，对于一个需每年投入维护费的项目，可将未来几年的维护费按一定贴现率折算为当前等值金额后再计入总投入。贴现率可根据企业资本成本或贷款利率确定，本指南建议如无明确依据可参考年化3%～5%的折现率进行估算。</w:t>
      </w:r>
    </w:p>
    <w:p>
      <w:pPr>
        <w:pStyle w:val="105"/>
        <w:spacing w:before="156" w:after="156"/>
      </w:pPr>
      <w:bookmarkStart w:id="70" w:name="_Toc233986994"/>
      <w:r>
        <w:rPr>
          <w:rFonts w:hint="eastAsia"/>
        </w:rPr>
        <w:t>确定转型评价指标</w:t>
      </w:r>
      <w:bookmarkEnd w:id="70"/>
    </w:p>
    <w:p>
      <w:pPr>
        <w:pStyle w:val="56"/>
        <w:ind w:firstLine="420"/>
      </w:pPr>
      <w:r>
        <w:rPr>
          <w:rFonts w:hint="eastAsia"/>
        </w:rPr>
        <w:t>明确项目实施所取得的关键成效，并选取适当的指标加以量化。典型步骤如下：</w:t>
      </w:r>
    </w:p>
    <w:p>
      <w:pPr>
        <w:pStyle w:val="56"/>
        <w:ind w:firstLine="420"/>
      </w:pPr>
      <w:r>
        <w:rPr>
          <w:rFonts w:hint="eastAsia"/>
        </w:rPr>
        <w:t>1.梳理项目预期目标：根据项目立项时的目标和实施范围，列出其预期带来的业务改进。例如提升生产效率、减少库存、提高产品质量、加强数据管理等。</w:t>
      </w:r>
    </w:p>
    <w:p>
      <w:pPr>
        <w:pStyle w:val="56"/>
        <w:ind w:firstLine="420"/>
      </w:pPr>
      <w:r>
        <w:rPr>
          <w:rFonts w:hint="eastAsia"/>
        </w:rPr>
        <w:t>2.对应量化指标：将每项预期改进细化为可衡量的KPI指标，并确定这些指标的基准值（改进前水平）和目标值或实际值（改进后达到的水平）。如生产效率可用“单位时间产量”衡量，库存水平可用“库存周转率”衡量等。</w:t>
      </w:r>
    </w:p>
    <w:p>
      <w:pPr>
        <w:pStyle w:val="56"/>
        <w:ind w:firstLine="420"/>
      </w:pPr>
      <w:r>
        <w:rPr>
          <w:rFonts w:hint="eastAsia"/>
        </w:rPr>
        <w:t>3.分类归属：将选定的成效指标归入提质、降本、增效、安全、绿色五类中恰当的类别。对于降本类指标，通常其财务收益容易直观计算；对于其他类别，要考虑如何转换为财务收益。</w:t>
      </w:r>
    </w:p>
    <w:p>
      <w:pPr>
        <w:pStyle w:val="56"/>
        <w:ind w:firstLine="420"/>
      </w:pPr>
      <w:r>
        <w:t>4.</w:t>
      </w:r>
      <w:r>
        <w:rPr>
          <w:rFonts w:hint="eastAsia"/>
        </w:rPr>
        <w:t>确定改善幅度：计算每项指标的改善幅度或差值。如某指标改进前后值分别为</w:t>
      </w:r>
      <w:r>
        <w:t>X0</w:t>
      </w:r>
      <w:r>
        <w:rPr>
          <w:rFonts w:hint="eastAsia"/>
        </w:rPr>
        <w:t>和</w:t>
      </w:r>
      <w:r>
        <w:t>X1</w:t>
      </w:r>
      <w:r>
        <w:rPr>
          <w:rFonts w:hint="eastAsia"/>
        </w:rPr>
        <w:t>，则改善幅度Δ</w:t>
      </w:r>
      <w:r>
        <w:t>X=X1−X0</w:t>
      </w:r>
      <w:r>
        <w:rPr>
          <w:rFonts w:hint="eastAsia"/>
        </w:rPr>
        <w:t>（可为提升率或绝对值差异）。该改善幅度将作为后续收益计算的基础参数。</w:t>
      </w:r>
    </w:p>
    <w:p>
      <w:pPr>
        <w:pStyle w:val="56"/>
        <w:ind w:firstLine="420"/>
      </w:pPr>
      <w:r>
        <w:rPr>
          <w:rFonts w:hint="eastAsia"/>
        </w:rPr>
        <w:t>在选择指标时，应聚焦于与项目有因果关联的效果，剔除那些受多种因素影响且无法确定是项目作用的指标，以保证核算结果的可信度。另外，对定性较强的成效（如提升客户体验等）可拆解为若干可定量的代理指标来衡量（如客户满意度评分、复购率等）。</w:t>
      </w:r>
    </w:p>
    <w:p>
      <w:pPr>
        <w:pStyle w:val="105"/>
        <w:spacing w:before="156" w:after="156"/>
      </w:pPr>
      <w:bookmarkStart w:id="71" w:name="_Toc233986995"/>
      <w:r>
        <w:rPr>
          <w:rFonts w:hint="eastAsia"/>
        </w:rPr>
        <w:t>财务收益计算</w:t>
      </w:r>
      <w:bookmarkEnd w:id="71"/>
    </w:p>
    <w:p>
      <w:pPr>
        <w:pStyle w:val="105"/>
        <w:numPr>
          <w:ilvl w:val="0"/>
          <w:numId w:val="0"/>
        </w:numPr>
        <w:spacing w:before="156" w:after="156"/>
        <w:ind w:firstLine="420" w:firstLineChars="200"/>
        <w:rPr>
          <w:rFonts w:ascii="宋体" w:eastAsia="宋体"/>
        </w:rPr>
      </w:pPr>
      <w:bookmarkStart w:id="72" w:name="_Toc233986996"/>
      <w:r>
        <w:rPr>
          <w:rFonts w:hint="eastAsia" w:ascii="宋体" w:eastAsia="宋体"/>
        </w:rPr>
        <w:t>针对每个成效指标，分别计算其对应的年度财务收益。可分两类情况处理：</w:t>
      </w:r>
      <w:bookmarkEnd w:id="72"/>
    </w:p>
    <w:p>
      <w:pPr>
        <w:pStyle w:val="65"/>
        <w:spacing w:before="156" w:after="156"/>
      </w:pPr>
      <w:r>
        <w:rPr>
          <w:rFonts w:hint="eastAsia"/>
        </w:rPr>
        <w:t>直接财务收益计算</w:t>
      </w:r>
    </w:p>
    <w:p>
      <w:pPr>
        <w:pStyle w:val="56"/>
        <w:ind w:firstLine="420"/>
      </w:pPr>
      <w:r>
        <w:rPr>
          <w:rFonts w:hint="eastAsia"/>
        </w:rPr>
        <w:t>对于能够直接对应财务科目的指标，按改进前后差异计算成本节约或利润增加：</w:t>
      </w:r>
    </w:p>
    <w:p>
      <w:pPr>
        <w:pStyle w:val="56"/>
        <w:ind w:firstLine="420"/>
      </w:pPr>
      <w:r>
        <w:rPr>
          <w:rFonts w:hint="eastAsia"/>
        </w:rPr>
        <w:t>成本类指标：若指标提升体现在成本降低，如人力、材料、能源、物流费用等，则年度财务收益</w:t>
      </w:r>
      <w:r>
        <w:t xml:space="preserve"> =</w:t>
      </w:r>
      <w:r>
        <w:rPr>
          <w:rFonts w:hint="eastAsia"/>
        </w:rPr>
        <w:t>改进前年度成本支出</w:t>
      </w:r>
      <w:r>
        <w:t>−</w:t>
      </w:r>
      <w:r>
        <w:rPr>
          <w:rFonts w:hint="eastAsia"/>
        </w:rPr>
        <w:t>改进后年度成本支出。例如改进前后能源年费用分别为</w:t>
      </w:r>
      <w:r>
        <w:t>E0</w:t>
      </w:r>
      <w:r>
        <w:rPr>
          <w:rFonts w:hint="eastAsia"/>
        </w:rPr>
        <w:t>和</w:t>
      </w:r>
      <w:r>
        <w:t>E1</w:t>
      </w:r>
      <w:r>
        <w:rPr>
          <w:rFonts w:hint="eastAsia"/>
        </w:rPr>
        <w:t>，则能源费用降低额</w:t>
      </w:r>
      <w:r>
        <w:t>=E0−E1</w:t>
      </w:r>
      <w:r>
        <w:rPr>
          <w:rFonts w:hint="eastAsia"/>
        </w:rPr>
        <w:t>。</w:t>
      </w:r>
    </w:p>
    <w:p>
      <w:pPr>
        <w:pStyle w:val="56"/>
        <w:ind w:firstLine="420"/>
      </w:pPr>
      <w:r>
        <w:rPr>
          <w:rFonts w:hint="eastAsia"/>
        </w:rPr>
        <w:t>产出/收入类指标：若数字化转型直接带来销售产出的增加（如上线电商平台带来新增销售额），则财务收益可计为新增毛利润。需注意剔除新增收入中相应的成本投入，通常以毛利额衡量更准确。例：新增销售额R，假设毛利率为g，则新增毛利=R×g，可计作收益。</w:t>
      </w:r>
    </w:p>
    <w:p>
      <w:pPr>
        <w:pStyle w:val="56"/>
        <w:ind w:firstLine="420"/>
      </w:pPr>
      <w:r>
        <w:rPr>
          <w:rFonts w:hint="eastAsia"/>
        </w:rPr>
        <w:t>生产效率类指标：如以单位成本降低形式体现，则单位产品成本降低Δ</w:t>
      </w:r>
      <w:r>
        <w:t>C=C0−C1</w:t>
      </w:r>
      <w:r>
        <w:rPr>
          <w:rFonts w:hint="eastAsia"/>
        </w:rPr>
        <w:t>，乘以年产销量得到年度成本节约额。如果效率提升没有直接降低单位成本，可结合产能释放带来的新增收益进行评估。</w:t>
      </w:r>
    </w:p>
    <w:p>
      <w:pPr>
        <w:pStyle w:val="65"/>
        <w:spacing w:before="156" w:after="156"/>
      </w:pPr>
      <w:r>
        <w:rPr>
          <w:rFonts w:hint="eastAsia"/>
        </w:rPr>
        <w:t>间接财务收益计算</w:t>
      </w:r>
    </w:p>
    <w:p>
      <w:pPr>
        <w:pStyle w:val="56"/>
        <w:ind w:firstLine="420"/>
      </w:pPr>
      <w:r>
        <w:rPr>
          <w:rFonts w:hint="eastAsia"/>
        </w:rPr>
        <w:t>对于需转换的间接指标，根据预先建立的公式进行计算：</w:t>
      </w:r>
    </w:p>
    <w:p>
      <w:pPr>
        <w:pStyle w:val="56"/>
        <w:ind w:firstLine="420"/>
      </w:pPr>
      <w:r>
        <w:rPr>
          <w:rFonts w:hint="eastAsia"/>
        </w:rPr>
        <w:t>选择合适的转换模型：从附录提供的参考公式中，找到对应该指标的计算模型。例如质量类指标参照质量成本模型，效率类指标参照成本摊薄或资金占用模型，安全类指标参照事故成本模型等。若附录无现成模型，可自行建立逻辑合理的计算方法。</w:t>
      </w:r>
    </w:p>
    <w:p>
      <w:pPr>
        <w:pStyle w:val="56"/>
        <w:ind w:firstLine="420"/>
      </w:pPr>
      <w:r>
        <w:rPr>
          <w:rFonts w:hint="eastAsia"/>
        </w:rPr>
        <w:t>准备计算所需数据：填入模型所需的参数数值。例如计算废品损失减少需要知道减少的废品数量和单位成本，计算库存资金占用需要年平均库存和资金利率等。数据可来自企业历史统计或行业经验值。</w:t>
      </w:r>
    </w:p>
    <w:p>
      <w:pPr>
        <w:pStyle w:val="56"/>
        <w:ind w:firstLine="420"/>
      </w:pPr>
      <w:r>
        <w:rPr>
          <w:rFonts w:hint="eastAsia"/>
        </w:rPr>
        <w:t>计算年度收益值：按照模型公式算出该指标改善所带来的年化财务收益。对于模型涉及多项成本要素的（如质量成本包括鉴定、内部失败等多个子项），应分别计算每项节约额再求和，得到该指标的总收益。</w:t>
      </w:r>
    </w:p>
    <w:p>
      <w:pPr>
        <w:pStyle w:val="56"/>
        <w:ind w:firstLine="420"/>
      </w:pPr>
      <w:r>
        <w:rPr>
          <w:rFonts w:hint="eastAsia"/>
        </w:rPr>
        <w:t>需要注意对间接收益结果进行合理性的判断和必要的校验。由于间接收益计算往往基于假设或经验公式，企业应结合自身实际验证结果的可信度，必要时可取偏保守的估计值，以免高估收益。</w:t>
      </w:r>
    </w:p>
    <w:p>
      <w:pPr>
        <w:pStyle w:val="105"/>
        <w:spacing w:before="156" w:after="156"/>
      </w:pPr>
      <w:bookmarkStart w:id="73" w:name="_Toc233986997"/>
      <w:r>
        <w:rPr>
          <w:rFonts w:hint="eastAsia"/>
        </w:rPr>
        <w:t>投资回报分析</w:t>
      </w:r>
      <w:bookmarkEnd w:id="73"/>
    </w:p>
    <w:p>
      <w:pPr>
        <w:pStyle w:val="56"/>
        <w:ind w:firstLine="420"/>
      </w:pPr>
      <w:r>
        <w:rPr>
          <w:rFonts w:hint="eastAsia"/>
        </w:rPr>
        <w:t>在获得项目总投入和各项年收益后，进行整体投入产出比和回报周期分析。</w:t>
      </w:r>
    </w:p>
    <w:p>
      <w:pPr>
        <w:pStyle w:val="65"/>
        <w:spacing w:before="156" w:after="156"/>
      </w:pPr>
      <w:r>
        <w:rPr>
          <w:rFonts w:hint="eastAsia"/>
        </w:rPr>
        <w:t>ROI计算根据累计净收益与投资成本计算投资回报率（ROI）</w:t>
      </w:r>
    </w:p>
    <w:p>
      <w:pPr>
        <w:pStyle w:val="56"/>
        <w:ind w:firstLine="420"/>
      </w:pPr>
      <w:r>
        <w:rPr>
          <w:rFonts w:hint="eastAsia"/>
        </w:rPr>
        <w:t>通常选取一定评估期（如项目实施后3年或5年）计算累计收益和ROI。本指南建议ROI既可按年计算，也可按整个评估期总计计算。例如3年期ROI计算如下：</w:t>
      </w:r>
    </w:p>
    <w:p>
      <w:pPr>
        <w:pStyle w:val="56"/>
        <w:ind w:firstLine="420"/>
      </w:pPr>
      <w:r>
        <w:rPr>
          <w:rFonts w:hint="eastAsia"/>
        </w:rPr>
        <w:t>首先，计算n年累计净收益</w:t>
      </w:r>
    </w:p>
    <w:p>
      <w:pPr>
        <w:pStyle w:val="56"/>
        <w:ind w:firstLine="420"/>
      </w:pPr>
    </w:p>
    <w:p>
      <w:pPr>
        <w:pStyle w:val="56"/>
        <w:ind w:firstLine="420"/>
      </w:pPr>
      <w:r>
        <w:rPr>
          <w:rFonts w:hint="eastAsia"/>
        </w:rPr>
        <w:t>若项目在初期投入较大、后期主要产生收益，可出现前期净收益为负、后期逐渐转正的情况。累计净收益即为评估期内总净效益。ROI公式：</w:t>
      </w:r>
    </w:p>
    <w:p>
      <w:pPr>
        <w:pStyle w:val="56"/>
        <w:ind w:firstLine="420"/>
      </w:pPr>
    </w:p>
    <w:p>
      <w:pPr>
        <w:pStyle w:val="56"/>
        <w:ind w:firstLine="420"/>
      </w:pPr>
      <w:r>
        <w:rPr>
          <w:rFonts w:hint="eastAsia"/>
        </w:rPr>
        <w:t>其中累计投入为评估期内各年投入的现值和，累计净收益为各年净收益的现值和。若不考虑折现，且除初始投入外后续无额外投入，则公式可简化为</w:t>
      </w:r>
      <w:r>
        <w:t xml:space="preserve"> ROI = (</w:t>
      </w:r>
      <w:r>
        <w:rPr>
          <w:rFonts w:hint="eastAsia"/>
        </w:rPr>
        <w:t>累计收益</w:t>
      </w:r>
      <w:r>
        <w:t xml:space="preserve"> − </w:t>
      </w:r>
      <w:r>
        <w:rPr>
          <w:rFonts w:hint="eastAsia"/>
        </w:rPr>
        <w:t>初始投入</w:t>
      </w:r>
      <w:r>
        <w:t xml:space="preserve">) / </w:t>
      </w:r>
      <w:r>
        <w:rPr>
          <w:rFonts w:hint="eastAsia"/>
        </w:rPr>
        <w:t>初始投入</w:t>
      </w:r>
      <w:r>
        <w:t xml:space="preserve"> ×100%</w:t>
      </w:r>
      <w:r>
        <w:rPr>
          <w:rFonts w:hint="eastAsia"/>
        </w:rPr>
        <w:t>。例如前述质量管理系统项目</w:t>
      </w:r>
      <w:r>
        <w:t>3</w:t>
      </w:r>
      <w:r>
        <w:rPr>
          <w:rFonts w:hint="eastAsia"/>
        </w:rPr>
        <w:t>年累计收益</w:t>
      </w:r>
      <w:r>
        <w:t>40.8</w:t>
      </w:r>
      <w:r>
        <w:rPr>
          <w:rFonts w:hint="eastAsia"/>
        </w:rPr>
        <w:t>万元，初始投入</w:t>
      </w:r>
      <w:r>
        <w:t>20</w:t>
      </w:r>
      <w:r>
        <w:rPr>
          <w:rFonts w:hint="eastAsia"/>
        </w:rPr>
        <w:t>万元，则</w:t>
      </w:r>
      <w:r>
        <w:t xml:space="preserve">ROI = (40.8−20)/20×100% = 104% </w:t>
      </w:r>
      <w:r>
        <w:rPr>
          <w:rFonts w:hint="eastAsia"/>
        </w:rPr>
        <w:t>。</w:t>
      </w:r>
    </w:p>
    <w:p>
      <w:pPr>
        <w:pStyle w:val="56"/>
        <w:ind w:firstLine="420"/>
      </w:pPr>
      <w:r>
        <w:rPr>
          <w:rFonts w:hint="eastAsia"/>
        </w:rPr>
        <w:t>如需更加准确，可考虑时间价值影响，将未来年度收益和投入以适当折现率换算为现值后再计算ROI。例如采用年折现率3%，则将第2、3年收益折现后再累计计算ROI（附录A示例给出了折现计算过程）。折现ROI能够反映项目的净现值回报率。</w:t>
      </w:r>
    </w:p>
    <w:p>
      <w:pPr>
        <w:pStyle w:val="65"/>
        <w:spacing w:before="156" w:after="156"/>
      </w:pPr>
      <w:r>
        <w:rPr>
          <w:rFonts w:hint="eastAsia"/>
        </w:rPr>
        <w:t>投资回收期计算</w:t>
      </w:r>
    </w:p>
    <w:p>
      <w:pPr>
        <w:pStyle w:val="56"/>
        <w:ind w:firstLine="420"/>
      </w:pPr>
      <w:r>
        <w:rPr>
          <w:rFonts w:hint="eastAsia"/>
        </w:rPr>
        <w:t>投资回收期可通过累计净现金流的方法确定：从项目开始逐年累计净收益，当累计值首次由负转正时所对应的时间即为投资回收期。如果精确到某一年份中间，则可按线性插值估算具体月份。对于简化计算，也可采用年均收益法近似估计，即：</w:t>
      </w:r>
    </w:p>
    <w:p>
      <w:pPr>
        <w:pStyle w:val="56"/>
        <w:ind w:firstLine="420"/>
      </w:pPr>
    </w:p>
    <w:p>
      <w:pPr>
        <w:pStyle w:val="56"/>
        <w:ind w:firstLine="420"/>
      </w:pPr>
      <w:r>
        <w:rPr>
          <w:rFonts w:hint="eastAsia"/>
        </w:rPr>
        <w:t>其中年均净收益 = （评估期累计净收益）/年数。如以上项目3年累计净收益20.8万元（40.8收益-20投入），年均净收益≈6.93万元，则投资回收期 ≈ 20万 / 6.93万 ≈ 2.88年。但由于该项目收益前两年尚未完全抵消投入，第3年才为净正，因此精确回收期应通过累计法确定。依据累计收益曲线，该质量管理系统项目在约1.5年时收回投资成本 ，即投资回收期≈1.5年。</w:t>
      </w:r>
    </w:p>
    <w:p>
      <w:pPr>
        <w:pStyle w:val="56"/>
        <w:ind w:firstLine="420"/>
      </w:pPr>
      <w:r>
        <w:rPr>
          <w:rFonts w:hint="eastAsia"/>
        </w:rPr>
        <w:t>在计算投资回收期时，如果项目在评估期末仍未回本，应报告为“超过评估期未回收”。对于持续性投入项目，可按一定年限（如5年）计算ROI和回收期，并结合项目寿命周期分析长期回报情况。</w:t>
      </w:r>
    </w:p>
    <w:p>
      <w:pPr>
        <w:pStyle w:val="105"/>
        <w:spacing w:before="156" w:after="156"/>
      </w:pPr>
      <w:bookmarkStart w:id="74" w:name="_Toc233986998"/>
      <w:r>
        <w:rPr>
          <w:rFonts w:hint="eastAsia"/>
        </w:rPr>
        <w:t>综合评价与决策</w:t>
      </w:r>
      <w:bookmarkEnd w:id="74"/>
    </w:p>
    <w:p>
      <w:pPr>
        <w:pStyle w:val="56"/>
        <w:ind w:firstLine="420"/>
      </w:pPr>
      <w:r>
        <w:rPr>
          <w:rFonts w:hint="eastAsia"/>
        </w:rPr>
        <w:t>通过ROI和投资回收期等指标，可对数字化转型项目的经济效益作出综合评价：</w:t>
      </w:r>
    </w:p>
    <w:p>
      <w:pPr>
        <w:pStyle w:val="56"/>
        <w:ind w:firstLine="420"/>
      </w:pPr>
      <w:r>
        <w:rPr>
          <w:rFonts w:hint="eastAsia"/>
        </w:rPr>
        <w:t xml:space="preserve">ROI &gt; 0（或&gt;基准收益率）且回收期在可接受范围内，则项目在财务上可行，值得实施。ROI越高、回收期越短，表明投资效益越好。 </w:t>
      </w:r>
    </w:p>
    <w:p>
      <w:pPr>
        <w:pStyle w:val="56"/>
        <w:ind w:firstLine="420"/>
      </w:pPr>
      <w:r>
        <w:rPr>
          <w:rFonts w:hint="eastAsia"/>
        </w:rPr>
        <w:t xml:space="preserve">ROI接近于0或为负，说明项目可能收不回成本或收益很低，需要重新审视项目必要性或优化方案。如果项目具有战略意义但财务ROI低，可考虑其他非财务收益（如带来竞争优势）后再决策。 </w:t>
      </w:r>
    </w:p>
    <w:p>
      <w:pPr>
        <w:pStyle w:val="56"/>
        <w:ind w:firstLine="420"/>
      </w:pPr>
      <w:r>
        <w:rPr>
          <w:rFonts w:hint="eastAsia"/>
        </w:rPr>
        <w:t>对比多个项目时，可将ROI作为排序依据，高ROI项目优先投资。但也要综合考虑实施难度、风险因素以及企业发展战略匹配度。</w:t>
      </w:r>
    </w:p>
    <w:p>
      <w:pPr>
        <w:pStyle w:val="56"/>
        <w:ind w:firstLine="420"/>
      </w:pPr>
      <w:r>
        <w:rPr>
          <w:rFonts w:hint="eastAsia"/>
        </w:rPr>
        <w:t>除了量化指标外，企业在决策时还应考虑数字化转型的长期价值和战略意义。某些项目在评估期内ROI不高，但可能为企业奠定数字化基础、促进后续更大收益；有些收益难以直接金钱衡量（如提升企业形象），也应予以适当权重。因此，投入产出核算结论应作为重要决策依据之一，但非唯一因素。管理层可结合核算结果和质性判断，制定更加科学合理的数字化转型规划。</w:t>
      </w:r>
    </w:p>
    <w:p>
      <w:pPr>
        <w:pStyle w:val="104"/>
        <w:spacing w:before="312" w:after="312"/>
      </w:pPr>
      <w:bookmarkStart w:id="75" w:name="_Toc233986999"/>
      <w:r>
        <w:rPr>
          <w:rFonts w:hint="eastAsia"/>
        </w:rPr>
        <w:t>实施要求</w:t>
      </w:r>
      <w:bookmarkEnd w:id="75"/>
    </w:p>
    <w:p>
      <w:pPr>
        <w:pStyle w:val="56"/>
        <w:ind w:firstLine="420"/>
      </w:pPr>
      <w:r>
        <w:rPr>
          <w:rFonts w:hint="eastAsia"/>
        </w:rPr>
        <w:t>为确保本指南在企业中的有效实施，中小企业在开展数字化转型投入产出核算工作时应满足以下要求：</w:t>
      </w:r>
    </w:p>
    <w:p>
      <w:pPr>
        <w:pStyle w:val="56"/>
        <w:ind w:firstLine="420"/>
      </w:pPr>
      <w:r>
        <w:rPr>
          <w:rFonts w:hint="eastAsia"/>
        </w:rPr>
        <w:t>组织保障：企业应建立由高层牵头、财务和业务部门共同参与的数字化转型效益评估机制。明确职责分工，例如由财务部门负责投入与收益数据收集和计算，由业务部门提供成效指标数据和专业判断，高层决策者参与结果审查和决策应用。</w:t>
      </w:r>
    </w:p>
    <w:p>
      <w:pPr>
        <w:pStyle w:val="56"/>
        <w:ind w:firstLine="420"/>
      </w:pPr>
      <w:r>
        <w:rPr>
          <w:rFonts w:hint="eastAsia"/>
        </w:rPr>
        <w:t>资料收集：企业应建立数字化项目投入产出档案，详实记录每个项目的投入明细、实施过程及产出效果数据。包括但不限于合同及发票（证明投入金额）、项目实施报告、业务KPI定期报表等。这些资料为核算提供基础数据，也为事后审计和分析改进提供依据。</w:t>
      </w:r>
    </w:p>
    <w:p>
      <w:pPr>
        <w:pStyle w:val="56"/>
        <w:ind w:firstLine="420"/>
      </w:pPr>
      <w:r>
        <w:rPr>
          <w:rFonts w:hint="eastAsia"/>
        </w:rPr>
        <w:t>数据质量：确保用于核算的数据真实可靠。对于财务数据，应以财务记录为准；对于业务指标数据，应来源可信（如ERP系统、MES系统的数据或人工统计的生产报表等）。必要时对关键数据进行验证或审计，避免因为数据失真导致核算结果失准。</w:t>
      </w:r>
    </w:p>
    <w:p>
      <w:pPr>
        <w:pStyle w:val="56"/>
        <w:ind w:firstLine="420"/>
      </w:pPr>
      <w:r>
        <w:rPr>
          <w:rFonts w:hint="eastAsia"/>
        </w:rPr>
        <w:t>方法培训：企业应对相关人员开展本指南核算方法的培训，使财务、人力、生产等相关部门了解投入产出核算的意义和方法。确保填报人员理解附录提供的公式和模板，会使用工具进行ROI计算。鼓励企业导入适当的信息化工具（如Excel模板、专用ROI分析软件）以降低人工计算工作量。</w:t>
      </w:r>
    </w:p>
    <w:p>
      <w:pPr>
        <w:pStyle w:val="56"/>
        <w:ind w:firstLine="420"/>
      </w:pPr>
      <w:r>
        <w:rPr>
          <w:rFonts w:hint="eastAsia"/>
        </w:rPr>
        <w:t>定期评估：将数字化转型投入产出核算工作纳入企业管理周期。建议至少每年对已实施的数字化项目进行一次投入产出效果评估，并形成报告提交管理层。对于持续运行的数字化系统，评估其年度投入运维成本与年度收益，跟踪ROI的变化趋势，及时发现效益下滑的项目采取优化措施。</w:t>
      </w:r>
    </w:p>
    <w:p>
      <w:pPr>
        <w:pStyle w:val="56"/>
        <w:ind w:firstLine="420"/>
      </w:pPr>
      <w:r>
        <w:rPr>
          <w:rFonts w:hint="eastAsia"/>
        </w:rPr>
        <w:t>持续改进：根据历次核算的结果和发现的问题，不断完善企业内部的核算模型参数和流程。比如，结合企业自身历史数据，修正某些行业通用公式中的参数使之更贴近实际；总结哪个部门的数据采集存在困难并改进数据系统等。将核算工作与企业PDCA循环管理结合，逐步提高数字化转型投资决策的科学性。</w:t>
      </w:r>
    </w:p>
    <w:p>
      <w:pPr>
        <w:pStyle w:val="56"/>
        <w:ind w:firstLine="420"/>
      </w:pPr>
      <w:r>
        <w:rPr>
          <w:rFonts w:hint="eastAsia"/>
        </w:rPr>
        <w:t>保密与合规：在开展核算时，注意保护企业敏感信息和数据安全。对外分享核算成果时，应遵循公司信息披露规定。核算工作中涉及的财务处理应符合会计准则，对于资本化或费用化的划分、折旧摊销计算等应保持与财务制度一致，以免内部核算与财务报表不一致。</w:t>
      </w:r>
    </w:p>
    <w:p>
      <w:pPr>
        <w:pStyle w:val="104"/>
        <w:spacing w:before="312" w:after="312"/>
      </w:pPr>
      <w:bookmarkStart w:id="76" w:name="_Toc233987000"/>
      <w:r>
        <w:rPr>
          <w:rFonts w:hint="eastAsia"/>
        </w:rPr>
        <w:t>示例说明</w:t>
      </w:r>
      <w:bookmarkEnd w:id="76"/>
    </w:p>
    <w:p>
      <w:pPr>
        <w:pStyle w:val="56"/>
        <w:ind w:firstLine="420"/>
      </w:pPr>
      <w:r>
        <w:rPr>
          <w:rFonts w:hint="eastAsia"/>
        </w:rPr>
        <w:t>为了加深对上述方法的理解，下面给出一个数字化转型投入产出核算的实例。本实例基于某制造型中小企业实施质量管理系统(QMS)项目的真实场景，演示如何运用本指南进行投入产出计算和分析。</w:t>
      </w:r>
    </w:p>
    <w:p>
      <w:pPr>
        <w:pStyle w:val="56"/>
        <w:ind w:firstLine="420"/>
      </w:pPr>
      <w:r>
        <w:rPr>
          <w:rFonts w:hint="eastAsia"/>
        </w:rPr>
        <w:t>项目背景： 某企业计划引入一套数字化质量管理系统，以提高产品质量水平和降低质量损失成本。项目一次性投入费用为20万元，包括软件采购和部署等。系统在年初上线运行。</w:t>
      </w:r>
    </w:p>
    <w:p>
      <w:pPr>
        <w:pStyle w:val="56"/>
        <w:ind w:firstLine="420"/>
      </w:pPr>
      <w:r>
        <w:rPr>
          <w:rFonts w:hint="eastAsia"/>
        </w:rPr>
        <w:t>投入情况： 该项目的数字化投入主要为一次性投入20万元，涵盖软件许可费和实施服务费。硬件方面利用了现有服务器，无新增投入；网络和人才投入可以忽略不计或计入实施服务费中。因此总投入=20万元（第一年投入，第二年、第三年无新增投入）。</w:t>
      </w:r>
    </w:p>
    <w:p>
      <w:pPr>
        <w:pStyle w:val="56"/>
        <w:ind w:firstLine="420"/>
      </w:pPr>
      <w:r>
        <w:rPr>
          <w:rFonts w:hint="eastAsia"/>
        </w:rPr>
        <w:t>预期成效： 企业预期该质量管理系统上线后，将主要产生两个方面的成效：一是产品一次合格率（初次检验合格的成品比例）提高；二是来料合格率（原材料进厂检验合格率）提高。改善的具体幅度根据试运行观察，产品一次合格率从90%提升至94%（提升4个百分点），来料合格率从95%提升至100%（提升5个百分点）。</w:t>
      </w:r>
    </w:p>
    <w:p>
      <w:pPr>
        <w:pStyle w:val="56"/>
        <w:ind w:firstLine="420"/>
      </w:pPr>
      <w:r>
        <w:rPr>
          <w:rFonts w:hint="eastAsia"/>
        </w:rPr>
        <w:t xml:space="preserve">成效指标基准和目标： </w:t>
      </w:r>
    </w:p>
    <w:p>
      <w:pPr>
        <w:pStyle w:val="56"/>
        <w:ind w:firstLine="420"/>
      </w:pPr>
      <w:r>
        <w:rPr>
          <w:rFonts w:hint="eastAsia"/>
        </w:rPr>
        <w:t xml:space="preserve">产品一次合格率：改进前90%，改进后94%，提高4%。 </w:t>
      </w:r>
    </w:p>
    <w:p>
      <w:pPr>
        <w:pStyle w:val="56"/>
        <w:ind w:firstLine="420"/>
      </w:pPr>
      <w:r>
        <w:rPr>
          <w:rFonts w:hint="eastAsia"/>
        </w:rPr>
        <w:t>来料进厂合格率：改进前95%，改进后100%，提高5%。</w:t>
      </w:r>
    </w:p>
    <w:p>
      <w:pPr>
        <w:pStyle w:val="56"/>
        <w:ind w:firstLine="420"/>
      </w:pPr>
      <w:r>
        <w:rPr>
          <w:rFonts w:hint="eastAsia"/>
        </w:rPr>
        <w:t>财务收益计算：项目实施前，该企业每年因产品不合格产生的内部质量成本约为：鉴定检测费用10万元，废品损失和返修成本15万元合计（其中废品损失约5万元，返修返工人工和物料成本约10万元）。由于合格率仅90%，不合格品率10%带来较高的质量损失。来料方面，原材料检验费用约2万元/年，不合格来料处理损失约1万元/年。</w:t>
      </w:r>
    </w:p>
    <w:p>
      <w:pPr>
        <w:pStyle w:val="56"/>
        <w:ind w:firstLine="420"/>
      </w:pPr>
      <w:r>
        <w:rPr>
          <w:rFonts w:hint="eastAsia"/>
        </w:rPr>
        <w:t>系统上线后质量指标改善所带来的财务收益具体分析如下：</w:t>
      </w:r>
    </w:p>
    <w:p>
      <w:pPr>
        <w:pStyle w:val="56"/>
        <w:ind w:firstLine="420"/>
      </w:pPr>
      <w:r>
        <w:rPr>
          <w:rFonts w:hint="eastAsia"/>
        </w:rPr>
        <w:t xml:space="preserve">一次合格率提高4%的收益： 一次合格率由90%升至94%，不合格率相应从10%降至6%。不合格率下降意味着内部质量损失成本显著降低，具体体现在： </w:t>
      </w:r>
    </w:p>
    <w:p>
      <w:pPr>
        <w:pStyle w:val="56"/>
        <w:ind w:firstLine="420"/>
      </w:pPr>
      <w:r>
        <w:rPr>
          <w:rFonts w:hint="eastAsia"/>
        </w:rPr>
        <w:t>综合以上，产品合格率提升4%为企业每年带来的直接财务收益约：鉴定人工节约8万 + 废品损失节约2万 + 返修成本节约约2.6万 = 12.6万元。</w:t>
      </w:r>
    </w:p>
    <w:p>
      <w:pPr>
        <w:pStyle w:val="56"/>
        <w:ind w:firstLine="420"/>
      </w:pPr>
      <w:r>
        <w:rPr>
          <w:rFonts w:hint="eastAsia"/>
        </w:rPr>
        <w:t xml:space="preserve">鉴定成本方面：产线不合格品减少后，质检工作量相应减少。企业发现可减少1名专职质检员（原有5人减至4人），每年节约人工成本约8万元 。质检耗材也相应减少，但占比小此处忽略。 </w:t>
      </w:r>
    </w:p>
    <w:p>
      <w:pPr>
        <w:pStyle w:val="56"/>
        <w:ind w:firstLine="420"/>
      </w:pPr>
      <w:r>
        <w:rPr>
          <w:rFonts w:hint="eastAsia"/>
        </w:rPr>
        <w:t xml:space="preserve">废品损失方面：按年产量计算，原来每年约产生废品N件（导致5万元损失），现在不合格率下降4个百分点，废品数量减少约40%（假设原N=5000件，不合格率降为6%则废品约3000件），减少废品约2000件。每件产品成本约10元，则每年减少废品损失约2000×10 = 2万元 。 </w:t>
      </w:r>
    </w:p>
    <w:p>
      <w:pPr>
        <w:pStyle w:val="56"/>
        <w:ind w:firstLine="420"/>
      </w:pPr>
      <w:r>
        <w:rPr>
          <w:rFonts w:hint="eastAsia"/>
        </w:rPr>
        <w:t>返修成本方面：不合格品减少也降低了返修返工的工作量。估计每月减少约60小时的返修作业（原每月约150小时降至90小时），按人工成本36元/小时计，一年减少返修人工费用60×36×12 = 2.592万元（约2.6万元） 。返修所耗辅料等成本也相应下降，这部分估计节约0.5万元，合并进人工费用统计。</w:t>
      </w:r>
    </w:p>
    <w:p>
      <w:pPr>
        <w:pStyle w:val="56"/>
        <w:ind w:firstLine="420"/>
      </w:pPr>
      <w:r>
        <w:rPr>
          <w:rFonts w:hint="eastAsia"/>
        </w:rPr>
        <w:t xml:space="preserve">来料合格率提高5%的收益： 来料合格率由95%提升至100%，不合格来料基本消除。这带来的收益主要体现在： </w:t>
      </w:r>
    </w:p>
    <w:p>
      <w:pPr>
        <w:pStyle w:val="56"/>
        <w:ind w:firstLine="420"/>
      </w:pPr>
      <w:r>
        <w:rPr>
          <w:rFonts w:hint="eastAsia"/>
        </w:rPr>
        <w:t>因此，来料合格率提升5%带来的年度财务收益约1万元（主要为检验及相关成本的节省）。</w:t>
      </w:r>
    </w:p>
    <w:p>
      <w:pPr>
        <w:pStyle w:val="56"/>
        <w:ind w:firstLine="420"/>
      </w:pPr>
      <w:r>
        <w:rPr>
          <w:rFonts w:hint="eastAsia"/>
        </w:rPr>
        <w:t xml:space="preserve">来料检验成本降低：由于供应商来料质量提高，企业对进料的检验变得更为简单。推算可减少一部分验收检验工作量，相当于每年节省检验人员工时费用约0.6万元，以及检验耗材费用约0.4万元 。合计1.0万元/年的检验成本节约。 </w:t>
      </w:r>
    </w:p>
    <w:p>
      <w:pPr>
        <w:pStyle w:val="56"/>
        <w:ind w:firstLine="420"/>
      </w:pPr>
      <w:r>
        <w:rPr>
          <w:rFonts w:hint="eastAsia"/>
        </w:rPr>
        <w:t>不合格来料处理成本降低：原材料不合格率降低后，几乎无退货和额外采购损失，原先每年约1万元的不合格处理相关损失可视为全部节省。然而，由于该项不合格率本就不高且已接近消除，保守计此次收益约1万元，与检验成本节约重合部分不重复计算。</w:t>
      </w:r>
    </w:p>
    <w:p>
      <w:pPr>
        <w:pStyle w:val="56"/>
        <w:ind w:firstLine="420"/>
      </w:pPr>
      <w:r>
        <w:rPr>
          <w:rFonts w:hint="eastAsia"/>
        </w:rPr>
        <w:t>将两个成效收益相加，可得该质量管理系统项目每年总收益约13.6万元 。</w:t>
      </w:r>
    </w:p>
    <w:p>
      <w:pPr>
        <w:pStyle w:val="56"/>
        <w:ind w:firstLine="420"/>
      </w:pPr>
      <w:r>
        <w:rPr>
          <w:rFonts w:hint="eastAsia"/>
        </w:rPr>
        <w:t>投资回报率和回收期：初始投入</w:t>
      </w:r>
      <w:r>
        <w:t>20</w:t>
      </w:r>
      <w:r>
        <w:rPr>
          <w:rFonts w:hint="eastAsia"/>
        </w:rPr>
        <w:t>万元，年收益</w:t>
      </w:r>
      <w:r>
        <w:t>13.6</w:t>
      </w:r>
      <w:r>
        <w:rPr>
          <w:rFonts w:hint="eastAsia"/>
        </w:rPr>
        <w:t>万元。假定该收益在项目投产后能够稳定维持</w:t>
      </w:r>
      <w:r>
        <w:t>3</w:t>
      </w:r>
      <w:r>
        <w:rPr>
          <w:rFonts w:hint="eastAsia"/>
        </w:rPr>
        <w:t>年，则</w:t>
      </w:r>
      <w:r>
        <w:t>3</w:t>
      </w:r>
      <w:r>
        <w:rPr>
          <w:rFonts w:hint="eastAsia"/>
        </w:rPr>
        <w:t>年累计收益</w:t>
      </w:r>
      <w:r>
        <w:t>=13.6×3=40.8</w:t>
      </w:r>
      <w:r>
        <w:rPr>
          <w:rFonts w:hint="eastAsia"/>
        </w:rPr>
        <w:t>万元。根据公式计算</w:t>
      </w:r>
      <w:r>
        <w:t>3</w:t>
      </w:r>
      <w:r>
        <w:rPr>
          <w:rFonts w:hint="eastAsia"/>
        </w:rPr>
        <w:t>年期</w:t>
      </w:r>
      <w:r>
        <w:t>ROI</w:t>
      </w:r>
      <w:r>
        <w:rPr>
          <w:rFonts w:hint="eastAsia"/>
        </w:rPr>
        <w:t>约为</w:t>
      </w:r>
      <w:r>
        <w:t xml:space="preserve">((40.8−20)/20)×100% </w:t>
      </w:r>
      <w:r>
        <w:rPr>
          <w:rFonts w:hint="eastAsia"/>
        </w:rPr>
        <w:t>≈</w:t>
      </w:r>
      <w:r>
        <w:t xml:space="preserve"> 104%</w:t>
      </w:r>
      <w:r>
        <w:rPr>
          <w:rFonts w:hint="eastAsia"/>
        </w:rPr>
        <w:t>，投资回报率超过</w:t>
      </w:r>
      <w:r>
        <w:t>1</w:t>
      </w:r>
      <w:r>
        <w:rPr>
          <w:rFonts w:hint="eastAsia"/>
        </w:rPr>
        <w:t>倍</w:t>
      </w:r>
      <w:r>
        <w:t xml:space="preserve"> </w:t>
      </w:r>
      <w:r>
        <w:rPr>
          <w:rFonts w:hint="eastAsia"/>
        </w:rPr>
        <w:t>。投资回收期则约为</w:t>
      </w:r>
      <w:r>
        <w:t>20</w:t>
      </w:r>
      <w:r>
        <w:rPr>
          <w:rFonts w:hint="eastAsia"/>
        </w:rPr>
        <w:t>万</w:t>
      </w:r>
      <w:r>
        <w:t>/13.6</w:t>
      </w:r>
      <w:r>
        <w:rPr>
          <w:rFonts w:hint="eastAsia"/>
        </w:rPr>
        <w:t>万</w:t>
      </w:r>
      <w:r>
        <w:t xml:space="preserve"> </w:t>
      </w:r>
      <w:r>
        <w:rPr>
          <w:rFonts w:hint="eastAsia"/>
        </w:rPr>
        <w:t>≈</w:t>
      </w:r>
      <w:r>
        <w:t xml:space="preserve"> 1.47</w:t>
      </w:r>
      <w:r>
        <w:rPr>
          <w:rFonts w:hint="eastAsia"/>
        </w:rPr>
        <w:t>年（约一年半）</w:t>
      </w:r>
      <w:r>
        <w:t xml:space="preserve"> </w:t>
      </w:r>
      <w:r>
        <w:rPr>
          <w:rFonts w:hint="eastAsia"/>
        </w:rPr>
        <w:t>。从收益现金流角度看，在项目上线后的第</w:t>
      </w:r>
      <w:r>
        <w:t>18</w:t>
      </w:r>
      <w:r>
        <w:rPr>
          <w:rFonts w:hint="eastAsia"/>
        </w:rPr>
        <w:t>个月左右累计净收益为正，开始盈利。因此可以认定该项目在财务上是非常可行的。实际运行中，随着时间推移，在</w:t>
      </w:r>
      <w:r>
        <w:t>1.5</w:t>
      </w:r>
      <w:r>
        <w:rPr>
          <w:rFonts w:hint="eastAsia"/>
        </w:rPr>
        <w:t>年收回成本后，之后每年持续创造净收益，为企业带来更多利润 。</w:t>
      </w:r>
    </w:p>
    <w:p>
      <w:pPr>
        <w:pStyle w:val="56"/>
        <w:ind w:firstLine="420"/>
      </w:pPr>
      <w:r>
        <w:rPr>
          <w:rFonts w:hint="eastAsia"/>
        </w:rPr>
        <w:t>上述实例清晰地演示了如何根据实际数据计算数字化转型项目的投入产出效益。中小企业在应用本指南时，可参考此示例的步骤：列出投入，选择指标，计算每项收益，最后汇总评估。需要强调的是，实例中的数据和模型基于一定假设，每个企业的具体情况不同，应根据自身真实数据进行调整和计算。通过这样的核算，企业管理者能够直观看到数字化项目的“花钱”与“赚钱”情况，支撑更为理性的决策。</w:t>
      </w:r>
    </w:p>
    <w:p>
      <w:pPr>
        <w:pStyle w:val="162"/>
        <w:numPr>
          <w:ilvl w:val="0"/>
          <w:numId w:val="0"/>
        </w:numPr>
      </w:pPr>
    </w:p>
    <w:p>
      <w:pPr>
        <w:pStyle w:val="162"/>
        <w:numPr>
          <w:ilvl w:val="0"/>
          <w:numId w:val="0"/>
        </w:numPr>
        <w:sectPr>
          <w:pgSz w:w="11906" w:h="16838"/>
          <w:pgMar w:top="1928" w:right="1134" w:bottom="1134" w:left="1134" w:header="1418" w:footer="1134" w:gutter="284"/>
          <w:pgNumType w:start="1"/>
          <w:cols w:space="425" w:num="1"/>
          <w:formProt w:val="0"/>
          <w:docGrid w:type="lines" w:linePitch="312" w:charSpace="0"/>
        </w:sectPr>
      </w:pPr>
    </w:p>
    <w:bookmarkEnd w:id="26"/>
    <w:p>
      <w:pPr>
        <w:pStyle w:val="198"/>
        <w:rPr>
          <w:rFonts w:hint="eastAsia"/>
          <w:vanish w:val="0"/>
        </w:rPr>
      </w:pPr>
      <w:bookmarkStart w:id="77" w:name="BookMark5"/>
    </w:p>
    <w:p>
      <w:pPr>
        <w:pStyle w:val="199"/>
        <w:rPr>
          <w:vanish w:val="0"/>
        </w:rPr>
      </w:pPr>
    </w:p>
    <w:p>
      <w:pPr>
        <w:pStyle w:val="76"/>
        <w:spacing w:after="156"/>
      </w:pPr>
      <w:r>
        <w:br w:type="textWrapping"/>
      </w:r>
      <w:bookmarkStart w:id="78" w:name="_Toc233987001"/>
      <w:r>
        <w:rPr>
          <w:rFonts w:hint="eastAsia"/>
        </w:rPr>
        <w:t>（资料性）</w:t>
      </w:r>
      <w:r>
        <w:br w:type="textWrapping"/>
      </w:r>
      <w:r>
        <w:rPr>
          <w:rFonts w:hint="eastAsia"/>
        </w:rPr>
        <w:t>数字化转型投入产出核算表（试用）参考模板</w:t>
      </w:r>
      <w:bookmarkEnd w:id="78"/>
    </w:p>
    <w:p>
      <w:pPr>
        <w:pStyle w:val="56"/>
        <w:ind w:firstLine="420"/>
      </w:pPr>
      <w:r>
        <w:rPr>
          <w:rFonts w:hint="eastAsia"/>
        </w:rPr>
        <w:t>本附录给出了“成本制”数字化转型投入产出核算表的参考模板，以及一个示例填报。企业可根据自身需要对模板进行裁剪和调整。本模板包括两部分：项目投入与成效明细表和投资回报率计算表。</w:t>
      </w:r>
    </w:p>
    <w:p>
      <w:pPr>
        <w:pStyle w:val="56"/>
        <w:ind w:firstLine="420"/>
      </w:pPr>
      <w:r>
        <w:rPr>
          <w:rFonts w:hint="eastAsia"/>
        </w:rPr>
        <w:t>A.1 项目投入与成效明细表</w:t>
      </w:r>
    </w:p>
    <w:p>
      <w:pPr>
        <w:pStyle w:val="56"/>
        <w:ind w:firstLine="420"/>
      </w:pPr>
      <w:r>
        <w:rPr>
          <w:rFonts w:hint="eastAsia"/>
        </w:rPr>
        <w:t>表A.1提供了数字化转型项目投入与成效的记录格式。企业应针对每个数字化项目逐行填写投入和产出明细。其中每个项目可对应多项成效指标及节约金额。表中各列含义如下：</w:t>
      </w:r>
    </w:p>
    <w:p>
      <w:pPr>
        <w:pStyle w:val="56"/>
        <w:ind w:firstLine="420"/>
      </w:pPr>
      <w:r>
        <w:rPr>
          <w:rFonts w:hint="eastAsia"/>
        </w:rPr>
        <w:t>序号：项目编号或顺序号。</w:t>
      </w:r>
    </w:p>
    <w:p>
      <w:pPr>
        <w:pStyle w:val="56"/>
        <w:ind w:firstLine="420"/>
      </w:pPr>
      <w:r>
        <w:rPr>
          <w:rFonts w:hint="eastAsia"/>
        </w:rPr>
        <w:t>项目：数字化转型项目名称。</w:t>
      </w:r>
    </w:p>
    <w:p>
      <w:pPr>
        <w:pStyle w:val="56"/>
        <w:ind w:firstLine="420"/>
      </w:pPr>
      <w:r>
        <w:rPr>
          <w:rFonts w:hint="eastAsia"/>
        </w:rPr>
        <w:t>内容：项目实施的主要内容或功能范围描述。</w:t>
      </w:r>
    </w:p>
    <w:p>
      <w:pPr>
        <w:pStyle w:val="56"/>
        <w:ind w:firstLine="420"/>
      </w:pPr>
      <w:r>
        <w:rPr>
          <w:rFonts w:hint="eastAsia"/>
        </w:rPr>
        <w:t>投入类型：投入方式，分为“一次性投入”或“持续投入（年）”等类型。如为一次性购置填写“一次性”，如有后续年度持续费用填写“持续”并注明年限。</w:t>
      </w:r>
    </w:p>
    <w:p>
      <w:pPr>
        <w:pStyle w:val="56"/>
        <w:ind w:firstLine="420"/>
      </w:pPr>
      <w:r>
        <w:rPr>
          <w:rFonts w:hint="eastAsia"/>
        </w:rPr>
        <w:t>投入金额（元或元/年）：项目投入金额。如果是一次性投入，填写总额（元）；如果是持续年度投入，填写每年的投入额（元/年）。</w:t>
      </w:r>
    </w:p>
    <w:p>
      <w:pPr>
        <w:pStyle w:val="56"/>
        <w:ind w:firstLine="420"/>
      </w:pPr>
      <w:r>
        <w:rPr>
          <w:rFonts w:hint="eastAsia"/>
        </w:rPr>
        <w:t xml:space="preserve">成效指标：该项目产生的某项成效所对应的业务指标名称。一个项目可能有多项成效指标时，在同一序号下另起行填写其他指标。 </w:t>
      </w:r>
    </w:p>
    <w:p>
      <w:pPr>
        <w:pStyle w:val="56"/>
        <w:ind w:firstLine="420"/>
      </w:pPr>
      <w:r>
        <w:rPr>
          <w:rFonts w:hint="eastAsia"/>
        </w:rPr>
        <w:t>成效内容：成效指标的具体改善程度或内容描述。例如“提高4%”或“减少2000件”等，用于说明指标的量化变化。</w:t>
      </w:r>
    </w:p>
    <w:p>
      <w:pPr>
        <w:pStyle w:val="56"/>
        <w:ind w:firstLine="420"/>
      </w:pPr>
      <w:r>
        <w:rPr>
          <w:rFonts w:hint="eastAsia"/>
        </w:rPr>
        <w:t xml:space="preserve">涉及成本类目：该成效所影响的成本费用类别，即对应的财务科目。每项成效指标可能涉及多个成本科目的节约，此时在成效指标所在行下方增列行，分别列出相关成本项名称。 </w:t>
      </w:r>
    </w:p>
    <w:p>
      <w:pPr>
        <w:pStyle w:val="56"/>
        <w:ind w:firstLine="420"/>
      </w:pPr>
      <w:r>
        <w:rPr>
          <w:rFonts w:hint="eastAsia"/>
        </w:rPr>
        <w:t xml:space="preserve">节约金额（元/年）：对应上述成本类目因该成效带来的年节约金额。若成效指标涉及多个成本项，则分别填写每项的年节约金额。 </w:t>
      </w:r>
    </w:p>
    <w:p>
      <w:pPr>
        <w:pStyle w:val="56"/>
        <w:ind w:firstLine="420"/>
      </w:pPr>
      <w:r>
        <w:rPr>
          <w:rFonts w:hint="eastAsia"/>
        </w:rPr>
        <w:t>收益金额（元/年）：该成效指标带来的总年收益，即节约金额之和。如果一个成效指标涉及多行成本项，只有在该指标第一行的“收益金额”列填写其合计值，后续分项行此列留空。</w:t>
      </w:r>
    </w:p>
    <w:p>
      <w:pPr>
        <w:pStyle w:val="77"/>
        <w:spacing w:before="156" w:after="156"/>
      </w:pPr>
      <w:r>
        <w:rPr>
          <w:rFonts w:hint="eastAsia"/>
        </w:rPr>
        <w:t>数字化转型投入产出测算表（试用）模板（示例）：</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33"/>
        <w:gridCol w:w="933"/>
        <w:gridCol w:w="933"/>
        <w:gridCol w:w="933"/>
        <w:gridCol w:w="933"/>
        <w:gridCol w:w="933"/>
        <w:gridCol w:w="934"/>
        <w:gridCol w:w="934"/>
        <w:gridCol w:w="934"/>
        <w:gridCol w:w="9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933" w:type="dxa"/>
            <w:tcBorders>
              <w:top w:val="single" w:color="auto" w:sz="8" w:space="0"/>
              <w:bottom w:val="single" w:color="auto" w:sz="8" w:space="0"/>
            </w:tcBorders>
          </w:tcPr>
          <w:p>
            <w:pPr>
              <w:pStyle w:val="178"/>
            </w:pPr>
            <w:r>
              <w:rPr>
                <w:rFonts w:hint="eastAsia"/>
              </w:rPr>
              <w:t>序号</w:t>
            </w:r>
          </w:p>
        </w:tc>
        <w:tc>
          <w:tcPr>
            <w:tcW w:w="933" w:type="dxa"/>
            <w:tcBorders>
              <w:top w:val="single" w:color="auto" w:sz="8" w:space="0"/>
              <w:bottom w:val="single" w:color="auto" w:sz="8" w:space="0"/>
            </w:tcBorders>
          </w:tcPr>
          <w:p>
            <w:pPr>
              <w:pStyle w:val="178"/>
            </w:pPr>
            <w:r>
              <w:rPr>
                <w:rFonts w:hint="eastAsia"/>
              </w:rPr>
              <w:t>项目</w:t>
            </w:r>
          </w:p>
        </w:tc>
        <w:tc>
          <w:tcPr>
            <w:tcW w:w="933" w:type="dxa"/>
            <w:tcBorders>
              <w:top w:val="single" w:color="auto" w:sz="8" w:space="0"/>
              <w:bottom w:val="single" w:color="auto" w:sz="8" w:space="0"/>
            </w:tcBorders>
          </w:tcPr>
          <w:p>
            <w:pPr>
              <w:pStyle w:val="178"/>
            </w:pPr>
            <w:r>
              <w:rPr>
                <w:rFonts w:hint="eastAsia"/>
              </w:rPr>
              <w:t>内容</w:t>
            </w:r>
          </w:p>
        </w:tc>
        <w:tc>
          <w:tcPr>
            <w:tcW w:w="933" w:type="dxa"/>
            <w:tcBorders>
              <w:top w:val="single" w:color="auto" w:sz="8" w:space="0"/>
              <w:bottom w:val="single" w:color="auto" w:sz="8" w:space="0"/>
            </w:tcBorders>
          </w:tcPr>
          <w:p>
            <w:pPr>
              <w:pStyle w:val="178"/>
            </w:pPr>
            <w:r>
              <w:rPr>
                <w:rFonts w:hint="eastAsia"/>
              </w:rPr>
              <w:t>投入类型</w:t>
            </w:r>
          </w:p>
        </w:tc>
        <w:tc>
          <w:tcPr>
            <w:tcW w:w="933" w:type="dxa"/>
            <w:tcBorders>
              <w:top w:val="single" w:color="auto" w:sz="8" w:space="0"/>
              <w:bottom w:val="single" w:color="auto" w:sz="8" w:space="0"/>
            </w:tcBorders>
          </w:tcPr>
          <w:p>
            <w:pPr>
              <w:pStyle w:val="178"/>
            </w:pPr>
            <w:r>
              <w:rPr>
                <w:rFonts w:hint="eastAsia"/>
              </w:rPr>
              <w:t>投入金额 (元)</w:t>
            </w:r>
          </w:p>
        </w:tc>
        <w:tc>
          <w:tcPr>
            <w:tcW w:w="933" w:type="dxa"/>
            <w:tcBorders>
              <w:top w:val="single" w:color="auto" w:sz="8" w:space="0"/>
              <w:bottom w:val="single" w:color="auto" w:sz="8" w:space="0"/>
            </w:tcBorders>
          </w:tcPr>
          <w:p>
            <w:pPr>
              <w:pStyle w:val="178"/>
            </w:pPr>
            <w:r>
              <w:rPr>
                <w:rFonts w:hint="eastAsia"/>
              </w:rPr>
              <w:t>成效指标</w:t>
            </w:r>
          </w:p>
        </w:tc>
        <w:tc>
          <w:tcPr>
            <w:tcW w:w="934" w:type="dxa"/>
            <w:tcBorders>
              <w:top w:val="single" w:color="auto" w:sz="8" w:space="0"/>
              <w:bottom w:val="single" w:color="auto" w:sz="8" w:space="0"/>
            </w:tcBorders>
          </w:tcPr>
          <w:p>
            <w:pPr>
              <w:pStyle w:val="178"/>
            </w:pPr>
            <w:r>
              <w:rPr>
                <w:rFonts w:hint="eastAsia"/>
              </w:rPr>
              <w:t>成效内容</w:t>
            </w:r>
          </w:p>
        </w:tc>
        <w:tc>
          <w:tcPr>
            <w:tcW w:w="934" w:type="dxa"/>
            <w:tcBorders>
              <w:top w:val="single" w:color="auto" w:sz="8" w:space="0"/>
              <w:bottom w:val="single" w:color="auto" w:sz="8" w:space="0"/>
            </w:tcBorders>
          </w:tcPr>
          <w:p>
            <w:pPr>
              <w:pStyle w:val="178"/>
            </w:pPr>
            <w:r>
              <w:rPr>
                <w:rFonts w:hint="eastAsia"/>
              </w:rPr>
              <w:t>涉及成本类目</w:t>
            </w:r>
          </w:p>
        </w:tc>
        <w:tc>
          <w:tcPr>
            <w:tcW w:w="934" w:type="dxa"/>
            <w:tcBorders>
              <w:top w:val="single" w:color="auto" w:sz="8" w:space="0"/>
              <w:bottom w:val="single" w:color="auto" w:sz="8" w:space="0"/>
            </w:tcBorders>
          </w:tcPr>
          <w:p>
            <w:pPr>
              <w:pStyle w:val="178"/>
            </w:pPr>
            <w:r>
              <w:rPr>
                <w:rFonts w:hint="eastAsia"/>
              </w:rPr>
              <w:t>节约金额 (元/年)</w:t>
            </w:r>
          </w:p>
        </w:tc>
        <w:tc>
          <w:tcPr>
            <w:tcW w:w="934" w:type="dxa"/>
            <w:tcBorders>
              <w:top w:val="single" w:color="auto" w:sz="8" w:space="0"/>
              <w:bottom w:val="single" w:color="auto" w:sz="8" w:space="0"/>
            </w:tcBorders>
          </w:tcPr>
          <w:p>
            <w:pPr>
              <w:pStyle w:val="178"/>
            </w:pPr>
            <w:r>
              <w:rPr>
                <w:rFonts w:hint="eastAsia"/>
              </w:rPr>
              <w:t>收益金额 (元/年)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933" w:type="dxa"/>
            <w:tcBorders>
              <w:top w:val="single" w:color="auto" w:sz="8" w:space="0"/>
            </w:tcBorders>
            <w:vAlign w:val="center"/>
          </w:tcPr>
          <w:p>
            <w:pPr>
              <w:pStyle w:val="178"/>
            </w:pPr>
            <w:bookmarkStart w:id="79" w:name="ud6aa19b2"/>
            <w:r>
              <w:rPr>
                <w:rFonts w:hAnsi="宋体"/>
                <w:color w:val="000000"/>
                <w:szCs w:val="18"/>
              </w:rPr>
              <w:t>示例</w:t>
            </w:r>
            <w:bookmarkEnd w:id="79"/>
          </w:p>
        </w:tc>
        <w:tc>
          <w:tcPr>
            <w:tcW w:w="933" w:type="dxa"/>
            <w:tcBorders>
              <w:top w:val="single" w:color="auto" w:sz="8" w:space="0"/>
            </w:tcBorders>
            <w:vAlign w:val="center"/>
          </w:tcPr>
          <w:p>
            <w:pPr>
              <w:pStyle w:val="178"/>
            </w:pPr>
            <w:r>
              <w:rPr>
                <w:rFonts w:hAnsi="宋体"/>
                <w:color w:val="000000"/>
                <w:szCs w:val="18"/>
              </w:rPr>
              <w:t>质量管理系统</w:t>
            </w:r>
          </w:p>
        </w:tc>
        <w:tc>
          <w:tcPr>
            <w:tcW w:w="933" w:type="dxa"/>
            <w:tcBorders>
              <w:top w:val="single" w:color="auto" w:sz="8" w:space="0"/>
            </w:tcBorders>
            <w:vAlign w:val="center"/>
          </w:tcPr>
          <w:p>
            <w:pPr>
              <w:pStyle w:val="178"/>
            </w:pPr>
            <w:r>
              <w:rPr>
                <w:rFonts w:hAnsi="宋体"/>
                <w:color w:val="000000"/>
                <w:szCs w:val="18"/>
              </w:rPr>
              <w:t>过程质量监控、质量问题追溯与分析等</w:t>
            </w:r>
          </w:p>
        </w:tc>
        <w:tc>
          <w:tcPr>
            <w:tcW w:w="933" w:type="dxa"/>
            <w:tcBorders>
              <w:top w:val="single" w:color="auto" w:sz="8" w:space="0"/>
            </w:tcBorders>
            <w:vAlign w:val="center"/>
          </w:tcPr>
          <w:p>
            <w:pPr>
              <w:pStyle w:val="178"/>
            </w:pPr>
            <w:r>
              <w:rPr>
                <w:rFonts w:hAnsi="宋体"/>
                <w:color w:val="000000"/>
                <w:szCs w:val="18"/>
              </w:rPr>
              <w:t>分期投入</w:t>
            </w:r>
          </w:p>
        </w:tc>
        <w:tc>
          <w:tcPr>
            <w:tcW w:w="933" w:type="dxa"/>
            <w:tcBorders>
              <w:top w:val="single" w:color="auto" w:sz="8" w:space="0"/>
            </w:tcBorders>
            <w:vAlign w:val="center"/>
          </w:tcPr>
          <w:p>
            <w:pPr>
              <w:pStyle w:val="178"/>
            </w:pPr>
            <w:r>
              <w:rPr>
                <w:rFonts w:ascii="Times New Roman"/>
                <w:color w:val="000000"/>
                <w:szCs w:val="18"/>
              </w:rPr>
              <w:t>200000</w:t>
            </w:r>
          </w:p>
        </w:tc>
        <w:tc>
          <w:tcPr>
            <w:tcW w:w="933" w:type="dxa"/>
            <w:tcBorders>
              <w:top w:val="single" w:color="auto" w:sz="8" w:space="0"/>
            </w:tcBorders>
            <w:vAlign w:val="center"/>
          </w:tcPr>
          <w:p>
            <w:pPr>
              <w:pStyle w:val="178"/>
            </w:pPr>
            <w:r>
              <w:rPr>
                <w:rFonts w:hAnsi="宋体"/>
                <w:color w:val="000000"/>
                <w:szCs w:val="18"/>
              </w:rPr>
              <w:t>一次合格率</w:t>
            </w:r>
          </w:p>
        </w:tc>
        <w:tc>
          <w:tcPr>
            <w:tcW w:w="934" w:type="dxa"/>
            <w:tcBorders>
              <w:top w:val="single" w:color="auto" w:sz="8" w:space="0"/>
            </w:tcBorders>
            <w:vAlign w:val="center"/>
          </w:tcPr>
          <w:p>
            <w:pPr>
              <w:pStyle w:val="178"/>
            </w:pPr>
            <w:r>
              <w:rPr>
                <w:rFonts w:hAnsi="宋体"/>
                <w:color w:val="000000"/>
                <w:szCs w:val="18"/>
              </w:rPr>
              <w:t>提升</w:t>
            </w:r>
            <w:r>
              <w:rPr>
                <w:rFonts w:ascii="Times New Roman"/>
                <w:color w:val="000000"/>
                <w:szCs w:val="18"/>
              </w:rPr>
              <w:t>4%</w:t>
            </w:r>
          </w:p>
        </w:tc>
        <w:tc>
          <w:tcPr>
            <w:tcW w:w="934" w:type="dxa"/>
            <w:tcBorders>
              <w:top w:val="single" w:color="auto" w:sz="8" w:space="0"/>
            </w:tcBorders>
            <w:vAlign w:val="center"/>
          </w:tcPr>
          <w:p>
            <w:pPr>
              <w:pStyle w:val="178"/>
            </w:pPr>
            <w:r>
              <w:rPr>
                <w:rFonts w:hAnsi="宋体"/>
                <w:color w:val="000000"/>
                <w:szCs w:val="18"/>
              </w:rPr>
              <w:t>鉴定成本</w:t>
            </w:r>
          </w:p>
        </w:tc>
        <w:tc>
          <w:tcPr>
            <w:tcW w:w="934" w:type="dxa"/>
            <w:tcBorders>
              <w:top w:val="single" w:color="auto" w:sz="8" w:space="0"/>
            </w:tcBorders>
            <w:vAlign w:val="center"/>
          </w:tcPr>
          <w:p>
            <w:pPr>
              <w:pStyle w:val="178"/>
            </w:pPr>
            <w:r>
              <w:rPr>
                <w:rFonts w:ascii="Times New Roman"/>
                <w:color w:val="000000"/>
                <w:szCs w:val="18"/>
              </w:rPr>
              <w:t>80000</w:t>
            </w:r>
          </w:p>
        </w:tc>
        <w:tc>
          <w:tcPr>
            <w:tcW w:w="934" w:type="dxa"/>
            <w:tcBorders>
              <w:top w:val="single" w:color="auto" w:sz="8" w:space="0"/>
            </w:tcBorders>
            <w:vAlign w:val="center"/>
          </w:tcPr>
          <w:p>
            <w:pPr>
              <w:pStyle w:val="178"/>
            </w:pPr>
            <w:r>
              <w:rPr>
                <w:rFonts w:ascii="Times New Roman"/>
                <w:color w:val="000000"/>
                <w:szCs w:val="18"/>
              </w:rPr>
              <w:t>136000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4" w:type="dxa"/>
            <w:vAlign w:val="center"/>
          </w:tcPr>
          <w:p>
            <w:pPr>
              <w:pStyle w:val="178"/>
            </w:pPr>
          </w:p>
        </w:tc>
        <w:tc>
          <w:tcPr>
            <w:tcW w:w="934" w:type="dxa"/>
            <w:vAlign w:val="center"/>
          </w:tcPr>
          <w:p>
            <w:pPr>
              <w:pStyle w:val="178"/>
            </w:pPr>
            <w:r>
              <w:rPr>
                <w:rFonts w:hAnsi="宋体"/>
                <w:color w:val="000000"/>
                <w:szCs w:val="18"/>
              </w:rPr>
              <w:t>内部失败成本</w:t>
            </w:r>
          </w:p>
        </w:tc>
        <w:tc>
          <w:tcPr>
            <w:tcW w:w="934" w:type="dxa"/>
            <w:vAlign w:val="center"/>
          </w:tcPr>
          <w:p>
            <w:pPr>
              <w:pStyle w:val="178"/>
            </w:pPr>
            <w:r>
              <w:rPr>
                <w:rFonts w:ascii="Times New Roman"/>
                <w:color w:val="000000"/>
                <w:szCs w:val="18"/>
              </w:rPr>
              <w:t>20000</w:t>
            </w:r>
          </w:p>
        </w:tc>
        <w:tc>
          <w:tcPr>
            <w:tcW w:w="934" w:type="dxa"/>
            <w:vAlign w:val="center"/>
          </w:tcPr>
          <w:p>
            <w:pPr>
              <w:pStyle w:val="178"/>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4" w:type="dxa"/>
            <w:vAlign w:val="center"/>
          </w:tcPr>
          <w:p>
            <w:pPr>
              <w:pStyle w:val="178"/>
            </w:pPr>
          </w:p>
        </w:tc>
        <w:tc>
          <w:tcPr>
            <w:tcW w:w="934" w:type="dxa"/>
            <w:vAlign w:val="center"/>
          </w:tcPr>
          <w:p>
            <w:pPr>
              <w:pStyle w:val="178"/>
            </w:pPr>
            <w:r>
              <w:rPr>
                <w:rFonts w:hAnsi="宋体"/>
                <w:color w:val="000000"/>
                <w:szCs w:val="18"/>
              </w:rPr>
              <w:t>返修成本</w:t>
            </w:r>
          </w:p>
        </w:tc>
        <w:tc>
          <w:tcPr>
            <w:tcW w:w="934" w:type="dxa"/>
            <w:vAlign w:val="center"/>
          </w:tcPr>
          <w:p>
            <w:pPr>
              <w:pStyle w:val="178"/>
            </w:pPr>
            <w:r>
              <w:rPr>
                <w:rFonts w:ascii="Times New Roman"/>
                <w:color w:val="000000"/>
                <w:szCs w:val="18"/>
              </w:rPr>
              <w:t>26000</w:t>
            </w:r>
          </w:p>
        </w:tc>
        <w:tc>
          <w:tcPr>
            <w:tcW w:w="934" w:type="dxa"/>
            <w:vAlign w:val="center"/>
          </w:tcPr>
          <w:p>
            <w:pPr>
              <w:pStyle w:val="178"/>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3" w:type="dxa"/>
            <w:vAlign w:val="center"/>
          </w:tcPr>
          <w:p>
            <w:pPr>
              <w:pStyle w:val="178"/>
            </w:pPr>
          </w:p>
        </w:tc>
        <w:tc>
          <w:tcPr>
            <w:tcW w:w="933" w:type="dxa"/>
            <w:vAlign w:val="center"/>
          </w:tcPr>
          <w:p>
            <w:pPr>
              <w:pStyle w:val="178"/>
            </w:pPr>
            <w:r>
              <w:rPr>
                <w:rFonts w:hAnsi="宋体"/>
                <w:color w:val="000000"/>
                <w:szCs w:val="18"/>
              </w:rPr>
              <w:t>来料合格率</w:t>
            </w:r>
          </w:p>
        </w:tc>
        <w:tc>
          <w:tcPr>
            <w:tcW w:w="934" w:type="dxa"/>
            <w:vAlign w:val="center"/>
          </w:tcPr>
          <w:p>
            <w:pPr>
              <w:pStyle w:val="178"/>
            </w:pPr>
            <w:r>
              <w:rPr>
                <w:rFonts w:hAnsi="宋体"/>
                <w:color w:val="000000"/>
                <w:szCs w:val="18"/>
              </w:rPr>
              <w:t>提升</w:t>
            </w:r>
            <w:r>
              <w:rPr>
                <w:rFonts w:ascii="Times New Roman"/>
                <w:color w:val="000000"/>
                <w:szCs w:val="18"/>
              </w:rPr>
              <w:t>5%</w:t>
            </w:r>
          </w:p>
        </w:tc>
        <w:tc>
          <w:tcPr>
            <w:tcW w:w="934" w:type="dxa"/>
            <w:vAlign w:val="center"/>
          </w:tcPr>
          <w:p>
            <w:pPr>
              <w:pStyle w:val="178"/>
            </w:pPr>
            <w:r>
              <w:rPr>
                <w:rFonts w:hAnsi="宋体"/>
                <w:color w:val="000000"/>
                <w:szCs w:val="18"/>
              </w:rPr>
              <w:t>来料检验成本</w:t>
            </w:r>
          </w:p>
        </w:tc>
        <w:tc>
          <w:tcPr>
            <w:tcW w:w="934" w:type="dxa"/>
            <w:vAlign w:val="center"/>
          </w:tcPr>
          <w:p>
            <w:pPr>
              <w:pStyle w:val="178"/>
            </w:pPr>
            <w:r>
              <w:rPr>
                <w:rFonts w:ascii="Times New Roman"/>
                <w:color w:val="000000"/>
                <w:szCs w:val="18"/>
              </w:rPr>
              <w:t>10000</w:t>
            </w:r>
          </w:p>
        </w:tc>
        <w:tc>
          <w:tcPr>
            <w:tcW w:w="934" w:type="dxa"/>
            <w:vAlign w:val="center"/>
          </w:tcPr>
          <w:p>
            <w:pPr>
              <w:pStyle w:val="178"/>
            </w:pPr>
          </w:p>
        </w:tc>
      </w:tr>
    </w:tbl>
    <w:p>
      <w:pPr>
        <w:pStyle w:val="179"/>
      </w:pPr>
      <w:r>
        <w:rPr>
          <w:rFonts w:hint="eastAsia"/>
        </w:rPr>
        <w:t>上表为示例数据。对于“投入金额”为持续每年发生的，可在备注中注明“/年”。当一个项目包含多项成效指标时，可在同一项目下连续列出，各指标的收益金额分别计算后汇总至总收益。在实际使用时，企业可将多项目填入一张表中，并增加汇总行计算全部项目的总投入和总收益。</w:t>
      </w:r>
    </w:p>
    <w:p>
      <w:pPr>
        <w:pStyle w:val="56"/>
        <w:ind w:firstLine="420"/>
      </w:pPr>
      <w:r>
        <w:t>示例说明：以上表格示例填报了“质量管理系统”项目的数据。该项目分期投入，总计投入金额200000元（20万元）。项目实现了两项主要成效：产品一次合格率提高4%、来料合格率提高5%。一次合格率提升带来了鉴定成本、内部失败（废品）成本、返修成本的降低，每年分别节约80,000元、20,000元、26,000元，合计节约126,000元；来料合格率提升带来来料检验成本节约10,000元/年 。该项目年度总收益金额为136,000元（表中示于“一次合格率”行的收益金额列，等于各节约金额之和）。企业可据此进一步计算ROI和回收期（见表A.2）。</w:t>
      </w:r>
    </w:p>
    <w:p>
      <w:pPr>
        <w:pStyle w:val="56"/>
        <w:ind w:firstLine="420"/>
      </w:pPr>
      <w:r>
        <w:rPr>
          <w:rFonts w:hint="eastAsia"/>
        </w:rPr>
        <w:t>A.2 投资回报率与回收期计算表</w:t>
      </w:r>
    </w:p>
    <w:p>
      <w:pPr>
        <w:pStyle w:val="56"/>
        <w:ind w:firstLine="420"/>
      </w:pPr>
      <w:r>
        <w:rPr>
          <w:rFonts w:hint="eastAsia"/>
        </w:rPr>
        <w:t>在获得项目投入和年度收益数据后，可使用表A.2对投资回报率(ROI)和投资回收期进行计算。若需要考虑多年度现金流和折现，可在表中加入各年的数据列。下表以3年期为例展示计算方式：</w:t>
      </w:r>
    </w:p>
    <w:p>
      <w:pPr>
        <w:pStyle w:val="77"/>
        <w:spacing w:before="156" w:after="156"/>
      </w:pPr>
      <w:r>
        <w:rPr>
          <w:rFonts w:hint="eastAsia"/>
        </w:rPr>
        <w:t>投资回报率 (ROI) 和投资回收期 计算表（3年期示例）：</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56"/>
        <w:gridCol w:w="1556"/>
        <w:gridCol w:w="1555"/>
        <w:gridCol w:w="1555"/>
        <w:gridCol w:w="1556"/>
        <w:gridCol w:w="15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1556" w:type="dxa"/>
            <w:tcBorders>
              <w:top w:val="single" w:color="auto" w:sz="8" w:space="0"/>
              <w:bottom w:val="single" w:color="auto" w:sz="8" w:space="0"/>
            </w:tcBorders>
            <w:vAlign w:val="center"/>
          </w:tcPr>
          <w:p>
            <w:pPr>
              <w:pStyle w:val="178"/>
            </w:pPr>
            <w:bookmarkStart w:id="80" w:name="u28f69ed2"/>
            <w:r>
              <w:rPr>
                <w:rFonts w:hAnsi="宋体"/>
                <w:color w:val="000000"/>
              </w:rPr>
              <w:t>指标</w:t>
            </w:r>
            <w:bookmarkEnd w:id="80"/>
          </w:p>
        </w:tc>
        <w:tc>
          <w:tcPr>
            <w:tcW w:w="1556" w:type="dxa"/>
            <w:tcBorders>
              <w:top w:val="single" w:color="auto" w:sz="8" w:space="0"/>
              <w:bottom w:val="single" w:color="auto" w:sz="8" w:space="0"/>
            </w:tcBorders>
            <w:vAlign w:val="center"/>
          </w:tcPr>
          <w:p>
            <w:pPr>
              <w:pStyle w:val="178"/>
            </w:pPr>
          </w:p>
        </w:tc>
        <w:tc>
          <w:tcPr>
            <w:tcW w:w="1555" w:type="dxa"/>
            <w:tcBorders>
              <w:top w:val="single" w:color="auto" w:sz="8" w:space="0"/>
              <w:bottom w:val="single" w:color="auto" w:sz="8" w:space="0"/>
            </w:tcBorders>
            <w:vAlign w:val="center"/>
          </w:tcPr>
          <w:p>
            <w:pPr>
              <w:pStyle w:val="178"/>
            </w:pPr>
            <w:r>
              <w:rPr>
                <w:rFonts w:hAnsi="宋体"/>
                <w:color w:val="000000"/>
              </w:rPr>
              <w:t>第一年</w:t>
            </w:r>
          </w:p>
        </w:tc>
        <w:tc>
          <w:tcPr>
            <w:tcW w:w="1555" w:type="dxa"/>
            <w:tcBorders>
              <w:top w:val="single" w:color="auto" w:sz="8" w:space="0"/>
              <w:bottom w:val="single" w:color="auto" w:sz="8" w:space="0"/>
            </w:tcBorders>
            <w:vAlign w:val="center"/>
          </w:tcPr>
          <w:p>
            <w:pPr>
              <w:pStyle w:val="178"/>
            </w:pPr>
            <w:r>
              <w:rPr>
                <w:rFonts w:hAnsi="宋体"/>
                <w:color w:val="000000"/>
              </w:rPr>
              <w:t>第二年</w:t>
            </w:r>
          </w:p>
        </w:tc>
        <w:tc>
          <w:tcPr>
            <w:tcW w:w="1556" w:type="dxa"/>
            <w:tcBorders>
              <w:top w:val="single" w:color="auto" w:sz="8" w:space="0"/>
              <w:bottom w:val="single" w:color="auto" w:sz="8" w:space="0"/>
            </w:tcBorders>
            <w:vAlign w:val="center"/>
          </w:tcPr>
          <w:p>
            <w:pPr>
              <w:pStyle w:val="178"/>
            </w:pPr>
            <w:r>
              <w:rPr>
                <w:rFonts w:hAnsi="宋体"/>
                <w:color w:val="000000"/>
              </w:rPr>
              <w:t>第三年</w:t>
            </w:r>
          </w:p>
        </w:tc>
        <w:tc>
          <w:tcPr>
            <w:tcW w:w="1556" w:type="dxa"/>
            <w:tcBorders>
              <w:top w:val="single" w:color="auto" w:sz="8" w:space="0"/>
              <w:bottom w:val="single" w:color="auto" w:sz="8" w:space="0"/>
            </w:tcBorders>
            <w:vAlign w:val="center"/>
          </w:tcPr>
          <w:p>
            <w:pPr>
              <w:pStyle w:val="178"/>
            </w:pPr>
            <w:r>
              <w:rPr>
                <w:rFonts w:hAnsi="宋体"/>
                <w:color w:val="000000"/>
              </w:rPr>
              <w:t>计算公式说明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6" w:type="dxa"/>
            <w:tcBorders>
              <w:top w:val="single" w:color="auto" w:sz="8" w:space="0"/>
            </w:tcBorders>
            <w:vAlign w:val="center"/>
          </w:tcPr>
          <w:p>
            <w:pPr>
              <w:pStyle w:val="178"/>
            </w:pPr>
            <w:bookmarkStart w:id="81" w:name="u01a2018d"/>
            <w:r>
              <w:rPr>
                <w:rFonts w:hAnsi="宋体"/>
                <w:color w:val="000000"/>
              </w:rPr>
              <w:t>收益</w:t>
            </w:r>
            <w:bookmarkEnd w:id="81"/>
          </w:p>
        </w:tc>
        <w:tc>
          <w:tcPr>
            <w:tcW w:w="1556" w:type="dxa"/>
            <w:tcBorders>
              <w:top w:val="single" w:color="auto" w:sz="8" w:space="0"/>
            </w:tcBorders>
            <w:vAlign w:val="center"/>
          </w:tcPr>
          <w:p>
            <w:pPr>
              <w:pStyle w:val="178"/>
            </w:pPr>
            <w:r>
              <w:rPr>
                <w:rFonts w:hAnsi="宋体"/>
                <w:color w:val="000000"/>
              </w:rPr>
              <w:t>年度成本节约（万元）</w:t>
            </w:r>
          </w:p>
        </w:tc>
        <w:tc>
          <w:tcPr>
            <w:tcW w:w="1555" w:type="dxa"/>
            <w:tcBorders>
              <w:top w:val="single" w:color="auto" w:sz="8" w:space="0"/>
            </w:tcBorders>
            <w:vAlign w:val="center"/>
          </w:tcPr>
          <w:p>
            <w:pPr>
              <w:pStyle w:val="178"/>
            </w:pPr>
            <w:r>
              <w:rPr>
                <w:rFonts w:ascii="Times New Roman"/>
                <w:color w:val="000000"/>
              </w:rPr>
              <w:t>13.6</w:t>
            </w:r>
          </w:p>
        </w:tc>
        <w:tc>
          <w:tcPr>
            <w:tcW w:w="1555" w:type="dxa"/>
            <w:tcBorders>
              <w:top w:val="single" w:color="auto" w:sz="8" w:space="0"/>
            </w:tcBorders>
            <w:vAlign w:val="center"/>
          </w:tcPr>
          <w:p>
            <w:pPr>
              <w:pStyle w:val="178"/>
            </w:pPr>
            <w:r>
              <w:rPr>
                <w:rFonts w:ascii="Times New Roman"/>
                <w:color w:val="000000"/>
              </w:rPr>
              <w:t>13.6</w:t>
            </w:r>
          </w:p>
        </w:tc>
        <w:tc>
          <w:tcPr>
            <w:tcW w:w="1556" w:type="dxa"/>
            <w:tcBorders>
              <w:top w:val="single" w:color="auto" w:sz="8" w:space="0"/>
            </w:tcBorders>
            <w:vAlign w:val="center"/>
          </w:tcPr>
          <w:p>
            <w:pPr>
              <w:pStyle w:val="178"/>
            </w:pPr>
            <w:r>
              <w:rPr>
                <w:rFonts w:ascii="Times New Roman"/>
                <w:color w:val="000000"/>
              </w:rPr>
              <w:t>13.6</w:t>
            </w:r>
          </w:p>
        </w:tc>
        <w:tc>
          <w:tcPr>
            <w:tcW w:w="1556" w:type="dxa"/>
            <w:tcBorders>
              <w:top w:val="single" w:color="auto" w:sz="8" w:space="0"/>
            </w:tcBorders>
            <w:vAlign w:val="center"/>
          </w:tcPr>
          <w:p>
            <w:pPr>
              <w:pStyle w:val="178"/>
            </w:pPr>
            <w:r>
              <w:rPr>
                <w:rFonts w:hAnsi="宋体"/>
                <w:color w:val="000000"/>
              </w:rPr>
              <w:t>假设每年节约金额相同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6" w:type="dxa"/>
            <w:vAlign w:val="center"/>
          </w:tcPr>
          <w:p>
            <w:pPr>
              <w:pStyle w:val="178"/>
            </w:pPr>
          </w:p>
        </w:tc>
        <w:tc>
          <w:tcPr>
            <w:tcW w:w="1556" w:type="dxa"/>
            <w:vAlign w:val="center"/>
          </w:tcPr>
          <w:p>
            <w:pPr>
              <w:pStyle w:val="178"/>
            </w:pPr>
            <w:r>
              <w:rPr>
                <w:rFonts w:hAnsi="宋体"/>
                <w:color w:val="000000"/>
              </w:rPr>
              <w:t>折现值</w:t>
            </w:r>
            <w:r>
              <w:rPr>
                <w:rFonts w:ascii="Times New Roman"/>
                <w:color w:val="000000"/>
              </w:rPr>
              <w:t xml:space="preserve"> (PV)</w:t>
            </w:r>
          </w:p>
        </w:tc>
        <w:tc>
          <w:tcPr>
            <w:tcW w:w="1555" w:type="dxa"/>
            <w:vAlign w:val="center"/>
          </w:tcPr>
          <w:p>
            <w:pPr>
              <w:pStyle w:val="178"/>
            </w:pPr>
            <w:r>
              <w:rPr>
                <w:rFonts w:ascii="Times New Roman"/>
                <w:color w:val="000000"/>
              </w:rPr>
              <w:t>13.6</w:t>
            </w:r>
          </w:p>
        </w:tc>
        <w:tc>
          <w:tcPr>
            <w:tcW w:w="1555" w:type="dxa"/>
            <w:vAlign w:val="center"/>
          </w:tcPr>
          <w:p>
            <w:pPr>
              <w:pStyle w:val="178"/>
            </w:pPr>
            <w:r>
              <w:rPr>
                <w:rFonts w:ascii="Times New Roman"/>
                <w:color w:val="000000"/>
              </w:rPr>
              <w:t>13.2</w:t>
            </w:r>
          </w:p>
        </w:tc>
        <w:tc>
          <w:tcPr>
            <w:tcW w:w="1556" w:type="dxa"/>
            <w:vAlign w:val="center"/>
          </w:tcPr>
          <w:p>
            <w:pPr>
              <w:pStyle w:val="178"/>
            </w:pPr>
            <w:r>
              <w:rPr>
                <w:rFonts w:ascii="Times New Roman"/>
                <w:color w:val="000000"/>
              </w:rPr>
              <w:t>12.8</w:t>
            </w:r>
          </w:p>
        </w:tc>
        <w:tc>
          <w:tcPr>
            <w:tcW w:w="1556" w:type="dxa"/>
            <w:vAlign w:val="center"/>
          </w:tcPr>
          <w:p>
            <w:pPr>
              <w:pStyle w:val="178"/>
            </w:pPr>
            <w:r>
              <w:rPr>
                <w:rFonts w:hAnsi="宋体"/>
                <w:color w:val="000000"/>
              </w:rPr>
              <w:t>按年折现率</w:t>
            </w:r>
            <w:r>
              <w:rPr>
                <w:rFonts w:ascii="Times New Roman"/>
                <w:color w:val="000000"/>
              </w:rPr>
              <w:t>3%</w:t>
            </w:r>
            <w:r>
              <w:rPr>
                <w:rFonts w:hAnsi="宋体"/>
                <w:color w:val="000000"/>
              </w:rPr>
              <w:t>计算：第二年</w:t>
            </w:r>
            <w:r>
              <w:rPr>
                <w:rFonts w:ascii="Times New Roman"/>
                <w:color w:val="000000"/>
              </w:rPr>
              <w:t>PV=13.6/1.03</w:t>
            </w:r>
            <w:r>
              <w:rPr>
                <w:rFonts w:hAnsi="宋体"/>
                <w:color w:val="000000"/>
              </w:rPr>
              <w:t>，第三年</w:t>
            </w:r>
            <w:r>
              <w:rPr>
                <w:rFonts w:ascii="Times New Roman"/>
                <w:color w:val="000000"/>
              </w:rPr>
              <w:t>PV=13.6/(1.03^2)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6" w:type="dxa"/>
            <w:vAlign w:val="center"/>
          </w:tcPr>
          <w:p>
            <w:pPr>
              <w:pStyle w:val="178"/>
            </w:pPr>
          </w:p>
        </w:tc>
        <w:tc>
          <w:tcPr>
            <w:tcW w:w="1556" w:type="dxa"/>
            <w:vAlign w:val="center"/>
          </w:tcPr>
          <w:p>
            <w:pPr>
              <w:pStyle w:val="178"/>
            </w:pPr>
            <w:r>
              <w:rPr>
                <w:rFonts w:hAnsi="宋体"/>
                <w:color w:val="000000"/>
              </w:rPr>
              <w:t>收益</w:t>
            </w:r>
            <w:r>
              <w:rPr>
                <w:rFonts w:ascii="Times New Roman"/>
                <w:color w:val="000000"/>
              </w:rPr>
              <w:t>PV</w:t>
            </w:r>
            <w:r>
              <w:rPr>
                <w:rFonts w:hAnsi="宋体"/>
                <w:color w:val="000000"/>
              </w:rPr>
              <w:t>累计值</w:t>
            </w:r>
          </w:p>
        </w:tc>
        <w:tc>
          <w:tcPr>
            <w:tcW w:w="1555" w:type="dxa"/>
            <w:vAlign w:val="center"/>
          </w:tcPr>
          <w:p>
            <w:pPr>
              <w:pStyle w:val="178"/>
            </w:pPr>
            <w:r>
              <w:rPr>
                <w:rFonts w:ascii="Times New Roman"/>
                <w:color w:val="000000"/>
              </w:rPr>
              <w:t>13.6</w:t>
            </w:r>
          </w:p>
        </w:tc>
        <w:tc>
          <w:tcPr>
            <w:tcW w:w="1555" w:type="dxa"/>
            <w:vAlign w:val="center"/>
          </w:tcPr>
          <w:p>
            <w:pPr>
              <w:pStyle w:val="178"/>
            </w:pPr>
            <w:r>
              <w:rPr>
                <w:rFonts w:ascii="Times New Roman"/>
                <w:color w:val="000000"/>
              </w:rPr>
              <w:t>26.8</w:t>
            </w:r>
          </w:p>
        </w:tc>
        <w:tc>
          <w:tcPr>
            <w:tcW w:w="1556" w:type="dxa"/>
            <w:vAlign w:val="center"/>
          </w:tcPr>
          <w:p>
            <w:pPr>
              <w:pStyle w:val="178"/>
            </w:pPr>
            <w:r>
              <w:rPr>
                <w:rFonts w:ascii="Times New Roman"/>
                <w:color w:val="000000"/>
              </w:rPr>
              <w:t>39.6</w:t>
            </w:r>
          </w:p>
        </w:tc>
        <w:tc>
          <w:tcPr>
            <w:tcW w:w="1556" w:type="dxa"/>
            <w:vAlign w:val="center"/>
          </w:tcPr>
          <w:p>
            <w:pPr>
              <w:pStyle w:val="178"/>
            </w:pPr>
            <w:r>
              <w:rPr>
                <w:rFonts w:hAnsi="宋体"/>
                <w:color w:val="000000"/>
              </w:rPr>
              <w:t>将各年收益</w:t>
            </w:r>
            <w:r>
              <w:rPr>
                <w:rFonts w:ascii="Times New Roman"/>
                <w:color w:val="000000"/>
              </w:rPr>
              <w:t>PV</w:t>
            </w:r>
            <w:r>
              <w:rPr>
                <w:rFonts w:hAnsi="宋体"/>
                <w:color w:val="000000"/>
              </w:rPr>
              <w:t>累计相加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6" w:type="dxa"/>
            <w:vAlign w:val="center"/>
          </w:tcPr>
          <w:p>
            <w:pPr>
              <w:pStyle w:val="178"/>
            </w:pPr>
            <w:bookmarkStart w:id="82" w:name="u16302cab"/>
            <w:r>
              <w:rPr>
                <w:rFonts w:hAnsi="宋体"/>
                <w:color w:val="000000"/>
              </w:rPr>
              <w:t>投入</w:t>
            </w:r>
            <w:bookmarkEnd w:id="82"/>
          </w:p>
        </w:tc>
        <w:tc>
          <w:tcPr>
            <w:tcW w:w="1556" w:type="dxa"/>
            <w:vAlign w:val="center"/>
          </w:tcPr>
          <w:p>
            <w:pPr>
              <w:pStyle w:val="178"/>
            </w:pPr>
            <w:r>
              <w:rPr>
                <w:rFonts w:hAnsi="宋体"/>
                <w:color w:val="000000"/>
              </w:rPr>
              <w:t>方案投入金额（万元）</w:t>
            </w:r>
          </w:p>
        </w:tc>
        <w:tc>
          <w:tcPr>
            <w:tcW w:w="1555" w:type="dxa"/>
            <w:vAlign w:val="center"/>
          </w:tcPr>
          <w:p>
            <w:pPr>
              <w:pStyle w:val="178"/>
            </w:pPr>
            <w:r>
              <w:rPr>
                <w:rFonts w:ascii="Times New Roman"/>
                <w:color w:val="000000"/>
              </w:rPr>
              <w:t>20</w:t>
            </w:r>
          </w:p>
        </w:tc>
        <w:tc>
          <w:tcPr>
            <w:tcW w:w="1555" w:type="dxa"/>
            <w:vAlign w:val="center"/>
          </w:tcPr>
          <w:p>
            <w:pPr>
              <w:pStyle w:val="178"/>
            </w:pPr>
            <w:r>
              <w:rPr>
                <w:rFonts w:ascii="Times New Roman"/>
                <w:color w:val="000000"/>
              </w:rPr>
              <w:t>0</w:t>
            </w:r>
          </w:p>
        </w:tc>
        <w:tc>
          <w:tcPr>
            <w:tcW w:w="1556" w:type="dxa"/>
            <w:vAlign w:val="center"/>
          </w:tcPr>
          <w:p>
            <w:pPr>
              <w:pStyle w:val="178"/>
            </w:pPr>
            <w:r>
              <w:rPr>
                <w:rFonts w:ascii="Times New Roman"/>
                <w:color w:val="000000"/>
              </w:rPr>
              <w:t>0</w:t>
            </w:r>
          </w:p>
        </w:tc>
        <w:tc>
          <w:tcPr>
            <w:tcW w:w="1556" w:type="dxa"/>
            <w:vAlign w:val="center"/>
          </w:tcPr>
          <w:p>
            <w:pPr>
              <w:pStyle w:val="178"/>
            </w:pPr>
            <w:r>
              <w:rPr>
                <w:rFonts w:hAnsi="宋体"/>
                <w:color w:val="000000"/>
              </w:rPr>
              <w:t>第一年一次性投入</w:t>
            </w:r>
            <w:r>
              <w:rPr>
                <w:rFonts w:ascii="Times New Roman"/>
                <w:color w:val="000000"/>
              </w:rPr>
              <w:t>20</w:t>
            </w:r>
            <w:r>
              <w:rPr>
                <w:rFonts w:hAnsi="宋体"/>
                <w:color w:val="000000"/>
              </w:rPr>
              <w:t>万元，后续无投入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6" w:type="dxa"/>
            <w:vAlign w:val="center"/>
          </w:tcPr>
          <w:p>
            <w:pPr>
              <w:pStyle w:val="178"/>
            </w:pPr>
          </w:p>
        </w:tc>
        <w:tc>
          <w:tcPr>
            <w:tcW w:w="1556" w:type="dxa"/>
            <w:vAlign w:val="center"/>
          </w:tcPr>
          <w:p>
            <w:pPr>
              <w:pStyle w:val="178"/>
            </w:pPr>
            <w:r>
              <w:rPr>
                <w:rFonts w:hAnsi="宋体"/>
                <w:color w:val="000000"/>
              </w:rPr>
              <w:t>折现值</w:t>
            </w:r>
            <w:r>
              <w:rPr>
                <w:rFonts w:ascii="Times New Roman"/>
                <w:color w:val="000000"/>
              </w:rPr>
              <w:t xml:space="preserve"> (PV)</w:t>
            </w:r>
          </w:p>
        </w:tc>
        <w:tc>
          <w:tcPr>
            <w:tcW w:w="1555" w:type="dxa"/>
            <w:vAlign w:val="center"/>
          </w:tcPr>
          <w:p>
            <w:pPr>
              <w:pStyle w:val="178"/>
            </w:pPr>
            <w:r>
              <w:rPr>
                <w:rFonts w:ascii="Times New Roman"/>
                <w:color w:val="000000"/>
              </w:rPr>
              <w:t>20</w:t>
            </w:r>
          </w:p>
        </w:tc>
        <w:tc>
          <w:tcPr>
            <w:tcW w:w="1555" w:type="dxa"/>
            <w:vAlign w:val="center"/>
          </w:tcPr>
          <w:p>
            <w:pPr>
              <w:pStyle w:val="178"/>
            </w:pPr>
            <w:r>
              <w:rPr>
                <w:rFonts w:ascii="Times New Roman"/>
                <w:color w:val="000000"/>
              </w:rPr>
              <w:t>0</w:t>
            </w:r>
          </w:p>
        </w:tc>
        <w:tc>
          <w:tcPr>
            <w:tcW w:w="1556" w:type="dxa"/>
            <w:vAlign w:val="center"/>
          </w:tcPr>
          <w:p>
            <w:pPr>
              <w:pStyle w:val="178"/>
            </w:pPr>
            <w:r>
              <w:rPr>
                <w:rFonts w:ascii="Times New Roman"/>
                <w:color w:val="000000"/>
              </w:rPr>
              <w:t>0</w:t>
            </w:r>
          </w:p>
        </w:tc>
        <w:tc>
          <w:tcPr>
            <w:tcW w:w="1556" w:type="dxa"/>
            <w:vAlign w:val="center"/>
          </w:tcPr>
          <w:p>
            <w:pPr>
              <w:pStyle w:val="178"/>
            </w:pPr>
            <w:r>
              <w:rPr>
                <w:rFonts w:hAnsi="宋体"/>
                <w:color w:val="000000"/>
              </w:rPr>
              <w:t>后续年无投入，或有也折现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6" w:type="dxa"/>
            <w:vAlign w:val="center"/>
          </w:tcPr>
          <w:p>
            <w:pPr>
              <w:pStyle w:val="178"/>
            </w:pPr>
          </w:p>
        </w:tc>
        <w:tc>
          <w:tcPr>
            <w:tcW w:w="1556" w:type="dxa"/>
            <w:vAlign w:val="center"/>
          </w:tcPr>
          <w:p>
            <w:pPr>
              <w:pStyle w:val="178"/>
            </w:pPr>
            <w:r>
              <w:rPr>
                <w:rFonts w:hAnsi="宋体"/>
                <w:color w:val="000000"/>
              </w:rPr>
              <w:t>投入</w:t>
            </w:r>
            <w:r>
              <w:rPr>
                <w:rFonts w:ascii="Times New Roman"/>
                <w:color w:val="000000"/>
              </w:rPr>
              <w:t>PV</w:t>
            </w:r>
            <w:r>
              <w:rPr>
                <w:rFonts w:hAnsi="宋体"/>
                <w:color w:val="000000"/>
              </w:rPr>
              <w:t>累计值</w:t>
            </w:r>
          </w:p>
        </w:tc>
        <w:tc>
          <w:tcPr>
            <w:tcW w:w="1555" w:type="dxa"/>
            <w:vAlign w:val="center"/>
          </w:tcPr>
          <w:p>
            <w:pPr>
              <w:pStyle w:val="178"/>
            </w:pPr>
            <w:r>
              <w:rPr>
                <w:rFonts w:ascii="Times New Roman"/>
                <w:color w:val="000000"/>
              </w:rPr>
              <w:t>20</w:t>
            </w:r>
          </w:p>
        </w:tc>
        <w:tc>
          <w:tcPr>
            <w:tcW w:w="1555" w:type="dxa"/>
            <w:vAlign w:val="center"/>
          </w:tcPr>
          <w:p>
            <w:pPr>
              <w:pStyle w:val="178"/>
            </w:pPr>
            <w:r>
              <w:rPr>
                <w:rFonts w:ascii="Times New Roman"/>
                <w:color w:val="000000"/>
              </w:rPr>
              <w:t>20</w:t>
            </w:r>
          </w:p>
        </w:tc>
        <w:tc>
          <w:tcPr>
            <w:tcW w:w="1556" w:type="dxa"/>
            <w:vAlign w:val="center"/>
          </w:tcPr>
          <w:p>
            <w:pPr>
              <w:pStyle w:val="178"/>
            </w:pPr>
            <w:r>
              <w:rPr>
                <w:rFonts w:ascii="Times New Roman"/>
                <w:color w:val="000000"/>
              </w:rPr>
              <w:t>20</w:t>
            </w:r>
          </w:p>
        </w:tc>
        <w:tc>
          <w:tcPr>
            <w:tcW w:w="1556" w:type="dxa"/>
            <w:vAlign w:val="center"/>
          </w:tcPr>
          <w:p>
            <w:pPr>
              <w:pStyle w:val="178"/>
            </w:pPr>
            <w:r>
              <w:rPr>
                <w:rFonts w:hAnsi="宋体"/>
                <w:color w:val="000000"/>
              </w:rPr>
              <w:t>将各年投入</w:t>
            </w:r>
            <w:r>
              <w:rPr>
                <w:rFonts w:ascii="Times New Roman"/>
                <w:color w:val="000000"/>
              </w:rPr>
              <w:t>PV</w:t>
            </w:r>
            <w:r>
              <w:rPr>
                <w:rFonts w:hAnsi="宋体"/>
                <w:color w:val="000000"/>
              </w:rPr>
              <w:t>累计相加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6" w:type="dxa"/>
            <w:vAlign w:val="center"/>
          </w:tcPr>
          <w:p>
            <w:pPr>
              <w:pStyle w:val="178"/>
            </w:pPr>
            <w:bookmarkStart w:id="83" w:name="uce74b51e"/>
            <w:r>
              <w:rPr>
                <w:rFonts w:ascii="Times New Roman"/>
                <w:color w:val="000000"/>
              </w:rPr>
              <w:t>ROI (</w:t>
            </w:r>
            <w:r>
              <w:rPr>
                <w:rFonts w:hAnsi="宋体"/>
                <w:color w:val="000000"/>
              </w:rPr>
              <w:t>三年期投资回报率</w:t>
            </w:r>
            <w:r>
              <w:rPr>
                <w:rFonts w:ascii="Times New Roman"/>
                <w:color w:val="000000"/>
              </w:rPr>
              <w:t>)</w:t>
            </w:r>
            <w:bookmarkEnd w:id="83"/>
          </w:p>
        </w:tc>
        <w:tc>
          <w:tcPr>
            <w:tcW w:w="1556" w:type="dxa"/>
            <w:vAlign w:val="center"/>
          </w:tcPr>
          <w:p>
            <w:pPr>
              <w:pStyle w:val="178"/>
            </w:pPr>
          </w:p>
        </w:tc>
        <w:tc>
          <w:tcPr>
            <w:tcW w:w="1555" w:type="dxa"/>
            <w:vAlign w:val="center"/>
          </w:tcPr>
          <w:p>
            <w:pPr>
              <w:pStyle w:val="178"/>
            </w:pPr>
            <w:r>
              <w:rPr>
                <w:rFonts w:ascii="Times New Roman"/>
                <w:color w:val="000000"/>
              </w:rPr>
              <w:t>198%</w:t>
            </w:r>
          </w:p>
        </w:tc>
        <w:tc>
          <w:tcPr>
            <w:tcW w:w="1555" w:type="dxa"/>
            <w:vAlign w:val="center"/>
          </w:tcPr>
          <w:p>
            <w:pPr>
              <w:pStyle w:val="178"/>
            </w:pPr>
          </w:p>
        </w:tc>
        <w:tc>
          <w:tcPr>
            <w:tcW w:w="1556" w:type="dxa"/>
            <w:vAlign w:val="center"/>
          </w:tcPr>
          <w:p>
            <w:pPr>
              <w:pStyle w:val="178"/>
            </w:pPr>
          </w:p>
        </w:tc>
        <w:tc>
          <w:tcPr>
            <w:tcW w:w="1556" w:type="dxa"/>
            <w:vAlign w:val="center"/>
          </w:tcPr>
          <w:p>
            <w:pPr>
              <w:pStyle w:val="178"/>
            </w:pPr>
            <w:r>
              <w:rPr>
                <w:rFonts w:hAnsi="宋体"/>
                <w:color w:val="000000"/>
              </w:rPr>
              <w:t>计算公式：累计收益</w:t>
            </w:r>
            <w:r>
              <w:rPr>
                <w:rFonts w:ascii="Times New Roman"/>
                <w:color w:val="000000"/>
              </w:rPr>
              <w:t xml:space="preserve">PV / </w:t>
            </w:r>
            <w:r>
              <w:rPr>
                <w:rFonts w:hAnsi="宋体"/>
                <w:color w:val="000000"/>
              </w:rPr>
              <w:t>累计投入</w:t>
            </w:r>
            <w:r>
              <w:rPr>
                <w:rFonts w:ascii="Times New Roman"/>
                <w:color w:val="000000"/>
              </w:rPr>
              <w:t>PV = 39.6/20 ≈1.98</w:t>
            </w:r>
            <w:r>
              <w:rPr>
                <w:rFonts w:hAnsi="宋体"/>
                <w:color w:val="000000"/>
              </w:rPr>
              <w:t>，即</w:t>
            </w:r>
            <w:r>
              <w:rPr>
                <w:rFonts w:ascii="Times New Roman"/>
                <w:color w:val="000000"/>
              </w:rPr>
              <w:t>198%</w:t>
            </w:r>
          </w:p>
        </w:tc>
      </w:tr>
    </w:tbl>
    <w:p>
      <w:pPr>
        <w:pStyle w:val="179"/>
      </w:pPr>
      <w:r>
        <w:rPr>
          <w:rFonts w:hint="eastAsia"/>
        </w:rPr>
        <w:t>上表数值基于示例项目，计算得到的ROI约198%为折现ROI（考虑3%贴现率）。不折现情况下三年期ROI约为104% 。投资回收期1.5年与前述示例分析一致。实际项目可根据需要调整评估年限和折现率。若评估期内有持续投入或收益逐年变化，可在表中相应年度填入具体值再计算累计量和ROI。</w:t>
      </w:r>
    </w:p>
    <w:p>
      <w:pPr>
        <w:pStyle w:val="56"/>
        <w:ind w:firstLine="420"/>
      </w:pPr>
      <w:r>
        <w:rPr>
          <w:rFonts w:hint="eastAsia"/>
        </w:rPr>
        <w:t>通过上述表格，企业可以清晰地计算出数字化项目在评估期内的累计投入、累计收益，并得到ROI和回收期等指标，用以评估项目效益。建议将ROI计算结果与项目预期目标进行比较，并用于项目后评估和改进。</w:t>
      </w:r>
    </w:p>
    <w:p>
      <w:pPr>
        <w:pStyle w:val="56"/>
        <w:ind w:firstLine="420"/>
      </w:pPr>
      <w:r>
        <w:rPr>
          <w:rFonts w:hint="eastAsia"/>
        </w:rPr>
        <w:t>本附录提供的模板仅为参考样式，企业可根据自身习惯对呈现形式做调整（例如使用电子表格工具制作）。关键是确保记录的信息完整、计算逻辑正确。在实际操作中，企业可将多个项目的表格汇总，以整体评估所有数字化转型举措的投入产出状况，辅助制定下一步数字化投资计划。</w:t>
      </w:r>
    </w:p>
    <w:p>
      <w:pPr>
        <w:pStyle w:val="56"/>
        <w:ind w:firstLine="420"/>
      </w:pPr>
    </w:p>
    <w:p>
      <w:pPr>
        <w:pStyle w:val="56"/>
        <w:ind w:firstLine="420"/>
      </w:pPr>
    </w:p>
    <w:bookmarkEnd w:id="77"/>
    <w:p>
      <w:pPr>
        <w:pStyle w:val="56"/>
        <w:ind w:firstLine="420"/>
        <w:sectPr>
          <w:pgSz w:w="11906" w:h="16838"/>
          <w:pgMar w:top="1928" w:right="1134" w:bottom="1134" w:left="1134" w:header="1418" w:footer="1134" w:gutter="284"/>
          <w:cols w:space="425" w:num="1"/>
          <w:formProt w:val="0"/>
          <w:docGrid w:type="lines" w:linePitch="312" w:charSpace="0"/>
        </w:sectPr>
      </w:pPr>
      <w:bookmarkStart w:id="84" w:name="BookMark6"/>
    </w:p>
    <w:p>
      <w:pPr>
        <w:pStyle w:val="63"/>
        <w:spacing w:after="156"/>
      </w:pPr>
      <w:bookmarkStart w:id="85" w:name="_Toc233987002"/>
      <w:r>
        <w:rPr>
          <w:rFonts w:hint="eastAsia"/>
          <w:spacing w:val="105"/>
        </w:rPr>
        <w:t>参考文</w:t>
      </w:r>
      <w:r>
        <w:rPr>
          <w:rFonts w:hint="eastAsia"/>
        </w:rPr>
        <w:t>献</w:t>
      </w:r>
      <w:bookmarkEnd w:id="85"/>
    </w:p>
    <w:p>
      <w:pPr>
        <w:pStyle w:val="56"/>
        <w:ind w:firstLine="420"/>
      </w:pPr>
      <w:r>
        <w:rPr>
          <w:rFonts w:hint="eastAsia"/>
        </w:rPr>
        <w:t>[1]  GB/T 23020  工业企业信息化和工业化融合评估规范</w:t>
      </w:r>
    </w:p>
    <w:p>
      <w:pPr>
        <w:pStyle w:val="56"/>
        <w:ind w:firstLine="420"/>
      </w:pPr>
      <w:r>
        <w:rPr>
          <w:rFonts w:hint="eastAsia"/>
        </w:rPr>
        <w:t>[2]  GB/T 39116  智能制造能力成熟度模型</w:t>
      </w:r>
    </w:p>
    <w:p>
      <w:pPr>
        <w:pStyle w:val="56"/>
        <w:ind w:firstLine="420"/>
      </w:pPr>
      <w:r>
        <w:rPr>
          <w:rFonts w:hint="eastAsia"/>
        </w:rPr>
        <w:t>[3]  GB/T 39117  智能制造能力成熟度评估方法</w:t>
      </w:r>
    </w:p>
    <w:p>
      <w:pPr>
        <w:pStyle w:val="56"/>
        <w:ind w:firstLine="420"/>
      </w:pPr>
      <w:r>
        <w:rPr>
          <w:rFonts w:hint="eastAsia"/>
        </w:rPr>
        <w:t>[4]  《制造业质量管理数字化实施指南》</w:t>
      </w:r>
    </w:p>
    <w:p>
      <w:pPr>
        <w:pStyle w:val="56"/>
        <w:ind w:firstLine="420"/>
      </w:pPr>
    </w:p>
    <w:p>
      <w:pPr>
        <w:pStyle w:val="56"/>
        <w:ind w:firstLine="420"/>
      </w:pPr>
    </w:p>
    <w:p>
      <w:pPr>
        <w:pStyle w:val="56"/>
        <w:ind w:firstLine="420"/>
      </w:pPr>
    </w:p>
    <w:bookmarkEnd w:id="84"/>
    <w:p>
      <w:pPr>
        <w:pStyle w:val="56"/>
        <w:ind w:firstLine="0" w:firstLineChars="0"/>
        <w:jc w:val="center"/>
      </w:pPr>
      <w:bookmarkStart w:id="86" w:name="BookMark8"/>
      <w:r>
        <w:rPr>
          <w:rFonts w:hint="eastAsia"/>
        </w:rPr>
        <w:drawing>
          <wp:inline distT="0" distB="0" distL="0" distR="0">
            <wp:extent cx="1485900" cy="317500"/>
            <wp:effectExtent l="0" t="0" r="0" b="6350"/>
            <wp:docPr id="63775897" name="图片 4"/>
            <wp:cNvGraphicFramePr/>
            <a:graphic xmlns:a="http://schemas.openxmlformats.org/drawingml/2006/main">
              <a:graphicData uri="http://schemas.openxmlformats.org/drawingml/2006/picture">
                <pic:pic xmlns:pic="http://schemas.openxmlformats.org/drawingml/2006/picture">
                  <pic:nvPicPr>
                    <pic:cNvPr id="63775897" name="图片 4"/>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6"/>
    </w:p>
    <w:sectPr>
      <w:pgSz w:w="11906" w:h="16838"/>
      <w:pgMar w:top="1928" w:right="1134" w:bottom="1134" w:left="1134" w:header="1418" w:footer="1134" w:gutter="284"/>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rPr>
        <w:rFonts w:hint="eastAsia"/>
      </w:rP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attachedTemplate r:id="rId1"/>
  <w:documentProtection w:edit="forms" w:enforcement="1" w:cryptProviderType="rsaAES" w:cryptAlgorithmClass="hash" w:cryptAlgorithmType="typeAny" w:cryptAlgorithmSid="14" w:cryptSpinCount="100000" w:hash="RI3e3X3QYb7f2oyDF2FfV8dR6wSpZvn0u9Nm8bG8rvCv/dhgI1obU9M/AHm7n+/Ra1dfgwNuTeToHWXDiVr5Yw==" w:salt="ahNinwpoqfA5aEbSYfpgxQ=="/>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E2C"/>
    <w:rsid w:val="0000040A"/>
    <w:rsid w:val="00000A94"/>
    <w:rsid w:val="00001972"/>
    <w:rsid w:val="00001D9A"/>
    <w:rsid w:val="00005602"/>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DF1"/>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06F9"/>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6BAF"/>
    <w:rsid w:val="001E73AB"/>
    <w:rsid w:val="001F092D"/>
    <w:rsid w:val="001F143A"/>
    <w:rsid w:val="001F1605"/>
    <w:rsid w:val="001F2508"/>
    <w:rsid w:val="001F4816"/>
    <w:rsid w:val="001F4EE9"/>
    <w:rsid w:val="001F69B4"/>
    <w:rsid w:val="001F77C7"/>
    <w:rsid w:val="00200183"/>
    <w:rsid w:val="00200333"/>
    <w:rsid w:val="00200958"/>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307A"/>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A74B5"/>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183D"/>
    <w:rsid w:val="00432DAA"/>
    <w:rsid w:val="00432F40"/>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03F5"/>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265B"/>
    <w:rsid w:val="006252D8"/>
    <w:rsid w:val="006259BC"/>
    <w:rsid w:val="0062636B"/>
    <w:rsid w:val="00632182"/>
    <w:rsid w:val="00632AE0"/>
    <w:rsid w:val="0063333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19D"/>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34D2"/>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443C"/>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0967"/>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56A99"/>
    <w:rsid w:val="009610DC"/>
    <w:rsid w:val="00961490"/>
    <w:rsid w:val="0096381A"/>
    <w:rsid w:val="00965E04"/>
    <w:rsid w:val="009674AD"/>
    <w:rsid w:val="00970CDC"/>
    <w:rsid w:val="00976D56"/>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C7C19"/>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6F49"/>
    <w:rsid w:val="00A67866"/>
    <w:rsid w:val="00A70B07"/>
    <w:rsid w:val="00A723F8"/>
    <w:rsid w:val="00A766CA"/>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C11"/>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246B"/>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90"/>
    <w:rsid w:val="00D952A6"/>
    <w:rsid w:val="00D97F99"/>
    <w:rsid w:val="00DA1E08"/>
    <w:rsid w:val="00DA24F8"/>
    <w:rsid w:val="00DA28E8"/>
    <w:rsid w:val="00DA38D3"/>
    <w:rsid w:val="00DA3932"/>
    <w:rsid w:val="00DA3AFC"/>
    <w:rsid w:val="00DA5191"/>
    <w:rsid w:val="00DA64F8"/>
    <w:rsid w:val="00DA6C15"/>
    <w:rsid w:val="00DB0258"/>
    <w:rsid w:val="00DB1305"/>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E7E2C"/>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57C0B"/>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538A"/>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32F6FE9"/>
    <w:rsid w:val="44A31BD1"/>
    <w:rsid w:val="63BE571E"/>
    <w:rsid w:val="70293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character" w:styleId="27">
    <w:name w:val="Strong"/>
    <w:qFormat/>
    <w:uiPriority w:val="22"/>
    <w:rPr>
      <w:b/>
      <w:bCs/>
    </w:rPr>
  </w:style>
  <w:style w:type="character" w:styleId="28">
    <w:name w:val="page number"/>
    <w:qFormat/>
    <w:uiPriority w:val="0"/>
    <w:rPr>
      <w:rFonts w:ascii="宋体" w:hAnsi="Times New Roman" w:eastAsia="宋体"/>
      <w:sz w:val="18"/>
    </w:rPr>
  </w:style>
  <w:style w:type="character" w:styleId="29">
    <w:name w:val="Emphasis"/>
    <w:qFormat/>
    <w:uiPriority w:val="20"/>
    <w:rPr>
      <w:i/>
      <w:iCs/>
    </w:rPr>
  </w:style>
  <w:style w:type="character" w:styleId="30">
    <w:name w:val="Hyperlink"/>
    <w:uiPriority w:val="99"/>
    <w:rPr>
      <w:rFonts w:ascii="宋体" w:hAnsi="Times New Roman" w:eastAsia="宋体"/>
      <w:color w:val="auto"/>
      <w:spacing w:val="0"/>
      <w:w w:val="100"/>
      <w:position w:val="0"/>
      <w:sz w:val="21"/>
      <w:u w:val="none"/>
      <w:vertAlign w:val="baseline"/>
    </w:rPr>
  </w:style>
  <w:style w:type="character" w:styleId="31">
    <w:name w:val="footnote reference"/>
    <w:semiHidden/>
    <w:qFormat/>
    <w:uiPriority w:val="0"/>
    <w:rPr>
      <w:rFonts w:ascii="宋体" w:hAnsi="宋体" w:eastAsia="宋体" w:cs="Times New Roman"/>
      <w:spacing w:val="0"/>
      <w:sz w:val="18"/>
      <w:vertAlign w:val="superscript"/>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customStyle="1"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customStyle="1" w:styleId="186">
    <w:name w:val="Placeholder Text"/>
    <w:basedOn w:val="26"/>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6"/>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6"/>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1A6000553DC47DFADF00A80D9C305A8"/>
        <w:style w:val=""/>
        <w:category>
          <w:name w:val="常规"/>
          <w:gallery w:val="placeholder"/>
        </w:category>
        <w:types>
          <w:type w:val="bbPlcHdr"/>
        </w:types>
        <w:behaviors>
          <w:behavior w:val="content"/>
        </w:behaviors>
        <w:description w:val=""/>
        <w:guid w:val="{16A77D9F-E95A-4DEB-B35C-14EBDBE83667}"/>
      </w:docPartPr>
      <w:docPartBody>
        <w:p>
          <w:pPr>
            <w:pStyle w:val="5"/>
            <w:rPr>
              <w:rFonts w:hint="eastAsia"/>
            </w:rPr>
          </w:pPr>
          <w:r>
            <w:rPr>
              <w:rStyle w:val="4"/>
              <w:rFonts w:hint="eastAsia"/>
            </w:rPr>
            <w:t>单击或点击此处输入文字。</w:t>
          </w:r>
        </w:p>
      </w:docPartBody>
    </w:docPart>
    <w:docPart>
      <w:docPartPr>
        <w:name w:val="4454A8ACCE854DFA99C237D1B65912EA"/>
        <w:style w:val=""/>
        <w:category>
          <w:name w:val="常规"/>
          <w:gallery w:val="placeholder"/>
        </w:category>
        <w:types>
          <w:type w:val="bbPlcHdr"/>
        </w:types>
        <w:behaviors>
          <w:behavior w:val="content"/>
        </w:behaviors>
        <w:description w:val=""/>
        <w:guid w:val="{5AD46ABA-F224-4839-968C-C6E61A6342F0}"/>
      </w:docPartPr>
      <w:docPartBody>
        <w:p>
          <w:pPr>
            <w:pStyle w:val="6"/>
            <w:rPr>
              <w:rFonts w:hint="eastAsia"/>
            </w:rPr>
          </w:pPr>
          <w:r>
            <w:rPr>
              <w:rStyle w:val="4"/>
              <w:rFonts w:hint="eastAsia"/>
            </w:rPr>
            <w:t>选择一项。</w:t>
          </w:r>
        </w:p>
      </w:docPartBody>
    </w:docPart>
    <w:docPart>
      <w:docPartPr>
        <w:name w:val="F2822CDA9A0D470785B99C6E431BFAF8"/>
        <w:style w:val=""/>
        <w:category>
          <w:name w:val="常规"/>
          <w:gallery w:val="placeholder"/>
        </w:category>
        <w:types>
          <w:type w:val="bbPlcHdr"/>
        </w:types>
        <w:behaviors>
          <w:behavior w:val="content"/>
        </w:behaviors>
        <w:description w:val=""/>
        <w:guid w:val="{4AA6090F-576B-409F-8A7D-E05F7CFA28F4}"/>
      </w:docPartPr>
      <w:docPartBody>
        <w:p>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014"/>
    <w:rsid w:val="00211A8A"/>
    <w:rsid w:val="0042183D"/>
    <w:rsid w:val="007934D2"/>
    <w:rsid w:val="007E6734"/>
    <w:rsid w:val="00AE2C11"/>
    <w:rsid w:val="00D95290"/>
    <w:rsid w:val="00E57C0B"/>
    <w:rsid w:val="00E776D1"/>
    <w:rsid w:val="00E84F05"/>
    <w:rsid w:val="00F43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unhideWhenUsed/>
    <w:qFormat/>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character" w:customStyle="1" w:styleId="4">
    <w:name w:val="Placeholder Text"/>
    <w:basedOn w:val="2"/>
    <w:semiHidden/>
    <w:uiPriority w:val="99"/>
    <w:rPr>
      <w:color w:val="808080"/>
    </w:rPr>
  </w:style>
  <w:style w:type="paragraph" w:customStyle="1" w:styleId="5">
    <w:name w:val="41A6000553DC47DFADF00A80D9C305A8"/>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4454A8ACCE854DFA99C237D1B65912EA"/>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F2822CDA9A0D470785B99C6E431BFAF8"/>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19</Pages>
  <Words>2913</Words>
  <Characters>16607</Characters>
  <Lines>138</Lines>
  <Paragraphs>38</Paragraphs>
  <TotalTime>1</TotalTime>
  <ScaleCrop>false</ScaleCrop>
  <LinksUpToDate>false</LinksUpToDate>
  <CharactersWithSpaces>19482</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2026-07-03T07:07:00Z</dcterms:created>
  <dc:creator>admin</dc:creator>
  <dc:description>&lt;config cover="true" show_menu="true" version="1.0.0" doctype="SDKXY"&gt;_x000d_
&lt;/config&gt;</dc:description>
  <cp:lastModifiedBy>admin</cp:lastModifiedBy>
  <cp:lastPrinted>2026-10-30T08:16:00Z</cp:lastPrinted>
  <dcterms:modified xsi:type="dcterms:W3CDTF">2026-11-04T00:46:44Z</dcterms:modified>
  <dc:title>地方标准</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eyJoZGlkIjoiNzdhMmMwMDFlOWFjNjIxYTM1YWM2Zjk0ZjYwNTdmM2YiLCJ1c2VySWQiOiI1NTUzMTM1NjgifQ==</vt:lpwstr>
  </property>
  <property fmtid="{D5CDD505-2E9C-101B-9397-08002B2CF9AE}" pid="15" name="KSOProductBuildVer">
    <vt:lpwstr>2052-10.8.0.6423</vt:lpwstr>
  </property>
  <property fmtid="{D5CDD505-2E9C-101B-9397-08002B2CF9AE}" pid="16" name="ICV">
    <vt:lpwstr>9161FFFFD33840ACAA8AFF1FD246FE5B_12</vt:lpwstr>
  </property>
</Properties>
</file>