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33"/>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PrEx>
        <w:tc>
          <w:tcPr>
            <w:tcW w:w="6407" w:type="dxa"/>
          </w:tcPr>
          <w:p>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     </w:t>
            </w:r>
            <w:r>
              <w:fldChar w:fldCharType="end"/>
            </w:r>
            <w:bookmarkEnd w:id="3"/>
          </w:p>
        </w:tc>
      </w:tr>
    </w:tbl>
    <w:p>
      <w:pPr>
        <w:pStyle w:val="50"/>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ascii="黑体" w:eastAsia="黑体"/>
          <w:b w:val="0"/>
          <w:w w:val="100"/>
          <w:sz w:val="48"/>
        </w:rPr>
        <w:t>湖</w:t>
      </w:r>
      <w:r>
        <w:rPr>
          <w:rFonts w:hint="eastAsia" w:ascii="黑体" w:eastAsia="黑体"/>
          <w:b w:val="0"/>
          <w:w w:val="100"/>
          <w:sz w:val="48"/>
        </w:rPr>
        <w:t>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ascii="黑体" w:hAnsi="黑体" w:eastAsia="黑体"/>
          <w:b w:val="0"/>
          <w:bCs w:val="0"/>
          <w:w w:val="100"/>
        </w:rPr>
      </w:pPr>
    </w:p>
    <w:p>
      <w:pPr>
        <w:pStyle w:val="197"/>
        <w:framePr w:h="6974" w:hRule="exact"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有色金属采矿废弃地植被恢复技术规程</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Technical Code for Vegetation Restoration on Nonferrous Metal Mining Wasteland</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bookmarkStart w:id="114" w:name="_GoBack"/>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bookmarkEnd w:id="114"/>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rFonts w:hint="eastAsia"/>
          <w:sz w:val="21"/>
          <w:szCs w:val="28"/>
        </w:rPr>
        <w:t>（本草案完成时间：2026年</w:t>
      </w:r>
      <w:r>
        <w:rPr>
          <w:sz w:val="21"/>
          <w:szCs w:val="28"/>
        </w:rPr>
        <w:t>10</w:t>
      </w:r>
      <w:r>
        <w:rPr>
          <w:rFonts w:hint="eastAsia"/>
          <w:sz w:val="21"/>
          <w:szCs w:val="28"/>
        </w:rPr>
        <w:t>月2</w:t>
      </w:r>
      <w:r>
        <w:rPr>
          <w:sz w:val="21"/>
          <w:szCs w:val="28"/>
        </w:rPr>
        <w:t>9</w:t>
      </w:r>
      <w:r>
        <w:rPr>
          <w:rFonts w:hint="eastAsia"/>
          <w:sz w:val="21"/>
          <w:szCs w:val="28"/>
        </w:rPr>
        <w:t>日）</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rPr>
        <w:t>2026</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hint="eastAsia" w:ascii="黑体"/>
        </w:rPr>
        <w:t>2026</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ascii="宋体" w:hAnsi="宋体"/>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1"/>
        <w:spacing w:after="468"/>
      </w:pPr>
      <w:bookmarkStart w:id="21" w:name="BookMark1"/>
      <w:bookmarkStart w:id="22" w:name="_Toc241503805"/>
      <w:r>
        <w:rPr>
          <w:rFonts w:hint="eastAsia"/>
          <w:spacing w:val="320"/>
        </w:rPr>
        <w:t>目</w:t>
      </w:r>
      <w:r>
        <w:rPr>
          <w:rFonts w:hint="eastAsia"/>
        </w:rPr>
        <w:t>次</w:t>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TOC \o "1-1" \h </w:instrText>
      </w:r>
      <w:r>
        <w:fldChar w:fldCharType="separate"/>
      </w:r>
      <w:r>
        <w:fldChar w:fldCharType="begin"/>
      </w:r>
      <w:r>
        <w:instrText xml:space="preserve"> HYPERLINK \l "_Toc241503855" </w:instrText>
      </w:r>
      <w:r>
        <w:fldChar w:fldCharType="separate"/>
      </w:r>
      <w:r>
        <w:rPr>
          <w:rStyle w:val="30"/>
        </w:rPr>
        <w:t>前言</w:t>
      </w:r>
      <w:r>
        <w:rPr>
          <w:rFonts w:hint="eastAsia"/>
        </w:rPr>
        <w:tab/>
      </w:r>
      <w:r>
        <w:rPr>
          <w:rFonts w:hint="eastAsia"/>
        </w:rPr>
        <w:fldChar w:fldCharType="begin"/>
      </w:r>
      <w:r>
        <w:rPr>
          <w:rFonts w:hint="eastAsia"/>
        </w:rPr>
        <w:instrText xml:space="preserve"> </w:instrText>
      </w:r>
      <w:r>
        <w:instrText xml:space="preserve">PAGEREF _Toc241503855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"_Toc241503856" </w:instrText>
      </w:r>
      <w:r>
        <w:fldChar w:fldCharType="separate"/>
      </w:r>
      <w:r>
        <w:rPr>
          <w:rStyle w:val="30"/>
        </w:rPr>
        <w:t>引言</w:t>
      </w:r>
      <w:r>
        <w:rPr>
          <w:rFonts w:hint="eastAsia"/>
        </w:rPr>
        <w:tab/>
      </w:r>
      <w:r>
        <w:rPr>
          <w:rFonts w:hint="eastAsia"/>
        </w:rPr>
        <w:fldChar w:fldCharType="begin"/>
      </w:r>
      <w:r>
        <w:rPr>
          <w:rFonts w:hint="eastAsia"/>
        </w:rPr>
        <w:instrText xml:space="preserve"> </w:instrText>
      </w:r>
      <w:r>
        <w:instrText xml:space="preserve">PAGEREF _Toc241503856 \h</w:instrText>
      </w:r>
      <w:r>
        <w:rPr>
          <w:rFonts w:hint="eastAsia"/>
        </w:rPr>
        <w:instrText xml:space="preserve"> </w:instrText>
      </w:r>
      <w:r>
        <w:rPr>
          <w:rFonts w:hint="eastAsia"/>
        </w:rPr>
        <w:fldChar w:fldCharType="separate"/>
      </w:r>
      <w:r>
        <w:t>III</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"_Toc241503857" </w:instrText>
      </w:r>
      <w:r>
        <w:fldChar w:fldCharType="separate"/>
      </w:r>
      <w:r>
        <w:rPr>
          <w:rStyle w:val="30"/>
        </w:rPr>
        <w:t>1  范围</w:t>
      </w:r>
      <w:r>
        <w:rPr>
          <w:rFonts w:hint="eastAsia"/>
        </w:rPr>
        <w:tab/>
      </w:r>
      <w:r>
        <w:rPr>
          <w:rFonts w:hint="eastAsia"/>
        </w:rPr>
        <w:fldChar w:fldCharType="begin"/>
      </w:r>
      <w:r>
        <w:rPr>
          <w:rFonts w:hint="eastAsia"/>
        </w:rPr>
        <w:instrText xml:space="preserve"> </w:instrText>
      </w:r>
      <w:r>
        <w:instrText xml:space="preserve">PAGEREF _Toc241503857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"_Toc241503858" </w:instrText>
      </w:r>
      <w:r>
        <w:fldChar w:fldCharType="separate"/>
      </w:r>
      <w:r>
        <w:rPr>
          <w:rStyle w:val="30"/>
        </w:rPr>
        <w:t>2  规范性引用文件</w:t>
      </w:r>
      <w:r>
        <w:rPr>
          <w:rFonts w:hint="eastAsia"/>
        </w:rPr>
        <w:tab/>
      </w:r>
      <w:r>
        <w:rPr>
          <w:rFonts w:hint="eastAsia"/>
        </w:rPr>
        <w:fldChar w:fldCharType="begin"/>
      </w:r>
      <w:r>
        <w:rPr>
          <w:rFonts w:hint="eastAsia"/>
        </w:rPr>
        <w:instrText xml:space="preserve"> </w:instrText>
      </w:r>
      <w:r>
        <w:instrText xml:space="preserve">PAGEREF _Toc241503858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"_Toc241503859" </w:instrText>
      </w:r>
      <w:r>
        <w:fldChar w:fldCharType="separate"/>
      </w:r>
      <w:r>
        <w:rPr>
          <w:rStyle w:val="30"/>
        </w:rPr>
        <w:t>3  术语和定义</w:t>
      </w:r>
      <w:r>
        <w:rPr>
          <w:rFonts w:hint="eastAsia"/>
        </w:rPr>
        <w:tab/>
      </w:r>
      <w:r>
        <w:rPr>
          <w:rFonts w:hint="eastAsia"/>
        </w:rPr>
        <w:fldChar w:fldCharType="begin"/>
      </w:r>
      <w:r>
        <w:rPr>
          <w:rFonts w:hint="eastAsia"/>
        </w:rPr>
        <w:instrText xml:space="preserve"> </w:instrText>
      </w:r>
      <w:r>
        <w:instrText xml:space="preserve">PAGEREF _Toc241503859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"_Toc241503860" </w:instrText>
      </w:r>
      <w:r>
        <w:fldChar w:fldCharType="separate"/>
      </w:r>
      <w:r>
        <w:rPr>
          <w:rStyle w:val="30"/>
        </w:rPr>
        <w:t>4  基本要求</w:t>
      </w:r>
      <w:r>
        <w:rPr>
          <w:rFonts w:hint="eastAsia"/>
        </w:rPr>
        <w:tab/>
      </w:r>
      <w:r>
        <w:rPr>
          <w:rFonts w:hint="eastAsia"/>
        </w:rPr>
        <w:fldChar w:fldCharType="begin"/>
      </w:r>
      <w:r>
        <w:rPr>
          <w:rFonts w:hint="eastAsia"/>
        </w:rPr>
        <w:instrText xml:space="preserve"> </w:instrText>
      </w:r>
      <w:r>
        <w:instrText xml:space="preserve">PAGEREF _Toc241503860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"_Toc241503861" </w:instrText>
      </w:r>
      <w:r>
        <w:fldChar w:fldCharType="separate"/>
      </w:r>
      <w:r>
        <w:rPr>
          <w:rStyle w:val="30"/>
        </w:rPr>
        <w:t>5  调查评价与恢复单元划分</w:t>
      </w:r>
      <w:r>
        <w:rPr>
          <w:rFonts w:hint="eastAsia"/>
        </w:rPr>
        <w:tab/>
      </w:r>
      <w:r>
        <w:rPr>
          <w:rFonts w:hint="eastAsia"/>
        </w:rPr>
        <w:fldChar w:fldCharType="begin"/>
      </w:r>
      <w:r>
        <w:rPr>
          <w:rFonts w:hint="eastAsia"/>
        </w:rPr>
        <w:instrText xml:space="preserve"> </w:instrText>
      </w:r>
      <w:r>
        <w:instrText xml:space="preserve">PAGEREF _Toc241503861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"_Toc241503862" </w:instrText>
      </w:r>
      <w:r>
        <w:fldChar w:fldCharType="separate"/>
      </w:r>
      <w:r>
        <w:rPr>
          <w:rStyle w:val="30"/>
        </w:rPr>
        <w:t>6  植被恢复技术</w:t>
      </w:r>
      <w:r>
        <w:rPr>
          <w:rFonts w:hint="eastAsia"/>
        </w:rPr>
        <w:tab/>
      </w:r>
      <w:r>
        <w:rPr>
          <w:rFonts w:hint="eastAsia"/>
        </w:rPr>
        <w:fldChar w:fldCharType="begin"/>
      </w:r>
      <w:r>
        <w:rPr>
          <w:rFonts w:hint="eastAsia"/>
        </w:rPr>
        <w:instrText xml:space="preserve"> </w:instrText>
      </w:r>
      <w:r>
        <w:instrText xml:space="preserve">PAGEREF _Toc241503862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"_Toc241503863" </w:instrText>
      </w:r>
      <w:r>
        <w:fldChar w:fldCharType="separate"/>
      </w:r>
      <w:r>
        <w:rPr>
          <w:rStyle w:val="30"/>
        </w:rPr>
        <w:t>7  植物选择与群落配置</w:t>
      </w:r>
      <w:r>
        <w:rPr>
          <w:rFonts w:hint="eastAsia"/>
        </w:rPr>
        <w:tab/>
      </w:r>
      <w:r>
        <w:rPr>
          <w:rFonts w:hint="eastAsia"/>
        </w:rPr>
        <w:fldChar w:fldCharType="begin"/>
      </w:r>
      <w:r>
        <w:rPr>
          <w:rFonts w:hint="eastAsia"/>
        </w:rPr>
        <w:instrText xml:space="preserve"> </w:instrText>
      </w:r>
      <w:r>
        <w:instrText xml:space="preserve">PAGEREF _Toc241503863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"_Toc241503864" </w:instrText>
      </w:r>
      <w:r>
        <w:fldChar w:fldCharType="separate"/>
      </w:r>
      <w:r>
        <w:rPr>
          <w:rStyle w:val="30"/>
        </w:rPr>
        <w:t>8  土壤</w:t>
      </w:r>
      <w:r>
        <w:rPr>
          <w:rStyle w:val="30"/>
          <w:rFonts w:hint="eastAsia"/>
        </w:rPr>
        <w:t>与基质</w:t>
      </w:r>
      <w:r>
        <w:rPr>
          <w:rStyle w:val="30"/>
        </w:rPr>
        <w:t>改良</w:t>
      </w:r>
      <w:r>
        <w:rPr>
          <w:rFonts w:hint="eastAsia"/>
        </w:rPr>
        <w:tab/>
      </w:r>
      <w:r>
        <w:rPr>
          <w:rFonts w:hint="eastAsia"/>
        </w:rPr>
        <w:fldChar w:fldCharType="begin"/>
      </w:r>
      <w:r>
        <w:rPr>
          <w:rFonts w:hint="eastAsia"/>
        </w:rPr>
        <w:instrText xml:space="preserve"> </w:instrText>
      </w:r>
      <w:r>
        <w:instrText xml:space="preserve">PAGEREF _Toc241503864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"_Toc241503865" </w:instrText>
      </w:r>
      <w:r>
        <w:fldChar w:fldCharType="separate"/>
      </w:r>
      <w:r>
        <w:rPr>
          <w:rStyle w:val="30"/>
        </w:rPr>
        <w:t>9  抚育、监测与成效评价</w:t>
      </w:r>
      <w:r>
        <w:rPr>
          <w:rFonts w:hint="eastAsia"/>
        </w:rPr>
        <w:tab/>
      </w:r>
      <w:r>
        <w:rPr>
          <w:rFonts w:hint="eastAsia"/>
        </w:rPr>
        <w:fldChar w:fldCharType="begin"/>
      </w:r>
      <w:r>
        <w:rPr>
          <w:rFonts w:hint="eastAsia"/>
        </w:rPr>
        <w:instrText xml:space="preserve"> </w:instrText>
      </w:r>
      <w:r>
        <w:instrText xml:space="preserve">PAGEREF _Toc241503865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"_Toc241503866" </w:instrText>
      </w:r>
      <w:r>
        <w:fldChar w:fldCharType="separate"/>
      </w:r>
      <w:r>
        <w:rPr>
          <w:rStyle w:val="30"/>
        </w:rPr>
        <w:t>附录A（资料性）  有色金属采矿废弃地植被恢复常用植物</w:t>
      </w:r>
      <w:r>
        <w:rPr>
          <w:rFonts w:hint="eastAsia"/>
        </w:rPr>
        <w:tab/>
      </w:r>
      <w:r>
        <w:rPr>
          <w:rFonts w:hint="eastAsia"/>
        </w:rPr>
        <w:fldChar w:fldCharType="begin"/>
      </w:r>
      <w:r>
        <w:rPr>
          <w:rFonts w:hint="eastAsia"/>
        </w:rPr>
        <w:instrText xml:space="preserve"> </w:instrText>
      </w:r>
      <w:r>
        <w:instrText xml:space="preserve">PAGEREF _Toc241503866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"_Toc241503867" </w:instrText>
      </w:r>
      <w:r>
        <w:fldChar w:fldCharType="separate"/>
      </w:r>
      <w:r>
        <w:rPr>
          <w:rStyle w:val="30"/>
        </w:rPr>
        <w:t>附录B（资料性）  土壤、基质和植被调查指标</w:t>
      </w:r>
      <w:r>
        <w:rPr>
          <w:rFonts w:hint="eastAsia"/>
        </w:rPr>
        <w:tab/>
      </w:r>
      <w:r>
        <w:rPr>
          <w:rFonts w:hint="eastAsia"/>
        </w:rPr>
        <w:fldChar w:fldCharType="begin"/>
      </w:r>
      <w:r>
        <w:rPr>
          <w:rFonts w:hint="eastAsia"/>
        </w:rPr>
        <w:instrText xml:space="preserve"> </w:instrText>
      </w:r>
      <w:r>
        <w:instrText xml:space="preserve">PAGEREF _Toc241503867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"_Toc241503868" </w:instrText>
      </w:r>
      <w:r>
        <w:fldChar w:fldCharType="separate"/>
      </w:r>
      <w:r>
        <w:rPr>
          <w:rStyle w:val="30"/>
        </w:rPr>
        <w:t>附录C（资料性）  主要立地障碍及植被恢复措施</w:t>
      </w:r>
      <w:r>
        <w:rPr>
          <w:rFonts w:hint="eastAsia"/>
        </w:rPr>
        <w:tab/>
      </w:r>
      <w:r>
        <w:rPr>
          <w:rFonts w:hint="eastAsia"/>
        </w:rPr>
        <w:fldChar w:fldCharType="begin"/>
      </w:r>
      <w:r>
        <w:rPr>
          <w:rFonts w:hint="eastAsia"/>
        </w:rPr>
        <w:instrText xml:space="preserve"> </w:instrText>
      </w:r>
      <w:r>
        <w:instrText xml:space="preserve">PAGEREF _Toc241503868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"_Toc241503869" </w:instrText>
      </w:r>
      <w:r>
        <w:fldChar w:fldCharType="separate"/>
      </w:r>
      <w:r>
        <w:rPr>
          <w:rStyle w:val="30"/>
        </w:rPr>
        <w:t>附录D（资料性）  土壤和基质改良材料</w:t>
      </w:r>
      <w:r>
        <w:rPr>
          <w:rFonts w:hint="eastAsia"/>
        </w:rPr>
        <w:tab/>
      </w:r>
      <w:r>
        <w:rPr>
          <w:rFonts w:hint="eastAsia"/>
        </w:rPr>
        <w:fldChar w:fldCharType="begin"/>
      </w:r>
      <w:r>
        <w:rPr>
          <w:rFonts w:hint="eastAsia"/>
        </w:rPr>
        <w:instrText xml:space="preserve"> </w:instrText>
      </w:r>
      <w:r>
        <w:instrText xml:space="preserve">PAGEREF _Toc241503869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"_Toc241503870" </w:instrText>
      </w:r>
      <w:r>
        <w:fldChar w:fldCharType="separate"/>
      </w:r>
      <w:r>
        <w:rPr>
          <w:rStyle w:val="30"/>
        </w:rPr>
        <w:t>附录E（资料性）  植被恢复成效评价指标</w:t>
      </w:r>
      <w:r>
        <w:rPr>
          <w:rFonts w:hint="eastAsia"/>
        </w:rPr>
        <w:tab/>
      </w:r>
      <w:r>
        <w:rPr>
          <w:rFonts w:hint="eastAsia"/>
        </w:rPr>
        <w:fldChar w:fldCharType="begin"/>
      </w:r>
      <w:r>
        <w:rPr>
          <w:rFonts w:hint="eastAsia"/>
        </w:rPr>
        <w:instrText xml:space="preserve"> </w:instrText>
      </w:r>
      <w:r>
        <w:instrText xml:space="preserve">PAGEREF _Toc241503870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"_Toc241503871" </w:instrText>
      </w:r>
      <w:r>
        <w:fldChar w:fldCharType="separate"/>
      </w:r>
      <w:r>
        <w:rPr>
          <w:rStyle w:val="30"/>
        </w:rPr>
        <w:t>附录F（资料性）  档案资料清单</w:t>
      </w:r>
      <w:r>
        <w:rPr>
          <w:rFonts w:hint="eastAsia"/>
        </w:rPr>
        <w:tab/>
      </w:r>
      <w:r>
        <w:rPr>
          <w:rFonts w:hint="eastAsia"/>
        </w:rPr>
        <w:fldChar w:fldCharType="begin"/>
      </w:r>
      <w:r>
        <w:rPr>
          <w:rFonts w:hint="eastAsia"/>
        </w:rPr>
        <w:instrText xml:space="preserve"> </w:instrText>
      </w:r>
      <w:r>
        <w:instrText xml:space="preserve">PAGEREF _Toc241503871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pPr>
        <w:pStyle w:val="91"/>
        <w:spacing w:after="468"/>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pPr>
        <w:pStyle w:val="89"/>
        <w:spacing w:before="900" w:after="468"/>
      </w:pPr>
      <w:bookmarkStart w:id="23" w:name="_Toc241503855"/>
      <w:bookmarkStart w:id="24" w:name="BookMark2"/>
      <w:r>
        <w:rPr>
          <w:rFonts w:hint="eastAsia"/>
          <w:spacing w:val="320"/>
        </w:rPr>
        <w:t>前</w:t>
      </w:r>
      <w:r>
        <w:rPr>
          <w:rFonts w:hint="eastAsia"/>
        </w:rPr>
        <w:t>言</w:t>
      </w:r>
      <w:bookmarkEnd w:id="22"/>
      <w:bookmarkEnd w:id="23"/>
    </w:p>
    <w:p>
      <w:pPr>
        <w:pStyle w:val="56"/>
        <w:ind w:firstLine="420"/>
      </w:pPr>
      <w:r>
        <w:rPr>
          <w:rFonts w:hint="eastAsia"/>
        </w:rPr>
        <w:t>本文件按照GB/T 1.1—2020《标准化工作导则  第1部分：标准化文件的结构和起草规则》的规定起草。</w:t>
      </w:r>
    </w:p>
    <w:p>
      <w:pPr>
        <w:pStyle w:val="56"/>
        <w:ind w:firstLine="420"/>
      </w:pPr>
      <w:r>
        <w:t>请注意本文件的某些内容可能涉及专利。本文件的发布机构不承担识别专利的责任。</w:t>
      </w:r>
    </w:p>
    <w:p>
      <w:pPr>
        <w:pStyle w:val="56"/>
        <w:ind w:firstLine="420"/>
      </w:pPr>
      <w:r>
        <w:rPr>
          <w:rFonts w:hint="eastAsia"/>
        </w:rPr>
        <w:t>本文件由</w:t>
      </w:r>
      <w:r>
        <w:t>湖南省林业局</w:t>
      </w:r>
      <w:r>
        <w:rPr>
          <w:rFonts w:hint="eastAsia"/>
        </w:rPr>
        <w:t>提出。</w:t>
      </w:r>
    </w:p>
    <w:p>
      <w:pPr>
        <w:pStyle w:val="56"/>
        <w:ind w:firstLine="420"/>
      </w:pPr>
      <w:r>
        <w:rPr>
          <w:rFonts w:hint="eastAsia"/>
        </w:rPr>
        <w:t>本文件由</w:t>
      </w:r>
      <w:r>
        <w:t>湖南省林业标准化技术委员会</w:t>
      </w:r>
      <w:r>
        <w:rPr>
          <w:rFonts w:hint="eastAsia"/>
        </w:rPr>
        <w:t>归口。</w:t>
      </w:r>
    </w:p>
    <w:p>
      <w:pPr>
        <w:pStyle w:val="56"/>
        <w:ind w:firstLine="420"/>
      </w:pPr>
      <w:r>
        <w:rPr>
          <w:rFonts w:hint="eastAsia"/>
        </w:rPr>
        <w:t>本文件起草单位：</w:t>
      </w:r>
      <w:r>
        <w:t>中南林业科技大学、湖南林业科学院、</w:t>
      </w:r>
      <w:r>
        <w:rPr>
          <w:rFonts w:hint="eastAsia"/>
        </w:rPr>
        <w:t>湖南工业大学、</w:t>
      </w:r>
      <w:r>
        <w:t>中南大学、北京林业大学</w:t>
      </w:r>
      <w:r>
        <w:rPr>
          <w:rFonts w:hint="eastAsia"/>
        </w:rPr>
        <w:t>。</w:t>
      </w:r>
    </w:p>
    <w:p>
      <w:pPr>
        <w:pStyle w:val="56"/>
        <w:ind w:firstLine="420"/>
      </w:pPr>
      <w:r>
        <w:rPr>
          <w:rFonts w:hint="eastAsia"/>
        </w:rPr>
        <w:t>本文件主要起草人：</w:t>
      </w:r>
      <w:r>
        <w:t>闫文德、黄忠良、曹旖旎、曹若愚、</w:t>
      </w:r>
      <w:r>
        <w:rPr>
          <w:rFonts w:hint="eastAsia"/>
        </w:rPr>
        <w:t>韩福松、</w:t>
      </w:r>
      <w:r>
        <w:t>吴子剑、王钧</w:t>
      </w:r>
      <w:r>
        <w:rPr>
          <w:rFonts w:hint="eastAsia"/>
        </w:rPr>
        <w:t>、</w:t>
      </w:r>
      <w:r>
        <w:t>杨志辉、宋桂龙</w:t>
      </w:r>
      <w:r>
        <w:rPr>
          <w:rFonts w:hint="eastAsia"/>
        </w:rPr>
        <w:t>。</w:t>
      </w:r>
    </w:p>
    <w:p>
      <w:pPr>
        <w:pStyle w:val="56"/>
        <w:ind w:firstLine="420"/>
      </w:pPr>
    </w:p>
    <w:p>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4"/>
    <w:p>
      <w:pPr>
        <w:pStyle w:val="89"/>
        <w:spacing w:after="468"/>
      </w:pPr>
      <w:bookmarkStart w:id="25" w:name="_Toc241503856"/>
      <w:bookmarkStart w:id="26" w:name="_Toc241503806"/>
      <w:bookmarkStart w:id="27" w:name="BookMark3"/>
      <w:r>
        <w:rPr>
          <w:rFonts w:hint="eastAsia"/>
          <w:spacing w:val="320"/>
        </w:rPr>
        <w:t>引</w:t>
      </w:r>
      <w:r>
        <w:rPr>
          <w:rFonts w:hint="eastAsia"/>
        </w:rPr>
        <w:t>言</w:t>
      </w:r>
      <w:bookmarkEnd w:id="25"/>
      <w:bookmarkEnd w:id="26"/>
    </w:p>
    <w:p>
      <w:pPr>
        <w:pStyle w:val="56"/>
        <w:ind w:firstLine="420"/>
      </w:pPr>
      <w:r>
        <w:rPr>
          <w:rFonts w:hint="eastAsia"/>
        </w:rPr>
        <w:t>湖南省有色金属矿产资源丰富，长期采矿活动形成的各类废弃地普遍存在地形破损、土层贫瘠、酸化、重金属胁迫、水土流失和自然恢复困难等问题。</w:t>
      </w:r>
    </w:p>
    <w:p>
      <w:pPr>
        <w:pStyle w:val="56"/>
        <w:ind w:firstLine="420"/>
      </w:pPr>
      <w:r>
        <w:rPr>
          <w:rFonts w:hint="eastAsia"/>
        </w:rPr>
        <w:t>为规范该类废弃地的植被恢复工作，保障地质与工程安全，统筹污染风险控制、水土保持、植物群落构建，特制定本文件。</w:t>
      </w:r>
    </w:p>
    <w:p>
      <w:pPr>
        <w:pStyle w:val="56"/>
        <w:ind w:firstLine="420"/>
      </w:pPr>
    </w:p>
    <w:p>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7"/>
    <w:p>
      <w:pPr>
        <w:spacing w:line="20" w:lineRule="exact"/>
        <w:jc w:val="center"/>
        <w:rPr>
          <w:rFonts w:ascii="黑体" w:hAnsi="黑体" w:eastAsia="黑体"/>
          <w:sz w:val="32"/>
          <w:szCs w:val="32"/>
        </w:rPr>
      </w:pPr>
      <w:bookmarkStart w:id="28" w:name="BookMark4"/>
    </w:p>
    <w:p>
      <w:pPr>
        <w:spacing w:line="20" w:lineRule="exact"/>
        <w:jc w:val="center"/>
        <w:rPr>
          <w:rFonts w:ascii="黑体" w:hAnsi="黑体" w:eastAsia="黑体"/>
          <w:sz w:val="32"/>
          <w:szCs w:val="32"/>
        </w:rPr>
      </w:pPr>
    </w:p>
    <w:sdt>
      <w:sdtPr>
        <w:tag w:val="NEW_STAND_NAME"/>
        <w:id w:val="595910757"/>
        <w:lock w:val="sdtLocked"/>
        <w:placeholder>
          <w:docPart w:val="816C81508C484D41B71E2B6FC79C8EC4"/>
        </w:placeholder>
      </w:sdtPr>
      <w:sdtContent>
        <w:p>
          <w:pPr>
            <w:pStyle w:val="177"/>
            <w:spacing w:before="312" w:beforeLines="100" w:after="686" w:afterLines="220"/>
          </w:pPr>
          <w:bookmarkStart w:id="29" w:name="NEW_STAND_NAME"/>
          <w:r>
            <w:rPr>
              <w:rFonts w:hint="eastAsia"/>
            </w:rPr>
            <w:t>有色金属采矿废弃地植被恢复技术规程</w:t>
          </w:r>
        </w:p>
      </w:sdtContent>
    </w:sdt>
    <w:bookmarkEnd w:id="29"/>
    <w:p>
      <w:pPr>
        <w:pStyle w:val="104"/>
        <w:spacing w:before="312" w:after="312"/>
      </w:pPr>
      <w:bookmarkStart w:id="30" w:name="_Toc17233325"/>
      <w:bookmarkStart w:id="31" w:name="_Toc17233333"/>
      <w:bookmarkStart w:id="32" w:name="_Toc97191423"/>
      <w:bookmarkStart w:id="33" w:name="_Toc26648465"/>
      <w:bookmarkStart w:id="34" w:name="_Toc241503807"/>
      <w:bookmarkStart w:id="35" w:name="_Toc26718930"/>
      <w:bookmarkStart w:id="36" w:name="_Toc24884218"/>
      <w:bookmarkStart w:id="37" w:name="_Toc26986771"/>
      <w:bookmarkStart w:id="38" w:name="_Toc241503857"/>
      <w:bookmarkStart w:id="39" w:name="_Toc24884211"/>
      <w:bookmarkStart w:id="40" w:name="_Toc26986530"/>
      <w:r>
        <w:rPr>
          <w:rFonts w:hint="eastAsia"/>
        </w:rPr>
        <w:t>范围</w:t>
      </w:r>
      <w:bookmarkEnd w:id="30"/>
      <w:bookmarkEnd w:id="31"/>
      <w:bookmarkEnd w:id="32"/>
      <w:bookmarkEnd w:id="33"/>
      <w:bookmarkEnd w:id="34"/>
      <w:bookmarkEnd w:id="35"/>
      <w:bookmarkEnd w:id="36"/>
      <w:bookmarkEnd w:id="37"/>
      <w:bookmarkEnd w:id="38"/>
      <w:bookmarkEnd w:id="39"/>
      <w:bookmarkEnd w:id="40"/>
    </w:p>
    <w:p>
      <w:pPr>
        <w:pStyle w:val="56"/>
        <w:ind w:firstLine="420"/>
      </w:pPr>
      <w:bookmarkStart w:id="41" w:name="_Toc17233334"/>
      <w:bookmarkStart w:id="42" w:name="_Toc17233326"/>
      <w:bookmarkStart w:id="43" w:name="_Toc24884212"/>
      <w:bookmarkStart w:id="44" w:name="_Toc26648466"/>
      <w:bookmarkStart w:id="45" w:name="_Toc24884219"/>
      <w:r>
        <w:rPr>
          <w:rFonts w:hint="eastAsia"/>
        </w:rPr>
        <w:t>本文件规定了有色金属采矿废弃地植被恢复的基本要求、调查评价与恢复单元划分、植被恢复技术、植物选择与群落配置、土壤与基质改良、抚育管护、监测、成效评价及档案管理要求。</w:t>
      </w:r>
    </w:p>
    <w:p>
      <w:pPr>
        <w:pStyle w:val="56"/>
        <w:ind w:firstLine="420"/>
      </w:pPr>
      <w:r>
        <w:rPr>
          <w:rFonts w:hint="eastAsia"/>
        </w:rPr>
        <w:t>本文件适用于湖南有色金属采矿及相关选矿尾矿堆存活动形成的露天采场、排土场、废石堆、塌陷地、尾砂地、采矿扰动裸露地及受上述活动影响的重金属污染立地的植被恢复。</w:t>
      </w:r>
      <w:r>
        <w:t>尾矿库相关区域的植被恢复，应以符合尾矿库运行或闭库管理和专项安全要求为前提。本文件不适用于冶炼场地的专项污染修复，也不替代地质灾害治理、尾矿库安全及污染风险管控的专项调查、评价和设计。</w:t>
      </w:r>
    </w:p>
    <w:p>
      <w:pPr>
        <w:pStyle w:val="104"/>
        <w:spacing w:before="312" w:after="312"/>
      </w:pPr>
      <w:bookmarkStart w:id="46" w:name="_Toc26986772"/>
      <w:bookmarkStart w:id="47" w:name="_Toc26718931"/>
      <w:bookmarkStart w:id="48" w:name="_Toc241503858"/>
      <w:bookmarkStart w:id="49" w:name="_Toc241503808"/>
      <w:bookmarkStart w:id="50" w:name="_Toc26986531"/>
      <w:bookmarkStart w:id="51" w:name="_Toc97191424"/>
      <w:r>
        <w:rPr>
          <w:rFonts w:hint="eastAsia"/>
        </w:rPr>
        <w:t>规范性引用文件</w:t>
      </w:r>
      <w:bookmarkEnd w:id="41"/>
      <w:bookmarkEnd w:id="42"/>
      <w:bookmarkEnd w:id="43"/>
      <w:bookmarkEnd w:id="44"/>
      <w:bookmarkEnd w:id="45"/>
      <w:bookmarkEnd w:id="46"/>
      <w:bookmarkEnd w:id="47"/>
      <w:bookmarkEnd w:id="48"/>
      <w:bookmarkEnd w:id="49"/>
      <w:bookmarkEnd w:id="50"/>
      <w:bookmarkEnd w:id="51"/>
    </w:p>
    <w:sdt>
      <w:sdtPr>
        <w:rPr>
          <w:rFonts w:hint="eastAsia"/>
        </w:rPr>
        <w:id w:val="715848253"/>
        <w:placeholder>
          <w:docPart w:val="19E70C06DD2C4CC0B1BA77E3266432D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pPr>
      <w:r>
        <w:rPr>
          <w:rFonts w:hint="eastAsia"/>
        </w:rPr>
        <w:t>GB 6000</w:t>
      </w:r>
      <w:r>
        <w:rPr>
          <w:rFonts w:hAnsi="宋体" w:cs="宋体"/>
          <w:sz w:val="24"/>
          <w:szCs w:val="24"/>
        </w:rPr>
        <w:t>—</w:t>
      </w:r>
      <w:r>
        <w:rPr>
          <w:rFonts w:hint="eastAsia"/>
        </w:rPr>
        <w:t>2026 主要造林树种苗木质量分级</w:t>
      </w:r>
    </w:p>
    <w:p>
      <w:pPr>
        <w:pStyle w:val="56"/>
        <w:ind w:firstLine="420"/>
      </w:pPr>
      <w:r>
        <w:rPr>
          <w:rFonts w:hint="eastAsia"/>
        </w:rPr>
        <w:t>GB/T 15163</w:t>
      </w:r>
      <w:r>
        <w:rPr>
          <w:rFonts w:hAnsi="宋体" w:cs="宋体"/>
          <w:sz w:val="24"/>
          <w:szCs w:val="24"/>
        </w:rPr>
        <w:t>—</w:t>
      </w:r>
      <w:r>
        <w:rPr>
          <w:rFonts w:hint="eastAsia"/>
        </w:rPr>
        <w:t>2018 封山（沙）育林技术规程</w:t>
      </w:r>
    </w:p>
    <w:p>
      <w:pPr>
        <w:pStyle w:val="56"/>
        <w:ind w:firstLine="420"/>
      </w:pPr>
      <w:r>
        <w:rPr>
          <w:rFonts w:hint="eastAsia"/>
        </w:rPr>
        <w:t>GB/T 15776</w:t>
      </w:r>
      <w:r>
        <w:rPr>
          <w:rFonts w:hAnsi="宋体" w:cs="宋体"/>
          <w:sz w:val="24"/>
          <w:szCs w:val="24"/>
        </w:rPr>
        <w:t>—</w:t>
      </w:r>
      <w:r>
        <w:rPr>
          <w:rFonts w:hint="eastAsia"/>
        </w:rPr>
        <w:t>2023 造林技术规程</w:t>
      </w:r>
    </w:p>
    <w:p>
      <w:pPr>
        <w:pStyle w:val="56"/>
        <w:ind w:firstLine="420"/>
      </w:pPr>
      <w:r>
        <w:rPr>
          <w:rFonts w:hint="eastAsia"/>
        </w:rPr>
        <w:t>GB/T 15781</w:t>
      </w:r>
      <w:r>
        <w:rPr>
          <w:rFonts w:hAnsi="宋体" w:cs="宋体"/>
          <w:sz w:val="24"/>
          <w:szCs w:val="24"/>
        </w:rPr>
        <w:t>—</w:t>
      </w:r>
      <w:r>
        <w:rPr>
          <w:rFonts w:hint="eastAsia"/>
        </w:rPr>
        <w:t>2015 森林抚育规程</w:t>
      </w:r>
    </w:p>
    <w:p>
      <w:pPr>
        <w:pStyle w:val="56"/>
        <w:ind w:firstLine="420"/>
      </w:pPr>
      <w:r>
        <w:rPr>
          <w:rFonts w:hint="eastAsia"/>
        </w:rPr>
        <w:t>GB/T 16453.2</w:t>
      </w:r>
      <w:r>
        <w:rPr>
          <w:rFonts w:hAnsi="宋体" w:cs="宋体"/>
          <w:sz w:val="24"/>
          <w:szCs w:val="24"/>
        </w:rPr>
        <w:t>—</w:t>
      </w:r>
      <w:r>
        <w:rPr>
          <w:rFonts w:hint="eastAsia"/>
        </w:rPr>
        <w:t>2008 水土保持综合治理 技术规范 荒地治理技术</w:t>
      </w:r>
    </w:p>
    <w:p>
      <w:pPr>
        <w:pStyle w:val="56"/>
        <w:ind w:firstLine="420"/>
      </w:pPr>
      <w:r>
        <w:rPr>
          <w:rFonts w:hint="eastAsia"/>
        </w:rPr>
        <w:t>GB/T 43933</w:t>
      </w:r>
      <w:r>
        <w:rPr>
          <w:rFonts w:hAnsi="宋体" w:cs="宋体"/>
          <w:sz w:val="24"/>
          <w:szCs w:val="24"/>
        </w:rPr>
        <w:t>—</w:t>
      </w:r>
      <w:r>
        <w:rPr>
          <w:rFonts w:hint="eastAsia"/>
        </w:rPr>
        <w:t>2024 金属矿土地复垦与生态修复技术规范</w:t>
      </w:r>
    </w:p>
    <w:p>
      <w:pPr>
        <w:pStyle w:val="56"/>
        <w:ind w:firstLine="420"/>
      </w:pPr>
      <w:r>
        <w:rPr>
          <w:rFonts w:hint="eastAsia"/>
        </w:rPr>
        <w:t>GB 36600</w:t>
      </w:r>
      <w:r>
        <w:rPr>
          <w:rFonts w:hAnsi="宋体" w:cs="宋体"/>
          <w:sz w:val="24"/>
          <w:szCs w:val="24"/>
        </w:rPr>
        <w:t>—</w:t>
      </w:r>
      <w:r>
        <w:rPr>
          <w:rFonts w:hint="eastAsia"/>
        </w:rPr>
        <w:t>2018 土壤环境质量 建设用地土壤污染风险管控标准（试行）</w:t>
      </w:r>
    </w:p>
    <w:p>
      <w:pPr>
        <w:pStyle w:val="56"/>
        <w:ind w:firstLine="420"/>
      </w:pPr>
      <w:r>
        <w:rPr>
          <w:rFonts w:hint="eastAsia"/>
        </w:rPr>
        <w:t>HJ 166</w:t>
      </w:r>
      <w:r>
        <w:rPr>
          <w:rFonts w:hAnsi="宋体" w:cs="宋体"/>
          <w:sz w:val="24"/>
          <w:szCs w:val="24"/>
        </w:rPr>
        <w:t>—</w:t>
      </w:r>
      <w:r>
        <w:rPr>
          <w:rFonts w:hint="eastAsia"/>
        </w:rPr>
        <w:t>2026 土壤环境监测技术规范</w:t>
      </w:r>
    </w:p>
    <w:p>
      <w:pPr>
        <w:pStyle w:val="56"/>
        <w:ind w:firstLine="420"/>
      </w:pPr>
      <w:r>
        <w:rPr>
          <w:rFonts w:hint="eastAsia"/>
        </w:rPr>
        <w:t>HJ 651</w:t>
      </w:r>
      <w:r>
        <w:rPr>
          <w:rFonts w:hAnsi="宋体" w:cs="宋体"/>
          <w:sz w:val="24"/>
          <w:szCs w:val="24"/>
        </w:rPr>
        <w:t>—</w:t>
      </w:r>
      <w:r>
        <w:rPr>
          <w:rFonts w:hint="eastAsia"/>
        </w:rPr>
        <w:t>2013 矿山生态环境保护与恢复治理技术规范（试行）</w:t>
      </w:r>
    </w:p>
    <w:p>
      <w:pPr>
        <w:pStyle w:val="56"/>
        <w:ind w:firstLine="420"/>
      </w:pPr>
      <w:r>
        <w:rPr>
          <w:rFonts w:hint="eastAsia"/>
        </w:rPr>
        <w:t>LY/T 1000</w:t>
      </w:r>
      <w:r>
        <w:rPr>
          <w:rFonts w:hAnsi="宋体" w:cs="宋体"/>
          <w:sz w:val="24"/>
          <w:szCs w:val="24"/>
        </w:rPr>
        <w:t>—</w:t>
      </w:r>
      <w:r>
        <w:rPr>
          <w:rFonts w:hint="eastAsia"/>
        </w:rPr>
        <w:t>2013 容器育苗技术</w:t>
      </w:r>
    </w:p>
    <w:p>
      <w:pPr>
        <w:pStyle w:val="56"/>
        <w:ind w:firstLine="420"/>
      </w:pPr>
      <w:r>
        <w:rPr>
          <w:rFonts w:hint="eastAsia"/>
        </w:rPr>
        <w:t>LY/T 2356</w:t>
      </w:r>
      <w:r>
        <w:rPr>
          <w:rFonts w:hAnsi="宋体" w:cs="宋体"/>
          <w:sz w:val="24"/>
          <w:szCs w:val="24"/>
        </w:rPr>
        <w:t>—</w:t>
      </w:r>
      <w:r>
        <w:rPr>
          <w:rFonts w:hint="eastAsia"/>
        </w:rPr>
        <w:t>2014 矿山废弃地植被恢复技术规范</w:t>
      </w:r>
    </w:p>
    <w:p>
      <w:pPr>
        <w:pStyle w:val="56"/>
        <w:ind w:firstLine="420"/>
      </w:pPr>
      <w:r>
        <w:rPr>
          <w:rFonts w:hint="eastAsia"/>
        </w:rPr>
        <w:t>TD/T 1070.3</w:t>
      </w:r>
      <w:r>
        <w:rPr>
          <w:rFonts w:hAnsi="宋体" w:cs="宋体"/>
          <w:sz w:val="24"/>
          <w:szCs w:val="24"/>
        </w:rPr>
        <w:t>—</w:t>
      </w:r>
      <w:r>
        <w:rPr>
          <w:rFonts w:hint="eastAsia"/>
        </w:rPr>
        <w:t>2024 矿山生态修复技术规范 第3部分：金属矿山</w:t>
      </w:r>
    </w:p>
    <w:p>
      <w:pPr>
        <w:pStyle w:val="56"/>
        <w:ind w:firstLine="420"/>
      </w:pPr>
      <w:r>
        <w:rPr>
          <w:rFonts w:hint="eastAsia"/>
        </w:rPr>
        <w:t>TD/T 1070.5</w:t>
      </w:r>
      <w:r>
        <w:rPr>
          <w:rFonts w:hAnsi="宋体" w:cs="宋体"/>
          <w:sz w:val="24"/>
          <w:szCs w:val="24"/>
        </w:rPr>
        <w:t>—</w:t>
      </w:r>
      <w:r>
        <w:rPr>
          <w:rFonts w:hint="eastAsia"/>
        </w:rPr>
        <w:t>2024 矿山生态修复技术规范 第5部分：化工矿山</w:t>
      </w:r>
    </w:p>
    <w:p>
      <w:pPr>
        <w:pStyle w:val="104"/>
        <w:spacing w:before="312" w:after="312"/>
      </w:pPr>
      <w:bookmarkStart w:id="52" w:name="_Toc241503809"/>
      <w:bookmarkStart w:id="53" w:name="_Toc97191425"/>
      <w:bookmarkStart w:id="54" w:name="_Toc241503859"/>
      <w:r>
        <w:rPr>
          <w:rFonts w:hint="eastAsia"/>
          <w:szCs w:val="21"/>
        </w:rPr>
        <w:t>术语和定义</w:t>
      </w:r>
      <w:bookmarkEnd w:id="52"/>
      <w:bookmarkEnd w:id="53"/>
      <w:bookmarkEnd w:id="54"/>
    </w:p>
    <w:sdt>
      <w:sdtPr>
        <w:id w:val="-1909835108"/>
        <w:placeholder>
          <w:docPart w:val="FEA448A3D6A6427D804857086E3A5777"/>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55" w:name="_Toc26986532"/>
          <w:bookmarkEnd w:id="55"/>
          <w:r>
            <w:t>下列术语和定义适用于本文件。</w:t>
          </w:r>
        </w:p>
      </w:sdtContent>
    </w:sdt>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cs="宋体"/>
        </w:rPr>
        <w:t>有色金属采矿废弃地 nonferrous metal mining wasteland</w:t>
      </w:r>
    </w:p>
    <w:p>
      <w:pPr>
        <w:pStyle w:val="56"/>
        <w:ind w:firstLine="420"/>
      </w:pPr>
      <w:r>
        <w:t>有色金属采矿、剥离、堆存、运输</w:t>
      </w:r>
      <w:r>
        <w:rPr>
          <w:rFonts w:hint="eastAsia"/>
        </w:rPr>
        <w:t>及相关选矿尾矿堆存</w:t>
      </w:r>
      <w:r>
        <w:t>等活动形成的，地形地貌、土壤或基质及生态功能受损的土地。</w:t>
      </w:r>
    </w:p>
    <w:p>
      <w:pPr>
        <w:pStyle w:val="223"/>
        <w:rPr>
          <w:rFonts w:ascii="黑体" w:hAnsi="黑体" w:eastAsia="黑体"/>
        </w:rPr>
      </w:pPr>
      <w:r>
        <w:rPr>
          <w:rFonts w:ascii="黑体" w:hAnsi="黑体" w:eastAsia="黑体"/>
        </w:rPr>
        <w:br w:type="textWrapping"/>
      </w:r>
      <w:r>
        <w:rPr>
          <w:rFonts w:hint="eastAsia" w:ascii="黑体" w:hAnsi="黑体" w:eastAsia="黑体"/>
        </w:rPr>
        <w:t xml:space="preserve">    </w:t>
      </w:r>
      <w:r>
        <w:rPr>
          <w:rFonts w:ascii="黑体" w:hAnsi="黑体" w:eastAsia="黑体"/>
        </w:rPr>
        <w:t>植被恢复 vegetation restoration</w:t>
      </w:r>
    </w:p>
    <w:p>
      <w:pPr>
        <w:pStyle w:val="56"/>
        <w:ind w:firstLine="420"/>
      </w:pPr>
      <w:r>
        <w:t>通过自然恢复</w:t>
      </w:r>
      <w:r>
        <w:rPr>
          <w:rFonts w:hint="eastAsia"/>
        </w:rPr>
        <w:t>、辅助自然恢复或人工建植等方式</w:t>
      </w:r>
      <w:r>
        <w:t>，促进受损土地植物群落形成</w:t>
      </w:r>
      <w:r>
        <w:rPr>
          <w:rFonts w:hint="eastAsia"/>
        </w:rPr>
        <w:t>与发展，</w:t>
      </w:r>
      <w:r>
        <w:t>并逐步恢复</w:t>
      </w:r>
      <w:r>
        <w:rPr>
          <w:rFonts w:hint="eastAsia"/>
        </w:rPr>
        <w:t>相关</w:t>
      </w:r>
      <w:r>
        <w:t>生态功能的过程。</w:t>
      </w:r>
    </w:p>
    <w:p>
      <w:pPr>
        <w:pStyle w:val="223"/>
        <w:rPr>
          <w:rFonts w:ascii="黑体" w:hAnsi="黑体" w:eastAsia="黑体"/>
        </w:rPr>
      </w:pPr>
      <w:r>
        <w:rPr>
          <w:rFonts w:ascii="黑体" w:hAnsi="黑体" w:eastAsia="黑体"/>
        </w:rPr>
        <w:br w:type="textWrapping"/>
      </w:r>
      <w:r>
        <w:rPr>
          <w:rFonts w:hint="eastAsia" w:ascii="黑体" w:hAnsi="黑体" w:eastAsia="黑体"/>
        </w:rPr>
        <w:t xml:space="preserve">    </w:t>
      </w:r>
      <w:r>
        <w:rPr>
          <w:rFonts w:ascii="黑体" w:hAnsi="黑体" w:eastAsia="黑体"/>
        </w:rPr>
        <w:t xml:space="preserve">植物稳定化 </w:t>
      </w:r>
      <w:r>
        <w:rPr>
          <w:rFonts w:hint="eastAsia" w:ascii="黑体" w:hAnsi="黑体" w:eastAsia="黑体"/>
        </w:rPr>
        <w:t>p</w:t>
      </w:r>
      <w:r>
        <w:rPr>
          <w:rFonts w:ascii="黑体" w:hAnsi="黑体" w:eastAsia="黑体"/>
        </w:rPr>
        <w:t>hytostabilizatio</w:t>
      </w:r>
      <w:r>
        <w:rPr>
          <w:rFonts w:hint="eastAsia" w:ascii="黑体" w:hAnsi="黑体" w:eastAsia="黑体"/>
        </w:rPr>
        <w:t>n</w:t>
      </w:r>
    </w:p>
    <w:p>
      <w:pPr>
        <w:pStyle w:val="56"/>
        <w:ind w:firstLine="420"/>
      </w:pPr>
      <w:r>
        <w:t>利用植物</w:t>
      </w:r>
      <w:r>
        <w:rPr>
          <w:rFonts w:hint="eastAsia"/>
        </w:rPr>
        <w:t>及其根际作用，降低土壤或基质中污染物的</w:t>
      </w:r>
      <w:r>
        <w:t>迁移性</w:t>
      </w:r>
      <w:r>
        <w:rPr>
          <w:rFonts w:hint="eastAsia"/>
        </w:rPr>
        <w:t>、</w:t>
      </w:r>
      <w:r>
        <w:t>生物</w:t>
      </w:r>
      <w:r>
        <w:rPr>
          <w:rFonts w:hint="eastAsia"/>
        </w:rPr>
        <w:t>有效</w:t>
      </w:r>
      <w:r>
        <w:t>性</w:t>
      </w:r>
      <w:r>
        <w:rPr>
          <w:rFonts w:hint="eastAsia"/>
        </w:rPr>
        <w:t>或随风蚀、水蚀扩散的风险</w:t>
      </w:r>
      <w:r>
        <w:t>，以原位风险控制为主要目的的植物修复方式。</w:t>
      </w:r>
    </w:p>
    <w:p>
      <w:pPr>
        <w:pStyle w:val="223"/>
        <w:rPr>
          <w:rFonts w:ascii="黑体" w:hAnsi="黑体" w:eastAsia="黑体"/>
        </w:rPr>
      </w:pPr>
      <w:r>
        <w:rPr>
          <w:rFonts w:ascii="黑体" w:hAnsi="黑体" w:eastAsia="黑体"/>
        </w:rPr>
        <w:br w:type="textWrapping"/>
      </w:r>
      <w:r>
        <w:rPr>
          <w:rFonts w:hint="eastAsia" w:ascii="黑体" w:hAnsi="黑体" w:eastAsia="黑体"/>
        </w:rPr>
        <w:t xml:space="preserve">    </w:t>
      </w:r>
      <w:r>
        <w:rPr>
          <w:rFonts w:ascii="黑体" w:hAnsi="黑体" w:eastAsia="黑体"/>
        </w:rPr>
        <w:t xml:space="preserve">自然恢复 </w:t>
      </w:r>
      <w:r>
        <w:rPr>
          <w:rFonts w:hint="eastAsia" w:ascii="黑体" w:hAnsi="黑体" w:eastAsia="黑体"/>
        </w:rPr>
        <w:t>natural</w:t>
      </w:r>
      <w:r>
        <w:rPr>
          <w:rFonts w:ascii="黑体" w:hAnsi="黑体" w:eastAsia="黑体"/>
        </w:rPr>
        <w:t xml:space="preserve"> restoration</w:t>
      </w:r>
    </w:p>
    <w:p>
      <w:pPr>
        <w:pStyle w:val="56"/>
        <w:ind w:firstLine="420"/>
      </w:pPr>
      <w:r>
        <w:rPr>
          <w:rFonts w:hint="eastAsia"/>
        </w:rPr>
        <w:t>主要</w:t>
      </w:r>
      <w:r>
        <w:t>依靠场地</w:t>
      </w:r>
      <w:r>
        <w:rPr>
          <w:rFonts w:hint="eastAsia"/>
        </w:rPr>
        <w:t>残存植被、</w:t>
      </w:r>
      <w:r>
        <w:t>种子库及周边种源，</w:t>
      </w:r>
      <w:r>
        <w:rPr>
          <w:rFonts w:hint="eastAsia"/>
        </w:rPr>
        <w:t>通过</w:t>
      </w:r>
      <w:r>
        <w:t>自然</w:t>
      </w:r>
      <w:r>
        <w:rPr>
          <w:rFonts w:hint="eastAsia"/>
        </w:rPr>
        <w:t>更新和</w:t>
      </w:r>
      <w:r>
        <w:t>演替</w:t>
      </w:r>
      <w:r>
        <w:rPr>
          <w:rFonts w:hint="eastAsia"/>
        </w:rPr>
        <w:t>恢复植被的</w:t>
      </w:r>
      <w:r>
        <w:t>过程。</w:t>
      </w:r>
    </w:p>
    <w:p>
      <w:pPr>
        <w:pStyle w:val="223"/>
        <w:rPr>
          <w:rFonts w:ascii="黑体" w:hAnsi="黑体" w:eastAsia="黑体"/>
        </w:rPr>
      </w:pPr>
      <w:r>
        <w:rPr>
          <w:rFonts w:ascii="黑体" w:hAnsi="黑体" w:eastAsia="黑体"/>
        </w:rPr>
        <w:br w:type="textWrapping"/>
      </w:r>
      <w:r>
        <w:rPr>
          <w:rFonts w:hint="eastAsia" w:ascii="黑体" w:hAnsi="黑体" w:eastAsia="黑体"/>
        </w:rPr>
        <w:t xml:space="preserve">    </w:t>
      </w:r>
      <w:r>
        <w:rPr>
          <w:rFonts w:ascii="黑体" w:hAnsi="黑体" w:eastAsia="黑体"/>
        </w:rPr>
        <w:t>恢复单元 restoration unit</w:t>
      </w:r>
    </w:p>
    <w:p>
      <w:pPr>
        <w:pStyle w:val="56"/>
        <w:ind w:firstLine="420"/>
      </w:pPr>
      <w:r>
        <w:t>在修复场地内，依据损毁类型、</w:t>
      </w:r>
      <w:r>
        <w:rPr>
          <w:rFonts w:hint="eastAsia"/>
        </w:rPr>
        <w:t>地形水文、</w:t>
      </w:r>
      <w:r>
        <w:t>土壤</w:t>
      </w:r>
      <w:r>
        <w:rPr>
          <w:rFonts w:hint="eastAsia"/>
        </w:rPr>
        <w:t>或</w:t>
      </w:r>
      <w:r>
        <w:t>基质</w:t>
      </w:r>
      <w:r>
        <w:rPr>
          <w:rFonts w:hint="eastAsia"/>
        </w:rPr>
        <w:t>条件</w:t>
      </w:r>
      <w:r>
        <w:t>、污染特征</w:t>
      </w:r>
      <w:r>
        <w:rPr>
          <w:rFonts w:hint="eastAsia"/>
        </w:rPr>
        <w:t>及恢</w:t>
      </w:r>
      <w:r>
        <w:t>复目标</w:t>
      </w:r>
      <w:r>
        <w:rPr>
          <w:rFonts w:hint="eastAsia"/>
        </w:rPr>
        <w:t>划分的，</w:t>
      </w:r>
      <w:r>
        <w:t>可统一开展恢复设计、实施、监测和评价的相对独立空间单元</w:t>
      </w:r>
      <w:r>
        <w:rPr>
          <w:rFonts w:hint="eastAsia"/>
        </w:rPr>
        <w:t>。</w:t>
      </w:r>
    </w:p>
    <w:p>
      <w:pPr>
        <w:pStyle w:val="223"/>
        <w:rPr>
          <w:rFonts w:ascii="黑体" w:hAnsi="黑体" w:eastAsia="黑体"/>
        </w:rPr>
      </w:pPr>
      <w:r>
        <w:rPr>
          <w:rFonts w:ascii="黑体" w:hAnsi="黑体" w:eastAsia="黑体"/>
        </w:rPr>
        <w:br w:type="textWrapping"/>
      </w:r>
      <w:r>
        <w:rPr>
          <w:rFonts w:hint="eastAsia" w:ascii="黑体" w:hAnsi="黑体" w:eastAsia="黑体"/>
        </w:rPr>
        <w:t xml:space="preserve">    </w:t>
      </w:r>
      <w:r>
        <w:rPr>
          <w:rFonts w:ascii="黑体" w:hAnsi="黑体" w:eastAsia="黑体"/>
        </w:rPr>
        <w:t>乡土先锋植物 native pioneer species</w:t>
      </w:r>
    </w:p>
    <w:p>
      <w:pPr>
        <w:pStyle w:val="56"/>
        <w:ind w:firstLine="420"/>
      </w:pPr>
      <w:r>
        <w:t>在当地自然分布，能够在受损生境恢复早期定居或较快形成覆盖，并有利于后续群落发展的植物物种。</w:t>
      </w:r>
    </w:p>
    <w:p>
      <w:pPr>
        <w:pStyle w:val="223"/>
        <w:rPr>
          <w:rFonts w:ascii="黑体" w:hAnsi="黑体" w:eastAsia="黑体"/>
        </w:rPr>
      </w:pPr>
      <w:r>
        <w:rPr>
          <w:rFonts w:ascii="黑体" w:hAnsi="黑体" w:eastAsia="黑体"/>
        </w:rPr>
        <w:br w:type="textWrapping"/>
      </w:r>
      <w:r>
        <w:rPr>
          <w:rFonts w:hint="eastAsia" w:ascii="黑体" w:hAnsi="黑体" w:eastAsia="黑体"/>
        </w:rPr>
        <w:t xml:space="preserve">    </w:t>
      </w:r>
      <w:r>
        <w:rPr>
          <w:rFonts w:ascii="黑体" w:hAnsi="黑体" w:eastAsia="黑体"/>
        </w:rPr>
        <w:t>土壤障碍因子 soil constraint factor</w:t>
      </w:r>
    </w:p>
    <w:p>
      <w:pPr>
        <w:pStyle w:val="56"/>
        <w:ind w:firstLine="420"/>
      </w:pPr>
      <w:r>
        <w:t>限制植物定植与生长的土壤或基质属性。</w:t>
      </w:r>
    </w:p>
    <w:p>
      <w:pPr>
        <w:pStyle w:val="223"/>
        <w:rPr>
          <w:rFonts w:ascii="黑体" w:hAnsi="黑体" w:eastAsia="黑体"/>
        </w:rPr>
      </w:pPr>
      <w:r>
        <w:rPr>
          <w:rFonts w:ascii="黑体" w:hAnsi="黑体" w:eastAsia="黑体"/>
        </w:rPr>
        <w:br w:type="textWrapping"/>
      </w:r>
      <w:r>
        <w:rPr>
          <w:rFonts w:hint="eastAsia" w:ascii="黑体" w:hAnsi="黑体" w:eastAsia="黑体"/>
        </w:rPr>
        <w:t xml:space="preserve">    植物生长</w:t>
      </w:r>
      <w:r>
        <w:rPr>
          <w:rFonts w:ascii="黑体" w:hAnsi="黑体" w:eastAsia="黑体"/>
        </w:rPr>
        <w:t xml:space="preserve">基质重构 </w:t>
      </w:r>
      <w:r>
        <w:rPr>
          <w:rFonts w:hint="eastAsia" w:ascii="黑体" w:hAnsi="黑体" w:eastAsia="黑体"/>
        </w:rPr>
        <w:t>growth</w:t>
      </w:r>
      <w:r>
        <w:rPr>
          <w:rFonts w:ascii="黑体" w:hAnsi="黑体" w:eastAsia="黑体"/>
        </w:rPr>
        <w:t xml:space="preserve"> substrate</w:t>
      </w:r>
      <w:r>
        <w:rPr>
          <w:rFonts w:hint="eastAsia" w:ascii="黑体" w:hAnsi="黑体" w:eastAsia="黑体"/>
        </w:rPr>
        <w:t xml:space="preserve"> </w:t>
      </w:r>
      <w:r>
        <w:rPr>
          <w:rFonts w:ascii="黑体" w:hAnsi="黑体" w:eastAsia="黑体"/>
        </w:rPr>
        <w:t>reconstruction</w:t>
      </w:r>
    </w:p>
    <w:p>
      <w:pPr>
        <w:pStyle w:val="56"/>
        <w:ind w:firstLine="420"/>
      </w:pPr>
      <w:r>
        <w:t>采用经适用性和环境安全性评价的原地物料或外源材料，通过配制、铺设或分层构建等措施，形成满足目标植物生长及场地风险控制要求的生长介质的过程。</w:t>
      </w:r>
    </w:p>
    <w:p>
      <w:pPr>
        <w:pStyle w:val="104"/>
        <w:spacing w:before="312" w:after="312"/>
      </w:pPr>
      <w:bookmarkStart w:id="56" w:name="_Toc241503810"/>
      <w:bookmarkStart w:id="57" w:name="_Toc241503860"/>
      <w:r>
        <w:t>基本要求</w:t>
      </w:r>
      <w:bookmarkEnd w:id="56"/>
      <w:bookmarkEnd w:id="57"/>
    </w:p>
    <w:p>
      <w:pPr>
        <w:pStyle w:val="105"/>
        <w:spacing w:before="156" w:after="156"/>
      </w:pPr>
      <w:bookmarkStart w:id="58" w:name="_Toc241503811"/>
      <w:r>
        <w:rPr>
          <w:rFonts w:hint="eastAsia"/>
        </w:rPr>
        <w:t>安全优先</w:t>
      </w:r>
      <w:bookmarkEnd w:id="58"/>
    </w:p>
    <w:p>
      <w:pPr>
        <w:pStyle w:val="56"/>
        <w:ind w:firstLine="420"/>
      </w:pPr>
      <w:r>
        <w:t>植被恢复应以场地、边坡、渣体、塌陷区及排水系统安全稳定为前提。存在滑坡、崩塌、泥石流、尾矿库安全隐患或采空塌陷风险的区域，应先完成相应治理并具备植被恢复条件。同时应防控尾砂、酸性废石堆渗滤造成重金属、酸性废水污染迁移风险。</w:t>
      </w:r>
    </w:p>
    <w:p>
      <w:pPr>
        <w:pStyle w:val="105"/>
        <w:spacing w:before="156" w:after="156"/>
      </w:pPr>
      <w:bookmarkStart w:id="59" w:name="_Toc241503812"/>
      <w:r>
        <w:t>分类恢复</w:t>
      </w:r>
      <w:bookmarkEnd w:id="59"/>
    </w:p>
    <w:p>
      <w:pPr>
        <w:pStyle w:val="56"/>
        <w:ind w:firstLine="420"/>
      </w:pPr>
      <w:r>
        <w:t>根据废弃地类型、立地条件、主导障碍因子、自然恢复潜力和恢复目标划分恢复单元，并采取相应的植被恢复技术。同一废弃地内立地条件或主导障碍差异明显的区域，宜分别采取恢复措施。</w:t>
      </w:r>
    </w:p>
    <w:p>
      <w:pPr>
        <w:pStyle w:val="105"/>
        <w:spacing w:before="156" w:after="156"/>
      </w:pPr>
      <w:bookmarkStart w:id="60" w:name="_Toc241503813"/>
      <w:r>
        <w:t>乡土适生</w:t>
      </w:r>
      <w:bookmarkEnd w:id="60"/>
    </w:p>
    <w:p>
      <w:pPr>
        <w:pStyle w:val="56"/>
        <w:ind w:firstLine="420"/>
      </w:pPr>
      <w:r>
        <w:t>优先选用乡土、适生、抗逆、根系发达和固土能力强的植物。植物配置应兼顾快速覆盖、水土保持、污染稳定、群落演替和自然更新，合理构建乔木、灌木、草本或湿生植物群落。</w:t>
      </w:r>
    </w:p>
    <w:p>
      <w:pPr>
        <w:pStyle w:val="105"/>
        <w:spacing w:before="156" w:after="156"/>
      </w:pPr>
      <w:bookmarkStart w:id="61" w:name="_Toc241503814"/>
      <w:r>
        <w:t>自然恢复与人工恢复相结合</w:t>
      </w:r>
      <w:bookmarkEnd w:id="61"/>
    </w:p>
    <w:p>
      <w:pPr>
        <w:pStyle w:val="56"/>
        <w:ind w:firstLine="420"/>
      </w:pPr>
      <w:r>
        <w:t>已有植被和天然更新基础较好的区域，应保护乡土植物和自然更新植株，减少不必要的人为扰动。自然恢复能力不足的区域，宜通过补植、补播、基质改良等人工促进措施恢复植被。</w:t>
      </w:r>
    </w:p>
    <w:p>
      <w:pPr>
        <w:pStyle w:val="105"/>
        <w:spacing w:before="156" w:after="156"/>
      </w:pPr>
      <w:bookmarkStart w:id="62" w:name="_Toc241503815"/>
      <w:r>
        <w:t>系统恢复</w:t>
      </w:r>
      <w:bookmarkEnd w:id="62"/>
    </w:p>
    <w:p>
      <w:pPr>
        <w:pStyle w:val="56"/>
        <w:ind w:firstLine="420"/>
      </w:pPr>
      <w:r>
        <w:t>应将调查评价、恢复单元划分、主导障碍诊断、恢复技术选择、植物配置与基质改良、抚育监测和成效评价相衔接，并依据监测评价结果调整措施。土地复垦与生态修复总体衔接应符合GB/T 43933—2024和TD/T 1070.3—2024的相关要求。</w:t>
      </w:r>
    </w:p>
    <w:p>
      <w:pPr>
        <w:pStyle w:val="104"/>
        <w:spacing w:before="312" w:after="312"/>
      </w:pPr>
      <w:bookmarkStart w:id="63" w:name="_Toc241503861"/>
      <w:bookmarkStart w:id="64" w:name="_Toc241503816"/>
      <w:r>
        <w:rPr>
          <w:rFonts w:hint="eastAsia"/>
        </w:rPr>
        <w:t>调查评价与恢复单元划分</w:t>
      </w:r>
      <w:bookmarkEnd w:id="63"/>
      <w:bookmarkEnd w:id="64"/>
    </w:p>
    <w:p>
      <w:pPr>
        <w:pStyle w:val="105"/>
        <w:spacing w:before="156" w:after="156"/>
      </w:pPr>
      <w:bookmarkStart w:id="65" w:name="_Toc241503817"/>
      <w:r>
        <w:rPr>
          <w:rFonts w:hint="eastAsia"/>
        </w:rPr>
        <w:t>一般要求</w:t>
      </w:r>
      <w:bookmarkEnd w:id="65"/>
    </w:p>
    <w:p>
      <w:pPr>
        <w:pStyle w:val="56"/>
        <w:ind w:firstLine="420"/>
      </w:pPr>
      <w:r>
        <w:t>植被恢复前应开展调查评价，查明场地安全、地形地貌、土壤与基质、污染特征、植被、水土流失及自然恢复状况。调查评价结果应作为恢复单元划分、主导障碍识别、植物选择及恢复技术确定的依据。</w:t>
      </w:r>
    </w:p>
    <w:p>
      <w:pPr>
        <w:pStyle w:val="105"/>
        <w:spacing w:before="156" w:after="156"/>
      </w:pPr>
      <w:bookmarkStart w:id="66" w:name="_Toc241503818"/>
      <w:r>
        <w:rPr>
          <w:rFonts w:hint="eastAsia"/>
        </w:rPr>
        <w:t>基础调查</w:t>
      </w:r>
      <w:bookmarkEnd w:id="66"/>
    </w:p>
    <w:p>
      <w:pPr>
        <w:pStyle w:val="56"/>
        <w:ind w:firstLine="420"/>
      </w:pPr>
      <w:r>
        <w:t>收集矿区开采历史、矿种及伴生元素、水质调查监测、土地利用现状、地形地貌、气象水文、地质灾害、既有治理工程、土壤污染、植被及水土流失现状、周边天然林种源和人为干扰等资料。</w:t>
      </w:r>
    </w:p>
    <w:p>
      <w:pPr>
        <w:pStyle w:val="105"/>
        <w:spacing w:before="156" w:after="156"/>
      </w:pPr>
      <w:bookmarkStart w:id="67" w:name="_Toc241503819"/>
      <w:r>
        <w:rPr>
          <w:rFonts w:hint="eastAsia"/>
        </w:rPr>
        <w:t>土壤与基质调查</w:t>
      </w:r>
      <w:bookmarkEnd w:id="67"/>
    </w:p>
    <w:p>
      <w:pPr>
        <w:pStyle w:val="56"/>
        <w:ind w:firstLine="420"/>
      </w:pPr>
      <w:r>
        <w:t>土壤和基质采样点应根据恢复单元、地形部位、基质类型和污染特征布设。一般采集0 cm～20 cm表层土或植物根系主要分布层样品；土层明显分异以及尾砂、废石等基质宜根据实际情况分层采样；按基质土层分异情况，分层采集不同深度样品。调查指标见附录B。</w:t>
      </w:r>
    </w:p>
    <w:p>
      <w:pPr>
        <w:pStyle w:val="105"/>
        <w:spacing w:before="156" w:after="156"/>
      </w:pPr>
      <w:bookmarkStart w:id="68" w:name="_Toc241503820"/>
      <w:r>
        <w:rPr>
          <w:rFonts w:hint="eastAsia"/>
        </w:rPr>
        <w:t>主要障碍因子识别</w:t>
      </w:r>
      <w:bookmarkEnd w:id="68"/>
    </w:p>
    <w:p>
      <w:pPr>
        <w:pStyle w:val="56"/>
        <w:ind w:firstLine="420"/>
      </w:pPr>
      <w:r>
        <w:t>综合识别基质物理与养分障碍、污染风险、酸化或盐分胁迫、水分失衡与侵蚀、自然恢复能力不足等限制因素，并区分主导障碍和伴随障碍。存在多重障碍时，应分析其相互影响，避免单项改良加重其他风险。主导障碍及措施参见附录C。</w:t>
      </w:r>
    </w:p>
    <w:p>
      <w:pPr>
        <w:pStyle w:val="105"/>
        <w:spacing w:before="156" w:after="156"/>
      </w:pPr>
      <w:bookmarkStart w:id="69" w:name="_Toc241503821"/>
      <w:r>
        <w:rPr>
          <w:rFonts w:hint="eastAsia"/>
        </w:rPr>
        <w:t>恢复单元划分</w:t>
      </w:r>
      <w:bookmarkEnd w:id="69"/>
    </w:p>
    <w:p>
      <w:pPr>
        <w:pStyle w:val="56"/>
        <w:ind w:firstLine="420"/>
      </w:pPr>
      <w:r>
        <w:t>依据废弃地成因、地貌部位、基质条件、水分条件、污染特征和主要障碍因子划分恢复单元。</w:t>
      </w:r>
    </w:p>
    <w:p>
      <w:pPr>
        <w:pStyle w:val="105"/>
        <w:spacing w:before="156" w:after="156"/>
      </w:pPr>
      <w:bookmarkStart w:id="70" w:name="_Toc241503822"/>
      <w:r>
        <w:t>主导障碍诊断与恢复技术选择</w:t>
      </w:r>
      <w:bookmarkEnd w:id="70"/>
    </w:p>
    <w:p>
      <w:pPr>
        <w:pStyle w:val="56"/>
        <w:ind w:firstLine="420"/>
      </w:pPr>
      <w:r>
        <w:t>应以恢复单元为对象，依据5.1～5.5的调查结果诊断主导障碍。诊断应先判断场地安全稳定条件，再综合分析污染风险、土壤或基质酸化与盐分、水分与水土流失、现存植被和自然更新条件。</w:t>
      </w: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112"/>
        <w:spacing w:before="156" w:after="156"/>
      </w:pPr>
      <w:r>
        <w:t>主导障碍诊断与恢复技术选择</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110"/>
        <w:gridCol w:w="3112"/>
        <w:gridCol w:w="3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3110" w:type="dxa"/>
            <w:tcBorders>
              <w:top w:val="single" w:color="auto" w:sz="8" w:space="0"/>
              <w:bottom w:val="single" w:color="auto" w:sz="8" w:space="0"/>
            </w:tcBorders>
          </w:tcPr>
          <w:p>
            <w:pPr>
              <w:pStyle w:val="178"/>
            </w:pPr>
            <w:r>
              <w:rPr>
                <w:rFonts w:hint="eastAsia"/>
              </w:rPr>
              <w:t>主导障碍</w:t>
            </w:r>
          </w:p>
        </w:tc>
        <w:tc>
          <w:tcPr>
            <w:tcW w:w="3112" w:type="dxa"/>
            <w:tcBorders>
              <w:top w:val="single" w:color="auto" w:sz="8" w:space="0"/>
              <w:bottom w:val="single" w:color="auto" w:sz="8" w:space="0"/>
            </w:tcBorders>
          </w:tcPr>
          <w:p>
            <w:pPr>
              <w:pStyle w:val="178"/>
            </w:pPr>
            <w:r>
              <w:rPr>
                <w:rFonts w:hint="eastAsia"/>
              </w:rPr>
              <w:t>诊断依据</w:t>
            </w:r>
          </w:p>
        </w:tc>
        <w:tc>
          <w:tcPr>
            <w:tcW w:w="3112" w:type="dxa"/>
            <w:tcBorders>
              <w:top w:val="single" w:color="auto" w:sz="8" w:space="0"/>
              <w:bottom w:val="single" w:color="auto" w:sz="8" w:space="0"/>
            </w:tcBorders>
          </w:tcPr>
          <w:p>
            <w:pPr>
              <w:pStyle w:val="178"/>
            </w:pPr>
            <w:r>
              <w:rPr>
                <w:rFonts w:hint="eastAsia"/>
              </w:rPr>
              <w:t>恢复技术选择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3110" w:type="dxa"/>
            <w:tcBorders>
              <w:top w:val="single" w:color="auto" w:sz="8" w:space="0"/>
            </w:tcBorders>
          </w:tcPr>
          <w:p>
            <w:pPr>
              <w:pStyle w:val="178"/>
            </w:pPr>
            <w:r>
              <w:rPr>
                <w:rFonts w:hint="eastAsia"/>
              </w:rPr>
              <w:t>基质物理与养分障碍</w:t>
            </w:r>
          </w:p>
        </w:tc>
        <w:tc>
          <w:tcPr>
            <w:tcW w:w="3112" w:type="dxa"/>
            <w:tcBorders>
              <w:top w:val="single" w:color="auto" w:sz="8" w:space="0"/>
            </w:tcBorders>
          </w:tcPr>
          <w:p>
            <w:pPr>
              <w:pStyle w:val="178"/>
            </w:pPr>
            <w:r>
              <w:rPr>
                <w:rFonts w:hint="eastAsia"/>
              </w:rPr>
              <w:t>有效土层厚度、质地、容重、养分及持水状况限制建植</w:t>
            </w:r>
          </w:p>
        </w:tc>
        <w:tc>
          <w:tcPr>
            <w:tcW w:w="3112" w:type="dxa"/>
            <w:tcBorders>
              <w:top w:val="single" w:color="auto" w:sz="8" w:space="0"/>
            </w:tcBorders>
          </w:tcPr>
          <w:p>
            <w:pPr>
              <w:pStyle w:val="178"/>
            </w:pPr>
            <w:r>
              <w:rPr>
                <w:rFonts w:hint="eastAsia"/>
              </w:rPr>
              <w:t>原位修复；必要时采取客土、覆土、基质重构、增施有机质和保水保肥等措施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3110" w:type="dxa"/>
          </w:tcPr>
          <w:p>
            <w:pPr>
              <w:pStyle w:val="178"/>
            </w:pPr>
            <w:r>
              <w:rPr>
                <w:rFonts w:hint="eastAsia"/>
              </w:rPr>
              <w:t>污染风险</w:t>
            </w:r>
          </w:p>
        </w:tc>
        <w:tc>
          <w:tcPr>
            <w:tcW w:w="3112" w:type="dxa"/>
          </w:tcPr>
          <w:p>
            <w:pPr>
              <w:pStyle w:val="178"/>
            </w:pPr>
            <w:r>
              <w:rPr>
                <w:rFonts w:hint="eastAsia"/>
              </w:rPr>
              <w:t>适用土壤污染风险管控标准或专项风险评估显示存在污染或迁移风险</w:t>
            </w:r>
          </w:p>
        </w:tc>
        <w:tc>
          <w:tcPr>
            <w:tcW w:w="3112" w:type="dxa"/>
          </w:tcPr>
          <w:p>
            <w:pPr>
              <w:pStyle w:val="178"/>
            </w:pPr>
            <w:r>
              <w:rPr>
                <w:rFonts w:hint="eastAsia"/>
              </w:rPr>
              <w:t>源头控制、阻隔、排水与污水管理；必要时植物稳定化及风险监测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3110" w:type="dxa"/>
          </w:tcPr>
          <w:p>
            <w:pPr>
              <w:pStyle w:val="178"/>
            </w:pPr>
            <w:r>
              <w:rPr>
                <w:rFonts w:hint="eastAsia"/>
              </w:rPr>
              <w:t>酸化或盐分胁迫</w:t>
            </w:r>
          </w:p>
        </w:tc>
        <w:tc>
          <w:tcPr>
            <w:tcW w:w="3112" w:type="dxa"/>
          </w:tcPr>
          <w:p>
            <w:pPr>
              <w:pStyle w:val="178"/>
            </w:pPr>
            <w:r>
              <w:rPr>
                <w:rFonts w:hint="eastAsia"/>
              </w:rPr>
              <w:t>pH、电导率、盐分、潜在产酸性及植物胁迫症状</w:t>
            </w:r>
          </w:p>
        </w:tc>
        <w:tc>
          <w:tcPr>
            <w:tcW w:w="3112" w:type="dxa"/>
          </w:tcPr>
          <w:p>
            <w:pPr>
              <w:pStyle w:val="178"/>
            </w:pPr>
            <w:r>
              <w:rPr>
                <w:rFonts w:hint="eastAsia"/>
              </w:rPr>
              <w:t>采取改良土壤基质并配置耐酸、耐盐植物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3110" w:type="dxa"/>
          </w:tcPr>
          <w:p>
            <w:pPr>
              <w:pStyle w:val="178"/>
            </w:pPr>
            <w:r>
              <w:rPr>
                <w:rFonts w:hint="eastAsia"/>
              </w:rPr>
              <w:t>水分失衡与侵蚀</w:t>
            </w:r>
          </w:p>
        </w:tc>
        <w:tc>
          <w:tcPr>
            <w:tcW w:w="3112" w:type="dxa"/>
          </w:tcPr>
          <w:p>
            <w:pPr>
              <w:pStyle w:val="178"/>
            </w:pPr>
            <w:r>
              <w:rPr>
                <w:rFonts w:hint="eastAsia"/>
              </w:rPr>
              <w:t>干旱、积水、坡面径流、侵蚀沟及泥沙输出</w:t>
            </w:r>
          </w:p>
        </w:tc>
        <w:tc>
          <w:tcPr>
            <w:tcW w:w="3112" w:type="dxa"/>
          </w:tcPr>
          <w:p>
            <w:pPr>
              <w:pStyle w:val="178"/>
            </w:pPr>
            <w:r>
              <w:rPr>
                <w:rFonts w:hint="eastAsia"/>
              </w:rPr>
              <w:t>保水、排涝、覆盖及水土保持，按目标配置灌草或湿生植物群落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3110" w:type="dxa"/>
          </w:tcPr>
          <w:p>
            <w:pPr>
              <w:pStyle w:val="178"/>
            </w:pPr>
            <w:r>
              <w:rPr>
                <w:rFonts w:hint="eastAsia"/>
              </w:rPr>
              <w:t>自然恢复能力不足</w:t>
            </w:r>
          </w:p>
        </w:tc>
        <w:tc>
          <w:tcPr>
            <w:tcW w:w="3112" w:type="dxa"/>
          </w:tcPr>
          <w:p>
            <w:pPr>
              <w:pStyle w:val="178"/>
            </w:pPr>
            <w:r>
              <w:rPr>
                <w:rFonts w:hint="eastAsia"/>
              </w:rPr>
              <w:t>乡土植物覆盖度低、自然更新不足或周边种源缺乏</w:t>
            </w:r>
          </w:p>
        </w:tc>
        <w:tc>
          <w:tcPr>
            <w:tcW w:w="3112" w:type="dxa"/>
          </w:tcPr>
          <w:p>
            <w:pPr>
              <w:pStyle w:val="178"/>
            </w:pPr>
            <w:r>
              <w:rPr>
                <w:rFonts w:hint="eastAsia"/>
              </w:rPr>
              <w:t>封育保护、控制干扰及局部补植补播，必要时人工建植</w:t>
            </w:r>
          </w:p>
        </w:tc>
      </w:tr>
    </w:tbl>
    <w:p>
      <w:pPr>
        <w:pStyle w:val="105"/>
        <w:spacing w:before="156" w:after="156"/>
      </w:pPr>
      <w:bookmarkStart w:id="71" w:name="_Toc241503823"/>
      <w:r>
        <w:t>调查评价结果应用</w:t>
      </w:r>
      <w:bookmarkEnd w:id="71"/>
    </w:p>
    <w:p>
      <w:pPr>
        <w:pStyle w:val="56"/>
        <w:ind w:firstLine="420"/>
      </w:pPr>
      <w:r>
        <w:t>作业设计应形成“恢复单元</w:t>
      </w:r>
      <w:r>
        <w:rPr>
          <w:rFonts w:hint="eastAsia"/>
        </w:rPr>
        <w:t>-</w:t>
      </w:r>
      <w:r>
        <w:t>废弃地类型</w:t>
      </w:r>
      <w:r>
        <w:rPr>
          <w:rFonts w:hint="eastAsia"/>
        </w:rPr>
        <w:t>-</w:t>
      </w:r>
      <w:r>
        <w:t>主导障碍因子</w:t>
      </w:r>
      <w:r>
        <w:rPr>
          <w:rFonts w:hint="eastAsia"/>
        </w:rPr>
        <w:t>-</w:t>
      </w:r>
      <w:r>
        <w:t>恢复目标</w:t>
      </w:r>
      <w:r>
        <w:rPr>
          <w:rFonts w:hint="eastAsia"/>
        </w:rPr>
        <w:t>-</w:t>
      </w:r>
      <w:r>
        <w:t>恢复方式</w:t>
      </w:r>
      <w:r>
        <w:rPr>
          <w:rFonts w:hint="eastAsia"/>
        </w:rPr>
        <w:t>-</w:t>
      </w:r>
      <w:r>
        <w:t>植物配置</w:t>
      </w:r>
      <w:r>
        <w:rPr>
          <w:rFonts w:hint="eastAsia"/>
        </w:rPr>
        <w:t>-</w:t>
      </w:r>
      <w:r>
        <w:t>改良措施</w:t>
      </w:r>
      <w:r>
        <w:rPr>
          <w:rFonts w:hint="eastAsia"/>
        </w:rPr>
        <w:t>-监测指标</w:t>
      </w:r>
      <w:r>
        <w:t>”的对应关系</w:t>
      </w:r>
      <w:r>
        <w:rPr>
          <w:rFonts w:hint="eastAsia"/>
        </w:rPr>
        <w:t>。</w:t>
      </w:r>
      <w:r>
        <w:t>设计应明确施工顺序、种源与苗木规格、整地和建植方式、材料质量和用量依据、风险控制、管护及阶段性评价要求。每项评价指标应明确目标值或判定规则、测定方法、时间和依据；无统一阈值的，应依据参照生态系统、适用标准、当地实践或试验结果确定，不应仅由施工方自行降低要求。封山（沙）育林作业应按GB/T 15163—2018执行。</w:t>
      </w:r>
    </w:p>
    <w:p>
      <w:pPr>
        <w:pStyle w:val="104"/>
        <w:spacing w:before="312" w:after="312"/>
      </w:pPr>
      <w:bookmarkStart w:id="72" w:name="_Toc241503824"/>
      <w:bookmarkStart w:id="73" w:name="_Toc241503862"/>
      <w:r>
        <w:rPr>
          <w:rFonts w:hint="eastAsia"/>
        </w:rPr>
        <w:t>植被恢复技术</w:t>
      </w:r>
      <w:bookmarkEnd w:id="72"/>
      <w:bookmarkEnd w:id="73"/>
    </w:p>
    <w:p>
      <w:pPr>
        <w:pStyle w:val="105"/>
        <w:spacing w:before="156" w:after="156"/>
      </w:pPr>
      <w:bookmarkStart w:id="74" w:name="_Toc241503825"/>
      <w:r>
        <w:rPr>
          <w:rFonts w:hint="eastAsia"/>
        </w:rPr>
        <w:t>一般要求</w:t>
      </w:r>
      <w:bookmarkEnd w:id="74"/>
    </w:p>
    <w:p>
      <w:pPr>
        <w:pStyle w:val="56"/>
        <w:ind w:firstLine="420"/>
      </w:pPr>
      <w:r>
        <w:t>根据恢复单元的立地条件、主导障碍因子和自然恢复潜力选择适宜的恢复技术，具体参考附录C。恢复初期宜优先降低裸露程度和水土流失风险；具备乔木建植条件后，应逐步增加乡土乔灌木比例和多样性，提高群落稳定性和自我维持能力。植物稳定化不能替代工程污染管控，植被恢复不等同于重金属污染彻底治理。植物提取仅宜用于污染类型明确、风险可控且具备植物收获和污染生物质安全处置条件的区域。</w:t>
      </w:r>
    </w:p>
    <w:p>
      <w:pPr>
        <w:pStyle w:val="105"/>
        <w:spacing w:before="156" w:after="156"/>
      </w:pPr>
      <w:bookmarkStart w:id="75" w:name="_Toc241503826"/>
      <w:r>
        <w:rPr>
          <w:rFonts w:hint="eastAsia"/>
        </w:rPr>
        <w:t>重金属污染立地植被恢复</w:t>
      </w:r>
      <w:bookmarkEnd w:id="75"/>
    </w:p>
    <w:p>
      <w:pPr>
        <w:pStyle w:val="56"/>
        <w:ind w:firstLine="420"/>
      </w:pPr>
      <w:r>
        <w:t>重金属污染立地应根据污染元素类型、污染程度、植物耐性及土壤和基质条件确定植被恢复方式。污染风险较高区域应以植物稳定化和生态防护为主要目标，优先选择耐相应重金属、根系固持能力较强且适于当地立地条件的植物。重金属总量超土壤污染管制值、污染物迁移扩散潜力大、水土流失风险高，或临近敏感保护目标的地域区块，为污染风险较高区域。</w:t>
      </w:r>
    </w:p>
    <w:p>
      <w:pPr>
        <w:pStyle w:val="105"/>
        <w:spacing w:before="156" w:after="156"/>
      </w:pPr>
      <w:bookmarkStart w:id="76" w:name="_Toc241503827"/>
      <w:r>
        <w:rPr>
          <w:rFonts w:hint="eastAsia"/>
        </w:rPr>
        <w:t>辅助自然恢复</w:t>
      </w:r>
      <w:bookmarkEnd w:id="76"/>
    </w:p>
    <w:p>
      <w:pPr>
        <w:pStyle w:val="56"/>
        <w:ind w:firstLine="420"/>
      </w:pPr>
      <w:r>
        <w:t>地形稳定、土壤或基质具备植物生长条件、周边天然种源较丰富且自然更新良好的区域，宜采用封育或辅助自然恢复。存在场地失稳、污染迁移风险较高或缺乏植物生长基质的区域，不宜单独采用自然恢复方式。</w:t>
      </w:r>
    </w:p>
    <w:p>
      <w:pPr>
        <w:pStyle w:val="104"/>
        <w:spacing w:before="312" w:after="312"/>
      </w:pPr>
      <w:bookmarkStart w:id="77" w:name="_Toc241503828"/>
      <w:bookmarkStart w:id="78" w:name="_Toc241503863"/>
      <w:r>
        <w:t>植物选择与群落配置</w:t>
      </w:r>
      <w:bookmarkEnd w:id="77"/>
      <w:bookmarkEnd w:id="78"/>
    </w:p>
    <w:p>
      <w:pPr>
        <w:pStyle w:val="105"/>
        <w:spacing w:before="156" w:after="156"/>
      </w:pPr>
      <w:bookmarkStart w:id="79" w:name="_Toc241503829"/>
      <w:r>
        <w:rPr>
          <w:rFonts w:hint="eastAsia"/>
        </w:rPr>
        <w:t>植物选择原则</w:t>
      </w:r>
      <w:bookmarkEnd w:id="79"/>
    </w:p>
    <w:p>
      <w:pPr>
        <w:pStyle w:val="56"/>
        <w:ind w:firstLine="420"/>
      </w:pPr>
      <w:r>
        <w:t>植物选择应遵循乡土、适生、抗逆、功能互补和生态安全原则。优先选择适应当地气候和立地条件的乡土植物或矿区周边已有的长势较好的植物品种。常用恢复植物及其适用条件参见附录A。</w:t>
      </w:r>
    </w:p>
    <w:p>
      <w:pPr>
        <w:pStyle w:val="105"/>
        <w:spacing w:before="156" w:after="156"/>
      </w:pPr>
      <w:bookmarkStart w:id="80" w:name="_Toc241503830"/>
      <w:r>
        <w:rPr>
          <w:rFonts w:hint="eastAsia"/>
        </w:rPr>
        <w:t>乔木选择</w:t>
      </w:r>
      <w:bookmarkEnd w:id="80"/>
    </w:p>
    <w:p>
      <w:pPr>
        <w:pStyle w:val="56"/>
        <w:ind w:firstLine="420"/>
      </w:pPr>
      <w:r>
        <w:t>干旱、酸性、贫瘠或重金属胁迫明显的立地，宜优先选择耐相应胁迫的先锋乔木。平台、缓坡及立地条件较好的区域，可合理配置乡土中后期树种，提高群落结构稳定性。土层厚度小于30 cm、边坡稳定性安全系数小于1.2、有效基质厚度小于20 cm、地表季节性积水持续大于30天的区域，不宜强行配置乔木。</w:t>
      </w:r>
    </w:p>
    <w:p>
      <w:pPr>
        <w:pStyle w:val="105"/>
        <w:spacing w:before="156" w:after="156"/>
      </w:pPr>
      <w:bookmarkStart w:id="81" w:name="_Toc241503831"/>
      <w:r>
        <w:rPr>
          <w:rFonts w:hint="eastAsia"/>
        </w:rPr>
        <w:t>灌木和草本选择</w:t>
      </w:r>
      <w:bookmarkEnd w:id="81"/>
    </w:p>
    <w:p>
      <w:pPr>
        <w:pStyle w:val="56"/>
        <w:ind w:firstLine="420"/>
      </w:pPr>
      <w:r>
        <w:t>选择出苗较快、根系发达、覆盖能力强且适应矿区立地条件的种类。水土流失强烈、土层薄或乔木建植困难的区域，应适当提高灌木和草本比例。固氮植物可根据土壤养分状况和群落配置需要合理使用。</w:t>
      </w:r>
    </w:p>
    <w:p>
      <w:pPr>
        <w:pStyle w:val="105"/>
        <w:spacing w:before="156" w:after="156"/>
      </w:pPr>
      <w:bookmarkStart w:id="82" w:name="_Toc241503832"/>
      <w:r>
        <w:rPr>
          <w:rFonts w:hint="eastAsia"/>
        </w:rPr>
        <w:t>群落</w:t>
      </w:r>
      <w:r>
        <w:t>配置</w:t>
      </w:r>
      <w:bookmarkEnd w:id="82"/>
    </w:p>
    <w:p>
      <w:pPr>
        <w:pStyle w:val="56"/>
        <w:ind w:firstLine="420"/>
      </w:pPr>
      <w:r>
        <w:t>应根据目标生态系统选择乔灌草复层、灌草、草本或湿生群落。适宜森林恢复的单元，初期可利用先锋草灌固土和改善微环境，随后促进乡土乔木及自然更新植物发展。应控制单一物种过度扩张，并考虑生活型间空间和资源互补。</w:t>
      </w:r>
    </w:p>
    <w:p>
      <w:pPr>
        <w:pStyle w:val="105"/>
        <w:spacing w:before="156" w:after="156"/>
      </w:pPr>
      <w:bookmarkStart w:id="83" w:name="_Toc241503833"/>
      <w:r>
        <w:rPr>
          <w:rFonts w:hint="eastAsia"/>
        </w:rPr>
        <w:t>种苗、种子与配置密度</w:t>
      </w:r>
      <w:bookmarkEnd w:id="83"/>
    </w:p>
    <w:p>
      <w:pPr>
        <w:pStyle w:val="56"/>
        <w:ind w:firstLine="420"/>
      </w:pPr>
      <w:r>
        <w:t>苗木应生长健壮、根系完整并符合检疫要求。适用树种的苗木质量应符合GB 6000—1999。容器育苗应按LY/T 1000—2013执行。造林整地、季节、栽植和检查应按GB/T 15776—2023执行。种子应记录物种、种源、批次、净度和发芽率。栽植密度、播种量及方式应分别设计；混播应记录各物种比例和单位面积用量，不应将单播用量直接相加。常用植物推荐密度参见附录A。</w:t>
      </w:r>
    </w:p>
    <w:p>
      <w:pPr>
        <w:pStyle w:val="112"/>
        <w:spacing w:before="156" w:after="156"/>
      </w:pPr>
      <w:r>
        <w:rPr>
          <w:rFonts w:hint="eastAsia"/>
        </w:rPr>
        <w:t>初始种植密度参考</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110"/>
        <w:gridCol w:w="3112"/>
        <w:gridCol w:w="3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3110" w:type="dxa"/>
            <w:tcBorders>
              <w:top w:val="single" w:color="auto" w:sz="8" w:space="0"/>
              <w:bottom w:val="single" w:color="auto" w:sz="8" w:space="0"/>
            </w:tcBorders>
          </w:tcPr>
          <w:p>
            <w:pPr>
              <w:pStyle w:val="178"/>
            </w:pPr>
            <w:r>
              <w:rPr>
                <w:rFonts w:hint="eastAsia"/>
              </w:rPr>
              <w:t>类型</w:t>
            </w:r>
          </w:p>
        </w:tc>
        <w:tc>
          <w:tcPr>
            <w:tcW w:w="3112" w:type="dxa"/>
            <w:tcBorders>
              <w:top w:val="single" w:color="auto" w:sz="8" w:space="0"/>
              <w:bottom w:val="single" w:color="auto" w:sz="8" w:space="0"/>
            </w:tcBorders>
          </w:tcPr>
          <w:p>
            <w:pPr>
              <w:pStyle w:val="178"/>
            </w:pPr>
            <w:r>
              <w:rPr>
                <w:rFonts w:hint="eastAsia"/>
              </w:rPr>
              <w:t>密度及播种方式</w:t>
            </w:r>
          </w:p>
        </w:tc>
        <w:tc>
          <w:tcPr>
            <w:tcW w:w="3112" w:type="dxa"/>
            <w:tcBorders>
              <w:top w:val="single" w:color="auto" w:sz="8" w:space="0"/>
              <w:bottom w:val="single" w:color="auto" w:sz="8" w:space="0"/>
            </w:tcBorders>
          </w:tcPr>
          <w:p>
            <w:pPr>
              <w:pStyle w:val="178"/>
            </w:pPr>
            <w:r>
              <w:rPr>
                <w:rFonts w:hint="eastAsia"/>
              </w:rPr>
              <w:t>建植方式与条件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3110" w:type="dxa"/>
            <w:tcBorders>
              <w:top w:val="single" w:color="auto" w:sz="8" w:space="0"/>
            </w:tcBorders>
          </w:tcPr>
          <w:p>
            <w:pPr>
              <w:pStyle w:val="178"/>
            </w:pPr>
            <w:r>
              <w:rPr>
                <w:rFonts w:hint="eastAsia"/>
              </w:rPr>
              <w:t>乔木</w:t>
            </w:r>
          </w:p>
        </w:tc>
        <w:tc>
          <w:tcPr>
            <w:tcW w:w="3112" w:type="dxa"/>
            <w:tcBorders>
              <w:top w:val="single" w:color="auto" w:sz="8" w:space="0"/>
            </w:tcBorders>
          </w:tcPr>
          <w:p>
            <w:pPr>
              <w:pStyle w:val="178"/>
            </w:pPr>
            <w:r>
              <w:rPr>
                <w:rFonts w:hint="eastAsia"/>
              </w:rPr>
              <w:t>1 100株/hm²～2 500株/hm²（穴播）</w:t>
            </w:r>
          </w:p>
        </w:tc>
        <w:tc>
          <w:tcPr>
            <w:tcW w:w="3112" w:type="dxa"/>
            <w:tcBorders>
              <w:top w:val="single" w:color="auto" w:sz="8" w:space="0"/>
            </w:tcBorders>
          </w:tcPr>
          <w:p>
            <w:pPr>
              <w:pStyle w:val="178"/>
            </w:pPr>
            <w:r>
              <w:rPr>
                <w:rFonts w:hint="eastAsia"/>
              </w:rPr>
              <w:t>植苗；结合苗木规格、立地及目标确定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3110" w:type="dxa"/>
          </w:tcPr>
          <w:p>
            <w:pPr>
              <w:pStyle w:val="178"/>
            </w:pPr>
            <w:r>
              <w:rPr>
                <w:rFonts w:hint="eastAsia"/>
              </w:rPr>
              <w:t>灌木</w:t>
            </w:r>
          </w:p>
        </w:tc>
        <w:tc>
          <w:tcPr>
            <w:tcW w:w="3112" w:type="dxa"/>
          </w:tcPr>
          <w:p>
            <w:pPr>
              <w:pStyle w:val="178"/>
            </w:pPr>
            <w:r>
              <w:rPr>
                <w:rFonts w:hint="eastAsia"/>
              </w:rPr>
              <w:t>2 500株/hm²～5 000株/hm²（穴播、条播）</w:t>
            </w:r>
          </w:p>
        </w:tc>
        <w:tc>
          <w:tcPr>
            <w:tcW w:w="3112" w:type="dxa"/>
          </w:tcPr>
          <w:p>
            <w:pPr>
              <w:pStyle w:val="178"/>
            </w:pPr>
            <w:r>
              <w:rPr>
                <w:rFonts w:hint="eastAsia"/>
              </w:rPr>
              <w:t>植苗；采用直播时另行设计播种量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3110" w:type="dxa"/>
          </w:tcPr>
          <w:p>
            <w:pPr>
              <w:pStyle w:val="178"/>
            </w:pPr>
            <w:r>
              <w:rPr>
                <w:rFonts w:hint="eastAsia"/>
              </w:rPr>
              <w:t>草本种子</w:t>
            </w:r>
          </w:p>
        </w:tc>
        <w:tc>
          <w:tcPr>
            <w:tcW w:w="3112" w:type="dxa"/>
          </w:tcPr>
          <w:p>
            <w:pPr>
              <w:pStyle w:val="178"/>
            </w:pPr>
            <w:r>
              <w:rPr>
                <w:rFonts w:hint="eastAsia"/>
              </w:rPr>
              <w:t>按物种、净度、发芽率、混播比例及试播确定；5 kg/hm²～90 kg/hm²或5株/m²～30株/m²（喷播）</w:t>
            </w:r>
          </w:p>
        </w:tc>
        <w:tc>
          <w:tcPr>
            <w:tcW w:w="3112" w:type="dxa"/>
          </w:tcPr>
          <w:p>
            <w:pPr>
              <w:pStyle w:val="178"/>
            </w:pPr>
            <w:r>
              <w:rPr>
                <w:rFonts w:hint="eastAsia"/>
              </w:rPr>
              <w:t>撒播、条播、穴播或喷播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3110" w:type="dxa"/>
          </w:tcPr>
          <w:p>
            <w:pPr>
              <w:pStyle w:val="178"/>
            </w:pPr>
            <w:r>
              <w:rPr>
                <w:rFonts w:hint="eastAsia"/>
              </w:rPr>
              <w:t>草本植株</w:t>
            </w:r>
          </w:p>
        </w:tc>
        <w:tc>
          <w:tcPr>
            <w:tcW w:w="3112" w:type="dxa"/>
          </w:tcPr>
          <w:p>
            <w:pPr>
              <w:pStyle w:val="178"/>
            </w:pPr>
            <w:r>
              <w:rPr>
                <w:rFonts w:hint="eastAsia"/>
              </w:rPr>
              <w:t>按种类、繁殖材料和覆盖目标确定</w:t>
            </w:r>
          </w:p>
        </w:tc>
        <w:tc>
          <w:tcPr>
            <w:tcW w:w="3112" w:type="dxa"/>
          </w:tcPr>
          <w:p>
            <w:pPr>
              <w:pStyle w:val="178"/>
            </w:pPr>
            <w:r>
              <w:rPr>
                <w:rFonts w:hint="eastAsia"/>
              </w:rPr>
              <w:t>分株、穴载或辅植，不与喷播量混用</w:t>
            </w:r>
          </w:p>
        </w:tc>
      </w:tr>
    </w:tbl>
    <w:p>
      <w:pPr>
        <w:pStyle w:val="104"/>
        <w:spacing w:before="312" w:after="312"/>
      </w:pPr>
      <w:bookmarkStart w:id="84" w:name="_Toc241503834"/>
      <w:bookmarkStart w:id="85" w:name="_Toc241503864"/>
      <w:r>
        <w:rPr>
          <w:rFonts w:hint="eastAsia"/>
        </w:rPr>
        <w:t>土壤与基质改良</w:t>
      </w:r>
      <w:bookmarkEnd w:id="84"/>
      <w:bookmarkEnd w:id="85"/>
    </w:p>
    <w:p>
      <w:pPr>
        <w:pStyle w:val="105"/>
        <w:spacing w:before="156" w:after="156"/>
      </w:pPr>
      <w:bookmarkStart w:id="86" w:name="_Toc241503835"/>
      <w:r>
        <w:rPr>
          <w:rFonts w:hint="eastAsia"/>
        </w:rPr>
        <w:t>一般要求</w:t>
      </w:r>
      <w:bookmarkEnd w:id="86"/>
    </w:p>
    <w:p>
      <w:pPr>
        <w:pStyle w:val="56"/>
        <w:ind w:firstLine="420"/>
      </w:pPr>
      <w:r>
        <w:t>应服务于植物根系建植和植被群落恢复，并针对主导障碍因子采取相应措施。改良材料应安全、稳定、无二次污染，并与植被恢复目标、植物种类和土壤污染特征相匹配</w:t>
      </w:r>
      <w:r>
        <w:rPr>
          <w:rFonts w:hint="eastAsia"/>
        </w:rPr>
        <w:t>。</w:t>
      </w:r>
    </w:p>
    <w:p>
      <w:pPr>
        <w:pStyle w:val="105"/>
        <w:spacing w:before="156" w:after="156"/>
      </w:pPr>
      <w:bookmarkStart w:id="87" w:name="_Toc241503836"/>
      <w:r>
        <w:rPr>
          <w:rFonts w:hint="eastAsia"/>
        </w:rPr>
        <w:t>植物生长基质改善</w:t>
      </w:r>
      <w:bookmarkEnd w:id="87"/>
    </w:p>
    <w:p>
      <w:pPr>
        <w:pStyle w:val="56"/>
        <w:ind w:firstLine="420"/>
      </w:pPr>
      <w:r>
        <w:t>酸化明显的区域宜采取适宜措施调节pH值；贫瘠或保水保肥能力较差的区域，宜通过补充有机质、养分等措施改善植物生长条件；重金属污染区域，宜施用钝化材料降低重金属生物有效性，抑制重金属向植物迁移。具体改良材料及应用注意事项参见附录D。</w:t>
      </w:r>
    </w:p>
    <w:p>
      <w:pPr>
        <w:pStyle w:val="105"/>
        <w:spacing w:before="156" w:after="156"/>
      </w:pPr>
      <w:bookmarkStart w:id="88" w:name="_Toc241503837"/>
      <w:r>
        <w:rPr>
          <w:rFonts w:hint="eastAsia"/>
        </w:rPr>
        <w:t>客土与基质重构</w:t>
      </w:r>
      <w:bookmarkEnd w:id="88"/>
    </w:p>
    <w:p>
      <w:pPr>
        <w:pStyle w:val="56"/>
        <w:ind w:firstLine="420"/>
      </w:pPr>
      <w:r>
        <w:t>依据有效生长基质厚度、物理结构和污染隔离需求确定客土、覆土或基质重构方式。客土应来源合法、可追溯，按来源和批次进行质量检查，不应引入外源污染。重构材料应满足目标植物生长和适用场地风险控制要求。</w:t>
      </w:r>
    </w:p>
    <w:p>
      <w:pPr>
        <w:pStyle w:val="105"/>
        <w:spacing w:before="156" w:after="156"/>
      </w:pPr>
      <w:bookmarkStart w:id="89" w:name="_Toc241503838"/>
      <w:r>
        <w:rPr>
          <w:rFonts w:hint="eastAsia"/>
        </w:rPr>
        <w:t>酸化调控</w:t>
      </w:r>
      <w:bookmarkEnd w:id="89"/>
    </w:p>
    <w:p>
      <w:pPr>
        <w:pStyle w:val="56"/>
        <w:ind w:firstLine="420"/>
      </w:pPr>
      <w:r>
        <w:t>酸性较强的矿区废弃地宜采用石灰、钙镁磷肥、碱性矿物材料、生物炭或其他适宜调理剂进行pH值调节，pH值的调节区间视目标植物耐性而定。调理剂用量应基于净产酸潜势，结合土壤检测和小区试验确定，并避免造成土壤过度碱化。</w:t>
      </w:r>
    </w:p>
    <w:p>
      <w:pPr>
        <w:pStyle w:val="105"/>
        <w:spacing w:before="156" w:after="156"/>
      </w:pPr>
      <w:bookmarkStart w:id="90" w:name="_Toc241503839"/>
      <w:r>
        <w:rPr>
          <w:rFonts w:hint="eastAsia"/>
        </w:rPr>
        <w:t>重金属稳定化</w:t>
      </w:r>
      <w:bookmarkEnd w:id="90"/>
    </w:p>
    <w:p>
      <w:pPr>
        <w:pStyle w:val="56"/>
        <w:ind w:firstLine="420"/>
      </w:pPr>
      <w:r>
        <w:t>重金属有效态浓度较高或迁移风险较大的区域，宜采用磷酸盐、石灰性材料、生物炭、黏土矿物、铁锰氧化物、有机质材料等进行稳定化。材料选择应根据重金属类型、土壤pH值和有机质含量等因素确定。</w:t>
      </w:r>
    </w:p>
    <w:p>
      <w:pPr>
        <w:pStyle w:val="105"/>
        <w:spacing w:before="156" w:after="156"/>
      </w:pPr>
      <w:bookmarkStart w:id="91" w:name="_Toc241503840"/>
      <w:r>
        <w:rPr>
          <w:rFonts w:hint="eastAsia"/>
        </w:rPr>
        <w:t>地力培肥与保水保肥</w:t>
      </w:r>
      <w:bookmarkEnd w:id="91"/>
    </w:p>
    <w:p>
      <w:pPr>
        <w:pStyle w:val="56"/>
        <w:ind w:firstLine="420"/>
      </w:pPr>
      <w:r>
        <w:t>贫瘠立地宜施用腐熟有机肥、堆肥、绿肥、缓释肥、保水剂或微生物菌剂等，提升基质有机质、养分涵养及基质自身储水能力。施肥应以基肥为主、追肥为辅，避免化肥或有机肥过量导致淋失和二次污染。</w:t>
      </w:r>
    </w:p>
    <w:p>
      <w:pPr>
        <w:pStyle w:val="105"/>
        <w:spacing w:before="156" w:after="156"/>
      </w:pPr>
      <w:bookmarkStart w:id="92" w:name="_Toc241503841"/>
      <w:r>
        <w:rPr>
          <w:rFonts w:hint="eastAsia"/>
        </w:rPr>
        <w:t>水土保持条件改善</w:t>
      </w:r>
      <w:bookmarkEnd w:id="92"/>
    </w:p>
    <w:p>
      <w:pPr>
        <w:pStyle w:val="56"/>
        <w:ind w:firstLine="420"/>
      </w:pPr>
      <w:r>
        <w:t>干旱、保水能力差或坡面易产流的区域宜采取地表覆盖、集蓄补水等措施改善根系水分条件；水土流失明显的恢复单元应结合植被配置，保留或设置必要的截排水、拦护工程，削减坡面径流、防控土壤流失，具体工程做法按相关设计执行。</w:t>
      </w:r>
    </w:p>
    <w:p>
      <w:pPr>
        <w:pStyle w:val="104"/>
        <w:spacing w:before="312" w:after="312"/>
      </w:pPr>
      <w:bookmarkStart w:id="93" w:name="_Toc241503842"/>
      <w:bookmarkStart w:id="94" w:name="_Toc241503865"/>
      <w:r>
        <w:rPr>
          <w:rFonts w:hint="eastAsia"/>
        </w:rPr>
        <w:t>抚育、监测与成效评价</w:t>
      </w:r>
      <w:bookmarkEnd w:id="93"/>
      <w:bookmarkEnd w:id="94"/>
    </w:p>
    <w:p>
      <w:pPr>
        <w:pStyle w:val="105"/>
        <w:spacing w:before="156" w:after="156"/>
      </w:pPr>
      <w:bookmarkStart w:id="95" w:name="_Toc241503843"/>
      <w:r>
        <w:rPr>
          <w:rFonts w:hint="eastAsia"/>
        </w:rPr>
        <w:t>抚育管护</w:t>
      </w:r>
      <w:bookmarkEnd w:id="95"/>
    </w:p>
    <w:p>
      <w:pPr>
        <w:pStyle w:val="56"/>
        <w:ind w:firstLine="420"/>
      </w:pPr>
      <w:r>
        <w:t>植被恢复后应连续管护不少于3年，重金属胁迫强烈立地管护宜不少于5年，管护频次应根据植物生长状况、气候条件和恢复目标确定。对重金属胁迫强、土层薄、坡面冲刷强烈或植物生长缓慢区域，宜延长管护期；重金属高风险单元在5年阶段性评价完成后，仍应按照风险管控要求开展长期跟踪监测。</w:t>
      </w:r>
    </w:p>
    <w:p>
      <w:pPr>
        <w:pStyle w:val="105"/>
        <w:spacing w:before="156" w:after="156"/>
      </w:pPr>
      <w:bookmarkStart w:id="96" w:name="_Toc241503844"/>
      <w:r>
        <w:rPr>
          <w:rFonts w:hint="eastAsia"/>
        </w:rPr>
        <w:t>补植补播与群落调控</w:t>
      </w:r>
      <w:bookmarkEnd w:id="96"/>
    </w:p>
    <w:p>
      <w:pPr>
        <w:pStyle w:val="56"/>
        <w:ind w:firstLine="420"/>
      </w:pPr>
      <w:r>
        <w:t>定期检查植物成活、保存和植被覆盖状况。成活率低于设计要求或出现明显空斑或植被退化的区域，应及时补植、补播或采取其他促进恢复措施。补植植物应与原群落恢复目标和立地条件相适应。生态系统退化或生物多样性降低可采用调整植被群落结构的方案</w:t>
      </w:r>
      <w:r>
        <w:rPr>
          <w:rFonts w:hint="eastAsia"/>
        </w:rPr>
        <w:t>。</w:t>
      </w:r>
    </w:p>
    <w:p>
      <w:pPr>
        <w:pStyle w:val="105"/>
        <w:spacing w:before="156" w:after="156"/>
      </w:pPr>
      <w:bookmarkStart w:id="97" w:name="_Toc241503845"/>
      <w:r>
        <w:rPr>
          <w:rFonts w:hint="eastAsia"/>
        </w:rPr>
        <w:t>水肥和有害生物管理</w:t>
      </w:r>
      <w:bookmarkEnd w:id="97"/>
    </w:p>
    <w:p>
      <w:pPr>
        <w:pStyle w:val="56"/>
        <w:ind w:firstLine="420"/>
      </w:pPr>
      <w:r>
        <w:t>根据植物生长状况及土壤或基质水分、养分条件合理开展灌溉和施肥。对影响目标植被恢复的杂草、入侵藤蔓、病虫害等有害生物，应采取适宜的控制措施。有害生物防治宜优先采用物理、生物等环境风险较低的方式。</w:t>
      </w:r>
    </w:p>
    <w:p>
      <w:pPr>
        <w:pStyle w:val="105"/>
        <w:spacing w:before="156" w:after="156"/>
      </w:pPr>
      <w:bookmarkStart w:id="98" w:name="_Toc241503846"/>
      <w:r>
        <w:rPr>
          <w:rFonts w:hint="eastAsia"/>
        </w:rPr>
        <w:t>监测</w:t>
      </w:r>
      <w:bookmarkEnd w:id="98"/>
    </w:p>
    <w:p>
      <w:pPr>
        <w:pStyle w:val="56"/>
        <w:ind w:firstLine="420"/>
      </w:pPr>
      <w:r>
        <w:t>植被恢复前应建立必要的基线资料，恢复后根据恢复目标和风险状况开展监测。恢复初期宜每年至少开展1次监测，阶段性成效评价年度应同步开展相应监测。监测结果应作为抚育措施调整和成效评价的依据。相关监测指标建议参照附录E。</w:t>
      </w:r>
    </w:p>
    <w:p>
      <w:pPr>
        <w:pStyle w:val="105"/>
        <w:spacing w:before="156" w:after="156"/>
      </w:pPr>
      <w:bookmarkStart w:id="99" w:name="_Toc241503847"/>
      <w:r>
        <w:rPr>
          <w:rFonts w:hint="eastAsia"/>
        </w:rPr>
        <w:t>成效评价</w:t>
      </w:r>
      <w:bookmarkEnd w:id="99"/>
    </w:p>
    <w:p>
      <w:pPr>
        <w:pStyle w:val="56"/>
        <w:ind w:firstLine="420"/>
      </w:pPr>
      <w:r>
        <w:t>植被恢复成效宜在施工完成后1年、3年和5年开展阶段性评价。具体成效评价指标及方法参见附录E。评价结果应与恢复前基线和技术方案确定的恢复目标进行比较。达到恢复目标，且未出现新的明显场地安全、污染迁移或水土流失风险的，可判定为达到恢复要求。未达到恢复目标的，应分析原因并采取相应调整和恢复措施。</w:t>
      </w:r>
    </w:p>
    <w:p>
      <w:pPr>
        <w:pStyle w:val="105"/>
        <w:spacing w:before="156" w:after="156"/>
      </w:pPr>
      <w:bookmarkStart w:id="100" w:name="_Toc241503848"/>
      <w:r>
        <w:rPr>
          <w:rFonts w:hint="eastAsia"/>
        </w:rPr>
        <w:t>档案管理</w:t>
      </w:r>
      <w:bookmarkEnd w:id="100"/>
    </w:p>
    <w:p>
      <w:pPr>
        <w:pStyle w:val="56"/>
        <w:ind w:firstLine="420"/>
      </w:pPr>
      <w:r>
        <w:t>建立一地一档或一工程一档，资料随工序即时收集、按监测频次归档，确保真实完整、全过程可追溯。档案宜包括调查评价、恢复技术方案、植物材料、土壤与基质改良、抚育管护、监测、成效评价及影像等资料。档案应真实、完整、可追溯。具体档案资料参见附录F。</w:t>
      </w:r>
    </w:p>
    <w:p>
      <w:pPr>
        <w:pStyle w:val="56"/>
        <w:ind w:firstLine="420"/>
        <w:sectPr>
          <w:pgSz w:w="11906" w:h="16838"/>
          <w:pgMar w:top="1928" w:right="1134" w:bottom="1134" w:left="1134" w:header="1418" w:footer="1134" w:gutter="284"/>
          <w:pgNumType w:start="1"/>
          <w:cols w:space="425" w:num="1"/>
          <w:formProt w:val="0"/>
          <w:docGrid w:type="lines" w:linePitch="312" w:charSpace="0"/>
        </w:sectPr>
      </w:pPr>
    </w:p>
    <w:bookmarkEnd w:id="28"/>
    <w:p>
      <w:pPr>
        <w:pStyle w:val="198"/>
        <w:rPr>
          <w:vanish w:val="0"/>
        </w:rPr>
      </w:pPr>
      <w:bookmarkStart w:id="101" w:name="BookMark5"/>
    </w:p>
    <w:p>
      <w:pPr>
        <w:pStyle w:val="199"/>
        <w:rPr>
          <w:vanish w:val="0"/>
        </w:rPr>
      </w:pPr>
    </w:p>
    <w:p>
      <w:pPr>
        <w:pStyle w:val="76"/>
        <w:spacing w:after="156"/>
      </w:pPr>
      <w:r>
        <w:br w:type="textWrapping"/>
      </w:r>
      <w:bookmarkStart w:id="102" w:name="_Toc241503866"/>
      <w:bookmarkStart w:id="103" w:name="_Toc241503849"/>
      <w:r>
        <w:rPr>
          <w:rFonts w:hint="eastAsia"/>
        </w:rPr>
        <w:t>（资料性）</w:t>
      </w:r>
      <w:r>
        <w:br w:type="textWrapping"/>
      </w:r>
      <w:r>
        <w:rPr>
          <w:rFonts w:hint="eastAsia"/>
        </w:rPr>
        <w:t>有色金属采矿废弃地植被恢复常用植物</w:t>
      </w:r>
      <w:bookmarkEnd w:id="102"/>
      <w:bookmarkEnd w:id="103"/>
    </w:p>
    <w:p>
      <w:pPr>
        <w:pStyle w:val="77"/>
        <w:spacing w:before="156" w:after="156"/>
      </w:pPr>
      <w:r>
        <w:t>有色金属采矿废弃地植被恢复常用植物及推荐种植密度</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699"/>
        <w:gridCol w:w="1418"/>
        <w:gridCol w:w="2268"/>
        <w:gridCol w:w="1701"/>
        <w:gridCol w:w="1692"/>
        <w:gridCol w:w="15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699" w:type="dxa"/>
            <w:tcBorders>
              <w:top w:val="single" w:color="auto" w:sz="8" w:space="0"/>
              <w:bottom w:val="single" w:color="auto" w:sz="8" w:space="0"/>
            </w:tcBorders>
          </w:tcPr>
          <w:p>
            <w:pPr>
              <w:pStyle w:val="178"/>
            </w:pPr>
            <w:r>
              <w:rPr>
                <w:rFonts w:hint="eastAsia"/>
              </w:rPr>
              <w:t>类型</w:t>
            </w:r>
          </w:p>
        </w:tc>
        <w:tc>
          <w:tcPr>
            <w:tcW w:w="1418" w:type="dxa"/>
            <w:tcBorders>
              <w:top w:val="single" w:color="auto" w:sz="8" w:space="0"/>
              <w:bottom w:val="single" w:color="auto" w:sz="8" w:space="0"/>
            </w:tcBorders>
          </w:tcPr>
          <w:p>
            <w:pPr>
              <w:pStyle w:val="178"/>
            </w:pPr>
            <w:r>
              <w:rPr>
                <w:rFonts w:hint="eastAsia"/>
              </w:rPr>
              <w:t>植物名称</w:t>
            </w:r>
          </w:p>
        </w:tc>
        <w:tc>
          <w:tcPr>
            <w:tcW w:w="2268" w:type="dxa"/>
            <w:tcBorders>
              <w:top w:val="single" w:color="auto" w:sz="8" w:space="0"/>
              <w:bottom w:val="single" w:color="auto" w:sz="8" w:space="0"/>
            </w:tcBorders>
          </w:tcPr>
          <w:p>
            <w:pPr>
              <w:pStyle w:val="178"/>
            </w:pPr>
            <w:r>
              <w:rPr>
                <w:rFonts w:hint="eastAsia"/>
              </w:rPr>
              <w:t>主要特性</w:t>
            </w:r>
          </w:p>
        </w:tc>
        <w:tc>
          <w:tcPr>
            <w:tcW w:w="1701" w:type="dxa"/>
            <w:tcBorders>
              <w:top w:val="single" w:color="auto" w:sz="8" w:space="0"/>
              <w:bottom w:val="single" w:color="auto" w:sz="8" w:space="0"/>
            </w:tcBorders>
          </w:tcPr>
          <w:p>
            <w:pPr>
              <w:pStyle w:val="178"/>
            </w:pPr>
            <w:r>
              <w:rPr>
                <w:rFonts w:hint="eastAsia"/>
              </w:rPr>
              <w:t>适用区域</w:t>
            </w:r>
          </w:p>
        </w:tc>
        <w:tc>
          <w:tcPr>
            <w:tcW w:w="1692" w:type="dxa"/>
            <w:tcBorders>
              <w:top w:val="single" w:color="auto" w:sz="8" w:space="0"/>
              <w:bottom w:val="single" w:color="auto" w:sz="8" w:space="0"/>
            </w:tcBorders>
          </w:tcPr>
          <w:p>
            <w:pPr>
              <w:pStyle w:val="178"/>
            </w:pPr>
            <w:r>
              <w:rPr>
                <w:rFonts w:hint="eastAsia"/>
              </w:rPr>
              <w:t>推荐种植密度</w:t>
            </w:r>
          </w:p>
        </w:tc>
        <w:tc>
          <w:tcPr>
            <w:tcW w:w="1556" w:type="dxa"/>
            <w:tcBorders>
              <w:top w:val="single" w:color="auto" w:sz="8" w:space="0"/>
              <w:bottom w:val="single" w:color="auto" w:sz="8" w:space="0"/>
            </w:tcBorders>
          </w:tcPr>
          <w:p>
            <w:pPr>
              <w:pStyle w:val="178"/>
            </w:pPr>
            <w:r>
              <w:rPr>
                <w:rFonts w:hint="eastAsia"/>
              </w:rPr>
              <w:t>耐受重金属种类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Borders>
              <w:top w:val="single" w:color="auto" w:sz="8" w:space="0"/>
            </w:tcBorders>
          </w:tcPr>
          <w:p>
            <w:pPr>
              <w:pStyle w:val="178"/>
            </w:pPr>
            <w:r>
              <w:rPr>
                <w:rFonts w:hint="eastAsia"/>
              </w:rPr>
              <w:t>乔木</w:t>
            </w:r>
          </w:p>
        </w:tc>
        <w:tc>
          <w:tcPr>
            <w:tcW w:w="1418" w:type="dxa"/>
            <w:tcBorders>
              <w:top w:val="single" w:color="auto" w:sz="8" w:space="0"/>
            </w:tcBorders>
          </w:tcPr>
          <w:p>
            <w:pPr>
              <w:pStyle w:val="178"/>
            </w:pPr>
            <w:r>
              <w:rPr>
                <w:rFonts w:hint="eastAsia"/>
              </w:rPr>
              <w:t>马尾松 Pinus massoniana</w:t>
            </w:r>
          </w:p>
        </w:tc>
        <w:tc>
          <w:tcPr>
            <w:tcW w:w="2268" w:type="dxa"/>
            <w:tcBorders>
              <w:top w:val="single" w:color="auto" w:sz="8" w:space="0"/>
            </w:tcBorders>
          </w:tcPr>
          <w:p>
            <w:pPr>
              <w:pStyle w:val="178"/>
            </w:pPr>
            <w:r>
              <w:rPr>
                <w:rFonts w:hint="eastAsia"/>
              </w:rPr>
              <w:t>乡土先锋树种，耐酸、耐旱瘠薄，根系发达</w:t>
            </w:r>
          </w:p>
        </w:tc>
        <w:tc>
          <w:tcPr>
            <w:tcW w:w="1701" w:type="dxa"/>
            <w:tcBorders>
              <w:top w:val="single" w:color="auto" w:sz="8" w:space="0"/>
            </w:tcBorders>
          </w:tcPr>
          <w:p>
            <w:pPr>
              <w:pStyle w:val="178"/>
            </w:pPr>
            <w:r>
              <w:rPr>
                <w:rFonts w:hint="eastAsia"/>
              </w:rPr>
              <w:t>酸性排土场、废石堆、缓坡及防护林</w:t>
            </w:r>
          </w:p>
        </w:tc>
        <w:tc>
          <w:tcPr>
            <w:tcW w:w="1692" w:type="dxa"/>
            <w:tcBorders>
              <w:top w:val="single" w:color="auto" w:sz="8" w:space="0"/>
            </w:tcBorders>
          </w:tcPr>
          <w:p>
            <w:pPr>
              <w:pStyle w:val="178"/>
            </w:pPr>
            <w:r>
              <w:rPr>
                <w:rFonts w:hint="eastAsia"/>
              </w:rPr>
              <w:t>1100～2500株/hm²</w:t>
            </w:r>
          </w:p>
        </w:tc>
        <w:tc>
          <w:tcPr>
            <w:tcW w:w="1556" w:type="dxa"/>
            <w:tcBorders>
              <w:top w:val="single" w:color="auto" w:sz="8" w:space="0"/>
            </w:tcBorders>
          </w:tcPr>
          <w:p>
            <w:pPr>
              <w:pStyle w:val="178"/>
            </w:pPr>
            <w:r>
              <w:rPr>
                <w:rFonts w:hint="eastAsia"/>
              </w:rPr>
              <w:t>Pb、Cd、Zn、Mn（耐受/根际固持）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湿地松 Pinus elliottii</w:t>
            </w:r>
          </w:p>
        </w:tc>
        <w:tc>
          <w:tcPr>
            <w:tcW w:w="2268" w:type="dxa"/>
          </w:tcPr>
          <w:p>
            <w:pPr>
              <w:pStyle w:val="178"/>
            </w:pPr>
            <w:r>
              <w:rPr>
                <w:rFonts w:hint="eastAsia"/>
              </w:rPr>
              <w:t>生长快，耐贫瘠和一定水湿，适应酸性基质</w:t>
            </w:r>
          </w:p>
        </w:tc>
        <w:tc>
          <w:tcPr>
            <w:tcW w:w="1701" w:type="dxa"/>
          </w:tcPr>
          <w:p>
            <w:pPr>
              <w:pStyle w:val="178"/>
            </w:pPr>
            <w:r>
              <w:rPr>
                <w:rFonts w:hint="eastAsia"/>
              </w:rPr>
              <w:t>尾矿库平台、低湿排土场、缓坡</w:t>
            </w:r>
          </w:p>
        </w:tc>
        <w:tc>
          <w:tcPr>
            <w:tcW w:w="1692" w:type="dxa"/>
          </w:tcPr>
          <w:p>
            <w:pPr>
              <w:pStyle w:val="178"/>
            </w:pPr>
            <w:r>
              <w:rPr>
                <w:rFonts w:hint="eastAsia"/>
              </w:rPr>
              <w:t>1100～2500株/hm²</w:t>
            </w:r>
          </w:p>
        </w:tc>
        <w:tc>
          <w:tcPr>
            <w:tcW w:w="1556" w:type="dxa"/>
          </w:tcPr>
          <w:p>
            <w:pPr>
              <w:pStyle w:val="178"/>
            </w:pPr>
            <w:r>
              <w:rPr>
                <w:rFonts w:hint="eastAsia"/>
              </w:rPr>
              <w:t>Cd、Zn、Mn（耐受/富集潜力）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柏木 Cupressus funebris</w:t>
            </w:r>
          </w:p>
        </w:tc>
        <w:tc>
          <w:tcPr>
            <w:tcW w:w="2268" w:type="dxa"/>
          </w:tcPr>
          <w:p>
            <w:pPr>
              <w:pStyle w:val="178"/>
            </w:pPr>
            <w:r>
              <w:rPr>
                <w:rFonts w:hint="eastAsia"/>
              </w:rPr>
              <w:t>湖南乡土常绿树种，耐旱瘠薄，固土能力强</w:t>
            </w:r>
          </w:p>
        </w:tc>
        <w:tc>
          <w:tcPr>
            <w:tcW w:w="1701" w:type="dxa"/>
          </w:tcPr>
          <w:p>
            <w:pPr>
              <w:pStyle w:val="178"/>
            </w:pPr>
            <w:r>
              <w:rPr>
                <w:rFonts w:hint="eastAsia"/>
              </w:rPr>
              <w:t>干旱坡面、石质边坡、废石堆</w:t>
            </w:r>
          </w:p>
        </w:tc>
        <w:tc>
          <w:tcPr>
            <w:tcW w:w="1692" w:type="dxa"/>
          </w:tcPr>
          <w:p>
            <w:pPr>
              <w:pStyle w:val="178"/>
            </w:pPr>
            <w:r>
              <w:rPr>
                <w:rFonts w:hint="eastAsia"/>
              </w:rPr>
              <w:t>1800～2500株/hm²</w:t>
            </w:r>
          </w:p>
        </w:tc>
        <w:tc>
          <w:tcPr>
            <w:tcW w:w="1556" w:type="dxa"/>
          </w:tcPr>
          <w:p>
            <w:pPr>
              <w:pStyle w:val="178"/>
            </w:pPr>
            <w:r>
              <w:rPr>
                <w:rFonts w:hint="eastAsia"/>
              </w:rPr>
              <w:t>Sb、Pb、Cd、Cu、Zn（耐受/稳定）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侧柏 Platycladus orientalis</w:t>
            </w:r>
          </w:p>
        </w:tc>
        <w:tc>
          <w:tcPr>
            <w:tcW w:w="2268" w:type="dxa"/>
          </w:tcPr>
          <w:p>
            <w:pPr>
              <w:pStyle w:val="178"/>
            </w:pPr>
            <w:r>
              <w:rPr>
                <w:rFonts w:hint="eastAsia"/>
              </w:rPr>
              <w:t>耐旱、耐瘠薄、耐轻度盐碱，根系较发达</w:t>
            </w:r>
          </w:p>
        </w:tc>
        <w:tc>
          <w:tcPr>
            <w:tcW w:w="1701" w:type="dxa"/>
          </w:tcPr>
          <w:p>
            <w:pPr>
              <w:pStyle w:val="178"/>
            </w:pPr>
            <w:r>
              <w:rPr>
                <w:rFonts w:hint="eastAsia"/>
              </w:rPr>
              <w:t>石灰岩矿区、干旱边坡、平台</w:t>
            </w:r>
          </w:p>
        </w:tc>
        <w:tc>
          <w:tcPr>
            <w:tcW w:w="1692" w:type="dxa"/>
          </w:tcPr>
          <w:p>
            <w:pPr>
              <w:pStyle w:val="178"/>
            </w:pPr>
            <w:r>
              <w:rPr>
                <w:rFonts w:hint="eastAsia"/>
              </w:rPr>
              <w:t>1800～2500株/hm²</w:t>
            </w:r>
          </w:p>
        </w:tc>
        <w:tc>
          <w:tcPr>
            <w:tcW w:w="1556" w:type="dxa"/>
          </w:tcPr>
          <w:p>
            <w:pPr>
              <w:pStyle w:val="178"/>
            </w:pPr>
            <w:r>
              <w:rPr>
                <w:rFonts w:hint="eastAsia"/>
              </w:rPr>
              <w:t>Pb、Cd、Zn、Cr（耐受）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枫香 Liquidambar formosana</w:t>
            </w:r>
          </w:p>
        </w:tc>
        <w:tc>
          <w:tcPr>
            <w:tcW w:w="2268" w:type="dxa"/>
          </w:tcPr>
          <w:p>
            <w:pPr>
              <w:pStyle w:val="178"/>
            </w:pPr>
            <w:r>
              <w:rPr>
                <w:rFonts w:hint="eastAsia"/>
              </w:rPr>
              <w:t>乡土落叶乔木，耐酸、耐火、根系发达</w:t>
            </w:r>
          </w:p>
        </w:tc>
        <w:tc>
          <w:tcPr>
            <w:tcW w:w="1701" w:type="dxa"/>
          </w:tcPr>
          <w:p>
            <w:pPr>
              <w:pStyle w:val="178"/>
            </w:pPr>
            <w:r>
              <w:rPr>
                <w:rFonts w:hint="eastAsia"/>
              </w:rPr>
              <w:t>酸性矿山坡地、排土场及混交林</w:t>
            </w:r>
          </w:p>
        </w:tc>
        <w:tc>
          <w:tcPr>
            <w:tcW w:w="1692" w:type="dxa"/>
          </w:tcPr>
          <w:p>
            <w:pPr>
              <w:pStyle w:val="178"/>
            </w:pPr>
            <w:r>
              <w:rPr>
                <w:rFonts w:hint="eastAsia"/>
              </w:rPr>
              <w:t>1100～2500株/hm²</w:t>
            </w:r>
          </w:p>
        </w:tc>
        <w:tc>
          <w:tcPr>
            <w:tcW w:w="1556" w:type="dxa"/>
          </w:tcPr>
          <w:p>
            <w:pPr>
              <w:pStyle w:val="178"/>
            </w:pPr>
            <w:r>
              <w:rPr>
                <w:rFonts w:hint="eastAsia"/>
              </w:rPr>
              <w:t>Mn、Pb、Cd、Zn（耐受/富集潜力）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木荷 Schima superba</w:t>
            </w:r>
          </w:p>
        </w:tc>
        <w:tc>
          <w:tcPr>
            <w:tcW w:w="2268" w:type="dxa"/>
          </w:tcPr>
          <w:p>
            <w:pPr>
              <w:pStyle w:val="178"/>
            </w:pPr>
            <w:r>
              <w:rPr>
                <w:rFonts w:hint="eastAsia"/>
              </w:rPr>
              <w:t>乡土常绿、耐酸瘠薄、抗火，群落稳定性好</w:t>
            </w:r>
          </w:p>
        </w:tc>
        <w:tc>
          <w:tcPr>
            <w:tcW w:w="1701" w:type="dxa"/>
          </w:tcPr>
          <w:p>
            <w:pPr>
              <w:pStyle w:val="178"/>
            </w:pPr>
            <w:r>
              <w:rPr>
                <w:rFonts w:hint="eastAsia"/>
              </w:rPr>
              <w:t>酸性山地、排土场、防护林</w:t>
            </w:r>
          </w:p>
        </w:tc>
        <w:tc>
          <w:tcPr>
            <w:tcW w:w="1692" w:type="dxa"/>
          </w:tcPr>
          <w:p>
            <w:pPr>
              <w:pStyle w:val="178"/>
            </w:pPr>
            <w:r>
              <w:rPr>
                <w:rFonts w:hint="eastAsia"/>
              </w:rPr>
              <w:t>1100～2500株/hm²</w:t>
            </w:r>
          </w:p>
        </w:tc>
        <w:tc>
          <w:tcPr>
            <w:tcW w:w="1556" w:type="dxa"/>
          </w:tcPr>
          <w:p>
            <w:pPr>
              <w:pStyle w:val="178"/>
            </w:pPr>
            <w:r>
              <w:rPr>
                <w:rFonts w:hint="eastAsia"/>
              </w:rPr>
              <w:t>Pb、Cd、Cu、Zn（耐受/稳定）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构树 Broussonetia papyrifera</w:t>
            </w:r>
          </w:p>
        </w:tc>
        <w:tc>
          <w:tcPr>
            <w:tcW w:w="2268" w:type="dxa"/>
          </w:tcPr>
          <w:p>
            <w:pPr>
              <w:pStyle w:val="178"/>
            </w:pPr>
            <w:r>
              <w:rPr>
                <w:rFonts w:hint="eastAsia"/>
              </w:rPr>
              <w:t>萌蘖强、生长快、耐瘠薄，适合快速建群</w:t>
            </w:r>
          </w:p>
        </w:tc>
        <w:tc>
          <w:tcPr>
            <w:tcW w:w="1701" w:type="dxa"/>
          </w:tcPr>
          <w:p>
            <w:pPr>
              <w:pStyle w:val="178"/>
            </w:pPr>
            <w:r>
              <w:rPr>
                <w:rFonts w:hint="eastAsia"/>
              </w:rPr>
              <w:t>排土场、废石堆、污染立地防护林</w:t>
            </w:r>
          </w:p>
        </w:tc>
        <w:tc>
          <w:tcPr>
            <w:tcW w:w="1692" w:type="dxa"/>
          </w:tcPr>
          <w:p>
            <w:pPr>
              <w:pStyle w:val="178"/>
            </w:pPr>
            <w:r>
              <w:rPr>
                <w:rFonts w:hint="eastAsia"/>
              </w:rPr>
              <w:t>1100～2500株/hm²</w:t>
            </w:r>
          </w:p>
        </w:tc>
        <w:tc>
          <w:tcPr>
            <w:tcW w:w="1556" w:type="dxa"/>
          </w:tcPr>
          <w:p>
            <w:pPr>
              <w:pStyle w:val="178"/>
            </w:pPr>
            <w:r>
              <w:rPr>
                <w:rFonts w:hint="eastAsia"/>
              </w:rPr>
              <w:t>Sb、Pb、Cd、Zn、Cu（耐受/富集潜力）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刺槐 Robinia pseudoacacia</w:t>
            </w:r>
          </w:p>
        </w:tc>
        <w:tc>
          <w:tcPr>
            <w:tcW w:w="2268" w:type="dxa"/>
          </w:tcPr>
          <w:p>
            <w:pPr>
              <w:pStyle w:val="178"/>
            </w:pPr>
            <w:r>
              <w:rPr>
                <w:rFonts w:hint="eastAsia"/>
              </w:rPr>
              <w:t>固氮、耐旱瘠薄、根系发达，改土能力强</w:t>
            </w:r>
          </w:p>
        </w:tc>
        <w:tc>
          <w:tcPr>
            <w:tcW w:w="1701" w:type="dxa"/>
          </w:tcPr>
          <w:p>
            <w:pPr>
              <w:pStyle w:val="178"/>
            </w:pPr>
            <w:r>
              <w:rPr>
                <w:rFonts w:hint="eastAsia"/>
              </w:rPr>
              <w:t>贫瘠坡地、排土场、乔灌草混交区</w:t>
            </w:r>
          </w:p>
        </w:tc>
        <w:tc>
          <w:tcPr>
            <w:tcW w:w="1692" w:type="dxa"/>
          </w:tcPr>
          <w:p>
            <w:pPr>
              <w:pStyle w:val="178"/>
            </w:pPr>
            <w:r>
              <w:rPr>
                <w:rFonts w:hint="eastAsia"/>
              </w:rPr>
              <w:t>1600～2500株/hm²</w:t>
            </w:r>
          </w:p>
        </w:tc>
        <w:tc>
          <w:tcPr>
            <w:tcW w:w="1556" w:type="dxa"/>
          </w:tcPr>
          <w:p>
            <w:pPr>
              <w:pStyle w:val="178"/>
            </w:pPr>
            <w:r>
              <w:rPr>
                <w:rFonts w:hint="eastAsia"/>
              </w:rPr>
              <w:t>Pb、Cd、Zn、Cu（耐受/根部固持；外来物种）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苦楝 Melia azedarach</w:t>
            </w:r>
          </w:p>
        </w:tc>
        <w:tc>
          <w:tcPr>
            <w:tcW w:w="2268" w:type="dxa"/>
          </w:tcPr>
          <w:p>
            <w:pPr>
              <w:pStyle w:val="178"/>
            </w:pPr>
            <w:r>
              <w:rPr>
                <w:rFonts w:hint="eastAsia"/>
              </w:rPr>
              <w:t>适应性强、生长较快，耐旱和轻度盐碱</w:t>
            </w:r>
          </w:p>
        </w:tc>
        <w:tc>
          <w:tcPr>
            <w:tcW w:w="1701" w:type="dxa"/>
          </w:tcPr>
          <w:p>
            <w:pPr>
              <w:pStyle w:val="178"/>
            </w:pPr>
            <w:r>
              <w:rPr>
                <w:rFonts w:hint="eastAsia"/>
              </w:rPr>
              <w:t>矿区平台、缓坡、道路缓冲带</w:t>
            </w:r>
          </w:p>
        </w:tc>
        <w:tc>
          <w:tcPr>
            <w:tcW w:w="1692" w:type="dxa"/>
          </w:tcPr>
          <w:p>
            <w:pPr>
              <w:pStyle w:val="178"/>
            </w:pPr>
            <w:r>
              <w:rPr>
                <w:rFonts w:hint="eastAsia"/>
              </w:rPr>
              <w:t>1100～1700株/hm²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山乌桕 Triadica cochinchinensis</w:t>
            </w:r>
          </w:p>
        </w:tc>
        <w:tc>
          <w:tcPr>
            <w:tcW w:w="2268" w:type="dxa"/>
          </w:tcPr>
          <w:p>
            <w:pPr>
              <w:pStyle w:val="178"/>
            </w:pPr>
            <w:r>
              <w:rPr>
                <w:rFonts w:hint="eastAsia"/>
              </w:rPr>
              <w:t>乡土先锋，耐酸瘠薄，萌发和天然更新能力强</w:t>
            </w:r>
          </w:p>
        </w:tc>
        <w:tc>
          <w:tcPr>
            <w:tcW w:w="1701" w:type="dxa"/>
          </w:tcPr>
          <w:p>
            <w:pPr>
              <w:pStyle w:val="178"/>
            </w:pPr>
            <w:r>
              <w:rPr>
                <w:rFonts w:hint="eastAsia"/>
              </w:rPr>
              <w:t>酸性贫瘠立地、排土场及混交林</w:t>
            </w:r>
          </w:p>
        </w:tc>
        <w:tc>
          <w:tcPr>
            <w:tcW w:w="1692" w:type="dxa"/>
          </w:tcPr>
          <w:p>
            <w:pPr>
              <w:pStyle w:val="178"/>
            </w:pPr>
            <w:r>
              <w:rPr>
                <w:rFonts w:hint="eastAsia"/>
              </w:rPr>
              <w:t>1100～2500株/hm²</w:t>
            </w:r>
          </w:p>
        </w:tc>
        <w:tc>
          <w:tcPr>
            <w:tcW w:w="1556" w:type="dxa"/>
          </w:tcPr>
          <w:p>
            <w:pPr>
              <w:pStyle w:val="178"/>
            </w:pPr>
            <w:r>
              <w:rPr>
                <w:rFonts w:hint="eastAsia"/>
              </w:rPr>
              <w:t>Pb、Cd、Zn、Mn（耐受）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盐肤木 Rhus chinensis</w:t>
            </w:r>
          </w:p>
        </w:tc>
        <w:tc>
          <w:tcPr>
            <w:tcW w:w="2268" w:type="dxa"/>
          </w:tcPr>
          <w:p>
            <w:pPr>
              <w:pStyle w:val="178"/>
            </w:pPr>
            <w:r>
              <w:rPr>
                <w:rFonts w:hint="eastAsia"/>
              </w:rPr>
              <w:t>乡土先锋，根蘖强、耐瘠薄、适应酸性土</w:t>
            </w:r>
          </w:p>
        </w:tc>
        <w:tc>
          <w:tcPr>
            <w:tcW w:w="1701" w:type="dxa"/>
          </w:tcPr>
          <w:p>
            <w:pPr>
              <w:pStyle w:val="178"/>
            </w:pPr>
            <w:r>
              <w:rPr>
                <w:rFonts w:hint="eastAsia"/>
              </w:rPr>
              <w:t>裸露坡面、废石堆、灌乔过渡带</w:t>
            </w:r>
          </w:p>
        </w:tc>
        <w:tc>
          <w:tcPr>
            <w:tcW w:w="1692" w:type="dxa"/>
          </w:tcPr>
          <w:p>
            <w:pPr>
              <w:pStyle w:val="178"/>
            </w:pPr>
            <w:r>
              <w:rPr>
                <w:rFonts w:hint="eastAsia"/>
              </w:rPr>
              <w:t>1600～2500株/hm²</w:t>
            </w:r>
          </w:p>
        </w:tc>
        <w:tc>
          <w:tcPr>
            <w:tcW w:w="1556" w:type="dxa"/>
          </w:tcPr>
          <w:p>
            <w:pPr>
              <w:pStyle w:val="178"/>
            </w:pPr>
            <w:r>
              <w:rPr>
                <w:rFonts w:hint="eastAsia"/>
              </w:rPr>
              <w:t>Pb、Cd、Zn、Cu、Mn（耐受/富集潜力）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泡桐 Paulownia fortunei</w:t>
            </w:r>
          </w:p>
        </w:tc>
        <w:tc>
          <w:tcPr>
            <w:tcW w:w="2268" w:type="dxa"/>
          </w:tcPr>
          <w:p>
            <w:pPr>
              <w:pStyle w:val="178"/>
            </w:pPr>
            <w:r>
              <w:rPr>
                <w:rFonts w:hint="eastAsia"/>
              </w:rPr>
              <w:t>速生、根系发达，耐贫瘠，生物量大</w:t>
            </w:r>
          </w:p>
        </w:tc>
        <w:tc>
          <w:tcPr>
            <w:tcW w:w="1701" w:type="dxa"/>
          </w:tcPr>
          <w:p>
            <w:pPr>
              <w:pStyle w:val="178"/>
            </w:pPr>
            <w:r>
              <w:rPr>
                <w:rFonts w:hint="eastAsia"/>
              </w:rPr>
              <w:t>平台、缓坡、覆土较厚排土场</w:t>
            </w:r>
          </w:p>
        </w:tc>
        <w:tc>
          <w:tcPr>
            <w:tcW w:w="1692" w:type="dxa"/>
          </w:tcPr>
          <w:p>
            <w:pPr>
              <w:pStyle w:val="178"/>
            </w:pPr>
            <w:r>
              <w:rPr>
                <w:rFonts w:hint="eastAsia"/>
              </w:rPr>
              <w:t>1600～2500株/hm²</w:t>
            </w:r>
          </w:p>
        </w:tc>
        <w:tc>
          <w:tcPr>
            <w:tcW w:w="1556" w:type="dxa"/>
          </w:tcPr>
          <w:p>
            <w:pPr>
              <w:pStyle w:val="178"/>
            </w:pPr>
            <w:r>
              <w:rPr>
                <w:rFonts w:hint="eastAsia"/>
              </w:rPr>
              <w:t>Zn、Cd、Pb、Cu（耐受/富集潜力）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桤木 Alnus cremastogyne</w:t>
            </w:r>
          </w:p>
        </w:tc>
        <w:tc>
          <w:tcPr>
            <w:tcW w:w="2268" w:type="dxa"/>
          </w:tcPr>
          <w:p>
            <w:pPr>
              <w:pStyle w:val="178"/>
            </w:pPr>
            <w:r>
              <w:rPr>
                <w:rFonts w:hint="eastAsia"/>
              </w:rPr>
              <w:t>乡土固氮树种，喜湿，改土和固坡能力强</w:t>
            </w:r>
          </w:p>
        </w:tc>
        <w:tc>
          <w:tcPr>
            <w:tcW w:w="1701" w:type="dxa"/>
          </w:tcPr>
          <w:p>
            <w:pPr>
              <w:pStyle w:val="178"/>
            </w:pPr>
            <w:r>
              <w:rPr>
                <w:rFonts w:hint="eastAsia"/>
              </w:rPr>
              <w:t>低湿排土场、塌陷地周缘、沟谷</w:t>
            </w:r>
          </w:p>
        </w:tc>
        <w:tc>
          <w:tcPr>
            <w:tcW w:w="1692" w:type="dxa"/>
          </w:tcPr>
          <w:p>
            <w:pPr>
              <w:pStyle w:val="178"/>
            </w:pPr>
            <w:r>
              <w:rPr>
                <w:rFonts w:hint="eastAsia"/>
              </w:rPr>
              <w:t>1100～2500株/hm²</w:t>
            </w:r>
          </w:p>
        </w:tc>
        <w:tc>
          <w:tcPr>
            <w:tcW w:w="1556" w:type="dxa"/>
          </w:tcPr>
          <w:p>
            <w:pPr>
              <w:pStyle w:val="178"/>
            </w:pPr>
            <w:r>
              <w:rPr>
                <w:rFonts w:hint="eastAsia"/>
              </w:rPr>
              <w:t>Pb、Cd、Zn、Mn（耐受/稳定）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落羽杉 Taxodium distichum</w:t>
            </w:r>
          </w:p>
        </w:tc>
        <w:tc>
          <w:tcPr>
            <w:tcW w:w="2268" w:type="dxa"/>
          </w:tcPr>
          <w:p>
            <w:pPr>
              <w:pStyle w:val="178"/>
            </w:pPr>
            <w:r>
              <w:rPr>
                <w:rFonts w:hint="eastAsia"/>
              </w:rPr>
              <w:t>耐水淹、耐贫瘠、抗污染，根系稳固</w:t>
            </w:r>
          </w:p>
        </w:tc>
        <w:tc>
          <w:tcPr>
            <w:tcW w:w="1701" w:type="dxa"/>
          </w:tcPr>
          <w:p>
            <w:pPr>
              <w:pStyle w:val="178"/>
            </w:pPr>
            <w:r>
              <w:rPr>
                <w:rFonts w:hint="eastAsia"/>
              </w:rPr>
              <w:t>塌陷积水区、尾矿库低洼区、湿地边缘</w:t>
            </w:r>
          </w:p>
        </w:tc>
        <w:tc>
          <w:tcPr>
            <w:tcW w:w="1692" w:type="dxa"/>
          </w:tcPr>
          <w:p>
            <w:pPr>
              <w:pStyle w:val="178"/>
            </w:pPr>
            <w:r>
              <w:rPr>
                <w:rFonts w:hint="eastAsia"/>
              </w:rPr>
              <w:t>1500～2500株/hm²</w:t>
            </w:r>
          </w:p>
        </w:tc>
        <w:tc>
          <w:tcPr>
            <w:tcW w:w="1556" w:type="dxa"/>
          </w:tcPr>
          <w:p>
            <w:pPr>
              <w:pStyle w:val="178"/>
            </w:pPr>
            <w:r>
              <w:rPr>
                <w:rFonts w:hint="eastAsia"/>
              </w:rPr>
              <w:t>Cd、Pb、Zn、Cu（耐受）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重阳木 Bischofia polycarpa</w:t>
            </w:r>
          </w:p>
        </w:tc>
        <w:tc>
          <w:tcPr>
            <w:tcW w:w="2268" w:type="dxa"/>
          </w:tcPr>
          <w:p>
            <w:pPr>
              <w:pStyle w:val="178"/>
            </w:pPr>
            <w:r>
              <w:rPr>
                <w:rFonts w:hint="eastAsia"/>
              </w:rPr>
              <w:t>湖南常见乡土树种，适生性和景观性较好</w:t>
            </w:r>
          </w:p>
        </w:tc>
        <w:tc>
          <w:tcPr>
            <w:tcW w:w="1701" w:type="dxa"/>
          </w:tcPr>
          <w:p>
            <w:pPr>
              <w:pStyle w:val="178"/>
            </w:pPr>
            <w:r>
              <w:rPr>
                <w:rFonts w:hint="eastAsia"/>
              </w:rPr>
              <w:t>缓坡、平台、道路两侧及缓冲林带</w:t>
            </w:r>
          </w:p>
        </w:tc>
        <w:tc>
          <w:tcPr>
            <w:tcW w:w="1692" w:type="dxa"/>
          </w:tcPr>
          <w:p>
            <w:pPr>
              <w:pStyle w:val="178"/>
            </w:pPr>
            <w:r>
              <w:rPr>
                <w:rFonts w:hint="eastAsia"/>
              </w:rPr>
              <w:t>1100～1700株/hm²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大叶女贞 Ligustrum lucidum</w:t>
            </w:r>
          </w:p>
        </w:tc>
        <w:tc>
          <w:tcPr>
            <w:tcW w:w="2268" w:type="dxa"/>
          </w:tcPr>
          <w:p>
            <w:pPr>
              <w:pStyle w:val="178"/>
            </w:pPr>
            <w:r>
              <w:rPr>
                <w:rFonts w:hint="eastAsia"/>
              </w:rPr>
              <w:t>常绿、耐修剪、抗性较强，适合隔离防护</w:t>
            </w:r>
          </w:p>
        </w:tc>
        <w:tc>
          <w:tcPr>
            <w:tcW w:w="1701" w:type="dxa"/>
          </w:tcPr>
          <w:p>
            <w:pPr>
              <w:pStyle w:val="178"/>
            </w:pPr>
            <w:r>
              <w:rPr>
                <w:rFonts w:hint="eastAsia"/>
              </w:rPr>
              <w:t>矿区道路、平台、居民区缓冲林带</w:t>
            </w:r>
          </w:p>
        </w:tc>
        <w:tc>
          <w:tcPr>
            <w:tcW w:w="1692" w:type="dxa"/>
          </w:tcPr>
          <w:p>
            <w:pPr>
              <w:pStyle w:val="178"/>
            </w:pPr>
            <w:r>
              <w:rPr>
                <w:rFonts w:hint="eastAsia"/>
              </w:rPr>
              <w:t>1100～2500株/hm²</w:t>
            </w:r>
          </w:p>
        </w:tc>
        <w:tc>
          <w:tcPr>
            <w:tcW w:w="1556" w:type="dxa"/>
          </w:tcPr>
          <w:p>
            <w:pPr>
              <w:pStyle w:val="178"/>
            </w:pPr>
            <w:r>
              <w:rPr>
                <w:rFonts w:hint="eastAsia"/>
              </w:rPr>
              <w:t>Pb、Cd、Zn、Cu（耐受/叶面滞尘）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樟树 Cinnamomum camphora</w:t>
            </w:r>
          </w:p>
        </w:tc>
        <w:tc>
          <w:tcPr>
            <w:tcW w:w="2268" w:type="dxa"/>
          </w:tcPr>
          <w:p>
            <w:pPr>
              <w:pStyle w:val="178"/>
            </w:pPr>
            <w:r>
              <w:rPr>
                <w:rFonts w:hint="eastAsia"/>
              </w:rPr>
              <w:t>湖南乡土常绿树种，根系发达，景观和防护兼顾</w:t>
            </w:r>
          </w:p>
        </w:tc>
        <w:tc>
          <w:tcPr>
            <w:tcW w:w="1701" w:type="dxa"/>
          </w:tcPr>
          <w:p>
            <w:pPr>
              <w:pStyle w:val="178"/>
            </w:pPr>
            <w:r>
              <w:rPr>
                <w:rFonts w:hint="eastAsia"/>
              </w:rPr>
              <w:t>覆土较厚平台、缓坡、道路绿化</w:t>
            </w:r>
          </w:p>
        </w:tc>
        <w:tc>
          <w:tcPr>
            <w:tcW w:w="1692" w:type="dxa"/>
          </w:tcPr>
          <w:p>
            <w:pPr>
              <w:pStyle w:val="178"/>
            </w:pPr>
            <w:r>
              <w:rPr>
                <w:rFonts w:hint="eastAsia"/>
              </w:rPr>
              <w:t>1600～2500株/hm²</w:t>
            </w:r>
          </w:p>
        </w:tc>
        <w:tc>
          <w:tcPr>
            <w:tcW w:w="1556" w:type="dxa"/>
          </w:tcPr>
          <w:p>
            <w:pPr>
              <w:pStyle w:val="178"/>
            </w:pPr>
            <w:r>
              <w:rPr>
                <w:rFonts w:hint="eastAsia"/>
              </w:rPr>
              <w:t>Pb、Cd、Zn、Cu（中低度污染耐受）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栾树 Koelreuteria paniculata</w:t>
            </w:r>
          </w:p>
        </w:tc>
        <w:tc>
          <w:tcPr>
            <w:tcW w:w="2268" w:type="dxa"/>
          </w:tcPr>
          <w:p>
            <w:pPr>
              <w:pStyle w:val="178"/>
            </w:pPr>
            <w:r>
              <w:rPr>
                <w:rFonts w:hint="eastAsia"/>
              </w:rPr>
              <w:t>耐旱瘠薄、抗烟尘，适应石灰质土</w:t>
            </w:r>
          </w:p>
        </w:tc>
        <w:tc>
          <w:tcPr>
            <w:tcW w:w="1701" w:type="dxa"/>
          </w:tcPr>
          <w:p>
            <w:pPr>
              <w:pStyle w:val="178"/>
            </w:pPr>
            <w:r>
              <w:rPr>
                <w:rFonts w:hint="eastAsia"/>
              </w:rPr>
              <w:t>石灰岩矿区、道路和平台景观带</w:t>
            </w:r>
          </w:p>
        </w:tc>
        <w:tc>
          <w:tcPr>
            <w:tcW w:w="1692" w:type="dxa"/>
          </w:tcPr>
          <w:p>
            <w:pPr>
              <w:pStyle w:val="178"/>
            </w:pPr>
            <w:r>
              <w:rPr>
                <w:rFonts w:hint="eastAsia"/>
              </w:rPr>
              <w:t>1600～2500株/hm²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麻栎 Quercus acutissima</w:t>
            </w:r>
          </w:p>
        </w:tc>
        <w:tc>
          <w:tcPr>
            <w:tcW w:w="2268" w:type="dxa"/>
          </w:tcPr>
          <w:p>
            <w:pPr>
              <w:pStyle w:val="178"/>
            </w:pPr>
            <w:r>
              <w:rPr>
                <w:rFonts w:hint="eastAsia"/>
              </w:rPr>
              <w:t>乡土深根树种，耐旱瘠薄，固土和群落恢复能力强</w:t>
            </w:r>
          </w:p>
        </w:tc>
        <w:tc>
          <w:tcPr>
            <w:tcW w:w="1701" w:type="dxa"/>
          </w:tcPr>
          <w:p>
            <w:pPr>
              <w:pStyle w:val="178"/>
            </w:pPr>
            <w:r>
              <w:rPr>
                <w:rFonts w:hint="eastAsia"/>
              </w:rPr>
              <w:t>排土场、缓坡、石灰岩及酸性立地</w:t>
            </w:r>
          </w:p>
        </w:tc>
        <w:tc>
          <w:tcPr>
            <w:tcW w:w="1692" w:type="dxa"/>
          </w:tcPr>
          <w:p>
            <w:pPr>
              <w:pStyle w:val="178"/>
            </w:pPr>
            <w:r>
              <w:rPr>
                <w:rFonts w:hint="eastAsia"/>
              </w:rPr>
              <w:t>1100～2500株/hm²</w:t>
            </w:r>
          </w:p>
        </w:tc>
        <w:tc>
          <w:tcPr>
            <w:tcW w:w="1556" w:type="dxa"/>
          </w:tcPr>
          <w:p>
            <w:pPr>
              <w:pStyle w:val="178"/>
            </w:pPr>
            <w:r>
              <w:rPr>
                <w:rFonts w:hint="eastAsia"/>
              </w:rPr>
              <w:t>Pb、Cd、Zn、Mn（耐受/根部固持）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青冈 Cyclobalanopsis glauca</w:t>
            </w:r>
          </w:p>
        </w:tc>
        <w:tc>
          <w:tcPr>
            <w:tcW w:w="2268" w:type="dxa"/>
          </w:tcPr>
          <w:p>
            <w:pPr>
              <w:pStyle w:val="178"/>
            </w:pPr>
            <w:r>
              <w:rPr>
                <w:rFonts w:hint="eastAsia"/>
              </w:rPr>
              <w:t>乡土常绿，适应酸性至钙质土，天然更新能力强</w:t>
            </w:r>
          </w:p>
        </w:tc>
        <w:tc>
          <w:tcPr>
            <w:tcW w:w="1701" w:type="dxa"/>
          </w:tcPr>
          <w:p>
            <w:pPr>
              <w:pStyle w:val="178"/>
            </w:pPr>
            <w:r>
              <w:rPr>
                <w:rFonts w:hint="eastAsia"/>
              </w:rPr>
              <w:t>恢复后期混交林、石灰岩矿区、缓坡</w:t>
            </w:r>
          </w:p>
        </w:tc>
        <w:tc>
          <w:tcPr>
            <w:tcW w:w="1692" w:type="dxa"/>
          </w:tcPr>
          <w:p>
            <w:pPr>
              <w:pStyle w:val="178"/>
            </w:pPr>
            <w:r>
              <w:rPr>
                <w:rFonts w:hint="eastAsia"/>
              </w:rPr>
              <w:t>1600～2500株/hm²</w:t>
            </w:r>
          </w:p>
        </w:tc>
        <w:tc>
          <w:tcPr>
            <w:tcW w:w="1556" w:type="dxa"/>
          </w:tcPr>
          <w:p>
            <w:pPr>
              <w:pStyle w:val="178"/>
            </w:pPr>
            <w:r>
              <w:rPr>
                <w:rFonts w:hint="eastAsia"/>
              </w:rPr>
              <w:t>Mn、Cd、Pb、Zn（耐受/富集潜力）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榉树 Zelkova serrata</w:t>
            </w:r>
          </w:p>
        </w:tc>
        <w:tc>
          <w:tcPr>
            <w:tcW w:w="2268" w:type="dxa"/>
          </w:tcPr>
          <w:p>
            <w:pPr>
              <w:pStyle w:val="178"/>
            </w:pPr>
            <w:r>
              <w:rPr>
                <w:rFonts w:hint="eastAsia"/>
              </w:rPr>
              <w:t>侧根发达，耐旱瘠薄，抗风固土</w:t>
            </w:r>
          </w:p>
        </w:tc>
        <w:tc>
          <w:tcPr>
            <w:tcW w:w="1701" w:type="dxa"/>
          </w:tcPr>
          <w:p>
            <w:pPr>
              <w:pStyle w:val="178"/>
            </w:pPr>
            <w:r>
              <w:rPr>
                <w:rFonts w:hint="eastAsia"/>
              </w:rPr>
              <w:t>平台、缓坡、沟谷及防护林</w:t>
            </w:r>
          </w:p>
        </w:tc>
        <w:tc>
          <w:tcPr>
            <w:tcW w:w="1692" w:type="dxa"/>
          </w:tcPr>
          <w:p>
            <w:pPr>
              <w:pStyle w:val="178"/>
            </w:pPr>
            <w:r>
              <w:rPr>
                <w:rFonts w:hint="eastAsia"/>
              </w:rPr>
              <w:t>1600～2500株/hm²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乔木</w:t>
            </w:r>
          </w:p>
        </w:tc>
        <w:tc>
          <w:tcPr>
            <w:tcW w:w="1418" w:type="dxa"/>
          </w:tcPr>
          <w:p>
            <w:pPr>
              <w:pStyle w:val="178"/>
            </w:pPr>
            <w:r>
              <w:rPr>
                <w:rFonts w:hint="eastAsia"/>
              </w:rPr>
              <w:t>柳树 Salix matsudana</w:t>
            </w:r>
          </w:p>
        </w:tc>
        <w:tc>
          <w:tcPr>
            <w:tcW w:w="2268" w:type="dxa"/>
          </w:tcPr>
          <w:p>
            <w:pPr>
              <w:pStyle w:val="178"/>
            </w:pPr>
            <w:r>
              <w:rPr>
                <w:rFonts w:hint="eastAsia"/>
              </w:rPr>
              <w:t>生长快、耐水湿，扦插易成活，根系固岸</w:t>
            </w:r>
          </w:p>
        </w:tc>
        <w:tc>
          <w:tcPr>
            <w:tcW w:w="1701" w:type="dxa"/>
          </w:tcPr>
          <w:p>
            <w:pPr>
              <w:pStyle w:val="178"/>
            </w:pPr>
            <w:r>
              <w:rPr>
                <w:rFonts w:hint="eastAsia"/>
              </w:rPr>
              <w:t>塌陷湿地、排水沟、尾矿库低洼区</w:t>
            </w:r>
          </w:p>
        </w:tc>
        <w:tc>
          <w:tcPr>
            <w:tcW w:w="1692" w:type="dxa"/>
          </w:tcPr>
          <w:p>
            <w:pPr>
              <w:pStyle w:val="178"/>
            </w:pPr>
            <w:r>
              <w:rPr>
                <w:rFonts w:hint="eastAsia"/>
              </w:rPr>
              <w:t>1100～2500株/hm²</w:t>
            </w:r>
          </w:p>
        </w:tc>
        <w:tc>
          <w:tcPr>
            <w:tcW w:w="1556" w:type="dxa"/>
          </w:tcPr>
          <w:p>
            <w:pPr>
              <w:pStyle w:val="178"/>
            </w:pPr>
            <w:r>
              <w:rPr>
                <w:rFonts w:hint="eastAsia"/>
              </w:rPr>
              <w:t>Cd、Zn、Pb、Cu（耐受/富集潜力）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胡枝子 Lespedeza bicolor</w:t>
            </w:r>
          </w:p>
        </w:tc>
        <w:tc>
          <w:tcPr>
            <w:tcW w:w="2268" w:type="dxa"/>
          </w:tcPr>
          <w:p>
            <w:pPr>
              <w:pStyle w:val="178"/>
            </w:pPr>
            <w:r>
              <w:rPr>
                <w:rFonts w:hint="eastAsia"/>
              </w:rPr>
              <w:t>乡土固氮灌木，耐酸、耐旱瘠薄，覆盖快</w:t>
            </w:r>
          </w:p>
        </w:tc>
        <w:tc>
          <w:tcPr>
            <w:tcW w:w="1701" w:type="dxa"/>
          </w:tcPr>
          <w:p>
            <w:pPr>
              <w:pStyle w:val="178"/>
            </w:pPr>
            <w:r>
              <w:rPr>
                <w:rFonts w:hint="eastAsia"/>
              </w:rPr>
              <w:t>坡面、林下、水土保持带、废石堆</w:t>
            </w:r>
          </w:p>
        </w:tc>
        <w:tc>
          <w:tcPr>
            <w:tcW w:w="1692" w:type="dxa"/>
          </w:tcPr>
          <w:p>
            <w:pPr>
              <w:pStyle w:val="178"/>
            </w:pPr>
            <w:r>
              <w:rPr>
                <w:rFonts w:hint="eastAsia"/>
              </w:rPr>
              <w:t>3300～5000株/hm²</w:t>
            </w:r>
          </w:p>
        </w:tc>
        <w:tc>
          <w:tcPr>
            <w:tcW w:w="1556" w:type="dxa"/>
          </w:tcPr>
          <w:p>
            <w:pPr>
              <w:pStyle w:val="178"/>
            </w:pPr>
            <w:r>
              <w:rPr>
                <w:rFonts w:hint="eastAsia"/>
              </w:rPr>
              <w:t>Pb、Cd、Zn、Cu（耐受/稳定）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牡荆 Vitex negundo var. cannabifolia</w:t>
            </w:r>
          </w:p>
        </w:tc>
        <w:tc>
          <w:tcPr>
            <w:tcW w:w="2268" w:type="dxa"/>
          </w:tcPr>
          <w:p>
            <w:pPr>
              <w:pStyle w:val="178"/>
            </w:pPr>
            <w:r>
              <w:rPr>
                <w:rFonts w:hint="eastAsia"/>
              </w:rPr>
              <w:t>耐旱、耐瘠薄、萌蘖强，适应湖南低山丘陵</w:t>
            </w:r>
          </w:p>
        </w:tc>
        <w:tc>
          <w:tcPr>
            <w:tcW w:w="1701" w:type="dxa"/>
          </w:tcPr>
          <w:p>
            <w:pPr>
              <w:pStyle w:val="178"/>
            </w:pPr>
            <w:r>
              <w:rPr>
                <w:rFonts w:hint="eastAsia"/>
              </w:rPr>
              <w:t>裸露坡面、石质边坡、排土场</w:t>
            </w:r>
          </w:p>
        </w:tc>
        <w:tc>
          <w:tcPr>
            <w:tcW w:w="1692" w:type="dxa"/>
          </w:tcPr>
          <w:p>
            <w:pPr>
              <w:pStyle w:val="178"/>
            </w:pPr>
            <w:r>
              <w:rPr>
                <w:rFonts w:hint="eastAsia"/>
              </w:rPr>
              <w:t>2500～5000株/hm²</w:t>
            </w:r>
          </w:p>
        </w:tc>
        <w:tc>
          <w:tcPr>
            <w:tcW w:w="1556" w:type="dxa"/>
          </w:tcPr>
          <w:p>
            <w:pPr>
              <w:pStyle w:val="178"/>
            </w:pPr>
            <w:r>
              <w:rPr>
                <w:rFonts w:hint="eastAsia"/>
              </w:rPr>
              <w:t>Pb、Cd、Zn、Cu、Cr（耐受）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黄荆 Vitex negundo</w:t>
            </w:r>
          </w:p>
        </w:tc>
        <w:tc>
          <w:tcPr>
            <w:tcW w:w="2268" w:type="dxa"/>
          </w:tcPr>
          <w:p>
            <w:pPr>
              <w:pStyle w:val="178"/>
            </w:pPr>
            <w:r>
              <w:rPr>
                <w:rFonts w:hint="eastAsia"/>
              </w:rPr>
              <w:t>乡土先锋灌木，根系发达，抗逆性强</w:t>
            </w:r>
          </w:p>
        </w:tc>
        <w:tc>
          <w:tcPr>
            <w:tcW w:w="1701" w:type="dxa"/>
          </w:tcPr>
          <w:p>
            <w:pPr>
              <w:pStyle w:val="178"/>
            </w:pPr>
            <w:r>
              <w:rPr>
                <w:rFonts w:hint="eastAsia"/>
              </w:rPr>
              <w:t>矿山坡面、道路边坡、石灰岩立地</w:t>
            </w:r>
          </w:p>
        </w:tc>
        <w:tc>
          <w:tcPr>
            <w:tcW w:w="1692" w:type="dxa"/>
          </w:tcPr>
          <w:p>
            <w:pPr>
              <w:pStyle w:val="178"/>
            </w:pPr>
            <w:r>
              <w:rPr>
                <w:rFonts w:hint="eastAsia"/>
              </w:rPr>
              <w:t>2500～5000株/hm²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紫穗槐 Amorpha fruticosa</w:t>
            </w:r>
          </w:p>
        </w:tc>
        <w:tc>
          <w:tcPr>
            <w:tcW w:w="2268" w:type="dxa"/>
          </w:tcPr>
          <w:p>
            <w:pPr>
              <w:pStyle w:val="178"/>
            </w:pPr>
            <w:r>
              <w:rPr>
                <w:rFonts w:hint="eastAsia"/>
              </w:rPr>
              <w:t>固氮、耐瘠薄、耐水湿，快速成篱</w:t>
            </w:r>
          </w:p>
        </w:tc>
        <w:tc>
          <w:tcPr>
            <w:tcW w:w="1701" w:type="dxa"/>
          </w:tcPr>
          <w:p>
            <w:pPr>
              <w:pStyle w:val="178"/>
            </w:pPr>
            <w:r>
              <w:rPr>
                <w:rFonts w:hint="eastAsia"/>
              </w:rPr>
              <w:t>尾矿库边缘、沟渠、边坡和防护带</w:t>
            </w:r>
          </w:p>
        </w:tc>
        <w:tc>
          <w:tcPr>
            <w:tcW w:w="1692" w:type="dxa"/>
          </w:tcPr>
          <w:p>
            <w:pPr>
              <w:pStyle w:val="178"/>
            </w:pPr>
            <w:r>
              <w:rPr>
                <w:rFonts w:hint="eastAsia"/>
              </w:rPr>
              <w:t>3300～5000株/hm²</w:t>
            </w:r>
          </w:p>
        </w:tc>
        <w:tc>
          <w:tcPr>
            <w:tcW w:w="1556" w:type="dxa"/>
          </w:tcPr>
          <w:p>
            <w:pPr>
              <w:pStyle w:val="178"/>
            </w:pPr>
            <w:r>
              <w:rPr>
                <w:rFonts w:hint="eastAsia"/>
              </w:rPr>
              <w:t>Pb、Cd、Zn、Cu、Ni（耐受/根部固持）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火棘 Pyracantha fortuneana</w:t>
            </w:r>
          </w:p>
        </w:tc>
        <w:tc>
          <w:tcPr>
            <w:tcW w:w="2268" w:type="dxa"/>
          </w:tcPr>
          <w:p>
            <w:pPr>
              <w:pStyle w:val="178"/>
            </w:pPr>
            <w:r>
              <w:rPr>
                <w:rFonts w:hint="eastAsia"/>
              </w:rPr>
              <w:t>常绿、耐瘠薄、根系密集，兼具景观隔离功能</w:t>
            </w:r>
          </w:p>
        </w:tc>
        <w:tc>
          <w:tcPr>
            <w:tcW w:w="1701" w:type="dxa"/>
          </w:tcPr>
          <w:p>
            <w:pPr>
              <w:pStyle w:val="178"/>
            </w:pPr>
            <w:r>
              <w:rPr>
                <w:rFonts w:hint="eastAsia"/>
              </w:rPr>
              <w:t>道路边坡、平台、居民区缓冲带</w:t>
            </w:r>
          </w:p>
        </w:tc>
        <w:tc>
          <w:tcPr>
            <w:tcW w:w="1692" w:type="dxa"/>
          </w:tcPr>
          <w:p>
            <w:pPr>
              <w:pStyle w:val="178"/>
            </w:pPr>
            <w:r>
              <w:rPr>
                <w:rFonts w:hint="eastAsia"/>
              </w:rPr>
              <w:t>2500～5000株/hm²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檵木 Loropetalum chinense</w:t>
            </w:r>
          </w:p>
        </w:tc>
        <w:tc>
          <w:tcPr>
            <w:tcW w:w="2268" w:type="dxa"/>
          </w:tcPr>
          <w:p>
            <w:pPr>
              <w:pStyle w:val="178"/>
            </w:pPr>
            <w:r>
              <w:rPr>
                <w:rFonts w:hint="eastAsia"/>
              </w:rPr>
              <w:t>湖南乡土常绿灌木，耐酸、耐旱瘠薄</w:t>
            </w:r>
          </w:p>
        </w:tc>
        <w:tc>
          <w:tcPr>
            <w:tcW w:w="1701" w:type="dxa"/>
          </w:tcPr>
          <w:p>
            <w:pPr>
              <w:pStyle w:val="178"/>
            </w:pPr>
            <w:r>
              <w:rPr>
                <w:rFonts w:hint="eastAsia"/>
              </w:rPr>
              <w:t>酸性坡面、林缘、景观缓冲带</w:t>
            </w:r>
          </w:p>
        </w:tc>
        <w:tc>
          <w:tcPr>
            <w:tcW w:w="1692" w:type="dxa"/>
          </w:tcPr>
          <w:p>
            <w:pPr>
              <w:pStyle w:val="178"/>
            </w:pPr>
            <w:r>
              <w:rPr>
                <w:rFonts w:hint="eastAsia"/>
              </w:rPr>
              <w:t>2500～5000株/hm²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杜鹃 Rhododendron simsii</w:t>
            </w:r>
          </w:p>
        </w:tc>
        <w:tc>
          <w:tcPr>
            <w:tcW w:w="2268" w:type="dxa"/>
          </w:tcPr>
          <w:p>
            <w:pPr>
              <w:pStyle w:val="178"/>
            </w:pPr>
            <w:r>
              <w:rPr>
                <w:rFonts w:hint="eastAsia"/>
              </w:rPr>
              <w:t>湖南山地常见，耐酸性土，对部分金属具有耐受和富集潜力</w:t>
            </w:r>
          </w:p>
        </w:tc>
        <w:tc>
          <w:tcPr>
            <w:tcW w:w="1701" w:type="dxa"/>
          </w:tcPr>
          <w:p>
            <w:pPr>
              <w:pStyle w:val="178"/>
            </w:pPr>
            <w:r>
              <w:rPr>
                <w:rFonts w:hint="eastAsia"/>
              </w:rPr>
              <w:t>酸性尾矿地、林缘和灌草混交区</w:t>
            </w:r>
          </w:p>
        </w:tc>
        <w:tc>
          <w:tcPr>
            <w:tcW w:w="1692" w:type="dxa"/>
          </w:tcPr>
          <w:p>
            <w:pPr>
              <w:pStyle w:val="178"/>
            </w:pPr>
            <w:r>
              <w:rPr>
                <w:rFonts w:hint="eastAsia"/>
              </w:rPr>
              <w:t>2500～5000株/hm²</w:t>
            </w:r>
          </w:p>
        </w:tc>
        <w:tc>
          <w:tcPr>
            <w:tcW w:w="1556" w:type="dxa"/>
          </w:tcPr>
          <w:p>
            <w:pPr>
              <w:pStyle w:val="178"/>
            </w:pPr>
            <w:r>
              <w:rPr>
                <w:rFonts w:hint="eastAsia"/>
              </w:rPr>
              <w:t>Cd、Cu、Zn、Mn（耐受/富集潜力）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马桑 Coriaria nepalensis</w:t>
            </w:r>
          </w:p>
        </w:tc>
        <w:tc>
          <w:tcPr>
            <w:tcW w:w="2268" w:type="dxa"/>
          </w:tcPr>
          <w:p>
            <w:pPr>
              <w:pStyle w:val="178"/>
            </w:pPr>
            <w:r>
              <w:rPr>
                <w:rFonts w:hint="eastAsia"/>
              </w:rPr>
              <w:t>先锋性强，耐旱瘠薄，适合石质和钙质立地</w:t>
            </w:r>
          </w:p>
        </w:tc>
        <w:tc>
          <w:tcPr>
            <w:tcW w:w="1701" w:type="dxa"/>
          </w:tcPr>
          <w:p>
            <w:pPr>
              <w:pStyle w:val="178"/>
            </w:pPr>
            <w:r>
              <w:rPr>
                <w:rFonts w:hint="eastAsia"/>
              </w:rPr>
              <w:t>石灰岩矿区、废石堆、干旱边坡</w:t>
            </w:r>
          </w:p>
        </w:tc>
        <w:tc>
          <w:tcPr>
            <w:tcW w:w="1692" w:type="dxa"/>
          </w:tcPr>
          <w:p>
            <w:pPr>
              <w:pStyle w:val="178"/>
            </w:pPr>
            <w:r>
              <w:rPr>
                <w:rFonts w:hint="eastAsia"/>
              </w:rPr>
              <w:t>2500～5000株/hm²</w:t>
            </w:r>
          </w:p>
        </w:tc>
        <w:tc>
          <w:tcPr>
            <w:tcW w:w="1556" w:type="dxa"/>
          </w:tcPr>
          <w:p>
            <w:pPr>
              <w:pStyle w:val="178"/>
            </w:pPr>
            <w:r>
              <w:rPr>
                <w:rFonts w:hint="eastAsia"/>
              </w:rPr>
              <w:t>Pb、Cd、Zn、Cu（耐受；全株有毒）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金樱子 Rosa laevigata</w:t>
            </w:r>
          </w:p>
        </w:tc>
        <w:tc>
          <w:tcPr>
            <w:tcW w:w="2268" w:type="dxa"/>
          </w:tcPr>
          <w:p>
            <w:pPr>
              <w:pStyle w:val="178"/>
            </w:pPr>
            <w:r>
              <w:rPr>
                <w:rFonts w:hint="eastAsia"/>
              </w:rPr>
              <w:t>乡土藤状灌木，耐旱瘠薄、护坡和封育能力强</w:t>
            </w:r>
          </w:p>
        </w:tc>
        <w:tc>
          <w:tcPr>
            <w:tcW w:w="1701" w:type="dxa"/>
          </w:tcPr>
          <w:p>
            <w:pPr>
              <w:pStyle w:val="178"/>
            </w:pPr>
            <w:r>
              <w:rPr>
                <w:rFonts w:hint="eastAsia"/>
              </w:rPr>
              <w:t>道路边坡、林缘、石质坡面</w:t>
            </w:r>
          </w:p>
        </w:tc>
        <w:tc>
          <w:tcPr>
            <w:tcW w:w="1692" w:type="dxa"/>
          </w:tcPr>
          <w:p>
            <w:pPr>
              <w:pStyle w:val="178"/>
            </w:pPr>
            <w:r>
              <w:rPr>
                <w:rFonts w:hint="eastAsia"/>
              </w:rPr>
              <w:t>2500～4000株/hm²</w:t>
            </w:r>
          </w:p>
        </w:tc>
        <w:tc>
          <w:tcPr>
            <w:tcW w:w="1556" w:type="dxa"/>
          </w:tcPr>
          <w:p>
            <w:pPr>
              <w:pStyle w:val="178"/>
            </w:pPr>
            <w:r>
              <w:rPr>
                <w:rFonts w:hint="eastAsia"/>
              </w:rPr>
              <w:t>Pb、Cd、Zn（耐受）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野蔷薇 Rosa multiflora</w:t>
            </w:r>
          </w:p>
        </w:tc>
        <w:tc>
          <w:tcPr>
            <w:tcW w:w="2268" w:type="dxa"/>
          </w:tcPr>
          <w:p>
            <w:pPr>
              <w:pStyle w:val="178"/>
            </w:pPr>
            <w:r>
              <w:rPr>
                <w:rFonts w:hint="eastAsia"/>
              </w:rPr>
              <w:t>根系密集、萌蘖强，适宜构建防护灌丛</w:t>
            </w:r>
          </w:p>
        </w:tc>
        <w:tc>
          <w:tcPr>
            <w:tcW w:w="1701" w:type="dxa"/>
          </w:tcPr>
          <w:p>
            <w:pPr>
              <w:pStyle w:val="178"/>
            </w:pPr>
            <w:r>
              <w:rPr>
                <w:rFonts w:hint="eastAsia"/>
              </w:rPr>
              <w:t>沟谷、边坡、平台及隔离带</w:t>
            </w:r>
          </w:p>
        </w:tc>
        <w:tc>
          <w:tcPr>
            <w:tcW w:w="1692" w:type="dxa"/>
          </w:tcPr>
          <w:p>
            <w:pPr>
              <w:pStyle w:val="178"/>
            </w:pPr>
            <w:r>
              <w:rPr>
                <w:rFonts w:hint="eastAsia"/>
              </w:rPr>
              <w:t>2500～4000株/hm²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小叶女贞 Ligustrum quihoui</w:t>
            </w:r>
          </w:p>
        </w:tc>
        <w:tc>
          <w:tcPr>
            <w:tcW w:w="2268" w:type="dxa"/>
          </w:tcPr>
          <w:p>
            <w:pPr>
              <w:pStyle w:val="178"/>
            </w:pPr>
            <w:r>
              <w:rPr>
                <w:rFonts w:hint="eastAsia"/>
              </w:rPr>
              <w:t>耐修剪、抗污染，适合绿篱和缓冲带</w:t>
            </w:r>
          </w:p>
        </w:tc>
        <w:tc>
          <w:tcPr>
            <w:tcW w:w="1701" w:type="dxa"/>
          </w:tcPr>
          <w:p>
            <w:pPr>
              <w:pStyle w:val="178"/>
            </w:pPr>
            <w:r>
              <w:rPr>
                <w:rFonts w:hint="eastAsia"/>
              </w:rPr>
              <w:t>矿区道路、工业场地和居民区周边</w:t>
            </w:r>
          </w:p>
        </w:tc>
        <w:tc>
          <w:tcPr>
            <w:tcW w:w="1692" w:type="dxa"/>
          </w:tcPr>
          <w:p>
            <w:pPr>
              <w:pStyle w:val="178"/>
            </w:pPr>
            <w:r>
              <w:rPr>
                <w:rFonts w:hint="eastAsia"/>
              </w:rPr>
              <w:t>3300～5000株/hm²</w:t>
            </w:r>
          </w:p>
        </w:tc>
        <w:tc>
          <w:tcPr>
            <w:tcW w:w="1556" w:type="dxa"/>
          </w:tcPr>
          <w:p>
            <w:pPr>
              <w:pStyle w:val="178"/>
            </w:pPr>
            <w:r>
              <w:rPr>
                <w:rFonts w:hint="eastAsia"/>
              </w:rPr>
              <w:t>Pb、Cd、Zn、Cu（耐受/滞尘）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灌木</w:t>
            </w:r>
          </w:p>
        </w:tc>
        <w:tc>
          <w:tcPr>
            <w:tcW w:w="1418" w:type="dxa"/>
          </w:tcPr>
          <w:p>
            <w:pPr>
              <w:pStyle w:val="178"/>
            </w:pPr>
            <w:r>
              <w:rPr>
                <w:rFonts w:hint="eastAsia"/>
              </w:rPr>
              <w:t>山胡椒 Lindera glauca</w:t>
            </w:r>
          </w:p>
        </w:tc>
        <w:tc>
          <w:tcPr>
            <w:tcW w:w="2268" w:type="dxa"/>
          </w:tcPr>
          <w:p>
            <w:pPr>
              <w:pStyle w:val="178"/>
            </w:pPr>
            <w:r>
              <w:rPr>
                <w:rFonts w:hint="eastAsia"/>
              </w:rPr>
              <w:t>乡土适生、耐贫瘠，群落恢复和鸟类栖息价值较好</w:t>
            </w:r>
          </w:p>
        </w:tc>
        <w:tc>
          <w:tcPr>
            <w:tcW w:w="1701" w:type="dxa"/>
          </w:tcPr>
          <w:p>
            <w:pPr>
              <w:pStyle w:val="178"/>
            </w:pPr>
            <w:r>
              <w:rPr>
                <w:rFonts w:hint="eastAsia"/>
              </w:rPr>
              <w:t>林缘、缓坡、自然恢复辅助区</w:t>
            </w:r>
          </w:p>
        </w:tc>
        <w:tc>
          <w:tcPr>
            <w:tcW w:w="1692" w:type="dxa"/>
          </w:tcPr>
          <w:p>
            <w:pPr>
              <w:pStyle w:val="178"/>
            </w:pPr>
            <w:r>
              <w:rPr>
                <w:rFonts w:hint="eastAsia"/>
              </w:rPr>
              <w:t>2500～4000株/hm²</w:t>
            </w:r>
          </w:p>
        </w:tc>
        <w:tc>
          <w:tcPr>
            <w:tcW w:w="1556" w:type="dxa"/>
          </w:tcPr>
          <w:p>
            <w:pPr>
              <w:pStyle w:val="178"/>
            </w:pPr>
            <w:r>
              <w:rPr>
                <w:rFonts w:hint="eastAsia"/>
              </w:rPr>
              <w:t>Pb、Cd、Zn（中低度污染耐受）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狗牙根 Cynodon dactylon</w:t>
            </w:r>
          </w:p>
        </w:tc>
        <w:tc>
          <w:tcPr>
            <w:tcW w:w="2268" w:type="dxa"/>
          </w:tcPr>
          <w:p>
            <w:pPr>
              <w:pStyle w:val="178"/>
            </w:pPr>
            <w:r>
              <w:rPr>
                <w:rFonts w:hint="eastAsia"/>
              </w:rPr>
              <w:t>匍匐根茎发达、覆盖快、耐践踏，固土能力强</w:t>
            </w:r>
          </w:p>
        </w:tc>
        <w:tc>
          <w:tcPr>
            <w:tcW w:w="1701" w:type="dxa"/>
          </w:tcPr>
          <w:p>
            <w:pPr>
              <w:pStyle w:val="178"/>
            </w:pPr>
            <w:r>
              <w:rPr>
                <w:rFonts w:hint="eastAsia"/>
              </w:rPr>
              <w:t>裸露坡面、尾砂地、道路边坡</w:t>
            </w:r>
          </w:p>
        </w:tc>
        <w:tc>
          <w:tcPr>
            <w:tcW w:w="1692" w:type="dxa"/>
          </w:tcPr>
          <w:p>
            <w:pPr>
              <w:pStyle w:val="178"/>
            </w:pPr>
            <w:r>
              <w:rPr>
                <w:rFonts w:hint="eastAsia"/>
              </w:rPr>
              <w:t>30～60 kg/hm²</w:t>
            </w:r>
          </w:p>
        </w:tc>
        <w:tc>
          <w:tcPr>
            <w:tcW w:w="1556" w:type="dxa"/>
          </w:tcPr>
          <w:p>
            <w:pPr>
              <w:pStyle w:val="178"/>
            </w:pPr>
            <w:r>
              <w:rPr>
                <w:rFonts w:hint="eastAsia"/>
              </w:rPr>
              <w:t>Pb、Cd、Zn、Cu、Cr（耐受/根部固持）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百喜草 Paspalum notatum</w:t>
            </w:r>
          </w:p>
        </w:tc>
        <w:tc>
          <w:tcPr>
            <w:tcW w:w="2268" w:type="dxa"/>
          </w:tcPr>
          <w:p>
            <w:pPr>
              <w:pStyle w:val="178"/>
            </w:pPr>
            <w:r>
              <w:rPr>
                <w:rFonts w:hint="eastAsia"/>
              </w:rPr>
              <w:t>耐酸、耐旱瘠薄、根系发达，适合南方坡面</w:t>
            </w:r>
          </w:p>
        </w:tc>
        <w:tc>
          <w:tcPr>
            <w:tcW w:w="1701" w:type="dxa"/>
          </w:tcPr>
          <w:p>
            <w:pPr>
              <w:pStyle w:val="178"/>
            </w:pPr>
            <w:r>
              <w:rPr>
                <w:rFonts w:hint="eastAsia"/>
              </w:rPr>
              <w:t>酸性尾矿地、排土场、边坡快速覆盖</w:t>
            </w:r>
          </w:p>
        </w:tc>
        <w:tc>
          <w:tcPr>
            <w:tcW w:w="1692" w:type="dxa"/>
          </w:tcPr>
          <w:p>
            <w:pPr>
              <w:pStyle w:val="178"/>
            </w:pPr>
            <w:r>
              <w:rPr>
                <w:rFonts w:hint="eastAsia"/>
              </w:rPr>
              <w:t>45～75 kg/hm²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高羊茅 Festuca arundinacea</w:t>
            </w:r>
          </w:p>
        </w:tc>
        <w:tc>
          <w:tcPr>
            <w:tcW w:w="2268" w:type="dxa"/>
          </w:tcPr>
          <w:p>
            <w:pPr>
              <w:pStyle w:val="178"/>
            </w:pPr>
            <w:r>
              <w:rPr>
                <w:rFonts w:hint="eastAsia"/>
              </w:rPr>
              <w:t>成坪快、根系密集、适应性强</w:t>
            </w:r>
          </w:p>
        </w:tc>
        <w:tc>
          <w:tcPr>
            <w:tcW w:w="1701" w:type="dxa"/>
          </w:tcPr>
          <w:p>
            <w:pPr>
              <w:pStyle w:val="178"/>
            </w:pPr>
            <w:r>
              <w:rPr>
                <w:rFonts w:hint="eastAsia"/>
              </w:rPr>
              <w:t>平台、缓坡、喷播和水土保持草被</w:t>
            </w:r>
          </w:p>
        </w:tc>
        <w:tc>
          <w:tcPr>
            <w:tcW w:w="1692" w:type="dxa"/>
          </w:tcPr>
          <w:p>
            <w:pPr>
              <w:pStyle w:val="178"/>
            </w:pPr>
            <w:r>
              <w:rPr>
                <w:rFonts w:hint="eastAsia"/>
              </w:rPr>
              <w:t>45～75 kg/hm²</w:t>
            </w:r>
          </w:p>
        </w:tc>
        <w:tc>
          <w:tcPr>
            <w:tcW w:w="1556" w:type="dxa"/>
          </w:tcPr>
          <w:p>
            <w:pPr>
              <w:pStyle w:val="178"/>
            </w:pPr>
            <w:r>
              <w:rPr>
                <w:rFonts w:hint="eastAsia"/>
              </w:rPr>
              <w:t>Pb、Cd、Zn、Cu、Ni（耐受/稳定）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多年生黑麦草 Lolium perenne</w:t>
            </w:r>
          </w:p>
        </w:tc>
        <w:tc>
          <w:tcPr>
            <w:tcW w:w="2268" w:type="dxa"/>
          </w:tcPr>
          <w:p>
            <w:pPr>
              <w:pStyle w:val="178"/>
            </w:pPr>
            <w:r>
              <w:rPr>
                <w:rFonts w:hint="eastAsia"/>
              </w:rPr>
              <w:t>出苗快、耐寒湿，可与豆科草混播</w:t>
            </w:r>
          </w:p>
        </w:tc>
        <w:tc>
          <w:tcPr>
            <w:tcW w:w="1701" w:type="dxa"/>
          </w:tcPr>
          <w:p>
            <w:pPr>
              <w:pStyle w:val="178"/>
            </w:pPr>
            <w:r>
              <w:rPr>
                <w:rFonts w:hint="eastAsia"/>
              </w:rPr>
              <w:t>平台、缓坡、覆土喷播区</w:t>
            </w:r>
          </w:p>
        </w:tc>
        <w:tc>
          <w:tcPr>
            <w:tcW w:w="1692" w:type="dxa"/>
          </w:tcPr>
          <w:p>
            <w:pPr>
              <w:pStyle w:val="178"/>
            </w:pPr>
            <w:r>
              <w:rPr>
                <w:rFonts w:hint="eastAsia"/>
              </w:rPr>
              <w:t>45～75 kg/hm²</w:t>
            </w:r>
          </w:p>
        </w:tc>
        <w:tc>
          <w:tcPr>
            <w:tcW w:w="1556" w:type="dxa"/>
          </w:tcPr>
          <w:p>
            <w:pPr>
              <w:pStyle w:val="178"/>
            </w:pPr>
            <w:r>
              <w:rPr>
                <w:rFonts w:hint="eastAsia"/>
              </w:rPr>
              <w:t>Pb、Cd、Zn、Cu（耐受/根部固持）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白三叶 Trifolium repens</w:t>
            </w:r>
          </w:p>
        </w:tc>
        <w:tc>
          <w:tcPr>
            <w:tcW w:w="2268" w:type="dxa"/>
          </w:tcPr>
          <w:p>
            <w:pPr>
              <w:pStyle w:val="178"/>
            </w:pPr>
            <w:r>
              <w:rPr>
                <w:rFonts w:hint="eastAsia"/>
              </w:rPr>
              <w:t>固氮、地被效果好，耐湿和轻度贫瘠</w:t>
            </w:r>
          </w:p>
        </w:tc>
        <w:tc>
          <w:tcPr>
            <w:tcW w:w="1701" w:type="dxa"/>
          </w:tcPr>
          <w:p>
            <w:pPr>
              <w:pStyle w:val="178"/>
            </w:pPr>
            <w:r>
              <w:rPr>
                <w:rFonts w:hint="eastAsia"/>
              </w:rPr>
              <w:t>缓坡、林下、改良土和混播草地</w:t>
            </w:r>
          </w:p>
        </w:tc>
        <w:tc>
          <w:tcPr>
            <w:tcW w:w="1692" w:type="dxa"/>
          </w:tcPr>
          <w:p>
            <w:pPr>
              <w:pStyle w:val="178"/>
            </w:pPr>
            <w:r>
              <w:rPr>
                <w:rFonts w:hint="eastAsia"/>
              </w:rPr>
              <w:t>15～30 kg/hm²</w:t>
            </w:r>
          </w:p>
        </w:tc>
        <w:tc>
          <w:tcPr>
            <w:tcW w:w="1556" w:type="dxa"/>
          </w:tcPr>
          <w:p>
            <w:pPr>
              <w:pStyle w:val="178"/>
            </w:pPr>
            <w:r>
              <w:rPr>
                <w:rFonts w:hint="eastAsia"/>
              </w:rPr>
              <w:t>Pb、Cd、Zn、Cu（中低度污染耐受）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红三叶 Trifolium pratense</w:t>
            </w:r>
          </w:p>
        </w:tc>
        <w:tc>
          <w:tcPr>
            <w:tcW w:w="2268" w:type="dxa"/>
          </w:tcPr>
          <w:p>
            <w:pPr>
              <w:pStyle w:val="178"/>
            </w:pPr>
            <w:r>
              <w:rPr>
                <w:rFonts w:hint="eastAsia"/>
              </w:rPr>
              <w:t>固氮、改土、覆盖较快，适宜混播</w:t>
            </w:r>
          </w:p>
        </w:tc>
        <w:tc>
          <w:tcPr>
            <w:tcW w:w="1701" w:type="dxa"/>
          </w:tcPr>
          <w:p>
            <w:pPr>
              <w:pStyle w:val="178"/>
            </w:pPr>
            <w:r>
              <w:rPr>
                <w:rFonts w:hint="eastAsia"/>
              </w:rPr>
              <w:t>平台、缓坡和客土改良区</w:t>
            </w:r>
          </w:p>
        </w:tc>
        <w:tc>
          <w:tcPr>
            <w:tcW w:w="1692" w:type="dxa"/>
          </w:tcPr>
          <w:p>
            <w:pPr>
              <w:pStyle w:val="178"/>
            </w:pPr>
            <w:r>
              <w:rPr>
                <w:rFonts w:hint="eastAsia"/>
              </w:rPr>
              <w:t>15～30 kg/hm²</w:t>
            </w:r>
          </w:p>
        </w:tc>
        <w:tc>
          <w:tcPr>
            <w:tcW w:w="1556" w:type="dxa"/>
          </w:tcPr>
          <w:p>
            <w:pPr>
              <w:pStyle w:val="178"/>
            </w:pPr>
            <w:r>
              <w:rPr>
                <w:rFonts w:hint="eastAsia"/>
              </w:rPr>
              <w:t>Pb、Cd、Zn（中低度污染耐受）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白花草木樨 Melilotus albus</w:t>
            </w:r>
          </w:p>
        </w:tc>
        <w:tc>
          <w:tcPr>
            <w:tcW w:w="2268" w:type="dxa"/>
          </w:tcPr>
          <w:p>
            <w:pPr>
              <w:pStyle w:val="178"/>
            </w:pPr>
            <w:r>
              <w:rPr>
                <w:rFonts w:hint="eastAsia"/>
              </w:rPr>
              <w:t>豆科固氮，耐旱、耐贫瘠和轻度盐碱</w:t>
            </w:r>
          </w:p>
        </w:tc>
        <w:tc>
          <w:tcPr>
            <w:tcW w:w="1701" w:type="dxa"/>
          </w:tcPr>
          <w:p>
            <w:pPr>
              <w:pStyle w:val="178"/>
            </w:pPr>
            <w:r>
              <w:rPr>
                <w:rFonts w:hint="eastAsia"/>
              </w:rPr>
              <w:t>排土场、石灰岩立地、覆土较薄区域</w:t>
            </w:r>
          </w:p>
        </w:tc>
        <w:tc>
          <w:tcPr>
            <w:tcW w:w="1692" w:type="dxa"/>
          </w:tcPr>
          <w:p>
            <w:pPr>
              <w:pStyle w:val="178"/>
            </w:pPr>
            <w:r>
              <w:rPr>
                <w:rFonts w:hint="eastAsia"/>
              </w:rPr>
              <w:t>20～35 kg/hm²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紫花苜蓿 Medicago sativa</w:t>
            </w:r>
          </w:p>
        </w:tc>
        <w:tc>
          <w:tcPr>
            <w:tcW w:w="2268" w:type="dxa"/>
          </w:tcPr>
          <w:p>
            <w:pPr>
              <w:pStyle w:val="178"/>
            </w:pPr>
            <w:r>
              <w:rPr>
                <w:rFonts w:hint="eastAsia"/>
              </w:rPr>
              <w:t>根系深、固氮、改土能力强，生物量较大</w:t>
            </w:r>
          </w:p>
        </w:tc>
        <w:tc>
          <w:tcPr>
            <w:tcW w:w="1701" w:type="dxa"/>
          </w:tcPr>
          <w:p>
            <w:pPr>
              <w:pStyle w:val="178"/>
            </w:pPr>
            <w:r>
              <w:rPr>
                <w:rFonts w:hint="eastAsia"/>
              </w:rPr>
              <w:t>平台、缓坡、覆土较厚且排水良好区</w:t>
            </w:r>
          </w:p>
        </w:tc>
        <w:tc>
          <w:tcPr>
            <w:tcW w:w="1692" w:type="dxa"/>
          </w:tcPr>
          <w:p>
            <w:pPr>
              <w:pStyle w:val="178"/>
            </w:pPr>
            <w:r>
              <w:rPr>
                <w:rFonts w:hint="eastAsia"/>
              </w:rPr>
              <w:t>20～30 kg/hm²</w:t>
            </w:r>
          </w:p>
        </w:tc>
        <w:tc>
          <w:tcPr>
            <w:tcW w:w="1556" w:type="dxa"/>
          </w:tcPr>
          <w:p>
            <w:pPr>
              <w:pStyle w:val="178"/>
            </w:pPr>
            <w:r>
              <w:rPr>
                <w:rFonts w:hint="eastAsia"/>
              </w:rPr>
              <w:t>Pb、Cd、Zn、Cu（耐受）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香根草 Chrysopogon zizanioides</w:t>
            </w:r>
          </w:p>
        </w:tc>
        <w:tc>
          <w:tcPr>
            <w:tcW w:w="2268" w:type="dxa"/>
          </w:tcPr>
          <w:p>
            <w:pPr>
              <w:pStyle w:val="178"/>
            </w:pPr>
            <w:r>
              <w:rPr>
                <w:rFonts w:hint="eastAsia"/>
              </w:rPr>
              <w:t>根系极深、耐旱耐湿、固坡拦沙能力强</w:t>
            </w:r>
          </w:p>
        </w:tc>
        <w:tc>
          <w:tcPr>
            <w:tcW w:w="1701" w:type="dxa"/>
          </w:tcPr>
          <w:p>
            <w:pPr>
              <w:pStyle w:val="178"/>
            </w:pPr>
            <w:r>
              <w:rPr>
                <w:rFonts w:hint="eastAsia"/>
              </w:rPr>
              <w:t>高陡边坡平台、排水沟、尾矿库坝坡</w:t>
            </w:r>
          </w:p>
        </w:tc>
        <w:tc>
          <w:tcPr>
            <w:tcW w:w="1692" w:type="dxa"/>
          </w:tcPr>
          <w:p>
            <w:pPr>
              <w:pStyle w:val="178"/>
            </w:pPr>
            <w:r>
              <w:rPr>
                <w:rFonts w:hint="eastAsia"/>
              </w:rPr>
              <w:t>15～25株/m²</w:t>
            </w:r>
          </w:p>
        </w:tc>
        <w:tc>
          <w:tcPr>
            <w:tcW w:w="1556" w:type="dxa"/>
          </w:tcPr>
          <w:p>
            <w:pPr>
              <w:pStyle w:val="178"/>
            </w:pPr>
            <w:r>
              <w:rPr>
                <w:rFonts w:hint="eastAsia"/>
              </w:rPr>
              <w:t>Pb、Cd、Zn、Cu、As、Cr（耐受/根部固持）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荩草 Arthraxon hispidus</w:t>
            </w:r>
          </w:p>
        </w:tc>
        <w:tc>
          <w:tcPr>
            <w:tcW w:w="2268" w:type="dxa"/>
          </w:tcPr>
          <w:p>
            <w:pPr>
              <w:pStyle w:val="178"/>
            </w:pPr>
            <w:r>
              <w:rPr>
                <w:rFonts w:hint="eastAsia"/>
              </w:rPr>
              <w:t>湖南常见乡土草本，适应干湿变化，易自然更新</w:t>
            </w:r>
          </w:p>
        </w:tc>
        <w:tc>
          <w:tcPr>
            <w:tcW w:w="1701" w:type="dxa"/>
          </w:tcPr>
          <w:p>
            <w:pPr>
              <w:pStyle w:val="178"/>
            </w:pPr>
            <w:r>
              <w:rPr>
                <w:rFonts w:hint="eastAsia"/>
              </w:rPr>
              <w:t>坡面、林缘、沟边及封育辅助区</w:t>
            </w:r>
          </w:p>
        </w:tc>
        <w:tc>
          <w:tcPr>
            <w:tcW w:w="1692" w:type="dxa"/>
          </w:tcPr>
          <w:p>
            <w:pPr>
              <w:pStyle w:val="178"/>
            </w:pPr>
            <w:r>
              <w:rPr>
                <w:rFonts w:hint="eastAsia"/>
              </w:rPr>
              <w:t>30～60 kg/hm²</w:t>
            </w:r>
          </w:p>
        </w:tc>
        <w:tc>
          <w:tcPr>
            <w:tcW w:w="1556" w:type="dxa"/>
          </w:tcPr>
          <w:p>
            <w:pPr>
              <w:pStyle w:val="178"/>
            </w:pPr>
            <w:r>
              <w:rPr>
                <w:rFonts w:hint="eastAsia"/>
              </w:rPr>
              <w:t>Pb、Cd、Zn、Cu（耐受潜力）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芒 Miscanthus sinensis</w:t>
            </w:r>
          </w:p>
        </w:tc>
        <w:tc>
          <w:tcPr>
            <w:tcW w:w="2268" w:type="dxa"/>
          </w:tcPr>
          <w:p>
            <w:pPr>
              <w:pStyle w:val="178"/>
            </w:pPr>
            <w:r>
              <w:rPr>
                <w:rFonts w:hint="eastAsia"/>
              </w:rPr>
              <w:t>乡土高生物量禾草，耐瘠薄、根系发达</w:t>
            </w:r>
          </w:p>
        </w:tc>
        <w:tc>
          <w:tcPr>
            <w:tcW w:w="1701" w:type="dxa"/>
          </w:tcPr>
          <w:p>
            <w:pPr>
              <w:pStyle w:val="178"/>
            </w:pPr>
            <w:r>
              <w:rPr>
                <w:rFonts w:hint="eastAsia"/>
              </w:rPr>
              <w:t>废石堆、尾矿地、坡面和景观隔离带</w:t>
            </w:r>
          </w:p>
        </w:tc>
        <w:tc>
          <w:tcPr>
            <w:tcW w:w="1692" w:type="dxa"/>
          </w:tcPr>
          <w:p>
            <w:pPr>
              <w:pStyle w:val="178"/>
            </w:pPr>
            <w:r>
              <w:rPr>
                <w:rFonts w:hint="eastAsia"/>
              </w:rPr>
              <w:t>15～30 kg/hm²或9～16株/m²</w:t>
            </w:r>
          </w:p>
        </w:tc>
        <w:tc>
          <w:tcPr>
            <w:tcW w:w="1556" w:type="dxa"/>
          </w:tcPr>
          <w:p>
            <w:pPr>
              <w:pStyle w:val="178"/>
            </w:pPr>
            <w:r>
              <w:rPr>
                <w:rFonts w:hint="eastAsia"/>
              </w:rPr>
              <w:t>Sb、Pb、Cd、Zn、Cu、Mn（耐受/稳定）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五节芒 Miscanthus floridulus</w:t>
            </w:r>
          </w:p>
        </w:tc>
        <w:tc>
          <w:tcPr>
            <w:tcW w:w="2268" w:type="dxa"/>
          </w:tcPr>
          <w:p>
            <w:pPr>
              <w:pStyle w:val="178"/>
            </w:pPr>
            <w:r>
              <w:rPr>
                <w:rFonts w:hint="eastAsia"/>
              </w:rPr>
              <w:t>华南矿区常见先锋草本，耐酸瘠薄，生物量大</w:t>
            </w:r>
          </w:p>
        </w:tc>
        <w:tc>
          <w:tcPr>
            <w:tcW w:w="1701" w:type="dxa"/>
          </w:tcPr>
          <w:p>
            <w:pPr>
              <w:pStyle w:val="178"/>
            </w:pPr>
            <w:r>
              <w:rPr>
                <w:rFonts w:hint="eastAsia"/>
              </w:rPr>
              <w:t>酸性尾矿库、排土场、废石堆</w:t>
            </w:r>
          </w:p>
        </w:tc>
        <w:tc>
          <w:tcPr>
            <w:tcW w:w="1692" w:type="dxa"/>
          </w:tcPr>
          <w:p>
            <w:pPr>
              <w:pStyle w:val="178"/>
            </w:pPr>
            <w:r>
              <w:rPr>
                <w:rFonts w:hint="eastAsia"/>
              </w:rPr>
              <w:t>15～30 kg/hm²或6～12株/m²</w:t>
            </w:r>
          </w:p>
        </w:tc>
        <w:tc>
          <w:tcPr>
            <w:tcW w:w="1556" w:type="dxa"/>
          </w:tcPr>
          <w:p>
            <w:pPr>
              <w:pStyle w:val="178"/>
            </w:pPr>
            <w:r>
              <w:rPr>
                <w:rFonts w:hint="eastAsia"/>
              </w:rPr>
              <w:t>Pb、Cd、Zn、Cu、As（耐受/富集潜力）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苎麻 Boehmeria nivea</w:t>
            </w:r>
          </w:p>
        </w:tc>
        <w:tc>
          <w:tcPr>
            <w:tcW w:w="2268" w:type="dxa"/>
          </w:tcPr>
          <w:p>
            <w:pPr>
              <w:pStyle w:val="178"/>
            </w:pPr>
            <w:r>
              <w:rPr>
                <w:rFonts w:hint="eastAsia"/>
              </w:rPr>
              <w:t>湖南传统纤维植物，根系发达，生物量较高</w:t>
            </w:r>
          </w:p>
        </w:tc>
        <w:tc>
          <w:tcPr>
            <w:tcW w:w="1701" w:type="dxa"/>
          </w:tcPr>
          <w:p>
            <w:pPr>
              <w:pStyle w:val="178"/>
            </w:pPr>
            <w:r>
              <w:rPr>
                <w:rFonts w:hint="eastAsia"/>
              </w:rPr>
              <w:t>缓坡、平台和覆土较厚污染地</w:t>
            </w:r>
          </w:p>
        </w:tc>
        <w:tc>
          <w:tcPr>
            <w:tcW w:w="1692" w:type="dxa"/>
          </w:tcPr>
          <w:p>
            <w:pPr>
              <w:pStyle w:val="178"/>
            </w:pPr>
            <w:r>
              <w:rPr>
                <w:rFonts w:hint="eastAsia"/>
              </w:rPr>
              <w:t>5～7.5 kg/hm²</w:t>
            </w:r>
          </w:p>
        </w:tc>
        <w:tc>
          <w:tcPr>
            <w:tcW w:w="1556" w:type="dxa"/>
          </w:tcPr>
          <w:p>
            <w:pPr>
              <w:pStyle w:val="178"/>
            </w:pPr>
            <w:r>
              <w:rPr>
                <w:rFonts w:hint="eastAsia"/>
              </w:rPr>
              <w:t>Cd、Pb、Zn、Cu（耐受/富集潜力；不作饲用）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东南景天 Sedum alfredii</w:t>
            </w:r>
          </w:p>
        </w:tc>
        <w:tc>
          <w:tcPr>
            <w:tcW w:w="2268" w:type="dxa"/>
          </w:tcPr>
          <w:p>
            <w:pPr>
              <w:pStyle w:val="178"/>
            </w:pPr>
            <w:r>
              <w:rPr>
                <w:rFonts w:hint="eastAsia"/>
              </w:rPr>
              <w:t>锌镉超富集植物，适用于植物提取示范</w:t>
            </w:r>
          </w:p>
        </w:tc>
        <w:tc>
          <w:tcPr>
            <w:tcW w:w="1701" w:type="dxa"/>
          </w:tcPr>
          <w:p>
            <w:pPr>
              <w:pStyle w:val="178"/>
            </w:pPr>
            <w:r>
              <w:rPr>
                <w:rFonts w:hint="eastAsia"/>
              </w:rPr>
              <w:t>Zn、Cd污染且便于收割处置的小区</w:t>
            </w:r>
          </w:p>
        </w:tc>
        <w:tc>
          <w:tcPr>
            <w:tcW w:w="1692" w:type="dxa"/>
          </w:tcPr>
          <w:p>
            <w:pPr>
              <w:pStyle w:val="178"/>
            </w:pPr>
            <w:r>
              <w:rPr>
                <w:rFonts w:hint="eastAsia"/>
              </w:rPr>
              <w:t>20～30株/m²</w:t>
            </w:r>
          </w:p>
        </w:tc>
        <w:tc>
          <w:tcPr>
            <w:tcW w:w="1556" w:type="dxa"/>
          </w:tcPr>
          <w:p>
            <w:pPr>
              <w:pStyle w:val="178"/>
            </w:pPr>
            <w:r>
              <w:rPr>
                <w:rFonts w:hint="eastAsia"/>
              </w:rPr>
              <w:t>Zn、Cd（超富集；需规范收获处置）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草本</w:t>
            </w:r>
          </w:p>
        </w:tc>
        <w:tc>
          <w:tcPr>
            <w:tcW w:w="1418" w:type="dxa"/>
          </w:tcPr>
          <w:p>
            <w:pPr>
              <w:pStyle w:val="178"/>
            </w:pPr>
            <w:r>
              <w:rPr>
                <w:rFonts w:hint="eastAsia"/>
              </w:rPr>
              <w:t>蜈蚣草 Pteris vittata</w:t>
            </w:r>
          </w:p>
        </w:tc>
        <w:tc>
          <w:tcPr>
            <w:tcW w:w="2268" w:type="dxa"/>
          </w:tcPr>
          <w:p>
            <w:pPr>
              <w:pStyle w:val="178"/>
            </w:pPr>
            <w:r>
              <w:rPr>
                <w:rFonts w:hint="eastAsia"/>
              </w:rPr>
              <w:t>砷超富集蕨类，喜温湿和钙质基质</w:t>
            </w:r>
          </w:p>
        </w:tc>
        <w:tc>
          <w:tcPr>
            <w:tcW w:w="1701" w:type="dxa"/>
          </w:tcPr>
          <w:p>
            <w:pPr>
              <w:pStyle w:val="178"/>
            </w:pPr>
            <w:r>
              <w:rPr>
                <w:rFonts w:hint="eastAsia"/>
              </w:rPr>
              <w:t>As污染石灰岩矿区、沟谷及试验示范区</w:t>
            </w:r>
          </w:p>
        </w:tc>
        <w:tc>
          <w:tcPr>
            <w:tcW w:w="1692" w:type="dxa"/>
          </w:tcPr>
          <w:p>
            <w:pPr>
              <w:pStyle w:val="178"/>
            </w:pPr>
            <w:r>
              <w:rPr>
                <w:rFonts w:hint="eastAsia"/>
              </w:rPr>
              <w:t>15～25株/m²</w:t>
            </w:r>
          </w:p>
        </w:tc>
        <w:tc>
          <w:tcPr>
            <w:tcW w:w="1556" w:type="dxa"/>
          </w:tcPr>
          <w:p>
            <w:pPr>
              <w:pStyle w:val="178"/>
            </w:pPr>
            <w:r>
              <w:rPr>
                <w:rFonts w:hint="eastAsia"/>
              </w:rPr>
              <w:t>Sb、As（超富集；需规范收获处置）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藤本</w:t>
            </w:r>
          </w:p>
        </w:tc>
        <w:tc>
          <w:tcPr>
            <w:tcW w:w="1418" w:type="dxa"/>
          </w:tcPr>
          <w:p>
            <w:pPr>
              <w:pStyle w:val="178"/>
            </w:pPr>
            <w:r>
              <w:rPr>
                <w:rFonts w:hint="eastAsia"/>
              </w:rPr>
              <w:t>常春油麻藤 Mucuna sempervirens</w:t>
            </w:r>
          </w:p>
        </w:tc>
        <w:tc>
          <w:tcPr>
            <w:tcW w:w="2268" w:type="dxa"/>
          </w:tcPr>
          <w:p>
            <w:pPr>
              <w:pStyle w:val="178"/>
            </w:pPr>
            <w:r>
              <w:rPr>
                <w:rFonts w:hint="eastAsia"/>
              </w:rPr>
              <w:t>湖南矿山常见藤本物种，耐酸、耐贫瘠</w:t>
            </w:r>
          </w:p>
        </w:tc>
        <w:tc>
          <w:tcPr>
            <w:tcW w:w="1701" w:type="dxa"/>
          </w:tcPr>
          <w:p>
            <w:pPr>
              <w:pStyle w:val="178"/>
            </w:pPr>
            <w:r>
              <w:rPr>
                <w:rFonts w:hint="eastAsia"/>
              </w:rPr>
              <w:t>高陡岩质边坡、尾矿堆常用</w:t>
            </w:r>
          </w:p>
        </w:tc>
        <w:tc>
          <w:tcPr>
            <w:tcW w:w="1692" w:type="dxa"/>
          </w:tcPr>
          <w:p>
            <w:pPr>
              <w:pStyle w:val="178"/>
            </w:pPr>
            <w:r>
              <w:rPr>
                <w:rFonts w:hint="eastAsia"/>
              </w:rPr>
              <w:t>2～5株/m²</w:t>
            </w:r>
          </w:p>
        </w:tc>
        <w:tc>
          <w:tcPr>
            <w:tcW w:w="1556" w:type="dxa"/>
          </w:tcPr>
          <w:p>
            <w:pPr>
              <w:pStyle w:val="178"/>
            </w:pPr>
            <w:r>
              <w:rPr>
                <w:rFonts w:hint="eastAsia"/>
              </w:rPr>
              <w:t>Pb/Zn/Cu（耐受）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藤本</w:t>
            </w:r>
          </w:p>
        </w:tc>
        <w:tc>
          <w:tcPr>
            <w:tcW w:w="1418" w:type="dxa"/>
          </w:tcPr>
          <w:p>
            <w:pPr>
              <w:pStyle w:val="178"/>
            </w:pPr>
            <w:r>
              <w:rPr>
                <w:rFonts w:hint="eastAsia"/>
              </w:rPr>
              <w:t>爬山虎 Parthenocissus tricuspidata</w:t>
            </w:r>
          </w:p>
        </w:tc>
        <w:tc>
          <w:tcPr>
            <w:tcW w:w="2268" w:type="dxa"/>
          </w:tcPr>
          <w:p>
            <w:pPr>
              <w:pStyle w:val="178"/>
            </w:pPr>
            <w:r>
              <w:rPr>
                <w:rFonts w:hint="eastAsia"/>
              </w:rPr>
              <w:t>吸附型藤本，湖南本土、耐薄基质、耐重金属</w:t>
            </w:r>
          </w:p>
        </w:tc>
        <w:tc>
          <w:tcPr>
            <w:tcW w:w="1701" w:type="dxa"/>
          </w:tcPr>
          <w:p>
            <w:pPr>
              <w:pStyle w:val="178"/>
            </w:pPr>
            <w:r>
              <w:rPr>
                <w:rFonts w:hint="eastAsia"/>
              </w:rPr>
              <w:t>适合岩质陡边坡，边坡生态防护常用</w:t>
            </w:r>
          </w:p>
        </w:tc>
        <w:tc>
          <w:tcPr>
            <w:tcW w:w="1692" w:type="dxa"/>
          </w:tcPr>
          <w:p>
            <w:pPr>
              <w:pStyle w:val="178"/>
            </w:pPr>
            <w:r>
              <w:rPr>
                <w:rFonts w:hint="eastAsia"/>
              </w:rPr>
              <w:t>2～4株/m²</w:t>
            </w:r>
          </w:p>
        </w:tc>
        <w:tc>
          <w:tcPr>
            <w:tcW w:w="1556" w:type="dxa"/>
          </w:tcPr>
          <w:p>
            <w:pPr>
              <w:pStyle w:val="178"/>
            </w:pPr>
            <w:r>
              <w:rPr>
                <w:rFonts w:hint="eastAsia"/>
              </w:rPr>
              <w:t>Pb/Zn/Cu/Cd（耐受）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藤本</w:t>
            </w:r>
          </w:p>
        </w:tc>
        <w:tc>
          <w:tcPr>
            <w:tcW w:w="1418" w:type="dxa"/>
          </w:tcPr>
          <w:p>
            <w:pPr>
              <w:pStyle w:val="178"/>
            </w:pPr>
            <w:r>
              <w:rPr>
                <w:rFonts w:hint="eastAsia"/>
              </w:rPr>
              <w:t>凌霄 Campsis grandiflora</w:t>
            </w:r>
          </w:p>
        </w:tc>
        <w:tc>
          <w:tcPr>
            <w:tcW w:w="2268" w:type="dxa"/>
          </w:tcPr>
          <w:p>
            <w:pPr>
              <w:pStyle w:val="178"/>
            </w:pPr>
            <w:r>
              <w:rPr>
                <w:rFonts w:hint="eastAsia"/>
              </w:rPr>
              <w:t>乡土木质藤本，气生根吸附岩壁</w:t>
            </w:r>
          </w:p>
        </w:tc>
        <w:tc>
          <w:tcPr>
            <w:tcW w:w="1701" w:type="dxa"/>
          </w:tcPr>
          <w:p>
            <w:pPr>
              <w:pStyle w:val="178"/>
            </w:pPr>
            <w:r>
              <w:rPr>
                <w:rFonts w:hint="eastAsia"/>
              </w:rPr>
              <w:t>矿山高陡边坡常用</w:t>
            </w:r>
          </w:p>
        </w:tc>
        <w:tc>
          <w:tcPr>
            <w:tcW w:w="1692" w:type="dxa"/>
          </w:tcPr>
          <w:p>
            <w:pPr>
              <w:pStyle w:val="178"/>
            </w:pPr>
            <w:r>
              <w:rPr>
                <w:rFonts w:hint="eastAsia"/>
              </w:rPr>
              <w:t>2～3株/m²</w:t>
            </w:r>
          </w:p>
        </w:tc>
        <w:tc>
          <w:tcPr>
            <w:tcW w:w="1556" w:type="dxa"/>
          </w:tcPr>
          <w:p>
            <w:pPr>
              <w:pStyle w:val="178"/>
            </w:pPr>
            <w:r>
              <w:rPr>
                <w:rFonts w:hint="eastAsia"/>
              </w:rPr>
              <w:t>Pb/Zn/Cu（耐受）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藤本</w:t>
            </w:r>
          </w:p>
        </w:tc>
        <w:tc>
          <w:tcPr>
            <w:tcW w:w="1418" w:type="dxa"/>
          </w:tcPr>
          <w:p>
            <w:pPr>
              <w:pStyle w:val="178"/>
            </w:pPr>
            <w:r>
              <w:rPr>
                <w:rFonts w:hint="eastAsia"/>
              </w:rPr>
              <w:t>金银花 Lonicera japonica</w:t>
            </w:r>
          </w:p>
        </w:tc>
        <w:tc>
          <w:tcPr>
            <w:tcW w:w="2268" w:type="dxa"/>
          </w:tcPr>
          <w:p>
            <w:pPr>
              <w:pStyle w:val="178"/>
            </w:pPr>
            <w:r>
              <w:rPr>
                <w:rFonts w:hint="eastAsia"/>
              </w:rPr>
              <w:t>可搭配其他藤本混播，增加群落多样性</w:t>
            </w:r>
          </w:p>
        </w:tc>
        <w:tc>
          <w:tcPr>
            <w:tcW w:w="1701" w:type="dxa"/>
          </w:tcPr>
          <w:p>
            <w:pPr>
              <w:pStyle w:val="178"/>
            </w:pPr>
            <w:r>
              <w:rPr>
                <w:rFonts w:hint="eastAsia"/>
              </w:rPr>
              <w:t>适合污染程度中等的边坡</w:t>
            </w:r>
          </w:p>
        </w:tc>
        <w:tc>
          <w:tcPr>
            <w:tcW w:w="1692" w:type="dxa"/>
          </w:tcPr>
          <w:p>
            <w:pPr>
              <w:pStyle w:val="178"/>
            </w:pPr>
            <w:r>
              <w:rPr>
                <w:rFonts w:hint="eastAsia"/>
              </w:rPr>
              <w:t>2～3株/m²</w:t>
            </w:r>
          </w:p>
        </w:tc>
        <w:tc>
          <w:tcPr>
            <w:tcW w:w="1556" w:type="dxa"/>
          </w:tcPr>
          <w:p>
            <w:pPr>
              <w:pStyle w:val="178"/>
            </w:pPr>
            <w:r>
              <w:rPr>
                <w:rFonts w:hint="eastAsia"/>
              </w:rPr>
              <w:t>Pb/Zn/Cu（耐受）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湿生植物</w:t>
            </w:r>
          </w:p>
        </w:tc>
        <w:tc>
          <w:tcPr>
            <w:tcW w:w="1418" w:type="dxa"/>
          </w:tcPr>
          <w:p>
            <w:pPr>
              <w:pStyle w:val="178"/>
            </w:pPr>
            <w:r>
              <w:rPr>
                <w:rFonts w:hint="eastAsia"/>
              </w:rPr>
              <w:t>芦苇 Phragmites australis</w:t>
            </w:r>
          </w:p>
        </w:tc>
        <w:tc>
          <w:tcPr>
            <w:tcW w:w="2268" w:type="dxa"/>
          </w:tcPr>
          <w:p>
            <w:pPr>
              <w:pStyle w:val="178"/>
            </w:pPr>
            <w:r>
              <w:rPr>
                <w:rFonts w:hint="eastAsia"/>
              </w:rPr>
              <w:t>根茎发达、耐水淹，适合稳定岸坡和净化径流</w:t>
            </w:r>
          </w:p>
        </w:tc>
        <w:tc>
          <w:tcPr>
            <w:tcW w:w="1701" w:type="dxa"/>
          </w:tcPr>
          <w:p>
            <w:pPr>
              <w:pStyle w:val="178"/>
            </w:pPr>
            <w:r>
              <w:rPr>
                <w:rFonts w:hint="eastAsia"/>
              </w:rPr>
              <w:t>塌陷积水区、人工湿地、排水沟</w:t>
            </w:r>
          </w:p>
        </w:tc>
        <w:tc>
          <w:tcPr>
            <w:tcW w:w="1692" w:type="dxa"/>
          </w:tcPr>
          <w:p>
            <w:pPr>
              <w:pStyle w:val="178"/>
            </w:pPr>
            <w:r>
              <w:rPr>
                <w:rFonts w:hint="eastAsia"/>
              </w:rPr>
              <w:t>5～10株/m²</w:t>
            </w:r>
          </w:p>
        </w:tc>
        <w:tc>
          <w:tcPr>
            <w:tcW w:w="1556" w:type="dxa"/>
          </w:tcPr>
          <w:p>
            <w:pPr>
              <w:pStyle w:val="178"/>
            </w:pPr>
            <w:r>
              <w:rPr>
                <w:rFonts w:hint="eastAsia"/>
              </w:rPr>
              <w:t>Pb、Cd、Zn、Cu、Cr、As（耐受/根际固定）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湿生植物</w:t>
            </w:r>
          </w:p>
        </w:tc>
        <w:tc>
          <w:tcPr>
            <w:tcW w:w="1418" w:type="dxa"/>
          </w:tcPr>
          <w:p>
            <w:pPr>
              <w:pStyle w:val="178"/>
            </w:pPr>
            <w:r>
              <w:rPr>
                <w:rFonts w:hint="eastAsia"/>
              </w:rPr>
              <w:t>香蒲 Typha orientalis</w:t>
            </w:r>
          </w:p>
        </w:tc>
        <w:tc>
          <w:tcPr>
            <w:tcW w:w="2268" w:type="dxa"/>
          </w:tcPr>
          <w:p>
            <w:pPr>
              <w:pStyle w:val="178"/>
            </w:pPr>
            <w:r>
              <w:rPr>
                <w:rFonts w:hint="eastAsia"/>
              </w:rPr>
              <w:t>耐水淹、繁殖快，吸收和固定污染物能力较强</w:t>
            </w:r>
          </w:p>
        </w:tc>
        <w:tc>
          <w:tcPr>
            <w:tcW w:w="1701" w:type="dxa"/>
          </w:tcPr>
          <w:p>
            <w:pPr>
              <w:pStyle w:val="178"/>
            </w:pPr>
            <w:r>
              <w:rPr>
                <w:rFonts w:hint="eastAsia"/>
              </w:rPr>
              <w:t>浅水湿地、沉淀塘、尾矿库低洼区</w:t>
            </w:r>
          </w:p>
        </w:tc>
        <w:tc>
          <w:tcPr>
            <w:tcW w:w="1692" w:type="dxa"/>
          </w:tcPr>
          <w:p>
            <w:pPr>
              <w:pStyle w:val="178"/>
            </w:pPr>
            <w:r>
              <w:rPr>
                <w:rFonts w:hint="eastAsia"/>
              </w:rPr>
              <w:t>5～10株/m²</w:t>
            </w:r>
          </w:p>
        </w:tc>
        <w:tc>
          <w:tcPr>
            <w:tcW w:w="1556" w:type="dxa"/>
          </w:tcPr>
          <w:p>
            <w:pPr>
              <w:pStyle w:val="178"/>
            </w:pPr>
            <w:r>
              <w:rPr>
                <w:rFonts w:hint="eastAsia"/>
              </w:rPr>
              <w:t>Pb、Cd、Zn、Cu、Cr（耐受/富集潜力）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湿生植物</w:t>
            </w:r>
          </w:p>
        </w:tc>
        <w:tc>
          <w:tcPr>
            <w:tcW w:w="1418" w:type="dxa"/>
          </w:tcPr>
          <w:p>
            <w:pPr>
              <w:pStyle w:val="178"/>
            </w:pPr>
            <w:r>
              <w:rPr>
                <w:rFonts w:hint="eastAsia"/>
              </w:rPr>
              <w:t>灯心草 Juncus effusus</w:t>
            </w:r>
          </w:p>
        </w:tc>
        <w:tc>
          <w:tcPr>
            <w:tcW w:w="2268" w:type="dxa"/>
          </w:tcPr>
          <w:p>
            <w:pPr>
              <w:pStyle w:val="178"/>
            </w:pPr>
            <w:r>
              <w:rPr>
                <w:rFonts w:hint="eastAsia"/>
              </w:rPr>
              <w:t>湖南常见湿生植物，耐贫瘠、根丛密集</w:t>
            </w:r>
          </w:p>
        </w:tc>
        <w:tc>
          <w:tcPr>
            <w:tcW w:w="1701" w:type="dxa"/>
          </w:tcPr>
          <w:p>
            <w:pPr>
              <w:pStyle w:val="178"/>
            </w:pPr>
            <w:r>
              <w:rPr>
                <w:rFonts w:hint="eastAsia"/>
              </w:rPr>
              <w:t>湿地边缘、排水沟、季节性积水地</w:t>
            </w:r>
          </w:p>
        </w:tc>
        <w:tc>
          <w:tcPr>
            <w:tcW w:w="1692" w:type="dxa"/>
          </w:tcPr>
          <w:p>
            <w:pPr>
              <w:pStyle w:val="178"/>
            </w:pPr>
            <w:r>
              <w:rPr>
                <w:rFonts w:hint="eastAsia"/>
              </w:rPr>
              <w:t>15～25丛/m²</w:t>
            </w:r>
          </w:p>
        </w:tc>
        <w:tc>
          <w:tcPr>
            <w:tcW w:w="1556" w:type="dxa"/>
          </w:tcPr>
          <w:p>
            <w:pPr>
              <w:pStyle w:val="178"/>
            </w:pPr>
            <w:r>
              <w:rPr>
                <w:rFonts w:hint="eastAsia"/>
              </w:rPr>
              <w:t>Pb、Cd、Zn、Cu、Mn（耐受/稳定）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699" w:type="dxa"/>
          </w:tcPr>
          <w:p>
            <w:pPr>
              <w:pStyle w:val="178"/>
            </w:pPr>
            <w:r>
              <w:rPr>
                <w:rFonts w:hint="eastAsia"/>
              </w:rPr>
              <w:t>湿生植物</w:t>
            </w:r>
          </w:p>
        </w:tc>
        <w:tc>
          <w:tcPr>
            <w:tcW w:w="1418" w:type="dxa"/>
          </w:tcPr>
          <w:p>
            <w:pPr>
              <w:pStyle w:val="178"/>
            </w:pPr>
            <w:r>
              <w:rPr>
                <w:rFonts w:hint="eastAsia"/>
              </w:rPr>
              <w:t>水葱 Schoenoplectus tabernaemontani</w:t>
            </w:r>
          </w:p>
        </w:tc>
        <w:tc>
          <w:tcPr>
            <w:tcW w:w="2268" w:type="dxa"/>
          </w:tcPr>
          <w:p>
            <w:pPr>
              <w:pStyle w:val="178"/>
            </w:pPr>
            <w:r>
              <w:rPr>
                <w:rFonts w:hint="eastAsia"/>
              </w:rPr>
              <w:t>耐水湿、根茎发达，适合湿地群落配置</w:t>
            </w:r>
          </w:p>
        </w:tc>
        <w:tc>
          <w:tcPr>
            <w:tcW w:w="1701" w:type="dxa"/>
          </w:tcPr>
          <w:p>
            <w:pPr>
              <w:pStyle w:val="178"/>
            </w:pPr>
            <w:r>
              <w:rPr>
                <w:rFonts w:hint="eastAsia"/>
              </w:rPr>
              <w:t>浅水区、生态沟、沉淀塘</w:t>
            </w:r>
          </w:p>
        </w:tc>
        <w:tc>
          <w:tcPr>
            <w:tcW w:w="1692" w:type="dxa"/>
          </w:tcPr>
          <w:p>
            <w:pPr>
              <w:pStyle w:val="178"/>
            </w:pPr>
            <w:r>
              <w:rPr>
                <w:rFonts w:hint="eastAsia"/>
              </w:rPr>
              <w:t>10～15丛/m²</w:t>
            </w:r>
          </w:p>
        </w:tc>
        <w:tc>
          <w:tcPr>
            <w:tcW w:w="1556" w:type="dxa"/>
          </w:tcPr>
          <w:p>
            <w:pPr>
              <w:pStyle w:val="178"/>
            </w:pPr>
            <w:r>
              <w:rPr>
                <w:rFonts w:hint="eastAsia"/>
              </w:rPr>
              <w:t>Pb、Cd、Zn、Cu、Cr（耐受/根际固定）</w:t>
            </w:r>
          </w:p>
        </w:tc>
      </w:tr>
    </w:tbl>
    <w:p>
      <w:pPr>
        <w:pStyle w:val="179"/>
      </w:pPr>
      <w:r>
        <w:rPr>
          <w:rFonts w:hint="eastAsia"/>
        </w:rPr>
        <w:t>①</w:t>
      </w:r>
      <w:r>
        <w:t>本表为推荐参考清单，不是强制名录；应根据恢复单元主导障碍、基质检测结果、污染风险、场地安全条件选择植物；重度污染、高风险场地，应先开展基质改良与风险评估，再选择植物。</w:t>
      </w:r>
      <w:r>
        <w:rPr>
          <w:rFonts w:hint="eastAsia"/>
        </w:rPr>
        <w:t>②</w:t>
      </w:r>
      <w:r>
        <w:t>优先选用乡土物种；外来物种应评估生物入侵风险，限制使用范围。</w:t>
      </w:r>
      <w:r>
        <w:rPr>
          <w:rFonts w:hint="eastAsia"/>
        </w:rPr>
        <w:t>③</w:t>
      </w:r>
      <w:r>
        <w:t>种植密度为参考区间，最终栽植密度应结合施工设计、苗木规格、立地条件确定</w:t>
      </w:r>
    </w:p>
    <w:p>
      <w:pPr>
        <w:pStyle w:val="56"/>
        <w:ind w:firstLine="420"/>
      </w:pPr>
    </w:p>
    <w:p>
      <w:pPr>
        <w:pStyle w:val="56"/>
        <w:ind w:firstLine="420"/>
      </w:pPr>
    </w:p>
    <w:p>
      <w:pPr>
        <w:pStyle w:val="56"/>
        <w:ind w:firstLine="420"/>
        <w:sectPr>
          <w:pgSz w:w="11906" w:h="16838"/>
          <w:pgMar w:top="1928" w:right="1134" w:bottom="1134" w:left="1134" w:header="1418" w:footer="1134" w:gutter="284"/>
          <w:cols w:space="425" w:num="1"/>
          <w:formProt w:val="0"/>
          <w:docGrid w:type="lines" w:linePitch="312" w:charSpace="0"/>
        </w:sectPr>
      </w:pPr>
    </w:p>
    <w:p>
      <w:pPr>
        <w:pStyle w:val="198"/>
        <w:rPr>
          <w:vanish w:val="0"/>
        </w:rPr>
      </w:pPr>
    </w:p>
    <w:p>
      <w:pPr>
        <w:pStyle w:val="199"/>
        <w:rPr>
          <w:vanish w:val="0"/>
        </w:rPr>
      </w:pPr>
    </w:p>
    <w:p>
      <w:pPr>
        <w:pStyle w:val="76"/>
        <w:spacing w:after="156"/>
      </w:pPr>
      <w:r>
        <w:br w:type="textWrapping"/>
      </w:r>
      <w:bookmarkStart w:id="104" w:name="_Toc241503850"/>
      <w:bookmarkStart w:id="105" w:name="_Toc241503867"/>
      <w:r>
        <w:rPr>
          <w:rFonts w:hint="eastAsia"/>
        </w:rPr>
        <w:t>（资料性）</w:t>
      </w:r>
      <w:r>
        <w:br w:type="textWrapping"/>
      </w:r>
      <w:r>
        <w:rPr>
          <w:rFonts w:hint="eastAsia"/>
        </w:rPr>
        <w:t>土壤、基质和植被调查指标</w:t>
      </w:r>
      <w:bookmarkEnd w:id="104"/>
      <w:bookmarkEnd w:id="105"/>
    </w:p>
    <w:p>
      <w:pPr>
        <w:pStyle w:val="77"/>
        <w:spacing w:before="156" w:after="156"/>
      </w:pPr>
      <w:r>
        <w:rPr>
          <w:rFonts w:hint="eastAsia"/>
        </w:rPr>
        <w:t>土壤、基质和植被调查指标参考</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408"/>
        <w:gridCol w:w="4961"/>
        <w:gridCol w:w="29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blHeader/>
          <w:jc w:val="center"/>
        </w:trPr>
        <w:tc>
          <w:tcPr>
            <w:tcW w:w="1408" w:type="dxa"/>
            <w:tcBorders>
              <w:top w:val="single" w:color="auto" w:sz="8" w:space="0"/>
              <w:bottom w:val="single" w:color="auto" w:sz="8" w:space="0"/>
            </w:tcBorders>
          </w:tcPr>
          <w:p>
            <w:pPr>
              <w:pStyle w:val="178"/>
            </w:pPr>
            <w:r>
              <w:rPr>
                <w:rFonts w:hint="eastAsia"/>
              </w:rPr>
              <w:t>类别</w:t>
            </w:r>
          </w:p>
        </w:tc>
        <w:tc>
          <w:tcPr>
            <w:tcW w:w="4961" w:type="dxa"/>
            <w:tcBorders>
              <w:top w:val="single" w:color="auto" w:sz="8" w:space="0"/>
              <w:bottom w:val="single" w:color="auto" w:sz="8" w:space="0"/>
            </w:tcBorders>
          </w:tcPr>
          <w:p>
            <w:pPr>
              <w:pStyle w:val="178"/>
            </w:pPr>
            <w:r>
              <w:rPr>
                <w:rFonts w:hint="eastAsia"/>
              </w:rPr>
              <w:t>指标</w:t>
            </w:r>
          </w:p>
        </w:tc>
        <w:tc>
          <w:tcPr>
            <w:tcW w:w="2965" w:type="dxa"/>
            <w:tcBorders>
              <w:top w:val="single" w:color="auto" w:sz="8" w:space="0"/>
              <w:bottom w:val="single" w:color="auto" w:sz="8" w:space="0"/>
            </w:tcBorders>
          </w:tcPr>
          <w:p>
            <w:pPr>
              <w:pStyle w:val="178"/>
            </w:pPr>
            <w:r>
              <w:rPr>
                <w:rFonts w:hint="eastAsia"/>
              </w:rPr>
              <w:t>用途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1408" w:type="dxa"/>
            <w:tcBorders>
              <w:top w:val="single" w:color="auto" w:sz="8" w:space="0"/>
            </w:tcBorders>
          </w:tcPr>
          <w:p>
            <w:pPr>
              <w:pStyle w:val="178"/>
            </w:pPr>
            <w:r>
              <w:rPr>
                <w:rFonts w:hint="eastAsia"/>
              </w:rPr>
              <w:t>基础理化指标</w:t>
            </w:r>
          </w:p>
        </w:tc>
        <w:tc>
          <w:tcPr>
            <w:tcW w:w="4961" w:type="dxa"/>
            <w:tcBorders>
              <w:top w:val="single" w:color="auto" w:sz="8" w:space="0"/>
            </w:tcBorders>
          </w:tcPr>
          <w:p>
            <w:pPr>
              <w:pStyle w:val="178"/>
            </w:pPr>
            <w:r>
              <w:rPr>
                <w:rFonts w:hint="eastAsia"/>
              </w:rPr>
              <w:t>pH、电导率、盐分、有机质、全氮、有效磷、速效钾、容重、含水量、质地、石砾含量</w:t>
            </w:r>
          </w:p>
        </w:tc>
        <w:tc>
          <w:tcPr>
            <w:tcW w:w="2965" w:type="dxa"/>
            <w:tcBorders>
              <w:top w:val="single" w:color="auto" w:sz="8" w:space="0"/>
            </w:tcBorders>
          </w:tcPr>
          <w:p>
            <w:pPr>
              <w:pStyle w:val="178"/>
            </w:pPr>
            <w:r>
              <w:rPr>
                <w:rFonts w:hint="eastAsia"/>
              </w:rPr>
              <w:t>判断土壤肥力、盐分胁迫和植物生长基础条件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1408" w:type="dxa"/>
          </w:tcPr>
          <w:p>
            <w:pPr>
              <w:pStyle w:val="178"/>
            </w:pPr>
            <w:r>
              <w:rPr>
                <w:rFonts w:hint="eastAsia"/>
              </w:rPr>
              <w:t>污染指标</w:t>
            </w:r>
          </w:p>
        </w:tc>
        <w:tc>
          <w:tcPr>
            <w:tcW w:w="4961" w:type="dxa"/>
          </w:tcPr>
          <w:p>
            <w:pPr>
              <w:pStyle w:val="178"/>
            </w:pPr>
            <w:r>
              <w:rPr>
                <w:rFonts w:hint="eastAsia"/>
              </w:rPr>
              <w:t>Pb、Cd、As、Sb、Hg、Cr、Cu、Zn、Mn等总量、有效态含量及浸出毒性</w:t>
            </w:r>
          </w:p>
        </w:tc>
        <w:tc>
          <w:tcPr>
            <w:tcW w:w="2965" w:type="dxa"/>
          </w:tcPr>
          <w:p>
            <w:pPr>
              <w:pStyle w:val="178"/>
            </w:pPr>
            <w:r>
              <w:rPr>
                <w:rFonts w:hint="eastAsia"/>
              </w:rPr>
              <w:t>判断重金属胁迫和迁移风险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1408" w:type="dxa"/>
          </w:tcPr>
          <w:p>
            <w:pPr>
              <w:pStyle w:val="178"/>
            </w:pPr>
            <w:r>
              <w:rPr>
                <w:rFonts w:hint="eastAsia"/>
              </w:rPr>
              <w:t>水土保持指标</w:t>
            </w:r>
          </w:p>
        </w:tc>
        <w:tc>
          <w:tcPr>
            <w:tcW w:w="4961" w:type="dxa"/>
          </w:tcPr>
          <w:p>
            <w:pPr>
              <w:pStyle w:val="178"/>
            </w:pPr>
            <w:r>
              <w:rPr>
                <w:rFonts w:hint="eastAsia"/>
              </w:rPr>
              <w:t>裸露率、坡度、坡长、侵蚀沟、地表径流、沉积泥沙</w:t>
            </w:r>
          </w:p>
        </w:tc>
        <w:tc>
          <w:tcPr>
            <w:tcW w:w="2965" w:type="dxa"/>
          </w:tcPr>
          <w:p>
            <w:pPr>
              <w:pStyle w:val="178"/>
            </w:pPr>
            <w:r>
              <w:rPr>
                <w:rFonts w:hint="eastAsia"/>
              </w:rPr>
              <w:t>判断水土流失风险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8" w:type="dxa"/>
          </w:tcPr>
          <w:p>
            <w:pPr>
              <w:pStyle w:val="178"/>
            </w:pPr>
            <w:r>
              <w:rPr>
                <w:rFonts w:hint="eastAsia"/>
              </w:rPr>
              <w:t>植物现状指标</w:t>
            </w:r>
          </w:p>
        </w:tc>
        <w:tc>
          <w:tcPr>
            <w:tcW w:w="4961" w:type="dxa"/>
          </w:tcPr>
          <w:p>
            <w:pPr>
              <w:pStyle w:val="178"/>
            </w:pPr>
            <w:r>
              <w:rPr>
                <w:rFonts w:hint="eastAsia"/>
              </w:rPr>
              <w:t>植物种类、盖度、高度、成活率、自然更新、外来入侵植物</w:t>
            </w:r>
          </w:p>
        </w:tc>
        <w:tc>
          <w:tcPr>
            <w:tcW w:w="2965" w:type="dxa"/>
          </w:tcPr>
          <w:p>
            <w:pPr>
              <w:pStyle w:val="178"/>
            </w:pPr>
            <w:r>
              <w:rPr>
                <w:rFonts w:hint="eastAsia"/>
              </w:rPr>
              <w:t>确定植物配置和管护措施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8" w:type="dxa"/>
          </w:tcPr>
          <w:p>
            <w:pPr>
              <w:pStyle w:val="178"/>
            </w:pPr>
            <w:r>
              <w:rPr>
                <w:rFonts w:hint="eastAsia"/>
              </w:rPr>
              <w:t>安全稳定指标</w:t>
            </w:r>
          </w:p>
        </w:tc>
        <w:tc>
          <w:tcPr>
            <w:tcW w:w="4961" w:type="dxa"/>
          </w:tcPr>
          <w:p>
            <w:pPr>
              <w:pStyle w:val="178"/>
            </w:pPr>
            <w:r>
              <w:rPr>
                <w:rFonts w:hint="eastAsia"/>
              </w:rPr>
              <w:t>边坡稳定、塌陷裂缝、危岩、排水设施、尾矿库坝体安全状态</w:t>
            </w:r>
          </w:p>
        </w:tc>
        <w:tc>
          <w:tcPr>
            <w:tcW w:w="2965" w:type="dxa"/>
          </w:tcPr>
          <w:p>
            <w:pPr>
              <w:pStyle w:val="178"/>
            </w:pPr>
            <w:r>
              <w:rPr>
                <w:rFonts w:hint="eastAsia"/>
              </w:rPr>
              <w:t>判断是否具备植被恢复条件</w:t>
            </w:r>
          </w:p>
        </w:tc>
      </w:tr>
    </w:tbl>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sectPr>
          <w:pgSz w:w="11906" w:h="16838"/>
          <w:pgMar w:top="1928" w:right="1134" w:bottom="1134" w:left="1134" w:header="1418" w:footer="1134" w:gutter="284"/>
          <w:cols w:space="425" w:num="1"/>
          <w:formProt w:val="0"/>
          <w:docGrid w:type="lines" w:linePitch="312" w:charSpace="0"/>
        </w:sectPr>
      </w:pPr>
    </w:p>
    <w:p>
      <w:pPr>
        <w:pStyle w:val="198"/>
        <w:rPr>
          <w:vanish w:val="0"/>
        </w:rPr>
      </w:pPr>
    </w:p>
    <w:p>
      <w:pPr>
        <w:pStyle w:val="199"/>
        <w:rPr>
          <w:vanish w:val="0"/>
        </w:rPr>
      </w:pPr>
    </w:p>
    <w:p>
      <w:pPr>
        <w:pStyle w:val="76"/>
        <w:spacing w:after="156"/>
      </w:pPr>
      <w:r>
        <w:br w:type="textWrapping"/>
      </w:r>
      <w:bookmarkStart w:id="106" w:name="_Toc241503851"/>
      <w:bookmarkStart w:id="107" w:name="_Toc241503868"/>
      <w:r>
        <w:rPr>
          <w:rFonts w:hint="eastAsia"/>
        </w:rPr>
        <w:t>（资料性）</w:t>
      </w:r>
      <w:r>
        <w:br w:type="textWrapping"/>
      </w:r>
      <w:r>
        <w:rPr>
          <w:rFonts w:hint="eastAsia"/>
        </w:rPr>
        <w:t>主要立地障碍及植被恢复措施</w:t>
      </w:r>
      <w:bookmarkEnd w:id="106"/>
      <w:bookmarkEnd w:id="107"/>
    </w:p>
    <w:p>
      <w:pPr>
        <w:pStyle w:val="77"/>
        <w:spacing w:before="156" w:after="156"/>
      </w:pPr>
      <w:r>
        <w:rPr>
          <w:rFonts w:hint="eastAsia"/>
        </w:rPr>
        <w:t>主要立地障碍及植被恢复措施参考</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50"/>
        <w:gridCol w:w="4819"/>
        <w:gridCol w:w="29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1550" w:type="dxa"/>
            <w:tcBorders>
              <w:top w:val="single" w:color="auto" w:sz="8" w:space="0"/>
              <w:bottom w:val="single" w:color="auto" w:sz="8" w:space="0"/>
            </w:tcBorders>
          </w:tcPr>
          <w:p>
            <w:pPr>
              <w:pStyle w:val="178"/>
            </w:pPr>
            <w:r>
              <w:rPr>
                <w:rFonts w:hint="eastAsia"/>
              </w:rPr>
              <w:t>障碍因子</w:t>
            </w:r>
          </w:p>
        </w:tc>
        <w:tc>
          <w:tcPr>
            <w:tcW w:w="4819" w:type="dxa"/>
            <w:tcBorders>
              <w:top w:val="single" w:color="auto" w:sz="8" w:space="0"/>
              <w:bottom w:val="single" w:color="auto" w:sz="8" w:space="0"/>
            </w:tcBorders>
          </w:tcPr>
          <w:p>
            <w:pPr>
              <w:pStyle w:val="178"/>
            </w:pPr>
            <w:r>
              <w:rPr>
                <w:rFonts w:hint="eastAsia"/>
              </w:rPr>
              <w:t>植被恢复措施</w:t>
            </w:r>
          </w:p>
        </w:tc>
        <w:tc>
          <w:tcPr>
            <w:tcW w:w="2965" w:type="dxa"/>
            <w:tcBorders>
              <w:top w:val="single" w:color="auto" w:sz="8" w:space="0"/>
              <w:bottom w:val="single" w:color="auto" w:sz="8" w:space="0"/>
            </w:tcBorders>
          </w:tcPr>
          <w:p>
            <w:pPr>
              <w:pStyle w:val="178"/>
            </w:pPr>
            <w:r>
              <w:rPr>
                <w:rFonts w:hint="eastAsia"/>
              </w:rPr>
              <w:t>辅助改良措施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Borders>
              <w:top w:val="single" w:color="auto" w:sz="8" w:space="0"/>
            </w:tcBorders>
          </w:tcPr>
          <w:p>
            <w:pPr>
              <w:pStyle w:val="178"/>
            </w:pPr>
            <w:r>
              <w:rPr>
                <w:rFonts w:hint="eastAsia"/>
              </w:rPr>
              <w:t>基质物理障碍</w:t>
            </w:r>
          </w:p>
        </w:tc>
        <w:tc>
          <w:tcPr>
            <w:tcW w:w="4819" w:type="dxa"/>
            <w:tcBorders>
              <w:top w:val="single" w:color="auto" w:sz="8" w:space="0"/>
            </w:tcBorders>
          </w:tcPr>
          <w:p>
            <w:pPr>
              <w:pStyle w:val="178"/>
            </w:pPr>
            <w:r>
              <w:rPr>
                <w:rFonts w:hint="eastAsia"/>
              </w:rPr>
              <w:t>以草本和灌木为主进行快速覆盖，慎植乔木。优先选用浅根系但覆盖快的种类，乔木仅限在局部客土穴状整地区域点植</w:t>
            </w:r>
          </w:p>
        </w:tc>
        <w:tc>
          <w:tcPr>
            <w:tcW w:w="2965" w:type="dxa"/>
            <w:tcBorders>
              <w:top w:val="single" w:color="auto" w:sz="8" w:space="0"/>
            </w:tcBorders>
          </w:tcPr>
          <w:p>
            <w:pPr>
              <w:pStyle w:val="178"/>
            </w:pPr>
            <w:r>
              <w:rPr>
                <w:rFonts w:hint="eastAsia"/>
              </w:rPr>
              <w:t>客土、覆土或基质重构；掺入细粒基质和有机物料改善土壤物理结构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污染风险</w:t>
            </w:r>
          </w:p>
        </w:tc>
        <w:tc>
          <w:tcPr>
            <w:tcW w:w="4819" w:type="dxa"/>
          </w:tcPr>
          <w:p>
            <w:pPr>
              <w:pStyle w:val="178"/>
            </w:pPr>
            <w:r>
              <w:rPr>
                <w:rFonts w:hint="eastAsia"/>
              </w:rPr>
              <w:t>优先选用重金属耐受性强、根系固持能力突出的植物，以植物稳定化为主</w:t>
            </w:r>
          </w:p>
        </w:tc>
        <w:tc>
          <w:tcPr>
            <w:tcW w:w="2965" w:type="dxa"/>
          </w:tcPr>
          <w:p>
            <w:pPr>
              <w:pStyle w:val="178"/>
            </w:pPr>
            <w:r>
              <w:rPr>
                <w:rFonts w:hint="eastAsia"/>
              </w:rPr>
              <w:t>采用磷酸盐、石灰性材料或生物炭进行固化稳定化；结合覆土阻隔和排水控制；设置长期风险监测点位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酸化或盐分胁迫</w:t>
            </w:r>
          </w:p>
        </w:tc>
        <w:tc>
          <w:tcPr>
            <w:tcW w:w="4819" w:type="dxa"/>
          </w:tcPr>
          <w:p>
            <w:pPr>
              <w:pStyle w:val="178"/>
            </w:pPr>
            <w:r>
              <w:rPr>
                <w:rFonts w:hint="eastAsia"/>
              </w:rPr>
              <w:t>优先选用耐酸、耐铝毒或耐盐的乡土先锋植物</w:t>
            </w:r>
          </w:p>
        </w:tc>
        <w:tc>
          <w:tcPr>
            <w:tcW w:w="2965" w:type="dxa"/>
          </w:tcPr>
          <w:p>
            <w:pPr>
              <w:pStyle w:val="178"/>
            </w:pPr>
            <w:r>
              <w:rPr>
                <w:rFonts w:hint="eastAsia"/>
              </w:rPr>
              <w:t>施用石灰、钙镁磷肥或生物炭调节pH值；盐分高区域配合淋溶洗盐或开沟排水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水分与水土流失</w:t>
            </w:r>
          </w:p>
        </w:tc>
        <w:tc>
          <w:tcPr>
            <w:tcW w:w="4819" w:type="dxa"/>
          </w:tcPr>
          <w:p>
            <w:pPr>
              <w:pStyle w:val="178"/>
            </w:pPr>
            <w:r>
              <w:rPr>
                <w:rFonts w:hint="eastAsia"/>
              </w:rPr>
              <w:t>提高草本和灌木配置比例，采用灌草先行、快速覆盖策略；乔木仅限在平台或缓坡处点植</w:t>
            </w:r>
          </w:p>
        </w:tc>
        <w:tc>
          <w:tcPr>
            <w:tcW w:w="2965" w:type="dxa"/>
          </w:tcPr>
          <w:p>
            <w:pPr>
              <w:pStyle w:val="178"/>
            </w:pPr>
            <w:r>
              <w:rPr>
                <w:rFonts w:hint="eastAsia"/>
              </w:rPr>
              <w:t>修建截排水沟、拦砂坝、挡土墙等拦排体系；结合喷播、生态袋等坡面固土措施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自然恢复能力不足</w:t>
            </w:r>
          </w:p>
        </w:tc>
        <w:tc>
          <w:tcPr>
            <w:tcW w:w="4819" w:type="dxa"/>
          </w:tcPr>
          <w:p>
            <w:pPr>
              <w:pStyle w:val="178"/>
            </w:pPr>
            <w:r>
              <w:rPr>
                <w:rFonts w:hint="eastAsia"/>
              </w:rPr>
              <w:t>采用人工促进自然恢复策略：补植补播乡土先锋乔灌草，封育保护现有残存植被，控制放牧等人为因素干扰，逐步引入中后期乡土树种提高群落结构</w:t>
            </w:r>
          </w:p>
        </w:tc>
        <w:tc>
          <w:tcPr>
            <w:tcW w:w="2965" w:type="dxa"/>
          </w:tcPr>
          <w:p>
            <w:pPr>
              <w:pStyle w:val="178"/>
            </w:pPr>
            <w:r>
              <w:rPr>
                <w:rFonts w:hint="eastAsia"/>
              </w:rPr>
              <w:t>设置封育围栏和标识牌，减少人为扰动；局部增施有机肥和保水剂促进建植；在种源不足区域增设灌草种子喷播或播种作业，加速种源输入</w:t>
            </w:r>
          </w:p>
        </w:tc>
      </w:tr>
    </w:tbl>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sectPr>
          <w:pgSz w:w="11906" w:h="16838"/>
          <w:pgMar w:top="1928" w:right="1134" w:bottom="1134" w:left="1134" w:header="1418" w:footer="1134" w:gutter="284"/>
          <w:cols w:space="425" w:num="1"/>
          <w:formProt w:val="0"/>
          <w:docGrid w:type="lines" w:linePitch="312" w:charSpace="0"/>
        </w:sectPr>
      </w:pPr>
    </w:p>
    <w:p>
      <w:pPr>
        <w:pStyle w:val="198"/>
        <w:rPr>
          <w:vanish w:val="0"/>
        </w:rPr>
      </w:pPr>
    </w:p>
    <w:p>
      <w:pPr>
        <w:pStyle w:val="199"/>
        <w:rPr>
          <w:vanish w:val="0"/>
        </w:rPr>
      </w:pPr>
    </w:p>
    <w:p>
      <w:pPr>
        <w:pStyle w:val="76"/>
        <w:spacing w:after="156"/>
      </w:pPr>
      <w:r>
        <w:br w:type="textWrapping"/>
      </w:r>
      <w:bookmarkStart w:id="108" w:name="_Toc241503852"/>
      <w:bookmarkStart w:id="109" w:name="_Toc241503869"/>
      <w:r>
        <w:rPr>
          <w:rFonts w:hint="eastAsia"/>
        </w:rPr>
        <w:t>（资料性）</w:t>
      </w:r>
      <w:r>
        <w:br w:type="textWrapping"/>
      </w:r>
      <w:r>
        <w:rPr>
          <w:rFonts w:hint="eastAsia"/>
        </w:rPr>
        <w:t>土壤和基质改良材料</w:t>
      </w:r>
      <w:bookmarkEnd w:id="108"/>
      <w:bookmarkEnd w:id="109"/>
    </w:p>
    <w:p>
      <w:pPr>
        <w:pStyle w:val="77"/>
        <w:spacing w:before="156" w:after="156"/>
      </w:pPr>
      <w:r>
        <w:rPr>
          <w:rFonts w:hint="eastAsia"/>
        </w:rPr>
        <w:t>常用材料及应用注意事项</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50"/>
        <w:gridCol w:w="3260"/>
        <w:gridCol w:w="1984"/>
        <w:gridCol w:w="25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1550" w:type="dxa"/>
            <w:tcBorders>
              <w:top w:val="single" w:color="auto" w:sz="8" w:space="0"/>
              <w:bottom w:val="single" w:color="auto" w:sz="8" w:space="0"/>
            </w:tcBorders>
          </w:tcPr>
          <w:p>
            <w:pPr>
              <w:pStyle w:val="178"/>
            </w:pPr>
            <w:r>
              <w:rPr>
                <w:rFonts w:hint="eastAsia"/>
              </w:rPr>
              <w:t>材料</w:t>
            </w:r>
          </w:p>
        </w:tc>
        <w:tc>
          <w:tcPr>
            <w:tcW w:w="3260" w:type="dxa"/>
            <w:tcBorders>
              <w:top w:val="single" w:color="auto" w:sz="8" w:space="0"/>
              <w:bottom w:val="single" w:color="auto" w:sz="8" w:space="0"/>
            </w:tcBorders>
          </w:tcPr>
          <w:p>
            <w:pPr>
              <w:pStyle w:val="178"/>
            </w:pPr>
            <w:r>
              <w:rPr>
                <w:rFonts w:hint="eastAsia"/>
              </w:rPr>
              <w:t>适用情形</w:t>
            </w:r>
          </w:p>
        </w:tc>
        <w:tc>
          <w:tcPr>
            <w:tcW w:w="1984" w:type="dxa"/>
            <w:tcBorders>
              <w:top w:val="single" w:color="auto" w:sz="8" w:space="0"/>
              <w:bottom w:val="single" w:color="auto" w:sz="8" w:space="0"/>
            </w:tcBorders>
          </w:tcPr>
          <w:p>
            <w:pPr>
              <w:pStyle w:val="178"/>
            </w:pPr>
            <w:r>
              <w:rPr>
                <w:rFonts w:hint="eastAsia"/>
              </w:rPr>
              <w:t>主要作用</w:t>
            </w:r>
          </w:p>
        </w:tc>
        <w:tc>
          <w:tcPr>
            <w:tcW w:w="2540" w:type="dxa"/>
            <w:tcBorders>
              <w:top w:val="single" w:color="auto" w:sz="8" w:space="0"/>
              <w:bottom w:val="single" w:color="auto" w:sz="8" w:space="0"/>
            </w:tcBorders>
          </w:tcPr>
          <w:p>
            <w:pPr>
              <w:pStyle w:val="178"/>
            </w:pPr>
            <w:r>
              <w:rPr>
                <w:rFonts w:hint="eastAsia"/>
              </w:rPr>
              <w:t>注意事项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Borders>
              <w:top w:val="single" w:color="auto" w:sz="8" w:space="0"/>
            </w:tcBorders>
          </w:tcPr>
          <w:p>
            <w:pPr>
              <w:pStyle w:val="178"/>
            </w:pPr>
            <w:r>
              <w:rPr>
                <w:rFonts w:hint="eastAsia"/>
              </w:rPr>
              <w:t>石灰、白云石粉</w:t>
            </w:r>
          </w:p>
        </w:tc>
        <w:tc>
          <w:tcPr>
            <w:tcW w:w="3260" w:type="dxa"/>
            <w:tcBorders>
              <w:top w:val="single" w:color="auto" w:sz="8" w:space="0"/>
            </w:tcBorders>
          </w:tcPr>
          <w:p>
            <w:pPr>
              <w:pStyle w:val="178"/>
            </w:pPr>
            <w:r>
              <w:rPr>
                <w:rFonts w:hint="eastAsia"/>
              </w:rPr>
              <w:t>酸性土壤、Cd、Pb等有效态较高区域</w:t>
            </w:r>
          </w:p>
        </w:tc>
        <w:tc>
          <w:tcPr>
            <w:tcW w:w="1984" w:type="dxa"/>
            <w:tcBorders>
              <w:top w:val="single" w:color="auto" w:sz="8" w:space="0"/>
            </w:tcBorders>
          </w:tcPr>
          <w:p>
            <w:pPr>
              <w:pStyle w:val="178"/>
            </w:pPr>
            <w:r>
              <w:rPr>
                <w:rFonts w:hint="eastAsia"/>
              </w:rPr>
              <w:t>提高pH值，降低部分重金属有效性</w:t>
            </w:r>
          </w:p>
        </w:tc>
        <w:tc>
          <w:tcPr>
            <w:tcW w:w="2540" w:type="dxa"/>
            <w:tcBorders>
              <w:top w:val="single" w:color="auto" w:sz="8" w:space="0"/>
            </w:tcBorders>
          </w:tcPr>
          <w:p>
            <w:pPr>
              <w:pStyle w:val="178"/>
            </w:pPr>
            <w:r>
              <w:rPr>
                <w:rFonts w:hint="eastAsia"/>
              </w:rPr>
              <w:t>用量应通过试验确定，避免过度碱化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钙镁磷肥、磷矿粉</w:t>
            </w:r>
          </w:p>
        </w:tc>
        <w:tc>
          <w:tcPr>
            <w:tcW w:w="3260" w:type="dxa"/>
          </w:tcPr>
          <w:p>
            <w:pPr>
              <w:pStyle w:val="178"/>
            </w:pPr>
            <w:r>
              <w:rPr>
                <w:rFonts w:hint="eastAsia"/>
              </w:rPr>
              <w:t>酸性贫瘠和Pb等风险较高区域</w:t>
            </w:r>
          </w:p>
        </w:tc>
        <w:tc>
          <w:tcPr>
            <w:tcW w:w="1984" w:type="dxa"/>
          </w:tcPr>
          <w:p>
            <w:pPr>
              <w:pStyle w:val="178"/>
            </w:pPr>
            <w:r>
              <w:rPr>
                <w:rFonts w:hint="eastAsia"/>
              </w:rPr>
              <w:t>补充磷钙镁，促进重金属沉淀或钝化</w:t>
            </w:r>
          </w:p>
        </w:tc>
        <w:tc>
          <w:tcPr>
            <w:tcW w:w="2540" w:type="dxa"/>
          </w:tcPr>
          <w:p>
            <w:pPr>
              <w:pStyle w:val="178"/>
            </w:pPr>
            <w:r>
              <w:rPr>
                <w:rFonts w:hint="eastAsia"/>
              </w:rPr>
              <w:t>避免磷过量造成面源污染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生物炭</w:t>
            </w:r>
          </w:p>
        </w:tc>
        <w:tc>
          <w:tcPr>
            <w:tcW w:w="3260" w:type="dxa"/>
          </w:tcPr>
          <w:p>
            <w:pPr>
              <w:pStyle w:val="178"/>
            </w:pPr>
            <w:r>
              <w:rPr>
                <w:rFonts w:hint="eastAsia"/>
              </w:rPr>
              <w:t>酸化、贫瘠、保水保肥差的土壤</w:t>
            </w:r>
          </w:p>
        </w:tc>
        <w:tc>
          <w:tcPr>
            <w:tcW w:w="1984" w:type="dxa"/>
          </w:tcPr>
          <w:p>
            <w:pPr>
              <w:pStyle w:val="178"/>
            </w:pPr>
            <w:r>
              <w:rPr>
                <w:rFonts w:hint="eastAsia"/>
              </w:rPr>
              <w:t>改善结构、提升有机碳和吸附能力、重金属去除</w:t>
            </w:r>
          </w:p>
        </w:tc>
        <w:tc>
          <w:tcPr>
            <w:tcW w:w="2540" w:type="dxa"/>
          </w:tcPr>
          <w:p>
            <w:pPr>
              <w:pStyle w:val="178"/>
            </w:pPr>
            <w:r>
              <w:rPr>
                <w:rFonts w:hint="eastAsia"/>
              </w:rPr>
              <w:t>应关注原料来源和重金属含量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腐熟有机肥或堆肥</w:t>
            </w:r>
          </w:p>
        </w:tc>
        <w:tc>
          <w:tcPr>
            <w:tcW w:w="3260" w:type="dxa"/>
          </w:tcPr>
          <w:p>
            <w:pPr>
              <w:pStyle w:val="178"/>
            </w:pPr>
            <w:r>
              <w:rPr>
                <w:rFonts w:hint="eastAsia"/>
              </w:rPr>
              <w:t>有机质低、养分不足区域</w:t>
            </w:r>
          </w:p>
        </w:tc>
        <w:tc>
          <w:tcPr>
            <w:tcW w:w="1984" w:type="dxa"/>
          </w:tcPr>
          <w:p>
            <w:pPr>
              <w:pStyle w:val="178"/>
            </w:pPr>
            <w:r>
              <w:rPr>
                <w:rFonts w:hint="eastAsia"/>
              </w:rPr>
              <w:t>提升有机质和养分供应</w:t>
            </w:r>
          </w:p>
        </w:tc>
        <w:tc>
          <w:tcPr>
            <w:tcW w:w="2540" w:type="dxa"/>
          </w:tcPr>
          <w:p>
            <w:pPr>
              <w:pStyle w:val="178"/>
            </w:pPr>
            <w:r>
              <w:rPr>
                <w:rFonts w:hint="eastAsia"/>
              </w:rPr>
              <w:t>应充分腐熟并进行安全性检测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黏土矿物、沸石</w:t>
            </w:r>
          </w:p>
        </w:tc>
        <w:tc>
          <w:tcPr>
            <w:tcW w:w="3260" w:type="dxa"/>
          </w:tcPr>
          <w:p>
            <w:pPr>
              <w:pStyle w:val="178"/>
            </w:pPr>
            <w:r>
              <w:rPr>
                <w:rFonts w:hint="eastAsia"/>
              </w:rPr>
              <w:t>尾砂、砂质基质和阳离子重金属风险区域</w:t>
            </w:r>
          </w:p>
        </w:tc>
        <w:tc>
          <w:tcPr>
            <w:tcW w:w="1984" w:type="dxa"/>
          </w:tcPr>
          <w:p>
            <w:pPr>
              <w:pStyle w:val="178"/>
            </w:pPr>
            <w:r>
              <w:rPr>
                <w:rFonts w:hint="eastAsia"/>
              </w:rPr>
              <w:t>提高吸附能力和保肥能力</w:t>
            </w:r>
          </w:p>
        </w:tc>
        <w:tc>
          <w:tcPr>
            <w:tcW w:w="2540" w:type="dxa"/>
          </w:tcPr>
          <w:p>
            <w:pPr>
              <w:pStyle w:val="178"/>
            </w:pPr>
            <w:r>
              <w:rPr>
                <w:rFonts w:hint="eastAsia"/>
              </w:rPr>
              <w:t>需与有机质和植物措施配合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铁锰氧化物材料</w:t>
            </w:r>
          </w:p>
        </w:tc>
        <w:tc>
          <w:tcPr>
            <w:tcW w:w="3260" w:type="dxa"/>
          </w:tcPr>
          <w:p>
            <w:pPr>
              <w:pStyle w:val="178"/>
            </w:pPr>
            <w:r>
              <w:rPr>
                <w:rFonts w:hint="eastAsia"/>
              </w:rPr>
              <w:t>As、Sb等迁移风险较高区域</w:t>
            </w:r>
          </w:p>
        </w:tc>
        <w:tc>
          <w:tcPr>
            <w:tcW w:w="1984" w:type="dxa"/>
          </w:tcPr>
          <w:p>
            <w:pPr>
              <w:pStyle w:val="178"/>
            </w:pPr>
            <w:r>
              <w:rPr>
                <w:rFonts w:hint="eastAsia"/>
              </w:rPr>
              <w:t>吸附或共沉淀，降低迁移性</w:t>
            </w:r>
          </w:p>
        </w:tc>
        <w:tc>
          <w:tcPr>
            <w:tcW w:w="2540" w:type="dxa"/>
          </w:tcPr>
          <w:p>
            <w:pPr>
              <w:pStyle w:val="178"/>
            </w:pPr>
            <w:r>
              <w:rPr>
                <w:rFonts w:hint="eastAsia"/>
              </w:rPr>
              <w:t>应评估长期稳定性和适用pH值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550" w:type="dxa"/>
          </w:tcPr>
          <w:p>
            <w:pPr>
              <w:pStyle w:val="178"/>
            </w:pPr>
            <w:r>
              <w:rPr>
                <w:rFonts w:hint="eastAsia"/>
              </w:rPr>
              <w:t>微生物菌剂</w:t>
            </w:r>
          </w:p>
        </w:tc>
        <w:tc>
          <w:tcPr>
            <w:tcW w:w="3260" w:type="dxa"/>
          </w:tcPr>
          <w:p>
            <w:pPr>
              <w:pStyle w:val="178"/>
            </w:pPr>
            <w:r>
              <w:rPr>
                <w:rFonts w:hint="eastAsia"/>
              </w:rPr>
              <w:t>根际活性差、植物建植困难区域</w:t>
            </w:r>
          </w:p>
        </w:tc>
        <w:tc>
          <w:tcPr>
            <w:tcW w:w="1984" w:type="dxa"/>
          </w:tcPr>
          <w:p>
            <w:pPr>
              <w:pStyle w:val="178"/>
            </w:pPr>
            <w:r>
              <w:rPr>
                <w:rFonts w:hint="eastAsia"/>
              </w:rPr>
              <w:t>促进养分转化和根际环境改善</w:t>
            </w:r>
          </w:p>
        </w:tc>
        <w:tc>
          <w:tcPr>
            <w:tcW w:w="2540" w:type="dxa"/>
          </w:tcPr>
          <w:p>
            <w:pPr>
              <w:pStyle w:val="178"/>
            </w:pPr>
            <w:r>
              <w:rPr>
                <w:rFonts w:hint="eastAsia"/>
              </w:rPr>
              <w:t>应选择安全、适生菌剂并配合有机质使用</w:t>
            </w:r>
          </w:p>
        </w:tc>
      </w:tr>
    </w:tbl>
    <w:p>
      <w:pPr>
        <w:pStyle w:val="179"/>
      </w:pPr>
      <w:r>
        <w:t>本附录改良材料按功能大致分为三类：</w:t>
      </w:r>
      <w:r>
        <w:rPr>
          <w:rFonts w:ascii="Cambria Math" w:hAnsi="Cambria Math" w:cs="Cambria Math"/>
        </w:rPr>
        <w:t>①</w:t>
      </w:r>
      <w:r>
        <w:t>酸化改良材料；</w:t>
      </w:r>
      <w:r>
        <w:rPr>
          <w:rFonts w:ascii="Cambria Math" w:hAnsi="Cambria Math" w:cs="Cambria Math"/>
        </w:rPr>
        <w:t>②</w:t>
      </w:r>
      <w:r>
        <w:t>贫瘠地力提升材料；</w:t>
      </w:r>
      <w:r>
        <w:rPr>
          <w:rFonts w:ascii="Cambria Math" w:hAnsi="Cambria Math" w:cs="Cambria Math"/>
        </w:rPr>
        <w:t>③</w:t>
      </w:r>
      <w:r>
        <w:t>重金属稳定钝化材料；部分材料兼具多种改良功能，可根据立地条件组合选用。</w:t>
      </w:r>
    </w:p>
    <w:p>
      <w:pPr>
        <w:pStyle w:val="56"/>
        <w:ind w:firstLine="420"/>
      </w:pPr>
    </w:p>
    <w:p>
      <w:pPr>
        <w:pStyle w:val="56"/>
        <w:ind w:firstLine="420"/>
      </w:pPr>
    </w:p>
    <w:p>
      <w:pPr>
        <w:pStyle w:val="56"/>
        <w:ind w:firstLine="420"/>
      </w:pPr>
    </w:p>
    <w:p>
      <w:pPr>
        <w:pStyle w:val="56"/>
        <w:ind w:firstLine="420"/>
        <w:sectPr>
          <w:pgSz w:w="11906" w:h="16838"/>
          <w:pgMar w:top="1928" w:right="1134" w:bottom="1134" w:left="1134" w:header="1418" w:footer="1134" w:gutter="284"/>
          <w:cols w:space="425" w:num="1"/>
          <w:formProt w:val="0"/>
          <w:docGrid w:type="lines" w:linePitch="312" w:charSpace="0"/>
        </w:sectPr>
      </w:pPr>
    </w:p>
    <w:p>
      <w:pPr>
        <w:pStyle w:val="198"/>
        <w:rPr>
          <w:vanish w:val="0"/>
        </w:rPr>
      </w:pPr>
    </w:p>
    <w:p>
      <w:pPr>
        <w:pStyle w:val="199"/>
        <w:rPr>
          <w:vanish w:val="0"/>
        </w:rPr>
      </w:pPr>
    </w:p>
    <w:p>
      <w:pPr>
        <w:pStyle w:val="76"/>
        <w:spacing w:after="156"/>
      </w:pPr>
      <w:r>
        <w:br w:type="textWrapping"/>
      </w:r>
      <w:bookmarkStart w:id="110" w:name="_Toc241503853"/>
      <w:bookmarkStart w:id="111" w:name="_Toc241503870"/>
      <w:r>
        <w:rPr>
          <w:rFonts w:hint="eastAsia"/>
        </w:rPr>
        <w:t>（资料性）</w:t>
      </w:r>
      <w:r>
        <w:br w:type="textWrapping"/>
      </w:r>
      <w:r>
        <w:rPr>
          <w:rFonts w:hint="eastAsia"/>
        </w:rPr>
        <w:t>植被恢复成效评价指标</w:t>
      </w:r>
      <w:bookmarkEnd w:id="110"/>
      <w:bookmarkEnd w:id="111"/>
    </w:p>
    <w:p>
      <w:pPr>
        <w:pStyle w:val="77"/>
        <w:spacing w:before="156" w:after="156"/>
      </w:pPr>
      <w:r>
        <w:rPr>
          <w:rFonts w:hint="eastAsia"/>
        </w:rPr>
        <w:t>成效评价指标与方法参考</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24"/>
        <w:gridCol w:w="5954"/>
        <w:gridCol w:w="22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blHeader/>
          <w:jc w:val="center"/>
        </w:trPr>
        <w:tc>
          <w:tcPr>
            <w:tcW w:w="1124" w:type="dxa"/>
            <w:tcBorders>
              <w:top w:val="single" w:color="auto" w:sz="8" w:space="0"/>
              <w:bottom w:val="single" w:color="auto" w:sz="8" w:space="0"/>
            </w:tcBorders>
          </w:tcPr>
          <w:p>
            <w:pPr>
              <w:pStyle w:val="178"/>
            </w:pPr>
            <w:r>
              <w:rPr>
                <w:rFonts w:hint="eastAsia"/>
              </w:rPr>
              <w:t>评价类别</w:t>
            </w:r>
          </w:p>
        </w:tc>
        <w:tc>
          <w:tcPr>
            <w:tcW w:w="5954" w:type="dxa"/>
            <w:tcBorders>
              <w:top w:val="single" w:color="auto" w:sz="8" w:space="0"/>
              <w:bottom w:val="single" w:color="auto" w:sz="8" w:space="0"/>
            </w:tcBorders>
          </w:tcPr>
          <w:p>
            <w:pPr>
              <w:pStyle w:val="178"/>
            </w:pPr>
            <w:r>
              <w:rPr>
                <w:rFonts w:hint="eastAsia"/>
              </w:rPr>
              <w:t>评价指标</w:t>
            </w:r>
          </w:p>
        </w:tc>
        <w:tc>
          <w:tcPr>
            <w:tcW w:w="2256" w:type="dxa"/>
            <w:tcBorders>
              <w:top w:val="single" w:color="auto" w:sz="8" w:space="0"/>
              <w:bottom w:val="single" w:color="auto" w:sz="8" w:space="0"/>
            </w:tcBorders>
          </w:tcPr>
          <w:p>
            <w:pPr>
              <w:pStyle w:val="178"/>
            </w:pPr>
            <w:r>
              <w:rPr>
                <w:rFonts w:hint="eastAsia"/>
              </w:rPr>
              <w:t>评价方法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1124" w:type="dxa"/>
            <w:tcBorders>
              <w:top w:val="single" w:color="auto" w:sz="8" w:space="0"/>
            </w:tcBorders>
          </w:tcPr>
          <w:p>
            <w:pPr>
              <w:pStyle w:val="178"/>
            </w:pPr>
            <w:r>
              <w:rPr>
                <w:rFonts w:hint="eastAsia"/>
              </w:rPr>
              <w:t>苗木存活</w:t>
            </w:r>
          </w:p>
        </w:tc>
        <w:tc>
          <w:tcPr>
            <w:tcW w:w="5954" w:type="dxa"/>
            <w:tcBorders>
              <w:top w:val="single" w:color="auto" w:sz="8" w:space="0"/>
            </w:tcBorders>
          </w:tcPr>
          <w:p>
            <w:pPr>
              <w:pStyle w:val="178"/>
            </w:pPr>
            <w:r>
              <w:rPr>
                <w:rFonts w:hint="eastAsia"/>
              </w:rPr>
              <w:t>苗木成活率与保存率</w:t>
            </w:r>
          </w:p>
        </w:tc>
        <w:tc>
          <w:tcPr>
            <w:tcW w:w="2256" w:type="dxa"/>
            <w:tcBorders>
              <w:top w:val="single" w:color="auto" w:sz="8" w:space="0"/>
            </w:tcBorders>
          </w:tcPr>
          <w:p>
            <w:pPr>
              <w:pStyle w:val="178"/>
            </w:pPr>
            <w:r>
              <w:rPr>
                <w:rFonts w:hint="eastAsia"/>
              </w:rPr>
              <w:t>样方调查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1124" w:type="dxa"/>
          </w:tcPr>
          <w:p>
            <w:pPr>
              <w:pStyle w:val="178"/>
            </w:pPr>
            <w:r>
              <w:rPr>
                <w:rFonts w:hint="eastAsia"/>
              </w:rPr>
              <w:t>植被盖度</w:t>
            </w:r>
          </w:p>
        </w:tc>
        <w:tc>
          <w:tcPr>
            <w:tcW w:w="5954" w:type="dxa"/>
          </w:tcPr>
          <w:p>
            <w:pPr>
              <w:pStyle w:val="178"/>
            </w:pPr>
            <w:r>
              <w:rPr>
                <w:rFonts w:hint="eastAsia"/>
              </w:rPr>
              <w:t>植被总盖度，乔木层、灌木层、草本层分层次盖度</w:t>
            </w:r>
          </w:p>
        </w:tc>
        <w:tc>
          <w:tcPr>
            <w:tcW w:w="2256" w:type="dxa"/>
          </w:tcPr>
          <w:p>
            <w:pPr>
              <w:pStyle w:val="178"/>
            </w:pPr>
            <w:r>
              <w:rPr>
                <w:rFonts w:hint="eastAsia"/>
              </w:rPr>
              <w:t>样方调查或航拍影像判读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jc w:val="center"/>
        </w:trPr>
        <w:tc>
          <w:tcPr>
            <w:tcW w:w="1124" w:type="dxa"/>
          </w:tcPr>
          <w:p>
            <w:pPr>
              <w:pStyle w:val="178"/>
            </w:pPr>
            <w:r>
              <w:rPr>
                <w:rFonts w:hint="eastAsia"/>
              </w:rPr>
              <w:t>植物生长量</w:t>
            </w:r>
          </w:p>
        </w:tc>
        <w:tc>
          <w:tcPr>
            <w:tcW w:w="5954" w:type="dxa"/>
          </w:tcPr>
          <w:p>
            <w:pPr>
              <w:pStyle w:val="178"/>
            </w:pPr>
            <w:r>
              <w:rPr>
                <w:rFonts w:hint="eastAsia"/>
              </w:rPr>
              <w:t>乔木树高年生长量、地径或胸径年生长量、灌木和草本地上部生物量</w:t>
            </w:r>
          </w:p>
        </w:tc>
        <w:tc>
          <w:tcPr>
            <w:tcW w:w="2256" w:type="dxa"/>
          </w:tcPr>
          <w:p>
            <w:pPr>
              <w:pStyle w:val="178"/>
            </w:pPr>
            <w:r>
              <w:rPr>
                <w:rFonts w:hint="eastAsia"/>
              </w:rPr>
              <w:t>样方调查测定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4" w:type="dxa"/>
          </w:tcPr>
          <w:p>
            <w:pPr>
              <w:pStyle w:val="178"/>
            </w:pPr>
            <w:r>
              <w:rPr>
                <w:rFonts w:hint="eastAsia"/>
              </w:rPr>
              <w:t>群落结构</w:t>
            </w:r>
          </w:p>
        </w:tc>
        <w:tc>
          <w:tcPr>
            <w:tcW w:w="5954" w:type="dxa"/>
          </w:tcPr>
          <w:p>
            <w:pPr>
              <w:pStyle w:val="178"/>
            </w:pPr>
            <w:r>
              <w:rPr>
                <w:rFonts w:hint="eastAsia"/>
              </w:rPr>
              <w:t>群落层次结构、乡土植物占比、入侵植物占比</w:t>
            </w:r>
          </w:p>
        </w:tc>
        <w:tc>
          <w:tcPr>
            <w:tcW w:w="2256" w:type="dxa"/>
          </w:tcPr>
          <w:p>
            <w:pPr>
              <w:pStyle w:val="178"/>
            </w:pPr>
            <w:r>
              <w:rPr>
                <w:rFonts w:hint="eastAsia"/>
              </w:rPr>
              <w:t>样方调查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4" w:type="dxa"/>
          </w:tcPr>
          <w:p>
            <w:pPr>
              <w:pStyle w:val="178"/>
            </w:pPr>
            <w:r>
              <w:rPr>
                <w:rFonts w:hint="eastAsia"/>
              </w:rPr>
              <w:t>土壤质量</w:t>
            </w:r>
          </w:p>
        </w:tc>
        <w:tc>
          <w:tcPr>
            <w:tcW w:w="5954" w:type="dxa"/>
          </w:tcPr>
          <w:p>
            <w:pPr>
              <w:pStyle w:val="178"/>
            </w:pPr>
            <w:r>
              <w:rPr>
                <w:rFonts w:hint="eastAsia"/>
              </w:rPr>
              <w:t>pH值、电导率、可溶性盐含量、有机质、含水量、有效土层厚度等</w:t>
            </w:r>
          </w:p>
        </w:tc>
        <w:tc>
          <w:tcPr>
            <w:tcW w:w="2256" w:type="dxa"/>
          </w:tcPr>
          <w:p>
            <w:pPr>
              <w:pStyle w:val="178"/>
            </w:pPr>
            <w:r>
              <w:rPr>
                <w:rFonts w:hint="eastAsia"/>
              </w:rPr>
              <w:t>现场采样送检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4" w:type="dxa"/>
          </w:tcPr>
          <w:p>
            <w:pPr>
              <w:pStyle w:val="178"/>
            </w:pPr>
            <w:r>
              <w:rPr>
                <w:rFonts w:hint="eastAsia"/>
              </w:rPr>
              <w:t>污染风险</w:t>
            </w:r>
          </w:p>
        </w:tc>
        <w:tc>
          <w:tcPr>
            <w:tcW w:w="5954" w:type="dxa"/>
          </w:tcPr>
          <w:p>
            <w:pPr>
              <w:pStyle w:val="178"/>
            </w:pPr>
            <w:r>
              <w:rPr>
                <w:rFonts w:hint="eastAsia"/>
              </w:rPr>
              <w:t>土壤中重金属全量、有效态含量及重金属浸出毒性</w:t>
            </w:r>
          </w:p>
        </w:tc>
        <w:tc>
          <w:tcPr>
            <w:tcW w:w="2256" w:type="dxa"/>
          </w:tcPr>
          <w:p>
            <w:pPr>
              <w:pStyle w:val="178"/>
            </w:pPr>
            <w:r>
              <w:rPr>
                <w:rFonts w:hint="eastAsia"/>
              </w:rPr>
              <w:t>现场采样送检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4" w:type="dxa"/>
          </w:tcPr>
          <w:p>
            <w:pPr>
              <w:pStyle w:val="178"/>
            </w:pPr>
            <w:r>
              <w:rPr>
                <w:rFonts w:hint="eastAsia"/>
              </w:rPr>
              <w:t>水土保持</w:t>
            </w:r>
          </w:p>
        </w:tc>
        <w:tc>
          <w:tcPr>
            <w:tcW w:w="5954" w:type="dxa"/>
          </w:tcPr>
          <w:p>
            <w:pPr>
              <w:pStyle w:val="178"/>
            </w:pPr>
            <w:r>
              <w:rPr>
                <w:rFonts w:hint="eastAsia"/>
              </w:rPr>
              <w:t>裸露率、侵蚀沟数量和规模、坡面冲刷程度、截排水设施完好率</w:t>
            </w:r>
          </w:p>
        </w:tc>
        <w:tc>
          <w:tcPr>
            <w:tcW w:w="2256" w:type="dxa"/>
          </w:tcPr>
          <w:p>
            <w:pPr>
              <w:pStyle w:val="178"/>
            </w:pPr>
            <w:r>
              <w:rPr>
                <w:rFonts w:hint="eastAsia"/>
              </w:rPr>
              <w:t>现场调查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4" w:type="dxa"/>
          </w:tcPr>
          <w:p>
            <w:pPr>
              <w:pStyle w:val="178"/>
            </w:pPr>
            <w:r>
              <w:rPr>
                <w:rFonts w:hint="eastAsia"/>
              </w:rPr>
              <w:t>工程安全</w:t>
            </w:r>
          </w:p>
        </w:tc>
        <w:tc>
          <w:tcPr>
            <w:tcW w:w="5954" w:type="dxa"/>
          </w:tcPr>
          <w:p>
            <w:pPr>
              <w:pStyle w:val="178"/>
            </w:pPr>
            <w:r>
              <w:rPr>
                <w:rFonts w:hint="eastAsia"/>
              </w:rPr>
              <w:t>边坡稳定性、渣体稳定性、挡护工程完好率、排水设施完好率、有无新的滑坡或崩塌</w:t>
            </w:r>
          </w:p>
        </w:tc>
        <w:tc>
          <w:tcPr>
            <w:tcW w:w="2256" w:type="dxa"/>
          </w:tcPr>
          <w:p>
            <w:pPr>
              <w:pStyle w:val="178"/>
            </w:pPr>
            <w:r>
              <w:rPr>
                <w:rFonts w:hint="eastAsia"/>
              </w:rPr>
              <w:t>现场调查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4" w:type="dxa"/>
          </w:tcPr>
          <w:p>
            <w:pPr>
              <w:pStyle w:val="178"/>
            </w:pPr>
            <w:r>
              <w:rPr>
                <w:rFonts w:hint="eastAsia"/>
              </w:rPr>
              <w:t>封育效果</w:t>
            </w:r>
          </w:p>
        </w:tc>
        <w:tc>
          <w:tcPr>
            <w:tcW w:w="5954" w:type="dxa"/>
          </w:tcPr>
          <w:p>
            <w:pPr>
              <w:pStyle w:val="178"/>
            </w:pPr>
            <w:r>
              <w:rPr>
                <w:rFonts w:hint="eastAsia"/>
              </w:rPr>
              <w:t>封育区天然更新幼苗幼树密度、乡土植物盖度增加量、入侵植物控制情况</w:t>
            </w:r>
          </w:p>
        </w:tc>
        <w:tc>
          <w:tcPr>
            <w:tcW w:w="2256" w:type="dxa"/>
          </w:tcPr>
          <w:p>
            <w:pPr>
              <w:pStyle w:val="178"/>
            </w:pPr>
            <w:r>
              <w:rPr>
                <w:rFonts w:hint="eastAsia"/>
              </w:rPr>
              <w:t>样方调查</w:t>
            </w:r>
          </w:p>
        </w:tc>
      </w:tr>
    </w:tbl>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sectPr>
          <w:pgSz w:w="11906" w:h="16838"/>
          <w:pgMar w:top="1928" w:right="1134" w:bottom="1134" w:left="1134" w:header="1418" w:footer="1134" w:gutter="284"/>
          <w:cols w:space="425" w:num="1"/>
          <w:formProt w:val="0"/>
          <w:docGrid w:type="lines" w:linePitch="312" w:charSpace="0"/>
        </w:sectPr>
      </w:pPr>
    </w:p>
    <w:p>
      <w:pPr>
        <w:pStyle w:val="198"/>
        <w:rPr>
          <w:vanish w:val="0"/>
        </w:rPr>
      </w:pPr>
    </w:p>
    <w:p>
      <w:pPr>
        <w:pStyle w:val="199"/>
        <w:rPr>
          <w:vanish w:val="0"/>
        </w:rPr>
      </w:pPr>
    </w:p>
    <w:p>
      <w:pPr>
        <w:pStyle w:val="76"/>
        <w:spacing w:after="156"/>
      </w:pPr>
      <w:r>
        <w:br w:type="textWrapping"/>
      </w:r>
      <w:bookmarkStart w:id="112" w:name="_Toc241503854"/>
      <w:bookmarkStart w:id="113" w:name="_Toc241503871"/>
      <w:r>
        <w:rPr>
          <w:rFonts w:hint="eastAsia"/>
        </w:rPr>
        <w:t>（资料性）</w:t>
      </w:r>
      <w:r>
        <w:br w:type="textWrapping"/>
      </w:r>
      <w:r>
        <w:rPr>
          <w:rFonts w:hint="eastAsia"/>
        </w:rPr>
        <w:t>档案资料清单</w:t>
      </w:r>
      <w:bookmarkEnd w:id="112"/>
      <w:bookmarkEnd w:id="113"/>
    </w:p>
    <w:p>
      <w:pPr>
        <w:pStyle w:val="77"/>
        <w:spacing w:before="156" w:after="156"/>
      </w:pPr>
      <w:r>
        <w:rPr>
          <w:rFonts w:hint="eastAsia"/>
        </w:rPr>
        <w:t>档案资料清单</w:t>
      </w:r>
    </w:p>
    <w:tbl>
      <w:tblPr>
        <w:tblStyle w:val="33"/>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542"/>
        <w:gridCol w:w="67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2542" w:type="dxa"/>
            <w:tcBorders>
              <w:top w:val="single" w:color="auto" w:sz="8" w:space="0"/>
              <w:bottom w:val="single" w:color="auto" w:sz="8" w:space="0"/>
            </w:tcBorders>
          </w:tcPr>
          <w:p>
            <w:pPr>
              <w:pStyle w:val="178"/>
            </w:pPr>
            <w:r>
              <w:rPr>
                <w:rFonts w:hint="eastAsia"/>
              </w:rPr>
              <w:t>类别</w:t>
            </w:r>
          </w:p>
        </w:tc>
        <w:tc>
          <w:tcPr>
            <w:tcW w:w="6792" w:type="dxa"/>
            <w:tcBorders>
              <w:top w:val="single" w:color="auto" w:sz="8" w:space="0"/>
              <w:bottom w:val="single" w:color="auto" w:sz="8" w:space="0"/>
            </w:tcBorders>
          </w:tcPr>
          <w:p>
            <w:pPr>
              <w:pStyle w:val="178"/>
            </w:pPr>
            <w:r>
              <w:rPr>
                <w:rFonts w:hint="eastAsia"/>
              </w:rPr>
              <w:t>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2542" w:type="dxa"/>
            <w:tcBorders>
              <w:top w:val="single" w:color="auto" w:sz="8" w:space="0"/>
            </w:tcBorders>
          </w:tcPr>
          <w:p>
            <w:pPr>
              <w:pStyle w:val="178"/>
            </w:pPr>
            <w:r>
              <w:rPr>
                <w:rFonts w:hint="eastAsia"/>
              </w:rPr>
              <w:t>前期资料</w:t>
            </w:r>
          </w:p>
        </w:tc>
        <w:tc>
          <w:tcPr>
            <w:tcW w:w="6792" w:type="dxa"/>
            <w:tcBorders>
              <w:top w:val="single" w:color="auto" w:sz="8" w:space="0"/>
            </w:tcBorders>
          </w:tcPr>
          <w:p>
            <w:pPr>
              <w:pStyle w:val="178"/>
            </w:pPr>
            <w:r>
              <w:rPr>
                <w:rFonts w:hint="eastAsia"/>
              </w:rPr>
              <w:t>项目立项、矿区基本情况、土地权属、历史开采资料、地形图、遥感影像、现状照片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2542" w:type="dxa"/>
          </w:tcPr>
          <w:p>
            <w:pPr>
              <w:pStyle w:val="178"/>
            </w:pPr>
            <w:r>
              <w:rPr>
                <w:rFonts w:hint="eastAsia"/>
              </w:rPr>
              <w:t>调查评价资料</w:t>
            </w:r>
          </w:p>
        </w:tc>
        <w:tc>
          <w:tcPr>
            <w:tcW w:w="6792" w:type="dxa"/>
          </w:tcPr>
          <w:p>
            <w:pPr>
              <w:pStyle w:val="178"/>
            </w:pPr>
            <w:r>
              <w:rPr>
                <w:rFonts w:hint="eastAsia"/>
              </w:rPr>
              <w:t>采样布点图、样品记录、检测报告、恢复单元划分、主导障碍诊断、污染风险评价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2542" w:type="dxa"/>
          </w:tcPr>
          <w:p>
            <w:pPr>
              <w:pStyle w:val="178"/>
            </w:pPr>
            <w:r>
              <w:rPr>
                <w:rFonts w:hint="eastAsia"/>
              </w:rPr>
              <w:t>恢复方案与设计资料</w:t>
            </w:r>
          </w:p>
        </w:tc>
        <w:tc>
          <w:tcPr>
            <w:tcW w:w="6792" w:type="dxa"/>
          </w:tcPr>
          <w:p>
            <w:pPr>
              <w:pStyle w:val="178"/>
            </w:pPr>
            <w:r>
              <w:rPr>
                <w:rFonts w:hint="eastAsia"/>
              </w:rPr>
              <w:t>植被恢复作业设计文本、植物配置表、土壤与基质改良方案、安全措施方案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2542" w:type="dxa"/>
          </w:tcPr>
          <w:p>
            <w:pPr>
              <w:pStyle w:val="178"/>
            </w:pPr>
            <w:r>
              <w:rPr>
                <w:rFonts w:hint="eastAsia"/>
              </w:rPr>
              <w:t>施工资料</w:t>
            </w:r>
          </w:p>
        </w:tc>
        <w:tc>
          <w:tcPr>
            <w:tcW w:w="6792" w:type="dxa"/>
          </w:tcPr>
          <w:p>
            <w:pPr>
              <w:pStyle w:val="178"/>
            </w:pPr>
            <w:r>
              <w:rPr>
                <w:rFonts w:hint="eastAsia"/>
              </w:rPr>
              <w:t>施工日志、材料来源、种苗规格、改良材料用量、隐蔽工程记录、质量检查记录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2542" w:type="dxa"/>
          </w:tcPr>
          <w:p>
            <w:pPr>
              <w:pStyle w:val="178"/>
            </w:pPr>
            <w:r>
              <w:rPr>
                <w:rFonts w:hint="eastAsia"/>
              </w:rPr>
              <w:t>监测资料</w:t>
            </w:r>
          </w:p>
        </w:tc>
        <w:tc>
          <w:tcPr>
            <w:tcW w:w="6792" w:type="dxa"/>
          </w:tcPr>
          <w:p>
            <w:pPr>
              <w:pStyle w:val="178"/>
            </w:pPr>
            <w:r>
              <w:rPr>
                <w:rFonts w:hint="eastAsia"/>
              </w:rPr>
              <w:t>样方记录、影像资料、土壤检测数据、植被盖度、成活率和水土流失监测记录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2542" w:type="dxa"/>
          </w:tcPr>
          <w:p>
            <w:pPr>
              <w:pStyle w:val="178"/>
            </w:pPr>
            <w:r>
              <w:rPr>
                <w:rFonts w:hint="eastAsia"/>
              </w:rPr>
              <w:t>抚育管护资料</w:t>
            </w:r>
          </w:p>
        </w:tc>
        <w:tc>
          <w:tcPr>
            <w:tcW w:w="6792" w:type="dxa"/>
          </w:tcPr>
          <w:p>
            <w:pPr>
              <w:pStyle w:val="178"/>
            </w:pPr>
            <w:r>
              <w:rPr>
                <w:rFonts w:hint="eastAsia"/>
              </w:rPr>
              <w:t>年度抚育管护计划、补植补播记录、灌溉施肥记录、有害生物防治记录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2542" w:type="dxa"/>
          </w:tcPr>
          <w:p>
            <w:pPr>
              <w:pStyle w:val="178"/>
            </w:pPr>
            <w:r>
              <w:rPr>
                <w:rFonts w:hint="eastAsia"/>
              </w:rPr>
              <w:t>验收与评价资料</w:t>
            </w:r>
          </w:p>
        </w:tc>
        <w:tc>
          <w:tcPr>
            <w:tcW w:w="6792" w:type="dxa"/>
          </w:tcPr>
          <w:p>
            <w:pPr>
              <w:pStyle w:val="178"/>
            </w:pPr>
            <w:r>
              <w:rPr>
                <w:rFonts w:hint="eastAsia"/>
              </w:rPr>
              <w:t>阶段验收、整改记录、阶段性成效评价报告、竣工验收报告</w:t>
            </w:r>
          </w:p>
        </w:tc>
      </w:tr>
    </w:tbl>
    <w:p>
      <w:pPr>
        <w:pStyle w:val="56"/>
        <w:ind w:firstLine="420"/>
      </w:pPr>
    </w:p>
    <w:p>
      <w:pPr>
        <w:pStyle w:val="56"/>
        <w:ind w:firstLine="420"/>
      </w:pPr>
    </w:p>
    <w:p>
      <w:pPr>
        <w:pStyle w:val="56"/>
        <w:ind w:firstLine="420"/>
      </w:pPr>
    </w:p>
    <w:p>
      <w:pPr>
        <w:pStyle w:val="56"/>
        <w:ind w:firstLine="420"/>
      </w:pPr>
    </w:p>
    <w:p>
      <w:pPr>
        <w:pStyle w:val="56"/>
        <w:ind w:firstLine="420"/>
      </w:pPr>
    </w:p>
    <w:bookmarkEnd w:id="101"/>
    <w:p>
      <w:pPr>
        <w:pStyle w:val="56"/>
        <w:ind w:firstLine="420"/>
      </w:pPr>
    </w:p>
    <w:sectPr>
      <w:pgSz w:w="11906" w:h="16838"/>
      <w:pgMar w:top="1928" w:right="1134" w:bottom="1134" w:left="1134" w:header="1418" w:footer="1134" w:gutter="284"/>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DengXian">
    <w:altName w:val="宋体"/>
    <w:panose1 w:val="02010600030101010101"/>
    <w:charset w:val="86"/>
    <w:family w:val="auto"/>
    <w:pitch w:val="default"/>
    <w:sig w:usb0="00000000" w:usb1="00000000" w:usb2="00000016" w:usb3="00000000" w:csb0="0004000F" w:csb1="00000000"/>
  </w:font>
  <w:font w:name="Wingdings">
    <w:panose1 w:val="05000000000000000000"/>
    <w:charset w:val="00"/>
    <w:family w:val="decorative"/>
    <w:pitch w:val="default"/>
    <w:sig w:usb0="00000000" w:usb1="00000000" w:usb2="00000000" w:usb3="00000000" w:csb0="80000000"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Cambria Math">
    <w:panose1 w:val="02040503050406030204"/>
    <w:charset w:val="00"/>
    <w:family w:val="roman"/>
    <w:pitch w:val="default"/>
    <w:sig w:usb0="E00002FF" w:usb1="420024FF" w:usb2="00000000" w:usb3="00000000" w:csb0="2000019F"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val="1"/>
  <w:embedSystemFonts/>
  <w:bordersDoNotSurroundHeader w:val="1"/>
  <w:bordersDoNotSurroundFooter w:val="1"/>
  <w:attachedTemplate r:id="rId1"/>
  <w:documentProtection w:edit="forms" w:enforcement="1" w:cryptProviderType="rsaAES" w:cryptAlgorithmClass="hash" w:cryptAlgorithmType="typeAny" w:cryptAlgorithmSid="14" w:cryptSpinCount="100000" w:hash="hB9ek2cvODGKUKgjVpBt2X8DKvlOGaDsKuHJrqztvu5QL5XAJAWXo6Qm4iYMk5IkCKqzxC3JCDO8KKVr+SkotA==" w:salt="1kMgpbog0lvWABJwrSoAOQ=="/>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5F8"/>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08B3"/>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DAC"/>
    <w:rsid w:val="000B1FF2"/>
    <w:rsid w:val="000B3CDA"/>
    <w:rsid w:val="000B6A0B"/>
    <w:rsid w:val="000C0F6C"/>
    <w:rsid w:val="000C11DB"/>
    <w:rsid w:val="000C1492"/>
    <w:rsid w:val="000C27B2"/>
    <w:rsid w:val="000C2FBD"/>
    <w:rsid w:val="000C4B41"/>
    <w:rsid w:val="000C57D6"/>
    <w:rsid w:val="000C6362"/>
    <w:rsid w:val="000C7666"/>
    <w:rsid w:val="000D0A9C"/>
    <w:rsid w:val="000D1795"/>
    <w:rsid w:val="000D329A"/>
    <w:rsid w:val="000D4B9C"/>
    <w:rsid w:val="000D4EB6"/>
    <w:rsid w:val="000D731C"/>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717"/>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3ACB"/>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5219"/>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A7F59"/>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280B"/>
    <w:rsid w:val="002E4D5A"/>
    <w:rsid w:val="002E6326"/>
    <w:rsid w:val="002F30E0"/>
    <w:rsid w:val="002F35E4"/>
    <w:rsid w:val="002F3730"/>
    <w:rsid w:val="002F38E1"/>
    <w:rsid w:val="002F671E"/>
    <w:rsid w:val="002F7AF6"/>
    <w:rsid w:val="002F7F8C"/>
    <w:rsid w:val="00300E63"/>
    <w:rsid w:val="00302F5F"/>
    <w:rsid w:val="00303406"/>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0247"/>
    <w:rsid w:val="003615D2"/>
    <w:rsid w:val="0036429C"/>
    <w:rsid w:val="00364A53"/>
    <w:rsid w:val="003654CB"/>
    <w:rsid w:val="00365AA9"/>
    <w:rsid w:val="00365DB5"/>
    <w:rsid w:val="00365F86"/>
    <w:rsid w:val="00365F87"/>
    <w:rsid w:val="00366E89"/>
    <w:rsid w:val="00367FDA"/>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A65F2"/>
    <w:rsid w:val="003B09AD"/>
    <w:rsid w:val="003B1F18"/>
    <w:rsid w:val="003B5BF0"/>
    <w:rsid w:val="003B60BF"/>
    <w:rsid w:val="003B6BE3"/>
    <w:rsid w:val="003C010C"/>
    <w:rsid w:val="003C0A6C"/>
    <w:rsid w:val="003C0DA9"/>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53DE"/>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86FB1"/>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3E7"/>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1BE9"/>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345"/>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426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0C90"/>
    <w:rsid w:val="00773C1F"/>
    <w:rsid w:val="00774DA4"/>
    <w:rsid w:val="00776599"/>
    <w:rsid w:val="00776DC5"/>
    <w:rsid w:val="00777545"/>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05D0C"/>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0525"/>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691D"/>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542"/>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844"/>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96"/>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A6FE5"/>
    <w:rsid w:val="00AB41D5"/>
    <w:rsid w:val="00AB6309"/>
    <w:rsid w:val="00AB6C5F"/>
    <w:rsid w:val="00AB7129"/>
    <w:rsid w:val="00AC27A6"/>
    <w:rsid w:val="00AC30F7"/>
    <w:rsid w:val="00AC3A5A"/>
    <w:rsid w:val="00AC4D95"/>
    <w:rsid w:val="00AC5DF4"/>
    <w:rsid w:val="00AD0AEF"/>
    <w:rsid w:val="00AD11B7"/>
    <w:rsid w:val="00AD15ED"/>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15F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4488"/>
    <w:rsid w:val="00BF51E5"/>
    <w:rsid w:val="00BF74A6"/>
    <w:rsid w:val="00C013AD"/>
    <w:rsid w:val="00C04904"/>
    <w:rsid w:val="00C056B3"/>
    <w:rsid w:val="00C103E5"/>
    <w:rsid w:val="00C13319"/>
    <w:rsid w:val="00C13EE9"/>
    <w:rsid w:val="00C209F5"/>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7FE"/>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80"/>
    <w:rsid w:val="00D926D0"/>
    <w:rsid w:val="00D93030"/>
    <w:rsid w:val="00D949FA"/>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5736A"/>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96A7E"/>
    <w:rsid w:val="00EA3837"/>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A7DAD"/>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B4874B5"/>
    <w:rsid w:val="4D7608E1"/>
    <w:rsid w:val="74DF0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uiPriority w:val="39"/>
    <w:pPr>
      <w:spacing w:line="300" w:lineRule="exact"/>
      <w:ind w:left="420"/>
    </w:pPr>
    <w:rPr>
      <w:rFonts w:ascii="宋体"/>
    </w:rPr>
  </w:style>
  <w:style w:type="paragraph" w:styleId="16">
    <w:name w:val="Balloon Text"/>
    <w:basedOn w:val="1"/>
    <w:link w:val="45"/>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character" w:styleId="27">
    <w:name w:val="Strong"/>
    <w:qFormat/>
    <w:uiPriority w:val="22"/>
    <w:rPr>
      <w:b/>
      <w:bCs/>
    </w:rPr>
  </w:style>
  <w:style w:type="character" w:styleId="28">
    <w:name w:val="page number"/>
    <w:qFormat/>
    <w:uiPriority w:val="0"/>
    <w:rPr>
      <w:rFonts w:ascii="宋体" w:hAnsi="Times New Roman" w:eastAsia="宋体"/>
      <w:sz w:val="18"/>
    </w:rPr>
  </w:style>
  <w:style w:type="character" w:styleId="29">
    <w:name w:val="Emphasis"/>
    <w:qFormat/>
    <w:uiPriority w:val="20"/>
    <w:rPr>
      <w:i/>
      <w:iCs/>
    </w:rPr>
  </w:style>
  <w:style w:type="character" w:styleId="30">
    <w:name w:val="Hyperlink"/>
    <w:qFormat/>
    <w:uiPriority w:val="99"/>
    <w:rPr>
      <w:rFonts w:ascii="宋体" w:hAnsi="Times New Roman" w:eastAsia="宋体"/>
      <w:color w:val="auto"/>
      <w:spacing w:val="0"/>
      <w:w w:val="100"/>
      <w:position w:val="0"/>
      <w:sz w:val="21"/>
      <w:u w:val="none"/>
      <w:vertAlign w:val="baseline"/>
    </w:rPr>
  </w:style>
  <w:style w:type="character" w:styleId="31">
    <w:name w:val="footnote reference"/>
    <w:semiHidden/>
    <w:qFormat/>
    <w:uiPriority w:val="0"/>
    <w:rPr>
      <w:rFonts w:ascii="宋体" w:hAnsi="宋体" w:eastAsia="宋体" w:cs="Times New Roman"/>
      <w:spacing w:val="0"/>
      <w:sz w:val="18"/>
      <w:vertAlign w:val="superscript"/>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customStyle="1"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uiPriority w:val="0"/>
    <w:pPr>
      <w:ind w:left="1470"/>
    </w:pPr>
  </w:style>
  <w:style w:type="paragraph" w:customStyle="1" w:styleId="149">
    <w:name w:val="目录 91"/>
    <w:basedOn w:val="148"/>
    <w:semiHidden/>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uiPriority w:val="0"/>
    <w:pPr>
      <w:framePr w:hSpace="0" w:xAlign="right"/>
      <w:jc w:val="right"/>
    </w:pPr>
  </w:style>
  <w:style w:type="paragraph" w:customStyle="1" w:styleId="155">
    <w:name w:val="四级无标题条"/>
    <w:basedOn w:val="1"/>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customStyle="1" w:styleId="186">
    <w:name w:val="Placeholder Text"/>
    <w:basedOn w:val="26"/>
    <w:semiHidden/>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6"/>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uiPriority w:val="0"/>
    <w:pPr>
      <w:framePr w:w="3997" w:h="471" w:hRule="exact" w:hSpace="0" w:vSpace="181" w:vAnchor="page" w:hAnchor="page" w:x="1419" w:y="14097"/>
    </w:pPr>
  </w:style>
  <w:style w:type="paragraph" w:customStyle="1" w:styleId="194">
    <w:name w:val="其他实施日期"/>
    <w:basedOn w:val="154"/>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6"/>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16C81508C484D41B71E2B6FC79C8EC4"/>
        <w:style w:val=""/>
        <w:category>
          <w:name w:val="常规"/>
          <w:gallery w:val="placeholder"/>
        </w:category>
        <w:types>
          <w:type w:val="bbPlcHdr"/>
        </w:types>
        <w:behaviors>
          <w:behavior w:val="content"/>
        </w:behaviors>
        <w:description w:val=""/>
        <w:guid w:val="{1370613E-8E85-4A80-A5BA-5CA33C9092A9}"/>
      </w:docPartPr>
      <w:docPartBody>
        <w:p>
          <w:pPr>
            <w:pStyle w:val="5"/>
          </w:pPr>
          <w:r>
            <w:rPr>
              <w:rStyle w:val="4"/>
              <w:rFonts w:hint="eastAsia"/>
            </w:rPr>
            <w:t>单击或点击此处输入文字。</w:t>
          </w:r>
        </w:p>
      </w:docPartBody>
    </w:docPart>
    <w:docPart>
      <w:docPartPr>
        <w:name w:val="19E70C06DD2C4CC0B1BA77E3266432D1"/>
        <w:style w:val=""/>
        <w:category>
          <w:name w:val="常规"/>
          <w:gallery w:val="placeholder"/>
        </w:category>
        <w:types>
          <w:type w:val="bbPlcHdr"/>
        </w:types>
        <w:behaviors>
          <w:behavior w:val="content"/>
        </w:behaviors>
        <w:description w:val=""/>
        <w:guid w:val="{CA68986B-5928-478F-8689-E748CB133FAE}"/>
      </w:docPartPr>
      <w:docPartBody>
        <w:p>
          <w:pPr>
            <w:pStyle w:val="6"/>
          </w:pPr>
          <w:r>
            <w:rPr>
              <w:rStyle w:val="4"/>
              <w:rFonts w:hint="eastAsia"/>
            </w:rPr>
            <w:t>选择一项。</w:t>
          </w:r>
        </w:p>
      </w:docPartBody>
    </w:docPart>
    <w:docPart>
      <w:docPartPr>
        <w:name w:val="FEA448A3D6A6427D804857086E3A5777"/>
        <w:style w:val=""/>
        <w:category>
          <w:name w:val="常规"/>
          <w:gallery w:val="placeholder"/>
        </w:category>
        <w:types>
          <w:type w:val="bbPlcHdr"/>
        </w:types>
        <w:behaviors>
          <w:behavior w:val="content"/>
        </w:behaviors>
        <w:description w:val=""/>
        <w:guid w:val="{F7344814-40CF-4874-8A4B-E826416CCA2C}"/>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DengXian">
    <w:altName w:val="宋体"/>
    <w:panose1 w:val="02010600030101010101"/>
    <w:charset w:val="86"/>
    <w:family w:val="auto"/>
    <w:pitch w:val="default"/>
    <w:sig w:usb0="00000000" w:usb1="00000000" w:usb2="00000016" w:usb3="00000000" w:csb0="0004000F" w:csb1="00000000"/>
  </w:font>
  <w:font w:name="Wingdings">
    <w:panose1 w:val="05000000000000000000"/>
    <w:charset w:val="00"/>
    <w:family w:val="decorative"/>
    <w:pitch w:val="default"/>
    <w:sig w:usb0="00000000" w:usb1="00000000" w:usb2="00000000" w:usb3="00000000" w:csb0="80000000"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Cambria Math">
    <w:panose1 w:val="02040503050406030204"/>
    <w:charset w:val="00"/>
    <w:family w:val="roman"/>
    <w:pitch w:val="default"/>
    <w:sig w:usb0="E00002FF" w:usb1="420024FF" w:usb2="00000000" w:usb3="00000000" w:csb0="2000019F" w:csb1="0000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618"/>
    <w:rsid w:val="003E4618"/>
    <w:rsid w:val="004A053A"/>
    <w:rsid w:val="00685376"/>
    <w:rsid w:val="007254C5"/>
    <w:rsid w:val="00850525"/>
    <w:rsid w:val="00AA6FE5"/>
    <w:rsid w:val="00C9720C"/>
    <w:rsid w:val="00DE053A"/>
    <w:rsid w:val="00EA3837"/>
    <w:rsid w:val="00F04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unhideWhenUsed/>
    <w:qFormat/>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character" w:customStyle="1" w:styleId="4">
    <w:name w:val="Placeholder Text"/>
    <w:basedOn w:val="2"/>
    <w:semiHidden/>
    <w:uiPriority w:val="99"/>
    <w:rPr>
      <w:color w:val="808080"/>
    </w:rPr>
  </w:style>
  <w:style w:type="paragraph" w:customStyle="1" w:styleId="5">
    <w:name w:val="816C81508C484D41B71E2B6FC79C8EC4"/>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19E70C06DD2C4CC0B1BA77E3266432D1"/>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FEA448A3D6A6427D804857086E3A5777"/>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C:\Program Files (x86)\StandardEditor\template\地方标准.dotx</Template>
  <Company>PCMI</Company>
  <Pages>20</Pages>
  <Words>2387</Words>
  <Characters>13606</Characters>
  <Lines>113</Lines>
  <Paragraphs>31</Paragraphs>
  <TotalTime>1</TotalTime>
  <ScaleCrop>false</ScaleCrop>
  <LinksUpToDate>false</LinksUpToDate>
  <CharactersWithSpaces>15962</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2026-10-29T07:54:00Z</dcterms:created>
  <dc:creator>Administrator</dc:creator>
  <dc:description>&lt;config cover="true" show_menu="true" version="1.0.0" doctype="SDKXY"&gt;_x000d_
&lt;/config&gt;</dc:description>
  <cp:lastModifiedBy>admin</cp:lastModifiedBy>
  <cp:lastPrinted>2026-10-29T07:54:00Z</cp:lastPrinted>
  <dcterms:modified xsi:type="dcterms:W3CDTF">2026-11-01T06:31:40Z</dcterms:modified>
  <dc:title>地方标准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eyJoZGlkIjoiYmI4ZTBhMDg2YWRkOTU5ZTJhMzA4YTAzYTdiMzUzODUiLCJ1c2VySWQiOiI3NDYwNjY3MzYifQ==</vt:lpwstr>
  </property>
  <property fmtid="{D5CDD505-2E9C-101B-9397-08002B2CF9AE}" pid="15" name="KSOProductBuildVer">
    <vt:lpwstr>2052-10.8.0.6423</vt:lpwstr>
  </property>
  <property fmtid="{D5CDD505-2E9C-101B-9397-08002B2CF9AE}" pid="16" name="ICV">
    <vt:lpwstr>9FB0DE483C53411883509AD574CB1E3F_12</vt:lpwstr>
  </property>
</Properties>
</file>