
<file path=[Content_Types].xml><?xml version="1.0" encoding="utf-8"?>
<Types xmlns="http://schemas.openxmlformats.org/package/2006/content-types">
  <Default Extension="xml" ContentType="application/xml"/>
  <Default Extension="tiff" ContentType="image/tif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7"/>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509"/>
        <w:gridCol w:w="8855"/>
      </w:tblGrid>
      <w:tr w14:paraId="729E4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6C911E94">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14:paraId="164F1326">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 xml:space="preserve"> </w:t>
            </w:r>
            <w:r>
              <w:rPr>
                <w:rFonts w:ascii="黑体" w:hAnsi="黑体" w:eastAsia="黑体"/>
                <w:sz w:val="21"/>
                <w:szCs w:val="21"/>
              </w:rPr>
              <w:fldChar w:fldCharType="end"/>
            </w:r>
            <w:bookmarkEnd w:id="0"/>
          </w:p>
        </w:tc>
      </w:tr>
      <w:tr w14:paraId="1A08E2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09" w:type="dxa"/>
          </w:tcPr>
          <w:p w14:paraId="3CAAC5CC">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14:paraId="7E72ED5C">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27"/>
        <w:tblpPr w:leftFromText="180" w:rightFromText="180" w:vertAnchor="text" w:horzAnchor="margin" w:tblpX="2683" w:tblpY="578"/>
        <w:tblW w:w="0" w:type="auto"/>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autofit"/>
        <w:tblCellMar>
          <w:top w:w="0" w:type="dxa"/>
          <w:left w:w="108" w:type="dxa"/>
          <w:bottom w:w="0" w:type="dxa"/>
          <w:right w:w="221" w:type="dxa"/>
        </w:tblCellMar>
      </w:tblPr>
      <w:tblGrid>
        <w:gridCol w:w="6407"/>
      </w:tblGrid>
      <w:tr w14:paraId="565799E9">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CellMar>
            <w:top w:w="0" w:type="dxa"/>
            <w:left w:w="108" w:type="dxa"/>
            <w:bottom w:w="0" w:type="dxa"/>
            <w:right w:w="221" w:type="dxa"/>
          </w:tblCellMar>
        </w:tblPrEx>
        <w:tc>
          <w:tcPr>
            <w:tcW w:w="6407" w:type="dxa"/>
          </w:tcPr>
          <w:p w14:paraId="61F3858F">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14:paraId="79B86D1D">
      <w:pPr>
        <w:pStyle w:val="50"/>
        <w:framePr w:w="9639" w:h="624" w:hRule="exact" w:hSpace="181" w:vSpace="181" w:wrap="around"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ascii="黑体" w:eastAsia="黑体"/>
          <w:b w:val="0"/>
          <w:w w:val="100"/>
          <w:sz w:val="48"/>
        </w:rPr>
        <w:t>     </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14:paraId="333ED9D6">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lang w:val="fr-FR"/>
        </w:rPr>
        <w:t>XX/T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14:paraId="0D37BA97">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14:paraId="2DFDF026">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59264"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59264;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ng0mW2AAA&#10;AAwBAAAPAAAAAAAAAAEAIAAAACIAAABkcnMvZG93bnJldi54bWxQSwECFAAUAAAACACHTuJAu+DK&#10;ZuUBAACsAwAADgAAAAAAAAABACAAAAAnAQAAZHJzL2Uyb0RvYy54bWxQSwUGAAAAAAYABgBZAQAA&#10;fgUAAAAA&#10;">
                <v:fill on="f" focussize="0,0"/>
                <v:stroke color="#000000" joinstyle="round"/>
                <v:imagedata o:title=""/>
                <o:lock v:ext="edit" aspectratio="f"/>
              </v:line>
            </w:pict>
          </mc:Fallback>
        </mc:AlternateContent>
      </w:r>
    </w:p>
    <w:p w14:paraId="01F2AB9D">
      <w:pPr>
        <w:pStyle w:val="50"/>
        <w:framePr w:w="9639" w:h="6976" w:hRule="exact" w:hSpace="0" w:vSpace="0" w:wrap="around" w:hAnchor="page" w:y="6408"/>
        <w:jc w:val="center"/>
        <w:rPr>
          <w:rFonts w:ascii="黑体" w:hAnsi="黑体" w:eastAsia="黑体"/>
          <w:b w:val="0"/>
          <w:bCs w:val="0"/>
          <w:w w:val="100"/>
        </w:rPr>
      </w:pPr>
    </w:p>
    <w:p w14:paraId="55AE564A">
      <w:pPr>
        <w:pStyle w:val="197"/>
        <w:framePr w:h="6974" w:hRule="exact" w:wrap="around"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太秋甜柿栽培技术规程</w:t>
      </w:r>
      <w:r>
        <w:fldChar w:fldCharType="end"/>
      </w:r>
      <w:bookmarkEnd w:id="9"/>
    </w:p>
    <w:p w14:paraId="1C312DD4">
      <w:pPr>
        <w:framePr w:w="9639" w:h="6974" w:hRule="exact" w:wrap="around" w:vAnchor="page" w:hAnchor="page" w:x="1419" w:y="6408" w:anchorLock="1"/>
        <w:ind w:left="-1418"/>
      </w:pPr>
    </w:p>
    <w:p w14:paraId="25B7D970">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Code of practice for cultivation of non-astringent persimmon(Diospyros kaki Thunb.) Taishuu</w:t>
      </w:r>
      <w:r>
        <w:rPr>
          <w:rFonts w:ascii="黑体" w:hAnsi="黑体" w:eastAsia="黑体"/>
          <w:szCs w:val="28"/>
        </w:rPr>
        <w:fldChar w:fldCharType="end"/>
      </w:r>
      <w:bookmarkEnd w:id="10"/>
    </w:p>
    <w:p w14:paraId="191D52BD">
      <w:pPr>
        <w:framePr w:w="9639" w:h="6974" w:hRule="exact" w:wrap="around" w:vAnchor="page" w:hAnchor="page" w:x="1419" w:y="6408" w:anchorLock="1"/>
        <w:spacing w:line="760" w:lineRule="exact"/>
        <w:ind w:left="-1418"/>
      </w:pPr>
    </w:p>
    <w:p w14:paraId="14FBE737">
      <w:pPr>
        <w:pStyle w:val="125"/>
        <w:framePr w:w="9639" w:h="6974" w:hRule="exact" w:wrap="around" w:vAnchor="page" w:hAnchor="page" w:x="1419" w:y="6408" w:anchorLock="1"/>
        <w:textAlignment w:val="bottom"/>
        <w:rPr>
          <w:rFonts w:eastAsia="黑体"/>
          <w:szCs w:val="28"/>
        </w:rPr>
      </w:pPr>
    </w:p>
    <w:p w14:paraId="1EE1F88F">
      <w:pPr>
        <w:pStyle w:val="125"/>
        <w:framePr w:w="9639" w:h="6974" w:hRule="exact" w:wrap="around" w:vAnchor="page" w:hAnchor="page" w:x="1419" w:y="6408" w:anchorLock="1"/>
        <w:spacing w:before="440" w:after="160"/>
        <w:textAlignment w:val="bottom"/>
        <w:rPr>
          <w:sz w:val="24"/>
          <w:szCs w:val="28"/>
        </w:rPr>
      </w:pPr>
      <w:r>
        <w:rPr>
          <w:sz w:val="24"/>
          <w:szCs w:val="28"/>
        </w:rPr>
        <w:fldChar w:fldCharType="begin">
          <w:ffData>
            <w:name w:val="下拉1"/>
            <w:enabled/>
            <w:calcOnExit w:val="0"/>
            <w:ddList>
              <w:result w:val="3"/>
              <w:listEntry w:val=" "/>
              <w:listEntry w:val="草案版次选择"/>
              <w:listEntry w:val="（工作组讨论稿）"/>
              <w:listEntry w:val="（征求意见稿）"/>
              <w:listEntry w:val="（送审讨论稿）"/>
              <w:listEntry w:val="（送审稿）"/>
              <w:listEntry w:val="（报批稿）"/>
            </w:ddList>
          </w:ffData>
        </w:fldChar>
      </w:r>
      <w:bookmarkStart w:id="11" w:name="下拉1"/>
      <w:r>
        <w:rPr>
          <w:sz w:val="24"/>
          <w:szCs w:val="28"/>
        </w:rPr>
        <w:instrText xml:space="preserve"> FORMDROPDOWN </w:instrText>
      </w:r>
      <w:r>
        <w:rPr>
          <w:sz w:val="24"/>
          <w:szCs w:val="28"/>
        </w:rPr>
        <w:fldChar w:fldCharType="separate"/>
      </w:r>
      <w:r>
        <w:rPr>
          <w:sz w:val="24"/>
          <w:szCs w:val="28"/>
        </w:rPr>
        <w:fldChar w:fldCharType="end"/>
      </w:r>
      <w:bookmarkEnd w:id="11"/>
    </w:p>
    <w:p w14:paraId="5E0935AD">
      <w:pPr>
        <w:pStyle w:val="125"/>
        <w:framePr w:w="9639" w:h="6974" w:hRule="exact" w:wrap="around" w:vAnchor="page" w:hAnchor="page" w:x="1419" w:y="6408" w:anchorLock="1"/>
        <w:spacing w:before="180" w:line="240" w:lineRule="atLeast"/>
        <w:textAlignment w:val="bottom"/>
        <w:rPr>
          <w:sz w:val="21"/>
          <w:szCs w:val="28"/>
        </w:rPr>
      </w:pPr>
      <w:r>
        <w:rPr>
          <w:sz w:val="21"/>
          <w:szCs w:val="28"/>
        </w:rPr>
        <w:fldChar w:fldCharType="begin">
          <w:ffData>
            <w:name w:val="CMPLSH_DATE"/>
            <w:enabled/>
            <w:calcOnExit w:val="0"/>
            <w:textInput/>
          </w:ffData>
        </w:fldChar>
      </w:r>
      <w:bookmarkStart w:id="12" w:name="CMPLSH_DATE"/>
      <w:r>
        <w:rPr>
          <w:sz w:val="21"/>
          <w:szCs w:val="28"/>
        </w:rPr>
        <w:instrText xml:space="preserve"> FORMTEXT </w:instrText>
      </w:r>
      <w:r>
        <w:rPr>
          <w:sz w:val="21"/>
          <w:szCs w:val="28"/>
        </w:rPr>
        <w:fldChar w:fldCharType="separate"/>
      </w:r>
      <w:r>
        <w:rPr>
          <w:sz w:val="21"/>
          <w:szCs w:val="28"/>
        </w:rPr>
        <w:t>     </w:t>
      </w:r>
      <w:r>
        <w:rPr>
          <w:sz w:val="21"/>
          <w:szCs w:val="28"/>
        </w:rPr>
        <w:fldChar w:fldCharType="end"/>
      </w:r>
      <w:bookmarkEnd w:id="12"/>
    </w:p>
    <w:p w14:paraId="225D22BD">
      <w:pPr>
        <w:pStyle w:val="125"/>
        <w:framePr w:w="9639" w:h="6974" w:hRule="exact" w:wrap="around" w:vAnchor="page" w:hAnchor="page" w:x="1419" w:y="6408" w:anchorLock="1"/>
        <w:spacing w:before="720" w:beforeLines="300" w:after="72" w:afterLines="30" w:line="240" w:lineRule="auto"/>
        <w:textAlignment w:val="bottom"/>
        <w:rPr>
          <w:b/>
          <w:sz w:val="21"/>
          <w:szCs w:val="28"/>
        </w:rPr>
      </w:pPr>
      <w:r>
        <w:rPr>
          <w:b/>
          <w:sz w:val="21"/>
          <w:szCs w:val="28"/>
        </w:rPr>
        <w:fldChar w:fldCharType="begin">
          <w:ffData>
            <w:name w:val="下拉2"/>
            <w:enabled/>
            <w:calcOnExit w:val="0"/>
            <w:ddList>
              <w:result w:val="1"/>
              <w:listEntry w:val=" "/>
              <w:listEntry w:val="在提交反馈意见时，请将您知道的相关专利连同支持性文件一并附上。"/>
            </w:ddList>
          </w:ffData>
        </w:fldChar>
      </w:r>
      <w:bookmarkStart w:id="13" w:name="下拉2"/>
      <w:r>
        <w:rPr>
          <w:b/>
          <w:sz w:val="21"/>
          <w:szCs w:val="28"/>
        </w:rPr>
        <w:instrText xml:space="preserve"> FORMDROPDOWN </w:instrText>
      </w:r>
      <w:r>
        <w:rPr>
          <w:b/>
          <w:sz w:val="21"/>
          <w:szCs w:val="28"/>
        </w:rPr>
        <w:fldChar w:fldCharType="separate"/>
      </w:r>
      <w:r>
        <w:rPr>
          <w:b/>
          <w:sz w:val="21"/>
          <w:szCs w:val="28"/>
        </w:rPr>
        <w:fldChar w:fldCharType="end"/>
      </w:r>
      <w:bookmarkEnd w:id="13"/>
    </w:p>
    <w:p w14:paraId="6A0A6DEC">
      <w:pPr>
        <w:pStyle w:val="193"/>
        <w:framePr w:wrap="around"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14:paraId="2D27D898">
      <w:pPr>
        <w:pStyle w:val="194"/>
        <w:framePr w:wrap="around"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ascii="黑体"/>
        </w:rPr>
        <w:t>XXXX</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14:paraId="6CACFB3C">
      <w:pPr>
        <w:pStyle w:val="151"/>
        <w:framePr w:h="584" w:hRule="exact" w:hSpace="181" w:vSpace="181" w:wrap="around"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湖南省市场监督管理局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14:paraId="432F1998">
      <w:pPr>
        <w:rPr>
          <w:rFonts w:ascii="宋体" w:hAnsi="宋体"/>
          <w:sz w:val="28"/>
          <w:szCs w:val="28"/>
        </w:rPr>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60288"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60288;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rMxz71wAAAA4B&#10;AAAPAAAAAAAAAAEAIAAAACIAAABkcnMvZG93bnJldi54bWxQSwECFAAUAAAACACHTuJAWS4lmOMB&#10;AACqAwAADgAAAAAAAAABACAAAAAmAQAAZHJzL2Uyb0RvYy54bWxQSwUGAAAAAAYABgBZAQAAewUA&#10;AAAA&#10;">
                <v:fill on="f" focussize="0,0"/>
                <v:stroke color="#000000" joinstyle="round"/>
                <v:imagedata o:title=""/>
                <o:lock v:ext="edit" aspectratio="f"/>
                <w10:anchorlock/>
              </v:line>
            </w:pict>
          </mc:Fallback>
        </mc:AlternateContent>
      </w:r>
    </w:p>
    <w:p w14:paraId="4270E163">
      <w:pPr>
        <w:pStyle w:val="91"/>
        <w:spacing w:after="468"/>
        <w:rPr>
          <w:rFonts w:hint="eastAsia"/>
        </w:rPr>
      </w:pPr>
      <w:bookmarkStart w:id="21" w:name="BookMark1"/>
      <w:bookmarkStart w:id="22" w:name="_Toc239247443"/>
      <w:r>
        <w:rPr>
          <w:rFonts w:hint="eastAsia"/>
          <w:spacing w:val="320"/>
        </w:rPr>
        <w:t>目</w:t>
      </w:r>
      <w:r>
        <w:rPr>
          <w:rFonts w:hint="eastAsia"/>
        </w:rPr>
        <w:t>次</w:t>
      </w:r>
    </w:p>
    <w:p w14:paraId="3D74759F">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TOC \o "1-1" \h \t "标准文件_一级条标题,2,标准文件_附录一级条标题,2," </w:instrText>
      </w:r>
      <w:r>
        <w:fldChar w:fldCharType="separate"/>
      </w:r>
      <w:r>
        <w:fldChar w:fldCharType="begin"/>
      </w:r>
      <w:r>
        <w:instrText xml:space="preserve"> HYPERLINK \l "_Toc239247815" </w:instrText>
      </w:r>
      <w:r>
        <w:fldChar w:fldCharType="separate"/>
      </w:r>
      <w:r>
        <w:rPr>
          <w:rStyle w:val="32"/>
        </w:rPr>
        <w:t>前言</w:t>
      </w:r>
      <w:r>
        <w:tab/>
      </w:r>
      <w:r>
        <w:fldChar w:fldCharType="begin"/>
      </w:r>
      <w:r>
        <w:instrText xml:space="preserve"> PAGEREF _Toc239247815 \h </w:instrText>
      </w:r>
      <w:r>
        <w:fldChar w:fldCharType="separate"/>
      </w:r>
      <w:r>
        <w:t>III</w:t>
      </w:r>
      <w:r>
        <w:fldChar w:fldCharType="end"/>
      </w:r>
      <w:r>
        <w:fldChar w:fldCharType="end"/>
      </w:r>
    </w:p>
    <w:p w14:paraId="37D12443">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"_Toc239247816" </w:instrText>
      </w:r>
      <w:r>
        <w:fldChar w:fldCharType="separate"/>
      </w:r>
      <w:r>
        <w:rPr>
          <w:rStyle w:val="32"/>
        </w:rPr>
        <w:t>1  范围</w:t>
      </w:r>
      <w:r>
        <w:tab/>
      </w:r>
      <w:r>
        <w:fldChar w:fldCharType="begin"/>
      </w:r>
      <w:r>
        <w:instrText xml:space="preserve"> PAGEREF _Toc239247816 \h </w:instrText>
      </w:r>
      <w:r>
        <w:fldChar w:fldCharType="separate"/>
      </w:r>
      <w:r>
        <w:t>1</w:t>
      </w:r>
      <w:r>
        <w:fldChar w:fldCharType="end"/>
      </w:r>
      <w:r>
        <w:fldChar w:fldCharType="end"/>
      </w:r>
    </w:p>
    <w:p w14:paraId="6D68ED76">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"_Toc239247817" </w:instrText>
      </w:r>
      <w:r>
        <w:fldChar w:fldCharType="separate"/>
      </w:r>
      <w:r>
        <w:rPr>
          <w:rStyle w:val="32"/>
        </w:rPr>
        <w:t>2  规范性引用文件</w:t>
      </w:r>
      <w:r>
        <w:tab/>
      </w:r>
      <w:r>
        <w:fldChar w:fldCharType="begin"/>
      </w:r>
      <w:r>
        <w:instrText xml:space="preserve"> PAGEREF _Toc239247817 \h </w:instrText>
      </w:r>
      <w:r>
        <w:fldChar w:fldCharType="separate"/>
      </w:r>
      <w:r>
        <w:t>1</w:t>
      </w:r>
      <w:r>
        <w:fldChar w:fldCharType="end"/>
      </w:r>
      <w:r>
        <w:fldChar w:fldCharType="end"/>
      </w:r>
    </w:p>
    <w:p w14:paraId="6D6AC0E0">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"_Toc239247818" </w:instrText>
      </w:r>
      <w:r>
        <w:fldChar w:fldCharType="separate"/>
      </w:r>
      <w:r>
        <w:rPr>
          <w:rStyle w:val="32"/>
        </w:rPr>
        <w:t>3  术语和定义</w:t>
      </w:r>
      <w:r>
        <w:tab/>
      </w:r>
      <w:r>
        <w:fldChar w:fldCharType="begin"/>
      </w:r>
      <w:r>
        <w:instrText xml:space="preserve"> PAGEREF _Toc239247818 \h </w:instrText>
      </w:r>
      <w:r>
        <w:fldChar w:fldCharType="separate"/>
      </w:r>
      <w:r>
        <w:t>1</w:t>
      </w:r>
      <w:r>
        <w:fldChar w:fldCharType="end"/>
      </w:r>
      <w:r>
        <w:fldChar w:fldCharType="end"/>
      </w:r>
    </w:p>
    <w:p w14:paraId="337638B4">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"_Toc239247819" </w:instrText>
      </w:r>
      <w:r>
        <w:fldChar w:fldCharType="separate"/>
      </w:r>
      <w:r>
        <w:rPr>
          <w:rStyle w:val="32"/>
        </w:rPr>
        <w:t>4  建园</w:t>
      </w:r>
      <w:r>
        <w:tab/>
      </w:r>
      <w:r>
        <w:fldChar w:fldCharType="begin"/>
      </w:r>
      <w:r>
        <w:instrText xml:space="preserve"> PAGEREF _Toc239247819 \h </w:instrText>
      </w:r>
      <w:r>
        <w:fldChar w:fldCharType="separate"/>
      </w:r>
      <w:r>
        <w:t>1</w:t>
      </w:r>
      <w:r>
        <w:fldChar w:fldCharType="end"/>
      </w:r>
      <w:r>
        <w:fldChar w:fldCharType="end"/>
      </w:r>
    </w:p>
    <w:p w14:paraId="596A1773">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"_Toc239247820" </w:instrText>
      </w:r>
      <w:r>
        <w:fldChar w:fldCharType="separate"/>
      </w:r>
      <w:r>
        <w:rPr>
          <w:rStyle w:val="32"/>
          <w14:scene3d>
            <w14:lightRig w14:rig="threePt" w14:dir="t">
              <w14:rot w14:lat="0" w14:lon="0" w14:rev="0"/>
            </w14:lightRig>
          </w14:scene3d>
        </w:rPr>
        <w:t xml:space="preserve">4.1 </w:t>
      </w:r>
      <w:r>
        <w:rPr>
          <w:rStyle w:val="32"/>
        </w:rPr>
        <w:t xml:space="preserve"> 园地选择</w:t>
      </w:r>
      <w:r>
        <w:tab/>
      </w:r>
      <w:r>
        <w:fldChar w:fldCharType="begin"/>
      </w:r>
      <w:r>
        <w:instrText xml:space="preserve"> PAGEREF _Toc239247820 \h </w:instrText>
      </w:r>
      <w:r>
        <w:fldChar w:fldCharType="separate"/>
      </w:r>
      <w:r>
        <w:t>1</w:t>
      </w:r>
      <w:r>
        <w:fldChar w:fldCharType="end"/>
      </w:r>
      <w:r>
        <w:fldChar w:fldCharType="end"/>
      </w:r>
    </w:p>
    <w:p w14:paraId="56126A3F">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"_Toc239247821" </w:instrText>
      </w:r>
      <w:r>
        <w:fldChar w:fldCharType="separate"/>
      </w:r>
      <w:r>
        <w:rPr>
          <w:rStyle w:val="32"/>
          <w14:scene3d>
            <w14:lightRig w14:rig="threePt" w14:dir="t">
              <w14:rot w14:lat="0" w14:lon="0" w14:rev="0"/>
            </w14:lightRig>
          </w14:scene3d>
        </w:rPr>
        <w:t xml:space="preserve">4.2 </w:t>
      </w:r>
      <w:r>
        <w:rPr>
          <w:rStyle w:val="32"/>
        </w:rPr>
        <w:t xml:space="preserve"> 建园</w:t>
      </w:r>
      <w:r>
        <w:tab/>
      </w:r>
      <w:r>
        <w:fldChar w:fldCharType="begin"/>
      </w:r>
      <w:r>
        <w:instrText xml:space="preserve"> PAGEREF _Toc239247821 \h </w:instrText>
      </w:r>
      <w:r>
        <w:fldChar w:fldCharType="separate"/>
      </w:r>
      <w:r>
        <w:t>1</w:t>
      </w:r>
      <w:r>
        <w:fldChar w:fldCharType="end"/>
      </w:r>
      <w:r>
        <w:fldChar w:fldCharType="end"/>
      </w:r>
    </w:p>
    <w:p w14:paraId="1B82DA11">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"_Toc239247822" </w:instrText>
      </w:r>
      <w:r>
        <w:fldChar w:fldCharType="separate"/>
      </w:r>
      <w:r>
        <w:rPr>
          <w:rStyle w:val="32"/>
        </w:rPr>
        <w:t>5  苗木定植</w:t>
      </w:r>
      <w:r>
        <w:tab/>
      </w:r>
      <w:r>
        <w:fldChar w:fldCharType="begin"/>
      </w:r>
      <w:r>
        <w:instrText xml:space="preserve"> PAGEREF _Toc239247822 \h </w:instrText>
      </w:r>
      <w:r>
        <w:fldChar w:fldCharType="separate"/>
      </w:r>
      <w:r>
        <w:t>1</w:t>
      </w:r>
      <w:r>
        <w:fldChar w:fldCharType="end"/>
      </w:r>
      <w:r>
        <w:fldChar w:fldCharType="end"/>
      </w:r>
    </w:p>
    <w:p w14:paraId="05F4763A">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"_Toc239247823" </w:instrText>
      </w:r>
      <w:r>
        <w:fldChar w:fldCharType="separate"/>
      </w:r>
      <w:r>
        <w:rPr>
          <w:rStyle w:val="32"/>
          <w14:scene3d>
            <w14:lightRig w14:rig="threePt" w14:dir="t">
              <w14:rot w14:lat="0" w14:lon="0" w14:rev="0"/>
            </w14:lightRig>
          </w14:scene3d>
        </w:rPr>
        <w:t xml:space="preserve">5.1 </w:t>
      </w:r>
      <w:r>
        <w:rPr>
          <w:rStyle w:val="32"/>
        </w:rPr>
        <w:t xml:space="preserve"> 苗木选择</w:t>
      </w:r>
      <w:r>
        <w:tab/>
      </w:r>
      <w:r>
        <w:fldChar w:fldCharType="begin"/>
      </w:r>
      <w:r>
        <w:instrText xml:space="preserve"> PAGEREF _Toc239247823 \h </w:instrText>
      </w:r>
      <w:r>
        <w:fldChar w:fldCharType="separate"/>
      </w:r>
      <w:r>
        <w:t>2</w:t>
      </w:r>
      <w:r>
        <w:fldChar w:fldCharType="end"/>
      </w:r>
      <w:r>
        <w:fldChar w:fldCharType="end"/>
      </w:r>
    </w:p>
    <w:p w14:paraId="0E683D74">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"_Toc239247824" </w:instrText>
      </w:r>
      <w:r>
        <w:fldChar w:fldCharType="separate"/>
      </w:r>
      <w:r>
        <w:rPr>
          <w:rStyle w:val="32"/>
          <w14:scene3d>
            <w14:lightRig w14:rig="threePt" w14:dir="t">
              <w14:rot w14:lat="0" w14:lon="0" w14:rev="0"/>
            </w14:lightRig>
          </w14:scene3d>
        </w:rPr>
        <w:t xml:space="preserve">5.2 </w:t>
      </w:r>
      <w:r>
        <w:rPr>
          <w:rStyle w:val="32"/>
        </w:rPr>
        <w:t xml:space="preserve"> 时间</w:t>
      </w:r>
      <w:r>
        <w:tab/>
      </w:r>
      <w:r>
        <w:fldChar w:fldCharType="begin"/>
      </w:r>
      <w:r>
        <w:instrText xml:space="preserve"> PAGEREF _Toc239247824 \h </w:instrText>
      </w:r>
      <w:r>
        <w:fldChar w:fldCharType="separate"/>
      </w:r>
      <w:r>
        <w:t>2</w:t>
      </w:r>
      <w:r>
        <w:fldChar w:fldCharType="end"/>
      </w:r>
      <w:r>
        <w:fldChar w:fldCharType="end"/>
      </w:r>
    </w:p>
    <w:p w14:paraId="500A4F53">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"_Toc239247825" </w:instrText>
      </w:r>
      <w:r>
        <w:fldChar w:fldCharType="separate"/>
      </w:r>
      <w:r>
        <w:rPr>
          <w:rStyle w:val="32"/>
          <w14:scene3d>
            <w14:lightRig w14:rig="threePt" w14:dir="t">
              <w14:rot w14:lat="0" w14:lon="0" w14:rev="0"/>
            </w14:lightRig>
          </w14:scene3d>
        </w:rPr>
        <w:t xml:space="preserve">5.3 </w:t>
      </w:r>
      <w:r>
        <w:rPr>
          <w:rStyle w:val="32"/>
        </w:rPr>
        <w:t xml:space="preserve"> 密度</w:t>
      </w:r>
      <w:r>
        <w:tab/>
      </w:r>
      <w:r>
        <w:fldChar w:fldCharType="begin"/>
      </w:r>
      <w:r>
        <w:instrText xml:space="preserve"> PAGEREF _Toc239247825 \h </w:instrText>
      </w:r>
      <w:r>
        <w:fldChar w:fldCharType="separate"/>
      </w:r>
      <w:r>
        <w:t>2</w:t>
      </w:r>
      <w:r>
        <w:fldChar w:fldCharType="end"/>
      </w:r>
      <w:r>
        <w:fldChar w:fldCharType="end"/>
      </w:r>
    </w:p>
    <w:p w14:paraId="3692083B">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"_Toc239247826" </w:instrText>
      </w:r>
      <w:r>
        <w:fldChar w:fldCharType="separate"/>
      </w:r>
      <w:r>
        <w:rPr>
          <w:rStyle w:val="32"/>
          <w14:scene3d>
            <w14:lightRig w14:rig="threePt" w14:dir="t">
              <w14:rot w14:lat="0" w14:lon="0" w14:rev="0"/>
            </w14:lightRig>
          </w14:scene3d>
        </w:rPr>
        <w:t xml:space="preserve">5.4 </w:t>
      </w:r>
      <w:r>
        <w:rPr>
          <w:rStyle w:val="32"/>
        </w:rPr>
        <w:t xml:space="preserve"> 方法</w:t>
      </w:r>
      <w:r>
        <w:tab/>
      </w:r>
      <w:r>
        <w:fldChar w:fldCharType="begin"/>
      </w:r>
      <w:r>
        <w:instrText xml:space="preserve"> PAGEREF _Toc239247826 \h </w:instrText>
      </w:r>
      <w:r>
        <w:fldChar w:fldCharType="separate"/>
      </w:r>
      <w:r>
        <w:t>2</w:t>
      </w:r>
      <w:r>
        <w:fldChar w:fldCharType="end"/>
      </w:r>
      <w:r>
        <w:fldChar w:fldCharType="end"/>
      </w:r>
    </w:p>
    <w:p w14:paraId="1B529A8D">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"_Toc239247827" </w:instrText>
      </w:r>
      <w:r>
        <w:fldChar w:fldCharType="separate"/>
      </w:r>
      <w:r>
        <w:rPr>
          <w:rStyle w:val="32"/>
          <w14:scene3d>
            <w14:lightRig w14:rig="threePt" w14:dir="t">
              <w14:rot w14:lat="0" w14:lon="0" w14:rev="0"/>
            </w14:lightRig>
          </w14:scene3d>
        </w:rPr>
        <w:t xml:space="preserve">5.5 </w:t>
      </w:r>
      <w:r>
        <w:rPr>
          <w:rStyle w:val="32"/>
        </w:rPr>
        <w:t xml:space="preserve"> 注意事项</w:t>
      </w:r>
      <w:r>
        <w:tab/>
      </w:r>
      <w:r>
        <w:fldChar w:fldCharType="begin"/>
      </w:r>
      <w:r>
        <w:instrText xml:space="preserve"> PAGEREF _Toc239247827 \h </w:instrText>
      </w:r>
      <w:r>
        <w:fldChar w:fldCharType="separate"/>
      </w:r>
      <w:r>
        <w:t>2</w:t>
      </w:r>
      <w:r>
        <w:fldChar w:fldCharType="end"/>
      </w:r>
      <w:r>
        <w:fldChar w:fldCharType="end"/>
      </w:r>
    </w:p>
    <w:p w14:paraId="4AFFC1E7">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"_Toc239247828" </w:instrText>
      </w:r>
      <w:r>
        <w:fldChar w:fldCharType="separate"/>
      </w:r>
      <w:r>
        <w:rPr>
          <w:rStyle w:val="32"/>
        </w:rPr>
        <w:t>6  田间管理</w:t>
      </w:r>
      <w:r>
        <w:tab/>
      </w:r>
      <w:r>
        <w:fldChar w:fldCharType="begin"/>
      </w:r>
      <w:r>
        <w:instrText xml:space="preserve"> PAGEREF _Toc239247828 \h </w:instrText>
      </w:r>
      <w:r>
        <w:fldChar w:fldCharType="separate"/>
      </w:r>
      <w:r>
        <w:t>2</w:t>
      </w:r>
      <w:r>
        <w:fldChar w:fldCharType="end"/>
      </w:r>
      <w:r>
        <w:fldChar w:fldCharType="end"/>
      </w:r>
    </w:p>
    <w:p w14:paraId="50BE9AFA">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"_Toc239247829" </w:instrText>
      </w:r>
      <w:r>
        <w:fldChar w:fldCharType="separate"/>
      </w:r>
      <w:r>
        <w:rPr>
          <w:rStyle w:val="32"/>
          <w14:scene3d>
            <w14:lightRig w14:rig="threePt" w14:dir="t">
              <w14:rot w14:lat="0" w14:lon="0" w14:rev="0"/>
            </w14:lightRig>
          </w14:scene3d>
        </w:rPr>
        <w:t xml:space="preserve">6.1 </w:t>
      </w:r>
      <w:r>
        <w:rPr>
          <w:rStyle w:val="32"/>
        </w:rPr>
        <w:t xml:space="preserve"> 灌溉与排水</w:t>
      </w:r>
      <w:r>
        <w:tab/>
      </w:r>
      <w:r>
        <w:fldChar w:fldCharType="begin"/>
      </w:r>
      <w:r>
        <w:instrText xml:space="preserve"> PAGEREF _Toc239247829 \h </w:instrText>
      </w:r>
      <w:r>
        <w:fldChar w:fldCharType="separate"/>
      </w:r>
      <w:r>
        <w:t>2</w:t>
      </w:r>
      <w:r>
        <w:fldChar w:fldCharType="end"/>
      </w:r>
      <w:r>
        <w:fldChar w:fldCharType="end"/>
      </w:r>
    </w:p>
    <w:p w14:paraId="3B4C3D6A">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"_Toc239247830" </w:instrText>
      </w:r>
      <w:r>
        <w:fldChar w:fldCharType="separate"/>
      </w:r>
      <w:r>
        <w:rPr>
          <w:rStyle w:val="32"/>
          <w14:scene3d>
            <w14:lightRig w14:rig="threePt" w14:dir="t">
              <w14:rot w14:lat="0" w14:lon="0" w14:rev="0"/>
            </w14:lightRig>
          </w14:scene3d>
        </w:rPr>
        <w:t xml:space="preserve">6.2 </w:t>
      </w:r>
      <w:r>
        <w:rPr>
          <w:rStyle w:val="32"/>
        </w:rPr>
        <w:t xml:space="preserve"> 科学施肥</w:t>
      </w:r>
      <w:r>
        <w:tab/>
      </w:r>
      <w:r>
        <w:fldChar w:fldCharType="begin"/>
      </w:r>
      <w:r>
        <w:instrText xml:space="preserve"> PAGEREF _Toc239247830 \h </w:instrText>
      </w:r>
      <w:r>
        <w:fldChar w:fldCharType="separate"/>
      </w:r>
      <w:r>
        <w:t>2</w:t>
      </w:r>
      <w:r>
        <w:fldChar w:fldCharType="end"/>
      </w:r>
      <w:r>
        <w:fldChar w:fldCharType="end"/>
      </w:r>
    </w:p>
    <w:p w14:paraId="76DCE81E">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"_Toc239247831" </w:instrText>
      </w:r>
      <w:r>
        <w:fldChar w:fldCharType="separate"/>
      </w:r>
      <w:r>
        <w:rPr>
          <w:rStyle w:val="32"/>
          <w14:scene3d>
            <w14:lightRig w14:rig="threePt" w14:dir="t">
              <w14:rot w14:lat="0" w14:lon="0" w14:rev="0"/>
            </w14:lightRig>
          </w14:scene3d>
        </w:rPr>
        <w:t xml:space="preserve">6.3 </w:t>
      </w:r>
      <w:r>
        <w:rPr>
          <w:rStyle w:val="32"/>
        </w:rPr>
        <w:t xml:space="preserve"> 杂草防治</w:t>
      </w:r>
      <w:r>
        <w:tab/>
      </w:r>
      <w:r>
        <w:fldChar w:fldCharType="begin"/>
      </w:r>
      <w:r>
        <w:instrText xml:space="preserve"> PAGEREF _Toc239247831 \h </w:instrText>
      </w:r>
      <w:r>
        <w:fldChar w:fldCharType="separate"/>
      </w:r>
      <w:r>
        <w:t>3</w:t>
      </w:r>
      <w:r>
        <w:fldChar w:fldCharType="end"/>
      </w:r>
      <w:r>
        <w:fldChar w:fldCharType="end"/>
      </w:r>
    </w:p>
    <w:p w14:paraId="13C1B439">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"_Toc239247832" </w:instrText>
      </w:r>
      <w:r>
        <w:fldChar w:fldCharType="separate"/>
      </w:r>
      <w:r>
        <w:rPr>
          <w:rStyle w:val="32"/>
        </w:rPr>
        <w:t>7  整形修剪</w:t>
      </w:r>
      <w:r>
        <w:tab/>
      </w:r>
      <w:r>
        <w:fldChar w:fldCharType="begin"/>
      </w:r>
      <w:r>
        <w:instrText xml:space="preserve"> PAGEREF _Toc239247832 \h </w:instrText>
      </w:r>
      <w:r>
        <w:fldChar w:fldCharType="separate"/>
      </w:r>
      <w:r>
        <w:t>3</w:t>
      </w:r>
      <w:r>
        <w:fldChar w:fldCharType="end"/>
      </w:r>
      <w:r>
        <w:fldChar w:fldCharType="end"/>
      </w:r>
    </w:p>
    <w:p w14:paraId="092BA2C9">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"_Toc239247833" </w:instrText>
      </w:r>
      <w:r>
        <w:fldChar w:fldCharType="separate"/>
      </w:r>
      <w:r>
        <w:rPr>
          <w:rStyle w:val="32"/>
          <w14:scene3d>
            <w14:lightRig w14:rig="threePt" w14:dir="t">
              <w14:rot w14:lat="0" w14:lon="0" w14:rev="0"/>
            </w14:lightRig>
          </w14:scene3d>
        </w:rPr>
        <w:t xml:space="preserve">7.1 </w:t>
      </w:r>
      <w:r>
        <w:rPr>
          <w:rStyle w:val="32"/>
        </w:rPr>
        <w:t xml:space="preserve"> 树形</w:t>
      </w:r>
      <w:r>
        <w:tab/>
      </w:r>
      <w:r>
        <w:fldChar w:fldCharType="begin"/>
      </w:r>
      <w:r>
        <w:instrText xml:space="preserve"> PAGEREF _Toc239247833 \h </w:instrText>
      </w:r>
      <w:r>
        <w:fldChar w:fldCharType="separate"/>
      </w:r>
      <w:r>
        <w:t>3</w:t>
      </w:r>
      <w:r>
        <w:fldChar w:fldCharType="end"/>
      </w:r>
      <w:r>
        <w:fldChar w:fldCharType="end"/>
      </w:r>
    </w:p>
    <w:p w14:paraId="6A10B5B6">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"_Toc239247834" </w:instrText>
      </w:r>
      <w:r>
        <w:fldChar w:fldCharType="separate"/>
      </w:r>
      <w:r>
        <w:rPr>
          <w:rStyle w:val="32"/>
          <w14:scene3d>
            <w14:lightRig w14:rig="threePt" w14:dir="t">
              <w14:rot w14:lat="0" w14:lon="0" w14:rev="0"/>
            </w14:lightRig>
          </w14:scene3d>
        </w:rPr>
        <w:t xml:space="preserve">7.2 </w:t>
      </w:r>
      <w:r>
        <w:rPr>
          <w:rStyle w:val="32"/>
        </w:rPr>
        <w:t xml:space="preserve"> 时期</w:t>
      </w:r>
      <w:r>
        <w:tab/>
      </w:r>
      <w:r>
        <w:fldChar w:fldCharType="begin"/>
      </w:r>
      <w:r>
        <w:instrText xml:space="preserve"> PAGEREF _Toc239247834 \h </w:instrText>
      </w:r>
      <w:r>
        <w:fldChar w:fldCharType="separate"/>
      </w:r>
      <w:r>
        <w:t>3</w:t>
      </w:r>
      <w:r>
        <w:fldChar w:fldCharType="end"/>
      </w:r>
      <w:r>
        <w:fldChar w:fldCharType="end"/>
      </w:r>
    </w:p>
    <w:p w14:paraId="1E17E5E7">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"_Toc239247835" </w:instrText>
      </w:r>
      <w:r>
        <w:fldChar w:fldCharType="separate"/>
      </w:r>
      <w:r>
        <w:rPr>
          <w:rStyle w:val="32"/>
          <w14:scene3d>
            <w14:lightRig w14:rig="threePt" w14:dir="t">
              <w14:rot w14:lat="0" w14:lon="0" w14:rev="0"/>
            </w14:lightRig>
          </w14:scene3d>
        </w:rPr>
        <w:t xml:space="preserve">7.3 </w:t>
      </w:r>
      <w:r>
        <w:rPr>
          <w:rStyle w:val="32"/>
        </w:rPr>
        <w:t xml:space="preserve"> 方法</w:t>
      </w:r>
      <w:r>
        <w:tab/>
      </w:r>
      <w:r>
        <w:fldChar w:fldCharType="begin"/>
      </w:r>
      <w:r>
        <w:instrText xml:space="preserve"> PAGEREF _Toc239247835 \h </w:instrText>
      </w:r>
      <w:r>
        <w:fldChar w:fldCharType="separate"/>
      </w:r>
      <w:r>
        <w:t>3</w:t>
      </w:r>
      <w:r>
        <w:fldChar w:fldCharType="end"/>
      </w:r>
      <w:r>
        <w:fldChar w:fldCharType="end"/>
      </w:r>
    </w:p>
    <w:p w14:paraId="15DBA025">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"_Toc239247836" </w:instrText>
      </w:r>
      <w:r>
        <w:fldChar w:fldCharType="separate"/>
      </w:r>
      <w:r>
        <w:rPr>
          <w:rStyle w:val="32"/>
        </w:rPr>
        <w:t>8  花果管理</w:t>
      </w:r>
      <w:r>
        <w:tab/>
      </w:r>
      <w:r>
        <w:fldChar w:fldCharType="begin"/>
      </w:r>
      <w:r>
        <w:instrText xml:space="preserve"> PAGEREF _Toc239247836 \h </w:instrText>
      </w:r>
      <w:r>
        <w:fldChar w:fldCharType="separate"/>
      </w:r>
      <w:r>
        <w:t>3</w:t>
      </w:r>
      <w:r>
        <w:fldChar w:fldCharType="end"/>
      </w:r>
      <w:r>
        <w:fldChar w:fldCharType="end"/>
      </w:r>
    </w:p>
    <w:p w14:paraId="259B5B06">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"_Toc239247837" </w:instrText>
      </w:r>
      <w:r>
        <w:fldChar w:fldCharType="separate"/>
      </w:r>
      <w:r>
        <w:rPr>
          <w:rStyle w:val="32"/>
          <w14:scene3d>
            <w14:lightRig w14:rig="threePt" w14:dir="t">
              <w14:rot w14:lat="0" w14:lon="0" w14:rev="0"/>
            </w14:lightRig>
          </w14:scene3d>
        </w:rPr>
        <w:t xml:space="preserve">8.1 </w:t>
      </w:r>
      <w:r>
        <w:rPr>
          <w:rStyle w:val="32"/>
        </w:rPr>
        <w:t xml:space="preserve"> 保花保果</w:t>
      </w:r>
      <w:r>
        <w:tab/>
      </w:r>
      <w:r>
        <w:fldChar w:fldCharType="begin"/>
      </w:r>
      <w:r>
        <w:instrText xml:space="preserve"> PAGEREF _Toc239247837 \h </w:instrText>
      </w:r>
      <w:r>
        <w:fldChar w:fldCharType="separate"/>
      </w:r>
      <w:r>
        <w:t>3</w:t>
      </w:r>
      <w:r>
        <w:fldChar w:fldCharType="end"/>
      </w:r>
      <w:r>
        <w:fldChar w:fldCharType="end"/>
      </w:r>
    </w:p>
    <w:p w14:paraId="53FFB5C4">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"_Toc239247838" </w:instrText>
      </w:r>
      <w:r>
        <w:fldChar w:fldCharType="separate"/>
      </w:r>
      <w:r>
        <w:rPr>
          <w:rStyle w:val="32"/>
          <w14:scene3d>
            <w14:lightRig w14:rig="threePt" w14:dir="t">
              <w14:rot w14:lat="0" w14:lon="0" w14:rev="0"/>
            </w14:lightRig>
          </w14:scene3d>
        </w:rPr>
        <w:t xml:space="preserve">8.2 </w:t>
      </w:r>
      <w:r>
        <w:rPr>
          <w:rStyle w:val="32"/>
        </w:rPr>
        <w:t xml:space="preserve"> 疏果</w:t>
      </w:r>
      <w:r>
        <w:tab/>
      </w:r>
      <w:r>
        <w:fldChar w:fldCharType="begin"/>
      </w:r>
      <w:r>
        <w:instrText xml:space="preserve"> PAGEREF _Toc239247838 \h </w:instrText>
      </w:r>
      <w:r>
        <w:fldChar w:fldCharType="separate"/>
      </w:r>
      <w:r>
        <w:t>3</w:t>
      </w:r>
      <w:r>
        <w:fldChar w:fldCharType="end"/>
      </w:r>
      <w:r>
        <w:fldChar w:fldCharType="end"/>
      </w:r>
    </w:p>
    <w:p w14:paraId="13ED1013">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"_Toc239247839" </w:instrText>
      </w:r>
      <w:r>
        <w:fldChar w:fldCharType="separate"/>
      </w:r>
      <w:r>
        <w:rPr>
          <w:rStyle w:val="32"/>
          <w14:scene3d>
            <w14:lightRig w14:rig="threePt" w14:dir="t">
              <w14:rot w14:lat="0" w14:lon="0" w14:rev="0"/>
            </w14:lightRig>
          </w14:scene3d>
        </w:rPr>
        <w:t xml:space="preserve">8.3 </w:t>
      </w:r>
      <w:r>
        <w:rPr>
          <w:rStyle w:val="32"/>
        </w:rPr>
        <w:t xml:space="preserve"> 果实套袋</w:t>
      </w:r>
      <w:r>
        <w:tab/>
      </w:r>
      <w:r>
        <w:fldChar w:fldCharType="begin"/>
      </w:r>
      <w:r>
        <w:instrText xml:space="preserve"> PAGEREF _Toc239247839 \h </w:instrText>
      </w:r>
      <w:r>
        <w:fldChar w:fldCharType="separate"/>
      </w:r>
      <w:r>
        <w:t>3</w:t>
      </w:r>
      <w:r>
        <w:fldChar w:fldCharType="end"/>
      </w:r>
      <w:r>
        <w:fldChar w:fldCharType="end"/>
      </w:r>
    </w:p>
    <w:p w14:paraId="088E63A6">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"_Toc239247840" </w:instrText>
      </w:r>
      <w:r>
        <w:fldChar w:fldCharType="separate"/>
      </w:r>
      <w:r>
        <w:rPr>
          <w:rStyle w:val="32"/>
        </w:rPr>
        <w:t>9  病虫害防治</w:t>
      </w:r>
      <w:r>
        <w:tab/>
      </w:r>
      <w:r>
        <w:fldChar w:fldCharType="begin"/>
      </w:r>
      <w:r>
        <w:instrText xml:space="preserve"> PAGEREF _Toc239247840 \h </w:instrText>
      </w:r>
      <w:r>
        <w:fldChar w:fldCharType="separate"/>
      </w:r>
      <w:r>
        <w:t>3</w:t>
      </w:r>
      <w:r>
        <w:fldChar w:fldCharType="end"/>
      </w:r>
      <w:r>
        <w:fldChar w:fldCharType="end"/>
      </w:r>
    </w:p>
    <w:p w14:paraId="59919A5D">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"_Toc239247841" </w:instrText>
      </w:r>
      <w:r>
        <w:fldChar w:fldCharType="separate"/>
      </w:r>
      <w:r>
        <w:rPr>
          <w:rStyle w:val="32"/>
          <w14:scene3d>
            <w14:lightRig w14:rig="threePt" w14:dir="t">
              <w14:rot w14:lat="0" w14:lon="0" w14:rev="0"/>
            </w14:lightRig>
          </w14:scene3d>
        </w:rPr>
        <w:t xml:space="preserve">9.1 </w:t>
      </w:r>
      <w:r>
        <w:rPr>
          <w:rStyle w:val="32"/>
        </w:rPr>
        <w:t xml:space="preserve"> 主要病虫害</w:t>
      </w:r>
      <w:r>
        <w:tab/>
      </w:r>
      <w:r>
        <w:fldChar w:fldCharType="begin"/>
      </w:r>
      <w:r>
        <w:instrText xml:space="preserve"> PAGEREF _Toc239247841 \h </w:instrText>
      </w:r>
      <w:r>
        <w:fldChar w:fldCharType="separate"/>
      </w:r>
      <w:r>
        <w:t>4</w:t>
      </w:r>
      <w:r>
        <w:fldChar w:fldCharType="end"/>
      </w:r>
      <w:r>
        <w:fldChar w:fldCharType="end"/>
      </w:r>
    </w:p>
    <w:p w14:paraId="41DBD16E">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"_Toc239247842" </w:instrText>
      </w:r>
      <w:r>
        <w:fldChar w:fldCharType="separate"/>
      </w:r>
      <w:r>
        <w:rPr>
          <w:rStyle w:val="32"/>
          <w14:scene3d>
            <w14:lightRig w14:rig="threePt" w14:dir="t">
              <w14:rot w14:lat="0" w14:lon="0" w14:rev="0"/>
            </w14:lightRig>
          </w14:scene3d>
        </w:rPr>
        <w:t xml:space="preserve">9.2 </w:t>
      </w:r>
      <w:r>
        <w:rPr>
          <w:rStyle w:val="32"/>
        </w:rPr>
        <w:t xml:space="preserve"> 农业防治</w:t>
      </w:r>
      <w:r>
        <w:tab/>
      </w:r>
      <w:r>
        <w:fldChar w:fldCharType="begin"/>
      </w:r>
      <w:r>
        <w:instrText xml:space="preserve"> PAGEREF _Toc239247842 \h </w:instrText>
      </w:r>
      <w:r>
        <w:fldChar w:fldCharType="separate"/>
      </w:r>
      <w:r>
        <w:t>4</w:t>
      </w:r>
      <w:r>
        <w:fldChar w:fldCharType="end"/>
      </w:r>
      <w:r>
        <w:fldChar w:fldCharType="end"/>
      </w:r>
    </w:p>
    <w:p w14:paraId="28FE352A">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"_Toc239247843" </w:instrText>
      </w:r>
      <w:r>
        <w:fldChar w:fldCharType="separate"/>
      </w:r>
      <w:r>
        <w:rPr>
          <w:rStyle w:val="32"/>
          <w14:scene3d>
            <w14:lightRig w14:rig="threePt" w14:dir="t">
              <w14:rot w14:lat="0" w14:lon="0" w14:rev="0"/>
            </w14:lightRig>
          </w14:scene3d>
        </w:rPr>
        <w:t xml:space="preserve">9.3 </w:t>
      </w:r>
      <w:r>
        <w:rPr>
          <w:rStyle w:val="32"/>
        </w:rPr>
        <w:t xml:space="preserve"> 生物防治</w:t>
      </w:r>
      <w:r>
        <w:tab/>
      </w:r>
      <w:r>
        <w:fldChar w:fldCharType="begin"/>
      </w:r>
      <w:r>
        <w:instrText xml:space="preserve"> PAGEREF _Toc239247843 \h </w:instrText>
      </w:r>
      <w:r>
        <w:fldChar w:fldCharType="separate"/>
      </w:r>
      <w:r>
        <w:t>4</w:t>
      </w:r>
      <w:r>
        <w:fldChar w:fldCharType="end"/>
      </w:r>
      <w:r>
        <w:fldChar w:fldCharType="end"/>
      </w:r>
    </w:p>
    <w:p w14:paraId="3B4A5BAF">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"_Toc239247844" </w:instrText>
      </w:r>
      <w:r>
        <w:fldChar w:fldCharType="separate"/>
      </w:r>
      <w:r>
        <w:rPr>
          <w:rStyle w:val="32"/>
          <w14:scene3d>
            <w14:lightRig w14:rig="threePt" w14:dir="t">
              <w14:rot w14:lat="0" w14:lon="0" w14:rev="0"/>
            </w14:lightRig>
          </w14:scene3d>
        </w:rPr>
        <w:t xml:space="preserve">9.4 </w:t>
      </w:r>
      <w:r>
        <w:rPr>
          <w:rStyle w:val="32"/>
        </w:rPr>
        <w:t xml:space="preserve"> 物理防治</w:t>
      </w:r>
      <w:r>
        <w:tab/>
      </w:r>
      <w:r>
        <w:fldChar w:fldCharType="begin"/>
      </w:r>
      <w:r>
        <w:instrText xml:space="preserve"> PAGEREF _Toc239247844 \h </w:instrText>
      </w:r>
      <w:r>
        <w:fldChar w:fldCharType="separate"/>
      </w:r>
      <w:r>
        <w:t>4</w:t>
      </w:r>
      <w:r>
        <w:fldChar w:fldCharType="end"/>
      </w:r>
      <w:r>
        <w:fldChar w:fldCharType="end"/>
      </w:r>
    </w:p>
    <w:p w14:paraId="2EAC10BB">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"_Toc239247845" </w:instrText>
      </w:r>
      <w:r>
        <w:fldChar w:fldCharType="separate"/>
      </w:r>
      <w:r>
        <w:rPr>
          <w:rStyle w:val="32"/>
          <w14:scene3d>
            <w14:lightRig w14:rig="threePt" w14:dir="t">
              <w14:rot w14:lat="0" w14:lon="0" w14:rev="0"/>
            </w14:lightRig>
          </w14:scene3d>
        </w:rPr>
        <w:t xml:space="preserve">9.5 </w:t>
      </w:r>
      <w:r>
        <w:rPr>
          <w:rStyle w:val="32"/>
        </w:rPr>
        <w:t xml:space="preserve"> 化学防治</w:t>
      </w:r>
      <w:r>
        <w:tab/>
      </w:r>
      <w:r>
        <w:fldChar w:fldCharType="begin"/>
      </w:r>
      <w:r>
        <w:instrText xml:space="preserve"> PAGEREF _Toc239247845 \h </w:instrText>
      </w:r>
      <w:r>
        <w:fldChar w:fldCharType="separate"/>
      </w:r>
      <w:r>
        <w:t>4</w:t>
      </w:r>
      <w:r>
        <w:fldChar w:fldCharType="end"/>
      </w:r>
      <w:r>
        <w:fldChar w:fldCharType="end"/>
      </w:r>
    </w:p>
    <w:p w14:paraId="1A0AACB4">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"_Toc239247846" </w:instrText>
      </w:r>
      <w:r>
        <w:fldChar w:fldCharType="separate"/>
      </w:r>
      <w:r>
        <w:rPr>
          <w:rStyle w:val="32"/>
        </w:rPr>
        <w:t>10  采收与采后处理</w:t>
      </w:r>
      <w:r>
        <w:tab/>
      </w:r>
      <w:r>
        <w:fldChar w:fldCharType="begin"/>
      </w:r>
      <w:r>
        <w:instrText xml:space="preserve"> PAGEREF _Toc239247846 \h </w:instrText>
      </w:r>
      <w:r>
        <w:fldChar w:fldCharType="separate"/>
      </w:r>
      <w:r>
        <w:t>4</w:t>
      </w:r>
      <w:r>
        <w:fldChar w:fldCharType="end"/>
      </w:r>
      <w:r>
        <w:fldChar w:fldCharType="end"/>
      </w:r>
    </w:p>
    <w:p w14:paraId="269035E8">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"_Toc239247847" </w:instrText>
      </w:r>
      <w:r>
        <w:fldChar w:fldCharType="separate"/>
      </w:r>
      <w:r>
        <w:rPr>
          <w:rStyle w:val="32"/>
          <w14:scene3d>
            <w14:lightRig w14:rig="threePt" w14:dir="t">
              <w14:rot w14:lat="0" w14:lon="0" w14:rev="0"/>
            </w14:lightRig>
          </w14:scene3d>
        </w:rPr>
        <w:t xml:space="preserve">10.1 </w:t>
      </w:r>
      <w:r>
        <w:rPr>
          <w:rStyle w:val="32"/>
        </w:rPr>
        <w:t xml:space="preserve"> 采收时期</w:t>
      </w:r>
      <w:r>
        <w:tab/>
      </w:r>
      <w:r>
        <w:fldChar w:fldCharType="begin"/>
      </w:r>
      <w:r>
        <w:instrText xml:space="preserve"> PAGEREF _Toc239247847 \h </w:instrText>
      </w:r>
      <w:r>
        <w:fldChar w:fldCharType="separate"/>
      </w:r>
      <w:r>
        <w:t>4</w:t>
      </w:r>
      <w:r>
        <w:fldChar w:fldCharType="end"/>
      </w:r>
      <w:r>
        <w:fldChar w:fldCharType="end"/>
      </w:r>
    </w:p>
    <w:p w14:paraId="0570C7D2">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"_Toc239247848" </w:instrText>
      </w:r>
      <w:r>
        <w:fldChar w:fldCharType="separate"/>
      </w:r>
      <w:r>
        <w:rPr>
          <w:rStyle w:val="32"/>
          <w14:scene3d>
            <w14:lightRig w14:rig="threePt" w14:dir="t">
              <w14:rot w14:lat="0" w14:lon="0" w14:rev="0"/>
            </w14:lightRig>
          </w14:scene3d>
        </w:rPr>
        <w:t xml:space="preserve">10.2 </w:t>
      </w:r>
      <w:r>
        <w:rPr>
          <w:rStyle w:val="32"/>
        </w:rPr>
        <w:t xml:space="preserve"> 采收方法</w:t>
      </w:r>
      <w:r>
        <w:tab/>
      </w:r>
      <w:r>
        <w:fldChar w:fldCharType="begin"/>
      </w:r>
      <w:r>
        <w:instrText xml:space="preserve"> PAGEREF _Toc239247848 \h </w:instrText>
      </w:r>
      <w:r>
        <w:fldChar w:fldCharType="separate"/>
      </w:r>
      <w:r>
        <w:t>4</w:t>
      </w:r>
      <w:r>
        <w:fldChar w:fldCharType="end"/>
      </w:r>
      <w:r>
        <w:fldChar w:fldCharType="end"/>
      </w:r>
    </w:p>
    <w:p w14:paraId="52AE8227">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"_Toc239247849" </w:instrText>
      </w:r>
      <w:r>
        <w:fldChar w:fldCharType="separate"/>
      </w:r>
      <w:r>
        <w:rPr>
          <w:rStyle w:val="32"/>
          <w14:scene3d>
            <w14:lightRig w14:rig="threePt" w14:dir="t">
              <w14:rot w14:lat="0" w14:lon="0" w14:rev="0"/>
            </w14:lightRig>
          </w14:scene3d>
        </w:rPr>
        <w:t xml:space="preserve">10.3 </w:t>
      </w:r>
      <w:r>
        <w:rPr>
          <w:rStyle w:val="32"/>
        </w:rPr>
        <w:t xml:space="preserve"> 采后处理</w:t>
      </w:r>
      <w:r>
        <w:tab/>
      </w:r>
      <w:r>
        <w:fldChar w:fldCharType="begin"/>
      </w:r>
      <w:r>
        <w:instrText xml:space="preserve"> PAGEREF _Toc239247849 \h </w:instrText>
      </w:r>
      <w:r>
        <w:fldChar w:fldCharType="separate"/>
      </w:r>
      <w:r>
        <w:t>4</w:t>
      </w:r>
      <w:r>
        <w:fldChar w:fldCharType="end"/>
      </w:r>
      <w:r>
        <w:fldChar w:fldCharType="end"/>
      </w:r>
    </w:p>
    <w:p w14:paraId="0BC3FB39">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"_Toc239247850" </w:instrText>
      </w:r>
      <w:r>
        <w:fldChar w:fldCharType="separate"/>
      </w:r>
      <w:r>
        <w:rPr>
          <w:rStyle w:val="32"/>
          <w14:scene3d>
            <w14:lightRig w14:rig="threePt" w14:dir="t">
              <w14:rot w14:lat="0" w14:lon="0" w14:rev="0"/>
            </w14:lightRig>
          </w14:scene3d>
        </w:rPr>
        <w:t xml:space="preserve">10.4 </w:t>
      </w:r>
      <w:r>
        <w:rPr>
          <w:rStyle w:val="32"/>
        </w:rPr>
        <w:t xml:space="preserve"> 贮藏保鲜</w:t>
      </w:r>
      <w:r>
        <w:tab/>
      </w:r>
      <w:r>
        <w:fldChar w:fldCharType="begin"/>
      </w:r>
      <w:r>
        <w:instrText xml:space="preserve"> PAGEREF _Toc239247850 \h </w:instrText>
      </w:r>
      <w:r>
        <w:fldChar w:fldCharType="separate"/>
      </w:r>
      <w:r>
        <w:t>4</w:t>
      </w:r>
      <w:r>
        <w:fldChar w:fldCharType="end"/>
      </w:r>
      <w:r>
        <w:fldChar w:fldCharType="end"/>
      </w:r>
    </w:p>
    <w:p w14:paraId="78896024">
      <w:pPr>
        <w:pStyle w:val="24"/>
        <w:rPr>
          <w:rFonts w:asciiTheme="minorHAnsi" w:hAnsiTheme="minorHAnsi" w:eastAsiaTheme="minorEastAsia" w:cstheme="minorBidi"/>
          <w:sz w:val="22"/>
          <w:szCs w:val="24"/>
          <w14:ligatures w14:val="standardContextual"/>
        </w:rPr>
      </w:pPr>
      <w:r>
        <w:fldChar w:fldCharType="begin"/>
      </w:r>
      <w:r>
        <w:instrText xml:space="preserve"> HYPERLINK \l "_Toc239247851" </w:instrText>
      </w:r>
      <w:r>
        <w:fldChar w:fldCharType="separate"/>
      </w:r>
      <w:r>
        <w:rPr>
          <w:rStyle w:val="32"/>
          <w14:scene3d>
            <w14:lightRig w14:rig="threePt" w14:dir="t">
              <w14:rot w14:lat="0" w14:lon="0" w14:rev="0"/>
            </w14:lightRig>
          </w14:scene3d>
        </w:rPr>
        <w:t xml:space="preserve">10.5 </w:t>
      </w:r>
      <w:r>
        <w:rPr>
          <w:rStyle w:val="32"/>
        </w:rPr>
        <w:t xml:space="preserve"> 运输</w:t>
      </w:r>
      <w:r>
        <w:tab/>
      </w:r>
      <w:r>
        <w:fldChar w:fldCharType="begin"/>
      </w:r>
      <w:r>
        <w:instrText xml:space="preserve"> PAGEREF _Toc239247851 \h </w:instrText>
      </w:r>
      <w:r>
        <w:fldChar w:fldCharType="separate"/>
      </w:r>
      <w:r>
        <w:t>5</w:t>
      </w:r>
      <w:r>
        <w:fldChar w:fldCharType="end"/>
      </w:r>
      <w:r>
        <w:fldChar w:fldCharType="end"/>
      </w:r>
    </w:p>
    <w:p w14:paraId="493A4C40">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"_Toc239247852" </w:instrText>
      </w:r>
      <w:r>
        <w:fldChar w:fldCharType="separate"/>
      </w:r>
      <w:r>
        <w:rPr>
          <w:rStyle w:val="32"/>
        </w:rPr>
        <w:t>11  废弃物处理</w:t>
      </w:r>
      <w:r>
        <w:tab/>
      </w:r>
      <w:r>
        <w:fldChar w:fldCharType="begin"/>
      </w:r>
      <w:r>
        <w:instrText xml:space="preserve"> PAGEREF _Toc239247852 \h </w:instrText>
      </w:r>
      <w:r>
        <w:fldChar w:fldCharType="separate"/>
      </w:r>
      <w:r>
        <w:t>5</w:t>
      </w:r>
      <w:r>
        <w:fldChar w:fldCharType="end"/>
      </w:r>
      <w:r>
        <w:fldChar w:fldCharType="end"/>
      </w:r>
    </w:p>
    <w:p w14:paraId="5C8C00CD">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"_Toc239247853" </w:instrText>
      </w:r>
      <w:r>
        <w:fldChar w:fldCharType="separate"/>
      </w:r>
      <w:r>
        <w:rPr>
          <w:rStyle w:val="32"/>
        </w:rPr>
        <w:t>12  档案管理</w:t>
      </w:r>
      <w:r>
        <w:tab/>
      </w:r>
      <w:r>
        <w:fldChar w:fldCharType="begin"/>
      </w:r>
      <w:r>
        <w:instrText xml:space="preserve"> PAGEREF _Toc239247853 \h </w:instrText>
      </w:r>
      <w:r>
        <w:fldChar w:fldCharType="separate"/>
      </w:r>
      <w:r>
        <w:t>5</w:t>
      </w:r>
      <w:r>
        <w:fldChar w:fldCharType="end"/>
      </w:r>
      <w:r>
        <w:fldChar w:fldCharType="end"/>
      </w:r>
    </w:p>
    <w:p w14:paraId="0207923E">
      <w:pPr>
        <w:pStyle w:val="19"/>
        <w:tabs>
          <w:tab w:val="right" w:leader="dot" w:pos="9344"/>
        </w:tabs>
        <w:rPr>
          <w:rFonts w:asciiTheme="minorHAnsi" w:hAnsiTheme="minorHAnsi" w:eastAsiaTheme="minorEastAsia" w:cstheme="minorBidi"/>
          <w:sz w:val="22"/>
          <w:szCs w:val="24"/>
          <w14:ligatures w14:val="standardContextual"/>
        </w:rPr>
      </w:pPr>
      <w:r>
        <w:fldChar w:fldCharType="begin"/>
      </w:r>
      <w:r>
        <w:instrText xml:space="preserve"> HYPERLINK \l "_Toc239247854" </w:instrText>
      </w:r>
      <w:r>
        <w:fldChar w:fldCharType="separate"/>
      </w:r>
      <w:r>
        <w:rPr>
          <w:rStyle w:val="32"/>
          <w:rFonts w:hAnsi="宋体"/>
        </w:rPr>
        <w:t>附录A</w:t>
      </w:r>
      <w:r>
        <w:rPr>
          <w:rStyle w:val="32"/>
          <w:rFonts w:hAnsi="黑体"/>
        </w:rPr>
        <w:t xml:space="preserve">（资料性） </w:t>
      </w:r>
      <w:r>
        <w:rPr>
          <w:rStyle w:val="32"/>
        </w:rPr>
        <w:t xml:space="preserve"> </w:t>
      </w:r>
      <w:r>
        <w:rPr>
          <w:rStyle w:val="32"/>
          <w:rFonts w:hAnsi="黑体"/>
        </w:rPr>
        <w:t>太秋甜柿田间档案记载表</w:t>
      </w:r>
      <w:r>
        <w:tab/>
      </w:r>
      <w:r>
        <w:fldChar w:fldCharType="begin"/>
      </w:r>
      <w:r>
        <w:instrText xml:space="preserve"> PAGEREF _Toc239247854 \h </w:instrText>
      </w:r>
      <w:r>
        <w:fldChar w:fldCharType="separate"/>
      </w:r>
      <w:r>
        <w:t>5</w:t>
      </w:r>
      <w:r>
        <w:fldChar w:fldCharType="end"/>
      </w:r>
      <w:r>
        <w:fldChar w:fldCharType="end"/>
      </w:r>
    </w:p>
    <w:p w14:paraId="7C3E4A48">
      <w:pPr>
        <w:pStyle w:val="91"/>
        <w:spacing w:after="468"/>
        <w:sectPr>
          <w:headerReference r:id="rId11" w:type="default"/>
          <w:footerReference r:id="rId13" w:type="default"/>
          <w:headerReference r:id="rId12"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14:paraId="12FF7C55">
      <w:pPr>
        <w:pStyle w:val="89"/>
        <w:spacing w:before="900" w:after="468"/>
      </w:pPr>
      <w:bookmarkStart w:id="23" w:name="_Toc239247815"/>
      <w:bookmarkStart w:id="24" w:name="BookMark2"/>
      <w:r>
        <w:rPr>
          <w:spacing w:val="320"/>
        </w:rPr>
        <w:t>前</w:t>
      </w:r>
      <w:r>
        <w:t>言</w:t>
      </w:r>
      <w:bookmarkEnd w:id="22"/>
      <w:bookmarkEnd w:id="23"/>
    </w:p>
    <w:p w14:paraId="7F8B7513">
      <w:pPr>
        <w:pStyle w:val="56"/>
        <w:ind w:firstLine="420"/>
        <w:rPr>
          <w:rFonts w:hint="eastAsia"/>
        </w:rPr>
      </w:pPr>
      <w:r>
        <w:rPr>
          <w:rFonts w:hint="eastAsia"/>
        </w:rPr>
        <w:t>本文件按照GB/T 1.1—2020《标准化工作导则  第1部分：标准化文件的结构和起草规则》的规定起草。</w:t>
      </w:r>
    </w:p>
    <w:p w14:paraId="0E5BDC44">
      <w:pPr>
        <w:pStyle w:val="56"/>
        <w:ind w:firstLine="420"/>
        <w:rPr>
          <w:rFonts w:hint="eastAsia"/>
        </w:rPr>
      </w:pPr>
      <w:r>
        <w:rPr>
          <w:rFonts w:hint="eastAsia"/>
        </w:rPr>
        <w:t xml:space="preserve">请注意本文件的某些内容可能涉及专利。本文件的发布机构不承担识别专利的责任。 </w:t>
      </w:r>
    </w:p>
    <w:p w14:paraId="751DC53D">
      <w:pPr>
        <w:pStyle w:val="56"/>
        <w:ind w:firstLine="420"/>
        <w:rPr>
          <w:rFonts w:hint="eastAsia"/>
        </w:rPr>
      </w:pPr>
      <w:r>
        <w:rPr>
          <w:rFonts w:hint="eastAsia"/>
        </w:rPr>
        <w:t xml:space="preserve">本文件由湖南省农业农村厅提出。 </w:t>
      </w:r>
    </w:p>
    <w:p w14:paraId="12249944">
      <w:pPr>
        <w:pStyle w:val="56"/>
        <w:ind w:firstLine="420"/>
        <w:rPr>
          <w:rFonts w:hint="eastAsia"/>
        </w:rPr>
      </w:pPr>
      <w:r>
        <w:rPr>
          <w:rFonts w:hint="eastAsia"/>
        </w:rPr>
        <w:t xml:space="preserve">本文件由湖南省农业标准化技术委员会归口。 </w:t>
      </w:r>
    </w:p>
    <w:p w14:paraId="211892F5">
      <w:pPr>
        <w:keepNext w:val="0"/>
        <w:keepLines w:val="0"/>
        <w:widowControl/>
        <w:suppressLineNumbers w:val="0"/>
        <w:jc w:val="left"/>
        <w:rPr>
          <w:rFonts w:hint="eastAsia"/>
          <w:highlight w:val="yellow"/>
        </w:rPr>
      </w:pPr>
      <w:r>
        <w:rPr>
          <w:rFonts w:hint="eastAsia"/>
        </w:rPr>
        <w:t>本文件起草单位：湖南省园艺研究所、岳麓山实验室、怀化市林学会、株洲市农业科学研究所、怀化学院、郴州市农业科学研究所、长沙金裕洪源农林科技有限公司、醴陵金玉种植专业合作社、洪江市宗群甜柿种植专业合作社、泸溪县农业农村局、泸溪县林业局、泸溪县紫薇农业科技有限公司</w:t>
      </w:r>
      <w:r>
        <w:rPr>
          <w:rFonts w:hint="eastAsia"/>
          <w:lang w:eastAsia="zh-CN"/>
        </w:rPr>
        <w:t>。</w:t>
      </w:r>
    </w:p>
    <w:p w14:paraId="3041800A">
      <w:pPr>
        <w:pStyle w:val="56"/>
        <w:ind w:firstLine="420"/>
        <w:rPr>
          <w:rFonts w:hint="eastAsia" w:ascii="Calibri" w:hAnsi="Calibri" w:eastAsia="宋体" w:cs="Times New Roman"/>
          <w:kern w:val="2"/>
          <w:sz w:val="21"/>
          <w:szCs w:val="21"/>
          <w:lang w:val="en-US" w:eastAsia="zh-CN" w:bidi="ar-SA"/>
        </w:rPr>
      </w:pPr>
      <w:r>
        <w:rPr>
          <w:rFonts w:hint="eastAsia"/>
        </w:rPr>
        <w:t>本文件主要起草人：</w:t>
      </w:r>
      <w:r>
        <w:rPr>
          <w:rFonts w:hint="eastAsia" w:ascii="Calibri" w:hAnsi="Calibri" w:eastAsia="宋体" w:cs="Times New Roman"/>
          <w:kern w:val="2"/>
          <w:sz w:val="21"/>
          <w:szCs w:val="21"/>
          <w:lang w:val="en-US" w:eastAsia="zh-CN" w:bidi="ar-SA"/>
        </w:rPr>
        <w:t>张良波、汤丹、潘美山、李桂珍、罗智勇、陈为峰、邓勤华、徐严、周俊、梁娟、粟一峰、陈怀明、谭子幼、周铁、杨玉、张雨强、张水波、陈宗群、杨刚许。</w:t>
      </w:r>
    </w:p>
    <w:p w14:paraId="4B54185A">
      <w:pPr>
        <w:pStyle w:val="56"/>
        <w:ind w:firstLine="420"/>
      </w:pPr>
    </w:p>
    <w:p w14:paraId="7D106824">
      <w:pPr>
        <w:pStyle w:val="56"/>
        <w:ind w:firstLine="420"/>
      </w:pPr>
    </w:p>
    <w:p w14:paraId="53C6D15E">
      <w:pPr>
        <w:pStyle w:val="56"/>
        <w:ind w:firstLine="420"/>
      </w:pPr>
    </w:p>
    <w:p w14:paraId="6D42C55E">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14:paraId="00F5AC2C">
      <w:pPr>
        <w:spacing w:line="20" w:lineRule="exact"/>
        <w:jc w:val="center"/>
        <w:rPr>
          <w:rFonts w:ascii="黑体" w:hAnsi="黑体" w:eastAsia="黑体"/>
          <w:sz w:val="32"/>
          <w:szCs w:val="32"/>
        </w:rPr>
      </w:pPr>
      <w:bookmarkStart w:id="25" w:name="BookMark4"/>
    </w:p>
    <w:p w14:paraId="6BDAC031">
      <w:pPr>
        <w:spacing w:line="20" w:lineRule="exact"/>
        <w:jc w:val="center"/>
        <w:rPr>
          <w:rFonts w:ascii="黑体" w:hAnsi="黑体" w:eastAsia="黑体"/>
          <w:sz w:val="32"/>
          <w:szCs w:val="32"/>
        </w:rPr>
      </w:pPr>
    </w:p>
    <w:sdt>
      <w:sdtPr>
        <w:tag w:val="NEW_STAND_NAME"/>
        <w:id w:val="595910757"/>
        <w:lock w:val="sdtLocked"/>
        <w:placeholder>
          <w:docPart w:val="FA700A7CA777432AA84A2FCE045A4039"/>
        </w:placeholder>
      </w:sdtPr>
      <w:sdtContent>
        <w:p w14:paraId="420BF816">
          <w:pPr>
            <w:pStyle w:val="177"/>
            <w:spacing w:before="3" w:beforeLines="1" w:after="686" w:afterLines="220"/>
          </w:pPr>
          <w:bookmarkStart w:id="26" w:name="NEW_STAND_NAME"/>
          <w:r>
            <w:rPr>
              <w:rFonts w:hint="eastAsia"/>
            </w:rPr>
            <w:t>太秋甜柿栽培技术规程</w:t>
          </w:r>
        </w:p>
      </w:sdtContent>
    </w:sdt>
    <w:bookmarkEnd w:id="26"/>
    <w:p w14:paraId="603932BD">
      <w:pPr>
        <w:pStyle w:val="104"/>
        <w:spacing w:before="312" w:after="312"/>
      </w:pPr>
      <w:bookmarkStart w:id="27" w:name="_Toc26648465"/>
      <w:bookmarkStart w:id="28" w:name="_Toc26986771"/>
      <w:bookmarkStart w:id="29" w:name="_Toc239247444"/>
      <w:bookmarkStart w:id="30" w:name="_Toc239237326"/>
      <w:bookmarkStart w:id="31" w:name="_Toc97191423"/>
      <w:bookmarkStart w:id="32" w:name="_Toc17233333"/>
      <w:bookmarkStart w:id="33" w:name="_Toc26718930"/>
      <w:bookmarkStart w:id="34" w:name="_Toc17233325"/>
      <w:bookmarkStart w:id="35" w:name="_Toc24884218"/>
      <w:bookmarkStart w:id="36" w:name="_Toc26986530"/>
      <w:bookmarkStart w:id="37" w:name="_Toc239247816"/>
      <w:bookmarkStart w:id="38" w:name="_Toc24884211"/>
      <w:r>
        <w:rPr>
          <w:rFonts w:hint="eastAsia"/>
        </w:rPr>
        <w:t>范围</w:t>
      </w:r>
      <w:bookmarkEnd w:id="27"/>
      <w:bookmarkEnd w:id="28"/>
      <w:bookmarkEnd w:id="29"/>
      <w:bookmarkEnd w:id="30"/>
      <w:bookmarkEnd w:id="31"/>
      <w:bookmarkEnd w:id="32"/>
      <w:bookmarkEnd w:id="33"/>
      <w:bookmarkEnd w:id="34"/>
      <w:bookmarkEnd w:id="35"/>
      <w:bookmarkEnd w:id="36"/>
      <w:bookmarkEnd w:id="37"/>
      <w:bookmarkEnd w:id="38"/>
    </w:p>
    <w:p w14:paraId="0D5C7932">
      <w:pPr>
        <w:pStyle w:val="56"/>
        <w:ind w:firstLine="420"/>
        <w:rPr>
          <w:rFonts w:hAnsi="宋体" w:cs="宋体"/>
        </w:rPr>
      </w:pPr>
      <w:bookmarkStart w:id="39" w:name="_Toc26648466"/>
      <w:bookmarkStart w:id="40" w:name="_Toc24884219"/>
      <w:bookmarkStart w:id="41" w:name="_Toc17233326"/>
      <w:bookmarkStart w:id="42" w:name="_Toc17233334"/>
      <w:bookmarkStart w:id="43" w:name="_Toc24884212"/>
      <w:r>
        <w:rPr>
          <w:rFonts w:hint="eastAsia" w:hAnsi="宋体" w:cs="宋体"/>
        </w:rPr>
        <w:t>本文件规定了太秋甜柿(</w:t>
      </w:r>
      <w:r>
        <w:rPr>
          <w:rFonts w:hAnsi="宋体" w:cs="宋体"/>
          <w:i/>
          <w:iCs/>
        </w:rPr>
        <w:t>Diospyros kaki</w:t>
      </w:r>
      <w:r>
        <w:rPr>
          <w:rFonts w:hAnsi="宋体" w:cs="宋体"/>
        </w:rPr>
        <w:t xml:space="preserve"> Thunb.</w:t>
      </w:r>
      <w:r>
        <w:rPr>
          <w:rFonts w:hint="eastAsia" w:hAnsi="宋体" w:cs="宋体"/>
        </w:rPr>
        <w:t xml:space="preserve"> </w:t>
      </w:r>
      <w:r>
        <w:rPr>
          <w:rFonts w:hAnsi="宋体" w:cs="宋体"/>
        </w:rPr>
        <w:t>Taishu</w:t>
      </w:r>
      <w:r>
        <w:rPr>
          <w:rFonts w:hint="eastAsia" w:hAnsi="宋体" w:cs="宋体"/>
          <w:lang w:val="en-US" w:eastAsia="zh-CN"/>
        </w:rPr>
        <w:t>u</w:t>
      </w:r>
      <w:r>
        <w:rPr>
          <w:rFonts w:hAnsi="宋体" w:cs="宋体"/>
        </w:rPr>
        <w:t>’</w:t>
      </w:r>
      <w:r>
        <w:rPr>
          <w:rFonts w:hint="eastAsia" w:hAnsi="宋体" w:cs="宋体"/>
        </w:rPr>
        <w:t>)栽培过程中的建园、种苗准备、定植、田间管理、病虫害防治、采收储运及档案管理等技术要求。本文件适用于太秋甜柿栽培。</w:t>
      </w:r>
    </w:p>
    <w:p w14:paraId="3FB2EDFD">
      <w:pPr>
        <w:pStyle w:val="56"/>
        <w:ind w:firstLine="420"/>
        <w:rPr>
          <w:rFonts w:hint="eastAsia"/>
        </w:rPr>
      </w:pPr>
      <w:r>
        <w:rPr>
          <w:rFonts w:hint="eastAsia" w:hAnsi="宋体" w:cs="宋体"/>
        </w:rPr>
        <w:t>本文件适用于太秋甜柿的栽培。</w:t>
      </w:r>
    </w:p>
    <w:p w14:paraId="2FA2224C">
      <w:pPr>
        <w:pStyle w:val="104"/>
        <w:spacing w:before="312" w:after="312"/>
      </w:pPr>
      <w:bookmarkStart w:id="44" w:name="_Toc97191424"/>
      <w:bookmarkStart w:id="45" w:name="_Toc26986772"/>
      <w:bookmarkStart w:id="46" w:name="_Toc239237327"/>
      <w:bookmarkStart w:id="47" w:name="_Toc239247817"/>
      <w:bookmarkStart w:id="48" w:name="_Toc239247445"/>
      <w:bookmarkStart w:id="49" w:name="_Toc26718931"/>
      <w:bookmarkStart w:id="50" w:name="_Toc26986531"/>
      <w:r>
        <w:rPr>
          <w:rFonts w:hint="eastAsia"/>
        </w:rPr>
        <w:t>规范性引用文件</w:t>
      </w:r>
      <w:bookmarkEnd w:id="39"/>
      <w:bookmarkEnd w:id="40"/>
      <w:bookmarkEnd w:id="41"/>
      <w:bookmarkEnd w:id="42"/>
      <w:bookmarkEnd w:id="43"/>
      <w:bookmarkEnd w:id="44"/>
      <w:bookmarkEnd w:id="45"/>
      <w:bookmarkEnd w:id="46"/>
      <w:bookmarkEnd w:id="47"/>
      <w:bookmarkEnd w:id="48"/>
      <w:bookmarkEnd w:id="49"/>
      <w:bookmarkEnd w:id="50"/>
    </w:p>
    <w:sdt>
      <w:sdtPr>
        <w:rPr>
          <w:rFonts w:hint="eastAsia"/>
        </w:rPr>
        <w:id w:val="715848253"/>
        <w:placeholder>
          <w:docPart w:val="0DFBE4ED8CA946EBA20F84B612C1C70D"/>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14:paraId="7A0A7ABF">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7F13F9FA">
      <w:pPr>
        <w:pStyle w:val="56"/>
        <w:ind w:firstLine="420"/>
      </w:pPr>
      <w:r>
        <w:rPr>
          <w:rFonts w:hint="eastAsia"/>
        </w:rPr>
        <w:t>G</w:t>
      </w:r>
      <w:r>
        <w:t>B6000</w:t>
      </w:r>
      <w:r>
        <w:rPr>
          <w:rFonts w:hint="eastAsia"/>
        </w:rPr>
        <w:t xml:space="preserve"> 主要造林树种苗木质量分级</w:t>
      </w:r>
    </w:p>
    <w:p w14:paraId="3C69F11E">
      <w:pPr>
        <w:pStyle w:val="56"/>
        <w:ind w:firstLine="420"/>
        <w:rPr>
          <w:szCs w:val="21"/>
        </w:rPr>
      </w:pPr>
      <w:r>
        <w:rPr>
          <w:rFonts w:hint="eastAsia"/>
        </w:rPr>
        <w:t xml:space="preserve">NY/T 391 </w:t>
      </w:r>
      <w:r>
        <w:rPr>
          <w:rFonts w:hint="eastAsia" w:hAnsi="宋体"/>
        </w:rPr>
        <w:t>绿色食品</w:t>
      </w:r>
      <w:r>
        <w:rPr>
          <w:rFonts w:hint="eastAsia"/>
        </w:rPr>
        <w:t xml:space="preserve"> </w:t>
      </w:r>
      <w:r>
        <w:rPr>
          <w:rFonts w:hint="eastAsia" w:hAnsi="宋体"/>
        </w:rPr>
        <w:t>产地环境质量</w:t>
      </w:r>
    </w:p>
    <w:p w14:paraId="4753EB22">
      <w:pPr>
        <w:pStyle w:val="56"/>
        <w:ind w:firstLine="420"/>
      </w:pPr>
      <w:r>
        <w:rPr>
          <w:rFonts w:hint="eastAsia" w:hAnsi="宋体"/>
        </w:rPr>
        <w:t>NY/T 393 绿色食品 农药使用准则</w:t>
      </w:r>
    </w:p>
    <w:p w14:paraId="79704C04">
      <w:pPr>
        <w:pStyle w:val="56"/>
        <w:ind w:firstLine="420"/>
      </w:pPr>
      <w:r>
        <w:rPr>
          <w:rFonts w:hint="eastAsia" w:hAnsi="宋体"/>
        </w:rPr>
        <w:t>NY/T 394 绿色食品 肥料使用准则</w:t>
      </w:r>
    </w:p>
    <w:p w14:paraId="64213F65">
      <w:pPr>
        <w:pStyle w:val="104"/>
        <w:spacing w:before="312" w:after="312"/>
      </w:pPr>
      <w:bookmarkStart w:id="51" w:name="_Toc97191425"/>
      <w:bookmarkStart w:id="52" w:name="_Toc239247818"/>
      <w:bookmarkStart w:id="53" w:name="_Toc239237328"/>
      <w:bookmarkStart w:id="54" w:name="_Toc239247446"/>
      <w:r>
        <w:rPr>
          <w:rFonts w:hint="eastAsia"/>
          <w:szCs w:val="21"/>
        </w:rPr>
        <w:t>术语和定义</w:t>
      </w:r>
      <w:bookmarkEnd w:id="51"/>
      <w:bookmarkEnd w:id="52"/>
      <w:bookmarkEnd w:id="53"/>
      <w:bookmarkEnd w:id="54"/>
    </w:p>
    <w:sdt>
      <w:sdtPr>
        <w:id w:val="-1909835108"/>
        <w:placeholder>
          <w:docPart w:val="D7E3D3BDE54243C18D166EC22C35F986"/>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14:paraId="6A89EEF7">
          <w:pPr>
            <w:pStyle w:val="56"/>
            <w:ind w:firstLine="420"/>
          </w:pPr>
          <w:bookmarkStart w:id="55" w:name="_Toc26986532"/>
          <w:bookmarkEnd w:id="55"/>
          <w:r>
            <w:rPr>
              <w:rFonts w:ascii="宋体" w:hAnsi="Times New Roman" w:eastAsia="宋体" w:cs="Times New Roman"/>
              <w:sz w:val="21"/>
              <w:lang w:val="en-US" w:eastAsia="zh-CN" w:bidi="ar-SA"/>
            </w:rPr>
            <w:t>本文件没有需要界定的术语和定义。</w:t>
          </w:r>
        </w:p>
      </w:sdtContent>
    </w:sdt>
    <w:p w14:paraId="48A15B70">
      <w:pPr>
        <w:pStyle w:val="104"/>
        <w:spacing w:before="312" w:after="312"/>
      </w:pPr>
      <w:bookmarkStart w:id="56" w:name="_Toc239247447"/>
      <w:bookmarkStart w:id="57" w:name="_Toc239237329"/>
      <w:bookmarkStart w:id="58" w:name="_Toc239247819"/>
      <w:r>
        <w:rPr>
          <w:rFonts w:hint="eastAsia"/>
        </w:rPr>
        <w:t>建园</w:t>
      </w:r>
      <w:bookmarkEnd w:id="56"/>
      <w:bookmarkEnd w:id="57"/>
      <w:bookmarkEnd w:id="58"/>
    </w:p>
    <w:p w14:paraId="713DAC21">
      <w:pPr>
        <w:pStyle w:val="105"/>
        <w:spacing w:before="156" w:after="156"/>
      </w:pPr>
      <w:bookmarkStart w:id="59" w:name="_Toc239247448"/>
      <w:bookmarkStart w:id="60" w:name="_Toc239247820"/>
      <w:bookmarkStart w:id="61" w:name="_Toc239237330"/>
      <w:r>
        <w:rPr>
          <w:rFonts w:hint="eastAsia"/>
        </w:rPr>
        <w:t>园地选择</w:t>
      </w:r>
      <w:bookmarkEnd w:id="59"/>
      <w:bookmarkEnd w:id="60"/>
      <w:bookmarkEnd w:id="61"/>
    </w:p>
    <w:p w14:paraId="66016306">
      <w:pPr>
        <w:pStyle w:val="56"/>
        <w:ind w:firstLine="420"/>
      </w:pPr>
      <w:r>
        <w:rPr>
          <w:rFonts w:hint="eastAsia"/>
        </w:rPr>
        <w:t>建园宜在地势平坦、光照充足、交通便利区域，选择</w:t>
      </w:r>
      <w:r>
        <w:t>土层深厚、</w:t>
      </w:r>
      <w:r>
        <w:rPr>
          <w:rFonts w:hint="eastAsia"/>
        </w:rPr>
        <w:t>耕层深度≥50cm，pH值在5.5～6.5，</w:t>
      </w:r>
      <w:r>
        <w:t>富含有机质的沙质壤土或红黄壤</w:t>
      </w:r>
      <w:r>
        <w:rPr>
          <w:rFonts w:hint="eastAsia"/>
        </w:rPr>
        <w:t>，且排灌方便的地块。园地的生态环境基本符合NY/T 391的相关要求。</w:t>
      </w:r>
    </w:p>
    <w:p w14:paraId="5E40D2E4">
      <w:pPr>
        <w:pStyle w:val="105"/>
        <w:spacing w:before="156" w:after="156"/>
      </w:pPr>
      <w:bookmarkStart w:id="62" w:name="_Toc239247449"/>
      <w:bookmarkStart w:id="63" w:name="_Toc239247821"/>
      <w:r>
        <w:rPr>
          <w:rFonts w:hint="eastAsia"/>
        </w:rPr>
        <w:t>建园</w:t>
      </w:r>
      <w:bookmarkEnd w:id="62"/>
      <w:bookmarkEnd w:id="63"/>
    </w:p>
    <w:p w14:paraId="22F4C483">
      <w:pPr>
        <w:pStyle w:val="56"/>
        <w:ind w:firstLine="420"/>
      </w:pPr>
      <w:r>
        <w:rPr>
          <w:rFonts w:hint="eastAsia"/>
        </w:rPr>
        <w:t>秋冬季进行</w:t>
      </w:r>
      <w:r>
        <w:rPr>
          <w:rFonts w:hint="eastAsia"/>
          <w:lang w:eastAsia="zh-CN"/>
        </w:rPr>
        <w:t>，</w:t>
      </w:r>
      <w:r>
        <w:rPr>
          <w:rFonts w:hint="eastAsia"/>
        </w:rPr>
        <w:t>定植前对土壤进行改良，一般平地或缓坡地采取全园深翻，翻耕深度50cm以上，</w:t>
      </w:r>
      <w:r>
        <w:t>均匀施入充足有机肥（如腐熟的羊粪、牛粪，</w:t>
      </w:r>
      <w:r>
        <w:rPr>
          <w:rFonts w:hint="eastAsia"/>
        </w:rPr>
        <w:t>每667㎡</w:t>
      </w:r>
      <w:r>
        <w:t>亩用量约2000</w:t>
      </w:r>
      <w:r>
        <w:rPr>
          <w:rFonts w:hint="eastAsia"/>
        </w:rPr>
        <w:t>kg～</w:t>
      </w:r>
      <w:r>
        <w:t>5000</w:t>
      </w:r>
      <w:r>
        <w:rPr>
          <w:rFonts w:hint="eastAsia"/>
        </w:rPr>
        <w:t>k</w:t>
      </w:r>
      <w:r>
        <w:t>g）及生物菌肥</w:t>
      </w:r>
      <w:r>
        <w:rPr>
          <w:rFonts w:hint="eastAsia"/>
        </w:rPr>
        <w:t>。</w:t>
      </w:r>
    </w:p>
    <w:p w14:paraId="4307B528">
      <w:pPr>
        <w:pStyle w:val="56"/>
        <w:ind w:firstLine="420"/>
      </w:pPr>
      <w:r>
        <w:rPr>
          <w:rFonts w:hint="eastAsia"/>
        </w:rPr>
        <w:t>在果园四周深挖排水沟，沟宽80cm左右，沟深60cm左右。</w:t>
      </w:r>
      <w:r>
        <w:rPr>
          <w:rFonts w:hint="eastAsia"/>
          <w:lang w:val="en-US" w:eastAsia="zh-CN"/>
        </w:rPr>
        <w:t>并</w:t>
      </w:r>
      <w:r>
        <w:t>规划建设排水系统和水肥一体化设施（如滴灌），以便于后期的水分管理。</w:t>
      </w:r>
    </w:p>
    <w:p w14:paraId="19A891EC">
      <w:pPr>
        <w:pStyle w:val="104"/>
        <w:spacing w:before="312" w:after="312"/>
      </w:pPr>
      <w:bookmarkStart w:id="64" w:name="_Toc239237333"/>
      <w:bookmarkStart w:id="65" w:name="_Toc239247450"/>
      <w:bookmarkStart w:id="66" w:name="_Toc239247822"/>
      <w:r>
        <w:rPr>
          <w:rFonts w:hint="eastAsia"/>
        </w:rPr>
        <w:t>苗木</w:t>
      </w:r>
      <w:bookmarkEnd w:id="64"/>
      <w:bookmarkEnd w:id="65"/>
      <w:r>
        <w:rPr>
          <w:rFonts w:hint="eastAsia"/>
        </w:rPr>
        <w:t>定植</w:t>
      </w:r>
      <w:bookmarkEnd w:id="66"/>
    </w:p>
    <w:p w14:paraId="28AADBE2">
      <w:pPr>
        <w:pStyle w:val="105"/>
        <w:spacing w:before="156" w:after="156"/>
        <w:rPr>
          <w:rFonts w:hint="eastAsia"/>
        </w:rPr>
      </w:pPr>
      <w:bookmarkStart w:id="67" w:name="_Toc239247823"/>
      <w:r>
        <w:rPr>
          <w:rFonts w:hint="eastAsia"/>
        </w:rPr>
        <w:t>苗木选择</w:t>
      </w:r>
      <w:bookmarkEnd w:id="67"/>
    </w:p>
    <w:p w14:paraId="6037BFE3">
      <w:pPr>
        <w:pStyle w:val="56"/>
        <w:ind w:firstLine="420"/>
        <w:rPr>
          <w:rFonts w:hint="eastAsia"/>
        </w:rPr>
      </w:pPr>
      <w:r>
        <w:rPr>
          <w:rFonts w:hint="eastAsia"/>
        </w:rPr>
        <w:t>选择健壮无病害的优良嫁接苗。</w:t>
      </w:r>
      <w:r>
        <w:t>建议</w:t>
      </w:r>
      <w:r>
        <w:rPr>
          <w:rFonts w:hint="eastAsia"/>
        </w:rPr>
        <w:t>从正规单位采购</w:t>
      </w:r>
      <w:r>
        <w:t>高80</w:t>
      </w:r>
      <w:r>
        <w:rPr>
          <w:rFonts w:hint="eastAsia"/>
        </w:rPr>
        <w:t>cm</w:t>
      </w:r>
      <w:r>
        <w:t>左右</w:t>
      </w:r>
      <w:r>
        <w:rPr>
          <w:rFonts w:hint="eastAsia"/>
        </w:rPr>
        <w:t>、</w:t>
      </w:r>
      <w:r>
        <w:t>嫁接口以上10</w:t>
      </w:r>
      <w:r>
        <w:rPr>
          <w:rFonts w:hint="eastAsia"/>
        </w:rPr>
        <w:t>cm</w:t>
      </w:r>
      <w:r>
        <w:t>处茎粗0.8</w:t>
      </w:r>
      <w:r>
        <w:rPr>
          <w:rFonts w:hint="eastAsia"/>
        </w:rPr>
        <w:t>cm</w:t>
      </w:r>
      <w:r>
        <w:t>以上</w:t>
      </w:r>
      <w:r>
        <w:rPr>
          <w:rFonts w:hint="eastAsia"/>
        </w:rPr>
        <w:t>、</w:t>
      </w:r>
      <w:r>
        <w:t>芽体饱满</w:t>
      </w:r>
      <w:r>
        <w:rPr>
          <w:rFonts w:hint="eastAsia"/>
        </w:rPr>
        <w:t>、</w:t>
      </w:r>
      <w:r>
        <w:t>根系完整且须根多</w:t>
      </w:r>
      <w:r>
        <w:rPr>
          <w:rFonts w:hint="eastAsia"/>
        </w:rPr>
        <w:t>的苗木</w:t>
      </w:r>
      <w:r>
        <w:t>。</w:t>
      </w:r>
      <w:r>
        <w:rPr>
          <w:rFonts w:hint="eastAsia"/>
        </w:rPr>
        <w:t>苗木质量应符合G</w:t>
      </w:r>
      <w:r>
        <w:t>B</w:t>
      </w:r>
      <w:r>
        <w:rPr>
          <w:rFonts w:hint="eastAsia"/>
        </w:rPr>
        <w:t>6000二级苗以上标准要求，不能有小脚苗。推荐使用营养杯苗，减少缓苗期影响。</w:t>
      </w:r>
    </w:p>
    <w:p w14:paraId="769E30BF">
      <w:pPr>
        <w:pStyle w:val="56"/>
        <w:ind w:firstLine="420"/>
        <w:rPr>
          <w:rFonts w:hint="eastAsia"/>
        </w:rPr>
      </w:pPr>
      <w:r>
        <w:rPr>
          <w:rFonts w:hint="eastAsia"/>
        </w:rPr>
        <w:t>太秋甜柿嫁接苗选择特别需要注意砧木来源，需采用适应湖南地区且亲和力良好的砧木，如</w:t>
      </w:r>
      <w:r>
        <w:t>雪峰8号</w:t>
      </w:r>
      <w:r>
        <w:rPr>
          <w:rFonts w:hint="eastAsia"/>
          <w:lang w:eastAsia="zh-CN"/>
        </w:rPr>
        <w:t>、小果甜柿、</w:t>
      </w:r>
      <w:r>
        <w:t>亚林 6 号等，避免使用方山柿、君迁子和浙江光叶柿等亲和性差的砧木。</w:t>
      </w:r>
    </w:p>
    <w:p w14:paraId="3512D717">
      <w:pPr>
        <w:pStyle w:val="105"/>
        <w:spacing w:before="156" w:after="156"/>
      </w:pPr>
      <w:bookmarkStart w:id="68" w:name="_Toc239247452"/>
      <w:bookmarkStart w:id="69" w:name="_Toc239237335"/>
      <w:bookmarkStart w:id="70" w:name="_Toc239247824"/>
      <w:r>
        <w:rPr>
          <w:rFonts w:hint="eastAsia"/>
        </w:rPr>
        <w:t>时间</w:t>
      </w:r>
      <w:bookmarkEnd w:id="68"/>
      <w:bookmarkEnd w:id="69"/>
      <w:bookmarkEnd w:id="70"/>
    </w:p>
    <w:p w14:paraId="2ED25464">
      <w:pPr>
        <w:pStyle w:val="56"/>
        <w:ind w:firstLine="420"/>
      </w:pPr>
      <w:r>
        <w:rPr>
          <w:rFonts w:hint="eastAsia"/>
        </w:rPr>
        <w:t>秋冬季落叶后</w:t>
      </w:r>
      <w:r>
        <w:rPr>
          <w:rFonts w:hint="eastAsia"/>
          <w:lang w:val="en-US" w:eastAsia="zh-CN"/>
        </w:rPr>
        <w:t>至</w:t>
      </w:r>
      <w:r>
        <w:rPr>
          <w:rFonts w:hint="eastAsia"/>
        </w:rPr>
        <w:t>季萌芽前</w:t>
      </w:r>
      <w:r>
        <w:rPr>
          <w:rFonts w:hint="eastAsia"/>
          <w:lang w:val="en-US" w:eastAsia="zh-CN"/>
        </w:rPr>
        <w:t>到可以种植</w:t>
      </w:r>
      <w:r>
        <w:rPr>
          <w:rFonts w:hint="eastAsia"/>
        </w:rPr>
        <w:t>（11月～</w:t>
      </w:r>
      <w:r>
        <w:rPr>
          <w:rFonts w:hint="eastAsia"/>
          <w:lang w:val="en-US" w:eastAsia="zh-CN"/>
        </w:rPr>
        <w:t>次年4</w:t>
      </w:r>
      <w:r>
        <w:rPr>
          <w:rFonts w:hint="eastAsia"/>
        </w:rPr>
        <w:t>月）。</w:t>
      </w:r>
    </w:p>
    <w:p w14:paraId="55FC3B4C">
      <w:pPr>
        <w:pStyle w:val="105"/>
        <w:spacing w:before="156" w:after="156"/>
      </w:pPr>
      <w:bookmarkStart w:id="71" w:name="_Toc239247825"/>
      <w:bookmarkStart w:id="72" w:name="_Toc239237336"/>
      <w:bookmarkStart w:id="73" w:name="_Toc239247453"/>
      <w:r>
        <w:rPr>
          <w:rFonts w:hint="eastAsia"/>
        </w:rPr>
        <w:t>密度</w:t>
      </w:r>
      <w:bookmarkEnd w:id="71"/>
      <w:bookmarkEnd w:id="72"/>
      <w:bookmarkEnd w:id="73"/>
    </w:p>
    <w:p w14:paraId="4DA36901">
      <w:pPr>
        <w:pStyle w:val="56"/>
        <w:ind w:firstLine="420"/>
      </w:pPr>
      <w:r>
        <w:t>行距3</w:t>
      </w:r>
      <w:r>
        <w:rPr>
          <w:rFonts w:hint="eastAsia"/>
        </w:rPr>
        <w:t>m～</w:t>
      </w:r>
      <w:r>
        <w:t>4</w:t>
      </w:r>
      <w:r>
        <w:rPr>
          <w:rFonts w:hint="eastAsia"/>
        </w:rPr>
        <w:t>m,株距</w:t>
      </w:r>
      <w:r>
        <w:t>2</w:t>
      </w:r>
      <w:r>
        <w:rPr>
          <w:rFonts w:hint="eastAsia"/>
        </w:rPr>
        <w:t>m～</w:t>
      </w:r>
      <w:r>
        <w:t>2.5</w:t>
      </w:r>
      <w:r>
        <w:rPr>
          <w:rFonts w:hint="eastAsia"/>
        </w:rPr>
        <w:t>m。</w:t>
      </w:r>
      <w:r>
        <w:t>密植园初期</w:t>
      </w:r>
      <w:r>
        <w:rPr>
          <w:rFonts w:hint="eastAsia"/>
        </w:rPr>
        <w:t>行距4m,株距可在</w:t>
      </w:r>
      <w:r>
        <w:t>1.5</w:t>
      </w:r>
      <w:r>
        <w:rPr>
          <w:rFonts w:hint="eastAsia"/>
        </w:rPr>
        <w:t>m～</w:t>
      </w:r>
      <w:r>
        <w:t>2</w:t>
      </w:r>
      <w:r>
        <w:rPr>
          <w:rFonts w:hint="eastAsia"/>
        </w:rPr>
        <w:t>m</w:t>
      </w:r>
      <w:r>
        <w:t>，封行后逐年间伐。</w:t>
      </w:r>
      <w:r>
        <w:rPr>
          <w:rFonts w:hint="eastAsia"/>
          <w:lang w:val="en-US" w:eastAsia="zh-CN"/>
        </w:rPr>
        <w:t>采用主干疏层或者</w:t>
      </w:r>
      <w:r>
        <w:t>自然开心形</w:t>
      </w:r>
      <w:r>
        <w:rPr>
          <w:rFonts w:hint="eastAsia"/>
          <w:lang w:val="en-US" w:eastAsia="zh-CN"/>
        </w:rPr>
        <w:t>种</w:t>
      </w:r>
      <w:r>
        <w:t>植</w:t>
      </w:r>
      <w:r>
        <w:rPr>
          <w:rFonts w:hint="eastAsia"/>
        </w:rPr>
        <w:t>。</w:t>
      </w:r>
      <w:r>
        <w:t>根据树型</w:t>
      </w:r>
      <w:r>
        <w:rPr>
          <w:rFonts w:hint="eastAsia"/>
        </w:rPr>
        <w:t>、</w:t>
      </w:r>
      <w:r>
        <w:t>地形和土壤肥力合理种植</w:t>
      </w:r>
      <w:r>
        <w:rPr>
          <w:rFonts w:hint="eastAsia"/>
        </w:rPr>
        <w:t>，</w:t>
      </w:r>
      <w:r>
        <w:t>一般每</w:t>
      </w:r>
      <w:r>
        <w:rPr>
          <w:rFonts w:hint="eastAsia"/>
        </w:rPr>
        <w:t>667㎡</w:t>
      </w:r>
      <w:r>
        <w:t>栽植60</w:t>
      </w:r>
      <w:r>
        <w:rPr>
          <w:rFonts w:hint="eastAsia"/>
        </w:rPr>
        <w:t>株～</w:t>
      </w:r>
      <w:r>
        <w:t>110株</w:t>
      </w:r>
      <w:r>
        <w:rPr>
          <w:rFonts w:hint="eastAsia"/>
        </w:rPr>
        <w:t>。</w:t>
      </w:r>
      <w:r>
        <w:t xml:space="preserve">  </w:t>
      </w:r>
    </w:p>
    <w:p w14:paraId="4B4BACAF">
      <w:pPr>
        <w:pStyle w:val="105"/>
        <w:spacing w:before="156" w:after="156"/>
      </w:pPr>
      <w:bookmarkStart w:id="74" w:name="_Toc239237337"/>
      <w:bookmarkStart w:id="75" w:name="_Toc239247826"/>
      <w:bookmarkStart w:id="76" w:name="_Toc239247454"/>
      <w:r>
        <w:rPr>
          <w:rFonts w:hint="eastAsia"/>
        </w:rPr>
        <w:t>方法</w:t>
      </w:r>
      <w:bookmarkEnd w:id="74"/>
      <w:bookmarkEnd w:id="75"/>
      <w:bookmarkEnd w:id="76"/>
    </w:p>
    <w:p w14:paraId="5A9B8D9B">
      <w:pPr>
        <w:pStyle w:val="56"/>
        <w:ind w:firstLine="420"/>
        <w:rPr>
          <w:rFonts w:hint="default" w:eastAsia="宋体"/>
          <w:lang w:val="en-US" w:eastAsia="zh-CN"/>
        </w:rPr>
      </w:pPr>
      <w:r>
        <w:rPr>
          <w:rFonts w:hint="eastAsia"/>
        </w:rPr>
        <w:t>在整理好的园区土壤上，按株距挖高1m、宽0.8m、深0.6m的定植穴，每穴</w:t>
      </w:r>
      <w:r>
        <w:t>施入腐熟细碎农家肥50</w:t>
      </w:r>
      <w:r>
        <w:rPr>
          <w:rFonts w:hint="eastAsia"/>
        </w:rPr>
        <w:t>kg</w:t>
      </w:r>
      <w:r>
        <w:t>、磷肥3</w:t>
      </w:r>
      <w:r>
        <w:rPr>
          <w:rFonts w:hint="eastAsia"/>
        </w:rPr>
        <w:t>kg</w:t>
      </w:r>
      <w:r>
        <w:t>与熟土混合</w:t>
      </w:r>
      <w:r>
        <w:rPr>
          <w:rFonts w:hint="eastAsia"/>
        </w:rPr>
        <w:t>。</w:t>
      </w:r>
      <w:r>
        <w:t>将苗木放入穴中，舒展根系，填土并轻轻提苗踏实，使根系与土壤充分接触。栽植深度可比原土痕深10</w:t>
      </w:r>
      <w:r>
        <w:rPr>
          <w:rFonts w:hint="eastAsia"/>
        </w:rPr>
        <w:t>cm</w:t>
      </w:r>
      <w:r>
        <w:t>左右。</w:t>
      </w:r>
      <w:r>
        <w:rPr>
          <w:rFonts w:hint="eastAsia"/>
          <w:lang w:val="en-US" w:eastAsia="zh-CN"/>
        </w:rPr>
        <w:t>用营养杯苗种植时，需要除去营养杯。</w:t>
      </w:r>
    </w:p>
    <w:p w14:paraId="779E851A">
      <w:pPr>
        <w:pStyle w:val="56"/>
        <w:ind w:firstLine="420"/>
      </w:pPr>
      <w:r>
        <w:rPr>
          <w:rFonts w:hint="eastAsia"/>
        </w:rPr>
        <w:t>定植后用清水或稀释的粪水浇透定根水，并覆上附近的细碎土或覆盖杂草、地布等保湿，</w:t>
      </w:r>
      <w:r>
        <w:t>用支架固定苗木。</w:t>
      </w:r>
    </w:p>
    <w:p w14:paraId="0C090E65">
      <w:pPr>
        <w:pStyle w:val="105"/>
        <w:spacing w:before="156" w:after="156"/>
      </w:pPr>
      <w:bookmarkStart w:id="77" w:name="_Toc239247827"/>
      <w:bookmarkStart w:id="78" w:name="_Toc239247455"/>
      <w:r>
        <w:rPr>
          <w:rFonts w:hint="eastAsia"/>
        </w:rPr>
        <w:t>注意事项</w:t>
      </w:r>
      <w:bookmarkEnd w:id="77"/>
      <w:bookmarkEnd w:id="78"/>
    </w:p>
    <w:p w14:paraId="43D0B21B">
      <w:pPr>
        <w:pStyle w:val="56"/>
        <w:ind w:firstLine="420"/>
        <w:rPr>
          <w:rFonts w:hint="eastAsia"/>
        </w:rPr>
      </w:pPr>
      <w:r>
        <w:t>太秋甜柿为雌雄异花同株，但无需配置专用授粉树。注意不宜与其他品种柿子混栽，以免果实产生种子影响品质。</w:t>
      </w:r>
    </w:p>
    <w:p w14:paraId="13A69CC8">
      <w:pPr>
        <w:pStyle w:val="104"/>
        <w:spacing w:before="312" w:after="312"/>
      </w:pPr>
      <w:bookmarkStart w:id="79" w:name="_Toc239247828"/>
      <w:bookmarkStart w:id="80" w:name="_Toc239247456"/>
      <w:r>
        <w:rPr>
          <w:rFonts w:hint="eastAsia"/>
        </w:rPr>
        <w:t>田间管理</w:t>
      </w:r>
      <w:bookmarkEnd w:id="79"/>
      <w:bookmarkEnd w:id="80"/>
    </w:p>
    <w:p w14:paraId="14E57E66">
      <w:pPr>
        <w:pStyle w:val="105"/>
        <w:spacing w:before="156" w:after="156"/>
      </w:pPr>
      <w:bookmarkStart w:id="81" w:name="_Toc239247829"/>
      <w:bookmarkStart w:id="82" w:name="_Toc239247458"/>
      <w:r>
        <w:rPr>
          <w:rFonts w:hint="eastAsia"/>
        </w:rPr>
        <w:t>灌溉与排水</w:t>
      </w:r>
      <w:bookmarkEnd w:id="81"/>
      <w:bookmarkEnd w:id="82"/>
    </w:p>
    <w:p w14:paraId="2A03337B">
      <w:pPr>
        <w:pStyle w:val="56"/>
        <w:ind w:firstLine="420"/>
        <w:rPr>
          <w:rFonts w:hint="eastAsia"/>
        </w:rPr>
      </w:pPr>
      <w:r>
        <w:rPr>
          <w:rFonts w:hint="eastAsia"/>
        </w:rPr>
        <w:t>根据土壤墒情进行灌溉和和排水，做到“旱季保湿、雨季防涝”。土壤含水量低于20%时及时浇水，以浇透为宜。</w:t>
      </w:r>
      <w:r>
        <w:t>太秋甜柿新栽小树不能缺水，</w:t>
      </w:r>
      <w:r>
        <w:rPr>
          <w:rFonts w:hint="eastAsia"/>
          <w:lang w:val="en-US" w:eastAsia="zh-CN"/>
        </w:rPr>
        <w:t>否则</w:t>
      </w:r>
      <w:r>
        <w:t>会僵苗不长。</w:t>
      </w:r>
    </w:p>
    <w:p w14:paraId="44241D22">
      <w:pPr>
        <w:pStyle w:val="56"/>
        <w:ind w:firstLine="420"/>
      </w:pPr>
      <w:r>
        <w:rPr>
          <w:rFonts w:hint="eastAsia"/>
        </w:rPr>
        <w:t>雨</w:t>
      </w:r>
      <w:r>
        <w:t>季要注意清沟排水。旱季（特别是7</w:t>
      </w:r>
      <w:r>
        <w:rPr>
          <w:rFonts w:hint="eastAsia"/>
        </w:rPr>
        <w:t>月～</w:t>
      </w:r>
      <w:r>
        <w:t>9月）需及时浇水，防止干旱。土壤含水量一般保持在70%-80%为宜。重点浇好萌芽水、花前水、果实膨大水和越冬水。</w:t>
      </w:r>
    </w:p>
    <w:p w14:paraId="44C85C68">
      <w:pPr>
        <w:pStyle w:val="105"/>
        <w:spacing w:before="156" w:after="156"/>
      </w:pPr>
      <w:bookmarkStart w:id="83" w:name="_Toc239237339"/>
      <w:bookmarkStart w:id="84" w:name="_Toc239247830"/>
      <w:bookmarkStart w:id="85" w:name="_Toc239247457"/>
      <w:r>
        <w:rPr>
          <w:rFonts w:hint="eastAsia"/>
        </w:rPr>
        <w:t>科学施肥</w:t>
      </w:r>
      <w:bookmarkEnd w:id="83"/>
      <w:bookmarkEnd w:id="84"/>
      <w:bookmarkEnd w:id="85"/>
    </w:p>
    <w:p w14:paraId="558DD6D3">
      <w:pPr>
        <w:pStyle w:val="56"/>
        <w:ind w:firstLine="420"/>
        <w:rPr>
          <w:rFonts w:hint="eastAsia"/>
        </w:rPr>
      </w:pPr>
      <w:r>
        <w:rPr>
          <w:rFonts w:hint="eastAsia"/>
        </w:rPr>
        <w:t>肥料施用符合NY/T 394。有机肥为主，全年重点3-4次施肥。注意控制氮肥，避免枝条徒长和落花落果</w:t>
      </w:r>
    </w:p>
    <w:p w14:paraId="3D773CB6">
      <w:pPr>
        <w:pStyle w:val="165"/>
      </w:pPr>
      <w:r>
        <w:rPr>
          <w:rFonts w:hint="eastAsia"/>
        </w:rPr>
        <w:t>幼树施肥</w:t>
      </w:r>
    </w:p>
    <w:p w14:paraId="2260E6B7">
      <w:pPr>
        <w:pStyle w:val="165"/>
        <w:numPr>
          <w:ilvl w:val="0"/>
          <w:numId w:val="0"/>
        </w:numPr>
        <w:ind w:firstLine="420" w:firstLineChars="200"/>
        <w:rPr>
          <w:rFonts w:hint="eastAsia"/>
        </w:rPr>
      </w:pPr>
      <w:r>
        <w:rPr>
          <w:rFonts w:hint="eastAsia"/>
        </w:rPr>
        <w:t>以氮肥为主，每月2次速效肥，7月后增施磷钾肥（复合肥0.1kg～0.2kg/株）。</w:t>
      </w:r>
    </w:p>
    <w:p w14:paraId="7A7FB0BA">
      <w:pPr>
        <w:pStyle w:val="165"/>
        <w:rPr>
          <w:rFonts w:hint="eastAsia"/>
        </w:rPr>
      </w:pPr>
      <w:r>
        <w:rPr>
          <w:rFonts w:hint="eastAsia"/>
        </w:rPr>
        <w:t>成年树施肥</w:t>
      </w:r>
    </w:p>
    <w:p w14:paraId="0FABBCE5">
      <w:pPr>
        <w:pStyle w:val="56"/>
        <w:ind w:firstLine="420"/>
        <w:rPr>
          <w:rFonts w:hint="eastAsia"/>
        </w:rPr>
      </w:pPr>
      <w:r>
        <w:rPr>
          <w:rFonts w:hint="eastAsia"/>
        </w:rPr>
        <w:t>月子肥（9月～11月）：复合肥0.5kg/株，促发秋梢结果母枝。</w:t>
      </w:r>
    </w:p>
    <w:p w14:paraId="4A7A5144">
      <w:pPr>
        <w:pStyle w:val="56"/>
        <w:ind w:firstLine="420"/>
        <w:rPr>
          <w:rFonts w:hint="eastAsia"/>
        </w:rPr>
      </w:pPr>
      <w:r>
        <w:rPr>
          <w:rFonts w:hint="eastAsia"/>
        </w:rPr>
        <w:t>稳花肥（3月～4月）：复合肥0.25kg/株，结合喷施中微量元素肥保花。</w:t>
      </w:r>
    </w:p>
    <w:p w14:paraId="518C80C2">
      <w:pPr>
        <w:pStyle w:val="56"/>
        <w:ind w:firstLine="420"/>
        <w:rPr>
          <w:rFonts w:hint="eastAsia"/>
        </w:rPr>
      </w:pPr>
      <w:r>
        <w:rPr>
          <w:rFonts w:hint="eastAsia"/>
        </w:rPr>
        <w:t>壮果肥（6月～8月）：分两次追施高钾复合肥（1kg～1.5kg/株），配合叶面喷施钙镁硅中微量元素肥防裂果。</w:t>
      </w:r>
    </w:p>
    <w:p w14:paraId="347E4FFF">
      <w:pPr>
        <w:pStyle w:val="56"/>
        <w:ind w:firstLine="420"/>
        <w:rPr>
          <w:rFonts w:hint="eastAsia"/>
        </w:rPr>
      </w:pPr>
      <w:r>
        <w:rPr>
          <w:rFonts w:hint="eastAsia"/>
        </w:rPr>
        <w:t>基肥(采果后，萌芽前)：腐熟羊粪或饼肥（25kg</w:t>
      </w:r>
      <w:bookmarkStart w:id="86" w:name="OLE_LINK6"/>
      <w:r>
        <w:rPr>
          <w:rFonts w:hint="eastAsia"/>
        </w:rPr>
        <w:t>～</w:t>
      </w:r>
      <w:bookmarkEnd w:id="86"/>
      <w:r>
        <w:rPr>
          <w:rFonts w:hint="eastAsia"/>
        </w:rPr>
        <w:t>50kg/株）、复合肥0.5kg～1kg/株及中微量元素肥，环状沟施。</w:t>
      </w:r>
    </w:p>
    <w:p w14:paraId="1882CDCD">
      <w:pPr>
        <w:pStyle w:val="105"/>
        <w:spacing w:before="156" w:after="156"/>
      </w:pPr>
      <w:bookmarkStart w:id="87" w:name="_Toc239237344"/>
      <w:bookmarkStart w:id="88" w:name="_Toc239247459"/>
      <w:bookmarkStart w:id="89" w:name="_Toc239247831"/>
      <w:r>
        <w:rPr>
          <w:rFonts w:hint="eastAsia"/>
        </w:rPr>
        <w:t>杂草防治</w:t>
      </w:r>
      <w:bookmarkEnd w:id="87"/>
      <w:bookmarkEnd w:id="88"/>
      <w:bookmarkEnd w:id="89"/>
    </w:p>
    <w:p w14:paraId="059765B9">
      <w:pPr>
        <w:pStyle w:val="56"/>
        <w:ind w:firstLine="420"/>
        <w:rPr>
          <w:rFonts w:hint="eastAsia"/>
        </w:rPr>
      </w:pPr>
      <w:r>
        <w:rPr>
          <w:rFonts w:hint="eastAsia"/>
        </w:rPr>
        <w:t>杂草防治以人工拔除为主。选用除草剂防治时，用药应符合NY/T 393 要求。</w:t>
      </w:r>
    </w:p>
    <w:p w14:paraId="50D9DCA5">
      <w:pPr>
        <w:pStyle w:val="104"/>
        <w:spacing w:before="312" w:after="312"/>
      </w:pPr>
      <w:bookmarkStart w:id="90" w:name="_Toc239237341"/>
      <w:bookmarkStart w:id="91" w:name="_Toc239247832"/>
      <w:bookmarkStart w:id="92" w:name="_Toc239247460"/>
      <w:r>
        <w:rPr>
          <w:rFonts w:hint="eastAsia"/>
        </w:rPr>
        <w:t>整形修剪</w:t>
      </w:r>
      <w:bookmarkEnd w:id="90"/>
      <w:bookmarkEnd w:id="91"/>
      <w:bookmarkEnd w:id="92"/>
    </w:p>
    <w:p w14:paraId="66095274">
      <w:pPr>
        <w:pStyle w:val="105"/>
        <w:spacing w:before="156" w:after="156"/>
      </w:pPr>
      <w:bookmarkStart w:id="93" w:name="_Toc239247833"/>
      <w:bookmarkStart w:id="94" w:name="_Toc239247461"/>
      <w:r>
        <w:rPr>
          <w:rFonts w:hint="eastAsia"/>
        </w:rPr>
        <w:t>树形</w:t>
      </w:r>
      <w:bookmarkEnd w:id="93"/>
      <w:bookmarkEnd w:id="94"/>
    </w:p>
    <w:p w14:paraId="50F284F3">
      <w:pPr>
        <w:pStyle w:val="56"/>
        <w:ind w:firstLine="420"/>
      </w:pPr>
      <w:r>
        <w:rPr>
          <w:rFonts w:hint="eastAsia"/>
        </w:rPr>
        <w:t>太秋甜柿一般采用</w:t>
      </w:r>
      <w:r>
        <w:rPr>
          <w:rFonts w:hint="eastAsia"/>
          <w:lang w:val="en-US" w:eastAsia="zh-CN"/>
        </w:rPr>
        <w:t>主干疏层形或</w:t>
      </w:r>
      <w:r>
        <w:rPr>
          <w:rFonts w:hint="eastAsia"/>
        </w:rPr>
        <w:t>自然开心形，树高通常控制在3.5m以下。</w:t>
      </w:r>
    </w:p>
    <w:p w14:paraId="1AA3A73E">
      <w:pPr>
        <w:pStyle w:val="105"/>
        <w:spacing w:before="156" w:after="156"/>
      </w:pPr>
      <w:bookmarkStart w:id="95" w:name="_Toc239247462"/>
      <w:bookmarkStart w:id="96" w:name="_Toc239247834"/>
      <w:r>
        <w:rPr>
          <w:rFonts w:hint="eastAsia"/>
        </w:rPr>
        <w:t>时期</w:t>
      </w:r>
      <w:bookmarkEnd w:id="95"/>
      <w:bookmarkEnd w:id="96"/>
    </w:p>
    <w:p w14:paraId="7427987F">
      <w:pPr>
        <w:pStyle w:val="56"/>
        <w:ind w:firstLine="420"/>
        <w:rPr>
          <w:rFonts w:hint="eastAsia"/>
        </w:rPr>
      </w:pPr>
      <w:r>
        <w:rPr>
          <w:rFonts w:hint="eastAsia"/>
        </w:rPr>
        <w:t>冬季修剪一般在落叶后到翌春萌芽前进行。生长季节可适当抹芽、摘心</w:t>
      </w:r>
      <w:r>
        <w:rPr>
          <w:rFonts w:hint="eastAsia"/>
          <w:lang w:eastAsia="zh-CN"/>
        </w:rPr>
        <w:t>、</w:t>
      </w:r>
      <w:r>
        <w:rPr>
          <w:rFonts w:hint="eastAsia"/>
          <w:lang w:val="en-US" w:eastAsia="zh-CN"/>
        </w:rPr>
        <w:t>拉枝</w:t>
      </w:r>
      <w:r>
        <w:rPr>
          <w:rFonts w:hint="eastAsia"/>
        </w:rPr>
        <w:t>等。</w:t>
      </w:r>
    </w:p>
    <w:p w14:paraId="2BE76179">
      <w:pPr>
        <w:pStyle w:val="105"/>
        <w:spacing w:before="156" w:after="156"/>
      </w:pPr>
      <w:bookmarkStart w:id="97" w:name="_Toc239247463"/>
      <w:bookmarkStart w:id="98" w:name="_Toc239247835"/>
      <w:r>
        <w:rPr>
          <w:rFonts w:hint="eastAsia"/>
        </w:rPr>
        <w:t>方法</w:t>
      </w:r>
      <w:bookmarkEnd w:id="97"/>
      <w:bookmarkEnd w:id="98"/>
    </w:p>
    <w:p w14:paraId="4947A9BD">
      <w:pPr>
        <w:pStyle w:val="56"/>
        <w:ind w:firstLine="420"/>
      </w:pPr>
      <w:r>
        <w:rPr>
          <w:rFonts w:hint="eastAsia"/>
        </w:rPr>
        <w:t>幼树期以培养树形为主，选留3个～4个合适枝条作为骨干枝。可适当短截主枝和侧枝，促进分枝和树冠形成。</w:t>
      </w:r>
    </w:p>
    <w:p w14:paraId="6026F804">
      <w:pPr>
        <w:pStyle w:val="56"/>
        <w:ind w:firstLine="420"/>
      </w:pPr>
      <w:r>
        <w:rPr>
          <w:rFonts w:hint="eastAsia"/>
        </w:rPr>
        <w:t>结果期以疏枝为主，疏除过密枝、交叉枝、病枯枝，保持树冠通风透光。结果母枝一般不短截。对于过高、过壮的枝组可进行回缩，</w:t>
      </w:r>
      <w:r>
        <w:t>控上促下防止结果部位外移</w:t>
      </w:r>
      <w:r>
        <w:rPr>
          <w:rFonts w:hint="eastAsia"/>
        </w:rPr>
        <w:t>。注意培养内膛枝组。</w:t>
      </w:r>
    </w:p>
    <w:p w14:paraId="0F7EA9C9">
      <w:pPr>
        <w:pStyle w:val="56"/>
        <w:ind w:firstLine="420"/>
      </w:pPr>
      <w:r>
        <w:rPr>
          <w:rFonts w:hint="eastAsia"/>
        </w:rPr>
        <w:t>可利用柿树隐芽寿命长且萌发力强的特点，对衰老树进行回缩更新，延长结果年限。</w:t>
      </w:r>
    </w:p>
    <w:p w14:paraId="71A69E19">
      <w:pPr>
        <w:pStyle w:val="56"/>
        <w:ind w:firstLine="420"/>
        <w:rPr>
          <w:rFonts w:hint="eastAsia"/>
        </w:rPr>
      </w:pPr>
      <w:r>
        <w:rPr>
          <w:rFonts w:hint="eastAsia"/>
        </w:rPr>
        <w:t>太秋甜柿</w:t>
      </w:r>
      <w:r>
        <w:t>枝条较脆</w:t>
      </w:r>
      <w:r>
        <w:rPr>
          <w:rFonts w:hint="eastAsia"/>
        </w:rPr>
        <w:t>，</w:t>
      </w:r>
      <w:r>
        <w:t>操作时注意保护枝条，避免</w:t>
      </w:r>
      <w:r>
        <w:rPr>
          <w:rFonts w:hint="eastAsia"/>
        </w:rPr>
        <w:t>不必要的</w:t>
      </w:r>
      <w:r>
        <w:t>机械损伤。</w:t>
      </w:r>
    </w:p>
    <w:p w14:paraId="47F35538">
      <w:pPr>
        <w:pStyle w:val="104"/>
        <w:spacing w:before="312" w:after="312"/>
      </w:pPr>
      <w:bookmarkStart w:id="99" w:name="_Toc239247464"/>
      <w:bookmarkStart w:id="100" w:name="_Toc239247836"/>
      <w:r>
        <w:rPr>
          <w:rFonts w:hint="eastAsia"/>
        </w:rPr>
        <w:t>花果管理</w:t>
      </w:r>
      <w:bookmarkEnd w:id="99"/>
      <w:bookmarkEnd w:id="100"/>
    </w:p>
    <w:p w14:paraId="1157CC44">
      <w:pPr>
        <w:pStyle w:val="56"/>
        <w:ind w:firstLine="420"/>
        <w:rPr>
          <w:rFonts w:hint="eastAsia"/>
        </w:rPr>
      </w:pPr>
      <w:r>
        <w:rPr>
          <w:rFonts w:hint="eastAsia"/>
        </w:rPr>
        <w:t>太秋甜柿成花能力强，为保证连年丰产稳产和果实品质，需进行精细的花果管理。</w:t>
      </w:r>
    </w:p>
    <w:p w14:paraId="6449C58F">
      <w:pPr>
        <w:pStyle w:val="105"/>
        <w:spacing w:before="156" w:after="156"/>
      </w:pPr>
      <w:bookmarkStart w:id="101" w:name="_Toc239247465"/>
      <w:bookmarkStart w:id="102" w:name="_Toc239247837"/>
      <w:r>
        <w:rPr>
          <w:rFonts w:hint="eastAsia"/>
        </w:rPr>
        <w:t>保花保果</w:t>
      </w:r>
      <w:bookmarkEnd w:id="101"/>
      <w:bookmarkEnd w:id="102"/>
    </w:p>
    <w:p w14:paraId="728A8DEF">
      <w:pPr>
        <w:pStyle w:val="56"/>
        <w:ind w:firstLine="420"/>
      </w:pPr>
      <w:r>
        <w:rPr>
          <w:rFonts w:hint="eastAsia"/>
        </w:rPr>
        <w:t xml:space="preserve">初花期和幼果期可喷施0.2%硼砂、0.2%磷酸二氢钾、0.2%～0.3%尿素混合液，以提高坐果率。   </w:t>
      </w:r>
    </w:p>
    <w:p w14:paraId="5EFD61ED">
      <w:pPr>
        <w:pStyle w:val="105"/>
        <w:spacing w:before="156" w:after="156"/>
      </w:pPr>
      <w:bookmarkStart w:id="103" w:name="_Toc239247838"/>
      <w:bookmarkStart w:id="104" w:name="_Toc239247466"/>
      <w:r>
        <w:rPr>
          <w:rFonts w:hint="eastAsia"/>
        </w:rPr>
        <w:t>疏果</w:t>
      </w:r>
      <w:bookmarkEnd w:id="103"/>
      <w:bookmarkEnd w:id="104"/>
      <w:r>
        <w:rPr>
          <w:rFonts w:hint="eastAsia"/>
          <w:lang w:val="en-US" w:eastAsia="zh-CN"/>
        </w:rPr>
        <w:t>与防落果</w:t>
      </w:r>
    </w:p>
    <w:p w14:paraId="10A25393">
      <w:pPr>
        <w:pStyle w:val="56"/>
        <w:ind w:firstLine="420"/>
        <w:rPr>
          <w:rFonts w:hint="eastAsia"/>
        </w:rPr>
      </w:pPr>
      <w:r>
        <w:rPr>
          <w:rFonts w:hint="eastAsia"/>
          <w:lang w:val="en-US" w:eastAsia="zh-CN"/>
        </w:rPr>
        <w:t>通常通过疏果</w:t>
      </w:r>
      <w:r>
        <w:rPr>
          <w:rFonts w:hint="eastAsia"/>
        </w:rPr>
        <w:t>控制结果总量，</w:t>
      </w:r>
      <w:r>
        <w:rPr>
          <w:rFonts w:hint="eastAsia"/>
          <w:lang w:val="en-US" w:eastAsia="zh-CN"/>
        </w:rPr>
        <w:t>并使</w:t>
      </w:r>
      <w:r>
        <w:rPr>
          <w:rFonts w:hint="eastAsia"/>
        </w:rPr>
        <w:t>结果位置宜均衡分布</w:t>
      </w:r>
      <w:r>
        <w:rPr>
          <w:rFonts w:hint="eastAsia"/>
          <w:lang w:eastAsia="zh-CN"/>
        </w:rPr>
        <w:t>，</w:t>
      </w:r>
      <w:r>
        <w:rPr>
          <w:rFonts w:hint="eastAsia"/>
          <w:lang w:val="en-US" w:eastAsia="zh-CN"/>
        </w:rPr>
        <w:t>来</w:t>
      </w:r>
      <w:r>
        <w:rPr>
          <w:rFonts w:hint="eastAsia" w:ascii="Times New Roman" w:eastAsia="宋体"/>
          <w:lang w:val="en-US" w:eastAsia="zh-CN"/>
        </w:rPr>
        <w:t>提高太秋甜柿品质与品相</w:t>
      </w:r>
      <w:r>
        <w:rPr>
          <w:rFonts w:hint="eastAsia"/>
        </w:rPr>
        <w:t>。一般进行2</w:t>
      </w:r>
      <w:r>
        <w:rPr>
          <w:rFonts w:hint="eastAsia"/>
          <w:lang w:val="en-US" w:eastAsia="zh-CN"/>
        </w:rPr>
        <w:t>疏果，第一次落花后 20 天左右（5月中下旬），只做轻度疏果，只摘除明显畸形果、病虫果、极小弱果、丛生密挤果，保留大部分果，防止后续生理落果后挂果不足。</w:t>
      </w:r>
      <w:r>
        <w:rPr>
          <w:rFonts w:hint="eastAsia"/>
        </w:rPr>
        <w:t>第二次</w:t>
      </w:r>
      <w:r>
        <w:rPr>
          <w:rFonts w:hint="eastAsia"/>
          <w:lang w:val="en-US" w:eastAsia="zh-CN"/>
        </w:rPr>
        <w:t>在6 月下旬～7 月上中旬</w:t>
      </w:r>
      <w:r>
        <w:rPr>
          <w:rFonts w:hint="eastAsia"/>
        </w:rPr>
        <w:t>定果</w:t>
      </w:r>
      <w:r>
        <w:rPr>
          <w:rFonts w:hint="eastAsia"/>
          <w:lang w:eastAsia="zh-CN"/>
        </w:rPr>
        <w:t>，</w:t>
      </w:r>
      <w:r>
        <w:rPr>
          <w:rFonts w:hint="eastAsia"/>
          <w:lang w:val="en-US" w:eastAsia="zh-CN"/>
        </w:rPr>
        <w:t>疏果后</w:t>
      </w:r>
      <w:r>
        <w:rPr>
          <w:rFonts w:hint="eastAsia"/>
        </w:rPr>
        <w:t>最终中长果枝保留2个～3个果，短果枝留1个果，保持叶果比在(15</w:t>
      </w:r>
      <w:bookmarkStart w:id="105" w:name="OLE_LINK11"/>
      <w:r>
        <w:rPr>
          <w:rFonts w:hint="eastAsia"/>
        </w:rPr>
        <w:t>～</w:t>
      </w:r>
      <w:bookmarkEnd w:id="105"/>
      <w:r>
        <w:rPr>
          <w:rFonts w:hint="eastAsia"/>
        </w:rPr>
        <w:t>25):1为宜，这是控制产量、提高品质的关键。旺树晚疏防落果，弱树早疏减负。</w:t>
      </w:r>
    </w:p>
    <w:p w14:paraId="6FD47B01">
      <w:pPr>
        <w:pStyle w:val="56"/>
        <w:ind w:firstLine="420"/>
        <w:rPr>
          <w:rFonts w:hint="default" w:eastAsia="宋体"/>
          <w:lang w:val="en-US" w:eastAsia="zh-CN"/>
        </w:rPr>
      </w:pPr>
      <w:r>
        <w:rPr>
          <w:rFonts w:hint="eastAsia"/>
          <w:lang w:val="en-US" w:eastAsia="zh-CN"/>
        </w:rPr>
        <w:t>太秋甜柿生理落果比较严，特别是树势旺的树，特别容易落果，对于生长势太旺的树，可以通过控制树势的方法（如环割、拉枝、喷施防专用防落果试剂等）来防止落果。</w:t>
      </w:r>
    </w:p>
    <w:p w14:paraId="3D94493A">
      <w:pPr>
        <w:pStyle w:val="105"/>
        <w:spacing w:before="156" w:after="156"/>
      </w:pPr>
      <w:bookmarkStart w:id="106" w:name="_Toc239247467"/>
      <w:bookmarkStart w:id="107" w:name="_Toc239247839"/>
      <w:r>
        <w:rPr>
          <w:rFonts w:hint="eastAsia"/>
        </w:rPr>
        <w:t>果实套袋</w:t>
      </w:r>
      <w:bookmarkEnd w:id="106"/>
      <w:bookmarkEnd w:id="107"/>
    </w:p>
    <w:p w14:paraId="366F6658">
      <w:pPr>
        <w:pStyle w:val="56"/>
        <w:ind w:firstLine="420"/>
      </w:pPr>
      <w:r>
        <w:rPr>
          <w:rFonts w:hint="eastAsia"/>
        </w:rPr>
        <w:t>7月中旬第</w:t>
      </w:r>
      <w:r>
        <w:rPr>
          <w:rFonts w:hint="eastAsia"/>
          <w:lang w:val="en-US" w:eastAsia="zh-CN"/>
        </w:rPr>
        <w:t>定果后</w:t>
      </w:r>
      <w:r>
        <w:rPr>
          <w:rFonts w:hint="eastAsia"/>
        </w:rPr>
        <w:t>，套20cm×22cm白色防水纸袋，能有效防止日灼、病虫鸟害以及果面污染，提高果实外观品质。套袋前喷施杀虫剂和杀菌剂，防止病虫害。</w:t>
      </w:r>
    </w:p>
    <w:p w14:paraId="2B036FEF">
      <w:pPr>
        <w:pStyle w:val="104"/>
        <w:spacing w:before="312" w:after="312"/>
      </w:pPr>
      <w:bookmarkStart w:id="108" w:name="_Toc239237345"/>
      <w:bookmarkStart w:id="109" w:name="_Toc239247840"/>
      <w:bookmarkStart w:id="110" w:name="_Toc239247468"/>
      <w:r>
        <w:rPr>
          <w:rFonts w:hint="eastAsia"/>
        </w:rPr>
        <w:t>病虫害防治</w:t>
      </w:r>
      <w:bookmarkEnd w:id="108"/>
      <w:bookmarkEnd w:id="109"/>
      <w:bookmarkEnd w:id="110"/>
    </w:p>
    <w:p w14:paraId="6FA49376">
      <w:pPr>
        <w:pStyle w:val="56"/>
        <w:ind w:firstLine="420"/>
      </w:pPr>
      <w:r>
        <w:rPr>
          <w:rFonts w:hint="eastAsia"/>
        </w:rPr>
        <w:t>坚持“预防为主，综合防治”的原则，注重农业防治和生物防治，必要时科学采用化学防治。农药使用应符合NY/T 393 要求。</w:t>
      </w:r>
      <w:bookmarkStart w:id="111" w:name="_Toc239237346"/>
    </w:p>
    <w:p w14:paraId="46D37ABD">
      <w:pPr>
        <w:pStyle w:val="105"/>
        <w:spacing w:before="156" w:after="156"/>
      </w:pPr>
      <w:bookmarkStart w:id="112" w:name="_Toc239247469"/>
      <w:bookmarkStart w:id="113" w:name="_Toc239247841"/>
      <w:r>
        <w:rPr>
          <w:rFonts w:hint="eastAsia"/>
        </w:rPr>
        <w:t>主要病虫害</w:t>
      </w:r>
      <w:bookmarkEnd w:id="111"/>
      <w:bookmarkEnd w:id="112"/>
      <w:bookmarkEnd w:id="113"/>
    </w:p>
    <w:p w14:paraId="3A18864B">
      <w:pPr>
        <w:pStyle w:val="56"/>
        <w:ind w:firstLine="420"/>
      </w:pPr>
      <w:r>
        <w:rPr>
          <w:rFonts w:hint="eastAsia"/>
        </w:rPr>
        <w:t>主要病害：柿炭疽病、柿角斑病等。</w:t>
      </w:r>
    </w:p>
    <w:p w14:paraId="09DC5473">
      <w:pPr>
        <w:pStyle w:val="56"/>
        <w:ind w:firstLine="420"/>
        <w:rPr>
          <w:rFonts w:hint="eastAsia"/>
        </w:rPr>
      </w:pPr>
      <w:r>
        <w:rPr>
          <w:rFonts w:hint="eastAsia"/>
        </w:rPr>
        <w:t>主要虫害：</w:t>
      </w:r>
      <w:r>
        <w:t>蝽象</w:t>
      </w:r>
      <w:r>
        <w:rPr>
          <w:rFonts w:hint="eastAsia"/>
        </w:rPr>
        <w:t>、</w:t>
      </w:r>
      <w:r>
        <w:t>吸果夜蛾</w:t>
      </w:r>
      <w:r>
        <w:rPr>
          <w:rFonts w:hint="eastAsia"/>
        </w:rPr>
        <w:t>、</w:t>
      </w:r>
      <w:r>
        <w:t>果实蝇</w:t>
      </w:r>
      <w:r>
        <w:rPr>
          <w:rFonts w:hint="eastAsia"/>
        </w:rPr>
        <w:t>等。</w:t>
      </w:r>
    </w:p>
    <w:p w14:paraId="5C271ECC">
      <w:pPr>
        <w:pStyle w:val="105"/>
        <w:spacing w:before="156" w:after="156"/>
      </w:pPr>
      <w:r>
        <w:rPr>
          <w:rFonts w:hint="eastAsia"/>
        </w:rPr>
        <w:t xml:space="preserve">  </w:t>
      </w:r>
      <w:bookmarkStart w:id="114" w:name="_Toc239247470"/>
      <w:bookmarkStart w:id="115" w:name="_Toc239247842"/>
      <w:r>
        <w:rPr>
          <w:rFonts w:hint="eastAsia"/>
        </w:rPr>
        <w:t>农业防治</w:t>
      </w:r>
      <w:bookmarkEnd w:id="114"/>
      <w:bookmarkEnd w:id="115"/>
    </w:p>
    <w:p w14:paraId="48FDA6BA">
      <w:pPr>
        <w:pStyle w:val="56"/>
        <w:ind w:firstLine="420"/>
      </w:pPr>
      <w:r>
        <w:rPr>
          <w:rFonts w:hint="eastAsia"/>
        </w:rPr>
        <w:t>加强果园管理，冬季清园，剪除病枝、残枝，清除落叶、落果，减少越冬病虫源。越冬期间使用3°～5°Be石硫合剂稀释液喷涂主干预防病虫害。</w:t>
      </w:r>
    </w:p>
    <w:p w14:paraId="1C6F1987">
      <w:pPr>
        <w:pStyle w:val="56"/>
        <w:ind w:firstLine="420"/>
      </w:pPr>
      <w:r>
        <w:rPr>
          <w:rFonts w:hint="eastAsia"/>
        </w:rPr>
        <w:t>增施有机肥，增强树势。科学修剪，改善园内通风透光条件。</w:t>
      </w:r>
    </w:p>
    <w:p w14:paraId="0C031156">
      <w:pPr>
        <w:pStyle w:val="56"/>
        <w:ind w:firstLine="420"/>
      </w:pPr>
      <w:r>
        <w:rPr>
          <w:rFonts w:hint="eastAsia"/>
        </w:rPr>
        <w:t>夏季高温可通过果实套袋、夏季树干涂白等方式预防日灼病。</w:t>
      </w:r>
    </w:p>
    <w:p w14:paraId="04FDF4B3">
      <w:pPr>
        <w:pStyle w:val="56"/>
        <w:ind w:firstLine="420"/>
        <w:rPr>
          <w:rFonts w:hint="eastAsia"/>
        </w:rPr>
      </w:pPr>
      <w:r>
        <w:rPr>
          <w:rFonts w:hint="eastAsia"/>
        </w:rPr>
        <w:t>寒冷地区冬季可采用树干涂白、包裹树干等措施防冻。</w:t>
      </w:r>
    </w:p>
    <w:p w14:paraId="394DE3AA">
      <w:pPr>
        <w:pStyle w:val="105"/>
        <w:spacing w:before="156" w:after="156"/>
      </w:pPr>
      <w:bookmarkStart w:id="116" w:name="_Toc239247843"/>
      <w:bookmarkStart w:id="117" w:name="_Toc239247471"/>
      <w:r>
        <w:rPr>
          <w:rFonts w:hint="eastAsia"/>
        </w:rPr>
        <w:t>生物防治</w:t>
      </w:r>
      <w:bookmarkEnd w:id="116"/>
      <w:bookmarkEnd w:id="117"/>
    </w:p>
    <w:p w14:paraId="25278BF4">
      <w:pPr>
        <w:pStyle w:val="56"/>
        <w:ind w:firstLine="420"/>
        <w:rPr>
          <w:rFonts w:hint="eastAsia"/>
        </w:rPr>
      </w:pPr>
      <w:r>
        <w:rPr>
          <w:rFonts w:hint="eastAsia"/>
        </w:rPr>
        <w:t>积极保护天敌，使用生物农药如苏云金杆菌、灭幼脲等防治食叶害虫。</w:t>
      </w:r>
    </w:p>
    <w:p w14:paraId="1C7E11DC">
      <w:pPr>
        <w:pStyle w:val="105"/>
        <w:spacing w:before="156" w:after="156"/>
      </w:pPr>
      <w:bookmarkStart w:id="118" w:name="_Toc239247472"/>
      <w:bookmarkStart w:id="119" w:name="_Toc239247844"/>
      <w:r>
        <w:rPr>
          <w:rFonts w:hint="eastAsia"/>
        </w:rPr>
        <w:t>物理防治</w:t>
      </w:r>
      <w:bookmarkEnd w:id="118"/>
      <w:bookmarkEnd w:id="119"/>
    </w:p>
    <w:p w14:paraId="68BAEE78">
      <w:pPr>
        <w:pStyle w:val="56"/>
        <w:ind w:firstLine="420"/>
        <w:rPr>
          <w:rFonts w:hint="eastAsia"/>
        </w:rPr>
      </w:pPr>
      <w:r>
        <w:rPr>
          <w:rFonts w:hint="eastAsia"/>
        </w:rPr>
        <w:t>使用杀虫灯对害虫进行诱杀，每15亩安装一台杀虫灯，安装高度250cm～300cm。使用黄板诱杀蚜虫</w:t>
      </w:r>
      <w:r>
        <w:rPr>
          <w:rFonts w:hint="eastAsia"/>
          <w:lang w:eastAsia="zh-CN"/>
        </w:rPr>
        <w:t>、</w:t>
      </w:r>
      <w:r>
        <w:rPr>
          <w:rFonts w:hint="eastAsia"/>
          <w:lang w:val="en-US" w:eastAsia="zh-CN"/>
        </w:rPr>
        <w:t>果实蝇等</w:t>
      </w:r>
      <w:r>
        <w:rPr>
          <w:rFonts w:hint="eastAsia"/>
        </w:rPr>
        <w:t>，每亩使用20cm×30cm规格的黄板30张，黄板悬挂于太秋甜柿植株下部，离地120cm～150cm。</w:t>
      </w:r>
    </w:p>
    <w:p w14:paraId="3B10E3EA">
      <w:pPr>
        <w:pStyle w:val="105"/>
        <w:spacing w:before="156" w:after="156"/>
      </w:pPr>
      <w:bookmarkStart w:id="120" w:name="_Toc239247845"/>
      <w:bookmarkStart w:id="121" w:name="_Toc239247473"/>
      <w:r>
        <w:rPr>
          <w:rFonts w:hint="eastAsia"/>
        </w:rPr>
        <w:t>化学防治</w:t>
      </w:r>
      <w:bookmarkEnd w:id="120"/>
      <w:bookmarkEnd w:id="121"/>
    </w:p>
    <w:p w14:paraId="4C1BFAB2">
      <w:pPr>
        <w:pStyle w:val="56"/>
        <w:ind w:firstLine="420"/>
        <w:rPr>
          <w:rFonts w:hint="eastAsia"/>
        </w:rPr>
      </w:pPr>
      <w:r>
        <w:rPr>
          <w:rFonts w:hint="eastAsia"/>
        </w:rPr>
        <w:t>在病虫害发生初期及时喷药防治。注意选择低毒、低残留农药，并交替使用以避免产生抗药性。</w:t>
      </w:r>
    </w:p>
    <w:p w14:paraId="14E60D86">
      <w:pPr>
        <w:pStyle w:val="56"/>
        <w:ind w:firstLine="420"/>
      </w:pPr>
      <w:r>
        <w:rPr>
          <w:rFonts w:hint="eastAsia"/>
        </w:rPr>
        <w:t>角斑病/炭疽病防治需要结合萌芽前喷3°～5°Be石硫合剂，发病期交替喷苯醚甲环唑（1000倍）+25%咪鲜胺乳油800倍～1000倍液防治，或吡唑醚菌酯（1500倍）+苯醚甲环唑（1000倍）。</w:t>
      </w:r>
    </w:p>
    <w:p w14:paraId="5F27F65F">
      <w:pPr>
        <w:pStyle w:val="56"/>
        <w:ind w:firstLine="420"/>
        <w:rPr>
          <w:rFonts w:hint="eastAsia"/>
        </w:rPr>
      </w:pPr>
      <w:r>
        <w:rPr>
          <w:rFonts w:hint="eastAsia"/>
        </w:rPr>
        <w:t>噻唑锌防治细菌性病害。</w:t>
      </w:r>
    </w:p>
    <w:p w14:paraId="77FB2AB1">
      <w:pPr>
        <w:pStyle w:val="104"/>
        <w:spacing w:before="312" w:after="312"/>
      </w:pPr>
      <w:bookmarkStart w:id="122" w:name="_Toc239247846"/>
      <w:bookmarkStart w:id="123" w:name="_Toc239247474"/>
      <w:bookmarkStart w:id="124" w:name="_Toc239237348"/>
      <w:r>
        <w:rPr>
          <w:rFonts w:hint="eastAsia"/>
        </w:rPr>
        <w:t>采收与采后处理</w:t>
      </w:r>
      <w:bookmarkEnd w:id="122"/>
      <w:bookmarkEnd w:id="123"/>
      <w:bookmarkEnd w:id="124"/>
    </w:p>
    <w:p w14:paraId="79A1B5D8">
      <w:pPr>
        <w:pStyle w:val="105"/>
        <w:spacing w:before="156" w:after="156"/>
      </w:pPr>
      <w:bookmarkStart w:id="125" w:name="_Toc239237349"/>
      <w:bookmarkStart w:id="126" w:name="_Toc239247475"/>
      <w:bookmarkStart w:id="127" w:name="_Toc239247847"/>
      <w:r>
        <w:rPr>
          <w:rFonts w:hint="eastAsia"/>
        </w:rPr>
        <w:t>采收</w:t>
      </w:r>
      <w:bookmarkEnd w:id="125"/>
      <w:r>
        <w:rPr>
          <w:rFonts w:hint="eastAsia"/>
        </w:rPr>
        <w:t>时期</w:t>
      </w:r>
      <w:bookmarkEnd w:id="126"/>
      <w:bookmarkEnd w:id="127"/>
    </w:p>
    <w:p w14:paraId="25895B0A">
      <w:pPr>
        <w:pStyle w:val="56"/>
        <w:ind w:firstLine="420"/>
        <w:rPr>
          <w:rFonts w:hint="eastAsia"/>
        </w:rPr>
      </w:pPr>
      <w:r>
        <w:rPr>
          <w:rFonts w:hint="eastAsia"/>
        </w:rPr>
        <w:t>太秋甜柿的采收时间一般在9月中下旬至11月上旬，当果实成熟度达到80%左右、果皮颜色转变时即可采收。</w:t>
      </w:r>
      <w:r>
        <w:t>采前一周停止浇水</w:t>
      </w:r>
      <w:r>
        <w:rPr>
          <w:rFonts w:hint="eastAsia"/>
        </w:rPr>
        <w:t>。</w:t>
      </w:r>
    </w:p>
    <w:p w14:paraId="20A4D330">
      <w:pPr>
        <w:pStyle w:val="105"/>
        <w:spacing w:before="156" w:after="156"/>
      </w:pPr>
      <w:bookmarkStart w:id="128" w:name="_Toc239247476"/>
      <w:bookmarkStart w:id="129" w:name="_Toc239247848"/>
      <w:r>
        <w:rPr>
          <w:rFonts w:hint="eastAsia"/>
        </w:rPr>
        <w:t>采收方法</w:t>
      </w:r>
      <w:bookmarkEnd w:id="128"/>
      <w:bookmarkEnd w:id="129"/>
    </w:p>
    <w:p w14:paraId="137A37A5">
      <w:pPr>
        <w:pStyle w:val="56"/>
        <w:ind w:firstLine="420"/>
        <w:rPr>
          <w:rFonts w:hint="eastAsia"/>
        </w:rPr>
      </w:pPr>
      <w:r>
        <w:rPr>
          <w:rFonts w:hint="eastAsia"/>
        </w:rPr>
        <w:t>采收时应轻拿轻放，避免机械损伤，保留果柄。</w:t>
      </w:r>
    </w:p>
    <w:p w14:paraId="02360F2A">
      <w:pPr>
        <w:pStyle w:val="105"/>
        <w:spacing w:before="156" w:after="156"/>
        <w:rPr>
          <w:rFonts w:hint="eastAsia"/>
        </w:rPr>
      </w:pPr>
      <w:bookmarkStart w:id="130" w:name="_Toc239247849"/>
      <w:bookmarkStart w:id="131" w:name="_Toc239247477"/>
      <w:r>
        <w:rPr>
          <w:rFonts w:hint="eastAsia"/>
        </w:rPr>
        <w:t>采后处理</w:t>
      </w:r>
      <w:bookmarkEnd w:id="130"/>
      <w:bookmarkEnd w:id="131"/>
    </w:p>
    <w:p w14:paraId="52B57AD9">
      <w:pPr>
        <w:pStyle w:val="56"/>
        <w:ind w:firstLine="420"/>
        <w:rPr>
          <w:rFonts w:hint="eastAsia"/>
        </w:rPr>
      </w:pPr>
      <w:r>
        <w:rPr>
          <w:rFonts w:hint="eastAsia"/>
        </w:rPr>
        <w:t>采收后进行分级、包装。</w:t>
      </w:r>
    </w:p>
    <w:p w14:paraId="48B7E825">
      <w:pPr>
        <w:pStyle w:val="105"/>
        <w:spacing w:before="156" w:after="156"/>
      </w:pPr>
      <w:bookmarkStart w:id="132" w:name="_Toc239247478"/>
      <w:bookmarkStart w:id="133" w:name="_Toc239247850"/>
      <w:r>
        <w:rPr>
          <w:rFonts w:hint="eastAsia"/>
        </w:rPr>
        <w:t>贮藏保鲜</w:t>
      </w:r>
      <w:bookmarkEnd w:id="132"/>
      <w:bookmarkEnd w:id="133"/>
    </w:p>
    <w:p w14:paraId="0BE67645">
      <w:pPr>
        <w:pStyle w:val="56"/>
        <w:ind w:firstLine="420"/>
        <w:rPr>
          <w:rFonts w:hint="eastAsia"/>
        </w:rPr>
      </w:pPr>
      <w:r>
        <w:rPr>
          <w:rFonts w:hint="eastAsia"/>
        </w:rPr>
        <w:t>贮藏温度宜控制在10℃左右，相对湿度保持在90%左右。可采用冷库贮藏或自然通风贮藏，定期检查，及时剔除病烂果。</w:t>
      </w:r>
    </w:p>
    <w:p w14:paraId="251990A1">
      <w:pPr>
        <w:pStyle w:val="105"/>
        <w:spacing w:before="156" w:after="156"/>
      </w:pPr>
      <w:bookmarkStart w:id="134" w:name="_Toc239237350"/>
      <w:bookmarkStart w:id="135" w:name="_Toc239247479"/>
      <w:bookmarkStart w:id="136" w:name="_Toc239247851"/>
      <w:r>
        <w:rPr>
          <w:rFonts w:hint="eastAsia"/>
        </w:rPr>
        <w:t>运输</w:t>
      </w:r>
      <w:bookmarkEnd w:id="134"/>
      <w:bookmarkEnd w:id="135"/>
      <w:bookmarkEnd w:id="136"/>
    </w:p>
    <w:p w14:paraId="60CE31D3">
      <w:pPr>
        <w:pStyle w:val="56"/>
        <w:ind w:firstLine="420"/>
      </w:pPr>
      <w:r>
        <w:rPr>
          <w:rFonts w:hint="eastAsia"/>
        </w:rPr>
        <w:t>使用专用运输工具。如果使用非专用的运输工具，应对运输工具进行清洁，避免禁用物质污染。</w:t>
      </w:r>
    </w:p>
    <w:p w14:paraId="3E09688F">
      <w:pPr>
        <w:pStyle w:val="104"/>
        <w:spacing w:before="312" w:after="312"/>
      </w:pPr>
      <w:bookmarkStart w:id="137" w:name="_Toc239247852"/>
      <w:bookmarkStart w:id="138" w:name="_Toc239247480"/>
      <w:r>
        <w:rPr>
          <w:rFonts w:hint="eastAsia"/>
        </w:rPr>
        <w:t>废弃物处理</w:t>
      </w:r>
      <w:bookmarkEnd w:id="137"/>
      <w:bookmarkEnd w:id="138"/>
    </w:p>
    <w:p w14:paraId="1593BE45">
      <w:pPr>
        <w:pStyle w:val="56"/>
        <w:ind w:firstLine="420"/>
      </w:pPr>
      <w:r>
        <w:rPr>
          <w:rFonts w:hint="eastAsia"/>
        </w:rPr>
        <w:t>病残枯枝及农业投入品废弃物应集中分类无害化资源化处置。</w:t>
      </w:r>
    </w:p>
    <w:p w14:paraId="6107DCEF">
      <w:pPr>
        <w:pStyle w:val="104"/>
        <w:spacing w:before="312" w:after="312"/>
      </w:pPr>
      <w:bookmarkStart w:id="139" w:name="_Toc239247481"/>
      <w:bookmarkStart w:id="140" w:name="_Toc239247853"/>
      <w:bookmarkStart w:id="141" w:name="_Toc239237352"/>
      <w:r>
        <w:rPr>
          <w:rFonts w:hint="eastAsia"/>
        </w:rPr>
        <w:t>档案管理</w:t>
      </w:r>
      <w:bookmarkEnd w:id="139"/>
      <w:bookmarkEnd w:id="140"/>
      <w:bookmarkEnd w:id="141"/>
    </w:p>
    <w:p w14:paraId="3348E356">
      <w:pPr>
        <w:pStyle w:val="56"/>
        <w:ind w:firstLine="420"/>
        <w:rPr>
          <w:rFonts w:hint="eastAsia"/>
        </w:rPr>
      </w:pPr>
      <w:r>
        <w:rPr>
          <w:rFonts w:hint="eastAsia"/>
        </w:rPr>
        <w:t>应建立太秋甜柿园田间生产档案，内容和格式见附录A，档案保存3年以上。</w:t>
      </w:r>
    </w:p>
    <w:p w14:paraId="127F17F2">
      <w:pPr>
        <w:pStyle w:val="76"/>
        <w:numPr>
          <w:ilvl w:val="0"/>
          <w:numId w:val="32"/>
        </w:numPr>
        <w:shd w:val="clear" w:color="auto" w:fill="FFFFFF"/>
        <w:spacing w:after="156"/>
        <w:ind w:left="0"/>
        <w:rPr>
          <w:rFonts w:hAnsi="黑体"/>
        </w:rPr>
      </w:pPr>
      <w:r>
        <w:rPr>
          <w:rFonts w:hint="eastAsia"/>
        </w:rPr>
        <w:br w:type="textWrapping"/>
      </w:r>
      <w:bookmarkStart w:id="142" w:name="_Toc239247482"/>
      <w:bookmarkStart w:id="143" w:name="_Toc239247854"/>
      <w:bookmarkStart w:id="144" w:name="_Toc239237353"/>
      <w:r>
        <w:rPr>
          <w:rFonts w:hint="eastAsia" w:hAnsi="黑体"/>
        </w:rPr>
        <w:t>（资料性）</w:t>
      </w:r>
      <w:r>
        <w:rPr>
          <w:rFonts w:hint="eastAsia"/>
        </w:rPr>
        <w:br w:type="textWrapping"/>
      </w:r>
      <w:r>
        <w:rPr>
          <w:rFonts w:hint="eastAsia" w:hAnsi="黑体"/>
        </w:rPr>
        <w:t>太秋甜柿田间档案记载表</w:t>
      </w:r>
      <w:bookmarkEnd w:id="142"/>
      <w:bookmarkEnd w:id="143"/>
      <w:bookmarkEnd w:id="144"/>
    </w:p>
    <w:p w14:paraId="38F41689">
      <w:pPr>
        <w:pStyle w:val="56"/>
        <w:ind w:firstLine="420"/>
        <w:rPr>
          <w:rFonts w:hint="eastAsia"/>
        </w:rPr>
      </w:pPr>
      <w:r>
        <w:rPr>
          <w:rFonts w:hint="eastAsia"/>
        </w:rPr>
        <w:t>A.1 太秋甜柿田间生产应按表A.1做好生产操作记载档案。</w:t>
      </w:r>
    </w:p>
    <w:bookmarkEnd w:id="25"/>
    <w:p w14:paraId="30C65071">
      <w:pPr>
        <w:pStyle w:val="77"/>
        <w:spacing w:before="156" w:after="156"/>
      </w:pPr>
      <w:r>
        <w:rPr>
          <w:rFonts w:hint="eastAsia" w:hAnsi="黑体"/>
        </w:rPr>
        <w:t xml:space="preserve"> 生产操作记载档案</w:t>
      </w:r>
    </w:p>
    <w:tbl>
      <w:tblPr>
        <w:tblStyle w:val="27"/>
        <w:tblW w:w="9336"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556"/>
        <w:gridCol w:w="1556"/>
        <w:gridCol w:w="1698"/>
        <w:gridCol w:w="1414"/>
        <w:gridCol w:w="1556"/>
        <w:gridCol w:w="1556"/>
      </w:tblGrid>
      <w:tr w14:paraId="125385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43" w:hRule="atLeast"/>
          <w:jc w:val="center"/>
        </w:trPr>
        <w:tc>
          <w:tcPr>
            <w:tcW w:w="1556" w:type="dxa"/>
            <w:tcBorders>
              <w:top w:val="single" w:color="auto" w:sz="8" w:space="0"/>
              <w:left w:val="single" w:color="auto" w:sz="8" w:space="0"/>
              <w:bottom w:val="single" w:color="auto" w:sz="8" w:space="0"/>
              <w:right w:val="single" w:color="auto" w:sz="4" w:space="0"/>
            </w:tcBorders>
            <w:vAlign w:val="center"/>
          </w:tcPr>
          <w:p w14:paraId="4308DB5D">
            <w:pPr>
              <w:pStyle w:val="178"/>
              <w:rPr>
                <w:b/>
                <w:bCs/>
              </w:rPr>
            </w:pPr>
            <w:r>
              <w:rPr>
                <w:rFonts w:hint="eastAsia" w:hAnsi="宋体"/>
                <w:b/>
                <w:bCs/>
              </w:rPr>
              <w:t>丘块名称</w:t>
            </w:r>
          </w:p>
        </w:tc>
        <w:tc>
          <w:tcPr>
            <w:tcW w:w="1556" w:type="dxa"/>
            <w:tcBorders>
              <w:top w:val="single" w:color="auto" w:sz="8" w:space="0"/>
              <w:left w:val="single" w:color="auto" w:sz="4" w:space="0"/>
              <w:bottom w:val="single" w:color="auto" w:sz="8" w:space="0"/>
              <w:right w:val="single" w:color="auto" w:sz="4" w:space="0"/>
            </w:tcBorders>
            <w:vAlign w:val="center"/>
          </w:tcPr>
          <w:p w14:paraId="45D4503B">
            <w:pPr>
              <w:pStyle w:val="178"/>
              <w:rPr>
                <w:b/>
                <w:bCs/>
              </w:rPr>
            </w:pPr>
          </w:p>
        </w:tc>
        <w:tc>
          <w:tcPr>
            <w:tcW w:w="1698" w:type="dxa"/>
            <w:tcBorders>
              <w:top w:val="single" w:color="auto" w:sz="8" w:space="0"/>
              <w:left w:val="single" w:color="auto" w:sz="4" w:space="0"/>
              <w:bottom w:val="single" w:color="auto" w:sz="8" w:space="0"/>
              <w:right w:val="single" w:color="auto" w:sz="4" w:space="0"/>
            </w:tcBorders>
            <w:vAlign w:val="center"/>
          </w:tcPr>
          <w:p w14:paraId="7D16D247">
            <w:pPr>
              <w:pStyle w:val="178"/>
              <w:rPr>
                <w:b/>
                <w:bCs/>
              </w:rPr>
            </w:pPr>
            <w:r>
              <w:rPr>
                <w:rFonts w:hint="eastAsia" w:hAnsi="宋体"/>
                <w:b/>
                <w:bCs/>
              </w:rPr>
              <w:t>面积（667</w:t>
            </w:r>
            <w:r>
              <w:rPr>
                <w:rFonts w:hint="eastAsia"/>
                <w:b/>
                <w:bCs/>
              </w:rPr>
              <w:t xml:space="preserve"> </w:t>
            </w:r>
            <w:r>
              <w:rPr>
                <w:rFonts w:hint="eastAsia" w:hAnsi="宋体"/>
                <w:b/>
                <w:bCs/>
              </w:rPr>
              <w:t>m</w:t>
            </w:r>
            <w:r>
              <w:rPr>
                <w:rFonts w:hint="eastAsia" w:hAnsi="宋体"/>
                <w:b/>
                <w:bCs/>
                <w:vertAlign w:val="superscript"/>
              </w:rPr>
              <w:t>2</w:t>
            </w:r>
            <w:r>
              <w:rPr>
                <w:rFonts w:hint="eastAsia" w:hAnsi="宋体"/>
                <w:b/>
                <w:bCs/>
              </w:rPr>
              <w:t>）</w:t>
            </w:r>
          </w:p>
        </w:tc>
        <w:tc>
          <w:tcPr>
            <w:tcW w:w="1414" w:type="dxa"/>
            <w:tcBorders>
              <w:top w:val="single" w:color="auto" w:sz="8" w:space="0"/>
              <w:left w:val="single" w:color="auto" w:sz="4" w:space="0"/>
              <w:bottom w:val="single" w:color="auto" w:sz="8" w:space="0"/>
              <w:right w:val="single" w:color="auto" w:sz="4" w:space="0"/>
            </w:tcBorders>
            <w:vAlign w:val="center"/>
          </w:tcPr>
          <w:p w14:paraId="6F8DEEBE">
            <w:pPr>
              <w:pStyle w:val="178"/>
              <w:rPr>
                <w:b/>
                <w:bCs/>
              </w:rPr>
            </w:pPr>
          </w:p>
        </w:tc>
        <w:tc>
          <w:tcPr>
            <w:tcW w:w="1556" w:type="dxa"/>
            <w:tcBorders>
              <w:top w:val="single" w:color="auto" w:sz="8" w:space="0"/>
              <w:left w:val="single" w:color="auto" w:sz="4" w:space="0"/>
              <w:bottom w:val="single" w:color="auto" w:sz="8" w:space="0"/>
              <w:right w:val="single" w:color="auto" w:sz="4" w:space="0"/>
            </w:tcBorders>
            <w:vAlign w:val="center"/>
          </w:tcPr>
          <w:p w14:paraId="330CE017">
            <w:pPr>
              <w:pStyle w:val="178"/>
              <w:rPr>
                <w:b/>
                <w:bCs/>
              </w:rPr>
            </w:pPr>
            <w:r>
              <w:rPr>
                <w:rFonts w:hint="eastAsia" w:hAnsi="宋体"/>
                <w:b/>
                <w:bCs/>
              </w:rPr>
              <w:t>品种</w:t>
            </w:r>
          </w:p>
        </w:tc>
        <w:tc>
          <w:tcPr>
            <w:tcW w:w="1556" w:type="dxa"/>
            <w:tcBorders>
              <w:top w:val="single" w:color="auto" w:sz="8" w:space="0"/>
              <w:left w:val="single" w:color="auto" w:sz="4" w:space="0"/>
              <w:bottom w:val="single" w:color="auto" w:sz="8" w:space="0"/>
              <w:right w:val="single" w:color="auto" w:sz="8" w:space="0"/>
            </w:tcBorders>
            <w:vAlign w:val="center"/>
          </w:tcPr>
          <w:p w14:paraId="0FFDAFF2">
            <w:pPr>
              <w:pStyle w:val="178"/>
              <w:rPr>
                <w:b/>
                <w:bCs/>
              </w:rPr>
            </w:pPr>
          </w:p>
        </w:tc>
      </w:tr>
      <w:tr w14:paraId="336521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8" w:space="0"/>
              <w:left w:val="single" w:color="auto" w:sz="8" w:space="0"/>
              <w:bottom w:val="single" w:color="auto" w:sz="4" w:space="0"/>
              <w:right w:val="single" w:color="auto" w:sz="4" w:space="0"/>
            </w:tcBorders>
            <w:vAlign w:val="center"/>
          </w:tcPr>
          <w:p w14:paraId="293058AB">
            <w:pPr>
              <w:pStyle w:val="178"/>
            </w:pPr>
            <w:r>
              <w:rPr>
                <w:rFonts w:hint="eastAsia" w:hAnsi="宋体"/>
              </w:rPr>
              <w:t>序号</w:t>
            </w:r>
          </w:p>
        </w:tc>
        <w:tc>
          <w:tcPr>
            <w:tcW w:w="1556" w:type="dxa"/>
            <w:tcBorders>
              <w:top w:val="single" w:color="auto" w:sz="8" w:space="0"/>
              <w:left w:val="single" w:color="auto" w:sz="4" w:space="0"/>
              <w:bottom w:val="single" w:color="auto" w:sz="4" w:space="0"/>
              <w:right w:val="single" w:color="auto" w:sz="4" w:space="0"/>
            </w:tcBorders>
            <w:vAlign w:val="center"/>
          </w:tcPr>
          <w:p w14:paraId="3EC652B7">
            <w:pPr>
              <w:pStyle w:val="178"/>
            </w:pPr>
            <w:r>
              <w:rPr>
                <w:rFonts w:hint="eastAsia" w:hAnsi="宋体"/>
              </w:rPr>
              <w:t>土壤分类、肥力、前茬植物</w:t>
            </w:r>
          </w:p>
        </w:tc>
        <w:tc>
          <w:tcPr>
            <w:tcW w:w="1698" w:type="dxa"/>
            <w:tcBorders>
              <w:top w:val="single" w:color="auto" w:sz="8" w:space="0"/>
              <w:left w:val="single" w:color="auto" w:sz="4" w:space="0"/>
              <w:bottom w:val="single" w:color="auto" w:sz="4" w:space="0"/>
              <w:right w:val="single" w:color="auto" w:sz="4" w:space="0"/>
            </w:tcBorders>
            <w:vAlign w:val="center"/>
          </w:tcPr>
          <w:p w14:paraId="596011F7">
            <w:pPr>
              <w:pStyle w:val="178"/>
            </w:pPr>
            <w:r>
              <w:rPr>
                <w:rFonts w:hint="eastAsia" w:hAnsi="宋体"/>
              </w:rPr>
              <w:t>操作日期（月、日）</w:t>
            </w:r>
          </w:p>
        </w:tc>
        <w:tc>
          <w:tcPr>
            <w:tcW w:w="1414" w:type="dxa"/>
            <w:tcBorders>
              <w:top w:val="single" w:color="auto" w:sz="8" w:space="0"/>
              <w:left w:val="single" w:color="auto" w:sz="4" w:space="0"/>
              <w:bottom w:val="single" w:color="auto" w:sz="4" w:space="0"/>
              <w:right w:val="single" w:color="auto" w:sz="4" w:space="0"/>
            </w:tcBorders>
            <w:vAlign w:val="center"/>
          </w:tcPr>
          <w:p w14:paraId="559E289D">
            <w:pPr>
              <w:pStyle w:val="178"/>
            </w:pPr>
            <w:r>
              <w:rPr>
                <w:rFonts w:hint="eastAsia" w:hAnsi="宋体"/>
              </w:rPr>
              <w:t>操作内容与方法</w:t>
            </w:r>
          </w:p>
        </w:tc>
        <w:tc>
          <w:tcPr>
            <w:tcW w:w="1556" w:type="dxa"/>
            <w:tcBorders>
              <w:top w:val="single" w:color="auto" w:sz="8" w:space="0"/>
              <w:left w:val="single" w:color="auto" w:sz="4" w:space="0"/>
              <w:bottom w:val="single" w:color="auto" w:sz="4" w:space="0"/>
              <w:right w:val="single" w:color="auto" w:sz="4" w:space="0"/>
            </w:tcBorders>
            <w:vAlign w:val="center"/>
          </w:tcPr>
          <w:p w14:paraId="2F8900DA">
            <w:pPr>
              <w:pStyle w:val="178"/>
            </w:pPr>
            <w:r>
              <w:rPr>
                <w:rFonts w:hint="eastAsia" w:hAnsi="宋体"/>
              </w:rPr>
              <w:t>完成情况及效果</w:t>
            </w:r>
          </w:p>
        </w:tc>
        <w:tc>
          <w:tcPr>
            <w:tcW w:w="1556" w:type="dxa"/>
            <w:tcBorders>
              <w:top w:val="single" w:color="auto" w:sz="8" w:space="0"/>
              <w:left w:val="single" w:color="auto" w:sz="4" w:space="0"/>
              <w:bottom w:val="single" w:color="auto" w:sz="4" w:space="0"/>
              <w:right w:val="single" w:color="auto" w:sz="8" w:space="0"/>
            </w:tcBorders>
            <w:vAlign w:val="center"/>
          </w:tcPr>
          <w:p w14:paraId="35F281AA">
            <w:pPr>
              <w:pStyle w:val="178"/>
            </w:pPr>
            <w:r>
              <w:rPr>
                <w:rFonts w:hint="eastAsia" w:hAnsi="宋体"/>
              </w:rPr>
              <w:t>记载人</w:t>
            </w:r>
          </w:p>
        </w:tc>
      </w:tr>
      <w:tr w14:paraId="0A9CA2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4" w:space="0"/>
              <w:left w:val="single" w:color="auto" w:sz="8" w:space="0"/>
              <w:bottom w:val="single" w:color="auto" w:sz="4" w:space="0"/>
              <w:right w:val="single" w:color="auto" w:sz="4" w:space="0"/>
            </w:tcBorders>
            <w:vAlign w:val="center"/>
          </w:tcPr>
          <w:p w14:paraId="49CD08DC">
            <w:pPr>
              <w:pStyle w:val="178"/>
            </w:pPr>
            <w:r>
              <w:rPr>
                <w:rFonts w:hint="eastAsia" w:hAnsi="宋体"/>
              </w:rPr>
              <w:t>1</w:t>
            </w:r>
          </w:p>
        </w:tc>
        <w:tc>
          <w:tcPr>
            <w:tcW w:w="1556" w:type="dxa"/>
            <w:tcBorders>
              <w:top w:val="single" w:color="auto" w:sz="4" w:space="0"/>
              <w:left w:val="single" w:color="auto" w:sz="4" w:space="0"/>
              <w:bottom w:val="single" w:color="auto" w:sz="4" w:space="0"/>
              <w:right w:val="single" w:color="auto" w:sz="4" w:space="0"/>
            </w:tcBorders>
            <w:vAlign w:val="center"/>
          </w:tcPr>
          <w:p w14:paraId="59D9C3A6">
            <w:pPr>
              <w:pStyle w:val="178"/>
            </w:pPr>
          </w:p>
        </w:tc>
        <w:tc>
          <w:tcPr>
            <w:tcW w:w="1698" w:type="dxa"/>
            <w:tcBorders>
              <w:top w:val="single" w:color="auto" w:sz="4" w:space="0"/>
              <w:left w:val="single" w:color="auto" w:sz="4" w:space="0"/>
              <w:bottom w:val="single" w:color="auto" w:sz="4" w:space="0"/>
              <w:right w:val="single" w:color="auto" w:sz="4" w:space="0"/>
            </w:tcBorders>
            <w:vAlign w:val="center"/>
          </w:tcPr>
          <w:p w14:paraId="1233AE72">
            <w:pPr>
              <w:pStyle w:val="178"/>
            </w:pPr>
          </w:p>
        </w:tc>
        <w:tc>
          <w:tcPr>
            <w:tcW w:w="1414" w:type="dxa"/>
            <w:tcBorders>
              <w:top w:val="single" w:color="auto" w:sz="4" w:space="0"/>
              <w:left w:val="single" w:color="auto" w:sz="4" w:space="0"/>
              <w:bottom w:val="single" w:color="auto" w:sz="4" w:space="0"/>
              <w:right w:val="single" w:color="auto" w:sz="4" w:space="0"/>
            </w:tcBorders>
            <w:vAlign w:val="center"/>
          </w:tcPr>
          <w:p w14:paraId="63B7F78C">
            <w:pPr>
              <w:pStyle w:val="178"/>
            </w:pPr>
          </w:p>
        </w:tc>
        <w:tc>
          <w:tcPr>
            <w:tcW w:w="1556" w:type="dxa"/>
            <w:tcBorders>
              <w:top w:val="single" w:color="auto" w:sz="4" w:space="0"/>
              <w:left w:val="single" w:color="auto" w:sz="4" w:space="0"/>
              <w:bottom w:val="single" w:color="auto" w:sz="4" w:space="0"/>
              <w:right w:val="single" w:color="auto" w:sz="4" w:space="0"/>
            </w:tcBorders>
            <w:vAlign w:val="center"/>
          </w:tcPr>
          <w:p w14:paraId="23A08F2D">
            <w:pPr>
              <w:pStyle w:val="178"/>
            </w:pPr>
          </w:p>
        </w:tc>
        <w:tc>
          <w:tcPr>
            <w:tcW w:w="1556" w:type="dxa"/>
            <w:tcBorders>
              <w:top w:val="single" w:color="auto" w:sz="4" w:space="0"/>
              <w:left w:val="single" w:color="auto" w:sz="4" w:space="0"/>
              <w:bottom w:val="single" w:color="auto" w:sz="4" w:space="0"/>
              <w:right w:val="single" w:color="auto" w:sz="8" w:space="0"/>
            </w:tcBorders>
            <w:vAlign w:val="center"/>
          </w:tcPr>
          <w:p w14:paraId="61A1789A">
            <w:pPr>
              <w:pStyle w:val="178"/>
            </w:pPr>
          </w:p>
        </w:tc>
      </w:tr>
      <w:tr w14:paraId="3BC52F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4" w:space="0"/>
              <w:left w:val="single" w:color="auto" w:sz="8" w:space="0"/>
              <w:bottom w:val="single" w:color="auto" w:sz="4" w:space="0"/>
              <w:right w:val="single" w:color="auto" w:sz="4" w:space="0"/>
            </w:tcBorders>
            <w:vAlign w:val="center"/>
          </w:tcPr>
          <w:p w14:paraId="3606B0AE">
            <w:pPr>
              <w:pStyle w:val="178"/>
            </w:pPr>
            <w:r>
              <w:rPr>
                <w:rFonts w:hint="eastAsia" w:hAnsi="宋体"/>
              </w:rPr>
              <w:t>2</w:t>
            </w:r>
          </w:p>
        </w:tc>
        <w:tc>
          <w:tcPr>
            <w:tcW w:w="1556" w:type="dxa"/>
            <w:tcBorders>
              <w:top w:val="single" w:color="auto" w:sz="4" w:space="0"/>
              <w:left w:val="single" w:color="auto" w:sz="4" w:space="0"/>
              <w:bottom w:val="single" w:color="auto" w:sz="4" w:space="0"/>
              <w:right w:val="single" w:color="auto" w:sz="4" w:space="0"/>
            </w:tcBorders>
            <w:vAlign w:val="center"/>
          </w:tcPr>
          <w:p w14:paraId="39B4C141">
            <w:pPr>
              <w:pStyle w:val="178"/>
            </w:pPr>
          </w:p>
        </w:tc>
        <w:tc>
          <w:tcPr>
            <w:tcW w:w="1698" w:type="dxa"/>
            <w:tcBorders>
              <w:top w:val="single" w:color="auto" w:sz="4" w:space="0"/>
              <w:left w:val="single" w:color="auto" w:sz="4" w:space="0"/>
              <w:bottom w:val="single" w:color="auto" w:sz="4" w:space="0"/>
              <w:right w:val="single" w:color="auto" w:sz="4" w:space="0"/>
            </w:tcBorders>
            <w:vAlign w:val="center"/>
          </w:tcPr>
          <w:p w14:paraId="66669D5F">
            <w:pPr>
              <w:pStyle w:val="178"/>
            </w:pPr>
          </w:p>
        </w:tc>
        <w:tc>
          <w:tcPr>
            <w:tcW w:w="1414" w:type="dxa"/>
            <w:tcBorders>
              <w:top w:val="single" w:color="auto" w:sz="4" w:space="0"/>
              <w:left w:val="single" w:color="auto" w:sz="4" w:space="0"/>
              <w:bottom w:val="single" w:color="auto" w:sz="4" w:space="0"/>
              <w:right w:val="single" w:color="auto" w:sz="4" w:space="0"/>
            </w:tcBorders>
            <w:vAlign w:val="center"/>
          </w:tcPr>
          <w:p w14:paraId="09B03FA6">
            <w:pPr>
              <w:pStyle w:val="178"/>
            </w:pPr>
          </w:p>
        </w:tc>
        <w:tc>
          <w:tcPr>
            <w:tcW w:w="1556" w:type="dxa"/>
            <w:tcBorders>
              <w:top w:val="single" w:color="auto" w:sz="4" w:space="0"/>
              <w:left w:val="single" w:color="auto" w:sz="4" w:space="0"/>
              <w:bottom w:val="single" w:color="auto" w:sz="4" w:space="0"/>
              <w:right w:val="single" w:color="auto" w:sz="4" w:space="0"/>
            </w:tcBorders>
            <w:vAlign w:val="center"/>
          </w:tcPr>
          <w:p w14:paraId="498679A1">
            <w:pPr>
              <w:pStyle w:val="178"/>
            </w:pPr>
          </w:p>
        </w:tc>
        <w:tc>
          <w:tcPr>
            <w:tcW w:w="1556" w:type="dxa"/>
            <w:tcBorders>
              <w:top w:val="single" w:color="auto" w:sz="4" w:space="0"/>
              <w:left w:val="single" w:color="auto" w:sz="4" w:space="0"/>
              <w:bottom w:val="single" w:color="auto" w:sz="4" w:space="0"/>
              <w:right w:val="single" w:color="auto" w:sz="8" w:space="0"/>
            </w:tcBorders>
            <w:vAlign w:val="center"/>
          </w:tcPr>
          <w:p w14:paraId="46F4E36A">
            <w:pPr>
              <w:pStyle w:val="178"/>
            </w:pPr>
          </w:p>
        </w:tc>
      </w:tr>
      <w:tr w14:paraId="64CEB83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556" w:type="dxa"/>
            <w:tcBorders>
              <w:top w:val="single" w:color="auto" w:sz="4" w:space="0"/>
              <w:left w:val="single" w:color="auto" w:sz="8" w:space="0"/>
              <w:bottom w:val="single" w:color="auto" w:sz="8" w:space="0"/>
              <w:right w:val="single" w:color="auto" w:sz="4" w:space="0"/>
            </w:tcBorders>
            <w:vAlign w:val="center"/>
          </w:tcPr>
          <w:p w14:paraId="16C5B537">
            <w:pPr>
              <w:pStyle w:val="178"/>
            </w:pPr>
            <w:r>
              <w:rPr>
                <w:rFonts w:hint="eastAsia" w:hAnsi="宋体"/>
              </w:rPr>
              <w:t>…</w:t>
            </w:r>
          </w:p>
        </w:tc>
        <w:tc>
          <w:tcPr>
            <w:tcW w:w="1556" w:type="dxa"/>
            <w:tcBorders>
              <w:top w:val="single" w:color="auto" w:sz="4" w:space="0"/>
              <w:left w:val="single" w:color="auto" w:sz="4" w:space="0"/>
              <w:bottom w:val="single" w:color="auto" w:sz="8" w:space="0"/>
              <w:right w:val="single" w:color="auto" w:sz="4" w:space="0"/>
            </w:tcBorders>
            <w:vAlign w:val="center"/>
          </w:tcPr>
          <w:p w14:paraId="39C5B800">
            <w:pPr>
              <w:pStyle w:val="178"/>
            </w:pPr>
          </w:p>
        </w:tc>
        <w:tc>
          <w:tcPr>
            <w:tcW w:w="1698" w:type="dxa"/>
            <w:tcBorders>
              <w:top w:val="single" w:color="auto" w:sz="4" w:space="0"/>
              <w:left w:val="single" w:color="auto" w:sz="4" w:space="0"/>
              <w:bottom w:val="single" w:color="auto" w:sz="8" w:space="0"/>
              <w:right w:val="single" w:color="auto" w:sz="4" w:space="0"/>
            </w:tcBorders>
            <w:vAlign w:val="center"/>
          </w:tcPr>
          <w:p w14:paraId="7130BA9A">
            <w:pPr>
              <w:pStyle w:val="178"/>
            </w:pPr>
          </w:p>
        </w:tc>
        <w:tc>
          <w:tcPr>
            <w:tcW w:w="1414" w:type="dxa"/>
            <w:tcBorders>
              <w:top w:val="single" w:color="auto" w:sz="4" w:space="0"/>
              <w:left w:val="single" w:color="auto" w:sz="4" w:space="0"/>
              <w:bottom w:val="single" w:color="auto" w:sz="8" w:space="0"/>
              <w:right w:val="single" w:color="auto" w:sz="4" w:space="0"/>
            </w:tcBorders>
            <w:vAlign w:val="center"/>
          </w:tcPr>
          <w:p w14:paraId="7573A7A5">
            <w:pPr>
              <w:pStyle w:val="178"/>
            </w:pPr>
          </w:p>
        </w:tc>
        <w:tc>
          <w:tcPr>
            <w:tcW w:w="1556" w:type="dxa"/>
            <w:tcBorders>
              <w:top w:val="single" w:color="auto" w:sz="4" w:space="0"/>
              <w:left w:val="single" w:color="auto" w:sz="4" w:space="0"/>
              <w:bottom w:val="single" w:color="auto" w:sz="8" w:space="0"/>
              <w:right w:val="single" w:color="auto" w:sz="4" w:space="0"/>
            </w:tcBorders>
            <w:vAlign w:val="center"/>
          </w:tcPr>
          <w:p w14:paraId="70F34EF6">
            <w:pPr>
              <w:pStyle w:val="178"/>
            </w:pPr>
          </w:p>
        </w:tc>
        <w:tc>
          <w:tcPr>
            <w:tcW w:w="1556" w:type="dxa"/>
            <w:tcBorders>
              <w:top w:val="single" w:color="auto" w:sz="4" w:space="0"/>
              <w:left w:val="single" w:color="auto" w:sz="4" w:space="0"/>
              <w:bottom w:val="single" w:color="auto" w:sz="8" w:space="0"/>
              <w:right w:val="single" w:color="auto" w:sz="8" w:space="0"/>
            </w:tcBorders>
            <w:vAlign w:val="center"/>
          </w:tcPr>
          <w:p w14:paraId="41293478">
            <w:pPr>
              <w:pStyle w:val="178"/>
            </w:pPr>
          </w:p>
        </w:tc>
      </w:tr>
    </w:tbl>
    <w:p w14:paraId="15333049">
      <w:pPr>
        <w:pStyle w:val="56"/>
        <w:ind w:firstLine="420"/>
      </w:pPr>
      <w:r>
        <w:rPr>
          <w:rFonts w:hint="eastAsia"/>
        </w:rPr>
        <w:t xml:space="preserve"> </w:t>
      </w:r>
    </w:p>
    <w:p w14:paraId="2CF2907F">
      <w:pPr>
        <w:pStyle w:val="56"/>
        <w:ind w:firstLine="420"/>
        <w:rPr>
          <w:rFonts w:hint="eastAsia"/>
        </w:rPr>
      </w:pPr>
      <w:r>
        <w:rPr>
          <w:rFonts w:hint="eastAsia"/>
        </w:rPr>
        <w:t>A.2 太秋甜柿田间生产应按表A.2做好投入品生产质量安全跟踪档案。</w:t>
      </w:r>
    </w:p>
    <w:p w14:paraId="3B7579C7">
      <w:pPr>
        <w:pStyle w:val="77"/>
        <w:spacing w:before="156" w:after="156"/>
      </w:pPr>
      <w:r>
        <w:rPr>
          <w:rFonts w:hint="eastAsia" w:hAnsi="黑体"/>
        </w:rPr>
        <w:t xml:space="preserve"> 投入品生产质量安全跟踪档案</w:t>
      </w:r>
    </w:p>
    <w:tbl>
      <w:tblPr>
        <w:tblStyle w:val="27"/>
        <w:tblW w:w="9324"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036"/>
        <w:gridCol w:w="1036"/>
        <w:gridCol w:w="1036"/>
        <w:gridCol w:w="1277"/>
        <w:gridCol w:w="992"/>
        <w:gridCol w:w="839"/>
        <w:gridCol w:w="1036"/>
        <w:gridCol w:w="1036"/>
        <w:gridCol w:w="1036"/>
      </w:tblGrid>
      <w:tr w14:paraId="3009A0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36" w:type="dxa"/>
            <w:tcBorders>
              <w:top w:val="single" w:color="auto" w:sz="8" w:space="0"/>
              <w:left w:val="single" w:color="auto" w:sz="8" w:space="0"/>
              <w:bottom w:val="single" w:color="auto" w:sz="8" w:space="0"/>
              <w:right w:val="single" w:color="auto" w:sz="4" w:space="0"/>
            </w:tcBorders>
            <w:vAlign w:val="center"/>
          </w:tcPr>
          <w:p w14:paraId="24CD8F87">
            <w:pPr>
              <w:pStyle w:val="178"/>
              <w:rPr>
                <w:b/>
                <w:bCs/>
              </w:rPr>
            </w:pPr>
            <w:r>
              <w:rPr>
                <w:rFonts w:hint="eastAsia" w:hAnsi="宋体"/>
                <w:b/>
                <w:bCs/>
              </w:rPr>
              <w:t>丘块名称</w:t>
            </w:r>
          </w:p>
        </w:tc>
        <w:tc>
          <w:tcPr>
            <w:tcW w:w="2072" w:type="dxa"/>
            <w:gridSpan w:val="2"/>
            <w:tcBorders>
              <w:top w:val="single" w:color="auto" w:sz="8" w:space="0"/>
              <w:left w:val="single" w:color="auto" w:sz="4" w:space="0"/>
              <w:bottom w:val="single" w:color="auto" w:sz="8" w:space="0"/>
              <w:right w:val="single" w:color="auto" w:sz="4" w:space="0"/>
            </w:tcBorders>
            <w:vAlign w:val="center"/>
          </w:tcPr>
          <w:p w14:paraId="7D07E569">
            <w:pPr>
              <w:pStyle w:val="178"/>
              <w:rPr>
                <w:b/>
                <w:bCs/>
              </w:rPr>
            </w:pPr>
          </w:p>
        </w:tc>
        <w:tc>
          <w:tcPr>
            <w:tcW w:w="1277" w:type="dxa"/>
            <w:tcBorders>
              <w:top w:val="single" w:color="auto" w:sz="8" w:space="0"/>
              <w:left w:val="single" w:color="auto" w:sz="4" w:space="0"/>
              <w:bottom w:val="single" w:color="auto" w:sz="8" w:space="0"/>
              <w:right w:val="single" w:color="auto" w:sz="4" w:space="0"/>
            </w:tcBorders>
            <w:vAlign w:val="center"/>
          </w:tcPr>
          <w:p w14:paraId="32F8F644">
            <w:pPr>
              <w:pStyle w:val="178"/>
              <w:rPr>
                <w:b/>
                <w:bCs/>
              </w:rPr>
            </w:pPr>
            <w:r>
              <w:rPr>
                <w:rFonts w:hint="eastAsia" w:hAnsi="宋体"/>
                <w:b/>
                <w:bCs/>
              </w:rPr>
              <w:t>面积（667</w:t>
            </w:r>
            <w:r>
              <w:rPr>
                <w:rFonts w:hint="eastAsia"/>
                <w:b/>
                <w:bCs/>
              </w:rPr>
              <w:t xml:space="preserve"> </w:t>
            </w:r>
            <w:r>
              <w:rPr>
                <w:rFonts w:hint="eastAsia" w:hAnsi="宋体"/>
                <w:b/>
                <w:bCs/>
              </w:rPr>
              <w:t>m</w:t>
            </w:r>
            <w:r>
              <w:rPr>
                <w:rFonts w:hint="eastAsia" w:hAnsi="宋体"/>
                <w:b/>
                <w:bCs/>
                <w:vertAlign w:val="superscript"/>
              </w:rPr>
              <w:t>2</w:t>
            </w:r>
            <w:r>
              <w:rPr>
                <w:rFonts w:hint="eastAsia" w:hAnsi="宋体"/>
                <w:b/>
                <w:bCs/>
              </w:rPr>
              <w:t>）</w:t>
            </w:r>
          </w:p>
        </w:tc>
        <w:tc>
          <w:tcPr>
            <w:tcW w:w="1831" w:type="dxa"/>
            <w:gridSpan w:val="2"/>
            <w:tcBorders>
              <w:top w:val="single" w:color="auto" w:sz="8" w:space="0"/>
              <w:left w:val="single" w:color="auto" w:sz="4" w:space="0"/>
              <w:bottom w:val="single" w:color="auto" w:sz="8" w:space="0"/>
              <w:right w:val="single" w:color="auto" w:sz="4" w:space="0"/>
            </w:tcBorders>
            <w:vAlign w:val="center"/>
          </w:tcPr>
          <w:p w14:paraId="140C51C4">
            <w:pPr>
              <w:pStyle w:val="178"/>
              <w:rPr>
                <w:b/>
                <w:bCs/>
              </w:rPr>
            </w:pPr>
          </w:p>
        </w:tc>
        <w:tc>
          <w:tcPr>
            <w:tcW w:w="1036" w:type="dxa"/>
            <w:tcBorders>
              <w:top w:val="single" w:color="auto" w:sz="8" w:space="0"/>
              <w:left w:val="single" w:color="auto" w:sz="4" w:space="0"/>
              <w:bottom w:val="single" w:color="auto" w:sz="8" w:space="0"/>
              <w:right w:val="single" w:color="auto" w:sz="4" w:space="0"/>
            </w:tcBorders>
            <w:vAlign w:val="center"/>
          </w:tcPr>
          <w:p w14:paraId="37A9957C">
            <w:pPr>
              <w:pStyle w:val="178"/>
              <w:rPr>
                <w:b/>
                <w:bCs/>
              </w:rPr>
            </w:pPr>
            <w:r>
              <w:rPr>
                <w:rFonts w:hint="eastAsia" w:hAnsi="宋体"/>
                <w:b/>
                <w:bCs/>
              </w:rPr>
              <w:t>品种</w:t>
            </w:r>
          </w:p>
        </w:tc>
        <w:tc>
          <w:tcPr>
            <w:tcW w:w="2072" w:type="dxa"/>
            <w:gridSpan w:val="2"/>
            <w:tcBorders>
              <w:top w:val="single" w:color="auto" w:sz="8" w:space="0"/>
              <w:left w:val="single" w:color="auto" w:sz="4" w:space="0"/>
              <w:bottom w:val="single" w:color="auto" w:sz="8" w:space="0"/>
              <w:right w:val="single" w:color="auto" w:sz="8" w:space="0"/>
            </w:tcBorders>
            <w:vAlign w:val="center"/>
          </w:tcPr>
          <w:p w14:paraId="7FD8823F">
            <w:pPr>
              <w:pStyle w:val="178"/>
              <w:rPr>
                <w:b/>
                <w:bCs/>
              </w:rPr>
            </w:pPr>
          </w:p>
        </w:tc>
      </w:tr>
      <w:tr w14:paraId="11E7524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36" w:type="dxa"/>
            <w:tcBorders>
              <w:top w:val="single" w:color="auto" w:sz="8" w:space="0"/>
              <w:left w:val="single" w:color="auto" w:sz="8" w:space="0"/>
              <w:bottom w:val="single" w:color="auto" w:sz="4" w:space="0"/>
              <w:right w:val="single" w:color="auto" w:sz="4" w:space="0"/>
            </w:tcBorders>
            <w:vAlign w:val="center"/>
          </w:tcPr>
          <w:p w14:paraId="7C65D500">
            <w:pPr>
              <w:pStyle w:val="178"/>
            </w:pPr>
            <w:r>
              <w:rPr>
                <w:rFonts w:hint="eastAsia" w:hAnsi="宋体"/>
              </w:rPr>
              <w:t>序号</w:t>
            </w:r>
          </w:p>
        </w:tc>
        <w:tc>
          <w:tcPr>
            <w:tcW w:w="1036" w:type="dxa"/>
            <w:tcBorders>
              <w:top w:val="single" w:color="auto" w:sz="8" w:space="0"/>
              <w:left w:val="single" w:color="auto" w:sz="4" w:space="0"/>
              <w:bottom w:val="single" w:color="auto" w:sz="4" w:space="0"/>
              <w:right w:val="single" w:color="auto" w:sz="4" w:space="0"/>
            </w:tcBorders>
            <w:vAlign w:val="center"/>
          </w:tcPr>
          <w:p w14:paraId="69A95E21">
            <w:pPr>
              <w:pStyle w:val="178"/>
            </w:pPr>
            <w:r>
              <w:rPr>
                <w:rFonts w:hint="eastAsia" w:hAnsi="宋体"/>
              </w:rPr>
              <w:t>使用日期（月、日）</w:t>
            </w:r>
          </w:p>
        </w:tc>
        <w:tc>
          <w:tcPr>
            <w:tcW w:w="1036" w:type="dxa"/>
            <w:tcBorders>
              <w:top w:val="single" w:color="auto" w:sz="8" w:space="0"/>
              <w:left w:val="single" w:color="auto" w:sz="4" w:space="0"/>
              <w:bottom w:val="single" w:color="auto" w:sz="4" w:space="0"/>
              <w:right w:val="single" w:color="auto" w:sz="4" w:space="0"/>
            </w:tcBorders>
            <w:vAlign w:val="center"/>
          </w:tcPr>
          <w:p w14:paraId="218CFF04">
            <w:pPr>
              <w:pStyle w:val="178"/>
            </w:pPr>
            <w:r>
              <w:rPr>
                <w:rFonts w:hint="eastAsia" w:hAnsi="宋体"/>
              </w:rPr>
              <w:t>品名</w:t>
            </w:r>
          </w:p>
        </w:tc>
        <w:tc>
          <w:tcPr>
            <w:tcW w:w="1277" w:type="dxa"/>
            <w:tcBorders>
              <w:top w:val="single" w:color="auto" w:sz="8" w:space="0"/>
              <w:left w:val="single" w:color="auto" w:sz="4" w:space="0"/>
              <w:bottom w:val="single" w:color="auto" w:sz="4" w:space="0"/>
              <w:right w:val="single" w:color="auto" w:sz="4" w:space="0"/>
            </w:tcBorders>
            <w:vAlign w:val="center"/>
          </w:tcPr>
          <w:p w14:paraId="39200CED">
            <w:pPr>
              <w:pStyle w:val="178"/>
            </w:pPr>
            <w:r>
              <w:rPr>
                <w:rFonts w:hint="eastAsia" w:hAnsi="宋体"/>
              </w:rPr>
              <w:t>剂型</w:t>
            </w:r>
          </w:p>
        </w:tc>
        <w:tc>
          <w:tcPr>
            <w:tcW w:w="992" w:type="dxa"/>
            <w:tcBorders>
              <w:top w:val="single" w:color="auto" w:sz="8" w:space="0"/>
              <w:left w:val="single" w:color="auto" w:sz="4" w:space="0"/>
              <w:bottom w:val="single" w:color="auto" w:sz="4" w:space="0"/>
              <w:right w:val="single" w:color="auto" w:sz="4" w:space="0"/>
            </w:tcBorders>
            <w:vAlign w:val="center"/>
          </w:tcPr>
          <w:p w14:paraId="1D9CBD16">
            <w:pPr>
              <w:pStyle w:val="178"/>
            </w:pPr>
            <w:r>
              <w:rPr>
                <w:rFonts w:hint="eastAsia" w:hAnsi="宋体"/>
              </w:rPr>
              <w:t>生产厂家</w:t>
            </w:r>
          </w:p>
        </w:tc>
        <w:tc>
          <w:tcPr>
            <w:tcW w:w="839" w:type="dxa"/>
            <w:tcBorders>
              <w:top w:val="single" w:color="auto" w:sz="8" w:space="0"/>
              <w:left w:val="single" w:color="auto" w:sz="4" w:space="0"/>
              <w:bottom w:val="single" w:color="auto" w:sz="4" w:space="0"/>
              <w:right w:val="single" w:color="auto" w:sz="4" w:space="0"/>
            </w:tcBorders>
            <w:vAlign w:val="center"/>
          </w:tcPr>
          <w:p w14:paraId="210EB86E">
            <w:pPr>
              <w:pStyle w:val="178"/>
            </w:pPr>
            <w:r>
              <w:rPr>
                <w:rFonts w:hint="eastAsia" w:hAnsi="宋体"/>
              </w:rPr>
              <w:t>用量</w:t>
            </w:r>
          </w:p>
        </w:tc>
        <w:tc>
          <w:tcPr>
            <w:tcW w:w="1036" w:type="dxa"/>
            <w:tcBorders>
              <w:top w:val="single" w:color="auto" w:sz="8" w:space="0"/>
              <w:left w:val="single" w:color="auto" w:sz="4" w:space="0"/>
              <w:bottom w:val="single" w:color="auto" w:sz="4" w:space="0"/>
              <w:right w:val="single" w:color="auto" w:sz="4" w:space="0"/>
            </w:tcBorders>
            <w:vAlign w:val="center"/>
          </w:tcPr>
          <w:p w14:paraId="4CC619B8">
            <w:pPr>
              <w:pStyle w:val="178"/>
            </w:pPr>
            <w:r>
              <w:rPr>
                <w:rFonts w:hint="eastAsia" w:hAnsi="宋体"/>
              </w:rPr>
              <w:t>施用方法</w:t>
            </w:r>
          </w:p>
        </w:tc>
        <w:tc>
          <w:tcPr>
            <w:tcW w:w="1036" w:type="dxa"/>
            <w:tcBorders>
              <w:top w:val="single" w:color="auto" w:sz="8" w:space="0"/>
              <w:left w:val="single" w:color="auto" w:sz="4" w:space="0"/>
              <w:bottom w:val="single" w:color="auto" w:sz="4" w:space="0"/>
              <w:right w:val="single" w:color="auto" w:sz="4" w:space="0"/>
            </w:tcBorders>
            <w:vAlign w:val="center"/>
          </w:tcPr>
          <w:p w14:paraId="66D585CD">
            <w:pPr>
              <w:pStyle w:val="178"/>
            </w:pPr>
            <w:r>
              <w:rPr>
                <w:rFonts w:hint="eastAsia" w:hAnsi="宋体"/>
              </w:rPr>
              <w:t>效果</w:t>
            </w:r>
          </w:p>
        </w:tc>
        <w:tc>
          <w:tcPr>
            <w:tcW w:w="1036" w:type="dxa"/>
            <w:tcBorders>
              <w:top w:val="single" w:color="auto" w:sz="8" w:space="0"/>
              <w:left w:val="single" w:color="auto" w:sz="4" w:space="0"/>
              <w:bottom w:val="single" w:color="auto" w:sz="4" w:space="0"/>
              <w:right w:val="single" w:color="auto" w:sz="8" w:space="0"/>
            </w:tcBorders>
            <w:vAlign w:val="center"/>
          </w:tcPr>
          <w:p w14:paraId="287B0123">
            <w:pPr>
              <w:pStyle w:val="178"/>
            </w:pPr>
            <w:r>
              <w:rPr>
                <w:rFonts w:hint="eastAsia" w:hAnsi="宋体"/>
              </w:rPr>
              <w:t>记载人</w:t>
            </w:r>
          </w:p>
        </w:tc>
      </w:tr>
      <w:tr w14:paraId="458C41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36" w:type="dxa"/>
            <w:tcBorders>
              <w:top w:val="single" w:color="auto" w:sz="4" w:space="0"/>
              <w:left w:val="single" w:color="auto" w:sz="8" w:space="0"/>
              <w:bottom w:val="single" w:color="auto" w:sz="4" w:space="0"/>
              <w:right w:val="single" w:color="auto" w:sz="4" w:space="0"/>
            </w:tcBorders>
            <w:vAlign w:val="center"/>
          </w:tcPr>
          <w:p w14:paraId="724BB72B">
            <w:pPr>
              <w:pStyle w:val="178"/>
            </w:pPr>
            <w:r>
              <w:rPr>
                <w:rFonts w:hint="eastAsia" w:hAnsi="宋体"/>
              </w:rPr>
              <w:t>1</w:t>
            </w:r>
          </w:p>
        </w:tc>
        <w:tc>
          <w:tcPr>
            <w:tcW w:w="1036" w:type="dxa"/>
            <w:tcBorders>
              <w:top w:val="single" w:color="auto" w:sz="4" w:space="0"/>
              <w:left w:val="single" w:color="auto" w:sz="4" w:space="0"/>
              <w:bottom w:val="single" w:color="auto" w:sz="4" w:space="0"/>
              <w:right w:val="single" w:color="auto" w:sz="4" w:space="0"/>
            </w:tcBorders>
            <w:vAlign w:val="center"/>
          </w:tcPr>
          <w:p w14:paraId="5DBEDCDD">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7E2BE804">
            <w:pPr>
              <w:pStyle w:val="178"/>
            </w:pPr>
          </w:p>
        </w:tc>
        <w:tc>
          <w:tcPr>
            <w:tcW w:w="1277" w:type="dxa"/>
            <w:tcBorders>
              <w:top w:val="single" w:color="auto" w:sz="4" w:space="0"/>
              <w:left w:val="single" w:color="auto" w:sz="4" w:space="0"/>
              <w:bottom w:val="single" w:color="auto" w:sz="4" w:space="0"/>
              <w:right w:val="single" w:color="auto" w:sz="4" w:space="0"/>
            </w:tcBorders>
            <w:vAlign w:val="center"/>
          </w:tcPr>
          <w:p w14:paraId="7570EA92">
            <w:pPr>
              <w:pStyle w:val="178"/>
            </w:pPr>
          </w:p>
        </w:tc>
        <w:tc>
          <w:tcPr>
            <w:tcW w:w="992" w:type="dxa"/>
            <w:tcBorders>
              <w:top w:val="single" w:color="auto" w:sz="4" w:space="0"/>
              <w:left w:val="single" w:color="auto" w:sz="4" w:space="0"/>
              <w:bottom w:val="single" w:color="auto" w:sz="4" w:space="0"/>
              <w:right w:val="single" w:color="auto" w:sz="4" w:space="0"/>
            </w:tcBorders>
            <w:vAlign w:val="center"/>
          </w:tcPr>
          <w:p w14:paraId="07E3CC78">
            <w:pPr>
              <w:pStyle w:val="178"/>
            </w:pPr>
          </w:p>
        </w:tc>
        <w:tc>
          <w:tcPr>
            <w:tcW w:w="839" w:type="dxa"/>
            <w:tcBorders>
              <w:top w:val="single" w:color="auto" w:sz="4" w:space="0"/>
              <w:left w:val="single" w:color="auto" w:sz="4" w:space="0"/>
              <w:bottom w:val="single" w:color="auto" w:sz="4" w:space="0"/>
              <w:right w:val="single" w:color="auto" w:sz="4" w:space="0"/>
            </w:tcBorders>
            <w:vAlign w:val="center"/>
          </w:tcPr>
          <w:p w14:paraId="4927BA96">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142DDFAA">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3EEA4810">
            <w:pPr>
              <w:pStyle w:val="178"/>
            </w:pPr>
          </w:p>
        </w:tc>
        <w:tc>
          <w:tcPr>
            <w:tcW w:w="1036" w:type="dxa"/>
            <w:tcBorders>
              <w:top w:val="single" w:color="auto" w:sz="4" w:space="0"/>
              <w:left w:val="single" w:color="auto" w:sz="4" w:space="0"/>
              <w:bottom w:val="single" w:color="auto" w:sz="4" w:space="0"/>
              <w:right w:val="single" w:color="auto" w:sz="8" w:space="0"/>
            </w:tcBorders>
            <w:vAlign w:val="center"/>
          </w:tcPr>
          <w:p w14:paraId="3CDB5658">
            <w:pPr>
              <w:pStyle w:val="178"/>
            </w:pPr>
          </w:p>
        </w:tc>
      </w:tr>
      <w:tr w14:paraId="2D97A3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36" w:type="dxa"/>
            <w:tcBorders>
              <w:top w:val="single" w:color="auto" w:sz="4" w:space="0"/>
              <w:left w:val="single" w:color="auto" w:sz="8" w:space="0"/>
              <w:bottom w:val="single" w:color="auto" w:sz="4" w:space="0"/>
              <w:right w:val="single" w:color="auto" w:sz="4" w:space="0"/>
            </w:tcBorders>
            <w:vAlign w:val="center"/>
          </w:tcPr>
          <w:p w14:paraId="30AEAD41">
            <w:pPr>
              <w:pStyle w:val="178"/>
            </w:pPr>
            <w:r>
              <w:rPr>
                <w:rFonts w:hint="eastAsia" w:hAnsi="宋体"/>
              </w:rPr>
              <w:t>2</w:t>
            </w:r>
          </w:p>
        </w:tc>
        <w:tc>
          <w:tcPr>
            <w:tcW w:w="1036" w:type="dxa"/>
            <w:tcBorders>
              <w:top w:val="single" w:color="auto" w:sz="4" w:space="0"/>
              <w:left w:val="single" w:color="auto" w:sz="4" w:space="0"/>
              <w:bottom w:val="single" w:color="auto" w:sz="4" w:space="0"/>
              <w:right w:val="single" w:color="auto" w:sz="4" w:space="0"/>
            </w:tcBorders>
            <w:vAlign w:val="center"/>
          </w:tcPr>
          <w:p w14:paraId="38395B06">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0B65C8CE">
            <w:pPr>
              <w:pStyle w:val="178"/>
            </w:pPr>
          </w:p>
        </w:tc>
        <w:tc>
          <w:tcPr>
            <w:tcW w:w="1277" w:type="dxa"/>
            <w:tcBorders>
              <w:top w:val="single" w:color="auto" w:sz="4" w:space="0"/>
              <w:left w:val="single" w:color="auto" w:sz="4" w:space="0"/>
              <w:bottom w:val="single" w:color="auto" w:sz="4" w:space="0"/>
              <w:right w:val="single" w:color="auto" w:sz="4" w:space="0"/>
            </w:tcBorders>
            <w:vAlign w:val="center"/>
          </w:tcPr>
          <w:p w14:paraId="5AD52F39">
            <w:pPr>
              <w:pStyle w:val="178"/>
            </w:pPr>
          </w:p>
        </w:tc>
        <w:tc>
          <w:tcPr>
            <w:tcW w:w="992" w:type="dxa"/>
            <w:tcBorders>
              <w:top w:val="single" w:color="auto" w:sz="4" w:space="0"/>
              <w:left w:val="single" w:color="auto" w:sz="4" w:space="0"/>
              <w:bottom w:val="single" w:color="auto" w:sz="4" w:space="0"/>
              <w:right w:val="single" w:color="auto" w:sz="4" w:space="0"/>
            </w:tcBorders>
            <w:vAlign w:val="center"/>
          </w:tcPr>
          <w:p w14:paraId="3F8173E0">
            <w:pPr>
              <w:pStyle w:val="178"/>
            </w:pPr>
          </w:p>
        </w:tc>
        <w:tc>
          <w:tcPr>
            <w:tcW w:w="839" w:type="dxa"/>
            <w:tcBorders>
              <w:top w:val="single" w:color="auto" w:sz="4" w:space="0"/>
              <w:left w:val="single" w:color="auto" w:sz="4" w:space="0"/>
              <w:bottom w:val="single" w:color="auto" w:sz="4" w:space="0"/>
              <w:right w:val="single" w:color="auto" w:sz="4" w:space="0"/>
            </w:tcBorders>
            <w:vAlign w:val="center"/>
          </w:tcPr>
          <w:p w14:paraId="64472DDE">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19B78128">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2FE29766">
            <w:pPr>
              <w:pStyle w:val="178"/>
            </w:pPr>
          </w:p>
        </w:tc>
        <w:tc>
          <w:tcPr>
            <w:tcW w:w="1036" w:type="dxa"/>
            <w:tcBorders>
              <w:top w:val="single" w:color="auto" w:sz="4" w:space="0"/>
              <w:left w:val="single" w:color="auto" w:sz="4" w:space="0"/>
              <w:bottom w:val="single" w:color="auto" w:sz="4" w:space="0"/>
              <w:right w:val="single" w:color="auto" w:sz="8" w:space="0"/>
            </w:tcBorders>
            <w:vAlign w:val="center"/>
          </w:tcPr>
          <w:p w14:paraId="22D702EA">
            <w:pPr>
              <w:pStyle w:val="178"/>
            </w:pPr>
          </w:p>
        </w:tc>
      </w:tr>
      <w:tr w14:paraId="6B247F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036" w:type="dxa"/>
            <w:tcBorders>
              <w:top w:val="single" w:color="auto" w:sz="4" w:space="0"/>
              <w:left w:val="single" w:color="auto" w:sz="8" w:space="0"/>
              <w:bottom w:val="single" w:color="auto" w:sz="4" w:space="0"/>
              <w:right w:val="single" w:color="auto" w:sz="4" w:space="0"/>
            </w:tcBorders>
            <w:vAlign w:val="center"/>
          </w:tcPr>
          <w:p w14:paraId="2D5CAD5A">
            <w:pPr>
              <w:pStyle w:val="178"/>
            </w:pPr>
            <w:r>
              <w:rPr>
                <w:rFonts w:hint="eastAsia" w:hAnsi="宋体"/>
              </w:rPr>
              <w:t>…</w:t>
            </w:r>
          </w:p>
        </w:tc>
        <w:tc>
          <w:tcPr>
            <w:tcW w:w="1036" w:type="dxa"/>
            <w:tcBorders>
              <w:top w:val="single" w:color="auto" w:sz="4" w:space="0"/>
              <w:left w:val="single" w:color="auto" w:sz="4" w:space="0"/>
              <w:bottom w:val="single" w:color="auto" w:sz="4" w:space="0"/>
              <w:right w:val="single" w:color="auto" w:sz="4" w:space="0"/>
            </w:tcBorders>
            <w:vAlign w:val="center"/>
          </w:tcPr>
          <w:p w14:paraId="577316A8">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75391760">
            <w:pPr>
              <w:pStyle w:val="178"/>
            </w:pPr>
          </w:p>
        </w:tc>
        <w:tc>
          <w:tcPr>
            <w:tcW w:w="1277" w:type="dxa"/>
            <w:tcBorders>
              <w:top w:val="single" w:color="auto" w:sz="4" w:space="0"/>
              <w:left w:val="single" w:color="auto" w:sz="4" w:space="0"/>
              <w:bottom w:val="single" w:color="auto" w:sz="4" w:space="0"/>
              <w:right w:val="single" w:color="auto" w:sz="4" w:space="0"/>
            </w:tcBorders>
            <w:vAlign w:val="center"/>
          </w:tcPr>
          <w:p w14:paraId="2A42B0BE">
            <w:pPr>
              <w:pStyle w:val="178"/>
            </w:pPr>
          </w:p>
        </w:tc>
        <w:tc>
          <w:tcPr>
            <w:tcW w:w="992" w:type="dxa"/>
            <w:tcBorders>
              <w:top w:val="single" w:color="auto" w:sz="4" w:space="0"/>
              <w:left w:val="single" w:color="auto" w:sz="4" w:space="0"/>
              <w:bottom w:val="single" w:color="auto" w:sz="4" w:space="0"/>
              <w:right w:val="single" w:color="auto" w:sz="4" w:space="0"/>
            </w:tcBorders>
            <w:vAlign w:val="center"/>
          </w:tcPr>
          <w:p w14:paraId="5B832E08">
            <w:pPr>
              <w:pStyle w:val="178"/>
            </w:pPr>
          </w:p>
        </w:tc>
        <w:tc>
          <w:tcPr>
            <w:tcW w:w="839" w:type="dxa"/>
            <w:tcBorders>
              <w:top w:val="single" w:color="auto" w:sz="4" w:space="0"/>
              <w:left w:val="single" w:color="auto" w:sz="4" w:space="0"/>
              <w:bottom w:val="single" w:color="auto" w:sz="4" w:space="0"/>
              <w:right w:val="single" w:color="auto" w:sz="4" w:space="0"/>
            </w:tcBorders>
            <w:vAlign w:val="center"/>
          </w:tcPr>
          <w:p w14:paraId="5289CDE9">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0BAD37CB">
            <w:pPr>
              <w:pStyle w:val="178"/>
            </w:pPr>
          </w:p>
        </w:tc>
        <w:tc>
          <w:tcPr>
            <w:tcW w:w="1036" w:type="dxa"/>
            <w:tcBorders>
              <w:top w:val="single" w:color="auto" w:sz="4" w:space="0"/>
              <w:left w:val="single" w:color="auto" w:sz="4" w:space="0"/>
              <w:bottom w:val="single" w:color="auto" w:sz="4" w:space="0"/>
              <w:right w:val="single" w:color="auto" w:sz="4" w:space="0"/>
            </w:tcBorders>
            <w:vAlign w:val="center"/>
          </w:tcPr>
          <w:p w14:paraId="0F42198D">
            <w:pPr>
              <w:pStyle w:val="178"/>
            </w:pPr>
          </w:p>
        </w:tc>
        <w:tc>
          <w:tcPr>
            <w:tcW w:w="1036" w:type="dxa"/>
            <w:tcBorders>
              <w:top w:val="single" w:color="auto" w:sz="4" w:space="0"/>
              <w:left w:val="single" w:color="auto" w:sz="4" w:space="0"/>
              <w:bottom w:val="single" w:color="auto" w:sz="4" w:space="0"/>
              <w:right w:val="single" w:color="auto" w:sz="8" w:space="0"/>
            </w:tcBorders>
            <w:vAlign w:val="center"/>
          </w:tcPr>
          <w:p w14:paraId="75DAEF8A">
            <w:pPr>
              <w:pStyle w:val="178"/>
            </w:pPr>
          </w:p>
        </w:tc>
      </w:tr>
      <w:tr w14:paraId="48F89D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9324" w:type="dxa"/>
            <w:gridSpan w:val="9"/>
            <w:tcBorders>
              <w:top w:val="single" w:color="auto" w:sz="4" w:space="0"/>
              <w:left w:val="single" w:color="auto" w:sz="8" w:space="0"/>
              <w:bottom w:val="single" w:color="auto" w:sz="8" w:space="0"/>
              <w:right w:val="single" w:color="auto" w:sz="8" w:space="0"/>
            </w:tcBorders>
            <w:vAlign w:val="center"/>
          </w:tcPr>
          <w:p w14:paraId="724074E3">
            <w:r>
              <w:rPr>
                <w:rFonts w:hint="eastAsia" w:ascii="宋体" w:hAnsi="宋体"/>
              </w:rPr>
              <w:t>注</w:t>
            </w:r>
            <w:r>
              <w:rPr>
                <w:rFonts w:hint="eastAsia" w:cs="Calibri"/>
              </w:rPr>
              <w:t>1</w:t>
            </w:r>
            <w:r>
              <w:rPr>
                <w:rFonts w:hint="eastAsia" w:ascii="宋体" w:hAnsi="宋体"/>
              </w:rPr>
              <w:t>：根据投入品使用顺序逐项记载。</w:t>
            </w:r>
          </w:p>
          <w:p w14:paraId="2DD113FD">
            <w:r>
              <w:rPr>
                <w:rFonts w:hint="eastAsia" w:ascii="宋体" w:hAnsi="宋体"/>
              </w:rPr>
              <w:t>注</w:t>
            </w:r>
            <w:r>
              <w:rPr>
                <w:rFonts w:hint="eastAsia" w:cs="Calibri"/>
              </w:rPr>
              <w:t>2</w:t>
            </w:r>
            <w:r>
              <w:rPr>
                <w:rFonts w:hint="eastAsia" w:ascii="宋体" w:hAnsi="宋体"/>
              </w:rPr>
              <w:t>：用量为每</w:t>
            </w:r>
            <w:r>
              <w:rPr>
                <w:rFonts w:hint="eastAsia" w:cs="Calibri"/>
              </w:rPr>
              <w:t>667</w:t>
            </w:r>
            <w:r>
              <w:t xml:space="preserve"> </w:t>
            </w:r>
            <w:r>
              <w:rPr>
                <w:rFonts w:hint="eastAsia" w:cs="Calibri"/>
              </w:rPr>
              <w:t>m</w:t>
            </w:r>
            <w:r>
              <w:rPr>
                <w:rFonts w:hint="eastAsia" w:cs="Calibri"/>
                <w:vertAlign w:val="superscript"/>
              </w:rPr>
              <w:t>2</w:t>
            </w:r>
            <w:r>
              <w:rPr>
                <w:rFonts w:hint="eastAsia" w:ascii="宋体" w:hAnsi="宋体"/>
              </w:rPr>
              <w:t>用量，化肥计量单位用</w:t>
            </w:r>
            <w:r>
              <w:rPr>
                <w:rFonts w:hint="eastAsia" w:cs="Calibri"/>
              </w:rPr>
              <w:t>kg</w:t>
            </w:r>
            <w:r>
              <w:rPr>
                <w:rFonts w:hint="eastAsia" w:ascii="宋体" w:hAnsi="宋体"/>
              </w:rPr>
              <w:t>，农药计量单位</w:t>
            </w:r>
            <w:r>
              <w:rPr>
                <w:rFonts w:hint="eastAsia" w:cs="Calibri"/>
              </w:rPr>
              <w:t>ml</w:t>
            </w:r>
            <w:r>
              <w:rPr>
                <w:rFonts w:hint="eastAsia" w:ascii="宋体" w:hAnsi="宋体"/>
              </w:rPr>
              <w:t>或</w:t>
            </w:r>
            <w:r>
              <w:rPr>
                <w:rFonts w:hint="eastAsia" w:cs="Calibri"/>
              </w:rPr>
              <w:t>g</w:t>
            </w:r>
            <w:r>
              <w:rPr>
                <w:rFonts w:hint="eastAsia" w:ascii="宋体" w:hAnsi="宋体"/>
              </w:rPr>
              <w:t>。</w:t>
            </w:r>
          </w:p>
        </w:tc>
      </w:tr>
    </w:tbl>
    <w:p w14:paraId="0BF990DF">
      <w:pPr>
        <w:pStyle w:val="56"/>
        <w:ind w:firstLine="0" w:firstLineChars="0"/>
        <w:jc w:val="center"/>
        <w:rPr>
          <w:rFonts w:hint="eastAsia"/>
          <w:szCs w:val="21"/>
        </w:rPr>
      </w:pPr>
      <w:r>
        <w:rPr>
          <w:rFonts w:hint="eastAsia"/>
        </w:rPr>
        <w:drawing>
          <wp:inline distT="0" distB="0" distL="0" distR="0">
            <wp:extent cx="1485265" cy="317500"/>
            <wp:effectExtent l="0" t="0" r="635" b="6350"/>
            <wp:docPr id="4878263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826372" name="图片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1485265" cy="317500"/>
                    </a:xfrm>
                    <a:prstGeom prst="rect">
                      <a:avLst/>
                    </a:prstGeom>
                    <a:noFill/>
                    <a:ln>
                      <a:noFill/>
                    </a:ln>
                  </pic:spPr>
                </pic:pic>
              </a:graphicData>
            </a:graphic>
          </wp:inline>
        </w:drawing>
      </w:r>
      <w:r>
        <w:rPr>
          <w:rFonts w:hint="eastAsia"/>
        </w:rPr>
        <w:t xml:space="preserve"> </w:t>
      </w:r>
      <w:bookmarkStart w:id="145" w:name="_GoBack"/>
      <w:bookmarkEnd w:id="145"/>
    </w:p>
    <w:sectPr>
      <w:pgSz w:w="11906" w:h="16838"/>
      <w:pgMar w:top="1928" w:right="1134" w:bottom="1134" w:left="1134" w:header="1418" w:footer="1134" w:gutter="284"/>
      <w:pgNumType w:start="1"/>
      <w:cols w:space="425" w:num="1"/>
      <w:formProt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9347E7">
    <w:pPr>
      <w:pStyle w:val="1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3F0BE">
    <w:pPr>
      <w:pStyle w:val="17"/>
    </w:pPr>
    <w:r>
      <w:fldChar w:fldCharType="begin"/>
    </w:r>
    <w:r>
      <w:instrText xml:space="preserve">PAGE   \* MERGEFORMAT</w:instrText>
    </w:r>
    <w:r>
      <w:fldChar w:fldCharType="separate"/>
    </w:r>
    <w:r>
      <w:rPr>
        <w:lang w:val="zh-CN"/>
      </w:rPr>
      <w:t>2</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9376A">
    <w:pPr>
      <w:pStyle w:val="17"/>
      <w:ind w:right="720"/>
      <w:jc w:val="both"/>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21C0F">
    <w:pPr>
      <w:pStyle w:val="52"/>
    </w:pPr>
    <w:r>
      <w:fldChar w:fldCharType="begin"/>
    </w:r>
    <w:r>
      <w:instrText xml:space="preserve">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3D249">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3F977D">
    <w:pPr>
      <w:pStyle w:val="1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C60CA">
    <w:pPr>
      <w:pStyle w:val="18"/>
      <w:jc w:val="both"/>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C4AEA6">
    <w:pPr>
      <w:pStyle w:val="61"/>
    </w:pPr>
    <w:r>
      <w:fldChar w:fldCharType="begin"/>
    </w:r>
    <w:r>
      <w:instrText xml:space="preserve"> STYLEREF  标准文件_文件编号  \* MERGEFORMAT </w:instrText>
    </w:r>
    <w:r>
      <w:fldChar w:fldCharType="separate"/>
    </w:r>
    <w:r>
      <w:t>DB XX/T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B8E84">
    <w:pPr>
      <w:pStyle w:val="18"/>
      <w:jc w:val="right"/>
      <w:rPr>
        <w:lang w:val="fr-FR"/>
      </w:rPr>
    </w:pPr>
    <w:r>
      <w:fldChar w:fldCharType="begin"/>
    </w:r>
    <w:r>
      <w:rPr>
        <w:lang w:val="fr-FR"/>
      </w:rPr>
      <w:instrText xml:space="preserve"> STYLEREF  </w:instrText>
    </w:r>
    <w:r>
      <w:instrText xml:space="preserve">标准文件</w:instrText>
    </w:r>
    <w:r>
      <w:rPr>
        <w:lang w:val="fr-FR"/>
      </w:rPr>
      <w:instrText xml:space="preserve">_</w:instrText>
    </w:r>
    <w:r>
      <w:instrText xml:space="preserve">文件编号</w:instrText>
    </w:r>
    <w:r>
      <w:rPr>
        <w:lang w:val="fr-FR"/>
      </w:rPr>
      <w:instrText xml:space="preserve">  \* MERGEFORMAT </w:instrText>
    </w:r>
    <w:r>
      <w:fldChar w:fldCharType="separate"/>
    </w:r>
    <w:r>
      <w:rPr>
        <w:lang w:val="fr-FR"/>
      </w:rPr>
      <w:t>DB XX/T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3">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4">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5">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6">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7">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8">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9">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0">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1">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2">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3">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4">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5">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6">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7">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0">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1">
    <w:nsid w:val="7DCF314C"/>
    <w:multiLevelType w:val="multilevel"/>
    <w:tmpl w:val="7DCF314C"/>
    <w:lvl w:ilvl="0" w:tentative="0">
      <w:start w:val="1"/>
      <w:numFmt w:val="upperLetter"/>
      <w:suff w:val="nothing"/>
      <w:lvlText w:val="附录%1"/>
      <w:lvlJc w:val="left"/>
      <w:pPr>
        <w:ind w:left="5104" w:firstLine="0"/>
      </w:pPr>
      <w:rPr>
        <w:rFonts w:hint="eastAsia" w:ascii="宋体" w:hAnsi="宋体" w:eastAsia="宋体"/>
        <w:spacing w:val="100"/>
      </w:rPr>
    </w:lvl>
    <w:lvl w:ilvl="1" w:tentative="0">
      <w:start w:val="1"/>
      <w:numFmt w:val="decimal"/>
      <w:suff w:val="nothing"/>
      <w:lvlText w:val="%1.%2　"/>
      <w:lvlJc w:val="left"/>
      <w:pPr>
        <w:ind w:left="0" w:firstLine="0"/>
      </w:pPr>
      <w:rPr>
        <w:rFonts w:hint="eastAsia" w:ascii="黑体" w:hAnsi="黑体" w:eastAsia="黑体"/>
        <w:b w:val="0"/>
        <w:i w:val="0"/>
        <w:sz w:val="21"/>
        <w:szCs w:val="21"/>
      </w:rPr>
    </w:lvl>
    <w:lvl w:ilvl="2" w:tentative="0">
      <w:start w:val="1"/>
      <w:numFmt w:val="decimal"/>
      <w:suff w:val="nothing"/>
      <w:lvlText w:val="%1.%2.%3　"/>
      <w:lvlJc w:val="left"/>
      <w:pPr>
        <w:ind w:left="0" w:firstLine="0"/>
      </w:pPr>
      <w:rPr>
        <w:rFonts w:hint="eastAsia" w:ascii="黑体" w:hAnsi="黑体" w:eastAsia="黑体"/>
        <w:b w:val="0"/>
        <w:i w:val="0"/>
        <w:sz w:val="21"/>
        <w:szCs w:val="21"/>
      </w:rPr>
    </w:lvl>
    <w:lvl w:ilvl="3" w:tentative="0">
      <w:start w:val="1"/>
      <w:numFmt w:val="decimal"/>
      <w:suff w:val="nothing"/>
      <w:lvlText w:val="%1.%2.%3.%4　"/>
      <w:lvlJc w:val="left"/>
      <w:pPr>
        <w:ind w:left="0" w:firstLine="0"/>
      </w:pPr>
      <w:rPr>
        <w:rFonts w:hint="eastAsia" w:ascii="黑体" w:hAnsi="黑体" w:eastAsia="黑体"/>
        <w:b w:val="0"/>
        <w:i w:val="0"/>
        <w:sz w:val="21"/>
        <w:szCs w:val="21"/>
      </w:rPr>
    </w:lvl>
    <w:lvl w:ilvl="4" w:tentative="0">
      <w:start w:val="1"/>
      <w:numFmt w:val="decimal"/>
      <w:suff w:val="nothing"/>
      <w:lvlText w:val="%1.%2.%3.%4.%5　"/>
      <w:lvlJc w:val="left"/>
      <w:pPr>
        <w:ind w:left="0" w:firstLine="0"/>
      </w:pPr>
      <w:rPr>
        <w:rFonts w:hint="eastAsia" w:ascii="黑体" w:hAnsi="黑体" w:eastAsia="黑体"/>
        <w:b w:val="0"/>
        <w:i w:val="0"/>
        <w:sz w:val="21"/>
        <w:szCs w:val="21"/>
      </w:rPr>
    </w:lvl>
    <w:lvl w:ilvl="5" w:tentative="0">
      <w:start w:val="1"/>
      <w:numFmt w:val="decimal"/>
      <w:suff w:val="nothing"/>
      <w:lvlText w:val="%1.%2.%3.%4.%5.%6　"/>
      <w:lvlJc w:val="left"/>
      <w:pPr>
        <w:ind w:left="0" w:firstLine="0"/>
      </w:pPr>
      <w:rPr>
        <w:rFonts w:hint="eastAsia" w:ascii="黑体" w:hAnsi="黑体" w:eastAsia="黑体"/>
        <w:b w:val="0"/>
        <w:i w:val="0"/>
        <w:sz w:val="21"/>
        <w:szCs w:val="21"/>
      </w:rPr>
    </w:lvl>
    <w:lvl w:ilvl="6" w:tentative="0">
      <w:start w:val="1"/>
      <w:numFmt w:val="decimal"/>
      <w:suff w:val="nothing"/>
      <w:lvlText w:val="%1.%2.%3.%4.%5.%6.%7　"/>
      <w:lvlJc w:val="left"/>
      <w:pPr>
        <w:ind w:left="0" w:firstLine="0"/>
      </w:pPr>
      <w:rPr>
        <w:rFonts w:hint="eastAsia" w:ascii="宋体" w:hAnsi="宋体" w:eastAsia="宋体"/>
      </w:rPr>
    </w:lvl>
    <w:lvl w:ilvl="7" w:tentative="0">
      <w:start w:val="1"/>
      <w:numFmt w:val="decimal"/>
      <w:lvlText w:val="%1.%2.%3.%4.%5.%6.%7.%8"/>
      <w:lvlJc w:val="left"/>
      <w:pPr>
        <w:tabs>
          <w:tab w:val="left" w:pos="4394"/>
        </w:tabs>
        <w:ind w:left="4394" w:hanging="1418"/>
      </w:pPr>
      <w:rPr>
        <w:rFonts w:hint="eastAsia" w:ascii="宋体" w:hAnsi="宋体" w:eastAsia="宋体"/>
      </w:rPr>
    </w:lvl>
    <w:lvl w:ilvl="8" w:tentative="0">
      <w:start w:val="1"/>
      <w:numFmt w:val="decimal"/>
      <w:lvlText w:val="%1.%2.%3.%4.%5.%6.%7.%8.%9"/>
      <w:lvlJc w:val="left"/>
      <w:pPr>
        <w:tabs>
          <w:tab w:val="left" w:pos="5102"/>
        </w:tabs>
        <w:ind w:left="5102" w:hanging="1700"/>
      </w:pPr>
      <w:rPr>
        <w:rFonts w:hint="eastAsia" w:ascii="宋体" w:hAnsi="宋体" w:eastAsia="宋体"/>
      </w:rPr>
    </w:lvl>
  </w:abstractNum>
  <w:num w:numId="1">
    <w:abstractNumId w:val="0"/>
  </w:num>
  <w:num w:numId="2">
    <w:abstractNumId w:val="27"/>
  </w:num>
  <w:num w:numId="3">
    <w:abstractNumId w:val="5"/>
  </w:num>
  <w:num w:numId="4">
    <w:abstractNumId w:val="23"/>
  </w:num>
  <w:num w:numId="5">
    <w:abstractNumId w:val="18"/>
  </w:num>
  <w:num w:numId="6">
    <w:abstractNumId w:val="13"/>
  </w:num>
  <w:num w:numId="7">
    <w:abstractNumId w:val="8"/>
  </w:num>
  <w:num w:numId="8">
    <w:abstractNumId w:val="3"/>
  </w:num>
  <w:num w:numId="9">
    <w:abstractNumId w:val="9"/>
  </w:num>
  <w:num w:numId="10">
    <w:abstractNumId w:val="16"/>
  </w:num>
  <w:num w:numId="11">
    <w:abstractNumId w:val="25"/>
  </w:num>
  <w:num w:numId="12">
    <w:abstractNumId w:val="11"/>
  </w:num>
  <w:num w:numId="13">
    <w:abstractNumId w:val="12"/>
  </w:num>
  <w:num w:numId="14">
    <w:abstractNumId w:val="7"/>
  </w:num>
  <w:num w:numId="15">
    <w:abstractNumId w:val="19"/>
  </w:num>
  <w:num w:numId="16">
    <w:abstractNumId w:val="21"/>
  </w:num>
  <w:num w:numId="17">
    <w:abstractNumId w:val="17"/>
  </w:num>
  <w:num w:numId="18">
    <w:abstractNumId w:val="29"/>
  </w:num>
  <w:num w:numId="19">
    <w:abstractNumId w:val="15"/>
  </w:num>
  <w:num w:numId="20">
    <w:abstractNumId w:val="1"/>
  </w:num>
  <w:num w:numId="21">
    <w:abstractNumId w:val="10"/>
  </w:num>
  <w:num w:numId="22">
    <w:abstractNumId w:val="30"/>
  </w:num>
  <w:num w:numId="23">
    <w:abstractNumId w:val="20"/>
  </w:num>
  <w:num w:numId="24">
    <w:abstractNumId w:val="6"/>
  </w:num>
  <w:num w:numId="25">
    <w:abstractNumId w:val="26"/>
  </w:num>
  <w:num w:numId="26">
    <w:abstractNumId w:val="28"/>
  </w:num>
  <w:num w:numId="27">
    <w:abstractNumId w:val="2"/>
  </w:num>
  <w:num w:numId="28">
    <w:abstractNumId w:val="4"/>
  </w:num>
  <w:num w:numId="29">
    <w:abstractNumId w:val="14"/>
  </w:num>
  <w:num w:numId="30">
    <w:abstractNumId w:val="24"/>
  </w:num>
  <w:num w:numId="31">
    <w:abstractNumId w:val="22"/>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attachedTemplate r:id="rId1"/>
  <w:documentProtection w:edit="forms" w:enforcement="1" w:cryptProviderType="rsaAES" w:cryptAlgorithmClass="hash" w:cryptAlgorithmType="typeAny" w:cryptAlgorithmSid="14" w:cryptSpinCount="100000" w:hash="ldlujbnIDjkAlpBIUPXEbjlZxSyjjPilfoly1j6lWiLRKWiv/XIkItonO//LsGUlS6MYqvtTn/YWNbG+zKXGWA==" w:salt="sWfRFc1kJaoc5uwBSCO7ZQ=="/>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D9E"/>
    <w:rsid w:val="0000040A"/>
    <w:rsid w:val="00000A94"/>
    <w:rsid w:val="00001972"/>
    <w:rsid w:val="00001D9A"/>
    <w:rsid w:val="00007B3A"/>
    <w:rsid w:val="000107E0"/>
    <w:rsid w:val="00011FDE"/>
    <w:rsid w:val="00012FFD"/>
    <w:rsid w:val="00014162"/>
    <w:rsid w:val="00014340"/>
    <w:rsid w:val="00016A9C"/>
    <w:rsid w:val="00022184"/>
    <w:rsid w:val="00022762"/>
    <w:rsid w:val="000238E0"/>
    <w:rsid w:val="000249DB"/>
    <w:rsid w:val="0002595E"/>
    <w:rsid w:val="000303C3"/>
    <w:rsid w:val="000331D3"/>
    <w:rsid w:val="000346A5"/>
    <w:rsid w:val="000359C3"/>
    <w:rsid w:val="00035A7D"/>
    <w:rsid w:val="000365ED"/>
    <w:rsid w:val="0004249A"/>
    <w:rsid w:val="00043282"/>
    <w:rsid w:val="00044286"/>
    <w:rsid w:val="00047F28"/>
    <w:rsid w:val="000503AA"/>
    <w:rsid w:val="000506A1"/>
    <w:rsid w:val="000515DD"/>
    <w:rsid w:val="0005265A"/>
    <w:rsid w:val="000530D6"/>
    <w:rsid w:val="000539DD"/>
    <w:rsid w:val="00053BD3"/>
    <w:rsid w:val="00054C88"/>
    <w:rsid w:val="000556ED"/>
    <w:rsid w:val="00055FE2"/>
    <w:rsid w:val="0005616F"/>
    <w:rsid w:val="000601FB"/>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4CB6"/>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804"/>
    <w:rsid w:val="001708E9"/>
    <w:rsid w:val="0017340B"/>
    <w:rsid w:val="00173FB1"/>
    <w:rsid w:val="00176DFD"/>
    <w:rsid w:val="00183BE4"/>
    <w:rsid w:val="001852C9"/>
    <w:rsid w:val="00190087"/>
    <w:rsid w:val="001913C4"/>
    <w:rsid w:val="0019348F"/>
    <w:rsid w:val="00193A07"/>
    <w:rsid w:val="00194C95"/>
    <w:rsid w:val="00195C34"/>
    <w:rsid w:val="00196EF5"/>
    <w:rsid w:val="001A1A53"/>
    <w:rsid w:val="001A234A"/>
    <w:rsid w:val="001A4CF3"/>
    <w:rsid w:val="001B06E8"/>
    <w:rsid w:val="001B06F3"/>
    <w:rsid w:val="001B71D0"/>
    <w:rsid w:val="001B71EE"/>
    <w:rsid w:val="001C04A8"/>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69B4"/>
    <w:rsid w:val="001F77C7"/>
    <w:rsid w:val="00200183"/>
    <w:rsid w:val="00200333"/>
    <w:rsid w:val="0020107D"/>
    <w:rsid w:val="00202AA4"/>
    <w:rsid w:val="002031F7"/>
    <w:rsid w:val="002040E6"/>
    <w:rsid w:val="0020527B"/>
    <w:rsid w:val="00205F2C"/>
    <w:rsid w:val="00210B15"/>
    <w:rsid w:val="002142EA"/>
    <w:rsid w:val="00215092"/>
    <w:rsid w:val="00216630"/>
    <w:rsid w:val="002176B8"/>
    <w:rsid w:val="002204BB"/>
    <w:rsid w:val="00221B79"/>
    <w:rsid w:val="00221C6B"/>
    <w:rsid w:val="00223E3C"/>
    <w:rsid w:val="002253A1"/>
    <w:rsid w:val="00225CF8"/>
    <w:rsid w:val="00226C11"/>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6148A"/>
    <w:rsid w:val="00262696"/>
    <w:rsid w:val="00263D25"/>
    <w:rsid w:val="002643C3"/>
    <w:rsid w:val="00264A0C"/>
    <w:rsid w:val="00266EEB"/>
    <w:rsid w:val="00267EF4"/>
    <w:rsid w:val="00270CB8"/>
    <w:rsid w:val="00272B08"/>
    <w:rsid w:val="002771AC"/>
    <w:rsid w:val="00281BB8"/>
    <w:rsid w:val="00281E9E"/>
    <w:rsid w:val="00282405"/>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37D7"/>
    <w:rsid w:val="002B4293"/>
    <w:rsid w:val="002B4508"/>
    <w:rsid w:val="002B5779"/>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26747"/>
    <w:rsid w:val="003331E4"/>
    <w:rsid w:val="00336C64"/>
    <w:rsid w:val="00337162"/>
    <w:rsid w:val="0034194F"/>
    <w:rsid w:val="00342228"/>
    <w:rsid w:val="00344605"/>
    <w:rsid w:val="00347002"/>
    <w:rsid w:val="003474AA"/>
    <w:rsid w:val="00350D1D"/>
    <w:rsid w:val="00352C3E"/>
    <w:rsid w:val="00352C83"/>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6539"/>
    <w:rsid w:val="003872FC"/>
    <w:rsid w:val="00387ADC"/>
    <w:rsid w:val="00390020"/>
    <w:rsid w:val="003903D6"/>
    <w:rsid w:val="00390EE6"/>
    <w:rsid w:val="0039118F"/>
    <w:rsid w:val="00392AD7"/>
    <w:rsid w:val="003938D9"/>
    <w:rsid w:val="00394376"/>
    <w:rsid w:val="003943FF"/>
    <w:rsid w:val="00395700"/>
    <w:rsid w:val="003960A7"/>
    <w:rsid w:val="003974EB"/>
    <w:rsid w:val="00397CC5"/>
    <w:rsid w:val="003A1582"/>
    <w:rsid w:val="003A4077"/>
    <w:rsid w:val="003A57E9"/>
    <w:rsid w:val="003B09AD"/>
    <w:rsid w:val="003B1F18"/>
    <w:rsid w:val="003B5BF0"/>
    <w:rsid w:val="003B60BF"/>
    <w:rsid w:val="003B6BE3"/>
    <w:rsid w:val="003C010C"/>
    <w:rsid w:val="003C0A6C"/>
    <w:rsid w:val="003C14F8"/>
    <w:rsid w:val="003C5A43"/>
    <w:rsid w:val="003D0519"/>
    <w:rsid w:val="003D0FF6"/>
    <w:rsid w:val="003D262C"/>
    <w:rsid w:val="003D4209"/>
    <w:rsid w:val="003D6AEB"/>
    <w:rsid w:val="003D6D61"/>
    <w:rsid w:val="003D79C6"/>
    <w:rsid w:val="003E091D"/>
    <w:rsid w:val="003E1C53"/>
    <w:rsid w:val="003E2A69"/>
    <w:rsid w:val="003E2D49"/>
    <w:rsid w:val="003E2FD4"/>
    <w:rsid w:val="003E49F6"/>
    <w:rsid w:val="003E660F"/>
    <w:rsid w:val="003F0841"/>
    <w:rsid w:val="003F23D3"/>
    <w:rsid w:val="003F3F08"/>
    <w:rsid w:val="003F49F1"/>
    <w:rsid w:val="003F52AB"/>
    <w:rsid w:val="003F6272"/>
    <w:rsid w:val="00400E72"/>
    <w:rsid w:val="00401400"/>
    <w:rsid w:val="00404869"/>
    <w:rsid w:val="00405884"/>
    <w:rsid w:val="00407D39"/>
    <w:rsid w:val="0041477A"/>
    <w:rsid w:val="004167A3"/>
    <w:rsid w:val="00430021"/>
    <w:rsid w:val="00432DAA"/>
    <w:rsid w:val="00434305"/>
    <w:rsid w:val="00435DF7"/>
    <w:rsid w:val="0044083F"/>
    <w:rsid w:val="00441AE7"/>
    <w:rsid w:val="00445574"/>
    <w:rsid w:val="004467FB"/>
    <w:rsid w:val="00452D6B"/>
    <w:rsid w:val="00454121"/>
    <w:rsid w:val="00454484"/>
    <w:rsid w:val="0045517B"/>
    <w:rsid w:val="00463B77"/>
    <w:rsid w:val="00463C7B"/>
    <w:rsid w:val="004644A6"/>
    <w:rsid w:val="004659BD"/>
    <w:rsid w:val="00470775"/>
    <w:rsid w:val="004746B1"/>
    <w:rsid w:val="00474CDD"/>
    <w:rsid w:val="0047583F"/>
    <w:rsid w:val="00475A0C"/>
    <w:rsid w:val="00475DE8"/>
    <w:rsid w:val="00481C44"/>
    <w:rsid w:val="00484936"/>
    <w:rsid w:val="00485C89"/>
    <w:rsid w:val="00486BE3"/>
    <w:rsid w:val="004905E4"/>
    <w:rsid w:val="00490A89"/>
    <w:rsid w:val="00490AB4"/>
    <w:rsid w:val="00492F02"/>
    <w:rsid w:val="004939AE"/>
    <w:rsid w:val="004A12DF"/>
    <w:rsid w:val="004A17E6"/>
    <w:rsid w:val="004A1BA8"/>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C58"/>
    <w:rsid w:val="004D0EF1"/>
    <w:rsid w:val="004D2253"/>
    <w:rsid w:val="004D4406"/>
    <w:rsid w:val="004D7C42"/>
    <w:rsid w:val="004E0465"/>
    <w:rsid w:val="004E127B"/>
    <w:rsid w:val="004E1C0A"/>
    <w:rsid w:val="004E2B06"/>
    <w:rsid w:val="004E30C5"/>
    <w:rsid w:val="004E4AA5"/>
    <w:rsid w:val="004E4AEE"/>
    <w:rsid w:val="004E59E3"/>
    <w:rsid w:val="004E67C0"/>
    <w:rsid w:val="004E7B7C"/>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B16"/>
    <w:rsid w:val="00532FB2"/>
    <w:rsid w:val="005332D0"/>
    <w:rsid w:val="00533D04"/>
    <w:rsid w:val="00534804"/>
    <w:rsid w:val="00534BDF"/>
    <w:rsid w:val="005354EA"/>
    <w:rsid w:val="0053585F"/>
    <w:rsid w:val="00535EC4"/>
    <w:rsid w:val="00535ED9"/>
    <w:rsid w:val="0053692B"/>
    <w:rsid w:val="005417F8"/>
    <w:rsid w:val="00541853"/>
    <w:rsid w:val="0054213E"/>
    <w:rsid w:val="00543BDA"/>
    <w:rsid w:val="005441CC"/>
    <w:rsid w:val="005479DA"/>
    <w:rsid w:val="00547BCC"/>
    <w:rsid w:val="0055013B"/>
    <w:rsid w:val="00551F6F"/>
    <w:rsid w:val="00555044"/>
    <w:rsid w:val="00561475"/>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CF6"/>
    <w:rsid w:val="005B7422"/>
    <w:rsid w:val="005C29B8"/>
    <w:rsid w:val="005C5F21"/>
    <w:rsid w:val="005C7156"/>
    <w:rsid w:val="005D0C75"/>
    <w:rsid w:val="005D4171"/>
    <w:rsid w:val="005D6A95"/>
    <w:rsid w:val="005D6B2C"/>
    <w:rsid w:val="005D6D9C"/>
    <w:rsid w:val="005E2335"/>
    <w:rsid w:val="005E34CA"/>
    <w:rsid w:val="005E3C18"/>
    <w:rsid w:val="005E6812"/>
    <w:rsid w:val="005E7881"/>
    <w:rsid w:val="005E78E0"/>
    <w:rsid w:val="005F0D9C"/>
    <w:rsid w:val="005F0F61"/>
    <w:rsid w:val="005F284E"/>
    <w:rsid w:val="005F3F94"/>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1BF"/>
    <w:rsid w:val="00634D9E"/>
    <w:rsid w:val="00636E3E"/>
    <w:rsid w:val="006379F7"/>
    <w:rsid w:val="00637E4D"/>
    <w:rsid w:val="00640620"/>
    <w:rsid w:val="00641A1F"/>
    <w:rsid w:val="00645904"/>
    <w:rsid w:val="00651ACB"/>
    <w:rsid w:val="00651C47"/>
    <w:rsid w:val="00652AB2"/>
    <w:rsid w:val="00653FED"/>
    <w:rsid w:val="00654EC0"/>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1D8D"/>
    <w:rsid w:val="00695D22"/>
    <w:rsid w:val="006A07AA"/>
    <w:rsid w:val="006A25E5"/>
    <w:rsid w:val="006A2B46"/>
    <w:rsid w:val="006A336D"/>
    <w:rsid w:val="006A37B9"/>
    <w:rsid w:val="006B2672"/>
    <w:rsid w:val="006B54BF"/>
    <w:rsid w:val="006B5F44"/>
    <w:rsid w:val="006B5F90"/>
    <w:rsid w:val="006B62E4"/>
    <w:rsid w:val="006B6FE7"/>
    <w:rsid w:val="006C149F"/>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44BB"/>
    <w:rsid w:val="00765C43"/>
    <w:rsid w:val="00765EFB"/>
    <w:rsid w:val="007671CA"/>
    <w:rsid w:val="00767C61"/>
    <w:rsid w:val="0077008A"/>
    <w:rsid w:val="00773C1F"/>
    <w:rsid w:val="00774DA4"/>
    <w:rsid w:val="00776599"/>
    <w:rsid w:val="0078114B"/>
    <w:rsid w:val="00781DD2"/>
    <w:rsid w:val="00783ECF"/>
    <w:rsid w:val="0078413A"/>
    <w:rsid w:val="007868D1"/>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6518"/>
    <w:rsid w:val="007D76BD"/>
    <w:rsid w:val="007E0BF1"/>
    <w:rsid w:val="007E50B2"/>
    <w:rsid w:val="007E7B57"/>
    <w:rsid w:val="007F0ED8"/>
    <w:rsid w:val="007F0F63"/>
    <w:rsid w:val="007F5E2C"/>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26C2F"/>
    <w:rsid w:val="00830621"/>
    <w:rsid w:val="0083348C"/>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420"/>
    <w:rsid w:val="00867C10"/>
    <w:rsid w:val="00870439"/>
    <w:rsid w:val="00870DA1"/>
    <w:rsid w:val="00883F93"/>
    <w:rsid w:val="00884DB3"/>
    <w:rsid w:val="00885A9D"/>
    <w:rsid w:val="008864F6"/>
    <w:rsid w:val="0089049D"/>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1797"/>
    <w:rsid w:val="008C219C"/>
    <w:rsid w:val="008C475E"/>
    <w:rsid w:val="008C5F0C"/>
    <w:rsid w:val="008C619A"/>
    <w:rsid w:val="008D0CE8"/>
    <w:rsid w:val="008D2D1D"/>
    <w:rsid w:val="008D453D"/>
    <w:rsid w:val="008D53AD"/>
    <w:rsid w:val="008D562B"/>
    <w:rsid w:val="008D566F"/>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404"/>
    <w:rsid w:val="00915C3E"/>
    <w:rsid w:val="009161A8"/>
    <w:rsid w:val="00917AF3"/>
    <w:rsid w:val="009245F5"/>
    <w:rsid w:val="009249EC"/>
    <w:rsid w:val="009273B3"/>
    <w:rsid w:val="009305B5"/>
    <w:rsid w:val="009429D5"/>
    <w:rsid w:val="00942BF1"/>
    <w:rsid w:val="00945180"/>
    <w:rsid w:val="00945428"/>
    <w:rsid w:val="0094607B"/>
    <w:rsid w:val="00953604"/>
    <w:rsid w:val="0095496B"/>
    <w:rsid w:val="00954E51"/>
    <w:rsid w:val="009610DC"/>
    <w:rsid w:val="00961490"/>
    <w:rsid w:val="0096381A"/>
    <w:rsid w:val="00963E3F"/>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1A78"/>
    <w:rsid w:val="009A21CD"/>
    <w:rsid w:val="009A278C"/>
    <w:rsid w:val="009A2BC2"/>
    <w:rsid w:val="009A2E2D"/>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E0F62"/>
    <w:rsid w:val="009E4A58"/>
    <w:rsid w:val="009E5A2D"/>
    <w:rsid w:val="009E5AB2"/>
    <w:rsid w:val="009E6219"/>
    <w:rsid w:val="009F03B3"/>
    <w:rsid w:val="00A0096C"/>
    <w:rsid w:val="00A01757"/>
    <w:rsid w:val="00A01CA1"/>
    <w:rsid w:val="00A028C0"/>
    <w:rsid w:val="00A02BAE"/>
    <w:rsid w:val="00A06A6B"/>
    <w:rsid w:val="00A07E47"/>
    <w:rsid w:val="00A129D0"/>
    <w:rsid w:val="00A12C33"/>
    <w:rsid w:val="00A138BA"/>
    <w:rsid w:val="00A14C8E"/>
    <w:rsid w:val="00A153D9"/>
    <w:rsid w:val="00A15F09"/>
    <w:rsid w:val="00A169B6"/>
    <w:rsid w:val="00A2271D"/>
    <w:rsid w:val="00A237D5"/>
    <w:rsid w:val="00A25615"/>
    <w:rsid w:val="00A30D9E"/>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3402"/>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2C49"/>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4126"/>
    <w:rsid w:val="00AD421C"/>
    <w:rsid w:val="00AD44FA"/>
    <w:rsid w:val="00AE070A"/>
    <w:rsid w:val="00AE101C"/>
    <w:rsid w:val="00AE37E5"/>
    <w:rsid w:val="00AE5B4E"/>
    <w:rsid w:val="00AE5EB4"/>
    <w:rsid w:val="00AF0C18"/>
    <w:rsid w:val="00AF47C5"/>
    <w:rsid w:val="00AF5398"/>
    <w:rsid w:val="00AF6C0A"/>
    <w:rsid w:val="00B049AF"/>
    <w:rsid w:val="00B07242"/>
    <w:rsid w:val="00B10534"/>
    <w:rsid w:val="00B113DB"/>
    <w:rsid w:val="00B11D8A"/>
    <w:rsid w:val="00B12981"/>
    <w:rsid w:val="00B147DD"/>
    <w:rsid w:val="00B156FD"/>
    <w:rsid w:val="00B21F61"/>
    <w:rsid w:val="00B25BEB"/>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4ABC"/>
    <w:rsid w:val="00B54DDE"/>
    <w:rsid w:val="00B56DDD"/>
    <w:rsid w:val="00B56FBE"/>
    <w:rsid w:val="00B60ACF"/>
    <w:rsid w:val="00B62B58"/>
    <w:rsid w:val="00B65149"/>
    <w:rsid w:val="00B66567"/>
    <w:rsid w:val="00B66F52"/>
    <w:rsid w:val="00B66FE5"/>
    <w:rsid w:val="00B72880"/>
    <w:rsid w:val="00B758BF"/>
    <w:rsid w:val="00B771CD"/>
    <w:rsid w:val="00B77EC8"/>
    <w:rsid w:val="00B827A6"/>
    <w:rsid w:val="00B831CE"/>
    <w:rsid w:val="00B86677"/>
    <w:rsid w:val="00B87131"/>
    <w:rsid w:val="00B939B1"/>
    <w:rsid w:val="00B94783"/>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6B3"/>
    <w:rsid w:val="00C07EC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624C"/>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719"/>
    <w:rsid w:val="00D33333"/>
    <w:rsid w:val="00D33457"/>
    <w:rsid w:val="00D352A2"/>
    <w:rsid w:val="00D3660F"/>
    <w:rsid w:val="00D4162B"/>
    <w:rsid w:val="00D4514F"/>
    <w:rsid w:val="00D451E2"/>
    <w:rsid w:val="00D45C3F"/>
    <w:rsid w:val="00D45E89"/>
    <w:rsid w:val="00D45E8D"/>
    <w:rsid w:val="00D46538"/>
    <w:rsid w:val="00D466AE"/>
    <w:rsid w:val="00D4734F"/>
    <w:rsid w:val="00D51BF3"/>
    <w:rsid w:val="00D52E0D"/>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5E47"/>
    <w:rsid w:val="00DD6BCC"/>
    <w:rsid w:val="00DE0A4B"/>
    <w:rsid w:val="00DE2410"/>
    <w:rsid w:val="00DE2939"/>
    <w:rsid w:val="00DE4438"/>
    <w:rsid w:val="00DE6E81"/>
    <w:rsid w:val="00DE703F"/>
    <w:rsid w:val="00DE7595"/>
    <w:rsid w:val="00DF1961"/>
    <w:rsid w:val="00DF44DE"/>
    <w:rsid w:val="00DF5F11"/>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0F3"/>
    <w:rsid w:val="00E85BFF"/>
    <w:rsid w:val="00E90391"/>
    <w:rsid w:val="00E906C2"/>
    <w:rsid w:val="00E9311F"/>
    <w:rsid w:val="00E934D1"/>
    <w:rsid w:val="00E94AF0"/>
    <w:rsid w:val="00E95D13"/>
    <w:rsid w:val="00E95DD3"/>
    <w:rsid w:val="00E969D5"/>
    <w:rsid w:val="00EA58D1"/>
    <w:rsid w:val="00EA61BC"/>
    <w:rsid w:val="00EA681A"/>
    <w:rsid w:val="00EA735B"/>
    <w:rsid w:val="00EB17DE"/>
    <w:rsid w:val="00EB1E69"/>
    <w:rsid w:val="00EB2086"/>
    <w:rsid w:val="00EB5EDF"/>
    <w:rsid w:val="00EB60FE"/>
    <w:rsid w:val="00EB7196"/>
    <w:rsid w:val="00EB74DB"/>
    <w:rsid w:val="00EC5359"/>
    <w:rsid w:val="00EC562A"/>
    <w:rsid w:val="00ED067A"/>
    <w:rsid w:val="00ED2B50"/>
    <w:rsid w:val="00EE0350"/>
    <w:rsid w:val="00EE0719"/>
    <w:rsid w:val="00EE0E80"/>
    <w:rsid w:val="00EE1908"/>
    <w:rsid w:val="00EE54A6"/>
    <w:rsid w:val="00EE613F"/>
    <w:rsid w:val="00EE7295"/>
    <w:rsid w:val="00EE7869"/>
    <w:rsid w:val="00EF054A"/>
    <w:rsid w:val="00EF132B"/>
    <w:rsid w:val="00EF3235"/>
    <w:rsid w:val="00EF647B"/>
    <w:rsid w:val="00EF7E72"/>
    <w:rsid w:val="00F06D37"/>
    <w:rsid w:val="00F07B9D"/>
    <w:rsid w:val="00F11586"/>
    <w:rsid w:val="00F1183B"/>
    <w:rsid w:val="00F11C9F"/>
    <w:rsid w:val="00F12263"/>
    <w:rsid w:val="00F1409D"/>
    <w:rsid w:val="00F14214"/>
    <w:rsid w:val="00F157A9"/>
    <w:rsid w:val="00F233B6"/>
    <w:rsid w:val="00F25BB6"/>
    <w:rsid w:val="00F26B7E"/>
    <w:rsid w:val="00F27A3B"/>
    <w:rsid w:val="00F33817"/>
    <w:rsid w:val="00F420D5"/>
    <w:rsid w:val="00F451EA"/>
    <w:rsid w:val="00F45447"/>
    <w:rsid w:val="00F456C6"/>
    <w:rsid w:val="00F4577B"/>
    <w:rsid w:val="00F46496"/>
    <w:rsid w:val="00F474D0"/>
    <w:rsid w:val="00F50179"/>
    <w:rsid w:val="00F515EE"/>
    <w:rsid w:val="00F5559C"/>
    <w:rsid w:val="00F561AD"/>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C99"/>
    <w:rsid w:val="00FA4DAC"/>
    <w:rsid w:val="00FA662D"/>
    <w:rsid w:val="00FA73B1"/>
    <w:rsid w:val="00FB0CB9"/>
    <w:rsid w:val="00FB231D"/>
    <w:rsid w:val="00FB45F1"/>
    <w:rsid w:val="00FB4A72"/>
    <w:rsid w:val="00FB54E8"/>
    <w:rsid w:val="00FB7054"/>
    <w:rsid w:val="00FC17B7"/>
    <w:rsid w:val="00FC2CB7"/>
    <w:rsid w:val="00FC4090"/>
    <w:rsid w:val="00FC55B4"/>
    <w:rsid w:val="00FD00E6"/>
    <w:rsid w:val="00FD09A1"/>
    <w:rsid w:val="00FD2A7C"/>
    <w:rsid w:val="00FD59EB"/>
    <w:rsid w:val="00FD7299"/>
    <w:rsid w:val="00FE1FBE"/>
    <w:rsid w:val="00FE3901"/>
    <w:rsid w:val="00FE39D3"/>
    <w:rsid w:val="00FE4BCE"/>
    <w:rsid w:val="00FE54AE"/>
    <w:rsid w:val="00FE576A"/>
    <w:rsid w:val="00FE7E79"/>
    <w:rsid w:val="00FF3E7D"/>
    <w:rsid w:val="00FF5B99"/>
    <w:rsid w:val="00FF730C"/>
    <w:rsid w:val="00FF73F4"/>
    <w:rsid w:val="00FF7CE4"/>
    <w:rsid w:val="00FF7E39"/>
    <w:rsid w:val="0A864251"/>
    <w:rsid w:val="145D6F24"/>
    <w:rsid w:val="2A9E06F7"/>
    <w:rsid w:val="4A055EA1"/>
    <w:rsid w:val="55D01B2A"/>
    <w:rsid w:val="608869F8"/>
    <w:rsid w:val="62AE32EA"/>
    <w:rsid w:val="63691DC0"/>
    <w:rsid w:val="646F2C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autoRedefine/>
    <w:unhideWhenUsed/>
    <w:qFormat/>
    <w:uiPriority w:val="39"/>
    <w:pPr>
      <w:ind w:left="839"/>
    </w:pPr>
    <w:rPr>
      <w:rFonts w:ascii="宋体"/>
    </w:rPr>
  </w:style>
  <w:style w:type="paragraph" w:styleId="15">
    <w:name w:val="toc 3"/>
    <w:basedOn w:val="1"/>
    <w:next w:val="1"/>
    <w:autoRedefine/>
    <w:unhideWhenUsed/>
    <w:qFormat/>
    <w:uiPriority w:val="39"/>
    <w:pPr>
      <w:spacing w:line="300" w:lineRule="exact"/>
      <w:ind w:left="420"/>
    </w:pPr>
    <w:rPr>
      <w:rFonts w:ascii="宋体"/>
    </w:rPr>
  </w:style>
  <w:style w:type="paragraph" w:styleId="16">
    <w:name w:val="Balloon Text"/>
    <w:basedOn w:val="1"/>
    <w:link w:val="45"/>
    <w:semiHidden/>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autoRedefine/>
    <w:unhideWhenUsed/>
    <w:qFormat/>
    <w:uiPriority w:val="39"/>
    <w:rPr>
      <w:rFonts w:ascii="宋体"/>
    </w:rPr>
  </w:style>
  <w:style w:type="paragraph" w:styleId="20">
    <w:name w:val="toc 4"/>
    <w:basedOn w:val="1"/>
    <w:next w:val="1"/>
    <w:autoRedefine/>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autoRedefine/>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autoRedefine/>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table" w:styleId="27">
    <w:name w:val="Table Grid"/>
    <w:basedOn w:val="2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Strong"/>
    <w:qFormat/>
    <w:uiPriority w:val="22"/>
    <w:rPr>
      <w:b/>
      <w:bCs/>
    </w:rPr>
  </w:style>
  <w:style w:type="character" w:styleId="30">
    <w:name w:val="page number"/>
    <w:qFormat/>
    <w:uiPriority w:val="0"/>
    <w:rPr>
      <w:rFonts w:ascii="宋体" w:hAnsi="Times New Roman" w:eastAsia="宋体"/>
      <w:sz w:val="18"/>
    </w:rPr>
  </w:style>
  <w:style w:type="character" w:styleId="31">
    <w:name w:val="Emphasis"/>
    <w:qFormat/>
    <w:uiPriority w:val="20"/>
    <w:rPr>
      <w:i/>
      <w:iCs/>
    </w:rPr>
  </w:style>
  <w:style w:type="character" w:styleId="32">
    <w:name w:val="Hyperlink"/>
    <w:qFormat/>
    <w:uiPriority w:val="99"/>
    <w:rPr>
      <w:rFonts w:ascii="宋体" w:hAnsi="Times New Roman" w:eastAsia="宋体"/>
      <w:color w:val="auto"/>
      <w:spacing w:val="0"/>
      <w:w w:val="100"/>
      <w:position w:val="0"/>
      <w:sz w:val="21"/>
      <w:u w:val="none"/>
      <w:vertAlign w:val="baseline"/>
    </w:rPr>
  </w:style>
  <w:style w:type="character" w:styleId="33">
    <w:name w:val="footnote reference"/>
    <w:semiHidden/>
    <w:qFormat/>
    <w:uiPriority w:val="0"/>
    <w:rPr>
      <w:rFonts w:ascii="宋体" w:hAnsi="宋体" w:eastAsia="宋体" w:cs="Times New Roman"/>
      <w:spacing w:val="0"/>
      <w:sz w:val="18"/>
      <w:vertAlign w:val="superscript"/>
    </w:rPr>
  </w:style>
  <w:style w:type="character" w:customStyle="1" w:styleId="34">
    <w:name w:val="标题 1 字符"/>
    <w:link w:val="2"/>
    <w:qFormat/>
    <w:uiPriority w:val="0"/>
    <w:rPr>
      <w:b/>
      <w:bCs/>
      <w:kern w:val="44"/>
      <w:sz w:val="44"/>
      <w:szCs w:val="44"/>
    </w:rPr>
  </w:style>
  <w:style w:type="character" w:customStyle="1" w:styleId="35">
    <w:name w:val="标题 2 字符"/>
    <w:link w:val="3"/>
    <w:qFormat/>
    <w:uiPriority w:val="0"/>
    <w:rPr>
      <w:rFonts w:ascii="Arial" w:hAnsi="Arial" w:eastAsia="黑体"/>
      <w:b/>
      <w:bCs/>
      <w:kern w:val="2"/>
      <w:sz w:val="32"/>
      <w:szCs w:val="32"/>
    </w:rPr>
  </w:style>
  <w:style w:type="character" w:customStyle="1" w:styleId="36">
    <w:name w:val="标题 3 字符"/>
    <w:link w:val="4"/>
    <w:qFormat/>
    <w:uiPriority w:val="0"/>
    <w:rPr>
      <w:b/>
      <w:bCs/>
      <w:kern w:val="2"/>
      <w:sz w:val="32"/>
      <w:szCs w:val="32"/>
    </w:rPr>
  </w:style>
  <w:style w:type="character" w:customStyle="1" w:styleId="37">
    <w:name w:val="标题 4 字符"/>
    <w:link w:val="5"/>
    <w:qFormat/>
    <w:uiPriority w:val="0"/>
    <w:rPr>
      <w:rFonts w:ascii="Arial" w:hAnsi="Arial" w:eastAsia="黑体"/>
      <w:b/>
      <w:bCs/>
      <w:kern w:val="2"/>
      <w:sz w:val="28"/>
      <w:szCs w:val="28"/>
    </w:rPr>
  </w:style>
  <w:style w:type="character" w:customStyle="1" w:styleId="38">
    <w:name w:val="标题 5 字符"/>
    <w:link w:val="6"/>
    <w:qFormat/>
    <w:uiPriority w:val="0"/>
    <w:rPr>
      <w:b/>
      <w:bCs/>
      <w:kern w:val="2"/>
      <w:sz w:val="28"/>
      <w:szCs w:val="28"/>
    </w:rPr>
  </w:style>
  <w:style w:type="character" w:customStyle="1" w:styleId="39">
    <w:name w:val="标题 6 字符"/>
    <w:link w:val="7"/>
    <w:qFormat/>
    <w:uiPriority w:val="0"/>
    <w:rPr>
      <w:rFonts w:ascii="Arial" w:hAnsi="Arial" w:eastAsia="黑体"/>
      <w:b/>
      <w:bCs/>
      <w:kern w:val="2"/>
      <w:sz w:val="24"/>
      <w:szCs w:val="24"/>
    </w:rPr>
  </w:style>
  <w:style w:type="character" w:customStyle="1" w:styleId="40">
    <w:name w:val="标题 7 字符"/>
    <w:link w:val="8"/>
    <w:qFormat/>
    <w:uiPriority w:val="0"/>
    <w:rPr>
      <w:b/>
      <w:bCs/>
      <w:kern w:val="2"/>
      <w:sz w:val="24"/>
      <w:szCs w:val="24"/>
    </w:rPr>
  </w:style>
  <w:style w:type="character" w:customStyle="1" w:styleId="41">
    <w:name w:val="标题 8 字符"/>
    <w:link w:val="9"/>
    <w:qFormat/>
    <w:uiPriority w:val="0"/>
    <w:rPr>
      <w:rFonts w:ascii="Arial" w:hAnsi="Arial" w:eastAsia="黑体"/>
      <w:kern w:val="2"/>
      <w:sz w:val="24"/>
      <w:szCs w:val="24"/>
    </w:rPr>
  </w:style>
  <w:style w:type="character" w:customStyle="1" w:styleId="42">
    <w:name w:val="标题 9 字符"/>
    <w:link w:val="10"/>
    <w:qFormat/>
    <w:uiPriority w:val="0"/>
    <w:rPr>
      <w:rFonts w:ascii="Arial" w:hAnsi="Arial" w:eastAsia="黑体"/>
      <w:kern w:val="2"/>
      <w:sz w:val="21"/>
      <w:szCs w:val="21"/>
    </w:rPr>
  </w:style>
  <w:style w:type="character" w:customStyle="1" w:styleId="43">
    <w:name w:val="页眉 字符"/>
    <w:link w:val="18"/>
    <w:qFormat/>
    <w:uiPriority w:val="99"/>
    <w:rPr>
      <w:kern w:val="2"/>
      <w:sz w:val="18"/>
      <w:szCs w:val="18"/>
    </w:rPr>
  </w:style>
  <w:style w:type="character" w:customStyle="1" w:styleId="44">
    <w:name w:val="页脚 字符"/>
    <w:link w:val="17"/>
    <w:qFormat/>
    <w:uiPriority w:val="99"/>
    <w:rPr>
      <w:rFonts w:ascii="宋体"/>
      <w:kern w:val="2"/>
      <w:sz w:val="18"/>
      <w:szCs w:val="18"/>
    </w:rPr>
  </w:style>
  <w:style w:type="character" w:customStyle="1" w:styleId="45">
    <w:name w:val="批注框文本 字符"/>
    <w:link w:val="16"/>
    <w:semiHidden/>
    <w:qFormat/>
    <w:uiPriority w:val="99"/>
    <w:rPr>
      <w:kern w:val="2"/>
      <w:sz w:val="18"/>
      <w:szCs w:val="18"/>
    </w:rPr>
  </w:style>
  <w:style w:type="paragraph" w:styleId="46">
    <w:name w:val="Quote"/>
    <w:basedOn w:val="1"/>
    <w:next w:val="1"/>
    <w:link w:val="47"/>
    <w:qFormat/>
    <w:uiPriority w:val="29"/>
    <w:rPr>
      <w:i/>
      <w:iCs/>
      <w:color w:val="000000"/>
    </w:rPr>
  </w:style>
  <w:style w:type="character" w:customStyle="1" w:styleId="47">
    <w:name w:val="引用 字符"/>
    <w:link w:val="46"/>
    <w:qFormat/>
    <w:uiPriority w:val="29"/>
    <w:rPr>
      <w:i/>
      <w:iCs/>
      <w:color w:val="000000"/>
      <w:kern w:val="2"/>
      <w:sz w:val="21"/>
      <w:szCs w:val="21"/>
    </w:rPr>
  </w:style>
  <w:style w:type="character" w:customStyle="1" w:styleId="48">
    <w:name w:val="标题 字符"/>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字符"/>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字符"/>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uto"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autoRedefine/>
    <w:semiHidden/>
    <w:qFormat/>
    <w:uiPriority w:val="0"/>
    <w:pPr>
      <w:adjustRightInd/>
      <w:spacing w:line="240" w:lineRule="auto"/>
      <w:jc w:val="left"/>
    </w:pPr>
    <w:rPr>
      <w:bCs/>
      <w:iCs/>
    </w:rPr>
  </w:style>
  <w:style w:type="paragraph" w:customStyle="1" w:styleId="143">
    <w:name w:val="目录 31"/>
    <w:basedOn w:val="1"/>
    <w:next w:val="1"/>
    <w:autoRedefine/>
    <w:semiHidden/>
    <w:qFormat/>
    <w:uiPriority w:val="0"/>
    <w:pPr>
      <w:spacing w:line="240" w:lineRule="auto"/>
    </w:pPr>
    <w:rPr>
      <w:rFonts w:ascii="宋体" w:hAnsi="宋体"/>
      <w:iCs/>
    </w:rPr>
  </w:style>
  <w:style w:type="paragraph" w:customStyle="1" w:styleId="144">
    <w:name w:val="目录 41"/>
    <w:basedOn w:val="1"/>
    <w:next w:val="1"/>
    <w:autoRedefine/>
    <w:semiHidden/>
    <w:qFormat/>
    <w:uiPriority w:val="0"/>
    <w:pPr>
      <w:adjustRightInd/>
      <w:spacing w:line="240" w:lineRule="auto"/>
      <w:jc w:val="left"/>
    </w:pPr>
  </w:style>
  <w:style w:type="paragraph" w:customStyle="1" w:styleId="145">
    <w:name w:val="目录 51"/>
    <w:basedOn w:val="1"/>
    <w:next w:val="1"/>
    <w:autoRedefine/>
    <w:semiHidden/>
    <w:qFormat/>
    <w:uiPriority w:val="0"/>
    <w:pPr>
      <w:spacing w:line="240" w:lineRule="auto"/>
    </w:pPr>
    <w:rPr>
      <w:rFonts w:ascii="宋体" w:hAnsi="宋体"/>
    </w:rPr>
  </w:style>
  <w:style w:type="paragraph" w:customStyle="1" w:styleId="146">
    <w:name w:val="目录 61"/>
    <w:basedOn w:val="1"/>
    <w:next w:val="1"/>
    <w:autoRedefine/>
    <w:semiHidden/>
    <w:qFormat/>
    <w:uiPriority w:val="0"/>
    <w:pPr>
      <w:adjustRightInd/>
      <w:spacing w:line="240" w:lineRule="auto"/>
      <w:jc w:val="left"/>
    </w:pPr>
  </w:style>
  <w:style w:type="paragraph" w:customStyle="1" w:styleId="147">
    <w:name w:val="目录 71"/>
    <w:basedOn w:val="146"/>
    <w:autoRedefine/>
    <w:semiHidden/>
    <w:qFormat/>
    <w:uiPriority w:val="0"/>
    <w:pPr>
      <w:ind w:left="1260"/>
    </w:pPr>
  </w:style>
  <w:style w:type="paragraph" w:customStyle="1" w:styleId="148">
    <w:name w:val="目录 81"/>
    <w:basedOn w:val="147"/>
    <w:autoRedefine/>
    <w:semiHidden/>
    <w:qFormat/>
    <w:uiPriority w:val="0"/>
    <w:pPr>
      <w:ind w:left="1470"/>
    </w:pPr>
  </w:style>
  <w:style w:type="paragraph" w:customStyle="1" w:styleId="149">
    <w:name w:val="目录 91"/>
    <w:basedOn w:val="148"/>
    <w:autoRedefine/>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wrap="around"/>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wrap="around"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styleId="186">
    <w:name w:val="Placeholder Text"/>
    <w:basedOn w:val="28"/>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8"/>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wrap="around" w:vAnchor="page" w:hAnchor="page" w:x="1419" w:y="14097"/>
    </w:pPr>
  </w:style>
  <w:style w:type="paragraph" w:customStyle="1" w:styleId="194">
    <w:name w:val="其他实施日期"/>
    <w:basedOn w:val="154"/>
    <w:qFormat/>
    <w:uiPriority w:val="0"/>
    <w:pPr>
      <w:framePr w:w="3997" w:h="471" w:hRule="exact" w:vSpace="181" w:wrap="around" w:vAnchor="page" w:hAnchor="page" w:x="7089" w:y="14097"/>
    </w:pPr>
  </w:style>
  <w:style w:type="paragraph" w:customStyle="1" w:styleId="195">
    <w:name w:val="标准文件_文件编号"/>
    <w:basedOn w:val="56"/>
    <w:qFormat/>
    <w:uiPriority w:val="0"/>
    <w:pPr>
      <w:framePr w:w="9356" w:h="624" w:hRule="exact" w:hSpace="181" w:vSpace="181" w:wrap="auto"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uto" w:vAnchor="page" w:hAnchor="page" w:y="6408"/>
      <w:autoSpaceDE/>
      <w:autoSpaceDN/>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8"/>
    <w:qFormat/>
    <w:uiPriority w:val="0"/>
    <w:rPr>
      <w:rFonts w:ascii="黑体" w:eastAsia="黑体"/>
      <w:spacing w:val="85"/>
      <w:w w:val="100"/>
      <w:position w:val="3"/>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glossaryDocument" Target="glossary/document.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tiff"/><Relationship Id="rId14" Type="http://schemas.openxmlformats.org/officeDocument/2006/relationships/theme" Target="theme/theme1.xml"/><Relationship Id="rId13" Type="http://schemas.openxmlformats.org/officeDocument/2006/relationships/footer" Target="footer4.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FA700A7CA777432AA84A2FCE045A4039"/>
        <w:style w:val=""/>
        <w:category>
          <w:name w:val="常规"/>
          <w:gallery w:val="placeholder"/>
        </w:category>
        <w:types>
          <w:type w:val="bbPlcHdr"/>
        </w:types>
        <w:behaviors>
          <w:behavior w:val="content"/>
        </w:behaviors>
        <w:description w:val=""/>
        <w:guid w:val="{E883A04A-D6A7-4072-906E-0CCAB9122924}"/>
      </w:docPartPr>
      <w:docPartBody>
        <w:p w14:paraId="7F822E6D">
          <w:pPr>
            <w:pStyle w:val="5"/>
          </w:pPr>
          <w:r>
            <w:rPr>
              <w:rStyle w:val="4"/>
              <w:rFonts w:hint="eastAsia"/>
            </w:rPr>
            <w:t>单击或点击此处输入文字。</w:t>
          </w:r>
        </w:p>
      </w:docPartBody>
    </w:docPart>
    <w:docPart>
      <w:docPartPr>
        <w:name w:val="0DFBE4ED8CA946EBA20F84B612C1C70D"/>
        <w:style w:val=""/>
        <w:category>
          <w:name w:val="常规"/>
          <w:gallery w:val="placeholder"/>
        </w:category>
        <w:types>
          <w:type w:val="bbPlcHdr"/>
        </w:types>
        <w:behaviors>
          <w:behavior w:val="content"/>
        </w:behaviors>
        <w:description w:val=""/>
        <w:guid w:val="{3C3A7522-1727-4CEF-AFAB-868F5B77E24E}"/>
      </w:docPartPr>
      <w:docPartBody>
        <w:p w14:paraId="37AC3863">
          <w:pPr>
            <w:pStyle w:val="6"/>
          </w:pPr>
          <w:r>
            <w:rPr>
              <w:rStyle w:val="4"/>
              <w:rFonts w:hint="eastAsia"/>
            </w:rPr>
            <w:t>选择一项。</w:t>
          </w:r>
        </w:p>
      </w:docPartBody>
    </w:docPart>
    <w:docPart>
      <w:docPartPr>
        <w:name w:val="D7E3D3BDE54243C18D166EC22C35F986"/>
        <w:style w:val=""/>
        <w:category>
          <w:name w:val="常规"/>
          <w:gallery w:val="placeholder"/>
        </w:category>
        <w:types>
          <w:type w:val="bbPlcHdr"/>
        </w:types>
        <w:behaviors>
          <w:behavior w:val="content"/>
        </w:behaviors>
        <w:description w:val=""/>
        <w:guid w:val="{3D4F3FF7-CD58-4CEC-9D11-CC8510B0897C}"/>
      </w:docPartPr>
      <w:docPartBody>
        <w:p w14:paraId="6D1FBDB2">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2001"/>
    <w:rsid w:val="00216630"/>
    <w:rsid w:val="005332D0"/>
    <w:rsid w:val="006F2001"/>
    <w:rsid w:val="008358CC"/>
    <w:rsid w:val="00896D26"/>
    <w:rsid w:val="009E4B59"/>
    <w:rsid w:val="00AE6B7D"/>
    <w:rsid w:val="00D65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1" w:name="Default Paragraph Font"/>
    <w:lsdException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FA700A7CA777432AA84A2FCE045A4039"/>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6">
    <w:name w:val="0DFBE4ED8CA946EBA20F84B612C1C70D"/>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7">
    <w:name w:val="D7E3D3BDE54243C18D166EC22C35F986"/>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CF03465-9310-430F-A8A0-DFC80D2CA8A6}">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9</Pages>
  <Words>3768</Words>
  <Characters>4237</Characters>
  <Lines>308</Lines>
  <Paragraphs>299</Paragraphs>
  <TotalTime>1</TotalTime>
  <ScaleCrop>false</ScaleCrop>
  <LinksUpToDate>false</LinksUpToDate>
  <CharactersWithSpaces>4429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2025-12-17T16:53:00Z</dcterms:created>
  <dc:creator>张良波</dc:creator>
  <dc:description>&lt;config cover="true" show_menu="true" version="1.0.0" doctype="SDKXY"&gt;_x000d_
&lt;/config&gt;</dc:description>
  <cp:lastModifiedBy>张良波</cp:lastModifiedBy>
  <cp:lastPrinted>2020-08-30T10:00:00Z</cp:lastPrinted>
  <dcterms:modified xsi:type="dcterms:W3CDTF">2026-10-29T08:09:23Z</dcterms:modified>
  <dc:title>地方标准</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KSOTemplateDocerSaveRecord">
    <vt:lpwstr>eyJoZGlkIjoiNDgxYTdkZmIwYzJlMDgwY2Y5YTY1ODBkZjFlN2I2NjQiLCJ1c2VySWQiOiI0MjQ2MjU2NTgifQ==</vt:lpwstr>
  </property>
  <property fmtid="{D5CDD505-2E9C-101B-9397-08002B2CF9AE}" pid="15" name="KSOProductBuildVer">
    <vt:lpwstr>2052-12.1.0.29161</vt:lpwstr>
  </property>
  <property fmtid="{D5CDD505-2E9C-101B-9397-08002B2CF9AE}" pid="16" name="ICV">
    <vt:lpwstr>E29EE6D0AF0240EDB7A9DD5E148D1DB8_13</vt:lpwstr>
  </property>
</Properties>
</file>