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3"/>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03.120.10</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k 00</w:t>
            </w:r>
            <w:r>
              <w:rPr>
                <w:rFonts w:ascii="黑体" w:hAnsi="黑体" w:eastAsia="黑体"/>
                <w:sz w:val="21"/>
                <w:szCs w:val="21"/>
              </w:rPr>
              <w:fldChar w:fldCharType="end"/>
            </w:r>
            <w:bookmarkEnd w:id="1"/>
          </w:p>
        </w:tc>
      </w:tr>
    </w:tbl>
    <w:tbl>
      <w:tblPr>
        <w:tblStyle w:val="33"/>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Ex>
        <w:tc>
          <w:tcPr>
            <w:tcW w:w="6407" w:type="dxa"/>
          </w:tcPr>
          <w:p>
            <w:pPr>
              <w:pStyle w:val="49"/>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43</w:t>
            </w:r>
            <w:r>
              <w:fldChar w:fldCharType="end"/>
            </w:r>
            <w:bookmarkEnd w:id="3"/>
          </w:p>
        </w:tc>
      </w:tr>
    </w:tbl>
    <w:p>
      <w:pPr>
        <w:pStyle w:val="50"/>
        <w:framePr w:w="9639" w:h="624" w:hRule="exact" w:hSpace="181" w:vSpace="181"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fr-FR"/>
        </w:rPr>
        <w:t>43</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6"/>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hint="eastAsia" w:ascii="黑体" w:hAnsi="黑体" w:eastAsia="黑体"/>
          <w:b w:val="0"/>
          <w:bCs w:val="0"/>
          <w:w w:val="100"/>
        </w:rPr>
      </w:pPr>
    </w:p>
    <w:p>
      <w:pPr>
        <w:pStyle w:val="197"/>
        <w:framePr w:h="6974" w:hRule="exact"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电子陶瓷行业中小企业数字化转型</w:t>
      </w:r>
    </w:p>
    <w:p>
      <w:pPr>
        <w:pStyle w:val="197"/>
        <w:framePr w:h="6974" w:hRule="exact" w:x="1419" w:anchorLock="1"/>
        <w:rPr>
          <w:rFonts w:hint="eastAsia"/>
        </w:rPr>
      </w:pPr>
      <w:r>
        <w:rPr>
          <w:rFonts w:hint="eastAsia"/>
        </w:rPr>
        <w:t>实施指南</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hint="eastAsia"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hint="eastAsia" w:ascii="黑体" w:hAnsi="黑体" w:eastAsia="黑体"/>
          <w:szCs w:val="28"/>
        </w:rPr>
        <w:t>Implementation Guidelines for Digital Transformation of SMEs in the Electronic Ceramics Industry</w:t>
      </w:r>
      <w:r>
        <w:rPr>
          <w:rFonts w:ascii="黑体" w:hAnsi="黑体"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3"/>
        <w:framePr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4"/>
        <w:framePr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1"/>
        <w:framePr w:h="584" w:hRule="exact" w:hSpace="181" w:vSpace="181"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湖南省市场监督管理局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pPr>
        <w:rPr>
          <w:rFonts w:hint="eastAsia" w:ascii="宋体" w:hAnsi="宋体"/>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1"/>
        <w:spacing w:after="468"/>
      </w:pPr>
      <w:bookmarkStart w:id="21" w:name="BookMark1"/>
      <w:r>
        <w:rPr>
          <w:rFonts w:hint="eastAsia"/>
          <w:spacing w:val="320"/>
        </w:rPr>
        <w:t>目</w:t>
      </w:r>
      <w:r>
        <w:rPr>
          <w:rFonts w:hint="eastAsia"/>
        </w:rPr>
        <w:t>次</w:t>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w:instrText>
      </w:r>
      <w:r>
        <w:rPr>
          <w:rFonts w:hint="eastAsia"/>
        </w:rPr>
        <w:instrText xml:space="preserve">TOC \o "1-1" \h \t "标准文件_一级条标题,2,标准文件_附录一级条标题,2,"</w:instrText>
      </w:r>
      <w:r>
        <w:instrText xml:space="preserve"> </w:instrText>
      </w:r>
      <w:r>
        <w:fldChar w:fldCharType="separate"/>
      </w:r>
      <w:r>
        <w:fldChar w:fldCharType="begin"/>
      </w:r>
      <w:r>
        <w:instrText xml:space="preserve"> HYPERLINK \l "_Toc233981652" </w:instrText>
      </w:r>
      <w:r>
        <w:fldChar w:fldCharType="separate"/>
      </w:r>
      <w:r>
        <w:rPr>
          <w:rStyle w:val="30"/>
          <w:rFonts w:hint="eastAsia"/>
        </w:rPr>
        <w:t>1</w:t>
      </w:r>
      <w:r>
        <w:rPr>
          <w:rStyle w:val="30"/>
        </w:rPr>
        <w:t xml:space="preserve"> </w:t>
      </w:r>
      <w:r>
        <w:rPr>
          <w:rStyle w:val="30"/>
          <w:rFonts w:hint="eastAsia"/>
        </w:rPr>
        <w:t xml:space="preserve"> 范围</w:t>
      </w:r>
      <w:r>
        <w:rPr>
          <w:rFonts w:hint="eastAsia"/>
        </w:rPr>
        <w:tab/>
      </w:r>
      <w:r>
        <w:rPr>
          <w:rFonts w:hint="eastAsia"/>
        </w:rPr>
        <w:fldChar w:fldCharType="begin"/>
      </w:r>
      <w:r>
        <w:rPr>
          <w:rFonts w:hint="eastAsia"/>
        </w:rPr>
        <w:instrText xml:space="preserve"> </w:instrText>
      </w:r>
      <w:r>
        <w:instrText xml:space="preserve">PAGEREF _Toc233981652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"_Toc233981653" </w:instrText>
      </w:r>
      <w:r>
        <w:fldChar w:fldCharType="separate"/>
      </w:r>
      <w:r>
        <w:rPr>
          <w:rStyle w:val="30"/>
          <w:rFonts w:hint="eastAsia"/>
        </w:rPr>
        <w:t>2</w:t>
      </w:r>
      <w:r>
        <w:rPr>
          <w:rStyle w:val="30"/>
        </w:rPr>
        <w:t xml:space="preserve"> </w:t>
      </w:r>
      <w:r>
        <w:rPr>
          <w:rStyle w:val="30"/>
          <w:rFonts w:hint="eastAsia"/>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_Toc233981653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"_Toc233981654" </w:instrText>
      </w:r>
      <w:r>
        <w:fldChar w:fldCharType="separate"/>
      </w:r>
      <w:r>
        <w:rPr>
          <w:rStyle w:val="30"/>
          <w:rFonts w:hint="eastAsia"/>
        </w:rPr>
        <w:t>3</w:t>
      </w:r>
      <w:r>
        <w:rPr>
          <w:rStyle w:val="30"/>
        </w:rPr>
        <w:t xml:space="preserve"> </w:t>
      </w:r>
      <w:r>
        <w:rPr>
          <w:rStyle w:val="30"/>
          <w:rFonts w:hint="eastAsia"/>
        </w:rPr>
        <w:t xml:space="preserve"> 术语和定义</w:t>
      </w:r>
      <w:r>
        <w:rPr>
          <w:rFonts w:hint="eastAsia"/>
        </w:rPr>
        <w:tab/>
      </w:r>
      <w:r>
        <w:rPr>
          <w:rFonts w:hint="eastAsia"/>
        </w:rPr>
        <w:fldChar w:fldCharType="begin"/>
      </w:r>
      <w:r>
        <w:rPr>
          <w:rFonts w:hint="eastAsia"/>
        </w:rPr>
        <w:instrText xml:space="preserve"> </w:instrText>
      </w:r>
      <w:r>
        <w:instrText xml:space="preserve">PAGEREF _Toc233981654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"_Toc233981655" </w:instrText>
      </w:r>
      <w:r>
        <w:fldChar w:fldCharType="separate"/>
      </w:r>
      <w:r>
        <w:rPr>
          <w:rStyle w:val="30"/>
          <w:rFonts w:hint="eastAsia"/>
        </w:rPr>
        <w:t>4</w:t>
      </w:r>
      <w:r>
        <w:rPr>
          <w:rStyle w:val="30"/>
        </w:rPr>
        <w:t xml:space="preserve"> </w:t>
      </w:r>
      <w:r>
        <w:rPr>
          <w:rStyle w:val="30"/>
          <w:rFonts w:hint="eastAsia"/>
        </w:rPr>
        <w:t xml:space="preserve"> 缩略语</w:t>
      </w:r>
      <w:r>
        <w:rPr>
          <w:rFonts w:hint="eastAsia"/>
        </w:rPr>
        <w:tab/>
      </w:r>
      <w:r>
        <w:rPr>
          <w:rFonts w:hint="eastAsia"/>
        </w:rPr>
        <w:fldChar w:fldCharType="begin"/>
      </w:r>
      <w:r>
        <w:rPr>
          <w:rFonts w:hint="eastAsia"/>
        </w:rPr>
        <w:instrText xml:space="preserve"> </w:instrText>
      </w:r>
      <w:r>
        <w:instrText xml:space="preserve">PAGEREF _Toc233981655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"_Toc233981656" </w:instrText>
      </w:r>
      <w:r>
        <w:fldChar w:fldCharType="separate"/>
      </w:r>
      <w:r>
        <w:rPr>
          <w:rStyle w:val="30"/>
          <w:rFonts w:hint="eastAsia"/>
        </w:rPr>
        <w:t>5</w:t>
      </w:r>
      <w:r>
        <w:rPr>
          <w:rStyle w:val="30"/>
        </w:rPr>
        <w:t xml:space="preserve"> </w:t>
      </w:r>
      <w:r>
        <w:rPr>
          <w:rStyle w:val="30"/>
          <w:rFonts w:hint="eastAsia"/>
        </w:rPr>
        <w:t xml:space="preserve"> 指导原则</w:t>
      </w:r>
      <w:r>
        <w:rPr>
          <w:rFonts w:hint="eastAsia"/>
        </w:rPr>
        <w:tab/>
      </w:r>
      <w:r>
        <w:rPr>
          <w:rFonts w:hint="eastAsia"/>
        </w:rPr>
        <w:fldChar w:fldCharType="begin"/>
      </w:r>
      <w:r>
        <w:rPr>
          <w:rFonts w:hint="eastAsia"/>
        </w:rPr>
        <w:instrText xml:space="preserve"> </w:instrText>
      </w:r>
      <w:r>
        <w:instrText xml:space="preserve">PAGEREF _Toc233981656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"_Toc233981662" </w:instrText>
      </w:r>
      <w:r>
        <w:fldChar w:fldCharType="separate"/>
      </w:r>
      <w:r>
        <w:rPr>
          <w:rStyle w:val="30"/>
          <w:rFonts w:hint="eastAsia"/>
        </w:rPr>
        <w:t>6</w:t>
      </w:r>
      <w:r>
        <w:rPr>
          <w:rStyle w:val="30"/>
        </w:rPr>
        <w:t xml:space="preserve"> </w:t>
      </w:r>
      <w:r>
        <w:rPr>
          <w:rStyle w:val="30"/>
          <w:rFonts w:hint="eastAsia"/>
        </w:rPr>
        <w:t xml:space="preserve"> 总体架构</w:t>
      </w:r>
      <w:r>
        <w:rPr>
          <w:rFonts w:hint="eastAsia"/>
        </w:rPr>
        <w:tab/>
      </w:r>
      <w:r>
        <w:rPr>
          <w:rFonts w:hint="eastAsia"/>
        </w:rPr>
        <w:fldChar w:fldCharType="begin"/>
      </w:r>
      <w:r>
        <w:rPr>
          <w:rFonts w:hint="eastAsia"/>
        </w:rPr>
        <w:instrText xml:space="preserve"> </w:instrText>
      </w:r>
      <w:r>
        <w:instrText xml:space="preserve">PAGEREF _Toc233981662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"_Toc233981663" </w:instrText>
      </w:r>
      <w:r>
        <w:fldChar w:fldCharType="separate"/>
      </w:r>
      <w:r>
        <w:rPr>
          <w:rStyle w:val="30"/>
          <w:rFonts w:hint="eastAsia"/>
          <w14:scene3d w14:prst="orthographicFront">
            <w14:lightRig w14:rig="threePt" w14:dir="t">
              <w14:rot w14:lat="0" w14:lon="0" w14:rev="0"/>
            </w14:lightRig>
          </w14:scene3d>
        </w:rPr>
        <w:t>6.1</w:t>
      </w:r>
      <w:r>
        <w:rPr>
          <w:rStyle w:val="30"/>
          <w14:scene3d w14:prst="orthographicFront">
            <w14:lightRig w14:rig="threePt" w14:dir="t">
              <w14:rot w14:lat="0" w14:lon="0" w14:rev="0"/>
            </w14:lightRig>
          </w14:scene3d>
        </w:rPr>
        <w:t xml:space="preserve"> </w:t>
      </w:r>
      <w:r>
        <w:rPr>
          <w:rStyle w:val="30"/>
          <w:rFonts w:hint="eastAsia"/>
        </w:rPr>
        <w:t xml:space="preserve"> 总则</w:t>
      </w:r>
      <w:r>
        <w:rPr>
          <w:rFonts w:hint="eastAsia"/>
        </w:rPr>
        <w:tab/>
      </w:r>
      <w:r>
        <w:rPr>
          <w:rFonts w:hint="eastAsia"/>
        </w:rPr>
        <w:fldChar w:fldCharType="begin"/>
      </w:r>
      <w:r>
        <w:rPr>
          <w:rFonts w:hint="eastAsia"/>
        </w:rPr>
        <w:instrText xml:space="preserve"> </w:instrText>
      </w:r>
      <w:r>
        <w:instrText xml:space="preserve">PAGEREF _Toc233981663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"_Toc233981664" </w:instrText>
      </w:r>
      <w:r>
        <w:fldChar w:fldCharType="separate"/>
      </w:r>
      <w:r>
        <w:rPr>
          <w:rStyle w:val="30"/>
          <w:rFonts w:hint="eastAsia"/>
          <w14:scene3d w14:prst="orthographicFront">
            <w14:lightRig w14:rig="threePt" w14:dir="t">
              <w14:rot w14:lat="0" w14:lon="0" w14:rev="0"/>
            </w14:lightRig>
          </w14:scene3d>
        </w:rPr>
        <w:t>6.2</w:t>
      </w:r>
      <w:r>
        <w:rPr>
          <w:rStyle w:val="30"/>
          <w14:scene3d w14:prst="orthographicFront">
            <w14:lightRig w14:rig="threePt" w14:dir="t">
              <w14:rot w14:lat="0" w14:lon="0" w14:rev="0"/>
            </w14:lightRig>
          </w14:scene3d>
        </w:rPr>
        <w:t xml:space="preserve"> </w:t>
      </w:r>
      <w:r>
        <w:rPr>
          <w:rStyle w:val="30"/>
          <w:rFonts w:hint="eastAsia"/>
        </w:rPr>
        <w:t xml:space="preserve"> 感知层</w:t>
      </w:r>
      <w:r>
        <w:rPr>
          <w:rFonts w:hint="eastAsia"/>
        </w:rPr>
        <w:tab/>
      </w:r>
      <w:r>
        <w:rPr>
          <w:rFonts w:hint="eastAsia"/>
        </w:rPr>
        <w:fldChar w:fldCharType="begin"/>
      </w:r>
      <w:r>
        <w:rPr>
          <w:rFonts w:hint="eastAsia"/>
        </w:rPr>
        <w:instrText xml:space="preserve"> </w:instrText>
      </w:r>
      <w:r>
        <w:instrText xml:space="preserve">PAGEREF _Toc233981664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"_Toc233981665" </w:instrText>
      </w:r>
      <w:r>
        <w:fldChar w:fldCharType="separate"/>
      </w:r>
      <w:r>
        <w:rPr>
          <w:rStyle w:val="30"/>
          <w:rFonts w:hint="eastAsia"/>
          <w14:scene3d w14:prst="orthographicFront">
            <w14:lightRig w14:rig="threePt" w14:dir="t">
              <w14:rot w14:lat="0" w14:lon="0" w14:rev="0"/>
            </w14:lightRig>
          </w14:scene3d>
        </w:rPr>
        <w:t>6.3</w:t>
      </w:r>
      <w:r>
        <w:rPr>
          <w:rStyle w:val="30"/>
          <w14:scene3d w14:prst="orthographicFront">
            <w14:lightRig w14:rig="threePt" w14:dir="t">
              <w14:rot w14:lat="0" w14:lon="0" w14:rev="0"/>
            </w14:lightRig>
          </w14:scene3d>
        </w:rPr>
        <w:t xml:space="preserve"> </w:t>
      </w:r>
      <w:r>
        <w:rPr>
          <w:rStyle w:val="30"/>
          <w:rFonts w:hint="eastAsia"/>
        </w:rPr>
        <w:t xml:space="preserve"> 网络层</w:t>
      </w:r>
      <w:r>
        <w:rPr>
          <w:rFonts w:hint="eastAsia"/>
        </w:rPr>
        <w:tab/>
      </w:r>
      <w:r>
        <w:rPr>
          <w:rFonts w:hint="eastAsia"/>
        </w:rPr>
        <w:fldChar w:fldCharType="begin"/>
      </w:r>
      <w:r>
        <w:rPr>
          <w:rFonts w:hint="eastAsia"/>
        </w:rPr>
        <w:instrText xml:space="preserve"> </w:instrText>
      </w:r>
      <w:r>
        <w:instrText xml:space="preserve">PAGEREF _Toc233981665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"_Toc233981666" </w:instrText>
      </w:r>
      <w:r>
        <w:fldChar w:fldCharType="separate"/>
      </w:r>
      <w:r>
        <w:rPr>
          <w:rStyle w:val="30"/>
          <w:rFonts w:hint="eastAsia"/>
          <w14:scene3d w14:prst="orthographicFront">
            <w14:lightRig w14:rig="threePt" w14:dir="t">
              <w14:rot w14:lat="0" w14:lon="0" w14:rev="0"/>
            </w14:lightRig>
          </w14:scene3d>
        </w:rPr>
        <w:t>6.4</w:t>
      </w:r>
      <w:r>
        <w:rPr>
          <w:rStyle w:val="30"/>
          <w14:scene3d w14:prst="orthographicFront">
            <w14:lightRig w14:rig="threePt" w14:dir="t">
              <w14:rot w14:lat="0" w14:lon="0" w14:rev="0"/>
            </w14:lightRig>
          </w14:scene3d>
        </w:rPr>
        <w:t xml:space="preserve"> </w:t>
      </w:r>
      <w:r>
        <w:rPr>
          <w:rStyle w:val="30"/>
          <w:rFonts w:hint="eastAsia"/>
        </w:rPr>
        <w:t xml:space="preserve"> 平台层</w:t>
      </w:r>
      <w:r>
        <w:rPr>
          <w:rFonts w:hint="eastAsia"/>
        </w:rPr>
        <w:tab/>
      </w:r>
      <w:r>
        <w:rPr>
          <w:rFonts w:hint="eastAsia"/>
        </w:rPr>
        <w:fldChar w:fldCharType="begin"/>
      </w:r>
      <w:r>
        <w:rPr>
          <w:rFonts w:hint="eastAsia"/>
        </w:rPr>
        <w:instrText xml:space="preserve"> </w:instrText>
      </w:r>
      <w:r>
        <w:instrText xml:space="preserve">PAGEREF _Toc233981666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"_Toc233981667" </w:instrText>
      </w:r>
      <w:r>
        <w:fldChar w:fldCharType="separate"/>
      </w:r>
      <w:r>
        <w:rPr>
          <w:rStyle w:val="30"/>
          <w:rFonts w:hint="eastAsia"/>
          <w14:scene3d w14:prst="orthographicFront">
            <w14:lightRig w14:rig="threePt" w14:dir="t">
              <w14:rot w14:lat="0" w14:lon="0" w14:rev="0"/>
            </w14:lightRig>
          </w14:scene3d>
        </w:rPr>
        <w:t>6.5</w:t>
      </w:r>
      <w:r>
        <w:rPr>
          <w:rStyle w:val="30"/>
          <w14:scene3d w14:prst="orthographicFront">
            <w14:lightRig w14:rig="threePt" w14:dir="t">
              <w14:rot w14:lat="0" w14:lon="0" w14:rev="0"/>
            </w14:lightRig>
          </w14:scene3d>
        </w:rPr>
        <w:t xml:space="preserve"> </w:t>
      </w:r>
      <w:r>
        <w:rPr>
          <w:rStyle w:val="30"/>
          <w:rFonts w:hint="eastAsia"/>
        </w:rPr>
        <w:t xml:space="preserve"> 应用层</w:t>
      </w:r>
      <w:r>
        <w:rPr>
          <w:rFonts w:hint="eastAsia"/>
        </w:rPr>
        <w:tab/>
      </w:r>
      <w:r>
        <w:rPr>
          <w:rFonts w:hint="eastAsia"/>
        </w:rPr>
        <w:fldChar w:fldCharType="begin"/>
      </w:r>
      <w:r>
        <w:rPr>
          <w:rFonts w:hint="eastAsia"/>
        </w:rPr>
        <w:instrText xml:space="preserve"> </w:instrText>
      </w:r>
      <w:r>
        <w:instrText xml:space="preserve">PAGEREF _Toc233981667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"_Toc233981668" </w:instrText>
      </w:r>
      <w:r>
        <w:fldChar w:fldCharType="separate"/>
      </w:r>
      <w:r>
        <w:rPr>
          <w:rStyle w:val="30"/>
          <w:rFonts w:hint="eastAsia"/>
        </w:rPr>
        <w:t>7</w:t>
      </w:r>
      <w:r>
        <w:rPr>
          <w:rStyle w:val="30"/>
        </w:rPr>
        <w:t xml:space="preserve"> </w:t>
      </w:r>
      <w:r>
        <w:rPr>
          <w:rStyle w:val="30"/>
          <w:rFonts w:hint="eastAsia"/>
        </w:rPr>
        <w:t xml:space="preserve"> 基础能力建设</w:t>
      </w:r>
      <w:r>
        <w:rPr>
          <w:rFonts w:hint="eastAsia"/>
        </w:rPr>
        <w:tab/>
      </w:r>
      <w:r>
        <w:rPr>
          <w:rFonts w:hint="eastAsia"/>
        </w:rPr>
        <w:fldChar w:fldCharType="begin"/>
      </w:r>
      <w:r>
        <w:rPr>
          <w:rFonts w:hint="eastAsia"/>
        </w:rPr>
        <w:instrText xml:space="preserve"> </w:instrText>
      </w:r>
      <w:r>
        <w:instrText xml:space="preserve">PAGEREF _Toc233981668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"_Toc233981669" </w:instrText>
      </w:r>
      <w:r>
        <w:fldChar w:fldCharType="separate"/>
      </w:r>
      <w:r>
        <w:rPr>
          <w:rStyle w:val="30"/>
          <w:rFonts w:hint="eastAsia"/>
          <w14:scene3d w14:prst="orthographicFront">
            <w14:lightRig w14:rig="threePt" w14:dir="t">
              <w14:rot w14:lat="0" w14:lon="0" w14:rev="0"/>
            </w14:lightRig>
          </w14:scene3d>
        </w:rPr>
        <w:t>7.1</w:t>
      </w:r>
      <w:r>
        <w:rPr>
          <w:rStyle w:val="30"/>
          <w14:scene3d w14:prst="orthographicFront">
            <w14:lightRig w14:rig="threePt" w14:dir="t">
              <w14:rot w14:lat="0" w14:lon="0" w14:rev="0"/>
            </w14:lightRig>
          </w14:scene3d>
        </w:rPr>
        <w:t xml:space="preserve"> </w:t>
      </w:r>
      <w:r>
        <w:rPr>
          <w:rStyle w:val="30"/>
          <w:rFonts w:hint="eastAsia"/>
        </w:rPr>
        <w:t xml:space="preserve"> 智能化基础</w:t>
      </w:r>
      <w:r>
        <w:rPr>
          <w:rFonts w:hint="eastAsia"/>
        </w:rPr>
        <w:tab/>
      </w:r>
      <w:r>
        <w:rPr>
          <w:rFonts w:hint="eastAsia"/>
        </w:rPr>
        <w:fldChar w:fldCharType="begin"/>
      </w:r>
      <w:r>
        <w:rPr>
          <w:rFonts w:hint="eastAsia"/>
        </w:rPr>
        <w:instrText xml:space="preserve"> </w:instrText>
      </w:r>
      <w:r>
        <w:instrText xml:space="preserve">PAGEREF _Toc233981669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"_Toc233981670" </w:instrText>
      </w:r>
      <w:r>
        <w:fldChar w:fldCharType="separate"/>
      </w:r>
      <w:r>
        <w:rPr>
          <w:rStyle w:val="30"/>
          <w:rFonts w:hint="eastAsia"/>
          <w14:scene3d w14:prst="orthographicFront">
            <w14:lightRig w14:rig="threePt" w14:dir="t">
              <w14:rot w14:lat="0" w14:lon="0" w14:rev="0"/>
            </w14:lightRig>
          </w14:scene3d>
        </w:rPr>
        <w:t>7.2</w:t>
      </w:r>
      <w:r>
        <w:rPr>
          <w:rStyle w:val="30"/>
          <w14:scene3d w14:prst="orthographicFront">
            <w14:lightRig w14:rig="threePt" w14:dir="t">
              <w14:rot w14:lat="0" w14:lon="0" w14:rev="0"/>
            </w14:lightRig>
          </w14:scene3d>
        </w:rPr>
        <w:t xml:space="preserve"> </w:t>
      </w:r>
      <w:r>
        <w:rPr>
          <w:rStyle w:val="30"/>
          <w:rFonts w:hint="eastAsia"/>
        </w:rPr>
        <w:t xml:space="preserve"> 数字化基础</w:t>
      </w:r>
      <w:r>
        <w:rPr>
          <w:rFonts w:hint="eastAsia"/>
        </w:rPr>
        <w:tab/>
      </w:r>
      <w:r>
        <w:rPr>
          <w:rFonts w:hint="eastAsia"/>
        </w:rPr>
        <w:fldChar w:fldCharType="begin"/>
      </w:r>
      <w:r>
        <w:rPr>
          <w:rFonts w:hint="eastAsia"/>
        </w:rPr>
        <w:instrText xml:space="preserve"> </w:instrText>
      </w:r>
      <w:r>
        <w:instrText xml:space="preserve">PAGEREF _Toc233981670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"_Toc233981671" </w:instrText>
      </w:r>
      <w:r>
        <w:fldChar w:fldCharType="separate"/>
      </w:r>
      <w:r>
        <w:rPr>
          <w:rStyle w:val="30"/>
          <w:rFonts w:hint="eastAsia"/>
          <w14:scene3d w14:prst="orthographicFront">
            <w14:lightRig w14:rig="threePt" w14:dir="t">
              <w14:rot w14:lat="0" w14:lon="0" w14:rev="0"/>
            </w14:lightRig>
          </w14:scene3d>
        </w:rPr>
        <w:t>7.3</w:t>
      </w:r>
      <w:r>
        <w:rPr>
          <w:rStyle w:val="30"/>
          <w14:scene3d w14:prst="orthographicFront">
            <w14:lightRig w14:rig="threePt" w14:dir="t">
              <w14:rot w14:lat="0" w14:lon="0" w14:rev="0"/>
            </w14:lightRig>
          </w14:scene3d>
        </w:rPr>
        <w:t xml:space="preserve"> </w:t>
      </w:r>
      <w:r>
        <w:rPr>
          <w:rStyle w:val="30"/>
          <w:rFonts w:hint="eastAsia"/>
        </w:rPr>
        <w:t xml:space="preserve"> 网络化基础</w:t>
      </w:r>
      <w:r>
        <w:rPr>
          <w:rFonts w:hint="eastAsia"/>
        </w:rPr>
        <w:tab/>
      </w:r>
      <w:r>
        <w:rPr>
          <w:rFonts w:hint="eastAsia"/>
        </w:rPr>
        <w:fldChar w:fldCharType="begin"/>
      </w:r>
      <w:r>
        <w:rPr>
          <w:rFonts w:hint="eastAsia"/>
        </w:rPr>
        <w:instrText xml:space="preserve"> </w:instrText>
      </w:r>
      <w:r>
        <w:instrText xml:space="preserve">PAGEREF _Toc233981671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"_Toc233981672" </w:instrText>
      </w:r>
      <w:r>
        <w:fldChar w:fldCharType="separate"/>
      </w:r>
      <w:r>
        <w:rPr>
          <w:rStyle w:val="30"/>
          <w:rFonts w:hint="eastAsia"/>
          <w14:scene3d w14:prst="orthographicFront">
            <w14:lightRig w14:rig="threePt" w14:dir="t">
              <w14:rot w14:lat="0" w14:lon="0" w14:rev="0"/>
            </w14:lightRig>
          </w14:scene3d>
        </w:rPr>
        <w:t>7.4</w:t>
      </w:r>
      <w:r>
        <w:rPr>
          <w:rStyle w:val="30"/>
          <w14:scene3d w14:prst="orthographicFront">
            <w14:lightRig w14:rig="threePt" w14:dir="t">
              <w14:rot w14:lat="0" w14:lon="0" w14:rev="0"/>
            </w14:lightRig>
          </w14:scene3d>
        </w:rPr>
        <w:t xml:space="preserve"> </w:t>
      </w:r>
      <w:r>
        <w:rPr>
          <w:rStyle w:val="30"/>
          <w:rFonts w:hint="eastAsia"/>
        </w:rPr>
        <w:t xml:space="preserve"> 人才基础</w:t>
      </w:r>
      <w:r>
        <w:rPr>
          <w:rFonts w:hint="eastAsia"/>
        </w:rPr>
        <w:tab/>
      </w:r>
      <w:r>
        <w:rPr>
          <w:rFonts w:hint="eastAsia"/>
        </w:rPr>
        <w:fldChar w:fldCharType="begin"/>
      </w:r>
      <w:r>
        <w:rPr>
          <w:rFonts w:hint="eastAsia"/>
        </w:rPr>
        <w:instrText xml:space="preserve"> </w:instrText>
      </w:r>
      <w:r>
        <w:instrText xml:space="preserve">PAGEREF _Toc233981672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"_Toc233981673" </w:instrText>
      </w:r>
      <w:r>
        <w:fldChar w:fldCharType="separate"/>
      </w:r>
      <w:r>
        <w:rPr>
          <w:rStyle w:val="30"/>
          <w:rFonts w:hint="eastAsia"/>
        </w:rPr>
        <w:t>8</w:t>
      </w:r>
      <w:r>
        <w:rPr>
          <w:rStyle w:val="30"/>
        </w:rPr>
        <w:t xml:space="preserve"> </w:t>
      </w:r>
      <w:r>
        <w:rPr>
          <w:rStyle w:val="30"/>
          <w:rFonts w:hint="eastAsia"/>
        </w:rPr>
        <w:t xml:space="preserve"> 关键环节建设</w:t>
      </w:r>
      <w:r>
        <w:rPr>
          <w:rFonts w:hint="eastAsia"/>
        </w:rPr>
        <w:tab/>
      </w:r>
      <w:r>
        <w:rPr>
          <w:rFonts w:hint="eastAsia"/>
        </w:rPr>
        <w:fldChar w:fldCharType="begin"/>
      </w:r>
      <w:r>
        <w:rPr>
          <w:rFonts w:hint="eastAsia"/>
        </w:rPr>
        <w:instrText xml:space="preserve"> </w:instrText>
      </w:r>
      <w:r>
        <w:instrText xml:space="preserve">PAGEREF _Toc233981673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"_Toc233981674" </w:instrText>
      </w:r>
      <w:r>
        <w:fldChar w:fldCharType="separate"/>
      </w:r>
      <w:r>
        <w:rPr>
          <w:rStyle w:val="30"/>
          <w:rFonts w:hint="eastAsia"/>
          <w14:scene3d w14:prst="orthographicFront">
            <w14:lightRig w14:rig="threePt" w14:dir="t">
              <w14:rot w14:lat="0" w14:lon="0" w14:rev="0"/>
            </w14:lightRig>
          </w14:scene3d>
        </w:rPr>
        <w:t>8.1</w:t>
      </w:r>
      <w:r>
        <w:rPr>
          <w:rStyle w:val="30"/>
          <w14:scene3d w14:prst="orthographicFront">
            <w14:lightRig w14:rig="threePt" w14:dir="t">
              <w14:rot w14:lat="0" w14:lon="0" w14:rev="0"/>
            </w14:lightRig>
          </w14:scene3d>
        </w:rPr>
        <w:t xml:space="preserve"> </w:t>
      </w:r>
      <w:r>
        <w:rPr>
          <w:rStyle w:val="30"/>
          <w:rFonts w:hint="eastAsia"/>
        </w:rPr>
        <w:t xml:space="preserve"> 计划调度</w:t>
      </w:r>
      <w:r>
        <w:rPr>
          <w:rFonts w:hint="eastAsia"/>
        </w:rPr>
        <w:tab/>
      </w:r>
      <w:r>
        <w:rPr>
          <w:rFonts w:hint="eastAsia"/>
        </w:rPr>
        <w:fldChar w:fldCharType="begin"/>
      </w:r>
      <w:r>
        <w:rPr>
          <w:rFonts w:hint="eastAsia"/>
        </w:rPr>
        <w:instrText xml:space="preserve"> </w:instrText>
      </w:r>
      <w:r>
        <w:instrText xml:space="preserve">PAGEREF _Toc233981674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"_Toc233981675" </w:instrText>
      </w:r>
      <w:r>
        <w:fldChar w:fldCharType="separate"/>
      </w:r>
      <w:r>
        <w:rPr>
          <w:rStyle w:val="30"/>
          <w:rFonts w:hint="eastAsia"/>
          <w14:scene3d w14:prst="orthographicFront">
            <w14:lightRig w14:rig="threePt" w14:dir="t">
              <w14:rot w14:lat="0" w14:lon="0" w14:rev="0"/>
            </w14:lightRig>
          </w14:scene3d>
        </w:rPr>
        <w:t>8.2</w:t>
      </w:r>
      <w:r>
        <w:rPr>
          <w:rStyle w:val="30"/>
          <w14:scene3d w14:prst="orthographicFront">
            <w14:lightRig w14:rig="threePt" w14:dir="t">
              <w14:rot w14:lat="0" w14:lon="0" w14:rev="0"/>
            </w14:lightRig>
          </w14:scene3d>
        </w:rPr>
        <w:t xml:space="preserve"> </w:t>
      </w:r>
      <w:r>
        <w:rPr>
          <w:rStyle w:val="30"/>
          <w:rFonts w:hint="eastAsia"/>
        </w:rPr>
        <w:t xml:space="preserve"> 生产作业</w:t>
      </w:r>
      <w:r>
        <w:rPr>
          <w:rFonts w:hint="eastAsia"/>
        </w:rPr>
        <w:tab/>
      </w:r>
      <w:r>
        <w:rPr>
          <w:rFonts w:hint="eastAsia"/>
        </w:rPr>
        <w:fldChar w:fldCharType="begin"/>
      </w:r>
      <w:r>
        <w:rPr>
          <w:rFonts w:hint="eastAsia"/>
        </w:rPr>
        <w:instrText xml:space="preserve"> </w:instrText>
      </w:r>
      <w:r>
        <w:instrText xml:space="preserve">PAGEREF _Toc233981675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"_Toc233981676" </w:instrText>
      </w:r>
      <w:r>
        <w:fldChar w:fldCharType="separate"/>
      </w:r>
      <w:r>
        <w:rPr>
          <w:rStyle w:val="30"/>
          <w:rFonts w:hint="eastAsia"/>
          <w14:scene3d w14:prst="orthographicFront">
            <w14:lightRig w14:rig="threePt" w14:dir="t">
              <w14:rot w14:lat="0" w14:lon="0" w14:rev="0"/>
            </w14:lightRig>
          </w14:scene3d>
        </w:rPr>
        <w:t>8.3</w:t>
      </w:r>
      <w:r>
        <w:rPr>
          <w:rStyle w:val="30"/>
          <w14:scene3d w14:prst="orthographicFront">
            <w14:lightRig w14:rig="threePt" w14:dir="t">
              <w14:rot w14:lat="0" w14:lon="0" w14:rev="0"/>
            </w14:lightRig>
          </w14:scene3d>
        </w:rPr>
        <w:t xml:space="preserve"> </w:t>
      </w:r>
      <w:r>
        <w:rPr>
          <w:rStyle w:val="30"/>
          <w:rFonts w:hint="eastAsia"/>
        </w:rPr>
        <w:t xml:space="preserve"> 仓储配送</w:t>
      </w:r>
      <w:r>
        <w:rPr>
          <w:rFonts w:hint="eastAsia"/>
        </w:rPr>
        <w:tab/>
      </w:r>
      <w:r>
        <w:rPr>
          <w:rFonts w:hint="eastAsia"/>
        </w:rPr>
        <w:fldChar w:fldCharType="begin"/>
      </w:r>
      <w:r>
        <w:rPr>
          <w:rFonts w:hint="eastAsia"/>
        </w:rPr>
        <w:instrText xml:space="preserve"> </w:instrText>
      </w:r>
      <w:r>
        <w:instrText xml:space="preserve">PAGEREF _Toc233981676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"_Toc233981677" </w:instrText>
      </w:r>
      <w:r>
        <w:fldChar w:fldCharType="separate"/>
      </w:r>
      <w:r>
        <w:rPr>
          <w:rStyle w:val="30"/>
          <w:rFonts w:hint="eastAsia"/>
          <w14:scene3d w14:prst="orthographicFront">
            <w14:lightRig w14:rig="threePt" w14:dir="t">
              <w14:rot w14:lat="0" w14:lon="0" w14:rev="0"/>
            </w14:lightRig>
          </w14:scene3d>
        </w:rPr>
        <w:t>8.4</w:t>
      </w:r>
      <w:r>
        <w:rPr>
          <w:rStyle w:val="30"/>
          <w14:scene3d w14:prst="orthographicFront">
            <w14:lightRig w14:rig="threePt" w14:dir="t">
              <w14:rot w14:lat="0" w14:lon="0" w14:rev="0"/>
            </w14:lightRig>
          </w14:scene3d>
        </w:rPr>
        <w:t xml:space="preserve"> </w:t>
      </w:r>
      <w:r>
        <w:rPr>
          <w:rStyle w:val="30"/>
          <w:rFonts w:hint="eastAsia"/>
        </w:rPr>
        <w:t xml:space="preserve"> 质量管理</w:t>
      </w:r>
      <w:r>
        <w:rPr>
          <w:rFonts w:hint="eastAsia"/>
        </w:rPr>
        <w:tab/>
      </w:r>
      <w:r>
        <w:rPr>
          <w:rFonts w:hint="eastAsia"/>
        </w:rPr>
        <w:fldChar w:fldCharType="begin"/>
      </w:r>
      <w:r>
        <w:rPr>
          <w:rFonts w:hint="eastAsia"/>
        </w:rPr>
        <w:instrText xml:space="preserve"> </w:instrText>
      </w:r>
      <w:r>
        <w:instrText xml:space="preserve">PAGEREF _Toc233981677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"_Toc233981678" </w:instrText>
      </w:r>
      <w:r>
        <w:fldChar w:fldCharType="separate"/>
      </w:r>
      <w:r>
        <w:rPr>
          <w:rStyle w:val="30"/>
          <w:rFonts w:hint="eastAsia"/>
          <w14:scene3d w14:prst="orthographicFront">
            <w14:lightRig w14:rig="threePt" w14:dir="t">
              <w14:rot w14:lat="0" w14:lon="0" w14:rev="0"/>
            </w14:lightRig>
          </w14:scene3d>
        </w:rPr>
        <w:t>8.5</w:t>
      </w:r>
      <w:r>
        <w:rPr>
          <w:rStyle w:val="30"/>
          <w14:scene3d w14:prst="orthographicFront">
            <w14:lightRig w14:rig="threePt" w14:dir="t">
              <w14:rot w14:lat="0" w14:lon="0" w14:rev="0"/>
            </w14:lightRig>
          </w14:scene3d>
        </w:rPr>
        <w:t xml:space="preserve"> </w:t>
      </w:r>
      <w:r>
        <w:rPr>
          <w:rStyle w:val="30"/>
          <w:rFonts w:hint="eastAsia"/>
        </w:rPr>
        <w:t xml:space="preserve"> 供应链管理</w:t>
      </w:r>
      <w:r>
        <w:rPr>
          <w:rFonts w:hint="eastAsia"/>
        </w:rPr>
        <w:tab/>
      </w:r>
      <w:r>
        <w:rPr>
          <w:rFonts w:hint="eastAsia"/>
        </w:rPr>
        <w:fldChar w:fldCharType="begin"/>
      </w:r>
      <w:r>
        <w:rPr>
          <w:rFonts w:hint="eastAsia"/>
        </w:rPr>
        <w:instrText xml:space="preserve"> </w:instrText>
      </w:r>
      <w:r>
        <w:instrText xml:space="preserve">PAGEREF _Toc233981678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"_Toc233981679" </w:instrText>
      </w:r>
      <w:r>
        <w:fldChar w:fldCharType="separate"/>
      </w:r>
      <w:r>
        <w:rPr>
          <w:rStyle w:val="30"/>
          <w:rFonts w:hint="eastAsia"/>
          <w14:scene3d w14:prst="orthographicFront">
            <w14:lightRig w14:rig="threePt" w14:dir="t">
              <w14:rot w14:lat="0" w14:lon="0" w14:rev="0"/>
            </w14:lightRig>
          </w14:scene3d>
        </w:rPr>
        <w:t>8.6</w:t>
      </w:r>
      <w:r>
        <w:rPr>
          <w:rStyle w:val="30"/>
          <w14:scene3d w14:prst="orthographicFront">
            <w14:lightRig w14:rig="threePt" w14:dir="t">
              <w14:rot w14:lat="0" w14:lon="0" w14:rev="0"/>
            </w14:lightRig>
          </w14:scene3d>
        </w:rPr>
        <w:t xml:space="preserve"> </w:t>
      </w:r>
      <w:r>
        <w:rPr>
          <w:rStyle w:val="30"/>
          <w:rFonts w:hint="eastAsia"/>
        </w:rPr>
        <w:t xml:space="preserve"> 能源管理</w:t>
      </w:r>
      <w:r>
        <w:rPr>
          <w:rFonts w:hint="eastAsia"/>
        </w:rPr>
        <w:tab/>
      </w:r>
      <w:r>
        <w:rPr>
          <w:rFonts w:hint="eastAsia"/>
        </w:rPr>
        <w:fldChar w:fldCharType="begin"/>
      </w:r>
      <w:r>
        <w:rPr>
          <w:rFonts w:hint="eastAsia"/>
        </w:rPr>
        <w:instrText xml:space="preserve"> </w:instrText>
      </w:r>
      <w:r>
        <w:instrText xml:space="preserve">PAGEREF _Toc233981679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"_Toc233981680" </w:instrText>
      </w:r>
      <w:r>
        <w:fldChar w:fldCharType="separate"/>
      </w:r>
      <w:r>
        <w:rPr>
          <w:rStyle w:val="30"/>
          <w:rFonts w:hint="eastAsia"/>
          <w14:scene3d w14:prst="orthographicFront">
            <w14:lightRig w14:rig="threePt" w14:dir="t">
              <w14:rot w14:lat="0" w14:lon="0" w14:rev="0"/>
            </w14:lightRig>
          </w14:scene3d>
        </w:rPr>
        <w:t>8.7</w:t>
      </w:r>
      <w:r>
        <w:rPr>
          <w:rStyle w:val="30"/>
          <w14:scene3d w14:prst="orthographicFront">
            <w14:lightRig w14:rig="threePt" w14:dir="t">
              <w14:rot w14:lat="0" w14:lon="0" w14:rev="0"/>
            </w14:lightRig>
          </w14:scene3d>
        </w:rPr>
        <w:t xml:space="preserve"> </w:t>
      </w:r>
      <w:r>
        <w:rPr>
          <w:rStyle w:val="30"/>
          <w:rFonts w:hint="eastAsia"/>
        </w:rPr>
        <w:t xml:space="preserve"> 设备管理</w:t>
      </w:r>
      <w:r>
        <w:rPr>
          <w:rFonts w:hint="eastAsia"/>
        </w:rPr>
        <w:tab/>
      </w:r>
      <w:r>
        <w:rPr>
          <w:rFonts w:hint="eastAsia"/>
        </w:rPr>
        <w:fldChar w:fldCharType="begin"/>
      </w:r>
      <w:r>
        <w:rPr>
          <w:rFonts w:hint="eastAsia"/>
        </w:rPr>
        <w:instrText xml:space="preserve"> </w:instrText>
      </w:r>
      <w:r>
        <w:instrText xml:space="preserve">PAGEREF _Toc233981680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"_Toc233981681" </w:instrText>
      </w:r>
      <w:r>
        <w:fldChar w:fldCharType="separate"/>
      </w:r>
      <w:r>
        <w:rPr>
          <w:rStyle w:val="30"/>
          <w:rFonts w:hint="eastAsia"/>
          <w14:scene3d w14:prst="orthographicFront">
            <w14:lightRig w14:rig="threePt" w14:dir="t">
              <w14:rot w14:lat="0" w14:lon="0" w14:rev="0"/>
            </w14:lightRig>
          </w14:scene3d>
        </w:rPr>
        <w:t>8.8</w:t>
      </w:r>
      <w:r>
        <w:rPr>
          <w:rStyle w:val="30"/>
          <w14:scene3d w14:prst="orthographicFront">
            <w14:lightRig w14:rig="threePt" w14:dir="t">
              <w14:rot w14:lat="0" w14:lon="0" w14:rev="0"/>
            </w14:lightRig>
          </w14:scene3d>
        </w:rPr>
        <w:t xml:space="preserve"> </w:t>
      </w:r>
      <w:r>
        <w:rPr>
          <w:rStyle w:val="30"/>
          <w:rFonts w:hint="eastAsia"/>
        </w:rPr>
        <w:t xml:space="preserve"> 安全生产</w:t>
      </w:r>
      <w:r>
        <w:rPr>
          <w:rFonts w:hint="eastAsia"/>
        </w:rPr>
        <w:tab/>
      </w:r>
      <w:r>
        <w:rPr>
          <w:rFonts w:hint="eastAsia"/>
        </w:rPr>
        <w:fldChar w:fldCharType="begin"/>
      </w:r>
      <w:r>
        <w:rPr>
          <w:rFonts w:hint="eastAsia"/>
        </w:rPr>
        <w:instrText xml:space="preserve"> </w:instrText>
      </w:r>
      <w:r>
        <w:instrText xml:space="preserve">PAGEREF _Toc233981681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"_Toc233981682" </w:instrText>
      </w:r>
      <w:r>
        <w:fldChar w:fldCharType="separate"/>
      </w:r>
      <w:r>
        <w:rPr>
          <w:rStyle w:val="30"/>
          <w:rFonts w:hint="eastAsia"/>
          <w14:scene3d w14:prst="orthographicFront">
            <w14:lightRig w14:rig="threePt" w14:dir="t">
              <w14:rot w14:lat="0" w14:lon="0" w14:rev="0"/>
            </w14:lightRig>
          </w14:scene3d>
        </w:rPr>
        <w:t>8.9</w:t>
      </w:r>
      <w:r>
        <w:rPr>
          <w:rStyle w:val="30"/>
          <w14:scene3d w14:prst="orthographicFront">
            <w14:lightRig w14:rig="threePt" w14:dir="t">
              <w14:rot w14:lat="0" w14:lon="0" w14:rev="0"/>
            </w14:lightRig>
          </w14:scene3d>
        </w:rPr>
        <w:t xml:space="preserve"> </w:t>
      </w:r>
      <w:r>
        <w:rPr>
          <w:rStyle w:val="30"/>
          <w:rFonts w:hint="eastAsia"/>
        </w:rPr>
        <w:t xml:space="preserve"> 环境管控</w:t>
      </w:r>
      <w:r>
        <w:rPr>
          <w:rFonts w:hint="eastAsia"/>
        </w:rPr>
        <w:tab/>
      </w:r>
      <w:r>
        <w:rPr>
          <w:rFonts w:hint="eastAsia"/>
        </w:rPr>
        <w:fldChar w:fldCharType="begin"/>
      </w:r>
      <w:r>
        <w:rPr>
          <w:rFonts w:hint="eastAsia"/>
        </w:rPr>
        <w:instrText xml:space="preserve"> </w:instrText>
      </w:r>
      <w:r>
        <w:instrText xml:space="preserve">PAGEREF _Toc233981682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"_Toc233981683" </w:instrText>
      </w:r>
      <w:r>
        <w:fldChar w:fldCharType="separate"/>
      </w:r>
      <w:r>
        <w:rPr>
          <w:rStyle w:val="30"/>
          <w:rFonts w:hint="eastAsia"/>
        </w:rPr>
        <w:t>9</w:t>
      </w:r>
      <w:r>
        <w:rPr>
          <w:rStyle w:val="30"/>
        </w:rPr>
        <w:t xml:space="preserve"> </w:t>
      </w:r>
      <w:r>
        <w:rPr>
          <w:rStyle w:val="30"/>
          <w:rFonts w:hint="eastAsia"/>
        </w:rPr>
        <w:t xml:space="preserve"> 网络化连接</w:t>
      </w:r>
      <w:r>
        <w:rPr>
          <w:rFonts w:hint="eastAsia"/>
        </w:rPr>
        <w:tab/>
      </w:r>
      <w:r>
        <w:rPr>
          <w:rFonts w:hint="eastAsia"/>
        </w:rPr>
        <w:fldChar w:fldCharType="begin"/>
      </w:r>
      <w:r>
        <w:rPr>
          <w:rFonts w:hint="eastAsia"/>
        </w:rPr>
        <w:instrText xml:space="preserve"> </w:instrText>
      </w:r>
      <w:r>
        <w:instrText xml:space="preserve">PAGEREF _Toc233981683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"_Toc233981684" </w:instrText>
      </w:r>
      <w:r>
        <w:fldChar w:fldCharType="separate"/>
      </w:r>
      <w:r>
        <w:rPr>
          <w:rStyle w:val="30"/>
          <w:rFonts w:hint="eastAsia"/>
          <w14:scene3d w14:prst="orthographicFront">
            <w14:lightRig w14:rig="threePt" w14:dir="t">
              <w14:rot w14:lat="0" w14:lon="0" w14:rev="0"/>
            </w14:lightRig>
          </w14:scene3d>
        </w:rPr>
        <w:t>9.1</w:t>
      </w:r>
      <w:r>
        <w:rPr>
          <w:rStyle w:val="30"/>
          <w14:scene3d w14:prst="orthographicFront">
            <w14:lightRig w14:rig="threePt" w14:dir="t">
              <w14:rot w14:lat="0" w14:lon="0" w14:rev="0"/>
            </w14:lightRig>
          </w14:scene3d>
        </w:rPr>
        <w:t xml:space="preserve"> </w:t>
      </w:r>
      <w:r>
        <w:rPr>
          <w:rStyle w:val="30"/>
          <w:rFonts w:hint="eastAsia"/>
        </w:rPr>
        <w:t xml:space="preserve"> 产业链联接</w:t>
      </w:r>
      <w:r>
        <w:rPr>
          <w:rFonts w:hint="eastAsia"/>
        </w:rPr>
        <w:tab/>
      </w:r>
      <w:r>
        <w:rPr>
          <w:rFonts w:hint="eastAsia"/>
        </w:rPr>
        <w:fldChar w:fldCharType="begin"/>
      </w:r>
      <w:r>
        <w:rPr>
          <w:rFonts w:hint="eastAsia"/>
        </w:rPr>
        <w:instrText xml:space="preserve"> </w:instrText>
      </w:r>
      <w:r>
        <w:instrText xml:space="preserve">PAGEREF _Toc233981684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"_Toc233981685" </w:instrText>
      </w:r>
      <w:r>
        <w:fldChar w:fldCharType="separate"/>
      </w:r>
      <w:r>
        <w:rPr>
          <w:rStyle w:val="30"/>
          <w:rFonts w:hint="eastAsia"/>
          <w14:scene3d w14:prst="orthographicFront">
            <w14:lightRig w14:rig="threePt" w14:dir="t">
              <w14:rot w14:lat="0" w14:lon="0" w14:rev="0"/>
            </w14:lightRig>
          </w14:scene3d>
        </w:rPr>
        <w:t>9.2</w:t>
      </w:r>
      <w:r>
        <w:rPr>
          <w:rStyle w:val="30"/>
          <w14:scene3d w14:prst="orthographicFront">
            <w14:lightRig w14:rig="threePt" w14:dir="t">
              <w14:rot w14:lat="0" w14:lon="0" w14:rev="0"/>
            </w14:lightRig>
          </w14:scene3d>
        </w:rPr>
        <w:t xml:space="preserve"> </w:t>
      </w:r>
      <w:r>
        <w:rPr>
          <w:rStyle w:val="30"/>
          <w:rFonts w:hint="eastAsia"/>
        </w:rPr>
        <w:t xml:space="preserve"> 园区和监管联接</w:t>
      </w:r>
      <w:r>
        <w:rPr>
          <w:rFonts w:hint="eastAsia"/>
        </w:rPr>
        <w:tab/>
      </w:r>
      <w:r>
        <w:rPr>
          <w:rFonts w:hint="eastAsia"/>
        </w:rPr>
        <w:fldChar w:fldCharType="begin"/>
      </w:r>
      <w:r>
        <w:rPr>
          <w:rFonts w:hint="eastAsia"/>
        </w:rPr>
        <w:instrText xml:space="preserve"> </w:instrText>
      </w:r>
      <w:r>
        <w:instrText xml:space="preserve">PAGEREF _Toc233981685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"_Toc233981686" </w:instrText>
      </w:r>
      <w:r>
        <w:fldChar w:fldCharType="separate"/>
      </w:r>
      <w:r>
        <w:rPr>
          <w:rStyle w:val="30"/>
          <w:rFonts w:hint="eastAsia"/>
          <w14:scene3d w14:prst="orthographicFront">
            <w14:lightRig w14:rig="threePt" w14:dir="t">
              <w14:rot w14:lat="0" w14:lon="0" w14:rev="0"/>
            </w14:lightRig>
          </w14:scene3d>
        </w:rPr>
        <w:t>9.3</w:t>
      </w:r>
      <w:r>
        <w:rPr>
          <w:rStyle w:val="30"/>
          <w14:scene3d w14:prst="orthographicFront">
            <w14:lightRig w14:rig="threePt" w14:dir="t">
              <w14:rot w14:lat="0" w14:lon="0" w14:rev="0"/>
            </w14:lightRig>
          </w14:scene3d>
        </w:rPr>
        <w:t xml:space="preserve"> </w:t>
      </w:r>
      <w:r>
        <w:rPr>
          <w:rStyle w:val="30"/>
          <w:rFonts w:hint="eastAsia"/>
        </w:rPr>
        <w:t xml:space="preserve"> 第三方服务联接</w:t>
      </w:r>
      <w:r>
        <w:rPr>
          <w:rFonts w:hint="eastAsia"/>
        </w:rPr>
        <w:tab/>
      </w:r>
      <w:r>
        <w:rPr>
          <w:rFonts w:hint="eastAsia"/>
        </w:rPr>
        <w:fldChar w:fldCharType="begin"/>
      </w:r>
      <w:r>
        <w:rPr>
          <w:rFonts w:hint="eastAsia"/>
        </w:rPr>
        <w:instrText xml:space="preserve"> </w:instrText>
      </w:r>
      <w:r>
        <w:instrText xml:space="preserve">PAGEREF _Toc233981686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"_Toc233981687" </w:instrText>
      </w:r>
      <w:r>
        <w:fldChar w:fldCharType="separate"/>
      </w:r>
      <w:r>
        <w:rPr>
          <w:rStyle w:val="30"/>
          <w:rFonts w:hint="eastAsia"/>
          <w14:scene3d w14:prst="orthographicFront">
            <w14:lightRig w14:rig="threePt" w14:dir="t">
              <w14:rot w14:lat="0" w14:lon="0" w14:rev="0"/>
            </w14:lightRig>
          </w14:scene3d>
        </w:rPr>
        <w:t>9.4</w:t>
      </w:r>
      <w:r>
        <w:rPr>
          <w:rStyle w:val="30"/>
          <w14:scene3d w14:prst="orthographicFront">
            <w14:lightRig w14:rig="threePt" w14:dir="t">
              <w14:rot w14:lat="0" w14:lon="0" w14:rev="0"/>
            </w14:lightRig>
          </w14:scene3d>
        </w:rPr>
        <w:t xml:space="preserve"> </w:t>
      </w:r>
      <w:r>
        <w:rPr>
          <w:rStyle w:val="30"/>
          <w:rFonts w:hint="eastAsia"/>
        </w:rPr>
        <w:t xml:space="preserve"> 安全保障</w:t>
      </w:r>
      <w:r>
        <w:rPr>
          <w:rFonts w:hint="eastAsia"/>
        </w:rPr>
        <w:tab/>
      </w:r>
      <w:r>
        <w:rPr>
          <w:rFonts w:hint="eastAsia"/>
        </w:rPr>
        <w:fldChar w:fldCharType="begin"/>
      </w:r>
      <w:r>
        <w:rPr>
          <w:rFonts w:hint="eastAsia"/>
        </w:rPr>
        <w:instrText xml:space="preserve"> </w:instrText>
      </w:r>
      <w:r>
        <w:instrText xml:space="preserve">PAGEREF _Toc233981687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"_Toc233981688" </w:instrText>
      </w:r>
      <w:r>
        <w:fldChar w:fldCharType="separate"/>
      </w:r>
      <w:r>
        <w:rPr>
          <w:rStyle w:val="30"/>
          <w:rFonts w:hint="eastAsia"/>
        </w:rPr>
        <w:t>10</w:t>
      </w:r>
      <w:r>
        <w:rPr>
          <w:rStyle w:val="30"/>
        </w:rPr>
        <w:t xml:space="preserve"> </w:t>
      </w:r>
      <w:r>
        <w:rPr>
          <w:rStyle w:val="30"/>
          <w:rFonts w:hint="eastAsia"/>
        </w:rPr>
        <w:t xml:space="preserve"> 系统安全</w:t>
      </w:r>
      <w:r>
        <w:rPr>
          <w:rFonts w:hint="eastAsia"/>
        </w:rPr>
        <w:tab/>
      </w:r>
      <w:r>
        <w:rPr>
          <w:rFonts w:hint="eastAsia"/>
        </w:rPr>
        <w:fldChar w:fldCharType="begin"/>
      </w:r>
      <w:r>
        <w:rPr>
          <w:rFonts w:hint="eastAsia"/>
        </w:rPr>
        <w:instrText xml:space="preserve"> </w:instrText>
      </w:r>
      <w:r>
        <w:instrText xml:space="preserve">PAGEREF _Toc233981688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"_Toc233981689" </w:instrText>
      </w:r>
      <w:r>
        <w:fldChar w:fldCharType="separate"/>
      </w:r>
      <w:r>
        <w:rPr>
          <w:rStyle w:val="30"/>
          <w:rFonts w:hint="eastAsia"/>
          <w14:scene3d w14:prst="orthographicFront">
            <w14:lightRig w14:rig="threePt" w14:dir="t">
              <w14:rot w14:lat="0" w14:lon="0" w14:rev="0"/>
            </w14:lightRig>
          </w14:scene3d>
        </w:rPr>
        <w:t>10.1</w:t>
      </w:r>
      <w:r>
        <w:rPr>
          <w:rStyle w:val="30"/>
          <w14:scene3d w14:prst="orthographicFront">
            <w14:lightRig w14:rig="threePt" w14:dir="t">
              <w14:rot w14:lat="0" w14:lon="0" w14:rev="0"/>
            </w14:lightRig>
          </w14:scene3d>
        </w:rPr>
        <w:t xml:space="preserve"> </w:t>
      </w:r>
      <w:r>
        <w:rPr>
          <w:rStyle w:val="30"/>
          <w:rFonts w:hint="eastAsia"/>
        </w:rPr>
        <w:t xml:space="preserve"> 安全管理体系</w:t>
      </w:r>
      <w:r>
        <w:rPr>
          <w:rFonts w:hint="eastAsia"/>
        </w:rPr>
        <w:tab/>
      </w:r>
      <w:r>
        <w:rPr>
          <w:rFonts w:hint="eastAsia"/>
        </w:rPr>
        <w:fldChar w:fldCharType="begin"/>
      </w:r>
      <w:r>
        <w:rPr>
          <w:rFonts w:hint="eastAsia"/>
        </w:rPr>
        <w:instrText xml:space="preserve"> </w:instrText>
      </w:r>
      <w:r>
        <w:instrText xml:space="preserve">PAGEREF _Toc233981689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"_Toc233981690" </w:instrText>
      </w:r>
      <w:r>
        <w:fldChar w:fldCharType="separate"/>
      </w:r>
      <w:r>
        <w:rPr>
          <w:rStyle w:val="30"/>
          <w:rFonts w:hint="eastAsia"/>
          <w14:scene3d w14:prst="orthographicFront">
            <w14:lightRig w14:rig="threePt" w14:dir="t">
              <w14:rot w14:lat="0" w14:lon="0" w14:rev="0"/>
            </w14:lightRig>
          </w14:scene3d>
        </w:rPr>
        <w:t>10.2</w:t>
      </w:r>
      <w:r>
        <w:rPr>
          <w:rStyle w:val="30"/>
          <w14:scene3d w14:prst="orthographicFront">
            <w14:lightRig w14:rig="threePt" w14:dir="t">
              <w14:rot w14:lat="0" w14:lon="0" w14:rev="0"/>
            </w14:lightRig>
          </w14:scene3d>
        </w:rPr>
        <w:t xml:space="preserve"> </w:t>
      </w:r>
      <w:r>
        <w:rPr>
          <w:rStyle w:val="30"/>
          <w:rFonts w:hint="eastAsia"/>
        </w:rPr>
        <w:t xml:space="preserve"> 网络与主机安全</w:t>
      </w:r>
      <w:r>
        <w:rPr>
          <w:rFonts w:hint="eastAsia"/>
        </w:rPr>
        <w:tab/>
      </w:r>
      <w:r>
        <w:rPr>
          <w:rFonts w:hint="eastAsia"/>
        </w:rPr>
        <w:fldChar w:fldCharType="begin"/>
      </w:r>
      <w:r>
        <w:rPr>
          <w:rFonts w:hint="eastAsia"/>
        </w:rPr>
        <w:instrText xml:space="preserve"> </w:instrText>
      </w:r>
      <w:r>
        <w:instrText xml:space="preserve">PAGEREF _Toc233981690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"_Toc233981691" </w:instrText>
      </w:r>
      <w:r>
        <w:fldChar w:fldCharType="separate"/>
      </w:r>
      <w:r>
        <w:rPr>
          <w:rStyle w:val="30"/>
          <w:rFonts w:hint="eastAsia"/>
          <w14:scene3d w14:prst="orthographicFront">
            <w14:lightRig w14:rig="threePt" w14:dir="t">
              <w14:rot w14:lat="0" w14:lon="0" w14:rev="0"/>
            </w14:lightRig>
          </w14:scene3d>
        </w:rPr>
        <w:t>10.3</w:t>
      </w:r>
      <w:r>
        <w:rPr>
          <w:rStyle w:val="30"/>
          <w14:scene3d w14:prst="orthographicFront">
            <w14:lightRig w14:rig="threePt" w14:dir="t">
              <w14:rot w14:lat="0" w14:lon="0" w14:rev="0"/>
            </w14:lightRig>
          </w14:scene3d>
        </w:rPr>
        <w:t xml:space="preserve"> </w:t>
      </w:r>
      <w:r>
        <w:rPr>
          <w:rStyle w:val="30"/>
          <w:rFonts w:hint="eastAsia"/>
        </w:rPr>
        <w:t xml:space="preserve"> 应用与数据安全</w:t>
      </w:r>
      <w:r>
        <w:rPr>
          <w:rFonts w:hint="eastAsia"/>
        </w:rPr>
        <w:tab/>
      </w:r>
      <w:r>
        <w:rPr>
          <w:rFonts w:hint="eastAsia"/>
        </w:rPr>
        <w:fldChar w:fldCharType="begin"/>
      </w:r>
      <w:r>
        <w:rPr>
          <w:rFonts w:hint="eastAsia"/>
        </w:rPr>
        <w:instrText xml:space="preserve"> </w:instrText>
      </w:r>
      <w:r>
        <w:instrText xml:space="preserve">PAGEREF _Toc233981691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"_Toc233981692" </w:instrText>
      </w:r>
      <w:r>
        <w:fldChar w:fldCharType="separate"/>
      </w:r>
      <w:r>
        <w:rPr>
          <w:rStyle w:val="30"/>
          <w:rFonts w:hint="eastAsia"/>
          <w14:scene3d w14:prst="orthographicFront">
            <w14:lightRig w14:rig="threePt" w14:dir="t">
              <w14:rot w14:lat="0" w14:lon="0" w14:rev="0"/>
            </w14:lightRig>
          </w14:scene3d>
        </w:rPr>
        <w:t>10.4</w:t>
      </w:r>
      <w:r>
        <w:rPr>
          <w:rStyle w:val="30"/>
          <w14:scene3d w14:prst="orthographicFront">
            <w14:lightRig w14:rig="threePt" w14:dir="t">
              <w14:rot w14:lat="0" w14:lon="0" w14:rev="0"/>
            </w14:lightRig>
          </w14:scene3d>
        </w:rPr>
        <w:t xml:space="preserve"> </w:t>
      </w:r>
      <w:r>
        <w:rPr>
          <w:rStyle w:val="30"/>
          <w:rFonts w:hint="eastAsia"/>
        </w:rPr>
        <w:t xml:space="preserve"> 应急响应与业务连续性</w:t>
      </w:r>
      <w:r>
        <w:rPr>
          <w:rFonts w:hint="eastAsia"/>
        </w:rPr>
        <w:tab/>
      </w:r>
      <w:r>
        <w:rPr>
          <w:rFonts w:hint="eastAsia"/>
        </w:rPr>
        <w:fldChar w:fldCharType="begin"/>
      </w:r>
      <w:r>
        <w:rPr>
          <w:rFonts w:hint="eastAsia"/>
        </w:rPr>
        <w:instrText xml:space="preserve"> </w:instrText>
      </w:r>
      <w:r>
        <w:instrText xml:space="preserve">PAGEREF _Toc233981692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"_Toc233981693" </w:instrText>
      </w:r>
      <w:r>
        <w:fldChar w:fldCharType="separate"/>
      </w:r>
      <w:r>
        <w:rPr>
          <w:rStyle w:val="30"/>
          <w:rFonts w:hint="eastAsia"/>
        </w:rPr>
        <w:t>参考文献</w:t>
      </w:r>
      <w:r>
        <w:rPr>
          <w:rFonts w:hint="eastAsia"/>
        </w:rPr>
        <w:tab/>
      </w:r>
      <w:r>
        <w:rPr>
          <w:rFonts w:hint="eastAsia"/>
        </w:rPr>
        <w:fldChar w:fldCharType="begin"/>
      </w:r>
      <w:r>
        <w:rPr>
          <w:rFonts w:hint="eastAsia"/>
        </w:rPr>
        <w:instrText xml:space="preserve"> </w:instrText>
      </w:r>
      <w:r>
        <w:instrText xml:space="preserve">PAGEREF _Toc233981693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pStyle w:val="91"/>
        <w:spacing w:after="468"/>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pPr>
        <w:pStyle w:val="89"/>
        <w:spacing w:before="900" w:after="468"/>
      </w:pPr>
      <w:bookmarkStart w:id="22" w:name="BookMark2"/>
      <w:r>
        <w:rPr>
          <w:rFonts w:hint="eastAsia"/>
          <w:spacing w:val="320"/>
        </w:rPr>
        <w:t>前</w:t>
      </w:r>
      <w:r>
        <w:rPr>
          <w:rFonts w:hint="eastAsia"/>
        </w:rPr>
        <w:t>言</w:t>
      </w:r>
    </w:p>
    <w:p>
      <w:pPr>
        <w:pStyle w:val="56"/>
        <w:ind w:firstLine="420"/>
      </w:pPr>
      <w:r>
        <w:rPr>
          <w:rFonts w:hint="eastAsia"/>
        </w:rPr>
        <w:t>本文件按照GB/T 1.1—2020《标准化工作导则  第1部分：标准化文件的结构和起草规则》的规定起草。</w:t>
      </w:r>
    </w:p>
    <w:p>
      <w:pPr>
        <w:pStyle w:val="56"/>
        <w:ind w:firstLine="420"/>
      </w:pPr>
      <w:r>
        <w:rPr>
          <w:rFonts w:hint="eastAsia"/>
        </w:rPr>
        <w:t>请注意本文件的某些内容可能涉及专利。本文件的发布机构不承担识别专利的责任。</w:t>
      </w:r>
    </w:p>
    <w:p>
      <w:pPr>
        <w:pStyle w:val="56"/>
        <w:ind w:firstLine="420"/>
        <w:rPr>
          <w:rFonts w:hint="eastAsia"/>
        </w:rPr>
      </w:pPr>
      <w:r>
        <w:rPr>
          <w:rFonts w:hint="eastAsia"/>
        </w:rPr>
        <w:t>本文件由湖南省工业和信息化厅提出。</w:t>
      </w:r>
    </w:p>
    <w:p>
      <w:pPr>
        <w:pStyle w:val="56"/>
        <w:ind w:firstLine="420"/>
      </w:pPr>
      <w:r>
        <w:rPr>
          <w:rFonts w:hint="eastAsia"/>
        </w:rPr>
        <w:t>本文件由湖南省信息技术标准化技术委员会归口。</w:t>
      </w:r>
    </w:p>
    <w:p>
      <w:pPr>
        <w:pStyle w:val="56"/>
        <w:ind w:firstLine="420"/>
      </w:pPr>
      <w:r>
        <w:rPr>
          <w:rFonts w:hint="eastAsia"/>
        </w:rPr>
        <w:t>本文件起草单位：湖南省工业互联网发展研究中心、娄底市工业和信息化局、湖南天择质量技术服务有限公司、湖南理工职业技术学院。</w:t>
      </w:r>
    </w:p>
    <w:p>
      <w:pPr>
        <w:pStyle w:val="56"/>
        <w:ind w:firstLine="420"/>
      </w:pPr>
      <w:r>
        <w:rPr>
          <w:rFonts w:hint="eastAsia"/>
        </w:rPr>
        <w:t>本文件主要起草人：曾扬博 、严佳龙、何鸿曦、王喻、秦雪峰、汤玮刚、喻昕、徐运韬、梁力、刘婷、万林林、涂惠群、王宏兵。</w:t>
      </w:r>
    </w:p>
    <w:p>
      <w:pPr>
        <w:pStyle w:val="56"/>
        <w:ind w:firstLine="420"/>
      </w:pPr>
    </w:p>
    <w:p>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2"/>
    <w:p>
      <w:pPr>
        <w:spacing w:line="20" w:lineRule="exact"/>
        <w:jc w:val="center"/>
        <w:rPr>
          <w:rFonts w:hint="eastAsia" w:ascii="黑体" w:hAnsi="黑体" w:eastAsia="黑体"/>
          <w:sz w:val="32"/>
          <w:szCs w:val="32"/>
        </w:rPr>
      </w:pPr>
      <w:bookmarkStart w:id="23" w:name="BookMark4"/>
    </w:p>
    <w:p>
      <w:pPr>
        <w:spacing w:line="20" w:lineRule="exact"/>
        <w:jc w:val="center"/>
        <w:rPr>
          <w:rFonts w:hint="eastAsia" w:ascii="黑体" w:hAnsi="黑体" w:eastAsia="黑体"/>
          <w:sz w:val="32"/>
          <w:szCs w:val="32"/>
        </w:rPr>
      </w:pPr>
    </w:p>
    <w:sdt>
      <w:sdtPr>
        <w:tag w:val="NEW_STAND_NAME"/>
        <w:id w:val="595910757"/>
        <w:lock w:val="sdtLocked"/>
        <w:placeholder>
          <w:docPart w:val="8B822A8AC5144BFEAA6F7CDCFF1C91C8"/>
        </w:placeholder>
      </w:sdtPr>
      <w:sdtContent>
        <w:p>
          <w:pPr>
            <w:pStyle w:val="177"/>
            <w:spacing w:before="3" w:beforeLines="1" w:after="686" w:afterLines="220"/>
            <w:rPr>
              <w:rFonts w:hint="eastAsia"/>
            </w:rPr>
          </w:pPr>
          <w:bookmarkStart w:id="24" w:name="NEW_STAND_NAME"/>
          <w:r>
            <w:rPr>
              <w:rFonts w:hint="eastAsia"/>
            </w:rPr>
            <w:t>电子陶瓷行业中小企业数字化转型实施指南</w:t>
          </w:r>
          <w:bookmarkStart w:id="91" w:name="_GoBack"/>
          <w:bookmarkEnd w:id="91"/>
        </w:p>
      </w:sdtContent>
    </w:sdt>
    <w:bookmarkEnd w:id="24"/>
    <w:p>
      <w:pPr>
        <w:pStyle w:val="104"/>
        <w:spacing w:before="312" w:after="312"/>
      </w:pPr>
      <w:bookmarkStart w:id="25" w:name="_Toc97191423"/>
      <w:bookmarkStart w:id="26" w:name="_Toc17233333"/>
      <w:bookmarkStart w:id="27" w:name="_Toc233981652"/>
      <w:bookmarkStart w:id="28" w:name="_Toc26648465"/>
      <w:bookmarkStart w:id="29" w:name="_Toc24884211"/>
      <w:bookmarkStart w:id="30" w:name="_Toc24884218"/>
      <w:bookmarkStart w:id="31" w:name="_Toc26986771"/>
      <w:bookmarkStart w:id="32" w:name="_Toc26718930"/>
      <w:bookmarkStart w:id="33" w:name="_Toc17233325"/>
      <w:bookmarkStart w:id="34" w:name="_Toc26986530"/>
      <w:r>
        <w:rPr>
          <w:rFonts w:hint="eastAsia"/>
        </w:rPr>
        <w:t>范围</w:t>
      </w:r>
      <w:bookmarkEnd w:id="25"/>
      <w:bookmarkEnd w:id="26"/>
      <w:bookmarkEnd w:id="27"/>
      <w:bookmarkEnd w:id="28"/>
      <w:bookmarkEnd w:id="29"/>
      <w:bookmarkEnd w:id="30"/>
      <w:bookmarkEnd w:id="31"/>
      <w:bookmarkEnd w:id="32"/>
      <w:bookmarkEnd w:id="33"/>
      <w:bookmarkEnd w:id="34"/>
    </w:p>
    <w:p>
      <w:pPr>
        <w:pStyle w:val="56"/>
        <w:ind w:firstLine="420"/>
      </w:pPr>
      <w:r>
        <w:rPr>
          <w:rFonts w:hint="eastAsia"/>
        </w:rPr>
        <w:t>本文件给出了湖南省电子陶瓷行业中小企业数字化转型的总体架构、基础能力建设、关键环节建设、网络化联接、系统安全等方面的实施指南。</w:t>
      </w:r>
    </w:p>
    <w:p>
      <w:pPr>
        <w:pStyle w:val="56"/>
        <w:ind w:firstLine="420"/>
      </w:pPr>
      <w:r>
        <w:rPr>
          <w:rFonts w:hint="eastAsia"/>
        </w:rPr>
        <w:t>本文件适用于湖南省电子陶瓷制造行业中小企业数字化转型的规划、设计、建设和应用，其他相关企业可参照执行。</w:t>
      </w:r>
    </w:p>
    <w:p>
      <w:pPr>
        <w:pStyle w:val="104"/>
        <w:spacing w:before="312" w:after="312"/>
      </w:pPr>
      <w:bookmarkStart w:id="35" w:name="_Toc24884212"/>
      <w:bookmarkStart w:id="36" w:name="_Toc26648466"/>
      <w:bookmarkStart w:id="37" w:name="_Toc17233334"/>
      <w:bookmarkStart w:id="38" w:name="_Toc26986531"/>
      <w:bookmarkStart w:id="39" w:name="_Toc24884219"/>
      <w:bookmarkStart w:id="40" w:name="_Toc17233326"/>
      <w:bookmarkStart w:id="41" w:name="_Toc26718931"/>
      <w:bookmarkStart w:id="42" w:name="_Toc26986772"/>
      <w:bookmarkStart w:id="43" w:name="_Toc233981653"/>
      <w:bookmarkStart w:id="44" w:name="_Toc97191424"/>
      <w:r>
        <w:rPr>
          <w:rFonts w:hint="eastAsia"/>
        </w:rPr>
        <w:t>规范性引用文件</w:t>
      </w:r>
      <w:bookmarkEnd w:id="35"/>
      <w:bookmarkEnd w:id="36"/>
      <w:bookmarkEnd w:id="37"/>
      <w:bookmarkEnd w:id="38"/>
      <w:bookmarkEnd w:id="39"/>
      <w:bookmarkEnd w:id="40"/>
      <w:bookmarkEnd w:id="41"/>
      <w:bookmarkEnd w:id="42"/>
      <w:bookmarkEnd w:id="43"/>
      <w:bookmarkEnd w:id="44"/>
    </w:p>
    <w:sdt>
      <w:sdtPr>
        <w:rPr>
          <w:rFonts w:hint="eastAsia"/>
        </w:rPr>
        <w:id w:val="715848253"/>
        <w:placeholder>
          <w:docPart w:val="A951581B1781452BB5B4EFCC1425687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pPr>
      <w:r>
        <w:rPr>
          <w:rFonts w:hint="eastAsia"/>
        </w:rPr>
        <w:t>GB/T 9530 电子陶瓷名词术语</w:t>
      </w:r>
    </w:p>
    <w:p>
      <w:pPr>
        <w:pStyle w:val="56"/>
        <w:ind w:firstLine="420"/>
      </w:pPr>
      <w:r>
        <w:rPr>
          <w:rFonts w:hint="eastAsia"/>
        </w:rPr>
        <w:t>GB/T 23050 信息化和工业化融合管理体系 供应链数字化管理指南</w:t>
      </w:r>
    </w:p>
    <w:p>
      <w:pPr>
        <w:pStyle w:val="56"/>
        <w:ind w:firstLine="420"/>
      </w:pPr>
      <w:r>
        <w:rPr>
          <w:rFonts w:hint="eastAsia"/>
        </w:rPr>
        <w:t>GB/T 23022 生产设备运行管理规范</w:t>
      </w:r>
    </w:p>
    <w:p>
      <w:pPr>
        <w:pStyle w:val="104"/>
        <w:spacing w:before="312" w:after="312"/>
      </w:pPr>
      <w:bookmarkStart w:id="45" w:name="_Toc233981654"/>
      <w:bookmarkStart w:id="46" w:name="_Toc97191425"/>
      <w:r>
        <w:rPr>
          <w:rFonts w:hint="eastAsia"/>
          <w:szCs w:val="21"/>
        </w:rPr>
        <w:t>术语和定义</w:t>
      </w:r>
      <w:bookmarkEnd w:id="45"/>
      <w:bookmarkEnd w:id="46"/>
    </w:p>
    <w:p>
      <w:pPr>
        <w:pStyle w:val="56"/>
        <w:ind w:firstLine="420"/>
      </w:pPr>
      <w:bookmarkStart w:id="47" w:name="_Toc26986532"/>
      <w:bookmarkEnd w:id="47"/>
      <w:sdt>
        <w:sdtPr>
          <w:id w:val="-1909835108"/>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r>
            <w:rPr>
              <w:rFonts w:hint="eastAsia"/>
            </w:rPr>
            <w:t>GB/T 9530</w:t>
          </w:r>
          <w:r>
            <w:t>界定的以及下列术语和定义适用于本文件。</w:t>
          </w:r>
        </w:sdtContent>
      </w:sdt>
    </w:p>
    <w:p>
      <w:pPr>
        <w:pStyle w:val="223"/>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中小企业  SME, small and medium-sized enterprise</w:t>
      </w:r>
    </w:p>
    <w:p>
      <w:pPr>
        <w:pStyle w:val="223"/>
        <w:numPr>
          <w:ilvl w:val="0"/>
          <w:numId w:val="0"/>
        </w:numPr>
        <w:ind w:firstLine="420" w:firstLineChars="200"/>
      </w:pPr>
      <w:r>
        <w:rPr>
          <w:rFonts w:hint="eastAsia"/>
        </w:rPr>
        <w:t>符合国家关于中小企业划型标准的独立法人企业，通常指从业人员、营业收入等规模指标低于规定上限的企业。</w:t>
      </w:r>
    </w:p>
    <w:p>
      <w:pPr>
        <w:pStyle w:val="179"/>
      </w:pPr>
      <w:r>
        <w:rPr>
          <w:rFonts w:hint="eastAsia"/>
        </w:rPr>
        <w:t>根据工业和信息化部相关规定，电子信息制造业企业年营业收入不超过4亿元且从业人数不超过1000人者可归</w:t>
      </w:r>
      <w:r>
        <w:br w:type="textWrapping"/>
      </w:r>
      <w:r>
        <w:rPr>
          <w:rFonts w:hint="eastAsia"/>
        </w:rPr>
        <w:t>入中小企业范畴。</w:t>
      </w:r>
    </w:p>
    <w:p>
      <w:pPr>
        <w:pStyle w:val="223"/>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数字化转型 digital transformation</w:t>
      </w:r>
      <w:r>
        <w:rPr>
          <w:rFonts w:ascii="黑体" w:hAnsi="黑体" w:eastAsia="黑体"/>
        </w:rPr>
        <w:br w:type="textWrapping"/>
      </w:r>
      <w:r>
        <w:rPr>
          <w:rFonts w:hint="eastAsia"/>
        </w:rPr>
        <w:t>利用新一代信息技术和数字化手段对企业的业务流程、生产制造、管理模式等进行重构和优化，以</w:t>
      </w:r>
      <w:r>
        <w:br w:type="textWrapping"/>
      </w:r>
      <w:r>
        <w:rPr>
          <w:rFonts w:hint="eastAsia"/>
        </w:rPr>
        <w:t>提升效率、降低成本、增强创新能力和市场竞争力的过程。</w:t>
      </w:r>
    </w:p>
    <w:p>
      <w:pPr>
        <w:pStyle w:val="223"/>
        <w:ind w:left="420" w:hanging="420"/>
        <w:rPr>
          <w:rFonts w:hint="eastAsia" w:ascii="黑体" w:hAnsi="黑体" w:eastAsia="黑体"/>
        </w:rPr>
      </w:pPr>
      <w:r>
        <w:rPr>
          <w:rFonts w:ascii="黑体" w:hAnsi="黑体" w:eastAsia="黑体"/>
        </w:rPr>
        <w:br w:type="textWrapping"/>
      </w:r>
      <w:r>
        <w:rPr>
          <w:rFonts w:hint="eastAsia" w:ascii="黑体" w:hAnsi="黑体" w:eastAsia="黑体"/>
        </w:rPr>
        <w:t>智能化改造 intellectualized transformation</w:t>
      </w:r>
    </w:p>
    <w:p>
      <w:pPr>
        <w:pStyle w:val="223"/>
        <w:numPr>
          <w:ilvl w:val="0"/>
          <w:numId w:val="0"/>
        </w:numPr>
        <w:ind w:firstLine="420" w:firstLineChars="200"/>
      </w:pPr>
      <w:r>
        <w:rPr>
          <w:rFonts w:hint="eastAsia"/>
        </w:rPr>
        <w:t>应用新一代信息技术和先进制造技术，对现有生产装备、工艺条件及生产服务等进行升级改造，实现生产过程的自动化、智能化和优化。</w:t>
      </w:r>
    </w:p>
    <w:p>
      <w:pPr>
        <w:pStyle w:val="223"/>
        <w:ind w:left="420" w:hanging="420"/>
        <w:rPr>
          <w:rFonts w:hint="eastAsia" w:ascii="黑体" w:hAnsi="黑体" w:eastAsia="黑体"/>
        </w:rPr>
      </w:pPr>
    </w:p>
    <w:p>
      <w:pPr>
        <w:pStyle w:val="223"/>
        <w:numPr>
          <w:ilvl w:val="0"/>
          <w:numId w:val="0"/>
        </w:numPr>
        <w:ind w:firstLine="420" w:firstLineChars="200"/>
        <w:rPr>
          <w:rFonts w:hint="eastAsia" w:ascii="黑体" w:hAnsi="黑体" w:eastAsia="黑体"/>
        </w:rPr>
      </w:pPr>
      <w:r>
        <w:rPr>
          <w:rFonts w:hint="eastAsia" w:ascii="黑体" w:hAnsi="黑体" w:eastAsia="黑体"/>
        </w:rPr>
        <w:t>网络化联接 networked connection networked connection</w:t>
      </w:r>
    </w:p>
    <w:p>
      <w:pPr>
        <w:pStyle w:val="56"/>
        <w:ind w:firstLine="420"/>
      </w:pPr>
      <w:r>
        <w:rPr>
          <w:rFonts w:hint="eastAsia"/>
        </w:rPr>
        <w:t>由数字化转型带来的绩效改善所产生的间接经济效益。</w:t>
      </w:r>
    </w:p>
    <w:p>
      <w:pPr>
        <w:pStyle w:val="104"/>
        <w:spacing w:before="312" w:after="312"/>
      </w:pPr>
      <w:bookmarkStart w:id="48" w:name="_Toc233981655"/>
      <w:r>
        <w:rPr>
          <w:rFonts w:hint="eastAsia"/>
        </w:rPr>
        <w:t>缩略语</w:t>
      </w:r>
      <w:bookmarkEnd w:id="48"/>
    </w:p>
    <w:p>
      <w:pPr>
        <w:pStyle w:val="56"/>
        <w:ind w:firstLine="420"/>
      </w:pPr>
      <w:r>
        <w:rPr>
          <w:rFonts w:hint="eastAsia"/>
        </w:rPr>
        <w:t>下列符号和缩略语适用于本文件：</w:t>
      </w:r>
    </w:p>
    <w:p>
      <w:pPr>
        <w:pStyle w:val="56"/>
        <w:ind w:firstLine="420"/>
      </w:pPr>
      <w:r>
        <w:rPr>
          <w:rFonts w:hint="eastAsia"/>
        </w:rPr>
        <w:t xml:space="preserve">ICT：Information and Communication Technology，信息通信技术 </w:t>
      </w:r>
    </w:p>
    <w:p>
      <w:pPr>
        <w:pStyle w:val="56"/>
        <w:ind w:firstLine="420"/>
      </w:pPr>
      <w:r>
        <w:rPr>
          <w:rFonts w:hint="eastAsia"/>
        </w:rPr>
        <w:t xml:space="preserve">ERP：Enterprise Resource Planning，企业资源计划（管理系统） </w:t>
      </w:r>
    </w:p>
    <w:p>
      <w:pPr>
        <w:pStyle w:val="56"/>
        <w:ind w:firstLine="420"/>
      </w:pPr>
      <w:r>
        <w:rPr>
          <w:rFonts w:hint="eastAsia"/>
        </w:rPr>
        <w:t xml:space="preserve">MES：Manufacturing Execution System，制造执行系统 </w:t>
      </w:r>
    </w:p>
    <w:p>
      <w:pPr>
        <w:pStyle w:val="56"/>
        <w:ind w:firstLine="420"/>
      </w:pPr>
      <w:r>
        <w:rPr>
          <w:rFonts w:hint="eastAsia"/>
        </w:rPr>
        <w:t xml:space="preserve">SCADA：Supervisory Control and Data Acquisition，数据采集与监视控制系统 </w:t>
      </w:r>
    </w:p>
    <w:p>
      <w:pPr>
        <w:pStyle w:val="56"/>
        <w:ind w:firstLine="420"/>
      </w:pPr>
      <w:r>
        <w:rPr>
          <w:rFonts w:hint="eastAsia"/>
        </w:rPr>
        <w:t xml:space="preserve">PLM：Product Lifecycle Management，产品全生命周期管理（系统） </w:t>
      </w:r>
    </w:p>
    <w:p>
      <w:pPr>
        <w:pStyle w:val="56"/>
        <w:ind w:firstLine="420"/>
      </w:pPr>
      <w:r>
        <w:rPr>
          <w:rFonts w:hint="eastAsia"/>
        </w:rPr>
        <w:t xml:space="preserve">WMS：Warehouse Management System，仓储管理系统 </w:t>
      </w:r>
    </w:p>
    <w:p>
      <w:pPr>
        <w:pStyle w:val="56"/>
        <w:ind w:firstLine="420"/>
      </w:pPr>
      <w:r>
        <w:rPr>
          <w:rFonts w:hint="eastAsia"/>
        </w:rPr>
        <w:t xml:space="preserve">IIoT：Industrial Internet of Things，工业物联网 </w:t>
      </w:r>
    </w:p>
    <w:p>
      <w:pPr>
        <w:pStyle w:val="56"/>
        <w:ind w:firstLine="420"/>
      </w:pPr>
      <w:r>
        <w:rPr>
          <w:rFonts w:hint="eastAsia"/>
        </w:rPr>
        <w:t xml:space="preserve">PLC：Programmable Logic Controller，可编程逻辑控制器 </w:t>
      </w:r>
    </w:p>
    <w:p>
      <w:pPr>
        <w:pStyle w:val="56"/>
        <w:ind w:firstLine="420"/>
      </w:pPr>
      <w:r>
        <w:rPr>
          <w:rFonts w:hint="eastAsia"/>
        </w:rPr>
        <w:t>5G：第五代移动通信技术（5th Generation Mobile Network）</w:t>
      </w:r>
    </w:p>
    <w:p>
      <w:pPr>
        <w:pStyle w:val="104"/>
        <w:spacing w:before="312" w:after="312"/>
      </w:pPr>
      <w:bookmarkStart w:id="49" w:name="_Toc233981656"/>
      <w:r>
        <w:rPr>
          <w:rFonts w:hint="eastAsia"/>
        </w:rPr>
        <w:t>指导原则</w:t>
      </w:r>
      <w:bookmarkEnd w:id="49"/>
    </w:p>
    <w:p>
      <w:pPr>
        <w:pStyle w:val="162"/>
        <w:ind w:left="0"/>
      </w:pPr>
      <w:bookmarkStart w:id="50" w:name="_Toc233981657"/>
      <w:r>
        <w:rPr>
          <w:rFonts w:hint="eastAsia"/>
        </w:rPr>
        <w:t>企业应结合自身发展战略制定数字化转型方案，聚焦提高产品质量、降低生产成本、提升经营效益等核心目标，避免盲目投入。</w:t>
      </w:r>
      <w:bookmarkEnd w:id="50"/>
    </w:p>
    <w:p>
      <w:pPr>
        <w:pStyle w:val="162"/>
        <w:ind w:left="0"/>
      </w:pPr>
      <w:bookmarkStart w:id="51" w:name="_Toc233981658"/>
      <w:r>
        <w:rPr>
          <w:rFonts w:hint="eastAsia"/>
        </w:rPr>
        <w:t>企业应坚持问题导向，针对生产管理中的痛点难点采取务实有效的改造措施，确保数字化改造带来可量化的效益或性能提升。方案应具备可实施性和可落地性，确保投入产出比合理。</w:t>
      </w:r>
      <w:bookmarkEnd w:id="51"/>
    </w:p>
    <w:p>
      <w:pPr>
        <w:pStyle w:val="162"/>
        <w:ind w:left="0"/>
      </w:pPr>
      <w:bookmarkStart w:id="52" w:name="_Toc233981659"/>
      <w:r>
        <w:rPr>
          <w:rFonts w:hint="eastAsia"/>
        </w:rPr>
        <w:t>企业应充分考虑现有信息化基础和人员素质，选择适宜的技术和方案，借鉴行业最佳实践，贴合自身实际，确保转型方案具备可行性和可持续性。</w:t>
      </w:r>
      <w:bookmarkEnd w:id="52"/>
    </w:p>
    <w:p>
      <w:pPr>
        <w:pStyle w:val="162"/>
        <w:ind w:left="0"/>
      </w:pPr>
      <w:bookmarkStart w:id="53" w:name="_Toc233981660"/>
      <w:r>
        <w:rPr>
          <w:rFonts w:hint="eastAsia"/>
        </w:rPr>
        <w:t>企业宜积极探索人工智能、工业大数据、数字孪生、边缘计算等前沿技术在研发设计、生产制造、质量检测、设备运维、供应链协同等场景中的应用，通过技术和管理创新提升竞争优势。</w:t>
      </w:r>
      <w:bookmarkEnd w:id="53"/>
    </w:p>
    <w:p>
      <w:pPr>
        <w:pStyle w:val="162"/>
        <w:ind w:left="0"/>
      </w:pPr>
      <w:bookmarkStart w:id="54" w:name="_Toc233981661"/>
      <w:r>
        <w:rPr>
          <w:rFonts w:hint="eastAsia"/>
        </w:rPr>
        <w:t>企业在推进数字化转型的同时，应同步强化网络安全和生产安全管理，包括保障工业控制系统和关键数据的网络安全、完善数据分类分级保护制度，确保数字化改造过程不影响生产运行安全。数字化与安全防护应同步规划、同步实施。</w:t>
      </w:r>
      <w:bookmarkEnd w:id="54"/>
    </w:p>
    <w:p>
      <w:pPr>
        <w:pStyle w:val="104"/>
        <w:spacing w:before="312" w:after="312"/>
      </w:pPr>
      <w:bookmarkStart w:id="55" w:name="_Toc233981662"/>
      <w:r>
        <w:rPr>
          <w:rFonts w:hint="eastAsia"/>
        </w:rPr>
        <w:t>总体架构</w:t>
      </w:r>
      <w:bookmarkEnd w:id="55"/>
    </w:p>
    <w:p>
      <w:pPr>
        <w:pStyle w:val="105"/>
        <w:spacing w:before="156" w:after="156"/>
        <w:ind w:left="0"/>
      </w:pPr>
      <w:bookmarkStart w:id="56" w:name="_Toc233981663"/>
      <w:r>
        <w:rPr>
          <w:rFonts w:hint="eastAsia"/>
        </w:rPr>
        <w:t>总则</w:t>
      </w:r>
      <w:bookmarkEnd w:id="56"/>
    </w:p>
    <w:p>
      <w:pPr>
        <w:pStyle w:val="56"/>
        <w:ind w:firstLine="420"/>
      </w:pPr>
      <w:r>
        <w:rPr>
          <w:rFonts w:hint="eastAsia"/>
        </w:rPr>
        <w:t>电子陶瓷行业中小企业数字化转型的总体架构可以分为感知层、网络层、平台层和应用层（见图1），并以安全体系为支撑进行纵横贯通。各层次紧密协同，实现设备互联、数据互通和业务融合，形成“设备智能+数据驱动+业务协同”的数字化体系。</w:t>
      </w:r>
    </w:p>
    <w:p>
      <w:pPr>
        <w:pStyle w:val="56"/>
        <w:ind w:firstLine="420"/>
      </w:pPr>
    </w:p>
    <w:p>
      <w:pPr>
        <w:pStyle w:val="56"/>
        <w:ind w:firstLine="0" w:firstLineChars="0"/>
      </w:pPr>
      <w:r>
        <w:drawing>
          <wp:inline distT="0" distB="0" distL="0" distR="0">
            <wp:extent cx="5939790" cy="3216275"/>
            <wp:effectExtent l="0" t="0" r="3810" b="3175"/>
            <wp:docPr id="9923650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36507" name="图片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939790" cy="3216275"/>
                    </a:xfrm>
                    <a:prstGeom prst="rect">
                      <a:avLst/>
                    </a:prstGeom>
                    <a:noFill/>
                  </pic:spPr>
                </pic:pic>
              </a:graphicData>
            </a:graphic>
          </wp:inline>
        </w:drawing>
      </w:r>
    </w:p>
    <w:p>
      <w:pPr>
        <w:pStyle w:val="114"/>
        <w:spacing w:before="156" w:after="156"/>
        <w:rPr>
          <w:szCs w:val="21"/>
        </w:rPr>
      </w:pPr>
      <w:bookmarkStart w:id="57" w:name="OLE_LINK1"/>
      <w:r>
        <w:rPr>
          <w:rFonts w:hint="eastAsia"/>
        </w:rPr>
        <w:t>总体架构图</w:t>
      </w:r>
    </w:p>
    <w:p>
      <w:pPr>
        <w:pStyle w:val="105"/>
        <w:spacing w:before="156" w:after="156"/>
        <w:ind w:left="0"/>
      </w:pPr>
      <w:bookmarkStart w:id="58" w:name="_Toc233981664"/>
      <w:r>
        <w:rPr>
          <w:rFonts w:hint="eastAsia"/>
        </w:rPr>
        <w:t>感知层</w:t>
      </w:r>
      <w:bookmarkEnd w:id="58"/>
    </w:p>
    <w:bookmarkEnd w:id="57"/>
    <w:p>
      <w:pPr>
        <w:pStyle w:val="65"/>
        <w:spacing w:before="156" w:after="156"/>
        <w:rPr>
          <w:rFonts w:ascii="宋体" w:eastAsia="宋体"/>
        </w:rPr>
      </w:pPr>
      <w:r>
        <w:rPr>
          <w:rFonts w:hint="eastAsia" w:ascii="宋体" w:eastAsia="宋体"/>
        </w:rPr>
        <w:t>感知层由生产设备、仪器仪表和传感器构成，用</w:t>
      </w:r>
      <w:bookmarkStart w:id="59" w:name="OLE_LINK2"/>
      <w:r>
        <w:rPr>
          <w:rFonts w:hint="eastAsia" w:ascii="宋体" w:eastAsia="宋体"/>
        </w:rPr>
        <w:t>于采集生产</w:t>
      </w:r>
      <w:bookmarkEnd w:id="59"/>
      <w:r>
        <w:rPr>
          <w:rFonts w:hint="eastAsia" w:ascii="宋体" w:eastAsia="宋体"/>
        </w:rPr>
        <w:t>工艺参数、设备状态、环境及能耗等数据，实现对人员、设备、物料、工艺方法、生产环境等要素的全面感知。</w:t>
      </w:r>
    </w:p>
    <w:p>
      <w:pPr>
        <w:pStyle w:val="65"/>
        <w:spacing w:before="156" w:after="156"/>
        <w:rPr>
          <w:rFonts w:ascii="宋体" w:eastAsia="宋体"/>
        </w:rPr>
      </w:pPr>
      <w:r>
        <w:rPr>
          <w:rFonts w:hint="eastAsia" w:ascii="宋体" w:eastAsia="宋体"/>
        </w:rPr>
        <w:t>企业应在关键工序和关键设备上部署传感器、射频识别（RFID）等感知装置，提升数据采集的广度和精度。</w:t>
      </w:r>
    </w:p>
    <w:p>
      <w:pPr>
        <w:pStyle w:val="105"/>
        <w:spacing w:before="156" w:after="156"/>
        <w:ind w:left="0"/>
      </w:pPr>
      <w:bookmarkStart w:id="60" w:name="_Toc233981665"/>
      <w:r>
        <w:rPr>
          <w:rFonts w:hint="eastAsia"/>
        </w:rPr>
        <w:t>网络层</w:t>
      </w:r>
      <w:bookmarkEnd w:id="60"/>
    </w:p>
    <w:p>
      <w:pPr>
        <w:pStyle w:val="65"/>
        <w:spacing w:before="156" w:after="156"/>
        <w:rPr>
          <w:rFonts w:ascii="宋体" w:eastAsia="宋体"/>
        </w:rPr>
      </w:pPr>
      <w:r>
        <w:rPr>
          <w:rFonts w:hint="eastAsia" w:ascii="宋体" w:eastAsia="宋体"/>
        </w:rPr>
        <w:t>网络层由工业互联网、企业局域网、5G通信、边缘计算节点等组成，用于承载工业数据的高效传输和实时通信。</w:t>
      </w:r>
    </w:p>
    <w:p>
      <w:pPr>
        <w:pStyle w:val="65"/>
        <w:spacing w:before="156" w:after="156"/>
        <w:rPr>
          <w:rFonts w:ascii="宋体" w:eastAsia="宋体"/>
        </w:rPr>
      </w:pPr>
      <w:r>
        <w:rPr>
          <w:rFonts w:hint="eastAsia" w:ascii="宋体" w:eastAsia="宋体"/>
        </w:rPr>
        <w:t>企业应构建有线与无线融合的工业网络，实现设备、控制系统与信息系统的可靠互联。</w:t>
      </w:r>
    </w:p>
    <w:p>
      <w:pPr>
        <w:pStyle w:val="65"/>
        <w:spacing w:before="156" w:after="156"/>
        <w:rPr>
          <w:rFonts w:ascii="宋体" w:eastAsia="宋体"/>
        </w:rPr>
      </w:pPr>
      <w:r>
        <w:rPr>
          <w:rFonts w:hint="eastAsia" w:ascii="宋体" w:eastAsia="宋体"/>
        </w:rPr>
        <w:t>网络层宜包括企业私有云或混合云平台，用于汇聚各类数据，为上层应用提供算力和存储支撑。</w:t>
      </w:r>
    </w:p>
    <w:p>
      <w:pPr>
        <w:pStyle w:val="105"/>
        <w:spacing w:before="156" w:after="156"/>
        <w:ind w:left="0"/>
      </w:pPr>
      <w:bookmarkStart w:id="61" w:name="_Toc233981666"/>
      <w:r>
        <w:rPr>
          <w:rFonts w:hint="eastAsia"/>
        </w:rPr>
        <w:t>平台层</w:t>
      </w:r>
      <w:bookmarkEnd w:id="61"/>
    </w:p>
    <w:p>
      <w:pPr>
        <w:pStyle w:val="65"/>
        <w:spacing w:before="156" w:after="156"/>
        <w:rPr>
          <w:rFonts w:ascii="宋体" w:eastAsia="宋体"/>
        </w:rPr>
      </w:pPr>
      <w:r>
        <w:rPr>
          <w:rFonts w:hint="eastAsia" w:ascii="宋体" w:eastAsia="宋体"/>
        </w:rPr>
        <w:t>平台层由工业数据平台和各类信息系统构成，用于支撑智能分析和业务决策。</w:t>
      </w:r>
    </w:p>
    <w:p>
      <w:pPr>
        <w:pStyle w:val="65"/>
        <w:spacing w:before="156" w:after="156"/>
        <w:rPr>
          <w:rFonts w:ascii="宋体" w:eastAsia="宋体"/>
        </w:rPr>
      </w:pPr>
      <w:r>
        <w:rPr>
          <w:rFonts w:hint="eastAsia" w:ascii="宋体" w:eastAsia="宋体"/>
        </w:rPr>
        <w:t>企业应建设统一的数据管理与分析平台，汇聚融合生产数据和经营数据。</w:t>
      </w:r>
    </w:p>
    <w:p>
      <w:pPr>
        <w:pStyle w:val="65"/>
        <w:spacing w:before="156" w:after="156"/>
        <w:rPr>
          <w:rFonts w:ascii="宋体" w:eastAsia="宋体"/>
        </w:rPr>
      </w:pPr>
      <w:r>
        <w:rPr>
          <w:rFonts w:hint="eastAsia" w:ascii="宋体" w:eastAsia="宋体"/>
        </w:rPr>
        <w:t>平台层宜包括MES、ERP、PLM、供应链管理（SCM）系统，以及数据可视化与大数据分析工具。</w:t>
      </w:r>
    </w:p>
    <w:p>
      <w:pPr>
        <w:pStyle w:val="65"/>
        <w:spacing w:before="156" w:after="156"/>
        <w:rPr>
          <w:rFonts w:ascii="宋体" w:eastAsia="宋体"/>
        </w:rPr>
      </w:pPr>
      <w:r>
        <w:rPr>
          <w:rFonts w:hint="eastAsia" w:ascii="宋体" w:eastAsia="宋体"/>
        </w:rPr>
        <w:t>企业宜通过工业互联网平台接入行业生态，实现跨企业数据共享和应用对接。</w:t>
      </w:r>
    </w:p>
    <w:p>
      <w:pPr>
        <w:pStyle w:val="105"/>
        <w:spacing w:before="156" w:after="156"/>
        <w:ind w:left="0"/>
      </w:pPr>
      <w:bookmarkStart w:id="62" w:name="_Toc233981667"/>
      <w:r>
        <w:rPr>
          <w:rFonts w:hint="eastAsia"/>
        </w:rPr>
        <w:t>应用层</w:t>
      </w:r>
      <w:bookmarkEnd w:id="62"/>
    </w:p>
    <w:p>
      <w:pPr>
        <w:pStyle w:val="65"/>
        <w:spacing w:before="156" w:after="156"/>
        <w:rPr>
          <w:rFonts w:ascii="宋体" w:eastAsia="宋体"/>
        </w:rPr>
      </w:pPr>
      <w:r>
        <w:rPr>
          <w:rFonts w:hint="eastAsia" w:ascii="宋体" w:eastAsia="宋体"/>
        </w:rPr>
        <w:t>应用层由覆盖研发设计、生产调度、质量控制、设备运维、能耗管理、仓储物流、营销服务、协同办公等业务场景的数字化应用模块构成，用于实现业务流程优化和智能决策。</w:t>
      </w:r>
    </w:p>
    <w:p>
      <w:pPr>
        <w:pStyle w:val="65"/>
        <w:spacing w:before="156" w:after="156"/>
        <w:rPr>
          <w:rFonts w:ascii="宋体" w:eastAsia="宋体"/>
        </w:rPr>
      </w:pPr>
      <w:r>
        <w:rPr>
          <w:rFonts w:hint="eastAsia" w:ascii="宋体" w:eastAsia="宋体"/>
        </w:rPr>
        <w:t>应用层宜包括智能配方设计、生产过程优化控制、在线质量监测预警、设备预测性维护、能源管理优化、供应链协同系统、管理驾驶舱等功能模块。</w:t>
      </w:r>
    </w:p>
    <w:p>
      <w:pPr>
        <w:pStyle w:val="104"/>
        <w:spacing w:before="312" w:after="312"/>
      </w:pPr>
      <w:bookmarkStart w:id="63" w:name="_Toc233981668"/>
      <w:r>
        <w:rPr>
          <w:rFonts w:hint="eastAsia"/>
        </w:rPr>
        <w:t>基础能力建设</w:t>
      </w:r>
      <w:bookmarkEnd w:id="63"/>
    </w:p>
    <w:p>
      <w:pPr>
        <w:pStyle w:val="105"/>
        <w:spacing w:before="156" w:after="156"/>
        <w:ind w:left="0"/>
      </w:pPr>
      <w:bookmarkStart w:id="64" w:name="_Toc233981669"/>
      <w:r>
        <w:rPr>
          <w:rFonts w:hint="eastAsia"/>
        </w:rPr>
        <w:t>智能化基础</w:t>
      </w:r>
      <w:bookmarkEnd w:id="64"/>
    </w:p>
    <w:p>
      <w:pPr>
        <w:pStyle w:val="65"/>
        <w:spacing w:before="156" w:after="156"/>
        <w:rPr>
          <w:rFonts w:ascii="宋体" w:eastAsia="宋体"/>
        </w:rPr>
      </w:pPr>
      <w:r>
        <w:rPr>
          <w:rFonts w:hint="eastAsia" w:ascii="宋体" w:eastAsia="宋体"/>
        </w:rPr>
        <w:t>企业应对生产装备实施智能化改造，在关键工序和瓶颈环节应用智能装备及先进工艺技术。</w:t>
      </w:r>
    </w:p>
    <w:p>
      <w:pPr>
        <w:pStyle w:val="65"/>
        <w:spacing w:before="156" w:after="156"/>
        <w:rPr>
          <w:rFonts w:ascii="宋体" w:eastAsia="宋体"/>
        </w:rPr>
      </w:pPr>
      <w:r>
        <w:rPr>
          <w:rFonts w:hint="eastAsia" w:ascii="宋体" w:eastAsia="宋体"/>
        </w:rPr>
        <w:t>企业宜在配料、成型、烧结等工序采用自动配料系统、自动压机、智能窑炉等专用设备，实现工艺参数精准控制与自动化操作。</w:t>
      </w:r>
    </w:p>
    <w:p>
      <w:pPr>
        <w:pStyle w:val="65"/>
        <w:spacing w:before="156" w:after="156"/>
        <w:rPr>
          <w:rFonts w:ascii="宋体" w:eastAsia="宋体"/>
        </w:rPr>
      </w:pPr>
      <w:r>
        <w:rPr>
          <w:rFonts w:hint="eastAsia" w:ascii="宋体" w:eastAsia="宋体"/>
        </w:rPr>
        <w:t>企业应在生产设备上安装传感器及工业控制单元（如PLC），部署SCADA或DCS系统，对温度、压力、湿度等工艺环境参数及设备运行状态实施实时监测和智能管控。</w:t>
      </w:r>
    </w:p>
    <w:p>
      <w:pPr>
        <w:pStyle w:val="65"/>
        <w:spacing w:before="156" w:after="156"/>
        <w:rPr>
          <w:rFonts w:ascii="宋体" w:eastAsia="宋体"/>
        </w:rPr>
      </w:pPr>
      <w:r>
        <w:rPr>
          <w:rFonts w:hint="eastAsia" w:ascii="宋体" w:eastAsia="宋体"/>
        </w:rPr>
        <w:t>企业宜应用自主或先进的控制算法，实现配料、成型、烧结等关键工艺的优化控制及过程自适应。</w:t>
      </w:r>
    </w:p>
    <w:p>
      <w:pPr>
        <w:pStyle w:val="65"/>
        <w:spacing w:before="156" w:after="156"/>
        <w:rPr>
          <w:rFonts w:ascii="宋体" w:eastAsia="宋体"/>
        </w:rPr>
      </w:pPr>
      <w:r>
        <w:rPr>
          <w:rFonts w:hint="eastAsia" w:ascii="宋体" w:eastAsia="宋体"/>
        </w:rPr>
        <w:t>企业应建立设备管理信息系统，实现设备台账、维护计划、故障诊断的数字化管理，逐步具备设备运行状态的预测性维护能力，实施设备全生命周期管理。</w:t>
      </w:r>
    </w:p>
    <w:p>
      <w:pPr>
        <w:pStyle w:val="105"/>
        <w:spacing w:before="156" w:after="156"/>
        <w:ind w:left="0"/>
      </w:pPr>
      <w:bookmarkStart w:id="65" w:name="_Toc233981670"/>
      <w:r>
        <w:rPr>
          <w:rFonts w:hint="eastAsia"/>
        </w:rPr>
        <w:t>数字化基础</w:t>
      </w:r>
      <w:bookmarkEnd w:id="65"/>
    </w:p>
    <w:p>
      <w:pPr>
        <w:pStyle w:val="65"/>
        <w:spacing w:before="156" w:after="156"/>
        <w:rPr>
          <w:rFonts w:ascii="宋体" w:eastAsia="宋体"/>
        </w:rPr>
      </w:pPr>
      <w:r>
        <w:rPr>
          <w:rFonts w:hint="eastAsia" w:ascii="宋体" w:eastAsia="宋体"/>
        </w:rPr>
        <w:t>企业应完善信息化系统架构，部署ERP系统，实现生产、采购、销售、库存、财务等业务数据的统一管理。</w:t>
      </w:r>
    </w:p>
    <w:p>
      <w:pPr>
        <w:pStyle w:val="65"/>
        <w:spacing w:before="156" w:after="156"/>
        <w:rPr>
          <w:rFonts w:ascii="宋体" w:eastAsia="宋体"/>
        </w:rPr>
      </w:pPr>
      <w:r>
        <w:rPr>
          <w:rFonts w:hint="eastAsia" w:ascii="宋体" w:eastAsia="宋体"/>
        </w:rPr>
        <w:t>企业宜部署MES制造执行系统，对生产计划排程、生产进度、质量数据实施数字化管理和监控。</w:t>
      </w:r>
    </w:p>
    <w:p>
      <w:pPr>
        <w:pStyle w:val="65"/>
        <w:spacing w:before="156" w:after="156"/>
        <w:rPr>
          <w:rFonts w:ascii="宋体" w:eastAsia="宋体"/>
        </w:rPr>
      </w:pPr>
      <w:r>
        <w:rPr>
          <w:rFonts w:hint="eastAsia" w:ascii="宋体" w:eastAsia="宋体"/>
        </w:rPr>
        <w:t>企业应建立产品研发设计数字化平台，应用计算机辅助设计（CAD）和产品生命周期管理（PLM）系统，开展配方设计、工艺仿真及试验数据管理。</w:t>
      </w:r>
    </w:p>
    <w:p>
      <w:pPr>
        <w:pStyle w:val="65"/>
        <w:spacing w:before="156" w:after="156"/>
        <w:rPr>
          <w:rFonts w:ascii="宋体" w:eastAsia="宋体"/>
        </w:rPr>
      </w:pPr>
      <w:r>
        <w:rPr>
          <w:rFonts w:hint="eastAsia" w:ascii="宋体" w:eastAsia="宋体"/>
        </w:rPr>
        <w:t>企业应建设工业数据采集与集成系统，通过边缘网关将生产现场设备、传感器、检测仪表的采集数据集成上云，打通数据孤岛。</w:t>
      </w:r>
    </w:p>
    <w:p>
      <w:pPr>
        <w:pStyle w:val="65"/>
        <w:spacing w:before="156" w:after="156"/>
        <w:rPr>
          <w:rFonts w:ascii="宋体" w:eastAsia="宋体"/>
        </w:rPr>
      </w:pPr>
      <w:r>
        <w:rPr>
          <w:rFonts w:hint="eastAsia" w:ascii="宋体" w:eastAsia="宋体"/>
        </w:rPr>
        <w:t>企业应对不同来源数据实施分类建模、清洗存储，建立统一的数据仓库或工业大数据平台，为数据分析应用提供基础。</w:t>
      </w:r>
    </w:p>
    <w:p>
      <w:pPr>
        <w:pStyle w:val="65"/>
        <w:spacing w:before="156" w:after="156"/>
        <w:rPr>
          <w:rFonts w:ascii="宋体" w:eastAsia="宋体"/>
        </w:rPr>
      </w:pPr>
      <w:r>
        <w:rPr>
          <w:rFonts w:hint="eastAsia" w:ascii="宋体" w:eastAsia="宋体"/>
        </w:rPr>
        <w:t>企业应建立数据治理制度，明确数据权责和管理流程，保障数据的准确性、一致性和可用性。</w:t>
      </w:r>
    </w:p>
    <w:p>
      <w:pPr>
        <w:pStyle w:val="65"/>
        <w:spacing w:before="156" w:after="156"/>
        <w:rPr>
          <w:rFonts w:ascii="宋体" w:eastAsia="宋体"/>
        </w:rPr>
      </w:pPr>
      <w:r>
        <w:rPr>
          <w:rFonts w:hint="eastAsia" w:ascii="宋体" w:eastAsia="宋体"/>
        </w:rPr>
        <w:t>企业应加强信息化软件的应用能力建设，确保员工熟练使用各信息系统，并可根据电子陶瓷行业特定流程对系统进行二次开发或个性化配置。</w:t>
      </w:r>
    </w:p>
    <w:p>
      <w:pPr>
        <w:pStyle w:val="105"/>
        <w:spacing w:before="156" w:after="156"/>
        <w:ind w:left="0"/>
      </w:pPr>
      <w:bookmarkStart w:id="66" w:name="_Toc233981671"/>
      <w:r>
        <w:rPr>
          <w:rFonts w:hint="eastAsia"/>
        </w:rPr>
        <w:t>网络化基础</w:t>
      </w:r>
      <w:bookmarkEnd w:id="66"/>
    </w:p>
    <w:p>
      <w:pPr>
        <w:pStyle w:val="65"/>
        <w:spacing w:before="156" w:after="156"/>
        <w:rPr>
          <w:rFonts w:ascii="宋体" w:eastAsia="宋体"/>
        </w:rPr>
      </w:pPr>
      <w:r>
        <w:rPr>
          <w:rFonts w:hint="eastAsia" w:ascii="宋体" w:eastAsia="宋体"/>
        </w:rPr>
        <w:t>企业应构建覆盖生产区域的高速工业通信网络，宜部署千兆工业以太网，并辅以5G或专用无线网络，满足生产数据实时传输需求。</w:t>
      </w:r>
    </w:p>
    <w:p>
      <w:pPr>
        <w:pStyle w:val="65"/>
        <w:spacing w:before="156" w:after="156"/>
        <w:rPr>
          <w:rFonts w:ascii="宋体" w:eastAsia="宋体"/>
        </w:rPr>
      </w:pPr>
      <w:r>
        <w:rPr>
          <w:rFonts w:hint="eastAsia" w:ascii="宋体" w:eastAsia="宋体"/>
        </w:rPr>
        <w:t>企业应升级改造现场网络基础设施，实现办公网络（IT）与工厂控制网络（OT）的安全互联，支持生产车间、仓库、办公区之间的信息互通。</w:t>
      </w:r>
    </w:p>
    <w:p>
      <w:pPr>
        <w:pStyle w:val="65"/>
        <w:spacing w:before="156" w:after="156"/>
        <w:rPr>
          <w:rFonts w:ascii="宋体" w:eastAsia="宋体"/>
        </w:rPr>
      </w:pPr>
      <w:r>
        <w:rPr>
          <w:rFonts w:hint="eastAsia" w:ascii="宋体" w:eastAsia="宋体"/>
        </w:rPr>
        <w:t>企业应完善网络层级架构，部署工业交换机、防火墙、工业网关等设备，提高网络的抗干扰能力和安全防护性能。</w:t>
      </w:r>
    </w:p>
    <w:p>
      <w:pPr>
        <w:pStyle w:val="65"/>
        <w:spacing w:before="156" w:after="156"/>
        <w:rPr>
          <w:rFonts w:ascii="宋体" w:eastAsia="宋体"/>
        </w:rPr>
      </w:pPr>
      <w:r>
        <w:rPr>
          <w:rFonts w:hint="eastAsia" w:ascii="宋体" w:eastAsia="宋体"/>
        </w:rPr>
        <w:t>具备条件的企业宜接入工业互联网平台或园区数据专线，实现与行业云平台或供应链平台的互联。</w:t>
      </w:r>
    </w:p>
    <w:p>
      <w:pPr>
        <w:pStyle w:val="65"/>
        <w:spacing w:before="156" w:after="156"/>
        <w:rPr>
          <w:rFonts w:ascii="宋体" w:eastAsia="宋体"/>
        </w:rPr>
      </w:pPr>
      <w:r>
        <w:rPr>
          <w:rFonts w:hint="eastAsia" w:ascii="宋体" w:eastAsia="宋体"/>
        </w:rPr>
        <w:t>企业宜在关键设备和生产线侧部署边缘计算节点，在数据源点附近实施数据预处理和快速响应，降低云端依赖，提高系统响应速度。</w:t>
      </w:r>
    </w:p>
    <w:p>
      <w:pPr>
        <w:pStyle w:val="65"/>
        <w:spacing w:before="156" w:after="156"/>
        <w:rPr>
          <w:rFonts w:ascii="宋体" w:eastAsia="宋体"/>
        </w:rPr>
      </w:pPr>
      <w:r>
        <w:rPr>
          <w:rFonts w:hint="eastAsia" w:ascii="宋体" w:eastAsia="宋体"/>
        </w:rPr>
        <w:t>企业应制定网络管理制度，明确网络维护要求和故障应急处置预案，保障网络长期稳定运行。</w:t>
      </w:r>
    </w:p>
    <w:p>
      <w:pPr>
        <w:pStyle w:val="105"/>
        <w:spacing w:before="156" w:after="156"/>
        <w:ind w:left="0"/>
      </w:pPr>
      <w:bookmarkStart w:id="67" w:name="_Toc233981672"/>
      <w:r>
        <w:rPr>
          <w:rFonts w:hint="eastAsia"/>
        </w:rPr>
        <w:t>人才基础</w:t>
      </w:r>
      <w:bookmarkEnd w:id="67"/>
    </w:p>
    <w:p>
      <w:pPr>
        <w:pStyle w:val="65"/>
        <w:spacing w:before="156" w:after="156"/>
        <w:rPr>
          <w:rFonts w:ascii="宋体" w:eastAsia="宋体"/>
        </w:rPr>
      </w:pPr>
      <w:r>
        <w:rPr>
          <w:rFonts w:hint="eastAsia" w:ascii="宋体" w:eastAsia="宋体"/>
        </w:rPr>
        <w:t>企业应引进和培养数字化复合型人才，组建数字化转型团队。</w:t>
      </w:r>
    </w:p>
    <w:p>
      <w:pPr>
        <w:pStyle w:val="65"/>
        <w:spacing w:before="156" w:after="156"/>
        <w:rPr>
          <w:rFonts w:ascii="宋体" w:eastAsia="宋体"/>
        </w:rPr>
      </w:pPr>
      <w:r>
        <w:rPr>
          <w:rFonts w:hint="eastAsia" w:ascii="宋体" w:eastAsia="宋体"/>
        </w:rPr>
        <w:t>企业应通过内部培训和外部培训相结合的方式，提升员工的数据素养和数字技能。重点提高设备操作人员使用新系统、新设备的能力，以及管理人员数据驱动决策的能力。</w:t>
      </w:r>
    </w:p>
    <w:p>
      <w:pPr>
        <w:pStyle w:val="65"/>
        <w:spacing w:before="156" w:after="156"/>
        <w:rPr>
          <w:rFonts w:ascii="宋体" w:eastAsia="宋体"/>
        </w:rPr>
      </w:pPr>
      <w:r>
        <w:rPr>
          <w:rFonts w:hint="eastAsia" w:ascii="宋体" w:eastAsia="宋体"/>
        </w:rPr>
        <w:t>企业可根据需要聘请专业顾问，或依托第三方服务机构获取数字化技术支持。</w:t>
      </w:r>
    </w:p>
    <w:p>
      <w:pPr>
        <w:pStyle w:val="65"/>
        <w:spacing w:before="156" w:after="156"/>
        <w:rPr>
          <w:rFonts w:ascii="宋体" w:eastAsia="宋体"/>
        </w:rPr>
      </w:pPr>
      <w:r>
        <w:rPr>
          <w:rFonts w:hint="eastAsia" w:ascii="宋体" w:eastAsia="宋体"/>
        </w:rPr>
        <w:t>企业应明确数字化转型工作的牵头部门和责任人，宜设立信息化或智能制造管理岗位（如首席信息官、首席数据官），统筹推进数字化工作。</w:t>
      </w:r>
    </w:p>
    <w:p>
      <w:pPr>
        <w:pStyle w:val="65"/>
        <w:spacing w:before="156" w:after="156"/>
        <w:rPr>
          <w:rFonts w:ascii="宋体" w:eastAsia="宋体"/>
        </w:rPr>
      </w:pPr>
      <w:r>
        <w:rPr>
          <w:rFonts w:hint="eastAsia" w:ascii="宋体" w:eastAsia="宋体"/>
        </w:rPr>
        <w:t>企业高层管理者应参与数字化转型规划与督导，将转型目标分解纳入部门绩效考核。</w:t>
      </w:r>
    </w:p>
    <w:p>
      <w:pPr>
        <w:pStyle w:val="65"/>
        <w:spacing w:before="156" w:after="156"/>
        <w:rPr>
          <w:rFonts w:ascii="宋体" w:eastAsia="宋体"/>
        </w:rPr>
      </w:pPr>
      <w:r>
        <w:rPr>
          <w:rFonts w:hint="eastAsia" w:ascii="宋体" w:eastAsia="宋体"/>
        </w:rPr>
        <w:t>企业应有计划地投入资金，用于软件购置、设备改造、网络建设和人员培训。</w:t>
      </w:r>
    </w:p>
    <w:p>
      <w:pPr>
        <w:pStyle w:val="65"/>
        <w:spacing w:before="156" w:after="156"/>
        <w:rPr>
          <w:rFonts w:ascii="宋体" w:eastAsia="宋体"/>
        </w:rPr>
      </w:pPr>
      <w:r>
        <w:rPr>
          <w:rFonts w:hint="eastAsia" w:ascii="宋体" w:eastAsia="宋体"/>
        </w:rPr>
        <w:t>企业宜充分利用政府支持中小企业数字化转型的政策和专项资金。</w:t>
      </w:r>
    </w:p>
    <w:p>
      <w:pPr>
        <w:pStyle w:val="104"/>
        <w:spacing w:before="312" w:after="312"/>
      </w:pPr>
      <w:bookmarkStart w:id="68" w:name="_Toc233981673"/>
      <w:r>
        <w:rPr>
          <w:rFonts w:hint="eastAsia"/>
        </w:rPr>
        <w:t>关键环节建设</w:t>
      </w:r>
      <w:bookmarkEnd w:id="68"/>
    </w:p>
    <w:p>
      <w:pPr>
        <w:pStyle w:val="105"/>
        <w:spacing w:before="156" w:after="156"/>
        <w:ind w:left="0"/>
      </w:pPr>
      <w:bookmarkStart w:id="69" w:name="_Toc233981674"/>
      <w:r>
        <w:rPr>
          <w:rFonts w:hint="eastAsia"/>
        </w:rPr>
        <w:t>计划调度</w:t>
      </w:r>
      <w:bookmarkEnd w:id="69"/>
    </w:p>
    <w:p>
      <w:pPr>
        <w:pStyle w:val="65"/>
        <w:spacing w:before="156" w:after="156"/>
        <w:rPr>
          <w:rFonts w:ascii="宋体" w:eastAsia="宋体"/>
        </w:rPr>
      </w:pPr>
      <w:r>
        <w:rPr>
          <w:rFonts w:hint="eastAsia" w:ascii="宋体" w:eastAsia="宋体"/>
        </w:rPr>
        <w:t>企业应建立基于数字化系统的生产计划管理机制，宜利用ERP或高级计划与排程（APS）软件，根据销售订单和库存数据生成主生产计划和物料需求计划。</w:t>
      </w:r>
    </w:p>
    <w:p>
      <w:pPr>
        <w:pStyle w:val="65"/>
        <w:spacing w:before="156" w:after="156"/>
        <w:rPr>
          <w:rFonts w:ascii="宋体" w:eastAsia="宋体"/>
        </w:rPr>
      </w:pPr>
      <w:r>
        <w:rPr>
          <w:rFonts w:hint="eastAsia" w:ascii="宋体" w:eastAsia="宋体"/>
        </w:rPr>
        <w:t>企业应通过MES系统下达和跟踪车间作业计划，实时调整排产顺序和节拍，缩短生产准备时间和切换时间。</w:t>
      </w:r>
    </w:p>
    <w:p>
      <w:pPr>
        <w:pStyle w:val="65"/>
        <w:spacing w:before="156" w:after="156"/>
        <w:rPr>
          <w:rFonts w:ascii="宋体" w:eastAsia="宋体"/>
        </w:rPr>
      </w:pPr>
      <w:r>
        <w:rPr>
          <w:rFonts w:hint="eastAsia" w:ascii="宋体" w:eastAsia="宋体"/>
        </w:rPr>
        <w:t>企业宜引入仿真优化技术，对生产排程进行分析，优化设备负载和产能平衡，减少瓶颈工序的等待时间。</w:t>
      </w:r>
    </w:p>
    <w:p>
      <w:pPr>
        <w:pStyle w:val="65"/>
        <w:spacing w:before="156" w:after="156"/>
        <w:rPr>
          <w:rFonts w:ascii="宋体" w:eastAsia="宋体"/>
        </w:rPr>
      </w:pPr>
      <w:r>
        <w:rPr>
          <w:rFonts w:hint="eastAsia" w:ascii="宋体" w:eastAsia="宋体"/>
        </w:rPr>
        <w:t>多品种小批量生产模式的企业，宜采用柔性排产算法，提高订单交付准时率。</w:t>
      </w:r>
    </w:p>
    <w:p>
      <w:pPr>
        <w:pStyle w:val="65"/>
        <w:spacing w:before="156" w:after="156"/>
        <w:rPr>
          <w:rFonts w:ascii="宋体" w:eastAsia="宋体"/>
        </w:rPr>
      </w:pPr>
      <w:r>
        <w:rPr>
          <w:rFonts w:hint="eastAsia" w:ascii="宋体" w:eastAsia="宋体"/>
        </w:rPr>
        <w:t>企业应加强计划与采购、库存的联动，由系统根据计划变化自动触发物料采购和物流配送，避免物料短缺或库存积压。</w:t>
      </w:r>
    </w:p>
    <w:p>
      <w:pPr>
        <w:pStyle w:val="65"/>
        <w:spacing w:before="156" w:after="156"/>
        <w:rPr>
          <w:rFonts w:ascii="宋体" w:eastAsia="宋体"/>
        </w:rPr>
      </w:pPr>
      <w:r>
        <w:rPr>
          <w:rFonts w:hint="eastAsia" w:ascii="宋体" w:eastAsia="宋体"/>
        </w:rPr>
        <w:t>企业应在生产调度中集成设备状态、工序进展等实时数据，及时识别偏差并调整计划。</w:t>
      </w:r>
    </w:p>
    <w:p>
      <w:pPr>
        <w:pStyle w:val="65"/>
        <w:spacing w:before="156" w:after="156"/>
        <w:rPr>
          <w:rFonts w:ascii="宋体" w:eastAsia="宋体"/>
        </w:rPr>
      </w:pPr>
      <w:r>
        <w:rPr>
          <w:rFonts w:hint="eastAsia" w:ascii="宋体" w:eastAsia="宋体"/>
        </w:rPr>
        <w:t>企业宜应用数字孪生技术构建虚拟工厂模型，模拟不同排产方案对生产周期和资源利用的影响，为调度决策提供依据。</w:t>
      </w:r>
    </w:p>
    <w:p>
      <w:pPr>
        <w:pStyle w:val="105"/>
        <w:spacing w:before="156" w:after="156"/>
        <w:ind w:left="0"/>
      </w:pPr>
      <w:bookmarkStart w:id="70" w:name="_Toc233981675"/>
      <w:r>
        <w:rPr>
          <w:rFonts w:hint="eastAsia"/>
        </w:rPr>
        <w:t>生产作业</w:t>
      </w:r>
      <w:bookmarkEnd w:id="70"/>
    </w:p>
    <w:p>
      <w:pPr>
        <w:pStyle w:val="65"/>
        <w:spacing w:before="156" w:after="156"/>
        <w:rPr>
          <w:rFonts w:ascii="宋体" w:eastAsia="宋体"/>
        </w:rPr>
      </w:pPr>
      <w:r>
        <w:rPr>
          <w:rFonts w:hint="eastAsia" w:ascii="宋体" w:eastAsia="宋体"/>
        </w:rPr>
        <w:t>企业应利用智能控制系统和过程监控技术，对生产流程实施精细化管控。</w:t>
      </w:r>
    </w:p>
    <w:p>
      <w:pPr>
        <w:pStyle w:val="65"/>
        <w:spacing w:before="156" w:after="156"/>
        <w:rPr>
          <w:rFonts w:ascii="宋体" w:eastAsia="宋体"/>
        </w:rPr>
      </w:pPr>
      <w:r>
        <w:rPr>
          <w:rFonts w:hint="eastAsia" w:ascii="宋体" w:eastAsia="宋体"/>
        </w:rPr>
        <w:t>企业应在配料、研磨、成型、烧结、电极印刷等关键工序部署在线监测与控制装置，采集配料配比、温度曲线、烧成时间、气氛控制等关键工艺参数，并通过闭环控制系统自动调节，确保工艺参数稳定在设定范围。</w:t>
      </w:r>
    </w:p>
    <w:p>
      <w:pPr>
        <w:pStyle w:val="65"/>
        <w:spacing w:before="156" w:after="156"/>
        <w:rPr>
          <w:rFonts w:ascii="宋体" w:eastAsia="宋体"/>
        </w:rPr>
      </w:pPr>
      <w:r>
        <w:rPr>
          <w:rFonts w:hint="eastAsia" w:ascii="宋体" w:eastAsia="宋体"/>
        </w:rPr>
        <w:t>企业应建立生产过程执行系统，实时采集工位作业数据和产品过程数据，实现生产过程可追溯。</w:t>
      </w:r>
    </w:p>
    <w:p>
      <w:pPr>
        <w:pStyle w:val="65"/>
        <w:spacing w:before="156" w:after="156"/>
        <w:rPr>
          <w:rFonts w:ascii="宋体" w:eastAsia="宋体"/>
        </w:rPr>
      </w:pPr>
      <w:r>
        <w:rPr>
          <w:rFonts w:hint="eastAsia" w:ascii="宋体" w:eastAsia="宋体"/>
        </w:rPr>
        <w:t>企业宜通过工业互联网平台联接不同生产设备和工序，实现生产过程的协同优化，包括前道工序与后道工序产能的动态匹配，减少在制品等待时间。</w:t>
      </w:r>
    </w:p>
    <w:p>
      <w:pPr>
        <w:pStyle w:val="65"/>
        <w:spacing w:before="156" w:after="156"/>
        <w:rPr>
          <w:rFonts w:ascii="宋体" w:eastAsia="宋体"/>
        </w:rPr>
      </w:pPr>
      <w:r>
        <w:rPr>
          <w:rFonts w:hint="eastAsia" w:ascii="宋体" w:eastAsia="宋体"/>
        </w:rPr>
        <w:t>企业应在在制品管理中采用条码或射频识别（RFID）技术，实现半成品在工序间的高效流转和追踪。</w:t>
      </w:r>
    </w:p>
    <w:p>
      <w:pPr>
        <w:pStyle w:val="65"/>
        <w:spacing w:before="156" w:after="156"/>
        <w:rPr>
          <w:rFonts w:ascii="宋体" w:eastAsia="宋体"/>
        </w:rPr>
      </w:pPr>
      <w:r>
        <w:rPr>
          <w:rFonts w:hint="eastAsia" w:ascii="宋体" w:eastAsia="宋体"/>
        </w:rPr>
        <w:t>企业宜应用先进控制算法和工艺模型，对生产过程的关键参数实施预测和自适应优化，包括窑炉温度分布优化控制，提高烧结均匀性。</w:t>
      </w:r>
    </w:p>
    <w:p>
      <w:pPr>
        <w:pStyle w:val="65"/>
        <w:spacing w:before="156" w:after="156"/>
        <w:rPr>
          <w:rFonts w:ascii="宋体" w:eastAsia="宋体"/>
        </w:rPr>
      </w:pPr>
      <w:r>
        <w:rPr>
          <w:rFonts w:hint="eastAsia" w:ascii="宋体" w:eastAsia="宋体"/>
        </w:rPr>
        <w:t>企业应推动巡检作业数字化，使用移动终端为巡检人员提供设备状态实时信息和操作指引，将人工巡检发现的问题及时录入系统并跟踪处理。</w:t>
      </w:r>
    </w:p>
    <w:p>
      <w:pPr>
        <w:pStyle w:val="105"/>
        <w:spacing w:before="156" w:after="156"/>
        <w:ind w:left="0"/>
      </w:pPr>
      <w:bookmarkStart w:id="71" w:name="_Toc233981676"/>
      <w:r>
        <w:rPr>
          <w:rFonts w:hint="eastAsia"/>
        </w:rPr>
        <w:t>仓储配送</w:t>
      </w:r>
      <w:bookmarkEnd w:id="71"/>
    </w:p>
    <w:p>
      <w:pPr>
        <w:pStyle w:val="65"/>
        <w:spacing w:before="156" w:after="156"/>
        <w:rPr>
          <w:rFonts w:ascii="宋体" w:eastAsia="宋体"/>
        </w:rPr>
      </w:pPr>
      <w:r>
        <w:rPr>
          <w:rFonts w:hint="eastAsia" w:ascii="宋体" w:eastAsia="宋体"/>
        </w:rPr>
        <w:t>企业应引入仓储管理系统（WMS），对原料、半成品、成品仓库实施数字化管理，实现库存精细化控制和物料快速查询。</w:t>
      </w:r>
    </w:p>
    <w:p>
      <w:pPr>
        <w:pStyle w:val="65"/>
        <w:spacing w:before="156" w:after="156"/>
        <w:rPr>
          <w:rFonts w:ascii="宋体" w:eastAsia="宋体"/>
        </w:rPr>
      </w:pPr>
      <w:r>
        <w:rPr>
          <w:rFonts w:hint="eastAsia" w:ascii="宋体" w:eastAsia="宋体"/>
        </w:rPr>
        <w:t>企业应采用条码或射频识别（RFID）技术对物料进行标识，实现收货、出库、移库等操作的扫码处理，减少人工录入错误。</w:t>
      </w:r>
    </w:p>
    <w:p>
      <w:pPr>
        <w:pStyle w:val="65"/>
        <w:spacing w:before="156" w:after="156"/>
        <w:rPr>
          <w:rFonts w:ascii="宋体" w:eastAsia="宋体"/>
        </w:rPr>
      </w:pPr>
      <w:r>
        <w:rPr>
          <w:rFonts w:hint="eastAsia" w:ascii="宋体" w:eastAsia="宋体"/>
        </w:rPr>
        <w:t>企业宜优化仓库布局和拣选路径，可根据规模引入电子标签拣货系统或自动化立体仓库，提高出入库作业效率。</w:t>
      </w:r>
    </w:p>
    <w:p>
      <w:pPr>
        <w:pStyle w:val="65"/>
        <w:spacing w:before="156" w:after="156"/>
        <w:rPr>
          <w:rFonts w:ascii="宋体" w:eastAsia="宋体"/>
        </w:rPr>
      </w:pPr>
      <w:r>
        <w:rPr>
          <w:rFonts w:hint="eastAsia" w:ascii="宋体" w:eastAsia="宋体"/>
        </w:rPr>
        <w:t>企业宜建立运输管理系统（TMS），跟踪物流状态，优化配送线路。</w:t>
      </w:r>
    </w:p>
    <w:p>
      <w:pPr>
        <w:pStyle w:val="65"/>
        <w:spacing w:before="156" w:after="156"/>
        <w:rPr>
          <w:rFonts w:ascii="宋体" w:eastAsia="宋体"/>
        </w:rPr>
      </w:pPr>
      <w:r>
        <w:rPr>
          <w:rFonts w:hint="eastAsia" w:ascii="宋体" w:eastAsia="宋体"/>
        </w:rPr>
        <w:t>企业宜与供应商、客户共享库存和需求信息，探索供应商管理库存（VMI）模式，减少库存占用。</w:t>
      </w:r>
    </w:p>
    <w:p>
      <w:pPr>
        <w:pStyle w:val="65"/>
        <w:spacing w:before="156" w:after="156"/>
        <w:rPr>
          <w:rFonts w:ascii="宋体" w:eastAsia="宋体"/>
        </w:rPr>
      </w:pPr>
      <w:r>
        <w:rPr>
          <w:rFonts w:hint="eastAsia" w:ascii="宋体" w:eastAsia="宋体"/>
        </w:rPr>
        <w:t>企业应将仓储系统与生产系统、销售系统集成，当生产计划或订单发生变化时，仓储配送计划自动响应更新。</w:t>
      </w:r>
    </w:p>
    <w:p>
      <w:pPr>
        <w:pStyle w:val="65"/>
        <w:spacing w:before="156" w:after="156"/>
        <w:rPr>
          <w:rFonts w:ascii="宋体" w:eastAsia="宋体"/>
        </w:rPr>
      </w:pPr>
      <w:r>
        <w:rPr>
          <w:rFonts w:hint="eastAsia" w:ascii="宋体" w:eastAsia="宋体"/>
        </w:rPr>
        <w:t>企业宜引入自动导引运输车（AGV）或自动输送线，实现车间与仓库之间物料的自动转运，降低人工搬运强度。</w:t>
      </w:r>
    </w:p>
    <w:p>
      <w:pPr>
        <w:pStyle w:val="105"/>
        <w:spacing w:before="156" w:after="156"/>
        <w:ind w:left="0"/>
      </w:pPr>
      <w:bookmarkStart w:id="72" w:name="_Toc233981677"/>
      <w:r>
        <w:rPr>
          <w:rFonts w:hint="eastAsia"/>
        </w:rPr>
        <w:t>质量管理</w:t>
      </w:r>
      <w:bookmarkEnd w:id="72"/>
    </w:p>
    <w:p>
      <w:pPr>
        <w:pStyle w:val="65"/>
        <w:spacing w:before="156" w:after="156"/>
        <w:rPr>
          <w:rFonts w:ascii="宋体" w:eastAsia="宋体"/>
        </w:rPr>
      </w:pPr>
      <w:r>
        <w:rPr>
          <w:rFonts w:hint="eastAsia" w:ascii="宋体" w:eastAsia="宋体"/>
        </w:rPr>
        <w:t>企业应建立数字化质量管控体系，在生产线上布置在线检测设备，对关键尺寸、外观瑕疵、电性能参数实施自动检测和数据采集。</w:t>
      </w:r>
    </w:p>
    <w:p>
      <w:pPr>
        <w:pStyle w:val="65"/>
        <w:spacing w:before="156" w:after="156"/>
        <w:rPr>
          <w:rFonts w:ascii="宋体" w:eastAsia="宋体"/>
        </w:rPr>
      </w:pPr>
      <w:r>
        <w:rPr>
          <w:rFonts w:hint="eastAsia" w:ascii="宋体" w:eastAsia="宋体"/>
        </w:rPr>
        <w:t>企业宜引入机器视觉检测系统，对产品外观和尺寸进行高速高精度检验，提高检验效率和一致性。</w:t>
      </w:r>
    </w:p>
    <w:p>
      <w:pPr>
        <w:pStyle w:val="65"/>
        <w:spacing w:before="156" w:after="156"/>
        <w:rPr>
          <w:rFonts w:ascii="宋体" w:eastAsia="宋体"/>
        </w:rPr>
      </w:pPr>
      <w:r>
        <w:rPr>
          <w:rFonts w:hint="eastAsia" w:ascii="宋体" w:eastAsia="宋体"/>
        </w:rPr>
        <w:t>企业应将统计过程控制（SPC）方法融入MES系统，对过程质量数据实施实时分析，识别异常趋势并预警，指导现场及时纠偏。</w:t>
      </w:r>
    </w:p>
    <w:p>
      <w:pPr>
        <w:pStyle w:val="65"/>
        <w:spacing w:before="156" w:after="156"/>
        <w:rPr>
          <w:rFonts w:ascii="宋体" w:eastAsia="宋体"/>
        </w:rPr>
      </w:pPr>
      <w:r>
        <w:rPr>
          <w:rFonts w:hint="eastAsia" w:ascii="宋体" w:eastAsia="宋体"/>
        </w:rPr>
        <w:t>企业应建立质量管理信息系统（QMS），集中管理来料检验、过程检验、成品检验、不良品记录、质量报告等数据，实现全流程质量数据可追溯。</w:t>
      </w:r>
    </w:p>
    <w:p>
      <w:pPr>
        <w:pStyle w:val="65"/>
        <w:spacing w:before="156" w:after="156"/>
        <w:rPr>
          <w:rFonts w:ascii="宋体" w:eastAsia="宋体"/>
        </w:rPr>
      </w:pPr>
      <w:r>
        <w:rPr>
          <w:rFonts w:hint="eastAsia" w:ascii="宋体" w:eastAsia="宋体"/>
        </w:rPr>
        <w:t>企业宜应用工业大数据分析技术，对历史质量数据进行挖掘，识别缺陷产生规律和根本原因，持续改进工艺参数和操作规范。</w:t>
      </w:r>
    </w:p>
    <w:p>
      <w:pPr>
        <w:pStyle w:val="65"/>
        <w:spacing w:before="156" w:after="156"/>
        <w:rPr>
          <w:rFonts w:ascii="宋体" w:eastAsia="宋体"/>
        </w:rPr>
      </w:pPr>
      <w:r>
        <w:rPr>
          <w:rFonts w:hint="eastAsia" w:ascii="宋体" w:eastAsia="宋体"/>
        </w:rPr>
        <w:t>企业应建立品质反馈机制，将客户反馈与售后数据纳入质量管理系统，实施闭环改进。</w:t>
      </w:r>
    </w:p>
    <w:p>
      <w:pPr>
        <w:pStyle w:val="65"/>
        <w:spacing w:before="156" w:after="156"/>
        <w:rPr>
          <w:rFonts w:ascii="宋体" w:eastAsia="宋体"/>
        </w:rPr>
      </w:pPr>
      <w:r>
        <w:rPr>
          <w:rFonts w:hint="eastAsia" w:ascii="宋体" w:eastAsia="宋体"/>
        </w:rPr>
        <w:t>企业应对成品一次交验合格率、返工率、客退率等关键质量指标实施可视化监控，在管理驾驶舱实时展示。</w:t>
      </w:r>
    </w:p>
    <w:p>
      <w:pPr>
        <w:pStyle w:val="65"/>
        <w:spacing w:before="156" w:after="156"/>
        <w:rPr>
          <w:rFonts w:ascii="宋体" w:eastAsia="宋体"/>
        </w:rPr>
      </w:pPr>
      <w:r>
        <w:rPr>
          <w:rFonts w:hint="eastAsia" w:ascii="宋体" w:eastAsia="宋体"/>
        </w:rPr>
        <w:t>企业宜针对介电常数、损耗、强度等关键性能建立数字化模型，通过模拟仿真预估质量表现，辅助研发改进。</w:t>
      </w:r>
    </w:p>
    <w:p>
      <w:pPr>
        <w:pStyle w:val="105"/>
        <w:spacing w:before="156" w:after="156"/>
        <w:ind w:left="0"/>
      </w:pPr>
      <w:bookmarkStart w:id="73" w:name="_Toc233981678"/>
      <w:r>
        <w:rPr>
          <w:rFonts w:hint="eastAsia"/>
        </w:rPr>
        <w:t>供应链管理</w:t>
      </w:r>
      <w:bookmarkEnd w:id="73"/>
    </w:p>
    <w:p>
      <w:pPr>
        <w:pStyle w:val="65"/>
        <w:spacing w:before="156" w:after="156"/>
        <w:rPr>
          <w:rFonts w:ascii="宋体" w:eastAsia="宋体"/>
        </w:rPr>
      </w:pPr>
      <w:r>
        <w:rPr>
          <w:rFonts w:hint="eastAsia" w:ascii="宋体" w:eastAsia="宋体"/>
        </w:rPr>
        <w:t>企业应建立供应商管理平台，与主要原材料供应商实现在线协同，包括电子订单、交货进度跟踪、库存共享等。</w:t>
      </w:r>
    </w:p>
    <w:p>
      <w:pPr>
        <w:pStyle w:val="65"/>
        <w:spacing w:before="156" w:after="156"/>
        <w:rPr>
          <w:rFonts w:ascii="宋体" w:eastAsia="宋体"/>
        </w:rPr>
      </w:pPr>
      <w:r>
        <w:rPr>
          <w:rFonts w:hint="eastAsia" w:ascii="宋体" w:eastAsia="宋体"/>
        </w:rPr>
        <w:t>企业宜采用电子采购系统，实现采购询价、比价、订购流程的线上化，提高采购效率和透明度。</w:t>
      </w:r>
    </w:p>
    <w:p>
      <w:pPr>
        <w:pStyle w:val="65"/>
        <w:spacing w:before="156" w:after="156"/>
        <w:rPr>
          <w:rFonts w:ascii="宋体" w:eastAsia="宋体"/>
        </w:rPr>
      </w:pPr>
      <w:r>
        <w:rPr>
          <w:rFonts w:hint="eastAsia" w:ascii="宋体" w:eastAsia="宋体"/>
        </w:rPr>
        <w:t>企业应推进订单管理数字化，与客户建立电子订单和需求预测共享机制，及时获取客户动态需求。</w:t>
      </w:r>
    </w:p>
    <w:p>
      <w:pPr>
        <w:pStyle w:val="65"/>
        <w:spacing w:before="156" w:after="156"/>
        <w:rPr>
          <w:rFonts w:ascii="宋体" w:eastAsia="宋体"/>
        </w:rPr>
      </w:pPr>
      <w:r>
        <w:rPr>
          <w:rFonts w:hint="eastAsia" w:ascii="宋体" w:eastAsia="宋体"/>
        </w:rPr>
        <w:t>对于核心客户，企业宜通过电子数据交换（EDI）或供应链协同平台，实现订单、发货、库存等数据的系统直连，减少人工对接。</w:t>
      </w:r>
    </w:p>
    <w:p>
      <w:pPr>
        <w:pStyle w:val="65"/>
        <w:spacing w:before="156" w:after="156"/>
        <w:rPr>
          <w:rFonts w:ascii="宋体" w:eastAsia="宋体"/>
        </w:rPr>
      </w:pPr>
      <w:r>
        <w:rPr>
          <w:rFonts w:hint="eastAsia" w:ascii="宋体" w:eastAsia="宋体"/>
        </w:rPr>
        <w:t>企业宜应用供应链计划系统，对供应、生产、库存、分销实施统筹优化，平衡供需关系，降低整体库存水平。</w:t>
      </w:r>
    </w:p>
    <w:p>
      <w:pPr>
        <w:pStyle w:val="65"/>
        <w:spacing w:before="156" w:after="156"/>
        <w:rPr>
          <w:rFonts w:ascii="宋体" w:eastAsia="宋体"/>
        </w:rPr>
      </w:pPr>
      <w:r>
        <w:rPr>
          <w:rFonts w:hint="eastAsia" w:ascii="宋体" w:eastAsia="宋体"/>
        </w:rPr>
        <w:t>企业应依据GB/T 23050的框架，从供应链战略与网络设计、业务协同与生态构建、风险监测与应对等方面提升能力，建设供应链数字化管理平台，实现供应链计划、执行、监控与优化的闭环管理。</w:t>
      </w:r>
    </w:p>
    <w:p>
      <w:pPr>
        <w:pStyle w:val="65"/>
        <w:spacing w:before="156" w:after="156"/>
        <w:rPr>
          <w:rFonts w:ascii="宋体" w:eastAsia="宋体"/>
        </w:rPr>
      </w:pPr>
      <w:r>
        <w:rPr>
          <w:rFonts w:hint="eastAsia" w:ascii="宋体" w:eastAsia="宋体"/>
        </w:rPr>
        <w:t>企业宜与第三方物流平台或物流公司系统对接，动态获取运输状态，提高交付可视性。</w:t>
      </w:r>
    </w:p>
    <w:p>
      <w:pPr>
        <w:pStyle w:val="65"/>
        <w:spacing w:before="156" w:after="156"/>
        <w:rPr>
          <w:rFonts w:ascii="宋体" w:eastAsia="宋体"/>
        </w:rPr>
      </w:pPr>
      <w:r>
        <w:rPr>
          <w:rFonts w:hint="eastAsia" w:ascii="宋体" w:eastAsia="宋体"/>
        </w:rPr>
        <w:t>企业宜利用数字化信用数据与金融机构合作，盘活应收账款，加快资金周转。</w:t>
      </w:r>
    </w:p>
    <w:p>
      <w:pPr>
        <w:pStyle w:val="105"/>
        <w:spacing w:before="156" w:after="156"/>
        <w:ind w:left="0"/>
      </w:pPr>
      <w:bookmarkStart w:id="74" w:name="_Toc233981679"/>
      <w:r>
        <w:rPr>
          <w:rFonts w:hint="eastAsia"/>
        </w:rPr>
        <w:t>能源管理</w:t>
      </w:r>
      <w:bookmarkEnd w:id="74"/>
    </w:p>
    <w:p>
      <w:pPr>
        <w:pStyle w:val="65"/>
        <w:spacing w:before="156" w:after="156"/>
        <w:rPr>
          <w:rFonts w:ascii="宋体" w:eastAsia="宋体"/>
        </w:rPr>
      </w:pPr>
      <w:r>
        <w:rPr>
          <w:rFonts w:hint="eastAsia" w:ascii="宋体" w:eastAsia="宋体"/>
        </w:rPr>
        <w:t>企业应建立能源管理系统（EMS），对电、水、气等能源消耗实施实时监测和优化控制。</w:t>
      </w:r>
    </w:p>
    <w:p>
      <w:pPr>
        <w:pStyle w:val="65"/>
        <w:spacing w:before="156" w:after="156"/>
        <w:rPr>
          <w:rFonts w:ascii="宋体" w:eastAsia="宋体"/>
        </w:rPr>
      </w:pPr>
      <w:r>
        <w:rPr>
          <w:rFonts w:hint="eastAsia" w:ascii="宋体" w:eastAsia="宋体"/>
        </w:rPr>
        <w:t>企业应在电炉、空压机、中央空调等主要耗能设备上安装智能电表和流量计，实现用能数据的自动采集和集中监控。</w:t>
      </w:r>
    </w:p>
    <w:p>
      <w:pPr>
        <w:pStyle w:val="65"/>
        <w:spacing w:before="156" w:after="156"/>
        <w:rPr>
          <w:rFonts w:ascii="宋体" w:eastAsia="宋体"/>
        </w:rPr>
      </w:pPr>
      <w:r>
        <w:rPr>
          <w:rFonts w:hint="eastAsia" w:ascii="宋体" w:eastAsia="宋体"/>
        </w:rPr>
        <w:t>企业应通过能源管理平台实时显示各工序、各设备的能源消耗情况，识别能耗高峰和异常。</w:t>
      </w:r>
    </w:p>
    <w:p>
      <w:pPr>
        <w:pStyle w:val="65"/>
        <w:spacing w:before="156" w:after="156"/>
        <w:rPr>
          <w:rFonts w:ascii="宋体" w:eastAsia="宋体"/>
        </w:rPr>
      </w:pPr>
      <w:r>
        <w:rPr>
          <w:rFonts w:hint="eastAsia" w:ascii="宋体" w:eastAsia="宋体"/>
        </w:rPr>
        <w:t>企业宜应用数据分析对能源使用实施绩效评估，计算单位产品能耗等指标，作为工艺改进和设备升级的依据。</w:t>
      </w:r>
    </w:p>
    <w:p>
      <w:pPr>
        <w:pStyle w:val="65"/>
        <w:spacing w:before="156" w:after="156"/>
        <w:rPr>
          <w:rFonts w:ascii="宋体" w:eastAsia="宋体"/>
        </w:rPr>
      </w:pPr>
      <w:r>
        <w:rPr>
          <w:rFonts w:hint="eastAsia" w:ascii="宋体" w:eastAsia="宋体"/>
        </w:rPr>
        <w:t>企业应建立能耗监测预警机制，当设备能耗异常升高或超过设定阈值时，及时通知运维人员处理。</w:t>
      </w:r>
    </w:p>
    <w:p>
      <w:pPr>
        <w:pStyle w:val="65"/>
        <w:spacing w:before="156" w:after="156"/>
        <w:rPr>
          <w:rFonts w:ascii="宋体" w:eastAsia="宋体"/>
        </w:rPr>
      </w:pPr>
      <w:r>
        <w:rPr>
          <w:rFonts w:hint="eastAsia" w:ascii="宋体" w:eastAsia="宋体"/>
        </w:rPr>
        <w:t>企业宜根据电价波峰波谷实施分时能源管理，优化生产排程，降低用电成本。</w:t>
      </w:r>
    </w:p>
    <w:p>
      <w:pPr>
        <w:pStyle w:val="65"/>
        <w:spacing w:before="156" w:after="156"/>
        <w:rPr>
          <w:rFonts w:ascii="宋体" w:eastAsia="宋体"/>
        </w:rPr>
      </w:pPr>
      <w:r>
        <w:rPr>
          <w:rFonts w:hint="eastAsia" w:ascii="宋体" w:eastAsia="宋体"/>
        </w:rPr>
        <w:t>企业宜对窑炉余热实施在线监测和回收利用评估，提升能源利用效率。</w:t>
      </w:r>
    </w:p>
    <w:p>
      <w:pPr>
        <w:pStyle w:val="65"/>
        <w:spacing w:before="156" w:after="156"/>
        <w:rPr>
          <w:rFonts w:ascii="宋体" w:eastAsia="宋体"/>
        </w:rPr>
      </w:pPr>
      <w:r>
        <w:rPr>
          <w:rFonts w:hint="eastAsia" w:ascii="宋体" w:eastAsia="宋体"/>
        </w:rPr>
        <w:t>企业宜通过工业互联网平台与园区能源管理系统对接，参与能源供需互动调节。</w:t>
      </w:r>
    </w:p>
    <w:p>
      <w:pPr>
        <w:pStyle w:val="65"/>
        <w:spacing w:before="156" w:after="156"/>
        <w:rPr>
          <w:rFonts w:ascii="宋体" w:eastAsia="宋体"/>
        </w:rPr>
      </w:pPr>
      <w:r>
        <w:rPr>
          <w:rFonts w:hint="eastAsia" w:ascii="宋体" w:eastAsia="宋体"/>
        </w:rPr>
        <w:t>企业应通过能源管理系统实现能耗在线监测，收集碳排放数据，为碳核查和碳足迹分析提供支持。</w:t>
      </w:r>
    </w:p>
    <w:p>
      <w:pPr>
        <w:pStyle w:val="105"/>
        <w:spacing w:before="156" w:after="156"/>
        <w:ind w:left="0"/>
      </w:pPr>
      <w:bookmarkStart w:id="75" w:name="_Toc233981680"/>
      <w:r>
        <w:rPr>
          <w:rFonts w:hint="eastAsia"/>
        </w:rPr>
        <w:t>设备管理</w:t>
      </w:r>
      <w:bookmarkEnd w:id="75"/>
    </w:p>
    <w:p>
      <w:pPr>
        <w:pStyle w:val="65"/>
        <w:spacing w:before="156" w:after="156"/>
        <w:rPr>
          <w:rFonts w:ascii="宋体" w:eastAsia="宋体"/>
        </w:rPr>
      </w:pPr>
      <w:r>
        <w:rPr>
          <w:rFonts w:hint="eastAsia" w:ascii="宋体" w:eastAsia="宋体"/>
        </w:rPr>
        <w:t>企业应建立数字化设备管理系统，将设备台账、维护计划、点检记录、故障历史等信息纳入系统管理，实现设备信息电子化。</w:t>
      </w:r>
    </w:p>
    <w:p>
      <w:pPr>
        <w:pStyle w:val="65"/>
        <w:spacing w:before="156" w:after="156"/>
        <w:rPr>
          <w:rFonts w:ascii="宋体" w:eastAsia="宋体"/>
        </w:rPr>
      </w:pPr>
      <w:r>
        <w:rPr>
          <w:rFonts w:hint="eastAsia" w:ascii="宋体" w:eastAsia="宋体"/>
        </w:rPr>
        <w:t>企业应运用物联网技术对关键设备实施远程实时监测，采集温度、振动、电流、电压等运行状态参数，作为设备健康状态评估依据。</w:t>
      </w:r>
    </w:p>
    <w:p>
      <w:pPr>
        <w:pStyle w:val="65"/>
        <w:spacing w:before="156" w:after="156"/>
        <w:rPr>
          <w:rFonts w:ascii="宋体" w:eastAsia="宋体"/>
        </w:rPr>
      </w:pPr>
      <w:r>
        <w:rPr>
          <w:rFonts w:hint="eastAsia" w:ascii="宋体" w:eastAsia="宋体"/>
        </w:rPr>
        <w:t>企业宜通过大数据分析和AI算法开展设备故障预测与健康管理（PHM），实现预测性维护。当监测数据出现异常模式或达到预设阈值时，系统自动预警并提示检修。</w:t>
      </w:r>
    </w:p>
    <w:p>
      <w:pPr>
        <w:pStyle w:val="65"/>
        <w:spacing w:before="156" w:after="156"/>
        <w:rPr>
          <w:rFonts w:ascii="宋体" w:eastAsia="宋体"/>
        </w:rPr>
      </w:pPr>
      <w:r>
        <w:rPr>
          <w:rFonts w:hint="eastAsia" w:ascii="宋体" w:eastAsia="宋体"/>
        </w:rPr>
        <w:t>企业应利用设备管理系统自动生成保养计划和任务提醒，规范点检和保养流程，确保维护工作按时执行。</w:t>
      </w:r>
    </w:p>
    <w:p>
      <w:pPr>
        <w:pStyle w:val="65"/>
        <w:spacing w:before="156" w:after="156"/>
        <w:rPr>
          <w:rFonts w:ascii="宋体" w:eastAsia="宋体"/>
        </w:rPr>
      </w:pPr>
      <w:r>
        <w:rPr>
          <w:rFonts w:hint="eastAsia" w:ascii="宋体" w:eastAsia="宋体"/>
        </w:rPr>
        <w:t>企业宜采用移动运维应用程序，维护人员通过移动终端接收任务、录入检修结果、查询设备资料，提高现场维护效率。</w:t>
      </w:r>
    </w:p>
    <w:p>
      <w:pPr>
        <w:pStyle w:val="65"/>
        <w:spacing w:before="156" w:after="156"/>
        <w:rPr>
          <w:rFonts w:ascii="宋体" w:eastAsia="宋体"/>
        </w:rPr>
      </w:pPr>
      <w:r>
        <w:rPr>
          <w:rFonts w:hint="eastAsia" w:ascii="宋体" w:eastAsia="宋体"/>
        </w:rPr>
        <w:t>企业应建立备品备件管理模块，根据设备状态和历史消耗预测备件需求，优化备件库存。</w:t>
      </w:r>
    </w:p>
    <w:p>
      <w:pPr>
        <w:pStyle w:val="65"/>
        <w:spacing w:before="156" w:after="156"/>
        <w:rPr>
          <w:rFonts w:ascii="宋体" w:eastAsia="宋体"/>
        </w:rPr>
      </w:pPr>
      <w:r>
        <w:rPr>
          <w:rFonts w:hint="eastAsia" w:ascii="宋体" w:eastAsia="宋体"/>
        </w:rPr>
        <w:t>企业应依据GB/T 23022，完善设备运行管理制度，包括操作规程数字化、故障响应机制和绩效评价指标。</w:t>
      </w:r>
    </w:p>
    <w:p>
      <w:pPr>
        <w:pStyle w:val="65"/>
        <w:spacing w:before="156" w:after="156"/>
        <w:rPr>
          <w:rFonts w:ascii="宋体" w:eastAsia="宋体"/>
        </w:rPr>
      </w:pPr>
      <w:r>
        <w:rPr>
          <w:rFonts w:hint="eastAsia" w:ascii="宋体" w:eastAsia="宋体"/>
        </w:rPr>
        <w:t>企业应将设备管理系统与生产管理系统衔接，设备故障或检修时系统自动反馈至生产计划调整。</w:t>
      </w:r>
    </w:p>
    <w:p>
      <w:pPr>
        <w:pStyle w:val="105"/>
        <w:spacing w:before="156" w:after="156"/>
        <w:ind w:left="0"/>
      </w:pPr>
      <w:bookmarkStart w:id="76" w:name="_Toc233981681"/>
      <w:r>
        <w:rPr>
          <w:rFonts w:hint="eastAsia"/>
        </w:rPr>
        <w:t>安全生产</w:t>
      </w:r>
      <w:bookmarkEnd w:id="76"/>
    </w:p>
    <w:p>
      <w:pPr>
        <w:pStyle w:val="65"/>
        <w:spacing w:before="156" w:after="156"/>
        <w:rPr>
          <w:rFonts w:ascii="宋体" w:eastAsia="宋体"/>
        </w:rPr>
      </w:pPr>
      <w:r>
        <w:rPr>
          <w:rFonts w:hint="eastAsia" w:ascii="宋体" w:eastAsia="宋体"/>
        </w:rPr>
        <w:t>企业应建设安全生产信息管理系统，覆盖风险点监控、隐患排查治理、员工培训管理等功能。</w:t>
      </w:r>
    </w:p>
    <w:p>
      <w:pPr>
        <w:pStyle w:val="65"/>
        <w:spacing w:before="156" w:after="156"/>
        <w:rPr>
          <w:rFonts w:ascii="宋体" w:eastAsia="宋体"/>
        </w:rPr>
      </w:pPr>
      <w:r>
        <w:rPr>
          <w:rFonts w:hint="eastAsia" w:ascii="宋体" w:eastAsia="宋体"/>
        </w:rPr>
        <w:t>企业应在粉碎、研磨工序配置粉尘浓度传感器，在窑炉区域配置一氧化碳等有害气体检测仪，实现安全环境指标的实时监控。指标异常超标时应及时报警并连锁相关设备停机。</w:t>
      </w:r>
    </w:p>
    <w:p>
      <w:pPr>
        <w:pStyle w:val="65"/>
        <w:spacing w:before="156" w:after="156"/>
        <w:rPr>
          <w:rFonts w:ascii="宋体" w:eastAsia="宋体"/>
        </w:rPr>
      </w:pPr>
      <w:r>
        <w:rPr>
          <w:rFonts w:hint="eastAsia" w:ascii="宋体" w:eastAsia="宋体"/>
        </w:rPr>
        <w:t>企业在关键设备上应安装安全联锁和远程监控装置，实现紧急停机和连锁控制的数字化管理。</w:t>
      </w:r>
    </w:p>
    <w:p>
      <w:pPr>
        <w:pStyle w:val="65"/>
        <w:spacing w:before="156" w:after="156"/>
        <w:rPr>
          <w:rFonts w:ascii="宋体" w:eastAsia="宋体"/>
        </w:rPr>
      </w:pPr>
      <w:r>
        <w:rPr>
          <w:rFonts w:hint="eastAsia" w:ascii="宋体" w:eastAsia="宋体"/>
        </w:rPr>
        <w:t>企业宜应用视频监控和AI图像识别技术，对车间人员未按规定佩戴防护用品、进入危险区域等不安全行为进行智能识别和提醒。</w:t>
      </w:r>
    </w:p>
    <w:p>
      <w:pPr>
        <w:pStyle w:val="65"/>
        <w:spacing w:before="156" w:after="156"/>
        <w:rPr>
          <w:rFonts w:ascii="宋体" w:eastAsia="宋体"/>
        </w:rPr>
      </w:pPr>
      <w:r>
        <w:rPr>
          <w:rFonts w:hint="eastAsia" w:ascii="宋体" w:eastAsia="宋体"/>
        </w:rPr>
        <w:t>企业应建立电子化的隐患排查治理闭环管理机制，员工通过移动应用上报安全隐患，系统跟踪整改措施落实情况。</w:t>
      </w:r>
    </w:p>
    <w:p>
      <w:pPr>
        <w:pStyle w:val="65"/>
        <w:spacing w:before="156" w:after="156"/>
        <w:rPr>
          <w:rFonts w:ascii="宋体" w:eastAsia="宋体"/>
        </w:rPr>
      </w:pPr>
      <w:r>
        <w:rPr>
          <w:rFonts w:hint="eastAsia" w:ascii="宋体" w:eastAsia="宋体"/>
        </w:rPr>
        <w:t>企业宜开展安全培训和演练的数字化管理，可借助虚拟现实（VR）/增强现实（AR）技术模拟事故场景进行培训。</w:t>
      </w:r>
    </w:p>
    <w:p>
      <w:pPr>
        <w:pStyle w:val="65"/>
        <w:spacing w:before="156" w:after="156"/>
        <w:rPr>
          <w:rFonts w:ascii="宋体" w:eastAsia="宋体"/>
        </w:rPr>
      </w:pPr>
      <w:r>
        <w:rPr>
          <w:rFonts w:hint="eastAsia" w:ascii="宋体" w:eastAsia="宋体"/>
        </w:rPr>
        <w:t>企业应对窑炉废气、废水排放实施在线监测，确保达标排放，并将监测数据上传至园区环境监管平台等联网环境监测系统。</w:t>
      </w:r>
    </w:p>
    <w:p>
      <w:pPr>
        <w:pStyle w:val="105"/>
        <w:spacing w:before="156" w:after="156"/>
        <w:ind w:left="0"/>
      </w:pPr>
      <w:bookmarkStart w:id="77" w:name="_Toc233981682"/>
      <w:r>
        <w:rPr>
          <w:rFonts w:hint="eastAsia"/>
        </w:rPr>
        <w:t>环境管控</w:t>
      </w:r>
      <w:bookmarkEnd w:id="77"/>
    </w:p>
    <w:p>
      <w:pPr>
        <w:pStyle w:val="65"/>
        <w:spacing w:before="156" w:after="156"/>
        <w:rPr>
          <w:rFonts w:ascii="宋体" w:eastAsia="宋体"/>
        </w:rPr>
      </w:pPr>
      <w:r>
        <w:rPr>
          <w:rFonts w:hint="eastAsia" w:ascii="宋体" w:eastAsia="宋体"/>
        </w:rPr>
        <w:t>企业应在涉及废气排放的工序安装烟气排放在线监测系统，实时监控颗粒物、</w:t>
      </w:r>
      <w:r>
        <w:rPr>
          <w:rFonts w:ascii="宋体" w:eastAsia="宋体"/>
        </w:rPr>
        <w:t>SO₂</w:t>
      </w:r>
      <w:r>
        <w:rPr>
          <w:rFonts w:hint="eastAsia" w:ascii="宋体" w:eastAsia="宋体"/>
        </w:rPr>
        <w:t>、</w:t>
      </w:r>
      <w:r>
        <w:rPr>
          <w:rFonts w:ascii="宋体" w:eastAsia="宋体"/>
        </w:rPr>
        <w:t>NOₓ</w:t>
      </w:r>
      <w:r>
        <w:rPr>
          <w:rFonts w:hint="eastAsia" w:ascii="宋体" w:eastAsia="宋体"/>
        </w:rPr>
        <w:t>等指标，并与生态环境部门联网。指标超标时应自动预警并联动停产。</w:t>
      </w:r>
    </w:p>
    <w:p>
      <w:pPr>
        <w:pStyle w:val="65"/>
        <w:spacing w:before="156" w:after="156"/>
        <w:rPr>
          <w:rFonts w:ascii="宋体" w:eastAsia="宋体"/>
        </w:rPr>
      </w:pPr>
      <w:r>
        <w:rPr>
          <w:rFonts w:hint="eastAsia" w:ascii="宋体" w:eastAsia="宋体"/>
        </w:rPr>
        <w:t>企业应建立数字化的污水处理监控系统，对pH值、COD等水质参数实施实时采集，保障污水处理设施稳定运行。</w:t>
      </w:r>
    </w:p>
    <w:p>
      <w:pPr>
        <w:pStyle w:val="65"/>
        <w:spacing w:before="156" w:after="156"/>
        <w:rPr>
          <w:rFonts w:ascii="宋体" w:eastAsia="宋体"/>
        </w:rPr>
      </w:pPr>
      <w:r>
        <w:rPr>
          <w:rFonts w:hint="eastAsia" w:ascii="宋体" w:eastAsia="宋体"/>
        </w:rPr>
        <w:t>企业应对危险废物的产生和处置实施信息系统全流程跟踪管理，确保台账清晰和合规转移。</w:t>
      </w:r>
    </w:p>
    <w:p>
      <w:pPr>
        <w:pStyle w:val="65"/>
        <w:spacing w:before="156" w:after="156"/>
        <w:rPr>
          <w:rFonts w:ascii="宋体" w:eastAsia="宋体"/>
        </w:rPr>
      </w:pPr>
      <w:r>
        <w:rPr>
          <w:rFonts w:hint="eastAsia" w:ascii="宋体" w:eastAsia="宋体"/>
        </w:rPr>
        <w:t>企业宜通过工业互联网平台获取环保新工艺、新设备信息，引入废气余热回收利用、废水零排放等先进环保技术改造生产，提高能源资源利用效率，减少污染物排放。</w:t>
      </w:r>
    </w:p>
    <w:p>
      <w:pPr>
        <w:pStyle w:val="65"/>
        <w:spacing w:before="156" w:after="156"/>
        <w:rPr>
          <w:rFonts w:ascii="宋体" w:eastAsia="宋体"/>
        </w:rPr>
      </w:pPr>
      <w:r>
        <w:rPr>
          <w:rFonts w:hint="eastAsia" w:ascii="宋体" w:eastAsia="宋体"/>
        </w:rPr>
        <w:t>企业宜借助数字化手段量化分析生产工艺的碳排放量，采取优化措施降低碳足迹。</w:t>
      </w:r>
    </w:p>
    <w:p>
      <w:pPr>
        <w:pStyle w:val="104"/>
        <w:spacing w:before="312" w:after="312"/>
      </w:pPr>
      <w:bookmarkStart w:id="78" w:name="_Toc233981683"/>
      <w:r>
        <w:rPr>
          <w:rFonts w:hint="eastAsia"/>
        </w:rPr>
        <w:t>网络化连接</w:t>
      </w:r>
      <w:bookmarkEnd w:id="78"/>
    </w:p>
    <w:p>
      <w:pPr>
        <w:pStyle w:val="105"/>
        <w:spacing w:before="156" w:after="156"/>
        <w:ind w:left="0"/>
      </w:pPr>
      <w:bookmarkStart w:id="79" w:name="_Toc233981684"/>
      <w:r>
        <w:rPr>
          <w:rFonts w:hint="eastAsia"/>
        </w:rPr>
        <w:t>产业链联接</w:t>
      </w:r>
      <w:bookmarkEnd w:id="79"/>
    </w:p>
    <w:p>
      <w:pPr>
        <w:pStyle w:val="65"/>
        <w:spacing w:before="156" w:after="156"/>
        <w:rPr>
          <w:rFonts w:ascii="宋体" w:eastAsia="宋体"/>
        </w:rPr>
      </w:pPr>
      <w:r>
        <w:rPr>
          <w:rFonts w:hint="eastAsia" w:ascii="宋体" w:eastAsia="宋体"/>
        </w:rPr>
        <w:t>企业宜利用产业互联网平台或行业数据中台，实现与主要客户和供应商的系统对接和数据共享。</w:t>
      </w:r>
    </w:p>
    <w:p>
      <w:pPr>
        <w:pStyle w:val="65"/>
        <w:spacing w:before="156" w:after="156"/>
        <w:rPr>
          <w:rFonts w:ascii="宋体" w:eastAsia="宋体"/>
        </w:rPr>
      </w:pPr>
      <w:r>
        <w:rPr>
          <w:rFonts w:hint="eastAsia" w:ascii="宋体" w:eastAsia="宋体"/>
        </w:rPr>
        <w:t>企业应通过供应链协同平台与客户共享生产计划和库存信息，使客户实时了解订单执行进度和发货状态；企业应及时获知客户需求变化，快速调整生产。</w:t>
      </w:r>
    </w:p>
    <w:p>
      <w:pPr>
        <w:pStyle w:val="65"/>
        <w:spacing w:before="156" w:after="156"/>
        <w:rPr>
          <w:rFonts w:ascii="宋体" w:eastAsia="宋体"/>
        </w:rPr>
      </w:pPr>
      <w:r>
        <w:rPr>
          <w:rFonts w:hint="eastAsia" w:ascii="宋体" w:eastAsia="宋体"/>
        </w:rPr>
        <w:t>企业宜通过工业互联网标识解析二级节点等技术，获取关键原材料和元器件的流通信息，实现关键供应的可追溯。</w:t>
      </w:r>
    </w:p>
    <w:p>
      <w:pPr>
        <w:pStyle w:val="65"/>
        <w:spacing w:before="156" w:after="156"/>
        <w:rPr>
          <w:rFonts w:ascii="宋体" w:eastAsia="宋体"/>
        </w:rPr>
      </w:pPr>
      <w:r>
        <w:rPr>
          <w:rFonts w:hint="eastAsia" w:ascii="宋体" w:eastAsia="宋体"/>
        </w:rPr>
        <w:t>行业龙头企业宜牵头搭建电子陶瓷产业链协同平台，将中小企业纳入其中，共享行业设计、工艺、检测等资源，提高产业链运作效率。</w:t>
      </w:r>
    </w:p>
    <w:p>
      <w:pPr>
        <w:pStyle w:val="65"/>
        <w:spacing w:before="156" w:after="156"/>
        <w:rPr>
          <w:rFonts w:ascii="宋体" w:eastAsia="宋体"/>
        </w:rPr>
      </w:pPr>
      <w:r>
        <w:rPr>
          <w:rFonts w:hint="eastAsia" w:ascii="宋体" w:eastAsia="宋体"/>
        </w:rPr>
        <w:t>定制化程度高的电子陶瓷产品，企业宜与客户共建数字化设计协同环境，在研发设计阶段实现数据联通。</w:t>
      </w:r>
    </w:p>
    <w:p>
      <w:pPr>
        <w:pStyle w:val="65"/>
        <w:spacing w:before="156" w:after="156"/>
        <w:rPr>
          <w:rFonts w:ascii="宋体" w:eastAsia="宋体"/>
        </w:rPr>
      </w:pPr>
      <w:r>
        <w:rPr>
          <w:rFonts w:hint="eastAsia" w:ascii="宋体" w:eastAsia="宋体"/>
        </w:rPr>
        <w:t>企业宜参与行业性工业互联网平台，获取行业大数据分析服务、检验检测云服务等，弥补自身能力不足。</w:t>
      </w:r>
    </w:p>
    <w:p>
      <w:pPr>
        <w:pStyle w:val="105"/>
        <w:spacing w:before="156" w:after="156"/>
        <w:ind w:left="0"/>
      </w:pPr>
      <w:bookmarkStart w:id="80" w:name="_Toc233981685"/>
      <w:r>
        <w:rPr>
          <w:rFonts w:hint="eastAsia"/>
        </w:rPr>
        <w:t>园区和监管联接</w:t>
      </w:r>
      <w:bookmarkEnd w:id="80"/>
    </w:p>
    <w:p>
      <w:pPr>
        <w:pStyle w:val="65"/>
        <w:spacing w:before="156" w:after="156"/>
        <w:rPr>
          <w:rFonts w:ascii="宋体" w:eastAsia="宋体"/>
        </w:rPr>
      </w:pPr>
      <w:r>
        <w:rPr>
          <w:rFonts w:hint="eastAsia" w:ascii="宋体" w:eastAsia="宋体"/>
        </w:rPr>
        <w:t>企业应积极接入园区智慧管理服务平台，利用园区提供的集中能源管理、环境监测、公共物流等数字化资源和服务。</w:t>
      </w:r>
    </w:p>
    <w:p>
      <w:pPr>
        <w:pStyle w:val="65"/>
        <w:spacing w:before="156" w:after="156"/>
        <w:rPr>
          <w:rFonts w:ascii="宋体" w:eastAsia="宋体"/>
        </w:rPr>
      </w:pPr>
      <w:r>
        <w:rPr>
          <w:rFonts w:hint="eastAsia" w:ascii="宋体" w:eastAsia="宋体"/>
        </w:rPr>
        <w:t>企业宜将非涉密数据与园区平台交换，获取能耗数据分析、排放监测预警、物流车辆调度等服务，降低自建成本。</w:t>
      </w:r>
    </w:p>
    <w:p>
      <w:pPr>
        <w:pStyle w:val="65"/>
        <w:spacing w:before="156" w:after="156"/>
        <w:rPr>
          <w:rFonts w:ascii="宋体" w:eastAsia="宋体"/>
        </w:rPr>
      </w:pPr>
      <w:r>
        <w:rPr>
          <w:rFonts w:hint="eastAsia" w:ascii="宋体" w:eastAsia="宋体"/>
        </w:rPr>
        <w:t>企业宜接入园区产业大脑或制造业创新中心，获取行业趋势分析、产品测试验证、远程运维支持等服务。</w:t>
      </w:r>
    </w:p>
    <w:p>
      <w:pPr>
        <w:pStyle w:val="65"/>
        <w:spacing w:before="156" w:after="156"/>
        <w:rPr>
          <w:rFonts w:ascii="宋体" w:eastAsia="宋体"/>
        </w:rPr>
      </w:pPr>
      <w:r>
        <w:rPr>
          <w:rFonts w:hint="eastAsia" w:ascii="宋体" w:eastAsia="宋体"/>
        </w:rPr>
        <w:t>企业应按照监管要求，与生态环境部门的污染源在线监控平台、安全监管部门的风险监测平台、工信部门的运行监测平台等政府监管平台联接。</w:t>
      </w:r>
    </w:p>
    <w:p>
      <w:pPr>
        <w:pStyle w:val="65"/>
        <w:spacing w:before="156" w:after="156"/>
        <w:rPr>
          <w:rFonts w:ascii="宋体" w:eastAsia="宋体"/>
        </w:rPr>
      </w:pPr>
      <w:r>
        <w:rPr>
          <w:rFonts w:hint="eastAsia" w:ascii="宋体" w:eastAsia="宋体"/>
        </w:rPr>
        <w:t>企业应将能耗、排放、安全生产等数据按规范报送至相关监管平台。</w:t>
      </w:r>
    </w:p>
    <w:p>
      <w:pPr>
        <w:pStyle w:val="65"/>
        <w:spacing w:before="156" w:after="156"/>
        <w:rPr>
          <w:rFonts w:ascii="宋体" w:eastAsia="宋体"/>
        </w:rPr>
      </w:pPr>
      <w:r>
        <w:rPr>
          <w:rFonts w:hint="eastAsia" w:ascii="宋体" w:eastAsia="宋体"/>
        </w:rPr>
        <w:t>企业在数据交换过程中应建立数据安全保护机制，明确数据共享边界，确保企业核心数据和商业秘密不被不当披露。</w:t>
      </w:r>
    </w:p>
    <w:p>
      <w:pPr>
        <w:pStyle w:val="105"/>
        <w:spacing w:before="156" w:after="156"/>
        <w:ind w:left="0"/>
      </w:pPr>
      <w:bookmarkStart w:id="81" w:name="_Toc233981686"/>
      <w:r>
        <w:rPr>
          <w:rFonts w:hint="eastAsia"/>
        </w:rPr>
        <w:t>第三方服务联接</w:t>
      </w:r>
      <w:bookmarkEnd w:id="81"/>
    </w:p>
    <w:p>
      <w:pPr>
        <w:pStyle w:val="65"/>
        <w:spacing w:before="156" w:after="156"/>
        <w:rPr>
          <w:rFonts w:ascii="宋体" w:eastAsia="宋体"/>
        </w:rPr>
      </w:pPr>
      <w:r>
        <w:rPr>
          <w:rFonts w:hint="eastAsia" w:ascii="宋体" w:eastAsia="宋体"/>
        </w:rPr>
        <w:t>企业宜利用工业互联网平台上的工业App、云服务和专业解决方案，获取数字化转型技术支持。</w:t>
      </w:r>
    </w:p>
    <w:p>
      <w:pPr>
        <w:pStyle w:val="65"/>
        <w:spacing w:before="156" w:after="156"/>
        <w:rPr>
          <w:rFonts w:ascii="宋体" w:eastAsia="宋体"/>
        </w:rPr>
      </w:pPr>
      <w:r>
        <w:rPr>
          <w:rFonts w:hint="eastAsia" w:ascii="宋体" w:eastAsia="宋体"/>
        </w:rPr>
        <w:t>企业宜与制造执行系统（MES）供应商建立远程支持联接，系统出现故障时即时获得技术支持。</w:t>
      </w:r>
    </w:p>
    <w:p>
      <w:pPr>
        <w:pStyle w:val="65"/>
        <w:spacing w:before="156" w:after="156"/>
        <w:rPr>
          <w:rFonts w:ascii="宋体" w:eastAsia="宋体"/>
        </w:rPr>
      </w:pPr>
      <w:r>
        <w:rPr>
          <w:rFonts w:hint="eastAsia" w:ascii="宋体" w:eastAsia="宋体"/>
        </w:rPr>
        <w:t>企业宜与设备供应商建立设备远程诊断通道，由供应商专家协助分析设备问题。</w:t>
      </w:r>
    </w:p>
    <w:p>
      <w:pPr>
        <w:pStyle w:val="65"/>
        <w:spacing w:before="156" w:after="156"/>
        <w:rPr>
          <w:rFonts w:ascii="宋体" w:eastAsia="宋体"/>
        </w:rPr>
      </w:pPr>
      <w:r>
        <w:rPr>
          <w:rFonts w:hint="eastAsia" w:ascii="宋体" w:eastAsia="宋体"/>
        </w:rPr>
        <w:t>企业宜通过云端工业大数据分析服务，将生产数据交由第三方进行算法建模和优化建议输出。</w:t>
      </w:r>
    </w:p>
    <w:p>
      <w:pPr>
        <w:pStyle w:val="65"/>
        <w:spacing w:before="156" w:after="156"/>
        <w:rPr>
          <w:rFonts w:ascii="宋体" w:eastAsia="宋体"/>
        </w:rPr>
      </w:pPr>
      <w:r>
        <w:rPr>
          <w:rFonts w:hint="eastAsia" w:ascii="宋体" w:eastAsia="宋体"/>
        </w:rPr>
        <w:t>企业宜引入专业信息安全服务商，监测企业网络安全态势，获取威胁情报和防护建议。</w:t>
      </w:r>
    </w:p>
    <w:p>
      <w:pPr>
        <w:pStyle w:val="65"/>
        <w:spacing w:before="156" w:after="156"/>
        <w:rPr>
          <w:rFonts w:ascii="宋体" w:eastAsia="宋体"/>
        </w:rPr>
      </w:pPr>
      <w:r>
        <w:rPr>
          <w:rFonts w:hint="eastAsia" w:ascii="宋体" w:eastAsia="宋体"/>
        </w:rPr>
        <w:t>企业宜通过对接云平台上的SaaS服务，使用财务管理、人力资源管理、协同办公等通用应用。</w:t>
      </w:r>
    </w:p>
    <w:p>
      <w:pPr>
        <w:pStyle w:val="65"/>
        <w:spacing w:before="156" w:after="156"/>
        <w:rPr>
          <w:rFonts w:ascii="宋体" w:eastAsia="宋体"/>
        </w:rPr>
      </w:pPr>
      <w:r>
        <w:rPr>
          <w:rFonts w:hint="eastAsia" w:ascii="宋体" w:eastAsia="宋体"/>
        </w:rPr>
        <w:t>企业应接入政府或行业组织建立的中小企业公共服务平台，获取培训、咨询、解决方案供需对接等服务。</w:t>
      </w:r>
    </w:p>
    <w:p>
      <w:pPr>
        <w:pStyle w:val="105"/>
        <w:spacing w:before="156" w:after="156"/>
        <w:ind w:left="0"/>
      </w:pPr>
      <w:bookmarkStart w:id="82" w:name="_Toc233981687"/>
      <w:r>
        <w:rPr>
          <w:rFonts w:hint="eastAsia"/>
        </w:rPr>
        <w:t>安全保障</w:t>
      </w:r>
      <w:bookmarkEnd w:id="82"/>
    </w:p>
    <w:p>
      <w:pPr>
        <w:pStyle w:val="65"/>
        <w:spacing w:before="156" w:after="156"/>
        <w:rPr>
          <w:rFonts w:ascii="宋体" w:eastAsia="宋体"/>
        </w:rPr>
      </w:pPr>
      <w:r>
        <w:rPr>
          <w:rFonts w:hint="eastAsia" w:ascii="宋体" w:eastAsia="宋体"/>
        </w:rPr>
        <w:t>企业应遵循网络安全等级保护制度的要求，根据信息系统的重要性确定安全保护等级，落实相应的技术和管理措施。</w:t>
      </w:r>
    </w:p>
    <w:p>
      <w:pPr>
        <w:pStyle w:val="65"/>
        <w:spacing w:before="156" w:after="156"/>
        <w:rPr>
          <w:rFonts w:ascii="宋体" w:eastAsia="宋体"/>
        </w:rPr>
      </w:pPr>
      <w:r>
        <w:rPr>
          <w:rFonts w:hint="eastAsia" w:ascii="宋体" w:eastAsia="宋体"/>
        </w:rPr>
        <w:t>企业应在与外部联网的系统边界部署防火墙、入侵检测、防病毒等安全设备，监测和阻断异常访问。</w:t>
      </w:r>
    </w:p>
    <w:p>
      <w:pPr>
        <w:pStyle w:val="65"/>
        <w:spacing w:before="156" w:after="156"/>
        <w:rPr>
          <w:rFonts w:ascii="宋体" w:eastAsia="宋体"/>
        </w:rPr>
      </w:pPr>
      <w:r>
        <w:rPr>
          <w:rFonts w:hint="eastAsia" w:ascii="宋体" w:eastAsia="宋体"/>
        </w:rPr>
        <w:t>企业应建立身份认证与访问控制机制，确保仅授权用户和设备可访问企业内网和云服务。</w:t>
      </w:r>
    </w:p>
    <w:p>
      <w:pPr>
        <w:pStyle w:val="65"/>
        <w:spacing w:before="156" w:after="156"/>
        <w:rPr>
          <w:rFonts w:ascii="宋体" w:eastAsia="宋体"/>
        </w:rPr>
      </w:pPr>
      <w:r>
        <w:rPr>
          <w:rFonts w:hint="eastAsia" w:ascii="宋体" w:eastAsia="宋体"/>
        </w:rPr>
        <w:t>企业应对数据传输采取加密措施，防止敏感数据在传输过程中被窃取或篡改。</w:t>
      </w:r>
    </w:p>
    <w:p>
      <w:pPr>
        <w:pStyle w:val="65"/>
        <w:spacing w:before="156" w:after="156"/>
        <w:rPr>
          <w:rFonts w:ascii="宋体" w:eastAsia="宋体"/>
        </w:rPr>
      </w:pPr>
      <w:r>
        <w:rPr>
          <w:rFonts w:hint="eastAsia" w:ascii="宋体" w:eastAsia="宋体"/>
        </w:rPr>
        <w:t>企业应制定数据安全管理制度，对共享至园区平台、监管平台及伙伴系统的数据进行脱敏或加密处理，明确数据使用范围，防止数据滥用。</w:t>
      </w:r>
    </w:p>
    <w:p>
      <w:pPr>
        <w:pStyle w:val="65"/>
        <w:spacing w:before="156" w:after="156"/>
        <w:rPr>
          <w:rFonts w:ascii="宋体" w:eastAsia="宋体"/>
        </w:rPr>
      </w:pPr>
      <w:r>
        <w:rPr>
          <w:rFonts w:hint="eastAsia" w:ascii="宋体" w:eastAsia="宋体"/>
        </w:rPr>
        <w:t>企业应与供应商和客户在系统对接时签订数据安全协议，明确各方安全责任。</w:t>
      </w:r>
    </w:p>
    <w:p>
      <w:pPr>
        <w:pStyle w:val="65"/>
        <w:spacing w:before="156" w:after="156"/>
        <w:rPr>
          <w:rFonts w:ascii="宋体" w:eastAsia="宋体"/>
        </w:rPr>
      </w:pPr>
      <w:r>
        <w:rPr>
          <w:rFonts w:hint="eastAsia" w:ascii="宋体" w:eastAsia="宋体"/>
        </w:rPr>
        <w:t>企业应选择经过安全认证的云服务和软件服务，对接入的第三方系统实施安全评估。</w:t>
      </w:r>
    </w:p>
    <w:p>
      <w:pPr>
        <w:pStyle w:val="65"/>
        <w:spacing w:before="156" w:after="156"/>
        <w:rPr>
          <w:rFonts w:ascii="宋体" w:eastAsia="宋体"/>
        </w:rPr>
      </w:pPr>
      <w:r>
        <w:rPr>
          <w:rFonts w:hint="eastAsia" w:ascii="宋体" w:eastAsia="宋体"/>
        </w:rPr>
        <w:t>企业应建立安全监测和应急响应机制，实时监控网络安全事件。发生网络攻击或数据泄露时，应快速隔离影响并通知相关方。</w:t>
      </w:r>
    </w:p>
    <w:p>
      <w:pPr>
        <w:pStyle w:val="104"/>
        <w:spacing w:before="312" w:after="312"/>
      </w:pPr>
      <w:bookmarkStart w:id="83" w:name="_Toc233981688"/>
      <w:r>
        <w:rPr>
          <w:rFonts w:hint="eastAsia"/>
        </w:rPr>
        <w:t>系统安全</w:t>
      </w:r>
      <w:bookmarkEnd w:id="83"/>
    </w:p>
    <w:p>
      <w:pPr>
        <w:pStyle w:val="105"/>
        <w:spacing w:before="156" w:after="156"/>
        <w:ind w:left="0"/>
      </w:pPr>
      <w:bookmarkStart w:id="84" w:name="_Toc233981689"/>
      <w:r>
        <w:rPr>
          <w:rFonts w:hint="eastAsia"/>
        </w:rPr>
        <w:t>安全管理体系</w:t>
      </w:r>
      <w:bookmarkEnd w:id="84"/>
    </w:p>
    <w:p>
      <w:pPr>
        <w:pStyle w:val="65"/>
        <w:spacing w:before="156" w:after="156"/>
        <w:rPr>
          <w:rFonts w:ascii="宋体" w:eastAsia="宋体"/>
        </w:rPr>
      </w:pPr>
      <w:r>
        <w:rPr>
          <w:rFonts w:hint="eastAsia" w:ascii="宋体" w:eastAsia="宋体"/>
        </w:rPr>
        <w:t>企业应建立覆盖组织、安全策略、制度规范和人员培训在内的安全管理架构。</w:t>
      </w:r>
    </w:p>
    <w:p>
      <w:pPr>
        <w:pStyle w:val="65"/>
        <w:spacing w:before="156" w:after="156"/>
        <w:rPr>
          <w:rFonts w:ascii="宋体" w:eastAsia="宋体"/>
        </w:rPr>
      </w:pPr>
      <w:r>
        <w:rPr>
          <w:rFonts w:hint="eastAsia" w:ascii="宋体" w:eastAsia="宋体"/>
        </w:rPr>
        <w:t>企业应明确高层管理人员统筹信息安全与工业控制安全工作，设立专兼职信息安全管理岗位。</w:t>
      </w:r>
    </w:p>
    <w:p>
      <w:pPr>
        <w:pStyle w:val="65"/>
        <w:spacing w:before="156" w:after="156"/>
        <w:rPr>
          <w:rFonts w:ascii="宋体" w:eastAsia="宋体"/>
        </w:rPr>
      </w:pPr>
      <w:r>
        <w:rPr>
          <w:rFonts w:hint="eastAsia" w:ascii="宋体" w:eastAsia="宋体"/>
        </w:rPr>
        <w:t>企业应制定信息安全方针和目标，建立涵盖网络安全、应用安全、数据安全、设备安全的制度和操作规程，并定期更新。</w:t>
      </w:r>
    </w:p>
    <w:p>
      <w:pPr>
        <w:pStyle w:val="65"/>
        <w:spacing w:before="156" w:after="156"/>
        <w:rPr>
          <w:rFonts w:ascii="宋体" w:eastAsia="宋体"/>
        </w:rPr>
      </w:pPr>
      <w:r>
        <w:rPr>
          <w:rFonts w:hint="eastAsia" w:ascii="宋体" w:eastAsia="宋体"/>
        </w:rPr>
        <w:t>企业应加强员工安全意识培训，开展包括社会工程学防范、病毒防护、应急演练在内的培训活动。</w:t>
      </w:r>
    </w:p>
    <w:p>
      <w:pPr>
        <w:pStyle w:val="65"/>
        <w:spacing w:before="156" w:after="156"/>
        <w:rPr>
          <w:rFonts w:ascii="宋体" w:eastAsia="宋体"/>
        </w:rPr>
      </w:pPr>
      <w:r>
        <w:rPr>
          <w:rFonts w:hint="eastAsia" w:ascii="宋体" w:eastAsia="宋体"/>
        </w:rPr>
        <w:t>企业应对业务系统和工业控制系统分别定级备案，落实分级保护要求，按级别实施管理措施。</w:t>
      </w:r>
    </w:p>
    <w:p>
      <w:pPr>
        <w:pStyle w:val="65"/>
        <w:spacing w:before="156" w:after="156"/>
        <w:rPr>
          <w:rFonts w:ascii="宋体" w:eastAsia="宋体"/>
        </w:rPr>
      </w:pPr>
      <w:r>
        <w:rPr>
          <w:rFonts w:hint="eastAsia" w:ascii="宋体" w:eastAsia="宋体"/>
        </w:rPr>
        <w:t>企业应建立供应链安全管理制度，要求IT供应商和设备供应商满足安全标准，防范第三方软硬件引入风险。</w:t>
      </w:r>
    </w:p>
    <w:p>
      <w:pPr>
        <w:pStyle w:val="105"/>
        <w:spacing w:before="156" w:after="156"/>
        <w:ind w:left="0"/>
      </w:pPr>
      <w:bookmarkStart w:id="85" w:name="_Toc233981690"/>
      <w:r>
        <w:rPr>
          <w:rFonts w:hint="eastAsia"/>
        </w:rPr>
        <w:t>网络与主机安全</w:t>
      </w:r>
      <w:bookmarkEnd w:id="85"/>
    </w:p>
    <w:p>
      <w:pPr>
        <w:pStyle w:val="65"/>
        <w:spacing w:before="156" w:after="156"/>
        <w:rPr>
          <w:rFonts w:ascii="宋体" w:eastAsia="宋体"/>
        </w:rPr>
      </w:pPr>
      <w:r>
        <w:rPr>
          <w:rFonts w:hint="eastAsia" w:ascii="宋体" w:eastAsia="宋体"/>
        </w:rPr>
        <w:t>企业应对网络架构实施纵深防御，实行分区域分级防护。办公网、生产网、管理网应实施物理或逻辑隔离，关键控制网络应采用白名单方式严格限制通信。</w:t>
      </w:r>
    </w:p>
    <w:p>
      <w:pPr>
        <w:pStyle w:val="65"/>
        <w:spacing w:before="156" w:after="156"/>
        <w:rPr>
          <w:rFonts w:ascii="宋体" w:eastAsia="宋体"/>
        </w:rPr>
      </w:pPr>
      <w:r>
        <w:rPr>
          <w:rFonts w:hint="eastAsia" w:ascii="宋体" w:eastAsia="宋体"/>
        </w:rPr>
        <w:t>企业应配置防火墙分隔内外网和不同网段，仅开放必要端口。</w:t>
      </w:r>
    </w:p>
    <w:p>
      <w:pPr>
        <w:pStyle w:val="65"/>
        <w:spacing w:before="156" w:after="156"/>
        <w:rPr>
          <w:rFonts w:ascii="宋体" w:eastAsia="宋体"/>
        </w:rPr>
      </w:pPr>
      <w:r>
        <w:rPr>
          <w:rFonts w:hint="eastAsia" w:ascii="宋体" w:eastAsia="宋体"/>
        </w:rPr>
        <w:t>企业应部署入侵检测/防御系统（IDS/IPS），监控网络流量，及时发现异常。</w:t>
      </w:r>
    </w:p>
    <w:p>
      <w:pPr>
        <w:pStyle w:val="65"/>
        <w:spacing w:before="156" w:after="156"/>
        <w:rPr>
          <w:rFonts w:ascii="宋体" w:eastAsia="宋体"/>
        </w:rPr>
      </w:pPr>
      <w:r>
        <w:rPr>
          <w:rFonts w:hint="eastAsia" w:ascii="宋体" w:eastAsia="宋体"/>
        </w:rPr>
        <w:t>企业应定期开展网络安全漏洞扫描和渗透测试，修补薄弱环节。</w:t>
      </w:r>
    </w:p>
    <w:p>
      <w:pPr>
        <w:pStyle w:val="65"/>
        <w:spacing w:before="156" w:after="156"/>
        <w:rPr>
          <w:rFonts w:ascii="宋体" w:eastAsia="宋体"/>
        </w:rPr>
      </w:pPr>
      <w:r>
        <w:rPr>
          <w:rFonts w:hint="eastAsia" w:ascii="宋体" w:eastAsia="宋体"/>
        </w:rPr>
        <w:t>企业应加强主机和服务器安全，加固操作系统和数据库，关闭不必要的服务，及时更新安全补丁。</w:t>
      </w:r>
    </w:p>
    <w:p>
      <w:pPr>
        <w:pStyle w:val="65"/>
        <w:spacing w:before="156" w:after="156"/>
        <w:rPr>
          <w:rFonts w:ascii="宋体" w:eastAsia="宋体"/>
        </w:rPr>
      </w:pPr>
      <w:r>
        <w:rPr>
          <w:rFonts w:hint="eastAsia" w:ascii="宋体" w:eastAsia="宋体"/>
        </w:rPr>
        <w:t>企业应在主机上安装防病毒软件和终端检测响应（EDR）软件，防范恶意程序入侵。</w:t>
      </w:r>
    </w:p>
    <w:p>
      <w:pPr>
        <w:pStyle w:val="65"/>
        <w:spacing w:before="156" w:after="156"/>
        <w:rPr>
          <w:rFonts w:ascii="宋体" w:eastAsia="宋体"/>
        </w:rPr>
      </w:pPr>
      <w:r>
        <w:rPr>
          <w:rFonts w:hint="eastAsia" w:ascii="宋体" w:eastAsia="宋体"/>
        </w:rPr>
        <w:t>企业应对PLC、工控机等工控设备部署专用工业防火墙或安全网关，防止IT网络攻击传播至OT网络。</w:t>
      </w:r>
    </w:p>
    <w:p>
      <w:pPr>
        <w:pStyle w:val="105"/>
        <w:spacing w:before="156" w:after="156"/>
        <w:ind w:left="0"/>
      </w:pPr>
      <w:bookmarkStart w:id="86" w:name="_Toc233981691"/>
      <w:r>
        <w:rPr>
          <w:rFonts w:hint="eastAsia"/>
        </w:rPr>
        <w:t>应用与数据安全</w:t>
      </w:r>
      <w:bookmarkEnd w:id="86"/>
    </w:p>
    <w:p>
      <w:pPr>
        <w:pStyle w:val="65"/>
        <w:spacing w:before="156" w:after="156"/>
        <w:rPr>
          <w:rFonts w:ascii="宋体" w:eastAsia="宋体"/>
        </w:rPr>
      </w:pPr>
      <w:r>
        <w:rPr>
          <w:rFonts w:hint="eastAsia" w:ascii="宋体" w:eastAsia="宋体"/>
        </w:rPr>
        <w:t>企业应对ERP、MES、PLM等关键应用系统实施严格的权限管理和安全加固。</w:t>
      </w:r>
    </w:p>
    <w:p>
      <w:pPr>
        <w:pStyle w:val="65"/>
        <w:spacing w:before="156" w:after="156"/>
        <w:rPr>
          <w:rFonts w:ascii="宋体" w:eastAsia="宋体"/>
        </w:rPr>
      </w:pPr>
      <w:r>
        <w:rPr>
          <w:rFonts w:hint="eastAsia" w:ascii="宋体" w:eastAsia="宋体"/>
        </w:rPr>
        <w:t>企业宜采用统一身份认证和单点登录机制，便于权限管理，减少弱口令风险。</w:t>
      </w:r>
    </w:p>
    <w:p>
      <w:pPr>
        <w:pStyle w:val="65"/>
        <w:spacing w:before="156" w:after="156"/>
        <w:rPr>
          <w:rFonts w:ascii="宋体" w:eastAsia="宋体"/>
        </w:rPr>
      </w:pPr>
      <w:r>
        <w:rPr>
          <w:rFonts w:hint="eastAsia" w:ascii="宋体" w:eastAsia="宋体"/>
        </w:rPr>
        <w:t>企业应对应用系统的输入输出进行合法性校验，防范SQL注入、跨站脚本等常见攻击。</w:t>
      </w:r>
    </w:p>
    <w:p>
      <w:pPr>
        <w:pStyle w:val="65"/>
        <w:spacing w:before="156" w:after="156"/>
        <w:rPr>
          <w:rFonts w:ascii="宋体" w:eastAsia="宋体"/>
        </w:rPr>
      </w:pPr>
      <w:r>
        <w:rPr>
          <w:rFonts w:hint="eastAsia" w:ascii="宋体" w:eastAsia="宋体"/>
        </w:rPr>
        <w:t>企业应建立数据备份与恢复机制，对生产数据和业务数据定期实施异地备份，防范勒索软件攻击或意外灾害导致的数据丢失。</w:t>
      </w:r>
    </w:p>
    <w:p>
      <w:pPr>
        <w:pStyle w:val="65"/>
        <w:spacing w:before="156" w:after="156"/>
        <w:rPr>
          <w:rFonts w:ascii="宋体" w:eastAsia="宋体"/>
        </w:rPr>
      </w:pPr>
      <w:r>
        <w:rPr>
          <w:rFonts w:hint="eastAsia" w:ascii="宋体" w:eastAsia="宋体"/>
        </w:rPr>
        <w:t>企业应对敏感数据（如配方、技术文档等）在存储时实施加密，对人员访问敏感数据实行审批和留痕管理。</w:t>
      </w:r>
    </w:p>
    <w:p>
      <w:pPr>
        <w:pStyle w:val="65"/>
        <w:spacing w:before="156" w:after="156"/>
        <w:rPr>
          <w:rFonts w:ascii="宋体" w:eastAsia="宋体"/>
        </w:rPr>
      </w:pPr>
      <w:r>
        <w:rPr>
          <w:rFonts w:hint="eastAsia" w:ascii="宋体" w:eastAsia="宋体"/>
        </w:rPr>
        <w:t>企业应通过VPN或专线传输重要数据，严格执行数据出入企业边界的审批制度。</w:t>
      </w:r>
    </w:p>
    <w:p>
      <w:pPr>
        <w:pStyle w:val="65"/>
        <w:spacing w:before="156" w:after="156"/>
        <w:rPr>
          <w:rFonts w:ascii="宋体" w:eastAsia="宋体"/>
        </w:rPr>
      </w:pPr>
      <w:r>
        <w:rPr>
          <w:rFonts w:hint="eastAsia" w:ascii="宋体" w:eastAsia="宋体"/>
        </w:rPr>
        <w:t>企业应落实数据分类分级管理，根据数据的重要性和敏感程度采取不同的保护措施。</w:t>
      </w:r>
    </w:p>
    <w:p>
      <w:pPr>
        <w:pStyle w:val="65"/>
        <w:spacing w:before="156" w:after="156"/>
        <w:rPr>
          <w:rFonts w:ascii="宋体" w:eastAsia="宋体"/>
        </w:rPr>
      </w:pPr>
      <w:r>
        <w:rPr>
          <w:rFonts w:hint="eastAsia" w:ascii="宋体" w:eastAsia="宋体"/>
        </w:rPr>
        <w:t>企业应实施日志审计和监控，对用户操作、系统异常、关键参数变更等进行记录并定期分析，及时发现可疑行为。</w:t>
      </w:r>
    </w:p>
    <w:p>
      <w:pPr>
        <w:pStyle w:val="105"/>
        <w:spacing w:before="156" w:after="156"/>
        <w:ind w:left="0"/>
      </w:pPr>
      <w:bookmarkStart w:id="87" w:name="_Toc233981692"/>
      <w:r>
        <w:rPr>
          <w:rFonts w:hint="eastAsia"/>
        </w:rPr>
        <w:t>应急响应与业务连续性</w:t>
      </w:r>
      <w:bookmarkEnd w:id="87"/>
    </w:p>
    <w:p>
      <w:pPr>
        <w:pStyle w:val="65"/>
        <w:spacing w:before="156" w:after="156"/>
        <w:rPr>
          <w:rFonts w:ascii="宋体" w:eastAsia="宋体"/>
        </w:rPr>
      </w:pPr>
      <w:r>
        <w:rPr>
          <w:rFonts w:hint="eastAsia" w:ascii="宋体" w:eastAsia="宋体"/>
        </w:rPr>
        <w:t>企业应制定网络安全事件和系统故障应急预案，明确应急组织、报告流程和处置步骤。</w:t>
      </w:r>
    </w:p>
    <w:p>
      <w:pPr>
        <w:pStyle w:val="65"/>
        <w:spacing w:before="156" w:after="156"/>
        <w:rPr>
          <w:rFonts w:ascii="宋体" w:eastAsia="宋体"/>
        </w:rPr>
      </w:pPr>
      <w:r>
        <w:rPr>
          <w:rFonts w:hint="eastAsia" w:ascii="宋体" w:eastAsia="宋体"/>
        </w:rPr>
        <w:t>企业应定期开展应急演练，确保相关人员熟悉应急程序。</w:t>
      </w:r>
    </w:p>
    <w:p>
      <w:pPr>
        <w:pStyle w:val="65"/>
        <w:spacing w:before="156" w:after="156"/>
        <w:rPr>
          <w:rFonts w:ascii="宋体" w:eastAsia="宋体"/>
        </w:rPr>
      </w:pPr>
      <w:r>
        <w:rPr>
          <w:rFonts w:hint="eastAsia" w:ascii="宋体" w:eastAsia="宋体"/>
        </w:rPr>
        <w:t>发生重大安全事件（如大规模病毒感染、数据泄露）或关键系统宕机时，企业应迅速启动应急响应，隔离受影响系统，启用备份系统或备用通道，最大限度降低损失。</w:t>
      </w:r>
    </w:p>
    <w:p>
      <w:pPr>
        <w:pStyle w:val="65"/>
        <w:spacing w:before="156" w:after="156"/>
        <w:rPr>
          <w:rFonts w:ascii="宋体" w:eastAsia="宋体"/>
        </w:rPr>
      </w:pPr>
      <w:r>
        <w:rPr>
          <w:rFonts w:hint="eastAsia" w:ascii="宋体" w:eastAsia="宋体"/>
        </w:rPr>
        <w:t>企业应建立业务连续性和灾难恢复计划（BCP/DRP），针对核心业务制定替代流程和恢复策略，包括关键生产设备配置冗余控制器、建立异地备份数据中心等。</w:t>
      </w:r>
    </w:p>
    <w:p>
      <w:pPr>
        <w:pStyle w:val="65"/>
        <w:spacing w:before="156" w:after="156"/>
        <w:rPr>
          <w:rFonts w:ascii="宋体" w:eastAsia="宋体"/>
        </w:rPr>
      </w:pPr>
      <w:r>
        <w:rPr>
          <w:rFonts w:hint="eastAsia" w:ascii="宋体" w:eastAsia="宋体"/>
        </w:rPr>
        <w:t>主系统不可用时，企业应在可接受时间内切换至备用系统，确保业务不中断或快速恢复。</w:t>
      </w:r>
    </w:p>
    <w:p>
      <w:pPr>
        <w:pStyle w:val="65"/>
        <w:spacing w:before="156" w:after="156"/>
        <w:rPr>
          <w:rFonts w:ascii="宋体" w:eastAsia="宋体"/>
        </w:rPr>
      </w:pPr>
      <w:r>
        <w:rPr>
          <w:rFonts w:hint="eastAsia" w:ascii="宋体" w:eastAsia="宋体"/>
        </w:rPr>
        <w:t>安全事件处置完毕后，企业应对事件进行分析和总结，改进防范措施，防止类似事件再次发生。</w:t>
      </w:r>
    </w:p>
    <w:p>
      <w:pPr>
        <w:pStyle w:val="65"/>
        <w:numPr>
          <w:ilvl w:val="0"/>
          <w:numId w:val="0"/>
        </w:numPr>
        <w:spacing w:before="156" w:after="156"/>
      </w:pPr>
    </w:p>
    <w:bookmarkEnd w:id="23"/>
    <w:p>
      <w:pPr>
        <w:pStyle w:val="56"/>
        <w:ind w:firstLine="420"/>
        <w:sectPr>
          <w:pgSz w:w="11906" w:h="16838"/>
          <w:pgMar w:top="1928" w:right="1134" w:bottom="1134" w:left="1134" w:header="1418" w:footer="1134" w:gutter="284"/>
          <w:pgNumType w:start="1"/>
          <w:cols w:space="425" w:num="1"/>
          <w:formProt w:val="0"/>
          <w:docGrid w:type="lines" w:linePitch="312" w:charSpace="0"/>
        </w:sectPr>
      </w:pPr>
      <w:bookmarkStart w:id="88" w:name="BookMark6"/>
    </w:p>
    <w:p>
      <w:pPr>
        <w:pStyle w:val="63"/>
        <w:spacing w:after="156"/>
      </w:pPr>
      <w:bookmarkStart w:id="89" w:name="_Toc233981693"/>
      <w:r>
        <w:rPr>
          <w:rFonts w:hint="eastAsia"/>
          <w:spacing w:val="105"/>
        </w:rPr>
        <w:t>参考文</w:t>
      </w:r>
      <w:r>
        <w:rPr>
          <w:rFonts w:hint="eastAsia"/>
        </w:rPr>
        <w:t>献</w:t>
      </w:r>
      <w:bookmarkEnd w:id="89"/>
    </w:p>
    <w:p>
      <w:pPr>
        <w:pStyle w:val="56"/>
        <w:ind w:firstLine="420"/>
      </w:pPr>
      <w:r>
        <w:rPr>
          <w:rFonts w:hint="eastAsia"/>
        </w:rPr>
        <w:t>[1]　GB/T 22239-2019 信息安全技术 网络安全等级保护基本要求</w:t>
      </w:r>
    </w:p>
    <w:p>
      <w:pPr>
        <w:pStyle w:val="56"/>
        <w:ind w:firstLine="420"/>
      </w:pPr>
      <w:r>
        <w:rPr>
          <w:rFonts w:hint="eastAsia"/>
        </w:rPr>
        <w:t>[2]　GB/T 39116-2020 智能制造能力成熟度模型</w:t>
      </w:r>
    </w:p>
    <w:p>
      <w:pPr>
        <w:pStyle w:val="56"/>
        <w:ind w:firstLine="420"/>
      </w:pPr>
      <w:r>
        <w:rPr>
          <w:rFonts w:hint="eastAsia"/>
        </w:rPr>
        <w:t>[3　DB32/T 4765—2024  化工行业智能化改造数字化转型网络化联接实施指南</w:t>
      </w:r>
    </w:p>
    <w:p>
      <w:pPr>
        <w:pStyle w:val="56"/>
        <w:ind w:firstLine="420"/>
      </w:pPr>
      <w:r>
        <w:rPr>
          <w:rFonts w:hint="eastAsia"/>
        </w:rPr>
        <w:t>[4]　工业和信息化部办公厅：《中小企业数字化水平评测指标（2024年版）》</w:t>
      </w:r>
    </w:p>
    <w:p>
      <w:pPr>
        <w:pStyle w:val="56"/>
        <w:ind w:firstLine="420"/>
      </w:pPr>
    </w:p>
    <w:p>
      <w:pPr>
        <w:pStyle w:val="56"/>
        <w:ind w:firstLine="420"/>
      </w:pPr>
    </w:p>
    <w:p>
      <w:pPr>
        <w:pStyle w:val="56"/>
        <w:ind w:firstLine="420"/>
      </w:pPr>
    </w:p>
    <w:p>
      <w:pPr>
        <w:pStyle w:val="56"/>
        <w:ind w:firstLine="420"/>
      </w:pPr>
    </w:p>
    <w:bookmarkEnd w:id="88"/>
    <w:p>
      <w:pPr>
        <w:pStyle w:val="56"/>
        <w:ind w:firstLine="0" w:firstLineChars="0"/>
        <w:jc w:val="center"/>
      </w:pPr>
      <w:bookmarkStart w:id="90" w:name="BookMark8"/>
      <w:r>
        <w:rPr>
          <w:rFonts w:hint="eastAsia"/>
        </w:rPr>
        <w:drawing>
          <wp:inline distT="0" distB="0" distL="0" distR="0">
            <wp:extent cx="1485900" cy="317500"/>
            <wp:effectExtent l="0" t="0" r="0" b="6350"/>
            <wp:docPr id="622039849" name="图片 4"/>
            <wp:cNvGraphicFramePr/>
            <a:graphic xmlns:a="http://schemas.openxmlformats.org/drawingml/2006/main">
              <a:graphicData uri="http://schemas.openxmlformats.org/drawingml/2006/picture">
                <pic:pic xmlns:pic="http://schemas.openxmlformats.org/drawingml/2006/picture">
                  <pic:nvPicPr>
                    <pic:cNvPr id="622039849" name="图片 4"/>
                    <pic:cNvPicPr/>
                  </pic:nvPicPr>
                  <pic:blipFill>
                    <a:blip r:embed="rId1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90"/>
    </w:p>
    <w:sectPr>
      <w:pgSz w:w="11906" w:h="16838"/>
      <w:pgMar w:top="1928" w:right="1134" w:bottom="1134" w:left="1134" w:header="1418" w:footer="1134" w:gutter="284"/>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rPr>
        <w:rFonts w:hint="eastAsia"/>
      </w:rPr>
    </w:pPr>
    <w:r>
      <w:fldChar w:fldCharType="begin"/>
    </w:r>
    <w:r>
      <w:instrText xml:space="preserve"> STYLEREF  标准文件_文件编号  \* MERGEFORMAT </w:instrText>
    </w:r>
    <w:r>
      <w:fldChar w:fldCharType="separate"/>
    </w:r>
    <w:r>
      <w:rPr>
        <w:rFonts w:hint="eastAsia"/>
      </w:rPr>
      <w:t>DB 43/T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43/T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426"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attachedTemplate r:id="rId1"/>
  <w:documentProtection w:edit="forms" w:enforcement="1" w:cryptProviderType="rsaAES" w:cryptAlgorithmClass="hash" w:cryptAlgorithmType="typeAny" w:cryptAlgorithmSid="14" w:cryptSpinCount="100000" w:hash="liZwsNJ/wdGP3EHfXxlJxp3WRbCpBsfQDkTeJ4FztWLgkG19ngrHEbTLqxW2t5GsNvUVtn/hFFlhsDl0SLHlTA==" w:salt="YqQ2KPmk2iyD4pDvhV8vJA=="/>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D36"/>
    <w:rsid w:val="0000040A"/>
    <w:rsid w:val="00000A94"/>
    <w:rsid w:val="00001972"/>
    <w:rsid w:val="00001D9A"/>
    <w:rsid w:val="00007B3A"/>
    <w:rsid w:val="000107E0"/>
    <w:rsid w:val="00011FDE"/>
    <w:rsid w:val="00012FFD"/>
    <w:rsid w:val="00014162"/>
    <w:rsid w:val="00014340"/>
    <w:rsid w:val="00015692"/>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51C"/>
    <w:rsid w:val="00060C2E"/>
    <w:rsid w:val="00061033"/>
    <w:rsid w:val="00061975"/>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52D6"/>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1EBD"/>
    <w:rsid w:val="00262696"/>
    <w:rsid w:val="00263D25"/>
    <w:rsid w:val="002643C3"/>
    <w:rsid w:val="00264A0C"/>
    <w:rsid w:val="00266EEB"/>
    <w:rsid w:val="00267EF4"/>
    <w:rsid w:val="00270CB8"/>
    <w:rsid w:val="00272B08"/>
    <w:rsid w:val="002771AC"/>
    <w:rsid w:val="00277B5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2F55"/>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D7C64"/>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37DB"/>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50F5"/>
    <w:rsid w:val="004D7C42"/>
    <w:rsid w:val="004E0465"/>
    <w:rsid w:val="004E127B"/>
    <w:rsid w:val="004E1C0A"/>
    <w:rsid w:val="004E2B06"/>
    <w:rsid w:val="004E30C5"/>
    <w:rsid w:val="004E4AA5"/>
    <w:rsid w:val="004E4AEE"/>
    <w:rsid w:val="004E59E3"/>
    <w:rsid w:val="004E67C0"/>
    <w:rsid w:val="004F21FF"/>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08A"/>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7E6"/>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001B"/>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168B"/>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8F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5D3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C6A86"/>
    <w:rsid w:val="00AD0AEF"/>
    <w:rsid w:val="00AD11B7"/>
    <w:rsid w:val="00AD1A94"/>
    <w:rsid w:val="00AD1C05"/>
    <w:rsid w:val="00AD4126"/>
    <w:rsid w:val="00AD421C"/>
    <w:rsid w:val="00AD44FA"/>
    <w:rsid w:val="00AE070A"/>
    <w:rsid w:val="00AE101C"/>
    <w:rsid w:val="00AE2C11"/>
    <w:rsid w:val="00AE37E5"/>
    <w:rsid w:val="00AE5EB4"/>
    <w:rsid w:val="00AF0C18"/>
    <w:rsid w:val="00AF47C5"/>
    <w:rsid w:val="00AF5398"/>
    <w:rsid w:val="00B049AF"/>
    <w:rsid w:val="00B07242"/>
    <w:rsid w:val="00B10534"/>
    <w:rsid w:val="00B113DB"/>
    <w:rsid w:val="00B1185D"/>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4F53"/>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97D14"/>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263"/>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410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333"/>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57C0B"/>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4431829"/>
    <w:rsid w:val="11A66A3F"/>
    <w:rsid w:val="19172FB6"/>
    <w:rsid w:val="4A652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6">
    <w:name w:val="Default Paragraph Font"/>
    <w:unhideWhenUsed/>
    <w:qFormat/>
    <w:uiPriority w:val="1"/>
  </w:style>
  <w:style w:type="table" w:default="1" w:styleId="32">
    <w:name w:val="Normal Table"/>
    <w:unhideWhenUsed/>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character" w:styleId="27">
    <w:name w:val="Strong"/>
    <w:qFormat/>
    <w:uiPriority w:val="22"/>
    <w:rPr>
      <w:b/>
      <w:bCs/>
    </w:rPr>
  </w:style>
  <w:style w:type="character" w:styleId="28">
    <w:name w:val="page number"/>
    <w:qFormat/>
    <w:uiPriority w:val="0"/>
    <w:rPr>
      <w:rFonts w:ascii="宋体" w:hAnsi="Times New Roman" w:eastAsia="宋体"/>
      <w:sz w:val="18"/>
    </w:rPr>
  </w:style>
  <w:style w:type="character" w:styleId="29">
    <w:name w:val="Emphasis"/>
    <w:qFormat/>
    <w:uiPriority w:val="20"/>
    <w:rPr>
      <w:i/>
      <w:iCs/>
    </w:rPr>
  </w:style>
  <w:style w:type="character" w:styleId="30">
    <w:name w:val="Hyperlink"/>
    <w:qFormat/>
    <w:uiPriority w:val="99"/>
    <w:rPr>
      <w:rFonts w:ascii="宋体" w:hAnsi="Times New Roman" w:eastAsia="宋体"/>
      <w:color w:val="auto"/>
      <w:spacing w:val="0"/>
      <w:w w:val="100"/>
      <w:position w:val="0"/>
      <w:sz w:val="21"/>
      <w:u w:val="none"/>
      <w:vertAlign w:val="baseline"/>
    </w:rPr>
  </w:style>
  <w:style w:type="character" w:styleId="31">
    <w:name w:val="footnote reference"/>
    <w:semiHidden/>
    <w:uiPriority w:val="0"/>
    <w:rPr>
      <w:rFonts w:ascii="宋体" w:hAnsi="宋体" w:eastAsia="宋体" w:cs="Times New Roman"/>
      <w:spacing w:val="0"/>
      <w:sz w:val="18"/>
      <w:vertAlign w:val="superscript"/>
    </w:rPr>
  </w:style>
  <w:style w:type="table" w:styleId="33">
    <w:name w:val="Table Grid"/>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customStyle="1"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customStyle="1" w:styleId="186">
    <w:name w:val="Placeholder Text"/>
    <w:basedOn w:val="26"/>
    <w:semiHidden/>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6"/>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vAnchor="page" w:hAnchor="page" w:x="1419" w:y="14097"/>
    </w:pPr>
  </w:style>
  <w:style w:type="paragraph" w:customStyle="1" w:styleId="194">
    <w:name w:val="其他实施日期"/>
    <w:basedOn w:val="154"/>
    <w:uiPriority w:val="0"/>
    <w:pPr>
      <w:framePr w:w="3997" w:h="471" w:hRule="exact" w:vSpace="181" w:vAnchor="page" w:hAnchor="page" w:x="7089" w:y="14097"/>
    </w:pPr>
  </w:style>
  <w:style w:type="paragraph" w:customStyle="1" w:styleId="195">
    <w:name w:val="标准文件_文件编号"/>
    <w:basedOn w:val="56"/>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6"/>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image" Target="media/image1.tiff"/><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B822A8AC5144BFEAA6F7CDCFF1C91C8"/>
        <w:style w:val=""/>
        <w:category>
          <w:name w:val="常规"/>
          <w:gallery w:val="placeholder"/>
        </w:category>
        <w:types>
          <w:type w:val="bbPlcHdr"/>
        </w:types>
        <w:behaviors>
          <w:behavior w:val="content"/>
        </w:behaviors>
        <w:description w:val=""/>
        <w:guid w:val="{34746657-6415-44DD-875C-CF2F8DE9EB0C}"/>
      </w:docPartPr>
      <w:docPartBody>
        <w:p>
          <w:pPr>
            <w:pStyle w:val="5"/>
            <w:rPr>
              <w:rFonts w:hint="eastAsia"/>
            </w:rPr>
          </w:pPr>
          <w:r>
            <w:rPr>
              <w:rStyle w:val="4"/>
              <w:rFonts w:hint="eastAsia"/>
            </w:rPr>
            <w:t>单击或点击此处输入文字。</w:t>
          </w:r>
        </w:p>
      </w:docPartBody>
    </w:docPart>
    <w:docPart>
      <w:docPartPr>
        <w:name w:val="A951581B1781452BB5B4EFCC1425687C"/>
        <w:style w:val=""/>
        <w:category>
          <w:name w:val="常规"/>
          <w:gallery w:val="placeholder"/>
        </w:category>
        <w:types>
          <w:type w:val="bbPlcHdr"/>
        </w:types>
        <w:behaviors>
          <w:behavior w:val="content"/>
        </w:behaviors>
        <w:description w:val=""/>
        <w:guid w:val="{8B1A8058-51C7-4933-A836-B637D6B21835}"/>
      </w:docPartPr>
      <w:docPartBody>
        <w:p>
          <w:pPr>
            <w:pStyle w:val="6"/>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CCA"/>
    <w:rsid w:val="0060001B"/>
    <w:rsid w:val="0094576E"/>
    <w:rsid w:val="00A31AB4"/>
    <w:rsid w:val="00AE2C11"/>
    <w:rsid w:val="00C64CCA"/>
    <w:rsid w:val="00DA6333"/>
    <w:rsid w:val="00E57C0B"/>
    <w:rsid w:val="00F10A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unhideWhenUsed/>
    <w:qFormat/>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character" w:customStyle="1" w:styleId="4">
    <w:name w:val="Placeholder Text"/>
    <w:basedOn w:val="2"/>
    <w:semiHidden/>
    <w:uiPriority w:val="99"/>
    <w:rPr>
      <w:color w:val="808080"/>
    </w:rPr>
  </w:style>
  <w:style w:type="paragraph" w:customStyle="1" w:styleId="5">
    <w:name w:val="8B822A8AC5144BFEAA6F7CDCFF1C91C8"/>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A951581B1781452BB5B4EFCC1425687C"/>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17</Pages>
  <Words>2009</Words>
  <Characters>11457</Characters>
  <Lines>95</Lines>
  <Paragraphs>26</Paragraphs>
  <TotalTime>2</TotalTime>
  <ScaleCrop>false</ScaleCrop>
  <LinksUpToDate>false</LinksUpToDate>
  <CharactersWithSpaces>13440</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2026-07-03T02:46:00Z</dcterms:created>
  <dc:creator>admin</dc:creator>
  <dc:description>&lt;config cover="true" show_menu="true" version="1.0.0" doctype="SDKXY"&gt;_x000d_
&lt;/config&gt;</dc:description>
  <cp:lastModifiedBy>admin</cp:lastModifiedBy>
  <cp:lastPrinted>2026-10-30T08:15:00Z</cp:lastPrinted>
  <dcterms:modified xsi:type="dcterms:W3CDTF">2026-11-01T06:34:30Z</dcterms:modified>
  <dc:title>地方标准</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eyJoZGlkIjoiNzdhMmMwMDFlOWFjNjIxYTM1YWM2Zjk0ZjYwNTdmM2YiLCJ1c2VySWQiOiI1NTUzMTM1NjgifQ==</vt:lpwstr>
  </property>
  <property fmtid="{D5CDD505-2E9C-101B-9397-08002B2CF9AE}" pid="15" name="KSOProductBuildVer">
    <vt:lpwstr>2052-10.8.0.6423</vt:lpwstr>
  </property>
  <property fmtid="{D5CDD505-2E9C-101B-9397-08002B2CF9AE}" pid="16" name="ICV">
    <vt:lpwstr>E713972C27A24421AAFA31D08CA3239E_12</vt:lpwstr>
  </property>
</Properties>
</file>