
<file path=[Content_Types].xml><?xml version="1.0" encoding="utf-8"?>
<Types xmlns="http://schemas.openxmlformats.org/package/2006/content-types">
  <Default Extension="xml" ContentType="application/xml"/>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214AF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65AC5324">
            <w:pPr>
              <w:pStyle w:val="18"/>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1EFE6A91">
            <w:pPr>
              <w:pStyle w:val="18"/>
              <w:framePr w:wrap="notBeside" w:vAnchor="page" w:hAnchor="page" w:x="1372" w:y="568"/>
              <w:tabs>
                <w:tab w:val="clear" w:pos="4153"/>
                <w:tab w:val="clear" w:pos="8306"/>
              </w:tabs>
              <w:spacing w:line="240" w:lineRule="auto"/>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 xml:space="preserve"> </w:t>
            </w:r>
            <w:r>
              <w:rPr>
                <w:rFonts w:ascii="黑体" w:hAnsi="黑体" w:eastAsia="黑体"/>
                <w:sz w:val="21"/>
                <w:szCs w:val="21"/>
              </w:rPr>
              <w:fldChar w:fldCharType="end"/>
            </w:r>
            <w:bookmarkEnd w:id="0"/>
          </w:p>
        </w:tc>
      </w:tr>
      <w:tr w14:paraId="1EDB3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5333B69B">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14:paraId="01F13DC4">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点击此处添加CCS号</w:t>
            </w:r>
            <w:r>
              <w:rPr>
                <w:rFonts w:ascii="黑体" w:hAnsi="黑体" w:eastAsia="黑体"/>
                <w:sz w:val="21"/>
                <w:szCs w:val="21"/>
              </w:rPr>
              <w:fldChar w:fldCharType="end"/>
            </w:r>
            <w:bookmarkEnd w:id="1"/>
          </w:p>
        </w:tc>
      </w:tr>
    </w:tbl>
    <w:tbl>
      <w:tblPr>
        <w:tblStyle w:val="27"/>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14:paraId="6B978C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14:paraId="5B3717C3">
            <w:pPr>
              <w:pStyle w:val="49"/>
              <w:framePr w:w="0" w:hRule="auto" w:wrap="auto" w:vAnchor="margin" w:hAnchor="text" w:xAlign="left" w:yAlign="inline"/>
              <w:rPr>
                <w:rFonts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lang w:eastAsia="zh-CN"/>
              </w:rPr>
              <w:t>4</w:t>
            </w:r>
            <w:r>
              <w:rPr>
                <w:rFonts w:hint="eastAsia"/>
                <w:lang w:val="en-US" w:eastAsia="zh-CN"/>
              </w:rPr>
              <w:t>3</w:t>
            </w:r>
            <w:r>
              <w:fldChar w:fldCharType="end"/>
            </w:r>
            <w:bookmarkEnd w:id="3"/>
          </w:p>
        </w:tc>
      </w:tr>
    </w:tbl>
    <w:p w14:paraId="30006837">
      <w:pPr>
        <w:pStyle w:val="50"/>
        <w:framePr w:w="9639" w:h="624" w:hRule="exact" w:hSpace="181" w:vSpace="181" w:wrap="around" w:hAnchor="page" w:x="1305" w:y="2269"/>
        <w:rPr>
          <w:rFonts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lang w:eastAsia="zh-CN"/>
        </w:rPr>
        <w:t>湖南省</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14:paraId="1AAAC932">
      <w:pPr>
        <w:pStyle w:val="195"/>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rFonts w:hint="eastAsia"/>
          <w:lang w:val="en-US" w:eastAsia="zh-CN"/>
        </w:rPr>
        <w:t>43</w:t>
      </w:r>
      <w:r>
        <w:rPr>
          <w:lang w:val="fr-FR"/>
        </w:rPr>
        <w:t>/T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14:paraId="24F53405">
      <w:pPr>
        <w:pStyle w:val="196"/>
        <w:rPr>
          <w:rFonts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14:paraId="6DD967C6">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486F0D77">
      <w:pPr>
        <w:pStyle w:val="50"/>
        <w:framePr w:w="9639" w:h="6976" w:hRule="exact" w:hSpace="0" w:vSpace="0" w:wrap="around" w:hAnchor="page" w:y="6408"/>
        <w:jc w:val="center"/>
        <w:rPr>
          <w:rFonts w:ascii="黑体" w:hAnsi="黑体" w:eastAsia="黑体"/>
          <w:b w:val="0"/>
          <w:bCs w:val="0"/>
          <w:w w:val="100"/>
        </w:rPr>
      </w:pPr>
    </w:p>
    <w:p w14:paraId="676475DB">
      <w:pPr>
        <w:pStyle w:val="197"/>
        <w:framePr w:h="6974" w:hRule="exact" w:wrap="around" w:x="1419" w:anchorLock="1"/>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rPr>
        <w:t>乡村旅游场景焕新建设与服务指南</w:t>
      </w:r>
      <w:r>
        <w:fldChar w:fldCharType="end"/>
      </w:r>
      <w:bookmarkEnd w:id="9"/>
    </w:p>
    <w:p w14:paraId="140A346B">
      <w:pPr>
        <w:framePr w:w="9639" w:h="6974" w:hRule="exact" w:wrap="around" w:vAnchor="page" w:hAnchor="page" w:x="1419" w:y="6408" w:anchorLock="1"/>
        <w:ind w:left="-1418"/>
      </w:pPr>
    </w:p>
    <w:p w14:paraId="6689A8E3">
      <w:pPr>
        <w:pStyle w:val="125"/>
        <w:framePr w:w="9639" w:h="6974" w:hRule="exact" w:wrap="around" w:vAnchor="page" w:hAnchor="page" w:x="1419" w:y="6408" w:anchorLock="1"/>
        <w:textAlignment w:val="bottom"/>
        <w:rPr>
          <w:rFonts w:ascii="黑体" w:hAnsi="黑体" w:eastAsia="黑体"/>
          <w:szCs w:val="28"/>
        </w:rPr>
      </w:pPr>
      <w:r>
        <w:rPr>
          <w:rFonts w:ascii="黑体" w:hAnsi="黑体" w:eastAsia="黑体"/>
          <w:szCs w:val="28"/>
        </w:rPr>
        <w:fldChar w:fldCharType="begin">
          <w:ffData>
            <w:name w:val="ESTD_NAME"/>
            <w:enabled/>
            <w:calcOnExit w:val="0"/>
            <w:textInput>
              <w:default w:val="点击此处添加标准名称的英文译名"/>
            </w:textInput>
          </w:ffData>
        </w:fldChar>
      </w:r>
      <w:bookmarkStart w:id="10" w:name="ESTD_NAME"/>
      <w:r>
        <w:rPr>
          <w:rFonts w:ascii="黑体" w:hAnsi="黑体" w:eastAsia="黑体"/>
          <w:szCs w:val="28"/>
        </w:rPr>
        <w:instrText xml:space="preserve"> FORMTEXT </w:instrText>
      </w:r>
      <w:r>
        <w:rPr>
          <w:rFonts w:ascii="黑体" w:hAnsi="黑体" w:eastAsia="黑体"/>
          <w:szCs w:val="28"/>
        </w:rPr>
        <w:fldChar w:fldCharType="separate"/>
      </w:r>
      <w:r>
        <w:rPr>
          <w:rFonts w:hint="eastAsia" w:ascii="黑体" w:hAnsi="黑体" w:eastAsia="黑体"/>
          <w:szCs w:val="28"/>
        </w:rPr>
        <w:t>Guide for revitalization and service of rural tourism scenes</w:t>
      </w:r>
      <w:r>
        <w:rPr>
          <w:rFonts w:ascii="黑体" w:hAnsi="黑体" w:eastAsia="黑体"/>
          <w:szCs w:val="28"/>
        </w:rPr>
        <w:fldChar w:fldCharType="end"/>
      </w:r>
      <w:bookmarkEnd w:id="10"/>
    </w:p>
    <w:p w14:paraId="4A20F943">
      <w:pPr>
        <w:framePr w:w="9639" w:h="6974" w:hRule="exact" w:wrap="around" w:vAnchor="page" w:hAnchor="page" w:x="1419" w:y="6408" w:anchorLock="1"/>
        <w:spacing w:line="760" w:lineRule="exact"/>
        <w:ind w:left="-1418"/>
      </w:pPr>
    </w:p>
    <w:p w14:paraId="6E074F49">
      <w:pPr>
        <w:pStyle w:val="125"/>
        <w:framePr w:w="9639" w:h="6974" w:hRule="exact" w:wrap="around" w:vAnchor="page" w:hAnchor="page" w:x="1419" w:y="6408" w:anchorLock="1"/>
        <w:textAlignment w:val="bottom"/>
        <w:rPr>
          <w:rFonts w:eastAsia="黑体"/>
          <w:szCs w:val="28"/>
        </w:rPr>
      </w:pPr>
    </w:p>
    <w:p w14:paraId="29799C75">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14:paraId="3973EE93">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14:paraId="2F944E7A">
      <w:pPr>
        <w:pStyle w:val="125"/>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14:paraId="67936653">
      <w:pPr>
        <w:pStyle w:val="193"/>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14:paraId="1CC96D59">
      <w:pPr>
        <w:pStyle w:val="194"/>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14:paraId="7674B816">
      <w:pPr>
        <w:pStyle w:val="151"/>
        <w:framePr w:h="584" w:hRule="exact" w:hSpace="181" w:vSpace="181" w:wrap="around" w:y="15027"/>
        <w:rPr>
          <w:rFonts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int="eastAsia" w:hAnsi="黑体"/>
          <w:w w:val="100"/>
          <w:sz w:val="28"/>
          <w:lang w:eastAsia="zh-CN"/>
        </w:rPr>
        <w:t>湖南省市场监督管理局</w:t>
      </w:r>
      <w:r>
        <w:rPr>
          <w:rFonts w:hAnsi="黑体"/>
          <w:w w:val="100"/>
          <w:sz w:val="28"/>
        </w:rPr>
        <w:fldChar w:fldCharType="end"/>
      </w:r>
      <w:bookmarkEnd w:id="20"/>
      <w:r>
        <w:rPr>
          <w:rFonts w:ascii="Times New Roman"/>
          <w:w w:val="100"/>
          <w:sz w:val="28"/>
        </w:rPr>
        <w:t>  </w:t>
      </w:r>
      <w:r>
        <w:rPr>
          <w:rStyle w:val="229"/>
          <w:rFonts w:hint="eastAsia" w:hAnsi="黑体"/>
          <w:position w:val="0"/>
        </w:rPr>
        <w:t>发</w:t>
      </w:r>
      <w:r>
        <w:rPr>
          <w:rStyle w:val="229"/>
          <w:rFonts w:hint="eastAsia" w:hAnsi="黑体"/>
          <w:spacing w:val="0"/>
          <w:position w:val="0"/>
        </w:rPr>
        <w:t>布</w:t>
      </w:r>
    </w:p>
    <w:p w14:paraId="76C70C24">
      <w:pPr>
        <w:rPr>
          <w:rFonts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1A73A75F">
      <w:pPr>
        <w:pStyle w:val="91"/>
        <w:bidi w:val="0"/>
        <w:rPr>
          <w:rFonts w:hint="eastAsia"/>
          <w:lang w:eastAsia="zh-CN"/>
        </w:rPr>
      </w:pPr>
      <w:bookmarkStart w:id="21" w:name="BookMark1"/>
      <w:r>
        <w:rPr>
          <w:rFonts w:hint="eastAsia"/>
          <w:spacing w:val="320"/>
          <w:lang w:eastAsia="zh-CN"/>
        </w:rPr>
        <w:t>目</w:t>
      </w:r>
      <w:r>
        <w:rPr>
          <w:rFonts w:hint="eastAsia"/>
          <w:lang w:eastAsia="zh-CN"/>
        </w:rPr>
        <w:t>次</w:t>
      </w:r>
    </w:p>
    <w:p w14:paraId="0FA837FD">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TOC \o "1-1" \t "标准文件_一级条标题,2,标准文件_附录一级条标题,2," \h</w:instrText>
      </w:r>
      <w:r>
        <w:rPr>
          <w:rFonts w:hint="eastAsia"/>
          <w:spacing w:val="0"/>
          <w:lang w:eastAsia="zh-CN"/>
        </w:rPr>
        <w:fldChar w:fldCharType="separate"/>
      </w:r>
      <w:r>
        <w:rPr>
          <w:rFonts w:hint="eastAsia"/>
          <w:spacing w:val="0"/>
          <w:lang w:eastAsia="zh-CN"/>
        </w:rPr>
        <w:fldChar w:fldCharType="begin"/>
      </w:r>
      <w:r>
        <w:rPr>
          <w:rFonts w:hint="eastAsia"/>
          <w:spacing w:val="0"/>
          <w:lang w:eastAsia="zh-CN"/>
        </w:rPr>
        <w:instrText xml:space="preserve"> HYPERLINK \l _Toc21921 </w:instrText>
      </w:r>
      <w:r>
        <w:rPr>
          <w:rFonts w:hint="eastAsia"/>
          <w:spacing w:val="0"/>
          <w:lang w:eastAsia="zh-CN"/>
        </w:rPr>
        <w:fldChar w:fldCharType="separate"/>
      </w:r>
      <w:r>
        <w:rPr>
          <w:rFonts w:hint="eastAsia"/>
          <w:spacing w:val="0"/>
          <w:lang w:eastAsia="zh-CN"/>
        </w:rPr>
        <w:t>前言</w:t>
      </w:r>
      <w:r>
        <w:rPr>
          <w:spacing w:val="0"/>
        </w:rPr>
        <w:tab/>
      </w:r>
      <w:r>
        <w:rPr>
          <w:spacing w:val="0"/>
        </w:rPr>
        <w:fldChar w:fldCharType="begin"/>
      </w:r>
      <w:r>
        <w:rPr>
          <w:spacing w:val="0"/>
        </w:rPr>
        <w:instrText xml:space="preserve"> PAGEREF _Toc21921 \h </w:instrText>
      </w:r>
      <w:r>
        <w:rPr>
          <w:spacing w:val="0"/>
        </w:rPr>
        <w:fldChar w:fldCharType="separate"/>
      </w:r>
      <w:r>
        <w:rPr>
          <w:spacing w:val="0"/>
        </w:rPr>
        <w:t>II</w:t>
      </w:r>
      <w:r>
        <w:rPr>
          <w:spacing w:val="0"/>
        </w:rPr>
        <w:fldChar w:fldCharType="end"/>
      </w:r>
      <w:r>
        <w:rPr>
          <w:rFonts w:hint="eastAsia"/>
          <w:spacing w:val="0"/>
          <w:lang w:eastAsia="zh-CN"/>
        </w:rPr>
        <w:fldChar w:fldCharType="end"/>
      </w:r>
    </w:p>
    <w:p w14:paraId="6010F4E2">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_Toc8472 </w:instrText>
      </w:r>
      <w:r>
        <w:rPr>
          <w:rFonts w:hint="eastAsia"/>
          <w:spacing w:val="0"/>
          <w:lang w:eastAsia="zh-CN"/>
        </w:rPr>
        <w:fldChar w:fldCharType="separate"/>
      </w:r>
      <w:r>
        <w:rPr>
          <w:rFonts w:hint="eastAsia" w:ascii="黑体" w:eastAsia="黑体"/>
          <w:i w:val="0"/>
          <w:spacing w:val="0"/>
        </w:rPr>
        <w:t>1</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范围</w:t>
      </w:r>
      <w:r>
        <w:rPr>
          <w:spacing w:val="0"/>
        </w:rPr>
        <w:tab/>
      </w:r>
      <w:r>
        <w:rPr>
          <w:spacing w:val="0"/>
        </w:rPr>
        <w:fldChar w:fldCharType="begin"/>
      </w:r>
      <w:r>
        <w:rPr>
          <w:spacing w:val="0"/>
        </w:rPr>
        <w:instrText xml:space="preserve"> PAGEREF _Toc8472 \h </w:instrText>
      </w:r>
      <w:r>
        <w:rPr>
          <w:spacing w:val="0"/>
        </w:rPr>
        <w:fldChar w:fldCharType="separate"/>
      </w:r>
      <w:r>
        <w:rPr>
          <w:spacing w:val="0"/>
        </w:rPr>
        <w:t>1</w:t>
      </w:r>
      <w:r>
        <w:rPr>
          <w:spacing w:val="0"/>
        </w:rPr>
        <w:fldChar w:fldCharType="end"/>
      </w:r>
      <w:r>
        <w:rPr>
          <w:rFonts w:hint="eastAsia"/>
          <w:spacing w:val="0"/>
          <w:lang w:eastAsia="zh-CN"/>
        </w:rPr>
        <w:fldChar w:fldCharType="end"/>
      </w:r>
    </w:p>
    <w:p w14:paraId="6D64CE04">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_Toc8371 </w:instrText>
      </w:r>
      <w:r>
        <w:rPr>
          <w:rFonts w:hint="eastAsia"/>
          <w:spacing w:val="0"/>
          <w:lang w:eastAsia="zh-CN"/>
        </w:rPr>
        <w:fldChar w:fldCharType="separate"/>
      </w:r>
      <w:r>
        <w:rPr>
          <w:rFonts w:hint="eastAsia" w:ascii="黑体" w:eastAsia="黑体"/>
          <w:i w:val="0"/>
          <w:spacing w:val="0"/>
        </w:rPr>
        <w:t>2</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规范性引用文件</w:t>
      </w:r>
      <w:r>
        <w:rPr>
          <w:spacing w:val="0"/>
        </w:rPr>
        <w:tab/>
      </w:r>
      <w:r>
        <w:rPr>
          <w:spacing w:val="0"/>
        </w:rPr>
        <w:fldChar w:fldCharType="begin"/>
      </w:r>
      <w:r>
        <w:rPr>
          <w:spacing w:val="0"/>
        </w:rPr>
        <w:instrText xml:space="preserve"> PAGEREF _Toc8371 \h </w:instrText>
      </w:r>
      <w:r>
        <w:rPr>
          <w:spacing w:val="0"/>
        </w:rPr>
        <w:fldChar w:fldCharType="separate"/>
      </w:r>
      <w:r>
        <w:rPr>
          <w:spacing w:val="0"/>
        </w:rPr>
        <w:t>1</w:t>
      </w:r>
      <w:r>
        <w:rPr>
          <w:spacing w:val="0"/>
        </w:rPr>
        <w:fldChar w:fldCharType="end"/>
      </w:r>
      <w:r>
        <w:rPr>
          <w:rFonts w:hint="eastAsia"/>
          <w:spacing w:val="0"/>
          <w:lang w:eastAsia="zh-CN"/>
        </w:rPr>
        <w:fldChar w:fldCharType="end"/>
      </w:r>
    </w:p>
    <w:p w14:paraId="059C863E">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_Toc14993 </w:instrText>
      </w:r>
      <w:r>
        <w:rPr>
          <w:rFonts w:hint="eastAsia"/>
          <w:spacing w:val="0"/>
          <w:lang w:eastAsia="zh-CN"/>
        </w:rPr>
        <w:fldChar w:fldCharType="separate"/>
      </w:r>
      <w:r>
        <w:rPr>
          <w:rFonts w:hint="eastAsia" w:ascii="黑体" w:eastAsia="黑体"/>
          <w:i w:val="0"/>
          <w:spacing w:val="0"/>
        </w:rPr>
        <w:t>3</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szCs w:val="21"/>
        </w:rPr>
        <w:t>术语和定义</w:t>
      </w:r>
      <w:r>
        <w:rPr>
          <w:spacing w:val="0"/>
        </w:rPr>
        <w:tab/>
      </w:r>
      <w:r>
        <w:rPr>
          <w:spacing w:val="0"/>
        </w:rPr>
        <w:fldChar w:fldCharType="begin"/>
      </w:r>
      <w:r>
        <w:rPr>
          <w:spacing w:val="0"/>
        </w:rPr>
        <w:instrText xml:space="preserve"> PAGEREF _Toc14993 \h </w:instrText>
      </w:r>
      <w:r>
        <w:rPr>
          <w:spacing w:val="0"/>
        </w:rPr>
        <w:fldChar w:fldCharType="separate"/>
      </w:r>
      <w:r>
        <w:rPr>
          <w:spacing w:val="0"/>
        </w:rPr>
        <w:t>1</w:t>
      </w:r>
      <w:r>
        <w:rPr>
          <w:spacing w:val="0"/>
        </w:rPr>
        <w:fldChar w:fldCharType="end"/>
      </w:r>
      <w:r>
        <w:rPr>
          <w:rFonts w:hint="eastAsia"/>
          <w:spacing w:val="0"/>
          <w:lang w:eastAsia="zh-CN"/>
        </w:rPr>
        <w:fldChar w:fldCharType="end"/>
      </w:r>
    </w:p>
    <w:p w14:paraId="5503BB70">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_Toc9943 </w:instrText>
      </w:r>
      <w:r>
        <w:rPr>
          <w:rFonts w:hint="eastAsia"/>
          <w:spacing w:val="0"/>
          <w:lang w:eastAsia="zh-CN"/>
        </w:rPr>
        <w:fldChar w:fldCharType="separate"/>
      </w:r>
      <w:r>
        <w:rPr>
          <w:rFonts w:hint="eastAsia" w:ascii="黑体" w:eastAsia="黑体"/>
          <w:i w:val="0"/>
          <w:spacing w:val="0"/>
        </w:rPr>
        <w:t>4</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总则</w:t>
      </w:r>
      <w:r>
        <w:rPr>
          <w:spacing w:val="0"/>
        </w:rPr>
        <w:tab/>
      </w:r>
      <w:r>
        <w:rPr>
          <w:spacing w:val="0"/>
        </w:rPr>
        <w:fldChar w:fldCharType="begin"/>
      </w:r>
      <w:r>
        <w:rPr>
          <w:spacing w:val="0"/>
        </w:rPr>
        <w:instrText xml:space="preserve"> PAGEREF _Toc9943 \h </w:instrText>
      </w:r>
      <w:r>
        <w:rPr>
          <w:spacing w:val="0"/>
        </w:rPr>
        <w:fldChar w:fldCharType="separate"/>
      </w:r>
      <w:r>
        <w:rPr>
          <w:spacing w:val="0"/>
        </w:rPr>
        <w:t>1</w:t>
      </w:r>
      <w:r>
        <w:rPr>
          <w:spacing w:val="0"/>
        </w:rPr>
        <w:fldChar w:fldCharType="end"/>
      </w:r>
      <w:r>
        <w:rPr>
          <w:rFonts w:hint="eastAsia"/>
          <w:spacing w:val="0"/>
          <w:lang w:eastAsia="zh-CN"/>
        </w:rPr>
        <w:fldChar w:fldCharType="end"/>
      </w:r>
    </w:p>
    <w:p w14:paraId="6FB952B1">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_Toc11834 </w:instrText>
      </w:r>
      <w:r>
        <w:rPr>
          <w:rFonts w:hint="eastAsia"/>
          <w:spacing w:val="0"/>
          <w:lang w:eastAsia="zh-CN"/>
        </w:rPr>
        <w:fldChar w:fldCharType="separate"/>
      </w:r>
      <w:r>
        <w:rPr>
          <w:rFonts w:hint="eastAsia" w:ascii="黑体" w:eastAsia="黑体"/>
          <w:i w:val="0"/>
          <w:spacing w:val="0"/>
        </w:rPr>
        <w:t>5</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主题凝练与空间重塑</w:t>
      </w:r>
      <w:r>
        <w:rPr>
          <w:spacing w:val="0"/>
        </w:rPr>
        <w:tab/>
      </w:r>
      <w:r>
        <w:rPr>
          <w:spacing w:val="0"/>
        </w:rPr>
        <w:fldChar w:fldCharType="begin"/>
      </w:r>
      <w:r>
        <w:rPr>
          <w:spacing w:val="0"/>
        </w:rPr>
        <w:instrText xml:space="preserve"> PAGEREF _Toc11834 \h </w:instrText>
      </w:r>
      <w:r>
        <w:rPr>
          <w:spacing w:val="0"/>
        </w:rPr>
        <w:fldChar w:fldCharType="separate"/>
      </w:r>
      <w:r>
        <w:rPr>
          <w:spacing w:val="0"/>
        </w:rPr>
        <w:t>2</w:t>
      </w:r>
      <w:r>
        <w:rPr>
          <w:spacing w:val="0"/>
        </w:rPr>
        <w:fldChar w:fldCharType="end"/>
      </w:r>
      <w:r>
        <w:rPr>
          <w:rFonts w:hint="eastAsia"/>
          <w:spacing w:val="0"/>
          <w:lang w:eastAsia="zh-CN"/>
        </w:rPr>
        <w:fldChar w:fldCharType="end"/>
      </w:r>
    </w:p>
    <w:p w14:paraId="0170BCBA">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_Toc9577 </w:instrText>
      </w:r>
      <w:r>
        <w:rPr>
          <w:rFonts w:hint="eastAsia"/>
          <w:spacing w:val="0"/>
          <w:lang w:eastAsia="zh-CN"/>
        </w:rPr>
        <w:fldChar w:fldCharType="separate"/>
      </w:r>
      <w:r>
        <w:rPr>
          <w:rFonts w:hint="eastAsia" w:ascii="黑体" w:eastAsia="黑体"/>
          <w:i w:val="0"/>
          <w:spacing w:val="0"/>
        </w:rPr>
        <w:t>6</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业态创新与产品迭代</w:t>
      </w:r>
      <w:r>
        <w:rPr>
          <w:spacing w:val="0"/>
        </w:rPr>
        <w:tab/>
      </w:r>
      <w:r>
        <w:rPr>
          <w:spacing w:val="0"/>
        </w:rPr>
        <w:fldChar w:fldCharType="begin"/>
      </w:r>
      <w:r>
        <w:rPr>
          <w:spacing w:val="0"/>
        </w:rPr>
        <w:instrText xml:space="preserve"> PAGEREF _Toc9577 \h </w:instrText>
      </w:r>
      <w:r>
        <w:rPr>
          <w:spacing w:val="0"/>
        </w:rPr>
        <w:fldChar w:fldCharType="separate"/>
      </w:r>
      <w:r>
        <w:rPr>
          <w:spacing w:val="0"/>
        </w:rPr>
        <w:t>2</w:t>
      </w:r>
      <w:r>
        <w:rPr>
          <w:spacing w:val="0"/>
        </w:rPr>
        <w:fldChar w:fldCharType="end"/>
      </w:r>
      <w:r>
        <w:rPr>
          <w:rFonts w:hint="eastAsia"/>
          <w:spacing w:val="0"/>
          <w:lang w:eastAsia="zh-CN"/>
        </w:rPr>
        <w:fldChar w:fldCharType="end"/>
      </w:r>
    </w:p>
    <w:p w14:paraId="570AC472">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_Toc8855 </w:instrText>
      </w:r>
      <w:r>
        <w:rPr>
          <w:rFonts w:hint="eastAsia"/>
          <w:spacing w:val="0"/>
          <w:lang w:eastAsia="zh-CN"/>
        </w:rPr>
        <w:fldChar w:fldCharType="separate"/>
      </w:r>
      <w:r>
        <w:rPr>
          <w:rFonts w:hint="eastAsia" w:ascii="黑体" w:eastAsia="黑体"/>
          <w:i w:val="0"/>
          <w:spacing w:val="0"/>
        </w:rPr>
        <w:t>7</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基础设施与服务设施升级</w:t>
      </w:r>
      <w:r>
        <w:rPr>
          <w:spacing w:val="0"/>
        </w:rPr>
        <w:tab/>
      </w:r>
      <w:r>
        <w:rPr>
          <w:spacing w:val="0"/>
        </w:rPr>
        <w:fldChar w:fldCharType="begin"/>
      </w:r>
      <w:r>
        <w:rPr>
          <w:spacing w:val="0"/>
        </w:rPr>
        <w:instrText xml:space="preserve"> PAGEREF _Toc8855 \h </w:instrText>
      </w:r>
      <w:r>
        <w:rPr>
          <w:spacing w:val="0"/>
        </w:rPr>
        <w:fldChar w:fldCharType="separate"/>
      </w:r>
      <w:r>
        <w:rPr>
          <w:spacing w:val="0"/>
        </w:rPr>
        <w:t>3</w:t>
      </w:r>
      <w:r>
        <w:rPr>
          <w:spacing w:val="0"/>
        </w:rPr>
        <w:fldChar w:fldCharType="end"/>
      </w:r>
      <w:r>
        <w:rPr>
          <w:rFonts w:hint="eastAsia"/>
          <w:spacing w:val="0"/>
          <w:lang w:eastAsia="zh-CN"/>
        </w:rPr>
        <w:fldChar w:fldCharType="end"/>
      </w:r>
    </w:p>
    <w:p w14:paraId="1B80A828">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_Toc20039 </w:instrText>
      </w:r>
      <w:r>
        <w:rPr>
          <w:rFonts w:hint="eastAsia"/>
          <w:spacing w:val="0"/>
          <w:lang w:eastAsia="zh-CN"/>
        </w:rPr>
        <w:fldChar w:fldCharType="separate"/>
      </w:r>
      <w:r>
        <w:rPr>
          <w:rFonts w:hint="eastAsia" w:ascii="黑体" w:eastAsia="黑体"/>
          <w:i w:val="0"/>
          <w:spacing w:val="0"/>
        </w:rPr>
        <w:t>8</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服务优化与营销创新</w:t>
      </w:r>
      <w:r>
        <w:rPr>
          <w:spacing w:val="0"/>
        </w:rPr>
        <w:tab/>
      </w:r>
      <w:r>
        <w:rPr>
          <w:spacing w:val="0"/>
        </w:rPr>
        <w:fldChar w:fldCharType="begin"/>
      </w:r>
      <w:r>
        <w:rPr>
          <w:spacing w:val="0"/>
        </w:rPr>
        <w:instrText xml:space="preserve"> PAGEREF _Toc20039 \h </w:instrText>
      </w:r>
      <w:r>
        <w:rPr>
          <w:spacing w:val="0"/>
        </w:rPr>
        <w:fldChar w:fldCharType="separate"/>
      </w:r>
      <w:r>
        <w:rPr>
          <w:spacing w:val="0"/>
        </w:rPr>
        <w:t>4</w:t>
      </w:r>
      <w:r>
        <w:rPr>
          <w:spacing w:val="0"/>
        </w:rPr>
        <w:fldChar w:fldCharType="end"/>
      </w:r>
      <w:r>
        <w:rPr>
          <w:rFonts w:hint="eastAsia"/>
          <w:spacing w:val="0"/>
          <w:lang w:eastAsia="zh-CN"/>
        </w:rPr>
        <w:fldChar w:fldCharType="end"/>
      </w:r>
    </w:p>
    <w:p w14:paraId="669B31F7">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_Toc20494 </w:instrText>
      </w:r>
      <w:r>
        <w:rPr>
          <w:rFonts w:hint="eastAsia"/>
          <w:spacing w:val="0"/>
          <w:lang w:eastAsia="zh-CN"/>
        </w:rPr>
        <w:fldChar w:fldCharType="separate"/>
      </w:r>
      <w:r>
        <w:rPr>
          <w:rFonts w:hint="eastAsia" w:ascii="黑体" w:eastAsia="黑体"/>
          <w:i w:val="0"/>
          <w:spacing w:val="0"/>
        </w:rPr>
        <w:t>9</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运营管理</w:t>
      </w:r>
      <w:r>
        <w:rPr>
          <w:spacing w:val="0"/>
        </w:rPr>
        <w:tab/>
      </w:r>
      <w:r>
        <w:rPr>
          <w:spacing w:val="0"/>
        </w:rPr>
        <w:fldChar w:fldCharType="begin"/>
      </w:r>
      <w:r>
        <w:rPr>
          <w:spacing w:val="0"/>
        </w:rPr>
        <w:instrText xml:space="preserve"> PAGEREF _Toc20494 \h </w:instrText>
      </w:r>
      <w:r>
        <w:rPr>
          <w:spacing w:val="0"/>
        </w:rPr>
        <w:fldChar w:fldCharType="separate"/>
      </w:r>
      <w:r>
        <w:rPr>
          <w:spacing w:val="0"/>
        </w:rPr>
        <w:t>4</w:t>
      </w:r>
      <w:r>
        <w:rPr>
          <w:spacing w:val="0"/>
        </w:rPr>
        <w:fldChar w:fldCharType="end"/>
      </w:r>
      <w:r>
        <w:rPr>
          <w:rFonts w:hint="eastAsia"/>
          <w:spacing w:val="0"/>
          <w:lang w:eastAsia="zh-CN"/>
        </w:rPr>
        <w:fldChar w:fldCharType="end"/>
      </w:r>
    </w:p>
    <w:p w14:paraId="0D711999">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_Toc10386 </w:instrText>
      </w:r>
      <w:r>
        <w:rPr>
          <w:rFonts w:hint="eastAsia"/>
          <w:spacing w:val="0"/>
          <w:lang w:eastAsia="zh-CN"/>
        </w:rPr>
        <w:fldChar w:fldCharType="separate"/>
      </w:r>
      <w:r>
        <w:rPr>
          <w:rFonts w:hint="eastAsia"/>
          <w:spacing w:val="0"/>
          <w:lang w:eastAsia="zh-CN"/>
        </w:rPr>
        <w:t>参考文献</w:t>
      </w:r>
      <w:r>
        <w:rPr>
          <w:spacing w:val="0"/>
        </w:rPr>
        <w:tab/>
      </w:r>
      <w:r>
        <w:rPr>
          <w:spacing w:val="0"/>
        </w:rPr>
        <w:fldChar w:fldCharType="begin"/>
      </w:r>
      <w:r>
        <w:rPr>
          <w:spacing w:val="0"/>
        </w:rPr>
        <w:instrText xml:space="preserve"> PAGEREF _Toc10386 \h </w:instrText>
      </w:r>
      <w:r>
        <w:rPr>
          <w:spacing w:val="0"/>
        </w:rPr>
        <w:fldChar w:fldCharType="separate"/>
      </w:r>
      <w:r>
        <w:rPr>
          <w:spacing w:val="0"/>
        </w:rPr>
        <w:t>6</w:t>
      </w:r>
      <w:r>
        <w:rPr>
          <w:spacing w:val="0"/>
        </w:rPr>
        <w:fldChar w:fldCharType="end"/>
      </w:r>
      <w:r>
        <w:rPr>
          <w:rFonts w:hint="eastAsia"/>
          <w:spacing w:val="0"/>
          <w:lang w:eastAsia="zh-CN"/>
        </w:rPr>
        <w:fldChar w:fldCharType="end"/>
      </w:r>
    </w:p>
    <w:p w14:paraId="6218DA4F">
      <w:pPr>
        <w:pStyle w:val="91"/>
        <w:bidi w:val="0"/>
        <w:rPr>
          <w:rFonts w:hint="eastAsia"/>
          <w:spacing w:val="0"/>
          <w:lang w:eastAsia="zh-CN"/>
        </w:rPr>
        <w:sectPr>
          <w:headerReference r:id="rId11" w:type="default"/>
          <w:footerReference r:id="rId13" w:type="default"/>
          <w:headerReference r:id="rId12" w:type="even"/>
          <w:pgSz w:w="11906" w:h="16838"/>
          <w:pgMar w:top="1928" w:right="1134" w:bottom="1134" w:left="1134" w:header="1418" w:footer="1134" w:gutter="284"/>
          <w:pgNumType w:fmt="upperRoman" w:start="1"/>
          <w:cols w:space="425" w:num="1"/>
          <w:formProt w:val="0"/>
          <w:docGrid w:type="lines" w:linePitch="312" w:charSpace="0"/>
        </w:sectPr>
      </w:pPr>
      <w:r>
        <w:rPr>
          <w:rFonts w:hint="eastAsia"/>
          <w:spacing w:val="0"/>
          <w:lang w:eastAsia="zh-CN"/>
        </w:rPr>
        <w:fldChar w:fldCharType="end"/>
      </w:r>
    </w:p>
    <w:bookmarkEnd w:id="21"/>
    <w:p w14:paraId="4D29AD80">
      <w:pPr>
        <w:pStyle w:val="89"/>
        <w:bidi w:val="0"/>
        <w:spacing w:before="560"/>
        <w:rPr>
          <w:rFonts w:hint="eastAsia"/>
          <w:lang w:eastAsia="zh-CN"/>
        </w:rPr>
      </w:pPr>
      <w:bookmarkStart w:id="22" w:name="_Toc21921"/>
      <w:bookmarkStart w:id="23" w:name="BookMark2"/>
      <w:r>
        <w:rPr>
          <w:rFonts w:hint="eastAsia"/>
          <w:spacing w:val="320"/>
          <w:lang w:eastAsia="zh-CN"/>
        </w:rPr>
        <w:t>前</w:t>
      </w:r>
      <w:r>
        <w:rPr>
          <w:rFonts w:hint="eastAsia"/>
          <w:lang w:eastAsia="zh-CN"/>
        </w:rPr>
        <w:t>言</w:t>
      </w:r>
      <w:bookmarkEnd w:id="22"/>
    </w:p>
    <w:p w14:paraId="3324D8FE">
      <w:pPr>
        <w:pStyle w:val="56"/>
        <w:bidi w:val="0"/>
        <w:rPr>
          <w:rFonts w:hint="eastAsia"/>
          <w:lang w:eastAsia="zh-CN"/>
        </w:rPr>
      </w:pPr>
      <w:r>
        <w:rPr>
          <w:rFonts w:hint="eastAsia"/>
          <w:lang w:eastAsia="zh-CN"/>
        </w:rPr>
        <w:t>本文件按照GB/T 1.1—2020《标准化工作导则  第1部分：标准化文件的结构和起草规则》的规定起草。</w:t>
      </w:r>
    </w:p>
    <w:p w14:paraId="2CDB335C">
      <w:pPr>
        <w:pStyle w:val="56"/>
        <w:bidi w:val="0"/>
        <w:rPr>
          <w:rFonts w:hint="eastAsia"/>
          <w:lang w:eastAsia="zh-CN"/>
        </w:rPr>
      </w:pPr>
      <w:r>
        <w:rPr>
          <w:rFonts w:hint="eastAsia"/>
          <w:lang w:eastAsia="zh-CN"/>
        </w:rPr>
        <w:t>请注意本文件的某些内容可能涉及专利。本文件的发布机构不承担识别专利的责任。</w:t>
      </w:r>
    </w:p>
    <w:p w14:paraId="245F2AB6">
      <w:pPr>
        <w:pStyle w:val="56"/>
        <w:bidi w:val="0"/>
        <w:rPr>
          <w:rFonts w:hint="eastAsia"/>
          <w:lang w:eastAsia="zh-CN"/>
        </w:rPr>
      </w:pPr>
      <w:r>
        <w:rPr>
          <w:rFonts w:hint="eastAsia"/>
          <w:lang w:eastAsia="zh-CN"/>
        </w:rPr>
        <w:t>本文件由</w:t>
      </w:r>
      <w:r>
        <w:rPr>
          <w:rFonts w:hint="eastAsia"/>
          <w:lang w:val="en-US" w:eastAsia="zh-CN"/>
        </w:rPr>
        <w:t>湖南省文化和旅游厅</w:t>
      </w:r>
      <w:r>
        <w:rPr>
          <w:rFonts w:hint="eastAsia"/>
          <w:lang w:eastAsia="zh-CN"/>
        </w:rPr>
        <w:t>提出。</w:t>
      </w:r>
      <w:bookmarkStart w:id="70" w:name="_GoBack"/>
      <w:bookmarkEnd w:id="70"/>
    </w:p>
    <w:p w14:paraId="61170324">
      <w:pPr>
        <w:pStyle w:val="56"/>
        <w:bidi w:val="0"/>
        <w:rPr>
          <w:rFonts w:hint="eastAsia"/>
          <w:lang w:eastAsia="zh-CN"/>
        </w:rPr>
      </w:pPr>
      <w:r>
        <w:rPr>
          <w:rFonts w:hint="eastAsia"/>
          <w:lang w:eastAsia="zh-CN"/>
        </w:rPr>
        <w:t>本文件由</w:t>
      </w:r>
      <w:r>
        <w:rPr>
          <w:rFonts w:hint="eastAsia"/>
          <w:lang w:val="en-US" w:eastAsia="zh-CN"/>
        </w:rPr>
        <w:t>湖南省旅游标准化技术委员会</w:t>
      </w:r>
      <w:r>
        <w:rPr>
          <w:rFonts w:hint="eastAsia"/>
          <w:lang w:eastAsia="zh-CN"/>
        </w:rPr>
        <w:t>归口。</w:t>
      </w:r>
    </w:p>
    <w:p w14:paraId="67964890">
      <w:pPr>
        <w:pStyle w:val="56"/>
        <w:bidi w:val="0"/>
        <w:rPr>
          <w:rFonts w:hint="eastAsia"/>
          <w:lang w:eastAsia="zh-CN"/>
        </w:rPr>
      </w:pPr>
      <w:r>
        <w:rPr>
          <w:rFonts w:hint="eastAsia"/>
          <w:lang w:eastAsia="zh-CN"/>
        </w:rPr>
        <w:t>本文件起草单位：湖南省乡村文化旅游促进会、中南林业科技大学。</w:t>
      </w:r>
    </w:p>
    <w:p w14:paraId="24C66F35">
      <w:pPr>
        <w:pStyle w:val="56"/>
        <w:bidi w:val="0"/>
        <w:rPr>
          <w:rFonts w:hint="eastAsia"/>
          <w:lang w:eastAsia="zh-CN"/>
        </w:rPr>
      </w:pPr>
      <w:r>
        <w:rPr>
          <w:rFonts w:hint="eastAsia"/>
          <w:lang w:eastAsia="zh-CN"/>
        </w:rPr>
        <w:t>本文件主要起草人：易和、陈存友、刘路云、王志远、陈宇、袁健杰。</w:t>
      </w:r>
    </w:p>
    <w:p w14:paraId="7C0D2C38">
      <w:pPr>
        <w:pStyle w:val="56"/>
        <w:bidi w:val="0"/>
        <w:rPr>
          <w:rFonts w:hint="eastAsia"/>
          <w:lang w:eastAsia="zh-CN"/>
        </w:rPr>
      </w:pPr>
    </w:p>
    <w:p w14:paraId="3150F180">
      <w:pPr>
        <w:pStyle w:val="56"/>
        <w:bidi w:val="0"/>
        <w:rPr>
          <w:rFonts w:hint="eastAsia"/>
          <w:lang w:eastAsia="zh-CN"/>
        </w:rPr>
        <w:sectPr>
          <w:pgSz w:w="11906" w:h="16838"/>
          <w:pgMar w:top="1928" w:right="1134" w:bottom="1134" w:left="1134" w:header="1418" w:footer="1134" w:gutter="284"/>
          <w:pgNumType w:fmt="upperRoman"/>
          <w:cols w:space="425" w:num="1"/>
          <w:formProt w:val="0"/>
          <w:docGrid w:type="lines" w:linePitch="312" w:charSpace="0"/>
        </w:sectPr>
      </w:pPr>
    </w:p>
    <w:bookmarkEnd w:id="23"/>
    <w:p w14:paraId="6A2D48DC">
      <w:pPr>
        <w:spacing w:line="20" w:lineRule="exact"/>
        <w:jc w:val="center"/>
        <w:rPr>
          <w:rFonts w:ascii="黑体" w:hAnsi="黑体" w:eastAsia="黑体"/>
          <w:sz w:val="32"/>
          <w:szCs w:val="32"/>
        </w:rPr>
      </w:pPr>
      <w:bookmarkStart w:id="24" w:name="BookMark4"/>
    </w:p>
    <w:p w14:paraId="52F1DB0B">
      <w:pPr>
        <w:spacing w:line="20" w:lineRule="exact"/>
        <w:jc w:val="center"/>
        <w:rPr>
          <w:rFonts w:ascii="黑体" w:hAnsi="黑体" w:eastAsia="黑体"/>
          <w:sz w:val="32"/>
          <w:szCs w:val="32"/>
        </w:rPr>
      </w:pPr>
    </w:p>
    <w:sdt>
      <w:sdtPr>
        <w:tag w:val="NEW_STAND_NAME"/>
        <w:id w:val="595910757"/>
        <w:lock w:val="sdtLocked"/>
        <w:placeholder>
          <w:docPart w:val="E29255EA8535446A8698BCEB2DD58785"/>
        </w:placeholder>
      </w:sdtPr>
      <w:sdtContent>
        <w:p w14:paraId="236D2325">
          <w:pPr>
            <w:pStyle w:val="177"/>
            <w:bidi w:val="0"/>
            <w:spacing w:before="313" w:beforeLines="100" w:after="687" w:afterLines="220"/>
          </w:pPr>
          <w:bookmarkStart w:id="25" w:name="NEW_STAND_NAME"/>
          <w:r>
            <w:rPr>
              <w:rFonts w:hint="eastAsia"/>
              <w:lang w:eastAsia="zh-CN"/>
            </w:rPr>
            <w:t>乡村旅游场景焕新建设与服务指南</w:t>
          </w:r>
        </w:p>
      </w:sdtContent>
    </w:sdt>
    <w:bookmarkEnd w:id="25"/>
    <w:p w14:paraId="2CE9F65E">
      <w:pPr>
        <w:pStyle w:val="104"/>
        <w:spacing w:before="312" w:after="312"/>
      </w:pPr>
      <w:bookmarkStart w:id="26" w:name="_Toc24884218"/>
      <w:bookmarkStart w:id="27" w:name="_Toc26648465"/>
      <w:bookmarkStart w:id="28" w:name="_Toc26718930"/>
      <w:bookmarkStart w:id="29" w:name="_Toc17233325"/>
      <w:bookmarkStart w:id="30" w:name="_Toc24884211"/>
      <w:bookmarkStart w:id="31" w:name="_Toc17233333"/>
      <w:bookmarkStart w:id="32" w:name="_Toc26986771"/>
      <w:bookmarkStart w:id="33" w:name="_Toc97191423"/>
      <w:bookmarkStart w:id="34" w:name="_Toc26986530"/>
      <w:bookmarkStart w:id="35" w:name="_Toc8472"/>
      <w:r>
        <w:rPr>
          <w:rFonts w:hint="eastAsia"/>
        </w:rPr>
        <w:t>范围</w:t>
      </w:r>
      <w:bookmarkEnd w:id="26"/>
      <w:bookmarkEnd w:id="27"/>
      <w:bookmarkEnd w:id="28"/>
      <w:bookmarkEnd w:id="29"/>
      <w:bookmarkEnd w:id="30"/>
      <w:bookmarkEnd w:id="31"/>
      <w:bookmarkEnd w:id="32"/>
      <w:bookmarkEnd w:id="33"/>
      <w:bookmarkEnd w:id="34"/>
      <w:bookmarkEnd w:id="35"/>
    </w:p>
    <w:p w14:paraId="5AC7A4BA">
      <w:pPr>
        <w:pStyle w:val="56"/>
        <w:ind w:firstLine="420"/>
        <w:rPr>
          <w:rFonts w:hint="eastAsia"/>
        </w:rPr>
      </w:pPr>
      <w:bookmarkStart w:id="36" w:name="_Toc17233334"/>
      <w:bookmarkStart w:id="37" w:name="_Toc17233326"/>
      <w:bookmarkStart w:id="38" w:name="_Toc26648466"/>
      <w:bookmarkStart w:id="39" w:name="_Toc24884219"/>
      <w:bookmarkStart w:id="40" w:name="_Toc24884212"/>
      <w:r>
        <w:rPr>
          <w:rFonts w:hint="eastAsia"/>
        </w:rPr>
        <w:t>本文件提供了乡村旅游场景焕新与服务的指导，以及主题凝练与空间重塑、业态创新与产品迭代、基础设施与服务设施升级、服务优化与营销创新、运营管理等方面的建议。</w:t>
      </w:r>
    </w:p>
    <w:p w14:paraId="269D4945">
      <w:pPr>
        <w:pStyle w:val="56"/>
        <w:ind w:firstLine="420"/>
      </w:pPr>
      <w:r>
        <w:rPr>
          <w:rFonts w:hint="eastAsia"/>
        </w:rPr>
        <w:t>本文件适用于乡村旅游场景的更新改造、服务提升与运营管理。</w:t>
      </w:r>
    </w:p>
    <w:p w14:paraId="7B109CBA">
      <w:pPr>
        <w:pStyle w:val="104"/>
        <w:spacing w:before="312" w:after="312"/>
      </w:pPr>
      <w:bookmarkStart w:id="41" w:name="_Toc26986772"/>
      <w:bookmarkStart w:id="42" w:name="_Toc26986531"/>
      <w:bookmarkStart w:id="43" w:name="_Toc97191424"/>
      <w:bookmarkStart w:id="44" w:name="_Toc8371"/>
      <w:bookmarkStart w:id="45" w:name="_Toc26718931"/>
      <w:r>
        <w:rPr>
          <w:rFonts w:hint="eastAsia"/>
        </w:rPr>
        <w:t>规范性引用文件</w:t>
      </w:r>
      <w:bookmarkEnd w:id="36"/>
      <w:bookmarkEnd w:id="37"/>
      <w:bookmarkEnd w:id="38"/>
      <w:bookmarkEnd w:id="39"/>
      <w:bookmarkEnd w:id="40"/>
      <w:bookmarkEnd w:id="41"/>
      <w:bookmarkEnd w:id="42"/>
      <w:bookmarkEnd w:id="43"/>
      <w:bookmarkEnd w:id="44"/>
      <w:bookmarkEnd w:id="45"/>
    </w:p>
    <w:sdt>
      <w:sdtPr>
        <w:rPr>
          <w:rFonts w:hint="eastAsia"/>
        </w:rPr>
        <w:id w:val="715848253"/>
        <w:placeholder>
          <w:docPart w:val="8AB26F249DB443D0B5D6F273C4C91EBD"/>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47598268">
          <w:pPr>
            <w:pStyle w:val="5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65016DC3">
      <w:pPr>
        <w:pStyle w:val="56"/>
        <w:ind w:firstLine="420"/>
        <w:rPr>
          <w:rFonts w:hint="eastAsia"/>
        </w:rPr>
      </w:pPr>
      <w:r>
        <w:rPr>
          <w:rFonts w:hint="eastAsia"/>
        </w:rPr>
        <w:t>GB/T 10001.1  公共信息图形符号 第1部分：通用符号</w:t>
      </w:r>
    </w:p>
    <w:p w14:paraId="23F95FC5">
      <w:pPr>
        <w:pStyle w:val="56"/>
        <w:ind w:firstLine="420"/>
        <w:rPr>
          <w:rFonts w:hint="eastAsia"/>
        </w:rPr>
      </w:pPr>
      <w:r>
        <w:rPr>
          <w:rFonts w:hint="eastAsia"/>
        </w:rPr>
        <w:t>GB/T 18973  旅游厕所质量等级的划分与评定</w:t>
      </w:r>
    </w:p>
    <w:p w14:paraId="33150A37">
      <w:pPr>
        <w:pStyle w:val="56"/>
        <w:ind w:firstLine="420"/>
        <w:rPr>
          <w:rFonts w:hint="eastAsia"/>
        </w:rPr>
      </w:pPr>
      <w:r>
        <w:rPr>
          <w:rFonts w:hint="eastAsia"/>
        </w:rPr>
        <w:t>GB/T 31384  旅游景区公共信息导向系统设置规范</w:t>
      </w:r>
    </w:p>
    <w:p w14:paraId="4FECACEB">
      <w:pPr>
        <w:pStyle w:val="56"/>
        <w:ind w:firstLine="420"/>
        <w:rPr>
          <w:rFonts w:hint="eastAsia"/>
        </w:rPr>
      </w:pPr>
      <w:r>
        <w:rPr>
          <w:rFonts w:hint="eastAsia"/>
        </w:rPr>
        <w:t>GB/T 31383  旅游景区游客中心设置与服务规范</w:t>
      </w:r>
    </w:p>
    <w:p w14:paraId="5E8329CE">
      <w:pPr>
        <w:pStyle w:val="56"/>
        <w:ind w:firstLine="420"/>
        <w:rPr>
          <w:rFonts w:hint="eastAsia"/>
        </w:rPr>
      </w:pPr>
      <w:r>
        <w:rPr>
          <w:rFonts w:hint="eastAsia"/>
        </w:rPr>
        <w:t>GB 50763  无障碍设计规范</w:t>
      </w:r>
    </w:p>
    <w:p w14:paraId="45B284BE">
      <w:pPr>
        <w:pStyle w:val="104"/>
        <w:spacing w:before="312" w:after="312"/>
      </w:pPr>
      <w:bookmarkStart w:id="46" w:name="_Toc97191425"/>
      <w:bookmarkStart w:id="47" w:name="_Toc14993"/>
      <w:r>
        <w:rPr>
          <w:rFonts w:hint="eastAsia"/>
          <w:szCs w:val="21"/>
        </w:rPr>
        <w:t>术语和定义</w:t>
      </w:r>
      <w:bookmarkEnd w:id="46"/>
      <w:bookmarkEnd w:id="47"/>
    </w:p>
    <w:sdt>
      <w:sdtPr>
        <w:id w:val="-1909835108"/>
        <w:placeholder>
          <w:docPart w:val="55B6A2045FF84569944B83F618A356CE"/>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6C9B50E7">
          <w:pPr>
            <w:pStyle w:val="56"/>
            <w:ind w:firstLine="420"/>
          </w:pPr>
          <w:bookmarkStart w:id="48" w:name="_Toc26986532"/>
          <w:bookmarkEnd w:id="48"/>
          <w:r>
            <w:rPr>
              <w:rFonts w:ascii="宋体" w:hAnsi="Times New Roman" w:eastAsia="宋体" w:cs="Times New Roman"/>
              <w:sz w:val="21"/>
              <w:lang w:val="en-US" w:eastAsia="zh-CN" w:bidi="ar-SA"/>
            </w:rPr>
            <w:t>下列术语和定义适用于本文件。</w:t>
          </w:r>
        </w:p>
      </w:sdtContent>
    </w:sdt>
    <w:p w14:paraId="47E2759B">
      <w:pPr>
        <w:pStyle w:val="223"/>
        <w:bidi w:val="0"/>
        <w:spacing w:after="0" w:afterLines="0"/>
        <w:ind w:left="420" w:hanging="420" w:hangingChars="200"/>
        <w:rPr>
          <w:rFonts w:hint="eastAsia" w:ascii="黑体" w:hAnsi="黑体" w:eastAsia="黑体" w:cs="黑体"/>
        </w:rPr>
      </w:pPr>
      <w:r>
        <w:rPr>
          <w:rFonts w:hint="eastAsia" w:ascii="黑体" w:hAnsi="黑体" w:eastAsia="黑体" w:cs="黑体"/>
        </w:rPr>
        <w:br w:type="textWrapping"/>
      </w:r>
      <w:r>
        <w:rPr>
          <w:rFonts w:hint="eastAsia" w:ascii="黑体" w:hAnsi="黑体" w:eastAsia="黑体" w:cs="黑体"/>
        </w:rPr>
        <w:t>乡村旅游  rural tourism</w:t>
      </w:r>
    </w:p>
    <w:p w14:paraId="40AABBAC">
      <w:pPr>
        <w:pStyle w:val="56"/>
        <w:ind w:firstLine="420"/>
        <w:rPr>
          <w:rFonts w:hint="eastAsia"/>
        </w:rPr>
      </w:pPr>
      <w:r>
        <w:rPr>
          <w:rFonts w:hint="eastAsia"/>
        </w:rPr>
        <w:t>以乡村环境为依托，乡村生产、乡村生活、乡村风貌及人文遗迹、民俗风情等为吸引物，满足旅游者观光、休闲、度假、体验、购物、娱乐、康养等需求的旅游活动。</w:t>
      </w:r>
    </w:p>
    <w:p w14:paraId="19D5B708">
      <w:pPr>
        <w:pStyle w:val="223"/>
        <w:bidi w:val="0"/>
        <w:spacing w:after="0" w:afterLines="0"/>
        <w:ind w:left="420" w:hanging="420" w:hangingChars="200"/>
        <w:rPr>
          <w:rFonts w:hint="eastAsia" w:ascii="黑体" w:hAnsi="黑体" w:eastAsia="黑体" w:cs="黑体"/>
        </w:rPr>
      </w:pPr>
      <w:r>
        <w:rPr>
          <w:rFonts w:hint="eastAsia" w:ascii="黑体" w:hAnsi="黑体" w:eastAsia="黑体" w:cs="黑体"/>
        </w:rPr>
        <w:br w:type="textWrapping"/>
      </w:r>
      <w:r>
        <w:rPr>
          <w:rFonts w:hint="eastAsia" w:ascii="黑体" w:hAnsi="黑体" w:eastAsia="黑体" w:cs="黑体"/>
        </w:rPr>
        <w:t>乡村旅游场景焕新‌  the revitalization of rural tourism scenes</w:t>
      </w:r>
    </w:p>
    <w:p w14:paraId="1D7B8CA1">
      <w:pPr>
        <w:pStyle w:val="56"/>
        <w:ind w:firstLine="420"/>
      </w:pPr>
      <w:r>
        <w:rPr>
          <w:rFonts w:hint="eastAsia"/>
        </w:rPr>
        <w:t>以乡村原生资源为基底，在地文化为核心，满足游客多样化、个性化及品质化旅游需求、保障原住居民生产生活权益为出发点，统筹存量与增量，合理挖掘资源潜力，提升利用质效，通过对乡村主题、空间、业态、产品、设施、服务、营销及运营等核心要素的协同创新，推动乡村旅游差异化发展与精细化管理，打造兼具乡土性、体验性、互动性、时尚性与文化性的新型乡村旅居生活空间。</w:t>
      </w:r>
    </w:p>
    <w:p w14:paraId="6F539BF0">
      <w:pPr>
        <w:pStyle w:val="104"/>
        <w:bidi w:val="0"/>
        <w:rPr>
          <w:rFonts w:hint="eastAsia"/>
        </w:rPr>
      </w:pPr>
      <w:bookmarkStart w:id="49" w:name="_Toc9943"/>
      <w:r>
        <w:rPr>
          <w:rFonts w:hint="eastAsia"/>
        </w:rPr>
        <w:t>总则</w:t>
      </w:r>
      <w:bookmarkEnd w:id="49"/>
    </w:p>
    <w:p w14:paraId="59A4746D">
      <w:pPr>
        <w:pStyle w:val="105"/>
        <w:bidi w:val="0"/>
        <w:rPr>
          <w:rFonts w:hint="eastAsia"/>
        </w:rPr>
      </w:pPr>
      <w:bookmarkStart w:id="50" w:name="_Toc26773"/>
      <w:r>
        <w:rPr>
          <w:rFonts w:hint="eastAsia"/>
        </w:rPr>
        <w:t>生态约束</w:t>
      </w:r>
      <w:bookmarkEnd w:id="50"/>
    </w:p>
    <w:p w14:paraId="4845AC69">
      <w:pPr>
        <w:pStyle w:val="56"/>
        <w:ind w:firstLine="420"/>
        <w:rPr>
          <w:rFonts w:hint="eastAsia"/>
        </w:rPr>
      </w:pPr>
      <w:r>
        <w:rPr>
          <w:rFonts w:hint="eastAsia"/>
        </w:rPr>
        <w:t>宜严守生态保护红线，宜严格避让生态敏感区域，宜控制声光污染，保护动植物栖息环境，宜落实森林防火与生态管护要求，实现乡村资源永续利用。</w:t>
      </w:r>
    </w:p>
    <w:p w14:paraId="028C6431">
      <w:pPr>
        <w:pStyle w:val="105"/>
        <w:bidi w:val="0"/>
        <w:rPr>
          <w:rFonts w:hint="eastAsia"/>
        </w:rPr>
      </w:pPr>
      <w:bookmarkStart w:id="51" w:name="_Toc13078"/>
      <w:r>
        <w:rPr>
          <w:rFonts w:hint="eastAsia"/>
        </w:rPr>
        <w:t>安全合规</w:t>
      </w:r>
      <w:bookmarkEnd w:id="51"/>
    </w:p>
    <w:p w14:paraId="1285C963">
      <w:pPr>
        <w:pStyle w:val="56"/>
        <w:ind w:firstLine="420"/>
        <w:rPr>
          <w:rFonts w:hint="eastAsia"/>
        </w:rPr>
      </w:pPr>
      <w:r>
        <w:rPr>
          <w:rFonts w:hint="eastAsia"/>
        </w:rPr>
        <w:t>宜坚守生态安全、建筑安全与文物保护安全底线。宜依法依规场景焕新，事前核实产权归属、评估建筑安全与文物保护要求，防范法律风险。</w:t>
      </w:r>
    </w:p>
    <w:p w14:paraId="54668A6D">
      <w:pPr>
        <w:pStyle w:val="105"/>
        <w:bidi w:val="0"/>
        <w:rPr>
          <w:rFonts w:hint="eastAsia"/>
        </w:rPr>
      </w:pPr>
      <w:bookmarkStart w:id="52" w:name="_Toc31253"/>
      <w:r>
        <w:rPr>
          <w:rFonts w:hint="eastAsia"/>
        </w:rPr>
        <w:t>集约高效</w:t>
      </w:r>
      <w:bookmarkEnd w:id="52"/>
    </w:p>
    <w:p w14:paraId="4B16A375">
      <w:pPr>
        <w:pStyle w:val="56"/>
        <w:ind w:firstLine="420"/>
        <w:rPr>
          <w:rFonts w:hint="eastAsia"/>
        </w:rPr>
      </w:pPr>
      <w:r>
        <w:rPr>
          <w:rFonts w:hint="eastAsia"/>
        </w:rPr>
        <w:t>宜坚持小投入、高回报的焕新导向，优先盘活存量资源，推行轻量化、低成本改造，不宜大拆大建与盲目投资，以最小合理投入实现综合效益最优，提升场景焕新效率。</w:t>
      </w:r>
    </w:p>
    <w:p w14:paraId="742879F0">
      <w:pPr>
        <w:pStyle w:val="105"/>
        <w:bidi w:val="0"/>
        <w:rPr>
          <w:rFonts w:hint="eastAsia"/>
        </w:rPr>
      </w:pPr>
      <w:bookmarkStart w:id="53" w:name="_Toc28800"/>
      <w:r>
        <w:rPr>
          <w:rFonts w:hint="eastAsia"/>
        </w:rPr>
        <w:t>协同创新</w:t>
      </w:r>
      <w:bookmarkEnd w:id="53"/>
    </w:p>
    <w:p w14:paraId="27B86E76">
      <w:pPr>
        <w:pStyle w:val="56"/>
        <w:ind w:firstLine="420"/>
        <w:rPr>
          <w:rFonts w:hint="eastAsia"/>
        </w:rPr>
      </w:pPr>
      <w:r>
        <w:rPr>
          <w:rFonts w:hint="eastAsia"/>
        </w:rPr>
        <w:t>宜统筹主题与空间、业态与产品、基础设施与服务设施、服务与营销及运营管理等要素一体化推进，形成系统集成、共建共享的发展格局，推动乡村文旅高质量发展。</w:t>
      </w:r>
    </w:p>
    <w:p w14:paraId="7BBCEB7F">
      <w:pPr>
        <w:pStyle w:val="104"/>
        <w:bidi w:val="0"/>
        <w:rPr>
          <w:rFonts w:hint="eastAsia"/>
        </w:rPr>
      </w:pPr>
      <w:bookmarkStart w:id="54" w:name="_Toc11834"/>
      <w:r>
        <w:rPr>
          <w:rFonts w:hint="eastAsia"/>
        </w:rPr>
        <w:t>主题凝练与空间重塑</w:t>
      </w:r>
      <w:bookmarkEnd w:id="54"/>
    </w:p>
    <w:p w14:paraId="1CA035A8">
      <w:pPr>
        <w:pStyle w:val="105"/>
        <w:bidi w:val="0"/>
        <w:rPr>
          <w:rFonts w:hint="eastAsia"/>
        </w:rPr>
      </w:pPr>
      <w:bookmarkStart w:id="55" w:name="_Toc18571"/>
      <w:r>
        <w:rPr>
          <w:rFonts w:hint="eastAsia"/>
        </w:rPr>
        <w:t>主题凝练</w:t>
      </w:r>
      <w:bookmarkEnd w:id="55"/>
    </w:p>
    <w:p w14:paraId="286A9908">
      <w:pPr>
        <w:pStyle w:val="165"/>
        <w:bidi w:val="0"/>
        <w:rPr>
          <w:rFonts w:hint="eastAsia"/>
        </w:rPr>
      </w:pPr>
      <w:r>
        <w:rPr>
          <w:rFonts w:hint="eastAsia"/>
        </w:rPr>
        <w:t>夯实资源基底。宜具备一定规模的旅游资源，覆盖地文水域、物候天象、建筑设施、历史遗迹、民俗活动、地方特产等类型，满足主题开发的内容承载需求。</w:t>
      </w:r>
    </w:p>
    <w:p w14:paraId="448CD7C4">
      <w:pPr>
        <w:pStyle w:val="165"/>
        <w:bidi w:val="0"/>
        <w:rPr>
          <w:rFonts w:hint="eastAsia"/>
        </w:rPr>
      </w:pPr>
      <w:r>
        <w:rPr>
          <w:rFonts w:hint="eastAsia"/>
        </w:rPr>
        <w:t>梳理资源禀赋。建议按生态本底、文化内核、产业基础三个维度，分类梳理资源并构建资源数据库，明确资源禀赋等级与开发潜力，为主题提炼提供数据支撑。</w:t>
      </w:r>
    </w:p>
    <w:p w14:paraId="5B78A37C">
      <w:pPr>
        <w:pStyle w:val="165"/>
        <w:bidi w:val="0"/>
        <w:rPr>
          <w:rFonts w:hint="eastAsia"/>
        </w:rPr>
      </w:pPr>
      <w:r>
        <w:rPr>
          <w:rFonts w:hint="eastAsia"/>
        </w:rPr>
        <w:t>凝练核心IP。宜立足在地文脉，尊重原住居民意愿，依托核心资源提炼具备独特性与高辨识度的主题IP，强化主题的可识别性与传播力。</w:t>
      </w:r>
    </w:p>
    <w:p w14:paraId="67755017">
      <w:pPr>
        <w:pStyle w:val="165"/>
        <w:bidi w:val="0"/>
        <w:rPr>
          <w:rFonts w:hint="eastAsia"/>
        </w:rPr>
      </w:pPr>
      <w:r>
        <w:rPr>
          <w:rFonts w:hint="eastAsia"/>
        </w:rPr>
        <w:t>试点验证优化。建议围绕核心主题打造主题微场景并开展试点测试，定向邀请目标客群实地体验并收集反馈，根据测试结果动态调整主题定位与内容设计。</w:t>
      </w:r>
    </w:p>
    <w:p w14:paraId="22CB4D3C">
      <w:pPr>
        <w:pStyle w:val="165"/>
        <w:bidi w:val="0"/>
        <w:rPr>
          <w:rFonts w:hint="eastAsia"/>
        </w:rPr>
      </w:pPr>
      <w:r>
        <w:rPr>
          <w:rFonts w:hint="eastAsia"/>
        </w:rPr>
        <w:t>构建主题矩阵。建议以核心主题为引领，延伸构建多层次、多维度的子主题矩阵，形成“核心主题引领、细分主题支撑”的完整主题体系，实现对不同客群的有效覆盖。</w:t>
      </w:r>
    </w:p>
    <w:p w14:paraId="2639D040">
      <w:pPr>
        <w:pStyle w:val="165"/>
        <w:bidi w:val="0"/>
        <w:rPr>
          <w:rFonts w:hint="eastAsia"/>
        </w:rPr>
      </w:pPr>
      <w:r>
        <w:rPr>
          <w:rFonts w:hint="eastAsia"/>
        </w:rPr>
        <w:t>动态维护优化。宜建立主题长效维护与动态优化机制，综合游客反馈与市场趋势，定期评估主题生命力，及时迭代，防范老化，持续保持市场吸引力。</w:t>
      </w:r>
    </w:p>
    <w:p w14:paraId="5F341384">
      <w:pPr>
        <w:pStyle w:val="105"/>
        <w:bidi w:val="0"/>
        <w:rPr>
          <w:rFonts w:hint="eastAsia"/>
        </w:rPr>
      </w:pPr>
      <w:bookmarkStart w:id="56" w:name="_Toc7114"/>
      <w:r>
        <w:rPr>
          <w:rFonts w:hint="eastAsia"/>
        </w:rPr>
        <w:t>空间重塑</w:t>
      </w:r>
      <w:bookmarkEnd w:id="56"/>
    </w:p>
    <w:p w14:paraId="58E7FD8C">
      <w:pPr>
        <w:pStyle w:val="165"/>
        <w:bidi w:val="0"/>
        <w:rPr>
          <w:rFonts w:hint="eastAsia"/>
        </w:rPr>
      </w:pPr>
      <w:r>
        <w:rPr>
          <w:rFonts w:hint="eastAsia"/>
        </w:rPr>
        <w:t>保护风貌肌理。宜保留乡村原有风貌、传统街巷格局与空间肌理，宜深度植入农耕、民俗文化基因，营造人与自然和谐共生的乡村意境。</w:t>
      </w:r>
    </w:p>
    <w:p w14:paraId="7E14AF89">
      <w:pPr>
        <w:pStyle w:val="165"/>
        <w:bidi w:val="0"/>
        <w:rPr>
          <w:rFonts w:hint="eastAsia"/>
        </w:rPr>
      </w:pPr>
      <w:r>
        <w:rPr>
          <w:rFonts w:hint="eastAsia"/>
        </w:rPr>
        <w:t>活用乡土材料。提倡低成本建设、改造与运维，提倡利用乡土材料打造特色景观，如木、石、夯土等，凸显在地特色；提倡废旧物料创意化利用，如废旧轮胎、老陶罐、旧建筑构件等。</w:t>
      </w:r>
    </w:p>
    <w:p w14:paraId="487FB218">
      <w:pPr>
        <w:pStyle w:val="165"/>
        <w:bidi w:val="0"/>
        <w:rPr>
          <w:rFonts w:hint="eastAsia"/>
        </w:rPr>
      </w:pPr>
      <w:r>
        <w:rPr>
          <w:rFonts w:hint="eastAsia"/>
        </w:rPr>
        <w:t>盘活存量空间。宜优先盘活存量空间，如闲置宅基地、废弃校舍、老晒场等，打造主客共享公共空间；宜实施“轻资产、微改造”策略，推动闲置资源向文旅空间创造性转化。</w:t>
      </w:r>
    </w:p>
    <w:p w14:paraId="102A6266">
      <w:pPr>
        <w:pStyle w:val="165"/>
        <w:bidi w:val="0"/>
        <w:rPr>
          <w:rFonts w:hint="eastAsia"/>
        </w:rPr>
      </w:pPr>
      <w:r>
        <w:rPr>
          <w:rFonts w:hint="eastAsia"/>
        </w:rPr>
        <w:t>构建融合空间。鼓励依据主题定位打造多功能融合空间，如住宿、餐饮、文创、社交、体验等。鼓励推广弹性设计，提升空间利用效率与适配性。</w:t>
      </w:r>
    </w:p>
    <w:p w14:paraId="48476DAB">
      <w:pPr>
        <w:pStyle w:val="165"/>
        <w:bidi w:val="0"/>
        <w:rPr>
          <w:rFonts w:hint="eastAsia"/>
        </w:rPr>
      </w:pPr>
      <w:r>
        <w:rPr>
          <w:rFonts w:hint="eastAsia"/>
        </w:rPr>
        <w:t>营造文化空间。鼓励提炼农耕文化、地方非遗、自然生态、古村历史等特色资源，通过建筑形态、景观场景及活动策划，打造主题鲜明、可感可触的沉浸文化空间。</w:t>
      </w:r>
    </w:p>
    <w:p w14:paraId="14FE2655">
      <w:pPr>
        <w:pStyle w:val="165"/>
        <w:bidi w:val="0"/>
        <w:rPr>
          <w:rFonts w:hint="eastAsia"/>
        </w:rPr>
      </w:pPr>
      <w:r>
        <w:rPr>
          <w:rFonts w:hint="eastAsia"/>
        </w:rPr>
        <w:t>打造微美空间。宜结合现代游客审美与体验需求，提升场地美学营造水平，打造氛围感强、传播属性突出的“小而美”微空间与打卡点，如微果园、微花园、微菜园、微书屋、创意装置等。</w:t>
      </w:r>
    </w:p>
    <w:p w14:paraId="71D9656E">
      <w:pPr>
        <w:pStyle w:val="104"/>
        <w:bidi w:val="0"/>
        <w:rPr>
          <w:rFonts w:hint="eastAsia"/>
        </w:rPr>
      </w:pPr>
      <w:bookmarkStart w:id="57" w:name="_Toc9577"/>
      <w:r>
        <w:rPr>
          <w:rFonts w:hint="eastAsia"/>
        </w:rPr>
        <w:t>业态创新与产品迭代</w:t>
      </w:r>
      <w:bookmarkEnd w:id="57"/>
    </w:p>
    <w:p w14:paraId="15B9081D">
      <w:pPr>
        <w:pStyle w:val="105"/>
        <w:bidi w:val="0"/>
        <w:rPr>
          <w:rFonts w:hint="eastAsia"/>
        </w:rPr>
      </w:pPr>
      <w:bookmarkStart w:id="58" w:name="_Toc172"/>
      <w:r>
        <w:rPr>
          <w:rFonts w:hint="eastAsia"/>
        </w:rPr>
        <w:t>业态创新</w:t>
      </w:r>
      <w:bookmarkEnd w:id="58"/>
    </w:p>
    <w:p w14:paraId="58DFBFBA">
      <w:pPr>
        <w:pStyle w:val="165"/>
        <w:bidi w:val="0"/>
        <w:rPr>
          <w:rFonts w:hint="eastAsia"/>
        </w:rPr>
      </w:pPr>
      <w:r>
        <w:rPr>
          <w:rFonts w:hint="eastAsia"/>
        </w:rPr>
        <w:t>打造小微业态。鼓励聚焦游客微度假、深度体验需求，打造“小民宿、小村咖、小工坊、小农庄、小营地、小博物馆”六大特色小微业态，以轻量化投入实现微业态的大价值。</w:t>
      </w:r>
    </w:p>
    <w:p w14:paraId="27EF6813">
      <w:pPr>
        <w:pStyle w:val="165"/>
        <w:bidi w:val="0"/>
        <w:rPr>
          <w:rFonts w:hint="eastAsia"/>
        </w:rPr>
      </w:pPr>
      <w:r>
        <w:rPr>
          <w:rFonts w:hint="eastAsia"/>
        </w:rPr>
        <w:t>开发融合业态。鼓励打破产业边界，开发农文旅融合业态，如农事体验课、农产品文创工坊、电商直播体验营、民俗节庆体验、乡村艺术驻地等，拓展产业增值空间。</w:t>
      </w:r>
    </w:p>
    <w:p w14:paraId="75015024">
      <w:pPr>
        <w:pStyle w:val="165"/>
        <w:bidi w:val="0"/>
        <w:rPr>
          <w:rFonts w:hint="eastAsia"/>
        </w:rPr>
      </w:pPr>
      <w:r>
        <w:rPr>
          <w:rFonts w:hint="eastAsia"/>
        </w:rPr>
        <w:t>拓展研学业态。鼓励依托自然生态、农耕资源及乡土建筑，开发寓教于乐的乡村教育场景，如自然科学研学基地、劳动教育实践营地、乡村建筑研学课堂等，适配中小学生研学与亲子教育需求。</w:t>
      </w:r>
    </w:p>
    <w:p w14:paraId="07C21307">
      <w:pPr>
        <w:pStyle w:val="165"/>
        <w:bidi w:val="0"/>
        <w:rPr>
          <w:rFonts w:hint="eastAsia"/>
        </w:rPr>
      </w:pPr>
      <w:r>
        <w:rPr>
          <w:rFonts w:hint="eastAsia"/>
        </w:rPr>
        <w:t>创新数字业态。鼓励发展乡村数字文旅业态，开发“数字+实景”复合体验、VR农耕体验、AI服饰换装等互动产品。鼓励建设乡村直播基地、培育本土主播，推广农特产品与乡村旅游线路。</w:t>
      </w:r>
    </w:p>
    <w:p w14:paraId="77934FD3">
      <w:pPr>
        <w:pStyle w:val="165"/>
        <w:bidi w:val="0"/>
        <w:rPr>
          <w:rFonts w:hint="eastAsia"/>
        </w:rPr>
      </w:pPr>
      <w:r>
        <w:rPr>
          <w:rFonts w:hint="eastAsia"/>
        </w:rPr>
        <w:t>激活夜间业态。鼓励依托林地、废弃矿坑、闲置滩涂等，合规建设星空露营基地，结合在地文化开发夜间文旅场景，如提灯夜游、星空市集、民俗夜市等，延长停留时间。</w:t>
      </w:r>
    </w:p>
    <w:p w14:paraId="659FE2F7">
      <w:pPr>
        <w:pStyle w:val="105"/>
        <w:bidi w:val="0"/>
        <w:rPr>
          <w:rFonts w:hint="eastAsia"/>
        </w:rPr>
      </w:pPr>
      <w:bookmarkStart w:id="59" w:name="_Toc16372"/>
      <w:r>
        <w:rPr>
          <w:rFonts w:hint="eastAsia"/>
        </w:rPr>
        <w:t>产品迭代</w:t>
      </w:r>
      <w:bookmarkEnd w:id="59"/>
    </w:p>
    <w:p w14:paraId="061A023F">
      <w:pPr>
        <w:pStyle w:val="165"/>
        <w:bidi w:val="0"/>
        <w:rPr>
          <w:rFonts w:hint="eastAsia"/>
        </w:rPr>
      </w:pPr>
      <w:r>
        <w:rPr>
          <w:rFonts w:hint="eastAsia"/>
        </w:rPr>
        <w:t>深耕潮流产品。鼓励打造青年向乡村潮流生活场景，鼓励开发“露营+”系列产品，如派对、音乐会、文创市集等，鼓励建设乡村宠物友好营地，精准适配年轻群体休闲需求。</w:t>
      </w:r>
    </w:p>
    <w:p w14:paraId="6BDC36E7">
      <w:pPr>
        <w:pStyle w:val="165"/>
        <w:bidi w:val="0"/>
        <w:rPr>
          <w:rFonts w:hint="eastAsia"/>
        </w:rPr>
      </w:pPr>
      <w:r>
        <w:rPr>
          <w:rFonts w:hint="eastAsia"/>
        </w:rPr>
        <w:t>焕新亲子产品。建议升级亲子家庭专属产品，如萌宠互动乐园、非遗亲子手作营、自然夜探营地、亲子主题民宿套餐等，构建全链条亲子度假体验。</w:t>
      </w:r>
    </w:p>
    <w:p w14:paraId="10B9BC26">
      <w:pPr>
        <w:pStyle w:val="165"/>
        <w:bidi w:val="0"/>
        <w:rPr>
          <w:rFonts w:hint="eastAsia"/>
        </w:rPr>
      </w:pPr>
      <w:r>
        <w:rPr>
          <w:rFonts w:hint="eastAsia"/>
        </w:rPr>
        <w:t>培育康养产品。面向短途客群，宜开发森林疗愈、田园冥想、五感花园等轻体验产品；面向中长期客群，宜推出康养民宿、食疗养生餐、康养体验等产品，满足深度休闲需求。</w:t>
      </w:r>
    </w:p>
    <w:p w14:paraId="11F392BC">
      <w:pPr>
        <w:pStyle w:val="165"/>
        <w:bidi w:val="0"/>
        <w:rPr>
          <w:rFonts w:hint="eastAsia"/>
        </w:rPr>
      </w:pPr>
      <w:r>
        <w:rPr>
          <w:rFonts w:hint="eastAsia"/>
        </w:rPr>
        <w:t>转化景观产品。鼓励推动农业产业、技术、装备与场景等的景观化转型，培育农业大地景观、景观农业、创意农业、节庆农业等新产品，丰富乡村旅游供给。</w:t>
      </w:r>
    </w:p>
    <w:p w14:paraId="03FF92AB">
      <w:pPr>
        <w:pStyle w:val="165"/>
        <w:bidi w:val="0"/>
        <w:rPr>
          <w:rFonts w:hint="eastAsia"/>
        </w:rPr>
      </w:pPr>
      <w:r>
        <w:rPr>
          <w:rFonts w:hint="eastAsia"/>
        </w:rPr>
        <w:t>做活节事产品。建议结合资源禀赋与关键时间节点，打造常态化主题节事产品，如节气农俗体验季、开镰节、赏花节、采摘节、捕鱼节、乡村火把节及非遗文化周等。</w:t>
      </w:r>
    </w:p>
    <w:p w14:paraId="398480EE">
      <w:pPr>
        <w:pStyle w:val="165"/>
        <w:bidi w:val="0"/>
        <w:rPr>
          <w:rFonts w:hint="eastAsia"/>
        </w:rPr>
      </w:pPr>
      <w:r>
        <w:rPr>
          <w:rFonts w:hint="eastAsia"/>
        </w:rPr>
        <w:t>健全迭代机制。宜建立产品全生命周期管理机制，定期梳理运营数据，淘汰老化产品，持续开发新产品，保持产品新鲜度与市场竞争力。</w:t>
      </w:r>
    </w:p>
    <w:p w14:paraId="7C390EF6">
      <w:pPr>
        <w:pStyle w:val="104"/>
        <w:bidi w:val="0"/>
        <w:rPr>
          <w:rFonts w:hint="eastAsia"/>
        </w:rPr>
      </w:pPr>
      <w:bookmarkStart w:id="60" w:name="_Toc8855"/>
      <w:r>
        <w:rPr>
          <w:rFonts w:hint="eastAsia"/>
        </w:rPr>
        <w:t>基础设施与服务设施升级</w:t>
      </w:r>
      <w:bookmarkEnd w:id="60"/>
    </w:p>
    <w:p w14:paraId="19E6F7DC">
      <w:pPr>
        <w:pStyle w:val="105"/>
        <w:bidi w:val="0"/>
        <w:rPr>
          <w:rFonts w:hint="eastAsia"/>
        </w:rPr>
      </w:pPr>
      <w:bookmarkStart w:id="61" w:name="_Toc7721"/>
      <w:r>
        <w:rPr>
          <w:rFonts w:hint="eastAsia"/>
        </w:rPr>
        <w:t>基础设施</w:t>
      </w:r>
      <w:bookmarkEnd w:id="61"/>
    </w:p>
    <w:p w14:paraId="41BAF6F6">
      <w:pPr>
        <w:pStyle w:val="165"/>
        <w:bidi w:val="0"/>
        <w:rPr>
          <w:rFonts w:hint="eastAsia"/>
        </w:rPr>
      </w:pPr>
      <w:r>
        <w:rPr>
          <w:rFonts w:hint="eastAsia"/>
        </w:rPr>
        <w:t>完善交通设施。宜打通外部交通“最后一公里”，解决外部交通衔接不畅问题；宜秉持生态化理念改造内部道路，宜因地制宜建设生态停车场，减少对自然环境的破坏。</w:t>
      </w:r>
    </w:p>
    <w:p w14:paraId="0E5E92C0">
      <w:pPr>
        <w:pStyle w:val="165"/>
        <w:bidi w:val="0"/>
        <w:rPr>
          <w:rFonts w:hint="eastAsia"/>
        </w:rPr>
      </w:pPr>
      <w:r>
        <w:rPr>
          <w:rFonts w:hint="eastAsia"/>
        </w:rPr>
        <w:t>升级公用设施。建议统筹推进供水、供电、排污、通信等管网升级改造，保障水电稳定供应；建议管线入地，减少对乡村风貌的干扰。</w:t>
      </w:r>
    </w:p>
    <w:p w14:paraId="78DAD8E9">
      <w:pPr>
        <w:pStyle w:val="165"/>
        <w:bidi w:val="0"/>
        <w:rPr>
          <w:rFonts w:hint="eastAsia"/>
        </w:rPr>
      </w:pPr>
      <w:r>
        <w:rPr>
          <w:rFonts w:hint="eastAsia"/>
        </w:rPr>
        <w:t>‌覆盖智慧网络。宜在村落、景点、停车场、游客中心等公共区域，铺设5G网络，开通免费Wi-Fi；宜依托树木、建筑等隐蔽布设天线，避免破坏乡村风貌。</w:t>
      </w:r>
    </w:p>
    <w:p w14:paraId="534EE6DE">
      <w:pPr>
        <w:pStyle w:val="165"/>
        <w:bidi w:val="0"/>
        <w:rPr>
          <w:rFonts w:hint="eastAsia"/>
        </w:rPr>
      </w:pPr>
      <w:r>
        <w:rPr>
          <w:rFonts w:hint="eastAsia"/>
        </w:rPr>
        <w:t>筑牢防护设施。宜在临崖、临水、陡坡等危险地段，增设与环境协调的防护护栏；宜在露营地、研学基地等人员密集区域，按规范配置消防设施，完善应急处置空间与疏散通道。</w:t>
      </w:r>
    </w:p>
    <w:p w14:paraId="4A1950B7">
      <w:pPr>
        <w:pStyle w:val="165"/>
        <w:bidi w:val="0"/>
        <w:rPr>
          <w:rFonts w:hint="eastAsia"/>
        </w:rPr>
      </w:pPr>
      <w:r>
        <w:rPr>
          <w:rFonts w:hint="eastAsia"/>
        </w:rPr>
        <w:t>美化环境设施。鼓励在道路两侧、河岸沿线、建筑周边、闲置边角地等零散空间，实施乡村环境美化工程，播撒乡土草籽、种植本土花木，打造乡野植物景观。</w:t>
      </w:r>
    </w:p>
    <w:p w14:paraId="5CA71782">
      <w:pPr>
        <w:pStyle w:val="105"/>
        <w:bidi w:val="0"/>
        <w:rPr>
          <w:rFonts w:hint="eastAsia"/>
        </w:rPr>
      </w:pPr>
      <w:bookmarkStart w:id="62" w:name="_Toc29234"/>
      <w:r>
        <w:rPr>
          <w:rFonts w:hint="eastAsia"/>
        </w:rPr>
        <w:t>服务设施</w:t>
      </w:r>
      <w:bookmarkEnd w:id="62"/>
    </w:p>
    <w:p w14:paraId="1836258E">
      <w:pPr>
        <w:pStyle w:val="165"/>
        <w:bidi w:val="0"/>
        <w:rPr>
          <w:rFonts w:hint="eastAsia"/>
        </w:rPr>
      </w:pPr>
      <w:r>
        <w:rPr>
          <w:rFonts w:hint="eastAsia"/>
        </w:rPr>
        <w:t>改造游客中心。鼓励依托村口存量建筑、闲置空间改造小型乡村游客中心，宜提供景点导览、咨询投诉、行李寄存、医疗服务点、物流快递等集成服务，游客中心符合GB/T 31383的要求。</w:t>
      </w:r>
    </w:p>
    <w:p w14:paraId="0588493E">
      <w:pPr>
        <w:pStyle w:val="165"/>
        <w:bidi w:val="0"/>
        <w:rPr>
          <w:rFonts w:hint="eastAsia"/>
        </w:rPr>
      </w:pPr>
      <w:r>
        <w:rPr>
          <w:rFonts w:hint="eastAsia"/>
        </w:rPr>
        <w:t>升级旅游厕所。鼓励推动旅游厕所的功能多元化升级，鼓励外观造型与建筑材料契合乡村风貌，鼓励采用生态环保处理技术，减少对环境的污染，旅游厕所符合 GB/T 18973的要求。</w:t>
      </w:r>
    </w:p>
    <w:p w14:paraId="6CC438EA">
      <w:pPr>
        <w:pStyle w:val="165"/>
        <w:bidi w:val="0"/>
        <w:rPr>
          <w:rFonts w:hint="eastAsia"/>
        </w:rPr>
      </w:pPr>
      <w:r>
        <w:rPr>
          <w:rFonts w:hint="eastAsia"/>
        </w:rPr>
        <w:t>完善标识系统。宜按照GB/T 10001.1和GB/T 31384的规定，完善全景图、导览图、位置标识、导向标识、说明标识、安全标识等；宜采用地域特色乡土材料制作，实现与乡村风貌的有机融合。</w:t>
      </w:r>
    </w:p>
    <w:p w14:paraId="1011EA55">
      <w:pPr>
        <w:pStyle w:val="165"/>
        <w:bidi w:val="0"/>
        <w:rPr>
          <w:rFonts w:hint="eastAsia"/>
        </w:rPr>
      </w:pPr>
      <w:r>
        <w:rPr>
          <w:rFonts w:hint="eastAsia"/>
        </w:rPr>
        <w:t>完善无障碍设施。建议在景区入口、游客中心、厕所、住宿场所等区域进行无障碍改造，配套提供轮椅、婴儿车租赁服务，设置无障碍专用座位，无障碍设施符合GB 50763的要求。</w:t>
      </w:r>
    </w:p>
    <w:p w14:paraId="36D853EB">
      <w:pPr>
        <w:pStyle w:val="165"/>
        <w:bidi w:val="0"/>
        <w:rPr>
          <w:rFonts w:hint="eastAsia"/>
        </w:rPr>
      </w:pPr>
      <w:r>
        <w:rPr>
          <w:rFonts w:hint="eastAsia"/>
        </w:rPr>
        <w:t>‌‌提质住宿餐饮。鼓励推动乡村住宿与餐饮业态提质升级，引导乡村民宿、农家旅馆、乡村餐饮等融合本土建筑与民俗元素，兼顾现代旅居舒适性与服务标准化，提升游客体验品质。</w:t>
      </w:r>
    </w:p>
    <w:p w14:paraId="2CBC7CBE">
      <w:pPr>
        <w:pStyle w:val="165"/>
        <w:bidi w:val="0"/>
        <w:rPr>
          <w:rFonts w:hint="eastAsia"/>
        </w:rPr>
      </w:pPr>
      <w:r>
        <w:rPr>
          <w:rFonts w:hint="eastAsia"/>
        </w:rPr>
        <w:t>‌‌推广便民支付。建议在民宿、餐厅、商铺、景点售票处等场所推广电子支付方式；建议张贴清晰规范的支付标识，提升交易便捷度。</w:t>
      </w:r>
    </w:p>
    <w:p w14:paraId="68FEB76B">
      <w:pPr>
        <w:pStyle w:val="104"/>
        <w:bidi w:val="0"/>
        <w:rPr>
          <w:rFonts w:hint="eastAsia"/>
        </w:rPr>
      </w:pPr>
      <w:bookmarkStart w:id="63" w:name="_Toc20039"/>
      <w:r>
        <w:rPr>
          <w:rFonts w:hint="eastAsia"/>
        </w:rPr>
        <w:t>服务优化与营销创新</w:t>
      </w:r>
      <w:bookmarkEnd w:id="63"/>
    </w:p>
    <w:p w14:paraId="6E8E1068">
      <w:pPr>
        <w:pStyle w:val="105"/>
        <w:bidi w:val="0"/>
        <w:rPr>
          <w:rFonts w:hint="eastAsia"/>
        </w:rPr>
      </w:pPr>
      <w:bookmarkStart w:id="64" w:name="_Toc27690"/>
      <w:r>
        <w:rPr>
          <w:rFonts w:hint="eastAsia"/>
        </w:rPr>
        <w:t>服务优化</w:t>
      </w:r>
      <w:bookmarkEnd w:id="64"/>
    </w:p>
    <w:p w14:paraId="7334B177">
      <w:pPr>
        <w:pStyle w:val="165"/>
        <w:bidi w:val="0"/>
        <w:rPr>
          <w:rFonts w:hint="eastAsia"/>
        </w:rPr>
      </w:pPr>
      <w:r>
        <w:rPr>
          <w:rFonts w:hint="eastAsia"/>
        </w:rPr>
        <w:t>健全服务标准。宜建立覆盖餐饮、住宿、导览、购物、体验等全环节的服务标准与操作规范。</w:t>
      </w:r>
    </w:p>
    <w:p w14:paraId="5548D871">
      <w:pPr>
        <w:pStyle w:val="165"/>
        <w:bidi w:val="0"/>
        <w:rPr>
          <w:rFonts w:hint="eastAsia"/>
        </w:rPr>
      </w:pPr>
      <w:r>
        <w:rPr>
          <w:rFonts w:hint="eastAsia"/>
        </w:rPr>
        <w:t>精准匹配需求。宜建立常态化游客需求调研机制，通过问卷、点评、访谈等方式收集游客反馈，针对不同年龄、兴趣、出行方式的客群，匹配定制化服务方案，满足差异化需求。</w:t>
      </w:r>
    </w:p>
    <w:p w14:paraId="57F07816">
      <w:pPr>
        <w:pStyle w:val="165"/>
        <w:bidi w:val="0"/>
        <w:rPr>
          <w:rFonts w:hint="eastAsia"/>
        </w:rPr>
      </w:pPr>
      <w:r>
        <w:rPr>
          <w:rFonts w:hint="eastAsia"/>
        </w:rPr>
        <w:t>完善智慧服务。鼓励依托数字技术，完善智慧服务体系，如提供线上预约、智能导览、无接触支付、智能客服等，提升服务效率与体验便捷度。</w:t>
      </w:r>
    </w:p>
    <w:p w14:paraId="0E16DEF4">
      <w:pPr>
        <w:pStyle w:val="165"/>
        <w:bidi w:val="0"/>
        <w:rPr>
          <w:rFonts w:hint="eastAsia"/>
        </w:rPr>
      </w:pPr>
      <w:r>
        <w:rPr>
          <w:rFonts w:hint="eastAsia"/>
        </w:rPr>
        <w:t>健全售后保障。宜制定旅游商品、农特产品、文创产品等退换货政策；宜在游客中心设置专属退换货服务窗口，简化办理流程，保障游客合法权益。</w:t>
      </w:r>
    </w:p>
    <w:p w14:paraId="129072E1">
      <w:pPr>
        <w:pStyle w:val="165"/>
        <w:bidi w:val="0"/>
        <w:rPr>
          <w:rFonts w:hint="eastAsia"/>
        </w:rPr>
      </w:pPr>
      <w:r>
        <w:rPr>
          <w:rFonts w:hint="eastAsia"/>
        </w:rPr>
        <w:t>规范诚信经营。宜建立乡村旅游诚信经营档案，对商户服务质量、收费标准、诚信状况进行动态记录与公开评价，引导经营主体诚信经营。</w:t>
      </w:r>
    </w:p>
    <w:p w14:paraId="256B8E44">
      <w:pPr>
        <w:pStyle w:val="105"/>
        <w:bidi w:val="0"/>
        <w:rPr>
          <w:rFonts w:hint="eastAsia"/>
        </w:rPr>
      </w:pPr>
      <w:bookmarkStart w:id="65" w:name="_Toc3079"/>
      <w:r>
        <w:rPr>
          <w:rFonts w:hint="eastAsia"/>
        </w:rPr>
        <w:t>营销创新</w:t>
      </w:r>
      <w:bookmarkEnd w:id="65"/>
    </w:p>
    <w:p w14:paraId="5CACF3FD">
      <w:pPr>
        <w:pStyle w:val="165"/>
        <w:bidi w:val="0"/>
        <w:rPr>
          <w:rFonts w:hint="eastAsia"/>
        </w:rPr>
      </w:pPr>
      <w:r>
        <w:rPr>
          <w:rFonts w:hint="eastAsia"/>
        </w:rPr>
        <w:t>达人种草引流。鼓励招募青年主理人入驻，通过个人IP输出乡村旅居生活内容，形成流量集聚效应；鼓励邀请旅游博主及达人体验采风，定制发布体验内容，扩大宣传影响力。</w:t>
      </w:r>
    </w:p>
    <w:p w14:paraId="4AB724D7">
      <w:pPr>
        <w:pStyle w:val="165"/>
        <w:bidi w:val="0"/>
        <w:rPr>
          <w:rFonts w:hint="eastAsia"/>
        </w:rPr>
      </w:pPr>
      <w:r>
        <w:rPr>
          <w:rFonts w:hint="eastAsia"/>
        </w:rPr>
        <w:t>新媒矩阵传播。宜搭建主流社交媒体官方账号矩阵，定期推送美景、美食、主题活动等内容，激发用户自发分享；宜面向游客征集原创短视频与图文作品，按传播数据给予配套奖励。</w:t>
      </w:r>
    </w:p>
    <w:p w14:paraId="1082D567">
      <w:pPr>
        <w:pStyle w:val="165"/>
        <w:bidi w:val="0"/>
        <w:rPr>
          <w:rFonts w:hint="eastAsia"/>
        </w:rPr>
      </w:pPr>
      <w:r>
        <w:rPr>
          <w:rFonts w:hint="eastAsia"/>
        </w:rPr>
        <w:t>精准投放获客‌。鼓励依托大数据分析游客画像与消费偏好，针对亲子、情侣、银发、研学等细分客群，在主流平台定向推送适配产品套餐，通过精准投放提升获客效率。</w:t>
      </w:r>
    </w:p>
    <w:p w14:paraId="5CE02A16">
      <w:pPr>
        <w:pStyle w:val="165"/>
        <w:bidi w:val="0"/>
        <w:rPr>
          <w:rFonts w:hint="eastAsia"/>
        </w:rPr>
      </w:pPr>
      <w:r>
        <w:rPr>
          <w:rFonts w:hint="eastAsia"/>
        </w:rPr>
        <w:t>拓展线上渠道。鼓励在主流旅游电商平台上完善景点、餐饮、住宿、体验等产品矩阵，打造特色场景化直播间，建立常态化直播机制，打通“内容种草—线上转化”消费闭环</w:t>
      </w:r>
    </w:p>
    <w:p w14:paraId="3D242128">
      <w:pPr>
        <w:pStyle w:val="165"/>
        <w:bidi w:val="0"/>
        <w:rPr>
          <w:rFonts w:hint="eastAsia"/>
        </w:rPr>
      </w:pPr>
      <w:r>
        <w:rPr>
          <w:rFonts w:hint="eastAsia"/>
        </w:rPr>
        <w:t>强化节庆营销。鼓励结合乡村特色与季节节点，举办年俗文化节、丰收节、摄影大赛等特色主题活动，以节庆为载体激活IP热度，形成稳定的周期性引流效应。</w:t>
      </w:r>
    </w:p>
    <w:p w14:paraId="1BACCDAC">
      <w:pPr>
        <w:pStyle w:val="165"/>
        <w:bidi w:val="0"/>
        <w:rPr>
          <w:rFonts w:hint="eastAsia"/>
        </w:rPr>
      </w:pPr>
      <w:r>
        <w:rPr>
          <w:rFonts w:hint="eastAsia"/>
        </w:rPr>
        <w:t>强化文化记忆。鼓励挖掘本地文化资源，提炼核心文化符号，开发卡通形象、主题表情包等内容；鼓励推出联名盲盒、手作材料包等轻量化文创产品，构建“可带走的文化记忆”，延伸营销链条。</w:t>
      </w:r>
    </w:p>
    <w:p w14:paraId="16A0BCFB">
      <w:pPr>
        <w:pStyle w:val="104"/>
        <w:bidi w:val="0"/>
        <w:rPr>
          <w:rFonts w:hint="eastAsia"/>
        </w:rPr>
      </w:pPr>
      <w:bookmarkStart w:id="66" w:name="_Toc20494"/>
      <w:r>
        <w:rPr>
          <w:rFonts w:hint="eastAsia"/>
        </w:rPr>
        <w:t>运营管理</w:t>
      </w:r>
      <w:bookmarkEnd w:id="66"/>
    </w:p>
    <w:p w14:paraId="7FA2B4B0">
      <w:pPr>
        <w:pStyle w:val="162"/>
        <w:bidi w:val="0"/>
        <w:rPr>
          <w:rFonts w:hint="eastAsia"/>
        </w:rPr>
      </w:pPr>
      <w:r>
        <w:rPr>
          <w:rFonts w:hint="eastAsia"/>
        </w:rPr>
        <w:t>创新运营模式。鼓励探索“村集体、运营企业、村民”多元协同运营模式，引入专业运营机构开展整体托管、合作联营，实现轻资产、专业化、市场化运营。</w:t>
      </w:r>
    </w:p>
    <w:p w14:paraId="7FD32D78">
      <w:pPr>
        <w:pStyle w:val="162"/>
        <w:bidi w:val="0"/>
        <w:rPr>
          <w:rFonts w:hint="eastAsia"/>
        </w:rPr>
      </w:pPr>
      <w:r>
        <w:rPr>
          <w:rFonts w:hint="eastAsia"/>
        </w:rPr>
        <w:t>推行运营前置。宜坚持运营前置理念，将其贯穿主题定位、空间设计、业态布局与产品策划等场景焕新全过程，促进建成空间“有人管、管得好、可持续”，避免“重建轻管”问题。</w:t>
      </w:r>
    </w:p>
    <w:p w14:paraId="06599236">
      <w:pPr>
        <w:pStyle w:val="162"/>
        <w:bidi w:val="0"/>
        <w:rPr>
          <w:rFonts w:hint="eastAsia"/>
        </w:rPr>
      </w:pPr>
      <w:r>
        <w:rPr>
          <w:rFonts w:hint="eastAsia"/>
        </w:rPr>
        <w:t>强化内容运营。鼓励围绕主题IP构建常态化的内容运营机制，持续策划农事节庆、非遗展演、主理人故事等多元传播内容，保持话题热度与曝光频次，提升游客复游率。</w:t>
      </w:r>
    </w:p>
    <w:p w14:paraId="426A6FEF">
      <w:pPr>
        <w:pStyle w:val="162"/>
        <w:bidi w:val="0"/>
        <w:rPr>
          <w:rFonts w:hint="eastAsia"/>
        </w:rPr>
      </w:pPr>
      <w:r>
        <w:rPr>
          <w:rFonts w:hint="eastAsia"/>
        </w:rPr>
        <w:t>实施数字运营。宜搭建智慧运营管理平台，实时监测客流、消费、游客满意度等核心运营数据，依托数据分析优化产品供给、人员调配与服务改进，实现运营决策数据化、日常管理精细化。</w:t>
      </w:r>
    </w:p>
    <w:p w14:paraId="27CEC6BE">
      <w:pPr>
        <w:pStyle w:val="162"/>
        <w:bidi w:val="0"/>
      </w:pPr>
      <w:r>
        <w:rPr>
          <w:rFonts w:hint="eastAsia"/>
        </w:rPr>
        <w:t>健全联农机制。鼓励探索联农带农利益联结机制，通过入股分红、劳务用工、业态经营等方式吸纳村民参与运营、共享发展收益；鼓励将村民满意度纳入运营考核评价体系，实现共建共享、共同富裕。</w:t>
      </w:r>
    </w:p>
    <w:p w14:paraId="3267EAC1">
      <w:pPr>
        <w:pStyle w:val="56"/>
        <w:ind w:firstLine="420"/>
      </w:pPr>
    </w:p>
    <w:bookmarkEnd w:id="24"/>
    <w:p w14:paraId="46AECC5A">
      <w:pPr>
        <w:pStyle w:val="56"/>
        <w:ind w:firstLine="420"/>
        <w:sectPr>
          <w:pgSz w:w="11906" w:h="16838"/>
          <w:pgMar w:top="1928" w:right="1134" w:bottom="1134" w:left="1134" w:header="1418" w:footer="1134" w:gutter="284"/>
          <w:pgNumType w:start="1"/>
          <w:cols w:space="425" w:num="1"/>
          <w:formProt w:val="0"/>
          <w:docGrid w:type="lines" w:linePitch="312" w:charSpace="0"/>
        </w:sectPr>
      </w:pPr>
      <w:bookmarkStart w:id="67" w:name="BookMark6"/>
    </w:p>
    <w:p w14:paraId="43925736">
      <w:pPr>
        <w:pStyle w:val="63"/>
        <w:bidi w:val="0"/>
        <w:rPr>
          <w:rFonts w:hint="eastAsia"/>
          <w:lang w:eastAsia="zh-CN"/>
        </w:rPr>
      </w:pPr>
      <w:bookmarkStart w:id="68" w:name="_Toc10386"/>
      <w:r>
        <w:rPr>
          <w:rFonts w:hint="eastAsia"/>
          <w:spacing w:val="105"/>
          <w:lang w:eastAsia="zh-CN"/>
        </w:rPr>
        <w:t>参考文</w:t>
      </w:r>
      <w:r>
        <w:rPr>
          <w:rFonts w:hint="eastAsia"/>
          <w:lang w:eastAsia="zh-CN"/>
        </w:rPr>
        <w:t>献</w:t>
      </w:r>
      <w:bookmarkEnd w:id="68"/>
    </w:p>
    <w:p w14:paraId="564B6591">
      <w:pPr>
        <w:pStyle w:val="56"/>
        <w:bidi w:val="0"/>
        <w:rPr>
          <w:rFonts w:hint="eastAsia"/>
          <w:lang w:eastAsia="zh-CN"/>
        </w:rPr>
      </w:pPr>
      <w:r>
        <w:rPr>
          <w:rFonts w:hint="eastAsia"/>
          <w:lang w:eastAsia="zh-CN"/>
        </w:rPr>
        <w:t>[1] GB 3095  环境空气质量标准</w:t>
      </w:r>
    </w:p>
    <w:p w14:paraId="23D3EECF">
      <w:pPr>
        <w:pStyle w:val="56"/>
        <w:bidi w:val="0"/>
        <w:rPr>
          <w:rFonts w:hint="eastAsia"/>
          <w:lang w:eastAsia="zh-CN"/>
        </w:rPr>
      </w:pPr>
      <w:r>
        <w:rPr>
          <w:rFonts w:hint="eastAsia"/>
          <w:lang w:eastAsia="zh-CN"/>
        </w:rPr>
        <w:t>[2] GB 3096  声环境质量标准</w:t>
      </w:r>
    </w:p>
    <w:p w14:paraId="530B1532">
      <w:pPr>
        <w:pStyle w:val="56"/>
        <w:bidi w:val="0"/>
        <w:rPr>
          <w:rFonts w:hint="eastAsia"/>
          <w:lang w:eastAsia="zh-CN"/>
        </w:rPr>
      </w:pPr>
      <w:r>
        <w:rPr>
          <w:rFonts w:hint="eastAsia"/>
          <w:lang w:eastAsia="zh-CN"/>
        </w:rPr>
        <w:t>[3] GB 3838  地表水环境质量标准</w:t>
      </w:r>
    </w:p>
    <w:p w14:paraId="7C3A485B">
      <w:pPr>
        <w:pStyle w:val="56"/>
        <w:bidi w:val="0"/>
        <w:rPr>
          <w:rFonts w:hint="eastAsia"/>
          <w:lang w:eastAsia="zh-CN"/>
        </w:rPr>
      </w:pPr>
      <w:r>
        <w:rPr>
          <w:rFonts w:hint="eastAsia"/>
          <w:lang w:eastAsia="zh-CN"/>
        </w:rPr>
        <w:t>[4] GB/T 26356  旅游购物场所服务质量要求</w:t>
      </w:r>
    </w:p>
    <w:p w14:paraId="606D3CCB">
      <w:pPr>
        <w:pStyle w:val="56"/>
        <w:bidi w:val="0"/>
        <w:rPr>
          <w:rFonts w:hint="eastAsia"/>
          <w:lang w:eastAsia="zh-CN"/>
        </w:rPr>
      </w:pPr>
      <w:r>
        <w:rPr>
          <w:rFonts w:hint="eastAsia"/>
          <w:lang w:eastAsia="zh-CN"/>
        </w:rPr>
        <w:t>[5] GB/T 20001.7-2017  标准编写规则 第7部分：指南标准</w:t>
      </w:r>
    </w:p>
    <w:p w14:paraId="5BF04289">
      <w:pPr>
        <w:pStyle w:val="56"/>
        <w:bidi w:val="0"/>
        <w:rPr>
          <w:rFonts w:hint="eastAsia"/>
          <w:lang w:eastAsia="zh-CN"/>
        </w:rPr>
      </w:pPr>
      <w:r>
        <w:rPr>
          <w:rFonts w:hint="eastAsia"/>
          <w:lang w:eastAsia="zh-CN"/>
        </w:rPr>
        <w:t>[6] LB/T 014  旅游景区讲解服务规范</w:t>
      </w:r>
    </w:p>
    <w:p w14:paraId="2FCED02D">
      <w:pPr>
        <w:pStyle w:val="56"/>
        <w:bidi w:val="0"/>
        <w:rPr>
          <w:rFonts w:hint="eastAsia"/>
          <w:lang w:eastAsia="zh-CN"/>
        </w:rPr>
      </w:pPr>
      <w:r>
        <w:rPr>
          <w:rFonts w:hint="eastAsia"/>
          <w:lang w:eastAsia="zh-CN"/>
        </w:rPr>
        <w:t>[7] LB/T 034  景区最大承载量核定导则</w:t>
      </w:r>
    </w:p>
    <w:p w14:paraId="003B6D16">
      <w:pPr>
        <w:pStyle w:val="56"/>
        <w:bidi w:val="0"/>
        <w:rPr>
          <w:rFonts w:hint="eastAsia"/>
          <w:lang w:eastAsia="zh-CN"/>
        </w:rPr>
      </w:pPr>
      <w:r>
        <w:rPr>
          <w:rFonts w:hint="eastAsia"/>
          <w:lang w:eastAsia="zh-CN"/>
        </w:rPr>
        <w:t>[8] DB43/T 3443-2025 湖南省乡村旅游重点村镇建设规范</w:t>
      </w:r>
    </w:p>
    <w:p w14:paraId="2682C5C7">
      <w:pPr>
        <w:pStyle w:val="56"/>
        <w:bidi w:val="0"/>
        <w:rPr>
          <w:rFonts w:hint="eastAsia"/>
          <w:lang w:eastAsia="zh-CN"/>
        </w:rPr>
      </w:pPr>
      <w:r>
        <w:rPr>
          <w:rFonts w:hint="eastAsia"/>
          <w:lang w:eastAsia="zh-CN"/>
        </w:rPr>
        <w:t>[9] 文化和旅游部《旅游强国建设“十五五”规划》:文旅资源发〔2026〕42号 2026.07.06</w:t>
      </w:r>
    </w:p>
    <w:p w14:paraId="01FBE7E6">
      <w:pPr>
        <w:pStyle w:val="56"/>
        <w:bidi w:val="0"/>
        <w:rPr>
          <w:rFonts w:hint="eastAsia"/>
          <w:lang w:eastAsia="zh-CN"/>
        </w:rPr>
      </w:pPr>
      <w:r>
        <w:rPr>
          <w:rFonts w:hint="eastAsia"/>
          <w:lang w:eastAsia="zh-CN"/>
        </w:rPr>
        <w:t>[10]文化和旅游部《文化和旅游发展“十五五”规划》：文旅政法发〔2026〕60号 2026.09.11</w:t>
      </w:r>
    </w:p>
    <w:bookmarkEnd w:id="67"/>
    <w:p w14:paraId="759991DF">
      <w:pPr>
        <w:pStyle w:val="56"/>
        <w:ind w:firstLine="0" w:firstLineChars="0"/>
        <w:jc w:val="center"/>
        <w:rPr>
          <w:rFonts w:hint="eastAsia" w:eastAsia="宋体"/>
          <w:lang w:eastAsia="zh-CN"/>
        </w:rPr>
      </w:pPr>
      <w:bookmarkStart w:id="69" w:name="BookMark8"/>
      <w:r>
        <w:rPr>
          <w:rFonts w:hint="eastAsia" w:eastAsia="宋体"/>
          <w:lang w:eastAsia="zh-CN"/>
        </w:rPr>
        <w:drawing>
          <wp:inline distT="0" distB="0" distL="114300" distR="114300">
            <wp:extent cx="1485900" cy="317500"/>
            <wp:effectExtent l="0" t="0" r="7620" b="2540"/>
            <wp:docPr id="1" name="图片 1" descr="1"/>
            <wp:cNvGraphicFramePr/>
            <a:graphic xmlns:a="http://schemas.openxmlformats.org/drawingml/2006/main">
              <a:graphicData uri="http://schemas.openxmlformats.org/drawingml/2006/picture">
                <pic:pic xmlns:pic="http://schemas.openxmlformats.org/drawingml/2006/picture">
                  <pic:nvPicPr>
                    <pic:cNvPr id="1" name="图片 1" descr="1"/>
                    <pic:cNvPicPr/>
                  </pic:nvPicPr>
                  <pic:blipFill>
                    <a:blip r:embed="rId16"/>
                    <a:stretch>
                      <a:fillRect/>
                    </a:stretch>
                  </pic:blipFill>
                  <pic:spPr>
                    <a:xfrm>
                      <a:off x="0" y="0"/>
                      <a:ext cx="1485900" cy="317500"/>
                    </a:xfrm>
                    <a:prstGeom prst="rect">
                      <a:avLst/>
                    </a:prstGeom>
                  </pic:spPr>
                </pic:pic>
              </a:graphicData>
            </a:graphic>
          </wp:inline>
        </w:drawing>
      </w:r>
      <w:bookmarkEnd w:id="69"/>
    </w:p>
    <w:sectPr>
      <w:pgSz w:w="11906" w:h="16838"/>
      <w:pgMar w:top="1928" w:right="1134" w:bottom="1134" w:left="1134" w:header="1418" w:footer="1134" w:gutter="284"/>
      <w:pgNumType w:fmt="decimal"/>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B185D">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B8E62">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3ADB3">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7A98D">
    <w:pPr>
      <w:pStyle w:val="52"/>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E5D1E">
    <w:pPr>
      <w:pStyle w:val="18"/>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7FE68">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79E48">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BB15D">
    <w:pPr>
      <w:pStyle w:val="61"/>
    </w:pPr>
    <w:r>
      <w:fldChar w:fldCharType="begin"/>
    </w:r>
    <w:r>
      <w:instrText xml:space="preserve"> STYLEREF  标准文件_文件编号  \* MERGEFORMAT </w:instrText>
    </w:r>
    <w:r>
      <w:fldChar w:fldCharType="separate"/>
    </w:r>
    <w:r>
      <w:t>DB 43/T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4B4FA">
    <w:pPr>
      <w:pStyle w:val="18"/>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 43/T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attachedTemplate r:id="rId1"/>
  <w:documentProtection w:edit="forms" w:enforcement="1" w:cryptProviderType="rsaFull" w:cryptAlgorithmClass="hash" w:cryptAlgorithmType="typeAny" w:cryptAlgorithmSid="4" w:cryptSpinCount="0" w:hash="rYprFUlCVagy8JIm1t0QM1ZsMxw=" w:salt="kucPjJAqtnMOajsYD7p7vQ=="/>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A14C7E"/>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E23EA"/>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429D5"/>
    <w:rsid w:val="00942BF1"/>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5A3E"/>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982"/>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3457"/>
    <w:rsid w:val="00D352A2"/>
    <w:rsid w:val="00D3660F"/>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F11"/>
    <w:rsid w:val="00E01138"/>
    <w:rsid w:val="00E02DFB"/>
    <w:rsid w:val="00E030F9"/>
    <w:rsid w:val="00E0311A"/>
    <w:rsid w:val="00E03138"/>
    <w:rsid w:val="00E06404"/>
    <w:rsid w:val="00E065D2"/>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E0350"/>
    <w:rsid w:val="00EE0719"/>
    <w:rsid w:val="00EE0E80"/>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1420A1F"/>
    <w:rsid w:val="0C1B0BC7"/>
    <w:rsid w:val="301A268A"/>
    <w:rsid w:val="47CA63D4"/>
    <w:rsid w:val="5CBF52B7"/>
    <w:rsid w:val="5FA8056B"/>
    <w:rsid w:val="71752972"/>
    <w:rsid w:val="74A14C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autoRedefine/>
    <w:unhideWhenUsed/>
    <w:qFormat/>
    <w:uiPriority w:val="39"/>
    <w:pPr>
      <w:ind w:left="839"/>
    </w:pPr>
    <w:rPr>
      <w:rFonts w:ascii="宋体"/>
    </w:rPr>
  </w:style>
  <w:style w:type="paragraph" w:styleId="15">
    <w:name w:val="toc 3"/>
    <w:basedOn w:val="1"/>
    <w:next w:val="1"/>
    <w:autoRedefine/>
    <w:unhideWhenUsed/>
    <w:qFormat/>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autoRedefine/>
    <w:unhideWhenUsed/>
    <w:qFormat/>
    <w:uiPriority w:val="39"/>
    <w:rPr>
      <w:rFonts w:ascii="宋体"/>
    </w:rPr>
  </w:style>
  <w:style w:type="paragraph" w:styleId="20">
    <w:name w:val="toc 4"/>
    <w:basedOn w:val="1"/>
    <w:next w:val="1"/>
    <w:autoRedefine/>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autoRedefine/>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autoRedefine/>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标题 1 字符"/>
    <w:link w:val="2"/>
    <w:qFormat/>
    <w:uiPriority w:val="0"/>
    <w:rPr>
      <w:b/>
      <w:bCs/>
      <w:kern w:val="44"/>
      <w:sz w:val="44"/>
      <w:szCs w:val="44"/>
    </w:rPr>
  </w:style>
  <w:style w:type="character" w:customStyle="1" w:styleId="35">
    <w:name w:val="标题 2 字符"/>
    <w:link w:val="3"/>
    <w:qFormat/>
    <w:uiPriority w:val="0"/>
    <w:rPr>
      <w:rFonts w:ascii="Arial" w:hAnsi="Arial" w:eastAsia="黑体"/>
      <w:b/>
      <w:bCs/>
      <w:kern w:val="2"/>
      <w:sz w:val="32"/>
      <w:szCs w:val="32"/>
    </w:rPr>
  </w:style>
  <w:style w:type="character" w:customStyle="1" w:styleId="36">
    <w:name w:val="标题 3 字符"/>
    <w:link w:val="4"/>
    <w:qFormat/>
    <w:uiPriority w:val="0"/>
    <w:rPr>
      <w:b/>
      <w:bCs/>
      <w:kern w:val="2"/>
      <w:sz w:val="32"/>
      <w:szCs w:val="32"/>
    </w:rPr>
  </w:style>
  <w:style w:type="character" w:customStyle="1" w:styleId="37">
    <w:name w:val="标题 4 字符"/>
    <w:link w:val="5"/>
    <w:qFormat/>
    <w:uiPriority w:val="0"/>
    <w:rPr>
      <w:rFonts w:ascii="Arial" w:hAnsi="Arial" w:eastAsia="黑体"/>
      <w:b/>
      <w:bCs/>
      <w:kern w:val="2"/>
      <w:sz w:val="28"/>
      <w:szCs w:val="28"/>
    </w:rPr>
  </w:style>
  <w:style w:type="character" w:customStyle="1" w:styleId="38">
    <w:name w:val="标题 5 字符"/>
    <w:link w:val="6"/>
    <w:qFormat/>
    <w:uiPriority w:val="0"/>
    <w:rPr>
      <w:b/>
      <w:bCs/>
      <w:kern w:val="2"/>
      <w:sz w:val="28"/>
      <w:szCs w:val="28"/>
    </w:rPr>
  </w:style>
  <w:style w:type="character" w:customStyle="1" w:styleId="39">
    <w:name w:val="标题 6 字符"/>
    <w:link w:val="7"/>
    <w:qFormat/>
    <w:uiPriority w:val="0"/>
    <w:rPr>
      <w:rFonts w:ascii="Arial" w:hAnsi="Arial" w:eastAsia="黑体"/>
      <w:b/>
      <w:bCs/>
      <w:kern w:val="2"/>
      <w:sz w:val="24"/>
      <w:szCs w:val="24"/>
    </w:rPr>
  </w:style>
  <w:style w:type="character" w:customStyle="1" w:styleId="40">
    <w:name w:val="标题 7 字符"/>
    <w:link w:val="8"/>
    <w:qFormat/>
    <w:uiPriority w:val="0"/>
    <w:rPr>
      <w:b/>
      <w:bCs/>
      <w:kern w:val="2"/>
      <w:sz w:val="24"/>
      <w:szCs w:val="24"/>
    </w:rPr>
  </w:style>
  <w:style w:type="character" w:customStyle="1" w:styleId="41">
    <w:name w:val="标题 8 字符"/>
    <w:link w:val="9"/>
    <w:qFormat/>
    <w:uiPriority w:val="0"/>
    <w:rPr>
      <w:rFonts w:ascii="Arial" w:hAnsi="Arial" w:eastAsia="黑体"/>
      <w:kern w:val="2"/>
      <w:sz w:val="24"/>
      <w:szCs w:val="24"/>
    </w:rPr>
  </w:style>
  <w:style w:type="character" w:customStyle="1" w:styleId="42">
    <w:name w:val="标题 9 字符"/>
    <w:link w:val="10"/>
    <w:qFormat/>
    <w:uiPriority w:val="0"/>
    <w:rPr>
      <w:rFonts w:ascii="Arial" w:hAnsi="Arial" w:eastAsia="黑体"/>
      <w:kern w:val="2"/>
      <w:sz w:val="21"/>
      <w:szCs w:val="21"/>
    </w:rPr>
  </w:style>
  <w:style w:type="character" w:customStyle="1" w:styleId="43">
    <w:name w:val="页眉 字符"/>
    <w:link w:val="18"/>
    <w:qFormat/>
    <w:uiPriority w:val="99"/>
    <w:rPr>
      <w:kern w:val="2"/>
      <w:sz w:val="18"/>
      <w:szCs w:val="18"/>
    </w:rPr>
  </w:style>
  <w:style w:type="character" w:customStyle="1" w:styleId="44">
    <w:name w:val="页脚 字符"/>
    <w:link w:val="17"/>
    <w:qFormat/>
    <w:uiPriority w:val="99"/>
    <w:rPr>
      <w:rFonts w:ascii="宋体"/>
      <w:kern w:val="2"/>
      <w:sz w:val="18"/>
      <w:szCs w:val="18"/>
    </w:rPr>
  </w:style>
  <w:style w:type="character" w:customStyle="1" w:styleId="45">
    <w:name w:val="批注框文本 字符"/>
    <w:link w:val="16"/>
    <w:semiHidden/>
    <w:qFormat/>
    <w:uiPriority w:val="99"/>
    <w:rPr>
      <w:kern w:val="2"/>
      <w:sz w:val="18"/>
      <w:szCs w:val="18"/>
    </w:rPr>
  </w:style>
  <w:style w:type="paragraph" w:styleId="46">
    <w:name w:val="Quote"/>
    <w:basedOn w:val="1"/>
    <w:next w:val="1"/>
    <w:link w:val="47"/>
    <w:qFormat/>
    <w:uiPriority w:val="29"/>
    <w:rPr>
      <w:i/>
      <w:iCs/>
      <w:color w:val="000000"/>
    </w:rPr>
  </w:style>
  <w:style w:type="character" w:customStyle="1" w:styleId="47">
    <w:name w:val="引用 字符"/>
    <w:link w:val="46"/>
    <w:qFormat/>
    <w:uiPriority w:val="29"/>
    <w:rPr>
      <w:i/>
      <w:iCs/>
      <w:color w:val="000000"/>
      <w:kern w:val="2"/>
      <w:sz w:val="21"/>
      <w:szCs w:val="21"/>
    </w:rPr>
  </w:style>
  <w:style w:type="character" w:customStyle="1" w:styleId="48">
    <w:name w:val="标题 字符"/>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Subtle Reference"/>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autoRedefine/>
    <w:semiHidden/>
    <w:qFormat/>
    <w:uiPriority w:val="0"/>
    <w:pPr>
      <w:adjustRightInd/>
      <w:spacing w:line="240" w:lineRule="auto"/>
      <w:jc w:val="left"/>
    </w:pPr>
    <w:rPr>
      <w:bCs/>
      <w:iCs/>
    </w:rPr>
  </w:style>
  <w:style w:type="paragraph" w:customStyle="1" w:styleId="143">
    <w:name w:val="目录 31"/>
    <w:basedOn w:val="1"/>
    <w:next w:val="1"/>
    <w:autoRedefine/>
    <w:semiHidden/>
    <w:qFormat/>
    <w:uiPriority w:val="0"/>
    <w:pPr>
      <w:spacing w:line="240" w:lineRule="auto"/>
    </w:pPr>
    <w:rPr>
      <w:rFonts w:ascii="宋体" w:hAnsi="宋体"/>
      <w:iCs/>
    </w:rPr>
  </w:style>
  <w:style w:type="paragraph" w:customStyle="1" w:styleId="144">
    <w:name w:val="目录 41"/>
    <w:basedOn w:val="1"/>
    <w:next w:val="1"/>
    <w:autoRedefine/>
    <w:semiHidden/>
    <w:qFormat/>
    <w:uiPriority w:val="0"/>
    <w:pPr>
      <w:adjustRightInd/>
      <w:spacing w:line="240" w:lineRule="auto"/>
      <w:jc w:val="left"/>
    </w:pPr>
  </w:style>
  <w:style w:type="paragraph" w:customStyle="1" w:styleId="145">
    <w:name w:val="目录 51"/>
    <w:basedOn w:val="1"/>
    <w:next w:val="1"/>
    <w:autoRedefine/>
    <w:semiHidden/>
    <w:qFormat/>
    <w:uiPriority w:val="0"/>
    <w:pPr>
      <w:spacing w:line="240" w:lineRule="auto"/>
    </w:pPr>
    <w:rPr>
      <w:rFonts w:ascii="宋体" w:hAnsi="宋体"/>
    </w:rPr>
  </w:style>
  <w:style w:type="paragraph" w:customStyle="1" w:styleId="146">
    <w:name w:val="目录 61"/>
    <w:basedOn w:val="1"/>
    <w:next w:val="1"/>
    <w:autoRedefine/>
    <w:semiHidden/>
    <w:qFormat/>
    <w:uiPriority w:val="0"/>
    <w:pPr>
      <w:adjustRightInd/>
      <w:spacing w:line="240" w:lineRule="auto"/>
      <w:jc w:val="left"/>
    </w:pPr>
  </w:style>
  <w:style w:type="paragraph" w:customStyle="1" w:styleId="147">
    <w:name w:val="目录 71"/>
    <w:basedOn w:val="146"/>
    <w:autoRedefine/>
    <w:semiHidden/>
    <w:qFormat/>
    <w:uiPriority w:val="0"/>
    <w:pPr>
      <w:ind w:left="1260"/>
    </w:pPr>
  </w:style>
  <w:style w:type="paragraph" w:customStyle="1" w:styleId="148">
    <w:name w:val="目录 81"/>
    <w:basedOn w:val="147"/>
    <w:autoRedefine/>
    <w:semiHidden/>
    <w:qFormat/>
    <w:uiPriority w:val="0"/>
    <w:pPr>
      <w:ind w:left="1470"/>
    </w:pPr>
  </w:style>
  <w:style w:type="paragraph" w:customStyle="1" w:styleId="149">
    <w:name w:val="目录 91"/>
    <w:basedOn w:val="148"/>
    <w:autoRedefine/>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wrap="around"/>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wrap="around"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qFormat/>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rPr>
      <w:rFonts w:ascii="Times New Roman"/>
    </w:rPr>
  </w:style>
  <w:style w:type="paragraph" w:customStyle="1" w:styleId="189">
    <w:name w:val="标准文件_一级项2"/>
    <w:basedOn w:val="56"/>
    <w:qFormat/>
    <w:uiPriority w:val="0"/>
    <w:pPr>
      <w:numPr>
        <w:ilvl w:val="0"/>
        <w:numId w:val="31"/>
      </w:numPr>
      <w:spacing w:line="300" w:lineRule="exact"/>
      <w:ind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wrap="around" w:vAnchor="page" w:hAnchor="page" w:x="1419" w:y="14097"/>
    </w:pPr>
  </w:style>
  <w:style w:type="paragraph" w:customStyle="1" w:styleId="194">
    <w:name w:val="其他实施日期"/>
    <w:basedOn w:val="154"/>
    <w:qFormat/>
    <w:uiPriority w:val="0"/>
    <w:pPr>
      <w:framePr w:w="3997" w:h="471" w:hRule="exact" w:vSpace="181" w:wrap="around" w:vAnchor="page" w:hAnchor="page" w:x="7089" w:y="14097"/>
    </w:pPr>
  </w:style>
  <w:style w:type="paragraph" w:customStyle="1" w:styleId="195">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spacing w:before="57"/>
    </w:pPr>
    <w:rPr>
      <w:sz w:val="21"/>
    </w:rPr>
  </w:style>
  <w:style w:type="paragraph" w:customStyle="1" w:styleId="197">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uiPriority w:val="0"/>
    <w:rPr>
      <w:rFonts w:ascii="黑体" w:eastAsia="黑体"/>
      <w:spacing w:val="85"/>
      <w:w w:val="100"/>
      <w:position w:val="3"/>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glossaryDocument" Target="glossary/document.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jpeg"/><Relationship Id="rId15" Type="http://schemas.openxmlformats.org/officeDocument/2006/relationships/image" Target="media/image1.tiff"/><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E29255EA8535446A8698BCEB2DD58785"/>
        <w:style w:val=""/>
        <w:category>
          <w:name w:val="常规"/>
          <w:gallery w:val="placeholder"/>
        </w:category>
        <w:types>
          <w:type w:val="bbPlcHdr"/>
        </w:types>
        <w:behaviors>
          <w:behavior w:val="content"/>
        </w:behaviors>
        <w:description w:val=""/>
        <w:guid w:val="{16E02438-0576-4C29-8C55-007E4B9A5563}"/>
      </w:docPartPr>
      <w:docPartBody>
        <w:p w14:paraId="16763475">
          <w:pPr>
            <w:pStyle w:val="5"/>
          </w:pPr>
          <w:r>
            <w:rPr>
              <w:rStyle w:val="4"/>
              <w:rFonts w:hint="eastAsia"/>
            </w:rPr>
            <w:t>单击或点击此处输入文字。</w:t>
          </w:r>
        </w:p>
      </w:docPartBody>
    </w:docPart>
    <w:docPart>
      <w:docPartPr>
        <w:name w:val="8AB26F249DB443D0B5D6F273C4C91EBD"/>
        <w:style w:val=""/>
        <w:category>
          <w:name w:val="常规"/>
          <w:gallery w:val="placeholder"/>
        </w:category>
        <w:types>
          <w:type w:val="bbPlcHdr"/>
        </w:types>
        <w:behaviors>
          <w:behavior w:val="content"/>
        </w:behaviors>
        <w:description w:val=""/>
        <w:guid w:val="{C4D205A4-7212-4061-9D44-761EE81BEDDE}"/>
      </w:docPartPr>
      <w:docPartBody>
        <w:p w14:paraId="38B2D806">
          <w:pPr>
            <w:pStyle w:val="6"/>
          </w:pPr>
          <w:r>
            <w:rPr>
              <w:rStyle w:val="4"/>
              <w:rFonts w:hint="eastAsia"/>
            </w:rPr>
            <w:t>选择一项。</w:t>
          </w:r>
        </w:p>
      </w:docPartBody>
    </w:docPart>
    <w:docPart>
      <w:docPartPr>
        <w:name w:val="55B6A2045FF84569944B83F618A356CE"/>
        <w:style w:val=""/>
        <w:category>
          <w:name w:val="常规"/>
          <w:gallery w:val="placeholder"/>
        </w:category>
        <w:types>
          <w:type w:val="bbPlcHdr"/>
        </w:types>
        <w:behaviors>
          <w:behavior w:val="content"/>
        </w:behaviors>
        <w:description w:val=""/>
        <w:guid w:val="{F1C886F0-3E37-4EBF-9A39-567B3429D41A}"/>
      </w:docPartPr>
      <w:docPartBody>
        <w:p w14:paraId="59BB6014">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C75"/>
    <w:rsid w:val="00135C75"/>
    <w:rsid w:val="00204DF9"/>
    <w:rsid w:val="00347E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uiPriority w:val="99"/>
    <w:rPr>
      <w:color w:val="808080"/>
    </w:rPr>
  </w:style>
  <w:style w:type="paragraph" w:customStyle="1" w:styleId="5">
    <w:name w:val="E29255EA8535446A8698BCEB2DD58785"/>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8AB26F249DB443D0B5D6F273C4C91EBD"/>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55B6A2045FF84569944B83F618A356CE"/>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F03465-9310-430F-A8A0-DFC80D2CA8A6}">
  <ds:schemaRefs/>
</ds:datastoreItem>
</file>

<file path=docProps/app.xml><?xml version="1.0" encoding="utf-8"?>
<Properties xmlns="http://schemas.openxmlformats.org/officeDocument/2006/extended-properties" xmlns:vt="http://schemas.openxmlformats.org/officeDocument/2006/docPropsVTypes">
  <Template>地方标准.dotx</Template>
  <Pages>9</Pages>
  <Words>5075</Words>
  <Characters>5389</Characters>
  <Lines>45</Lines>
  <Paragraphs>49</Paragraphs>
  <TotalTime>0</TotalTime>
  <ScaleCrop>false</ScaleCrop>
  <LinksUpToDate>false</LinksUpToDate>
  <CharactersWithSpaces>5512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2026-09-28T01:49:00Z</dcterms:created>
  <dc:creator>GYL~亚玲</dc:creator>
  <dc:description>&lt;config cover="true" show_menu="true" version="1.0.0" doctype="SDKXY"&gt;_x000d_
&lt;/config&gt;</dc:description>
  <cp:lastModifiedBy>GYL~亚玲</cp:lastModifiedBy>
  <dcterms:modified xsi:type="dcterms:W3CDTF">2026-09-29T07:52:20Z</dcterms:modified>
  <dc:title>地方标准</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ICV">
    <vt:lpwstr>F36906CD1F7E4B9CACA5408B469C9E65_11</vt:lpwstr>
  </property>
  <property fmtid="{D5CDD505-2E9C-101B-9397-08002B2CF9AE}" pid="15" name="KSOTemplateDocerSaveRecord">
    <vt:lpwstr>eyJoZGlkIjoiYjY3ZDAzNWQ5MzY0MjVhNzk5YTlmODI1YjRkZTcwOTUiLCJ1c2VySWQiOiI0NjM4OTc3ODcifQ==</vt:lpwstr>
  </property>
  <property fmtid="{D5CDD505-2E9C-101B-9397-08002B2CF9AE}" pid="16" name="KSOProductBuildVer">
    <vt:lpwstr>2052-12.1.0.28505</vt:lpwstr>
  </property>
</Properties>
</file>