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3EF0A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D600403">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6786F1A1">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14:paraId="1966B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16F7A8B">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1CBCFDF1">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737966C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14D611E6">
            <w:pPr>
              <w:pStyle w:val="49"/>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43</w:t>
            </w:r>
            <w:r>
              <w:fldChar w:fldCharType="end"/>
            </w:r>
            <w:bookmarkEnd w:id="3"/>
          </w:p>
        </w:tc>
      </w:tr>
    </w:tbl>
    <w:p w14:paraId="1369431B">
      <w:pPr>
        <w:pStyle w:val="50"/>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48400FB1">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rPr>
        <w:t>43</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5CA6CB92">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05DC8AD1">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78C6212E">
      <w:pPr>
        <w:pStyle w:val="50"/>
        <w:framePr w:w="9639" w:h="6976" w:hRule="exact" w:hSpace="0" w:vSpace="0" w:wrap="around" w:hAnchor="page" w:y="6408"/>
        <w:jc w:val="center"/>
        <w:rPr>
          <w:rFonts w:hint="eastAsia" w:ascii="黑体" w:hAnsi="黑体" w:eastAsia="黑体"/>
          <w:b w:val="0"/>
          <w:bCs w:val="0"/>
          <w:w w:val="100"/>
        </w:rPr>
      </w:pPr>
    </w:p>
    <w:p w14:paraId="63F3D6D2">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文化和旅游行业高质量数据集建设指南</w:t>
      </w:r>
      <w:r>
        <w:fldChar w:fldCharType="end"/>
      </w:r>
      <w:bookmarkEnd w:id="9"/>
    </w:p>
    <w:p w14:paraId="1C8532E6">
      <w:pPr>
        <w:framePr w:w="9639" w:h="6974" w:hRule="exact" w:wrap="around" w:vAnchor="page" w:hAnchor="page" w:x="1419" w:y="6408" w:anchorLock="1"/>
        <w:ind w:left="-1418"/>
      </w:pPr>
    </w:p>
    <w:p w14:paraId="3CFE57A7">
      <w:pPr>
        <w:pStyle w:val="125"/>
        <w:framePr w:w="9639" w:h="6974" w:hRule="exact" w:wrap="around" w:vAnchor="page" w:hAnchor="page" w:x="1419" w:y="6408" w:anchorLock="1"/>
        <w:textAlignment w:val="bottom"/>
        <w:rPr>
          <w:rFonts w:hint="eastAsia"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hint="eastAsia" w:ascii="黑体" w:hAnsi="黑体" w:eastAsia="黑体"/>
          <w:szCs w:val="28"/>
        </w:rPr>
        <w:t>Construction guidelines for High-Quality datasets in the culture and tourism industry</w:t>
      </w:r>
      <w:r>
        <w:rPr>
          <w:rFonts w:ascii="黑体" w:hAnsi="黑体" w:eastAsia="黑体"/>
          <w:szCs w:val="28"/>
        </w:rPr>
        <w:fldChar w:fldCharType="end"/>
      </w:r>
      <w:bookmarkEnd w:id="10"/>
    </w:p>
    <w:p w14:paraId="0475810E">
      <w:pPr>
        <w:framePr w:w="9639" w:h="6974" w:hRule="exact" w:wrap="around" w:vAnchor="page" w:hAnchor="page" w:x="1419" w:y="6408" w:anchorLock="1"/>
        <w:spacing w:line="760" w:lineRule="exact"/>
        <w:ind w:left="-1418"/>
      </w:pPr>
    </w:p>
    <w:p w14:paraId="2AE4B254">
      <w:pPr>
        <w:pStyle w:val="125"/>
        <w:framePr w:w="9639" w:h="6974" w:hRule="exact" w:wrap="around" w:vAnchor="page" w:hAnchor="page" w:x="1419" w:y="6408" w:anchorLock="1"/>
        <w:textAlignment w:val="bottom"/>
        <w:rPr>
          <w:rFonts w:eastAsia="黑体"/>
          <w:szCs w:val="28"/>
        </w:rPr>
      </w:pPr>
    </w:p>
    <w:p w14:paraId="229A1BDB">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0D2B6426">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54ADB323">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26BE1B6F">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662F435E">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3E386961">
      <w:pPr>
        <w:pStyle w:val="151"/>
        <w:framePr w:h="584" w:hRule="exact" w:hSpace="181" w:vSpace="181" w:wrap="around"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152F8E39">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5C6FEE55">
      <w:pPr>
        <w:pStyle w:val="91"/>
        <w:spacing w:after="468"/>
      </w:pPr>
      <w:bookmarkStart w:id="21" w:name="BookMark1"/>
      <w:r>
        <w:rPr>
          <w:rFonts w:hint="eastAsia"/>
          <w:spacing w:val="320"/>
        </w:rPr>
        <w:t>目</w:t>
      </w:r>
      <w:r>
        <w:rPr>
          <w:rFonts w:hint="eastAsia"/>
        </w:rPr>
        <w:t>次</w:t>
      </w:r>
    </w:p>
    <w:p w14:paraId="1F5AE239">
      <w:pPr>
        <w:pStyle w:val="19"/>
        <w:tabs>
          <w:tab w:val="right" w:leader="dot" w:pos="9354"/>
        </w:tabs>
      </w:pPr>
      <w:r>
        <w:rPr>
          <w:rFonts w:hint="eastAsia"/>
        </w:rPr>
        <w:fldChar w:fldCharType="begin"/>
      </w:r>
      <w:r>
        <w:rPr>
          <w:rFonts w:hint="eastAsia"/>
        </w:rPr>
        <w:instrText xml:space="preserve">TOC \o "1-1" \t "标准文件_一级条标题,2,标准文件_附录一级条标题,2," \h</w:instrText>
      </w:r>
      <w:r>
        <w:rPr>
          <w:rFonts w:hint="eastAsia"/>
        </w:rPr>
        <w:fldChar w:fldCharType="separate"/>
      </w:r>
      <w:r>
        <w:rPr>
          <w:rFonts w:hint="eastAsia"/>
        </w:rPr>
        <w:fldChar w:fldCharType="begin"/>
      </w:r>
      <w:r>
        <w:rPr>
          <w:rFonts w:hint="eastAsia"/>
        </w:rPr>
        <w:instrText xml:space="preserve"> HYPERLINK \l _Toc6156 </w:instrText>
      </w:r>
      <w:r>
        <w:rPr>
          <w:rFonts w:hint="eastAsia"/>
        </w:rPr>
        <w:fldChar w:fldCharType="separate"/>
      </w:r>
      <w:r>
        <w:rPr>
          <w:rFonts w:hint="eastAsia"/>
          <w:spacing w:val="320"/>
        </w:rPr>
        <w:t>前</w:t>
      </w:r>
      <w:r>
        <w:rPr>
          <w:rFonts w:hint="eastAsia"/>
        </w:rPr>
        <w:t>言</w:t>
      </w:r>
      <w:r>
        <w:tab/>
      </w:r>
      <w:r>
        <w:fldChar w:fldCharType="begin"/>
      </w:r>
      <w:r>
        <w:instrText xml:space="preserve"> PAGEREF _Toc6156 \h </w:instrText>
      </w:r>
      <w:r>
        <w:fldChar w:fldCharType="separate"/>
      </w:r>
      <w:r>
        <w:t>II</w:t>
      </w:r>
      <w:r>
        <w:fldChar w:fldCharType="end"/>
      </w:r>
      <w:r>
        <w:rPr>
          <w:rFonts w:hint="eastAsia"/>
        </w:rPr>
        <w:fldChar w:fldCharType="end"/>
      </w:r>
    </w:p>
    <w:p w14:paraId="1C8ABF5D">
      <w:pPr>
        <w:pStyle w:val="19"/>
        <w:tabs>
          <w:tab w:val="right" w:leader="dot" w:pos="9354"/>
        </w:tabs>
      </w:pPr>
      <w:r>
        <w:rPr>
          <w:rFonts w:hint="eastAsia"/>
        </w:rPr>
        <w:fldChar w:fldCharType="begin"/>
      </w:r>
      <w:r>
        <w:rPr>
          <w:rFonts w:hint="eastAsia"/>
        </w:rPr>
        <w:instrText xml:space="preserve"> HYPERLINK \l _Toc17727 </w:instrText>
      </w:r>
      <w:r>
        <w:rPr>
          <w:rFonts w:hint="eastAsia"/>
        </w:rPr>
        <w:fldChar w:fldCharType="separate"/>
      </w:r>
      <w:r>
        <w:rPr>
          <w:rFonts w:hint="eastAsia" w:ascii="黑体" w:eastAsia="黑体"/>
          <w:i w:val="0"/>
        </w:rPr>
        <w:t xml:space="preserve">1 </w:t>
      </w:r>
      <w:r>
        <w:rPr>
          <w:rFonts w:hint="eastAsia"/>
        </w:rPr>
        <w:t>范围</w:t>
      </w:r>
      <w:r>
        <w:tab/>
      </w:r>
      <w:r>
        <w:fldChar w:fldCharType="begin"/>
      </w:r>
      <w:r>
        <w:instrText xml:space="preserve"> PAGEREF _Toc17727 \h </w:instrText>
      </w:r>
      <w:r>
        <w:fldChar w:fldCharType="separate"/>
      </w:r>
      <w:r>
        <w:t>1</w:t>
      </w:r>
      <w:r>
        <w:fldChar w:fldCharType="end"/>
      </w:r>
      <w:r>
        <w:rPr>
          <w:rFonts w:hint="eastAsia"/>
        </w:rPr>
        <w:fldChar w:fldCharType="end"/>
      </w:r>
    </w:p>
    <w:p w14:paraId="4DA887B3">
      <w:pPr>
        <w:pStyle w:val="19"/>
        <w:tabs>
          <w:tab w:val="right" w:leader="dot" w:pos="9354"/>
        </w:tabs>
      </w:pPr>
      <w:r>
        <w:rPr>
          <w:rFonts w:hint="eastAsia"/>
        </w:rPr>
        <w:fldChar w:fldCharType="begin"/>
      </w:r>
      <w:r>
        <w:rPr>
          <w:rFonts w:hint="eastAsia"/>
        </w:rPr>
        <w:instrText xml:space="preserve"> HYPERLINK \l _Toc2625 </w:instrText>
      </w:r>
      <w:r>
        <w:rPr>
          <w:rFonts w:hint="eastAsia"/>
        </w:rP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_Toc2625 \h </w:instrText>
      </w:r>
      <w:r>
        <w:fldChar w:fldCharType="separate"/>
      </w:r>
      <w:r>
        <w:t>1</w:t>
      </w:r>
      <w:r>
        <w:fldChar w:fldCharType="end"/>
      </w:r>
      <w:r>
        <w:rPr>
          <w:rFonts w:hint="eastAsia"/>
        </w:rPr>
        <w:fldChar w:fldCharType="end"/>
      </w:r>
    </w:p>
    <w:p w14:paraId="40DC4E6C">
      <w:pPr>
        <w:pStyle w:val="19"/>
        <w:tabs>
          <w:tab w:val="right" w:leader="dot" w:pos="9354"/>
        </w:tabs>
      </w:pPr>
      <w:r>
        <w:rPr>
          <w:rFonts w:hint="eastAsia"/>
        </w:rPr>
        <w:fldChar w:fldCharType="begin"/>
      </w:r>
      <w:r>
        <w:rPr>
          <w:rFonts w:hint="eastAsia"/>
        </w:rPr>
        <w:instrText xml:space="preserve"> HYPERLINK \l _Toc13080 </w:instrText>
      </w:r>
      <w:r>
        <w:rPr>
          <w:rFonts w:hint="eastAsia"/>
        </w:rPr>
        <w:fldChar w:fldCharType="separate"/>
      </w:r>
      <w:r>
        <w:rPr>
          <w:rFonts w:hint="eastAsia" w:ascii="黑体" w:eastAsia="黑体"/>
          <w:i w:val="0"/>
        </w:rPr>
        <w:t xml:space="preserve">3 </w:t>
      </w:r>
      <w:r>
        <w:rPr>
          <w:rFonts w:hint="eastAsia"/>
          <w:szCs w:val="21"/>
        </w:rPr>
        <w:t>术语和定义</w:t>
      </w:r>
      <w:r>
        <w:tab/>
      </w:r>
      <w:r>
        <w:fldChar w:fldCharType="begin"/>
      </w:r>
      <w:r>
        <w:instrText xml:space="preserve"> PAGEREF _Toc13080 \h </w:instrText>
      </w:r>
      <w:r>
        <w:fldChar w:fldCharType="separate"/>
      </w:r>
      <w:r>
        <w:t>1</w:t>
      </w:r>
      <w:r>
        <w:fldChar w:fldCharType="end"/>
      </w:r>
      <w:r>
        <w:rPr>
          <w:rFonts w:hint="eastAsia"/>
        </w:rPr>
        <w:fldChar w:fldCharType="end"/>
      </w:r>
    </w:p>
    <w:p w14:paraId="46A6E434">
      <w:pPr>
        <w:pStyle w:val="19"/>
        <w:tabs>
          <w:tab w:val="right" w:leader="dot" w:pos="9354"/>
        </w:tabs>
      </w:pPr>
      <w:r>
        <w:rPr>
          <w:rFonts w:hint="eastAsia"/>
        </w:rPr>
        <w:fldChar w:fldCharType="begin"/>
      </w:r>
      <w:r>
        <w:rPr>
          <w:rFonts w:hint="eastAsia"/>
        </w:rPr>
        <w:instrText xml:space="preserve"> HYPERLINK \l _Toc30700 </w:instrText>
      </w:r>
      <w:r>
        <w:rPr>
          <w:rFonts w:hint="eastAsia"/>
        </w:rPr>
        <w:fldChar w:fldCharType="separate"/>
      </w:r>
      <w:r>
        <w:rPr>
          <w:rFonts w:hint="eastAsia" w:ascii="黑体" w:eastAsia="黑体"/>
          <w:i w:val="0"/>
        </w:rPr>
        <w:t xml:space="preserve">4 </w:t>
      </w:r>
      <w:r>
        <w:rPr>
          <w:rFonts w:hint="eastAsia"/>
        </w:rPr>
        <w:t>建设原则</w:t>
      </w:r>
      <w:r>
        <w:tab/>
      </w:r>
      <w:r>
        <w:fldChar w:fldCharType="begin"/>
      </w:r>
      <w:r>
        <w:instrText xml:space="preserve"> PAGEREF _Toc30700 \h </w:instrText>
      </w:r>
      <w:r>
        <w:fldChar w:fldCharType="separate"/>
      </w:r>
      <w:r>
        <w:t>2</w:t>
      </w:r>
      <w:r>
        <w:fldChar w:fldCharType="end"/>
      </w:r>
      <w:r>
        <w:rPr>
          <w:rFonts w:hint="eastAsia"/>
        </w:rPr>
        <w:fldChar w:fldCharType="end"/>
      </w:r>
    </w:p>
    <w:p w14:paraId="4CF6DCC4">
      <w:pPr>
        <w:pStyle w:val="19"/>
        <w:tabs>
          <w:tab w:val="right" w:leader="dot" w:pos="9354"/>
        </w:tabs>
      </w:pPr>
      <w:r>
        <w:rPr>
          <w:rFonts w:hint="eastAsia"/>
        </w:rPr>
        <w:fldChar w:fldCharType="begin"/>
      </w:r>
      <w:r>
        <w:rPr>
          <w:rFonts w:hint="eastAsia"/>
        </w:rPr>
        <w:instrText xml:space="preserve"> HYPERLINK \l _Toc12699 </w:instrText>
      </w:r>
      <w:r>
        <w:rPr>
          <w:rFonts w:hint="eastAsia"/>
        </w:rPr>
        <w:fldChar w:fldCharType="separate"/>
      </w:r>
      <w:r>
        <w:rPr>
          <w:rFonts w:hint="eastAsia" w:ascii="黑体" w:eastAsia="黑体"/>
          <w:i w:val="0"/>
        </w:rPr>
        <w:t xml:space="preserve">5 </w:t>
      </w:r>
      <w:r>
        <w:rPr>
          <w:rFonts w:hint="eastAsia"/>
        </w:rPr>
        <w:t>建设方法</w:t>
      </w:r>
      <w:r>
        <w:tab/>
      </w:r>
      <w:r>
        <w:fldChar w:fldCharType="begin"/>
      </w:r>
      <w:r>
        <w:instrText xml:space="preserve"> PAGEREF _Toc12699 \h </w:instrText>
      </w:r>
      <w:r>
        <w:fldChar w:fldCharType="separate"/>
      </w:r>
      <w:r>
        <w:t>2</w:t>
      </w:r>
      <w:r>
        <w:fldChar w:fldCharType="end"/>
      </w:r>
      <w:r>
        <w:rPr>
          <w:rFonts w:hint="eastAsia"/>
        </w:rPr>
        <w:fldChar w:fldCharType="end"/>
      </w:r>
    </w:p>
    <w:p w14:paraId="0E243786">
      <w:pPr>
        <w:pStyle w:val="19"/>
        <w:tabs>
          <w:tab w:val="right" w:leader="dot" w:pos="9354"/>
        </w:tabs>
      </w:pPr>
      <w:r>
        <w:rPr>
          <w:rFonts w:hint="eastAsia"/>
        </w:rPr>
        <w:fldChar w:fldCharType="begin"/>
      </w:r>
      <w:r>
        <w:rPr>
          <w:rFonts w:hint="eastAsia"/>
        </w:rPr>
        <w:instrText xml:space="preserve"> HYPERLINK \l _Toc16437 </w:instrText>
      </w:r>
      <w:r>
        <w:rPr>
          <w:rFonts w:hint="eastAsia"/>
        </w:rPr>
        <w:fldChar w:fldCharType="separate"/>
      </w:r>
      <w:r>
        <w:rPr>
          <w:rFonts w:hint="eastAsia" w:ascii="黑体" w:eastAsia="黑体"/>
          <w:i w:val="0"/>
        </w:rPr>
        <w:t xml:space="preserve">6 </w:t>
      </w:r>
      <w:r>
        <w:rPr>
          <w:rFonts w:hint="eastAsia"/>
        </w:rPr>
        <w:t>数据需求</w:t>
      </w:r>
      <w:r>
        <w:tab/>
      </w:r>
      <w:r>
        <w:fldChar w:fldCharType="begin"/>
      </w:r>
      <w:r>
        <w:instrText xml:space="preserve"> PAGEREF _Toc16437 \h </w:instrText>
      </w:r>
      <w:r>
        <w:fldChar w:fldCharType="separate"/>
      </w:r>
      <w:r>
        <w:t>4</w:t>
      </w:r>
      <w:r>
        <w:fldChar w:fldCharType="end"/>
      </w:r>
      <w:r>
        <w:rPr>
          <w:rFonts w:hint="eastAsia"/>
        </w:rPr>
        <w:fldChar w:fldCharType="end"/>
      </w:r>
    </w:p>
    <w:p w14:paraId="57914064">
      <w:pPr>
        <w:pStyle w:val="19"/>
        <w:tabs>
          <w:tab w:val="right" w:leader="dot" w:pos="9354"/>
        </w:tabs>
      </w:pPr>
      <w:r>
        <w:rPr>
          <w:rFonts w:hint="eastAsia"/>
        </w:rPr>
        <w:fldChar w:fldCharType="begin"/>
      </w:r>
      <w:r>
        <w:rPr>
          <w:rFonts w:hint="eastAsia"/>
        </w:rPr>
        <w:instrText xml:space="preserve"> HYPERLINK \l _Toc7290 </w:instrText>
      </w:r>
      <w:r>
        <w:rPr>
          <w:rFonts w:hint="eastAsia"/>
        </w:rPr>
        <w:fldChar w:fldCharType="separate"/>
      </w:r>
      <w:r>
        <w:rPr>
          <w:rFonts w:hint="eastAsia" w:ascii="黑体" w:eastAsia="黑体"/>
          <w:i w:val="0"/>
        </w:rPr>
        <w:t xml:space="preserve">7 </w:t>
      </w:r>
      <w:r>
        <w:rPr>
          <w:rFonts w:hint="eastAsia"/>
        </w:rPr>
        <w:t>数据规划</w:t>
      </w:r>
      <w:r>
        <w:tab/>
      </w:r>
      <w:r>
        <w:fldChar w:fldCharType="begin"/>
      </w:r>
      <w:r>
        <w:instrText xml:space="preserve"> PAGEREF _Toc7290 \h </w:instrText>
      </w:r>
      <w:r>
        <w:fldChar w:fldCharType="separate"/>
      </w:r>
      <w:r>
        <w:t>5</w:t>
      </w:r>
      <w:r>
        <w:fldChar w:fldCharType="end"/>
      </w:r>
      <w:r>
        <w:rPr>
          <w:rFonts w:hint="eastAsia"/>
        </w:rPr>
        <w:fldChar w:fldCharType="end"/>
      </w:r>
    </w:p>
    <w:p w14:paraId="6EAF1400">
      <w:pPr>
        <w:pStyle w:val="19"/>
        <w:tabs>
          <w:tab w:val="right" w:leader="dot" w:pos="9354"/>
        </w:tabs>
      </w:pPr>
      <w:r>
        <w:rPr>
          <w:rFonts w:hint="eastAsia"/>
        </w:rPr>
        <w:fldChar w:fldCharType="begin"/>
      </w:r>
      <w:r>
        <w:rPr>
          <w:rFonts w:hint="eastAsia"/>
        </w:rPr>
        <w:instrText xml:space="preserve"> HYPERLINK \l _Toc25914 </w:instrText>
      </w:r>
      <w:r>
        <w:rPr>
          <w:rFonts w:hint="eastAsia"/>
        </w:rPr>
        <w:fldChar w:fldCharType="separate"/>
      </w:r>
      <w:r>
        <w:rPr>
          <w:rFonts w:hint="eastAsia" w:ascii="黑体" w:eastAsia="黑体"/>
          <w:i w:val="0"/>
        </w:rPr>
        <w:t xml:space="preserve">8 </w:t>
      </w:r>
      <w:r>
        <w:rPr>
          <w:rFonts w:hint="eastAsia"/>
        </w:rPr>
        <w:t>数据采集</w:t>
      </w:r>
      <w:r>
        <w:tab/>
      </w:r>
      <w:r>
        <w:fldChar w:fldCharType="begin"/>
      </w:r>
      <w:r>
        <w:instrText xml:space="preserve"> PAGEREF _Toc25914 \h </w:instrText>
      </w:r>
      <w:r>
        <w:fldChar w:fldCharType="separate"/>
      </w:r>
      <w:r>
        <w:t>5</w:t>
      </w:r>
      <w:r>
        <w:fldChar w:fldCharType="end"/>
      </w:r>
      <w:r>
        <w:rPr>
          <w:rFonts w:hint="eastAsia"/>
        </w:rPr>
        <w:fldChar w:fldCharType="end"/>
      </w:r>
    </w:p>
    <w:p w14:paraId="075E47DD">
      <w:pPr>
        <w:pStyle w:val="19"/>
        <w:tabs>
          <w:tab w:val="right" w:leader="dot" w:pos="9354"/>
        </w:tabs>
      </w:pPr>
      <w:r>
        <w:rPr>
          <w:rFonts w:hint="eastAsia"/>
        </w:rPr>
        <w:fldChar w:fldCharType="begin"/>
      </w:r>
      <w:r>
        <w:rPr>
          <w:rFonts w:hint="eastAsia"/>
        </w:rPr>
        <w:instrText xml:space="preserve"> HYPERLINK \l _Toc31654 </w:instrText>
      </w:r>
      <w:r>
        <w:rPr>
          <w:rFonts w:hint="eastAsia"/>
        </w:rPr>
        <w:fldChar w:fldCharType="separate"/>
      </w:r>
      <w:r>
        <w:rPr>
          <w:rFonts w:hint="eastAsia" w:ascii="黑体" w:eastAsia="黑体"/>
          <w:i w:val="0"/>
        </w:rPr>
        <w:t xml:space="preserve">9 </w:t>
      </w:r>
      <w:r>
        <w:rPr>
          <w:rFonts w:hint="eastAsia"/>
        </w:rPr>
        <w:t>数据预处理</w:t>
      </w:r>
      <w:r>
        <w:tab/>
      </w:r>
      <w:r>
        <w:fldChar w:fldCharType="begin"/>
      </w:r>
      <w:r>
        <w:instrText xml:space="preserve"> PAGEREF _Toc31654 \h </w:instrText>
      </w:r>
      <w:r>
        <w:fldChar w:fldCharType="separate"/>
      </w:r>
      <w:r>
        <w:t>6</w:t>
      </w:r>
      <w:r>
        <w:fldChar w:fldCharType="end"/>
      </w:r>
      <w:r>
        <w:rPr>
          <w:rFonts w:hint="eastAsia"/>
        </w:rPr>
        <w:fldChar w:fldCharType="end"/>
      </w:r>
    </w:p>
    <w:p w14:paraId="3DC23F1A">
      <w:pPr>
        <w:pStyle w:val="19"/>
        <w:tabs>
          <w:tab w:val="right" w:leader="dot" w:pos="9354"/>
        </w:tabs>
      </w:pPr>
      <w:r>
        <w:rPr>
          <w:rFonts w:hint="eastAsia"/>
        </w:rPr>
        <w:fldChar w:fldCharType="begin"/>
      </w:r>
      <w:r>
        <w:rPr>
          <w:rFonts w:hint="eastAsia"/>
        </w:rPr>
        <w:instrText xml:space="preserve"> HYPERLINK \l _Toc24461 </w:instrText>
      </w:r>
      <w:r>
        <w:rPr>
          <w:rFonts w:hint="eastAsia"/>
        </w:rPr>
        <w:fldChar w:fldCharType="separate"/>
      </w:r>
      <w:r>
        <w:rPr>
          <w:rFonts w:hint="eastAsia" w:ascii="黑体" w:eastAsia="黑体"/>
          <w:i w:val="0"/>
        </w:rPr>
        <w:t xml:space="preserve">10 </w:t>
      </w:r>
      <w:r>
        <w:rPr>
          <w:rFonts w:hint="eastAsia"/>
        </w:rPr>
        <w:t>数据标注</w:t>
      </w:r>
      <w:r>
        <w:tab/>
      </w:r>
      <w:r>
        <w:fldChar w:fldCharType="begin"/>
      </w:r>
      <w:r>
        <w:instrText xml:space="preserve"> PAGEREF _Toc24461 \h </w:instrText>
      </w:r>
      <w:r>
        <w:fldChar w:fldCharType="separate"/>
      </w:r>
      <w:r>
        <w:t>6</w:t>
      </w:r>
      <w:r>
        <w:fldChar w:fldCharType="end"/>
      </w:r>
      <w:r>
        <w:rPr>
          <w:rFonts w:hint="eastAsia"/>
        </w:rPr>
        <w:fldChar w:fldCharType="end"/>
      </w:r>
    </w:p>
    <w:p w14:paraId="662EEF8A">
      <w:pPr>
        <w:pStyle w:val="19"/>
        <w:tabs>
          <w:tab w:val="right" w:leader="dot" w:pos="9354"/>
        </w:tabs>
      </w:pPr>
      <w:r>
        <w:rPr>
          <w:rFonts w:hint="eastAsia"/>
        </w:rPr>
        <w:fldChar w:fldCharType="begin"/>
      </w:r>
      <w:r>
        <w:rPr>
          <w:rFonts w:hint="eastAsia"/>
        </w:rPr>
        <w:instrText xml:space="preserve"> HYPERLINK \l _Toc4808 </w:instrText>
      </w:r>
      <w:r>
        <w:rPr>
          <w:rFonts w:hint="eastAsia"/>
        </w:rPr>
        <w:fldChar w:fldCharType="separate"/>
      </w:r>
      <w:r>
        <w:rPr>
          <w:rFonts w:hint="eastAsia" w:ascii="黑体" w:eastAsia="黑体"/>
          <w:i w:val="0"/>
        </w:rPr>
        <w:t xml:space="preserve">11 </w:t>
      </w:r>
      <w:r>
        <w:rPr>
          <w:rFonts w:hint="eastAsia"/>
        </w:rPr>
        <w:t>模型验证</w:t>
      </w:r>
      <w:r>
        <w:tab/>
      </w:r>
      <w:r>
        <w:fldChar w:fldCharType="begin"/>
      </w:r>
      <w:r>
        <w:instrText xml:space="preserve"> PAGEREF _Toc4808 \h </w:instrText>
      </w:r>
      <w:r>
        <w:fldChar w:fldCharType="separate"/>
      </w:r>
      <w:r>
        <w:t>7</w:t>
      </w:r>
      <w:r>
        <w:fldChar w:fldCharType="end"/>
      </w:r>
      <w:r>
        <w:rPr>
          <w:rFonts w:hint="eastAsia"/>
        </w:rPr>
        <w:fldChar w:fldCharType="end"/>
      </w:r>
    </w:p>
    <w:p w14:paraId="64B4816B">
      <w:pPr>
        <w:pStyle w:val="19"/>
        <w:tabs>
          <w:tab w:val="right" w:leader="dot" w:pos="9354"/>
        </w:tabs>
      </w:pPr>
      <w:r>
        <w:rPr>
          <w:rFonts w:hint="eastAsia"/>
        </w:rPr>
        <w:fldChar w:fldCharType="begin"/>
      </w:r>
      <w:r>
        <w:rPr>
          <w:rFonts w:hint="eastAsia"/>
        </w:rPr>
        <w:instrText xml:space="preserve"> HYPERLINK \l _Toc200 </w:instrText>
      </w:r>
      <w:r>
        <w:rPr>
          <w:rFonts w:hint="eastAsia"/>
        </w:rPr>
        <w:fldChar w:fldCharType="separate"/>
      </w:r>
      <w:r>
        <w:rPr>
          <w:rFonts w:hint="eastAsia" w:ascii="黑体" w:eastAsia="黑体"/>
          <w:i w:val="0"/>
        </w:rPr>
        <w:t xml:space="preserve">12 </w:t>
      </w:r>
      <w:r>
        <w:rPr>
          <w:rFonts w:hint="eastAsia"/>
        </w:rPr>
        <w:t>质量评估</w:t>
      </w:r>
      <w:r>
        <w:tab/>
      </w:r>
      <w:r>
        <w:fldChar w:fldCharType="begin"/>
      </w:r>
      <w:r>
        <w:instrText xml:space="preserve"> PAGEREF _Toc200 \h </w:instrText>
      </w:r>
      <w:r>
        <w:fldChar w:fldCharType="separate"/>
      </w:r>
      <w:r>
        <w:t>7</w:t>
      </w:r>
      <w:r>
        <w:fldChar w:fldCharType="end"/>
      </w:r>
      <w:r>
        <w:rPr>
          <w:rFonts w:hint="eastAsia"/>
        </w:rPr>
        <w:fldChar w:fldCharType="end"/>
      </w:r>
    </w:p>
    <w:p w14:paraId="47C00324">
      <w:pPr>
        <w:pStyle w:val="19"/>
        <w:tabs>
          <w:tab w:val="right" w:leader="dot" w:pos="9354"/>
        </w:tabs>
      </w:pPr>
      <w:r>
        <w:rPr>
          <w:rFonts w:hint="eastAsia"/>
        </w:rPr>
        <w:fldChar w:fldCharType="begin"/>
      </w:r>
      <w:r>
        <w:rPr>
          <w:rFonts w:hint="eastAsia"/>
        </w:rPr>
        <w:instrText xml:space="preserve"> HYPERLINK \l _Toc26968 </w:instrText>
      </w:r>
      <w:r>
        <w:rPr>
          <w:rFonts w:hint="eastAsia"/>
        </w:rPr>
        <w:fldChar w:fldCharType="separate"/>
      </w:r>
      <w:r>
        <w:rPr>
          <w:rFonts w:hint="eastAsia" w:ascii="黑体" w:eastAsia="黑体"/>
          <w:i w:val="0"/>
        </w:rPr>
        <w:t xml:space="preserve">13 </w:t>
      </w:r>
      <w:r>
        <w:rPr>
          <w:rFonts w:hint="eastAsia"/>
        </w:rPr>
        <w:t>安全保障与版权合规</w:t>
      </w:r>
      <w:r>
        <w:tab/>
      </w:r>
      <w:r>
        <w:fldChar w:fldCharType="begin"/>
      </w:r>
      <w:r>
        <w:instrText xml:space="preserve"> PAGEREF _Toc26968 \h </w:instrText>
      </w:r>
      <w:r>
        <w:fldChar w:fldCharType="separate"/>
      </w:r>
      <w:r>
        <w:t>9</w:t>
      </w:r>
      <w:r>
        <w:fldChar w:fldCharType="end"/>
      </w:r>
      <w:r>
        <w:rPr>
          <w:rFonts w:hint="eastAsia"/>
        </w:rPr>
        <w:fldChar w:fldCharType="end"/>
      </w:r>
    </w:p>
    <w:p w14:paraId="6585E536">
      <w:pPr>
        <w:pStyle w:val="19"/>
        <w:tabs>
          <w:tab w:val="right" w:leader="dot" w:pos="9354"/>
        </w:tabs>
      </w:pPr>
      <w:r>
        <w:rPr>
          <w:rFonts w:hint="eastAsia"/>
        </w:rPr>
        <w:fldChar w:fldCharType="begin"/>
      </w:r>
      <w:r>
        <w:rPr>
          <w:rFonts w:hint="eastAsia"/>
        </w:rPr>
        <w:instrText xml:space="preserve"> HYPERLINK \l _Toc15984 </w:instrText>
      </w:r>
      <w:r>
        <w:rPr>
          <w:rFonts w:hint="eastAsia"/>
        </w:rPr>
        <w:fldChar w:fldCharType="separate"/>
      </w:r>
      <w:r>
        <w:rPr>
          <w:rFonts w:hint="eastAsia" w:ascii="黑体" w:eastAsia="黑体"/>
          <w:i w:val="0"/>
        </w:rPr>
        <w:t xml:space="preserve">14 </w:t>
      </w:r>
      <w:r>
        <w:rPr>
          <w:rFonts w:hint="eastAsia"/>
        </w:rPr>
        <w:t>数据集运维管理</w:t>
      </w:r>
      <w:r>
        <w:tab/>
      </w:r>
      <w:r>
        <w:fldChar w:fldCharType="begin"/>
      </w:r>
      <w:r>
        <w:instrText xml:space="preserve"> PAGEREF _Toc15984 \h </w:instrText>
      </w:r>
      <w:r>
        <w:fldChar w:fldCharType="separate"/>
      </w:r>
      <w:r>
        <w:t>9</w:t>
      </w:r>
      <w:r>
        <w:fldChar w:fldCharType="end"/>
      </w:r>
      <w:r>
        <w:rPr>
          <w:rFonts w:hint="eastAsia"/>
        </w:rPr>
        <w:fldChar w:fldCharType="end"/>
      </w:r>
    </w:p>
    <w:p w14:paraId="72AAD590">
      <w:pPr>
        <w:pStyle w:val="19"/>
        <w:tabs>
          <w:tab w:val="right" w:leader="dot" w:pos="9354"/>
        </w:tabs>
      </w:pPr>
      <w:r>
        <w:rPr>
          <w:rFonts w:hint="eastAsia"/>
        </w:rPr>
        <w:fldChar w:fldCharType="begin"/>
      </w:r>
      <w:r>
        <w:rPr>
          <w:rFonts w:hint="eastAsia"/>
        </w:rPr>
        <w:instrText xml:space="preserve"> HYPERLINK \l _Toc6366 </w:instrText>
      </w:r>
      <w:r>
        <w:rPr>
          <w:rFonts w:hint="eastAsia"/>
        </w:rPr>
        <w:fldChar w:fldCharType="separate"/>
      </w:r>
      <w:r>
        <w:rPr>
          <w:rFonts w:hint="eastAsia"/>
          <w:spacing w:val="100"/>
        </w:rPr>
        <w:t xml:space="preserve">附录A </w:t>
      </w:r>
      <w:r>
        <w:rPr>
          <w:rFonts w:hint="eastAsia"/>
        </w:rPr>
        <w:t xml:space="preserve"> （规范性） 数据集分类与编码规则</w:t>
      </w:r>
      <w:r>
        <w:tab/>
      </w:r>
      <w:r>
        <w:fldChar w:fldCharType="begin"/>
      </w:r>
      <w:r>
        <w:instrText xml:space="preserve"> PAGEREF _Toc6366 \h </w:instrText>
      </w:r>
      <w:r>
        <w:fldChar w:fldCharType="separate"/>
      </w:r>
      <w:r>
        <w:t>11</w:t>
      </w:r>
      <w:r>
        <w:fldChar w:fldCharType="end"/>
      </w:r>
      <w:r>
        <w:rPr>
          <w:rFonts w:hint="eastAsia"/>
        </w:rPr>
        <w:fldChar w:fldCharType="end"/>
      </w:r>
    </w:p>
    <w:p w14:paraId="0C0EA792">
      <w:pPr>
        <w:pStyle w:val="19"/>
        <w:tabs>
          <w:tab w:val="right" w:leader="dot" w:pos="9354"/>
        </w:tabs>
      </w:pPr>
      <w:r>
        <w:rPr>
          <w:rFonts w:hint="eastAsia"/>
        </w:rPr>
        <w:fldChar w:fldCharType="begin"/>
      </w:r>
      <w:r>
        <w:rPr>
          <w:rFonts w:hint="eastAsia"/>
        </w:rPr>
        <w:instrText xml:space="preserve"> HYPERLINK \l _Toc15710 </w:instrText>
      </w:r>
      <w:r>
        <w:rPr>
          <w:rFonts w:hint="eastAsia"/>
        </w:rPr>
        <w:fldChar w:fldCharType="separate"/>
      </w:r>
      <w:r>
        <w:rPr>
          <w:rFonts w:hint="eastAsia"/>
          <w:spacing w:val="100"/>
        </w:rPr>
        <w:t xml:space="preserve">附录B </w:t>
      </w:r>
      <w:r>
        <w:rPr>
          <w:rFonts w:hint="eastAsia"/>
        </w:rPr>
        <w:t xml:space="preserve"> （资料性） 国内文化和旅游高质量数据集先行先试示范项目示例</w:t>
      </w:r>
      <w:r>
        <w:tab/>
      </w:r>
      <w:r>
        <w:fldChar w:fldCharType="begin"/>
      </w:r>
      <w:r>
        <w:instrText xml:space="preserve"> PAGEREF _Toc15710 \h </w:instrText>
      </w:r>
      <w:r>
        <w:fldChar w:fldCharType="separate"/>
      </w:r>
      <w:r>
        <w:t>13</w:t>
      </w:r>
      <w:r>
        <w:fldChar w:fldCharType="end"/>
      </w:r>
      <w:r>
        <w:rPr>
          <w:rFonts w:hint="eastAsia"/>
        </w:rPr>
        <w:fldChar w:fldCharType="end"/>
      </w:r>
    </w:p>
    <w:p w14:paraId="61958B99">
      <w:pPr>
        <w:pStyle w:val="19"/>
        <w:tabs>
          <w:tab w:val="right" w:leader="dot" w:pos="9354"/>
        </w:tabs>
      </w:pPr>
      <w:r>
        <w:rPr>
          <w:rFonts w:hint="eastAsia"/>
        </w:rPr>
        <w:fldChar w:fldCharType="begin"/>
      </w:r>
      <w:r>
        <w:rPr>
          <w:rFonts w:hint="eastAsia"/>
        </w:rPr>
        <w:instrText xml:space="preserve"> HYPERLINK \l _Toc9282 </w:instrText>
      </w:r>
      <w:r>
        <w:rPr>
          <w:rFonts w:hint="eastAsia"/>
        </w:rPr>
        <w:fldChar w:fldCharType="separate"/>
      </w:r>
      <w:r>
        <w:rPr>
          <w:rFonts w:hint="eastAsia"/>
          <w:spacing w:val="105"/>
        </w:rPr>
        <w:t>参考文</w:t>
      </w:r>
      <w:r>
        <w:rPr>
          <w:rFonts w:hint="eastAsia"/>
        </w:rPr>
        <w:t>献</w:t>
      </w:r>
      <w:r>
        <w:tab/>
      </w:r>
      <w:r>
        <w:fldChar w:fldCharType="begin"/>
      </w:r>
      <w:r>
        <w:instrText xml:space="preserve"> PAGEREF _Toc9282 \h </w:instrText>
      </w:r>
      <w:r>
        <w:fldChar w:fldCharType="separate"/>
      </w:r>
      <w:r>
        <w:t>14</w:t>
      </w:r>
      <w:r>
        <w:fldChar w:fldCharType="end"/>
      </w:r>
      <w:r>
        <w:rPr>
          <w:rFonts w:hint="eastAsia"/>
        </w:rPr>
        <w:fldChar w:fldCharType="end"/>
      </w:r>
    </w:p>
    <w:p w14:paraId="19C28260">
      <w:pPr>
        <w:pStyle w:val="91"/>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rPr>
          <w:rFonts w:hint="eastAsia"/>
        </w:rPr>
        <w:fldChar w:fldCharType="end"/>
      </w:r>
    </w:p>
    <w:bookmarkEnd w:id="21"/>
    <w:p w14:paraId="56106ACD">
      <w:pPr>
        <w:pStyle w:val="89"/>
        <w:spacing w:before="560" w:after="468"/>
      </w:pPr>
      <w:bookmarkStart w:id="22" w:name="_Toc6156"/>
      <w:bookmarkStart w:id="23" w:name="BookMark2"/>
      <w:r>
        <w:rPr>
          <w:rFonts w:hint="eastAsia"/>
          <w:spacing w:val="320"/>
        </w:rPr>
        <w:t>前</w:t>
      </w:r>
      <w:r>
        <w:rPr>
          <w:rFonts w:hint="eastAsia"/>
        </w:rPr>
        <w:t>言</w:t>
      </w:r>
      <w:bookmarkEnd w:id="22"/>
    </w:p>
    <w:p w14:paraId="4EDE10B7">
      <w:pPr>
        <w:pStyle w:val="56"/>
        <w:ind w:firstLine="420"/>
      </w:pPr>
      <w:r>
        <w:rPr>
          <w:rFonts w:hint="eastAsia"/>
        </w:rPr>
        <w:t>本文件按照GB/T 1.1—2020《标准化工作导则  第1部分：标准化文件的结构和起草规则》的规定起草。</w:t>
      </w:r>
    </w:p>
    <w:p w14:paraId="383418F1">
      <w:pPr>
        <w:pStyle w:val="56"/>
        <w:ind w:firstLine="420"/>
      </w:pPr>
      <w:r>
        <w:rPr>
          <w:rFonts w:hint="eastAsia"/>
        </w:rPr>
        <w:t>请注意本文件的某些内容可能涉及专利。本文件的发布机构不承担识别专利的责任。</w:t>
      </w:r>
    </w:p>
    <w:p w14:paraId="41ADB4EF">
      <w:pPr>
        <w:pStyle w:val="56"/>
        <w:ind w:firstLine="420"/>
      </w:pPr>
      <w:r>
        <w:rPr>
          <w:rFonts w:hint="eastAsia"/>
        </w:rPr>
        <w:t>本文件由湖南省文化和旅游厅提出。</w:t>
      </w:r>
    </w:p>
    <w:p w14:paraId="4003176E">
      <w:pPr>
        <w:pStyle w:val="56"/>
        <w:ind w:firstLine="420"/>
      </w:pPr>
      <w:r>
        <w:rPr>
          <w:rFonts w:hint="eastAsia"/>
        </w:rPr>
        <w:t>本文件由湖南省旅游标准化技术委员会归口。</w:t>
      </w:r>
    </w:p>
    <w:p w14:paraId="51A6B24C">
      <w:pPr>
        <w:pStyle w:val="56"/>
        <w:ind w:firstLine="420"/>
        <w:rPr>
          <w:rFonts w:hint="eastAsia" w:eastAsia="宋体"/>
          <w:lang w:eastAsia="zh-CN"/>
        </w:rPr>
      </w:pPr>
      <w:r>
        <w:rPr>
          <w:rFonts w:hint="eastAsia"/>
        </w:rPr>
        <w:t>本文件起草单位：湖南工商大学</w:t>
      </w:r>
      <w:r>
        <w:rPr>
          <w:rFonts w:hint="eastAsia"/>
          <w:lang w:eastAsia="zh-CN"/>
        </w:rPr>
        <w:t>。</w:t>
      </w:r>
    </w:p>
    <w:p w14:paraId="0312F790">
      <w:pPr>
        <w:pStyle w:val="56"/>
        <w:ind w:firstLine="420"/>
        <w:rPr>
          <w:rFonts w:hint="eastAsia" w:eastAsia="宋体"/>
          <w:lang w:eastAsia="zh-CN"/>
        </w:rPr>
      </w:pPr>
      <w:r>
        <w:rPr>
          <w:rFonts w:hint="eastAsia"/>
        </w:rPr>
        <w:t>本文件主要起草人：何天祥</w:t>
      </w:r>
      <w:r>
        <w:rPr>
          <w:rFonts w:hint="eastAsia"/>
          <w:lang w:eastAsia="zh-CN"/>
        </w:rPr>
        <w:t>、罗茜、刘妮、田启华、赵君峡、余宛宸。</w:t>
      </w:r>
    </w:p>
    <w:p w14:paraId="09AFFCA6">
      <w:pPr>
        <w:pStyle w:val="56"/>
        <w:ind w:firstLine="420"/>
      </w:pPr>
    </w:p>
    <w:p w14:paraId="3F7C1BA9">
      <w:pPr>
        <w:pStyle w:val="56"/>
        <w:ind w:firstLine="420"/>
        <w:sectPr>
          <w:pgSz w:w="11906" w:h="16838"/>
          <w:pgMar w:top="1928" w:right="1134" w:bottom="1134" w:left="1134" w:header="1418" w:footer="1134" w:gutter="284"/>
          <w:pgNumType w:fmt="upperRoman"/>
          <w:cols w:space="425" w:num="1"/>
          <w:formProt w:val="0"/>
          <w:docGrid w:type="lines" w:linePitch="312" w:charSpace="0"/>
        </w:sectPr>
      </w:pPr>
      <w:bookmarkStart w:id="90" w:name="_GoBack"/>
      <w:bookmarkEnd w:id="90"/>
    </w:p>
    <w:bookmarkEnd w:id="23"/>
    <w:p w14:paraId="173E0B70">
      <w:pPr>
        <w:spacing w:line="20" w:lineRule="exact"/>
        <w:jc w:val="center"/>
        <w:rPr>
          <w:rFonts w:hint="eastAsia" w:ascii="黑体" w:hAnsi="黑体" w:eastAsia="黑体"/>
          <w:sz w:val="32"/>
          <w:szCs w:val="32"/>
        </w:rPr>
      </w:pPr>
      <w:bookmarkStart w:id="24" w:name="BookMark4"/>
    </w:p>
    <w:p w14:paraId="42498534">
      <w:pPr>
        <w:spacing w:line="20" w:lineRule="exact"/>
        <w:jc w:val="center"/>
        <w:rPr>
          <w:rFonts w:hint="eastAsia" w:ascii="黑体" w:hAnsi="黑体" w:eastAsia="黑体"/>
          <w:sz w:val="32"/>
          <w:szCs w:val="32"/>
        </w:rPr>
      </w:pPr>
    </w:p>
    <w:sdt>
      <w:sdtPr>
        <w:tag w:val="NEW_STAND_NAME"/>
        <w:id w:val="595910757"/>
        <w:lock w:val="sdtLocked"/>
        <w:placeholder>
          <w:docPart w:val="E29255EA8535446A8698BCEB2DD58785"/>
        </w:placeholder>
      </w:sdtPr>
      <w:sdtContent>
        <w:p w14:paraId="1987FA9A">
          <w:pPr>
            <w:pStyle w:val="177"/>
            <w:spacing w:before="312" w:beforeLines="100" w:after="686" w:afterLines="220"/>
            <w:rPr>
              <w:rFonts w:hint="eastAsia"/>
            </w:rPr>
          </w:pPr>
          <w:bookmarkStart w:id="25" w:name="NEW_STAND_NAME"/>
          <w:r>
            <w:rPr>
              <w:rFonts w:hint="eastAsia"/>
            </w:rPr>
            <w:t>文化和旅游行业高质量数据集建设指南</w:t>
          </w:r>
        </w:p>
      </w:sdtContent>
    </w:sdt>
    <w:bookmarkEnd w:id="25"/>
    <w:p w14:paraId="10A5B034">
      <w:pPr>
        <w:pStyle w:val="104"/>
        <w:spacing w:before="312" w:after="312"/>
      </w:pPr>
      <w:bookmarkStart w:id="26" w:name="_Toc24884211"/>
      <w:bookmarkStart w:id="27" w:name="_Toc26718930"/>
      <w:bookmarkStart w:id="28" w:name="_Toc26986771"/>
      <w:bookmarkStart w:id="29" w:name="_Toc17233325"/>
      <w:bookmarkStart w:id="30" w:name="_Toc97191423"/>
      <w:bookmarkStart w:id="31" w:name="_Toc24884218"/>
      <w:bookmarkStart w:id="32" w:name="_Toc26648465"/>
      <w:bookmarkStart w:id="33" w:name="_Toc26986530"/>
      <w:bookmarkStart w:id="34" w:name="_Toc17727"/>
      <w:bookmarkStart w:id="35" w:name="_Toc17233333"/>
      <w:r>
        <w:rPr>
          <w:rFonts w:hint="eastAsia"/>
        </w:rPr>
        <w:t>范围</w:t>
      </w:r>
      <w:bookmarkEnd w:id="26"/>
      <w:bookmarkEnd w:id="27"/>
      <w:bookmarkEnd w:id="28"/>
      <w:bookmarkEnd w:id="29"/>
      <w:bookmarkEnd w:id="30"/>
      <w:bookmarkEnd w:id="31"/>
      <w:bookmarkEnd w:id="32"/>
      <w:bookmarkEnd w:id="33"/>
      <w:bookmarkEnd w:id="34"/>
      <w:bookmarkEnd w:id="35"/>
    </w:p>
    <w:p w14:paraId="3F656E97">
      <w:pPr>
        <w:pStyle w:val="56"/>
        <w:ind w:firstLine="420"/>
      </w:pPr>
      <w:bookmarkStart w:id="36" w:name="_Toc17233326"/>
      <w:bookmarkStart w:id="37" w:name="_Toc17233334"/>
      <w:bookmarkStart w:id="38" w:name="_Toc24884219"/>
      <w:bookmarkStart w:id="39" w:name="_Toc26648466"/>
      <w:bookmarkStart w:id="40" w:name="_Toc24884212"/>
      <w:r>
        <w:rPr>
          <w:rFonts w:hint="eastAsia"/>
        </w:rPr>
        <w:t>本文件提供了文化和旅游行业高质量数据集建设全生命周期的指导和建议，包括建设原则、应用场景、建设难点应对、数据需求、数据规划、数据采集、数据预处理、数据标注、模型验证与数据集维护、质量评估、安全保障与版权合规等内容。</w:t>
      </w:r>
    </w:p>
    <w:p w14:paraId="31507D6F">
      <w:pPr>
        <w:pStyle w:val="56"/>
        <w:ind w:firstLine="420"/>
      </w:pPr>
      <w:r>
        <w:rPr>
          <w:rFonts w:hint="eastAsia"/>
        </w:rPr>
        <w:t>本文件适用于湖南省文化和旅游行业高质量数据集的规划、建设、维护和评估工作，其他地区文化和旅游行业高质量数据集的建设工作可参照本文件执行。本文件为指南性文件，不具有强制性。</w:t>
      </w:r>
    </w:p>
    <w:p w14:paraId="77E8D859">
      <w:pPr>
        <w:pStyle w:val="104"/>
        <w:spacing w:before="312" w:after="312"/>
      </w:pPr>
      <w:bookmarkStart w:id="41" w:name="_Toc26986772"/>
      <w:bookmarkStart w:id="42" w:name="_Toc2625"/>
      <w:bookmarkStart w:id="43" w:name="_Toc97191424"/>
      <w:bookmarkStart w:id="44" w:name="_Toc26986531"/>
      <w:bookmarkStart w:id="45" w:name="_Toc26718931"/>
      <w:r>
        <w:rPr>
          <w:rFonts w:hint="eastAsia"/>
        </w:rPr>
        <w:t>规范性引用文件</w:t>
      </w:r>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8AB26F249DB443D0B5D6F273C4C91EBD"/>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3AC0C40C">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102DC1A0">
      <w:pPr>
        <w:pStyle w:val="56"/>
        <w:ind w:firstLine="420"/>
      </w:pPr>
      <w:r>
        <w:rPr>
          <w:rFonts w:hint="eastAsia"/>
        </w:rPr>
        <w:t>GB/T 25000.24—2017 系统与软件工程 系统与软件质量要求和评价（SQuaRE）第24部分：数据质量测量</w:t>
      </w:r>
    </w:p>
    <w:p w14:paraId="4669D29E">
      <w:pPr>
        <w:pStyle w:val="56"/>
        <w:ind w:firstLine="420"/>
      </w:pPr>
      <w:r>
        <w:rPr>
          <w:rFonts w:hint="eastAsia"/>
        </w:rPr>
        <w:t>GB/T 41867—2022 信息技术 人工智能 术语</w:t>
      </w:r>
    </w:p>
    <w:p w14:paraId="64C1D9C7">
      <w:pPr>
        <w:pStyle w:val="56"/>
        <w:ind w:firstLine="420"/>
      </w:pPr>
      <w:r>
        <w:rPr>
          <w:rFonts w:hint="eastAsia"/>
        </w:rPr>
        <w:t>GB/T 42755—2023 人工智能 面向机器学习的数据标注规程</w:t>
      </w:r>
    </w:p>
    <w:p w14:paraId="7BCC9416">
      <w:pPr>
        <w:pStyle w:val="56"/>
        <w:ind w:firstLine="420"/>
      </w:pPr>
      <w:r>
        <w:rPr>
          <w:rFonts w:hint="eastAsia"/>
        </w:rPr>
        <w:t>GB/T 43697—2024 数据安全技术 数据分类分级规则</w:t>
      </w:r>
    </w:p>
    <w:p w14:paraId="725A064D">
      <w:pPr>
        <w:pStyle w:val="56"/>
        <w:ind w:firstLine="420"/>
      </w:pPr>
      <w:r>
        <w:rPr>
          <w:rFonts w:hint="eastAsia"/>
        </w:rPr>
        <w:t>DB43/T 2914—2024 文化和旅游及相关产业分类与代码</w:t>
      </w:r>
    </w:p>
    <w:p w14:paraId="02B0B0FC">
      <w:pPr>
        <w:pStyle w:val="104"/>
        <w:spacing w:before="312" w:after="312"/>
      </w:pPr>
      <w:bookmarkStart w:id="46" w:name="_Toc97191425"/>
      <w:bookmarkStart w:id="47" w:name="_Toc13080"/>
      <w:r>
        <w:rPr>
          <w:rFonts w:hint="eastAsia"/>
          <w:szCs w:val="21"/>
        </w:rPr>
        <w:t>术语和定义</w:t>
      </w:r>
      <w:bookmarkEnd w:id="46"/>
      <w:bookmarkEnd w:id="47"/>
    </w:p>
    <w:sdt>
      <w:sdtPr>
        <w:id w:val="-1"/>
        <w:placeholder>
          <w:docPart w:val="55B6A2045FF84569944B83F618A356C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4F827482">
          <w:pPr>
            <w:pStyle w:val="56"/>
            <w:ind w:firstLine="420"/>
          </w:pPr>
          <w:bookmarkStart w:id="48" w:name="_Toc26986532"/>
          <w:bookmarkEnd w:id="48"/>
          <w:r>
            <w:t>下列术语和定义适用于本文件。</w:t>
          </w:r>
        </w:p>
      </w:sdtContent>
    </w:sdt>
    <w:p w14:paraId="5ABC8B93">
      <w:pPr>
        <w:pStyle w:val="223"/>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高质量数据集 high-quality dataset</w:t>
      </w:r>
    </w:p>
    <w:p w14:paraId="0E4369E9">
      <w:pPr>
        <w:pStyle w:val="56"/>
        <w:ind w:firstLine="420"/>
      </w:pPr>
      <w:r>
        <w:rPr>
          <w:rFonts w:hint="eastAsia"/>
        </w:rPr>
        <w:t>经过采集、加工等数据处理，可直接用于开发和训练人工智能模型，能有效提升模型性能的数据的集合。</w:t>
      </w:r>
    </w:p>
    <w:p w14:paraId="4B42CB83">
      <w:pPr>
        <w:pStyle w:val="223"/>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数据质量 data quality</w:t>
      </w:r>
    </w:p>
    <w:p w14:paraId="5C863F73">
      <w:pPr>
        <w:pStyle w:val="56"/>
        <w:ind w:firstLine="420"/>
      </w:pPr>
      <w:r>
        <w:rPr>
          <w:rFonts w:hint="eastAsia"/>
        </w:rPr>
        <w:t>在指定条件下使用时，数据的特性满足明确的和隐含的要求的程度。</w:t>
      </w:r>
    </w:p>
    <w:p w14:paraId="253CF6F8">
      <w:pPr>
        <w:pStyle w:val="56"/>
        <w:ind w:firstLine="420"/>
      </w:pPr>
      <w:r>
        <w:rPr>
          <w:rFonts w:hint="eastAsia"/>
        </w:rPr>
        <w:t>[来源：GB/T 25000.24—2017，4.11]</w:t>
      </w:r>
    </w:p>
    <w:p w14:paraId="2EDB59EB">
      <w:pPr>
        <w:pStyle w:val="223"/>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数据质量模型 data quality model</w:t>
      </w:r>
    </w:p>
    <w:p w14:paraId="30154D56">
      <w:pPr>
        <w:pStyle w:val="56"/>
        <w:ind w:firstLine="420"/>
      </w:pPr>
      <w:r>
        <w:rPr>
          <w:rFonts w:hint="eastAsia"/>
        </w:rPr>
        <w:t>已定义的特性集合，提供一个框架用于说明数据质量需求和评价数据质量。</w:t>
      </w:r>
    </w:p>
    <w:p w14:paraId="3C44A23A">
      <w:pPr>
        <w:pStyle w:val="56"/>
        <w:ind w:firstLine="420"/>
      </w:pPr>
      <w:r>
        <w:rPr>
          <w:rFonts w:hint="eastAsia"/>
        </w:rPr>
        <w:t>[来源：GB/T 25000.24—2017，4.14]</w:t>
      </w:r>
    </w:p>
    <w:p w14:paraId="30105793">
      <w:pPr>
        <w:pStyle w:val="223"/>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数据标注 data labeling</w:t>
      </w:r>
    </w:p>
    <w:p w14:paraId="7DFC6755">
      <w:pPr>
        <w:pStyle w:val="56"/>
        <w:ind w:firstLine="420"/>
      </w:pPr>
      <w:r>
        <w:rPr>
          <w:rFonts w:hint="eastAsia"/>
        </w:rPr>
        <w:t>给数据样本指定目标变量和赋值的过程。</w:t>
      </w:r>
    </w:p>
    <w:p w14:paraId="57152C47">
      <w:pPr>
        <w:pStyle w:val="56"/>
        <w:ind w:firstLine="420"/>
      </w:pPr>
      <w:r>
        <w:rPr>
          <w:rFonts w:hint="eastAsia"/>
        </w:rPr>
        <w:t>[来源：GB/T 42755—2023，3.1]</w:t>
      </w:r>
    </w:p>
    <w:p w14:paraId="62507822">
      <w:pPr>
        <w:pStyle w:val="223"/>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数据架构 data architecture</w:t>
      </w:r>
    </w:p>
    <w:p w14:paraId="441D901C">
      <w:pPr>
        <w:pStyle w:val="56"/>
        <w:ind w:firstLine="420"/>
      </w:pPr>
      <w:r>
        <w:rPr>
          <w:rFonts w:hint="eastAsia"/>
        </w:rPr>
        <w:t>企业主要数据类型和来源、逻辑数据资产、物理数据资产和数据管理资源的结构和相互作用描述。</w:t>
      </w:r>
    </w:p>
    <w:p w14:paraId="3D2E6142">
      <w:pPr>
        <w:pStyle w:val="56"/>
        <w:ind w:firstLine="420"/>
      </w:pPr>
      <w:r>
        <w:rPr>
          <w:rFonts w:hint="eastAsia"/>
        </w:rPr>
        <w:t>[来源：ISO TR 21965:2019，3.2.6]</w:t>
      </w:r>
    </w:p>
    <w:p w14:paraId="3755E7B6">
      <w:pPr>
        <w:pStyle w:val="223"/>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有监督机器学习 supervised machine learning</w:t>
      </w:r>
    </w:p>
    <w:p w14:paraId="75A6F693">
      <w:pPr>
        <w:pStyle w:val="56"/>
        <w:ind w:firstLine="420"/>
      </w:pPr>
      <w:r>
        <w:rPr>
          <w:rFonts w:hint="eastAsia"/>
        </w:rPr>
        <w:t>仅用标注数据进行训练的机器学习。</w:t>
      </w:r>
    </w:p>
    <w:p w14:paraId="214E4DDB">
      <w:pPr>
        <w:pStyle w:val="56"/>
        <w:ind w:firstLine="420"/>
      </w:pPr>
      <w:r>
        <w:rPr>
          <w:rFonts w:hint="eastAsia"/>
        </w:rPr>
        <w:t>[来源：GB/T 41867—2022，3.2.37]</w:t>
      </w:r>
    </w:p>
    <w:p w14:paraId="540D8620">
      <w:pPr>
        <w:pStyle w:val="223"/>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文化和旅游行业 cultural and tourism industry</w:t>
      </w:r>
    </w:p>
    <w:p w14:paraId="25DF62FA">
      <w:pPr>
        <w:pStyle w:val="56"/>
        <w:ind w:firstLine="420"/>
      </w:pPr>
      <w:r>
        <w:rPr>
          <w:rFonts w:hint="eastAsia"/>
        </w:rPr>
        <w:t>为社会公众提供文化产品和旅游产品的生产活动的集合，以及为实现文化和旅游产品的生产活动提供所需的辅助生产、管理及其他综合服务的集合。</w:t>
      </w:r>
    </w:p>
    <w:p w14:paraId="05E4D323">
      <w:pPr>
        <w:pStyle w:val="56"/>
        <w:ind w:firstLine="420"/>
      </w:pPr>
      <w:r>
        <w:rPr>
          <w:rFonts w:hint="eastAsia"/>
        </w:rPr>
        <w:t>[来源：DB43/T 2914—2024，3.3]</w:t>
      </w:r>
    </w:p>
    <w:p w14:paraId="36848FAD">
      <w:pPr>
        <w:pStyle w:val="223"/>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文化和旅游行业高质量数据集 high-quality dataset for culture and tourism industry</w:t>
      </w:r>
    </w:p>
    <w:p w14:paraId="1688AEE6">
      <w:pPr>
        <w:pStyle w:val="56"/>
        <w:ind w:firstLine="420"/>
      </w:pPr>
      <w:r>
        <w:rPr>
          <w:rFonts w:hint="eastAsia"/>
        </w:rPr>
        <w:t>服务于文化和旅游行业，经过采集、加工等数据处理，可直接用于开发和训练人工智能模型，能有效提升模型性能的数据集合。</w:t>
      </w:r>
    </w:p>
    <w:p w14:paraId="14AA793C">
      <w:pPr>
        <w:pStyle w:val="179"/>
      </w:pPr>
      <w:r>
        <w:rPr>
          <w:rFonts w:hint="eastAsia"/>
        </w:rPr>
        <w:t>文化和旅游行业高质量数据集在满足3.1通用要求的基础上，还应具备行业知识密度、场景针对性、业务可用性、文化准确性等特征。</w:t>
      </w:r>
    </w:p>
    <w:p w14:paraId="6AF9B7CE">
      <w:pPr>
        <w:pStyle w:val="223"/>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文化内容审核 cultural content review</w:t>
      </w:r>
    </w:p>
    <w:p w14:paraId="090D3ED8">
      <w:pPr>
        <w:pStyle w:val="56"/>
        <w:ind w:firstLine="420"/>
      </w:pPr>
      <w:r>
        <w:rPr>
          <w:rFonts w:hint="eastAsia"/>
        </w:rPr>
        <w:t>对数据集中的文化相关内容（如历史事实、民族宗教表述、非物质文化遗产信息等）进行专业性、准确性、合规性审查的过程。</w:t>
      </w:r>
    </w:p>
    <w:p w14:paraId="5C309240">
      <w:pPr>
        <w:pStyle w:val="104"/>
        <w:spacing w:before="312" w:after="312"/>
      </w:pPr>
      <w:bookmarkStart w:id="49" w:name="_Toc30700"/>
      <w:r>
        <w:rPr>
          <w:rFonts w:hint="eastAsia"/>
        </w:rPr>
        <w:t>建设原则</w:t>
      </w:r>
      <w:bookmarkEnd w:id="49"/>
    </w:p>
    <w:p w14:paraId="4E677A6A">
      <w:pPr>
        <w:pStyle w:val="105"/>
        <w:spacing w:before="156" w:after="156"/>
      </w:pPr>
      <w:bookmarkStart w:id="50" w:name="_Toc29916"/>
      <w:bookmarkStart w:id="51" w:name="_Toc13973"/>
      <w:r>
        <w:rPr>
          <w:rFonts w:hint="eastAsia"/>
        </w:rPr>
        <w:t>建设原则</w:t>
      </w:r>
      <w:bookmarkEnd w:id="50"/>
      <w:bookmarkEnd w:id="51"/>
    </w:p>
    <w:p w14:paraId="72D01430">
      <w:pPr>
        <w:pStyle w:val="56"/>
        <w:ind w:firstLine="420"/>
      </w:pPr>
      <w:r>
        <w:rPr>
          <w:rFonts w:hint="eastAsia"/>
        </w:rPr>
        <w:t>文化和旅游行业高质量数据集的建设应遵循以下原则：</w:t>
      </w:r>
    </w:p>
    <w:p w14:paraId="33A373EB">
      <w:pPr>
        <w:pStyle w:val="174"/>
        <w:bidi w:val="0"/>
        <w:ind w:left="851" w:leftChars="0" w:hanging="426" w:firstLineChars="0"/>
      </w:pPr>
      <w:r>
        <w:rPr>
          <w:rFonts w:hint="eastAsia"/>
        </w:rPr>
        <w:t>场景驱动：以人工智能模型训练和文旅业务应用场景为出发点，明确数据集建设的目标和需求，避免“大而全”的盲目建设；</w:t>
      </w:r>
    </w:p>
    <w:p w14:paraId="20A2C93A">
      <w:pPr>
        <w:pStyle w:val="174"/>
        <w:bidi w:val="0"/>
        <w:ind w:left="851" w:leftChars="0" w:hanging="426" w:firstLineChars="0"/>
      </w:pPr>
      <w:r>
        <w:rPr>
          <w:rFonts w:hint="eastAsia"/>
        </w:rPr>
        <w:t>质量优先：将数据质量作为数据集建设的核心要求，建立覆盖全生命周期的质量管理机制；</w:t>
      </w:r>
    </w:p>
    <w:p w14:paraId="200E7B28">
      <w:pPr>
        <w:pStyle w:val="174"/>
        <w:bidi w:val="0"/>
        <w:ind w:left="851" w:leftChars="0" w:hanging="426" w:firstLineChars="0"/>
      </w:pPr>
      <w:r>
        <w:rPr>
          <w:rFonts w:hint="eastAsia"/>
        </w:rPr>
        <w:t>文化准确：文旅数据涉及历史文化、民族宗教、非遗传承等敏感领域，应确保内容的专业性和准确性；</w:t>
      </w:r>
    </w:p>
    <w:p w14:paraId="66977323">
      <w:pPr>
        <w:pStyle w:val="174"/>
        <w:bidi w:val="0"/>
        <w:ind w:left="851" w:leftChars="0" w:hanging="426" w:firstLineChars="0"/>
      </w:pPr>
      <w:r>
        <w:rPr>
          <w:rFonts w:hint="eastAsia"/>
        </w:rPr>
        <w:t>合规可信：遵守数据安全、个人信息保护、著作权保护等相关法律法规，确保数据来源合法、使用合规、版权清晰；</w:t>
      </w:r>
    </w:p>
    <w:p w14:paraId="5B28FC1A">
      <w:pPr>
        <w:pStyle w:val="174"/>
        <w:bidi w:val="0"/>
        <w:ind w:left="851" w:leftChars="0" w:hanging="426" w:firstLineChars="0"/>
      </w:pPr>
      <w:r>
        <w:rPr>
          <w:rFonts w:hint="eastAsia"/>
        </w:rPr>
        <w:t>迭代优化：数据集建设是持续迭代的过程，应根据模型验证反馈和业务需求变化不断优化；</w:t>
      </w:r>
    </w:p>
    <w:p w14:paraId="4E5C4AFC">
      <w:pPr>
        <w:pStyle w:val="174"/>
        <w:bidi w:val="0"/>
        <w:ind w:left="851" w:leftChars="0" w:hanging="426" w:firstLineChars="0"/>
      </w:pPr>
      <w:r>
        <w:rPr>
          <w:rFonts w:hint="eastAsia"/>
        </w:rPr>
        <w:t>标准衔接：与国家高质量数据集建设相关标准规范保持一致，数据采集业务口径、数据集存储汇聚、场景应用应与湖南省现行文旅相关标准相衔接，避免重复建设。</w:t>
      </w:r>
    </w:p>
    <w:p w14:paraId="45B581B5">
      <w:pPr>
        <w:pStyle w:val="104"/>
        <w:spacing w:before="312" w:after="312"/>
      </w:pPr>
      <w:bookmarkStart w:id="52" w:name="_Toc12699"/>
      <w:r>
        <w:rPr>
          <w:rFonts w:hint="eastAsia"/>
        </w:rPr>
        <w:t>建设方法</w:t>
      </w:r>
      <w:bookmarkEnd w:id="52"/>
    </w:p>
    <w:p w14:paraId="5F3DE6A0">
      <w:pPr>
        <w:pStyle w:val="56"/>
        <w:ind w:firstLine="420"/>
      </w:pPr>
      <w:r>
        <w:rPr>
          <w:rFonts w:hint="eastAsia"/>
        </w:rPr>
        <w:t>文化和旅游行业高质量数据集建设应按照生命周期有序展开，建设生命周期交付前阶段包括数据需求、数据规划、数据采集、数据预处理、数据标注、模型验证；数据集交付后的运维管理见第 14 章。各阶段主要按顺序逐步开展，同时各阶段会对其他阶段进行反馈，或者会在其他阶段反馈下进行迭代优化。文化和旅游行业高质量数据集建设方法如图1所示。</w:t>
      </w:r>
    </w:p>
    <w:p w14:paraId="64C57B37">
      <w:pPr>
        <w:pStyle w:val="56"/>
        <w:ind w:firstLine="420"/>
        <w:jc w:val="center"/>
      </w:pPr>
      <w:r>
        <w:drawing>
          <wp:inline distT="0" distB="0" distL="114300" distR="114300">
            <wp:extent cx="4352290" cy="6972300"/>
            <wp:effectExtent l="0" t="0" r="6350" b="762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6"/>
                    <a:stretch>
                      <a:fillRect/>
                    </a:stretch>
                  </pic:blipFill>
                  <pic:spPr>
                    <a:xfrm>
                      <a:off x="0" y="0"/>
                      <a:ext cx="4352290" cy="6972300"/>
                    </a:xfrm>
                    <a:prstGeom prst="rect">
                      <a:avLst/>
                    </a:prstGeom>
                    <a:noFill/>
                    <a:ln>
                      <a:noFill/>
                    </a:ln>
                  </pic:spPr>
                </pic:pic>
              </a:graphicData>
            </a:graphic>
          </wp:inline>
        </w:drawing>
      </w:r>
    </w:p>
    <w:p w14:paraId="0714C6D3">
      <w:pPr>
        <w:pStyle w:val="114"/>
        <w:spacing w:before="156" w:after="156"/>
      </w:pPr>
      <w:r>
        <w:rPr>
          <w:rFonts w:hint="eastAsia"/>
        </w:rPr>
        <w:t>文化和旅游行业高质量数据集建设方法</w:t>
      </w:r>
    </w:p>
    <w:p w14:paraId="431C37F6">
      <w:pPr>
        <w:pStyle w:val="104"/>
        <w:spacing w:before="312" w:after="312"/>
      </w:pPr>
      <w:bookmarkStart w:id="53" w:name="_Toc16437"/>
      <w:r>
        <w:rPr>
          <w:rFonts w:hint="eastAsia"/>
        </w:rPr>
        <w:t>数据需求</w:t>
      </w:r>
      <w:bookmarkEnd w:id="53"/>
    </w:p>
    <w:p w14:paraId="2C9BB1C2">
      <w:pPr>
        <w:pStyle w:val="105"/>
        <w:spacing w:before="156" w:after="156"/>
      </w:pPr>
      <w:bookmarkStart w:id="54" w:name="_Toc204"/>
      <w:bookmarkStart w:id="55" w:name="_Toc26453"/>
      <w:r>
        <w:rPr>
          <w:rFonts w:hint="eastAsia"/>
        </w:rPr>
        <w:t>主要应用场景</w:t>
      </w:r>
      <w:bookmarkEnd w:id="54"/>
      <w:bookmarkEnd w:id="55"/>
    </w:p>
    <w:p w14:paraId="6BFF2DB3">
      <w:pPr>
        <w:pStyle w:val="56"/>
        <w:ind w:firstLine="420"/>
      </w:pPr>
      <w:r>
        <w:rPr>
          <w:rFonts w:hint="eastAsia"/>
        </w:rPr>
        <w:t>数据集建设应以业务应用场景为出发点，建设方应结合文旅行业特性选定建设目标场景，不宜跨多方向铺开建设。文旅行业高质量数据集主要可服务于以下应用方向：</w:t>
      </w:r>
    </w:p>
    <w:p w14:paraId="37891E25">
      <w:pPr>
        <w:pStyle w:val="174"/>
        <w:numPr>
          <w:ilvl w:val="0"/>
          <w:numId w:val="32"/>
        </w:numPr>
      </w:pPr>
      <w:r>
        <w:rPr>
          <w:rFonts w:hint="eastAsia"/>
        </w:rPr>
        <w:t>文化宣传推广：支撑AIGC内容生产（多语言宣传文案、海报、短视频生成）、AI搜索优化、数字人讲解、跨文化传播等应用；</w:t>
      </w:r>
    </w:p>
    <w:p w14:paraId="22563D7F">
      <w:pPr>
        <w:pStyle w:val="174"/>
        <w:numPr>
          <w:ilvl w:val="0"/>
          <w:numId w:val="32"/>
        </w:numPr>
      </w:pPr>
      <w:r>
        <w:rPr>
          <w:rFonts w:hint="eastAsia"/>
        </w:rPr>
        <w:t>游客智能化服务：支撑个性化行程规划、智能导览、精准推荐、应急服务预警等应用；</w:t>
      </w:r>
    </w:p>
    <w:p w14:paraId="6181F29F">
      <w:pPr>
        <w:pStyle w:val="174"/>
        <w:numPr>
          <w:ilvl w:val="0"/>
          <w:numId w:val="32"/>
        </w:numPr>
      </w:pPr>
      <w:r>
        <w:rPr>
          <w:rFonts w:hint="eastAsia"/>
        </w:rPr>
        <w:t>文旅产品创新：支撑文创产品开发、沉浸式体验（AR/VR）、数字文化产品、沉浸式娱乐项目等应用的数据需求；</w:t>
      </w:r>
    </w:p>
    <w:p w14:paraId="5145B486">
      <w:pPr>
        <w:pStyle w:val="174"/>
        <w:numPr>
          <w:ilvl w:val="0"/>
          <w:numId w:val="32"/>
        </w:numPr>
      </w:pPr>
      <w:r>
        <w:rPr>
          <w:rFonts w:hint="eastAsia"/>
        </w:rPr>
        <w:t>文旅治理：支撑文旅资源“一图统管”、产业运行监测、客流预测与应急指挥、市场监管与信用评价等应用；</w:t>
      </w:r>
    </w:p>
    <w:p w14:paraId="7A2B4EB2">
      <w:pPr>
        <w:pStyle w:val="174"/>
        <w:numPr>
          <w:ilvl w:val="0"/>
          <w:numId w:val="32"/>
        </w:numPr>
      </w:pPr>
      <w:r>
        <w:rPr>
          <w:rFonts w:hint="eastAsia"/>
        </w:rPr>
        <w:t>延伸场景：包括但不限于乡村旅游品牌建设、文化遗产保护分析、面向境外游客的跨境数字服务等。</w:t>
      </w:r>
    </w:p>
    <w:p w14:paraId="6A76F095">
      <w:pPr>
        <w:pStyle w:val="56"/>
        <w:ind w:firstLine="420"/>
      </w:pPr>
      <w:r>
        <w:rPr>
          <w:rFonts w:hint="eastAsia"/>
        </w:rPr>
        <w:t>建设方选定目标场景后，开展后续的数据需求定义工作。</w:t>
      </w:r>
    </w:p>
    <w:p w14:paraId="6FF86FF3">
      <w:pPr>
        <w:pStyle w:val="105"/>
        <w:spacing w:before="156" w:after="156"/>
      </w:pPr>
      <w:bookmarkStart w:id="56" w:name="_Toc17245"/>
      <w:bookmarkStart w:id="57" w:name="_Toc11880"/>
      <w:r>
        <w:rPr>
          <w:rFonts w:hint="eastAsia"/>
        </w:rPr>
        <w:t>数据需求定义</w:t>
      </w:r>
      <w:bookmarkEnd w:id="56"/>
      <w:bookmarkEnd w:id="57"/>
    </w:p>
    <w:p w14:paraId="28EBA5BB">
      <w:pPr>
        <w:pStyle w:val="56"/>
        <w:ind w:firstLine="420"/>
      </w:pPr>
      <w:r>
        <w:rPr>
          <w:rFonts w:hint="eastAsia"/>
        </w:rPr>
        <w:t>基于已确定的应用场景，从数据范围、可使用性、质量模型、目标模型类型方面开展需求定义。</w:t>
      </w:r>
    </w:p>
    <w:p w14:paraId="7341B280">
      <w:pPr>
        <w:pStyle w:val="174"/>
        <w:numPr>
          <w:ilvl w:val="0"/>
          <w:numId w:val="33"/>
        </w:numPr>
        <w:bidi w:val="0"/>
        <w:ind w:left="851" w:leftChars="0" w:hanging="426" w:firstLineChars="0"/>
      </w:pPr>
      <w:r>
        <w:rPr>
          <w:rFonts w:hint="eastAsia"/>
        </w:rPr>
        <w:t>确定数据集所需数据范围、内容等：根据预期人工智能应用，明确需要哪些具体数据，包括数 据格式、统计特性和可分性等。文旅行业数据范围、分类口径的界定，旅游资源类数据按DB43/T 2850—2023执行，产业统计类数据按DB43/T 2914—2024执行。文旅行业应特别明确：</w:t>
      </w:r>
    </w:p>
    <w:p w14:paraId="3A69C1DA">
      <w:pPr>
        <w:pStyle w:val="132"/>
      </w:pPr>
      <w:r>
        <w:rPr>
          <w:rFonts w:hint="eastAsia"/>
        </w:rPr>
        <w:t>数据模态需求（文本/图像/音视频/三维模型等）；</w:t>
      </w:r>
    </w:p>
    <w:p w14:paraId="063E8AA9">
      <w:pPr>
        <w:pStyle w:val="132"/>
      </w:pPr>
      <w:r>
        <w:rPr>
          <w:rFonts w:hint="eastAsia"/>
        </w:rPr>
        <w:t>业务场景需求。应结合第4.2所列应用方向和湖南省文旅产业重点发展方向确定，包括但不限于：</w:t>
      </w:r>
    </w:p>
    <w:p w14:paraId="285A2D4B">
      <w:pPr>
        <w:pStyle w:val="132"/>
      </w:pPr>
      <w:r>
        <w:rPr>
          <w:rFonts w:hint="eastAsia"/>
        </w:rPr>
        <w:t>智慧景区与导览场景（对应DB43/T 2132—2021、DB43/T 1536—2018）；</w:t>
      </w:r>
    </w:p>
    <w:p w14:paraId="26885D0E">
      <w:pPr>
        <w:pStyle w:val="132"/>
      </w:pPr>
      <w:r>
        <w:rPr>
          <w:rFonts w:hint="eastAsia"/>
        </w:rPr>
        <w:t>自驾游与房车露营服务场景（对应DB43/T 1713—2019、DB43/T 1893—2020、DB43/T 2244—2021等自驾游系列标准）；</w:t>
      </w:r>
    </w:p>
    <w:p w14:paraId="5866AE83">
      <w:pPr>
        <w:pStyle w:val="132"/>
      </w:pPr>
      <w:r>
        <w:rPr>
          <w:rFonts w:hint="eastAsia"/>
        </w:rPr>
        <w:t>研学旅行服务场景（对应DB43/T 2231—2021、DB43/T 2854—2023等研学系列标准）；</w:t>
      </w:r>
    </w:p>
    <w:p w14:paraId="7641BBEA">
      <w:pPr>
        <w:pStyle w:val="132"/>
      </w:pPr>
      <w:r>
        <w:rPr>
          <w:rFonts w:hint="eastAsia"/>
        </w:rPr>
        <w:t>乡村旅游与民宿场景（对应DB43/T 483—2017、DB43/T 484—2017、DB43/T 2361—2022）；</w:t>
      </w:r>
    </w:p>
    <w:p w14:paraId="52D30887">
      <w:pPr>
        <w:pStyle w:val="132"/>
      </w:pPr>
      <w:r>
        <w:rPr>
          <w:rFonts w:hint="eastAsia"/>
        </w:rPr>
        <w:t>文旅消费与夜间经济场景（对应DB43/T 2852—2023）；</w:t>
      </w:r>
    </w:p>
    <w:p w14:paraId="04FAFB16">
      <w:pPr>
        <w:pStyle w:val="132"/>
      </w:pPr>
      <w:r>
        <w:rPr>
          <w:rFonts w:hint="eastAsia"/>
        </w:rPr>
        <w:t>公共文化服务场景（对应DB43/T 2070—2021、DB43/T 2436—2022）；</w:t>
      </w:r>
    </w:p>
    <w:p w14:paraId="2B7F3EE1">
      <w:pPr>
        <w:pStyle w:val="132"/>
      </w:pPr>
      <w:r>
        <w:rPr>
          <w:rFonts w:hint="eastAsia"/>
        </w:rPr>
        <w:t>文化内容范围（历史时期、民族、地域等）。</w:t>
      </w:r>
    </w:p>
    <w:p w14:paraId="4B9C06F1">
      <w:pPr>
        <w:pStyle w:val="174"/>
        <w:bidi w:val="0"/>
      </w:pPr>
      <w:r>
        <w:rPr>
          <w:rFonts w:hint="eastAsia"/>
        </w:rPr>
        <w:t>检查数据集所需要数据的可使用性：确认用于特定人工智能应用的数据是否可获取并使用。文旅行业数据来源广泛，需逐一核实：</w:t>
      </w:r>
    </w:p>
    <w:p w14:paraId="3BC33726">
      <w:pPr>
        <w:pStyle w:val="132"/>
      </w:pPr>
      <w:r>
        <w:rPr>
          <w:rFonts w:hint="eastAsia"/>
        </w:rPr>
        <w:t>公共数据是否可通过授权获取；</w:t>
      </w:r>
    </w:p>
    <w:p w14:paraId="4B278059">
      <w:pPr>
        <w:pStyle w:val="132"/>
      </w:pPr>
      <w:r>
        <w:rPr>
          <w:rFonts w:hint="eastAsia"/>
        </w:rPr>
        <w:t>业务系统数据是否可导出；</w:t>
      </w:r>
    </w:p>
    <w:p w14:paraId="4573C47A">
      <w:pPr>
        <w:pStyle w:val="132"/>
      </w:pPr>
      <w:r>
        <w:rPr>
          <w:rFonts w:hint="eastAsia"/>
        </w:rPr>
        <w:t>互联网数据采集是否符合网站协议；</w:t>
      </w:r>
    </w:p>
    <w:p w14:paraId="0545569D">
      <w:pPr>
        <w:pStyle w:val="132"/>
      </w:pPr>
      <w:r>
        <w:rPr>
          <w:rFonts w:hint="eastAsia"/>
        </w:rPr>
        <w:t>专业采集数据是否需要拍摄许可。</w:t>
      </w:r>
    </w:p>
    <w:p w14:paraId="501873CA">
      <w:pPr>
        <w:pStyle w:val="174"/>
        <w:bidi w:val="0"/>
      </w:pPr>
      <w:r>
        <w:rPr>
          <w:rFonts w:hint="eastAsia"/>
        </w:rPr>
        <w:t>构建数据集所需要的数据质量模型：实例化一个具有相关数据质量特性（例如，完整性、准确性、一致性等）的数据质量模型。建设方应根据4.3所选应用方向，在数据质量模型中为相应质量特性设定差异化的优先级或要求。文旅行业应特别关注：</w:t>
      </w:r>
    </w:p>
    <w:p w14:paraId="551EF369">
      <w:pPr>
        <w:pStyle w:val="132"/>
      </w:pPr>
      <w:r>
        <w:rPr>
          <w:rFonts w:hint="eastAsia"/>
        </w:rPr>
        <w:t>文化准确性：历史事实、民族宗教表述的准确性；</w:t>
      </w:r>
    </w:p>
    <w:p w14:paraId="1F6CD39F">
      <w:pPr>
        <w:pStyle w:val="132"/>
      </w:pPr>
      <w:r>
        <w:rPr>
          <w:rFonts w:hint="eastAsia"/>
        </w:rPr>
        <w:t>场景适配性：数据是否覆盖目标应用场景的全部典型情况。</w:t>
      </w:r>
    </w:p>
    <w:p w14:paraId="2CFF3163">
      <w:pPr>
        <w:pStyle w:val="174"/>
        <w:bidi w:val="0"/>
      </w:pPr>
      <w:r>
        <w:rPr>
          <w:rFonts w:hint="eastAsia"/>
        </w:rPr>
        <w:t>明确目标模型类型：确定数据集将服务于哪类人工智能模型（通用模型/行业垂直模型/场景模型），不同模型对数据深度和广度的要求不同。</w:t>
      </w:r>
    </w:p>
    <w:p w14:paraId="55166666">
      <w:pPr>
        <w:pStyle w:val="174"/>
        <w:bidi w:val="0"/>
      </w:pPr>
      <w:r>
        <w:rPr>
          <w:rFonts w:hint="eastAsia"/>
        </w:rPr>
        <w:t>开展合规可行性预判，版权、个人信息保护要求参见第 13 章。</w:t>
      </w:r>
    </w:p>
    <w:p w14:paraId="5763432D">
      <w:pPr>
        <w:pStyle w:val="104"/>
        <w:spacing w:before="312" w:after="312"/>
      </w:pPr>
      <w:bookmarkStart w:id="58" w:name="_Toc7290"/>
      <w:r>
        <w:rPr>
          <w:rFonts w:hint="eastAsia"/>
        </w:rPr>
        <w:t>数据规划</w:t>
      </w:r>
      <w:bookmarkEnd w:id="58"/>
    </w:p>
    <w:p w14:paraId="1614F350">
      <w:pPr>
        <w:pStyle w:val="56"/>
        <w:ind w:firstLine="420"/>
      </w:pPr>
      <w:r>
        <w:rPr>
          <w:rFonts w:hint="eastAsia"/>
        </w:rPr>
        <w:t>数据规划阶段主要是确保所用数据满足数据需求阶段的要求，同时为使用这些数据完成人工智能应用的目标提供支持。该阶段包括但不限于：</w:t>
      </w:r>
    </w:p>
    <w:p w14:paraId="3CC6EEFF">
      <w:pPr>
        <w:pStyle w:val="174"/>
        <w:numPr>
          <w:ilvl w:val="0"/>
          <w:numId w:val="34"/>
        </w:numPr>
      </w:pPr>
      <w:r>
        <w:rPr>
          <w:rFonts w:hint="eastAsia"/>
        </w:rPr>
        <w:t>设计数据架构：界定所需数据的全部属性、来源、范围等，以及如何使用这些数据。文旅行业数据架构设计应考虑：</w:t>
      </w:r>
    </w:p>
    <w:p w14:paraId="36CB898C">
      <w:pPr>
        <w:pStyle w:val="132"/>
      </w:pPr>
      <w:r>
        <w:rPr>
          <w:rFonts w:hint="eastAsia"/>
        </w:rPr>
        <w:t>模态数据的存储方案（文本库、图像库、音视频库、三维模型库）；</w:t>
      </w:r>
    </w:p>
    <w:p w14:paraId="3968A2B1">
      <w:pPr>
        <w:pStyle w:val="132"/>
      </w:pPr>
      <w:r>
        <w:rPr>
          <w:rFonts w:hint="eastAsia"/>
        </w:rPr>
        <w:t>数据之间的关联关系（如景区与地理位置、文物与历史背景的关联）；</w:t>
      </w:r>
    </w:p>
    <w:p w14:paraId="7E362A2D">
      <w:pPr>
        <w:pStyle w:val="132"/>
      </w:pPr>
      <w:r>
        <w:rPr>
          <w:rFonts w:hint="eastAsia"/>
        </w:rPr>
        <w:t>元数据设计（数据来源、采集时间、版权状态、安全等级等）。</w:t>
      </w:r>
    </w:p>
    <w:p w14:paraId="7EFD044B">
      <w:pPr>
        <w:pStyle w:val="174"/>
        <w:numPr>
          <w:ilvl w:val="0"/>
          <w:numId w:val="34"/>
        </w:numPr>
      </w:pPr>
      <w:r>
        <w:rPr>
          <w:rFonts w:hint="eastAsia"/>
        </w:rPr>
        <w:t>制定具体计划：制定涵盖数据采集、数据预处理、数据标注、模型验证与数据集维护等阶段的具体计划，包括各阶段实施计划、数据质量计划、版权合规计划（数据授权获取、版权声明、使用范围界定）、数据更新与维护计划等，以满足数据规范等方面要求。</w:t>
      </w:r>
    </w:p>
    <w:p w14:paraId="4B9AAC81">
      <w:pPr>
        <w:pStyle w:val="174"/>
        <w:numPr>
          <w:ilvl w:val="0"/>
          <w:numId w:val="34"/>
        </w:numPr>
      </w:pPr>
      <w:r>
        <w:rPr>
          <w:rFonts w:hint="eastAsia"/>
        </w:rPr>
        <w:t>预计工作体量：预估获得和准备数据以支持特定人工智能应用所需的工作量，可能包括任何必要的数据重组、传输或收集的时间，以及为特定人工智能应用构建数据质量模型的时间。</w:t>
      </w:r>
    </w:p>
    <w:p w14:paraId="07D8A310">
      <w:pPr>
        <w:pStyle w:val="104"/>
        <w:spacing w:before="312" w:after="312"/>
      </w:pPr>
      <w:bookmarkStart w:id="59" w:name="_Toc25914"/>
      <w:r>
        <w:rPr>
          <w:rFonts w:hint="eastAsia"/>
        </w:rPr>
        <w:t>数据采集</w:t>
      </w:r>
      <w:bookmarkEnd w:id="59"/>
    </w:p>
    <w:p w14:paraId="1CF45A42">
      <w:pPr>
        <w:pStyle w:val="56"/>
        <w:ind w:firstLine="420"/>
      </w:pPr>
      <w:r>
        <w:rPr>
          <w:rFonts w:hint="eastAsia"/>
        </w:rPr>
        <w:t>数据采集阶段主要是收集用于特定人工智能应用的数据，即从数据规划阶段所确定的数据源收集的实时和历史数据。该阶段包括但不限于：</w:t>
      </w:r>
    </w:p>
    <w:p w14:paraId="6537475A">
      <w:pPr>
        <w:pStyle w:val="174"/>
        <w:numPr>
          <w:ilvl w:val="0"/>
          <w:numId w:val="35"/>
        </w:numPr>
      </w:pPr>
      <w:r>
        <w:rPr>
          <w:rFonts w:hint="eastAsia"/>
        </w:rPr>
        <w:t>结合预期数据源确定数据采集方式：即根据所需数据是否已存在并可直接再利用、是否可转化现有数据来满足要求、是否可通过购买或许可获得数据、是否可以生成数据、是否宜采集新数据等情况，确定是以获取和组合现有数据集、生成数据（如模拟数据、合成数据等）、收集数据（如传感器采集、手动输入等）等之中何种方式采集数据。文旅行业常见数据来源、采集方式及注意事项见表1。</w:t>
      </w:r>
    </w:p>
    <w:p w14:paraId="14B93C70">
      <w:pPr>
        <w:pStyle w:val="174"/>
        <w:numPr>
          <w:ilvl w:val="0"/>
          <w:numId w:val="35"/>
        </w:numPr>
      </w:pPr>
      <w:r>
        <w:rPr>
          <w:rFonts w:hint="eastAsia"/>
        </w:rPr>
        <w:t>测试并在必要时改进数据收集方法：即如需收集新数据，则要测试数据收集方法，在必要时调整相关配置和参数设置、操作条件、传感器规格和安装位置等，以满足相关数据收集规范要求。</w:t>
      </w:r>
    </w:p>
    <w:p w14:paraId="21504804">
      <w:pPr>
        <w:pStyle w:val="174"/>
        <w:numPr>
          <w:ilvl w:val="0"/>
          <w:numId w:val="35"/>
        </w:numPr>
      </w:pPr>
      <w:r>
        <w:rPr>
          <w:rFonts w:hint="eastAsia"/>
        </w:rPr>
        <w:t>测量并在必要时提升采集数据质量：以降低采集阶段数据质量问题引入下游阶段的风险，避免为下游阶段增加不必要的工作量。</w:t>
      </w:r>
    </w:p>
    <w:p w14:paraId="1FE78531">
      <w:pPr>
        <w:pStyle w:val="174"/>
        <w:numPr>
          <w:ilvl w:val="0"/>
          <w:numId w:val="35"/>
        </w:numPr>
      </w:pPr>
      <w:r>
        <w:rPr>
          <w:rFonts w:hint="eastAsia"/>
        </w:rPr>
        <w:t>采集过程版权确认、授权留痕，安全合规要求见13章。</w:t>
      </w:r>
    </w:p>
    <w:p w14:paraId="1CE67040">
      <w:pPr>
        <w:pStyle w:val="174"/>
        <w:numPr>
          <w:ilvl w:val="0"/>
          <w:numId w:val="0"/>
        </w:numPr>
      </w:pPr>
    </w:p>
    <w:p w14:paraId="4F6D1613">
      <w:pPr>
        <w:pStyle w:val="112"/>
        <w:spacing w:before="156" w:after="156"/>
      </w:pPr>
      <w:r>
        <w:rPr>
          <w:rFonts w:hint="eastAsia"/>
        </w:rPr>
        <w:t>文旅行业常见数据来源及采集方式</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111"/>
        <w:gridCol w:w="3111"/>
        <w:gridCol w:w="3112"/>
      </w:tblGrid>
      <w:tr w14:paraId="68C0E8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111" w:type="dxa"/>
            <w:tcBorders>
              <w:bottom w:val="single" w:color="auto" w:sz="8" w:space="0"/>
            </w:tcBorders>
            <w:vAlign w:val="center"/>
          </w:tcPr>
          <w:p w14:paraId="26F4B40A">
            <w:pPr>
              <w:adjustRightInd/>
              <w:spacing w:line="240" w:lineRule="auto"/>
              <w:jc w:val="center"/>
              <w:rPr>
                <w:rFonts w:hint="eastAsia" w:ascii="宋体" w:hAnsi="宋体" w:eastAsia="等线"/>
                <w:b/>
                <w:bCs/>
                <w:sz w:val="18"/>
                <w14:ligatures w14:val="standardContextual"/>
              </w:rPr>
            </w:pPr>
            <w:r>
              <w:rPr>
                <w:rFonts w:ascii="宋体" w:hAnsi="宋体" w:eastAsia="等线"/>
                <w:b/>
                <w:bCs/>
                <w:sz w:val="18"/>
                <w14:ligatures w14:val="standardContextual"/>
              </w:rPr>
              <w:t>数据来源</w:t>
            </w:r>
          </w:p>
        </w:tc>
        <w:tc>
          <w:tcPr>
            <w:tcW w:w="3111" w:type="dxa"/>
            <w:tcBorders>
              <w:bottom w:val="single" w:color="auto" w:sz="8" w:space="0"/>
            </w:tcBorders>
            <w:vAlign w:val="center"/>
          </w:tcPr>
          <w:p w14:paraId="14ABB502">
            <w:pPr>
              <w:adjustRightInd/>
              <w:spacing w:line="240" w:lineRule="auto"/>
              <w:jc w:val="center"/>
              <w:rPr>
                <w:rFonts w:hint="eastAsia" w:ascii="宋体" w:hAnsi="宋体" w:eastAsia="等线"/>
                <w:b/>
                <w:bCs/>
                <w:sz w:val="18"/>
                <w14:ligatures w14:val="standardContextual"/>
              </w:rPr>
            </w:pPr>
            <w:r>
              <w:rPr>
                <w:rFonts w:ascii="宋体" w:hAnsi="宋体" w:eastAsia="等线"/>
                <w:b/>
                <w:bCs/>
                <w:sz w:val="18"/>
                <w14:ligatures w14:val="standardContextual"/>
              </w:rPr>
              <w:t>采集方式</w:t>
            </w:r>
          </w:p>
        </w:tc>
        <w:tc>
          <w:tcPr>
            <w:tcW w:w="3112" w:type="dxa"/>
            <w:tcBorders>
              <w:bottom w:val="single" w:color="auto" w:sz="8" w:space="0"/>
            </w:tcBorders>
            <w:vAlign w:val="center"/>
          </w:tcPr>
          <w:p w14:paraId="1A4BCB3F">
            <w:pPr>
              <w:adjustRightInd/>
              <w:spacing w:line="240" w:lineRule="auto"/>
              <w:jc w:val="center"/>
              <w:rPr>
                <w:rFonts w:hint="eastAsia" w:ascii="宋体" w:hAnsi="宋体" w:eastAsia="等线"/>
                <w:b/>
                <w:bCs/>
                <w:sz w:val="18"/>
                <w14:ligatures w14:val="standardContextual"/>
              </w:rPr>
            </w:pPr>
            <w:r>
              <w:rPr>
                <w:rFonts w:ascii="宋体" w:hAnsi="宋体" w:eastAsia="等线"/>
                <w:b/>
                <w:bCs/>
                <w:sz w:val="18"/>
                <w14:ligatures w14:val="standardContextual"/>
              </w:rPr>
              <w:t>注意事项</w:t>
            </w:r>
          </w:p>
        </w:tc>
      </w:tr>
      <w:tr w14:paraId="423F07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tcBorders>
              <w:top w:val="single" w:color="auto" w:sz="8" w:space="0"/>
            </w:tcBorders>
            <w:vAlign w:val="center"/>
          </w:tcPr>
          <w:p w14:paraId="4B9A100D">
            <w:pPr>
              <w:pStyle w:val="56"/>
              <w:ind w:firstLine="0" w:firstLineChars="0"/>
              <w:jc w:val="center"/>
              <w:rPr>
                <w:rFonts w:hint="eastAsia" w:hAnsi="宋体" w:eastAsia="等线"/>
                <w:sz w:val="18"/>
                <w:szCs w:val="21"/>
              </w:rPr>
            </w:pPr>
            <w:r>
              <w:rPr>
                <w:rFonts w:hAnsi="宋体" w:eastAsia="等线"/>
                <w:sz w:val="18"/>
                <w:szCs w:val="21"/>
              </w:rPr>
              <w:t>公共数据</w:t>
            </w:r>
          </w:p>
        </w:tc>
        <w:tc>
          <w:tcPr>
            <w:tcW w:w="3111" w:type="dxa"/>
            <w:tcBorders>
              <w:top w:val="single" w:color="auto" w:sz="8" w:space="0"/>
            </w:tcBorders>
            <w:vAlign w:val="center"/>
          </w:tcPr>
          <w:p w14:paraId="70669CC9">
            <w:pPr>
              <w:pStyle w:val="56"/>
              <w:ind w:firstLine="0" w:firstLineChars="0"/>
              <w:jc w:val="center"/>
              <w:rPr>
                <w:rFonts w:hint="eastAsia" w:hAnsi="宋体" w:eastAsia="等线"/>
                <w:sz w:val="18"/>
                <w:szCs w:val="21"/>
              </w:rPr>
            </w:pPr>
            <w:r>
              <w:rPr>
                <w:rFonts w:hAnsi="宋体" w:eastAsia="等线"/>
                <w:sz w:val="18"/>
                <w:szCs w:val="21"/>
              </w:rPr>
              <w:t>授权获取、接口对接</w:t>
            </w:r>
          </w:p>
        </w:tc>
        <w:tc>
          <w:tcPr>
            <w:tcW w:w="3112" w:type="dxa"/>
            <w:tcBorders>
              <w:top w:val="single" w:color="auto" w:sz="8" w:space="0"/>
            </w:tcBorders>
            <w:vAlign w:val="center"/>
          </w:tcPr>
          <w:p w14:paraId="2B99B199">
            <w:pPr>
              <w:pStyle w:val="56"/>
              <w:ind w:firstLine="0" w:firstLineChars="0"/>
              <w:jc w:val="center"/>
              <w:rPr>
                <w:rFonts w:hint="eastAsia" w:hAnsi="宋体" w:eastAsia="等线"/>
                <w:sz w:val="18"/>
                <w:szCs w:val="21"/>
              </w:rPr>
            </w:pPr>
            <w:r>
              <w:rPr>
                <w:rFonts w:hAnsi="宋体" w:eastAsia="等线"/>
                <w:sz w:val="18"/>
                <w:szCs w:val="21"/>
              </w:rPr>
              <w:t>确认授权范围和使用限制</w:t>
            </w:r>
          </w:p>
        </w:tc>
      </w:tr>
      <w:tr w14:paraId="13BC6A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vAlign w:val="center"/>
          </w:tcPr>
          <w:p w14:paraId="07169AE5">
            <w:pPr>
              <w:pStyle w:val="56"/>
              <w:ind w:firstLine="0" w:firstLineChars="0"/>
              <w:jc w:val="center"/>
              <w:rPr>
                <w:rFonts w:hint="eastAsia" w:hAnsi="宋体" w:eastAsia="等线"/>
                <w:sz w:val="18"/>
                <w:szCs w:val="21"/>
              </w:rPr>
            </w:pPr>
            <w:r>
              <w:rPr>
                <w:rFonts w:hAnsi="宋体" w:eastAsia="等线"/>
                <w:sz w:val="18"/>
                <w:szCs w:val="21"/>
              </w:rPr>
              <w:t>旅游资源普查数据</w:t>
            </w:r>
          </w:p>
        </w:tc>
        <w:tc>
          <w:tcPr>
            <w:tcW w:w="3111" w:type="dxa"/>
            <w:vAlign w:val="center"/>
          </w:tcPr>
          <w:p w14:paraId="09410043">
            <w:pPr>
              <w:pStyle w:val="56"/>
              <w:ind w:firstLine="0" w:firstLineChars="0"/>
              <w:jc w:val="center"/>
              <w:rPr>
                <w:rFonts w:hint="eastAsia" w:hAnsi="宋体" w:eastAsia="等线"/>
                <w:sz w:val="18"/>
                <w:szCs w:val="21"/>
              </w:rPr>
            </w:pPr>
            <w:r>
              <w:rPr>
                <w:rFonts w:hAnsi="宋体" w:eastAsia="等线"/>
                <w:sz w:val="18"/>
                <w:szCs w:val="21"/>
              </w:rPr>
              <w:t>依据DB43/T 2850—2023开展的普查成果汇交</w:t>
            </w:r>
          </w:p>
        </w:tc>
        <w:tc>
          <w:tcPr>
            <w:tcW w:w="3112" w:type="dxa"/>
            <w:vAlign w:val="center"/>
          </w:tcPr>
          <w:p w14:paraId="1DB3BF3E">
            <w:pPr>
              <w:pStyle w:val="56"/>
              <w:ind w:firstLine="0" w:firstLineChars="0"/>
              <w:jc w:val="center"/>
              <w:rPr>
                <w:rFonts w:hint="eastAsia" w:hAnsi="宋体" w:eastAsia="等线"/>
                <w:sz w:val="18"/>
                <w:szCs w:val="21"/>
              </w:rPr>
            </w:pPr>
            <w:r>
              <w:rPr>
                <w:rFonts w:hAnsi="宋体" w:eastAsia="等线"/>
                <w:sz w:val="18"/>
                <w:szCs w:val="21"/>
              </w:rPr>
              <w:t>普查数据的分类编码、属性字段按该标准执行，汇交时核实脱敏要求</w:t>
            </w:r>
          </w:p>
        </w:tc>
      </w:tr>
      <w:tr w14:paraId="50CD22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vAlign w:val="center"/>
          </w:tcPr>
          <w:p w14:paraId="3E40BEE5">
            <w:pPr>
              <w:pStyle w:val="56"/>
              <w:ind w:firstLine="0" w:firstLineChars="0"/>
              <w:jc w:val="center"/>
              <w:rPr>
                <w:rFonts w:hint="eastAsia" w:hAnsi="宋体" w:eastAsia="等线"/>
                <w:sz w:val="18"/>
                <w:szCs w:val="21"/>
              </w:rPr>
            </w:pPr>
            <w:r>
              <w:rPr>
                <w:rFonts w:hAnsi="宋体" w:eastAsia="等线"/>
                <w:sz w:val="18"/>
                <w:szCs w:val="21"/>
              </w:rPr>
              <w:t>业务系统数据</w:t>
            </w:r>
          </w:p>
        </w:tc>
        <w:tc>
          <w:tcPr>
            <w:tcW w:w="3111" w:type="dxa"/>
            <w:vAlign w:val="center"/>
          </w:tcPr>
          <w:p w14:paraId="54E82C89">
            <w:pPr>
              <w:pStyle w:val="56"/>
              <w:ind w:firstLine="0" w:firstLineChars="0"/>
              <w:jc w:val="center"/>
              <w:rPr>
                <w:rFonts w:hint="eastAsia" w:hAnsi="宋体" w:eastAsia="等线"/>
                <w:sz w:val="18"/>
                <w:szCs w:val="21"/>
              </w:rPr>
            </w:pPr>
            <w:r>
              <w:rPr>
                <w:rFonts w:hAnsi="宋体" w:eastAsia="等线"/>
                <w:sz w:val="18"/>
                <w:szCs w:val="21"/>
              </w:rPr>
              <w:t>数据库导出、API调用</w:t>
            </w:r>
          </w:p>
        </w:tc>
        <w:tc>
          <w:tcPr>
            <w:tcW w:w="3112" w:type="dxa"/>
            <w:vAlign w:val="center"/>
          </w:tcPr>
          <w:p w14:paraId="6A015956">
            <w:pPr>
              <w:pStyle w:val="56"/>
              <w:ind w:firstLine="0" w:firstLineChars="0"/>
              <w:jc w:val="center"/>
              <w:rPr>
                <w:rFonts w:hint="eastAsia" w:hAnsi="宋体" w:eastAsia="等线"/>
                <w:sz w:val="18"/>
                <w:szCs w:val="21"/>
              </w:rPr>
            </w:pPr>
            <w:r>
              <w:rPr>
                <w:rFonts w:hAnsi="宋体" w:eastAsia="等线"/>
                <w:sz w:val="18"/>
                <w:szCs w:val="21"/>
              </w:rPr>
              <w:t>确保数据脱敏和访问权限控制</w:t>
            </w:r>
          </w:p>
        </w:tc>
      </w:tr>
      <w:tr w14:paraId="1EA14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vAlign w:val="center"/>
          </w:tcPr>
          <w:p w14:paraId="68B9A497">
            <w:pPr>
              <w:pStyle w:val="56"/>
              <w:ind w:firstLine="0" w:firstLineChars="0"/>
              <w:jc w:val="center"/>
              <w:rPr>
                <w:rFonts w:hint="eastAsia" w:hAnsi="宋体" w:eastAsia="等线"/>
                <w:sz w:val="18"/>
                <w:szCs w:val="21"/>
              </w:rPr>
            </w:pPr>
            <w:r>
              <w:rPr>
                <w:rFonts w:hAnsi="宋体" w:eastAsia="等线"/>
                <w:sz w:val="18"/>
                <w:szCs w:val="21"/>
              </w:rPr>
              <w:t>互联网公开数据</w:t>
            </w:r>
          </w:p>
        </w:tc>
        <w:tc>
          <w:tcPr>
            <w:tcW w:w="3111" w:type="dxa"/>
            <w:vAlign w:val="center"/>
          </w:tcPr>
          <w:p w14:paraId="34EC1417">
            <w:pPr>
              <w:pStyle w:val="56"/>
              <w:ind w:firstLine="0" w:firstLineChars="0"/>
              <w:jc w:val="center"/>
              <w:rPr>
                <w:rFonts w:hint="eastAsia" w:hAnsi="宋体" w:eastAsia="等线"/>
                <w:sz w:val="18"/>
                <w:szCs w:val="21"/>
              </w:rPr>
            </w:pPr>
            <w:r>
              <w:rPr>
                <w:rFonts w:hAnsi="宋体" w:eastAsia="等线"/>
                <w:sz w:val="18"/>
                <w:szCs w:val="21"/>
              </w:rPr>
              <w:t>爬虫采集、人工整理</w:t>
            </w:r>
          </w:p>
        </w:tc>
        <w:tc>
          <w:tcPr>
            <w:tcW w:w="3112" w:type="dxa"/>
            <w:vAlign w:val="center"/>
          </w:tcPr>
          <w:p w14:paraId="5FCB8B06">
            <w:pPr>
              <w:pStyle w:val="56"/>
              <w:ind w:firstLine="0" w:firstLineChars="0"/>
              <w:jc w:val="center"/>
              <w:rPr>
                <w:rFonts w:hint="eastAsia" w:hAnsi="宋体" w:eastAsia="等线"/>
                <w:sz w:val="18"/>
                <w:szCs w:val="21"/>
              </w:rPr>
            </w:pPr>
            <w:r>
              <w:rPr>
                <w:rFonts w:hAnsi="宋体" w:eastAsia="等线"/>
                <w:sz w:val="18"/>
                <w:szCs w:val="21"/>
              </w:rPr>
              <w:t>遵守网站robots协议和版权规定</w:t>
            </w:r>
          </w:p>
        </w:tc>
      </w:tr>
      <w:tr w14:paraId="3B2122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vAlign w:val="center"/>
          </w:tcPr>
          <w:p w14:paraId="2C7123AD">
            <w:pPr>
              <w:pStyle w:val="56"/>
              <w:ind w:firstLine="0" w:firstLineChars="0"/>
              <w:jc w:val="center"/>
              <w:rPr>
                <w:rFonts w:hint="eastAsia" w:hAnsi="宋体" w:eastAsia="等线"/>
                <w:sz w:val="18"/>
                <w:szCs w:val="21"/>
              </w:rPr>
            </w:pPr>
            <w:r>
              <w:rPr>
                <w:rFonts w:hAnsi="宋体" w:eastAsia="等线"/>
                <w:sz w:val="18"/>
                <w:szCs w:val="21"/>
              </w:rPr>
              <w:t>专业采集数据</w:t>
            </w:r>
          </w:p>
        </w:tc>
        <w:tc>
          <w:tcPr>
            <w:tcW w:w="3111" w:type="dxa"/>
            <w:vAlign w:val="center"/>
          </w:tcPr>
          <w:p w14:paraId="0B727E97">
            <w:pPr>
              <w:pStyle w:val="56"/>
              <w:ind w:firstLine="0" w:firstLineChars="0"/>
              <w:jc w:val="center"/>
              <w:rPr>
                <w:rFonts w:hint="eastAsia" w:hAnsi="宋体" w:eastAsia="等线"/>
                <w:sz w:val="18"/>
                <w:szCs w:val="21"/>
              </w:rPr>
            </w:pPr>
            <w:r>
              <w:rPr>
                <w:rFonts w:hAnsi="宋体" w:eastAsia="等线"/>
                <w:sz w:val="18"/>
                <w:szCs w:val="21"/>
              </w:rPr>
              <w:t>实地拍摄、三维扫描、口述记录</w:t>
            </w:r>
          </w:p>
        </w:tc>
        <w:tc>
          <w:tcPr>
            <w:tcW w:w="3112" w:type="dxa"/>
            <w:vAlign w:val="center"/>
          </w:tcPr>
          <w:p w14:paraId="426F190F">
            <w:pPr>
              <w:pStyle w:val="56"/>
              <w:ind w:firstLine="0" w:firstLineChars="0"/>
              <w:jc w:val="center"/>
              <w:rPr>
                <w:rFonts w:hint="eastAsia" w:hAnsi="宋体" w:eastAsia="等线"/>
                <w:sz w:val="18"/>
                <w:szCs w:val="21"/>
              </w:rPr>
            </w:pPr>
            <w:r>
              <w:rPr>
                <w:rFonts w:hAnsi="宋体" w:eastAsia="等线"/>
                <w:sz w:val="18"/>
                <w:szCs w:val="21"/>
              </w:rPr>
              <w:t>获取拍摄许可、被记录者知情同意</w:t>
            </w:r>
          </w:p>
        </w:tc>
      </w:tr>
      <w:tr w14:paraId="21895B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1" w:type="dxa"/>
            <w:vAlign w:val="center"/>
          </w:tcPr>
          <w:p w14:paraId="013EF27A">
            <w:pPr>
              <w:pStyle w:val="56"/>
              <w:ind w:firstLine="0" w:firstLineChars="0"/>
              <w:jc w:val="center"/>
              <w:rPr>
                <w:rFonts w:hint="eastAsia" w:hAnsi="宋体" w:eastAsia="等线"/>
                <w:sz w:val="18"/>
                <w:szCs w:val="21"/>
              </w:rPr>
            </w:pPr>
            <w:r>
              <w:rPr>
                <w:rFonts w:hAnsi="宋体" w:eastAsia="等线"/>
                <w:sz w:val="18"/>
                <w:szCs w:val="21"/>
              </w:rPr>
              <w:t>第三方购买/许可</w:t>
            </w:r>
          </w:p>
        </w:tc>
        <w:tc>
          <w:tcPr>
            <w:tcW w:w="3111" w:type="dxa"/>
            <w:vAlign w:val="center"/>
          </w:tcPr>
          <w:p w14:paraId="66E8D3D0">
            <w:pPr>
              <w:pStyle w:val="56"/>
              <w:ind w:firstLine="0" w:firstLineChars="0"/>
              <w:jc w:val="center"/>
              <w:rPr>
                <w:rFonts w:hint="eastAsia" w:hAnsi="宋体" w:eastAsia="等线"/>
                <w:sz w:val="18"/>
                <w:szCs w:val="21"/>
              </w:rPr>
            </w:pPr>
            <w:r>
              <w:rPr>
                <w:rFonts w:hAnsi="宋体" w:eastAsia="等线"/>
                <w:sz w:val="18"/>
                <w:szCs w:val="21"/>
              </w:rPr>
              <w:t>数据交易、版权授权</w:t>
            </w:r>
          </w:p>
        </w:tc>
        <w:tc>
          <w:tcPr>
            <w:tcW w:w="3112" w:type="dxa"/>
            <w:vAlign w:val="center"/>
          </w:tcPr>
          <w:p w14:paraId="0D12B3D3">
            <w:pPr>
              <w:pStyle w:val="56"/>
              <w:ind w:firstLine="0" w:firstLineChars="0"/>
              <w:jc w:val="center"/>
              <w:rPr>
                <w:rFonts w:hint="eastAsia" w:hAnsi="宋体" w:eastAsia="等线"/>
                <w:sz w:val="18"/>
                <w:szCs w:val="21"/>
              </w:rPr>
            </w:pPr>
            <w:r>
              <w:rPr>
                <w:rFonts w:hAnsi="宋体" w:eastAsia="等线"/>
                <w:sz w:val="18"/>
                <w:szCs w:val="21"/>
              </w:rPr>
              <w:t>核实数据质量和授权范围</w:t>
            </w:r>
          </w:p>
        </w:tc>
      </w:tr>
    </w:tbl>
    <w:p w14:paraId="2D91B423">
      <w:pPr>
        <w:pStyle w:val="104"/>
        <w:spacing w:before="312" w:after="312"/>
      </w:pPr>
      <w:bookmarkStart w:id="60" w:name="_Toc31654"/>
      <w:r>
        <w:rPr>
          <w:rFonts w:hint="eastAsia"/>
        </w:rPr>
        <w:t>数据预处理</w:t>
      </w:r>
      <w:bookmarkEnd w:id="60"/>
    </w:p>
    <w:p w14:paraId="49B85EF5">
      <w:pPr>
        <w:pStyle w:val="56"/>
        <w:ind w:firstLine="420"/>
      </w:pPr>
      <w:r>
        <w:rPr>
          <w:rFonts w:hint="eastAsia"/>
        </w:rPr>
        <w:t>数据预处理阶段主要是将所收集到的数据处理成可供数据标注等后续阶段使用的形式。该阶段涉及以下可选过程：</w:t>
      </w:r>
    </w:p>
    <w:p w14:paraId="411FB857">
      <w:pPr>
        <w:pStyle w:val="174"/>
        <w:numPr>
          <w:ilvl w:val="0"/>
          <w:numId w:val="36"/>
        </w:numPr>
      </w:pPr>
      <w:r>
        <w:rPr>
          <w:rFonts w:hint="eastAsia"/>
        </w:rPr>
        <w:t>数据转换：以最小的内容损失，将数据从一种表示或空间转换为另一种表示或空间；</w:t>
      </w:r>
    </w:p>
    <w:p w14:paraId="78EFCB8D">
      <w:pPr>
        <w:pStyle w:val="174"/>
        <w:numPr>
          <w:ilvl w:val="0"/>
          <w:numId w:val="36"/>
        </w:numPr>
      </w:pPr>
      <w:r>
        <w:rPr>
          <w:rFonts w:hint="eastAsia"/>
        </w:rPr>
        <w:t>数据验证：根据正确性、有意义、安全性、隐私性等数据质量特性，确保数据是正确的。文旅数据应特别关注文化内容的准确性验证；</w:t>
      </w:r>
    </w:p>
    <w:p w14:paraId="2260DA48">
      <w:pPr>
        <w:pStyle w:val="174"/>
        <w:numPr>
          <w:ilvl w:val="0"/>
          <w:numId w:val="36"/>
        </w:numPr>
      </w:pPr>
      <w:r>
        <w:rPr>
          <w:rFonts w:hint="eastAsia"/>
        </w:rPr>
        <w:t>数据清洗：检测错误数据或缺失数据，并通过替换、修改、输入或删除等方式修正数据；</w:t>
      </w:r>
    </w:p>
    <w:p w14:paraId="78A2D1F2">
      <w:pPr>
        <w:pStyle w:val="174"/>
        <w:numPr>
          <w:ilvl w:val="0"/>
          <w:numId w:val="36"/>
        </w:numPr>
      </w:pPr>
      <w:r>
        <w:rPr>
          <w:rFonts w:hint="eastAsia"/>
        </w:rPr>
        <w:t>数据聚合：将两个或多个数据集以汇总的形式合并为一个数据集；</w:t>
      </w:r>
    </w:p>
    <w:p w14:paraId="195D304B">
      <w:pPr>
        <w:pStyle w:val="174"/>
        <w:numPr>
          <w:ilvl w:val="0"/>
          <w:numId w:val="36"/>
        </w:numPr>
      </w:pPr>
      <w:r>
        <w:rPr>
          <w:rFonts w:hint="eastAsia"/>
        </w:rPr>
        <w:t>数据抽样：从数据集中选择数据，抽样可以替换或非替换方式进行；</w:t>
      </w:r>
    </w:p>
    <w:p w14:paraId="27127EFF">
      <w:pPr>
        <w:pStyle w:val="174"/>
        <w:numPr>
          <w:ilvl w:val="0"/>
          <w:numId w:val="36"/>
        </w:numPr>
      </w:pPr>
      <w:r>
        <w:rPr>
          <w:rFonts w:hint="eastAsia"/>
        </w:rPr>
        <w:t>特征创建：创建比原始特征更能有效捕捉数据中主要信息的新特征；</w:t>
      </w:r>
    </w:p>
    <w:p w14:paraId="0B9EB6A2">
      <w:pPr>
        <w:pStyle w:val="174"/>
        <w:numPr>
          <w:ilvl w:val="0"/>
          <w:numId w:val="36"/>
        </w:numPr>
      </w:pPr>
      <w:r>
        <w:rPr>
          <w:rFonts w:hint="eastAsia"/>
        </w:rPr>
        <w:t>特征选择：使用可用特征的子集来降低数据的维数；</w:t>
      </w:r>
    </w:p>
    <w:p w14:paraId="62D12EF4">
      <w:pPr>
        <w:pStyle w:val="174"/>
        <w:numPr>
          <w:ilvl w:val="0"/>
          <w:numId w:val="36"/>
        </w:numPr>
      </w:pPr>
      <w:r>
        <w:rPr>
          <w:rFonts w:hint="eastAsia"/>
        </w:rPr>
        <w:t>信息丰富：链接各类数据源，并为数据增加额外的上下文语境。文旅数据可通过关联地理信息、时间信息、文化背景信息等丰富数据内涵；宜通过实体识别、关系抽取等技术构建文旅知识图谱（涵盖资源层、文化层、关系层、时空层），为数据增加结构化的文化语义关联；</w:t>
      </w:r>
    </w:p>
    <w:p w14:paraId="0E033922">
      <w:pPr>
        <w:pStyle w:val="174"/>
        <w:numPr>
          <w:ilvl w:val="0"/>
          <w:numId w:val="36"/>
        </w:numPr>
      </w:pPr>
      <w:r>
        <w:rPr>
          <w:rFonts w:hint="eastAsia"/>
        </w:rPr>
        <w:t>多模态对齐：对包含多种模态的数据集，进行时间对齐、空间对齐和语义对齐，可采用多模型协同的方式将多源异构数据高效对齐。</w:t>
      </w:r>
    </w:p>
    <w:p w14:paraId="2CB395CF">
      <w:pPr>
        <w:pStyle w:val="104"/>
        <w:spacing w:before="312" w:after="312"/>
      </w:pPr>
      <w:bookmarkStart w:id="61" w:name="_Toc24461"/>
      <w:r>
        <w:rPr>
          <w:rFonts w:hint="eastAsia"/>
        </w:rPr>
        <w:t>数据标注</w:t>
      </w:r>
      <w:bookmarkEnd w:id="61"/>
    </w:p>
    <w:p w14:paraId="0086F27B">
      <w:pPr>
        <w:pStyle w:val="56"/>
        <w:ind w:firstLine="420"/>
      </w:pPr>
      <w:r>
        <w:rPr>
          <w:rFonts w:hint="eastAsia"/>
        </w:rPr>
        <w:t>数据标注阶段主要是针对有监督机器学习，其训练、验证和测试数据需要对单个或多个目标变量赋值。该阶段包括但不限于：</w:t>
      </w:r>
    </w:p>
    <w:p w14:paraId="541108B6">
      <w:pPr>
        <w:pStyle w:val="174"/>
        <w:numPr>
          <w:ilvl w:val="0"/>
          <w:numId w:val="37"/>
        </w:numPr>
      </w:pPr>
      <w:r>
        <w:rPr>
          <w:rFonts w:hint="eastAsia"/>
        </w:rPr>
        <w:t>明确数据标注规程规范：制定适合文旅行业特点的标注规范，包括：</w:t>
      </w:r>
    </w:p>
    <w:p w14:paraId="2C881885">
      <w:pPr>
        <w:pStyle w:val="132"/>
      </w:pPr>
      <w:r>
        <w:rPr>
          <w:rFonts w:hint="eastAsia"/>
        </w:rPr>
        <w:t>标注对象定义（如景区实体、文物类别、文化事件等）；</w:t>
      </w:r>
    </w:p>
    <w:p w14:paraId="7C21628E">
      <w:pPr>
        <w:pStyle w:val="132"/>
      </w:pPr>
      <w:r>
        <w:rPr>
          <w:rFonts w:hint="eastAsia"/>
        </w:rPr>
        <w:t>标注标签体系；</w:t>
      </w:r>
    </w:p>
    <w:p w14:paraId="27CEE34A">
      <w:pPr>
        <w:pStyle w:val="132"/>
      </w:pPr>
      <w:r>
        <w:rPr>
          <w:rFonts w:hint="eastAsia"/>
        </w:rPr>
        <w:t>标注操作流程；</w:t>
      </w:r>
    </w:p>
    <w:p w14:paraId="46F2518B">
      <w:pPr>
        <w:pStyle w:val="132"/>
      </w:pPr>
      <w:r>
        <w:rPr>
          <w:rFonts w:hint="eastAsia"/>
        </w:rPr>
        <w:t>标注质量判定标准。</w:t>
      </w:r>
    </w:p>
    <w:p w14:paraId="592F1C28">
      <w:pPr>
        <w:pStyle w:val="174"/>
        <w:numPr>
          <w:ilvl w:val="0"/>
          <w:numId w:val="37"/>
        </w:numPr>
      </w:pPr>
      <w:r>
        <w:rPr>
          <w:rFonts w:hint="eastAsia"/>
        </w:rPr>
        <w:t>确定所需的技能和资源：如标注人员、工具、平台等。文旅数据标注对标注人员的专业背景有较高要求：</w:t>
      </w:r>
    </w:p>
    <w:p w14:paraId="7F58227D">
      <w:pPr>
        <w:pStyle w:val="132"/>
      </w:pPr>
      <w:r>
        <w:rPr>
          <w:rFonts w:hint="eastAsia"/>
        </w:rPr>
        <w:t>涉及历史文化、民族宗教、文物保护等内容时，应聘请相关领域专家参与标注或审核；</w:t>
      </w:r>
    </w:p>
    <w:p w14:paraId="73300E31">
      <w:pPr>
        <w:pStyle w:val="132"/>
      </w:pPr>
      <w:r>
        <w:rPr>
          <w:rFonts w:hint="eastAsia"/>
        </w:rPr>
        <w:t>宜采用“专家智慧+AI”协同标注模式：由领域专家制定标注规则和审核标注结果，AI辅助执行标注任务；可利用大语言模型进行实体识别、关系抽取等自动标注，利用计算机视觉技术进行图像物体与场景识别、视频关键帧提取与分析，由专家对自动标注结果抽样复核；</w:t>
      </w:r>
    </w:p>
    <w:p w14:paraId="159D6683">
      <w:pPr>
        <w:pStyle w:val="132"/>
      </w:pPr>
      <w:r>
        <w:rPr>
          <w:rFonts w:hint="eastAsia"/>
        </w:rPr>
        <w:t>建立标注人员培训机制，确保标注一致性。</w:t>
      </w:r>
    </w:p>
    <w:p w14:paraId="52727B0B">
      <w:pPr>
        <w:pStyle w:val="174"/>
        <w:numPr>
          <w:ilvl w:val="0"/>
          <w:numId w:val="37"/>
        </w:numPr>
      </w:pPr>
      <w:r>
        <w:rPr>
          <w:rFonts w:hint="eastAsia"/>
        </w:rPr>
        <w:t>对数据标注过程进行监测和质量管理：建立标注质量抽检机制，明确抽检比例、抽检频次和合格判定标准，确保标注结果的准确性和一致性。</w:t>
      </w:r>
    </w:p>
    <w:p w14:paraId="0CE72B77">
      <w:pPr>
        <w:pStyle w:val="174"/>
        <w:numPr>
          <w:ilvl w:val="0"/>
          <w:numId w:val="37"/>
        </w:numPr>
      </w:pPr>
      <w:r>
        <w:rPr>
          <w:rFonts w:hint="eastAsia"/>
        </w:rPr>
        <w:t>文化内容审核（见3.9）：对标注中涉及的文化内容进行专业性审查，审查内容包括：</w:t>
      </w:r>
    </w:p>
    <w:p w14:paraId="1B7B3F3C">
      <w:pPr>
        <w:pStyle w:val="132"/>
      </w:pPr>
      <w:r>
        <w:rPr>
          <w:rFonts w:hint="eastAsia"/>
        </w:rPr>
        <w:t>历史事实的准确性；</w:t>
      </w:r>
    </w:p>
    <w:p w14:paraId="6235B3D1">
      <w:pPr>
        <w:pStyle w:val="132"/>
      </w:pPr>
      <w:r>
        <w:rPr>
          <w:rFonts w:hint="eastAsia"/>
        </w:rPr>
        <w:t>民族宗教表述的适当性；</w:t>
      </w:r>
    </w:p>
    <w:p w14:paraId="41403CA8">
      <w:pPr>
        <w:pStyle w:val="132"/>
      </w:pPr>
      <w:r>
        <w:rPr>
          <w:rFonts w:hint="eastAsia"/>
        </w:rPr>
        <w:t>—非物质文化遗产信息的准确性；</w:t>
      </w:r>
    </w:p>
    <w:p w14:paraId="5863C9CE">
      <w:pPr>
        <w:pStyle w:val="132"/>
      </w:pPr>
      <w:r>
        <w:rPr>
          <w:rFonts w:hint="eastAsia"/>
        </w:rPr>
        <w:t>文化符号使用的合规性。</w:t>
      </w:r>
    </w:p>
    <w:p w14:paraId="0741B656">
      <w:pPr>
        <w:pStyle w:val="56"/>
        <w:ind w:firstLine="420"/>
      </w:pPr>
      <w:r>
        <w:rPr>
          <w:rFonts w:hint="eastAsia"/>
        </w:rPr>
        <w:t>文化内容审核宜由相关领域专家执行或复核，审核结论应予以记录；审核不通过的数据应退回修正或剔除。</w:t>
      </w:r>
    </w:p>
    <w:p w14:paraId="7EFCB431">
      <w:pPr>
        <w:pStyle w:val="104"/>
        <w:spacing w:before="312" w:after="312"/>
      </w:pPr>
      <w:bookmarkStart w:id="62" w:name="_Toc4808"/>
      <w:r>
        <w:rPr>
          <w:rFonts w:hint="eastAsia"/>
        </w:rPr>
        <w:t>模型验证</w:t>
      </w:r>
      <w:bookmarkEnd w:id="62"/>
    </w:p>
    <w:p w14:paraId="3F99A96C">
      <w:pPr>
        <w:pStyle w:val="105"/>
        <w:spacing w:before="156" w:after="156"/>
      </w:pPr>
      <w:bookmarkStart w:id="63" w:name="_Toc7924"/>
      <w:bookmarkStart w:id="64" w:name="_Toc24377"/>
      <w:r>
        <w:rPr>
          <w:rFonts w:hint="eastAsia"/>
        </w:rPr>
        <w:t>验证要求</w:t>
      </w:r>
      <w:bookmarkEnd w:id="63"/>
      <w:bookmarkEnd w:id="64"/>
    </w:p>
    <w:p w14:paraId="05056430">
      <w:pPr>
        <w:pStyle w:val="56"/>
        <w:ind w:firstLine="420"/>
      </w:pPr>
      <w:r>
        <w:rPr>
          <w:rFonts w:hint="eastAsia"/>
        </w:rPr>
        <w:t>模型验证阶段主要是将所准备的数据用于人工智能模型开发和训练，对模型性能是否达到预期进行评估，以验证数据集是否满足要求。若模型性能达到预期，则表明数据集已满足要求。若模型性能未达到预期，则可采取以下步骤：</w:t>
      </w:r>
    </w:p>
    <w:p w14:paraId="3AE131A5">
      <w:pPr>
        <w:pStyle w:val="174"/>
        <w:numPr>
          <w:ilvl w:val="0"/>
          <w:numId w:val="38"/>
        </w:numPr>
      </w:pPr>
      <w:r>
        <w:rPr>
          <w:rFonts w:hint="eastAsia"/>
        </w:rPr>
        <w:t>对于人工智能模型，确定数据集相比于算法，是否为致使模型性能未达到预期的根本原因；</w:t>
      </w:r>
    </w:p>
    <w:p w14:paraId="6C3A6739">
      <w:pPr>
        <w:pStyle w:val="174"/>
        <w:numPr>
          <w:ilvl w:val="0"/>
          <w:numId w:val="38"/>
        </w:numPr>
      </w:pPr>
      <w:r>
        <w:rPr>
          <w:rFonts w:hint="eastAsia"/>
        </w:rPr>
        <w:t>对模型验证阶段所发现的数据质量问题进行分析，将对模型性能产生不利影响的数据质量问题反馈给上游阶段，以改进相关阶段的数据质量；</w:t>
      </w:r>
    </w:p>
    <w:p w14:paraId="1796DF35">
      <w:pPr>
        <w:pStyle w:val="174"/>
        <w:numPr>
          <w:ilvl w:val="0"/>
          <w:numId w:val="38"/>
        </w:numPr>
      </w:pPr>
      <w:r>
        <w:rPr>
          <w:rFonts w:hint="eastAsia"/>
        </w:rPr>
        <w:t>重复数据规划、数据采集、数据预处理、数据标注等阶段以提升数据质量；</w:t>
      </w:r>
    </w:p>
    <w:p w14:paraId="11FDC481">
      <w:pPr>
        <w:pStyle w:val="174"/>
        <w:numPr>
          <w:ilvl w:val="0"/>
          <w:numId w:val="38"/>
        </w:numPr>
      </w:pPr>
      <w:r>
        <w:rPr>
          <w:rFonts w:hint="eastAsia"/>
        </w:rPr>
        <w:t>重建人工智能模型，对模型性能进行评估。</w:t>
      </w:r>
    </w:p>
    <w:p w14:paraId="4F6850F2">
      <w:pPr>
        <w:pStyle w:val="104"/>
        <w:spacing w:before="312" w:after="312"/>
      </w:pPr>
      <w:bookmarkStart w:id="65" w:name="_Toc200"/>
      <w:r>
        <w:rPr>
          <w:rFonts w:hint="eastAsia"/>
        </w:rPr>
        <w:t>质量评估</w:t>
      </w:r>
      <w:bookmarkEnd w:id="65"/>
    </w:p>
    <w:p w14:paraId="6FF623B6">
      <w:pPr>
        <w:pStyle w:val="105"/>
        <w:spacing w:before="156" w:after="156"/>
      </w:pPr>
      <w:bookmarkStart w:id="66" w:name="_Toc9214"/>
      <w:bookmarkStart w:id="67" w:name="_Toc8308"/>
      <w:r>
        <w:rPr>
          <w:rFonts w:hint="eastAsia"/>
        </w:rPr>
        <w:t>质量特性</w:t>
      </w:r>
      <w:bookmarkEnd w:id="66"/>
      <w:bookmarkEnd w:id="67"/>
    </w:p>
    <w:p w14:paraId="50C4E81D">
      <w:pPr>
        <w:pStyle w:val="56"/>
        <w:ind w:firstLine="420"/>
      </w:pPr>
      <w:r>
        <w:rPr>
          <w:rFonts w:hint="eastAsia"/>
        </w:rPr>
        <w:t>文化和旅游行业高质量数据集的质量评估应涵盖以下特性，见表2。</w:t>
      </w:r>
    </w:p>
    <w:p w14:paraId="2D098910">
      <w:pPr>
        <w:pStyle w:val="112"/>
        <w:spacing w:before="156" w:after="156"/>
      </w:pPr>
      <w:r>
        <w:rPr>
          <w:rFonts w:hint="eastAsia"/>
        </w:rPr>
        <w:t>质量特性及文旅行业特别关注点</w:t>
      </w:r>
    </w:p>
    <w:tbl>
      <w:tblPr>
        <w:tblStyle w:val="230"/>
        <w:tblW w:w="935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71"/>
        <w:gridCol w:w="3827"/>
        <w:gridCol w:w="4253"/>
      </w:tblGrid>
      <w:tr w14:paraId="4472BB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271" w:type="dxa"/>
            <w:tcBorders>
              <w:bottom w:val="single" w:color="auto" w:sz="8" w:space="0"/>
            </w:tcBorders>
            <w:vAlign w:val="center"/>
          </w:tcPr>
          <w:p w14:paraId="61DBED32">
            <w:pPr>
              <w:adjustRightInd/>
              <w:spacing w:line="240" w:lineRule="auto"/>
              <w:jc w:val="center"/>
              <w:rPr>
                <w:rFonts w:ascii="Times New Roman" w:hAnsi="Times New Roman" w:eastAsia="黑体"/>
                <w:b/>
                <w:bCs/>
                <w:sz w:val="18"/>
                <w14:ligatures w14:val="standardContextual"/>
              </w:rPr>
            </w:pPr>
            <w:r>
              <w:rPr>
                <w:rFonts w:ascii="Times New Roman" w:hAnsi="Times New Roman" w:eastAsia="黑体"/>
                <w:b/>
                <w:bCs/>
                <w:sz w:val="18"/>
                <w14:ligatures w14:val="standardContextual"/>
              </w:rPr>
              <w:t>质量特性</w:t>
            </w:r>
          </w:p>
        </w:tc>
        <w:tc>
          <w:tcPr>
            <w:tcW w:w="3827" w:type="dxa"/>
            <w:tcBorders>
              <w:bottom w:val="single" w:color="auto" w:sz="8" w:space="0"/>
            </w:tcBorders>
            <w:vAlign w:val="center"/>
          </w:tcPr>
          <w:p w14:paraId="4D2794D1">
            <w:pPr>
              <w:adjustRightInd/>
              <w:spacing w:line="240" w:lineRule="auto"/>
              <w:jc w:val="center"/>
              <w:rPr>
                <w:rFonts w:ascii="Times New Roman" w:hAnsi="Times New Roman" w:eastAsia="黑体"/>
                <w:b/>
                <w:bCs/>
                <w:sz w:val="18"/>
                <w14:ligatures w14:val="standardContextual"/>
              </w:rPr>
            </w:pPr>
            <w:r>
              <w:rPr>
                <w:rFonts w:ascii="Times New Roman" w:hAnsi="Times New Roman" w:eastAsia="黑体"/>
                <w:b/>
                <w:bCs/>
                <w:sz w:val="18"/>
                <w14:ligatures w14:val="standardContextual"/>
              </w:rPr>
              <w:t>说明</w:t>
            </w:r>
          </w:p>
        </w:tc>
        <w:tc>
          <w:tcPr>
            <w:tcW w:w="4253" w:type="dxa"/>
            <w:tcBorders>
              <w:bottom w:val="single" w:color="auto" w:sz="8" w:space="0"/>
            </w:tcBorders>
            <w:vAlign w:val="center"/>
          </w:tcPr>
          <w:p w14:paraId="02850739">
            <w:pPr>
              <w:adjustRightInd/>
              <w:spacing w:line="240" w:lineRule="auto"/>
              <w:jc w:val="center"/>
              <w:rPr>
                <w:rFonts w:ascii="Times New Roman" w:hAnsi="Times New Roman" w:eastAsia="黑体"/>
                <w:b/>
                <w:bCs/>
                <w:sz w:val="18"/>
                <w14:ligatures w14:val="standardContextual"/>
              </w:rPr>
            </w:pPr>
            <w:r>
              <w:rPr>
                <w:rFonts w:ascii="Times New Roman" w:hAnsi="Times New Roman" w:eastAsia="黑体"/>
                <w:b/>
                <w:bCs/>
                <w:sz w:val="18"/>
                <w14:ligatures w14:val="standardContextual"/>
              </w:rPr>
              <w:t>文旅行业特别关注点</w:t>
            </w:r>
          </w:p>
        </w:tc>
      </w:tr>
      <w:tr w14:paraId="5132B3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271" w:type="dxa"/>
            <w:tcBorders>
              <w:top w:val="single" w:color="auto" w:sz="8" w:space="0"/>
            </w:tcBorders>
            <w:vAlign w:val="center"/>
          </w:tcPr>
          <w:p w14:paraId="008BF98C">
            <w:pPr>
              <w:pStyle w:val="56"/>
              <w:ind w:firstLine="0" w:firstLineChars="0"/>
              <w:jc w:val="center"/>
              <w:rPr>
                <w:rFonts w:hint="eastAsia" w:hAnsi="等线" w:eastAsia="等线"/>
                <w:kern w:val="0"/>
                <w:sz w:val="18"/>
                <w:szCs w:val="21"/>
                <w14:ligatures w14:val="none"/>
              </w:rPr>
            </w:pPr>
            <w:r>
              <w:rPr>
                <w:rFonts w:hAnsi="等线" w:eastAsia="等线"/>
                <w:kern w:val="0"/>
                <w:sz w:val="18"/>
                <w:szCs w:val="21"/>
                <w14:ligatures w14:val="none"/>
              </w:rPr>
              <w:t>完整性</w:t>
            </w:r>
          </w:p>
        </w:tc>
        <w:tc>
          <w:tcPr>
            <w:tcW w:w="3827" w:type="dxa"/>
            <w:tcBorders>
              <w:top w:val="single" w:color="auto" w:sz="8" w:space="0"/>
            </w:tcBorders>
            <w:vAlign w:val="center"/>
          </w:tcPr>
          <w:p w14:paraId="14F130E6">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数据集在内容上覆盖预期应用场景所需的全部必要信息</w:t>
            </w:r>
          </w:p>
        </w:tc>
        <w:tc>
          <w:tcPr>
            <w:tcW w:w="4253" w:type="dxa"/>
            <w:tcBorders>
              <w:top w:val="single" w:color="auto" w:sz="8" w:space="0"/>
            </w:tcBorders>
            <w:vAlign w:val="center"/>
          </w:tcPr>
          <w:p w14:paraId="03EDB483">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是否覆盖全部目标景点/文化资源类型</w:t>
            </w:r>
          </w:p>
        </w:tc>
      </w:tr>
      <w:tr w14:paraId="3E038F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271" w:type="dxa"/>
            <w:vAlign w:val="center"/>
          </w:tcPr>
          <w:p w14:paraId="210E0D22">
            <w:pPr>
              <w:pStyle w:val="56"/>
              <w:ind w:firstLine="360"/>
              <w:rPr>
                <w:rFonts w:hint="eastAsia" w:hAnsi="等线" w:eastAsia="等线"/>
                <w:kern w:val="0"/>
                <w:sz w:val="18"/>
                <w:szCs w:val="21"/>
                <w14:ligatures w14:val="none"/>
              </w:rPr>
            </w:pPr>
            <w:r>
              <w:rPr>
                <w:rFonts w:hAnsi="等线" w:eastAsia="等线"/>
                <w:kern w:val="0"/>
                <w:sz w:val="18"/>
                <w:szCs w:val="21"/>
                <w14:ligatures w14:val="none"/>
              </w:rPr>
              <w:t>准确性</w:t>
            </w:r>
          </w:p>
        </w:tc>
        <w:tc>
          <w:tcPr>
            <w:tcW w:w="3827" w:type="dxa"/>
            <w:vAlign w:val="center"/>
          </w:tcPr>
          <w:p w14:paraId="331A85F4">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数据集内容真实、准确，无错误或虚假信息</w:t>
            </w:r>
          </w:p>
        </w:tc>
        <w:tc>
          <w:tcPr>
            <w:tcW w:w="4253" w:type="dxa"/>
            <w:vAlign w:val="center"/>
          </w:tcPr>
          <w:p w14:paraId="1B91A8C0">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文化内容表述准确性、历史事实准确性</w:t>
            </w:r>
          </w:p>
        </w:tc>
      </w:tr>
      <w:tr w14:paraId="5DB183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271" w:type="dxa"/>
            <w:vAlign w:val="center"/>
          </w:tcPr>
          <w:p w14:paraId="29AC26C9">
            <w:pPr>
              <w:pStyle w:val="56"/>
              <w:ind w:firstLine="360"/>
              <w:rPr>
                <w:rFonts w:hint="eastAsia" w:hAnsi="等线" w:eastAsia="等线"/>
                <w:kern w:val="0"/>
                <w:sz w:val="18"/>
                <w:szCs w:val="21"/>
                <w14:ligatures w14:val="none"/>
              </w:rPr>
            </w:pPr>
            <w:r>
              <w:rPr>
                <w:rFonts w:hAnsi="等线" w:eastAsia="等线"/>
                <w:kern w:val="0"/>
                <w:sz w:val="18"/>
                <w:szCs w:val="21"/>
                <w14:ligatures w14:val="none"/>
              </w:rPr>
              <w:t>一致性</w:t>
            </w:r>
          </w:p>
        </w:tc>
        <w:tc>
          <w:tcPr>
            <w:tcW w:w="3827" w:type="dxa"/>
            <w:vAlign w:val="center"/>
          </w:tcPr>
          <w:p w14:paraId="4C58AA4F">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数据集内部以及与其他相关数据集之间在格式、语义上保持一致</w:t>
            </w:r>
          </w:p>
        </w:tc>
        <w:tc>
          <w:tcPr>
            <w:tcW w:w="4253" w:type="dxa"/>
            <w:vAlign w:val="center"/>
          </w:tcPr>
          <w:p w14:paraId="008A88DF">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多模态数据之间的语义一致性</w:t>
            </w:r>
          </w:p>
        </w:tc>
      </w:tr>
      <w:tr w14:paraId="1C9362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271" w:type="dxa"/>
            <w:vAlign w:val="center"/>
          </w:tcPr>
          <w:p w14:paraId="7E05A0A4">
            <w:pPr>
              <w:pStyle w:val="56"/>
              <w:ind w:firstLine="360"/>
              <w:rPr>
                <w:rFonts w:hint="eastAsia" w:hAnsi="等线" w:eastAsia="等线"/>
                <w:kern w:val="0"/>
                <w:sz w:val="18"/>
                <w:szCs w:val="21"/>
                <w14:ligatures w14:val="none"/>
              </w:rPr>
            </w:pPr>
            <w:r>
              <w:rPr>
                <w:rFonts w:hAnsi="等线" w:eastAsia="等线"/>
                <w:kern w:val="0"/>
                <w:sz w:val="18"/>
                <w:szCs w:val="21"/>
                <w14:ligatures w14:val="none"/>
              </w:rPr>
              <w:t>时效性</w:t>
            </w:r>
          </w:p>
        </w:tc>
        <w:tc>
          <w:tcPr>
            <w:tcW w:w="3827" w:type="dxa"/>
            <w:vAlign w:val="center"/>
          </w:tcPr>
          <w:p w14:paraId="38F0B02F">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数据集的更新频率满足应用场景对数据时效性的要求</w:t>
            </w:r>
          </w:p>
        </w:tc>
        <w:tc>
          <w:tcPr>
            <w:tcW w:w="4253" w:type="dxa"/>
            <w:vAlign w:val="center"/>
          </w:tcPr>
          <w:p w14:paraId="04A3D79D">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客流数据需实时更新，文化知识数据可低频更新</w:t>
            </w:r>
          </w:p>
        </w:tc>
      </w:tr>
      <w:tr w14:paraId="48D152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271" w:type="dxa"/>
            <w:vAlign w:val="center"/>
          </w:tcPr>
          <w:p w14:paraId="5D245EAA">
            <w:pPr>
              <w:pStyle w:val="56"/>
              <w:ind w:firstLine="360"/>
              <w:rPr>
                <w:rFonts w:hint="eastAsia" w:hAnsi="等线" w:eastAsia="等线"/>
                <w:kern w:val="0"/>
                <w:sz w:val="18"/>
                <w:szCs w:val="21"/>
                <w14:ligatures w14:val="none"/>
              </w:rPr>
            </w:pPr>
            <w:r>
              <w:rPr>
                <w:rFonts w:hAnsi="等线" w:eastAsia="等线"/>
                <w:kern w:val="0"/>
                <w:sz w:val="18"/>
                <w:szCs w:val="21"/>
                <w14:ligatures w14:val="none"/>
              </w:rPr>
              <w:t>代表性</w:t>
            </w:r>
          </w:p>
        </w:tc>
        <w:tc>
          <w:tcPr>
            <w:tcW w:w="3827" w:type="dxa"/>
            <w:vAlign w:val="center"/>
          </w:tcPr>
          <w:p w14:paraId="57507B78">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数据集能够充分反映目标场景的多样性和典型特征</w:t>
            </w:r>
          </w:p>
        </w:tc>
        <w:tc>
          <w:tcPr>
            <w:tcW w:w="4253" w:type="dxa"/>
            <w:vAlign w:val="center"/>
          </w:tcPr>
          <w:p w14:paraId="459D9105">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是否涵盖不同地区、不同类型文旅资源</w:t>
            </w:r>
          </w:p>
        </w:tc>
      </w:tr>
      <w:tr w14:paraId="32FEFC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271" w:type="dxa"/>
            <w:vAlign w:val="center"/>
          </w:tcPr>
          <w:p w14:paraId="214DF8A9">
            <w:pPr>
              <w:pStyle w:val="56"/>
              <w:ind w:firstLine="360"/>
              <w:rPr>
                <w:rFonts w:hint="eastAsia" w:hAnsi="等线" w:eastAsia="等线"/>
                <w:kern w:val="0"/>
                <w:sz w:val="18"/>
                <w:szCs w:val="21"/>
                <w14:ligatures w14:val="none"/>
              </w:rPr>
            </w:pPr>
            <w:r>
              <w:rPr>
                <w:rFonts w:hAnsi="等线" w:eastAsia="等线"/>
                <w:kern w:val="0"/>
                <w:sz w:val="18"/>
                <w:szCs w:val="21"/>
                <w14:ligatures w14:val="none"/>
              </w:rPr>
              <w:t>合规性</w:t>
            </w:r>
          </w:p>
        </w:tc>
        <w:tc>
          <w:tcPr>
            <w:tcW w:w="3827" w:type="dxa"/>
            <w:vAlign w:val="center"/>
          </w:tcPr>
          <w:p w14:paraId="47492BD5">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数据集的来源、内容和使用符合相关法律法规和标准要求</w:t>
            </w:r>
          </w:p>
        </w:tc>
        <w:tc>
          <w:tcPr>
            <w:tcW w:w="4253" w:type="dxa"/>
            <w:vAlign w:val="center"/>
          </w:tcPr>
          <w:p w14:paraId="5D236C4F">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版权状态清晰、个人信息已脱敏、安全等级明确</w:t>
            </w:r>
          </w:p>
        </w:tc>
      </w:tr>
      <w:tr w14:paraId="75ED16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271" w:type="dxa"/>
            <w:vAlign w:val="center"/>
          </w:tcPr>
          <w:p w14:paraId="7B184108">
            <w:pPr>
              <w:pStyle w:val="56"/>
              <w:ind w:firstLine="0" w:firstLineChars="0"/>
              <w:jc w:val="center"/>
              <w:rPr>
                <w:rFonts w:hint="eastAsia" w:hAnsi="等线" w:eastAsia="等线"/>
                <w:kern w:val="0"/>
                <w:sz w:val="18"/>
                <w:szCs w:val="21"/>
                <w14:ligatures w14:val="none"/>
              </w:rPr>
            </w:pPr>
            <w:r>
              <w:rPr>
                <w:rFonts w:hAnsi="等线" w:eastAsia="等线"/>
                <w:kern w:val="0"/>
                <w:sz w:val="18"/>
                <w:szCs w:val="21"/>
                <w14:ligatures w14:val="none"/>
              </w:rPr>
              <w:t>可用性</w:t>
            </w:r>
          </w:p>
        </w:tc>
        <w:tc>
          <w:tcPr>
            <w:tcW w:w="3827" w:type="dxa"/>
            <w:vAlign w:val="center"/>
          </w:tcPr>
          <w:p w14:paraId="6C83C697">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数据集可直接用于模型训练，模型性能达到预期</w:t>
            </w:r>
          </w:p>
        </w:tc>
        <w:tc>
          <w:tcPr>
            <w:tcW w:w="4253" w:type="dxa"/>
            <w:vAlign w:val="center"/>
          </w:tcPr>
          <w:p w14:paraId="16668445">
            <w:pPr>
              <w:pStyle w:val="56"/>
              <w:ind w:firstLine="0" w:firstLineChars="0"/>
              <w:rPr>
                <w:rFonts w:hint="eastAsia" w:hAnsi="等线" w:eastAsia="等线"/>
                <w:kern w:val="0"/>
                <w:sz w:val="18"/>
                <w:szCs w:val="21"/>
                <w14:ligatures w14:val="none"/>
              </w:rPr>
            </w:pPr>
            <w:r>
              <w:rPr>
                <w:rFonts w:hAnsi="等线" w:eastAsia="等线"/>
                <w:kern w:val="0"/>
                <w:sz w:val="18"/>
                <w:szCs w:val="21"/>
                <w14:ligatures w14:val="none"/>
              </w:rPr>
              <w:t>模型验证通过率</w:t>
            </w:r>
          </w:p>
        </w:tc>
      </w:tr>
    </w:tbl>
    <w:p w14:paraId="23914245">
      <w:pPr>
        <w:pStyle w:val="105"/>
        <w:spacing w:before="156" w:after="156"/>
      </w:pPr>
      <w:bookmarkStart w:id="68" w:name="_Toc20683"/>
      <w:bookmarkStart w:id="69" w:name="_Toc10601"/>
      <w:r>
        <w:rPr>
          <w:rFonts w:hint="eastAsia"/>
        </w:rPr>
        <w:t>评估方法</w:t>
      </w:r>
      <w:bookmarkEnd w:id="68"/>
      <w:bookmarkEnd w:id="69"/>
    </w:p>
    <w:p w14:paraId="16A80BBD">
      <w:pPr>
        <w:pStyle w:val="56"/>
        <w:ind w:firstLine="420"/>
      </w:pPr>
      <w:r>
        <w:rPr>
          <w:rFonts w:hint="eastAsia"/>
        </w:rPr>
        <w:t>质量评估可采用以下方法：</w:t>
      </w:r>
    </w:p>
    <w:p w14:paraId="47D70DC1">
      <w:pPr>
        <w:pStyle w:val="174"/>
        <w:numPr>
          <w:ilvl w:val="0"/>
          <w:numId w:val="39"/>
        </w:numPr>
      </w:pPr>
      <w:r>
        <w:rPr>
          <w:rFonts w:hint="eastAsia"/>
        </w:rPr>
        <w:t>自动检查：利用工具对数据集的完整性、格式一致性等进行自动化检查，评估结果按表3相应判据比对；</w:t>
      </w:r>
    </w:p>
    <w:p w14:paraId="20377284">
      <w:pPr>
        <w:pStyle w:val="174"/>
        <w:numPr>
          <w:ilvl w:val="0"/>
          <w:numId w:val="39"/>
        </w:numPr>
      </w:pPr>
      <w:r>
        <w:rPr>
          <w:rFonts w:hint="eastAsia"/>
        </w:rPr>
        <w:t>人工审核：由领域专家对数据内容准确性进行抽样审核，抽样方案参照GB/T 2828.1—2012确定；</w:t>
      </w:r>
    </w:p>
    <w:p w14:paraId="0A30FDC9">
      <w:pPr>
        <w:pStyle w:val="174"/>
        <w:numPr>
          <w:ilvl w:val="0"/>
          <w:numId w:val="39"/>
        </w:numPr>
      </w:pPr>
      <w:r>
        <w:rPr>
          <w:rFonts w:hint="eastAsia"/>
        </w:rPr>
        <w:t>模型验证：通过模型训练和测试评估数据集的实际效用，评估结果按表3相应判据比对；</w:t>
      </w:r>
    </w:p>
    <w:p w14:paraId="1484B49B">
      <w:pPr>
        <w:pStyle w:val="174"/>
        <w:numPr>
          <w:ilvl w:val="0"/>
          <w:numId w:val="39"/>
        </w:numPr>
      </w:pPr>
      <w:r>
        <w:rPr>
          <w:rFonts w:hint="eastAsia"/>
        </w:rPr>
        <w:t>用户反馈：收集数据集使用方的反馈意见，持续改进数据质量。</w:t>
      </w:r>
    </w:p>
    <w:p w14:paraId="421154B5">
      <w:pPr>
        <w:pStyle w:val="105"/>
        <w:spacing w:before="156" w:after="156"/>
      </w:pPr>
      <w:bookmarkStart w:id="70" w:name="_Toc15579"/>
      <w:bookmarkStart w:id="71" w:name="_Toc28746"/>
      <w:r>
        <w:rPr>
          <w:rFonts w:hint="eastAsia"/>
        </w:rPr>
        <w:t>质量等级</w:t>
      </w:r>
      <w:bookmarkEnd w:id="70"/>
      <w:bookmarkEnd w:id="71"/>
    </w:p>
    <w:p w14:paraId="2DEB78A6">
      <w:pPr>
        <w:pStyle w:val="65"/>
        <w:spacing w:before="156" w:after="156"/>
      </w:pPr>
      <w:r>
        <w:rPr>
          <w:rFonts w:hint="eastAsia"/>
        </w:rPr>
        <w:t>等级划分</w:t>
      </w:r>
    </w:p>
    <w:p w14:paraId="3D804A6D">
      <w:pPr>
        <w:pStyle w:val="56"/>
        <w:ind w:firstLine="420"/>
      </w:pPr>
      <w:r>
        <w:rPr>
          <w:rFonts w:hint="eastAsia"/>
        </w:rPr>
        <w:t>可根据评估结果将数据集划分为合格级、良好级、优秀级三个等级。各等级的量化判据见表3。</w:t>
      </w:r>
    </w:p>
    <w:p w14:paraId="7DB4146E">
      <w:pPr>
        <w:pStyle w:val="112"/>
        <w:spacing w:before="156" w:after="156"/>
      </w:pPr>
      <w:r>
        <w:rPr>
          <w:rFonts w:hint="eastAsia"/>
        </w:rPr>
        <w:t>数据集质量等级量化判据</w:t>
      </w:r>
    </w:p>
    <w:tbl>
      <w:tblPr>
        <w:tblStyle w:val="230"/>
        <w:tblW w:w="9351"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71"/>
        <w:gridCol w:w="2552"/>
        <w:gridCol w:w="2835"/>
        <w:gridCol w:w="2693"/>
      </w:tblGrid>
      <w:tr w14:paraId="1C493A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271" w:type="dxa"/>
            <w:tcBorders>
              <w:bottom w:val="single" w:color="auto" w:sz="8" w:space="0"/>
            </w:tcBorders>
            <w:vAlign w:val="center"/>
          </w:tcPr>
          <w:p w14:paraId="0080C231">
            <w:pPr>
              <w:adjustRightInd/>
              <w:spacing w:line="240" w:lineRule="auto"/>
              <w:jc w:val="center"/>
              <w:rPr>
                <w:rFonts w:hint="eastAsia" w:ascii="宋体" w:hAnsi="宋体" w:eastAsia="等线"/>
                <w:b/>
                <w:bCs/>
                <w:sz w:val="18"/>
                <w14:ligatures w14:val="standardContextual"/>
              </w:rPr>
            </w:pPr>
            <w:r>
              <w:rPr>
                <w:rFonts w:ascii="宋体" w:hAnsi="宋体" w:eastAsia="等线"/>
                <w:b/>
                <w:bCs/>
                <w:sz w:val="18"/>
                <w14:ligatures w14:val="standardContextual"/>
              </w:rPr>
              <w:t>评估维度</w:t>
            </w:r>
          </w:p>
        </w:tc>
        <w:tc>
          <w:tcPr>
            <w:tcW w:w="2552" w:type="dxa"/>
            <w:tcBorders>
              <w:bottom w:val="single" w:color="auto" w:sz="8" w:space="0"/>
            </w:tcBorders>
            <w:vAlign w:val="center"/>
          </w:tcPr>
          <w:p w14:paraId="66A67996">
            <w:pPr>
              <w:adjustRightInd/>
              <w:spacing w:line="240" w:lineRule="auto"/>
              <w:jc w:val="center"/>
              <w:rPr>
                <w:rFonts w:hint="eastAsia" w:ascii="宋体" w:hAnsi="宋体" w:eastAsia="等线"/>
                <w:b/>
                <w:bCs/>
                <w:sz w:val="18"/>
                <w14:ligatures w14:val="standardContextual"/>
              </w:rPr>
            </w:pPr>
            <w:r>
              <w:rPr>
                <w:rFonts w:ascii="宋体" w:hAnsi="宋体" w:eastAsia="等线"/>
                <w:b/>
                <w:bCs/>
                <w:sz w:val="18"/>
                <w14:ligatures w14:val="standardContextual"/>
              </w:rPr>
              <w:t>合格级</w:t>
            </w:r>
          </w:p>
        </w:tc>
        <w:tc>
          <w:tcPr>
            <w:tcW w:w="2835" w:type="dxa"/>
            <w:tcBorders>
              <w:bottom w:val="single" w:color="auto" w:sz="8" w:space="0"/>
            </w:tcBorders>
            <w:vAlign w:val="center"/>
          </w:tcPr>
          <w:p w14:paraId="1B935AA5">
            <w:pPr>
              <w:adjustRightInd/>
              <w:spacing w:line="240" w:lineRule="auto"/>
              <w:jc w:val="center"/>
              <w:rPr>
                <w:rFonts w:hint="eastAsia" w:ascii="宋体" w:hAnsi="宋体" w:eastAsia="等线"/>
                <w:b/>
                <w:bCs/>
                <w:sz w:val="18"/>
                <w14:ligatures w14:val="standardContextual"/>
              </w:rPr>
            </w:pPr>
            <w:r>
              <w:rPr>
                <w:rFonts w:ascii="宋体" w:hAnsi="宋体" w:eastAsia="等线"/>
                <w:b/>
                <w:bCs/>
                <w:sz w:val="18"/>
                <w14:ligatures w14:val="standardContextual"/>
              </w:rPr>
              <w:t>良好级</w:t>
            </w:r>
          </w:p>
        </w:tc>
        <w:tc>
          <w:tcPr>
            <w:tcW w:w="2693" w:type="dxa"/>
            <w:tcBorders>
              <w:bottom w:val="single" w:color="auto" w:sz="8" w:space="0"/>
            </w:tcBorders>
            <w:vAlign w:val="center"/>
          </w:tcPr>
          <w:p w14:paraId="7F092123">
            <w:pPr>
              <w:adjustRightInd/>
              <w:spacing w:line="240" w:lineRule="auto"/>
              <w:jc w:val="center"/>
              <w:rPr>
                <w:rFonts w:hint="eastAsia" w:ascii="宋体" w:hAnsi="宋体" w:eastAsia="等线"/>
                <w:b/>
                <w:bCs/>
                <w:sz w:val="18"/>
                <w14:ligatures w14:val="standardContextual"/>
              </w:rPr>
            </w:pPr>
            <w:r>
              <w:rPr>
                <w:rFonts w:ascii="宋体" w:hAnsi="宋体" w:eastAsia="等线"/>
                <w:b/>
                <w:bCs/>
                <w:sz w:val="18"/>
                <w14:ligatures w14:val="standardContextual"/>
              </w:rPr>
              <w:t>优秀级</w:t>
            </w:r>
          </w:p>
        </w:tc>
      </w:tr>
      <w:tr w14:paraId="295324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271" w:type="dxa"/>
            <w:tcBorders>
              <w:top w:val="single" w:color="auto" w:sz="8" w:space="0"/>
            </w:tcBorders>
            <w:vAlign w:val="center"/>
          </w:tcPr>
          <w:p w14:paraId="4058BA72">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模型验证</w:t>
            </w:r>
          </w:p>
        </w:tc>
        <w:tc>
          <w:tcPr>
            <w:tcW w:w="2552" w:type="dxa"/>
            <w:tcBorders>
              <w:top w:val="single" w:color="auto" w:sz="8" w:space="0"/>
            </w:tcBorders>
            <w:vAlign w:val="center"/>
          </w:tcPr>
          <w:p w14:paraId="26F5853A">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模型验证通过，模型性能达到预期（见11.1）</w:t>
            </w:r>
          </w:p>
        </w:tc>
        <w:tc>
          <w:tcPr>
            <w:tcW w:w="2835" w:type="dxa"/>
            <w:tcBorders>
              <w:top w:val="single" w:color="auto" w:sz="8" w:space="0"/>
            </w:tcBorders>
            <w:vAlign w:val="center"/>
          </w:tcPr>
          <w:p w14:paraId="3404C56F">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在合格级基础上，模型性能在同类场景数据集对比中处于中等以上水平</w:t>
            </w:r>
          </w:p>
        </w:tc>
        <w:tc>
          <w:tcPr>
            <w:tcW w:w="2693" w:type="dxa"/>
            <w:tcBorders>
              <w:top w:val="single" w:color="auto" w:sz="8" w:space="0"/>
            </w:tcBorders>
            <w:vAlign w:val="center"/>
          </w:tcPr>
          <w:p w14:paraId="3616F21D">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在良好级基础上，模型性能达到或优于同类场景的先进水平，并有第三方测试报告支撑</w:t>
            </w:r>
          </w:p>
        </w:tc>
      </w:tr>
      <w:tr w14:paraId="5B9AE3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271" w:type="dxa"/>
            <w:vAlign w:val="center"/>
          </w:tcPr>
          <w:p w14:paraId="75B09251">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完整性</w:t>
            </w:r>
          </w:p>
        </w:tc>
        <w:tc>
          <w:tcPr>
            <w:tcW w:w="2552" w:type="dxa"/>
            <w:vAlign w:val="center"/>
          </w:tcPr>
          <w:p w14:paraId="11EA343A">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覆盖目标场景主要类型（关键数据项覆盖率≥90%）</w:t>
            </w:r>
          </w:p>
        </w:tc>
        <w:tc>
          <w:tcPr>
            <w:tcW w:w="2835" w:type="dxa"/>
            <w:vAlign w:val="center"/>
          </w:tcPr>
          <w:p w14:paraId="60E23FDA">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覆盖目标场景全部类型（关键数据项覆盖率≥98%）</w:t>
            </w:r>
          </w:p>
        </w:tc>
        <w:tc>
          <w:tcPr>
            <w:tcW w:w="2693" w:type="dxa"/>
            <w:vAlign w:val="center"/>
          </w:tcPr>
          <w:p w14:paraId="62B88388">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覆盖目标场景全部类型且无缺项（关键数据项覆盖率100%）</w:t>
            </w:r>
          </w:p>
        </w:tc>
      </w:tr>
      <w:tr w14:paraId="4FC8F9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271" w:type="dxa"/>
            <w:vAlign w:val="center"/>
          </w:tcPr>
          <w:p w14:paraId="6015AED0">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准确性（一般内容）</w:t>
            </w:r>
          </w:p>
        </w:tc>
        <w:tc>
          <w:tcPr>
            <w:tcW w:w="2552" w:type="dxa"/>
            <w:vAlign w:val="center"/>
          </w:tcPr>
          <w:p w14:paraId="3AE04631">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人工抽样审核合格率≥90%</w:t>
            </w:r>
          </w:p>
        </w:tc>
        <w:tc>
          <w:tcPr>
            <w:tcW w:w="2835" w:type="dxa"/>
            <w:vAlign w:val="center"/>
          </w:tcPr>
          <w:p w14:paraId="48F19D77">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人工抽样审核合格率≥95%</w:t>
            </w:r>
          </w:p>
        </w:tc>
        <w:tc>
          <w:tcPr>
            <w:tcW w:w="2693" w:type="dxa"/>
            <w:vAlign w:val="center"/>
          </w:tcPr>
          <w:p w14:paraId="7832CBFF">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人工抽样审核合格率≥98%</w:t>
            </w:r>
          </w:p>
        </w:tc>
      </w:tr>
      <w:tr w14:paraId="57CC1E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271" w:type="dxa"/>
            <w:vAlign w:val="center"/>
          </w:tcPr>
          <w:p w14:paraId="6C2463EC">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准确性（文化内容）</w:t>
            </w:r>
          </w:p>
        </w:tc>
        <w:tc>
          <w:tcPr>
            <w:tcW w:w="2552" w:type="dxa"/>
            <w:vAlign w:val="center"/>
          </w:tcPr>
          <w:p w14:paraId="4B1A39E3">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文化内容经领域专家抽检审核，抽检合格率≥95%</w:t>
            </w:r>
          </w:p>
        </w:tc>
        <w:tc>
          <w:tcPr>
            <w:tcW w:w="2835" w:type="dxa"/>
            <w:vAlign w:val="center"/>
          </w:tcPr>
          <w:p w14:paraId="482B9BB2">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文化内容经领域专家抽检审核，抽检合格率≥98%</w:t>
            </w:r>
          </w:p>
        </w:tc>
        <w:tc>
          <w:tcPr>
            <w:tcW w:w="2693" w:type="dxa"/>
            <w:vAlign w:val="center"/>
          </w:tcPr>
          <w:p w14:paraId="4C00DA86">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全部文化内容经领域专家逐项审核确认，无文化表述错误</w:t>
            </w:r>
          </w:p>
        </w:tc>
      </w:tr>
      <w:tr w14:paraId="33D3FC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271" w:type="dxa"/>
            <w:vAlign w:val="center"/>
          </w:tcPr>
          <w:p w14:paraId="4CC922D5">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一致性</w:t>
            </w:r>
          </w:p>
        </w:tc>
        <w:tc>
          <w:tcPr>
            <w:tcW w:w="2552" w:type="dxa"/>
            <w:vAlign w:val="center"/>
          </w:tcPr>
          <w:p w14:paraId="5B4A2CB4">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自动化格式检查通过率≥95%</w:t>
            </w:r>
          </w:p>
        </w:tc>
        <w:tc>
          <w:tcPr>
            <w:tcW w:w="2835" w:type="dxa"/>
            <w:vAlign w:val="center"/>
          </w:tcPr>
          <w:p w14:paraId="47A1E1BD">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自动化格式检查通过率≥98%，多模态语义抽检一致率≥95%</w:t>
            </w:r>
          </w:p>
        </w:tc>
        <w:tc>
          <w:tcPr>
            <w:tcW w:w="2693" w:type="dxa"/>
            <w:vAlign w:val="center"/>
          </w:tcPr>
          <w:p w14:paraId="285DDC2A">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自动化格式检查通过率100%，多模态语义抽检一致率≥98%</w:t>
            </w:r>
          </w:p>
        </w:tc>
      </w:tr>
      <w:tr w14:paraId="25C93A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271" w:type="dxa"/>
            <w:vAlign w:val="center"/>
          </w:tcPr>
          <w:p w14:paraId="667EC1D5">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时效性</w:t>
            </w:r>
          </w:p>
        </w:tc>
        <w:tc>
          <w:tcPr>
            <w:tcW w:w="2552" w:type="dxa"/>
            <w:vAlign w:val="center"/>
          </w:tcPr>
          <w:p w14:paraId="27DF0702">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数据更新周期满足应用场景声明的时效要求</w:t>
            </w:r>
          </w:p>
        </w:tc>
        <w:tc>
          <w:tcPr>
            <w:tcW w:w="2835" w:type="dxa"/>
            <w:vAlign w:val="center"/>
          </w:tcPr>
          <w:p w14:paraId="321CB085">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更新及时率≥95%</w:t>
            </w:r>
          </w:p>
        </w:tc>
        <w:tc>
          <w:tcPr>
            <w:tcW w:w="2693" w:type="dxa"/>
            <w:vAlign w:val="center"/>
          </w:tcPr>
          <w:p w14:paraId="11AC9B29">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更新及时率≥98%，且有运行记录佐证</w:t>
            </w:r>
          </w:p>
        </w:tc>
      </w:tr>
      <w:tr w14:paraId="37BB0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271" w:type="dxa"/>
            <w:vAlign w:val="center"/>
          </w:tcPr>
          <w:p w14:paraId="33CC9898">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代表性</w:t>
            </w:r>
          </w:p>
        </w:tc>
        <w:tc>
          <w:tcPr>
            <w:tcW w:w="2552" w:type="dxa"/>
            <w:vAlign w:val="center"/>
          </w:tcPr>
          <w:p w14:paraId="4B06D5E9">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覆盖目标区域内主要文旅资源类型</w:t>
            </w:r>
          </w:p>
        </w:tc>
        <w:tc>
          <w:tcPr>
            <w:tcW w:w="2835" w:type="dxa"/>
            <w:vAlign w:val="center"/>
          </w:tcPr>
          <w:p w14:paraId="60492B8D">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覆盖不同地区、不同类型文旅资源（各类覆盖面≥80%）</w:t>
            </w:r>
          </w:p>
        </w:tc>
        <w:tc>
          <w:tcPr>
            <w:tcW w:w="2693" w:type="dxa"/>
            <w:vAlign w:val="center"/>
          </w:tcPr>
          <w:p w14:paraId="7218AD3E">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覆盖面完整，能充分反映目标区域资源多样性与典型特征</w:t>
            </w:r>
          </w:p>
        </w:tc>
      </w:tr>
      <w:tr w14:paraId="39B8EA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271" w:type="dxa"/>
            <w:vAlign w:val="center"/>
          </w:tcPr>
          <w:p w14:paraId="1D3D3799">
            <w:pPr>
              <w:adjustRightInd/>
              <w:spacing w:line="240" w:lineRule="auto"/>
              <w:jc w:val="center"/>
              <w:rPr>
                <w:rFonts w:hint="eastAsia" w:ascii="宋体" w:hAnsi="宋体" w:eastAsia="等线"/>
                <w:sz w:val="18"/>
                <w14:ligatures w14:val="standardContextual"/>
              </w:rPr>
            </w:pPr>
            <w:bookmarkStart w:id="72" w:name="_Hlk241482444"/>
            <w:r>
              <w:rPr>
                <w:rFonts w:ascii="宋体" w:hAnsi="宋体" w:eastAsia="等线"/>
                <w:sz w:val="18"/>
                <w14:ligatures w14:val="standardContextual"/>
              </w:rPr>
              <w:t>合规性</w:t>
            </w:r>
          </w:p>
        </w:tc>
        <w:tc>
          <w:tcPr>
            <w:tcW w:w="2552" w:type="dxa"/>
            <w:vAlign w:val="center"/>
          </w:tcPr>
          <w:p w14:paraId="508AB190">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数据来源合法，个人信息已脱敏，安全等级已明确，无未决版权争议</w:t>
            </w:r>
          </w:p>
        </w:tc>
        <w:tc>
          <w:tcPr>
            <w:tcW w:w="2835" w:type="dxa"/>
            <w:vAlign w:val="center"/>
          </w:tcPr>
          <w:p w14:paraId="73CAB800">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在合格级基础上，全部数据版权状态记录完整、可追溯</w:t>
            </w:r>
          </w:p>
        </w:tc>
        <w:tc>
          <w:tcPr>
            <w:tcW w:w="2693" w:type="dxa"/>
            <w:vAlign w:val="center"/>
          </w:tcPr>
          <w:p w14:paraId="4301DE46">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在良好级基础上，经合规审查出具书面结论</w:t>
            </w:r>
          </w:p>
        </w:tc>
      </w:tr>
      <w:tr w14:paraId="6B403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271" w:type="dxa"/>
            <w:vAlign w:val="center"/>
          </w:tcPr>
          <w:p w14:paraId="05F932D9">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可用性</w:t>
            </w:r>
          </w:p>
        </w:tc>
        <w:tc>
          <w:tcPr>
            <w:tcW w:w="2552" w:type="dxa"/>
            <w:vAlign w:val="center"/>
          </w:tcPr>
          <w:p w14:paraId="4420750A">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建有元数据和使用说明，可直接接入训练流程</w:t>
            </w:r>
          </w:p>
        </w:tc>
        <w:tc>
          <w:tcPr>
            <w:tcW w:w="2835" w:type="dxa"/>
            <w:vAlign w:val="center"/>
          </w:tcPr>
          <w:p w14:paraId="2C36E20B">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提供标准化的数据格式说明与接口文档</w:t>
            </w:r>
          </w:p>
        </w:tc>
        <w:tc>
          <w:tcPr>
            <w:tcW w:w="2693" w:type="dxa"/>
            <w:vAlign w:val="center"/>
          </w:tcPr>
          <w:p w14:paraId="508A7891">
            <w:pPr>
              <w:adjustRightInd/>
              <w:spacing w:line="240" w:lineRule="auto"/>
              <w:rPr>
                <w:rFonts w:hint="eastAsia" w:ascii="宋体" w:hAnsi="宋体" w:eastAsia="等线"/>
                <w:sz w:val="18"/>
                <w14:ligatures w14:val="standardContextual"/>
              </w:rPr>
            </w:pPr>
            <w:r>
              <w:rPr>
                <w:rFonts w:ascii="宋体" w:hAnsi="宋体" w:eastAsia="等线"/>
                <w:sz w:val="18"/>
                <w14:ligatures w14:val="standardContextual"/>
              </w:rPr>
              <w:t>提供完整的元数据规范、接口文档和使用范例，经使用方验证可即取即用</w:t>
            </w:r>
          </w:p>
        </w:tc>
      </w:tr>
      <w:bookmarkEnd w:id="72"/>
    </w:tbl>
    <w:p w14:paraId="5B5525D9">
      <w:pPr>
        <w:pStyle w:val="65"/>
        <w:numPr>
          <w:ilvl w:val="0"/>
          <w:numId w:val="0"/>
        </w:numPr>
        <w:spacing w:before="156" w:after="156"/>
        <w:ind w:firstLine="360" w:firstLineChars="200"/>
        <w:rPr>
          <w:rFonts w:hint="eastAsia" w:ascii="宋体" w:hAnsi="宋体" w:eastAsia="宋体"/>
          <w:sz w:val="18"/>
          <w:szCs w:val="18"/>
        </w:rPr>
      </w:pPr>
      <w:bookmarkStart w:id="73" w:name="OLE_LINK3"/>
      <w:r>
        <w:rPr>
          <w:rFonts w:ascii="宋体" w:hAnsi="宋体" w:eastAsia="宋体"/>
          <w:sz w:val="18"/>
          <w:szCs w:val="18"/>
        </w:rPr>
        <w:t>注：当数据集规模巨大，对全部文化内容逐项审核工作量不可行时，可经论证采用分层重点全审加抽样复核的模式，并留存论证记录。</w:t>
      </w:r>
    </w:p>
    <w:p w14:paraId="18C4AC72">
      <w:pPr>
        <w:pStyle w:val="65"/>
        <w:spacing w:before="156" w:after="156"/>
      </w:pPr>
      <w:r>
        <w:rPr>
          <w:rFonts w:hint="eastAsia"/>
        </w:rPr>
        <w:t>评定程序</w:t>
      </w:r>
    </w:p>
    <w:p w14:paraId="4C1852D3">
      <w:pPr>
        <w:pStyle w:val="174"/>
        <w:numPr>
          <w:ilvl w:val="0"/>
          <w:numId w:val="40"/>
        </w:numPr>
      </w:pPr>
      <w:r>
        <w:rPr>
          <w:rFonts w:hint="eastAsia"/>
        </w:rPr>
        <w:t>评定应由归口单位组织，或委托具备相应能力的第三方机构，依据12.2所列评估方法及表3量化判据开展；</w:t>
      </w:r>
    </w:p>
    <w:p w14:paraId="5C2E5872">
      <w:pPr>
        <w:pStyle w:val="174"/>
        <w:numPr>
          <w:ilvl w:val="0"/>
          <w:numId w:val="40"/>
        </w:numPr>
      </w:pPr>
      <w:r>
        <w:rPr>
          <w:rFonts w:hint="eastAsia"/>
        </w:rPr>
        <w:t>评定时，抽样方案按照GB/T 2828.1—2012确定，一般数据AQL取1.0—2.5，文化内容AQL取0.65—1.0；抽样应具有随机性和代表性；</w:t>
      </w:r>
    </w:p>
    <w:p w14:paraId="7903E78D">
      <w:pPr>
        <w:pStyle w:val="174"/>
        <w:numPr>
          <w:ilvl w:val="0"/>
          <w:numId w:val="40"/>
        </w:numPr>
      </w:pPr>
      <w:r>
        <w:rPr>
          <w:rFonts w:hint="eastAsia"/>
        </w:rPr>
        <w:t>评定结果应附评估报告，逐项说明表3各判据的实测值、评估方法和评估依据；</w:t>
      </w:r>
    </w:p>
    <w:p w14:paraId="25D6F9C5">
      <w:pPr>
        <w:pStyle w:val="174"/>
        <w:numPr>
          <w:ilvl w:val="0"/>
          <w:numId w:val="40"/>
        </w:numPr>
      </w:pPr>
      <w:r>
        <w:rPr>
          <w:rFonts w:hint="eastAsia"/>
        </w:rPr>
        <w:t>数据集发生重大更新后，或应用场景发生变化时，质量等级应重新评定，触发条件见 14.2 a）。</w:t>
      </w:r>
    </w:p>
    <w:bookmarkEnd w:id="73"/>
    <w:p w14:paraId="4338C39F">
      <w:pPr>
        <w:pStyle w:val="65"/>
        <w:spacing w:before="156" w:after="156"/>
      </w:pPr>
      <w:r>
        <w:rPr>
          <w:rFonts w:hint="eastAsia"/>
        </w:rPr>
        <w:t>实施细则兜底条款</w:t>
      </w:r>
    </w:p>
    <w:p w14:paraId="73B5886B">
      <w:pPr>
        <w:pStyle w:val="174"/>
        <w:numPr>
          <w:ilvl w:val="0"/>
          <w:numId w:val="41"/>
        </w:numPr>
      </w:pPr>
      <w:r>
        <w:rPr>
          <w:rFonts w:hint="eastAsia"/>
        </w:rPr>
        <w:t>表3中各项量化阈值为本文件发布时的基线要求。归口单位可根据行业发展和技术进步情况，通过评定实施细则对阈值进行动态调整并公布，调整后的阈值不得低于表3基线要求；</w:t>
      </w:r>
    </w:p>
    <w:p w14:paraId="163F7306">
      <w:pPr>
        <w:pStyle w:val="174"/>
        <w:numPr>
          <w:ilvl w:val="0"/>
          <w:numId w:val="41"/>
        </w:numPr>
      </w:pPr>
      <w:r>
        <w:rPr>
          <w:rFonts w:hint="eastAsia"/>
        </w:rPr>
        <w:t>特定业务场景（如涉及民族宗教表述、文物保护红线内容的数据集）需要更严格判据的，归口单位可在实施细则中补充专项判据；</w:t>
      </w:r>
    </w:p>
    <w:p w14:paraId="1B2C744A">
      <w:pPr>
        <w:pStyle w:val="174"/>
        <w:numPr>
          <w:ilvl w:val="0"/>
          <w:numId w:val="41"/>
        </w:numPr>
      </w:pPr>
      <w:r>
        <w:rPr>
          <w:rFonts w:hint="eastAsia"/>
        </w:rPr>
        <w:t>表3未能覆盖的质量特性或新型数据模态，归口单位应在实施细则中补充相应的评估方法和判据后，方可纳入等级评定；</w:t>
      </w:r>
    </w:p>
    <w:p w14:paraId="1375FCD3">
      <w:pPr>
        <w:pStyle w:val="174"/>
        <w:numPr>
          <w:ilvl w:val="0"/>
          <w:numId w:val="41"/>
        </w:numPr>
      </w:pPr>
      <w:r>
        <w:rPr>
          <w:rFonts w:hint="eastAsia"/>
        </w:rPr>
        <w:t>本文件实施初期（建议2年内）为阈值试行期，归口单位应根据评定实践数据对表3阈值进行至少一次校准。</w:t>
      </w:r>
    </w:p>
    <w:p w14:paraId="3070D823">
      <w:pPr>
        <w:pStyle w:val="104"/>
        <w:spacing w:before="312" w:after="312"/>
      </w:pPr>
      <w:bookmarkStart w:id="74" w:name="_Toc26968"/>
      <w:r>
        <w:rPr>
          <w:rFonts w:hint="eastAsia"/>
        </w:rPr>
        <w:t>安全保障与版权合规</w:t>
      </w:r>
      <w:bookmarkEnd w:id="74"/>
    </w:p>
    <w:p w14:paraId="74207401">
      <w:pPr>
        <w:pStyle w:val="105"/>
        <w:spacing w:before="156" w:after="156"/>
      </w:pPr>
      <w:bookmarkStart w:id="75" w:name="_Toc31822"/>
      <w:bookmarkStart w:id="76" w:name="_Toc14507"/>
      <w:r>
        <w:rPr>
          <w:rFonts w:hint="eastAsia"/>
        </w:rPr>
        <w:t>数据安全</w:t>
      </w:r>
      <w:bookmarkEnd w:id="75"/>
      <w:bookmarkEnd w:id="76"/>
    </w:p>
    <w:p w14:paraId="1C0F3A89">
      <w:pPr>
        <w:pStyle w:val="56"/>
        <w:ind w:firstLine="420"/>
      </w:pPr>
      <w:r>
        <w:rPr>
          <w:rFonts w:hint="eastAsia"/>
        </w:rPr>
        <w:t>文化和旅游行业高质量数据集的建设应遵守《中华人民共和国数据安全法》《中华人民共和国个人信息保护法》等法律法规和标准要求：</w:t>
      </w:r>
    </w:p>
    <w:p w14:paraId="0F454A1A">
      <w:pPr>
        <w:pStyle w:val="174"/>
        <w:numPr>
          <w:ilvl w:val="0"/>
          <w:numId w:val="42"/>
        </w:numPr>
      </w:pPr>
      <w:r>
        <w:rPr>
          <w:rFonts w:hint="eastAsia"/>
        </w:rPr>
        <w:t>按照GB/T 43697—2024的要求对数据集进行安全分级分类；</w:t>
      </w:r>
    </w:p>
    <w:p w14:paraId="703880FD">
      <w:pPr>
        <w:pStyle w:val="174"/>
        <w:numPr>
          <w:ilvl w:val="0"/>
          <w:numId w:val="42"/>
        </w:numPr>
      </w:pPr>
      <w:r>
        <w:rPr>
          <w:rFonts w:hint="eastAsia"/>
        </w:rPr>
        <w:t>按照GB/T 35273—2020及《中华人民共和国个人信息保护法》的要求，对涉及个人信息的数据进行脱敏处理；涉及多主体数据联合利用的，宜采用隐私计算等技术降低数据泄露风险；</w:t>
      </w:r>
    </w:p>
    <w:p w14:paraId="42B956EE">
      <w:pPr>
        <w:pStyle w:val="174"/>
        <w:numPr>
          <w:ilvl w:val="0"/>
          <w:numId w:val="42"/>
        </w:numPr>
      </w:pPr>
      <w:r>
        <w:rPr>
          <w:rFonts w:hint="eastAsia"/>
        </w:rPr>
        <w:t>对涉及文物保护敏感信息、商业运营机密的数据采取加密、访问控制等安全措施；</w:t>
      </w:r>
    </w:p>
    <w:p w14:paraId="5B48CD63">
      <w:pPr>
        <w:pStyle w:val="174"/>
        <w:numPr>
          <w:ilvl w:val="0"/>
          <w:numId w:val="42"/>
        </w:numPr>
      </w:pPr>
      <w:r>
        <w:rPr>
          <w:rFonts w:hint="eastAsia"/>
        </w:rPr>
        <w:t>建立数据安全管理制度，明确数据访问权限和操作规范。</w:t>
      </w:r>
    </w:p>
    <w:p w14:paraId="12FC4282">
      <w:pPr>
        <w:pStyle w:val="105"/>
        <w:spacing w:before="156" w:after="156"/>
      </w:pPr>
      <w:bookmarkStart w:id="77" w:name="_Toc1447"/>
      <w:bookmarkStart w:id="78" w:name="_Toc21372"/>
      <w:r>
        <w:rPr>
          <w:rFonts w:hint="eastAsia"/>
        </w:rPr>
        <w:t>版权合规</w:t>
      </w:r>
      <w:bookmarkEnd w:id="77"/>
      <w:bookmarkEnd w:id="78"/>
    </w:p>
    <w:p w14:paraId="72902C25">
      <w:pPr>
        <w:pStyle w:val="56"/>
        <w:ind w:firstLine="420"/>
      </w:pPr>
      <w:r>
        <w:rPr>
          <w:rFonts w:hint="eastAsia"/>
        </w:rPr>
        <w:t>文化和旅游行业数据集常涉及第三方知识产权，应遵守《中华人民共和国著作权法》等相关法律法规：</w:t>
      </w:r>
    </w:p>
    <w:p w14:paraId="1FFA8D1E">
      <w:pPr>
        <w:pStyle w:val="174"/>
        <w:numPr>
          <w:ilvl w:val="0"/>
          <w:numId w:val="43"/>
        </w:numPr>
      </w:pPr>
      <w:r>
        <w:rPr>
          <w:rFonts w:hint="eastAsia"/>
        </w:rPr>
        <w:t>核实数据来源的版权状态：对每一类数据来源确认版权归属：</w:t>
      </w:r>
    </w:p>
    <w:p w14:paraId="6A046D2C">
      <w:pPr>
        <w:pStyle w:val="132"/>
      </w:pPr>
      <w:r>
        <w:rPr>
          <w:rFonts w:hint="eastAsia"/>
        </w:rPr>
        <w:t>文物照片：拍摄者或收藏机构版权；</w:t>
      </w:r>
    </w:p>
    <w:p w14:paraId="46DD1071">
      <w:pPr>
        <w:pStyle w:val="132"/>
      </w:pPr>
      <w:r>
        <w:rPr>
          <w:rFonts w:hint="eastAsia"/>
        </w:rPr>
        <w:t>非遗影像：传承人肖像权、记录者版权；</w:t>
      </w:r>
    </w:p>
    <w:p w14:paraId="29CCA8A0">
      <w:pPr>
        <w:pStyle w:val="132"/>
      </w:pPr>
      <w:r>
        <w:rPr>
          <w:rFonts w:hint="eastAsia"/>
        </w:rPr>
        <w:t>历史文献：可能涉及古籍保护机构的权益；</w:t>
      </w:r>
    </w:p>
    <w:p w14:paraId="2B6DD958">
      <w:pPr>
        <w:pStyle w:val="132"/>
      </w:pPr>
      <w:r>
        <w:rPr>
          <w:rFonts w:hint="eastAsia"/>
        </w:rPr>
        <w:t>互联网内容：原始作者版权。</w:t>
      </w:r>
    </w:p>
    <w:p w14:paraId="3037C8EE">
      <w:pPr>
        <w:pStyle w:val="174"/>
        <w:numPr>
          <w:ilvl w:val="0"/>
          <w:numId w:val="43"/>
        </w:numPr>
      </w:pPr>
      <w:r>
        <w:rPr>
          <w:rFonts w:hint="eastAsia"/>
        </w:rPr>
        <w:t>获取必要的授权或许可：对非自有数据，应获取书面授权，明确使用范围、期限和方式；</w:t>
      </w:r>
    </w:p>
    <w:p w14:paraId="672422A2">
      <w:pPr>
        <w:pStyle w:val="174"/>
        <w:numPr>
          <w:ilvl w:val="0"/>
          <w:numId w:val="43"/>
        </w:numPr>
      </w:pPr>
      <w:r>
        <w:rPr>
          <w:rFonts w:hint="eastAsia"/>
        </w:rPr>
        <w:t>建立版权信息记录和追溯机制：在元数据中记录版权状态，确保数据使用可追溯；可采用区块链存证等技术手段支撑版权确权；</w:t>
      </w:r>
    </w:p>
    <w:p w14:paraId="70518853">
      <w:pPr>
        <w:pStyle w:val="174"/>
        <w:numPr>
          <w:ilvl w:val="0"/>
          <w:numId w:val="43"/>
        </w:numPr>
      </w:pPr>
      <w:r>
        <w:rPr>
          <w:rFonts w:hint="eastAsia"/>
        </w:rPr>
        <w:t>对存在版权争议的数据不予收录或采取替代方案；</w:t>
      </w:r>
    </w:p>
    <w:p w14:paraId="02E7D270">
      <w:pPr>
        <w:pStyle w:val="174"/>
        <w:numPr>
          <w:ilvl w:val="0"/>
          <w:numId w:val="43"/>
        </w:numPr>
      </w:pPr>
      <w:r>
        <w:rPr>
          <w:rFonts w:hint="eastAsia"/>
        </w:rPr>
        <w:t>宜采用数字版权管理手段，对数据使用权限进行动态管理。</w:t>
      </w:r>
    </w:p>
    <w:p w14:paraId="1280D6F3">
      <w:pPr>
        <w:pStyle w:val="104"/>
        <w:spacing w:before="312" w:after="312"/>
      </w:pPr>
      <w:bookmarkStart w:id="79" w:name="_Toc15984"/>
      <w:r>
        <w:rPr>
          <w:rFonts w:hint="eastAsia"/>
        </w:rPr>
        <w:t>数据集运维管理</w:t>
      </w:r>
      <w:bookmarkEnd w:id="79"/>
    </w:p>
    <w:p w14:paraId="73C2EDF6">
      <w:pPr>
        <w:pStyle w:val="56"/>
        <w:ind w:firstLine="420"/>
      </w:pPr>
      <w:r>
        <w:rPr>
          <w:rFonts w:hint="eastAsia"/>
        </w:rPr>
        <w:t>数据集经模型验证、质量评估完成交付后，应建立持续的数据集维护机制。</w:t>
      </w:r>
    </w:p>
    <w:p w14:paraId="182FE45D">
      <w:pPr>
        <w:pStyle w:val="105"/>
        <w:spacing w:before="156" w:after="156"/>
      </w:pPr>
      <w:bookmarkStart w:id="80" w:name="_Toc2568"/>
      <w:bookmarkStart w:id="81" w:name="_Toc17112"/>
      <w:r>
        <w:rPr>
          <w:rFonts w:hint="eastAsia"/>
        </w:rPr>
        <w:t>日常运维</w:t>
      </w:r>
      <w:bookmarkEnd w:id="80"/>
      <w:bookmarkEnd w:id="81"/>
    </w:p>
    <w:p w14:paraId="00589024">
      <w:pPr>
        <w:pStyle w:val="174"/>
        <w:numPr>
          <w:ilvl w:val="0"/>
          <w:numId w:val="44"/>
        </w:numPr>
      </w:pPr>
      <w:r>
        <w:rPr>
          <w:rFonts w:hint="eastAsia"/>
        </w:rPr>
        <w:t>数据更新：按照数据规划阶段确定的更新计划，定期补充新增数据、剔除失效数据；客流等实时性数据的更新频率应满足应用场景的时效性要求；</w:t>
      </w:r>
    </w:p>
    <w:p w14:paraId="609E6C13">
      <w:pPr>
        <w:pStyle w:val="174"/>
        <w:numPr>
          <w:ilvl w:val="0"/>
          <w:numId w:val="44"/>
        </w:numPr>
      </w:pPr>
      <w:r>
        <w:rPr>
          <w:rFonts w:hint="eastAsia"/>
        </w:rPr>
        <w:t>版本管理：数据集每次更新应形成新版本，记录版本号、更新内容、更新时间和更新依据，确保数据使用可追溯；</w:t>
      </w:r>
    </w:p>
    <w:p w14:paraId="38A4FB2F">
      <w:pPr>
        <w:pStyle w:val="174"/>
        <w:numPr>
          <w:ilvl w:val="0"/>
          <w:numId w:val="44"/>
        </w:numPr>
      </w:pPr>
      <w:r>
        <w:rPr>
          <w:rFonts w:hint="eastAsia"/>
        </w:rPr>
        <w:t>问题响应：建立数据质量问题的反馈渠道，对数据使用方发现的质量问题及时核实和处理。</w:t>
      </w:r>
    </w:p>
    <w:p w14:paraId="2C44F99D">
      <w:pPr>
        <w:pStyle w:val="105"/>
        <w:spacing w:before="156" w:after="156"/>
      </w:pPr>
      <w:bookmarkStart w:id="82" w:name="_Toc368"/>
      <w:bookmarkStart w:id="83" w:name="_Toc10262"/>
      <w:r>
        <w:rPr>
          <w:rFonts w:hint="eastAsia"/>
        </w:rPr>
        <w:t>质量复评与退出管理</w:t>
      </w:r>
      <w:bookmarkEnd w:id="82"/>
      <w:bookmarkEnd w:id="83"/>
    </w:p>
    <w:p w14:paraId="6D28D712">
      <w:pPr>
        <w:pStyle w:val="174"/>
        <w:numPr>
          <w:ilvl w:val="0"/>
          <w:numId w:val="45"/>
        </w:numPr>
      </w:pPr>
      <w:r>
        <w:rPr>
          <w:rFonts w:hint="eastAsia"/>
        </w:rPr>
        <w:t>质量复评：数据集发生重大更新或应用场景变化时，应按第12章重新进行质量评估；</w:t>
      </w:r>
    </w:p>
    <w:p w14:paraId="52CFC1FA">
      <w:pPr>
        <w:pStyle w:val="174"/>
        <w:numPr>
          <w:ilvl w:val="0"/>
          <w:numId w:val="45"/>
        </w:numPr>
      </w:pPr>
      <w:r>
        <w:rPr>
          <w:rFonts w:hint="eastAsia"/>
        </w:rPr>
        <w:t>退出管理：数据集不再使用或不再满足合规要求时，应按数据安全管理制度规定的程序进行归档或销毁。涉及文物敏感信息、民族宗教敏感内容、个人隐私信息的数据集销毁应执行安全销毁流程，并留存处置记录；归档数据集应做好访问权限管控。</w:t>
      </w:r>
    </w:p>
    <w:p w14:paraId="07517827">
      <w:pPr>
        <w:pStyle w:val="174"/>
        <w:numPr>
          <w:ilvl w:val="0"/>
          <w:numId w:val="45"/>
        </w:numPr>
        <w:sectPr>
          <w:pgSz w:w="11906" w:h="16838"/>
          <w:pgMar w:top="1928" w:right="1134" w:bottom="1134" w:left="1134" w:header="1418" w:footer="1134" w:gutter="284"/>
          <w:pgNumType w:start="1"/>
          <w:cols w:space="425" w:num="1"/>
          <w:formProt w:val="0"/>
          <w:docGrid w:type="lines" w:linePitch="312" w:charSpace="0"/>
        </w:sectPr>
      </w:pPr>
    </w:p>
    <w:bookmarkEnd w:id="24"/>
    <w:p w14:paraId="5B7B2BF6">
      <w:pPr>
        <w:pStyle w:val="198"/>
        <w:rPr>
          <w:rFonts w:hint="eastAsia"/>
        </w:rPr>
      </w:pPr>
      <w:bookmarkStart w:id="84" w:name="BookMark5"/>
    </w:p>
    <w:p w14:paraId="1F525443">
      <w:pPr>
        <w:pStyle w:val="199"/>
      </w:pPr>
    </w:p>
    <w:p w14:paraId="3477444A">
      <w:pPr>
        <w:pStyle w:val="76"/>
        <w:spacing w:after="156"/>
      </w:pPr>
      <w:bookmarkStart w:id="85" w:name="_Toc6366"/>
      <w:r>
        <w:rPr>
          <w:rFonts w:hint="eastAsia"/>
        </w:rPr>
        <w:br w:type="textWrapping"/>
      </w:r>
      <w:r>
        <w:rPr>
          <w:rFonts w:hint="eastAsia"/>
        </w:rPr>
        <w:t>（规范性）</w:t>
      </w:r>
      <w:r>
        <w:rPr>
          <w:rFonts w:hint="eastAsia"/>
        </w:rPr>
        <w:br w:type="textWrapping"/>
      </w:r>
      <w:r>
        <w:rPr>
          <w:rFonts w:hint="eastAsia"/>
        </w:rPr>
        <w:t>数据集分类与编码规则</w:t>
      </w:r>
      <w:bookmarkEnd w:id="85"/>
    </w:p>
    <w:p w14:paraId="5E839C54">
      <w:pPr>
        <w:pStyle w:val="56"/>
        <w:ind w:firstLine="420"/>
      </w:pPr>
      <w:r>
        <w:rPr>
          <w:rFonts w:hint="eastAsia"/>
        </w:rPr>
        <w:t>本附录规定了文化和旅游行业高质量数据集的分类框架和编码规则。数据集建成登记时，应按照本附录进行分类编码。</w:t>
      </w:r>
    </w:p>
    <w:p w14:paraId="7A112D5C">
      <w:pPr>
        <w:pStyle w:val="174"/>
        <w:numPr>
          <w:ilvl w:val="0"/>
          <w:numId w:val="0"/>
        </w:numPr>
        <w:ind w:left="425"/>
        <w:rPr>
          <w:b/>
          <w:bCs/>
        </w:rPr>
      </w:pPr>
      <w:r>
        <w:rPr>
          <w:rFonts w:hint="eastAsia"/>
          <w:b/>
          <w:bCs/>
        </w:rPr>
        <w:t>A.1 分类框架</w:t>
      </w:r>
    </w:p>
    <w:p w14:paraId="00062361">
      <w:pPr>
        <w:pStyle w:val="56"/>
        <w:ind w:firstLine="420"/>
      </w:pPr>
      <w:r>
        <w:rPr>
          <w:rFonts w:hint="eastAsia"/>
        </w:rPr>
        <w:t>文化和旅游行业高质量数据集按“知识深度—产业领域—业务场景”三个层级进行分类。</w:t>
      </w:r>
    </w:p>
    <w:p w14:paraId="0687E495">
      <w:pPr>
        <w:pStyle w:val="56"/>
        <w:ind w:firstLine="422"/>
        <w:rPr>
          <w:b/>
          <w:bCs/>
        </w:rPr>
      </w:pPr>
      <w:r>
        <w:rPr>
          <w:rFonts w:hint="eastAsia"/>
          <w:b/>
          <w:bCs/>
        </w:rPr>
        <w:t>A.1.1 第一级：按知识深度</w:t>
      </w:r>
    </w:p>
    <w:tbl>
      <w:tblPr>
        <w:tblStyle w:val="2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988"/>
        <w:gridCol w:w="2409"/>
        <w:gridCol w:w="4899"/>
      </w:tblGrid>
      <w:tr w14:paraId="697722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8" w:type="dxa"/>
            <w:tcBorders>
              <w:bottom w:val="single" w:color="auto" w:sz="8" w:space="0"/>
            </w:tcBorders>
            <w:vAlign w:val="center"/>
          </w:tcPr>
          <w:p w14:paraId="2658DF48">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代码</w:t>
            </w:r>
          </w:p>
        </w:tc>
        <w:tc>
          <w:tcPr>
            <w:tcW w:w="2409" w:type="dxa"/>
            <w:tcBorders>
              <w:bottom w:val="single" w:color="auto" w:sz="8" w:space="0"/>
            </w:tcBorders>
          </w:tcPr>
          <w:p w14:paraId="3A7A824D">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名称</w:t>
            </w:r>
          </w:p>
        </w:tc>
        <w:tc>
          <w:tcPr>
            <w:tcW w:w="4899" w:type="dxa"/>
            <w:tcBorders>
              <w:bottom w:val="single" w:color="auto" w:sz="8" w:space="0"/>
            </w:tcBorders>
          </w:tcPr>
          <w:p w14:paraId="08E58DA1">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说明</w:t>
            </w:r>
          </w:p>
        </w:tc>
      </w:tr>
      <w:tr w14:paraId="36EB5A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8" w:type="dxa"/>
            <w:tcBorders>
              <w:top w:val="single" w:color="auto" w:sz="8" w:space="0"/>
            </w:tcBorders>
          </w:tcPr>
          <w:p w14:paraId="1A66ACCE">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T</w:t>
            </w:r>
          </w:p>
        </w:tc>
        <w:tc>
          <w:tcPr>
            <w:tcW w:w="2409" w:type="dxa"/>
            <w:tcBorders>
              <w:top w:val="single" w:color="auto" w:sz="8" w:space="0"/>
            </w:tcBorders>
          </w:tcPr>
          <w:p w14:paraId="700024DD">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通识数据集</w:t>
            </w:r>
          </w:p>
        </w:tc>
        <w:tc>
          <w:tcPr>
            <w:tcW w:w="4899" w:type="dxa"/>
            <w:tcBorders>
              <w:top w:val="single" w:color="auto" w:sz="8" w:space="0"/>
            </w:tcBorders>
          </w:tcPr>
          <w:p w14:paraId="50931DCE">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面向社会公众，无需专业背景即可理解</w:t>
            </w:r>
          </w:p>
        </w:tc>
      </w:tr>
      <w:tr w14:paraId="150F1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8" w:type="dxa"/>
          </w:tcPr>
          <w:p w14:paraId="7E093010">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I</w:t>
            </w:r>
          </w:p>
        </w:tc>
        <w:tc>
          <w:tcPr>
            <w:tcW w:w="2409" w:type="dxa"/>
          </w:tcPr>
          <w:p w14:paraId="4185D1F8">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行业通识数据集</w:t>
            </w:r>
          </w:p>
        </w:tc>
        <w:tc>
          <w:tcPr>
            <w:tcW w:w="4899" w:type="dxa"/>
          </w:tcPr>
          <w:p w14:paraId="45D4F02F">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面向行业从业人员，需一定专业背景</w:t>
            </w:r>
          </w:p>
        </w:tc>
      </w:tr>
      <w:tr w14:paraId="01E7A8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88" w:type="dxa"/>
          </w:tcPr>
          <w:p w14:paraId="7E77089E">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E</w:t>
            </w:r>
          </w:p>
        </w:tc>
        <w:tc>
          <w:tcPr>
            <w:tcW w:w="2409" w:type="dxa"/>
          </w:tcPr>
          <w:p w14:paraId="3792863E">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行业专识数据集</w:t>
            </w:r>
          </w:p>
        </w:tc>
        <w:tc>
          <w:tcPr>
            <w:tcW w:w="4899" w:type="dxa"/>
          </w:tcPr>
          <w:p w14:paraId="0B34C148">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面向内部业务人员，需较深专业背景</w:t>
            </w:r>
          </w:p>
        </w:tc>
      </w:tr>
    </w:tbl>
    <w:p w14:paraId="2F4911D3">
      <w:pPr>
        <w:pStyle w:val="56"/>
        <w:ind w:firstLine="422"/>
        <w:rPr>
          <w:b/>
          <w:bCs/>
        </w:rPr>
      </w:pPr>
      <w:r>
        <w:rPr>
          <w:rFonts w:hint="eastAsia"/>
          <w:b/>
          <w:bCs/>
        </w:rPr>
        <w:t>A.1.2 第二级：按产业领域</w:t>
      </w:r>
    </w:p>
    <w:tbl>
      <w:tblPr>
        <w:tblStyle w:val="2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704"/>
        <w:gridCol w:w="2410"/>
        <w:gridCol w:w="5182"/>
      </w:tblGrid>
      <w:tr w14:paraId="352DFC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04" w:type="dxa"/>
            <w:tcBorders>
              <w:bottom w:val="single" w:color="auto" w:sz="8" w:space="0"/>
            </w:tcBorders>
            <w:vAlign w:val="center"/>
          </w:tcPr>
          <w:p w14:paraId="213D9131">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代码</w:t>
            </w:r>
          </w:p>
        </w:tc>
        <w:tc>
          <w:tcPr>
            <w:tcW w:w="2410" w:type="dxa"/>
            <w:tcBorders>
              <w:bottom w:val="single" w:color="auto" w:sz="8" w:space="0"/>
            </w:tcBorders>
          </w:tcPr>
          <w:p w14:paraId="51F7BE7F">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名称</w:t>
            </w:r>
          </w:p>
        </w:tc>
        <w:tc>
          <w:tcPr>
            <w:tcW w:w="5182" w:type="dxa"/>
            <w:tcBorders>
              <w:bottom w:val="single" w:color="auto" w:sz="8" w:space="0"/>
            </w:tcBorders>
          </w:tcPr>
          <w:p w14:paraId="2853E2BC">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典型业务场景举例</w:t>
            </w:r>
          </w:p>
        </w:tc>
      </w:tr>
      <w:tr w14:paraId="2B5B04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04" w:type="dxa"/>
            <w:tcBorders>
              <w:top w:val="single" w:color="auto" w:sz="8" w:space="0"/>
            </w:tcBorders>
          </w:tcPr>
          <w:p w14:paraId="403E4DD1">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01</w:t>
            </w:r>
          </w:p>
        </w:tc>
        <w:tc>
          <w:tcPr>
            <w:tcW w:w="2410" w:type="dxa"/>
            <w:tcBorders>
              <w:top w:val="single" w:color="auto" w:sz="8" w:space="0"/>
            </w:tcBorders>
          </w:tcPr>
          <w:p w14:paraId="313C254A">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自然与社会环境</w:t>
            </w:r>
          </w:p>
        </w:tc>
        <w:tc>
          <w:tcPr>
            <w:tcW w:w="5182" w:type="dxa"/>
            <w:tcBorders>
              <w:top w:val="single" w:color="auto" w:sz="8" w:space="0"/>
            </w:tcBorders>
          </w:tcPr>
          <w:p w14:paraId="6B6F63F8">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地质地貌、气象环境、生态资源</w:t>
            </w:r>
          </w:p>
        </w:tc>
      </w:tr>
      <w:tr w14:paraId="7FF720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04" w:type="dxa"/>
          </w:tcPr>
          <w:p w14:paraId="5DB544D9">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02</w:t>
            </w:r>
          </w:p>
        </w:tc>
        <w:tc>
          <w:tcPr>
            <w:tcW w:w="2410" w:type="dxa"/>
          </w:tcPr>
          <w:p w14:paraId="0E1F124D">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历史文化通识</w:t>
            </w:r>
          </w:p>
        </w:tc>
        <w:tc>
          <w:tcPr>
            <w:tcW w:w="5182" w:type="dxa"/>
          </w:tcPr>
          <w:p w14:paraId="590DC2CD">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历史沿革、人物事件、民俗知识</w:t>
            </w:r>
          </w:p>
        </w:tc>
      </w:tr>
      <w:tr w14:paraId="164244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04" w:type="dxa"/>
          </w:tcPr>
          <w:p w14:paraId="46A567F2">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03</w:t>
            </w:r>
          </w:p>
        </w:tc>
        <w:tc>
          <w:tcPr>
            <w:tcW w:w="2410" w:type="dxa"/>
          </w:tcPr>
          <w:p w14:paraId="52918C59">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文旅公共服务语料</w:t>
            </w:r>
          </w:p>
        </w:tc>
        <w:tc>
          <w:tcPr>
            <w:tcW w:w="5182" w:type="dxa"/>
          </w:tcPr>
          <w:p w14:paraId="34C21F94">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咨询问答、导览讲解、政务服务</w:t>
            </w:r>
          </w:p>
        </w:tc>
      </w:tr>
      <w:tr w14:paraId="674F3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04" w:type="dxa"/>
          </w:tcPr>
          <w:p w14:paraId="073DB91B">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04</w:t>
            </w:r>
          </w:p>
        </w:tc>
        <w:tc>
          <w:tcPr>
            <w:tcW w:w="2410" w:type="dxa"/>
          </w:tcPr>
          <w:p w14:paraId="65F2FCF9">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旅游目的地与游览</w:t>
            </w:r>
          </w:p>
        </w:tc>
        <w:tc>
          <w:tcPr>
            <w:tcW w:w="5182" w:type="dxa"/>
          </w:tcPr>
          <w:p w14:paraId="35DFD731">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景区运营、文化遗产、游客体验</w:t>
            </w:r>
          </w:p>
        </w:tc>
      </w:tr>
      <w:tr w14:paraId="625C45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04" w:type="dxa"/>
          </w:tcPr>
          <w:p w14:paraId="6584608B">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05</w:t>
            </w:r>
          </w:p>
        </w:tc>
        <w:tc>
          <w:tcPr>
            <w:tcW w:w="2410" w:type="dxa"/>
          </w:tcPr>
          <w:p w14:paraId="2278B41A">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旅游出行与住宿</w:t>
            </w:r>
          </w:p>
        </w:tc>
        <w:tc>
          <w:tcPr>
            <w:tcW w:w="5182" w:type="dxa"/>
          </w:tcPr>
          <w:p w14:paraId="0BA209BD">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交通接驳、住宿服务、行程规划</w:t>
            </w:r>
          </w:p>
        </w:tc>
      </w:tr>
      <w:tr w14:paraId="48C71C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04" w:type="dxa"/>
          </w:tcPr>
          <w:p w14:paraId="08DB197A">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06</w:t>
            </w:r>
          </w:p>
        </w:tc>
        <w:tc>
          <w:tcPr>
            <w:tcW w:w="2410" w:type="dxa"/>
          </w:tcPr>
          <w:p w14:paraId="586D1EE2">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文化内容生产</w:t>
            </w:r>
          </w:p>
        </w:tc>
        <w:tc>
          <w:tcPr>
            <w:tcW w:w="5182" w:type="dxa"/>
          </w:tcPr>
          <w:p w14:paraId="6D469B77">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文艺创作、文创设计、数字内容</w:t>
            </w:r>
          </w:p>
        </w:tc>
      </w:tr>
      <w:tr w14:paraId="1CA4D9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04" w:type="dxa"/>
          </w:tcPr>
          <w:p w14:paraId="199CD5C8">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07</w:t>
            </w:r>
          </w:p>
        </w:tc>
        <w:tc>
          <w:tcPr>
            <w:tcW w:w="2410" w:type="dxa"/>
          </w:tcPr>
          <w:p w14:paraId="30C2227D">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文旅消费与娱乐</w:t>
            </w:r>
          </w:p>
        </w:tc>
        <w:tc>
          <w:tcPr>
            <w:tcW w:w="5182" w:type="dxa"/>
          </w:tcPr>
          <w:p w14:paraId="22B1DE2B">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消费行为、娱乐活动、夜间经济</w:t>
            </w:r>
          </w:p>
        </w:tc>
      </w:tr>
      <w:tr w14:paraId="0A35DC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04" w:type="dxa"/>
          </w:tcPr>
          <w:p w14:paraId="7B35570D">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08</w:t>
            </w:r>
          </w:p>
        </w:tc>
        <w:tc>
          <w:tcPr>
            <w:tcW w:w="2410" w:type="dxa"/>
          </w:tcPr>
          <w:p w14:paraId="4859799F">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文旅治理与综合服务</w:t>
            </w:r>
          </w:p>
        </w:tc>
        <w:tc>
          <w:tcPr>
            <w:tcW w:w="5182" w:type="dxa"/>
          </w:tcPr>
          <w:p w14:paraId="2B9B91D2">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市场监管、投诉处理、统计调度</w:t>
            </w:r>
          </w:p>
        </w:tc>
      </w:tr>
    </w:tbl>
    <w:p w14:paraId="4F5C4247">
      <w:pPr>
        <w:pStyle w:val="56"/>
        <w:ind w:firstLine="422"/>
        <w:rPr>
          <w:b/>
          <w:bCs/>
        </w:rPr>
      </w:pPr>
      <w:r>
        <w:rPr>
          <w:rFonts w:hint="eastAsia"/>
          <w:b/>
          <w:bCs/>
        </w:rPr>
        <w:t>A.1.3 第三级：按业务场景</w:t>
      </w:r>
    </w:p>
    <w:p w14:paraId="21678B31">
      <w:pPr>
        <w:pStyle w:val="56"/>
        <w:ind w:firstLine="420"/>
      </w:pPr>
      <w:r>
        <w:rPr>
          <w:rFonts w:hint="eastAsia"/>
        </w:rPr>
        <w:t>在各产业领域下进一步细分具体业务场景，编码为01—99。第三级场景码由数据集建设单位按照实际场景自行定义，并在数据集登记时附场景说明。归口单位宜定期发布第三级场景码的推荐对照表，逐步实现全省统一。</w:t>
      </w:r>
    </w:p>
    <w:p w14:paraId="1C5391C6">
      <w:pPr>
        <w:pStyle w:val="56"/>
        <w:ind w:firstLine="422"/>
        <w:rPr>
          <w:b/>
          <w:bCs/>
        </w:rPr>
      </w:pPr>
      <w:r>
        <w:rPr>
          <w:rFonts w:hint="eastAsia"/>
          <w:b/>
          <w:bCs/>
        </w:rPr>
        <w:t>A.1.4 与相关产业分类的对应关系</w:t>
      </w:r>
    </w:p>
    <w:p w14:paraId="4D0C0A88">
      <w:pPr>
        <w:pStyle w:val="56"/>
        <w:ind w:firstLine="420"/>
      </w:pPr>
      <w:r>
        <w:rPr>
          <w:rFonts w:hint="eastAsia"/>
        </w:rPr>
        <w:t>本附录第二级产业领域划分参照DB43/T 2914—2024《文化和旅游及相关产业分类与代码》及国家文化和旅游及相关产业统计分类确定，对应关系如下：</w:t>
      </w:r>
    </w:p>
    <w:p w14:paraId="61FCE6AF">
      <w:pPr>
        <w:pStyle w:val="132"/>
      </w:pPr>
      <w:r>
        <w:rPr>
          <w:rFonts w:hint="eastAsia"/>
        </w:rPr>
        <w:t>01自然与社会环境、04旅游目的地与游览、05旅游出行与住宿、07文旅消费与娱乐，对应DB43/T 2914中旅游及相关产业类别；</w:t>
      </w:r>
    </w:p>
    <w:p w14:paraId="3E2ABB44">
      <w:pPr>
        <w:pStyle w:val="132"/>
      </w:pPr>
      <w:r>
        <w:rPr>
          <w:rFonts w:hint="eastAsia"/>
        </w:rPr>
        <w:t>02历史文化通识、03文旅公共服务语料、06文化内容生产，对应DB43/T 2914中文化及相关产业类别；</w:t>
      </w:r>
    </w:p>
    <w:p w14:paraId="085EE491">
      <w:pPr>
        <w:pStyle w:val="132"/>
      </w:pPr>
      <w:r>
        <w:rPr>
          <w:rFonts w:hint="eastAsia"/>
        </w:rPr>
        <w:t>08文旅治理与综合服务对应产业管理及综合服务类别。</w:t>
      </w:r>
    </w:p>
    <w:p w14:paraId="3B733F61">
      <w:pPr>
        <w:pStyle w:val="56"/>
        <w:ind w:firstLine="420"/>
      </w:pPr>
      <w:r>
        <w:rPr>
          <w:rFonts w:hint="eastAsia"/>
        </w:rPr>
        <w:t>数据集登记时涉及统计口径的，以DB43/T 2914—2024为准；涉及国民经济行业归类的，以GB/T 4754—2017为准。</w:t>
      </w:r>
    </w:p>
    <w:p w14:paraId="4F5348A0">
      <w:pPr>
        <w:pStyle w:val="56"/>
        <w:ind w:firstLine="422"/>
        <w:rPr>
          <w:b/>
          <w:bCs/>
        </w:rPr>
      </w:pPr>
      <w:r>
        <w:rPr>
          <w:rFonts w:hint="eastAsia"/>
          <w:b/>
          <w:bCs/>
        </w:rPr>
        <w:t>A.2 编码规则</w:t>
      </w:r>
    </w:p>
    <w:p w14:paraId="4915FA8A">
      <w:pPr>
        <w:pStyle w:val="56"/>
        <w:ind w:firstLine="420"/>
      </w:pPr>
      <w:r>
        <w:rPr>
          <w:rFonts w:hint="eastAsia"/>
        </w:rPr>
        <w:t>编码由8位业务主码组成，可选添加扩展编码，见表A.1。</w:t>
      </w:r>
    </w:p>
    <w:p w14:paraId="6B3966DB">
      <w:pPr>
        <w:pStyle w:val="56"/>
        <w:ind w:firstLine="420"/>
      </w:pPr>
    </w:p>
    <w:p w14:paraId="142BE0E3">
      <w:pPr>
        <w:pStyle w:val="77"/>
        <w:spacing w:before="156" w:after="156"/>
      </w:pPr>
      <w:r>
        <w:rPr>
          <w:rFonts w:hint="eastAsia"/>
        </w:rPr>
        <w:t>编码规则</w:t>
      </w:r>
    </w:p>
    <w:tbl>
      <w:tblPr>
        <w:tblStyle w:val="2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263"/>
        <w:gridCol w:w="1843"/>
        <w:gridCol w:w="4190"/>
      </w:tblGrid>
      <w:tr w14:paraId="4B1870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63" w:type="dxa"/>
            <w:tcBorders>
              <w:bottom w:val="single" w:color="auto" w:sz="8" w:space="0"/>
            </w:tcBorders>
            <w:vAlign w:val="center"/>
          </w:tcPr>
          <w:p w14:paraId="725F2BB8">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码段</w:t>
            </w:r>
          </w:p>
        </w:tc>
        <w:tc>
          <w:tcPr>
            <w:tcW w:w="1843" w:type="dxa"/>
            <w:tcBorders>
              <w:bottom w:val="single" w:color="auto" w:sz="8" w:space="0"/>
            </w:tcBorders>
          </w:tcPr>
          <w:p w14:paraId="481D2815">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位置</w:t>
            </w:r>
          </w:p>
        </w:tc>
        <w:tc>
          <w:tcPr>
            <w:tcW w:w="4190" w:type="dxa"/>
            <w:tcBorders>
              <w:bottom w:val="single" w:color="auto" w:sz="8" w:space="0"/>
            </w:tcBorders>
          </w:tcPr>
          <w:p w14:paraId="21977962">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编码规则</w:t>
            </w:r>
          </w:p>
        </w:tc>
      </w:tr>
      <w:tr w14:paraId="1E975C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63" w:type="dxa"/>
            <w:tcBorders>
              <w:top w:val="single" w:color="auto" w:sz="8" w:space="0"/>
            </w:tcBorders>
          </w:tcPr>
          <w:p w14:paraId="03A3BEA7">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知识层级码</w:t>
            </w:r>
          </w:p>
        </w:tc>
        <w:tc>
          <w:tcPr>
            <w:tcW w:w="1843" w:type="dxa"/>
            <w:tcBorders>
              <w:top w:val="single" w:color="auto" w:sz="8" w:space="0"/>
            </w:tcBorders>
          </w:tcPr>
          <w:p w14:paraId="3BD5BAD3">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第1位</w:t>
            </w:r>
          </w:p>
        </w:tc>
        <w:tc>
          <w:tcPr>
            <w:tcW w:w="4190" w:type="dxa"/>
            <w:tcBorders>
              <w:top w:val="single" w:color="auto" w:sz="8" w:space="0"/>
            </w:tcBorders>
          </w:tcPr>
          <w:p w14:paraId="116D064C">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T/I/E</w:t>
            </w:r>
          </w:p>
        </w:tc>
      </w:tr>
      <w:tr w14:paraId="5C4890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63" w:type="dxa"/>
          </w:tcPr>
          <w:p w14:paraId="2FCBA5ED">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产业领域码</w:t>
            </w:r>
          </w:p>
        </w:tc>
        <w:tc>
          <w:tcPr>
            <w:tcW w:w="1843" w:type="dxa"/>
          </w:tcPr>
          <w:p w14:paraId="32A954B5">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第2-3位</w:t>
            </w:r>
          </w:p>
        </w:tc>
        <w:tc>
          <w:tcPr>
            <w:tcW w:w="4190" w:type="dxa"/>
          </w:tcPr>
          <w:p w14:paraId="252374E7">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01-08</w:t>
            </w:r>
          </w:p>
        </w:tc>
      </w:tr>
      <w:tr w14:paraId="766C89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63" w:type="dxa"/>
          </w:tcPr>
          <w:p w14:paraId="66EB65E6">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业务场景码</w:t>
            </w:r>
          </w:p>
        </w:tc>
        <w:tc>
          <w:tcPr>
            <w:tcW w:w="1843" w:type="dxa"/>
          </w:tcPr>
          <w:p w14:paraId="6FB1180C">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第4-5位</w:t>
            </w:r>
          </w:p>
        </w:tc>
        <w:tc>
          <w:tcPr>
            <w:tcW w:w="4190" w:type="dxa"/>
          </w:tcPr>
          <w:p w14:paraId="77F468FC">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01-99</w:t>
            </w:r>
          </w:p>
        </w:tc>
      </w:tr>
      <w:tr w14:paraId="0B27D2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63" w:type="dxa"/>
          </w:tcPr>
          <w:p w14:paraId="3CE99A1E">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扩展顺序码</w:t>
            </w:r>
          </w:p>
        </w:tc>
        <w:tc>
          <w:tcPr>
            <w:tcW w:w="1843" w:type="dxa"/>
          </w:tcPr>
          <w:p w14:paraId="68CA51A1">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第6-8位</w:t>
            </w:r>
          </w:p>
        </w:tc>
        <w:tc>
          <w:tcPr>
            <w:tcW w:w="4190" w:type="dxa"/>
          </w:tcPr>
          <w:p w14:paraId="34AA7A6F">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001-999</w:t>
            </w:r>
          </w:p>
        </w:tc>
      </w:tr>
      <w:tr w14:paraId="6FF3F2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263" w:type="dxa"/>
          </w:tcPr>
          <w:p w14:paraId="11B82BF3">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扩展编码（可选）</w:t>
            </w:r>
          </w:p>
        </w:tc>
        <w:tc>
          <w:tcPr>
            <w:tcW w:w="1843" w:type="dxa"/>
          </w:tcPr>
          <w:p w14:paraId="617AC3F2">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"-"后4位</w:t>
            </w:r>
          </w:p>
        </w:tc>
        <w:tc>
          <w:tcPr>
            <w:tcW w:w="4190" w:type="dxa"/>
          </w:tcPr>
          <w:p w14:paraId="3DBBFD5F">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第1-2位为模态码，第3-4位为安全码</w:t>
            </w:r>
          </w:p>
        </w:tc>
      </w:tr>
    </w:tbl>
    <w:p w14:paraId="7CBAC6D5">
      <w:pPr>
        <w:pStyle w:val="56"/>
        <w:ind w:firstLine="420"/>
      </w:pPr>
      <w:r>
        <w:rPr>
          <w:rFonts w:hint="eastAsia"/>
        </w:rPr>
        <w:t>模态码和安全码取值见表A.2、表A.3。</w:t>
      </w:r>
    </w:p>
    <w:p w14:paraId="246AD2B1">
      <w:pPr>
        <w:pStyle w:val="77"/>
        <w:spacing w:before="156" w:after="156"/>
      </w:pPr>
      <w:r>
        <w:rPr>
          <w:rFonts w:hint="eastAsia"/>
        </w:rPr>
        <w:t>模态码取值</w:t>
      </w:r>
    </w:p>
    <w:tbl>
      <w:tblPr>
        <w:tblStyle w:val="2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148"/>
        <w:gridCol w:w="4148"/>
      </w:tblGrid>
      <w:tr w14:paraId="16E87A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48" w:type="dxa"/>
            <w:tcBorders>
              <w:bottom w:val="single" w:color="auto" w:sz="8" w:space="0"/>
            </w:tcBorders>
            <w:vAlign w:val="center"/>
          </w:tcPr>
          <w:p w14:paraId="312186C6">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代码</w:t>
            </w:r>
          </w:p>
        </w:tc>
        <w:tc>
          <w:tcPr>
            <w:tcW w:w="4148" w:type="dxa"/>
            <w:tcBorders>
              <w:bottom w:val="single" w:color="auto" w:sz="8" w:space="0"/>
            </w:tcBorders>
          </w:tcPr>
          <w:p w14:paraId="6E3C35CA">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模态</w:t>
            </w:r>
          </w:p>
        </w:tc>
      </w:tr>
      <w:tr w14:paraId="4CABF6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48" w:type="dxa"/>
            <w:tcBorders>
              <w:top w:val="single" w:color="auto" w:sz="8" w:space="0"/>
            </w:tcBorders>
          </w:tcPr>
          <w:p w14:paraId="6FB9CEAB">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01</w:t>
            </w:r>
          </w:p>
        </w:tc>
        <w:tc>
          <w:tcPr>
            <w:tcW w:w="4148" w:type="dxa"/>
            <w:tcBorders>
              <w:top w:val="single" w:color="auto" w:sz="8" w:space="0"/>
            </w:tcBorders>
          </w:tcPr>
          <w:p w14:paraId="463A7BCB">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文本</w:t>
            </w:r>
          </w:p>
        </w:tc>
      </w:tr>
      <w:tr w14:paraId="1B67B7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48" w:type="dxa"/>
          </w:tcPr>
          <w:p w14:paraId="7C17ED0F">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02</w:t>
            </w:r>
          </w:p>
        </w:tc>
        <w:tc>
          <w:tcPr>
            <w:tcW w:w="4148" w:type="dxa"/>
          </w:tcPr>
          <w:p w14:paraId="3CEE4206">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图像</w:t>
            </w:r>
          </w:p>
        </w:tc>
      </w:tr>
      <w:tr w14:paraId="06841E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48" w:type="dxa"/>
          </w:tcPr>
          <w:p w14:paraId="74F667E2">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03</w:t>
            </w:r>
          </w:p>
        </w:tc>
        <w:tc>
          <w:tcPr>
            <w:tcW w:w="4148" w:type="dxa"/>
          </w:tcPr>
          <w:p w14:paraId="2BFC3B85">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音频</w:t>
            </w:r>
          </w:p>
        </w:tc>
      </w:tr>
      <w:tr w14:paraId="6B3C0D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48" w:type="dxa"/>
          </w:tcPr>
          <w:p w14:paraId="15A1751C">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04</w:t>
            </w:r>
          </w:p>
        </w:tc>
        <w:tc>
          <w:tcPr>
            <w:tcW w:w="4148" w:type="dxa"/>
          </w:tcPr>
          <w:p w14:paraId="6E165EB4">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视频</w:t>
            </w:r>
          </w:p>
        </w:tc>
      </w:tr>
      <w:tr w14:paraId="7D1499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48" w:type="dxa"/>
          </w:tcPr>
          <w:p w14:paraId="79E5DACC">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05</w:t>
            </w:r>
          </w:p>
        </w:tc>
        <w:tc>
          <w:tcPr>
            <w:tcW w:w="4148" w:type="dxa"/>
          </w:tcPr>
          <w:p w14:paraId="0207B76E">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三维模型</w:t>
            </w:r>
          </w:p>
        </w:tc>
      </w:tr>
      <w:tr w14:paraId="2D58B8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48" w:type="dxa"/>
          </w:tcPr>
          <w:p w14:paraId="1A407A5E">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06</w:t>
            </w:r>
          </w:p>
        </w:tc>
        <w:tc>
          <w:tcPr>
            <w:tcW w:w="4148" w:type="dxa"/>
          </w:tcPr>
          <w:p w14:paraId="36A32F42">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地理信息</w:t>
            </w:r>
          </w:p>
        </w:tc>
      </w:tr>
      <w:tr w14:paraId="6837A6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48" w:type="dxa"/>
          </w:tcPr>
          <w:p w14:paraId="3FBABCDA">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07</w:t>
            </w:r>
          </w:p>
        </w:tc>
        <w:tc>
          <w:tcPr>
            <w:tcW w:w="4148" w:type="dxa"/>
          </w:tcPr>
          <w:p w14:paraId="79EBDAD9">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传感器数据</w:t>
            </w:r>
          </w:p>
        </w:tc>
      </w:tr>
      <w:tr w14:paraId="5B2935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48" w:type="dxa"/>
          </w:tcPr>
          <w:p w14:paraId="3A0E81B1">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08</w:t>
            </w:r>
          </w:p>
        </w:tc>
        <w:tc>
          <w:tcPr>
            <w:tcW w:w="4148" w:type="dxa"/>
          </w:tcPr>
          <w:p w14:paraId="59924335">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结构化业务数据</w:t>
            </w:r>
          </w:p>
        </w:tc>
      </w:tr>
      <w:tr w14:paraId="46B5D9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48" w:type="dxa"/>
          </w:tcPr>
          <w:p w14:paraId="56EDA348">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09</w:t>
            </w:r>
          </w:p>
        </w:tc>
        <w:tc>
          <w:tcPr>
            <w:tcW w:w="4148" w:type="dxa"/>
          </w:tcPr>
          <w:p w14:paraId="759DEDB9">
            <w:pPr>
              <w:adjustRightInd/>
              <w:spacing w:line="240" w:lineRule="auto"/>
              <w:jc w:val="center"/>
              <w:rPr>
                <w:rFonts w:hint="eastAsia" w:ascii="宋体" w:hAnsi="宋体" w:eastAsia="等线"/>
                <w:sz w:val="18"/>
                <w14:ligatures w14:val="standardContextual"/>
              </w:rPr>
            </w:pPr>
            <w:r>
              <w:rPr>
                <w:rFonts w:ascii="宋体" w:hAnsi="宋体" w:eastAsia="等线"/>
                <w:sz w:val="18"/>
                <w14:ligatures w14:val="standardContextual"/>
              </w:rPr>
              <w:t>多模态混合</w:t>
            </w:r>
          </w:p>
        </w:tc>
      </w:tr>
    </w:tbl>
    <w:p w14:paraId="49782AC1">
      <w:pPr>
        <w:pStyle w:val="77"/>
        <w:spacing w:before="156" w:after="156"/>
      </w:pPr>
      <w:r>
        <w:rPr>
          <w:rFonts w:hint="eastAsia"/>
        </w:rPr>
        <w:t>安全码取值</w:t>
      </w:r>
    </w:p>
    <w:tbl>
      <w:tblPr>
        <w:tblStyle w:val="2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2552"/>
        <w:gridCol w:w="3906"/>
      </w:tblGrid>
      <w:tr w14:paraId="16EB4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14:paraId="220D0D46">
            <w:pPr>
              <w:adjustRightInd/>
              <w:spacing w:line="240" w:lineRule="auto"/>
              <w:jc w:val="center"/>
              <w:rPr>
                <w:rFonts w:hint="eastAsia" w:ascii="宋体" w:hAnsi="宋体" w:eastAsia="等线"/>
                <w14:ligatures w14:val="standardContextual"/>
              </w:rPr>
            </w:pPr>
            <w:r>
              <w:rPr>
                <w:rFonts w:ascii="宋体" w:hAnsi="宋体" w:eastAsia="等线"/>
                <w14:ligatures w14:val="standardContextual"/>
              </w:rPr>
              <w:t>代码</w:t>
            </w:r>
          </w:p>
        </w:tc>
        <w:tc>
          <w:tcPr>
            <w:tcW w:w="2552" w:type="dxa"/>
          </w:tcPr>
          <w:p w14:paraId="69C30421">
            <w:pPr>
              <w:adjustRightInd/>
              <w:spacing w:line="240" w:lineRule="auto"/>
              <w:jc w:val="center"/>
              <w:rPr>
                <w:rFonts w:hint="eastAsia" w:ascii="宋体" w:hAnsi="宋体" w:eastAsia="等线"/>
                <w14:ligatures w14:val="standardContextual"/>
              </w:rPr>
            </w:pPr>
            <w:r>
              <w:rPr>
                <w:rFonts w:ascii="宋体" w:hAnsi="宋体" w:eastAsia="等线"/>
                <w14:ligatures w14:val="standardContextual"/>
              </w:rPr>
              <w:t>安全等级</w:t>
            </w:r>
          </w:p>
        </w:tc>
        <w:tc>
          <w:tcPr>
            <w:tcW w:w="3906" w:type="dxa"/>
          </w:tcPr>
          <w:p w14:paraId="79824DB0">
            <w:pPr>
              <w:adjustRightInd/>
              <w:spacing w:line="240" w:lineRule="auto"/>
              <w:jc w:val="center"/>
              <w:rPr>
                <w:rFonts w:hint="eastAsia" w:ascii="宋体" w:hAnsi="宋体" w:eastAsia="等线"/>
                <w14:ligatures w14:val="standardContextual"/>
              </w:rPr>
            </w:pPr>
            <w:r>
              <w:rPr>
                <w:rFonts w:ascii="宋体" w:hAnsi="宋体" w:eastAsia="等线"/>
                <w14:ligatures w14:val="standardContextual"/>
              </w:rPr>
              <w:t>说明</w:t>
            </w:r>
          </w:p>
        </w:tc>
      </w:tr>
      <w:tr w14:paraId="0D1B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14:paraId="5A46B42C">
            <w:pPr>
              <w:adjustRightInd/>
              <w:spacing w:line="240" w:lineRule="auto"/>
              <w:jc w:val="center"/>
              <w:rPr>
                <w:rFonts w:hint="eastAsia" w:ascii="宋体" w:hAnsi="宋体" w:eastAsia="等线"/>
                <w14:ligatures w14:val="standardContextual"/>
              </w:rPr>
            </w:pPr>
            <w:r>
              <w:rPr>
                <w:rFonts w:ascii="宋体" w:hAnsi="宋体" w:eastAsia="等线"/>
                <w14:ligatures w14:val="standardContextual"/>
              </w:rPr>
              <w:t>01</w:t>
            </w:r>
          </w:p>
        </w:tc>
        <w:tc>
          <w:tcPr>
            <w:tcW w:w="2552" w:type="dxa"/>
          </w:tcPr>
          <w:p w14:paraId="657AF01F">
            <w:pPr>
              <w:adjustRightInd/>
              <w:spacing w:line="240" w:lineRule="auto"/>
              <w:jc w:val="center"/>
              <w:rPr>
                <w:rFonts w:hint="eastAsia" w:ascii="宋体" w:hAnsi="宋体" w:eastAsia="等线"/>
                <w14:ligatures w14:val="standardContextual"/>
              </w:rPr>
            </w:pPr>
            <w:r>
              <w:rPr>
                <w:rFonts w:ascii="宋体" w:hAnsi="宋体" w:eastAsia="等线"/>
                <w14:ligatures w14:val="standardContextual"/>
              </w:rPr>
              <w:t>公开级</w:t>
            </w:r>
          </w:p>
        </w:tc>
        <w:tc>
          <w:tcPr>
            <w:tcW w:w="3906" w:type="dxa"/>
          </w:tcPr>
          <w:p w14:paraId="385AC3EE">
            <w:pPr>
              <w:adjustRightInd/>
              <w:spacing w:line="240" w:lineRule="auto"/>
              <w:jc w:val="center"/>
              <w:rPr>
                <w:rFonts w:hint="eastAsia" w:ascii="宋体" w:hAnsi="宋体" w:eastAsia="等线"/>
                <w14:ligatures w14:val="standardContextual"/>
              </w:rPr>
            </w:pPr>
            <w:r>
              <w:rPr>
                <w:rFonts w:ascii="宋体" w:hAnsi="宋体" w:eastAsia="等线"/>
                <w14:ligatures w14:val="standardContextual"/>
              </w:rPr>
              <w:t>可向社会公开</w:t>
            </w:r>
          </w:p>
        </w:tc>
      </w:tr>
      <w:tr w14:paraId="5EA58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14:paraId="6F2B37E4">
            <w:pPr>
              <w:adjustRightInd/>
              <w:spacing w:line="240" w:lineRule="auto"/>
              <w:jc w:val="center"/>
              <w:rPr>
                <w:rFonts w:hint="eastAsia" w:ascii="宋体" w:hAnsi="宋体" w:eastAsia="等线"/>
                <w14:ligatures w14:val="standardContextual"/>
              </w:rPr>
            </w:pPr>
            <w:r>
              <w:rPr>
                <w:rFonts w:ascii="宋体" w:hAnsi="宋体" w:eastAsia="等线"/>
                <w14:ligatures w14:val="standardContextual"/>
              </w:rPr>
              <w:t>02</w:t>
            </w:r>
          </w:p>
        </w:tc>
        <w:tc>
          <w:tcPr>
            <w:tcW w:w="2552" w:type="dxa"/>
          </w:tcPr>
          <w:p w14:paraId="680C0F7A">
            <w:pPr>
              <w:adjustRightInd/>
              <w:spacing w:line="240" w:lineRule="auto"/>
              <w:jc w:val="center"/>
              <w:rPr>
                <w:rFonts w:hint="eastAsia" w:ascii="宋体" w:hAnsi="宋体" w:eastAsia="等线"/>
                <w14:ligatures w14:val="standardContextual"/>
              </w:rPr>
            </w:pPr>
            <w:r>
              <w:rPr>
                <w:rFonts w:ascii="宋体" w:hAnsi="宋体" w:eastAsia="等线"/>
                <w14:ligatures w14:val="standardContextual"/>
              </w:rPr>
              <w:t>重要级</w:t>
            </w:r>
          </w:p>
        </w:tc>
        <w:tc>
          <w:tcPr>
            <w:tcW w:w="3906" w:type="dxa"/>
          </w:tcPr>
          <w:p w14:paraId="31BA99A8">
            <w:pPr>
              <w:adjustRightInd/>
              <w:spacing w:line="240" w:lineRule="auto"/>
              <w:jc w:val="center"/>
              <w:rPr>
                <w:rFonts w:hint="eastAsia" w:ascii="宋体" w:hAnsi="宋体" w:eastAsia="等线"/>
                <w14:ligatures w14:val="standardContextual"/>
              </w:rPr>
            </w:pPr>
            <w:r>
              <w:rPr>
                <w:rFonts w:ascii="宋体" w:hAnsi="宋体" w:eastAsia="等线"/>
                <w14:ligatures w14:val="standardContextual"/>
              </w:rPr>
              <w:t>限授权范围内使用</w:t>
            </w:r>
          </w:p>
        </w:tc>
      </w:tr>
      <w:tr w14:paraId="2F77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tcPr>
          <w:p w14:paraId="108AC082">
            <w:pPr>
              <w:adjustRightInd/>
              <w:spacing w:line="240" w:lineRule="auto"/>
              <w:jc w:val="center"/>
              <w:rPr>
                <w:rFonts w:hint="eastAsia" w:ascii="宋体" w:hAnsi="宋体" w:eastAsia="等线"/>
                <w14:ligatures w14:val="standardContextual"/>
              </w:rPr>
            </w:pPr>
            <w:r>
              <w:rPr>
                <w:rFonts w:ascii="宋体" w:hAnsi="宋体" w:eastAsia="等线"/>
                <w14:ligatures w14:val="standardContextual"/>
              </w:rPr>
              <w:t>03</w:t>
            </w:r>
          </w:p>
        </w:tc>
        <w:tc>
          <w:tcPr>
            <w:tcW w:w="2552" w:type="dxa"/>
          </w:tcPr>
          <w:p w14:paraId="3607F991">
            <w:pPr>
              <w:adjustRightInd/>
              <w:spacing w:line="240" w:lineRule="auto"/>
              <w:jc w:val="center"/>
              <w:rPr>
                <w:rFonts w:hint="eastAsia" w:ascii="宋体" w:hAnsi="宋体" w:eastAsia="等线"/>
                <w14:ligatures w14:val="standardContextual"/>
              </w:rPr>
            </w:pPr>
            <w:r>
              <w:rPr>
                <w:rFonts w:ascii="宋体" w:hAnsi="宋体" w:eastAsia="等线"/>
                <w14:ligatures w14:val="standardContextual"/>
              </w:rPr>
              <w:t>核心级</w:t>
            </w:r>
          </w:p>
        </w:tc>
        <w:tc>
          <w:tcPr>
            <w:tcW w:w="3906" w:type="dxa"/>
          </w:tcPr>
          <w:p w14:paraId="6AFE0E4F">
            <w:pPr>
              <w:adjustRightInd/>
              <w:spacing w:line="240" w:lineRule="auto"/>
              <w:jc w:val="center"/>
              <w:rPr>
                <w:rFonts w:hint="eastAsia" w:ascii="宋体" w:hAnsi="宋体" w:eastAsia="等线"/>
                <w14:ligatures w14:val="standardContextual"/>
              </w:rPr>
            </w:pPr>
            <w:r>
              <w:rPr>
                <w:rFonts w:ascii="宋体" w:hAnsi="宋体" w:eastAsia="等线"/>
                <w14:ligatures w14:val="standardContextual"/>
              </w:rPr>
              <w:t>涉及敏感信息，严格受限使用</w:t>
            </w:r>
          </w:p>
        </w:tc>
      </w:tr>
    </w:tbl>
    <w:p w14:paraId="2366F2AB">
      <w:pPr>
        <w:pStyle w:val="56"/>
        <w:ind w:firstLine="420"/>
      </w:pPr>
      <w:r>
        <w:rPr>
          <w:rFonts w:hint="eastAsia"/>
        </w:rPr>
        <w:t>安全等级的确定应符合GB/T 43697—2024的要求。</w:t>
      </w:r>
    </w:p>
    <w:p w14:paraId="3F7857E6">
      <w:pPr>
        <w:pStyle w:val="56"/>
        <w:ind w:firstLine="422"/>
        <w:rPr>
          <w:b/>
          <w:bCs/>
        </w:rPr>
      </w:pPr>
      <w:r>
        <w:rPr>
          <w:rFonts w:hint="eastAsia"/>
          <w:b/>
          <w:bCs/>
        </w:rPr>
        <w:t>A.3 编码示例</w:t>
      </w:r>
    </w:p>
    <w:p w14:paraId="06D0DADD">
      <w:pPr>
        <w:pStyle w:val="56"/>
        <w:ind w:firstLine="420"/>
      </w:pPr>
      <w:r>
        <w:rPr>
          <w:rFonts w:hint="eastAsia"/>
        </w:rPr>
        <w:t>示例1：某景区实时闸机客流数据集</w:t>
      </w:r>
    </w:p>
    <w:p w14:paraId="15690EA1">
      <w:pPr>
        <w:pStyle w:val="56"/>
        <w:ind w:firstLine="420"/>
      </w:pPr>
      <w:r>
        <w:rPr>
          <w:rFonts w:hint="eastAsia"/>
        </w:rPr>
        <w:t>编码：E0401001-0702</w:t>
      </w:r>
    </w:p>
    <w:p w14:paraId="7A62EEC2">
      <w:pPr>
        <w:pStyle w:val="56"/>
        <w:ind w:firstLine="420"/>
      </w:pPr>
      <w:r>
        <w:rPr>
          <w:rFonts w:hint="eastAsia"/>
        </w:rPr>
        <w:t>解读：行业专识（E）→ 旅游目的地与游览（04）→ 景区基础与运营数据（01）→ 第001号数据集 → 传感器数据（07）→ 重要级（02）</w:t>
      </w:r>
    </w:p>
    <w:p w14:paraId="406E7220">
      <w:pPr>
        <w:pStyle w:val="56"/>
        <w:ind w:firstLine="420"/>
      </w:pPr>
      <w:r>
        <w:rPr>
          <w:rFonts w:hint="eastAsia"/>
        </w:rPr>
        <w:t>示例2：某文物三维高精度模型数据集</w:t>
      </w:r>
    </w:p>
    <w:p w14:paraId="681D13F5">
      <w:pPr>
        <w:pStyle w:val="56"/>
        <w:ind w:firstLine="420"/>
      </w:pPr>
      <w:r>
        <w:rPr>
          <w:rFonts w:hint="eastAsia"/>
        </w:rPr>
        <w:t>编码：E0404001-0503</w:t>
      </w:r>
    </w:p>
    <w:p w14:paraId="3E939225">
      <w:pPr>
        <w:pStyle w:val="56"/>
        <w:ind w:firstLine="420"/>
      </w:pPr>
      <w:r>
        <w:rPr>
          <w:rFonts w:hint="eastAsia"/>
        </w:rPr>
        <w:t>解读：行业专识（E）→ 旅游目的地与游览（04）→ 文化遗产数据（04）→ 第001号数据集 → 三维模型（05）→ 核心级（03）</w:t>
      </w:r>
    </w:p>
    <w:p w14:paraId="3E5A5DBF">
      <w:pPr>
        <w:pStyle w:val="179"/>
      </w:pPr>
      <w:r>
        <w:rPr>
          <w:rFonts w:hint="eastAsia"/>
        </w:rPr>
        <w:t>文物类数据集的领域归属按数据集的主要应用场景确定。本例数据集主要服务于景区数字化展示与游览应用，故归入04；如数据集主要服务于历史文化知识普及，则应归入02。</w:t>
      </w:r>
    </w:p>
    <w:p w14:paraId="2BCB4D18">
      <w:pPr>
        <w:pStyle w:val="199"/>
        <w:sectPr>
          <w:pgSz w:w="11906" w:h="16838"/>
          <w:pgMar w:top="1928" w:right="1134" w:bottom="1134" w:left="1134" w:header="1418" w:footer="1134" w:gutter="284"/>
          <w:cols w:space="425" w:num="1"/>
          <w:formProt w:val="0"/>
          <w:docGrid w:type="lines" w:linePitch="312" w:charSpace="0"/>
        </w:sectPr>
      </w:pPr>
      <w:r>
        <w:rPr>
          <w:rFonts w:hint="eastAsia"/>
        </w:rPr>
        <w:t>解读：行业专识（E）→ 旅游目的地与游览（04）→ 文化遗产数据（04）→ 第001号数据集 → 三维模型（05）→ 核心级（03）</w:t>
      </w:r>
    </w:p>
    <w:p w14:paraId="315949FE">
      <w:pPr>
        <w:pStyle w:val="198"/>
        <w:rPr>
          <w:rFonts w:hint="eastAsia"/>
        </w:rPr>
      </w:pPr>
    </w:p>
    <w:p w14:paraId="4978588F">
      <w:pPr>
        <w:pStyle w:val="199"/>
      </w:pPr>
    </w:p>
    <w:p w14:paraId="28EA4423">
      <w:pPr>
        <w:pStyle w:val="76"/>
        <w:spacing w:after="156"/>
      </w:pPr>
      <w:bookmarkStart w:id="86" w:name="_Toc15710"/>
      <w:r>
        <w:rPr>
          <w:rFonts w:hint="eastAsia"/>
        </w:rPr>
        <w:br w:type="textWrapping"/>
      </w:r>
      <w:r>
        <w:rPr>
          <w:rFonts w:hint="eastAsia"/>
        </w:rPr>
        <w:t>（资料性）</w:t>
      </w:r>
      <w:r>
        <w:rPr>
          <w:rFonts w:hint="eastAsia"/>
        </w:rPr>
        <w:br w:type="textWrapping"/>
      </w:r>
      <w:r>
        <w:rPr>
          <w:rFonts w:hint="eastAsia"/>
        </w:rPr>
        <w:t>国内文化和旅游高质量数据集先行先试示范项目示例</w:t>
      </w:r>
      <w:bookmarkEnd w:id="86"/>
    </w:p>
    <w:p w14:paraId="3E44B28E">
      <w:pPr>
        <w:pStyle w:val="56"/>
        <w:ind w:firstLine="420"/>
      </w:pPr>
      <w:r>
        <w:rPr>
          <w:rFonts w:hint="eastAsia"/>
        </w:rPr>
        <w:t>本附录给出国家数据局首批高质量数据集建设先行先试部分代表项目，为本文件数据集建设工作提供实践参考。项目清单来源于公开公示信息，清单会动态更新，仅供参考，不作为建设的强制要求。</w:t>
      </w:r>
    </w:p>
    <w:p w14:paraId="6C82C222">
      <w:pPr>
        <w:pStyle w:val="109"/>
        <w:numPr>
          <w:ilvl w:val="1"/>
          <w:numId w:val="43"/>
        </w:numPr>
      </w:pPr>
      <w:r>
        <w:rPr>
          <w:rFonts w:hint="eastAsia"/>
        </w:rPr>
        <w:t>上海戏剧学院：AI 赋能艺术人才培养和演艺行业发展高质量数据集</w:t>
      </w:r>
    </w:p>
    <w:p w14:paraId="6F5E764E">
      <w:pPr>
        <w:pStyle w:val="109"/>
        <w:numPr>
          <w:ilvl w:val="1"/>
          <w:numId w:val="43"/>
        </w:numPr>
      </w:pPr>
      <w:r>
        <w:rPr>
          <w:rFonts w:hint="eastAsia"/>
        </w:rPr>
        <w:t>联通数据智能有限公司：旅游综合数据与游客监测高质量数据集</w:t>
      </w:r>
    </w:p>
    <w:p w14:paraId="15ED742B">
      <w:pPr>
        <w:pStyle w:val="109"/>
        <w:numPr>
          <w:ilvl w:val="1"/>
          <w:numId w:val="43"/>
        </w:numPr>
      </w:pPr>
      <w:r>
        <w:rPr>
          <w:rFonts w:hint="eastAsia"/>
        </w:rPr>
        <w:t>福建票付通信息科技有限公司：旅游景区及游客高质量数据集</w:t>
      </w:r>
    </w:p>
    <w:p w14:paraId="518E4367">
      <w:pPr>
        <w:pStyle w:val="109"/>
        <w:numPr>
          <w:ilvl w:val="1"/>
          <w:numId w:val="43"/>
        </w:numPr>
      </w:pPr>
      <w:r>
        <w:rPr>
          <w:rFonts w:hint="eastAsia"/>
        </w:rPr>
        <w:t>中国戏曲学院：中国戏曲高质量多模态数据集建设</w:t>
      </w:r>
    </w:p>
    <w:p w14:paraId="59BC9F95">
      <w:pPr>
        <w:pStyle w:val="109"/>
        <w:numPr>
          <w:ilvl w:val="1"/>
          <w:numId w:val="43"/>
        </w:numPr>
      </w:pPr>
      <w:r>
        <w:rPr>
          <w:rFonts w:hint="eastAsia"/>
        </w:rPr>
        <w:t>中国国家博物馆：中国国家博物馆高质量数据集建设</w:t>
      </w:r>
    </w:p>
    <w:p w14:paraId="3442F6D0">
      <w:pPr>
        <w:pStyle w:val="109"/>
        <w:numPr>
          <w:ilvl w:val="1"/>
          <w:numId w:val="43"/>
        </w:numPr>
      </w:pPr>
      <w:r>
        <w:rPr>
          <w:rFonts w:hint="eastAsia"/>
        </w:rPr>
        <w:t>四川省文化大数据有限责任公司：四川文化行业高质量数据集建设</w:t>
      </w:r>
    </w:p>
    <w:p w14:paraId="080361AF">
      <w:pPr>
        <w:pStyle w:val="109"/>
        <w:numPr>
          <w:ilvl w:val="1"/>
          <w:numId w:val="43"/>
        </w:numPr>
      </w:pPr>
      <w:r>
        <w:rPr>
          <w:rFonts w:hint="eastAsia"/>
        </w:rPr>
        <w:t>云南广播电视台：云南南亚东南亚文化旅游视听高质量数据集建设</w:t>
      </w:r>
    </w:p>
    <w:p w14:paraId="04C71B11">
      <w:pPr>
        <w:pStyle w:val="109"/>
        <w:numPr>
          <w:ilvl w:val="1"/>
          <w:numId w:val="43"/>
        </w:numPr>
      </w:pPr>
      <w:r>
        <w:rPr>
          <w:rFonts w:hint="eastAsia"/>
        </w:rPr>
        <w:t>新华报业传媒集团：新华报业文化传媒行业高质量数据集建设</w:t>
      </w:r>
    </w:p>
    <w:p w14:paraId="65662042">
      <w:pPr>
        <w:pStyle w:val="56"/>
        <w:ind w:firstLine="420"/>
      </w:pPr>
    </w:p>
    <w:p w14:paraId="19F06FF3">
      <w:pPr>
        <w:pStyle w:val="56"/>
        <w:ind w:firstLine="420"/>
      </w:pPr>
    </w:p>
    <w:bookmarkEnd w:id="84"/>
    <w:p w14:paraId="38038D4D">
      <w:pPr>
        <w:pStyle w:val="56"/>
        <w:ind w:firstLine="420"/>
        <w:sectPr>
          <w:pgSz w:w="11906" w:h="16838"/>
          <w:pgMar w:top="1928" w:right="1134" w:bottom="1134" w:left="1134" w:header="1418" w:footer="1134" w:gutter="284"/>
          <w:cols w:space="425" w:num="1"/>
          <w:formProt w:val="0"/>
          <w:docGrid w:type="lines" w:linePitch="312" w:charSpace="0"/>
        </w:sectPr>
      </w:pPr>
      <w:bookmarkStart w:id="87" w:name="BookMark6"/>
    </w:p>
    <w:p w14:paraId="7B509C82">
      <w:pPr>
        <w:pStyle w:val="63"/>
        <w:spacing w:after="156"/>
      </w:pPr>
      <w:bookmarkStart w:id="88" w:name="_Toc9282"/>
      <w:r>
        <w:rPr>
          <w:rFonts w:hint="eastAsia"/>
          <w:spacing w:val="105"/>
        </w:rPr>
        <w:t>参考文</w:t>
      </w:r>
      <w:r>
        <w:rPr>
          <w:rFonts w:hint="eastAsia"/>
        </w:rPr>
        <w:t>献</w:t>
      </w:r>
      <w:bookmarkEnd w:id="88"/>
    </w:p>
    <w:p w14:paraId="5E9129C0">
      <w:pPr>
        <w:pStyle w:val="56"/>
        <w:ind w:firstLine="420"/>
      </w:pPr>
      <w:r>
        <w:rPr>
          <w:rFonts w:hint="eastAsia"/>
        </w:rPr>
        <w:t>[1] TC609-5-2025-01 高质量数据集 建设指南</w:t>
      </w:r>
    </w:p>
    <w:p w14:paraId="01FB94C7">
      <w:pPr>
        <w:pStyle w:val="56"/>
        <w:ind w:firstLine="420"/>
      </w:pPr>
      <w:r>
        <w:rPr>
          <w:rFonts w:hint="eastAsia"/>
        </w:rPr>
        <w:t>[2] TC609-5-2025-03 高质量数据集 分类指南</w:t>
      </w:r>
    </w:p>
    <w:p w14:paraId="2B874A98">
      <w:pPr>
        <w:pStyle w:val="56"/>
        <w:ind w:firstLine="420"/>
      </w:pPr>
      <w:r>
        <w:rPr>
          <w:rFonts w:hint="eastAsia"/>
        </w:rPr>
        <w:t>[3]中华人民共和国数据安全法[Z]</w:t>
      </w:r>
    </w:p>
    <w:p w14:paraId="00457AD2">
      <w:pPr>
        <w:pStyle w:val="56"/>
        <w:ind w:firstLine="420"/>
      </w:pPr>
      <w:r>
        <w:rPr>
          <w:rFonts w:hint="eastAsia"/>
        </w:rPr>
        <w:t>[4]中华人民共和国个人信息保护法[Z]</w:t>
      </w:r>
    </w:p>
    <w:p w14:paraId="04858D5B">
      <w:pPr>
        <w:pStyle w:val="56"/>
        <w:ind w:firstLine="420"/>
      </w:pPr>
      <w:r>
        <w:rPr>
          <w:rFonts w:hint="eastAsia"/>
        </w:rPr>
        <w:t>[5]中华人民共和国著作权法[Z]</w:t>
      </w:r>
    </w:p>
    <w:p w14:paraId="128C7EFB">
      <w:pPr>
        <w:pStyle w:val="56"/>
        <w:ind w:firstLine="420"/>
      </w:pPr>
      <w:r>
        <w:rPr>
          <w:rFonts w:hint="eastAsia"/>
        </w:rPr>
        <w:t>[6]国家统计局 国统字〔2018〕43号 文化及相关产业分类（2018）</w:t>
      </w:r>
    </w:p>
    <w:p w14:paraId="32F01765">
      <w:pPr>
        <w:pStyle w:val="56"/>
        <w:ind w:firstLine="420"/>
      </w:pPr>
      <w:r>
        <w:rPr>
          <w:rFonts w:hint="eastAsia"/>
        </w:rPr>
        <w:t>[7]国家统计局 国统字〔2018〕45号 国家旅游及相关产业统计分类（2018）</w:t>
      </w:r>
    </w:p>
    <w:p w14:paraId="3FBE57CB">
      <w:pPr>
        <w:pStyle w:val="56"/>
        <w:ind w:firstLine="420"/>
      </w:pPr>
      <w:r>
        <w:rPr>
          <w:rFonts w:hint="eastAsia"/>
        </w:rPr>
        <w:t>[8] GB/T 4754—2017 国民经济行业分类</w:t>
      </w:r>
    </w:p>
    <w:p w14:paraId="043ADDA1">
      <w:pPr>
        <w:pStyle w:val="56"/>
        <w:ind w:firstLine="420"/>
      </w:pPr>
      <w:r>
        <w:rPr>
          <w:rFonts w:hint="eastAsia"/>
        </w:rPr>
        <w:t>[9] 国家发展改革委，国家数据局，教育部，财政部，金融监管总局，中国证监会. 关于促进数据产业高质量发展的指导意见：发改数据〔2024〕1836号[Z]. 2024-12-28.</w:t>
      </w:r>
    </w:p>
    <w:p w14:paraId="6155213C">
      <w:pPr>
        <w:pStyle w:val="56"/>
        <w:ind w:firstLine="420"/>
      </w:pPr>
      <w:r>
        <w:rPr>
          <w:rFonts w:hint="eastAsia"/>
        </w:rPr>
        <w:t>[10] 文化和旅游部办公厅，中央网信办秘书局，国家发展改革委办公厅，工业和信息化部办公厅，国家数据局综合司. 智慧旅游创新发展行动计划：办资源发〔2024〕82号[Z]. 2024-05-06.</w:t>
      </w:r>
    </w:p>
    <w:p w14:paraId="19E8DA09">
      <w:pPr>
        <w:pStyle w:val="56"/>
        <w:ind w:firstLine="420"/>
      </w:pPr>
      <w:r>
        <w:rPr>
          <w:rFonts w:hint="eastAsia"/>
        </w:rPr>
        <w:t>[11]GB/T 35273—2020 信息安全技术 个人信息安全规范</w:t>
      </w:r>
    </w:p>
    <w:p w14:paraId="15013994">
      <w:pPr>
        <w:pStyle w:val="56"/>
        <w:ind w:firstLine="420"/>
      </w:pPr>
      <w:r>
        <w:rPr>
          <w:rFonts w:hint="eastAsia"/>
        </w:rPr>
        <w:t>[12] DB43/T 2850—2023 旅游资源分类、调查与评价</w:t>
      </w:r>
    </w:p>
    <w:p w14:paraId="6B0A9FFB">
      <w:pPr>
        <w:pStyle w:val="56"/>
        <w:ind w:firstLine="420"/>
      </w:pPr>
      <w:r>
        <w:rPr>
          <w:rFonts w:hint="eastAsia"/>
        </w:rPr>
        <w:t>[13] DB43/T 2069—2021 旅游资源大数据平台建设指南</w:t>
      </w:r>
    </w:p>
    <w:p w14:paraId="11A84963">
      <w:pPr>
        <w:pStyle w:val="56"/>
        <w:ind w:firstLine="420"/>
      </w:pPr>
      <w:r>
        <w:rPr>
          <w:rFonts w:hint="eastAsia"/>
        </w:rPr>
        <w:t>[14] DB43/T 2132—2021 智慧景区建设和评价规范</w:t>
      </w:r>
    </w:p>
    <w:p w14:paraId="00140F58">
      <w:pPr>
        <w:pStyle w:val="56"/>
        <w:ind w:firstLine="420"/>
      </w:pPr>
      <w:r>
        <w:rPr>
          <w:rFonts w:hint="eastAsia"/>
        </w:rPr>
        <w:t>[15] DB43/T 2853—2023 智慧旅游村镇（乡）评价规范</w:t>
      </w:r>
    </w:p>
    <w:p w14:paraId="1C9D552C">
      <w:pPr>
        <w:pStyle w:val="56"/>
        <w:ind w:firstLine="420"/>
      </w:pPr>
      <w:r>
        <w:rPr>
          <w:rFonts w:hint="eastAsia"/>
        </w:rPr>
        <w:t>[16] 中国信息通信研究院人工智能研究所，清华大学计算社会科学与国家治理实验室，中国人工智能产业发展联盟数据委员会. 人工智能高质量数据集建设指南[R]. 2025-09-02.</w:t>
      </w:r>
    </w:p>
    <w:p w14:paraId="5AD94749">
      <w:pPr>
        <w:pStyle w:val="56"/>
        <w:ind w:firstLine="420"/>
      </w:pPr>
      <w:r>
        <w:rPr>
          <w:rFonts w:hint="eastAsia"/>
        </w:rPr>
        <w:t>[17] 国家数据局. 高质量数据集典型案例名单[Z]. 2025-09-12.</w:t>
      </w:r>
    </w:p>
    <w:p w14:paraId="32B8D0D8">
      <w:pPr>
        <w:pStyle w:val="56"/>
        <w:ind w:firstLine="420"/>
      </w:pPr>
      <w:r>
        <w:rPr>
          <w:rFonts w:hint="eastAsia"/>
        </w:rPr>
        <w:t>[18] 咪咕文化科技有限公司，等. 咪咕公司聚焦“技术+场景”打造文体文旅高质量数据集[R]. 国家数据局高质量数据集典型案例，2025-11-19.</w:t>
      </w:r>
    </w:p>
    <w:bookmarkEnd w:id="87"/>
    <w:p w14:paraId="7730BA98">
      <w:pPr>
        <w:pStyle w:val="56"/>
        <w:ind w:firstLine="0" w:firstLineChars="0"/>
        <w:jc w:val="center"/>
      </w:pPr>
      <w:bookmarkStart w:id="89" w:name="BookMark8"/>
      <w:r>
        <w:rPr>
          <w:rFonts w:hint="eastAsia"/>
        </w:rPr>
        <w:drawing>
          <wp:inline distT="0" distB="0" distL="114300" distR="114300">
            <wp:extent cx="1485900" cy="317500"/>
            <wp:effectExtent l="0" t="0" r="7620" b="2540"/>
            <wp:docPr id="1" name="图片 1" descr="1"/>
            <wp:cNvGraphicFramePr/>
            <a:graphic xmlns:a="http://schemas.openxmlformats.org/drawingml/2006/main">
              <a:graphicData uri="http://schemas.openxmlformats.org/drawingml/2006/picture">
                <pic:pic xmlns:pic="http://schemas.openxmlformats.org/drawingml/2006/picture">
                  <pic:nvPicPr>
                    <pic:cNvPr id="1" name="图片 1" descr="1"/>
                    <pic:cNvPicPr/>
                  </pic:nvPicPr>
                  <pic:blipFill>
                    <a:blip r:embed="rId17"/>
                    <a:stretch>
                      <a:fillRect/>
                    </a:stretch>
                  </pic:blipFill>
                  <pic:spPr>
                    <a:xfrm>
                      <a:off x="0" y="0"/>
                      <a:ext cx="1485900" cy="317500"/>
                    </a:xfrm>
                    <a:prstGeom prst="rect">
                      <a:avLst/>
                    </a:prstGeom>
                  </pic:spPr>
                </pic:pic>
              </a:graphicData>
            </a:graphic>
          </wp:inline>
        </w:drawing>
      </w:r>
      <w:bookmarkEnd w:id="89"/>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6D5BE">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D63DC">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ACD27">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DCC6F">
    <w:pPr>
      <w:pStyle w:val="52"/>
    </w:pPr>
    <w:r>
      <w:fldChar w:fldCharType="begin"/>
    </w:r>
    <w:r>
      <w:instrText xml:space="preserve">PAGE   \* MERGEFORMAT</w:instrText>
    </w:r>
    <w:r>
      <w:fldChar w:fldCharType="separate"/>
    </w:r>
    <w:r>
      <w:rPr>
        <w:lang w:val="zh-CN"/>
      </w:rPr>
      <w:t>I</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FE148">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ECD73">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D8A35">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D902C">
    <w:pPr>
      <w:pStyle w:val="61"/>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59C20">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43/T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ADA976"/>
    <w:multiLevelType w:val="multilevel"/>
    <w:tmpl w:val="8AADA97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9FBC975A"/>
    <w:multiLevelType w:val="multilevel"/>
    <w:tmpl w:val="9FBC975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A252A9CC"/>
    <w:multiLevelType w:val="multilevel"/>
    <w:tmpl w:val="A252A9CC"/>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CB68B0CB"/>
    <w:multiLevelType w:val="multilevel"/>
    <w:tmpl w:val="CB68B0CB"/>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CF74BF5A"/>
    <w:multiLevelType w:val="multilevel"/>
    <w:tmpl w:val="CF74BF5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
    <w:nsid w:val="F31582E8"/>
    <w:multiLevelType w:val="multilevel"/>
    <w:tmpl w:val="F31582E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7">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8">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0">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2">
    <w:nsid w:val="0E941F3B"/>
    <w:multiLevelType w:val="multilevel"/>
    <w:tmpl w:val="0E941F3B"/>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5">
    <w:nsid w:val="1D624201"/>
    <w:multiLevelType w:val="multilevel"/>
    <w:tmpl w:val="1D62420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6">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7">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8">
    <w:nsid w:val="2D85B3E8"/>
    <w:multiLevelType w:val="multilevel"/>
    <w:tmpl w:val="2D85B3E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9">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0">
    <w:nsid w:val="416F020D"/>
    <w:multiLevelType w:val="multilevel"/>
    <w:tmpl w:val="416F020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1">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2">
    <w:nsid w:val="4B0101FC"/>
    <w:multiLevelType w:val="multilevel"/>
    <w:tmpl w:val="4B0101FC"/>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3">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4">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5">
    <w:nsid w:val="5189F9AE"/>
    <w:multiLevelType w:val="multilevel"/>
    <w:tmpl w:val="5189F9AE"/>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58F2E30A"/>
    <w:multiLevelType w:val="multilevel"/>
    <w:tmpl w:val="58F2E30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1">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32">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3">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4">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5">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6">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7">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9">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40">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41">
    <w:nsid w:val="70F4FC81"/>
    <w:multiLevelType w:val="multilevel"/>
    <w:tmpl w:val="70F4FC8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2">
    <w:nsid w:val="72F120C6"/>
    <w:multiLevelType w:val="multilevel"/>
    <w:tmpl w:val="72F120C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3">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6"/>
  </w:num>
  <w:num w:numId="2">
    <w:abstractNumId w:val="38"/>
  </w:num>
  <w:num w:numId="3">
    <w:abstractNumId w:val="10"/>
  </w:num>
  <w:num w:numId="4">
    <w:abstractNumId w:val="34"/>
  </w:num>
  <w:num w:numId="5">
    <w:abstractNumId w:val="28"/>
  </w:num>
  <w:num w:numId="6">
    <w:abstractNumId w:val="21"/>
  </w:num>
  <w:num w:numId="7">
    <w:abstractNumId w:val="14"/>
  </w:num>
  <w:num w:numId="8">
    <w:abstractNumId w:val="8"/>
  </w:num>
  <w:num w:numId="9">
    <w:abstractNumId w:val="16"/>
  </w:num>
  <w:num w:numId="10">
    <w:abstractNumId w:val="26"/>
  </w:num>
  <w:num w:numId="11">
    <w:abstractNumId w:val="36"/>
  </w:num>
  <w:num w:numId="12">
    <w:abstractNumId w:val="19"/>
  </w:num>
  <w:num w:numId="13">
    <w:abstractNumId w:val="25"/>
  </w:num>
  <w:num w:numId="14">
    <w:abstractNumId w:val="13"/>
  </w:num>
  <w:num w:numId="15">
    <w:abstractNumId w:val="29"/>
  </w:num>
  <w:num w:numId="16">
    <w:abstractNumId w:val="32"/>
  </w:num>
  <w:num w:numId="17">
    <w:abstractNumId w:val="27"/>
  </w:num>
  <w:num w:numId="18">
    <w:abstractNumId w:val="40"/>
  </w:num>
  <w:num w:numId="19">
    <w:abstractNumId w:val="24"/>
  </w:num>
  <w:num w:numId="20">
    <w:abstractNumId w:val="7"/>
  </w:num>
  <w:num w:numId="21">
    <w:abstractNumId w:val="17"/>
  </w:num>
  <w:num w:numId="22">
    <w:abstractNumId w:val="43"/>
  </w:num>
  <w:num w:numId="23">
    <w:abstractNumId w:val="31"/>
  </w:num>
  <w:num w:numId="24">
    <w:abstractNumId w:val="11"/>
  </w:num>
  <w:num w:numId="25">
    <w:abstractNumId w:val="37"/>
  </w:num>
  <w:num w:numId="26">
    <w:abstractNumId w:val="39"/>
  </w:num>
  <w:num w:numId="27">
    <w:abstractNumId w:val="2"/>
  </w:num>
  <w:num w:numId="28">
    <w:abstractNumId w:val="9"/>
  </w:num>
  <w:num w:numId="29">
    <w:abstractNumId w:val="23"/>
  </w:num>
  <w:num w:numId="30">
    <w:abstractNumId w:val="35"/>
  </w:num>
  <w:num w:numId="31">
    <w:abstractNumId w:val="33"/>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dit="forms" w:enforcement="1" w:cryptProviderType="rsaFull" w:cryptAlgorithmClass="hash" w:cryptAlgorithmType="typeAny" w:cryptAlgorithmSid="4" w:cryptSpinCount="0" w:hash="6+mOCdwQPX/IlMKOWfRjRtObPY8=" w:salt="b8N+C3qmNrHzr2JDCjbWaA=="/>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B35FF9"/>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B6BB6"/>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5143"/>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641E"/>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4D13"/>
    <w:rsid w:val="00317988"/>
    <w:rsid w:val="00321CEC"/>
    <w:rsid w:val="003221B4"/>
    <w:rsid w:val="0032258D"/>
    <w:rsid w:val="00322E62"/>
    <w:rsid w:val="00324D13"/>
    <w:rsid w:val="00324D2A"/>
    <w:rsid w:val="00324EDD"/>
    <w:rsid w:val="00331711"/>
    <w:rsid w:val="003331E4"/>
    <w:rsid w:val="00336C64"/>
    <w:rsid w:val="00337162"/>
    <w:rsid w:val="0033767E"/>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D7CBF"/>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0B9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1883"/>
    <w:rsid w:val="00632182"/>
    <w:rsid w:val="00632AE0"/>
    <w:rsid w:val="00633C17"/>
    <w:rsid w:val="00634D9E"/>
    <w:rsid w:val="00634F27"/>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2BF8"/>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4B6E"/>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04E"/>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4642"/>
    <w:rsid w:val="00EA58D1"/>
    <w:rsid w:val="00EA61BC"/>
    <w:rsid w:val="00EA681A"/>
    <w:rsid w:val="00EA735B"/>
    <w:rsid w:val="00EB17DE"/>
    <w:rsid w:val="00EB1E69"/>
    <w:rsid w:val="00EB2086"/>
    <w:rsid w:val="00EB5EDF"/>
    <w:rsid w:val="00EB60FE"/>
    <w:rsid w:val="00EB74DB"/>
    <w:rsid w:val="00EC462D"/>
    <w:rsid w:val="00EC5359"/>
    <w:rsid w:val="00EC562A"/>
    <w:rsid w:val="00ED067A"/>
    <w:rsid w:val="00ED2B50"/>
    <w:rsid w:val="00EE0350"/>
    <w:rsid w:val="00EE0719"/>
    <w:rsid w:val="00EE0E80"/>
    <w:rsid w:val="00EE54A6"/>
    <w:rsid w:val="00EE613F"/>
    <w:rsid w:val="00EE7295"/>
    <w:rsid w:val="00EE7869"/>
    <w:rsid w:val="00EF054A"/>
    <w:rsid w:val="00EF3235"/>
    <w:rsid w:val="00EF5277"/>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34B4"/>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FB23CB"/>
    <w:rsid w:val="041A1188"/>
    <w:rsid w:val="04AC0BD2"/>
    <w:rsid w:val="04B35FF9"/>
    <w:rsid w:val="056D1E95"/>
    <w:rsid w:val="05DE1A14"/>
    <w:rsid w:val="06C27465"/>
    <w:rsid w:val="07761BD8"/>
    <w:rsid w:val="0D6E4C78"/>
    <w:rsid w:val="0E8E3B6F"/>
    <w:rsid w:val="0FA91612"/>
    <w:rsid w:val="0FAC717F"/>
    <w:rsid w:val="0FBD67DF"/>
    <w:rsid w:val="108625AF"/>
    <w:rsid w:val="12FE63E3"/>
    <w:rsid w:val="13D65BBB"/>
    <w:rsid w:val="147D2489"/>
    <w:rsid w:val="196565AA"/>
    <w:rsid w:val="1E6C4DFA"/>
    <w:rsid w:val="1FBE6166"/>
    <w:rsid w:val="1FC13108"/>
    <w:rsid w:val="20B15F2E"/>
    <w:rsid w:val="211017CA"/>
    <w:rsid w:val="22F32927"/>
    <w:rsid w:val="23445482"/>
    <w:rsid w:val="26DC6381"/>
    <w:rsid w:val="271558AD"/>
    <w:rsid w:val="2A7C5075"/>
    <w:rsid w:val="2CB13A7B"/>
    <w:rsid w:val="2D53536C"/>
    <w:rsid w:val="2DA03BFD"/>
    <w:rsid w:val="2ECF79F3"/>
    <w:rsid w:val="2F0C331C"/>
    <w:rsid w:val="327E5F36"/>
    <w:rsid w:val="35990E80"/>
    <w:rsid w:val="373D070E"/>
    <w:rsid w:val="37CB5D1A"/>
    <w:rsid w:val="384835C1"/>
    <w:rsid w:val="3BC85A48"/>
    <w:rsid w:val="41075C99"/>
    <w:rsid w:val="45BC57F9"/>
    <w:rsid w:val="46DC3BD1"/>
    <w:rsid w:val="49466E17"/>
    <w:rsid w:val="49B43C95"/>
    <w:rsid w:val="4A650822"/>
    <w:rsid w:val="4C501C7E"/>
    <w:rsid w:val="4FE442AD"/>
    <w:rsid w:val="52116469"/>
    <w:rsid w:val="53960D2F"/>
    <w:rsid w:val="55DA0920"/>
    <w:rsid w:val="57AC2F36"/>
    <w:rsid w:val="58820BC4"/>
    <w:rsid w:val="58E62191"/>
    <w:rsid w:val="594C23E9"/>
    <w:rsid w:val="5A8935B7"/>
    <w:rsid w:val="5B666962"/>
    <w:rsid w:val="5BFE7BBD"/>
    <w:rsid w:val="5DAE407C"/>
    <w:rsid w:val="5DFA5B93"/>
    <w:rsid w:val="5E7C795A"/>
    <w:rsid w:val="5F8A3860"/>
    <w:rsid w:val="616A021E"/>
    <w:rsid w:val="618D6B06"/>
    <w:rsid w:val="66486604"/>
    <w:rsid w:val="67005783"/>
    <w:rsid w:val="678E0047"/>
    <w:rsid w:val="6B151116"/>
    <w:rsid w:val="6CC91339"/>
    <w:rsid w:val="6D45497B"/>
    <w:rsid w:val="6DE06535"/>
    <w:rsid w:val="704467E3"/>
    <w:rsid w:val="70883B9D"/>
    <w:rsid w:val="72735F06"/>
    <w:rsid w:val="732C6966"/>
    <w:rsid w:val="73EE014E"/>
    <w:rsid w:val="7400239D"/>
    <w:rsid w:val="750A0898"/>
    <w:rsid w:val="76F000EE"/>
    <w:rsid w:val="77C6540D"/>
    <w:rsid w:val="79957733"/>
    <w:rsid w:val="7C84325A"/>
    <w:rsid w:val="7C9944BA"/>
    <w:rsid w:val="AB2DCD70"/>
    <w:rsid w:val="F3F5E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table" w:customStyle="1" w:styleId="230">
    <w:name w:val="网格型1"/>
    <w:basedOn w:val="26"/>
    <w:qFormat/>
    <w:uiPriority w:val="39"/>
    <w:rPr>
      <w:rFonts w:ascii="等线" w:hAnsi="等线" w:eastAsia="等线"/>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glossaryDocument" Target="glossary/document.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29255EA8535446A8698BCEB2DD58785"/>
        <w:style w:val=""/>
        <w:category>
          <w:name w:val="常规"/>
          <w:gallery w:val="placeholder"/>
        </w:category>
        <w:types>
          <w:type w:val="bbPlcHdr"/>
        </w:types>
        <w:behaviors>
          <w:behavior w:val="content"/>
        </w:behaviors>
        <w:description w:val=""/>
        <w:guid w:val="{16E02438-0576-4C29-8C55-007E4B9A5563}"/>
      </w:docPartPr>
      <w:docPartBody>
        <w:p w14:paraId="64C6FD9F">
          <w:pPr>
            <w:pStyle w:val="5"/>
            <w:rPr>
              <w:rFonts w:hint="eastAsia"/>
            </w:rPr>
          </w:pPr>
          <w:r>
            <w:rPr>
              <w:rStyle w:val="4"/>
              <w:rFonts w:hint="eastAsia"/>
            </w:rPr>
            <w:t>单击或点击此处输入文字。</w:t>
          </w:r>
        </w:p>
      </w:docPartBody>
    </w:docPart>
    <w:docPart>
      <w:docPartPr>
        <w:name w:val="8AB26F249DB443D0B5D6F273C4C91EBD"/>
        <w:style w:val=""/>
        <w:category>
          <w:name w:val="常规"/>
          <w:gallery w:val="placeholder"/>
        </w:category>
        <w:types>
          <w:type w:val="bbPlcHdr"/>
        </w:types>
        <w:behaviors>
          <w:behavior w:val="content"/>
        </w:behaviors>
        <w:description w:val=""/>
        <w:guid w:val="{C4D205A4-7212-4061-9D44-761EE81BEDDE}"/>
      </w:docPartPr>
      <w:docPartBody>
        <w:p w14:paraId="4E13A8AE">
          <w:pPr>
            <w:pStyle w:val="6"/>
            <w:rPr>
              <w:rFonts w:hint="eastAsia"/>
            </w:rPr>
          </w:pPr>
          <w:r>
            <w:rPr>
              <w:rStyle w:val="4"/>
              <w:rFonts w:hint="eastAsia"/>
            </w:rPr>
            <w:t>选择一项。</w:t>
          </w:r>
        </w:p>
      </w:docPartBody>
    </w:docPart>
    <w:docPart>
      <w:docPartPr>
        <w:name w:val="55B6A2045FF84569944B83F618A356CE"/>
        <w:style w:val=""/>
        <w:category>
          <w:name w:val="常规"/>
          <w:gallery w:val="placeholder"/>
        </w:category>
        <w:types>
          <w:type w:val="bbPlcHdr"/>
        </w:types>
        <w:behaviors>
          <w:behavior w:val="content"/>
        </w:behaviors>
        <w:description w:val=""/>
        <w:guid w:val="{F1C886F0-3E37-4EBF-9A39-567B3429D41A}"/>
      </w:docPartPr>
      <w:docPartBody>
        <w:p w14:paraId="514A17D5">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C75"/>
    <w:rsid w:val="00017A94"/>
    <w:rsid w:val="0005597B"/>
    <w:rsid w:val="00135C75"/>
    <w:rsid w:val="00204DF9"/>
    <w:rsid w:val="00347EDD"/>
    <w:rsid w:val="00413643"/>
    <w:rsid w:val="005232C9"/>
    <w:rsid w:val="00590B9D"/>
    <w:rsid w:val="005A2F72"/>
    <w:rsid w:val="00631883"/>
    <w:rsid w:val="00960EB8"/>
    <w:rsid w:val="00C027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E29255EA8535446A8698BCEB2DD5878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8AB26F249DB443D0B5D6F273C4C91EB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55B6A2045FF84569944B83F618A356CE"/>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738ED0-C685-4077-B422-283852E2498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17</Pages>
  <Words>5422</Words>
  <Characters>6061</Characters>
  <Lines>391</Lines>
  <Paragraphs>529</Paragraphs>
  <TotalTime>0</TotalTime>
  <ScaleCrop>false</ScaleCrop>
  <LinksUpToDate>false</LinksUpToDate>
  <CharactersWithSpaces>6199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2026-09-28T01:39:00Z</dcterms:created>
  <dc:creator>GYL~亚玲</dc:creator>
  <dc:description>&lt;config cover="true" show_menu="true" version="1.0.0" doctype="SDKXY"&gt;_x000d_
&lt;/config&gt;</dc:description>
  <cp:lastModifiedBy>GYL~亚玲</cp:lastModifiedBy>
  <dcterms:modified xsi:type="dcterms:W3CDTF">2026-09-29T07:54:09Z</dcterms:modified>
  <dc:title>地方标准</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E2AB89CC33D87472E8C0B96A7876BB86_43</vt:lpwstr>
  </property>
  <property fmtid="{D5CDD505-2E9C-101B-9397-08002B2CF9AE}" pid="15" name="KSOTemplateDocerSaveRecord">
    <vt:lpwstr>eyJoZGlkIjoiYjY3ZDAzNWQ5MzY0MjVhNzk5YTlmODI1YjRkZTcwOTUiLCJ1c2VySWQiOiI0NjM4OTc3ODcifQ==</vt:lpwstr>
  </property>
  <property fmtid="{D5CDD505-2E9C-101B-9397-08002B2CF9AE}" pid="16" name="KSOProductBuildVer">
    <vt:lpwstr>2052-12.1.0.28505</vt:lpwstr>
  </property>
</Properties>
</file>