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461A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2BC5F5A">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26EC36E">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03.080.30</w:t>
            </w:r>
            <w:r>
              <w:rPr>
                <w:rFonts w:ascii="黑体" w:hAnsi="黑体" w:eastAsia="黑体"/>
                <w:sz w:val="21"/>
                <w:szCs w:val="21"/>
              </w:rPr>
              <w:fldChar w:fldCharType="end"/>
            </w:r>
            <w:bookmarkEnd w:id="0"/>
          </w:p>
        </w:tc>
      </w:tr>
      <w:tr w14:paraId="55D7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6475C0D">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32DD018A">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 12</w:t>
            </w:r>
            <w:r>
              <w:rPr>
                <w:rFonts w:ascii="黑体" w:hAnsi="黑体" w:eastAsia="黑体"/>
                <w:sz w:val="21"/>
                <w:szCs w:val="21"/>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2B01038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14:paraId="1D4DFFC0">
            <w:pPr>
              <w:pStyle w:val="51"/>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14:paraId="1112EA13">
      <w:pPr>
        <w:pStyle w:val="52"/>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744C0DFD">
      <w:pPr>
        <w:pStyle w:val="197"/>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20083A4F">
      <w:pPr>
        <w:pStyle w:val="198"/>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78A517E1">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8897B26">
      <w:pPr>
        <w:pStyle w:val="52"/>
        <w:framePr w:w="9639" w:h="6976" w:hRule="exact" w:hSpace="0" w:vSpace="0" w:wrap="around" w:hAnchor="page" w:y="6408"/>
        <w:jc w:val="center"/>
        <w:rPr>
          <w:rFonts w:hint="eastAsia" w:ascii="黑体" w:hAnsi="黑体" w:eastAsia="黑体"/>
          <w:b w:val="0"/>
          <w:bCs w:val="0"/>
          <w:w w:val="100"/>
        </w:rPr>
      </w:pPr>
    </w:p>
    <w:p w14:paraId="648D436F">
      <w:pPr>
        <w:pStyle w:val="199"/>
        <w:framePr w:h="6974" w:hRule="exact" w:wrap="around" w:x="1419" w:anchorLock="1"/>
        <w:rPr>
          <w:rFonts w:hint="eastAsia"/>
        </w:rPr>
      </w:pPr>
      <w:r>
        <w:rPr>
          <w:rFonts w:hint="eastAsia" w:ascii="黑体" w:hAnsi="黑体" w:eastAsia="黑体" w:cs="Times New Roman"/>
          <w:b w:val="0"/>
          <w:bCs/>
          <w:sz w:val="52"/>
          <w:szCs w:val="20"/>
        </w:rPr>
        <w:t>托育机构医育结合工作规范</w:t>
      </w:r>
    </w:p>
    <w:p w14:paraId="5116752B">
      <w:pPr>
        <w:framePr w:w="9639" w:h="6974" w:hRule="exact" w:wrap="around" w:vAnchor="page" w:hAnchor="page" w:x="1419" w:y="6408" w:anchorLock="1"/>
        <w:ind w:left="-1418"/>
      </w:pPr>
    </w:p>
    <w:p w14:paraId="0A0B835D">
      <w:pPr>
        <w:pStyle w:val="127"/>
        <w:framePr w:w="9639" w:h="6974" w:hRule="exact" w:wrap="around" w:vAnchor="page" w:hAnchor="page" w:x="1419" w:y="6408" w:anchorLock="1"/>
        <w:ind w:left="0"/>
        <w:textAlignment w:val="bottom"/>
        <w:rPr>
          <w:rFonts w:hint="eastAsia" w:ascii="黑体" w:hAnsi="黑体" w:eastAsia="黑体" w:cs="Times New Roman"/>
          <w:szCs w:val="28"/>
        </w:rPr>
      </w:pPr>
      <w:r>
        <w:rPr>
          <w:rFonts w:hint="eastAsia" w:ascii="黑体" w:hAnsi="黑体" w:eastAsia="黑体" w:cs="Times New Roman"/>
          <w:sz w:val="28"/>
          <w:szCs w:val="28"/>
        </w:rPr>
        <w:t>Medical-Education Integration Norms for Nursery Institutions</w:t>
      </w:r>
    </w:p>
    <w:p w14:paraId="621C8025">
      <w:pPr>
        <w:pStyle w:val="127"/>
        <w:framePr w:w="9639" w:h="6974" w:hRule="exact" w:wrap="around" w:vAnchor="page" w:hAnchor="page" w:x="1419" w:y="6408" w:anchorLock="1"/>
        <w:textAlignment w:val="bottom"/>
        <w:rPr>
          <w:rFonts w:hint="eastAsia" w:ascii="黑体" w:hAnsi="黑体" w:eastAsia="黑体"/>
          <w:szCs w:val="28"/>
        </w:rPr>
      </w:pPr>
    </w:p>
    <w:p w14:paraId="782FCB51">
      <w:pPr>
        <w:pStyle w:val="127"/>
        <w:framePr w:w="9639" w:h="6974" w:hRule="exact" w:wrap="around" w:vAnchor="page" w:hAnchor="page" w:x="1419" w:y="6408" w:anchorLock="1"/>
        <w:spacing w:before="440" w:after="160"/>
        <w:textAlignment w:val="bottom"/>
        <w:rPr>
          <w:sz w:val="24"/>
          <w:szCs w:val="28"/>
        </w:rPr>
      </w:pPr>
    </w:p>
    <w:p w14:paraId="24A8915A">
      <w:pPr>
        <w:pStyle w:val="127"/>
        <w:framePr w:w="9639" w:h="6974" w:hRule="exact" w:wrap="around" w:vAnchor="page" w:hAnchor="page" w:x="1419" w:y="6408" w:anchorLock="1"/>
        <w:spacing w:before="440" w:after="160"/>
        <w:textAlignment w:val="bottom"/>
        <w:rPr>
          <w:sz w:val="24"/>
          <w:szCs w:val="28"/>
        </w:rPr>
      </w:pPr>
    </w:p>
    <w:p w14:paraId="349B32EC">
      <w:pPr>
        <w:pStyle w:val="127"/>
        <w:framePr w:w="9639" w:h="6974" w:hRule="exact" w:wrap="around" w:vAnchor="page" w:hAnchor="page" w:x="1419" w:y="6408" w:anchorLock="1"/>
        <w:spacing w:before="440" w:after="160"/>
        <w:textAlignment w:val="bottom"/>
        <w:rPr>
          <w:sz w:val="24"/>
          <w:szCs w:val="28"/>
        </w:rPr>
      </w:pPr>
      <w:bookmarkStart w:id="9" w:name="下拉1"/>
      <w:r>
        <w:rPr>
          <w:sz w:val="24"/>
          <w:szCs w:val="28"/>
        </w:rPr>
        <w:fldChar w:fldCharType="begin">
          <w:ffData>
            <w:name w:val="下拉1"/>
            <w:enabled/>
            <w:calcOnExit w:val="0"/>
            <w:ddList>
              <w:listEntry w:val="（征求意见稿）"/>
              <w:listEntry w:val="（工作组讨论稿）"/>
              <w:listEntry w:val="草案版次选择"/>
              <w:listEntry w:val=" "/>
              <w:listEntry w:val="（送审讨论稿）"/>
              <w:listEntry w:val="（送审稿）"/>
              <w:listEntry w:val="（报批稿）"/>
            </w:ddList>
          </w:ffData>
        </w:fldChar>
      </w:r>
      <w:r>
        <w:rPr>
          <w:sz w:val="24"/>
          <w:szCs w:val="28"/>
        </w:rPr>
        <w:instrText xml:space="preserve">FORMDROPDOWN</w:instrText>
      </w:r>
      <w:r>
        <w:rPr>
          <w:sz w:val="24"/>
          <w:szCs w:val="28"/>
        </w:rPr>
        <w:fldChar w:fldCharType="separate"/>
      </w:r>
      <w:r>
        <w:rPr>
          <w:sz w:val="24"/>
          <w:szCs w:val="28"/>
        </w:rPr>
        <w:fldChar w:fldCharType="end"/>
      </w:r>
      <w:bookmarkEnd w:id="9"/>
    </w:p>
    <w:p w14:paraId="73DC1294">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rFonts w:hint="eastAsia"/>
          <w:sz w:val="21"/>
          <w:szCs w:val="28"/>
        </w:rPr>
        <w:t>（本草案完成时间：）征求意见稿</w:t>
      </w:r>
      <w:r>
        <w:rPr>
          <w:sz w:val="21"/>
          <w:szCs w:val="28"/>
        </w:rPr>
        <w:fldChar w:fldCharType="end"/>
      </w:r>
      <w:bookmarkEnd w:id="10"/>
    </w:p>
    <w:p w14:paraId="4B496C4B">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14:paraId="2C340977">
      <w:pPr>
        <w:pStyle w:val="195"/>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78593330">
      <w:pPr>
        <w:pStyle w:val="196"/>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30C97FA9">
      <w:pPr>
        <w:pStyle w:val="153"/>
        <w:framePr w:h="584" w:hRule="exact" w:hSpace="181" w:vSpace="181" w:wrap="around" w:y="15027"/>
        <w:rPr>
          <w:rFonts w:hint="eastAsia" w:hAnsi="黑体"/>
        </w:rPr>
      </w:pPr>
      <w:r>
        <w:rPr>
          <w:rFonts w:hint="eastAsia" w:hAnsi="黑体"/>
          <w:w w:val="100"/>
          <w:sz w:val="28"/>
        </w:rPr>
        <w:fldChar w:fldCharType="begin">
          <w:ffData>
            <w:name w:val="fm"/>
            <w:enabled/>
            <w:calcOnExit w:val="0"/>
            <w:textInput>
              <w:default w:val="湖南省市场监督管理局"/>
            </w:textInput>
          </w:ffData>
        </w:fldChar>
      </w:r>
      <w:bookmarkStart w:id="18" w:name="fm"/>
      <w:r>
        <w:rPr>
          <w:rFonts w:hint="eastAsia" w:hAnsi="黑体"/>
          <w:w w:val="100"/>
          <w:sz w:val="28"/>
        </w:rPr>
        <w:instrText xml:space="preserve"> </w:instrText>
      </w:r>
      <w:r>
        <w:rPr>
          <w:rFonts w:hAnsi="黑体"/>
          <w:w w:val="100"/>
          <w:sz w:val="28"/>
        </w:rPr>
        <w:instrText xml:space="preserve">FORMTEXT</w:instrText>
      </w:r>
      <w:r>
        <w:rPr>
          <w:rFonts w:hint="eastAsia" w:hAnsi="黑体"/>
          <w:w w:val="100"/>
          <w:sz w:val="28"/>
        </w:rPr>
        <w:instrText xml:space="preserve"> </w:instrText>
      </w:r>
      <w:r>
        <w:rPr>
          <w:rFonts w:hint="eastAsia" w:hAnsi="黑体"/>
          <w:w w:val="100"/>
          <w:sz w:val="28"/>
        </w:rPr>
        <w:fldChar w:fldCharType="separate"/>
      </w:r>
      <w:r>
        <w:rPr>
          <w:rFonts w:hint="eastAsia" w:hAnsi="黑体"/>
          <w:w w:val="100"/>
          <w:sz w:val="28"/>
        </w:rPr>
        <w:t>湖南省市场监督管理局</w:t>
      </w:r>
      <w:r>
        <w:rPr>
          <w:rFonts w:hint="eastAsia" w:hAnsi="黑体"/>
          <w:w w:val="100"/>
          <w:sz w:val="28"/>
        </w:rPr>
        <w:fldChar w:fldCharType="end"/>
      </w:r>
      <w:bookmarkEnd w:id="18"/>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6BCBD5D9">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CC626A5">
      <w:pPr>
        <w:pStyle w:val="93"/>
        <w:spacing w:after="468"/>
        <w:rPr>
          <w:rFonts w:hint="eastAsia"/>
        </w:rPr>
      </w:pPr>
      <w:bookmarkStart w:id="19" w:name="BookMark1"/>
      <w:bookmarkStart w:id="20" w:name="_Toc213013580"/>
      <w:bookmarkStart w:id="21" w:name="_Toc213013628"/>
      <w:bookmarkStart w:id="22" w:name="_Toc213013652"/>
      <w:bookmarkStart w:id="23" w:name="_Toc204501482"/>
      <w:r>
        <w:rPr>
          <w:rFonts w:hint="eastAsia"/>
          <w:spacing w:val="320"/>
        </w:rPr>
        <w:t>目</w:t>
      </w:r>
      <w:r>
        <w:rPr>
          <w:rFonts w:hint="eastAsia"/>
        </w:rPr>
        <w:t>次</w:t>
      </w:r>
    </w:p>
    <w:p w14:paraId="04D23983">
      <w:pPr>
        <w:pStyle w:val="20"/>
        <w:tabs>
          <w:tab w:val="right" w:leader="dot" w:pos="9354"/>
        </w:tabs>
      </w:pPr>
      <w:r>
        <w:fldChar w:fldCharType="begin"/>
      </w:r>
      <w:r>
        <w:instrText xml:space="preserve"> TOC \o "1-1" \h \t "标准文件_一级条标题,2,标准文件_附录一级条标题,2," </w:instrText>
      </w:r>
      <w:r>
        <w:fldChar w:fldCharType="separate"/>
      </w:r>
      <w:r>
        <w:fldChar w:fldCharType="begin"/>
      </w:r>
      <w:r>
        <w:instrText xml:space="preserve"> HYPERLINK \l _Toc13387 </w:instrText>
      </w:r>
      <w:r>
        <w:fldChar w:fldCharType="separate"/>
      </w:r>
      <w:r>
        <w:rPr>
          <w:rFonts w:hint="eastAsia"/>
          <w:spacing w:val="320"/>
        </w:rPr>
        <w:t>前</w:t>
      </w:r>
      <w:r>
        <w:rPr>
          <w:rFonts w:hint="eastAsia"/>
        </w:rPr>
        <w:t>言</w:t>
      </w:r>
      <w:r>
        <w:tab/>
      </w:r>
      <w:r>
        <w:fldChar w:fldCharType="begin"/>
      </w:r>
      <w:r>
        <w:instrText xml:space="preserve"> PAGEREF _Toc13387 \h </w:instrText>
      </w:r>
      <w:r>
        <w:fldChar w:fldCharType="separate"/>
      </w:r>
      <w:r>
        <w:t>III</w:t>
      </w:r>
      <w:r>
        <w:fldChar w:fldCharType="end"/>
      </w:r>
      <w:r>
        <w:fldChar w:fldCharType="end"/>
      </w:r>
    </w:p>
    <w:p w14:paraId="4C4EE5C0">
      <w:pPr>
        <w:pStyle w:val="20"/>
        <w:tabs>
          <w:tab w:val="right" w:leader="dot" w:pos="9354"/>
        </w:tabs>
      </w:pPr>
      <w:r>
        <w:fldChar w:fldCharType="begin"/>
      </w:r>
      <w:r>
        <w:instrText xml:space="preserve"> HYPERLINK \l _Toc16079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_Toc16079 \h </w:instrText>
      </w:r>
      <w:r>
        <w:fldChar w:fldCharType="separate"/>
      </w:r>
      <w:r>
        <w:t>4</w:t>
      </w:r>
      <w:r>
        <w:fldChar w:fldCharType="end"/>
      </w:r>
      <w:r>
        <w:fldChar w:fldCharType="end"/>
      </w:r>
    </w:p>
    <w:p w14:paraId="7DD01A41">
      <w:pPr>
        <w:pStyle w:val="20"/>
        <w:tabs>
          <w:tab w:val="right" w:leader="dot" w:pos="9354"/>
        </w:tabs>
      </w:pPr>
      <w:r>
        <w:fldChar w:fldCharType="begin"/>
      </w:r>
      <w:r>
        <w:instrText xml:space="preserve"> HYPERLINK \l _Toc8569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_Toc8569 \h </w:instrText>
      </w:r>
      <w:r>
        <w:fldChar w:fldCharType="separate"/>
      </w:r>
      <w:r>
        <w:t>4</w:t>
      </w:r>
      <w:r>
        <w:fldChar w:fldCharType="end"/>
      </w:r>
      <w:r>
        <w:fldChar w:fldCharType="end"/>
      </w:r>
    </w:p>
    <w:p w14:paraId="6AB7825F">
      <w:pPr>
        <w:pStyle w:val="20"/>
        <w:tabs>
          <w:tab w:val="right" w:leader="dot" w:pos="9354"/>
        </w:tabs>
      </w:pPr>
      <w:r>
        <w:fldChar w:fldCharType="begin"/>
      </w:r>
      <w:r>
        <w:instrText xml:space="preserve"> HYPERLINK \l _Toc21834 </w:instrText>
      </w:r>
      <w:r>
        <w:fldChar w:fldCharType="separate"/>
      </w:r>
      <w:r>
        <w:rPr>
          <w:rFonts w:hint="eastAsia" w:ascii="黑体" w:eastAsia="黑体"/>
          <w:i w:val="0"/>
        </w:rPr>
        <w:t xml:space="preserve">3 </w:t>
      </w:r>
      <w:r>
        <w:rPr>
          <w:rFonts w:hint="eastAsia"/>
        </w:rPr>
        <w:t>术语和定义</w:t>
      </w:r>
      <w:r>
        <w:tab/>
      </w:r>
      <w:r>
        <w:fldChar w:fldCharType="begin"/>
      </w:r>
      <w:r>
        <w:instrText xml:space="preserve"> PAGEREF _Toc21834 \h </w:instrText>
      </w:r>
      <w:r>
        <w:fldChar w:fldCharType="separate"/>
      </w:r>
      <w:r>
        <w:t>4</w:t>
      </w:r>
      <w:r>
        <w:fldChar w:fldCharType="end"/>
      </w:r>
      <w:r>
        <w:fldChar w:fldCharType="end"/>
      </w:r>
    </w:p>
    <w:p w14:paraId="430E3FCE">
      <w:pPr>
        <w:pStyle w:val="20"/>
        <w:tabs>
          <w:tab w:val="right" w:leader="dot" w:pos="9354"/>
        </w:tabs>
      </w:pPr>
      <w:r>
        <w:fldChar w:fldCharType="begin"/>
      </w:r>
      <w:r>
        <w:instrText xml:space="preserve"> HYPERLINK \l _Toc16156 </w:instrText>
      </w:r>
      <w:r>
        <w:fldChar w:fldCharType="separate"/>
      </w:r>
      <w:r>
        <w:rPr>
          <w:rFonts w:hint="eastAsia" w:ascii="黑体" w:hAnsi="Times New Roman" w:eastAsia="黑体" w:cs="Times New Roman"/>
          <w:bCs w:val="0"/>
          <w:i w:val="0"/>
          <w:szCs w:val="20"/>
          <w:lang w:bidi="ar"/>
        </w:rPr>
        <w:t xml:space="preserve">4 </w:t>
      </w:r>
      <w:r>
        <w:rPr>
          <w:rFonts w:hint="eastAsia"/>
          <w:bCs w:val="0"/>
          <w:lang w:bidi="ar"/>
        </w:rPr>
        <w:t>基本要求</w:t>
      </w:r>
      <w:r>
        <w:tab/>
      </w:r>
      <w:r>
        <w:fldChar w:fldCharType="begin"/>
      </w:r>
      <w:r>
        <w:instrText xml:space="preserve"> PAGEREF _Toc16156 \h </w:instrText>
      </w:r>
      <w:r>
        <w:fldChar w:fldCharType="separate"/>
      </w:r>
      <w:r>
        <w:t>5</w:t>
      </w:r>
      <w:r>
        <w:fldChar w:fldCharType="end"/>
      </w:r>
      <w:r>
        <w:fldChar w:fldCharType="end"/>
      </w:r>
    </w:p>
    <w:p w14:paraId="789ECBEB">
      <w:pPr>
        <w:pStyle w:val="20"/>
        <w:tabs>
          <w:tab w:val="right" w:leader="dot" w:pos="9354"/>
        </w:tabs>
      </w:pPr>
      <w:r>
        <w:fldChar w:fldCharType="begin"/>
      </w:r>
      <w:r>
        <w:instrText xml:space="preserve"> HYPERLINK \l _Toc26566 </w:instrText>
      </w:r>
      <w:r>
        <w:fldChar w:fldCharType="separate"/>
      </w:r>
      <w:r>
        <w:rPr>
          <w:rFonts w:hint="eastAsia" w:ascii="黑体" w:hAnsi="Times New Roman" w:eastAsia="黑体" w:cs="Times New Roman"/>
          <w:bCs w:val="0"/>
          <w:i w:val="0"/>
          <w:kern w:val="0"/>
          <w:szCs w:val="20"/>
          <w:lang w:val="en-US" w:eastAsia="zh-CN" w:bidi="ar"/>
        </w:rPr>
        <w:t xml:space="preserve">5 </w:t>
      </w:r>
      <w:r>
        <w:rPr>
          <w:rFonts w:hint="eastAsia" w:ascii="黑体" w:hAnsi="Times New Roman" w:eastAsia="黑体" w:cs="Times New Roman"/>
          <w:bCs w:val="0"/>
          <w:kern w:val="0"/>
          <w:szCs w:val="20"/>
          <w:lang w:val="en-US" w:eastAsia="zh-CN" w:bidi="ar"/>
        </w:rPr>
        <w:t>规范管理</w:t>
      </w:r>
      <w:r>
        <w:tab/>
      </w:r>
      <w:r>
        <w:fldChar w:fldCharType="begin"/>
      </w:r>
      <w:r>
        <w:instrText xml:space="preserve"> PAGEREF _Toc26566 \h </w:instrText>
      </w:r>
      <w:r>
        <w:fldChar w:fldCharType="separate"/>
      </w:r>
      <w:r>
        <w:t>5</w:t>
      </w:r>
      <w:r>
        <w:fldChar w:fldCharType="end"/>
      </w:r>
      <w:r>
        <w:fldChar w:fldCharType="end"/>
      </w:r>
    </w:p>
    <w:p w14:paraId="2BC369A4">
      <w:pPr>
        <w:pStyle w:val="25"/>
        <w:tabs>
          <w:tab w:val="right" w:leader="dot" w:pos="9354"/>
          <w:tab w:val="clear" w:pos="9344"/>
        </w:tabs>
      </w:pPr>
      <w:r>
        <w:fldChar w:fldCharType="begin"/>
      </w:r>
      <w:r>
        <w:instrText xml:space="preserve"> HYPERLINK \l _Toc6547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bCs/>
          <w:kern w:val="0"/>
          <w:szCs w:val="21"/>
          <w:lang w:val="en-US" w:eastAsia="zh-CN" w:bidi="ar"/>
        </w:rPr>
        <w:t>医疗资源衔接管理</w:t>
      </w:r>
      <w:r>
        <w:tab/>
      </w:r>
      <w:r>
        <w:fldChar w:fldCharType="begin"/>
      </w:r>
      <w:r>
        <w:instrText xml:space="preserve"> PAGEREF _Toc6547 \h </w:instrText>
      </w:r>
      <w:r>
        <w:fldChar w:fldCharType="separate"/>
      </w:r>
      <w:r>
        <w:t>5</w:t>
      </w:r>
      <w:r>
        <w:fldChar w:fldCharType="end"/>
      </w:r>
      <w:r>
        <w:fldChar w:fldCharType="end"/>
      </w:r>
    </w:p>
    <w:p w14:paraId="2C0EF267">
      <w:pPr>
        <w:pStyle w:val="25"/>
        <w:tabs>
          <w:tab w:val="right" w:leader="dot" w:pos="9354"/>
          <w:tab w:val="clear" w:pos="9344"/>
        </w:tabs>
      </w:pPr>
      <w:r>
        <w:fldChar w:fldCharType="begin"/>
      </w:r>
      <w:r>
        <w:instrText xml:space="preserve"> HYPERLINK \l _Toc9788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bCs/>
          <w:kern w:val="0"/>
          <w:szCs w:val="21"/>
          <w:lang w:val="en-US" w:eastAsia="zh-CN" w:bidi="ar"/>
        </w:rPr>
        <w:t>婴幼儿健康档案管理</w:t>
      </w:r>
      <w:r>
        <w:tab/>
      </w:r>
      <w:r>
        <w:fldChar w:fldCharType="begin"/>
      </w:r>
      <w:r>
        <w:instrText xml:space="preserve"> PAGEREF _Toc9788 \h </w:instrText>
      </w:r>
      <w:r>
        <w:fldChar w:fldCharType="separate"/>
      </w:r>
      <w:r>
        <w:t>5</w:t>
      </w:r>
      <w:r>
        <w:fldChar w:fldCharType="end"/>
      </w:r>
      <w:r>
        <w:fldChar w:fldCharType="end"/>
      </w:r>
    </w:p>
    <w:p w14:paraId="032541A8">
      <w:pPr>
        <w:pStyle w:val="25"/>
        <w:tabs>
          <w:tab w:val="right" w:leader="dot" w:pos="9354"/>
          <w:tab w:val="clear" w:pos="9344"/>
        </w:tabs>
      </w:pPr>
      <w:r>
        <w:fldChar w:fldCharType="begin"/>
      </w:r>
      <w:r>
        <w:instrText xml:space="preserve"> HYPERLINK \l _Toc27073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宋体" w:hAnsi="宋体" w:eastAsia="宋体" w:cs="宋体"/>
          <w:bCs/>
          <w:kern w:val="0"/>
          <w:szCs w:val="21"/>
          <w:lang w:val="en-US" w:eastAsia="zh-CN" w:bidi="ar"/>
        </w:rPr>
        <w:t>从业人员培训</w:t>
      </w:r>
      <w:r>
        <w:tab/>
      </w:r>
      <w:r>
        <w:fldChar w:fldCharType="begin"/>
      </w:r>
      <w:r>
        <w:instrText xml:space="preserve"> PAGEREF _Toc27073 \h </w:instrText>
      </w:r>
      <w:r>
        <w:fldChar w:fldCharType="separate"/>
      </w:r>
      <w:r>
        <w:t>6</w:t>
      </w:r>
      <w:r>
        <w:fldChar w:fldCharType="end"/>
      </w:r>
      <w:r>
        <w:fldChar w:fldCharType="end"/>
      </w:r>
    </w:p>
    <w:p w14:paraId="5D6F8A2A">
      <w:pPr>
        <w:pStyle w:val="25"/>
        <w:tabs>
          <w:tab w:val="right" w:leader="dot" w:pos="9354"/>
          <w:tab w:val="clear" w:pos="9344"/>
        </w:tabs>
      </w:pPr>
      <w:r>
        <w:fldChar w:fldCharType="begin"/>
      </w:r>
      <w:r>
        <w:instrText xml:space="preserve"> HYPERLINK \l _Toc13221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ascii="宋体" w:hAnsi="宋体" w:eastAsia="宋体" w:cs="宋体"/>
          <w:bCs/>
          <w:kern w:val="0"/>
          <w:szCs w:val="21"/>
          <w:lang w:val="en-US" w:eastAsia="zh-CN" w:bidi="ar"/>
        </w:rPr>
        <w:t>工作人员资质审核</w:t>
      </w:r>
      <w:r>
        <w:tab/>
      </w:r>
      <w:r>
        <w:fldChar w:fldCharType="begin"/>
      </w:r>
      <w:r>
        <w:instrText xml:space="preserve"> PAGEREF _Toc13221 \h </w:instrText>
      </w:r>
      <w:r>
        <w:fldChar w:fldCharType="separate"/>
      </w:r>
      <w:r>
        <w:t>6</w:t>
      </w:r>
      <w:r>
        <w:fldChar w:fldCharType="end"/>
      </w:r>
      <w:r>
        <w:fldChar w:fldCharType="end"/>
      </w:r>
    </w:p>
    <w:p w14:paraId="3DAC862F">
      <w:pPr>
        <w:pStyle w:val="25"/>
        <w:tabs>
          <w:tab w:val="right" w:leader="dot" w:pos="9354"/>
          <w:tab w:val="clear" w:pos="9344"/>
        </w:tabs>
      </w:pPr>
      <w:r>
        <w:fldChar w:fldCharType="begin"/>
      </w:r>
      <w:r>
        <w:instrText xml:space="preserve"> HYPERLINK \l _Toc26068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5.5 </w:t>
      </w:r>
      <w:r>
        <w:rPr>
          <w:rFonts w:hint="eastAsia" w:ascii="宋体" w:hAnsi="宋体" w:eastAsia="宋体" w:cs="宋体"/>
          <w:bCs/>
          <w:kern w:val="0"/>
          <w:szCs w:val="21"/>
          <w:lang w:val="en-US" w:eastAsia="zh-CN" w:bidi="ar"/>
        </w:rPr>
        <w:t>管理规程制定</w:t>
      </w:r>
      <w:r>
        <w:tab/>
      </w:r>
      <w:r>
        <w:fldChar w:fldCharType="begin"/>
      </w:r>
      <w:r>
        <w:instrText xml:space="preserve"> PAGEREF _Toc26068 \h </w:instrText>
      </w:r>
      <w:r>
        <w:fldChar w:fldCharType="separate"/>
      </w:r>
      <w:r>
        <w:t>6</w:t>
      </w:r>
      <w:r>
        <w:fldChar w:fldCharType="end"/>
      </w:r>
      <w:r>
        <w:fldChar w:fldCharType="end"/>
      </w:r>
    </w:p>
    <w:p w14:paraId="1E8F9DDB">
      <w:pPr>
        <w:pStyle w:val="20"/>
        <w:tabs>
          <w:tab w:val="right" w:leader="dot" w:pos="9354"/>
        </w:tabs>
      </w:pPr>
      <w:r>
        <w:fldChar w:fldCharType="begin"/>
      </w:r>
      <w:r>
        <w:instrText xml:space="preserve"> HYPERLINK \l _Toc30757 </w:instrText>
      </w:r>
      <w:r>
        <w:fldChar w:fldCharType="separate"/>
      </w:r>
      <w:r>
        <w:rPr>
          <w:rFonts w:hint="eastAsia" w:ascii="黑体" w:hAnsi="Times New Roman" w:eastAsia="黑体" w:cs="Times New Roman"/>
          <w:bCs w:val="0"/>
          <w:i w:val="0"/>
          <w:kern w:val="0"/>
          <w:szCs w:val="20"/>
          <w:lang w:val="en-US" w:eastAsia="zh-CN" w:bidi="ar"/>
        </w:rPr>
        <w:t xml:space="preserve">6 </w:t>
      </w:r>
      <w:r>
        <w:rPr>
          <w:rFonts w:hint="eastAsia" w:ascii="黑体" w:hAnsi="Times New Roman" w:eastAsia="黑体" w:cs="Times New Roman"/>
          <w:bCs w:val="0"/>
          <w:kern w:val="0"/>
          <w:szCs w:val="20"/>
          <w:lang w:val="en-US" w:eastAsia="zh-CN" w:bidi="ar"/>
        </w:rPr>
        <w:t>健康监测</w:t>
      </w:r>
      <w:r>
        <w:tab/>
      </w:r>
      <w:r>
        <w:fldChar w:fldCharType="begin"/>
      </w:r>
      <w:r>
        <w:instrText xml:space="preserve"> PAGEREF _Toc30757 \h </w:instrText>
      </w:r>
      <w:r>
        <w:fldChar w:fldCharType="separate"/>
      </w:r>
      <w:r>
        <w:t>7</w:t>
      </w:r>
      <w:r>
        <w:fldChar w:fldCharType="end"/>
      </w:r>
      <w:r>
        <w:fldChar w:fldCharType="end"/>
      </w:r>
    </w:p>
    <w:p w14:paraId="2A7BB358">
      <w:pPr>
        <w:pStyle w:val="25"/>
        <w:tabs>
          <w:tab w:val="right" w:leader="dot" w:pos="9354"/>
          <w:tab w:val="clear" w:pos="9344"/>
        </w:tabs>
      </w:pPr>
      <w:r>
        <w:fldChar w:fldCharType="begin"/>
      </w:r>
      <w:r>
        <w:instrText xml:space="preserve"> HYPERLINK \l _Toc32072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bCs/>
          <w:kern w:val="0"/>
          <w:szCs w:val="21"/>
          <w:lang w:val="en-US" w:eastAsia="zh-CN" w:bidi="ar"/>
        </w:rPr>
        <w:t>基本要求</w:t>
      </w:r>
      <w:r>
        <w:tab/>
      </w:r>
      <w:r>
        <w:fldChar w:fldCharType="begin"/>
      </w:r>
      <w:r>
        <w:instrText xml:space="preserve"> PAGEREF _Toc32072 \h </w:instrText>
      </w:r>
      <w:r>
        <w:fldChar w:fldCharType="separate"/>
      </w:r>
      <w:r>
        <w:t>7</w:t>
      </w:r>
      <w:r>
        <w:fldChar w:fldCharType="end"/>
      </w:r>
      <w:r>
        <w:fldChar w:fldCharType="end"/>
      </w:r>
    </w:p>
    <w:p w14:paraId="70E5FE2D">
      <w:pPr>
        <w:pStyle w:val="25"/>
        <w:tabs>
          <w:tab w:val="right" w:leader="dot" w:pos="9354"/>
          <w:tab w:val="clear" w:pos="9344"/>
        </w:tabs>
      </w:pPr>
      <w:r>
        <w:fldChar w:fldCharType="begin"/>
      </w:r>
      <w:r>
        <w:instrText xml:space="preserve"> HYPERLINK \l _Toc21901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bCs/>
          <w:kern w:val="0"/>
          <w:szCs w:val="21"/>
          <w:lang w:val="en-US" w:eastAsia="zh-CN" w:bidi="ar"/>
        </w:rPr>
        <w:t>监测设施设备</w:t>
      </w:r>
      <w:r>
        <w:tab/>
      </w:r>
      <w:r>
        <w:fldChar w:fldCharType="begin"/>
      </w:r>
      <w:r>
        <w:instrText xml:space="preserve"> PAGEREF _Toc21901 \h </w:instrText>
      </w:r>
      <w:r>
        <w:fldChar w:fldCharType="separate"/>
      </w:r>
      <w:r>
        <w:t>7</w:t>
      </w:r>
      <w:r>
        <w:fldChar w:fldCharType="end"/>
      </w:r>
      <w:r>
        <w:fldChar w:fldCharType="end"/>
      </w:r>
    </w:p>
    <w:p w14:paraId="20F287FB">
      <w:pPr>
        <w:pStyle w:val="25"/>
        <w:tabs>
          <w:tab w:val="right" w:leader="dot" w:pos="9354"/>
          <w:tab w:val="clear" w:pos="9344"/>
        </w:tabs>
      </w:pPr>
      <w:r>
        <w:fldChar w:fldCharType="begin"/>
      </w:r>
      <w:r>
        <w:instrText xml:space="preserve"> HYPERLINK \l _Toc485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宋体" w:hAnsi="宋体" w:eastAsia="宋体" w:cs="宋体"/>
          <w:bCs/>
          <w:kern w:val="0"/>
          <w:szCs w:val="21"/>
          <w:lang w:val="en-US" w:eastAsia="zh-CN" w:bidi="ar"/>
        </w:rPr>
        <w:t>监测内容与方法</w:t>
      </w:r>
      <w:r>
        <w:tab/>
      </w:r>
      <w:r>
        <w:fldChar w:fldCharType="begin"/>
      </w:r>
      <w:r>
        <w:instrText xml:space="preserve"> PAGEREF _Toc485 \h </w:instrText>
      </w:r>
      <w:r>
        <w:fldChar w:fldCharType="separate"/>
      </w:r>
      <w:r>
        <w:t>7</w:t>
      </w:r>
      <w:r>
        <w:fldChar w:fldCharType="end"/>
      </w:r>
      <w:r>
        <w:fldChar w:fldCharType="end"/>
      </w:r>
    </w:p>
    <w:p w14:paraId="064202EC">
      <w:pPr>
        <w:pStyle w:val="25"/>
        <w:tabs>
          <w:tab w:val="right" w:leader="dot" w:pos="9354"/>
          <w:tab w:val="clear" w:pos="9344"/>
        </w:tabs>
      </w:pPr>
      <w:r>
        <w:fldChar w:fldCharType="begin"/>
      </w:r>
      <w:r>
        <w:instrText xml:space="preserve"> HYPERLINK \l _Toc22742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ascii="宋体" w:hAnsi="宋体" w:eastAsia="宋体" w:cs="宋体"/>
          <w:bCs/>
          <w:kern w:val="0"/>
          <w:szCs w:val="21"/>
          <w:lang w:val="en-US" w:eastAsia="zh-CN" w:bidi="ar"/>
        </w:rPr>
        <w:t>监测频次</w:t>
      </w:r>
      <w:r>
        <w:tab/>
      </w:r>
      <w:r>
        <w:fldChar w:fldCharType="begin"/>
      </w:r>
      <w:r>
        <w:instrText xml:space="preserve"> PAGEREF _Toc22742 \h </w:instrText>
      </w:r>
      <w:r>
        <w:fldChar w:fldCharType="separate"/>
      </w:r>
      <w:r>
        <w:t>8</w:t>
      </w:r>
      <w:r>
        <w:fldChar w:fldCharType="end"/>
      </w:r>
      <w:r>
        <w:fldChar w:fldCharType="end"/>
      </w:r>
    </w:p>
    <w:p w14:paraId="3767F0E0">
      <w:pPr>
        <w:pStyle w:val="20"/>
        <w:tabs>
          <w:tab w:val="right" w:leader="dot" w:pos="9354"/>
        </w:tabs>
      </w:pPr>
      <w:r>
        <w:fldChar w:fldCharType="begin"/>
      </w:r>
      <w:r>
        <w:instrText xml:space="preserve"> HYPERLINK \l _Toc3530 </w:instrText>
      </w:r>
      <w:r>
        <w:fldChar w:fldCharType="separate"/>
      </w:r>
      <w:r>
        <w:rPr>
          <w:rFonts w:hint="eastAsia" w:ascii="黑体" w:hAnsi="Times New Roman" w:eastAsia="黑体" w:cs="Times New Roman"/>
          <w:bCs w:val="0"/>
          <w:i w:val="0"/>
          <w:szCs w:val="20"/>
          <w:lang w:val="en-US" w:eastAsia="zh-CN" w:bidi="ar"/>
        </w:rPr>
        <w:t xml:space="preserve">7 </w:t>
      </w:r>
      <w:r>
        <w:rPr>
          <w:rFonts w:hint="eastAsia" w:ascii="黑体" w:hAnsi="Times New Roman" w:eastAsia="黑体" w:cs="Times New Roman"/>
          <w:bCs w:val="0"/>
          <w:szCs w:val="20"/>
          <w:lang w:val="en-US" w:eastAsia="zh-CN" w:bidi="ar"/>
        </w:rPr>
        <w:t>膳食营养</w:t>
      </w:r>
      <w:r>
        <w:tab/>
      </w:r>
      <w:r>
        <w:fldChar w:fldCharType="begin"/>
      </w:r>
      <w:r>
        <w:instrText xml:space="preserve"> PAGEREF _Toc3530 \h </w:instrText>
      </w:r>
      <w:r>
        <w:fldChar w:fldCharType="separate"/>
      </w:r>
      <w:r>
        <w:t>8</w:t>
      </w:r>
      <w:r>
        <w:fldChar w:fldCharType="end"/>
      </w:r>
      <w:r>
        <w:fldChar w:fldCharType="end"/>
      </w:r>
    </w:p>
    <w:p w14:paraId="27C88A01">
      <w:pPr>
        <w:pStyle w:val="25"/>
        <w:tabs>
          <w:tab w:val="right" w:leader="dot" w:pos="9354"/>
          <w:tab w:val="clear" w:pos="9344"/>
        </w:tabs>
      </w:pPr>
      <w:r>
        <w:fldChar w:fldCharType="begin"/>
      </w:r>
      <w:r>
        <w:instrText xml:space="preserve"> HYPERLINK \l _Toc6274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ascii="宋体" w:hAnsi="宋体" w:eastAsia="宋体" w:cs="宋体"/>
          <w:bCs/>
          <w:szCs w:val="21"/>
          <w:lang w:val="en-US" w:eastAsia="zh-CN" w:bidi="ar"/>
        </w:rPr>
        <w:t>总体要求</w:t>
      </w:r>
      <w:r>
        <w:tab/>
      </w:r>
      <w:r>
        <w:fldChar w:fldCharType="begin"/>
      </w:r>
      <w:r>
        <w:instrText xml:space="preserve"> PAGEREF _Toc6274 \h </w:instrText>
      </w:r>
      <w:r>
        <w:fldChar w:fldCharType="separate"/>
      </w:r>
      <w:r>
        <w:t>8</w:t>
      </w:r>
      <w:r>
        <w:fldChar w:fldCharType="end"/>
      </w:r>
      <w:r>
        <w:fldChar w:fldCharType="end"/>
      </w:r>
    </w:p>
    <w:p w14:paraId="762E59DC">
      <w:pPr>
        <w:pStyle w:val="25"/>
        <w:tabs>
          <w:tab w:val="right" w:leader="dot" w:pos="9354"/>
          <w:tab w:val="clear" w:pos="9344"/>
        </w:tabs>
      </w:pPr>
      <w:r>
        <w:fldChar w:fldCharType="begin"/>
      </w:r>
      <w:r>
        <w:instrText xml:space="preserve"> HYPERLINK \l _Toc14028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ascii="宋体" w:hAnsi="宋体" w:eastAsia="宋体" w:cs="宋体"/>
          <w:bCs/>
          <w:szCs w:val="21"/>
          <w:lang w:val="en-US" w:eastAsia="zh-CN" w:bidi="ar"/>
        </w:rPr>
        <w:t>膳食计划与带量食谱管理</w:t>
      </w:r>
      <w:r>
        <w:tab/>
      </w:r>
      <w:r>
        <w:fldChar w:fldCharType="begin"/>
      </w:r>
      <w:r>
        <w:instrText xml:space="preserve"> PAGEREF _Toc14028 \h </w:instrText>
      </w:r>
      <w:r>
        <w:fldChar w:fldCharType="separate"/>
      </w:r>
      <w:r>
        <w:t>9</w:t>
      </w:r>
      <w:r>
        <w:fldChar w:fldCharType="end"/>
      </w:r>
      <w:r>
        <w:fldChar w:fldCharType="end"/>
      </w:r>
    </w:p>
    <w:p w14:paraId="02DF728A">
      <w:pPr>
        <w:pStyle w:val="25"/>
        <w:tabs>
          <w:tab w:val="right" w:leader="dot" w:pos="9354"/>
          <w:tab w:val="clear" w:pos="9344"/>
        </w:tabs>
      </w:pPr>
      <w:r>
        <w:fldChar w:fldCharType="begin"/>
      </w:r>
      <w:r>
        <w:instrText xml:space="preserve"> HYPERLINK \l _Toc12045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ascii="宋体" w:hAnsi="宋体" w:eastAsia="宋体" w:cs="宋体"/>
          <w:bCs/>
          <w:szCs w:val="21"/>
          <w:lang w:val="en-US" w:eastAsia="zh-CN" w:bidi="ar"/>
        </w:rPr>
        <w:t>分龄喂养指导</w:t>
      </w:r>
      <w:r>
        <w:tab/>
      </w:r>
      <w:r>
        <w:fldChar w:fldCharType="begin"/>
      </w:r>
      <w:r>
        <w:instrText xml:space="preserve"> PAGEREF _Toc12045 \h </w:instrText>
      </w:r>
      <w:r>
        <w:fldChar w:fldCharType="separate"/>
      </w:r>
      <w:r>
        <w:t>9</w:t>
      </w:r>
      <w:r>
        <w:fldChar w:fldCharType="end"/>
      </w:r>
      <w:r>
        <w:fldChar w:fldCharType="end"/>
      </w:r>
    </w:p>
    <w:p w14:paraId="7D9F842E">
      <w:pPr>
        <w:pStyle w:val="25"/>
        <w:tabs>
          <w:tab w:val="right" w:leader="dot" w:pos="9354"/>
          <w:tab w:val="clear" w:pos="9344"/>
        </w:tabs>
      </w:pPr>
      <w:r>
        <w:fldChar w:fldCharType="begin"/>
      </w:r>
      <w:r>
        <w:instrText xml:space="preserve"> HYPERLINK \l _Toc24993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ascii="宋体" w:hAnsi="宋体" w:eastAsia="宋体" w:cs="宋体"/>
          <w:bCs/>
          <w:szCs w:val="21"/>
          <w:lang w:val="en-US" w:eastAsia="zh-CN" w:bidi="ar"/>
        </w:rPr>
        <w:t>饮食习惯建立</w:t>
      </w:r>
      <w:r>
        <w:tab/>
      </w:r>
      <w:r>
        <w:fldChar w:fldCharType="begin"/>
      </w:r>
      <w:r>
        <w:instrText xml:space="preserve"> PAGEREF _Toc24993 \h </w:instrText>
      </w:r>
      <w:r>
        <w:fldChar w:fldCharType="separate"/>
      </w:r>
      <w:r>
        <w:t>9</w:t>
      </w:r>
      <w:r>
        <w:fldChar w:fldCharType="end"/>
      </w:r>
      <w:r>
        <w:fldChar w:fldCharType="end"/>
      </w:r>
    </w:p>
    <w:p w14:paraId="1E97C0E4">
      <w:pPr>
        <w:pStyle w:val="25"/>
        <w:tabs>
          <w:tab w:val="right" w:leader="dot" w:pos="9354"/>
          <w:tab w:val="clear" w:pos="9344"/>
        </w:tabs>
      </w:pPr>
      <w:r>
        <w:fldChar w:fldCharType="begin"/>
      </w:r>
      <w:r>
        <w:instrText xml:space="preserve"> HYPERLINK \l _Toc31181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7.5 </w:t>
      </w:r>
      <w:r>
        <w:rPr>
          <w:rFonts w:hint="eastAsia" w:ascii="宋体" w:hAnsi="宋体" w:eastAsia="宋体" w:cs="宋体"/>
          <w:bCs/>
          <w:szCs w:val="21"/>
          <w:lang w:val="en-US" w:eastAsia="zh-CN" w:bidi="ar"/>
        </w:rPr>
        <w:t>特殊膳食管理</w:t>
      </w:r>
      <w:r>
        <w:tab/>
      </w:r>
      <w:r>
        <w:fldChar w:fldCharType="begin"/>
      </w:r>
      <w:r>
        <w:instrText xml:space="preserve"> PAGEREF _Toc31181 \h </w:instrText>
      </w:r>
      <w:r>
        <w:fldChar w:fldCharType="separate"/>
      </w:r>
      <w:r>
        <w:t>10</w:t>
      </w:r>
      <w:r>
        <w:fldChar w:fldCharType="end"/>
      </w:r>
      <w:r>
        <w:fldChar w:fldCharType="end"/>
      </w:r>
    </w:p>
    <w:p w14:paraId="1E03FF8E">
      <w:pPr>
        <w:pStyle w:val="25"/>
        <w:tabs>
          <w:tab w:val="right" w:leader="dot" w:pos="9354"/>
          <w:tab w:val="clear" w:pos="9344"/>
        </w:tabs>
      </w:pPr>
      <w:r>
        <w:fldChar w:fldCharType="begin"/>
      </w:r>
      <w:r>
        <w:instrText xml:space="preserve"> HYPERLINK \l _Toc23488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7.6 </w:t>
      </w:r>
      <w:r>
        <w:rPr>
          <w:rFonts w:hint="eastAsia" w:ascii="宋体" w:hAnsi="宋体" w:eastAsia="宋体" w:cs="宋体"/>
          <w:bCs/>
          <w:szCs w:val="21"/>
          <w:lang w:val="en-US" w:eastAsia="zh-CN" w:bidi="ar"/>
        </w:rPr>
        <w:t>医疗机构支持职责</w:t>
      </w:r>
      <w:r>
        <w:tab/>
      </w:r>
      <w:r>
        <w:fldChar w:fldCharType="begin"/>
      </w:r>
      <w:r>
        <w:instrText xml:space="preserve"> PAGEREF _Toc23488 \h </w:instrText>
      </w:r>
      <w:r>
        <w:fldChar w:fldCharType="separate"/>
      </w:r>
      <w:r>
        <w:t>10</w:t>
      </w:r>
      <w:r>
        <w:fldChar w:fldCharType="end"/>
      </w:r>
      <w:r>
        <w:fldChar w:fldCharType="end"/>
      </w:r>
    </w:p>
    <w:p w14:paraId="054A40FE">
      <w:pPr>
        <w:pStyle w:val="25"/>
        <w:tabs>
          <w:tab w:val="right" w:leader="dot" w:pos="9354"/>
          <w:tab w:val="clear" w:pos="9344"/>
        </w:tabs>
      </w:pPr>
      <w:r>
        <w:fldChar w:fldCharType="begin"/>
      </w:r>
      <w:r>
        <w:instrText xml:space="preserve"> HYPERLINK \l _Toc18422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7.7 </w:t>
      </w:r>
      <w:r>
        <w:rPr>
          <w:rFonts w:hint="eastAsia" w:ascii="宋体" w:hAnsi="宋体" w:eastAsia="宋体" w:cs="宋体"/>
          <w:bCs/>
          <w:szCs w:val="21"/>
          <w:lang w:val="en-US" w:eastAsia="zh-CN" w:bidi="ar"/>
        </w:rPr>
        <w:t>膳食记录与反馈</w:t>
      </w:r>
      <w:r>
        <w:tab/>
      </w:r>
      <w:r>
        <w:fldChar w:fldCharType="begin"/>
      </w:r>
      <w:r>
        <w:instrText xml:space="preserve"> PAGEREF _Toc18422 \h </w:instrText>
      </w:r>
      <w:r>
        <w:fldChar w:fldCharType="separate"/>
      </w:r>
      <w:r>
        <w:t>10</w:t>
      </w:r>
      <w:r>
        <w:fldChar w:fldCharType="end"/>
      </w:r>
      <w:r>
        <w:fldChar w:fldCharType="end"/>
      </w:r>
    </w:p>
    <w:p w14:paraId="5268E9C9">
      <w:pPr>
        <w:pStyle w:val="20"/>
        <w:tabs>
          <w:tab w:val="right" w:leader="dot" w:pos="9354"/>
        </w:tabs>
      </w:pPr>
      <w:r>
        <w:fldChar w:fldCharType="begin"/>
      </w:r>
      <w:r>
        <w:instrText xml:space="preserve"> HYPERLINK \l _Toc17054 </w:instrText>
      </w:r>
      <w:r>
        <w:fldChar w:fldCharType="separate"/>
      </w:r>
      <w:r>
        <w:rPr>
          <w:rFonts w:hint="eastAsia" w:ascii="黑体" w:hAnsi="Times New Roman" w:eastAsia="黑体" w:cs="Times New Roman"/>
          <w:bCs w:val="0"/>
          <w:i w:val="0"/>
          <w:szCs w:val="20"/>
          <w:lang w:val="en-US" w:eastAsia="zh-CN" w:bidi="ar"/>
        </w:rPr>
        <w:t xml:space="preserve">8 </w:t>
      </w:r>
      <w:r>
        <w:rPr>
          <w:rFonts w:hint="eastAsia" w:ascii="黑体" w:hAnsi="Times New Roman" w:eastAsia="黑体" w:cs="Times New Roman"/>
          <w:bCs w:val="0"/>
          <w:szCs w:val="20"/>
          <w:lang w:val="en-US" w:eastAsia="zh-CN" w:bidi="ar"/>
        </w:rPr>
        <w:t>生活照护</w:t>
      </w:r>
      <w:r>
        <w:tab/>
      </w:r>
      <w:r>
        <w:fldChar w:fldCharType="begin"/>
      </w:r>
      <w:r>
        <w:instrText xml:space="preserve"> PAGEREF _Toc17054 \h </w:instrText>
      </w:r>
      <w:r>
        <w:fldChar w:fldCharType="separate"/>
      </w:r>
      <w:r>
        <w:t>10</w:t>
      </w:r>
      <w:r>
        <w:fldChar w:fldCharType="end"/>
      </w:r>
      <w:r>
        <w:fldChar w:fldCharType="end"/>
      </w:r>
    </w:p>
    <w:p w14:paraId="4B994416">
      <w:pPr>
        <w:pStyle w:val="25"/>
        <w:tabs>
          <w:tab w:val="right" w:leader="dot" w:pos="9354"/>
          <w:tab w:val="clear" w:pos="9344"/>
        </w:tabs>
      </w:pPr>
      <w:r>
        <w:fldChar w:fldCharType="begin"/>
      </w:r>
      <w:r>
        <w:instrText xml:space="preserve"> HYPERLINK \l _Toc6459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ascii="宋体" w:hAnsi="宋体" w:eastAsia="宋体" w:cs="宋体"/>
          <w:bCs/>
          <w:szCs w:val="21"/>
          <w:lang w:val="en-US" w:eastAsia="zh-CN" w:bidi="ar"/>
        </w:rPr>
        <w:t>总体要求</w:t>
      </w:r>
      <w:r>
        <w:tab/>
      </w:r>
      <w:r>
        <w:fldChar w:fldCharType="begin"/>
      </w:r>
      <w:r>
        <w:instrText xml:space="preserve"> PAGEREF _Toc6459 \h </w:instrText>
      </w:r>
      <w:r>
        <w:fldChar w:fldCharType="separate"/>
      </w:r>
      <w:r>
        <w:t>11</w:t>
      </w:r>
      <w:r>
        <w:fldChar w:fldCharType="end"/>
      </w:r>
      <w:r>
        <w:fldChar w:fldCharType="end"/>
      </w:r>
    </w:p>
    <w:p w14:paraId="368DBC26">
      <w:pPr>
        <w:pStyle w:val="25"/>
        <w:tabs>
          <w:tab w:val="right" w:leader="dot" w:pos="9354"/>
          <w:tab w:val="clear" w:pos="9344"/>
        </w:tabs>
      </w:pPr>
      <w:r>
        <w:fldChar w:fldCharType="begin"/>
      </w:r>
      <w:r>
        <w:instrText xml:space="preserve"> HYPERLINK \l _Toc24049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宋体" w:hAnsi="宋体" w:eastAsia="宋体" w:cs="宋体"/>
          <w:bCs/>
          <w:szCs w:val="21"/>
          <w:lang w:val="en-US" w:eastAsia="zh-CN" w:bidi="ar"/>
        </w:rPr>
        <w:t>睡眠照护</w:t>
      </w:r>
      <w:r>
        <w:tab/>
      </w:r>
      <w:r>
        <w:fldChar w:fldCharType="begin"/>
      </w:r>
      <w:r>
        <w:instrText xml:space="preserve"> PAGEREF _Toc24049 \h </w:instrText>
      </w:r>
      <w:r>
        <w:fldChar w:fldCharType="separate"/>
      </w:r>
      <w:r>
        <w:t>11</w:t>
      </w:r>
      <w:r>
        <w:fldChar w:fldCharType="end"/>
      </w:r>
      <w:r>
        <w:fldChar w:fldCharType="end"/>
      </w:r>
    </w:p>
    <w:p w14:paraId="1D20E64B">
      <w:pPr>
        <w:pStyle w:val="25"/>
        <w:tabs>
          <w:tab w:val="right" w:leader="dot" w:pos="9354"/>
          <w:tab w:val="clear" w:pos="9344"/>
        </w:tabs>
      </w:pPr>
      <w:r>
        <w:fldChar w:fldCharType="begin"/>
      </w:r>
      <w:r>
        <w:instrText xml:space="preserve"> HYPERLINK \l _Toc26841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宋体" w:hAnsi="宋体" w:eastAsia="宋体" w:cs="宋体"/>
          <w:bCs/>
          <w:szCs w:val="21"/>
          <w:lang w:val="en-US" w:eastAsia="zh-CN" w:bidi="ar"/>
        </w:rPr>
        <w:t>进食与饮水照护</w:t>
      </w:r>
      <w:r>
        <w:tab/>
      </w:r>
      <w:r>
        <w:fldChar w:fldCharType="begin"/>
      </w:r>
      <w:r>
        <w:instrText xml:space="preserve"> PAGEREF _Toc26841 \h </w:instrText>
      </w:r>
      <w:r>
        <w:fldChar w:fldCharType="separate"/>
      </w:r>
      <w:r>
        <w:t>12</w:t>
      </w:r>
      <w:r>
        <w:fldChar w:fldCharType="end"/>
      </w:r>
      <w:r>
        <w:fldChar w:fldCharType="end"/>
      </w:r>
    </w:p>
    <w:p w14:paraId="5D29C580">
      <w:pPr>
        <w:pStyle w:val="25"/>
        <w:tabs>
          <w:tab w:val="right" w:leader="dot" w:pos="9354"/>
          <w:tab w:val="clear" w:pos="9344"/>
        </w:tabs>
      </w:pPr>
      <w:r>
        <w:fldChar w:fldCharType="begin"/>
      </w:r>
      <w:r>
        <w:instrText xml:space="preserve"> HYPERLINK \l _Toc25846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8.4 </w:t>
      </w:r>
      <w:r>
        <w:rPr>
          <w:rFonts w:hint="eastAsia" w:ascii="宋体" w:hAnsi="宋体" w:eastAsia="宋体" w:cs="宋体"/>
          <w:bCs/>
          <w:szCs w:val="21"/>
          <w:lang w:val="en-US" w:eastAsia="zh-CN" w:bidi="ar"/>
        </w:rPr>
        <w:t>盥洗与卫生照护</w:t>
      </w:r>
      <w:r>
        <w:tab/>
      </w:r>
      <w:r>
        <w:fldChar w:fldCharType="begin"/>
      </w:r>
      <w:r>
        <w:instrText xml:space="preserve"> PAGEREF _Toc25846 \h </w:instrText>
      </w:r>
      <w:r>
        <w:fldChar w:fldCharType="separate"/>
      </w:r>
      <w:r>
        <w:t>12</w:t>
      </w:r>
      <w:r>
        <w:fldChar w:fldCharType="end"/>
      </w:r>
      <w:r>
        <w:fldChar w:fldCharType="end"/>
      </w:r>
    </w:p>
    <w:p w14:paraId="6E5BED91">
      <w:pPr>
        <w:pStyle w:val="25"/>
        <w:tabs>
          <w:tab w:val="right" w:leader="dot" w:pos="9354"/>
          <w:tab w:val="clear" w:pos="9344"/>
        </w:tabs>
      </w:pPr>
      <w:r>
        <w:fldChar w:fldCharType="begin"/>
      </w:r>
      <w:r>
        <w:instrText xml:space="preserve"> HYPERLINK \l _Toc25170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8.5 </w:t>
      </w:r>
      <w:r>
        <w:rPr>
          <w:rFonts w:hint="eastAsia" w:ascii="宋体" w:hAnsi="宋体" w:eastAsia="宋体" w:cs="宋体"/>
          <w:bCs/>
          <w:szCs w:val="21"/>
          <w:lang w:val="en-US" w:eastAsia="zh-CN" w:bidi="ar"/>
        </w:rPr>
        <w:t>穿脱衣物照护</w:t>
      </w:r>
      <w:r>
        <w:tab/>
      </w:r>
      <w:r>
        <w:fldChar w:fldCharType="begin"/>
      </w:r>
      <w:r>
        <w:instrText xml:space="preserve"> PAGEREF _Toc25170 \h </w:instrText>
      </w:r>
      <w:r>
        <w:fldChar w:fldCharType="separate"/>
      </w:r>
      <w:r>
        <w:t>13</w:t>
      </w:r>
      <w:r>
        <w:fldChar w:fldCharType="end"/>
      </w:r>
      <w:r>
        <w:fldChar w:fldCharType="end"/>
      </w:r>
    </w:p>
    <w:p w14:paraId="08D153DC">
      <w:pPr>
        <w:pStyle w:val="25"/>
        <w:tabs>
          <w:tab w:val="right" w:leader="dot" w:pos="9354"/>
          <w:tab w:val="clear" w:pos="9344"/>
        </w:tabs>
      </w:pPr>
      <w:r>
        <w:fldChar w:fldCharType="begin"/>
      </w:r>
      <w:r>
        <w:instrText xml:space="preserve"> HYPERLINK \l _Toc31894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8.6 </w:t>
      </w:r>
      <w:r>
        <w:rPr>
          <w:rFonts w:hint="eastAsia" w:ascii="宋体" w:hAnsi="宋体" w:eastAsia="宋体" w:cs="宋体"/>
          <w:bCs/>
          <w:szCs w:val="21"/>
          <w:lang w:val="en-US" w:eastAsia="zh-CN" w:bidi="ar"/>
        </w:rPr>
        <w:t>如厕照护</w:t>
      </w:r>
      <w:r>
        <w:tab/>
      </w:r>
      <w:r>
        <w:fldChar w:fldCharType="begin"/>
      </w:r>
      <w:r>
        <w:instrText xml:space="preserve"> PAGEREF _Toc31894 \h </w:instrText>
      </w:r>
      <w:r>
        <w:fldChar w:fldCharType="separate"/>
      </w:r>
      <w:r>
        <w:t>14</w:t>
      </w:r>
      <w:r>
        <w:fldChar w:fldCharType="end"/>
      </w:r>
      <w:r>
        <w:fldChar w:fldCharType="end"/>
      </w:r>
    </w:p>
    <w:p w14:paraId="0D43BE6B">
      <w:pPr>
        <w:pStyle w:val="25"/>
        <w:tabs>
          <w:tab w:val="right" w:leader="dot" w:pos="9354"/>
          <w:tab w:val="clear" w:pos="9344"/>
        </w:tabs>
      </w:pPr>
      <w:r>
        <w:fldChar w:fldCharType="begin"/>
      </w:r>
      <w:r>
        <w:instrText xml:space="preserve"> HYPERLINK \l _Toc117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8.7 </w:t>
      </w:r>
      <w:r>
        <w:rPr>
          <w:rFonts w:hint="eastAsia" w:ascii="宋体" w:hAnsi="宋体" w:eastAsia="宋体" w:cs="宋体"/>
          <w:bCs/>
          <w:szCs w:val="21"/>
          <w:lang w:val="en-US" w:eastAsia="zh-CN" w:bidi="ar"/>
        </w:rPr>
        <w:t>身体活动照护</w:t>
      </w:r>
      <w:r>
        <w:tab/>
      </w:r>
      <w:r>
        <w:fldChar w:fldCharType="begin"/>
      </w:r>
      <w:r>
        <w:instrText xml:space="preserve"> PAGEREF _Toc117 \h </w:instrText>
      </w:r>
      <w:r>
        <w:fldChar w:fldCharType="separate"/>
      </w:r>
      <w:r>
        <w:t>14</w:t>
      </w:r>
      <w:r>
        <w:fldChar w:fldCharType="end"/>
      </w:r>
      <w:r>
        <w:fldChar w:fldCharType="end"/>
      </w:r>
    </w:p>
    <w:p w14:paraId="051B370F">
      <w:pPr>
        <w:pStyle w:val="20"/>
        <w:tabs>
          <w:tab w:val="right" w:leader="dot" w:pos="9354"/>
        </w:tabs>
      </w:pPr>
      <w:r>
        <w:fldChar w:fldCharType="begin"/>
      </w:r>
      <w:r>
        <w:instrText xml:space="preserve"> HYPERLINK \l _Toc8132 </w:instrText>
      </w:r>
      <w:r>
        <w:fldChar w:fldCharType="separate"/>
      </w:r>
      <w:r>
        <w:rPr>
          <w:rFonts w:hint="eastAsia" w:ascii="黑体" w:hAnsi="Times New Roman" w:eastAsia="黑体" w:cs="Times New Roman"/>
          <w:bCs w:val="0"/>
          <w:i w:val="0"/>
          <w:szCs w:val="20"/>
          <w:lang w:val="en-US" w:eastAsia="zh-CN" w:bidi="ar"/>
        </w:rPr>
        <w:t xml:space="preserve">9 </w:t>
      </w:r>
      <w:r>
        <w:rPr>
          <w:rFonts w:hint="eastAsia" w:ascii="黑体" w:hAnsi="Times New Roman" w:eastAsia="黑体" w:cs="Times New Roman"/>
          <w:bCs w:val="0"/>
          <w:szCs w:val="20"/>
          <w:lang w:val="en-US" w:eastAsia="zh-CN" w:bidi="ar"/>
        </w:rPr>
        <w:t>疾病与伤害预防</w:t>
      </w:r>
      <w:r>
        <w:tab/>
      </w:r>
      <w:r>
        <w:fldChar w:fldCharType="begin"/>
      </w:r>
      <w:r>
        <w:instrText xml:space="preserve"> PAGEREF _Toc8132 \h </w:instrText>
      </w:r>
      <w:r>
        <w:fldChar w:fldCharType="separate"/>
      </w:r>
      <w:r>
        <w:t>14</w:t>
      </w:r>
      <w:r>
        <w:fldChar w:fldCharType="end"/>
      </w:r>
      <w:r>
        <w:fldChar w:fldCharType="end"/>
      </w:r>
    </w:p>
    <w:p w14:paraId="6A6BB7B5">
      <w:pPr>
        <w:pStyle w:val="25"/>
        <w:tabs>
          <w:tab w:val="right" w:leader="dot" w:pos="9354"/>
          <w:tab w:val="clear" w:pos="9344"/>
        </w:tabs>
      </w:pPr>
      <w:r>
        <w:fldChar w:fldCharType="begin"/>
      </w:r>
      <w:r>
        <w:instrText xml:space="preserve"> HYPERLINK \l _Toc6210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ascii="宋体" w:hAnsi="宋体" w:eastAsia="宋体" w:cs="宋体"/>
          <w:bCs/>
          <w:szCs w:val="21"/>
          <w:lang w:val="en-US" w:eastAsia="zh-CN" w:bidi="ar"/>
        </w:rPr>
        <w:t>伤害预防</w:t>
      </w:r>
      <w:r>
        <w:tab/>
      </w:r>
      <w:r>
        <w:fldChar w:fldCharType="begin"/>
      </w:r>
      <w:r>
        <w:instrText xml:space="preserve"> PAGEREF _Toc6210 \h </w:instrText>
      </w:r>
      <w:r>
        <w:fldChar w:fldCharType="separate"/>
      </w:r>
      <w:r>
        <w:t>15</w:t>
      </w:r>
      <w:r>
        <w:fldChar w:fldCharType="end"/>
      </w:r>
      <w:r>
        <w:fldChar w:fldCharType="end"/>
      </w:r>
    </w:p>
    <w:p w14:paraId="5FBFB844">
      <w:pPr>
        <w:pStyle w:val="25"/>
        <w:tabs>
          <w:tab w:val="right" w:leader="dot" w:pos="9354"/>
          <w:tab w:val="clear" w:pos="9344"/>
        </w:tabs>
      </w:pPr>
      <w:r>
        <w:fldChar w:fldCharType="begin"/>
      </w:r>
      <w:r>
        <w:instrText xml:space="preserve"> HYPERLINK \l _Toc26102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ascii="宋体" w:hAnsi="宋体" w:eastAsia="宋体" w:cs="宋体"/>
          <w:bCs/>
          <w:szCs w:val="21"/>
          <w:lang w:val="en-US" w:eastAsia="zh-CN" w:bidi="ar"/>
        </w:rPr>
        <w:t>疾病预防</w:t>
      </w:r>
      <w:r>
        <w:tab/>
      </w:r>
      <w:r>
        <w:fldChar w:fldCharType="begin"/>
      </w:r>
      <w:r>
        <w:instrText xml:space="preserve"> PAGEREF _Toc26102 \h </w:instrText>
      </w:r>
      <w:r>
        <w:fldChar w:fldCharType="separate"/>
      </w:r>
      <w:r>
        <w:t>15</w:t>
      </w:r>
      <w:r>
        <w:fldChar w:fldCharType="end"/>
      </w:r>
      <w:r>
        <w:fldChar w:fldCharType="end"/>
      </w:r>
    </w:p>
    <w:p w14:paraId="55FF1F70">
      <w:pPr>
        <w:pStyle w:val="20"/>
        <w:tabs>
          <w:tab w:val="right" w:leader="dot" w:pos="9354"/>
        </w:tabs>
      </w:pPr>
      <w:r>
        <w:fldChar w:fldCharType="begin"/>
      </w:r>
      <w:r>
        <w:instrText xml:space="preserve"> HYPERLINK \l _Toc26626 </w:instrText>
      </w:r>
      <w:r>
        <w:fldChar w:fldCharType="separate"/>
      </w:r>
      <w:r>
        <w:rPr>
          <w:rFonts w:hint="eastAsia" w:ascii="黑体" w:hAnsi="Times New Roman" w:eastAsia="黑体" w:cs="Times New Roman"/>
          <w:bCs w:val="0"/>
          <w:i w:val="0"/>
          <w:szCs w:val="20"/>
          <w:lang w:val="en-US" w:eastAsia="zh-CN" w:bidi="ar"/>
        </w:rPr>
        <w:t xml:space="preserve">10 </w:t>
      </w:r>
      <w:r>
        <w:rPr>
          <w:rFonts w:hint="eastAsia" w:ascii="黑体" w:hAnsi="Times New Roman" w:eastAsia="黑体" w:cs="Times New Roman"/>
          <w:bCs w:val="0"/>
          <w:szCs w:val="20"/>
          <w:lang w:val="en-US" w:eastAsia="zh-CN" w:bidi="ar"/>
        </w:rPr>
        <w:t>早期学习机会</w:t>
      </w:r>
      <w:r>
        <w:tab/>
      </w:r>
      <w:r>
        <w:fldChar w:fldCharType="begin"/>
      </w:r>
      <w:r>
        <w:instrText xml:space="preserve"> PAGEREF _Toc26626 \h </w:instrText>
      </w:r>
      <w:r>
        <w:fldChar w:fldCharType="separate"/>
      </w:r>
      <w:r>
        <w:t>15</w:t>
      </w:r>
      <w:r>
        <w:fldChar w:fldCharType="end"/>
      </w:r>
      <w:r>
        <w:fldChar w:fldCharType="end"/>
      </w:r>
    </w:p>
    <w:p w14:paraId="14D0E6EA">
      <w:pPr>
        <w:pStyle w:val="25"/>
        <w:tabs>
          <w:tab w:val="right" w:leader="dot" w:pos="9354"/>
          <w:tab w:val="clear" w:pos="9344"/>
        </w:tabs>
      </w:pPr>
      <w:r>
        <w:fldChar w:fldCharType="begin"/>
      </w:r>
      <w:r>
        <w:instrText xml:space="preserve"> HYPERLINK \l _Toc11855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10.1 </w:t>
      </w:r>
      <w:r>
        <w:rPr>
          <w:rFonts w:hint="eastAsia" w:ascii="宋体" w:hAnsi="宋体" w:eastAsia="宋体" w:cs="宋体"/>
          <w:bCs/>
          <w:szCs w:val="21"/>
          <w:lang w:val="en-US" w:eastAsia="zh-CN" w:bidi="ar"/>
        </w:rPr>
        <w:t>基本要求</w:t>
      </w:r>
      <w:r>
        <w:tab/>
      </w:r>
      <w:r>
        <w:fldChar w:fldCharType="begin"/>
      </w:r>
      <w:r>
        <w:instrText xml:space="preserve"> PAGEREF _Toc11855 \h </w:instrText>
      </w:r>
      <w:r>
        <w:fldChar w:fldCharType="separate"/>
      </w:r>
      <w:r>
        <w:t>15</w:t>
      </w:r>
      <w:r>
        <w:fldChar w:fldCharType="end"/>
      </w:r>
      <w:r>
        <w:fldChar w:fldCharType="end"/>
      </w:r>
    </w:p>
    <w:p w14:paraId="0DEE3D76">
      <w:pPr>
        <w:pStyle w:val="25"/>
        <w:tabs>
          <w:tab w:val="right" w:leader="dot" w:pos="9354"/>
          <w:tab w:val="clear" w:pos="9344"/>
        </w:tabs>
      </w:pPr>
      <w:r>
        <w:fldChar w:fldCharType="begin"/>
      </w:r>
      <w:r>
        <w:instrText xml:space="preserve"> HYPERLINK \l _Toc3147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10.2 </w:t>
      </w:r>
      <w:r>
        <w:rPr>
          <w:rFonts w:hint="eastAsia" w:ascii="宋体" w:hAnsi="宋体" w:eastAsia="宋体" w:cs="宋体"/>
          <w:bCs/>
          <w:szCs w:val="21"/>
          <w:lang w:val="en-US" w:eastAsia="zh-CN" w:bidi="ar"/>
        </w:rPr>
        <w:t>认知发展支持</w:t>
      </w:r>
      <w:r>
        <w:tab/>
      </w:r>
      <w:r>
        <w:fldChar w:fldCharType="begin"/>
      </w:r>
      <w:r>
        <w:instrText xml:space="preserve"> PAGEREF _Toc3147 \h </w:instrText>
      </w:r>
      <w:r>
        <w:fldChar w:fldCharType="separate"/>
      </w:r>
      <w:r>
        <w:t>16</w:t>
      </w:r>
      <w:r>
        <w:fldChar w:fldCharType="end"/>
      </w:r>
      <w:r>
        <w:fldChar w:fldCharType="end"/>
      </w:r>
    </w:p>
    <w:p w14:paraId="22909B2F">
      <w:pPr>
        <w:pStyle w:val="25"/>
        <w:tabs>
          <w:tab w:val="right" w:leader="dot" w:pos="9354"/>
          <w:tab w:val="clear" w:pos="9344"/>
        </w:tabs>
      </w:pPr>
      <w:r>
        <w:fldChar w:fldCharType="begin"/>
      </w:r>
      <w:r>
        <w:instrText xml:space="preserve"> HYPERLINK \l _Toc23844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10.3 </w:t>
      </w:r>
      <w:r>
        <w:rPr>
          <w:rFonts w:hint="eastAsia" w:ascii="宋体" w:hAnsi="宋体" w:eastAsia="宋体" w:cs="宋体"/>
          <w:bCs/>
          <w:szCs w:val="21"/>
          <w:lang w:val="en-US" w:eastAsia="zh-CN" w:bidi="ar"/>
        </w:rPr>
        <w:t>语言发展支持</w:t>
      </w:r>
      <w:r>
        <w:tab/>
      </w:r>
      <w:r>
        <w:fldChar w:fldCharType="begin"/>
      </w:r>
      <w:r>
        <w:instrText xml:space="preserve"> PAGEREF _Toc23844 \h </w:instrText>
      </w:r>
      <w:r>
        <w:fldChar w:fldCharType="separate"/>
      </w:r>
      <w:r>
        <w:t>16</w:t>
      </w:r>
      <w:r>
        <w:fldChar w:fldCharType="end"/>
      </w:r>
      <w:r>
        <w:fldChar w:fldCharType="end"/>
      </w:r>
    </w:p>
    <w:p w14:paraId="22DC2277">
      <w:pPr>
        <w:pStyle w:val="25"/>
        <w:tabs>
          <w:tab w:val="right" w:leader="dot" w:pos="9354"/>
          <w:tab w:val="clear" w:pos="9344"/>
        </w:tabs>
      </w:pPr>
      <w:r>
        <w:fldChar w:fldCharType="begin"/>
      </w:r>
      <w:r>
        <w:instrText xml:space="preserve"> HYPERLINK \l _Toc29149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10.4 </w:t>
      </w:r>
      <w:r>
        <w:rPr>
          <w:rFonts w:hint="eastAsia" w:ascii="宋体" w:hAnsi="宋体" w:eastAsia="宋体" w:cs="宋体"/>
          <w:bCs/>
          <w:szCs w:val="21"/>
          <w:lang w:val="en-US" w:eastAsia="zh-CN" w:bidi="ar"/>
        </w:rPr>
        <w:t>情感与社会性发展支持</w:t>
      </w:r>
      <w:r>
        <w:tab/>
      </w:r>
      <w:r>
        <w:fldChar w:fldCharType="begin"/>
      </w:r>
      <w:r>
        <w:instrText xml:space="preserve"> PAGEREF _Toc29149 \h </w:instrText>
      </w:r>
      <w:r>
        <w:fldChar w:fldCharType="separate"/>
      </w:r>
      <w:r>
        <w:t>16</w:t>
      </w:r>
      <w:r>
        <w:fldChar w:fldCharType="end"/>
      </w:r>
      <w:r>
        <w:fldChar w:fldCharType="end"/>
      </w:r>
    </w:p>
    <w:p w14:paraId="2C11B55C">
      <w:pPr>
        <w:pStyle w:val="25"/>
        <w:tabs>
          <w:tab w:val="right" w:leader="dot" w:pos="9354"/>
          <w:tab w:val="clear" w:pos="9344"/>
        </w:tabs>
      </w:pPr>
      <w:r>
        <w:fldChar w:fldCharType="begin"/>
      </w:r>
      <w:r>
        <w:instrText xml:space="preserve"> HYPERLINK \l _Toc1747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10.5 </w:t>
      </w:r>
      <w:r>
        <w:rPr>
          <w:rFonts w:hint="eastAsia" w:ascii="宋体" w:hAnsi="宋体" w:eastAsia="宋体" w:cs="宋体"/>
          <w:bCs/>
          <w:szCs w:val="21"/>
          <w:lang w:val="en-US" w:eastAsia="zh-CN" w:bidi="ar"/>
        </w:rPr>
        <w:t>运动能力发展支持</w:t>
      </w:r>
      <w:r>
        <w:tab/>
      </w:r>
      <w:r>
        <w:fldChar w:fldCharType="begin"/>
      </w:r>
      <w:r>
        <w:instrText xml:space="preserve"> PAGEREF _Toc1747 \h </w:instrText>
      </w:r>
      <w:r>
        <w:fldChar w:fldCharType="separate"/>
      </w:r>
      <w:r>
        <w:t>17</w:t>
      </w:r>
      <w:r>
        <w:fldChar w:fldCharType="end"/>
      </w:r>
      <w:r>
        <w:fldChar w:fldCharType="end"/>
      </w:r>
    </w:p>
    <w:p w14:paraId="58595708">
      <w:pPr>
        <w:pStyle w:val="25"/>
        <w:tabs>
          <w:tab w:val="right" w:leader="dot" w:pos="9354"/>
          <w:tab w:val="clear" w:pos="9344"/>
        </w:tabs>
      </w:pPr>
      <w:r>
        <w:fldChar w:fldCharType="begin"/>
      </w:r>
      <w:r>
        <w:instrText xml:space="preserve"> HYPERLINK \l _Toc21441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10.6 </w:t>
      </w:r>
      <w:r>
        <w:rPr>
          <w:rFonts w:hint="eastAsia" w:ascii="宋体" w:hAnsi="宋体" w:eastAsia="宋体" w:cs="宋体"/>
          <w:bCs/>
          <w:szCs w:val="21"/>
          <w:lang w:val="en-US" w:eastAsia="zh-CN" w:bidi="ar"/>
        </w:rPr>
        <w:t>家园协同促进早期学习</w:t>
      </w:r>
      <w:r>
        <w:tab/>
      </w:r>
      <w:r>
        <w:fldChar w:fldCharType="begin"/>
      </w:r>
      <w:r>
        <w:instrText xml:space="preserve"> PAGEREF _Toc21441 \h </w:instrText>
      </w:r>
      <w:r>
        <w:fldChar w:fldCharType="separate"/>
      </w:r>
      <w:r>
        <w:t>17</w:t>
      </w:r>
      <w:r>
        <w:fldChar w:fldCharType="end"/>
      </w:r>
      <w:r>
        <w:fldChar w:fldCharType="end"/>
      </w:r>
    </w:p>
    <w:p w14:paraId="3CBE6CC4">
      <w:pPr>
        <w:pStyle w:val="20"/>
        <w:tabs>
          <w:tab w:val="right" w:leader="dot" w:pos="9354"/>
        </w:tabs>
      </w:pPr>
      <w:r>
        <w:fldChar w:fldCharType="begin"/>
      </w:r>
      <w:r>
        <w:instrText xml:space="preserve"> HYPERLINK \l _Toc31221 </w:instrText>
      </w:r>
      <w:r>
        <w:fldChar w:fldCharType="separate"/>
      </w:r>
      <w:r>
        <w:rPr>
          <w:rFonts w:hint="eastAsia" w:ascii="黑体" w:hAnsi="Times New Roman" w:eastAsia="黑体" w:cs="Times New Roman"/>
          <w:bCs w:val="0"/>
          <w:i w:val="0"/>
          <w:szCs w:val="20"/>
          <w:lang w:eastAsia="zh-CN" w:bidi="ar"/>
        </w:rPr>
        <w:t xml:space="preserve">11 </w:t>
      </w:r>
      <w:r>
        <w:rPr>
          <w:rFonts w:hint="eastAsia" w:ascii="黑体" w:hAnsi="Times New Roman" w:eastAsia="黑体" w:cs="Times New Roman"/>
          <w:bCs w:val="0"/>
          <w:szCs w:val="20"/>
          <w:lang w:bidi="ar"/>
        </w:rPr>
        <w:t>安全环境创设</w:t>
      </w:r>
      <w:r>
        <w:tab/>
      </w:r>
      <w:r>
        <w:fldChar w:fldCharType="begin"/>
      </w:r>
      <w:r>
        <w:instrText xml:space="preserve"> PAGEREF _Toc31221 \h </w:instrText>
      </w:r>
      <w:r>
        <w:fldChar w:fldCharType="separate"/>
      </w:r>
      <w:r>
        <w:t>17</w:t>
      </w:r>
      <w:r>
        <w:fldChar w:fldCharType="end"/>
      </w:r>
      <w:r>
        <w:fldChar w:fldCharType="end"/>
      </w:r>
    </w:p>
    <w:p w14:paraId="5FCC2F79">
      <w:pPr>
        <w:pStyle w:val="25"/>
        <w:tabs>
          <w:tab w:val="right" w:leader="dot" w:pos="9354"/>
          <w:tab w:val="clear" w:pos="9344"/>
        </w:tabs>
      </w:pPr>
      <w:r>
        <w:fldChar w:fldCharType="begin"/>
      </w:r>
      <w:r>
        <w:instrText xml:space="preserve"> HYPERLINK \l _Toc3861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11.1 </w:t>
      </w:r>
      <w:r>
        <w:rPr>
          <w:rFonts w:hint="eastAsia" w:ascii="宋体" w:hAnsi="宋体" w:eastAsia="宋体" w:cs="宋体"/>
          <w:bCs/>
          <w:szCs w:val="21"/>
          <w:lang w:val="en-US" w:eastAsia="zh-CN" w:bidi="ar"/>
        </w:rPr>
        <w:t>基本要求</w:t>
      </w:r>
      <w:r>
        <w:tab/>
      </w:r>
      <w:r>
        <w:fldChar w:fldCharType="begin"/>
      </w:r>
      <w:r>
        <w:instrText xml:space="preserve"> PAGEREF _Toc3861 \h </w:instrText>
      </w:r>
      <w:r>
        <w:fldChar w:fldCharType="separate"/>
      </w:r>
      <w:r>
        <w:t>17</w:t>
      </w:r>
      <w:r>
        <w:fldChar w:fldCharType="end"/>
      </w:r>
      <w:r>
        <w:fldChar w:fldCharType="end"/>
      </w:r>
    </w:p>
    <w:p w14:paraId="1107DDFF">
      <w:pPr>
        <w:pStyle w:val="25"/>
        <w:tabs>
          <w:tab w:val="right" w:leader="dot" w:pos="9354"/>
          <w:tab w:val="clear" w:pos="9344"/>
        </w:tabs>
      </w:pPr>
      <w:r>
        <w:fldChar w:fldCharType="begin"/>
      </w:r>
      <w:r>
        <w:instrText xml:space="preserve"> HYPERLINK \l _Toc27759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11.2 </w:t>
      </w:r>
      <w:r>
        <w:rPr>
          <w:rFonts w:hint="eastAsia" w:ascii="宋体" w:hAnsi="宋体" w:eastAsia="宋体" w:cs="宋体"/>
          <w:bCs/>
          <w:szCs w:val="21"/>
          <w:lang w:bidi="ar"/>
        </w:rPr>
        <w:t>物质环境</w:t>
      </w:r>
      <w:r>
        <w:tab/>
      </w:r>
      <w:r>
        <w:fldChar w:fldCharType="begin"/>
      </w:r>
      <w:r>
        <w:instrText xml:space="preserve"> PAGEREF _Toc27759 \h </w:instrText>
      </w:r>
      <w:r>
        <w:fldChar w:fldCharType="separate"/>
      </w:r>
      <w:r>
        <w:t>18</w:t>
      </w:r>
      <w:r>
        <w:fldChar w:fldCharType="end"/>
      </w:r>
      <w:r>
        <w:fldChar w:fldCharType="end"/>
      </w:r>
    </w:p>
    <w:p w14:paraId="3904118B">
      <w:pPr>
        <w:pStyle w:val="25"/>
        <w:tabs>
          <w:tab w:val="right" w:leader="dot" w:pos="9354"/>
          <w:tab w:val="clear" w:pos="9344"/>
        </w:tabs>
      </w:pPr>
      <w:r>
        <w:fldChar w:fldCharType="begin"/>
      </w:r>
      <w:r>
        <w:instrText xml:space="preserve"> HYPERLINK \l _Toc8800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11.3 </w:t>
      </w:r>
      <w:r>
        <w:rPr>
          <w:rFonts w:hint="eastAsia" w:ascii="宋体" w:hAnsi="宋体" w:eastAsia="宋体" w:cs="宋体"/>
          <w:bCs/>
          <w:szCs w:val="21"/>
          <w:lang w:bidi="ar"/>
        </w:rPr>
        <w:t>心理环境</w:t>
      </w:r>
      <w:r>
        <w:tab/>
      </w:r>
      <w:r>
        <w:fldChar w:fldCharType="begin"/>
      </w:r>
      <w:r>
        <w:instrText xml:space="preserve"> PAGEREF _Toc8800 \h </w:instrText>
      </w:r>
      <w:r>
        <w:fldChar w:fldCharType="separate"/>
      </w:r>
      <w:r>
        <w:t>19</w:t>
      </w:r>
      <w:r>
        <w:fldChar w:fldCharType="end"/>
      </w:r>
      <w:r>
        <w:fldChar w:fldCharType="end"/>
      </w:r>
    </w:p>
    <w:p w14:paraId="0BB90345">
      <w:pPr>
        <w:pStyle w:val="20"/>
        <w:tabs>
          <w:tab w:val="right" w:leader="dot" w:pos="9354"/>
        </w:tabs>
      </w:pPr>
      <w:r>
        <w:fldChar w:fldCharType="begin"/>
      </w:r>
      <w:r>
        <w:instrText xml:space="preserve"> HYPERLINK \l _Toc27139 </w:instrText>
      </w:r>
      <w:r>
        <w:fldChar w:fldCharType="separate"/>
      </w:r>
      <w:r>
        <w:rPr>
          <w:rFonts w:hint="eastAsia" w:ascii="黑体" w:hAnsi="Times New Roman" w:eastAsia="黑体" w:cs="Times New Roman"/>
          <w:bCs w:val="0"/>
          <w:i w:val="0"/>
          <w:szCs w:val="20"/>
          <w:lang w:val="en-US" w:eastAsia="zh-CN" w:bidi="ar"/>
        </w:rPr>
        <w:t xml:space="preserve">12 </w:t>
      </w:r>
      <w:r>
        <w:rPr>
          <w:rFonts w:hint="eastAsia" w:ascii="黑体" w:hAnsi="Times New Roman" w:eastAsia="黑体" w:cs="Times New Roman"/>
          <w:bCs w:val="0"/>
          <w:szCs w:val="20"/>
          <w:lang w:val="en-US" w:eastAsia="zh-CN" w:bidi="ar"/>
        </w:rPr>
        <w:t>特殊健康需求儿童养育照护</w:t>
      </w:r>
      <w:r>
        <w:tab/>
      </w:r>
      <w:r>
        <w:fldChar w:fldCharType="begin"/>
      </w:r>
      <w:r>
        <w:instrText xml:space="preserve"> PAGEREF _Toc27139 \h </w:instrText>
      </w:r>
      <w:r>
        <w:fldChar w:fldCharType="separate"/>
      </w:r>
      <w:r>
        <w:t>20</w:t>
      </w:r>
      <w:r>
        <w:fldChar w:fldCharType="end"/>
      </w:r>
      <w:r>
        <w:fldChar w:fldCharType="end"/>
      </w:r>
    </w:p>
    <w:p w14:paraId="590240A0">
      <w:pPr>
        <w:pStyle w:val="25"/>
        <w:tabs>
          <w:tab w:val="right" w:leader="dot" w:pos="9354"/>
          <w:tab w:val="clear" w:pos="9344"/>
        </w:tabs>
      </w:pPr>
      <w:r>
        <w:fldChar w:fldCharType="begin"/>
      </w:r>
      <w:r>
        <w:instrText xml:space="preserve"> HYPERLINK \l _Toc7271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12.1 </w:t>
      </w:r>
      <w:r>
        <w:rPr>
          <w:rFonts w:hint="eastAsia" w:ascii="宋体" w:hAnsi="宋体" w:eastAsia="宋体" w:cs="宋体"/>
          <w:bCs/>
          <w:szCs w:val="21"/>
          <w:lang w:val="en-US" w:eastAsia="zh-CN" w:bidi="ar"/>
        </w:rPr>
        <w:t>早期筛查与评估机制</w:t>
      </w:r>
      <w:r>
        <w:tab/>
      </w:r>
      <w:r>
        <w:fldChar w:fldCharType="begin"/>
      </w:r>
      <w:r>
        <w:instrText xml:space="preserve"> PAGEREF _Toc7271 \h </w:instrText>
      </w:r>
      <w:r>
        <w:fldChar w:fldCharType="separate"/>
      </w:r>
      <w:r>
        <w:t>20</w:t>
      </w:r>
      <w:r>
        <w:fldChar w:fldCharType="end"/>
      </w:r>
      <w:r>
        <w:fldChar w:fldCharType="end"/>
      </w:r>
    </w:p>
    <w:p w14:paraId="5C717B91">
      <w:pPr>
        <w:pStyle w:val="25"/>
        <w:tabs>
          <w:tab w:val="right" w:leader="dot" w:pos="9354"/>
          <w:tab w:val="clear" w:pos="9344"/>
        </w:tabs>
      </w:pPr>
      <w:r>
        <w:fldChar w:fldCharType="begin"/>
      </w:r>
      <w:r>
        <w:instrText xml:space="preserve"> HYPERLINK \l _Toc22590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12.2 </w:t>
      </w:r>
      <w:r>
        <w:rPr>
          <w:rFonts w:hint="eastAsia" w:ascii="宋体" w:hAnsi="宋体" w:eastAsia="宋体" w:cs="宋体"/>
          <w:bCs/>
          <w:szCs w:val="21"/>
          <w:lang w:val="en-US" w:eastAsia="zh-CN" w:bidi="ar"/>
        </w:rPr>
        <w:t>个性化养育照护与干预计划</w:t>
      </w:r>
      <w:r>
        <w:tab/>
      </w:r>
      <w:r>
        <w:fldChar w:fldCharType="begin"/>
      </w:r>
      <w:r>
        <w:instrText xml:space="preserve"> PAGEREF _Toc22590 \h </w:instrText>
      </w:r>
      <w:r>
        <w:fldChar w:fldCharType="separate"/>
      </w:r>
      <w:r>
        <w:t>20</w:t>
      </w:r>
      <w:r>
        <w:fldChar w:fldCharType="end"/>
      </w:r>
      <w:r>
        <w:fldChar w:fldCharType="end"/>
      </w:r>
    </w:p>
    <w:p w14:paraId="4528F673">
      <w:pPr>
        <w:pStyle w:val="25"/>
        <w:tabs>
          <w:tab w:val="right" w:leader="dot" w:pos="9354"/>
          <w:tab w:val="clear" w:pos="9344"/>
        </w:tabs>
      </w:pPr>
      <w:r>
        <w:fldChar w:fldCharType="begin"/>
      </w:r>
      <w:r>
        <w:instrText xml:space="preserve"> HYPERLINK \l _Toc7904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12.3 </w:t>
      </w:r>
      <w:r>
        <w:rPr>
          <w:rFonts w:hint="eastAsia" w:ascii="宋体" w:hAnsi="宋体" w:eastAsia="宋体" w:cs="宋体"/>
          <w:bCs/>
          <w:szCs w:val="21"/>
          <w:lang w:val="en-US" w:eastAsia="zh-CN" w:bidi="ar"/>
        </w:rPr>
        <w:t>日常照护与针对性康复训练融合</w:t>
      </w:r>
      <w:r>
        <w:tab/>
      </w:r>
      <w:r>
        <w:fldChar w:fldCharType="begin"/>
      </w:r>
      <w:r>
        <w:instrText xml:space="preserve"> PAGEREF _Toc7904 \h </w:instrText>
      </w:r>
      <w:r>
        <w:fldChar w:fldCharType="separate"/>
      </w:r>
      <w:r>
        <w:t>20</w:t>
      </w:r>
      <w:r>
        <w:fldChar w:fldCharType="end"/>
      </w:r>
      <w:r>
        <w:fldChar w:fldCharType="end"/>
      </w:r>
    </w:p>
    <w:p w14:paraId="3C00ADB8">
      <w:pPr>
        <w:pStyle w:val="25"/>
        <w:tabs>
          <w:tab w:val="right" w:leader="dot" w:pos="9354"/>
          <w:tab w:val="clear" w:pos="9344"/>
        </w:tabs>
      </w:pPr>
      <w:r>
        <w:fldChar w:fldCharType="begin"/>
      </w:r>
      <w:r>
        <w:instrText xml:space="preserve"> HYPERLINK \l _Toc17144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12.4 </w:t>
      </w:r>
      <w:r>
        <w:rPr>
          <w:rFonts w:hint="eastAsia" w:ascii="宋体" w:hAnsi="宋体" w:eastAsia="宋体" w:cs="宋体"/>
          <w:bCs/>
          <w:szCs w:val="21"/>
          <w:lang w:val="en-US" w:eastAsia="zh-CN" w:bidi="ar"/>
        </w:rPr>
        <w:t>医育协同与转介机制</w:t>
      </w:r>
      <w:r>
        <w:tab/>
      </w:r>
      <w:r>
        <w:fldChar w:fldCharType="begin"/>
      </w:r>
      <w:r>
        <w:instrText xml:space="preserve"> PAGEREF _Toc17144 \h </w:instrText>
      </w:r>
      <w:r>
        <w:fldChar w:fldCharType="separate"/>
      </w:r>
      <w:r>
        <w:t>21</w:t>
      </w:r>
      <w:r>
        <w:fldChar w:fldCharType="end"/>
      </w:r>
      <w:r>
        <w:fldChar w:fldCharType="end"/>
      </w:r>
    </w:p>
    <w:p w14:paraId="7945F771">
      <w:pPr>
        <w:pStyle w:val="20"/>
        <w:tabs>
          <w:tab w:val="right" w:leader="dot" w:pos="9354"/>
        </w:tabs>
      </w:pPr>
      <w:r>
        <w:fldChar w:fldCharType="begin"/>
      </w:r>
      <w:r>
        <w:instrText xml:space="preserve"> HYPERLINK \l _Toc31597 </w:instrText>
      </w:r>
      <w:r>
        <w:fldChar w:fldCharType="separate"/>
      </w:r>
      <w:r>
        <w:rPr>
          <w:rFonts w:hint="eastAsia" w:ascii="黑体" w:hAnsi="Times New Roman" w:eastAsia="黑体" w:cs="Times New Roman"/>
          <w:bCs w:val="0"/>
          <w:i w:val="0"/>
          <w:szCs w:val="20"/>
          <w:lang w:val="en-US" w:eastAsia="zh-CN" w:bidi="ar"/>
        </w:rPr>
        <w:t xml:space="preserve">13 </w:t>
      </w:r>
      <w:r>
        <w:rPr>
          <w:rFonts w:hint="eastAsia" w:ascii="黑体" w:hAnsi="Times New Roman" w:eastAsia="黑体" w:cs="Times New Roman"/>
          <w:bCs w:val="0"/>
          <w:szCs w:val="20"/>
          <w:lang w:val="en-US" w:eastAsia="zh-CN" w:bidi="ar"/>
        </w:rPr>
        <w:t>中医保健服务</w:t>
      </w:r>
      <w:r>
        <w:tab/>
      </w:r>
      <w:r>
        <w:fldChar w:fldCharType="begin"/>
      </w:r>
      <w:r>
        <w:instrText xml:space="preserve"> PAGEREF _Toc31597 \h </w:instrText>
      </w:r>
      <w:r>
        <w:fldChar w:fldCharType="separate"/>
      </w:r>
      <w:r>
        <w:t>21</w:t>
      </w:r>
      <w:r>
        <w:fldChar w:fldCharType="end"/>
      </w:r>
      <w:r>
        <w:fldChar w:fldCharType="end"/>
      </w:r>
    </w:p>
    <w:p w14:paraId="70793BA5">
      <w:pPr>
        <w:pStyle w:val="20"/>
        <w:tabs>
          <w:tab w:val="right" w:leader="dot" w:pos="9354"/>
        </w:tabs>
      </w:pPr>
      <w:r>
        <w:fldChar w:fldCharType="begin"/>
      </w:r>
      <w:r>
        <w:instrText xml:space="preserve"> HYPERLINK \l _Toc32197 </w:instrText>
      </w:r>
      <w:r>
        <w:fldChar w:fldCharType="separate"/>
      </w:r>
      <w:r>
        <w:rPr>
          <w:rFonts w:hint="eastAsia" w:ascii="黑体" w:hAnsi="Times New Roman" w:eastAsia="黑体" w:cs="Times New Roman"/>
          <w:bCs w:val="0"/>
          <w:i w:val="0"/>
          <w:szCs w:val="20"/>
          <w:lang w:val="en-US" w:eastAsia="zh-CN" w:bidi="ar"/>
        </w:rPr>
        <w:t xml:space="preserve">14 </w:t>
      </w:r>
      <w:r>
        <w:rPr>
          <w:rFonts w:hint="eastAsia" w:ascii="黑体" w:hAnsi="Times New Roman" w:eastAsia="黑体" w:cs="Times New Roman"/>
          <w:bCs w:val="0"/>
          <w:szCs w:val="20"/>
          <w:lang w:val="en-US" w:eastAsia="zh-CN" w:bidi="ar"/>
        </w:rPr>
        <w:t>四方互动</w:t>
      </w:r>
      <w:r>
        <w:tab/>
      </w:r>
      <w:r>
        <w:fldChar w:fldCharType="begin"/>
      </w:r>
      <w:r>
        <w:instrText xml:space="preserve"> PAGEREF _Toc32197 \h </w:instrText>
      </w:r>
      <w:r>
        <w:fldChar w:fldCharType="separate"/>
      </w:r>
      <w:r>
        <w:t>22</w:t>
      </w:r>
      <w:r>
        <w:fldChar w:fldCharType="end"/>
      </w:r>
      <w:r>
        <w:fldChar w:fldCharType="end"/>
      </w:r>
    </w:p>
    <w:p w14:paraId="513292C7">
      <w:pPr>
        <w:pStyle w:val="25"/>
        <w:tabs>
          <w:tab w:val="right" w:leader="dot" w:pos="9354"/>
          <w:tab w:val="clear" w:pos="9344"/>
        </w:tabs>
      </w:pPr>
      <w:r>
        <w:fldChar w:fldCharType="begin"/>
      </w:r>
      <w:r>
        <w:instrText xml:space="preserve"> HYPERLINK \l _Toc26057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14.1 </w:t>
      </w:r>
      <w:r>
        <w:rPr>
          <w:rFonts w:hint="eastAsia" w:ascii="宋体" w:hAnsi="宋体" w:eastAsia="宋体" w:cs="宋体"/>
          <w:bCs/>
          <w:szCs w:val="21"/>
          <w:lang w:val="en-US" w:eastAsia="zh-CN" w:bidi="ar"/>
        </w:rPr>
        <w:t>医疗机构专业支撑</w:t>
      </w:r>
      <w:r>
        <w:tab/>
      </w:r>
      <w:r>
        <w:fldChar w:fldCharType="begin"/>
      </w:r>
      <w:r>
        <w:instrText xml:space="preserve"> PAGEREF _Toc26057 \h </w:instrText>
      </w:r>
      <w:r>
        <w:fldChar w:fldCharType="separate"/>
      </w:r>
      <w:r>
        <w:t>22</w:t>
      </w:r>
      <w:r>
        <w:fldChar w:fldCharType="end"/>
      </w:r>
      <w:r>
        <w:fldChar w:fldCharType="end"/>
      </w:r>
    </w:p>
    <w:p w14:paraId="2EC9395E">
      <w:pPr>
        <w:pStyle w:val="25"/>
        <w:tabs>
          <w:tab w:val="right" w:leader="dot" w:pos="9354"/>
          <w:tab w:val="clear" w:pos="9344"/>
        </w:tabs>
      </w:pPr>
      <w:r>
        <w:fldChar w:fldCharType="begin"/>
      </w:r>
      <w:r>
        <w:instrText xml:space="preserve"> HYPERLINK \l _Toc18953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14.2 </w:t>
      </w:r>
      <w:r>
        <w:rPr>
          <w:rFonts w:hint="eastAsia" w:ascii="宋体" w:hAnsi="宋体" w:eastAsia="宋体" w:cs="宋体"/>
          <w:bCs/>
          <w:szCs w:val="21"/>
          <w:lang w:val="en-US" w:eastAsia="zh-CN" w:bidi="ar"/>
        </w:rPr>
        <w:t>托育机构照护实践</w:t>
      </w:r>
      <w:r>
        <w:tab/>
      </w:r>
      <w:r>
        <w:fldChar w:fldCharType="begin"/>
      </w:r>
      <w:r>
        <w:instrText xml:space="preserve"> PAGEREF _Toc18953 \h </w:instrText>
      </w:r>
      <w:r>
        <w:fldChar w:fldCharType="separate"/>
      </w:r>
      <w:r>
        <w:t>22</w:t>
      </w:r>
      <w:r>
        <w:fldChar w:fldCharType="end"/>
      </w:r>
      <w:r>
        <w:fldChar w:fldCharType="end"/>
      </w:r>
    </w:p>
    <w:p w14:paraId="277B84AB">
      <w:pPr>
        <w:pStyle w:val="25"/>
        <w:tabs>
          <w:tab w:val="right" w:leader="dot" w:pos="9354"/>
          <w:tab w:val="clear" w:pos="9344"/>
        </w:tabs>
      </w:pPr>
      <w:r>
        <w:fldChar w:fldCharType="begin"/>
      </w:r>
      <w:r>
        <w:instrText xml:space="preserve"> HYPERLINK \l _Toc19474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14.3 </w:t>
      </w:r>
      <w:r>
        <w:rPr>
          <w:rFonts w:hint="eastAsia" w:ascii="宋体" w:hAnsi="宋体" w:eastAsia="宋体" w:cs="宋体"/>
          <w:bCs/>
          <w:szCs w:val="21"/>
          <w:lang w:val="en-US" w:eastAsia="zh-CN" w:bidi="ar"/>
        </w:rPr>
        <w:t>家庭养育执行</w:t>
      </w:r>
      <w:r>
        <w:tab/>
      </w:r>
      <w:r>
        <w:fldChar w:fldCharType="begin"/>
      </w:r>
      <w:r>
        <w:instrText xml:space="preserve"> PAGEREF _Toc19474 \h </w:instrText>
      </w:r>
      <w:r>
        <w:fldChar w:fldCharType="separate"/>
      </w:r>
      <w:r>
        <w:t>22</w:t>
      </w:r>
      <w:r>
        <w:fldChar w:fldCharType="end"/>
      </w:r>
      <w:r>
        <w:fldChar w:fldCharType="end"/>
      </w:r>
    </w:p>
    <w:p w14:paraId="26E82A75">
      <w:pPr>
        <w:pStyle w:val="25"/>
        <w:tabs>
          <w:tab w:val="right" w:leader="dot" w:pos="9354"/>
          <w:tab w:val="clear" w:pos="9344"/>
        </w:tabs>
      </w:pPr>
      <w:r>
        <w:fldChar w:fldCharType="begin"/>
      </w:r>
      <w:r>
        <w:instrText xml:space="preserve"> HYPERLINK \l _Toc28301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14.4 </w:t>
      </w:r>
      <w:r>
        <w:rPr>
          <w:rFonts w:hint="eastAsia" w:ascii="宋体" w:hAnsi="宋体" w:eastAsia="宋体" w:cs="宋体"/>
          <w:bCs/>
          <w:szCs w:val="21"/>
          <w:lang w:val="en-US" w:eastAsia="zh-CN" w:bidi="ar"/>
        </w:rPr>
        <w:t>社区联动协同服务</w:t>
      </w:r>
      <w:r>
        <w:tab/>
      </w:r>
      <w:r>
        <w:fldChar w:fldCharType="begin"/>
      </w:r>
      <w:r>
        <w:instrText xml:space="preserve"> PAGEREF _Toc28301 \h </w:instrText>
      </w:r>
      <w:r>
        <w:fldChar w:fldCharType="separate"/>
      </w:r>
      <w:r>
        <w:t>22</w:t>
      </w:r>
      <w:r>
        <w:fldChar w:fldCharType="end"/>
      </w:r>
      <w:r>
        <w:fldChar w:fldCharType="end"/>
      </w:r>
    </w:p>
    <w:p w14:paraId="001C58C2">
      <w:pPr>
        <w:pStyle w:val="25"/>
        <w:tabs>
          <w:tab w:val="right" w:leader="dot" w:pos="9354"/>
          <w:tab w:val="clear" w:pos="9344"/>
        </w:tabs>
      </w:pPr>
      <w:r>
        <w:fldChar w:fldCharType="begin"/>
      </w:r>
      <w:r>
        <w:instrText xml:space="preserve"> HYPERLINK \l _Toc11913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14.5 </w:t>
      </w:r>
      <w:r>
        <w:rPr>
          <w:rFonts w:hint="eastAsia" w:ascii="宋体" w:hAnsi="宋体" w:eastAsia="宋体" w:cs="宋体"/>
          <w:bCs/>
          <w:szCs w:val="21"/>
          <w:lang w:val="en-US" w:eastAsia="zh-CN" w:bidi="ar"/>
        </w:rPr>
        <w:t>信息安全与服务评价</w:t>
      </w:r>
      <w:r>
        <w:tab/>
      </w:r>
      <w:r>
        <w:fldChar w:fldCharType="begin"/>
      </w:r>
      <w:r>
        <w:instrText xml:space="preserve"> PAGEREF _Toc11913 \h </w:instrText>
      </w:r>
      <w:r>
        <w:fldChar w:fldCharType="separate"/>
      </w:r>
      <w:r>
        <w:t>23</w:t>
      </w:r>
      <w:r>
        <w:fldChar w:fldCharType="end"/>
      </w:r>
      <w:r>
        <w:fldChar w:fldCharType="end"/>
      </w:r>
    </w:p>
    <w:p w14:paraId="1649AFA4">
      <w:pPr>
        <w:pStyle w:val="20"/>
        <w:tabs>
          <w:tab w:val="right" w:leader="dot" w:pos="9354"/>
        </w:tabs>
      </w:pPr>
      <w:r>
        <w:fldChar w:fldCharType="begin"/>
      </w:r>
      <w:r>
        <w:instrText xml:space="preserve"> HYPERLINK \l _Toc21696 </w:instrText>
      </w:r>
      <w:r>
        <w:fldChar w:fldCharType="separate"/>
      </w:r>
      <w:r>
        <w:rPr>
          <w:rFonts w:hint="eastAsia" w:ascii="黑体" w:hAnsi="Times New Roman" w:eastAsia="黑体" w:cs="Times New Roman"/>
          <w:bCs w:val="0"/>
          <w:i w:val="0"/>
          <w:szCs w:val="20"/>
          <w:lang w:val="en-US" w:eastAsia="zh-CN" w:bidi="ar"/>
        </w:rPr>
        <w:t xml:space="preserve">15 </w:t>
      </w:r>
      <w:r>
        <w:rPr>
          <w:rFonts w:hint="eastAsia" w:ascii="黑体" w:hAnsi="Times New Roman" w:eastAsia="黑体" w:cs="Times New Roman"/>
          <w:bCs w:val="0"/>
          <w:szCs w:val="20"/>
          <w:lang w:val="en-US" w:eastAsia="zh-CN" w:bidi="ar"/>
        </w:rPr>
        <w:t>健康教育</w:t>
      </w:r>
      <w:r>
        <w:tab/>
      </w:r>
      <w:r>
        <w:fldChar w:fldCharType="begin"/>
      </w:r>
      <w:r>
        <w:instrText xml:space="preserve"> PAGEREF _Toc21696 \h </w:instrText>
      </w:r>
      <w:r>
        <w:fldChar w:fldCharType="separate"/>
      </w:r>
      <w:r>
        <w:t>23</w:t>
      </w:r>
      <w:r>
        <w:fldChar w:fldCharType="end"/>
      </w:r>
      <w:r>
        <w:fldChar w:fldCharType="end"/>
      </w:r>
    </w:p>
    <w:p w14:paraId="306AF5E8">
      <w:pPr>
        <w:pStyle w:val="25"/>
        <w:tabs>
          <w:tab w:val="right" w:leader="dot" w:pos="9354"/>
          <w:tab w:val="clear" w:pos="9344"/>
        </w:tabs>
      </w:pPr>
      <w:r>
        <w:fldChar w:fldCharType="begin"/>
      </w:r>
      <w:r>
        <w:instrText xml:space="preserve"> HYPERLINK \l _Toc23113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15.1 </w:t>
      </w:r>
      <w:r>
        <w:rPr>
          <w:rFonts w:hint="eastAsia" w:ascii="宋体" w:hAnsi="宋体" w:eastAsia="宋体" w:cs="宋体"/>
          <w:bCs/>
          <w:szCs w:val="21"/>
          <w:lang w:val="en-US" w:eastAsia="zh-CN" w:bidi="ar"/>
        </w:rPr>
        <w:t>常态化宣教机制</w:t>
      </w:r>
      <w:r>
        <w:tab/>
      </w:r>
      <w:r>
        <w:fldChar w:fldCharType="begin"/>
      </w:r>
      <w:r>
        <w:instrText xml:space="preserve"> PAGEREF _Toc23113 \h </w:instrText>
      </w:r>
      <w:r>
        <w:fldChar w:fldCharType="separate"/>
      </w:r>
      <w:r>
        <w:t>23</w:t>
      </w:r>
      <w:r>
        <w:fldChar w:fldCharType="end"/>
      </w:r>
      <w:r>
        <w:fldChar w:fldCharType="end"/>
      </w:r>
    </w:p>
    <w:p w14:paraId="3433F6DC">
      <w:pPr>
        <w:pStyle w:val="25"/>
        <w:tabs>
          <w:tab w:val="right" w:leader="dot" w:pos="9354"/>
          <w:tab w:val="clear" w:pos="9344"/>
        </w:tabs>
      </w:pPr>
      <w:r>
        <w:fldChar w:fldCharType="begin"/>
      </w:r>
      <w:r>
        <w:instrText xml:space="preserve"> HYPERLINK \l _Toc8464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15.2 </w:t>
      </w:r>
      <w:r>
        <w:rPr>
          <w:rFonts w:hint="eastAsia" w:ascii="宋体" w:hAnsi="宋体" w:eastAsia="宋体" w:cs="宋体"/>
          <w:bCs/>
          <w:szCs w:val="21"/>
          <w:lang w:val="en-US" w:eastAsia="zh-CN" w:bidi="ar"/>
        </w:rPr>
        <w:t>宣教内容</w:t>
      </w:r>
      <w:r>
        <w:tab/>
      </w:r>
      <w:r>
        <w:fldChar w:fldCharType="begin"/>
      </w:r>
      <w:r>
        <w:instrText xml:space="preserve"> PAGEREF _Toc8464 \h </w:instrText>
      </w:r>
      <w:r>
        <w:fldChar w:fldCharType="separate"/>
      </w:r>
      <w:r>
        <w:t>23</w:t>
      </w:r>
      <w:r>
        <w:fldChar w:fldCharType="end"/>
      </w:r>
      <w:r>
        <w:fldChar w:fldCharType="end"/>
      </w:r>
    </w:p>
    <w:p w14:paraId="797E45E0">
      <w:pPr>
        <w:pStyle w:val="25"/>
        <w:tabs>
          <w:tab w:val="right" w:leader="dot" w:pos="9354"/>
          <w:tab w:val="clear" w:pos="9344"/>
        </w:tabs>
      </w:pPr>
      <w:r>
        <w:fldChar w:fldCharType="begin"/>
      </w:r>
      <w:r>
        <w:instrText xml:space="preserve"> HYPERLINK \l _Toc18115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15.3 </w:t>
      </w:r>
      <w:r>
        <w:rPr>
          <w:rFonts w:hint="eastAsia" w:ascii="宋体" w:hAnsi="宋体" w:eastAsia="宋体" w:cs="宋体"/>
          <w:bCs/>
          <w:szCs w:val="21"/>
          <w:lang w:val="en-US" w:eastAsia="zh-CN" w:bidi="ar"/>
        </w:rPr>
        <w:t>宣教形式</w:t>
      </w:r>
      <w:r>
        <w:tab/>
      </w:r>
      <w:r>
        <w:fldChar w:fldCharType="begin"/>
      </w:r>
      <w:r>
        <w:instrText xml:space="preserve"> PAGEREF _Toc18115 \h </w:instrText>
      </w:r>
      <w:r>
        <w:fldChar w:fldCharType="separate"/>
      </w:r>
      <w:r>
        <w:t>24</w:t>
      </w:r>
      <w:r>
        <w:fldChar w:fldCharType="end"/>
      </w:r>
      <w:r>
        <w:fldChar w:fldCharType="end"/>
      </w:r>
    </w:p>
    <w:p w14:paraId="5C701A6D">
      <w:pPr>
        <w:pStyle w:val="25"/>
        <w:tabs>
          <w:tab w:val="right" w:leader="dot" w:pos="9354"/>
          <w:tab w:val="clear" w:pos="9344"/>
        </w:tabs>
      </w:pPr>
      <w:r>
        <w:fldChar w:fldCharType="begin"/>
      </w:r>
      <w:r>
        <w:instrText xml:space="preserve"> HYPERLINK \l _Toc9983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15.4 </w:t>
      </w:r>
      <w:r>
        <w:rPr>
          <w:rFonts w:hint="eastAsia" w:ascii="宋体" w:hAnsi="宋体" w:eastAsia="宋体" w:cs="宋体"/>
          <w:bCs/>
          <w:szCs w:val="21"/>
          <w:lang w:val="en-US" w:eastAsia="zh-CN" w:bidi="ar"/>
        </w:rPr>
        <w:t>宣教频次</w:t>
      </w:r>
      <w:r>
        <w:tab/>
      </w:r>
      <w:r>
        <w:fldChar w:fldCharType="begin"/>
      </w:r>
      <w:r>
        <w:instrText xml:space="preserve"> PAGEREF _Toc9983 \h </w:instrText>
      </w:r>
      <w:r>
        <w:fldChar w:fldCharType="separate"/>
      </w:r>
      <w:r>
        <w:t>24</w:t>
      </w:r>
      <w:r>
        <w:fldChar w:fldCharType="end"/>
      </w:r>
      <w:r>
        <w:fldChar w:fldCharType="end"/>
      </w:r>
    </w:p>
    <w:p w14:paraId="31ADEAB0">
      <w:pPr>
        <w:pStyle w:val="25"/>
        <w:tabs>
          <w:tab w:val="right" w:leader="dot" w:pos="9354"/>
          <w:tab w:val="clear" w:pos="9344"/>
        </w:tabs>
      </w:pPr>
      <w:r>
        <w:fldChar w:fldCharType="begin"/>
      </w:r>
      <w:r>
        <w:instrText xml:space="preserve"> HYPERLINK \l _Toc5119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15.5 </w:t>
      </w:r>
      <w:r>
        <w:rPr>
          <w:rFonts w:hint="eastAsia" w:ascii="宋体" w:hAnsi="宋体" w:eastAsia="宋体" w:cs="宋体"/>
          <w:bCs/>
          <w:szCs w:val="21"/>
          <w:lang w:val="en-US" w:eastAsia="zh-CN" w:bidi="ar"/>
        </w:rPr>
        <w:t>记录与评估</w:t>
      </w:r>
      <w:r>
        <w:tab/>
      </w:r>
      <w:r>
        <w:fldChar w:fldCharType="begin"/>
      </w:r>
      <w:r>
        <w:instrText xml:space="preserve"> PAGEREF _Toc5119 \h </w:instrText>
      </w:r>
      <w:r>
        <w:fldChar w:fldCharType="separate"/>
      </w:r>
      <w:r>
        <w:t>24</w:t>
      </w:r>
      <w:r>
        <w:fldChar w:fldCharType="end"/>
      </w:r>
      <w:r>
        <w:fldChar w:fldCharType="end"/>
      </w:r>
    </w:p>
    <w:p w14:paraId="6115D2CD">
      <w:pPr>
        <w:pStyle w:val="20"/>
        <w:tabs>
          <w:tab w:val="right" w:leader="dot" w:pos="9354"/>
        </w:tabs>
      </w:pPr>
      <w:r>
        <w:fldChar w:fldCharType="begin"/>
      </w:r>
      <w:r>
        <w:instrText xml:space="preserve"> HYPERLINK \l _Toc24282 </w:instrText>
      </w:r>
      <w:r>
        <w:fldChar w:fldCharType="separate"/>
      </w:r>
      <w:r>
        <w:rPr>
          <w:rFonts w:hint="eastAsia" w:ascii="黑体" w:hAnsi="Times New Roman" w:eastAsia="黑体" w:cs="Times New Roman"/>
          <w:bCs w:val="0"/>
          <w:i w:val="0"/>
          <w:szCs w:val="20"/>
          <w:lang w:val="en-US" w:eastAsia="zh-CN" w:bidi="ar"/>
        </w:rPr>
        <w:t xml:space="preserve">16 </w:t>
      </w:r>
      <w:r>
        <w:rPr>
          <w:rFonts w:hint="eastAsia" w:ascii="黑体" w:hAnsi="Times New Roman" w:eastAsia="黑体" w:cs="Times New Roman"/>
          <w:bCs w:val="0"/>
          <w:szCs w:val="20"/>
          <w:lang w:val="en-US" w:eastAsia="zh-CN" w:bidi="ar"/>
        </w:rPr>
        <w:t>信息收集</w:t>
      </w:r>
      <w:r>
        <w:tab/>
      </w:r>
      <w:r>
        <w:fldChar w:fldCharType="begin"/>
      </w:r>
      <w:r>
        <w:instrText xml:space="preserve"> PAGEREF _Toc24282 \h </w:instrText>
      </w:r>
      <w:r>
        <w:fldChar w:fldCharType="separate"/>
      </w:r>
      <w:r>
        <w:t>24</w:t>
      </w:r>
      <w:r>
        <w:fldChar w:fldCharType="end"/>
      </w:r>
      <w:r>
        <w:fldChar w:fldCharType="end"/>
      </w:r>
    </w:p>
    <w:p w14:paraId="7DB1F9B2">
      <w:pPr>
        <w:pStyle w:val="25"/>
        <w:tabs>
          <w:tab w:val="right" w:leader="dot" w:pos="9354"/>
          <w:tab w:val="clear" w:pos="9344"/>
        </w:tabs>
      </w:pPr>
      <w:r>
        <w:fldChar w:fldCharType="begin"/>
      </w:r>
      <w:r>
        <w:instrText xml:space="preserve"> HYPERLINK \l _Toc22507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16.1 </w:t>
      </w:r>
      <w:r>
        <w:rPr>
          <w:rFonts w:hint="eastAsia" w:ascii="宋体" w:hAnsi="宋体" w:eastAsia="宋体" w:cs="宋体"/>
          <w:bCs/>
          <w:szCs w:val="21"/>
          <w:lang w:val="en-US" w:eastAsia="zh-CN" w:bidi="ar"/>
        </w:rPr>
        <w:t>工作人员资质档案</w:t>
      </w:r>
      <w:r>
        <w:tab/>
      </w:r>
      <w:r>
        <w:fldChar w:fldCharType="begin"/>
      </w:r>
      <w:r>
        <w:instrText xml:space="preserve"> PAGEREF _Toc22507 \h </w:instrText>
      </w:r>
      <w:r>
        <w:fldChar w:fldCharType="separate"/>
      </w:r>
      <w:r>
        <w:t>24</w:t>
      </w:r>
      <w:r>
        <w:fldChar w:fldCharType="end"/>
      </w:r>
      <w:r>
        <w:fldChar w:fldCharType="end"/>
      </w:r>
    </w:p>
    <w:p w14:paraId="2F0A0294">
      <w:pPr>
        <w:pStyle w:val="25"/>
        <w:tabs>
          <w:tab w:val="right" w:leader="dot" w:pos="9354"/>
          <w:tab w:val="clear" w:pos="9344"/>
        </w:tabs>
      </w:pPr>
      <w:r>
        <w:fldChar w:fldCharType="begin"/>
      </w:r>
      <w:r>
        <w:instrText xml:space="preserve"> HYPERLINK \l _Toc29250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16.2 </w:t>
      </w:r>
      <w:r>
        <w:rPr>
          <w:rFonts w:hint="eastAsia" w:ascii="宋体" w:hAnsi="宋体" w:eastAsia="宋体" w:cs="宋体"/>
          <w:bCs/>
          <w:szCs w:val="21"/>
          <w:lang w:val="en-US" w:eastAsia="zh-CN" w:bidi="ar"/>
        </w:rPr>
        <w:t>健康管理员工作日志</w:t>
      </w:r>
      <w:r>
        <w:tab/>
      </w:r>
      <w:r>
        <w:fldChar w:fldCharType="begin"/>
      </w:r>
      <w:r>
        <w:instrText xml:space="preserve"> PAGEREF _Toc29250 \h </w:instrText>
      </w:r>
      <w:r>
        <w:fldChar w:fldCharType="separate"/>
      </w:r>
      <w:r>
        <w:t>24</w:t>
      </w:r>
      <w:r>
        <w:fldChar w:fldCharType="end"/>
      </w:r>
      <w:r>
        <w:fldChar w:fldCharType="end"/>
      </w:r>
    </w:p>
    <w:p w14:paraId="005E88D5">
      <w:pPr>
        <w:pStyle w:val="25"/>
        <w:tabs>
          <w:tab w:val="right" w:leader="dot" w:pos="9354"/>
          <w:tab w:val="clear" w:pos="9344"/>
        </w:tabs>
      </w:pPr>
      <w:r>
        <w:fldChar w:fldCharType="begin"/>
      </w:r>
      <w:r>
        <w:instrText xml:space="preserve"> HYPERLINK \l _Toc6989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16.3 </w:t>
      </w:r>
      <w:r>
        <w:rPr>
          <w:rFonts w:hint="eastAsia" w:ascii="宋体" w:hAnsi="宋体" w:eastAsia="宋体" w:cs="宋体"/>
          <w:bCs/>
          <w:szCs w:val="21"/>
          <w:lang w:val="en-US" w:eastAsia="zh-CN" w:bidi="ar"/>
        </w:rPr>
        <w:t>医育结合指导登记</w:t>
      </w:r>
      <w:r>
        <w:tab/>
      </w:r>
      <w:r>
        <w:fldChar w:fldCharType="begin"/>
      </w:r>
      <w:r>
        <w:instrText xml:space="preserve"> PAGEREF _Toc6989 \h </w:instrText>
      </w:r>
      <w:r>
        <w:fldChar w:fldCharType="separate"/>
      </w:r>
      <w:r>
        <w:t>25</w:t>
      </w:r>
      <w:r>
        <w:fldChar w:fldCharType="end"/>
      </w:r>
      <w:r>
        <w:fldChar w:fldCharType="end"/>
      </w:r>
    </w:p>
    <w:p w14:paraId="0724E104">
      <w:pPr>
        <w:pStyle w:val="20"/>
        <w:tabs>
          <w:tab w:val="right" w:leader="dot" w:pos="9354"/>
        </w:tabs>
      </w:pPr>
      <w:r>
        <w:fldChar w:fldCharType="begin"/>
      </w:r>
      <w:r>
        <w:instrText xml:space="preserve"> HYPERLINK \l _Toc24040 </w:instrText>
      </w:r>
      <w:r>
        <w:fldChar w:fldCharType="separate"/>
      </w:r>
      <w:r>
        <w:rPr>
          <w:rFonts w:hint="eastAsia" w:ascii="黑体" w:hAnsi="Times New Roman" w:eastAsia="黑体" w:cs="Times New Roman"/>
          <w:bCs w:val="0"/>
          <w:i w:val="0"/>
          <w:szCs w:val="20"/>
          <w:lang w:val="en-US" w:eastAsia="zh-CN" w:bidi="ar"/>
        </w:rPr>
        <w:t xml:space="preserve">17 </w:t>
      </w:r>
      <w:r>
        <w:rPr>
          <w:rFonts w:hint="eastAsia" w:ascii="黑体" w:hAnsi="Times New Roman" w:eastAsia="黑体" w:cs="Times New Roman"/>
          <w:bCs w:val="0"/>
          <w:szCs w:val="20"/>
          <w:lang w:val="en-US" w:eastAsia="zh-CN" w:bidi="ar"/>
        </w:rPr>
        <w:t>评价与改进</w:t>
      </w:r>
      <w:r>
        <w:tab/>
      </w:r>
      <w:r>
        <w:fldChar w:fldCharType="begin"/>
      </w:r>
      <w:r>
        <w:instrText xml:space="preserve"> PAGEREF _Toc24040 \h </w:instrText>
      </w:r>
      <w:r>
        <w:fldChar w:fldCharType="separate"/>
      </w:r>
      <w:r>
        <w:t>25</w:t>
      </w:r>
      <w:r>
        <w:fldChar w:fldCharType="end"/>
      </w:r>
      <w:r>
        <w:fldChar w:fldCharType="end"/>
      </w:r>
    </w:p>
    <w:p w14:paraId="1A482D40">
      <w:pPr>
        <w:pStyle w:val="25"/>
        <w:tabs>
          <w:tab w:val="right" w:leader="dot" w:pos="9354"/>
          <w:tab w:val="clear" w:pos="9344"/>
        </w:tabs>
      </w:pPr>
      <w:r>
        <w:fldChar w:fldCharType="begin"/>
      </w:r>
      <w:r>
        <w:instrText xml:space="preserve"> HYPERLINK \l _Toc11024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17.1 </w:t>
      </w:r>
      <w:r>
        <w:rPr>
          <w:rFonts w:hint="eastAsia" w:ascii="宋体" w:hAnsi="宋体" w:eastAsia="宋体" w:cs="宋体"/>
          <w:bCs/>
          <w:szCs w:val="21"/>
          <w:lang w:val="en-US" w:eastAsia="zh-CN" w:bidi="ar"/>
        </w:rPr>
        <w:t>日常巡查与整改</w:t>
      </w:r>
      <w:r>
        <w:tab/>
      </w:r>
      <w:r>
        <w:fldChar w:fldCharType="begin"/>
      </w:r>
      <w:r>
        <w:instrText xml:space="preserve"> PAGEREF _Toc11024 \h </w:instrText>
      </w:r>
      <w:r>
        <w:fldChar w:fldCharType="separate"/>
      </w:r>
      <w:r>
        <w:t>25</w:t>
      </w:r>
      <w:r>
        <w:fldChar w:fldCharType="end"/>
      </w:r>
      <w:r>
        <w:fldChar w:fldCharType="end"/>
      </w:r>
    </w:p>
    <w:p w14:paraId="64F277A3">
      <w:pPr>
        <w:pStyle w:val="25"/>
        <w:tabs>
          <w:tab w:val="right" w:leader="dot" w:pos="9354"/>
          <w:tab w:val="clear" w:pos="9344"/>
        </w:tabs>
      </w:pPr>
      <w:r>
        <w:fldChar w:fldCharType="begin"/>
      </w:r>
      <w:r>
        <w:instrText xml:space="preserve"> HYPERLINK \l _Toc23076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17.2 </w:t>
      </w:r>
      <w:r>
        <w:rPr>
          <w:rFonts w:hint="eastAsia" w:ascii="宋体" w:hAnsi="宋体" w:eastAsia="宋体" w:cs="宋体"/>
          <w:bCs/>
          <w:szCs w:val="21"/>
          <w:lang w:val="en-US" w:eastAsia="zh-CN" w:bidi="ar"/>
        </w:rPr>
        <w:t>服务质量评价</w:t>
      </w:r>
      <w:r>
        <w:tab/>
      </w:r>
      <w:r>
        <w:fldChar w:fldCharType="begin"/>
      </w:r>
      <w:r>
        <w:instrText xml:space="preserve"> PAGEREF _Toc23076 \h </w:instrText>
      </w:r>
      <w:r>
        <w:fldChar w:fldCharType="separate"/>
      </w:r>
      <w:r>
        <w:t>25</w:t>
      </w:r>
      <w:r>
        <w:fldChar w:fldCharType="end"/>
      </w:r>
      <w:r>
        <w:fldChar w:fldCharType="end"/>
      </w:r>
    </w:p>
    <w:p w14:paraId="01933409">
      <w:pPr>
        <w:pStyle w:val="25"/>
        <w:tabs>
          <w:tab w:val="right" w:leader="dot" w:pos="9354"/>
          <w:tab w:val="clear" w:pos="9344"/>
        </w:tabs>
      </w:pPr>
      <w:r>
        <w:fldChar w:fldCharType="begin"/>
      </w:r>
      <w:r>
        <w:instrText xml:space="preserve"> HYPERLINK \l _Toc18675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17.3 </w:t>
      </w:r>
      <w:r>
        <w:rPr>
          <w:rFonts w:hint="eastAsia" w:ascii="宋体" w:hAnsi="宋体" w:eastAsia="宋体" w:cs="宋体"/>
          <w:bCs/>
          <w:szCs w:val="21"/>
          <w:lang w:val="en-US" w:eastAsia="zh-CN" w:bidi="ar"/>
        </w:rPr>
        <w:t>专业能力考核</w:t>
      </w:r>
      <w:r>
        <w:tab/>
      </w:r>
      <w:r>
        <w:fldChar w:fldCharType="begin"/>
      </w:r>
      <w:r>
        <w:instrText xml:space="preserve"> PAGEREF _Toc18675 \h </w:instrText>
      </w:r>
      <w:r>
        <w:fldChar w:fldCharType="separate"/>
      </w:r>
      <w:r>
        <w:t>25</w:t>
      </w:r>
      <w:r>
        <w:fldChar w:fldCharType="end"/>
      </w:r>
      <w:r>
        <w:fldChar w:fldCharType="end"/>
      </w:r>
    </w:p>
    <w:p w14:paraId="3E47A9D2">
      <w:pPr>
        <w:pStyle w:val="25"/>
        <w:tabs>
          <w:tab w:val="right" w:leader="dot" w:pos="9354"/>
          <w:tab w:val="clear" w:pos="9344"/>
        </w:tabs>
      </w:pPr>
      <w:r>
        <w:fldChar w:fldCharType="begin"/>
      </w:r>
      <w:r>
        <w:instrText xml:space="preserve"> HYPERLINK \l _Toc2388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szCs w:val="21"/>
          <w:vertAlign w:val="baseline"/>
          <w:lang w:val="en-US" w:eastAsia="zh-CN" w:bidi="ar"/>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17.4 </w:t>
      </w:r>
      <w:r>
        <w:rPr>
          <w:rFonts w:hint="eastAsia" w:ascii="宋体" w:hAnsi="宋体" w:eastAsia="宋体" w:cs="宋体"/>
          <w:bCs/>
          <w:szCs w:val="21"/>
          <w:lang w:val="en-US" w:eastAsia="zh-CN" w:bidi="ar"/>
        </w:rPr>
        <w:t>机构服务质量监督评价</w:t>
      </w:r>
      <w:r>
        <w:tab/>
      </w:r>
      <w:r>
        <w:fldChar w:fldCharType="begin"/>
      </w:r>
      <w:r>
        <w:instrText xml:space="preserve"> PAGEREF _Toc2388 \h </w:instrText>
      </w:r>
      <w:r>
        <w:fldChar w:fldCharType="separate"/>
      </w:r>
      <w:r>
        <w:t>25</w:t>
      </w:r>
      <w:r>
        <w:fldChar w:fldCharType="end"/>
      </w:r>
      <w:r>
        <w:fldChar w:fldCharType="end"/>
      </w:r>
    </w:p>
    <w:p w14:paraId="7B4C5644">
      <w:pPr>
        <w:pStyle w:val="93"/>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9"/>
    <w:p w14:paraId="1115B411">
      <w:pPr>
        <w:pStyle w:val="91"/>
        <w:spacing w:before="900" w:after="468"/>
      </w:pPr>
      <w:bookmarkStart w:id="24" w:name="_Toc213013800"/>
      <w:bookmarkStart w:id="25" w:name="_Toc11437"/>
      <w:bookmarkStart w:id="26" w:name="_Toc19515"/>
      <w:bookmarkStart w:id="27" w:name="_Toc28253"/>
      <w:bookmarkStart w:id="28" w:name="_Toc30271"/>
      <w:bookmarkStart w:id="29" w:name="_Toc1532"/>
      <w:bookmarkStart w:id="30" w:name="_Toc13810"/>
      <w:bookmarkStart w:id="31" w:name="_Toc13387"/>
      <w:bookmarkStart w:id="32" w:name="BookMark2"/>
      <w:r>
        <w:rPr>
          <w:rFonts w:hint="eastAsia"/>
          <w:spacing w:val="320"/>
        </w:rPr>
        <w:t>前</w:t>
      </w:r>
      <w:r>
        <w:rPr>
          <w:rFonts w:hint="eastAsia"/>
        </w:rPr>
        <w:t>言</w:t>
      </w:r>
      <w:bookmarkEnd w:id="20"/>
      <w:bookmarkEnd w:id="21"/>
      <w:bookmarkEnd w:id="22"/>
      <w:bookmarkEnd w:id="23"/>
      <w:bookmarkEnd w:id="24"/>
      <w:bookmarkEnd w:id="25"/>
      <w:bookmarkEnd w:id="26"/>
      <w:bookmarkEnd w:id="27"/>
      <w:bookmarkEnd w:id="28"/>
      <w:bookmarkEnd w:id="29"/>
      <w:bookmarkEnd w:id="30"/>
      <w:bookmarkEnd w:id="31"/>
    </w:p>
    <w:p w14:paraId="459487D4">
      <w:pPr>
        <w:pStyle w:val="58"/>
        <w:ind w:firstLine="420"/>
      </w:pPr>
      <w:r>
        <w:rPr>
          <w:rFonts w:hint="eastAsia"/>
        </w:rPr>
        <w:t>本文件按照GB/T 1.1—2020《标准化工作导则  第1部分：标准化文件的结构和起草规则》的规定起草。</w:t>
      </w:r>
    </w:p>
    <w:p w14:paraId="1CD6909E">
      <w:pPr>
        <w:pStyle w:val="58"/>
        <w:ind w:firstLine="420"/>
      </w:pPr>
      <w:r>
        <w:rPr>
          <w:rFonts w:hint="eastAsia" w:ascii="宋体" w:hAnsi="Times New Roman"/>
          <w:kern w:val="0"/>
          <w:szCs w:val="20"/>
        </w:rPr>
        <w:t>请注意本文件的某些内容可能涉及专利。本文件的发布机构不承担识别专利的责任</w:t>
      </w:r>
      <w:r>
        <w:rPr>
          <w:rFonts w:hint="eastAsia" w:ascii="宋体" w:hAnsi="Times New Roman"/>
          <w:kern w:val="0"/>
          <w:szCs w:val="20"/>
          <w:lang w:eastAsia="zh"/>
        </w:rPr>
        <w:t>。</w:t>
      </w:r>
    </w:p>
    <w:p w14:paraId="4A8E06BD">
      <w:pPr>
        <w:pStyle w:val="58"/>
        <w:ind w:firstLine="420"/>
      </w:pPr>
      <w:r>
        <w:rPr>
          <w:rFonts w:hint="eastAsia"/>
        </w:rPr>
        <w:t>本文件由湖南省卫生健康委员会提出并归口。</w:t>
      </w:r>
    </w:p>
    <w:p w14:paraId="77B98EB7">
      <w:pPr>
        <w:pStyle w:val="58"/>
        <w:ind w:firstLine="420"/>
        <w:rPr>
          <w:rFonts w:hint="eastAsia"/>
          <w:color w:val="auto"/>
          <w:highlight w:val="none"/>
        </w:rPr>
      </w:pPr>
      <w:r>
        <w:rPr>
          <w:rFonts w:hint="eastAsia"/>
        </w:rPr>
        <w:t>本文件起草单位：湖南省妇幼保健院、长沙师范学院附属第一幼儿园、</w:t>
      </w:r>
      <w:r>
        <w:rPr>
          <w:rFonts w:hint="eastAsia"/>
          <w:color w:val="auto"/>
          <w:highlight w:val="none"/>
        </w:rPr>
        <w:t>开福区妇幼保健计划生育服务中心。</w:t>
      </w:r>
    </w:p>
    <w:p w14:paraId="03F0090D">
      <w:pPr>
        <w:pStyle w:val="58"/>
        <w:ind w:firstLine="420"/>
        <w:rPr>
          <w:rFonts w:hint="eastAsia"/>
        </w:rPr>
      </w:pPr>
      <w:r>
        <w:rPr>
          <w:rFonts w:hint="eastAsia"/>
        </w:rPr>
        <w:t>本文件主要起草人：黄寒</w:t>
      </w:r>
      <w:r>
        <w:rPr>
          <w:rFonts w:hint="eastAsia"/>
          <w:lang w:eastAsia="zh-CN"/>
        </w:rPr>
        <w:t>、</w:t>
      </w:r>
      <w:r>
        <w:rPr>
          <w:rFonts w:hint="eastAsia"/>
        </w:rPr>
        <w:t>冯彬彬</w:t>
      </w:r>
      <w:r>
        <w:rPr>
          <w:rFonts w:hint="eastAsia"/>
          <w:lang w:eastAsia="zh-CN"/>
        </w:rPr>
        <w:t>、</w:t>
      </w:r>
      <w:r>
        <w:rPr>
          <w:rFonts w:hint="eastAsia"/>
        </w:rPr>
        <w:t>谢冬华</w:t>
      </w:r>
      <w:r>
        <w:rPr>
          <w:rFonts w:hint="eastAsia"/>
          <w:lang w:eastAsia="zh-CN"/>
        </w:rPr>
        <w:t>、</w:t>
      </w:r>
      <w:r>
        <w:rPr>
          <w:rFonts w:hint="eastAsia"/>
        </w:rPr>
        <w:t>李辉霞</w:t>
      </w:r>
      <w:r>
        <w:rPr>
          <w:rFonts w:hint="eastAsia"/>
          <w:lang w:eastAsia="zh-CN"/>
        </w:rPr>
        <w:t>、</w:t>
      </w:r>
      <w:r>
        <w:rPr>
          <w:rFonts w:hint="eastAsia"/>
        </w:rPr>
        <w:t>任敏</w:t>
      </w:r>
      <w:r>
        <w:rPr>
          <w:rFonts w:hint="eastAsia"/>
          <w:lang w:eastAsia="zh-CN"/>
        </w:rPr>
        <w:t>、</w:t>
      </w:r>
      <w:r>
        <w:rPr>
          <w:rFonts w:hint="eastAsia"/>
        </w:rPr>
        <w:t>庄丽</w:t>
      </w:r>
      <w:r>
        <w:rPr>
          <w:rFonts w:hint="eastAsia"/>
          <w:lang w:eastAsia="zh-CN"/>
        </w:rPr>
        <w:t>、</w:t>
      </w:r>
      <w:r>
        <w:rPr>
          <w:rFonts w:hint="eastAsia"/>
        </w:rPr>
        <w:t>汪星磊</w:t>
      </w:r>
      <w:r>
        <w:rPr>
          <w:rFonts w:hint="eastAsia"/>
          <w:lang w:eastAsia="zh-CN"/>
        </w:rPr>
        <w:t>、</w:t>
      </w:r>
      <w:r>
        <w:rPr>
          <w:rFonts w:hint="eastAsia"/>
        </w:rPr>
        <w:t>袁姗</w:t>
      </w:r>
      <w:r>
        <w:rPr>
          <w:rFonts w:hint="eastAsia"/>
          <w:lang w:eastAsia="zh-CN"/>
        </w:rPr>
        <w:t>、</w:t>
      </w:r>
      <w:r>
        <w:rPr>
          <w:rFonts w:hint="eastAsia"/>
        </w:rPr>
        <w:t>易彩霞</w:t>
      </w:r>
    </w:p>
    <w:p w14:paraId="4D94BBB8">
      <w:pPr>
        <w:pStyle w:val="58"/>
        <w:ind w:firstLine="0" w:firstLineChars="0"/>
        <w:rPr>
          <w:rFonts w:hint="eastAsia"/>
        </w:rPr>
      </w:pPr>
      <w:r>
        <w:rPr>
          <w:rFonts w:hint="eastAsia"/>
        </w:rPr>
        <w:t>王自强</w:t>
      </w:r>
      <w:r>
        <w:rPr>
          <w:rFonts w:hint="eastAsia"/>
          <w:lang w:eastAsia="zh-CN"/>
        </w:rPr>
        <w:t>、</w:t>
      </w:r>
      <w:r>
        <w:rPr>
          <w:rFonts w:hint="eastAsia"/>
        </w:rPr>
        <w:t>肖娟</w:t>
      </w:r>
      <w:r>
        <w:rPr>
          <w:rFonts w:hint="eastAsia"/>
          <w:lang w:eastAsia="zh-CN"/>
        </w:rPr>
        <w:t>、</w:t>
      </w:r>
      <w:r>
        <w:rPr>
          <w:rFonts w:hint="eastAsia"/>
        </w:rPr>
        <w:t>成洋阳</w:t>
      </w:r>
      <w:r>
        <w:rPr>
          <w:rFonts w:hint="eastAsia"/>
          <w:lang w:eastAsia="zh-CN"/>
        </w:rPr>
        <w:t>、</w:t>
      </w:r>
      <w:r>
        <w:rPr>
          <w:rFonts w:hint="eastAsia"/>
        </w:rPr>
        <w:t>杜翠</w:t>
      </w:r>
      <w:r>
        <w:rPr>
          <w:rFonts w:hint="eastAsia"/>
          <w:lang w:eastAsia="zh-CN"/>
        </w:rPr>
        <w:t>、</w:t>
      </w:r>
      <w:r>
        <w:rPr>
          <w:rFonts w:hint="eastAsia"/>
        </w:rPr>
        <w:t>万丽佳</w:t>
      </w:r>
      <w:r>
        <w:rPr>
          <w:rFonts w:hint="eastAsia"/>
          <w:lang w:eastAsia="zh-CN"/>
        </w:rPr>
        <w:t>、</w:t>
      </w:r>
      <w:r>
        <w:rPr>
          <w:rFonts w:hint="eastAsia"/>
        </w:rPr>
        <w:t>谭三风</w:t>
      </w:r>
      <w:r>
        <w:rPr>
          <w:rFonts w:hint="eastAsia"/>
          <w:lang w:eastAsia="zh-CN"/>
        </w:rPr>
        <w:t>、</w:t>
      </w:r>
      <w:r>
        <w:rPr>
          <w:rFonts w:hint="eastAsia"/>
        </w:rPr>
        <w:t>廖鸣慧</w:t>
      </w:r>
      <w:r>
        <w:rPr>
          <w:rFonts w:hint="eastAsia"/>
          <w:lang w:eastAsia="zh-CN"/>
        </w:rPr>
        <w:t>、</w:t>
      </w:r>
      <w:r>
        <w:rPr>
          <w:rFonts w:hint="eastAsia"/>
        </w:rPr>
        <w:t>陈蓉燕</w:t>
      </w:r>
      <w:r>
        <w:rPr>
          <w:rFonts w:hint="eastAsia"/>
          <w:lang w:eastAsia="zh-CN"/>
        </w:rPr>
        <w:t>、</w:t>
      </w:r>
      <w:r>
        <w:rPr>
          <w:rFonts w:hint="eastAsia"/>
        </w:rPr>
        <w:t>何伟军、娄明星、李丹慧</w:t>
      </w:r>
    </w:p>
    <w:p w14:paraId="77010690">
      <w:pPr>
        <w:pStyle w:val="58"/>
        <w:ind w:firstLine="0" w:firstLineChars="0"/>
        <w:rPr>
          <w:rFonts w:hint="default" w:eastAsia="宋体"/>
          <w:lang w:val="en-US" w:eastAsia="zh-CN"/>
        </w:rPr>
        <w:sectPr>
          <w:pgSz w:w="11906" w:h="16838"/>
          <w:pgMar w:top="1928" w:right="1134" w:bottom="1134" w:left="1134" w:header="1418" w:footer="1134" w:gutter="284"/>
          <w:pgNumType w:fmt="upperRoman"/>
          <w:cols w:space="425" w:num="1"/>
          <w:formProt w:val="0"/>
          <w:docGrid w:type="lines" w:linePitch="312" w:charSpace="0"/>
        </w:sectPr>
      </w:pPr>
      <w:r>
        <w:rPr>
          <w:rFonts w:hint="eastAsia"/>
          <w:lang w:val="en-US" w:eastAsia="zh-CN"/>
        </w:rPr>
        <w:t>陈莹莹</w:t>
      </w:r>
      <w:r>
        <w:rPr>
          <w:rFonts w:hint="eastAsia"/>
          <w:lang w:eastAsia="zh-CN"/>
        </w:rPr>
        <w:t>、</w:t>
      </w:r>
      <w:r>
        <w:rPr>
          <w:rFonts w:hint="eastAsia"/>
        </w:rPr>
        <w:t>符文卉</w:t>
      </w:r>
      <w:r>
        <w:rPr>
          <w:rFonts w:hint="eastAsia"/>
          <w:lang w:eastAsia="zh-CN"/>
        </w:rPr>
        <w:t>、</w:t>
      </w:r>
      <w:r>
        <w:rPr>
          <w:rFonts w:hint="eastAsia"/>
        </w:rPr>
        <w:t>张唯娜</w:t>
      </w:r>
      <w:r>
        <w:rPr>
          <w:rFonts w:hint="eastAsia"/>
          <w:lang w:eastAsia="zh-CN"/>
        </w:rPr>
        <w:t>、</w:t>
      </w:r>
      <w:r>
        <w:rPr>
          <w:rFonts w:hint="eastAsia"/>
        </w:rPr>
        <w:t>柳舟</w:t>
      </w:r>
      <w:bookmarkStart w:id="249" w:name="_GoBack"/>
      <w:bookmarkEnd w:id="249"/>
      <w:r>
        <w:rPr>
          <w:rFonts w:hint="eastAsia"/>
          <w:lang w:eastAsia="zh-CN"/>
        </w:rPr>
        <w:t>、</w:t>
      </w:r>
      <w:r>
        <w:rPr>
          <w:rFonts w:hint="eastAsia"/>
        </w:rPr>
        <w:t>陈娟</w:t>
      </w:r>
      <w:r>
        <w:rPr>
          <w:rFonts w:hint="eastAsia"/>
          <w:lang w:eastAsia="zh-CN"/>
        </w:rPr>
        <w:t>、</w:t>
      </w:r>
      <w:r>
        <w:rPr>
          <w:rFonts w:hint="eastAsia"/>
        </w:rPr>
        <w:t>宋然</w:t>
      </w:r>
      <w:r>
        <w:rPr>
          <w:rFonts w:hint="eastAsia"/>
          <w:lang w:eastAsia="zh-CN"/>
        </w:rPr>
        <w:t>、</w:t>
      </w:r>
      <w:r>
        <w:rPr>
          <w:rFonts w:hint="eastAsia"/>
        </w:rPr>
        <w:t>李仪</w:t>
      </w:r>
      <w:r>
        <w:rPr>
          <w:rFonts w:hint="eastAsia"/>
          <w:lang w:eastAsia="zh-CN"/>
        </w:rPr>
        <w:t>、</w:t>
      </w:r>
      <w:r>
        <w:rPr>
          <w:rFonts w:hint="eastAsia"/>
        </w:rPr>
        <w:t>何丽</w:t>
      </w:r>
      <w:r>
        <w:rPr>
          <w:rFonts w:hint="eastAsia"/>
          <w:lang w:eastAsia="zh-CN"/>
        </w:rPr>
        <w:t>、</w:t>
      </w:r>
      <w:r>
        <w:rPr>
          <w:rFonts w:hint="eastAsia"/>
        </w:rPr>
        <w:t>杨文珍</w:t>
      </w:r>
      <w:r>
        <w:rPr>
          <w:rFonts w:hint="eastAsia"/>
          <w:lang w:eastAsia="zh-CN"/>
        </w:rPr>
        <w:t>、</w:t>
      </w:r>
      <w:r>
        <w:rPr>
          <w:rFonts w:hint="eastAsia"/>
          <w:lang w:val="en-US" w:eastAsia="zh-CN"/>
        </w:rPr>
        <w:t>谢薇、汪红娟</w:t>
      </w:r>
    </w:p>
    <w:bookmarkEnd w:id="32"/>
    <w:p w14:paraId="50205C85">
      <w:pPr>
        <w:spacing w:line="20" w:lineRule="exact"/>
        <w:jc w:val="center"/>
        <w:rPr>
          <w:rFonts w:hint="eastAsia" w:ascii="黑体" w:hAnsi="黑体" w:eastAsia="黑体"/>
          <w:sz w:val="32"/>
          <w:szCs w:val="32"/>
        </w:rPr>
      </w:pPr>
      <w:bookmarkStart w:id="33" w:name="BookMark4"/>
    </w:p>
    <w:p w14:paraId="25D745AD">
      <w:pPr>
        <w:spacing w:line="20" w:lineRule="exact"/>
        <w:jc w:val="center"/>
        <w:rPr>
          <w:rFonts w:hint="eastAsia" w:ascii="黑体" w:hAnsi="黑体" w:eastAsia="黑体"/>
          <w:sz w:val="32"/>
          <w:szCs w:val="32"/>
        </w:rPr>
      </w:pPr>
    </w:p>
    <w:sdt>
      <w:sdtPr>
        <w:tag w:val="NEW_STAND_NAME"/>
        <w:id w:val="595910757"/>
        <w:lock w:val="sdtLocked"/>
        <w:placeholder>
          <w:docPart w:val="0328ED17357643E38DD9AB61F4C15DD6"/>
        </w:placeholder>
      </w:sdtPr>
      <w:sdtEndPr>
        <w:rPr>
          <w:color w:val="FF0000"/>
        </w:rPr>
      </w:sdtEndPr>
      <w:sdtContent>
        <w:p w14:paraId="125B73BF">
          <w:pPr>
            <w:pStyle w:val="179"/>
            <w:spacing w:before="3" w:beforeLines="1" w:after="686" w:afterLines="220"/>
            <w:rPr>
              <w:rFonts w:hint="eastAsia"/>
              <w:color w:val="FF0000"/>
            </w:rPr>
          </w:pPr>
          <w:bookmarkStart w:id="34" w:name="NEW_STAND_NAME"/>
          <w:r>
            <w:rPr>
              <w:rFonts w:hint="eastAsia"/>
              <w:lang w:val="en-US" w:eastAsia="zh-CN"/>
            </w:rPr>
            <w:t>托育机构医育结合工作规范</w:t>
          </w:r>
        </w:p>
      </w:sdtContent>
    </w:sdt>
    <w:bookmarkEnd w:id="34"/>
    <w:p w14:paraId="71BA3480">
      <w:pPr>
        <w:pStyle w:val="106"/>
        <w:spacing w:before="312" w:after="312"/>
      </w:pPr>
      <w:bookmarkStart w:id="35" w:name="_Toc17233325"/>
      <w:bookmarkStart w:id="36" w:name="_Toc26718930"/>
      <w:bookmarkStart w:id="37" w:name="_Toc26986771"/>
      <w:bookmarkStart w:id="38" w:name="_Toc984"/>
      <w:bookmarkStart w:id="39" w:name="_Toc29700"/>
      <w:bookmarkStart w:id="40" w:name="_Toc17233333"/>
      <w:bookmarkStart w:id="41" w:name="_Toc97191423"/>
      <w:bookmarkStart w:id="42" w:name="_Toc213013653"/>
      <w:bookmarkStart w:id="43" w:name="_Toc26648465"/>
      <w:bookmarkStart w:id="44" w:name="_Toc23390"/>
      <w:bookmarkStart w:id="45" w:name="_Toc26986530"/>
      <w:bookmarkStart w:id="46" w:name="_Toc24884218"/>
      <w:bookmarkStart w:id="47" w:name="_Toc213013629"/>
      <w:bookmarkStart w:id="48" w:name="_Toc204501483"/>
      <w:bookmarkStart w:id="49" w:name="_Toc16079"/>
      <w:bookmarkStart w:id="50" w:name="_Toc14877"/>
      <w:bookmarkStart w:id="51" w:name="_Toc15256"/>
      <w:bookmarkStart w:id="52" w:name="_Toc213013581"/>
      <w:bookmarkStart w:id="53" w:name="_Toc24884211"/>
      <w:bookmarkStart w:id="54" w:name="_Toc21003"/>
      <w:bookmarkStart w:id="55" w:name="_Toc213013801"/>
      <w:r>
        <w:rPr>
          <w:rFonts w:hint="eastAsia"/>
        </w:rPr>
        <w:t>范围</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A97E555">
      <w:pPr>
        <w:pStyle w:val="58"/>
        <w:ind w:firstLine="420"/>
      </w:pPr>
      <w:bookmarkStart w:id="56" w:name="_Toc17233334"/>
      <w:bookmarkStart w:id="57" w:name="_Toc17233326"/>
      <w:bookmarkStart w:id="58" w:name="_Toc24884212"/>
      <w:bookmarkStart w:id="59" w:name="_Toc24884219"/>
      <w:bookmarkStart w:id="60" w:name="_Toc26648466"/>
      <w:r>
        <w:rPr>
          <w:rFonts w:hint="eastAsia"/>
        </w:rPr>
        <w:t>本文件确立了托育机构医育结合的总体原则，规定了基本要求、规范管理、健康监测、膳食营养、生活照护、疾病与伤害预防、早期学习机会、安全环境创设、特殊需求儿童养育照护、中医保健服务、三方互动、健康教育、信息收集、评价与改进的要求</w:t>
      </w:r>
      <w:r>
        <w:rPr>
          <w:rFonts w:hint="eastAsia"/>
          <w:lang w:eastAsia="zh"/>
          <w:woUserID w:val="11"/>
        </w:rPr>
        <w:t>。</w:t>
      </w:r>
    </w:p>
    <w:p w14:paraId="2EF2E7DF">
      <w:pPr>
        <w:pStyle w:val="58"/>
        <w:ind w:firstLine="420"/>
      </w:pPr>
      <w:r>
        <w:rPr>
          <w:rFonts w:hint="eastAsia"/>
        </w:rPr>
        <w:t>本文件适用于湖南省行政区域内提供全日托、半日托、计时托、临时托服务的托育机构。</w:t>
      </w:r>
    </w:p>
    <w:p w14:paraId="17BDF6BB">
      <w:pPr>
        <w:pStyle w:val="106"/>
        <w:spacing w:before="312" w:after="312"/>
      </w:pPr>
      <w:bookmarkStart w:id="61" w:name="_Toc2954"/>
      <w:bookmarkStart w:id="62" w:name="_Toc26986531"/>
      <w:bookmarkStart w:id="63" w:name="_Toc25302"/>
      <w:bookmarkStart w:id="64" w:name="_Toc28389"/>
      <w:bookmarkStart w:id="65" w:name="_Toc213013582"/>
      <w:bookmarkStart w:id="66" w:name="_Toc213013654"/>
      <w:bookmarkStart w:id="67" w:name="_Toc97191424"/>
      <w:bookmarkStart w:id="68" w:name="_Toc28876"/>
      <w:bookmarkStart w:id="69" w:name="_Toc204501484"/>
      <w:bookmarkStart w:id="70" w:name="_Toc26718931"/>
      <w:bookmarkStart w:id="71" w:name="_Toc9522"/>
      <w:bookmarkStart w:id="72" w:name="_Toc213013630"/>
      <w:bookmarkStart w:id="73" w:name="_Toc8569"/>
      <w:bookmarkStart w:id="74" w:name="_Toc26986772"/>
      <w:bookmarkStart w:id="75" w:name="_Toc15442"/>
      <w:bookmarkStart w:id="76" w:name="_Toc213013802"/>
      <w:r>
        <w:rPr>
          <w:rFonts w:hint="eastAsia"/>
        </w:rPr>
        <w:t>规范性引用文件</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5C0AF210">
      <w:pPr>
        <w:pStyle w:val="58"/>
        <w:ind w:firstLine="420"/>
        <w:jc w:val="both"/>
      </w:pPr>
      <w:r>
        <w:rPr>
          <w:rFonts w:hint="eastAsia" w:ascii="宋体" w:eastAsia="宋体"/>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C443C38">
      <w:pPr>
        <w:keepNext w:val="0"/>
        <w:keepLines w:val="0"/>
        <w:widowControl w:val="0"/>
        <w:numPr>
          <w:ilvl w:val="-1"/>
          <w:numId w:val="0"/>
        </w:numPr>
        <w:suppressLineNumbers w:val="0"/>
        <w:spacing w:before="0" w:beforeAutospacing="0" w:after="0" w:afterAutospacing="0" w:line="240" w:lineRule="auto"/>
        <w:ind w:left="0" w:firstLine="0"/>
        <w:jc w:val="left"/>
        <w:rPr>
          <w:rFonts w:hint="eastAsia" w:ascii="宋体" w:hAnsi="Times New Roman"/>
          <w:kern w:val="0"/>
          <w:szCs w:val="20"/>
          <w:woUserID w:val="0"/>
        </w:rPr>
      </w:pPr>
      <w:bookmarkStart w:id="77" w:name="_Toc204501485"/>
      <w:bookmarkStart w:id="78" w:name="_Toc213013631"/>
      <w:bookmarkStart w:id="79" w:name="_Toc213013803"/>
      <w:bookmarkStart w:id="80" w:name="_Toc97191425"/>
      <w:bookmarkStart w:id="81" w:name="_Toc213013655"/>
      <w:bookmarkStart w:id="82" w:name="_Toc213013583"/>
    </w:p>
    <w:p w14:paraId="3C31343B">
      <w:pPr>
        <w:pStyle w:val="58"/>
        <w:ind w:firstLine="420"/>
      </w:pPr>
      <w:r>
        <w:rPr>
          <w:rFonts w:hint="eastAsia" w:ascii="宋体" w:hAnsi="Times New Roman"/>
          <w:kern w:val="0"/>
          <w:szCs w:val="20"/>
          <w:woUserID w:val="0"/>
        </w:rPr>
        <w:t>JGJ 39 托儿所、幼儿园建筑设计规范</w:t>
      </w:r>
    </w:p>
    <w:p w14:paraId="62E296F9">
      <w:pPr>
        <w:pStyle w:val="58"/>
        <w:ind w:firstLine="420"/>
      </w:pPr>
      <w:r>
        <w:rPr>
          <w:rFonts w:hint="eastAsia" w:ascii="宋体" w:hAnsi="Times New Roman"/>
          <w:kern w:val="0"/>
          <w:szCs w:val="20"/>
          <w:woUserID w:val="0"/>
        </w:rPr>
        <w:t>GB 50016 建筑设计防火规范</w:t>
      </w:r>
    </w:p>
    <w:p w14:paraId="57927694">
      <w:pPr>
        <w:pStyle w:val="58"/>
        <w:ind w:firstLine="420"/>
      </w:pPr>
      <w:r>
        <w:rPr>
          <w:rFonts w:hint="eastAsia" w:ascii="宋体" w:hAnsi="Times New Roman"/>
          <w:kern w:val="0"/>
          <w:szCs w:val="20"/>
          <w:woUserID w:val="0"/>
        </w:rPr>
        <w:t>GB 50222 建筑内部装修设计防火规范</w:t>
      </w:r>
    </w:p>
    <w:p w14:paraId="229D483E">
      <w:pPr>
        <w:pStyle w:val="58"/>
        <w:ind w:firstLine="420"/>
      </w:pPr>
      <w:r>
        <w:rPr>
          <w:rFonts w:hint="eastAsia" w:ascii="宋体" w:hAnsi="Times New Roman"/>
          <w:kern w:val="0"/>
          <w:szCs w:val="20"/>
          <w:woUserID w:val="0"/>
        </w:rPr>
        <w:t>GB 6675 玩具安全</w:t>
      </w:r>
    </w:p>
    <w:p w14:paraId="288D1AE7">
      <w:pPr>
        <w:pStyle w:val="58"/>
        <w:ind w:firstLine="420"/>
      </w:pPr>
      <w:r>
        <w:rPr>
          <w:rFonts w:hint="eastAsia" w:ascii="宋体" w:hAnsi="Times New Roman"/>
          <w:kern w:val="0"/>
          <w:szCs w:val="20"/>
          <w:woUserID w:val="0"/>
        </w:rPr>
        <w:t>GB 50325 民用建筑工程室内环境污染控制标准</w:t>
      </w:r>
    </w:p>
    <w:p w14:paraId="517122D8">
      <w:pPr>
        <w:pStyle w:val="58"/>
        <w:ind w:firstLine="420"/>
      </w:pPr>
      <w:r>
        <w:rPr>
          <w:rFonts w:hint="eastAsia" w:ascii="宋体" w:hAnsi="Times New Roman"/>
          <w:kern w:val="0"/>
          <w:szCs w:val="20"/>
          <w:woUserID w:val="0"/>
        </w:rPr>
        <w:t>GB 28007 儿童家具通用技术条件</w:t>
      </w:r>
    </w:p>
    <w:p w14:paraId="12550515">
      <w:pPr>
        <w:pStyle w:val="58"/>
        <w:ind w:firstLine="420"/>
      </w:pPr>
      <w:r>
        <w:rPr>
          <w:rFonts w:hint="eastAsia" w:ascii="宋体" w:hAnsi="Times New Roman"/>
          <w:kern w:val="0"/>
          <w:szCs w:val="20"/>
          <w:woUserID w:val="0"/>
        </w:rPr>
        <w:t>GB/T 34272 小型游乐设施安全规范</w:t>
      </w:r>
    </w:p>
    <w:p w14:paraId="63E1AEA2">
      <w:pPr>
        <w:pStyle w:val="58"/>
        <w:ind w:firstLine="420"/>
      </w:pPr>
      <w:r>
        <w:rPr>
          <w:rFonts w:hint="eastAsia" w:ascii="宋体" w:hAnsi="Times New Roman"/>
          <w:kern w:val="0"/>
          <w:szCs w:val="20"/>
          <w:woUserID w:val="0"/>
        </w:rPr>
        <w:t>GB/T 18883 室内空气质量标准</w:t>
      </w:r>
    </w:p>
    <w:p w14:paraId="671779B4">
      <w:pPr>
        <w:pStyle w:val="58"/>
        <w:ind w:firstLine="420"/>
      </w:pPr>
      <w:r>
        <w:rPr>
          <w:rFonts w:hint="eastAsia" w:ascii="宋体" w:hAnsi="Times New Roman"/>
          <w:kern w:val="0"/>
          <w:szCs w:val="20"/>
          <w:woUserID w:val="0"/>
        </w:rPr>
        <w:t>WS/T 821 托育机构卫生规范</w:t>
      </w:r>
    </w:p>
    <w:p w14:paraId="7E6350C8">
      <w:pPr>
        <w:pStyle w:val="58"/>
        <w:ind w:firstLine="420"/>
      </w:pPr>
      <w:r>
        <w:rPr>
          <w:rFonts w:hint="eastAsia" w:ascii="宋体" w:hAnsi="Times New Roman"/>
          <w:kern w:val="0"/>
          <w:szCs w:val="20"/>
          <w:woUserID w:val="0"/>
        </w:rPr>
        <w:t>国卫人口发〔2019〕58 号 托育机构设置标准（试行）、托育机构管理规范（试行）</w:t>
      </w:r>
    </w:p>
    <w:p w14:paraId="7F708900">
      <w:pPr>
        <w:pStyle w:val="58"/>
        <w:ind w:firstLine="420"/>
      </w:pPr>
      <w:r>
        <w:rPr>
          <w:rFonts w:hint="eastAsia" w:ascii="宋体" w:hAnsi="Times New Roman"/>
          <w:kern w:val="0"/>
          <w:szCs w:val="20"/>
          <w:woUserID w:val="0"/>
        </w:rPr>
        <w:t>托育机构消防安全指南（试行）</w:t>
      </w:r>
    </w:p>
    <w:p w14:paraId="1CC5749F">
      <w:pPr>
        <w:pStyle w:val="58"/>
        <w:ind w:firstLine="420"/>
      </w:pPr>
      <w:r>
        <w:rPr>
          <w:rFonts w:hint="eastAsia" w:ascii="宋体" w:hAnsi="宋体" w:eastAsia="宋体" w:cs="宋体"/>
          <w:i w:val="0"/>
          <w:iCs w:val="0"/>
          <w:caps w:val="0"/>
          <w:color w:val="auto"/>
          <w:spacing w:val="0"/>
          <w:sz w:val="21"/>
          <w:szCs w:val="21"/>
          <w:shd w:val="clear" w:fill="auto"/>
          <w:woUserID w:val="0"/>
        </w:rPr>
        <w:t>DB43/T 3501—2026</w:t>
      </w:r>
    </w:p>
    <w:p w14:paraId="6BD0D151">
      <w:pPr>
        <w:pStyle w:val="106"/>
        <w:spacing w:before="312" w:after="312"/>
      </w:pPr>
      <w:bookmarkStart w:id="83" w:name="_Toc10310"/>
      <w:bookmarkStart w:id="84" w:name="_Toc10485"/>
      <w:bookmarkStart w:id="85" w:name="_Toc9948"/>
      <w:bookmarkStart w:id="86" w:name="_Toc25458"/>
      <w:bookmarkStart w:id="87" w:name="_Toc17857"/>
      <w:bookmarkStart w:id="88" w:name="_Toc21834"/>
      <w:bookmarkStart w:id="89" w:name="_Toc4348"/>
      <w:r>
        <w:rPr>
          <w:rFonts w:hint="eastAsia"/>
        </w:rPr>
        <w:t>术语和定义</w:t>
      </w:r>
      <w:bookmarkEnd w:id="77"/>
      <w:bookmarkEnd w:id="78"/>
      <w:bookmarkEnd w:id="79"/>
      <w:bookmarkEnd w:id="80"/>
      <w:bookmarkEnd w:id="81"/>
      <w:bookmarkEnd w:id="82"/>
      <w:bookmarkEnd w:id="83"/>
      <w:bookmarkEnd w:id="84"/>
      <w:bookmarkEnd w:id="85"/>
      <w:bookmarkEnd w:id="86"/>
      <w:bookmarkEnd w:id="87"/>
      <w:bookmarkEnd w:id="88"/>
      <w:bookmarkEnd w:id="89"/>
    </w:p>
    <w:sdt>
      <w:sdtPr>
        <w:id w:val="-1"/>
        <w:placeholder>
          <w:docPart w:val="5A3A87E77F6942C29FD6257B8FAC0F3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0C17873">
          <w:pPr>
            <w:pStyle w:val="58"/>
            <w:ind w:firstLine="420"/>
          </w:pPr>
          <w:bookmarkStart w:id="90" w:name="_Toc26986532"/>
          <w:bookmarkEnd w:id="90"/>
          <w:r>
            <w:t>下列术语和定义适用于本文件。</w:t>
          </w:r>
        </w:p>
      </w:sdtContent>
    </w:sdt>
    <w:p w14:paraId="43D0166D">
      <w:pPr>
        <w:pStyle w:val="225"/>
        <w:numPr>
          <w:ilvl w:val="0"/>
          <w:numId w:val="0"/>
        </w:numPr>
        <w:ind w:left="420" w:hanging="420" w:hangingChars="200"/>
      </w:pPr>
      <w:bookmarkStart w:id="91" w:name="_Toc213013656"/>
      <w:bookmarkEnd w:id="91"/>
      <w:bookmarkStart w:id="92" w:name="_Toc213013804"/>
      <w:bookmarkEnd w:id="92"/>
      <w:bookmarkStart w:id="93" w:name="_Toc213013584"/>
      <w:bookmarkEnd w:id="93"/>
      <w:r>
        <w:rPr>
          <w:rFonts w:hint="eastAsia" w:ascii="宋体" w:hAnsi="宋体" w:eastAsia="宋体" w:cs="宋体"/>
          <w:color w:val="000000"/>
          <w:kern w:val="0"/>
          <w:szCs w:val="21"/>
          <w:lang w:val="en-US" w:eastAsia="zh-CN" w:bidi="ar"/>
        </w:rPr>
        <w:t xml:space="preserve">3.1 </w:t>
      </w:r>
      <w:r>
        <w:rPr>
          <w:rFonts w:hint="eastAsia" w:ascii="黑体" w:hAnsi="宋体" w:eastAsia="黑体" w:cs="黑体"/>
          <w:color w:val="000000"/>
          <w:kern w:val="0"/>
          <w:sz w:val="21"/>
          <w:szCs w:val="21"/>
          <w:lang w:val="en-US" w:eastAsia="zh-CN" w:bidi="ar"/>
        </w:rPr>
        <w:t xml:space="preserve">医育结合 </w:t>
      </w:r>
      <w:bookmarkStart w:id="94" w:name="_Toc213013657"/>
      <w:bookmarkEnd w:id="94"/>
      <w:bookmarkStart w:id="95" w:name="_Toc213013585"/>
      <w:bookmarkEnd w:id="95"/>
      <w:bookmarkStart w:id="96" w:name="_Toc213013805"/>
      <w:bookmarkEnd w:id="96"/>
      <w:r>
        <w:rPr>
          <w:rFonts w:hint="eastAsia" w:ascii="黑体" w:hAnsi="宋体" w:eastAsia="黑体" w:cs="黑体"/>
          <w:color w:val="000000"/>
          <w:kern w:val="0"/>
          <w:sz w:val="21"/>
          <w:szCs w:val="21"/>
          <w:lang w:val="en-US" w:eastAsia="zh-CN" w:bidi="ar"/>
        </w:rPr>
        <w:t xml:space="preserve"> healthcare-nursing integrated </w:t>
      </w:r>
    </w:p>
    <w:p w14:paraId="464E8348">
      <w:pPr>
        <w:pStyle w:val="58"/>
        <w:ind w:firstLine="420"/>
      </w:pPr>
      <w:r>
        <w:rPr>
          <w:rFonts w:hint="eastAsia" w:ascii="宋体" w:hAnsi="宋体" w:eastAsia="宋体" w:cs="宋体"/>
          <w:color w:val="000000"/>
          <w:kern w:val="0"/>
          <w:sz w:val="21"/>
          <w:szCs w:val="21"/>
          <w:lang w:val="en-US" w:eastAsia="zh-CN" w:bidi="ar"/>
        </w:rPr>
        <w:t xml:space="preserve">将医疗保健理念及服务融入婴幼儿照护过程，促进婴幼儿的科学养育与健康成长。 </w:t>
      </w:r>
    </w:p>
    <w:p w14:paraId="157FC3AE">
      <w:pPr>
        <w:pStyle w:val="226"/>
        <w:numPr>
          <w:ilvl w:val="0"/>
          <w:numId w:val="0"/>
        </w:numPr>
        <w:ind w:left="420" w:hanging="420" w:hangingChars="200"/>
      </w:pPr>
      <w:r>
        <w:rPr>
          <w:rFonts w:hint="eastAsia" w:ascii="宋体" w:hAnsi="宋体" w:eastAsia="宋体" w:cs="宋体"/>
          <w:b w:val="0"/>
          <w:bCs w:val="0"/>
          <w:color w:val="000000"/>
          <w:kern w:val="0"/>
          <w:sz w:val="21"/>
          <w:szCs w:val="21"/>
          <w:lang w:val="en-US" w:eastAsia="zh-CN" w:bidi="ar"/>
        </w:rPr>
        <w:t xml:space="preserve">3.2 </w:t>
      </w:r>
      <w:r>
        <w:rPr>
          <w:rFonts w:hint="eastAsia" w:ascii="宋体" w:hAnsi="宋体" w:eastAsia="宋体" w:cs="宋体"/>
          <w:b/>
          <w:bCs/>
          <w:color w:val="000000"/>
          <w:kern w:val="0"/>
          <w:sz w:val="21"/>
          <w:szCs w:val="21"/>
          <w:lang w:val="en-US" w:eastAsia="zh-CN" w:bidi="ar"/>
        </w:rPr>
        <w:t xml:space="preserve">医育结合托育机构 healthcare-nursing integrated childcare institution </w:t>
      </w:r>
    </w:p>
    <w:p w14:paraId="3D78CE38">
      <w:pPr>
        <w:pStyle w:val="58"/>
        <w:ind w:firstLine="420"/>
      </w:pPr>
      <w:bookmarkStart w:id="97" w:name="_Toc23019"/>
      <w:bookmarkStart w:id="98" w:name="_Toc19665"/>
      <w:bookmarkStart w:id="99" w:name="_Toc11354"/>
      <w:bookmarkStart w:id="100" w:name="_Toc9427"/>
      <w:bookmarkStart w:id="101" w:name="_Toc27110"/>
      <w:r>
        <w:rPr>
          <w:rFonts w:hint="eastAsia" w:ascii="宋体" w:hAnsi="宋体" w:eastAsia="宋体" w:cs="宋体"/>
          <w:color w:val="000000"/>
          <w:kern w:val="0"/>
          <w:sz w:val="21"/>
          <w:szCs w:val="21"/>
          <w:lang w:val="en-US" w:eastAsia="zh-CN" w:bidi="ar"/>
        </w:rPr>
        <w:t>以医育结合为运营理念，综合运用医疗保健资源和专业技术力量，为婴幼儿提供生活照料、 膳食营养管理、健康监测、早期发展促进、伤害与疾病预防等照护服务的机构。</w:t>
      </w:r>
      <w:bookmarkEnd w:id="97"/>
      <w:bookmarkEnd w:id="98"/>
      <w:bookmarkEnd w:id="99"/>
      <w:bookmarkEnd w:id="100"/>
      <w:bookmarkEnd w:id="101"/>
    </w:p>
    <w:p w14:paraId="74EE8E5B">
      <w:pPr>
        <w:pStyle w:val="106"/>
        <w:spacing w:before="312" w:after="312"/>
        <w:rPr>
          <w:rFonts w:hint="eastAsia" w:ascii="黑体" w:hAnsi="Times New Roman" w:eastAsia="黑体" w:cs="Times New Roman"/>
          <w:b w:val="0"/>
          <w:bCs w:val="0"/>
          <w:sz w:val="21"/>
          <w:szCs w:val="20"/>
          <w:lang w:bidi="ar"/>
        </w:rPr>
      </w:pPr>
      <w:bookmarkStart w:id="102" w:name="_Toc16156"/>
      <w:bookmarkStart w:id="103" w:name="_Toc9246"/>
      <w:bookmarkStart w:id="104" w:name="_Toc204501486"/>
      <w:bookmarkStart w:id="105" w:name="_Toc15097"/>
      <w:bookmarkStart w:id="106" w:name="_Toc213013632"/>
      <w:bookmarkStart w:id="107" w:name="_Toc25213"/>
      <w:bookmarkStart w:id="108" w:name="_Toc23153"/>
      <w:bookmarkStart w:id="109" w:name="_Toc11043"/>
      <w:bookmarkStart w:id="110" w:name="_Toc213013586"/>
      <w:bookmarkStart w:id="111" w:name="_Toc213013658"/>
      <w:bookmarkStart w:id="112" w:name="_Toc213013806"/>
      <w:bookmarkStart w:id="113" w:name="_Toc23674"/>
      <w:r>
        <w:rPr>
          <w:rFonts w:hint="eastAsia"/>
          <w:b w:val="0"/>
          <w:bCs w:val="0"/>
          <w:lang w:bidi="ar"/>
        </w:rPr>
        <w:t>基本要求</w:t>
      </w:r>
      <w:bookmarkEnd w:id="102"/>
      <w:bookmarkEnd w:id="103"/>
      <w:bookmarkEnd w:id="104"/>
      <w:bookmarkEnd w:id="105"/>
      <w:bookmarkEnd w:id="106"/>
      <w:bookmarkEnd w:id="107"/>
      <w:bookmarkEnd w:id="108"/>
      <w:bookmarkEnd w:id="109"/>
      <w:bookmarkEnd w:id="110"/>
      <w:bookmarkEnd w:id="111"/>
      <w:bookmarkEnd w:id="112"/>
      <w:bookmarkEnd w:id="113"/>
    </w:p>
    <w:p w14:paraId="721F8234">
      <w:pPr>
        <w:pStyle w:val="164"/>
      </w:pPr>
      <w:bookmarkStart w:id="114" w:name="_Toc13614"/>
      <w:bookmarkStart w:id="115" w:name="_Toc29819"/>
      <w:bookmarkStart w:id="116" w:name="_Toc8597"/>
      <w:r>
        <w:rPr>
          <w:rFonts w:hint="eastAsia" w:ascii="宋体" w:hAnsi="宋体" w:eastAsia="宋体" w:cs="宋体"/>
          <w:color w:val="000000"/>
          <w:kern w:val="0"/>
          <w:sz w:val="21"/>
          <w:szCs w:val="21"/>
          <w:lang w:val="en-US" w:eastAsia="zh-CN" w:bidi="ar"/>
        </w:rPr>
        <w:t>尊重儿童：坚持儿童优先，保障儿童权利。尊重婴幼儿成长特点和规律，关注个体差异，促进每个婴幼儿全面发展；</w:t>
      </w:r>
      <w:bookmarkEnd w:id="114"/>
      <w:bookmarkEnd w:id="115"/>
      <w:bookmarkEnd w:id="116"/>
      <w:r>
        <w:rPr>
          <w:rFonts w:hint="eastAsia" w:ascii="宋体" w:hAnsi="宋体" w:eastAsia="宋体" w:cs="宋体"/>
          <w:color w:val="000000"/>
          <w:kern w:val="0"/>
          <w:sz w:val="21"/>
          <w:szCs w:val="21"/>
          <w:lang w:val="en-US" w:eastAsia="zh-CN" w:bidi="ar"/>
        </w:rPr>
        <w:t xml:space="preserve"> </w:t>
      </w:r>
    </w:p>
    <w:p w14:paraId="6A05930F">
      <w:pPr>
        <w:pStyle w:val="164"/>
      </w:pPr>
      <w:bookmarkStart w:id="117" w:name="_Toc23699"/>
      <w:bookmarkStart w:id="118" w:name="_Toc19441"/>
      <w:bookmarkStart w:id="119" w:name="_Toc19849"/>
      <w:r>
        <w:rPr>
          <w:rFonts w:hint="eastAsia" w:ascii="宋体" w:hAnsi="宋体" w:eastAsia="宋体" w:cs="宋体"/>
          <w:color w:val="000000"/>
          <w:kern w:val="0"/>
          <w:lang w:val="en-US" w:eastAsia="zh-CN" w:bidi="ar"/>
        </w:rPr>
        <w:t>安全健康：最大限度地保护婴幼儿的安全和健康，充分运用医疗保健资源和专业技术力量，做好婴幼儿的安全防护、营养膳食、疾病防控等工作；</w:t>
      </w:r>
      <w:bookmarkEnd w:id="117"/>
      <w:bookmarkEnd w:id="118"/>
      <w:bookmarkEnd w:id="119"/>
      <w:r>
        <w:rPr>
          <w:rFonts w:hint="eastAsia" w:ascii="宋体" w:hAnsi="宋体" w:eastAsia="宋体" w:cs="宋体"/>
          <w:color w:val="000000"/>
          <w:kern w:val="0"/>
          <w:lang w:val="en-US" w:eastAsia="zh-CN" w:bidi="ar"/>
        </w:rPr>
        <w:t xml:space="preserve"> </w:t>
      </w:r>
    </w:p>
    <w:p w14:paraId="3AC543E6">
      <w:pPr>
        <w:pStyle w:val="164"/>
      </w:pPr>
      <w:bookmarkStart w:id="120" w:name="_Toc3309"/>
      <w:bookmarkStart w:id="121" w:name="_Toc17397"/>
      <w:bookmarkStart w:id="122" w:name="_Toc12101"/>
      <w:r>
        <w:rPr>
          <w:rFonts w:hint="eastAsia" w:ascii="宋体" w:hAnsi="宋体" w:eastAsia="宋体" w:cs="宋体"/>
          <w:color w:val="000000"/>
          <w:kern w:val="0"/>
          <w:lang w:val="en-US" w:eastAsia="zh-CN" w:bidi="ar"/>
        </w:rPr>
        <w:t>积极回应：提供支持性环境，敏感观察婴幼儿，理解婴幼儿的生理和心理需求，并及时给予积极适宜的回应；</w:t>
      </w:r>
      <w:bookmarkEnd w:id="120"/>
      <w:bookmarkEnd w:id="121"/>
      <w:bookmarkEnd w:id="122"/>
      <w:r>
        <w:rPr>
          <w:rFonts w:hint="eastAsia" w:ascii="宋体" w:hAnsi="宋体" w:eastAsia="宋体" w:cs="宋体"/>
          <w:color w:val="000000"/>
          <w:kern w:val="0"/>
          <w:lang w:val="en-US" w:eastAsia="zh-CN" w:bidi="ar"/>
        </w:rPr>
        <w:t xml:space="preserve"> </w:t>
      </w:r>
    </w:p>
    <w:p w14:paraId="24BBBDA4">
      <w:pPr>
        <w:pStyle w:val="164"/>
      </w:pPr>
      <w:bookmarkStart w:id="123" w:name="_Toc12224"/>
      <w:bookmarkStart w:id="124" w:name="_Toc14701"/>
      <w:bookmarkStart w:id="125" w:name="_Toc9578"/>
      <w:r>
        <w:rPr>
          <w:rFonts w:hint="eastAsia" w:ascii="宋体" w:hAnsi="宋体" w:eastAsia="宋体" w:cs="宋体"/>
          <w:color w:val="000000"/>
          <w:kern w:val="0"/>
          <w:lang w:val="en-US" w:eastAsia="zh-CN" w:bidi="ar"/>
        </w:rPr>
        <w:t>科学规范：根据国家和地方关于托育服务的要求和规范，合理安排婴幼儿的生活和活动，满足婴幼儿生长发育的需要。</w:t>
      </w:r>
      <w:bookmarkEnd w:id="123"/>
      <w:bookmarkEnd w:id="124"/>
      <w:bookmarkEnd w:id="125"/>
    </w:p>
    <w:p w14:paraId="73031D93">
      <w:pPr>
        <w:pStyle w:val="106"/>
        <w:spacing w:before="312" w:after="312"/>
        <w:rPr>
          <w:rFonts w:hint="eastAsia" w:ascii="黑体" w:hAnsi="Times New Roman" w:eastAsia="黑体" w:cs="Times New Roman"/>
          <w:b w:val="0"/>
          <w:bCs w:val="0"/>
          <w:kern w:val="0"/>
          <w:sz w:val="21"/>
          <w:szCs w:val="20"/>
          <w:lang w:val="en-US" w:eastAsia="zh-CN" w:bidi="ar"/>
        </w:rPr>
      </w:pPr>
      <w:bookmarkStart w:id="126" w:name="_Toc32633"/>
      <w:bookmarkStart w:id="127" w:name="_Toc26566"/>
      <w:bookmarkStart w:id="128" w:name="_Toc18753"/>
      <w:bookmarkStart w:id="129" w:name="_Toc27626"/>
      <w:bookmarkStart w:id="130" w:name="_Toc31198"/>
      <w:bookmarkStart w:id="131" w:name="_Toc24100"/>
      <w:bookmarkStart w:id="132" w:name="_Toc29958"/>
      <w:r>
        <w:rPr>
          <w:rFonts w:hint="eastAsia" w:ascii="黑体" w:hAnsi="Times New Roman" w:eastAsia="黑体" w:cs="Times New Roman"/>
          <w:b w:val="0"/>
          <w:bCs w:val="0"/>
          <w:kern w:val="0"/>
          <w:sz w:val="21"/>
          <w:szCs w:val="20"/>
          <w:lang w:val="en-US" w:eastAsia="zh-CN" w:bidi="ar"/>
        </w:rPr>
        <w:t>规范管理</w:t>
      </w:r>
      <w:bookmarkEnd w:id="126"/>
      <w:bookmarkEnd w:id="127"/>
      <w:bookmarkEnd w:id="128"/>
      <w:bookmarkEnd w:id="129"/>
      <w:bookmarkEnd w:id="130"/>
      <w:bookmarkEnd w:id="131"/>
      <w:bookmarkEnd w:id="132"/>
    </w:p>
    <w:p w14:paraId="3F8BFBAC">
      <w:pPr>
        <w:pStyle w:val="107"/>
        <w:spacing w:before="156" w:after="156"/>
        <w:rPr>
          <w:rFonts w:hint="eastAsia" w:ascii="宋体" w:hAnsi="宋体" w:eastAsia="宋体" w:cs="宋体"/>
          <w:b/>
          <w:bCs/>
          <w:color w:val="000000"/>
          <w:kern w:val="0"/>
          <w:sz w:val="21"/>
          <w:szCs w:val="21"/>
          <w:lang w:val="en-US" w:eastAsia="zh-CN" w:bidi="ar"/>
        </w:rPr>
      </w:pPr>
      <w:bookmarkStart w:id="133" w:name="_Toc6547"/>
      <w:r>
        <w:rPr>
          <w:rFonts w:hint="eastAsia" w:ascii="宋体" w:hAnsi="宋体" w:eastAsia="宋体" w:cs="宋体"/>
          <w:b w:val="0"/>
          <w:bCs w:val="0"/>
          <w:color w:val="auto"/>
          <w:kern w:val="0"/>
          <w:sz w:val="21"/>
          <w:szCs w:val="21"/>
          <w:lang w:val="en-US" w:eastAsia="zh-CN" w:bidi="ar"/>
        </w:rPr>
        <w:t>医疗资源衔接管理</w:t>
      </w:r>
      <w:bookmarkEnd w:id="133"/>
    </w:p>
    <w:p w14:paraId="18240696">
      <w:pPr>
        <w:pStyle w:val="167"/>
      </w:pPr>
      <w:r>
        <w:rPr>
          <w:rFonts w:hint="eastAsia" w:ascii="宋体" w:hAnsi="宋体" w:eastAsia="宋体" w:cs="宋体"/>
          <w:b w:val="0"/>
          <w:bCs w:val="0"/>
          <w:color w:val="000000"/>
          <w:kern w:val="0"/>
          <w:sz w:val="21"/>
          <w:szCs w:val="21"/>
          <w:lang w:val="en-US" w:eastAsia="zh-CN" w:bidi="ar"/>
        </w:rPr>
        <w:t>托育机构应与辖区内具备婴幼儿医疗服务资质的医疗机构（社区卫生服务中心、妇幼保健机构、儿童医院等）建立长期稳定协作机制，签订正式合作协议，明确双方职责分工、服务内容、协作流程与工作要求。</w:t>
      </w:r>
    </w:p>
    <w:p w14:paraId="681737A2">
      <w:pPr>
        <w:pStyle w:val="167"/>
      </w:pPr>
      <w:r>
        <w:rPr>
          <w:rFonts w:hint="eastAsia" w:ascii="宋体" w:hAnsi="宋体" w:eastAsia="宋体" w:cs="宋体"/>
          <w:b w:val="0"/>
          <w:bCs w:val="0"/>
          <w:color w:val="000000"/>
          <w:kern w:val="0"/>
          <w:sz w:val="21"/>
          <w:szCs w:val="21"/>
          <w:lang w:val="en-US" w:eastAsia="zh-CN" w:bidi="ar"/>
        </w:rPr>
        <w:t>协作医疗机构应定期派遣儿科、儿童保健等专业技术人员入园开展现场指导，指导内容涵盖健康管理、传染病防控、应急处置、卫生保健技能等，并形成书面指导记录归档留存。</w:t>
      </w:r>
    </w:p>
    <w:p w14:paraId="35CEE77D">
      <w:pPr>
        <w:pStyle w:val="167"/>
      </w:pPr>
      <w:r>
        <w:rPr>
          <w:rFonts w:hint="eastAsia" w:ascii="宋体" w:hAnsi="宋体" w:eastAsia="宋体" w:cs="宋体"/>
          <w:b w:val="0"/>
          <w:bCs w:val="0"/>
          <w:color w:val="000000"/>
          <w:kern w:val="0"/>
          <w:sz w:val="21"/>
          <w:szCs w:val="21"/>
          <w:lang w:val="en-US" w:eastAsia="zh-CN" w:bidi="ar"/>
        </w:rPr>
        <w:t>托育机构应践行儿童综合健康观，在日常养育照护中保障婴幼儿无病残、身心状态良好、发展潜能充分发挥。</w:t>
      </w:r>
    </w:p>
    <w:p w14:paraId="495ECFD1">
      <w:pPr>
        <w:pStyle w:val="167"/>
      </w:pPr>
      <w:r>
        <w:rPr>
          <w:rFonts w:hint="eastAsia" w:ascii="宋体" w:hAnsi="宋体" w:eastAsia="宋体" w:cs="宋体"/>
          <w:b w:val="0"/>
          <w:bCs w:val="0"/>
          <w:color w:val="000000"/>
          <w:kern w:val="0"/>
          <w:sz w:val="21"/>
          <w:szCs w:val="21"/>
          <w:lang w:val="en-US" w:eastAsia="zh-CN" w:bidi="ar"/>
        </w:rPr>
        <w:t>托育机构应与签约医疗机构建立婴幼儿转诊绿色通道，明确标准化转诊流程、责任人员与衔接要求，保障急危重症、疑难病症婴幼儿及时转诊。</w:t>
      </w:r>
    </w:p>
    <w:p w14:paraId="22F03550">
      <w:pPr>
        <w:pStyle w:val="107"/>
        <w:spacing w:before="156" w:after="156"/>
        <w:rPr>
          <w:rFonts w:hint="eastAsia" w:ascii="宋体" w:hAnsi="宋体" w:eastAsia="宋体" w:cs="宋体"/>
          <w:b/>
          <w:bCs/>
          <w:color w:val="000000"/>
          <w:kern w:val="0"/>
          <w:sz w:val="21"/>
          <w:szCs w:val="21"/>
          <w:lang w:val="en-US" w:eastAsia="zh-CN" w:bidi="ar"/>
        </w:rPr>
      </w:pPr>
      <w:bookmarkStart w:id="134" w:name="_Toc9788"/>
      <w:r>
        <w:rPr>
          <w:rFonts w:hint="eastAsia" w:ascii="宋体" w:hAnsi="宋体" w:eastAsia="宋体" w:cs="宋体"/>
          <w:b w:val="0"/>
          <w:bCs w:val="0"/>
          <w:color w:val="auto"/>
          <w:kern w:val="0"/>
          <w:sz w:val="21"/>
          <w:szCs w:val="21"/>
          <w:lang w:val="en-US" w:eastAsia="zh-CN" w:bidi="ar"/>
        </w:rPr>
        <w:t>婴幼儿健康档案管理</w:t>
      </w:r>
      <w:bookmarkEnd w:id="134"/>
    </w:p>
    <w:p w14:paraId="169178C1">
      <w:pPr>
        <w:pStyle w:val="167"/>
      </w:pPr>
      <w:r>
        <w:rPr>
          <w:rFonts w:hint="eastAsia" w:ascii="宋体" w:hAnsi="宋体" w:eastAsia="宋体" w:cs="宋体"/>
          <w:b w:val="0"/>
          <w:bCs w:val="0"/>
          <w:color w:val="000000"/>
          <w:kern w:val="0"/>
          <w:sz w:val="21"/>
          <w:szCs w:val="21"/>
          <w:lang w:val="en-US" w:eastAsia="zh-CN" w:bidi="ar"/>
        </w:rPr>
        <w:t>婴幼儿入托时，托育机构应完成健康体检、发育行为初步观察及家庭养育环境访谈，同步建立个人健康档案。</w:t>
      </w:r>
    </w:p>
    <w:p w14:paraId="16B1AFF9">
      <w:pPr>
        <w:pStyle w:val="167"/>
      </w:pPr>
      <w:r>
        <w:rPr>
          <w:rFonts w:hint="eastAsia" w:ascii="宋体" w:hAnsi="宋体" w:eastAsia="宋体" w:cs="宋体"/>
          <w:b w:val="0"/>
          <w:bCs w:val="0"/>
          <w:color w:val="000000"/>
          <w:kern w:val="0"/>
          <w:sz w:val="21"/>
          <w:szCs w:val="21"/>
          <w:lang w:val="en-US" w:eastAsia="zh-CN" w:bidi="ar"/>
        </w:rPr>
        <w:t>健康档案应做到真实、完整、连续、可追溯，及时更新健康信息；档案留存期限自婴幼儿离托之日起不少于 3 年。健康档案可与辖区医疗机构实现信息共享，接受卫生健康行政部门及专业机构核查。</w:t>
      </w:r>
    </w:p>
    <w:p w14:paraId="016AFBE1">
      <w:pPr>
        <w:pStyle w:val="167"/>
      </w:pPr>
      <w:r>
        <w:rPr>
          <w:rFonts w:hint="eastAsia" w:ascii="宋体" w:hAnsi="宋体" w:eastAsia="宋体" w:cs="宋体"/>
          <w:b w:val="0"/>
          <w:bCs w:val="0"/>
          <w:color w:val="000000"/>
          <w:kern w:val="0"/>
          <w:sz w:val="21"/>
          <w:szCs w:val="21"/>
          <w:lang w:val="en-US" w:eastAsia="zh-CN" w:bidi="ar"/>
        </w:rPr>
        <w:t>托育机构应联合医育结合协作机构，定期开展婴幼儿健康状况综合分析；针对园所共性健康问题优化服务方案，针对发育偏离婴幼儿制定个性化医育结合干预方案。</w:t>
      </w:r>
    </w:p>
    <w:p w14:paraId="7A52D1D7">
      <w:pPr>
        <w:pStyle w:val="167"/>
      </w:pPr>
      <w:r>
        <w:rPr>
          <w:rFonts w:hint="eastAsia" w:ascii="宋体" w:hAnsi="宋体" w:eastAsia="宋体" w:cs="宋体"/>
          <w:b w:val="0"/>
          <w:bCs w:val="0"/>
          <w:color w:val="000000"/>
          <w:kern w:val="0"/>
          <w:sz w:val="21"/>
          <w:szCs w:val="21"/>
          <w:lang w:val="en-US" w:eastAsia="zh-CN" w:bidi="ar"/>
        </w:rPr>
        <w:t>托育机构应依据婴幼儿健康状况、出勤情况、发育筛查结果，按照周循环模式动态调整养育照护方案。</w:t>
      </w:r>
    </w:p>
    <w:p w14:paraId="632AAE18">
      <w:pPr>
        <w:pStyle w:val="107"/>
        <w:spacing w:before="156" w:after="156"/>
        <w:rPr>
          <w:rFonts w:hint="eastAsia" w:ascii="宋体" w:hAnsi="宋体" w:eastAsia="宋体" w:cs="宋体"/>
          <w:b/>
          <w:bCs/>
          <w:color w:val="000000"/>
          <w:kern w:val="0"/>
          <w:sz w:val="21"/>
          <w:szCs w:val="21"/>
          <w:lang w:val="en-US" w:eastAsia="zh-CN" w:bidi="ar"/>
        </w:rPr>
      </w:pPr>
      <w:bookmarkStart w:id="135" w:name="_Toc27073"/>
      <w:r>
        <w:rPr>
          <w:rFonts w:hint="eastAsia" w:ascii="宋体" w:hAnsi="宋体" w:eastAsia="宋体" w:cs="宋体"/>
          <w:b w:val="0"/>
          <w:bCs w:val="0"/>
          <w:color w:val="auto"/>
          <w:kern w:val="0"/>
          <w:sz w:val="21"/>
          <w:szCs w:val="21"/>
          <w:lang w:val="en-US" w:eastAsia="zh-CN" w:bidi="ar"/>
        </w:rPr>
        <w:t>从业人员培训</w:t>
      </w:r>
      <w:bookmarkEnd w:id="135"/>
    </w:p>
    <w:p w14:paraId="03FEBE35">
      <w:pPr>
        <w:pStyle w:val="167"/>
      </w:pPr>
      <w:r>
        <w:rPr>
          <w:rFonts w:hint="eastAsia" w:ascii="宋体" w:hAnsi="宋体" w:eastAsia="宋体" w:cs="宋体"/>
          <w:b w:val="0"/>
          <w:bCs w:val="0"/>
          <w:color w:val="000000"/>
          <w:kern w:val="0"/>
          <w:sz w:val="21"/>
          <w:szCs w:val="21"/>
          <w:lang w:val="en-US" w:eastAsia="zh-CN" w:bidi="ar"/>
        </w:rPr>
        <w:t>托育机构应定期组织工作人员开展医育结合专项培训，培训内容包括：早期学习支持、回应性照护、婴幼儿营养膳食、健康管理、安全防护、早期发展监测、常见疾病预防、应急处置、特殊需求婴幼儿个性化支持、中医适宜技术等。</w:t>
      </w:r>
    </w:p>
    <w:p w14:paraId="70A474F6">
      <w:pPr>
        <w:pStyle w:val="167"/>
      </w:pPr>
      <w:r>
        <w:rPr>
          <w:rFonts w:hint="eastAsia" w:ascii="宋体" w:hAnsi="宋体" w:eastAsia="宋体" w:cs="宋体"/>
          <w:b w:val="0"/>
          <w:bCs w:val="0"/>
          <w:color w:val="000000"/>
          <w:kern w:val="0"/>
          <w:sz w:val="21"/>
          <w:szCs w:val="21"/>
          <w:lang w:val="en-US" w:eastAsia="zh-CN" w:bidi="ar"/>
        </w:rPr>
        <w:t>一线婴幼儿照护人员每年参加医育结合相关培训不少于 16 学时。</w:t>
      </w:r>
    </w:p>
    <w:p w14:paraId="53D5CD0C">
      <w:pPr>
        <w:pStyle w:val="107"/>
        <w:spacing w:before="156" w:after="156"/>
        <w:rPr>
          <w:rFonts w:hint="eastAsia" w:ascii="宋体" w:hAnsi="宋体" w:eastAsia="宋体" w:cs="宋体"/>
          <w:b/>
          <w:bCs/>
          <w:color w:val="000000"/>
          <w:kern w:val="0"/>
          <w:sz w:val="21"/>
          <w:szCs w:val="21"/>
          <w:lang w:val="en-US" w:eastAsia="zh-CN" w:bidi="ar"/>
        </w:rPr>
      </w:pPr>
      <w:bookmarkStart w:id="136" w:name="_Toc13221"/>
      <w:r>
        <w:rPr>
          <w:rFonts w:hint="eastAsia" w:ascii="宋体" w:hAnsi="宋体" w:eastAsia="宋体" w:cs="宋体"/>
          <w:b w:val="0"/>
          <w:bCs w:val="0"/>
          <w:color w:val="auto"/>
          <w:kern w:val="0"/>
          <w:sz w:val="21"/>
          <w:szCs w:val="21"/>
          <w:lang w:val="en-US" w:eastAsia="zh-CN" w:bidi="ar"/>
        </w:rPr>
        <w:t>工作人员资质审核</w:t>
      </w:r>
      <w:bookmarkEnd w:id="136"/>
    </w:p>
    <w:p w14:paraId="51F2C578">
      <w:pPr>
        <w:pStyle w:val="167"/>
      </w:pPr>
      <w:r>
        <w:rPr>
          <w:rFonts w:hint="eastAsia" w:ascii="宋体" w:hAnsi="宋体" w:eastAsia="宋体" w:cs="宋体"/>
          <w:b w:val="0"/>
          <w:bCs w:val="0"/>
          <w:color w:val="000000"/>
          <w:kern w:val="0"/>
          <w:sz w:val="21"/>
          <w:szCs w:val="21"/>
          <w:lang w:val="en-US" w:eastAsia="zh-CN" w:bidi="ar"/>
        </w:rPr>
        <w:t>托育机构应建立从业人员资质全流程审核机制，制定标准化操作流程，明确入职审核、在岗复核、异常处置等工作要求，指定专人负责审核与档案管理。</w:t>
      </w:r>
    </w:p>
    <w:p w14:paraId="42C00C2D">
      <w:pPr>
        <w:pStyle w:val="167"/>
      </w:pPr>
      <w:r>
        <w:rPr>
          <w:rFonts w:hint="eastAsia" w:ascii="宋体" w:hAnsi="宋体" w:eastAsia="宋体" w:cs="宋体"/>
          <w:b w:val="0"/>
          <w:bCs w:val="0"/>
          <w:color w:val="000000"/>
          <w:kern w:val="0"/>
          <w:sz w:val="21"/>
          <w:szCs w:val="21"/>
          <w:lang w:val="en-US" w:eastAsia="zh-CN" w:bidi="ar"/>
        </w:rPr>
        <w:t>从业人员入职前须完成全面资质核验，核验内容包括身份信息、学历背景、从业经历、民事行为能力、精神病史、职业资格证书、有效健康证明等，审核合格后方可上岗，相关证明材料归档留存。</w:t>
      </w:r>
    </w:p>
    <w:p w14:paraId="73A3E8A7">
      <w:pPr>
        <w:pStyle w:val="167"/>
      </w:pPr>
      <w:r>
        <w:rPr>
          <w:rFonts w:hint="eastAsia" w:ascii="宋体" w:hAnsi="宋体" w:eastAsia="宋体" w:cs="宋体"/>
          <w:b w:val="0"/>
          <w:bCs w:val="0"/>
          <w:color w:val="000000"/>
          <w:kern w:val="0"/>
          <w:sz w:val="21"/>
          <w:szCs w:val="21"/>
          <w:lang w:val="en-US" w:eastAsia="zh-CN" w:bidi="ar"/>
        </w:rPr>
        <w:t>卫生保健人员须持有效健康证明及卫生行政部门颁发的保健员合格证书上岗，优先配备医学、护理相关专业人员；婴幼儿发展引导员、保育师须持相应职业资格证书上岗。</w:t>
      </w:r>
    </w:p>
    <w:p w14:paraId="6DB3EB95">
      <w:pPr>
        <w:pStyle w:val="167"/>
      </w:pPr>
      <w:r>
        <w:rPr>
          <w:rFonts w:hint="eastAsia" w:ascii="宋体" w:hAnsi="宋体" w:eastAsia="宋体" w:cs="宋体"/>
          <w:b w:val="0"/>
          <w:bCs w:val="0"/>
          <w:color w:val="000000"/>
          <w:kern w:val="0"/>
          <w:sz w:val="21"/>
          <w:szCs w:val="21"/>
          <w:lang w:val="en-US" w:eastAsia="zh-CN" w:bidi="ar"/>
        </w:rPr>
        <w:t>托育机构应建立资质动态复核制度，定期核查从业人员证件有效性与信息完整性，对证件过期、资质不符合要求的人员及时处置、调离岗位。</w:t>
      </w:r>
    </w:p>
    <w:p w14:paraId="7F868CE9">
      <w:pPr>
        <w:pStyle w:val="107"/>
        <w:spacing w:before="156" w:after="156"/>
        <w:rPr>
          <w:rFonts w:hint="eastAsia" w:ascii="宋体" w:hAnsi="宋体" w:eastAsia="宋体" w:cs="宋体"/>
          <w:b/>
          <w:bCs/>
          <w:color w:val="000000"/>
          <w:kern w:val="0"/>
          <w:sz w:val="21"/>
          <w:szCs w:val="21"/>
          <w:lang w:val="en-US" w:eastAsia="zh-CN" w:bidi="ar"/>
        </w:rPr>
      </w:pPr>
      <w:bookmarkStart w:id="137" w:name="_Toc26068"/>
      <w:r>
        <w:rPr>
          <w:rFonts w:hint="eastAsia" w:ascii="宋体" w:hAnsi="宋体" w:eastAsia="宋体" w:cs="宋体"/>
          <w:b w:val="0"/>
          <w:bCs w:val="0"/>
          <w:color w:val="auto"/>
          <w:kern w:val="0"/>
          <w:sz w:val="21"/>
          <w:szCs w:val="21"/>
          <w:lang w:val="en-US" w:eastAsia="zh-CN" w:bidi="ar"/>
        </w:rPr>
        <w:t>管理规程制定</w:t>
      </w:r>
      <w:bookmarkEnd w:id="137"/>
    </w:p>
    <w:p w14:paraId="0B76CA3B">
      <w:pPr>
        <w:pStyle w:val="167"/>
      </w:pPr>
      <w:r>
        <w:rPr>
          <w:rFonts w:hint="eastAsia" w:ascii="宋体" w:hAnsi="宋体" w:eastAsia="宋体" w:cs="宋体"/>
          <w:b w:val="0"/>
          <w:bCs w:val="0"/>
          <w:color w:val="000000"/>
          <w:kern w:val="0"/>
          <w:sz w:val="21"/>
          <w:szCs w:val="21"/>
          <w:lang w:val="en-US" w:eastAsia="zh-CN" w:bidi="ar"/>
        </w:rPr>
        <w:t>托育机构应以婴幼儿养育照护、医疗保健为核心主线，覆盖一日生活全流程，建立系统化、标准化、闭环式管理体系。</w:t>
      </w:r>
    </w:p>
    <w:p w14:paraId="2DB74FBF">
      <w:pPr>
        <w:pStyle w:val="167"/>
      </w:pPr>
      <w:r>
        <w:rPr>
          <w:rFonts w:hint="eastAsia" w:ascii="宋体" w:hAnsi="宋体" w:eastAsia="宋体" w:cs="宋体"/>
          <w:b w:val="0"/>
          <w:bCs w:val="0"/>
          <w:color w:val="000000"/>
          <w:kern w:val="0"/>
          <w:sz w:val="21"/>
          <w:szCs w:val="21"/>
          <w:lang w:val="en-US" w:eastAsia="zh-CN" w:bidi="ar"/>
        </w:rPr>
        <w:t>医疗保健管理规程应重点规范健康监测、风险防控机制，强化疾病早期识别、应急处置、转诊随访等关键流程；将回应性照护理念融入健康管理全过程，通过持续观察婴幼儿健康与行为信号，及时识别异常、研判健康需求，提供精准健康指导与干预，提升早期风险发现与处置能力。</w:t>
      </w:r>
    </w:p>
    <w:p w14:paraId="086F78E5">
      <w:pPr>
        <w:pStyle w:val="167"/>
      </w:pPr>
      <w:r>
        <w:rPr>
          <w:rFonts w:hint="eastAsia" w:ascii="宋体" w:hAnsi="宋体" w:eastAsia="宋体" w:cs="宋体"/>
          <w:b w:val="0"/>
          <w:bCs w:val="0"/>
          <w:color w:val="000000"/>
          <w:kern w:val="0"/>
          <w:sz w:val="21"/>
          <w:szCs w:val="21"/>
          <w:lang w:val="en-US" w:eastAsia="zh-CN" w:bidi="ar"/>
        </w:rPr>
        <w:t>养育照护管理规程应规范日常生活照护与早期发展支持活动，将回应性照护贯穿喂养、如厕、睡眠、游戏互动等全环节；在提供情感支持与行为引导的同时，密切关注婴幼儿生长发育与健康状态，强化异常行为、身体信号早期识别，实现养育照护与健康观察有机融合，促进婴幼儿情绪健康与全面发展。</w:t>
      </w:r>
    </w:p>
    <w:p w14:paraId="37075079">
      <w:pPr>
        <w:pStyle w:val="106"/>
        <w:spacing w:before="312" w:after="312"/>
        <w:rPr>
          <w:rFonts w:hint="eastAsia" w:ascii="黑体" w:hAnsi="Times New Roman" w:eastAsia="黑体" w:cs="Times New Roman"/>
          <w:b w:val="0"/>
          <w:bCs w:val="0"/>
          <w:kern w:val="0"/>
          <w:sz w:val="21"/>
          <w:szCs w:val="20"/>
          <w:lang w:val="en-US" w:eastAsia="zh-CN" w:bidi="ar"/>
        </w:rPr>
      </w:pPr>
      <w:bookmarkStart w:id="138" w:name="_Toc30757"/>
      <w:bookmarkStart w:id="139" w:name="_Toc6592"/>
      <w:bookmarkStart w:id="140" w:name="_Toc9738"/>
      <w:bookmarkStart w:id="141" w:name="_Toc25922"/>
      <w:bookmarkStart w:id="142" w:name="_Toc1199"/>
      <w:r>
        <w:rPr>
          <w:rFonts w:hint="eastAsia" w:ascii="黑体" w:hAnsi="Times New Roman" w:eastAsia="黑体" w:cs="Times New Roman"/>
          <w:b w:val="0"/>
          <w:bCs w:val="0"/>
          <w:kern w:val="0"/>
          <w:sz w:val="21"/>
          <w:szCs w:val="20"/>
          <w:lang w:val="en-US" w:eastAsia="zh-CN" w:bidi="ar"/>
        </w:rPr>
        <w:t>健康监测</w:t>
      </w:r>
      <w:bookmarkEnd w:id="138"/>
      <w:bookmarkEnd w:id="139"/>
      <w:bookmarkEnd w:id="140"/>
      <w:bookmarkEnd w:id="141"/>
      <w:bookmarkEnd w:id="142"/>
    </w:p>
    <w:p w14:paraId="3FC6AFB4">
      <w:pPr>
        <w:pStyle w:val="107"/>
        <w:spacing w:before="156" w:after="156"/>
        <w:rPr>
          <w:rFonts w:hint="eastAsia" w:ascii="宋体" w:hAnsi="宋体" w:eastAsia="宋体" w:cs="宋体"/>
          <w:b/>
          <w:bCs/>
          <w:color w:val="000000"/>
          <w:kern w:val="0"/>
          <w:sz w:val="21"/>
          <w:szCs w:val="21"/>
          <w:lang w:val="en-US" w:eastAsia="zh-CN" w:bidi="ar"/>
        </w:rPr>
      </w:pPr>
      <w:bookmarkStart w:id="143" w:name="_Toc32072"/>
      <w:r>
        <w:rPr>
          <w:rFonts w:hint="eastAsia" w:ascii="宋体" w:hAnsi="宋体" w:eastAsia="宋体" w:cs="宋体"/>
          <w:b w:val="0"/>
          <w:bCs w:val="0"/>
          <w:color w:val="auto"/>
          <w:kern w:val="0"/>
          <w:sz w:val="21"/>
          <w:szCs w:val="21"/>
          <w:lang w:val="en-US" w:eastAsia="zh-CN" w:bidi="ar"/>
        </w:rPr>
        <w:t>基本要求</w:t>
      </w:r>
      <w:bookmarkEnd w:id="143"/>
    </w:p>
    <w:p w14:paraId="79B12E4E">
      <w:pPr>
        <w:pStyle w:val="58"/>
        <w:ind w:firstLine="420"/>
      </w:pPr>
      <w:r>
        <w:rPr>
          <w:rFonts w:hint="eastAsia" w:ascii="宋体" w:hAnsi="宋体" w:eastAsia="宋体" w:cs="宋体"/>
          <w:b w:val="0"/>
          <w:bCs w:val="0"/>
          <w:color w:val="000000"/>
          <w:kern w:val="0"/>
          <w:sz w:val="21"/>
          <w:szCs w:val="21"/>
          <w:lang w:val="en-US" w:eastAsia="zh-CN" w:bidi="ar"/>
          <w:woUserID w:val="19"/>
        </w:rPr>
        <w:t>通过日常观察、定期检查、连续跟踪等方式，系统收集与分析婴幼儿生长发育、健康状况、行为表现等信息，同步开展托育机构环境与工作人员健康状态动态观察与记录，规范监测内容、方法、频次及异常情况处置。</w:t>
      </w:r>
    </w:p>
    <w:p w14:paraId="69B5B2AD">
      <w:pPr>
        <w:pStyle w:val="107"/>
        <w:spacing w:before="156" w:after="156"/>
        <w:rPr>
          <w:rFonts w:hint="eastAsia" w:ascii="宋体" w:hAnsi="宋体" w:eastAsia="宋体" w:cs="宋体"/>
          <w:b/>
          <w:bCs/>
          <w:color w:val="000000"/>
          <w:kern w:val="0"/>
          <w:sz w:val="21"/>
          <w:szCs w:val="21"/>
          <w:lang w:val="en-US" w:eastAsia="zh-CN" w:bidi="ar"/>
        </w:rPr>
      </w:pPr>
      <w:bookmarkStart w:id="144" w:name="_Toc21901"/>
      <w:r>
        <w:rPr>
          <w:rFonts w:hint="eastAsia" w:ascii="宋体" w:hAnsi="宋体" w:eastAsia="宋体" w:cs="宋体"/>
          <w:b w:val="0"/>
          <w:bCs w:val="0"/>
          <w:color w:val="auto"/>
          <w:kern w:val="0"/>
          <w:sz w:val="21"/>
          <w:szCs w:val="21"/>
          <w:lang w:val="en-US" w:eastAsia="zh-CN" w:bidi="ar"/>
        </w:rPr>
        <w:t>监测设施设备</w:t>
      </w:r>
      <w:bookmarkEnd w:id="144"/>
    </w:p>
    <w:p w14:paraId="0AEBFC5B">
      <w:pPr>
        <w:pStyle w:val="167"/>
      </w:pPr>
      <w:r>
        <w:rPr>
          <w:rFonts w:hint="eastAsia" w:ascii="宋体" w:hAnsi="宋体" w:eastAsia="宋体" w:cs="宋体"/>
          <w:b w:val="0"/>
          <w:bCs w:val="0"/>
          <w:color w:val="auto"/>
          <w:kern w:val="0"/>
          <w:sz w:val="21"/>
          <w:szCs w:val="21"/>
          <w:lang w:val="en-US" w:eastAsia="zh-CN" w:bidi="ar"/>
        </w:rPr>
        <w:t>保健</w:t>
      </w:r>
      <w:r>
        <w:rPr>
          <w:rFonts w:hint="eastAsia" w:ascii="宋体" w:hAnsi="宋体" w:eastAsia="宋体" w:cs="宋体"/>
          <w:b w:val="0"/>
          <w:bCs w:val="0"/>
          <w:color w:val="auto"/>
          <w:kern w:val="0"/>
          <w:sz w:val="21"/>
          <w:szCs w:val="21"/>
          <w:highlight w:val="none"/>
          <w:lang w:val="en-US" w:eastAsia="zh-CN" w:bidi="ar"/>
        </w:rPr>
        <w:t>室应相对独立，至少配备1 张儿童观察床。</w:t>
      </w:r>
    </w:p>
    <w:p w14:paraId="690FA0A6">
      <w:pPr>
        <w:pStyle w:val="167"/>
      </w:pPr>
      <w:r>
        <w:rPr>
          <w:rFonts w:hint="eastAsia" w:ascii="宋体" w:hAnsi="宋体" w:eastAsia="宋体" w:cs="宋体"/>
          <w:b w:val="0"/>
          <w:bCs w:val="0"/>
          <w:color w:val="auto"/>
          <w:kern w:val="0"/>
          <w:sz w:val="21"/>
          <w:szCs w:val="21"/>
          <w:highlight w:val="none"/>
          <w:lang w:val="en-US" w:eastAsia="zh-CN" w:bidi="ar"/>
        </w:rPr>
        <w:t>应配齐健康监测基本设备与用品，包括：一次性手套、口罩、手电筒、晨午检牌及筐、压舌板、测温枪、水银体温计、身高体重检测仪、视力筛查仪（可选）、消毒用品、包扎用品等。</w:t>
      </w:r>
    </w:p>
    <w:p w14:paraId="3E186AC1">
      <w:pPr>
        <w:pStyle w:val="107"/>
        <w:spacing w:before="156" w:after="156"/>
        <w:rPr>
          <w:rFonts w:hint="eastAsia" w:ascii="宋体" w:hAnsi="宋体" w:eastAsia="宋体" w:cs="宋体"/>
          <w:b/>
          <w:bCs/>
          <w:color w:val="000000"/>
          <w:kern w:val="0"/>
          <w:sz w:val="21"/>
          <w:szCs w:val="21"/>
          <w:lang w:val="en-US" w:eastAsia="zh-CN" w:bidi="ar"/>
        </w:rPr>
      </w:pPr>
      <w:bookmarkStart w:id="145" w:name="_Toc485"/>
      <w:r>
        <w:rPr>
          <w:rFonts w:hint="eastAsia" w:ascii="宋体" w:hAnsi="宋体" w:eastAsia="宋体" w:cs="宋体"/>
          <w:b w:val="0"/>
          <w:bCs w:val="0"/>
          <w:color w:val="auto"/>
          <w:kern w:val="0"/>
          <w:sz w:val="21"/>
          <w:szCs w:val="21"/>
          <w:lang w:val="en-US" w:eastAsia="zh-CN" w:bidi="ar"/>
        </w:rPr>
        <w:t>监测内容与方法</w:t>
      </w:r>
      <w:bookmarkEnd w:id="145"/>
    </w:p>
    <w:p w14:paraId="4CD8BB82">
      <w:pPr>
        <w:pStyle w:val="67"/>
        <w:spacing w:before="156" w:after="156"/>
      </w:pPr>
      <w:r>
        <w:rPr>
          <w:rFonts w:hint="eastAsia" w:ascii="宋体" w:hAnsi="宋体" w:eastAsia="宋体" w:cs="宋体"/>
          <w:b/>
          <w:bCs/>
          <w:color w:val="000000"/>
          <w:kern w:val="0"/>
          <w:sz w:val="21"/>
          <w:szCs w:val="21"/>
          <w:lang w:val="en-US" w:eastAsia="zh-CN" w:bidi="ar"/>
        </w:rPr>
        <w:t>健康检查</w:t>
      </w:r>
    </w:p>
    <w:p w14:paraId="444DA0E8">
      <w:pPr>
        <w:pStyle w:val="166"/>
      </w:pPr>
      <w:r>
        <w:rPr>
          <w:rFonts w:hint="eastAsia" w:ascii="宋体" w:hAnsi="宋体" w:eastAsia="宋体" w:cs="宋体"/>
          <w:b w:val="0"/>
          <w:bCs w:val="0"/>
          <w:color w:val="000000"/>
          <w:kern w:val="0"/>
          <w:sz w:val="21"/>
          <w:szCs w:val="21"/>
          <w:lang w:val="en-US" w:eastAsia="zh-CN" w:bidi="ar"/>
        </w:rPr>
        <w:t>入托健康检查：婴幼儿入托前须经医疗卫生机构健康检查合格，查验预防接种证明，建立个人健康档案。</w:t>
      </w:r>
    </w:p>
    <w:p w14:paraId="2886E13F">
      <w:pPr>
        <w:pStyle w:val="166"/>
      </w:pPr>
      <w:r>
        <w:rPr>
          <w:rFonts w:hint="eastAsia" w:ascii="宋体" w:hAnsi="宋体" w:eastAsia="宋体" w:cs="宋体"/>
          <w:b w:val="0"/>
          <w:bCs w:val="0"/>
          <w:color w:val="000000"/>
          <w:kern w:val="0"/>
          <w:sz w:val="21"/>
          <w:szCs w:val="21"/>
          <w:lang w:val="en-US" w:eastAsia="zh-CN" w:bidi="ar"/>
        </w:rPr>
        <w:t>晨午检：每日入托时开展晨检，午睡后开展午检，重点测量体温、观察精神状态、检查皮肤、眼睛及口腔等。</w:t>
      </w:r>
    </w:p>
    <w:p w14:paraId="3EDE87F0">
      <w:pPr>
        <w:pStyle w:val="166"/>
      </w:pPr>
      <w:r>
        <w:rPr>
          <w:rFonts w:hint="eastAsia" w:ascii="宋体" w:hAnsi="宋体" w:eastAsia="宋体" w:cs="宋体"/>
          <w:b w:val="0"/>
          <w:bCs w:val="0"/>
          <w:color w:val="000000"/>
          <w:kern w:val="0"/>
          <w:sz w:val="21"/>
          <w:szCs w:val="21"/>
          <w:lang w:val="en-US" w:eastAsia="zh-CN" w:bidi="ar"/>
        </w:rPr>
        <w:t>定期健康检查：配合妇幼保健机构完成定期体检，包括体格发育、心理行为发育评估、眼保健、口腔保健、听力筛查等。</w:t>
      </w:r>
    </w:p>
    <w:p w14:paraId="07DF2091">
      <w:pPr>
        <w:pStyle w:val="166"/>
      </w:pPr>
      <w:r>
        <w:rPr>
          <w:rFonts w:hint="eastAsia" w:ascii="宋体" w:hAnsi="宋体" w:eastAsia="宋体" w:cs="宋体"/>
          <w:b w:val="0"/>
          <w:bCs w:val="0"/>
          <w:color w:val="000000"/>
          <w:kern w:val="0"/>
          <w:sz w:val="21"/>
          <w:szCs w:val="21"/>
          <w:lang w:val="en-US" w:eastAsia="zh-CN" w:bidi="ar"/>
        </w:rPr>
        <w:t>返园健康检查：婴幼儿离托3 个月及以上返园时，应重新进行健康检查。</w:t>
      </w:r>
    </w:p>
    <w:p w14:paraId="05910088">
      <w:pPr>
        <w:pStyle w:val="67"/>
        <w:spacing w:before="156" w:after="156"/>
      </w:pPr>
      <w:r>
        <w:rPr>
          <w:rFonts w:hint="eastAsia" w:ascii="宋体" w:hAnsi="宋体" w:eastAsia="宋体" w:cs="宋体"/>
          <w:b/>
          <w:bCs/>
          <w:color w:val="000000"/>
          <w:kern w:val="0"/>
          <w:sz w:val="21"/>
          <w:szCs w:val="21"/>
          <w:lang w:val="en-US" w:eastAsia="zh-CN" w:bidi="ar"/>
        </w:rPr>
        <w:t>健康状况监测</w:t>
      </w:r>
    </w:p>
    <w:p w14:paraId="3F35E89B">
      <w:pPr>
        <w:pStyle w:val="166"/>
      </w:pPr>
      <w:r>
        <w:rPr>
          <w:rFonts w:hint="eastAsia" w:ascii="宋体" w:hAnsi="宋体" w:eastAsia="宋体" w:cs="宋体"/>
          <w:b w:val="0"/>
          <w:bCs w:val="0"/>
          <w:color w:val="000000"/>
          <w:kern w:val="0"/>
          <w:sz w:val="21"/>
          <w:szCs w:val="21"/>
          <w:lang w:val="en-US" w:eastAsia="zh-CN" w:bidi="ar"/>
        </w:rPr>
        <w:t>体格发育：监测体重、身长/身高、头围，超重/肥胖婴幼儿加测腰围。</w:t>
      </w:r>
    </w:p>
    <w:p w14:paraId="080687E0">
      <w:pPr>
        <w:pStyle w:val="166"/>
      </w:pPr>
      <w:r>
        <w:rPr>
          <w:rFonts w:hint="eastAsia" w:ascii="宋体" w:hAnsi="宋体" w:eastAsia="宋体" w:cs="宋体"/>
          <w:b w:val="0"/>
          <w:bCs w:val="0"/>
          <w:color w:val="000000"/>
          <w:kern w:val="0"/>
          <w:sz w:val="21"/>
          <w:szCs w:val="21"/>
          <w:lang w:val="en-US" w:eastAsia="zh-CN" w:bidi="ar"/>
        </w:rPr>
        <w:t>心理行为发育：依据0—6岁儿童心理行为发育问题预警征象**开展筛查评估。</w:t>
      </w:r>
    </w:p>
    <w:p w14:paraId="69F0C698">
      <w:pPr>
        <w:pStyle w:val="166"/>
      </w:pPr>
      <w:r>
        <w:rPr>
          <w:rFonts w:hint="eastAsia" w:ascii="宋体" w:hAnsi="宋体" w:eastAsia="宋体" w:cs="宋体"/>
          <w:b w:val="0"/>
          <w:bCs w:val="0"/>
          <w:color w:val="000000"/>
          <w:kern w:val="0"/>
          <w:sz w:val="21"/>
          <w:szCs w:val="21"/>
          <w:lang w:val="en-US" w:eastAsia="zh-CN" w:bidi="ar"/>
        </w:rPr>
        <w:t>眼部健康：观察眼部分泌物、眼睑红肿、结膜充血、揉眼、畏光、流泪、异常眨眼等异常表现。</w:t>
      </w:r>
    </w:p>
    <w:p w14:paraId="14EB9BBC">
      <w:pPr>
        <w:pStyle w:val="166"/>
      </w:pPr>
      <w:r>
        <w:rPr>
          <w:rFonts w:hint="eastAsia" w:ascii="宋体" w:hAnsi="宋体" w:eastAsia="宋体" w:cs="宋体"/>
          <w:b w:val="0"/>
          <w:bCs w:val="0"/>
          <w:color w:val="000000"/>
          <w:kern w:val="0"/>
          <w:sz w:val="21"/>
          <w:szCs w:val="21"/>
          <w:lang w:val="en-US" w:eastAsia="zh-CN" w:bidi="ar"/>
        </w:rPr>
        <w:t>口腔健康：检查口唇、口腔黏膜、舌系带、牙齿、牙龈等，重点排查口腔溃疡、疱疹、鹅口疮、龋齿、牙龈红肿等。</w:t>
      </w:r>
    </w:p>
    <w:p w14:paraId="16B8F551">
      <w:pPr>
        <w:pStyle w:val="166"/>
      </w:pPr>
      <w:r>
        <w:rPr>
          <w:rFonts w:hint="eastAsia" w:ascii="宋体" w:hAnsi="宋体" w:eastAsia="宋体" w:cs="宋体"/>
          <w:b w:val="0"/>
          <w:bCs w:val="0"/>
          <w:color w:val="000000"/>
          <w:kern w:val="0"/>
          <w:sz w:val="21"/>
          <w:szCs w:val="21"/>
          <w:lang w:val="en-US" w:eastAsia="zh-CN" w:bidi="ar"/>
        </w:rPr>
        <w:t>心理健康：观察情绪状态、依恋行为、同伴交往等社会适应情况；对分离焦虑、攻击性行为、发育迟缓、行为异常等婴幼儿重点关注并记录。</w:t>
      </w:r>
    </w:p>
    <w:p w14:paraId="320205F3">
      <w:pPr>
        <w:pStyle w:val="67"/>
        <w:spacing w:before="156" w:after="156"/>
      </w:pPr>
      <w:r>
        <w:rPr>
          <w:rFonts w:hint="eastAsia" w:ascii="宋体" w:hAnsi="宋体" w:eastAsia="宋体" w:cs="宋体"/>
          <w:b/>
          <w:bCs/>
          <w:color w:val="000000"/>
          <w:kern w:val="0"/>
          <w:sz w:val="21"/>
          <w:szCs w:val="21"/>
          <w:lang w:val="en-US" w:eastAsia="zh-CN" w:bidi="ar"/>
        </w:rPr>
        <w:t>疾病监测</w:t>
      </w:r>
    </w:p>
    <w:p w14:paraId="68A67B31">
      <w:pPr>
        <w:pStyle w:val="166"/>
      </w:pPr>
      <w:r>
        <w:rPr>
          <w:rFonts w:hint="eastAsia" w:ascii="宋体" w:hAnsi="宋体" w:eastAsia="宋体" w:cs="宋体"/>
          <w:b w:val="0"/>
          <w:bCs w:val="0"/>
          <w:color w:val="000000"/>
          <w:kern w:val="0"/>
          <w:sz w:val="21"/>
          <w:szCs w:val="21"/>
          <w:lang w:val="en-US" w:eastAsia="zh-CN" w:bidi="ar"/>
        </w:rPr>
        <w:t>症状监测：全日健康观察重点关注发热、咳嗽、腹泻、皮疹、结膜充血等异常症状。</w:t>
      </w:r>
    </w:p>
    <w:p w14:paraId="7D8B9556">
      <w:pPr>
        <w:pStyle w:val="166"/>
      </w:pPr>
      <w:r>
        <w:rPr>
          <w:rFonts w:hint="eastAsia" w:ascii="宋体" w:hAnsi="宋体" w:eastAsia="宋体" w:cs="宋体"/>
          <w:b w:val="0"/>
          <w:bCs w:val="0"/>
          <w:color w:val="000000"/>
          <w:kern w:val="0"/>
          <w:sz w:val="21"/>
          <w:szCs w:val="21"/>
          <w:lang w:val="en-US" w:eastAsia="zh-CN" w:bidi="ar"/>
        </w:rPr>
        <w:t>传染病监测：发现疑似传染病症状，立即临时隔离、通知家长，并向属地疾控机构及健康指导员报告。</w:t>
      </w:r>
    </w:p>
    <w:p w14:paraId="180DC07D">
      <w:pPr>
        <w:pStyle w:val="166"/>
      </w:pPr>
      <w:r>
        <w:rPr>
          <w:rFonts w:hint="eastAsia" w:ascii="宋体" w:hAnsi="宋体" w:eastAsia="宋体" w:cs="宋体"/>
          <w:b w:val="0"/>
          <w:bCs w:val="0"/>
          <w:color w:val="000000"/>
          <w:kern w:val="0"/>
          <w:sz w:val="21"/>
          <w:szCs w:val="21"/>
          <w:lang w:val="en-US" w:eastAsia="zh-CN" w:bidi="ar"/>
        </w:rPr>
        <w:t>缺勤追踪：对缺勤婴幼儿实行患病追踪管理，记录缺勤原因；发现聚集性疫情及时上报。</w:t>
      </w:r>
    </w:p>
    <w:p w14:paraId="3D4BD06A">
      <w:pPr>
        <w:pStyle w:val="107"/>
        <w:spacing w:before="156" w:after="156"/>
        <w:rPr>
          <w:rFonts w:hint="eastAsia" w:ascii="宋体" w:hAnsi="宋体" w:eastAsia="宋体" w:cs="宋体"/>
          <w:b/>
          <w:bCs/>
          <w:color w:val="000000"/>
          <w:kern w:val="0"/>
          <w:sz w:val="21"/>
          <w:szCs w:val="21"/>
          <w:lang w:val="en-US" w:eastAsia="zh-CN" w:bidi="ar"/>
        </w:rPr>
      </w:pPr>
      <w:bookmarkStart w:id="146" w:name="_Toc22742"/>
      <w:r>
        <w:rPr>
          <w:rFonts w:hint="eastAsia" w:ascii="宋体" w:hAnsi="宋体" w:eastAsia="宋体" w:cs="宋体"/>
          <w:b w:val="0"/>
          <w:bCs w:val="0"/>
          <w:color w:val="auto"/>
          <w:kern w:val="0"/>
          <w:sz w:val="21"/>
          <w:szCs w:val="21"/>
          <w:lang w:val="en-US" w:eastAsia="zh-CN" w:bidi="ar"/>
        </w:rPr>
        <w:t>监测频次</w:t>
      </w:r>
      <w:bookmarkEnd w:id="146"/>
    </w:p>
    <w:p w14:paraId="79057447">
      <w:pPr>
        <w:pStyle w:val="67"/>
        <w:spacing w:before="156" w:after="156"/>
      </w:pPr>
      <w:r>
        <w:rPr>
          <w:rFonts w:hint="eastAsia" w:ascii="宋体" w:hAnsi="宋体" w:eastAsia="宋体" w:cs="宋体"/>
          <w:b/>
          <w:bCs/>
          <w:color w:val="000000"/>
          <w:kern w:val="0"/>
          <w:sz w:val="21"/>
          <w:szCs w:val="21"/>
          <w:lang w:val="en-US" w:eastAsia="zh-CN" w:bidi="ar"/>
        </w:rPr>
        <w:t>日常监测</w:t>
      </w:r>
    </w:p>
    <w:p w14:paraId="5A8D6C18">
      <w:pPr>
        <w:pStyle w:val="166"/>
      </w:pPr>
      <w:r>
        <w:rPr>
          <w:rFonts w:hint="eastAsia" w:ascii="宋体" w:hAnsi="宋体" w:eastAsia="宋体" w:cs="宋体"/>
          <w:b w:val="0"/>
          <w:bCs w:val="0"/>
          <w:color w:val="000000"/>
          <w:kern w:val="0"/>
          <w:sz w:val="21"/>
          <w:szCs w:val="21"/>
          <w:lang w:val="en-US" w:eastAsia="zh-CN" w:bidi="ar"/>
        </w:rPr>
        <w:t>晨检：每日入托时开展，如实记录结果。</w:t>
      </w:r>
    </w:p>
    <w:p w14:paraId="4ECDB6C2">
      <w:pPr>
        <w:pStyle w:val="166"/>
      </w:pPr>
      <w:r>
        <w:rPr>
          <w:rFonts w:hint="eastAsia" w:ascii="宋体" w:hAnsi="宋体" w:eastAsia="宋体" w:cs="宋体"/>
          <w:b w:val="0"/>
          <w:bCs w:val="0"/>
          <w:color w:val="000000"/>
          <w:kern w:val="0"/>
          <w:sz w:val="21"/>
          <w:szCs w:val="21"/>
          <w:lang w:val="en-US" w:eastAsia="zh-CN" w:bidi="ar"/>
        </w:rPr>
        <w:t>午检：每日午睡后开展 1 次。</w:t>
      </w:r>
    </w:p>
    <w:p w14:paraId="3C025C98">
      <w:pPr>
        <w:pStyle w:val="166"/>
      </w:pPr>
      <w:r>
        <w:rPr>
          <w:rFonts w:hint="eastAsia" w:ascii="宋体" w:hAnsi="宋体" w:eastAsia="宋体" w:cs="宋体"/>
          <w:b w:val="0"/>
          <w:bCs w:val="0"/>
          <w:color w:val="000000"/>
          <w:kern w:val="0"/>
          <w:sz w:val="21"/>
          <w:szCs w:val="21"/>
          <w:lang w:val="en-US" w:eastAsia="zh-CN" w:bidi="ar"/>
        </w:rPr>
        <w:t>全日观察：保育人员在照护全过程持续观察，异常情况即时记录。</w:t>
      </w:r>
    </w:p>
    <w:p w14:paraId="44F48F7C">
      <w:pPr>
        <w:pStyle w:val="166"/>
      </w:pPr>
      <w:r>
        <w:rPr>
          <w:rFonts w:hint="eastAsia" w:ascii="宋体" w:hAnsi="宋体" w:eastAsia="宋体" w:cs="宋体"/>
          <w:b w:val="0"/>
          <w:bCs w:val="0"/>
          <w:color w:val="000000"/>
          <w:kern w:val="0"/>
          <w:sz w:val="21"/>
          <w:szCs w:val="21"/>
          <w:lang w:val="en-US" w:eastAsia="zh-CN" w:bidi="ar"/>
        </w:rPr>
        <w:t>环境清洁消毒监测：每日开展并记录。</w:t>
      </w:r>
    </w:p>
    <w:p w14:paraId="259C0B15">
      <w:pPr>
        <w:pStyle w:val="67"/>
        <w:spacing w:before="156" w:after="156"/>
      </w:pPr>
      <w:r>
        <w:rPr>
          <w:rFonts w:hint="eastAsia" w:ascii="宋体" w:hAnsi="宋体" w:eastAsia="宋体" w:cs="宋体"/>
          <w:b/>
          <w:bCs/>
          <w:color w:val="000000"/>
          <w:kern w:val="0"/>
          <w:sz w:val="21"/>
          <w:szCs w:val="21"/>
          <w:lang w:val="en-US" w:eastAsia="zh-CN" w:bidi="ar"/>
        </w:rPr>
        <w:t>定期监测</w:t>
      </w:r>
    </w:p>
    <w:p w14:paraId="4E123EF7">
      <w:pPr>
        <w:pStyle w:val="166"/>
      </w:pPr>
      <w:r>
        <w:rPr>
          <w:rFonts w:hint="eastAsia" w:ascii="宋体" w:hAnsi="宋体" w:eastAsia="宋体" w:cs="宋体"/>
          <w:b w:val="0"/>
          <w:bCs w:val="0"/>
          <w:color w:val="000000"/>
          <w:kern w:val="0"/>
          <w:sz w:val="21"/>
          <w:szCs w:val="21"/>
          <w:lang w:val="en-US" w:eastAsia="zh-CN" w:bidi="ar"/>
        </w:rPr>
        <w:t>健康体检：按国家基本公共卫生服务要求执行，6 个月以内婴儿每月1次；7—12个月婴儿每2—3个月1次；13个月以上婴幼儿每3—6个月1次。</w:t>
      </w:r>
    </w:p>
    <w:p w14:paraId="709F7FA8">
      <w:pPr>
        <w:pStyle w:val="106"/>
        <w:spacing w:before="312" w:after="312"/>
        <w:rPr>
          <w:rFonts w:hint="eastAsia" w:ascii="黑体" w:hAnsi="Times New Roman" w:eastAsia="黑体" w:cs="Times New Roman"/>
          <w:b w:val="0"/>
          <w:bCs w:val="0"/>
          <w:sz w:val="21"/>
          <w:szCs w:val="20"/>
          <w:lang w:val="en-US" w:eastAsia="zh-CN" w:bidi="ar"/>
        </w:rPr>
      </w:pPr>
      <w:bookmarkStart w:id="147" w:name="_Toc30274"/>
      <w:bookmarkStart w:id="148" w:name="_Toc3530"/>
      <w:bookmarkStart w:id="149" w:name="_Toc19240"/>
      <w:bookmarkStart w:id="150" w:name="_Toc5657"/>
      <w:bookmarkStart w:id="151" w:name="_Toc6965"/>
      <w:r>
        <w:rPr>
          <w:rFonts w:hint="eastAsia" w:ascii="黑体" w:hAnsi="Times New Roman" w:eastAsia="黑体" w:cs="Times New Roman"/>
          <w:b w:val="0"/>
          <w:bCs w:val="0"/>
          <w:sz w:val="21"/>
          <w:szCs w:val="20"/>
          <w:lang w:val="en-US" w:eastAsia="zh-CN" w:bidi="ar"/>
        </w:rPr>
        <w:t>膳食营养</w:t>
      </w:r>
      <w:bookmarkEnd w:id="147"/>
      <w:bookmarkEnd w:id="148"/>
      <w:bookmarkEnd w:id="149"/>
      <w:bookmarkEnd w:id="150"/>
      <w:bookmarkEnd w:id="151"/>
    </w:p>
    <w:p w14:paraId="10E70327">
      <w:pPr>
        <w:pStyle w:val="107"/>
        <w:spacing w:before="156" w:after="156"/>
        <w:rPr>
          <w:rFonts w:hint="eastAsia" w:ascii="宋体" w:hAnsi="宋体" w:eastAsia="宋体" w:cs="宋体"/>
          <w:b/>
          <w:bCs/>
          <w:color w:val="000000"/>
          <w:sz w:val="21"/>
          <w:szCs w:val="21"/>
          <w:lang w:val="en-US" w:eastAsia="zh-CN" w:bidi="ar"/>
        </w:rPr>
      </w:pPr>
      <w:bookmarkStart w:id="152" w:name="_Toc6274"/>
      <w:r>
        <w:rPr>
          <w:rFonts w:hint="eastAsia" w:ascii="宋体" w:hAnsi="宋体" w:eastAsia="宋体" w:cs="宋体"/>
          <w:b w:val="0"/>
          <w:bCs w:val="0"/>
          <w:color w:val="auto"/>
          <w:sz w:val="21"/>
          <w:szCs w:val="21"/>
          <w:lang w:val="en-US" w:eastAsia="zh-CN" w:bidi="ar"/>
        </w:rPr>
        <w:t>总体要求</w:t>
      </w:r>
      <w:bookmarkEnd w:id="152"/>
    </w:p>
    <w:p w14:paraId="2FE76F17">
      <w:pPr>
        <w:pStyle w:val="167"/>
      </w:pPr>
      <w:r>
        <w:rPr>
          <w:rFonts w:hint="eastAsia" w:ascii="宋体" w:hAnsi="宋体" w:eastAsia="宋体" w:cs="宋体"/>
          <w:b w:val="0"/>
          <w:bCs w:val="0"/>
          <w:sz w:val="21"/>
          <w:szCs w:val="21"/>
        </w:rPr>
        <w:t>托育机构应在医疗机构（如妇幼保健院、社区卫生服务中心）指导下，建立以“医育结合、营养先行”为核心的膳食管理体系，保障婴幼儿营养摄入均衡，促进生长发育。</w:t>
      </w:r>
    </w:p>
    <w:p w14:paraId="24D1AFA6">
      <w:pPr>
        <w:pStyle w:val="167"/>
      </w:pPr>
      <w:r>
        <w:rPr>
          <w:rFonts w:hint="eastAsia" w:ascii="宋体" w:hAnsi="宋体" w:eastAsia="宋体" w:cs="宋体"/>
          <w:b w:val="0"/>
          <w:bCs w:val="0"/>
          <w:sz w:val="21"/>
          <w:szCs w:val="21"/>
        </w:rPr>
        <w:t>膳食指导应覆盖0～3岁全年龄段，分龄制定营养目标与喂养策略，注重个体差异与特殊需求</w:t>
      </w:r>
      <w:r>
        <w:rPr>
          <w:rFonts w:hint="eastAsia" w:ascii="宋体" w:hAnsi="宋体" w:cs="宋体"/>
          <w:b w:val="0"/>
          <w:bCs w:val="0"/>
          <w:sz w:val="21"/>
          <w:szCs w:val="21"/>
          <w:lang w:eastAsia="zh"/>
          <w:woUserID w:val="10"/>
        </w:rPr>
        <w:t>；</w:t>
      </w:r>
      <w:r>
        <w:rPr>
          <w:rFonts w:hint="eastAsia" w:ascii="宋体" w:hAnsi="宋体" w:eastAsia="宋体" w:cs="宋体"/>
          <w:i w:val="0"/>
          <w:iCs w:val="0"/>
          <w:caps w:val="0"/>
          <w:color w:val="auto"/>
          <w:spacing w:val="0"/>
          <w:sz w:val="21"/>
          <w:szCs w:val="21"/>
          <w:shd w:val="clear" w:fill="auto"/>
          <w:woUserID w:val="0"/>
        </w:rPr>
        <w:t>膳食喂养过程中</w:t>
      </w:r>
      <w:r>
        <w:rPr>
          <w:rFonts w:hint="eastAsia" w:ascii="宋体" w:hAnsi="宋体" w:cs="宋体"/>
          <w:i w:val="0"/>
          <w:iCs w:val="0"/>
          <w:caps w:val="0"/>
          <w:color w:val="auto"/>
          <w:spacing w:val="0"/>
          <w:sz w:val="21"/>
          <w:szCs w:val="21"/>
          <w:shd w:val="clear" w:fill="auto"/>
          <w:lang w:val="en-US" w:eastAsia="zh-CN"/>
          <w:woUserID w:val="0"/>
        </w:rPr>
        <w:t>应按照</w:t>
      </w:r>
      <w:r>
        <w:rPr>
          <w:rFonts w:hint="eastAsia" w:ascii="宋体" w:hAnsi="宋体" w:eastAsia="宋体" w:cs="宋体"/>
          <w:i w:val="0"/>
          <w:iCs w:val="0"/>
          <w:caps w:val="0"/>
          <w:color w:val="auto"/>
          <w:spacing w:val="0"/>
          <w:sz w:val="21"/>
          <w:szCs w:val="21"/>
          <w:shd w:val="clear" w:fill="auto"/>
          <w:woUserID w:val="0"/>
        </w:rPr>
        <w:t>DB43/T 3501—2026</w:t>
      </w:r>
      <w:r>
        <w:rPr>
          <w:rFonts w:hint="eastAsia" w:ascii="宋体" w:hAnsi="宋体" w:cs="宋体"/>
          <w:i w:val="0"/>
          <w:iCs w:val="0"/>
          <w:caps w:val="0"/>
          <w:color w:val="auto"/>
          <w:spacing w:val="0"/>
          <w:sz w:val="21"/>
          <w:szCs w:val="21"/>
          <w:shd w:val="clear" w:fill="auto"/>
          <w:lang w:val="en-US" w:eastAsia="zh-CN"/>
          <w:woUserID w:val="0"/>
        </w:rPr>
        <w:t>要求</w:t>
      </w:r>
      <w:r>
        <w:rPr>
          <w:rFonts w:hint="eastAsia" w:ascii="宋体" w:hAnsi="宋体" w:eastAsia="宋体" w:cs="宋体"/>
          <w:i w:val="0"/>
          <w:iCs w:val="0"/>
          <w:caps w:val="0"/>
          <w:color w:val="auto"/>
          <w:spacing w:val="0"/>
          <w:sz w:val="21"/>
          <w:szCs w:val="21"/>
          <w:shd w:val="clear" w:fill="auto"/>
          <w:woUserID w:val="0"/>
        </w:rPr>
        <w:t>融入回应性喂养理念</w:t>
      </w:r>
      <w:r>
        <w:rPr>
          <w:rFonts w:hint="eastAsia" w:ascii="宋体" w:hAnsi="宋体" w:eastAsia="宋体" w:cs="宋体"/>
          <w:b w:val="0"/>
          <w:bCs w:val="0"/>
          <w:sz w:val="21"/>
          <w:szCs w:val="21"/>
        </w:rPr>
        <w:t>。</w:t>
      </w:r>
    </w:p>
    <w:p w14:paraId="764FFE48">
      <w:pPr>
        <w:pStyle w:val="167"/>
      </w:pPr>
      <w:r>
        <w:rPr>
          <w:rFonts w:hint="eastAsia" w:ascii="宋体" w:hAnsi="宋体" w:eastAsia="宋体" w:cs="宋体"/>
          <w:b w:val="0"/>
          <w:bCs w:val="0"/>
          <w:sz w:val="21"/>
          <w:szCs w:val="21"/>
        </w:rPr>
        <w:t>托育机构应设立“医育结合膳食指导小组”，由机构负责人、卫生保健人员、营养指导员（可由医疗机构派出）、保育人员代表组成，每季度召开一次膳食评估会议。</w:t>
      </w:r>
    </w:p>
    <w:p w14:paraId="66673FC6">
      <w:pPr>
        <w:pStyle w:val="107"/>
        <w:spacing w:before="156" w:after="156"/>
        <w:rPr>
          <w:rFonts w:hint="eastAsia" w:ascii="宋体" w:hAnsi="宋体" w:eastAsia="宋体" w:cs="宋体"/>
          <w:b/>
          <w:bCs/>
          <w:color w:val="000000"/>
          <w:sz w:val="21"/>
          <w:szCs w:val="21"/>
          <w:lang w:val="en-US" w:eastAsia="zh-CN" w:bidi="ar"/>
        </w:rPr>
      </w:pPr>
      <w:bookmarkStart w:id="153" w:name="_Toc14028"/>
      <w:r>
        <w:rPr>
          <w:rFonts w:hint="eastAsia" w:ascii="宋体" w:hAnsi="宋体" w:eastAsia="宋体" w:cs="宋体"/>
          <w:b w:val="0"/>
          <w:bCs w:val="0"/>
          <w:color w:val="auto"/>
          <w:sz w:val="21"/>
          <w:szCs w:val="21"/>
          <w:lang w:val="en-US" w:eastAsia="zh-CN" w:bidi="ar"/>
        </w:rPr>
        <w:t>膳食计划与带量食谱管理</w:t>
      </w:r>
      <w:bookmarkEnd w:id="153"/>
    </w:p>
    <w:p w14:paraId="3CEDB600">
      <w:pPr>
        <w:pStyle w:val="167"/>
      </w:pPr>
      <w:r>
        <w:rPr>
          <w:rFonts w:hint="eastAsia" w:ascii="宋体" w:hAnsi="宋体" w:eastAsia="宋体" w:cs="宋体"/>
          <w:b w:val="0"/>
          <w:bCs w:val="0"/>
          <w:sz w:val="21"/>
          <w:szCs w:val="21"/>
        </w:rPr>
        <w:t>托育机构应根据婴幼儿月龄分布，在医疗机构指导下制定带量食谱，每1～2周更新一次，并向家长公示。</w:t>
      </w:r>
    </w:p>
    <w:p w14:paraId="36E84D5B">
      <w:pPr>
        <w:pStyle w:val="167"/>
      </w:pPr>
      <w:r>
        <w:rPr>
          <w:rFonts w:hint="eastAsia" w:ascii="宋体" w:hAnsi="宋体" w:eastAsia="宋体" w:cs="宋体"/>
          <w:b w:val="0"/>
          <w:bCs w:val="0"/>
          <w:sz w:val="21"/>
          <w:szCs w:val="21"/>
        </w:rPr>
        <w:t>食谱应包含每日三餐两点（早餐、早点、午餐、午点、晚餐），标注每餐能量、蛋白质、脂肪、碳水化合物含量，确保每日营养素摄入符合国家推荐标准（参照《中国居民膳食营养素参考摄入量（2023版）》）。</w:t>
      </w:r>
    </w:p>
    <w:p w14:paraId="54293FAD">
      <w:pPr>
        <w:pStyle w:val="167"/>
      </w:pPr>
      <w:r>
        <w:rPr>
          <w:rFonts w:hint="eastAsia" w:ascii="宋体" w:hAnsi="宋体" w:eastAsia="宋体" w:cs="宋体"/>
          <w:b w:val="0"/>
          <w:bCs w:val="0"/>
          <w:sz w:val="21"/>
          <w:szCs w:val="21"/>
        </w:rPr>
        <w:t>每季度至少开展一次膳食调查与营养评估，评估结果纳入婴幼儿健康档案，并作为食谱调整依据。</w:t>
      </w:r>
      <w:r>
        <w:rPr>
          <w:rFonts w:hint="eastAsia" w:ascii="宋体" w:hAnsi="宋体" w:eastAsia="宋体" w:cs="宋体"/>
          <w:b w:val="0"/>
          <w:bCs w:val="0"/>
          <w:sz w:val="21"/>
          <w:szCs w:val="21"/>
          <w:lang w:val="en-US" w:eastAsia="zh-CN"/>
        </w:rPr>
        <w:t>膳食评估记录参考</w:t>
      </w:r>
      <w:r>
        <w:rPr>
          <w:rFonts w:hint="eastAsia" w:ascii="宋体" w:hAnsi="宋体" w:eastAsia="宋体" w:cs="宋体"/>
          <w:b w:val="0"/>
          <w:bCs w:val="0"/>
          <w:color w:val="0000FF"/>
          <w:sz w:val="21"/>
          <w:szCs w:val="21"/>
          <w:lang w:val="en-US" w:eastAsia="zh-CN"/>
        </w:rPr>
        <w:t>附录A</w:t>
      </w:r>
      <w:r>
        <w:rPr>
          <w:rFonts w:hint="eastAsia" w:ascii="宋体" w:hAnsi="宋体" w:eastAsia="宋体" w:cs="宋体"/>
          <w:b w:val="0"/>
          <w:bCs w:val="0"/>
          <w:sz w:val="21"/>
          <w:szCs w:val="21"/>
          <w:lang w:val="en-US" w:eastAsia="zh-CN"/>
        </w:rPr>
        <w:t>。</w:t>
      </w:r>
    </w:p>
    <w:p w14:paraId="51D726C8">
      <w:pPr>
        <w:pStyle w:val="107"/>
        <w:spacing w:before="156" w:after="156"/>
        <w:rPr>
          <w:rFonts w:hint="eastAsia" w:ascii="宋体" w:hAnsi="宋体" w:eastAsia="宋体" w:cs="宋体"/>
          <w:b/>
          <w:bCs/>
          <w:color w:val="000000"/>
          <w:sz w:val="21"/>
          <w:szCs w:val="21"/>
          <w:lang w:val="en-US" w:eastAsia="zh-CN" w:bidi="ar"/>
        </w:rPr>
      </w:pPr>
      <w:bookmarkStart w:id="154" w:name="_Toc12045"/>
      <w:r>
        <w:rPr>
          <w:rFonts w:hint="eastAsia" w:ascii="宋体" w:hAnsi="宋体" w:eastAsia="宋体" w:cs="宋体"/>
          <w:b w:val="0"/>
          <w:bCs w:val="0"/>
          <w:color w:val="auto"/>
          <w:sz w:val="21"/>
          <w:szCs w:val="21"/>
          <w:lang w:val="en-US" w:eastAsia="zh-CN" w:bidi="ar"/>
        </w:rPr>
        <w:t>分龄喂养指导</w:t>
      </w:r>
      <w:bookmarkEnd w:id="154"/>
    </w:p>
    <w:p w14:paraId="720B7005">
      <w:pPr>
        <w:pStyle w:val="67"/>
        <w:spacing w:before="156" w:after="156"/>
      </w:pPr>
      <w:r>
        <w:rPr>
          <w:rFonts w:hint="eastAsia" w:ascii="宋体" w:hAnsi="宋体" w:eastAsia="宋体" w:cs="宋体"/>
          <w:b w:val="0"/>
          <w:bCs w:val="0"/>
          <w:sz w:val="21"/>
          <w:szCs w:val="21"/>
        </w:rPr>
        <w:t>6～12月龄（辅食添加期）</w:t>
      </w:r>
    </w:p>
    <w:p w14:paraId="219EB101">
      <w:pPr>
        <w:pStyle w:val="134"/>
      </w:pPr>
      <w:r>
        <w:rPr>
          <w:rFonts w:hint="eastAsia" w:ascii="宋体" w:hAnsi="宋体" w:eastAsia="宋体" w:cs="宋体"/>
          <w:b w:val="0"/>
          <w:bCs w:val="0"/>
          <w:sz w:val="21"/>
          <w:szCs w:val="21"/>
        </w:rPr>
        <w:t>坚持母乳优先，鼓励母亲入园亲喂，设立喂奶室并提供母乳储存设备。</w:t>
      </w:r>
    </w:p>
    <w:p w14:paraId="7702FDA6">
      <w:pPr>
        <w:pStyle w:val="134"/>
      </w:pPr>
      <w:r>
        <w:rPr>
          <w:rFonts w:hint="eastAsia" w:ascii="宋体" w:hAnsi="宋体" w:eastAsia="宋体" w:cs="宋体"/>
          <w:b w:val="0"/>
          <w:bCs w:val="0"/>
          <w:sz w:val="21"/>
          <w:szCs w:val="21"/>
        </w:rPr>
        <w:t>从富含铁的泥糊状食物开始添加（如强化铁米粉、</w:t>
      </w:r>
      <w:r>
        <w:rPr>
          <w:rFonts w:hint="eastAsia" w:ascii="宋体" w:hAnsi="宋体" w:eastAsia="宋体" w:cs="宋体"/>
          <w:b w:val="0"/>
          <w:bCs w:val="0"/>
          <w:sz w:val="21"/>
          <w:szCs w:val="21"/>
          <w:lang w:val="en-US" w:eastAsia="zh-CN"/>
        </w:rPr>
        <w:t>肉泥、</w:t>
      </w:r>
      <w:r>
        <w:rPr>
          <w:rFonts w:hint="eastAsia" w:ascii="宋体" w:hAnsi="宋体" w:eastAsia="宋体" w:cs="宋体"/>
          <w:b w:val="0"/>
          <w:bCs w:val="0"/>
          <w:sz w:val="21"/>
          <w:szCs w:val="21"/>
        </w:rPr>
        <w:t>肝泥），每次只添加一种新食物，观察3～5天。</w:t>
      </w:r>
    </w:p>
    <w:p w14:paraId="0C474F5C">
      <w:pPr>
        <w:pStyle w:val="134"/>
      </w:pPr>
      <w:r>
        <w:rPr>
          <w:rFonts w:hint="eastAsia" w:ascii="宋体" w:hAnsi="宋体" w:eastAsia="宋体" w:cs="宋体"/>
          <w:b w:val="0"/>
          <w:bCs w:val="0"/>
          <w:sz w:val="21"/>
          <w:szCs w:val="21"/>
        </w:rPr>
        <w:t>逐步引入碎末状、指状食物，鼓励手抓进食，促进咀嚼与手眼协调能力。</w:t>
      </w:r>
    </w:p>
    <w:p w14:paraId="4B4026C2">
      <w:pPr>
        <w:pStyle w:val="67"/>
        <w:spacing w:before="156" w:after="156"/>
      </w:pPr>
      <w:r>
        <w:rPr>
          <w:rFonts w:hint="eastAsia" w:ascii="宋体" w:hAnsi="宋体" w:eastAsia="宋体" w:cs="宋体"/>
          <w:b w:val="0"/>
          <w:bCs w:val="0"/>
          <w:sz w:val="21"/>
          <w:szCs w:val="21"/>
        </w:rPr>
        <w:t>12～24月龄（过渡期）</w:t>
      </w:r>
    </w:p>
    <w:p w14:paraId="7FCDBC25">
      <w:pPr>
        <w:pStyle w:val="134"/>
      </w:pPr>
      <w:r>
        <w:rPr>
          <w:rFonts w:hint="eastAsia" w:ascii="宋体" w:hAnsi="宋体" w:eastAsia="宋体" w:cs="宋体"/>
          <w:b w:val="0"/>
          <w:bCs w:val="0"/>
          <w:sz w:val="21"/>
          <w:szCs w:val="21"/>
        </w:rPr>
        <w:t>每日提供三顿正餐、两次加餐，奶量控制在400～600mL。</w:t>
      </w:r>
    </w:p>
    <w:p w14:paraId="6A78E43B">
      <w:pPr>
        <w:pStyle w:val="134"/>
      </w:pPr>
      <w:r>
        <w:rPr>
          <w:rFonts w:hint="eastAsia" w:ascii="宋体" w:hAnsi="宋体" w:eastAsia="宋体" w:cs="宋体"/>
          <w:b w:val="0"/>
          <w:bCs w:val="0"/>
          <w:sz w:val="21"/>
          <w:szCs w:val="21"/>
        </w:rPr>
        <w:t>食物逐步过渡到家庭化饮食，尝试块状食物（如肉丸、馒头块），培养自主进食能力。</w:t>
      </w:r>
    </w:p>
    <w:p w14:paraId="5D547DAA">
      <w:pPr>
        <w:pStyle w:val="134"/>
      </w:pPr>
      <w:r>
        <w:rPr>
          <w:rFonts w:hint="eastAsia" w:ascii="宋体" w:hAnsi="宋体" w:eastAsia="宋体" w:cs="宋体"/>
          <w:b w:val="0"/>
          <w:bCs w:val="0"/>
          <w:sz w:val="21"/>
          <w:szCs w:val="21"/>
        </w:rPr>
        <w:t>控制盐、糖、油脂摄入，食盐量每日不超过1.5g。</w:t>
      </w:r>
    </w:p>
    <w:p w14:paraId="2DD6E70E">
      <w:pPr>
        <w:pStyle w:val="67"/>
        <w:spacing w:before="156" w:after="156"/>
      </w:pPr>
      <w:r>
        <w:rPr>
          <w:rFonts w:hint="eastAsia" w:ascii="宋体" w:hAnsi="宋体" w:eastAsia="宋体" w:cs="宋体"/>
          <w:b w:val="0"/>
          <w:bCs w:val="0"/>
          <w:sz w:val="21"/>
          <w:szCs w:val="21"/>
        </w:rPr>
        <w:t>24～36月龄（独立进食期）</w:t>
      </w:r>
    </w:p>
    <w:p w14:paraId="07CE1A78">
      <w:pPr>
        <w:pStyle w:val="134"/>
      </w:pPr>
      <w:r>
        <w:rPr>
          <w:rFonts w:hint="eastAsia" w:ascii="宋体" w:hAnsi="宋体" w:eastAsia="宋体" w:cs="宋体"/>
          <w:b w:val="0"/>
          <w:bCs w:val="0"/>
          <w:sz w:val="21"/>
          <w:szCs w:val="21"/>
        </w:rPr>
        <w:t>鼓励幼儿自主使用餐具，培养良好进餐礼仪。</w:t>
      </w:r>
    </w:p>
    <w:p w14:paraId="7A91D997">
      <w:pPr>
        <w:pStyle w:val="134"/>
      </w:pPr>
      <w:r>
        <w:rPr>
          <w:rFonts w:hint="eastAsia" w:ascii="宋体" w:hAnsi="宋体" w:eastAsia="宋体" w:cs="宋体"/>
          <w:b w:val="0"/>
          <w:bCs w:val="0"/>
          <w:sz w:val="21"/>
          <w:szCs w:val="21"/>
        </w:rPr>
        <w:t>每日食物种类不少于12种，每周不少于25种，注重颜色搭配与营养密度。</w:t>
      </w:r>
    </w:p>
    <w:p w14:paraId="32189C3C">
      <w:pPr>
        <w:pStyle w:val="134"/>
      </w:pPr>
      <w:r>
        <w:rPr>
          <w:rFonts w:hint="eastAsia" w:ascii="宋体" w:hAnsi="宋体" w:eastAsia="宋体" w:cs="宋体"/>
          <w:b w:val="0"/>
          <w:bCs w:val="0"/>
          <w:sz w:val="21"/>
          <w:szCs w:val="21"/>
        </w:rPr>
        <w:t>限制含糖饮料、高盐零食、油炸食品的摄入。</w:t>
      </w:r>
    </w:p>
    <w:p w14:paraId="7530622C">
      <w:pPr>
        <w:pStyle w:val="107"/>
        <w:spacing w:before="156" w:after="156"/>
        <w:rPr>
          <w:rFonts w:hint="eastAsia" w:ascii="宋体" w:hAnsi="宋体" w:eastAsia="宋体" w:cs="宋体"/>
          <w:b/>
          <w:bCs/>
          <w:color w:val="000000"/>
          <w:sz w:val="21"/>
          <w:szCs w:val="21"/>
          <w:lang w:val="en-US" w:eastAsia="zh-CN" w:bidi="ar"/>
        </w:rPr>
      </w:pPr>
      <w:bookmarkStart w:id="155" w:name="_Toc24993"/>
      <w:r>
        <w:rPr>
          <w:rFonts w:hint="eastAsia" w:ascii="宋体" w:hAnsi="宋体" w:eastAsia="宋体" w:cs="宋体"/>
          <w:b w:val="0"/>
          <w:bCs w:val="0"/>
          <w:color w:val="auto"/>
          <w:sz w:val="21"/>
          <w:szCs w:val="21"/>
          <w:lang w:val="en-US" w:eastAsia="zh-CN" w:bidi="ar"/>
        </w:rPr>
        <w:t>饮食习惯建立</w:t>
      </w:r>
      <w:bookmarkEnd w:id="155"/>
    </w:p>
    <w:p w14:paraId="4DAC899F">
      <w:pPr>
        <w:pStyle w:val="167"/>
      </w:pPr>
      <w:r>
        <w:rPr>
          <w:rFonts w:hint="eastAsia" w:ascii="宋体" w:hAnsi="宋体" w:eastAsia="宋体" w:cs="宋体"/>
          <w:kern w:val="2"/>
          <w:sz w:val="21"/>
          <w:szCs w:val="21"/>
          <w:lang w:val="en-US" w:eastAsia="zh-CN" w:bidi="ar"/>
          <w:woUserID w:val="0"/>
        </w:rPr>
        <w:t>托育机构应将婴幼儿良好饮食习惯的培养融入每日进餐过程，注重进食行为与心理发展的协同促进。</w:t>
      </w:r>
    </w:p>
    <w:p w14:paraId="700F5C15">
      <w:pPr>
        <w:pStyle w:val="67"/>
        <w:spacing w:before="156" w:after="156"/>
      </w:pPr>
      <w:r>
        <w:rPr>
          <w:rFonts w:hint="eastAsia" w:ascii="宋体" w:hAnsi="宋体" w:eastAsia="宋体" w:cs="宋体"/>
          <w:kern w:val="2"/>
          <w:sz w:val="21"/>
          <w:szCs w:val="21"/>
          <w:lang w:val="en-US" w:eastAsia="zh-CN" w:bidi="ar"/>
          <w:woUserID w:val="0"/>
        </w:rPr>
        <w:t>进餐环境与氛围营造：</w:t>
      </w:r>
    </w:p>
    <w:p w14:paraId="542C9472">
      <w:pPr>
        <w:pStyle w:val="134"/>
      </w:pPr>
      <w:r>
        <w:rPr>
          <w:rFonts w:hint="eastAsia" w:ascii="宋体" w:hAnsi="宋体" w:eastAsia="宋体" w:cs="宋体"/>
          <w:kern w:val="2"/>
          <w:sz w:val="21"/>
          <w:szCs w:val="21"/>
          <w:lang w:val="en-US" w:eastAsia="zh-CN" w:bidi="ar"/>
          <w:woUserID w:val="0"/>
        </w:rPr>
        <w:t>创设安静、轻松、愉快的进餐环境，避免电视、玩具等干扰因素。</w:t>
      </w:r>
    </w:p>
    <w:p w14:paraId="33507BBD">
      <w:pPr>
        <w:pStyle w:val="134"/>
      </w:pPr>
      <w:r>
        <w:rPr>
          <w:rFonts w:hint="eastAsia" w:ascii="宋体" w:hAnsi="宋体" w:eastAsia="宋体" w:cs="宋体"/>
          <w:kern w:val="2"/>
          <w:sz w:val="21"/>
          <w:szCs w:val="21"/>
          <w:lang w:val="en-US" w:eastAsia="zh-CN" w:bidi="ar"/>
          <w:woUserID w:val="0"/>
        </w:rPr>
        <w:t>固定进餐座位和餐具，帮助婴幼儿建立进餐的秩序感和安全感。</w:t>
      </w:r>
    </w:p>
    <w:p w14:paraId="5A0FC854">
      <w:pPr>
        <w:pStyle w:val="67"/>
        <w:spacing w:before="156" w:after="156"/>
      </w:pPr>
      <w:r>
        <w:rPr>
          <w:rFonts w:hint="eastAsia" w:ascii="宋体" w:hAnsi="宋体" w:eastAsia="宋体" w:cs="宋体"/>
          <w:kern w:val="2"/>
          <w:sz w:val="21"/>
          <w:szCs w:val="21"/>
          <w:lang w:val="en-US" w:eastAsia="zh-CN" w:bidi="ar"/>
          <w:woUserID w:val="0"/>
        </w:rPr>
        <w:t>自主进食能力培养：</w:t>
      </w:r>
    </w:p>
    <w:p w14:paraId="3AE430B7">
      <w:pPr>
        <w:pStyle w:val="134"/>
      </w:pPr>
      <w:r>
        <w:rPr>
          <w:rFonts w:hint="eastAsia" w:ascii="宋体" w:hAnsi="宋体" w:eastAsia="宋体" w:cs="宋体"/>
          <w:kern w:val="2"/>
          <w:sz w:val="21"/>
          <w:szCs w:val="21"/>
          <w:lang w:val="en-US" w:eastAsia="zh-CN" w:bidi="ar"/>
          <w:woUserID w:val="0"/>
        </w:rPr>
        <w:t>根据婴幼儿月龄和能力水平，逐步引导其手抓、用勺、用杯自主进食。</w:t>
      </w:r>
    </w:p>
    <w:p w14:paraId="3E37CA48">
      <w:pPr>
        <w:pStyle w:val="134"/>
      </w:pPr>
      <w:r>
        <w:rPr>
          <w:rFonts w:hint="eastAsia" w:ascii="宋体" w:hAnsi="宋体" w:eastAsia="宋体" w:cs="宋体"/>
          <w:kern w:val="2"/>
          <w:sz w:val="21"/>
          <w:szCs w:val="21"/>
          <w:lang w:val="en-US" w:eastAsia="zh-CN" w:bidi="ar"/>
          <w:woUserID w:val="0"/>
        </w:rPr>
        <w:t>根据婴幼儿月龄和能力水平提供适宜的手抓食物（如蒸熟的蔬菜条、小块水果、小馒头等），鼓励自我喂食。</w:t>
      </w:r>
    </w:p>
    <w:p w14:paraId="4BD96C96">
      <w:pPr>
        <w:pStyle w:val="134"/>
      </w:pPr>
      <w:r>
        <w:rPr>
          <w:rFonts w:hint="eastAsia" w:ascii="宋体" w:hAnsi="宋体" w:eastAsia="宋体" w:cs="宋体"/>
          <w:kern w:val="2"/>
          <w:sz w:val="21"/>
          <w:szCs w:val="21"/>
          <w:lang w:val="en-US" w:eastAsia="zh-CN" w:bidi="ar"/>
          <w:woUserID w:val="0"/>
        </w:rPr>
        <w:t>允许婴幼儿在进餐过程中有一定的探索和尝试空间，不因弄脏衣物而过度干预。</w:t>
      </w:r>
    </w:p>
    <w:p w14:paraId="18B7F2DF">
      <w:pPr>
        <w:pStyle w:val="67"/>
        <w:spacing w:before="156" w:after="156"/>
      </w:pPr>
      <w:r>
        <w:rPr>
          <w:rFonts w:hint="eastAsia" w:ascii="宋体" w:hAnsi="宋体" w:eastAsia="宋体" w:cs="宋体"/>
          <w:kern w:val="2"/>
          <w:sz w:val="21"/>
          <w:szCs w:val="21"/>
          <w:lang w:val="en-US" w:eastAsia="zh-CN" w:bidi="ar"/>
          <w:woUserID w:val="0"/>
        </w:rPr>
        <w:t>积极回应与正向引导：</w:t>
      </w:r>
    </w:p>
    <w:p w14:paraId="059437EB">
      <w:pPr>
        <w:pStyle w:val="134"/>
      </w:pPr>
      <w:r>
        <w:rPr>
          <w:rFonts w:hint="eastAsia" w:ascii="宋体" w:hAnsi="宋体" w:eastAsia="宋体" w:cs="宋体"/>
          <w:kern w:val="2"/>
          <w:sz w:val="21"/>
          <w:szCs w:val="21"/>
          <w:lang w:val="en-US" w:eastAsia="zh-CN" w:bidi="ar"/>
          <w:woUserID w:val="0"/>
        </w:rPr>
        <w:t>及时识别婴幼儿发出的饥饿与饱足信号，予以恰当回应，不强迫进食。</w:t>
      </w:r>
    </w:p>
    <w:p w14:paraId="476A1327">
      <w:pPr>
        <w:pStyle w:val="134"/>
      </w:pPr>
      <w:r>
        <w:rPr>
          <w:rFonts w:hint="eastAsia" w:ascii="宋体" w:hAnsi="宋体" w:eastAsia="宋体" w:cs="宋体"/>
          <w:kern w:val="2"/>
          <w:sz w:val="21"/>
          <w:szCs w:val="21"/>
          <w:lang w:val="en-US" w:eastAsia="zh-CN" w:bidi="ar"/>
          <w:woUserID w:val="0"/>
        </w:rPr>
        <w:t>对婴幼儿尝试新食物、自主进食等行为给予语言和表情上的鼓励与肯定。</w:t>
      </w:r>
    </w:p>
    <w:p w14:paraId="71673215">
      <w:pPr>
        <w:pStyle w:val="134"/>
      </w:pPr>
      <w:r>
        <w:rPr>
          <w:rFonts w:hint="eastAsia" w:ascii="宋体" w:hAnsi="宋体" w:eastAsia="宋体" w:cs="宋体"/>
          <w:kern w:val="2"/>
          <w:sz w:val="21"/>
          <w:szCs w:val="21"/>
          <w:lang w:val="en-US" w:eastAsia="zh-CN" w:bidi="ar"/>
          <w:woUserID w:val="0"/>
        </w:rPr>
        <w:t>对于偏食、挑食的婴幼儿，采取反复尝试、混合搭配、改变烹调方式等策略耐心引导，避免强制或惩罚。</w:t>
      </w:r>
    </w:p>
    <w:p w14:paraId="414DF184">
      <w:pPr>
        <w:pStyle w:val="67"/>
        <w:spacing w:before="156" w:after="156"/>
      </w:pPr>
      <w:r>
        <w:rPr>
          <w:rFonts w:hint="eastAsia" w:ascii="宋体" w:hAnsi="宋体" w:eastAsia="宋体" w:cs="宋体"/>
          <w:kern w:val="2"/>
          <w:sz w:val="21"/>
          <w:szCs w:val="21"/>
          <w:lang w:val="en-US" w:eastAsia="zh-CN" w:bidi="ar"/>
          <w:woUserID w:val="0"/>
        </w:rPr>
        <w:t>进餐规律与时间管理：</w:t>
      </w:r>
    </w:p>
    <w:p w14:paraId="07F8A3DB">
      <w:pPr>
        <w:pStyle w:val="134"/>
      </w:pPr>
      <w:r>
        <w:rPr>
          <w:rFonts w:hint="eastAsia" w:ascii="宋体" w:hAnsi="宋体" w:eastAsia="宋体" w:cs="宋体"/>
          <w:kern w:val="2"/>
          <w:sz w:val="21"/>
          <w:szCs w:val="21"/>
          <w:lang w:val="en-US" w:eastAsia="zh-CN" w:bidi="ar"/>
          <w:woUserID w:val="0"/>
        </w:rPr>
        <w:t>固定每日进餐和加餐时间，餐后安排10～15分钟安静活动或散步。</w:t>
      </w:r>
    </w:p>
    <w:p w14:paraId="3F33999D">
      <w:pPr>
        <w:pStyle w:val="134"/>
      </w:pPr>
      <w:r>
        <w:rPr>
          <w:rFonts w:hint="eastAsia" w:ascii="宋体" w:hAnsi="宋体" w:eastAsia="宋体" w:cs="宋体"/>
          <w:kern w:val="2"/>
          <w:sz w:val="21"/>
          <w:szCs w:val="21"/>
          <w:lang w:val="en-US" w:eastAsia="zh-CN" w:bidi="ar"/>
          <w:woUserID w:val="0"/>
        </w:rPr>
        <w:t>每餐进餐时间控制在20～30分钟，避免过长或过短。</w:t>
      </w:r>
    </w:p>
    <w:p w14:paraId="18BBC21A">
      <w:pPr>
        <w:pStyle w:val="134"/>
      </w:pPr>
      <w:r>
        <w:rPr>
          <w:rFonts w:hint="eastAsia" w:ascii="宋体" w:hAnsi="宋体" w:eastAsia="宋体" w:cs="宋体"/>
          <w:kern w:val="2"/>
          <w:sz w:val="21"/>
          <w:szCs w:val="21"/>
          <w:lang w:val="en-US" w:eastAsia="zh-CN" w:bidi="ar"/>
          <w:woUserID w:val="0"/>
        </w:rPr>
        <w:t>不将食物作为奖励或惩罚的手段。</w:t>
      </w:r>
    </w:p>
    <w:p w14:paraId="05C6989C">
      <w:pPr>
        <w:pStyle w:val="67"/>
        <w:spacing w:before="156" w:after="156"/>
      </w:pPr>
      <w:r>
        <w:rPr>
          <w:rFonts w:hint="eastAsia" w:ascii="宋体" w:hAnsi="宋体" w:eastAsia="宋体" w:cs="宋体"/>
          <w:kern w:val="2"/>
          <w:sz w:val="21"/>
          <w:szCs w:val="21"/>
          <w:lang w:val="en-US" w:eastAsia="zh-CN" w:bidi="ar"/>
          <w:woUserID w:val="0"/>
        </w:rPr>
        <w:t>家园协同共育：</w:t>
      </w:r>
    </w:p>
    <w:p w14:paraId="69657840">
      <w:pPr>
        <w:pStyle w:val="134"/>
      </w:pPr>
      <w:r>
        <w:rPr>
          <w:rFonts w:hint="eastAsia" w:ascii="宋体" w:hAnsi="宋体" w:eastAsia="宋体" w:cs="宋体"/>
          <w:kern w:val="2"/>
          <w:sz w:val="21"/>
          <w:szCs w:val="21"/>
          <w:lang w:val="en-US" w:eastAsia="zh-CN" w:bidi="ar"/>
          <w:woUserID w:val="0"/>
        </w:rPr>
        <w:t>定期向家长了解婴幼儿在家的进餐行为与偏好，保持教育一致性。</w:t>
      </w:r>
    </w:p>
    <w:p w14:paraId="5645CC9C">
      <w:pPr>
        <w:pStyle w:val="134"/>
      </w:pPr>
      <w:r>
        <w:rPr>
          <w:rFonts w:hint="eastAsia" w:ascii="宋体" w:hAnsi="宋体" w:eastAsia="宋体" w:cs="宋体"/>
          <w:kern w:val="2"/>
          <w:sz w:val="21"/>
          <w:szCs w:val="21"/>
          <w:lang w:val="en-US" w:eastAsia="zh-CN" w:bidi="ar"/>
          <w:woUserID w:val="0"/>
        </w:rPr>
        <w:t>通过家长课堂、食谱公示、进餐视频分享等方式，引导家长了解并配合机构饮食习惯培养目标。</w:t>
      </w:r>
    </w:p>
    <w:p w14:paraId="0E3E36C7">
      <w:pPr>
        <w:pStyle w:val="134"/>
      </w:pPr>
      <w:r>
        <w:rPr>
          <w:rFonts w:hint="eastAsia" w:ascii="宋体" w:hAnsi="宋体" w:eastAsia="宋体" w:cs="宋体"/>
          <w:kern w:val="2"/>
          <w:sz w:val="21"/>
          <w:szCs w:val="21"/>
          <w:lang w:val="en-US" w:eastAsia="zh-CN" w:bidi="ar"/>
          <w:woUserID w:val="0"/>
        </w:rPr>
        <w:t>对存在严重偏食、厌食、异食癖等问题的婴幼儿，及时与家长沟通，必要时由医疗机构介入评估与指导。</w:t>
      </w:r>
    </w:p>
    <w:p w14:paraId="488A1A84">
      <w:pPr>
        <w:pStyle w:val="107"/>
        <w:spacing w:before="156" w:after="156"/>
        <w:rPr>
          <w:rFonts w:hint="eastAsia" w:ascii="宋体" w:hAnsi="宋体" w:eastAsia="宋体" w:cs="宋体"/>
          <w:b/>
          <w:bCs/>
          <w:color w:val="000000"/>
          <w:sz w:val="21"/>
          <w:szCs w:val="21"/>
          <w:lang w:val="en-US" w:eastAsia="zh-CN" w:bidi="ar"/>
        </w:rPr>
      </w:pPr>
      <w:bookmarkStart w:id="156" w:name="_Toc31181"/>
      <w:r>
        <w:rPr>
          <w:rFonts w:hint="eastAsia" w:ascii="宋体" w:hAnsi="宋体" w:eastAsia="宋体" w:cs="宋体"/>
          <w:b w:val="0"/>
          <w:bCs w:val="0"/>
          <w:color w:val="auto"/>
          <w:sz w:val="21"/>
          <w:szCs w:val="21"/>
          <w:lang w:val="en-US" w:eastAsia="zh-CN" w:bidi="ar"/>
        </w:rPr>
        <w:t>特殊膳食管理</w:t>
      </w:r>
      <w:bookmarkEnd w:id="156"/>
    </w:p>
    <w:p w14:paraId="400AE36F">
      <w:pPr>
        <w:pStyle w:val="167"/>
      </w:pPr>
      <w:r>
        <w:rPr>
          <w:rFonts w:hint="eastAsia" w:ascii="宋体" w:hAnsi="宋体" w:eastAsia="宋体" w:cs="宋体"/>
          <w:b w:val="0"/>
          <w:bCs w:val="0"/>
          <w:sz w:val="21"/>
          <w:szCs w:val="21"/>
        </w:rPr>
        <w:t>托育机构应建立“特殊膳食三色标签制度”：</w:t>
      </w:r>
    </w:p>
    <w:p w14:paraId="3D417D43">
      <w:pPr>
        <w:pStyle w:val="134"/>
      </w:pPr>
      <w:r>
        <w:rPr>
          <w:rFonts w:hint="eastAsia" w:ascii="宋体" w:hAnsi="宋体" w:eastAsia="宋体" w:cs="宋体"/>
          <w:b w:val="0"/>
          <w:bCs w:val="0"/>
          <w:sz w:val="21"/>
          <w:szCs w:val="21"/>
        </w:rPr>
        <w:t>绿色标签：常规饮食。</w:t>
      </w:r>
    </w:p>
    <w:p w14:paraId="5884E6B2">
      <w:pPr>
        <w:pStyle w:val="134"/>
      </w:pPr>
      <w:r>
        <w:rPr>
          <w:rFonts w:hint="eastAsia" w:ascii="宋体" w:hAnsi="宋体" w:eastAsia="宋体" w:cs="宋体"/>
          <w:b w:val="0"/>
          <w:bCs w:val="0"/>
          <w:sz w:val="21"/>
          <w:szCs w:val="21"/>
        </w:rPr>
        <w:t>黄色标签：需特殊处理（如食物过敏、贫血、生长迟缓），附医疗机构建议。</w:t>
      </w:r>
    </w:p>
    <w:p w14:paraId="59CF5644">
      <w:pPr>
        <w:pStyle w:val="134"/>
      </w:pPr>
      <w:r>
        <w:rPr>
          <w:rFonts w:hint="eastAsia" w:ascii="宋体" w:hAnsi="宋体" w:eastAsia="宋体" w:cs="宋体"/>
          <w:b w:val="0"/>
          <w:bCs w:val="0"/>
          <w:sz w:val="21"/>
          <w:szCs w:val="21"/>
        </w:rPr>
        <w:t>红色标签：需严格控制的饮食（如肥胖、糖尿病风险），由医疗机构制定个性化食谱。</w:t>
      </w:r>
    </w:p>
    <w:p w14:paraId="6923676D">
      <w:pPr>
        <w:pStyle w:val="167"/>
      </w:pPr>
      <w:r>
        <w:rPr>
          <w:rFonts w:hint="eastAsia" w:ascii="宋体" w:hAnsi="宋体" w:eastAsia="宋体" w:cs="宋体"/>
          <w:b w:val="0"/>
          <w:bCs w:val="0"/>
          <w:sz w:val="21"/>
          <w:szCs w:val="21"/>
        </w:rPr>
        <w:t>对食物过敏婴幼儿，应建立过敏清单，厨房设置“过敏专用操作区”，使用专用餐具，并每日记录进食反应。</w:t>
      </w:r>
    </w:p>
    <w:p w14:paraId="631D4175">
      <w:pPr>
        <w:pStyle w:val="167"/>
      </w:pPr>
      <w:r>
        <w:rPr>
          <w:rFonts w:hint="eastAsia" w:ascii="宋体" w:hAnsi="宋体" w:eastAsia="宋体" w:cs="宋体"/>
          <w:b w:val="0"/>
          <w:bCs w:val="0"/>
          <w:sz w:val="21"/>
          <w:szCs w:val="21"/>
        </w:rPr>
        <w:t>对贫血、营养不良、肥胖等营养性疾病婴幼儿，应进行登记管理，每季度由医疗机构评估1次，调整膳食方案，并督促家长带患儿就医或复诊。</w:t>
      </w:r>
      <w:r>
        <w:rPr>
          <w:rFonts w:hint="eastAsia" w:ascii="宋体" w:hAnsi="宋体" w:eastAsia="宋体" w:cs="宋体"/>
          <w:b w:val="0"/>
          <w:bCs w:val="0"/>
          <w:sz w:val="21"/>
          <w:szCs w:val="21"/>
          <w:lang w:val="en-US" w:eastAsia="zh-CN"/>
        </w:rPr>
        <w:t>特殊膳食登记管理参考</w:t>
      </w:r>
      <w:r>
        <w:rPr>
          <w:rFonts w:hint="eastAsia" w:ascii="宋体" w:hAnsi="宋体" w:eastAsia="宋体" w:cs="宋体"/>
          <w:b w:val="0"/>
          <w:bCs w:val="0"/>
          <w:color w:val="0000FF"/>
          <w:sz w:val="21"/>
          <w:szCs w:val="21"/>
          <w:lang w:val="en-US" w:eastAsia="zh-CN"/>
        </w:rPr>
        <w:t>附录B</w:t>
      </w:r>
      <w:r>
        <w:rPr>
          <w:rFonts w:hint="eastAsia" w:ascii="宋体" w:hAnsi="宋体" w:eastAsia="宋体" w:cs="宋体"/>
          <w:b w:val="0"/>
          <w:bCs w:val="0"/>
          <w:sz w:val="21"/>
          <w:szCs w:val="21"/>
          <w:lang w:val="en-US" w:eastAsia="zh-CN"/>
        </w:rPr>
        <w:t>。</w:t>
      </w:r>
    </w:p>
    <w:p w14:paraId="28AA0792">
      <w:pPr>
        <w:pStyle w:val="107"/>
        <w:spacing w:before="156" w:after="156"/>
        <w:rPr>
          <w:rFonts w:hint="eastAsia" w:ascii="宋体" w:hAnsi="宋体" w:eastAsia="宋体" w:cs="宋体"/>
          <w:b/>
          <w:bCs/>
          <w:color w:val="000000"/>
          <w:sz w:val="21"/>
          <w:szCs w:val="21"/>
          <w:lang w:val="en-US" w:eastAsia="zh-CN" w:bidi="ar"/>
        </w:rPr>
      </w:pPr>
      <w:bookmarkStart w:id="157" w:name="_Toc23488"/>
      <w:r>
        <w:rPr>
          <w:rFonts w:hint="eastAsia" w:ascii="宋体" w:hAnsi="宋体" w:eastAsia="宋体" w:cs="宋体"/>
          <w:b w:val="0"/>
          <w:bCs w:val="0"/>
          <w:color w:val="auto"/>
          <w:sz w:val="21"/>
          <w:szCs w:val="21"/>
          <w:lang w:val="en-US" w:eastAsia="zh-CN" w:bidi="ar"/>
        </w:rPr>
        <w:t>医疗机构支持职责</w:t>
      </w:r>
      <w:bookmarkEnd w:id="157"/>
    </w:p>
    <w:p w14:paraId="56770A0E">
      <w:pPr>
        <w:pStyle w:val="167"/>
      </w:pPr>
      <w:r>
        <w:rPr>
          <w:rFonts w:hint="eastAsia" w:ascii="宋体" w:hAnsi="宋体" w:eastAsia="宋体" w:cs="宋体"/>
          <w:b w:val="0"/>
          <w:bCs w:val="0"/>
          <w:sz w:val="21"/>
          <w:szCs w:val="21"/>
        </w:rPr>
        <w:t>妇幼保健机构或基层医疗卫生机构应每季度至少1次对托育机构进行膳食指导与营养评估现场指导。</w:t>
      </w:r>
    </w:p>
    <w:p w14:paraId="64EE951B">
      <w:pPr>
        <w:pStyle w:val="167"/>
      </w:pPr>
      <w:r>
        <w:rPr>
          <w:rFonts w:hint="eastAsia" w:ascii="宋体" w:hAnsi="宋体" w:eastAsia="宋体" w:cs="宋体"/>
          <w:b w:val="0"/>
          <w:bCs w:val="0"/>
          <w:sz w:val="21"/>
          <w:szCs w:val="21"/>
        </w:rPr>
        <w:t>医疗机构应每年至少组织1次托育机构工作人员的儿童营养与喂养培训，内容涵盖母乳喂养支持、辅食添加、特殊膳食管理、营养评估方法等。</w:t>
      </w:r>
    </w:p>
    <w:p w14:paraId="763824B5">
      <w:pPr>
        <w:pStyle w:val="167"/>
      </w:pPr>
      <w:r>
        <w:rPr>
          <w:rFonts w:hint="eastAsia" w:ascii="宋体" w:hAnsi="宋体" w:eastAsia="宋体" w:cs="宋体"/>
          <w:b w:val="0"/>
          <w:bCs w:val="0"/>
          <w:sz w:val="21"/>
          <w:szCs w:val="21"/>
        </w:rPr>
        <w:t>医疗机构应为托育机构提供婴幼儿营养健康宣教材料，并协助开展家长营养课堂。</w:t>
      </w:r>
    </w:p>
    <w:p w14:paraId="1360AAF2">
      <w:pPr>
        <w:pStyle w:val="107"/>
        <w:spacing w:before="156" w:after="156"/>
        <w:rPr>
          <w:rFonts w:hint="eastAsia" w:ascii="宋体" w:hAnsi="宋体" w:eastAsia="宋体" w:cs="宋体"/>
          <w:b/>
          <w:bCs/>
          <w:color w:val="000000"/>
          <w:sz w:val="21"/>
          <w:szCs w:val="21"/>
          <w:lang w:val="en-US" w:eastAsia="zh-CN" w:bidi="ar"/>
        </w:rPr>
      </w:pPr>
      <w:bookmarkStart w:id="158" w:name="_Toc18422"/>
      <w:r>
        <w:rPr>
          <w:rFonts w:hint="eastAsia" w:ascii="宋体" w:hAnsi="宋体" w:eastAsia="宋体" w:cs="宋体"/>
          <w:b w:val="0"/>
          <w:bCs w:val="0"/>
          <w:color w:val="auto"/>
          <w:sz w:val="21"/>
          <w:szCs w:val="21"/>
          <w:lang w:val="en-US" w:eastAsia="zh-CN" w:bidi="ar"/>
        </w:rPr>
        <w:t>膳食记录与反馈</w:t>
      </w:r>
      <w:bookmarkEnd w:id="158"/>
    </w:p>
    <w:p w14:paraId="63E2CE00">
      <w:pPr>
        <w:pStyle w:val="167"/>
      </w:pPr>
      <w:r>
        <w:rPr>
          <w:rFonts w:hint="eastAsia" w:ascii="宋体" w:hAnsi="宋体" w:eastAsia="宋体" w:cs="宋体"/>
          <w:b w:val="0"/>
          <w:bCs w:val="0"/>
          <w:sz w:val="21"/>
          <w:szCs w:val="21"/>
        </w:rPr>
        <w:t>托育机构应每日记录婴幼儿进食量、饮水量、食物反应（如拒食、呕吐、皮疹等），并与家长沟通。</w:t>
      </w:r>
    </w:p>
    <w:p w14:paraId="4C534871">
      <w:pPr>
        <w:pStyle w:val="167"/>
      </w:pPr>
      <w:r>
        <w:rPr>
          <w:rFonts w:hint="eastAsia" w:ascii="宋体" w:hAnsi="宋体" w:eastAsia="宋体" w:cs="宋体"/>
          <w:b w:val="0"/>
          <w:bCs w:val="0"/>
          <w:sz w:val="21"/>
          <w:szCs w:val="21"/>
        </w:rPr>
        <w:t>每周汇总膳食记录，形成《婴幼儿膳食反馈表》，反馈给家长，必要时由医疗机构介入指导。</w:t>
      </w:r>
    </w:p>
    <w:p w14:paraId="2A117E63">
      <w:pPr>
        <w:pStyle w:val="167"/>
      </w:pPr>
      <w:r>
        <w:rPr>
          <w:rFonts w:hint="eastAsia" w:ascii="宋体" w:hAnsi="宋体" w:eastAsia="宋体" w:cs="宋体"/>
          <w:b w:val="0"/>
          <w:bCs w:val="0"/>
          <w:sz w:val="21"/>
          <w:szCs w:val="21"/>
        </w:rPr>
        <w:t>每学期至少召开一次家长膳食沟通会，介绍食谱制定依据、特殊膳食管理情况及营养评估结果。</w:t>
      </w:r>
      <w:r>
        <w:rPr>
          <w:rFonts w:hint="eastAsia" w:ascii="宋体" w:hAnsi="宋体" w:eastAsia="宋体" w:cs="宋体"/>
          <w:b w:val="0"/>
          <w:bCs w:val="0"/>
          <w:sz w:val="21"/>
          <w:szCs w:val="21"/>
          <w:lang w:val="en-US" w:eastAsia="zh-CN"/>
        </w:rPr>
        <w:t>膳食记录与反馈参考</w:t>
      </w:r>
      <w:r>
        <w:rPr>
          <w:rFonts w:hint="eastAsia" w:ascii="宋体" w:hAnsi="宋体" w:eastAsia="宋体" w:cs="宋体"/>
          <w:b w:val="0"/>
          <w:bCs w:val="0"/>
          <w:color w:val="0000FF"/>
          <w:sz w:val="21"/>
          <w:szCs w:val="21"/>
          <w:lang w:val="en-US" w:eastAsia="zh-CN"/>
        </w:rPr>
        <w:t>附录C</w:t>
      </w:r>
      <w:r>
        <w:rPr>
          <w:rFonts w:hint="eastAsia" w:ascii="宋体" w:hAnsi="宋体" w:eastAsia="宋体" w:cs="宋体"/>
          <w:b w:val="0"/>
          <w:bCs w:val="0"/>
          <w:sz w:val="21"/>
          <w:szCs w:val="21"/>
          <w:lang w:val="en-US" w:eastAsia="zh-CN"/>
        </w:rPr>
        <w:t>。</w:t>
      </w:r>
    </w:p>
    <w:p w14:paraId="7A702C59">
      <w:pPr>
        <w:pStyle w:val="106"/>
        <w:spacing w:before="312" w:after="312"/>
        <w:rPr>
          <w:rFonts w:hint="eastAsia" w:ascii="黑体" w:hAnsi="Times New Roman" w:eastAsia="黑体" w:cs="Times New Roman"/>
          <w:b w:val="0"/>
          <w:bCs w:val="0"/>
          <w:sz w:val="21"/>
          <w:szCs w:val="20"/>
          <w:lang w:val="en-US" w:eastAsia="zh-CN" w:bidi="ar"/>
        </w:rPr>
      </w:pPr>
      <w:bookmarkStart w:id="159" w:name="_Toc20899"/>
      <w:bookmarkStart w:id="160" w:name="_Toc29475"/>
      <w:bookmarkStart w:id="161" w:name="_Toc17054"/>
      <w:bookmarkStart w:id="162" w:name="_Toc19691"/>
      <w:bookmarkStart w:id="163" w:name="_Toc7490"/>
      <w:r>
        <w:rPr>
          <w:rFonts w:hint="eastAsia" w:ascii="黑体" w:hAnsi="Times New Roman" w:eastAsia="黑体" w:cs="Times New Roman"/>
          <w:b w:val="0"/>
          <w:bCs w:val="0"/>
          <w:sz w:val="21"/>
          <w:szCs w:val="20"/>
          <w:lang w:val="en-US" w:eastAsia="zh-CN" w:bidi="ar"/>
        </w:rPr>
        <w:t>生活照护</w:t>
      </w:r>
      <w:bookmarkEnd w:id="159"/>
      <w:bookmarkEnd w:id="160"/>
      <w:bookmarkEnd w:id="161"/>
      <w:bookmarkEnd w:id="162"/>
      <w:bookmarkEnd w:id="163"/>
    </w:p>
    <w:p w14:paraId="363D82DF">
      <w:pPr>
        <w:pStyle w:val="107"/>
        <w:spacing w:before="156" w:after="156"/>
        <w:rPr>
          <w:rFonts w:hint="eastAsia" w:ascii="宋体" w:hAnsi="宋体" w:eastAsia="宋体" w:cs="宋体"/>
          <w:b/>
          <w:bCs/>
          <w:color w:val="000000"/>
          <w:sz w:val="21"/>
          <w:szCs w:val="21"/>
          <w:lang w:val="en-US" w:eastAsia="zh-CN" w:bidi="ar"/>
        </w:rPr>
      </w:pPr>
      <w:bookmarkStart w:id="164" w:name="_Toc6459"/>
      <w:r>
        <w:rPr>
          <w:rFonts w:hint="eastAsia" w:ascii="宋体" w:hAnsi="宋体" w:eastAsia="宋体" w:cs="宋体"/>
          <w:b w:val="0"/>
          <w:bCs w:val="0"/>
          <w:color w:val="auto"/>
          <w:sz w:val="21"/>
          <w:szCs w:val="21"/>
          <w:lang w:val="en-US" w:eastAsia="zh-CN" w:bidi="ar"/>
        </w:rPr>
        <w:t>总体要求</w:t>
      </w:r>
      <w:bookmarkEnd w:id="164"/>
    </w:p>
    <w:p w14:paraId="51ABCB3C">
      <w:pPr>
        <w:pStyle w:val="58"/>
        <w:ind w:firstLine="420"/>
      </w:pPr>
      <w:r>
        <w:rPr>
          <w:rFonts w:hint="eastAsia" w:ascii="宋体" w:hAnsi="宋体" w:eastAsia="宋体" w:cs="宋体"/>
          <w:b w:val="0"/>
          <w:bCs w:val="0"/>
          <w:sz w:val="21"/>
          <w:szCs w:val="21"/>
          <w:lang w:val="en-US" w:eastAsia="zh-CN"/>
        </w:rPr>
        <w:t>托育机构应在医疗机构指导下，依据不同月龄婴幼儿成长规律与发展特点，科学制定一日生活流程，将回应性照护贯穿生活照护全过程。</w:t>
      </w:r>
    </w:p>
    <w:p w14:paraId="3551226B">
      <w:pPr>
        <w:pStyle w:val="67"/>
        <w:spacing w:before="156" w:after="156"/>
      </w:pPr>
      <w:r>
        <w:rPr>
          <w:rFonts w:hint="eastAsia" w:ascii="宋体" w:hAnsi="宋体" w:eastAsia="宋体" w:cs="宋体"/>
          <w:b/>
          <w:bCs/>
          <w:sz w:val="21"/>
          <w:szCs w:val="21"/>
          <w:lang w:val="en-US" w:eastAsia="zh-CN"/>
        </w:rPr>
        <w:t>核心原则</w:t>
      </w:r>
    </w:p>
    <w:p w14:paraId="710BD0A7">
      <w:pPr>
        <w:pStyle w:val="134"/>
      </w:pPr>
      <w:r>
        <w:rPr>
          <w:rFonts w:hint="eastAsia" w:ascii="宋体" w:hAnsi="宋体" w:eastAsia="宋体" w:cs="宋体"/>
          <w:b w:val="0"/>
          <w:bCs w:val="0"/>
          <w:sz w:val="21"/>
          <w:szCs w:val="21"/>
          <w:lang w:val="en-US" w:eastAsia="zh-CN"/>
        </w:rPr>
        <w:t>儿童优先：以婴幼儿为中心，尊重生长发育规律与个体差异，提供个性化、全周期照护服务。</w:t>
      </w:r>
    </w:p>
    <w:p w14:paraId="0DF09B44">
      <w:pPr>
        <w:pStyle w:val="134"/>
      </w:pPr>
      <w:r>
        <w:rPr>
          <w:rFonts w:hint="eastAsia" w:ascii="宋体" w:hAnsi="宋体" w:eastAsia="宋体" w:cs="宋体"/>
          <w:b w:val="0"/>
          <w:bCs w:val="0"/>
          <w:sz w:val="21"/>
          <w:szCs w:val="21"/>
          <w:lang w:val="en-US" w:eastAsia="zh-CN"/>
        </w:rPr>
        <w:t>安全第一：以安全与健康为首要任务，强化医疗专业支撑，有效预防疾病与意外伤害。</w:t>
      </w:r>
    </w:p>
    <w:p w14:paraId="6C8A2383">
      <w:pPr>
        <w:pStyle w:val="134"/>
      </w:pPr>
      <w:r>
        <w:rPr>
          <w:rFonts w:hint="eastAsia" w:ascii="宋体" w:hAnsi="宋体" w:eastAsia="宋体" w:cs="宋体"/>
          <w:b w:val="0"/>
          <w:bCs w:val="0"/>
          <w:sz w:val="21"/>
          <w:szCs w:val="21"/>
          <w:lang w:val="en-US" w:eastAsia="zh-CN"/>
        </w:rPr>
        <w:t>科学规范：严格遵循国家托育服务、儿童保健相关法规与标准，融合医疗技术与科学养育理念，细化各环节操作规范。</w:t>
      </w:r>
    </w:p>
    <w:p w14:paraId="20BE1A37">
      <w:pPr>
        <w:pStyle w:val="134"/>
      </w:pPr>
      <w:r>
        <w:rPr>
          <w:rFonts w:hint="eastAsia" w:ascii="宋体" w:hAnsi="宋体" w:eastAsia="宋体" w:cs="宋体"/>
          <w:b w:val="0"/>
          <w:bCs w:val="0"/>
          <w:sz w:val="21"/>
          <w:szCs w:val="21"/>
          <w:lang w:val="en-US" w:eastAsia="zh-CN"/>
        </w:rPr>
        <w:t>医育联动：建立筛查 — 干预 — 转诊闭环管理，实现健康监测与养育照护深度协同。</w:t>
      </w:r>
    </w:p>
    <w:p w14:paraId="130F7616">
      <w:pPr>
        <w:pStyle w:val="134"/>
      </w:pPr>
      <w:r>
        <w:rPr>
          <w:rFonts w:hint="eastAsia" w:ascii="宋体" w:hAnsi="宋体" w:eastAsia="宋体" w:cs="宋体"/>
          <w:b w:val="0"/>
          <w:bCs w:val="0"/>
          <w:sz w:val="21"/>
          <w:szCs w:val="21"/>
          <w:lang w:val="en-US" w:eastAsia="zh-CN"/>
        </w:rPr>
        <w:t>家园共育：联动家庭与社区，统一育儿理念与照护标准，形成照护合力。</w:t>
      </w:r>
    </w:p>
    <w:p w14:paraId="26F04B27">
      <w:pPr>
        <w:pStyle w:val="107"/>
        <w:spacing w:before="156" w:after="156"/>
        <w:rPr>
          <w:rFonts w:hint="eastAsia" w:ascii="宋体" w:hAnsi="宋体" w:eastAsia="宋体" w:cs="宋体"/>
          <w:b/>
          <w:bCs/>
          <w:color w:val="000000"/>
          <w:sz w:val="21"/>
          <w:szCs w:val="21"/>
          <w:lang w:val="en-US" w:eastAsia="zh-CN" w:bidi="ar"/>
        </w:rPr>
      </w:pPr>
      <w:bookmarkStart w:id="165" w:name="_Toc24049"/>
      <w:r>
        <w:rPr>
          <w:rFonts w:hint="eastAsia" w:ascii="宋体" w:hAnsi="宋体" w:eastAsia="宋体" w:cs="宋体"/>
          <w:b w:val="0"/>
          <w:bCs w:val="0"/>
          <w:color w:val="auto"/>
          <w:sz w:val="21"/>
          <w:szCs w:val="21"/>
          <w:lang w:val="en-US" w:eastAsia="zh-CN" w:bidi="ar"/>
        </w:rPr>
        <w:t>睡眠照护</w:t>
      </w:r>
      <w:bookmarkEnd w:id="165"/>
    </w:p>
    <w:p w14:paraId="762E9BF8">
      <w:pPr>
        <w:pStyle w:val="67"/>
        <w:spacing w:before="156" w:after="156"/>
      </w:pPr>
      <w:r>
        <w:rPr>
          <w:rFonts w:hint="eastAsia" w:ascii="宋体" w:hAnsi="宋体" w:eastAsia="宋体" w:cs="宋体"/>
          <w:b w:val="0"/>
          <w:bCs w:val="0"/>
          <w:sz w:val="21"/>
          <w:szCs w:val="21"/>
          <w:lang w:val="en-US" w:eastAsia="zh-CN"/>
        </w:rPr>
        <w:t>睡眠环境与设施</w:t>
      </w:r>
    </w:p>
    <w:p w14:paraId="27FCCB5C">
      <w:pPr>
        <w:pStyle w:val="166"/>
      </w:pPr>
      <w:r>
        <w:rPr>
          <w:rFonts w:hint="eastAsia" w:ascii="宋体" w:hAnsi="宋体" w:eastAsia="宋体" w:cs="宋体"/>
          <w:b w:val="0"/>
          <w:bCs w:val="0"/>
          <w:sz w:val="21"/>
          <w:szCs w:val="21"/>
          <w:lang w:val="en-US" w:eastAsia="zh-CN"/>
        </w:rPr>
        <w:t>应设置安全、安静、温湿度适宜的独立睡眠区，与活动区、就餐区物理分隔。</w:t>
      </w:r>
    </w:p>
    <w:p w14:paraId="42B23922">
      <w:pPr>
        <w:pStyle w:val="166"/>
      </w:pPr>
      <w:r>
        <w:rPr>
          <w:rFonts w:hint="eastAsia" w:ascii="宋体" w:hAnsi="宋体" w:eastAsia="宋体" w:cs="宋体"/>
          <w:b w:val="0"/>
          <w:bCs w:val="0"/>
          <w:sz w:val="21"/>
          <w:szCs w:val="21"/>
          <w:lang w:val="en-US" w:eastAsia="zh-CN"/>
        </w:rPr>
        <w:t>实行一人一床，严禁设置双层床；床位不宜贴靠外墙，床位侧面或端部距外墙距离不应小于 0.60m；婴儿床应符合婴幼儿安全标准</w:t>
      </w:r>
      <w:r>
        <w:rPr>
          <w:rFonts w:hint="eastAsia" w:ascii="宋体" w:hAnsi="宋体" w:cs="宋体"/>
          <w:b w:val="0"/>
          <w:bCs w:val="0"/>
          <w:sz w:val="21"/>
          <w:szCs w:val="21"/>
          <w:lang w:val="en-US" w:eastAsia="zh-CN"/>
        </w:rPr>
        <w:t>。</w:t>
      </w:r>
    </w:p>
    <w:p w14:paraId="4A43371C">
      <w:pPr>
        <w:pStyle w:val="166"/>
      </w:pPr>
      <w:r>
        <w:rPr>
          <w:rFonts w:hint="eastAsia" w:ascii="宋体" w:hAnsi="宋体" w:eastAsia="宋体" w:cs="宋体"/>
          <w:b w:val="0"/>
          <w:bCs w:val="0"/>
          <w:sz w:val="21"/>
          <w:szCs w:val="21"/>
          <w:lang w:val="en-US" w:eastAsia="zh-CN"/>
        </w:rPr>
        <w:t>睡眠区室温控制在20℃～26℃，相对湿度50%～60%；睡眠前后应通风换气；卧具应选用纯棉、透气材质。</w:t>
      </w:r>
    </w:p>
    <w:p w14:paraId="66A890BF">
      <w:pPr>
        <w:pStyle w:val="67"/>
        <w:spacing w:before="156" w:after="156"/>
      </w:pPr>
      <w:r>
        <w:rPr>
          <w:rFonts w:hint="eastAsia" w:ascii="宋体" w:hAnsi="宋体" w:eastAsia="宋体" w:cs="宋体"/>
          <w:b/>
          <w:bCs/>
          <w:sz w:val="21"/>
          <w:szCs w:val="21"/>
          <w:lang w:val="en-US" w:eastAsia="zh-CN"/>
        </w:rPr>
        <w:t>睡眠安全与卫生</w:t>
      </w:r>
    </w:p>
    <w:p w14:paraId="10A50888">
      <w:pPr>
        <w:pStyle w:val="96"/>
        <w:spacing w:before="156" w:after="156"/>
      </w:pPr>
      <w:r>
        <w:rPr>
          <w:rFonts w:hint="eastAsia" w:ascii="宋体" w:hAnsi="宋体" w:eastAsia="宋体" w:cs="宋体"/>
          <w:b/>
          <w:bCs/>
          <w:sz w:val="21"/>
          <w:szCs w:val="21"/>
          <w:lang w:val="en-US" w:eastAsia="zh-CN"/>
        </w:rPr>
        <w:t>严格落实睡前三查三清：</w:t>
      </w:r>
    </w:p>
    <w:p w14:paraId="15FF105E">
      <w:pPr>
        <w:pStyle w:val="134"/>
      </w:pPr>
      <w:r>
        <w:rPr>
          <w:rFonts w:hint="eastAsia" w:ascii="宋体" w:hAnsi="宋体" w:eastAsia="宋体" w:cs="宋体"/>
          <w:b w:val="0"/>
          <w:bCs w:val="0"/>
          <w:sz w:val="21"/>
          <w:szCs w:val="21"/>
          <w:lang w:val="en-US" w:eastAsia="zh-CN"/>
        </w:rPr>
        <w:t>查婴幼儿：清空衣物口袋，摘除发饰、项链、手链等饰品，衣物无长系带、无装饰绳带；</w:t>
      </w:r>
    </w:p>
    <w:p w14:paraId="3A9737B6">
      <w:pPr>
        <w:pStyle w:val="134"/>
      </w:pPr>
      <w:r>
        <w:rPr>
          <w:rFonts w:hint="eastAsia" w:ascii="宋体" w:hAnsi="宋体" w:eastAsia="宋体" w:cs="宋体"/>
          <w:b w:val="0"/>
          <w:bCs w:val="0"/>
          <w:sz w:val="21"/>
          <w:szCs w:val="21"/>
          <w:lang w:val="en-US" w:eastAsia="zh-CN"/>
        </w:rPr>
        <w:t>查口鼻口腔：确认无食物、奶嘴、玩具、杂物等，防范呛噎、窒息风险；</w:t>
      </w:r>
    </w:p>
    <w:p w14:paraId="518017AA">
      <w:pPr>
        <w:pStyle w:val="134"/>
      </w:pPr>
      <w:r>
        <w:rPr>
          <w:rFonts w:hint="eastAsia" w:ascii="宋体" w:hAnsi="宋体" w:eastAsia="宋体" w:cs="宋体"/>
          <w:b w:val="0"/>
          <w:bCs w:val="0"/>
          <w:sz w:val="21"/>
          <w:szCs w:val="21"/>
          <w:lang w:val="en-US" w:eastAsia="zh-CN"/>
        </w:rPr>
        <w:t xml:space="preserve">查床内外：清空卧具内及周边细小、尖锐、易碎、绳带类物品；0～12 月龄婴儿严禁放置床围、毛绒玩具、松散枕被、防撞靠垫等窒息风险物品。 </w:t>
      </w:r>
    </w:p>
    <w:p w14:paraId="2B744298">
      <w:pPr>
        <w:pStyle w:val="166"/>
      </w:pPr>
      <w:r>
        <w:rPr>
          <w:rFonts w:hint="eastAsia" w:ascii="宋体" w:hAnsi="宋体" w:eastAsia="宋体" w:cs="宋体"/>
          <w:b w:val="0"/>
          <w:bCs w:val="0"/>
          <w:sz w:val="21"/>
          <w:szCs w:val="21"/>
          <w:lang w:val="en-US" w:eastAsia="zh-CN"/>
        </w:rPr>
        <w:t>婴幼儿睡眠应优先采用仰卧睡姿；卧具应定期清洗消毒，传染病流行期间增加消毒频次。</w:t>
      </w:r>
    </w:p>
    <w:p w14:paraId="5244069E">
      <w:pPr>
        <w:pStyle w:val="67"/>
        <w:spacing w:before="156" w:after="156"/>
      </w:pPr>
      <w:r>
        <w:rPr>
          <w:rFonts w:hint="eastAsia" w:ascii="宋体" w:hAnsi="宋体" w:eastAsia="宋体" w:cs="宋体"/>
          <w:b/>
          <w:bCs/>
          <w:sz w:val="21"/>
          <w:szCs w:val="21"/>
          <w:lang w:val="en-US" w:eastAsia="zh-CN"/>
        </w:rPr>
        <w:t>睡前准备</w:t>
      </w:r>
    </w:p>
    <w:p w14:paraId="305EAF4E">
      <w:pPr>
        <w:pStyle w:val="166"/>
      </w:pPr>
      <w:r>
        <w:rPr>
          <w:rFonts w:hint="eastAsia" w:ascii="宋体" w:hAnsi="宋体" w:eastAsia="宋体" w:cs="宋体"/>
          <w:b w:val="0"/>
          <w:bCs w:val="0"/>
          <w:sz w:val="21"/>
          <w:szCs w:val="21"/>
          <w:lang w:val="en-US" w:eastAsia="zh-CN"/>
        </w:rPr>
        <w:t xml:space="preserve">建立固定、舒缓的睡前流程，时长15 分钟～20 分钟；餐后30 分钟方可入睡。 </w:t>
      </w:r>
    </w:p>
    <w:p w14:paraId="3874CEC5">
      <w:pPr>
        <w:pStyle w:val="166"/>
      </w:pPr>
      <w:r>
        <w:rPr>
          <w:rFonts w:hint="eastAsia" w:ascii="宋体" w:hAnsi="宋体" w:eastAsia="宋体" w:cs="宋体"/>
          <w:b w:val="0"/>
          <w:bCs w:val="0"/>
          <w:sz w:val="21"/>
          <w:szCs w:val="21"/>
          <w:lang w:val="en-US" w:eastAsia="zh-CN"/>
        </w:rPr>
        <w:t>睡前以低强度安静活动为主，避免剧烈运动与兴奋游戏；可采用轻声讲故事等方式舒缓情绪，不强迫入睡，对烦躁婴幼儿实施个性化安抚。</w:t>
      </w:r>
    </w:p>
    <w:p w14:paraId="03918163">
      <w:pPr>
        <w:pStyle w:val="67"/>
        <w:spacing w:before="156" w:after="156"/>
      </w:pPr>
      <w:r>
        <w:rPr>
          <w:rFonts w:hint="eastAsia" w:ascii="宋体" w:hAnsi="宋体" w:eastAsia="宋体" w:cs="宋体"/>
          <w:b/>
          <w:bCs/>
          <w:sz w:val="21"/>
          <w:szCs w:val="21"/>
          <w:lang w:val="en-US" w:eastAsia="zh-CN"/>
        </w:rPr>
        <w:t>睡眠习惯培养</w:t>
      </w:r>
    </w:p>
    <w:p w14:paraId="6940DB10">
      <w:pPr>
        <w:pStyle w:val="166"/>
      </w:pPr>
      <w:r>
        <w:rPr>
          <w:rFonts w:hint="eastAsia" w:ascii="宋体" w:hAnsi="宋体" w:eastAsia="宋体" w:cs="宋体"/>
          <w:b w:val="0"/>
          <w:bCs w:val="0"/>
          <w:sz w:val="21"/>
          <w:szCs w:val="21"/>
          <w:lang w:val="en-US" w:eastAsia="zh-CN"/>
        </w:rPr>
        <w:t xml:space="preserve">分月龄培养自主入睡能力，逐步减少抱睡、奶睡。 </w:t>
      </w:r>
    </w:p>
    <w:p w14:paraId="0AEB958C">
      <w:pPr>
        <w:pStyle w:val="166"/>
      </w:pPr>
      <w:r>
        <w:rPr>
          <w:rFonts w:hint="eastAsia" w:ascii="宋体" w:hAnsi="宋体" w:eastAsia="宋体" w:cs="宋体"/>
          <w:b w:val="0"/>
          <w:bCs w:val="0"/>
          <w:sz w:val="21"/>
          <w:szCs w:val="21"/>
          <w:lang w:val="en-US" w:eastAsia="zh-CN"/>
        </w:rPr>
        <w:t>引导婴幼儿提升穿脱衣物、整理卧具等生活自理能力，养成规律作息。</w:t>
      </w:r>
    </w:p>
    <w:p w14:paraId="276FF8D9">
      <w:pPr>
        <w:pStyle w:val="67"/>
        <w:spacing w:before="156" w:after="156"/>
      </w:pPr>
      <w:r>
        <w:rPr>
          <w:rFonts w:hint="eastAsia" w:ascii="宋体" w:hAnsi="宋体" w:eastAsia="宋体" w:cs="宋体"/>
          <w:b/>
          <w:bCs/>
          <w:sz w:val="21"/>
          <w:szCs w:val="21"/>
          <w:lang w:val="en-US" w:eastAsia="zh-CN"/>
        </w:rPr>
        <w:t>睡眠巡视与照护</w:t>
      </w:r>
    </w:p>
    <w:p w14:paraId="13B8AB08">
      <w:pPr>
        <w:pStyle w:val="166"/>
      </w:pPr>
      <w:r>
        <w:rPr>
          <w:rFonts w:hint="eastAsia" w:ascii="宋体" w:hAnsi="宋体" w:eastAsia="宋体" w:cs="宋体"/>
          <w:b w:val="0"/>
          <w:bCs w:val="0"/>
          <w:sz w:val="21"/>
          <w:szCs w:val="21"/>
          <w:lang w:val="en-US" w:eastAsia="zh-CN"/>
        </w:rPr>
        <w:t>睡眠期间实行专人全程值守：0～12月龄每 10 分钟巡视一次，13～36月龄每15分钟巡视一次。</w:t>
      </w:r>
    </w:p>
    <w:p w14:paraId="598F7046">
      <w:pPr>
        <w:pStyle w:val="166"/>
      </w:pPr>
      <w:r>
        <w:rPr>
          <w:rFonts w:hint="eastAsia" w:ascii="宋体" w:hAnsi="宋体" w:eastAsia="宋体" w:cs="宋体"/>
          <w:b w:val="0"/>
          <w:bCs w:val="0"/>
          <w:sz w:val="21"/>
          <w:szCs w:val="21"/>
          <w:lang w:val="en-US" w:eastAsia="zh-CN"/>
        </w:rPr>
        <w:t>巡视应重点查看睡姿、呼吸、面色等状况，做好巡视记录；发现异常立即处置并上报。</w:t>
      </w:r>
    </w:p>
    <w:p w14:paraId="60DEF77E">
      <w:pPr>
        <w:pStyle w:val="67"/>
        <w:spacing w:before="156" w:after="156"/>
      </w:pPr>
      <w:r>
        <w:rPr>
          <w:rFonts w:hint="eastAsia" w:ascii="宋体" w:hAnsi="宋体" w:eastAsia="宋体" w:cs="宋体"/>
          <w:b/>
          <w:bCs/>
          <w:sz w:val="21"/>
          <w:szCs w:val="21"/>
          <w:lang w:val="en-US" w:eastAsia="zh-CN"/>
        </w:rPr>
        <w:t>睡眠问题干预</w:t>
      </w:r>
    </w:p>
    <w:p w14:paraId="7ADFA484">
      <w:pPr>
        <w:pStyle w:val="166"/>
      </w:pPr>
      <w:r>
        <w:rPr>
          <w:rFonts w:hint="eastAsia" w:ascii="宋体" w:hAnsi="宋体" w:eastAsia="宋体" w:cs="宋体"/>
          <w:b w:val="0"/>
          <w:bCs w:val="0"/>
          <w:sz w:val="21"/>
          <w:szCs w:val="21"/>
          <w:lang w:val="en-US" w:eastAsia="zh-CN"/>
        </w:rPr>
        <w:t xml:space="preserve">建立睡眠问题监测与干预机制，由保健人员开展评估与干预，加强家园协同。 </w:t>
      </w:r>
    </w:p>
    <w:p w14:paraId="76F9DAD0">
      <w:pPr>
        <w:pStyle w:val="166"/>
      </w:pPr>
      <w:r>
        <w:rPr>
          <w:rFonts w:hint="eastAsia" w:ascii="宋体" w:hAnsi="宋体" w:eastAsia="宋体" w:cs="宋体"/>
          <w:b w:val="0"/>
          <w:bCs w:val="0"/>
          <w:sz w:val="21"/>
          <w:szCs w:val="21"/>
          <w:lang w:val="en-US" w:eastAsia="zh-CN"/>
        </w:rPr>
        <w:t>对持续睡眠异常婴幼儿，协助对接专业医疗机构，做好跟踪与档案归档。</w:t>
      </w:r>
    </w:p>
    <w:p w14:paraId="51400FE9">
      <w:pPr>
        <w:pStyle w:val="67"/>
        <w:spacing w:before="156" w:after="156"/>
      </w:pPr>
      <w:r>
        <w:rPr>
          <w:rFonts w:hint="eastAsia" w:ascii="宋体" w:hAnsi="宋体" w:eastAsia="宋体" w:cs="宋体"/>
          <w:b/>
          <w:bCs/>
          <w:sz w:val="21"/>
          <w:szCs w:val="21"/>
          <w:lang w:val="en-US" w:eastAsia="zh-CN"/>
        </w:rPr>
        <w:t>分月龄照护要点</w:t>
      </w:r>
    </w:p>
    <w:p w14:paraId="1C3D6502">
      <w:pPr>
        <w:pStyle w:val="58"/>
        <w:ind w:firstLine="420"/>
      </w:pPr>
      <w:r>
        <w:rPr>
          <w:rFonts w:hint="eastAsia" w:ascii="宋体" w:hAnsi="宋体" w:eastAsia="宋体" w:cs="宋体"/>
          <w:b w:val="0"/>
          <w:bCs w:val="0"/>
          <w:sz w:val="21"/>
          <w:szCs w:val="21"/>
          <w:lang w:val="en-US" w:eastAsia="zh-CN"/>
        </w:rPr>
        <w:t>依据《托育机构保育指导大纲（试行）》，结合湖南省气候特点，按月龄分段落实睡眠照护，强化安全管控与健康监测。</w:t>
      </w:r>
    </w:p>
    <w:p w14:paraId="4FF246DA">
      <w:pPr>
        <w:pStyle w:val="107"/>
        <w:spacing w:before="156" w:after="156"/>
        <w:rPr>
          <w:rFonts w:hint="eastAsia" w:ascii="宋体" w:hAnsi="宋体" w:eastAsia="宋体" w:cs="宋体"/>
          <w:b/>
          <w:bCs/>
          <w:color w:val="000000"/>
          <w:sz w:val="21"/>
          <w:szCs w:val="21"/>
          <w:lang w:val="en-US" w:eastAsia="zh-CN" w:bidi="ar"/>
        </w:rPr>
      </w:pPr>
      <w:bookmarkStart w:id="166" w:name="_Toc26841"/>
      <w:r>
        <w:rPr>
          <w:rFonts w:hint="eastAsia" w:ascii="宋体" w:hAnsi="宋体" w:eastAsia="宋体" w:cs="宋体"/>
          <w:b w:val="0"/>
          <w:bCs w:val="0"/>
          <w:color w:val="auto"/>
          <w:sz w:val="21"/>
          <w:szCs w:val="21"/>
          <w:lang w:val="en-US" w:eastAsia="zh-CN" w:bidi="ar"/>
        </w:rPr>
        <w:t>进食与饮水照护</w:t>
      </w:r>
      <w:bookmarkEnd w:id="166"/>
    </w:p>
    <w:p w14:paraId="45DE5737">
      <w:pPr>
        <w:pStyle w:val="167"/>
      </w:pPr>
      <w:r>
        <w:rPr>
          <w:rFonts w:hint="eastAsia" w:ascii="宋体" w:hAnsi="宋体" w:eastAsia="宋体" w:cs="宋体"/>
          <w:b w:val="0"/>
          <w:bCs w:val="0"/>
          <w:sz w:val="21"/>
          <w:szCs w:val="21"/>
          <w:lang w:val="en-US" w:eastAsia="zh-CN"/>
        </w:rPr>
        <w:t>应按年龄段提供营养均衡膳食，严格遵循辅食添加与科学喂养规范，培养良好进食习惯。结合季节变化与儿科养生理念调整膳食：夏季清热健脾，冬季温补养胃，降低季节性肠胃疾病风险。</w:t>
      </w:r>
    </w:p>
    <w:p w14:paraId="7361F1C7">
      <w:pPr>
        <w:pStyle w:val="167"/>
      </w:pPr>
      <w:r>
        <w:rPr>
          <w:rFonts w:hint="eastAsia" w:ascii="宋体" w:hAnsi="宋体" w:eastAsia="宋体" w:cs="宋体"/>
          <w:b w:val="0"/>
          <w:bCs w:val="0"/>
          <w:sz w:val="21"/>
          <w:szCs w:val="21"/>
          <w:lang w:val="en-US" w:eastAsia="zh-CN"/>
        </w:rPr>
        <w:t>应营造安静、轻松、愉快的进餐环境，进餐区温度适宜；桌椅、餐具、水杯应符合婴幼儿专用安全标准。协助或引导自主进食，及时回应需求，实施顺应喂养，不强迫进食。</w:t>
      </w:r>
    </w:p>
    <w:p w14:paraId="590339B3">
      <w:pPr>
        <w:pStyle w:val="167"/>
      </w:pPr>
      <w:r>
        <w:rPr>
          <w:rFonts w:hint="eastAsia" w:ascii="宋体" w:hAnsi="宋体" w:eastAsia="宋体" w:cs="宋体"/>
          <w:b w:val="0"/>
          <w:bCs w:val="0"/>
          <w:sz w:val="21"/>
          <w:szCs w:val="21"/>
          <w:lang w:val="en-US" w:eastAsia="zh-CN"/>
        </w:rPr>
        <w:t>餐前应组织婴幼儿洗手、漱口，做好手卫生；餐前避免剧烈运动。餐后安排安静活动或散步。</w:t>
      </w:r>
    </w:p>
    <w:p w14:paraId="4D040C97">
      <w:pPr>
        <w:pStyle w:val="167"/>
      </w:pPr>
      <w:r>
        <w:rPr>
          <w:rFonts w:hint="eastAsia" w:ascii="宋体" w:hAnsi="宋体" w:eastAsia="宋体" w:cs="宋体"/>
          <w:b w:val="0"/>
          <w:bCs w:val="0"/>
          <w:sz w:val="21"/>
          <w:szCs w:val="21"/>
          <w:lang w:val="en-US" w:eastAsia="zh-CN"/>
        </w:rPr>
        <w:t>进餐时应控制进食速度，禁止催促、过快喂饭，防范呕吐、食道损伤、积食腹胀。密切关注吞咽、咀嚼、进食情绪，出现干呕、呛咳、面色异常、拒食等情况，应立即停止进食，规范应急处置并上报保健人员。</w:t>
      </w:r>
    </w:p>
    <w:p w14:paraId="275476D2">
      <w:pPr>
        <w:pStyle w:val="167"/>
      </w:pPr>
      <w:r>
        <w:rPr>
          <w:rFonts w:hint="eastAsia" w:ascii="宋体" w:hAnsi="宋体" w:eastAsia="宋体" w:cs="宋体"/>
          <w:b w:val="0"/>
          <w:bCs w:val="0"/>
          <w:sz w:val="21"/>
          <w:szCs w:val="21"/>
          <w:lang w:val="en-US" w:eastAsia="zh-CN"/>
        </w:rPr>
        <w:t xml:space="preserve">餐后应组织婴幼儿温水漱口、清洁口腔；餐后静坐休息 15 分钟～20 分钟，禁止剧烈运动，保护消化功能。 </w:t>
      </w:r>
    </w:p>
    <w:p w14:paraId="2F8B1F7B">
      <w:pPr>
        <w:pStyle w:val="167"/>
      </w:pPr>
      <w:r>
        <w:rPr>
          <w:rFonts w:hint="eastAsia" w:ascii="宋体" w:hAnsi="宋体" w:eastAsia="宋体" w:cs="宋体"/>
          <w:b w:val="0"/>
          <w:bCs w:val="0"/>
          <w:sz w:val="21"/>
          <w:szCs w:val="21"/>
          <w:lang w:val="en-US" w:eastAsia="zh-CN"/>
        </w:rPr>
        <w:t>应保证婴幼儿按需饮水，实行少量多次、定时饮水原则；每日上午、下午各安排1 次～2 次集中饮水，根据季节调整饮水量；杜绝口渴暴饮、餐前大量饮水。</w:t>
      </w:r>
    </w:p>
    <w:p w14:paraId="2987E1A8">
      <w:pPr>
        <w:pStyle w:val="167"/>
      </w:pPr>
      <w:r>
        <w:rPr>
          <w:rFonts w:hint="eastAsia" w:ascii="宋体" w:hAnsi="宋体" w:eastAsia="宋体" w:cs="宋体"/>
          <w:b w:val="0"/>
          <w:bCs w:val="0"/>
          <w:sz w:val="21"/>
          <w:szCs w:val="21"/>
          <w:lang w:val="en-US" w:eastAsia="zh-CN"/>
        </w:rPr>
        <w:t>低龄、吞咽功能较弱婴幼儿饮水时应全程看护，禁止嬉戏、跑动、说话时饮水，防范呛咳、误吸。</w:t>
      </w:r>
    </w:p>
    <w:p w14:paraId="5300A365">
      <w:pPr>
        <w:pStyle w:val="167"/>
      </w:pPr>
      <w:r>
        <w:rPr>
          <w:rFonts w:hint="eastAsia" w:ascii="宋体" w:hAnsi="宋体" w:eastAsia="宋体" w:cs="宋体"/>
          <w:b w:val="0"/>
          <w:bCs w:val="0"/>
          <w:sz w:val="21"/>
          <w:szCs w:val="21"/>
          <w:lang w:val="en-US" w:eastAsia="zh-CN"/>
        </w:rPr>
        <w:t>应根据婴幼儿能力特点，指导正确进食与饮水方式，引导自主进食饮水，培养良好习惯与自理能力。</w:t>
      </w:r>
    </w:p>
    <w:p w14:paraId="65FCE138">
      <w:pPr>
        <w:pStyle w:val="107"/>
        <w:spacing w:before="156" w:after="156"/>
        <w:rPr>
          <w:rFonts w:hint="eastAsia" w:ascii="宋体" w:hAnsi="宋体" w:eastAsia="宋体" w:cs="宋体"/>
          <w:b/>
          <w:bCs/>
          <w:color w:val="000000"/>
          <w:sz w:val="21"/>
          <w:szCs w:val="21"/>
          <w:lang w:val="en-US" w:eastAsia="zh-CN" w:bidi="ar"/>
        </w:rPr>
      </w:pPr>
      <w:bookmarkStart w:id="167" w:name="_Toc25846"/>
      <w:r>
        <w:rPr>
          <w:rFonts w:hint="eastAsia" w:ascii="宋体" w:hAnsi="宋体" w:eastAsia="宋体" w:cs="宋体"/>
          <w:b w:val="0"/>
          <w:bCs w:val="0"/>
          <w:color w:val="auto"/>
          <w:sz w:val="21"/>
          <w:szCs w:val="21"/>
          <w:lang w:val="en-US" w:eastAsia="zh-CN" w:bidi="ar"/>
        </w:rPr>
        <w:t>盥洗与卫生照护</w:t>
      </w:r>
      <w:bookmarkEnd w:id="167"/>
    </w:p>
    <w:p w14:paraId="151AB87A">
      <w:pPr>
        <w:pStyle w:val="67"/>
        <w:spacing w:before="156" w:after="156"/>
      </w:pPr>
      <w:r>
        <w:rPr>
          <w:rFonts w:hint="eastAsia" w:ascii="宋体" w:hAnsi="宋体" w:eastAsia="宋体" w:cs="宋体"/>
          <w:b/>
          <w:bCs/>
          <w:sz w:val="21"/>
          <w:szCs w:val="21"/>
          <w:lang w:val="en-US" w:eastAsia="zh-CN"/>
        </w:rPr>
        <w:t>手卫生</w:t>
      </w:r>
    </w:p>
    <w:p w14:paraId="1CFAE54A">
      <w:pPr>
        <w:pStyle w:val="166"/>
      </w:pPr>
      <w:r>
        <w:rPr>
          <w:rFonts w:hint="eastAsia" w:ascii="宋体" w:hAnsi="宋体" w:eastAsia="宋体" w:cs="宋体"/>
          <w:b w:val="0"/>
          <w:bCs w:val="0"/>
          <w:sz w:val="21"/>
          <w:szCs w:val="21"/>
          <w:lang w:val="en-US" w:eastAsia="zh-CN"/>
        </w:rPr>
        <w:t xml:space="preserve">手卫生时机：入园后、餐前、餐后、如厕后、擤鼻涕 / 咳嗽后、接触宠物 / 玩具后、户外活动返回后、接触伤口后。 </w:t>
      </w:r>
    </w:p>
    <w:p w14:paraId="778AE611">
      <w:pPr>
        <w:pStyle w:val="166"/>
      </w:pPr>
      <w:r>
        <w:rPr>
          <w:rFonts w:hint="eastAsia" w:ascii="宋体" w:hAnsi="宋体" w:eastAsia="宋体" w:cs="宋体"/>
          <w:b w:val="0"/>
          <w:bCs w:val="0"/>
          <w:sz w:val="21"/>
          <w:szCs w:val="21"/>
          <w:lang w:val="en-US" w:eastAsia="zh-CN"/>
        </w:rPr>
        <w:t>应规范执行七步洗手法，确保手卫生到位。</w:t>
      </w:r>
    </w:p>
    <w:p w14:paraId="68CD6ABF">
      <w:pPr>
        <w:pStyle w:val="67"/>
        <w:spacing w:before="156" w:after="156"/>
      </w:pPr>
      <w:r>
        <w:rPr>
          <w:rFonts w:hint="eastAsia" w:ascii="宋体" w:hAnsi="宋体" w:eastAsia="宋体" w:cs="宋体"/>
          <w:b/>
          <w:bCs/>
          <w:sz w:val="21"/>
          <w:szCs w:val="21"/>
          <w:lang w:val="en-US" w:eastAsia="zh-CN"/>
        </w:rPr>
        <w:t>口腔清洁</w:t>
      </w:r>
    </w:p>
    <w:p w14:paraId="5B90B43B">
      <w:pPr>
        <w:pStyle w:val="166"/>
      </w:pPr>
      <w:r>
        <w:rPr>
          <w:rFonts w:hint="eastAsia" w:ascii="宋体" w:hAnsi="宋体" w:eastAsia="宋体" w:cs="宋体"/>
          <w:b w:val="0"/>
          <w:bCs w:val="0"/>
          <w:sz w:val="21"/>
          <w:szCs w:val="21"/>
          <w:lang w:val="en-US" w:eastAsia="zh-CN"/>
        </w:rPr>
        <w:t>餐后应辅助或引导婴幼儿擦嘴、漱口；按年龄与发展水平实施口腔清洁。</w:t>
      </w:r>
    </w:p>
    <w:p w14:paraId="2461DF19">
      <w:pPr>
        <w:pStyle w:val="166"/>
      </w:pPr>
      <w:r>
        <w:rPr>
          <w:rFonts w:hint="eastAsia" w:ascii="宋体" w:hAnsi="宋体" w:eastAsia="宋体" w:cs="宋体"/>
          <w:b w:val="0"/>
          <w:bCs w:val="0"/>
          <w:sz w:val="21"/>
          <w:szCs w:val="21"/>
          <w:lang w:val="en-US" w:eastAsia="zh-CN"/>
        </w:rPr>
        <w:t>分龄清洁：未萌牙婴幼儿每日用无菌纱布蘸温水擦拭口腔黏膜、牙龈，清洁奶渍与食物残渣，预防鹅口疮；乳牙萌出后，使用婴幼儿专用软毛指套刷 / 牙刷，每日早晚各清洁 1 次，餐后及时漱口；操作应轻柔，避免损伤牙龈。</w:t>
      </w:r>
    </w:p>
    <w:p w14:paraId="01691870">
      <w:pPr>
        <w:pStyle w:val="166"/>
      </w:pPr>
      <w:r>
        <w:rPr>
          <w:rFonts w:hint="eastAsia" w:ascii="宋体" w:hAnsi="宋体" w:eastAsia="宋体" w:cs="宋体"/>
          <w:b w:val="0"/>
          <w:bCs w:val="0"/>
          <w:sz w:val="21"/>
          <w:szCs w:val="21"/>
          <w:lang w:val="en-US" w:eastAsia="zh-CN"/>
        </w:rPr>
        <w:t>清洁用具应专人专用、每日消毒，防范交叉感染。</w:t>
      </w:r>
    </w:p>
    <w:p w14:paraId="4AB558AA">
      <w:pPr>
        <w:pStyle w:val="166"/>
      </w:pPr>
      <w:r>
        <w:rPr>
          <w:rFonts w:hint="eastAsia" w:ascii="宋体" w:hAnsi="宋体" w:eastAsia="宋体" w:cs="宋体"/>
          <w:b w:val="0"/>
          <w:bCs w:val="0"/>
          <w:sz w:val="21"/>
          <w:szCs w:val="21"/>
          <w:lang w:val="en-US" w:eastAsia="zh-CN"/>
        </w:rPr>
        <w:t>针对咬手指、咬嘴唇、吐舌、偏侧咀嚼、张口呼吸等口腔不良习惯，机构与医疗机构联合制定个性化干预方案；保育人员及时纠正，专业人员定期评估，顽固性问题提供专业矫治建议。</w:t>
      </w:r>
    </w:p>
    <w:p w14:paraId="1F89897A">
      <w:pPr>
        <w:pStyle w:val="67"/>
        <w:spacing w:before="156" w:after="156"/>
      </w:pPr>
      <w:r>
        <w:rPr>
          <w:rFonts w:hint="eastAsia" w:ascii="宋体" w:hAnsi="宋体" w:eastAsia="宋体" w:cs="宋体"/>
          <w:b/>
          <w:bCs/>
          <w:sz w:val="21"/>
          <w:szCs w:val="21"/>
          <w:lang w:val="en-US" w:eastAsia="zh-CN"/>
        </w:rPr>
        <w:t>皮肤护理</w:t>
      </w:r>
    </w:p>
    <w:p w14:paraId="738046A8">
      <w:pPr>
        <w:pStyle w:val="166"/>
      </w:pPr>
      <w:r>
        <w:rPr>
          <w:rFonts w:hint="eastAsia" w:ascii="宋体" w:hAnsi="宋体" w:eastAsia="宋体" w:cs="宋体"/>
          <w:b w:val="0"/>
          <w:bCs w:val="0"/>
          <w:sz w:val="21"/>
          <w:szCs w:val="21"/>
          <w:lang w:val="en-US" w:eastAsia="zh-CN"/>
        </w:rPr>
        <w:t>衣物管理：根据气温及时增减衣物，选用纯棉、透气、宽松衣物，避免化纤材质刺激；衣物勤洗勤换，每日1 次～2 次。</w:t>
      </w:r>
    </w:p>
    <w:p w14:paraId="4EE8E7D1">
      <w:pPr>
        <w:pStyle w:val="166"/>
      </w:pPr>
      <w:r>
        <w:rPr>
          <w:rFonts w:hint="eastAsia" w:ascii="宋体" w:hAnsi="宋体" w:eastAsia="宋体" w:cs="宋体"/>
          <w:b w:val="0"/>
          <w:bCs w:val="0"/>
          <w:sz w:val="21"/>
          <w:szCs w:val="21"/>
          <w:lang w:val="en-US" w:eastAsia="zh-CN"/>
        </w:rPr>
        <w:t>褶皱护理：重点清洁腋下、颈部、腹股沟、臀部等皮肤褶皱部位，保持干燥清爽；按规范使用护臀膏或婴幼儿专用爽身粉（避免吸入）。</w:t>
      </w:r>
    </w:p>
    <w:p w14:paraId="398656F0">
      <w:pPr>
        <w:pStyle w:val="166"/>
      </w:pPr>
      <w:r>
        <w:rPr>
          <w:rFonts w:hint="eastAsia" w:ascii="宋体" w:hAnsi="宋体" w:eastAsia="宋体" w:cs="宋体"/>
          <w:b w:val="0"/>
          <w:bCs w:val="0"/>
          <w:sz w:val="21"/>
          <w:szCs w:val="21"/>
          <w:lang w:val="en-US" w:eastAsia="zh-CN"/>
        </w:rPr>
        <w:t>皮肤观察：每日检查皮肤状况，发现红斑、湿疹、痱子、抓痕、淤青等异常，及时记录、反馈家长，必要时转诊皮肤科。</w:t>
      </w:r>
    </w:p>
    <w:p w14:paraId="24516F5B">
      <w:pPr>
        <w:pStyle w:val="67"/>
        <w:spacing w:before="156" w:after="156"/>
      </w:pPr>
      <w:r>
        <w:rPr>
          <w:rFonts w:hint="eastAsia" w:ascii="宋体" w:hAnsi="宋体" w:eastAsia="宋体" w:cs="宋体"/>
          <w:b/>
          <w:bCs/>
          <w:sz w:val="21"/>
          <w:szCs w:val="21"/>
          <w:lang w:val="en-US" w:eastAsia="zh-CN"/>
        </w:rPr>
        <w:t>环境与物品卫生</w:t>
      </w:r>
    </w:p>
    <w:p w14:paraId="42B17828">
      <w:pPr>
        <w:pStyle w:val="166"/>
      </w:pPr>
      <w:r>
        <w:rPr>
          <w:rFonts w:hint="eastAsia" w:ascii="宋体" w:hAnsi="宋体" w:eastAsia="宋体" w:cs="宋体"/>
          <w:b w:val="0"/>
          <w:bCs w:val="0"/>
          <w:sz w:val="21"/>
          <w:szCs w:val="21"/>
          <w:lang w:val="en-US" w:eastAsia="zh-CN"/>
        </w:rPr>
        <w:t>盥洗区、玩具、餐具、地面、桌椅等每日清洁消毒；耐水玩具高温消毒，毛绒玩具阳光暴晒；每日开窗通风2 次～3 次，每次30 分钟以上。</w:t>
      </w:r>
    </w:p>
    <w:p w14:paraId="1C28D0C1">
      <w:pPr>
        <w:pStyle w:val="166"/>
      </w:pPr>
      <w:r>
        <w:rPr>
          <w:rFonts w:hint="eastAsia" w:ascii="宋体" w:hAnsi="宋体" w:eastAsia="宋体" w:cs="宋体"/>
          <w:b w:val="0"/>
          <w:bCs w:val="0"/>
          <w:sz w:val="21"/>
          <w:szCs w:val="21"/>
          <w:lang w:val="en-US" w:eastAsia="zh-CN"/>
        </w:rPr>
        <w:t>毛巾、手帕、洗脸盆等个人物品专人专用，每日清洗消毒、阳光下晾干；玩具、绘本等高频接触物品每周全面消毒 1 次，破损、污染物品及时更换。</w:t>
      </w:r>
    </w:p>
    <w:p w14:paraId="51C0DD17">
      <w:pPr>
        <w:pStyle w:val="67"/>
        <w:spacing w:before="156" w:after="156"/>
      </w:pPr>
      <w:r>
        <w:rPr>
          <w:rFonts w:hint="eastAsia" w:ascii="宋体" w:hAnsi="宋体" w:eastAsia="宋体" w:cs="宋体"/>
          <w:b/>
          <w:bCs/>
          <w:sz w:val="21"/>
          <w:szCs w:val="21"/>
          <w:lang w:val="en-US" w:eastAsia="zh-CN"/>
        </w:rPr>
        <w:t>洗脸与沐浴</w:t>
      </w:r>
    </w:p>
    <w:p w14:paraId="527D843C">
      <w:pPr>
        <w:pStyle w:val="166"/>
      </w:pPr>
      <w:r>
        <w:rPr>
          <w:rFonts w:hint="eastAsia" w:ascii="宋体" w:hAnsi="宋体" w:eastAsia="宋体" w:cs="宋体"/>
          <w:b w:val="0"/>
          <w:bCs w:val="0"/>
          <w:sz w:val="21"/>
          <w:szCs w:val="21"/>
          <w:lang w:val="en-US" w:eastAsia="zh-CN"/>
        </w:rPr>
        <w:t>洗脸：水温38℃～40℃，按眼→鼻→脸→耳→颈顺序轻柔擦拭，避免刺激眼、耳；擦拭后涂抹婴幼儿专用保湿霜。</w:t>
      </w:r>
    </w:p>
    <w:p w14:paraId="466749BA">
      <w:pPr>
        <w:pStyle w:val="166"/>
      </w:pPr>
      <w:r>
        <w:rPr>
          <w:rFonts w:hint="eastAsia" w:ascii="宋体" w:hAnsi="宋体" w:eastAsia="宋体" w:cs="宋体"/>
          <w:b w:val="0"/>
          <w:bCs w:val="0"/>
          <w:sz w:val="21"/>
          <w:szCs w:val="21"/>
          <w:lang w:val="en-US" w:eastAsia="zh-CN"/>
        </w:rPr>
        <w:t>沐浴：夏季每日1 次～2 次淋浴，冬季每日 1 次或隔日 1 次；水温38℃～40℃，时长控制在10 分钟～15 分钟，防止受凉与烫伤。</w:t>
      </w:r>
    </w:p>
    <w:p w14:paraId="5F8E4E15">
      <w:pPr>
        <w:pStyle w:val="166"/>
      </w:pPr>
      <w:r>
        <w:rPr>
          <w:rFonts w:hint="eastAsia" w:ascii="宋体" w:hAnsi="宋体" w:eastAsia="宋体" w:cs="宋体"/>
          <w:b w:val="0"/>
          <w:bCs w:val="0"/>
          <w:sz w:val="21"/>
          <w:szCs w:val="21"/>
          <w:lang w:val="en-US" w:eastAsia="zh-CN"/>
        </w:rPr>
        <w:t>特殊护理：皮肤干燥婴幼儿沐浴后立即全身保湿；过敏体质婴幼儿选用无香精、无防腐剂温和洗护产品，提前排查过敏原。</w:t>
      </w:r>
    </w:p>
    <w:p w14:paraId="75D328F9">
      <w:pPr>
        <w:pStyle w:val="107"/>
        <w:spacing w:before="156" w:after="156"/>
        <w:rPr>
          <w:rFonts w:hint="eastAsia" w:ascii="宋体" w:hAnsi="宋体" w:eastAsia="宋体" w:cs="宋体"/>
          <w:b/>
          <w:bCs/>
          <w:color w:val="000000"/>
          <w:sz w:val="21"/>
          <w:szCs w:val="21"/>
          <w:lang w:val="en-US" w:eastAsia="zh-CN" w:bidi="ar"/>
        </w:rPr>
      </w:pPr>
      <w:bookmarkStart w:id="168" w:name="_Toc25170"/>
      <w:r>
        <w:rPr>
          <w:rFonts w:hint="eastAsia" w:ascii="宋体" w:hAnsi="宋体" w:eastAsia="宋体" w:cs="宋体"/>
          <w:b w:val="0"/>
          <w:bCs w:val="0"/>
          <w:color w:val="auto"/>
          <w:sz w:val="21"/>
          <w:szCs w:val="21"/>
          <w:lang w:val="en-US" w:eastAsia="zh-CN" w:bidi="ar"/>
        </w:rPr>
        <w:t>穿脱衣物照护</w:t>
      </w:r>
      <w:bookmarkEnd w:id="168"/>
    </w:p>
    <w:p w14:paraId="78DE53D4">
      <w:pPr>
        <w:pStyle w:val="58"/>
        <w:ind w:firstLine="420"/>
      </w:pPr>
      <w:r>
        <w:rPr>
          <w:rFonts w:hint="eastAsia" w:ascii="宋体" w:hAnsi="宋体" w:eastAsia="宋体" w:cs="宋体"/>
          <w:b w:val="0"/>
          <w:bCs w:val="0"/>
          <w:sz w:val="21"/>
          <w:szCs w:val="21"/>
          <w:lang w:val="en-US" w:eastAsia="zh-CN"/>
        </w:rPr>
        <w:t>以安全照护 + 健康观察 + 能力培养三位一体为核心，指导自主穿脱，兼顾保暖、安全与适度协助。</w:t>
      </w:r>
    </w:p>
    <w:p w14:paraId="73EF7920">
      <w:pPr>
        <w:pStyle w:val="167"/>
      </w:pPr>
      <w:r>
        <w:rPr>
          <w:rFonts w:hint="eastAsia" w:ascii="宋体" w:hAnsi="宋体" w:eastAsia="宋体" w:cs="宋体"/>
          <w:b w:val="0"/>
          <w:bCs w:val="0"/>
          <w:sz w:val="21"/>
          <w:szCs w:val="21"/>
          <w:lang w:val="en-US" w:eastAsia="zh-CN"/>
        </w:rPr>
        <w:t>应营造安全、舒适的穿脱衣物环境，保护婴幼儿隐私。</w:t>
      </w:r>
    </w:p>
    <w:p w14:paraId="338FA96F">
      <w:pPr>
        <w:pStyle w:val="167"/>
      </w:pPr>
      <w:r>
        <w:rPr>
          <w:rFonts w:hint="eastAsia" w:ascii="宋体" w:hAnsi="宋体" w:eastAsia="宋体" w:cs="宋体"/>
          <w:b w:val="0"/>
          <w:bCs w:val="0"/>
          <w:sz w:val="21"/>
          <w:szCs w:val="21"/>
          <w:lang w:val="en-US" w:eastAsia="zh-CN"/>
        </w:rPr>
        <w:t>应根据环境温度与活动需要，及时为婴幼儿增减衣物。</w:t>
      </w:r>
    </w:p>
    <w:p w14:paraId="65628D3F">
      <w:pPr>
        <w:pStyle w:val="167"/>
      </w:pPr>
      <w:r>
        <w:rPr>
          <w:rFonts w:hint="eastAsia" w:ascii="宋体" w:hAnsi="宋体" w:eastAsia="宋体" w:cs="宋体"/>
          <w:b w:val="0"/>
          <w:bCs w:val="0"/>
          <w:sz w:val="21"/>
          <w:szCs w:val="21"/>
          <w:lang w:val="en-US" w:eastAsia="zh-CN"/>
        </w:rPr>
        <w:t>更换衣物动作应轻柔，避免拉伤、关节脱臼等伤害。</w:t>
      </w:r>
    </w:p>
    <w:p w14:paraId="04863E2D">
      <w:pPr>
        <w:pStyle w:val="167"/>
      </w:pPr>
      <w:r>
        <w:rPr>
          <w:rFonts w:hint="eastAsia" w:ascii="宋体" w:hAnsi="宋体" w:eastAsia="宋体" w:cs="宋体"/>
          <w:b w:val="0"/>
          <w:bCs w:val="0"/>
          <w:sz w:val="21"/>
          <w:szCs w:val="21"/>
          <w:lang w:val="en-US" w:eastAsia="zh-CN"/>
        </w:rPr>
        <w:t>穿着检查：领口不卡颈、袖口不勒手、裤腰不过紧。</w:t>
      </w:r>
    </w:p>
    <w:p w14:paraId="66DA1FEC">
      <w:pPr>
        <w:pStyle w:val="167"/>
      </w:pPr>
      <w:r>
        <w:rPr>
          <w:rFonts w:hint="eastAsia" w:ascii="宋体" w:hAnsi="宋体" w:eastAsia="宋体" w:cs="宋体"/>
          <w:b w:val="0"/>
          <w:bCs w:val="0"/>
          <w:sz w:val="21"/>
          <w:szCs w:val="21"/>
          <w:lang w:val="en-US" w:eastAsia="zh-CN"/>
        </w:rPr>
        <w:t>分龄引导：0 岁～1 岁以协助为主；1 岁～2 岁协助 + 鼓励；2 岁～3 岁以自主为主，逐步培养自主穿脱与整理衣物能力。</w:t>
      </w:r>
    </w:p>
    <w:p w14:paraId="74BF55EF">
      <w:pPr>
        <w:pStyle w:val="107"/>
        <w:spacing w:before="156" w:after="156"/>
        <w:rPr>
          <w:rFonts w:hint="eastAsia" w:ascii="宋体" w:hAnsi="宋体" w:eastAsia="宋体" w:cs="宋体"/>
          <w:b/>
          <w:bCs/>
          <w:color w:val="000000"/>
          <w:sz w:val="21"/>
          <w:szCs w:val="21"/>
          <w:lang w:val="en-US" w:eastAsia="zh-CN" w:bidi="ar"/>
        </w:rPr>
      </w:pPr>
      <w:bookmarkStart w:id="169" w:name="_Toc31894"/>
      <w:r>
        <w:rPr>
          <w:rFonts w:hint="eastAsia" w:ascii="宋体" w:hAnsi="宋体" w:eastAsia="宋体" w:cs="宋体"/>
          <w:b w:val="0"/>
          <w:bCs w:val="0"/>
          <w:color w:val="auto"/>
          <w:sz w:val="21"/>
          <w:szCs w:val="21"/>
          <w:lang w:val="en-US" w:eastAsia="zh-CN" w:bidi="ar"/>
        </w:rPr>
        <w:t>如厕照护</w:t>
      </w:r>
      <w:bookmarkEnd w:id="169"/>
    </w:p>
    <w:p w14:paraId="50C0FB4C">
      <w:pPr>
        <w:pStyle w:val="167"/>
      </w:pPr>
      <w:r>
        <w:rPr>
          <w:rFonts w:hint="eastAsia" w:ascii="宋体" w:hAnsi="宋体" w:eastAsia="宋体" w:cs="宋体"/>
          <w:b w:val="0"/>
          <w:bCs w:val="0"/>
          <w:sz w:val="21"/>
          <w:szCs w:val="21"/>
          <w:lang w:val="en-US" w:eastAsia="zh-CN"/>
        </w:rPr>
        <w:t>应尊重婴幼儿隐私，营造私密、清洁的如厕环境，保护心理尊严，不强迫、不嘲笑。</w:t>
      </w:r>
    </w:p>
    <w:p w14:paraId="724960F6">
      <w:pPr>
        <w:pStyle w:val="167"/>
      </w:pPr>
      <w:r>
        <w:rPr>
          <w:rFonts w:hint="eastAsia" w:ascii="宋体" w:hAnsi="宋体" w:eastAsia="宋体" w:cs="宋体"/>
          <w:b w:val="0"/>
          <w:bCs w:val="0"/>
          <w:sz w:val="21"/>
          <w:szCs w:val="21"/>
          <w:lang w:val="en-US" w:eastAsia="zh-CN"/>
        </w:rPr>
        <w:t>按年龄配备柔软纯棉湿巾、温水、尿布 / 训练裤、护臀膏等用品。</w:t>
      </w:r>
    </w:p>
    <w:p w14:paraId="64F49F60">
      <w:pPr>
        <w:pStyle w:val="167"/>
      </w:pPr>
      <w:r>
        <w:rPr>
          <w:rFonts w:hint="eastAsia" w:ascii="宋体" w:hAnsi="宋体" w:eastAsia="宋体" w:cs="宋体"/>
          <w:b w:val="0"/>
          <w:bCs w:val="0"/>
          <w:sz w:val="21"/>
          <w:szCs w:val="21"/>
          <w:lang w:val="en-US" w:eastAsia="zh-CN"/>
        </w:rPr>
        <w:t>密切观察如厕信号，按月龄实施分阶照护：</w:t>
      </w:r>
    </w:p>
    <w:p w14:paraId="47D04080">
      <w:pPr>
        <w:pStyle w:val="134"/>
      </w:pPr>
      <w:r>
        <w:rPr>
          <w:rFonts w:hint="eastAsia" w:ascii="宋体" w:hAnsi="宋体" w:eastAsia="宋体" w:cs="宋体"/>
          <w:b w:val="0"/>
          <w:bCs w:val="0"/>
          <w:sz w:val="21"/>
          <w:szCs w:val="21"/>
          <w:lang w:val="en-US" w:eastAsia="zh-CN"/>
        </w:rPr>
        <w:t>1岁前：及时更换尿布，保持臀部干爽，不强制如厕训练；</w:t>
      </w:r>
    </w:p>
    <w:p w14:paraId="1BF3FE52">
      <w:pPr>
        <w:pStyle w:val="134"/>
      </w:pPr>
      <w:r>
        <w:rPr>
          <w:rFonts w:hint="eastAsia" w:ascii="宋体" w:hAnsi="宋体" w:eastAsia="宋体" w:cs="宋体"/>
          <w:b w:val="0"/>
          <w:bCs w:val="0"/>
          <w:sz w:val="21"/>
          <w:szCs w:val="21"/>
          <w:lang w:val="en-US" w:eastAsia="zh-CN"/>
        </w:rPr>
        <w:t>1岁～2岁：引导用语言、手势表达需求，及时回应与协助；</w:t>
      </w:r>
    </w:p>
    <w:p w14:paraId="1851BDDE">
      <w:pPr>
        <w:pStyle w:val="134"/>
      </w:pPr>
      <w:r>
        <w:rPr>
          <w:rFonts w:hint="eastAsia" w:ascii="宋体" w:hAnsi="宋体" w:eastAsia="宋体" w:cs="宋体"/>
          <w:b w:val="0"/>
          <w:bCs w:val="0"/>
          <w:sz w:val="21"/>
          <w:szCs w:val="21"/>
          <w:lang w:val="en-US" w:eastAsia="zh-CN"/>
        </w:rPr>
        <w:t>2岁以上：引导自主如厕，培养规律排便习惯；公共场景引导有序排队、遵守礼仪。</w:t>
      </w:r>
    </w:p>
    <w:p w14:paraId="0BBD73D7">
      <w:pPr>
        <w:pStyle w:val="167"/>
      </w:pPr>
      <w:r>
        <w:rPr>
          <w:rFonts w:hint="eastAsia" w:ascii="宋体" w:hAnsi="宋体" w:eastAsia="宋体" w:cs="宋体"/>
          <w:b w:val="0"/>
          <w:bCs w:val="0"/>
          <w:sz w:val="21"/>
          <w:szCs w:val="21"/>
          <w:lang w:val="en-US" w:eastAsia="zh-CN"/>
        </w:rPr>
        <w:t>如厕时应观察大小便性状、颜色、频次及肛周、全身状态，做好记录；发现异常及时反馈保健人员与家长，必要时对接医疗机构专业指导。</w:t>
      </w:r>
    </w:p>
    <w:p w14:paraId="0323026B">
      <w:pPr>
        <w:pStyle w:val="167"/>
      </w:pPr>
      <w:r>
        <w:rPr>
          <w:rFonts w:hint="eastAsia" w:ascii="宋体" w:hAnsi="宋体" w:eastAsia="宋体" w:cs="宋体"/>
          <w:b w:val="0"/>
          <w:bCs w:val="0"/>
          <w:sz w:val="21"/>
          <w:szCs w:val="21"/>
          <w:lang w:val="en-US" w:eastAsia="zh-CN"/>
        </w:rPr>
        <w:t>如厕弄脏衣物应及时更换、清洗。</w:t>
      </w:r>
    </w:p>
    <w:p w14:paraId="4E564F56">
      <w:pPr>
        <w:pStyle w:val="107"/>
        <w:spacing w:before="156" w:after="156"/>
        <w:rPr>
          <w:rFonts w:hint="eastAsia" w:ascii="宋体" w:hAnsi="宋体" w:eastAsia="宋体" w:cs="宋体"/>
          <w:b/>
          <w:bCs/>
          <w:color w:val="000000"/>
          <w:sz w:val="21"/>
          <w:szCs w:val="21"/>
          <w:lang w:val="en-US" w:eastAsia="zh-CN" w:bidi="ar"/>
        </w:rPr>
      </w:pPr>
      <w:bookmarkStart w:id="170" w:name="_Toc117"/>
      <w:r>
        <w:rPr>
          <w:rFonts w:hint="eastAsia" w:ascii="宋体" w:hAnsi="宋体" w:eastAsia="宋体" w:cs="宋体"/>
          <w:b w:val="0"/>
          <w:bCs w:val="0"/>
          <w:color w:val="auto"/>
          <w:sz w:val="21"/>
          <w:szCs w:val="21"/>
          <w:lang w:val="en-US" w:eastAsia="zh-CN" w:bidi="ar"/>
        </w:rPr>
        <w:t>身体活动照护</w:t>
      </w:r>
      <w:bookmarkEnd w:id="170"/>
    </w:p>
    <w:p w14:paraId="6E030BFC">
      <w:pPr>
        <w:pStyle w:val="58"/>
        <w:ind w:firstLine="420"/>
      </w:pPr>
      <w:r>
        <w:rPr>
          <w:rFonts w:hint="eastAsia" w:ascii="宋体" w:hAnsi="宋体" w:eastAsia="宋体" w:cs="宋体"/>
          <w:b w:val="0"/>
          <w:bCs w:val="0"/>
          <w:sz w:val="21"/>
          <w:szCs w:val="21"/>
          <w:lang w:val="en-US" w:eastAsia="zh-CN"/>
        </w:rPr>
        <w:t>结合年龄与发育阶段设计安全活动方案，兼顾大运动与精细动作发展，避免过度疲劳与运动损伤。</w:t>
      </w:r>
    </w:p>
    <w:p w14:paraId="7A1707EA">
      <w:pPr>
        <w:pStyle w:val="167"/>
      </w:pPr>
      <w:r>
        <w:rPr>
          <w:rFonts w:hint="eastAsia" w:ascii="宋体" w:hAnsi="宋体" w:eastAsia="宋体" w:cs="宋体"/>
          <w:b w:val="0"/>
          <w:bCs w:val="0"/>
          <w:sz w:val="21"/>
          <w:szCs w:val="21"/>
          <w:lang w:val="en-US" w:eastAsia="zh-CN"/>
        </w:rPr>
        <w:t>所有活动以婴幼儿身体耐受度为前提，加强全程看护；密切观察面色、精神、呼吸、出汗状况，及时调整活动量；发生意外伤害应规范处置，及时告知家长并协助就医。</w:t>
      </w:r>
    </w:p>
    <w:p w14:paraId="79E5A314">
      <w:pPr>
        <w:pStyle w:val="167"/>
      </w:pPr>
      <w:r>
        <w:rPr>
          <w:rFonts w:hint="eastAsia" w:ascii="宋体" w:hAnsi="宋体" w:eastAsia="宋体" w:cs="宋体"/>
          <w:b w:val="0"/>
          <w:bCs w:val="0"/>
          <w:sz w:val="21"/>
          <w:szCs w:val="21"/>
          <w:lang w:val="en-US" w:eastAsia="zh-CN"/>
        </w:rPr>
        <w:t>活动环境应安全舒适，运动器材圆润无毛刺、尺寸适配，定期消杀与牢固度检查；禁止使用硬质、过重、存在夹手、磕碰风险的器材。</w:t>
      </w:r>
    </w:p>
    <w:p w14:paraId="02E72601">
      <w:pPr>
        <w:pStyle w:val="167"/>
      </w:pPr>
      <w:r>
        <w:rPr>
          <w:rFonts w:hint="eastAsia" w:ascii="宋体" w:hAnsi="宋体" w:eastAsia="宋体" w:cs="宋体"/>
          <w:b w:val="0"/>
          <w:bCs w:val="0"/>
          <w:sz w:val="21"/>
          <w:szCs w:val="21"/>
          <w:lang w:val="en-US" w:eastAsia="zh-CN"/>
        </w:rPr>
        <w:t>按月龄分层设计活动，不超前、不高强度训练：</w:t>
      </w:r>
    </w:p>
    <w:p w14:paraId="0D866835">
      <w:pPr>
        <w:pStyle w:val="134"/>
      </w:pPr>
      <w:r>
        <w:rPr>
          <w:rFonts w:hint="eastAsia" w:ascii="宋体" w:hAnsi="宋体" w:eastAsia="宋体" w:cs="宋体"/>
          <w:b w:val="0"/>
          <w:bCs w:val="0"/>
          <w:sz w:val="21"/>
          <w:szCs w:val="21"/>
          <w:lang w:val="en-US" w:eastAsia="zh-CN"/>
        </w:rPr>
        <w:t>0个月～6个月（被动运动发育期）：刺激感官发育，锻炼颈部、躯干基础力量；</w:t>
      </w:r>
    </w:p>
    <w:p w14:paraId="3015EDDA">
      <w:pPr>
        <w:pStyle w:val="134"/>
      </w:pPr>
      <w:r>
        <w:rPr>
          <w:rFonts w:hint="eastAsia" w:ascii="宋体" w:hAnsi="宋体" w:eastAsia="宋体" w:cs="宋体"/>
          <w:b w:val="0"/>
          <w:bCs w:val="0"/>
          <w:sz w:val="21"/>
          <w:szCs w:val="21"/>
          <w:lang w:val="en-US" w:eastAsia="zh-CN"/>
        </w:rPr>
        <w:t>7个月～12个月（主动探索运动期）：锻炼爬行、独坐、扶站能力，提升四肢力量与协调性；</w:t>
      </w:r>
    </w:p>
    <w:p w14:paraId="4BE5F01F">
      <w:pPr>
        <w:pStyle w:val="134"/>
      </w:pPr>
      <w:r>
        <w:rPr>
          <w:rFonts w:hint="eastAsia" w:ascii="宋体" w:hAnsi="宋体" w:eastAsia="宋体" w:cs="宋体"/>
          <w:b w:val="0"/>
          <w:bCs w:val="0"/>
          <w:sz w:val="21"/>
          <w:szCs w:val="21"/>
          <w:lang w:val="en-US" w:eastAsia="zh-CN"/>
        </w:rPr>
        <w:t>13个月～24个月（行走协调发展期）：锻炼平衡与肢体协调能力，掌握行走、弯腰、下蹲等基础动作；</w:t>
      </w:r>
    </w:p>
    <w:p w14:paraId="70329D07">
      <w:pPr>
        <w:pStyle w:val="134"/>
      </w:pPr>
      <w:r>
        <w:rPr>
          <w:rFonts w:hint="eastAsia" w:ascii="宋体" w:hAnsi="宋体" w:eastAsia="宋体" w:cs="宋体"/>
          <w:b w:val="0"/>
          <w:bCs w:val="0"/>
          <w:sz w:val="21"/>
          <w:szCs w:val="21"/>
          <w:lang w:val="en-US" w:eastAsia="zh-CN"/>
        </w:rPr>
        <w:t>25个月～36个月（体能自主提升期）：熟练掌握跑、跳、钻、爬、平衡等动作，增强体能、协调性与自信心。</w:t>
      </w:r>
    </w:p>
    <w:p w14:paraId="2A532FE7">
      <w:pPr>
        <w:pStyle w:val="167"/>
      </w:pPr>
      <w:r>
        <w:rPr>
          <w:rFonts w:hint="eastAsia" w:ascii="宋体" w:hAnsi="宋体" w:eastAsia="宋体" w:cs="宋体"/>
          <w:b w:val="0"/>
          <w:bCs w:val="0"/>
          <w:sz w:val="21"/>
          <w:szCs w:val="21"/>
          <w:lang w:val="en-US" w:eastAsia="zh-CN"/>
        </w:rPr>
        <w:t>活动应以游戏化为主，尊重婴幼儿意愿，不强迫运动；在活动中同步开展健康观察、体态筛查、发育评估，通过科学活动改善肌张力、精细动作、平衡能力等问题。</w:t>
      </w:r>
    </w:p>
    <w:p w14:paraId="70546A71">
      <w:pPr>
        <w:pStyle w:val="167"/>
      </w:pPr>
      <w:r>
        <w:rPr>
          <w:rFonts w:hint="eastAsia" w:ascii="宋体" w:hAnsi="宋体" w:eastAsia="宋体" w:cs="宋体"/>
          <w:b w:val="0"/>
          <w:bCs w:val="0"/>
          <w:sz w:val="21"/>
          <w:szCs w:val="21"/>
          <w:lang w:val="en-US" w:eastAsia="zh-CN"/>
        </w:rPr>
        <w:t>定期对接儿童保健人员，针对运动发育迟缓、肌张力异常、体态异常婴幼儿，结合医疗指导优化活动方案，构建医疗筛查 + 保育干预 + 教育训练闭环。</w:t>
      </w:r>
    </w:p>
    <w:p w14:paraId="0335A5D1">
      <w:pPr>
        <w:pStyle w:val="106"/>
        <w:spacing w:before="312" w:after="312"/>
        <w:rPr>
          <w:rFonts w:hint="eastAsia" w:ascii="黑体" w:hAnsi="Times New Roman" w:eastAsia="黑体" w:cs="Times New Roman"/>
          <w:b w:val="0"/>
          <w:bCs w:val="0"/>
          <w:sz w:val="21"/>
          <w:szCs w:val="20"/>
          <w:lang w:val="en-US" w:eastAsia="zh-CN" w:bidi="ar"/>
        </w:rPr>
      </w:pPr>
      <w:bookmarkStart w:id="171" w:name="_Toc16848"/>
      <w:bookmarkStart w:id="172" w:name="_Toc1758"/>
      <w:bookmarkStart w:id="173" w:name="_Toc28356"/>
      <w:bookmarkStart w:id="174" w:name="_Toc15093"/>
      <w:bookmarkStart w:id="175" w:name="_Toc8132"/>
      <w:r>
        <w:rPr>
          <w:rFonts w:hint="eastAsia" w:ascii="黑体" w:hAnsi="Times New Roman" w:eastAsia="黑体" w:cs="Times New Roman"/>
          <w:b w:val="0"/>
          <w:bCs w:val="0"/>
          <w:sz w:val="21"/>
          <w:szCs w:val="20"/>
          <w:lang w:val="en-US" w:eastAsia="zh-CN" w:bidi="ar"/>
        </w:rPr>
        <w:t>疾病与伤害预防</w:t>
      </w:r>
      <w:bookmarkEnd w:id="171"/>
      <w:bookmarkEnd w:id="172"/>
      <w:bookmarkEnd w:id="173"/>
      <w:bookmarkEnd w:id="174"/>
      <w:bookmarkEnd w:id="175"/>
    </w:p>
    <w:p w14:paraId="29426A4A">
      <w:pPr>
        <w:pStyle w:val="107"/>
        <w:spacing w:before="156" w:after="156"/>
        <w:rPr>
          <w:rFonts w:hint="eastAsia" w:ascii="宋体" w:hAnsi="宋体" w:eastAsia="宋体" w:cs="宋体"/>
          <w:b/>
          <w:bCs/>
          <w:color w:val="000000"/>
          <w:sz w:val="21"/>
          <w:szCs w:val="21"/>
          <w:lang w:val="en-US" w:eastAsia="zh-CN" w:bidi="ar"/>
        </w:rPr>
      </w:pPr>
      <w:bookmarkStart w:id="176" w:name="_Toc6210"/>
      <w:r>
        <w:rPr>
          <w:rFonts w:hint="eastAsia" w:ascii="宋体" w:hAnsi="宋体" w:eastAsia="宋体" w:cs="宋体"/>
          <w:b w:val="0"/>
          <w:bCs w:val="0"/>
          <w:color w:val="auto"/>
          <w:sz w:val="21"/>
          <w:szCs w:val="21"/>
          <w:lang w:val="en-US" w:eastAsia="zh-CN" w:bidi="ar"/>
        </w:rPr>
        <w:t>伤害预防</w:t>
      </w:r>
      <w:bookmarkEnd w:id="176"/>
    </w:p>
    <w:p w14:paraId="024D2280">
      <w:pPr>
        <w:pStyle w:val="167"/>
      </w:pPr>
      <w:r>
        <w:rPr>
          <w:rFonts w:hint="eastAsia" w:ascii="宋体" w:hAnsi="宋体" w:eastAsia="宋体" w:cs="宋体"/>
          <w:b w:val="0"/>
          <w:bCs w:val="0"/>
          <w:sz w:val="21"/>
          <w:szCs w:val="21"/>
          <w:lang w:val="en-US" w:eastAsia="zh-CN"/>
        </w:rPr>
        <w:t>应从多个方面开展婴幼儿伤害预防工作，具体措施包括但不限于：强化安全管理、优化环境条件、加强日常照护、掌握各类伤害（如窒息、跌倒、烧烫伤等）的预防及应急处理方法。常见的婴幼儿伤害类型及其预防措施，具体参考国家卫生健康委印发的《托育机构婴幼儿伤害预防指南（试行）》。</w:t>
      </w:r>
    </w:p>
    <w:p w14:paraId="5D12DF38">
      <w:pPr>
        <w:pStyle w:val="167"/>
      </w:pPr>
      <w:r>
        <w:rPr>
          <w:rFonts w:hint="eastAsia" w:ascii="宋体" w:hAnsi="宋体" w:eastAsia="宋体" w:cs="宋体"/>
          <w:b w:val="0"/>
          <w:bCs w:val="0"/>
          <w:sz w:val="21"/>
          <w:szCs w:val="21"/>
          <w:lang w:val="en-US" w:eastAsia="zh-CN"/>
        </w:rPr>
        <w:t>应制定并落实针对婴幼儿各类伤害的预防管理细则，加强对工作人员、家长及婴幼儿的伤害预防宣传教育。建议每半年对工作人员组织一次婴幼儿急救技能培训及应急演练。发生意外伤害时，立即按预案处置，并</w:t>
      </w:r>
      <w:r>
        <w:rPr>
          <w:rFonts w:hint="eastAsia" w:ascii="宋体" w:hAnsi="宋体" w:eastAsia="宋体" w:cs="宋体"/>
          <w:b w:val="0"/>
          <w:bCs w:val="0"/>
          <w:sz w:val="21"/>
          <w:szCs w:val="21"/>
          <w:lang w:val="en-US" w:eastAsia="zh"/>
        </w:rPr>
        <w:t>及时</w:t>
      </w:r>
      <w:r>
        <w:rPr>
          <w:rFonts w:hint="eastAsia" w:ascii="宋体" w:hAnsi="宋体" w:eastAsia="宋体" w:cs="宋体"/>
          <w:b w:val="0"/>
          <w:bCs w:val="0"/>
          <w:sz w:val="21"/>
          <w:szCs w:val="21"/>
          <w:lang w:val="en-US" w:eastAsia="zh-CN"/>
        </w:rPr>
        <w:t>通知家长</w:t>
      </w:r>
      <w:r>
        <w:rPr>
          <w:rFonts w:hint="eastAsia" w:ascii="宋体" w:hAnsi="宋体" w:eastAsia="宋体" w:cs="宋体"/>
          <w:b w:val="0"/>
          <w:bCs w:val="0"/>
          <w:sz w:val="21"/>
          <w:szCs w:val="21"/>
          <w:lang w:val="en-US" w:eastAsia="zh"/>
        </w:rPr>
        <w:t>和</w:t>
      </w:r>
      <w:r>
        <w:rPr>
          <w:rFonts w:hint="eastAsia" w:ascii="宋体" w:hAnsi="宋体" w:eastAsia="宋体" w:cs="宋体"/>
          <w:b w:val="0"/>
          <w:bCs w:val="0"/>
          <w:sz w:val="21"/>
          <w:szCs w:val="21"/>
          <w:lang w:val="en-US" w:eastAsia="zh-CN"/>
        </w:rPr>
        <w:t>报告相关部门。</w:t>
      </w:r>
    </w:p>
    <w:p w14:paraId="182EDC15">
      <w:pPr>
        <w:pStyle w:val="167"/>
      </w:pPr>
      <w:r>
        <w:rPr>
          <w:rFonts w:hint="eastAsia" w:ascii="宋体" w:hAnsi="宋体" w:eastAsia="宋体" w:cs="宋体"/>
          <w:b w:val="0"/>
          <w:bCs w:val="0"/>
          <w:sz w:val="21"/>
          <w:szCs w:val="21"/>
          <w:lang w:val="en-US" w:eastAsia="zh-CN"/>
        </w:rPr>
        <w:t>每日在婴幼儿入托前，需对机构开展安全巡查工作，及时发现并消除各类安全隐患。</w:t>
      </w:r>
    </w:p>
    <w:p w14:paraId="7ABA9955">
      <w:pPr>
        <w:pStyle w:val="167"/>
      </w:pPr>
      <w:r>
        <w:rPr>
          <w:rFonts w:hint="eastAsia" w:ascii="宋体" w:hAnsi="宋体" w:eastAsia="宋体" w:cs="宋体"/>
          <w:b w:val="0"/>
          <w:bCs w:val="0"/>
          <w:sz w:val="21"/>
          <w:szCs w:val="21"/>
          <w:lang w:val="en-US" w:eastAsia="zh-CN"/>
        </w:rPr>
        <w:t>日常照护中，工作人员应与婴幼儿保持较近距离，确保其始终在视线范围内。</w:t>
      </w:r>
    </w:p>
    <w:p w14:paraId="71CBE203">
      <w:pPr>
        <w:pStyle w:val="167"/>
      </w:pPr>
      <w:r>
        <w:rPr>
          <w:rFonts w:hint="eastAsia" w:ascii="宋体" w:hAnsi="宋体" w:eastAsia="宋体" w:cs="宋体"/>
          <w:b w:val="0"/>
          <w:bCs w:val="0"/>
          <w:sz w:val="21"/>
          <w:szCs w:val="21"/>
          <w:lang w:val="en-US" w:eastAsia="zh-CN"/>
        </w:rPr>
        <w:t>应与就近的医疗机构建立畅通的联络机制，提升救治的便捷性和及时性。</w:t>
      </w:r>
    </w:p>
    <w:p w14:paraId="0BBA8AF2">
      <w:pPr>
        <w:pStyle w:val="107"/>
        <w:spacing w:before="156" w:after="156"/>
        <w:rPr>
          <w:rFonts w:hint="eastAsia" w:ascii="宋体" w:hAnsi="宋体" w:eastAsia="宋体" w:cs="宋体"/>
          <w:b/>
          <w:bCs/>
          <w:color w:val="000000"/>
          <w:sz w:val="21"/>
          <w:szCs w:val="21"/>
          <w:lang w:val="en-US" w:eastAsia="zh-CN" w:bidi="ar"/>
        </w:rPr>
      </w:pPr>
      <w:bookmarkStart w:id="177" w:name="_Toc26102"/>
      <w:r>
        <w:rPr>
          <w:rFonts w:hint="eastAsia" w:ascii="宋体" w:hAnsi="宋体" w:eastAsia="宋体" w:cs="宋体"/>
          <w:b w:val="0"/>
          <w:bCs w:val="0"/>
          <w:color w:val="auto"/>
          <w:sz w:val="21"/>
          <w:szCs w:val="21"/>
          <w:lang w:val="en-US" w:eastAsia="zh-CN" w:bidi="ar"/>
        </w:rPr>
        <w:t>疾病预防</w:t>
      </w:r>
      <w:bookmarkEnd w:id="177"/>
    </w:p>
    <w:p w14:paraId="7BD1A15D">
      <w:pPr>
        <w:pStyle w:val="167"/>
      </w:pPr>
      <w:r>
        <w:rPr>
          <w:rFonts w:hint="eastAsia" w:ascii="宋体" w:hAnsi="宋体" w:eastAsia="宋体" w:cs="宋体"/>
          <w:b w:val="0"/>
          <w:bCs w:val="0"/>
          <w:sz w:val="21"/>
          <w:szCs w:val="21"/>
          <w:lang w:val="en-US" w:eastAsia="zh-CN"/>
        </w:rPr>
        <w:t>向婴幼儿及家长开展健康教育，助力提升婴幼儿的体质与疾病抵御能力。</w:t>
      </w:r>
    </w:p>
    <w:p w14:paraId="2D8862D9">
      <w:pPr>
        <w:pStyle w:val="167"/>
      </w:pPr>
      <w:r>
        <w:rPr>
          <w:rFonts w:hint="eastAsia" w:ascii="宋体" w:hAnsi="宋体" w:eastAsia="宋体" w:cs="宋体"/>
          <w:b w:val="0"/>
          <w:bCs w:val="0"/>
          <w:sz w:val="21"/>
          <w:szCs w:val="21"/>
          <w:lang w:val="en-US" w:eastAsia="zh-CN"/>
        </w:rPr>
        <w:t>婴幼儿常见病预防和管理措施包括但不限于：</w:t>
      </w:r>
    </w:p>
    <w:p w14:paraId="4D702E5C">
      <w:pPr>
        <w:pStyle w:val="176"/>
      </w:pPr>
      <w:r>
        <w:rPr>
          <w:rFonts w:hint="eastAsia" w:ascii="宋体" w:hAnsi="宋体" w:eastAsia="宋体" w:cs="宋体"/>
          <w:b w:val="0"/>
          <w:bCs w:val="0"/>
          <w:sz w:val="21"/>
          <w:szCs w:val="21"/>
          <w:lang w:val="en-US" w:eastAsia="zh-CN"/>
        </w:rPr>
        <w:t>对</w:t>
      </w:r>
      <w:r>
        <w:rPr>
          <w:rFonts w:hint="eastAsia" w:ascii="宋体" w:hAnsi="宋体" w:eastAsia="宋体" w:cs="宋体"/>
          <w:b w:val="0"/>
          <w:bCs w:val="0"/>
          <w:sz w:val="21"/>
          <w:szCs w:val="21"/>
          <w:lang w:val="en-US" w:eastAsia="zh"/>
        </w:rPr>
        <w:t>存在</w:t>
      </w:r>
      <w:r>
        <w:rPr>
          <w:rFonts w:hint="eastAsia" w:ascii="宋体" w:hAnsi="宋体" w:eastAsia="宋体" w:cs="宋体"/>
          <w:b w:val="0"/>
          <w:bCs w:val="0"/>
          <w:sz w:val="21"/>
          <w:szCs w:val="21"/>
          <w:lang w:val="en-US" w:eastAsia="zh-CN"/>
        </w:rPr>
        <w:t>营养不良、贫血、超重、肥胖等营养性疾病进行登记管理，督促家长带患儿治疗</w:t>
      </w:r>
      <w:r>
        <w:rPr>
          <w:rFonts w:hint="eastAsia" w:ascii="宋体" w:hAnsi="宋体" w:eastAsia="宋体" w:cs="宋体"/>
          <w:b w:val="0"/>
          <w:bCs w:val="0"/>
          <w:sz w:val="21"/>
          <w:szCs w:val="21"/>
          <w:lang w:val="en-US" w:eastAsia="zh"/>
        </w:rPr>
        <w:t>和</w:t>
      </w:r>
      <w:r>
        <w:rPr>
          <w:rFonts w:hint="eastAsia" w:ascii="宋体" w:hAnsi="宋体" w:eastAsia="宋体" w:cs="宋体"/>
          <w:b w:val="0"/>
          <w:bCs w:val="0"/>
          <w:sz w:val="21"/>
          <w:szCs w:val="21"/>
          <w:lang w:val="en-US" w:eastAsia="zh-CN"/>
        </w:rPr>
        <w:t>定期复诊。</w:t>
      </w:r>
    </w:p>
    <w:p w14:paraId="0897E414">
      <w:pPr>
        <w:pStyle w:val="176"/>
      </w:pPr>
      <w:r>
        <w:rPr>
          <w:rFonts w:hint="eastAsia" w:ascii="宋体" w:hAnsi="宋体" w:eastAsia="宋体" w:cs="宋体"/>
          <w:b w:val="0"/>
          <w:bCs w:val="0"/>
          <w:sz w:val="21"/>
          <w:szCs w:val="21"/>
          <w:lang w:val="en-US" w:eastAsia="zh-CN"/>
        </w:rPr>
        <w:t>对</w:t>
      </w:r>
      <w:r>
        <w:rPr>
          <w:rFonts w:hint="eastAsia" w:ascii="宋体" w:hAnsi="宋体" w:eastAsia="宋体" w:cs="宋体"/>
          <w:b w:val="0"/>
          <w:bCs w:val="0"/>
          <w:sz w:val="21"/>
          <w:szCs w:val="21"/>
          <w:lang w:val="en-US" w:eastAsia="zh"/>
        </w:rPr>
        <w:t>患有</w:t>
      </w:r>
      <w:r>
        <w:rPr>
          <w:rFonts w:hint="eastAsia" w:ascii="宋体" w:hAnsi="宋体" w:eastAsia="宋体" w:cs="宋体"/>
          <w:b w:val="0"/>
          <w:bCs w:val="0"/>
          <w:sz w:val="21"/>
          <w:szCs w:val="21"/>
          <w:lang w:val="en-US" w:eastAsia="zh-CN"/>
        </w:rPr>
        <w:t>先天性心脏病、哮喘、癫痫</w:t>
      </w:r>
      <w:r>
        <w:rPr>
          <w:rFonts w:hint="eastAsia" w:ascii="宋体" w:hAnsi="宋体" w:eastAsia="宋体" w:cs="宋体"/>
          <w:b w:val="0"/>
          <w:bCs w:val="0"/>
          <w:sz w:val="21"/>
          <w:szCs w:val="21"/>
          <w:lang w:val="en-US" w:eastAsia="zh"/>
        </w:rPr>
        <w:t>等疾病，或有食物、药物</w:t>
      </w:r>
      <w:r>
        <w:rPr>
          <w:rFonts w:hint="eastAsia" w:ascii="宋体" w:hAnsi="宋体" w:eastAsia="宋体" w:cs="宋体"/>
          <w:b w:val="0"/>
          <w:bCs w:val="0"/>
          <w:sz w:val="21"/>
          <w:szCs w:val="21"/>
          <w:lang w:val="en-US" w:eastAsia="zh-CN"/>
        </w:rPr>
        <w:t>过敏史</w:t>
      </w:r>
      <w:r>
        <w:rPr>
          <w:rFonts w:hint="eastAsia" w:ascii="宋体" w:hAnsi="宋体" w:eastAsia="宋体" w:cs="宋体"/>
          <w:b w:val="0"/>
          <w:bCs w:val="0"/>
          <w:sz w:val="21"/>
          <w:szCs w:val="21"/>
          <w:lang w:val="en-US" w:eastAsia="zh"/>
        </w:rPr>
        <w:t>的</w:t>
      </w:r>
      <w:r>
        <w:rPr>
          <w:rFonts w:hint="eastAsia" w:ascii="宋体" w:hAnsi="宋体" w:eastAsia="宋体" w:cs="宋体"/>
          <w:b w:val="0"/>
          <w:bCs w:val="0"/>
          <w:sz w:val="21"/>
          <w:szCs w:val="21"/>
          <w:lang w:val="en-US" w:eastAsia="zh-CN"/>
        </w:rPr>
        <w:t>进行登记管理，加强日常健康观察与保育护理。</w:t>
      </w:r>
    </w:p>
    <w:p w14:paraId="337E2457">
      <w:pPr>
        <w:pStyle w:val="167"/>
      </w:pPr>
      <w:r>
        <w:rPr>
          <w:rFonts w:hint="eastAsia" w:ascii="宋体" w:hAnsi="宋体" w:eastAsia="宋体" w:cs="宋体"/>
          <w:b w:val="0"/>
          <w:bCs w:val="0"/>
          <w:sz w:val="21"/>
          <w:szCs w:val="21"/>
          <w:lang w:val="en-US" w:eastAsia="zh-CN"/>
        </w:rPr>
        <w:t>婴幼儿传染病预防和管理措施包括但不限于：</w:t>
      </w:r>
    </w:p>
    <w:p w14:paraId="04E09E2A">
      <w:pPr>
        <w:pStyle w:val="134"/>
      </w:pPr>
      <w:r>
        <w:rPr>
          <w:rFonts w:hint="eastAsia" w:ascii="宋体" w:hAnsi="宋体" w:eastAsia="宋体" w:cs="宋体"/>
          <w:b w:val="0"/>
          <w:bCs w:val="0"/>
          <w:sz w:val="21"/>
          <w:szCs w:val="21"/>
          <w:lang w:val="en-US" w:eastAsia="zh-CN"/>
        </w:rPr>
        <w:t>成立由机构负责人为第一责任人的传染病防控工作小组，全面负责防控工作。</w:t>
      </w:r>
    </w:p>
    <w:p w14:paraId="698A135F">
      <w:pPr>
        <w:pStyle w:val="134"/>
      </w:pPr>
      <w:r>
        <w:rPr>
          <w:rFonts w:hint="eastAsia" w:ascii="宋体" w:hAnsi="宋体" w:eastAsia="宋体" w:cs="宋体"/>
          <w:b w:val="0"/>
          <w:bCs w:val="0"/>
          <w:sz w:val="21"/>
          <w:szCs w:val="21"/>
          <w:lang w:val="en-US" w:eastAsia="zh-CN"/>
        </w:rPr>
        <w:t>督促家长按免疫程序完成预防接种，配合疾控机构做好常规、群体性或应急接种。</w:t>
      </w:r>
    </w:p>
    <w:p w14:paraId="089B5382">
      <w:pPr>
        <w:pStyle w:val="134"/>
      </w:pPr>
      <w:r>
        <w:rPr>
          <w:rFonts w:hint="eastAsia" w:ascii="宋体" w:hAnsi="宋体" w:eastAsia="宋体" w:cs="宋体"/>
          <w:b w:val="0"/>
          <w:bCs w:val="0"/>
          <w:sz w:val="21"/>
          <w:szCs w:val="21"/>
          <w:lang w:val="en-US" w:eastAsia="zh-CN"/>
        </w:rPr>
        <w:t>发现传染病疫情或疑似病例时，采取以下措施：</w:t>
      </w:r>
    </w:p>
    <w:p w14:paraId="35306B29">
      <w:pPr>
        <w:pStyle w:val="176"/>
      </w:pPr>
      <w:r>
        <w:rPr>
          <w:rFonts w:hint="eastAsia" w:ascii="宋体" w:hAnsi="宋体" w:eastAsia="宋体" w:cs="宋体"/>
          <w:b w:val="0"/>
          <w:bCs w:val="0"/>
          <w:sz w:val="21"/>
          <w:szCs w:val="21"/>
          <w:lang w:val="en-US" w:eastAsia="zh-CN"/>
        </w:rPr>
        <w:t>应及时</w:t>
      </w:r>
      <w:r>
        <w:rPr>
          <w:rFonts w:hint="eastAsia" w:ascii="宋体" w:hAnsi="宋体" w:eastAsia="宋体" w:cs="宋体"/>
          <w:b w:val="0"/>
          <w:bCs w:val="0"/>
          <w:sz w:val="21"/>
          <w:szCs w:val="21"/>
          <w:lang w:val="en-US" w:eastAsia="zh"/>
        </w:rPr>
        <w:t>报告属地疾病预防控制</w:t>
      </w:r>
      <w:r>
        <w:rPr>
          <w:rFonts w:hint="eastAsia" w:ascii="宋体" w:hAnsi="宋体" w:eastAsia="宋体" w:cs="宋体"/>
          <w:b w:val="0"/>
          <w:bCs w:val="0"/>
          <w:sz w:val="21"/>
          <w:szCs w:val="21"/>
          <w:lang w:val="en-US" w:eastAsia="zh-CN"/>
        </w:rPr>
        <w:t>机构</w:t>
      </w:r>
      <w:r>
        <w:rPr>
          <w:rFonts w:hint="eastAsia" w:ascii="宋体" w:hAnsi="宋体" w:eastAsia="宋体" w:cs="宋体"/>
          <w:b w:val="0"/>
          <w:bCs w:val="0"/>
          <w:sz w:val="21"/>
          <w:szCs w:val="21"/>
          <w:lang w:val="en-US" w:eastAsia="zh"/>
        </w:rPr>
        <w:t>和健康指导员，</w:t>
      </w:r>
      <w:r>
        <w:rPr>
          <w:rFonts w:hint="eastAsia" w:ascii="宋体" w:hAnsi="宋体" w:eastAsia="宋体" w:cs="宋体"/>
          <w:b w:val="0"/>
          <w:bCs w:val="0"/>
          <w:sz w:val="21"/>
          <w:szCs w:val="21"/>
          <w:lang w:val="en-US" w:eastAsia="zh-CN"/>
        </w:rPr>
        <w:t>并实施有效隔离，通知家长带离诊治；</w:t>
      </w:r>
    </w:p>
    <w:p w14:paraId="60DE74CF">
      <w:pPr>
        <w:pStyle w:val="176"/>
      </w:pPr>
      <w:r>
        <w:rPr>
          <w:rFonts w:hint="eastAsia" w:ascii="宋体" w:hAnsi="宋体" w:eastAsia="宋体" w:cs="宋体"/>
          <w:b w:val="0"/>
          <w:bCs w:val="0"/>
          <w:sz w:val="21"/>
          <w:szCs w:val="21"/>
          <w:lang w:val="en-US" w:eastAsia="zh-CN"/>
        </w:rPr>
        <w:t>配合</w:t>
      </w:r>
      <w:r>
        <w:rPr>
          <w:rFonts w:hint="eastAsia" w:ascii="宋体" w:hAnsi="宋体" w:eastAsia="宋体" w:cs="宋体"/>
          <w:b w:val="0"/>
          <w:bCs w:val="0"/>
          <w:sz w:val="21"/>
          <w:szCs w:val="21"/>
          <w:lang w:val="en-US" w:eastAsia="zh"/>
        </w:rPr>
        <w:t>疾病预防控制机构</w:t>
      </w:r>
      <w:r>
        <w:rPr>
          <w:rFonts w:hint="eastAsia" w:ascii="宋体" w:hAnsi="宋体" w:eastAsia="宋体" w:cs="宋体"/>
          <w:b w:val="0"/>
          <w:bCs w:val="0"/>
          <w:sz w:val="21"/>
          <w:szCs w:val="21"/>
          <w:lang w:val="en-US" w:eastAsia="zh-CN"/>
        </w:rPr>
        <w:t>做好污染</w:t>
      </w:r>
      <w:r>
        <w:rPr>
          <w:rFonts w:hint="eastAsia" w:ascii="宋体" w:hAnsi="宋体" w:eastAsia="宋体" w:cs="宋体"/>
          <w:b w:val="0"/>
          <w:bCs w:val="0"/>
          <w:sz w:val="21"/>
          <w:szCs w:val="21"/>
          <w:lang w:val="en-US" w:eastAsia="zh"/>
        </w:rPr>
        <w:t>或疑似污染</w:t>
      </w:r>
      <w:r>
        <w:rPr>
          <w:rFonts w:hint="eastAsia" w:ascii="宋体" w:hAnsi="宋体" w:eastAsia="宋体" w:cs="宋体"/>
          <w:b w:val="0"/>
          <w:bCs w:val="0"/>
          <w:sz w:val="21"/>
          <w:szCs w:val="21"/>
          <w:lang w:val="en-US" w:eastAsia="zh-CN"/>
        </w:rPr>
        <w:t>物品及环境的消毒工作；</w:t>
      </w:r>
    </w:p>
    <w:p w14:paraId="4DD31D64">
      <w:pPr>
        <w:pStyle w:val="176"/>
      </w:pPr>
      <w:r>
        <w:rPr>
          <w:rFonts w:hint="eastAsia" w:ascii="宋体" w:hAnsi="宋体" w:eastAsia="宋体" w:cs="宋体"/>
          <w:b w:val="0"/>
          <w:bCs w:val="0"/>
          <w:sz w:val="21"/>
          <w:szCs w:val="21"/>
          <w:lang w:val="en-US" w:eastAsia="zh-CN"/>
        </w:rPr>
        <w:t>加强晨午检</w:t>
      </w:r>
      <w:r>
        <w:rPr>
          <w:rFonts w:hint="eastAsia" w:ascii="宋体" w:hAnsi="宋体" w:eastAsia="宋体" w:cs="宋体"/>
          <w:b w:val="0"/>
          <w:bCs w:val="0"/>
          <w:sz w:val="21"/>
          <w:szCs w:val="21"/>
          <w:lang w:val="en-US" w:eastAsia="zh"/>
        </w:rPr>
        <w:t>、</w:t>
      </w:r>
      <w:r>
        <w:rPr>
          <w:rFonts w:hint="eastAsia" w:ascii="宋体" w:hAnsi="宋体" w:eastAsia="宋体" w:cs="宋体"/>
          <w:b w:val="0"/>
          <w:bCs w:val="0"/>
          <w:sz w:val="21"/>
          <w:szCs w:val="21"/>
          <w:lang w:val="en-US" w:eastAsia="zh-CN"/>
        </w:rPr>
        <w:t>全日健康观察</w:t>
      </w:r>
      <w:r>
        <w:rPr>
          <w:rFonts w:hint="eastAsia" w:ascii="宋体" w:hAnsi="宋体" w:eastAsia="宋体" w:cs="宋体"/>
          <w:b w:val="0"/>
          <w:bCs w:val="0"/>
          <w:sz w:val="21"/>
          <w:szCs w:val="21"/>
          <w:lang w:val="en-US" w:eastAsia="zh"/>
        </w:rPr>
        <w:t>和缺勤追踪</w:t>
      </w:r>
      <w:r>
        <w:rPr>
          <w:rFonts w:hint="eastAsia" w:ascii="宋体" w:hAnsi="宋体" w:eastAsia="宋体" w:cs="宋体"/>
          <w:b w:val="0"/>
          <w:bCs w:val="0"/>
          <w:sz w:val="21"/>
          <w:szCs w:val="21"/>
          <w:lang w:val="en-US" w:eastAsia="zh-CN"/>
        </w:rPr>
        <w:t>；</w:t>
      </w:r>
    </w:p>
    <w:p w14:paraId="54430AC2">
      <w:pPr>
        <w:pStyle w:val="176"/>
      </w:pPr>
      <w:r>
        <w:rPr>
          <w:rFonts w:hint="eastAsia" w:ascii="宋体" w:hAnsi="宋体" w:eastAsia="宋体" w:cs="宋体"/>
          <w:b w:val="0"/>
          <w:bCs w:val="0"/>
          <w:sz w:val="21"/>
          <w:szCs w:val="21"/>
          <w:lang w:val="en-US" w:eastAsia="zh-CN"/>
        </w:rPr>
        <w:t>患儿返</w:t>
      </w:r>
      <w:r>
        <w:rPr>
          <w:rFonts w:hint="eastAsia" w:ascii="宋体" w:hAnsi="宋体" w:eastAsia="宋体" w:cs="宋体"/>
          <w:b w:val="0"/>
          <w:bCs w:val="0"/>
          <w:sz w:val="21"/>
          <w:szCs w:val="21"/>
          <w:lang w:val="en-US" w:eastAsia="zh"/>
        </w:rPr>
        <w:t>回机构</w:t>
      </w:r>
      <w:r>
        <w:rPr>
          <w:rFonts w:hint="eastAsia" w:ascii="宋体" w:hAnsi="宋体" w:eastAsia="宋体" w:cs="宋体"/>
          <w:b w:val="0"/>
          <w:bCs w:val="0"/>
          <w:sz w:val="21"/>
          <w:szCs w:val="21"/>
          <w:lang w:val="en-US" w:eastAsia="zh-CN"/>
        </w:rPr>
        <w:t>时</w:t>
      </w:r>
      <w:r>
        <w:rPr>
          <w:rFonts w:hint="eastAsia" w:ascii="宋体" w:hAnsi="宋体" w:eastAsia="宋体" w:cs="宋体"/>
          <w:b w:val="0"/>
          <w:bCs w:val="0"/>
          <w:sz w:val="21"/>
          <w:szCs w:val="21"/>
          <w:lang w:val="en-US" w:eastAsia="zh"/>
        </w:rPr>
        <w:t>，</w:t>
      </w:r>
      <w:r>
        <w:rPr>
          <w:rFonts w:hint="eastAsia" w:ascii="宋体" w:hAnsi="宋体" w:eastAsia="宋体" w:cs="宋体"/>
          <w:b w:val="0"/>
          <w:bCs w:val="0"/>
          <w:sz w:val="21"/>
          <w:szCs w:val="21"/>
          <w:lang w:val="en-US" w:eastAsia="zh-CN"/>
        </w:rPr>
        <w:t>应查验由医疗机构开具的</w:t>
      </w:r>
      <w:r>
        <w:rPr>
          <w:rFonts w:hint="eastAsia" w:ascii="宋体" w:hAnsi="宋体" w:eastAsia="宋体" w:cs="宋体"/>
          <w:b w:val="0"/>
          <w:bCs w:val="0"/>
          <w:sz w:val="21"/>
          <w:szCs w:val="21"/>
          <w:lang w:val="en-US" w:eastAsia="zh"/>
        </w:rPr>
        <w:t>复课证明</w:t>
      </w:r>
      <w:r>
        <w:rPr>
          <w:rFonts w:hint="eastAsia" w:ascii="宋体" w:hAnsi="宋体" w:eastAsia="宋体" w:cs="宋体"/>
          <w:b w:val="0"/>
          <w:bCs w:val="0"/>
          <w:sz w:val="21"/>
          <w:szCs w:val="21"/>
          <w:lang w:val="en-US" w:eastAsia="zh-CN"/>
        </w:rPr>
        <w:t>，经卫生保健人员评估</w:t>
      </w:r>
      <w:r>
        <w:rPr>
          <w:rFonts w:hint="eastAsia" w:ascii="宋体" w:hAnsi="宋体" w:eastAsia="宋体" w:cs="宋体"/>
          <w:b w:val="0"/>
          <w:bCs w:val="0"/>
          <w:sz w:val="21"/>
          <w:szCs w:val="21"/>
          <w:lang w:val="en-US" w:eastAsia="zh"/>
        </w:rPr>
        <w:t>后方可复课。</w:t>
      </w:r>
    </w:p>
    <w:p w14:paraId="3171D1F5">
      <w:pPr>
        <w:pStyle w:val="167"/>
      </w:pPr>
      <w:r>
        <w:rPr>
          <w:rFonts w:hint="eastAsia" w:ascii="宋体" w:hAnsi="宋体" w:eastAsia="宋体" w:cs="宋体"/>
          <w:b w:val="0"/>
          <w:bCs w:val="0"/>
          <w:sz w:val="21"/>
          <w:szCs w:val="21"/>
          <w:lang w:val="en-US" w:eastAsia="zh-CN"/>
        </w:rPr>
        <w:t>发现</w:t>
      </w:r>
      <w:r>
        <w:rPr>
          <w:rFonts w:hint="eastAsia" w:ascii="宋体" w:hAnsi="宋体" w:eastAsia="宋体" w:cs="宋体"/>
          <w:b w:val="0"/>
          <w:bCs w:val="0"/>
          <w:sz w:val="21"/>
          <w:szCs w:val="21"/>
          <w:lang w:val="en-US" w:eastAsia="zh"/>
        </w:rPr>
        <w:t>婴幼儿</w:t>
      </w:r>
      <w:r>
        <w:rPr>
          <w:rFonts w:hint="eastAsia" w:ascii="宋体" w:hAnsi="宋体" w:eastAsia="宋体" w:cs="宋体"/>
          <w:b w:val="0"/>
          <w:bCs w:val="0"/>
          <w:sz w:val="21"/>
          <w:szCs w:val="21"/>
          <w:lang w:val="en-US" w:eastAsia="zh-CN"/>
        </w:rPr>
        <w:t>身体、精神、行为异常时，立即通知家长，必要时</w:t>
      </w:r>
      <w:r>
        <w:rPr>
          <w:rFonts w:hint="eastAsia" w:ascii="宋体" w:hAnsi="宋体" w:eastAsia="宋体" w:cs="宋体"/>
          <w:b w:val="0"/>
          <w:bCs w:val="0"/>
          <w:sz w:val="21"/>
          <w:szCs w:val="21"/>
          <w:lang w:val="en-US" w:eastAsia="zh"/>
        </w:rPr>
        <w:t>立即</w:t>
      </w:r>
      <w:r>
        <w:rPr>
          <w:rFonts w:hint="eastAsia" w:ascii="宋体" w:hAnsi="宋体" w:eastAsia="宋体" w:cs="宋体"/>
          <w:b w:val="0"/>
          <w:bCs w:val="0"/>
          <w:sz w:val="21"/>
          <w:szCs w:val="21"/>
          <w:lang w:val="en-US" w:eastAsia="zh-CN"/>
        </w:rPr>
        <w:t>送医救治。</w:t>
      </w:r>
      <w:r>
        <w:rPr>
          <w:rFonts w:hint="eastAsia" w:ascii="宋体" w:hAnsi="宋体" w:eastAsia="宋体" w:cs="宋体"/>
          <w:b w:val="0"/>
          <w:bCs w:val="0"/>
          <w:sz w:val="21"/>
          <w:szCs w:val="21"/>
          <w:lang w:val="en-US" w:eastAsia="zh"/>
        </w:rPr>
        <w:t>发现婴幼儿疑似存在心理健康问题时，及时与家长沟通并做好记录，督促家长带婴幼儿就医。</w:t>
      </w:r>
    </w:p>
    <w:p w14:paraId="4E2D789A">
      <w:pPr>
        <w:pStyle w:val="167"/>
      </w:pPr>
      <w:r>
        <w:rPr>
          <w:rFonts w:hint="eastAsia" w:ascii="宋体" w:hAnsi="宋体" w:eastAsia="宋体" w:cs="宋体"/>
          <w:b w:val="0"/>
          <w:bCs w:val="0"/>
          <w:sz w:val="21"/>
          <w:szCs w:val="21"/>
          <w:lang w:val="en-US" w:eastAsia="zh"/>
        </w:rPr>
        <w:t>婴幼儿</w:t>
      </w:r>
      <w:r>
        <w:rPr>
          <w:rFonts w:hint="eastAsia" w:ascii="宋体" w:hAnsi="宋体" w:eastAsia="宋体" w:cs="宋体"/>
          <w:b w:val="0"/>
          <w:bCs w:val="0"/>
          <w:sz w:val="21"/>
          <w:szCs w:val="21"/>
          <w:lang w:val="en-US" w:eastAsia="zh-CN"/>
        </w:rPr>
        <w:t>患病期间应在正规医院治疗或遵医嘱</w:t>
      </w:r>
      <w:r>
        <w:rPr>
          <w:rFonts w:hint="eastAsia" w:ascii="宋体" w:hAnsi="宋体" w:eastAsia="宋体" w:cs="宋体"/>
          <w:b w:val="0"/>
          <w:bCs w:val="0"/>
          <w:sz w:val="21"/>
          <w:szCs w:val="21"/>
          <w:lang w:val="en-US" w:eastAsia="zh"/>
        </w:rPr>
        <w:t>在家护理</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lang w:val="en-US" w:eastAsia="zh"/>
        </w:rPr>
        <w:t>在</w:t>
      </w:r>
      <w:r>
        <w:rPr>
          <w:rFonts w:hint="eastAsia" w:ascii="宋体" w:hAnsi="宋体" w:eastAsia="宋体" w:cs="宋体"/>
          <w:b w:val="0"/>
          <w:bCs w:val="0"/>
          <w:sz w:val="21"/>
          <w:szCs w:val="21"/>
          <w:lang w:val="en-US" w:eastAsia="zh-CN"/>
        </w:rPr>
        <w:t>入托期间</w:t>
      </w:r>
      <w:r>
        <w:rPr>
          <w:rFonts w:hint="eastAsia" w:ascii="宋体" w:hAnsi="宋体" w:eastAsia="宋体" w:cs="宋体"/>
          <w:b w:val="0"/>
          <w:bCs w:val="0"/>
          <w:sz w:val="21"/>
          <w:szCs w:val="21"/>
          <w:lang w:val="en-US" w:eastAsia="zh"/>
        </w:rPr>
        <w:t>需要</w:t>
      </w:r>
      <w:r>
        <w:rPr>
          <w:rFonts w:hint="eastAsia" w:ascii="宋体" w:hAnsi="宋体" w:eastAsia="宋体" w:cs="宋体"/>
          <w:b w:val="0"/>
          <w:bCs w:val="0"/>
          <w:sz w:val="21"/>
          <w:szCs w:val="21"/>
          <w:lang w:val="en-US" w:eastAsia="zh-CN"/>
        </w:rPr>
        <w:t>用药</w:t>
      </w:r>
      <w:r>
        <w:rPr>
          <w:rFonts w:hint="eastAsia" w:ascii="宋体" w:hAnsi="宋体" w:eastAsia="宋体" w:cs="宋体"/>
          <w:b w:val="0"/>
          <w:bCs w:val="0"/>
          <w:sz w:val="21"/>
          <w:szCs w:val="21"/>
          <w:lang w:val="en-US" w:eastAsia="zh"/>
        </w:rPr>
        <w:t>的</w:t>
      </w:r>
      <w:r>
        <w:rPr>
          <w:rFonts w:hint="eastAsia" w:ascii="宋体" w:hAnsi="宋体" w:eastAsia="宋体" w:cs="宋体"/>
          <w:b w:val="0"/>
          <w:bCs w:val="0"/>
          <w:sz w:val="21"/>
          <w:szCs w:val="21"/>
          <w:lang w:val="en-US" w:eastAsia="zh-CN"/>
        </w:rPr>
        <w:t>，须由监护人出具医疗机构处方并签字确认</w:t>
      </w:r>
      <w:r>
        <w:rPr>
          <w:rFonts w:hint="eastAsia" w:ascii="宋体" w:hAnsi="宋体" w:eastAsia="宋体" w:cs="宋体"/>
          <w:b w:val="0"/>
          <w:bCs w:val="0"/>
          <w:sz w:val="21"/>
          <w:szCs w:val="21"/>
          <w:lang w:val="en-US" w:eastAsia="zh"/>
        </w:rPr>
        <w:t>，保育</w:t>
      </w:r>
      <w:r>
        <w:rPr>
          <w:rFonts w:hint="eastAsia" w:ascii="宋体" w:hAnsi="宋体" w:eastAsia="宋体" w:cs="宋体"/>
          <w:b w:val="0"/>
          <w:bCs w:val="0"/>
          <w:sz w:val="21"/>
          <w:szCs w:val="21"/>
          <w:lang w:val="en-US" w:eastAsia="zh-CN"/>
        </w:rPr>
        <w:t>人员严格遵医嘱执行</w:t>
      </w:r>
      <w:r>
        <w:rPr>
          <w:rFonts w:hint="eastAsia" w:ascii="宋体" w:hAnsi="宋体" w:eastAsia="宋体" w:cs="宋体"/>
          <w:b w:val="0"/>
          <w:bCs w:val="0"/>
          <w:sz w:val="21"/>
          <w:szCs w:val="21"/>
          <w:lang w:val="en-US" w:eastAsia="zh"/>
        </w:rPr>
        <w:t>用药</w:t>
      </w:r>
      <w:r>
        <w:rPr>
          <w:rFonts w:hint="eastAsia" w:ascii="宋体" w:hAnsi="宋体" w:eastAsia="宋体" w:cs="宋体"/>
          <w:b w:val="0"/>
          <w:bCs w:val="0"/>
          <w:sz w:val="21"/>
          <w:szCs w:val="21"/>
          <w:lang w:val="en-US" w:eastAsia="zh-CN"/>
        </w:rPr>
        <w:t>。</w:t>
      </w:r>
    </w:p>
    <w:p w14:paraId="4B901218">
      <w:pPr>
        <w:pStyle w:val="167"/>
      </w:pPr>
      <w:r>
        <w:rPr>
          <w:rFonts w:hint="eastAsia" w:ascii="宋体" w:hAnsi="宋体" w:eastAsia="宋体" w:cs="宋体"/>
          <w:b w:val="0"/>
          <w:bCs w:val="0"/>
          <w:sz w:val="21"/>
          <w:szCs w:val="21"/>
          <w:lang w:val="en-US" w:eastAsia="zh-CN"/>
        </w:rPr>
        <w:t>发现</w:t>
      </w:r>
      <w:r>
        <w:rPr>
          <w:rFonts w:hint="eastAsia" w:ascii="宋体" w:hAnsi="宋体" w:eastAsia="宋体" w:cs="宋体"/>
          <w:b w:val="0"/>
          <w:bCs w:val="0"/>
          <w:sz w:val="21"/>
          <w:szCs w:val="21"/>
          <w:lang w:val="en-US" w:eastAsia="zh"/>
        </w:rPr>
        <w:t>婴幼儿</w:t>
      </w:r>
      <w:r>
        <w:rPr>
          <w:rFonts w:hint="eastAsia" w:ascii="宋体" w:hAnsi="宋体" w:eastAsia="宋体" w:cs="宋体"/>
          <w:b w:val="0"/>
          <w:bCs w:val="0"/>
          <w:sz w:val="21"/>
          <w:szCs w:val="21"/>
          <w:lang w:val="en-US" w:eastAsia="zh-CN"/>
        </w:rPr>
        <w:t>遭受或疑似遭受家庭暴力</w:t>
      </w:r>
      <w:r>
        <w:rPr>
          <w:rFonts w:hint="eastAsia" w:ascii="宋体" w:hAnsi="宋体" w:eastAsia="宋体" w:cs="宋体"/>
          <w:b w:val="0"/>
          <w:bCs w:val="0"/>
          <w:sz w:val="21"/>
          <w:szCs w:val="21"/>
          <w:lang w:val="en-US" w:eastAsia="zh"/>
        </w:rPr>
        <w:t>的</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lang w:val="en-US" w:eastAsia="zh"/>
        </w:rPr>
        <w:t>应</w:t>
      </w:r>
      <w:r>
        <w:rPr>
          <w:rFonts w:hint="eastAsia" w:ascii="宋体" w:hAnsi="宋体" w:eastAsia="宋体" w:cs="宋体"/>
          <w:b w:val="0"/>
          <w:bCs w:val="0"/>
          <w:sz w:val="21"/>
          <w:szCs w:val="21"/>
          <w:lang w:val="en-US" w:eastAsia="zh-CN"/>
        </w:rPr>
        <w:t>依法及时向公安机关报案。</w:t>
      </w:r>
    </w:p>
    <w:p w14:paraId="3C3E64BD">
      <w:pPr>
        <w:pStyle w:val="106"/>
        <w:spacing w:before="312" w:after="312"/>
        <w:rPr>
          <w:rFonts w:hint="eastAsia" w:ascii="黑体" w:hAnsi="Times New Roman" w:eastAsia="黑体" w:cs="Times New Roman"/>
          <w:b w:val="0"/>
          <w:bCs w:val="0"/>
          <w:sz w:val="21"/>
          <w:szCs w:val="20"/>
          <w:lang w:val="en-US" w:eastAsia="zh-CN" w:bidi="ar"/>
        </w:rPr>
      </w:pPr>
      <w:bookmarkStart w:id="178" w:name="_Toc15934"/>
      <w:bookmarkStart w:id="179" w:name="_Toc28438"/>
      <w:bookmarkStart w:id="180" w:name="_Toc26626"/>
      <w:bookmarkStart w:id="181" w:name="_Toc22748"/>
      <w:bookmarkStart w:id="182" w:name="_Toc54"/>
      <w:r>
        <w:rPr>
          <w:rFonts w:hint="eastAsia" w:ascii="黑体" w:hAnsi="Times New Roman" w:eastAsia="黑体" w:cs="Times New Roman"/>
          <w:b w:val="0"/>
          <w:bCs w:val="0"/>
          <w:sz w:val="21"/>
          <w:szCs w:val="20"/>
          <w:lang w:val="en-US" w:eastAsia="zh-CN" w:bidi="ar"/>
        </w:rPr>
        <w:t>早期学习机会</w:t>
      </w:r>
      <w:bookmarkEnd w:id="178"/>
      <w:bookmarkEnd w:id="179"/>
      <w:bookmarkEnd w:id="180"/>
      <w:bookmarkEnd w:id="181"/>
      <w:bookmarkEnd w:id="182"/>
    </w:p>
    <w:p w14:paraId="2D8D7377">
      <w:pPr>
        <w:pStyle w:val="58"/>
        <w:ind w:firstLine="420"/>
      </w:pPr>
      <w:r>
        <w:rPr>
          <w:rFonts w:hint="eastAsia" w:ascii="宋体" w:hAnsi="宋体" w:cs="宋体"/>
          <w:lang w:bidi="ar"/>
          <w:woUserID w:val="9"/>
        </w:rPr>
        <w:t>托育机构应在儿童保健医师指导下，遵循婴幼儿发展规律，坚持儿童为本、安全适宜、游戏为主、医育融合原则。将早期学习融入一日生活与游戏环节，为 0-3 岁婴幼儿创设安全、可探索的成长环境，促进婴幼儿认知、语言、情感与社会性、大运动、精细动作全面发展，落实特殊需求婴幼儿个性化支持，助力婴幼儿潜能开发与全面发育。</w:t>
      </w:r>
    </w:p>
    <w:p w14:paraId="4C8FBFA4">
      <w:pPr>
        <w:pStyle w:val="107"/>
        <w:spacing w:before="156" w:after="156"/>
        <w:rPr>
          <w:rFonts w:hint="eastAsia" w:ascii="宋体" w:hAnsi="宋体" w:eastAsia="宋体" w:cs="宋体"/>
          <w:b/>
          <w:bCs/>
          <w:color w:val="000000"/>
          <w:sz w:val="21"/>
          <w:szCs w:val="21"/>
          <w:lang w:val="en-US" w:eastAsia="zh-CN" w:bidi="ar"/>
        </w:rPr>
      </w:pPr>
      <w:bookmarkStart w:id="183" w:name="_Toc11855"/>
      <w:r>
        <w:rPr>
          <w:rFonts w:hint="eastAsia" w:ascii="宋体" w:hAnsi="宋体" w:eastAsia="宋体" w:cs="宋体"/>
          <w:b w:val="0"/>
          <w:bCs w:val="0"/>
          <w:color w:val="auto"/>
          <w:sz w:val="21"/>
          <w:szCs w:val="21"/>
          <w:lang w:val="en-US" w:eastAsia="zh-CN" w:bidi="ar"/>
        </w:rPr>
        <w:t>基本要求</w:t>
      </w:r>
      <w:bookmarkEnd w:id="183"/>
    </w:p>
    <w:p w14:paraId="08E15C2F">
      <w:pPr>
        <w:pStyle w:val="167"/>
      </w:pPr>
      <w:r>
        <w:rPr>
          <w:rFonts w:hint="eastAsia" w:ascii="宋体" w:hAnsi="宋体" w:cs="宋体"/>
          <w:lang w:bidi="ar"/>
          <w:woUserID w:val="9"/>
        </w:rPr>
        <w:t>计划管理 结合婴幼儿月龄特点与个体差异，制定早期学习计划，明确发展目标、活动内容、实施路径及评价标准，动态优化调整，适配婴幼儿发展需求。</w:t>
      </w:r>
    </w:p>
    <w:p w14:paraId="1FFFD60B">
      <w:pPr>
        <w:pStyle w:val="167"/>
      </w:pPr>
      <w:r>
        <w:rPr>
          <w:rFonts w:hint="eastAsia" w:ascii="宋体" w:hAnsi="宋体" w:cs="宋体"/>
          <w:lang w:bidi="ar"/>
          <w:woUserID w:val="9"/>
        </w:rPr>
        <w:t>实施原则 以自由游戏为基本活动形式，依托日常喂养、盥洗、午睡、户外漫步、辅食制作、环境感知等生活照护场景开展生活化自然启蒙；充足保障婴幼儿每日自主探索、户外嬉戏、随性游戏时长；遵循 0-3 岁婴幼儿神经心理发育规律，融合健康监测、养育照护、早期发展干预，践行医育结合理念。</w:t>
      </w:r>
    </w:p>
    <w:p w14:paraId="2B7776D4">
      <w:pPr>
        <w:pStyle w:val="167"/>
      </w:pPr>
      <w:r>
        <w:rPr>
          <w:rFonts w:hint="eastAsia" w:ascii="宋体" w:hAnsi="宋体" w:cs="宋体"/>
          <w:lang w:bidi="ar"/>
          <w:woUserID w:val="9"/>
        </w:rPr>
        <w:t>环境与材料 活动空间布局科学、动静分区、安全合规，配备适龄绘本、玩教具、感官及操作材料。所有设施材料须符合 GB 6675、GB 28007 等现行国家安全标准。</w:t>
      </w:r>
    </w:p>
    <w:p w14:paraId="6BB32537">
      <w:pPr>
        <w:pStyle w:val="167"/>
      </w:pPr>
      <w:r>
        <w:rPr>
          <w:rFonts w:hint="eastAsia" w:ascii="宋体" w:hAnsi="宋体" w:cs="宋体"/>
          <w:lang w:bidi="ar"/>
          <w:woUserID w:val="9"/>
        </w:rPr>
        <w:t>人员履职 保育人员负责观察、陪伴、回应婴幼儿活动，适度提供支持，充分尊重婴幼儿自主探索行为，不强迫、不包办，支持婴幼儿通过实操体验积累成长经验。</w:t>
      </w:r>
    </w:p>
    <w:p w14:paraId="528164A3">
      <w:pPr>
        <w:pStyle w:val="167"/>
      </w:pPr>
      <w:r>
        <w:rPr>
          <w:rFonts w:hint="eastAsia" w:ascii="宋体" w:hAnsi="宋体" w:cs="宋体"/>
          <w:lang w:bidi="ar"/>
          <w:woUserID w:val="9"/>
        </w:rPr>
        <w:t>评估反馈 建立常态化早期发展评估机制，覆盖认知、语言、情感与社会性、运动等核心维度，在医师指导下规范开展评估，依据评估结果优化教学计划与活动，并及时向家长反馈评估情况。</w:t>
      </w:r>
    </w:p>
    <w:p w14:paraId="0C3D198E">
      <w:pPr>
        <w:pStyle w:val="107"/>
        <w:spacing w:before="156" w:after="156"/>
        <w:rPr>
          <w:rFonts w:hint="eastAsia" w:ascii="宋体" w:hAnsi="宋体" w:eastAsia="宋体" w:cs="宋体"/>
          <w:b/>
          <w:bCs/>
          <w:color w:val="000000"/>
          <w:sz w:val="21"/>
          <w:szCs w:val="21"/>
          <w:lang w:val="en-US" w:eastAsia="zh-CN" w:bidi="ar"/>
        </w:rPr>
      </w:pPr>
      <w:bookmarkStart w:id="184" w:name="_Toc3147"/>
      <w:r>
        <w:rPr>
          <w:rFonts w:hint="eastAsia" w:ascii="宋体" w:hAnsi="宋体" w:eastAsia="宋体" w:cs="宋体"/>
          <w:b w:val="0"/>
          <w:bCs w:val="0"/>
          <w:color w:val="auto"/>
          <w:sz w:val="21"/>
          <w:szCs w:val="21"/>
          <w:lang w:val="en-US" w:eastAsia="zh-CN" w:bidi="ar"/>
        </w:rPr>
        <w:t>认知发展支持</w:t>
      </w:r>
      <w:bookmarkEnd w:id="184"/>
    </w:p>
    <w:p w14:paraId="2E063BA3">
      <w:pPr>
        <w:pStyle w:val="167"/>
      </w:pPr>
      <w:r>
        <w:rPr>
          <w:rFonts w:hint="eastAsia" w:ascii="宋体" w:hAnsi="宋体" w:cs="宋体"/>
          <w:lang w:bidi="ar"/>
          <w:woUserID w:val="9"/>
        </w:rPr>
        <w:t>多感官发展 创设多感官探索环境，提供适龄视、听、触、嗅、味刺激材料，支持婴幼儿通过多感官感知外界事物，构建基础认知体系。</w:t>
      </w:r>
    </w:p>
    <w:p w14:paraId="73FFBA6C">
      <w:pPr>
        <w:pStyle w:val="167"/>
      </w:pPr>
      <w:r>
        <w:rPr>
          <w:rFonts w:hint="eastAsia" w:ascii="宋体" w:hAnsi="宋体" w:cs="宋体"/>
          <w:lang w:bidi="ar"/>
          <w:woUserID w:val="9"/>
        </w:rPr>
        <w:t>认知游戏训练 结合生活场景开展配对、分类、观察、排序等认知游戏，循序渐进提升婴幼儿注意力、观察力、记忆力及基础思维能力。</w:t>
      </w:r>
    </w:p>
    <w:p w14:paraId="0D625084">
      <w:pPr>
        <w:pStyle w:val="167"/>
      </w:pPr>
      <w:r>
        <w:rPr>
          <w:rFonts w:hint="eastAsia" w:ascii="宋体" w:hAnsi="宋体" w:cs="宋体"/>
          <w:lang w:bidi="ar"/>
          <w:woUserID w:val="9"/>
        </w:rPr>
        <w:t>探索能力培养 保护婴幼儿好奇心与探索欲，积极回应婴幼儿探索行为与疑问，在安全前提下支持自主操作、尝试创新，培育婴幼儿解决问题能力。</w:t>
      </w:r>
    </w:p>
    <w:p w14:paraId="56C9B3C6">
      <w:pPr>
        <w:pStyle w:val="167"/>
      </w:pPr>
      <w:r>
        <w:rPr>
          <w:rFonts w:hint="eastAsia" w:ascii="宋体" w:hAnsi="宋体" w:cs="宋体"/>
          <w:lang w:bidi="ar"/>
          <w:woUserID w:val="9"/>
        </w:rPr>
        <w:t>自然认知教育 依托户外场地开展自然观察、节气体验等活动，引导婴幼儿感知自然现象与季节变化，建立自然联结，启蒙生命认知。</w:t>
      </w:r>
    </w:p>
    <w:p w14:paraId="4C3D1F8D">
      <w:pPr>
        <w:pStyle w:val="107"/>
        <w:spacing w:before="156" w:after="156"/>
        <w:rPr>
          <w:rFonts w:hint="eastAsia" w:ascii="宋体" w:hAnsi="宋体" w:eastAsia="宋体" w:cs="宋体"/>
          <w:b/>
          <w:bCs/>
          <w:color w:val="000000"/>
          <w:sz w:val="21"/>
          <w:szCs w:val="21"/>
          <w:lang w:val="en-US" w:eastAsia="zh-CN" w:bidi="ar"/>
        </w:rPr>
      </w:pPr>
      <w:bookmarkStart w:id="185" w:name="_Toc23844"/>
      <w:r>
        <w:rPr>
          <w:rFonts w:hint="eastAsia" w:ascii="宋体" w:hAnsi="宋体" w:eastAsia="宋体" w:cs="宋体"/>
          <w:b w:val="0"/>
          <w:bCs w:val="0"/>
          <w:color w:val="auto"/>
          <w:sz w:val="21"/>
          <w:szCs w:val="21"/>
          <w:lang w:val="en-US" w:eastAsia="zh-CN" w:bidi="ar"/>
        </w:rPr>
        <w:t>语言发展支持</w:t>
      </w:r>
      <w:bookmarkEnd w:id="185"/>
    </w:p>
    <w:p w14:paraId="0610B0E9">
      <w:pPr>
        <w:pStyle w:val="167"/>
      </w:pPr>
      <w:r>
        <w:rPr>
          <w:rFonts w:hint="eastAsia" w:ascii="宋体" w:hAnsi="宋体" w:cs="宋体"/>
          <w:lang w:bidi="ar"/>
          <w:woUserID w:val="9"/>
        </w:rPr>
        <w:t>日常语言互动 在一日生活中开展常态化语言互动，规范用语、温柔引导，耐心回应婴幼儿各类表达，营造沉浸式、正向的语言发展环境。</w:t>
      </w:r>
    </w:p>
    <w:p w14:paraId="234A2E6E">
      <w:pPr>
        <w:pStyle w:val="167"/>
      </w:pPr>
      <w:r>
        <w:rPr>
          <w:rFonts w:hint="eastAsia" w:ascii="宋体" w:hAnsi="宋体" w:cs="宋体"/>
          <w:lang w:bidi="ar"/>
          <w:woUserID w:val="9"/>
        </w:rPr>
        <w:t>专项语言启蒙 设置每日固定语言启蒙时段，通过绘本共读、儿歌童谣、故事讲述、趣味语言游戏等形式，培育婴幼儿语言理解能力与早期阅读兴趣。</w:t>
      </w:r>
    </w:p>
    <w:p w14:paraId="1E7E3A10">
      <w:pPr>
        <w:pStyle w:val="167"/>
      </w:pPr>
      <w:r>
        <w:rPr>
          <w:rFonts w:hint="eastAsia" w:ascii="宋体" w:hAnsi="宋体" w:cs="宋体"/>
          <w:lang w:bidi="ar"/>
          <w:woUserID w:val="9"/>
        </w:rPr>
        <w:t>口语表达引导 鼓励婴幼儿主动表达需求与情绪，遵循发展规律，循序渐进引导婴幼儿从单字、叠词过渡到短句表达。</w:t>
      </w:r>
    </w:p>
    <w:p w14:paraId="6B002296">
      <w:pPr>
        <w:pStyle w:val="167"/>
      </w:pPr>
      <w:r>
        <w:rPr>
          <w:rFonts w:hint="eastAsia" w:ascii="宋体" w:hAnsi="宋体" w:cs="宋体"/>
          <w:lang w:bidi="ar"/>
          <w:woUserID w:val="9"/>
        </w:rPr>
        <w:t>同伴语言交流 依托小组、集体活动搭建同伴交流平台，鼓励婴幼儿主动互动沟通，持续提升语言运用与社交表达能力。</w:t>
      </w:r>
    </w:p>
    <w:p w14:paraId="3F02450C">
      <w:pPr>
        <w:pStyle w:val="107"/>
        <w:spacing w:before="156" w:after="156"/>
        <w:rPr>
          <w:rFonts w:hint="eastAsia" w:ascii="宋体" w:hAnsi="宋体" w:eastAsia="宋体" w:cs="宋体"/>
          <w:b/>
          <w:bCs/>
          <w:color w:val="000000"/>
          <w:sz w:val="21"/>
          <w:szCs w:val="21"/>
          <w:lang w:val="en-US" w:eastAsia="zh-CN" w:bidi="ar"/>
        </w:rPr>
      </w:pPr>
      <w:bookmarkStart w:id="186" w:name="_Toc29149"/>
      <w:r>
        <w:rPr>
          <w:rFonts w:hint="eastAsia" w:ascii="宋体" w:hAnsi="宋体" w:eastAsia="宋体" w:cs="宋体"/>
          <w:b w:val="0"/>
          <w:bCs w:val="0"/>
          <w:color w:val="auto"/>
          <w:sz w:val="21"/>
          <w:szCs w:val="21"/>
          <w:lang w:val="en-US" w:eastAsia="zh-CN" w:bidi="ar"/>
        </w:rPr>
        <w:t>情感与社会性发展支持</w:t>
      </w:r>
      <w:bookmarkEnd w:id="186"/>
    </w:p>
    <w:p w14:paraId="7B821F8C">
      <w:pPr>
        <w:pStyle w:val="167"/>
      </w:pPr>
      <w:r>
        <w:rPr>
          <w:rFonts w:hint="eastAsia" w:ascii="宋体" w:hAnsi="宋体" w:cs="宋体"/>
          <w:lang w:bidi="ar"/>
          <w:woUserID w:val="9"/>
        </w:rPr>
        <w:t>情绪认知培养 通过情绪绘本、情景游戏、角色体验等方式，引导婴幼儿识别基础情绪，掌握简单的情绪表达与自我调适方法。</w:t>
      </w:r>
    </w:p>
    <w:p w14:paraId="5D628969">
      <w:pPr>
        <w:pStyle w:val="167"/>
      </w:pPr>
      <w:r>
        <w:rPr>
          <w:rFonts w:hint="eastAsia" w:ascii="宋体" w:hAnsi="宋体" w:cs="宋体"/>
          <w:lang w:bidi="ar"/>
          <w:woUserID w:val="9"/>
        </w:rPr>
        <w:t>集体与规则教育 组织小组合作、集体互动活动，引导婴幼儿学会分享、轮流、等待与协作，初步树立规则意识，适应集体生活。</w:t>
      </w:r>
    </w:p>
    <w:p w14:paraId="1DCA2D81">
      <w:pPr>
        <w:pStyle w:val="167"/>
      </w:pPr>
      <w:r>
        <w:rPr>
          <w:rFonts w:hint="eastAsia" w:ascii="宋体" w:hAnsi="宋体" w:cs="宋体"/>
          <w:lang w:bidi="ar"/>
          <w:woUserID w:val="9"/>
        </w:rPr>
        <w:t>正向社交引导 以自由游戏、集体生活照料为载体营造轻松的同伴交往氛围，引导婴幼儿模仿分享、等待、温和交流等适宜社交行为；及时肯定婴幼儿友善的社交举动，舒缓交往焦虑，帮助婴幼儿建立安全、积极的早期社交情绪体验。</w:t>
      </w:r>
    </w:p>
    <w:p w14:paraId="6F7B23FA">
      <w:pPr>
        <w:pStyle w:val="167"/>
      </w:pPr>
      <w:r>
        <w:rPr>
          <w:rFonts w:hint="eastAsia" w:ascii="宋体" w:hAnsi="宋体" w:cs="宋体"/>
          <w:lang w:bidi="ar"/>
          <w:woUserID w:val="9"/>
        </w:rPr>
        <w:t>民俗时令体验 依托二十四节气、传统节日调整婴幼儿膳食、起居与户外活动安排，创设生活化感官体验活动，结合亲子共育，让婴幼儿感知时令风物氛围，在稳定的集体照护环境中建立安全感与温馨的情感体验。</w:t>
      </w:r>
    </w:p>
    <w:p w14:paraId="63185420">
      <w:pPr>
        <w:pStyle w:val="107"/>
        <w:spacing w:before="156" w:after="156"/>
        <w:rPr>
          <w:rFonts w:hint="eastAsia" w:ascii="宋体" w:hAnsi="宋体" w:eastAsia="宋体" w:cs="宋体"/>
          <w:b/>
          <w:bCs/>
          <w:color w:val="000000"/>
          <w:sz w:val="21"/>
          <w:szCs w:val="21"/>
          <w:lang w:val="en-US" w:eastAsia="zh-CN" w:bidi="ar"/>
        </w:rPr>
      </w:pPr>
      <w:bookmarkStart w:id="187" w:name="_Toc1747"/>
      <w:r>
        <w:rPr>
          <w:rFonts w:hint="eastAsia" w:ascii="宋体" w:hAnsi="宋体" w:eastAsia="宋体" w:cs="宋体"/>
          <w:b w:val="0"/>
          <w:bCs w:val="0"/>
          <w:color w:val="auto"/>
          <w:sz w:val="21"/>
          <w:szCs w:val="21"/>
          <w:lang w:val="en-US" w:eastAsia="zh-CN" w:bidi="ar"/>
        </w:rPr>
        <w:t>运动能力发展支持</w:t>
      </w:r>
      <w:bookmarkEnd w:id="187"/>
    </w:p>
    <w:p w14:paraId="026B15B1">
      <w:pPr>
        <w:pStyle w:val="167"/>
      </w:pPr>
      <w:r>
        <w:rPr>
          <w:rFonts w:hint="eastAsia" w:ascii="宋体" w:hAnsi="宋体" w:cs="宋体"/>
          <w:lang w:bidi="ar"/>
          <w:woUserID w:val="9"/>
        </w:rPr>
        <w:t>场地与时长保障 配备合规安全的室内外运动场地及适龄器材，保障婴幼儿每日户外活动及运动时长不少于 2 小时，特殊天气可调整为室内运动，确保运动总量达标。</w:t>
      </w:r>
    </w:p>
    <w:p w14:paraId="293DE987">
      <w:pPr>
        <w:pStyle w:val="167"/>
      </w:pPr>
      <w:r>
        <w:rPr>
          <w:rFonts w:hint="eastAsia" w:ascii="宋体" w:hAnsi="宋体" w:cs="宋体"/>
          <w:lang w:bidi="ar"/>
          <w:woUserID w:val="9"/>
        </w:rPr>
        <w:t>大运动训练 依据 0-3 岁婴幼儿发育里程碑开展大运动训练：</w:t>
      </w:r>
    </w:p>
    <w:p w14:paraId="3BA3FA26">
      <w:pPr>
        <w:pStyle w:val="134"/>
      </w:pPr>
      <w:r>
        <w:rPr>
          <w:rFonts w:hint="eastAsia" w:ascii="宋体" w:hAnsi="宋体" w:cs="宋体"/>
          <w:lang w:bidi="ar"/>
          <w:woUserID w:val="9"/>
        </w:rPr>
        <w:t>0-6月龄</w:t>
      </w:r>
      <w:r>
        <w:rPr>
          <w:rFonts w:hint="eastAsia" w:ascii="宋体" w:hAnsi="宋体" w:cs="宋体"/>
          <w:lang w:eastAsia="zh-CN" w:bidi="ar"/>
          <w:woUserID w:val="9"/>
        </w:rPr>
        <w:t>：</w:t>
      </w:r>
      <w:r>
        <w:rPr>
          <w:rFonts w:hint="eastAsia" w:ascii="宋体" w:hAnsi="宋体" w:cs="宋体"/>
          <w:lang w:bidi="ar"/>
          <w:woUserID w:val="9"/>
        </w:rPr>
        <w:t>以被动辅助、主动诱导运动为主，开展抬头、翻身、扶坐、匍匐爬行等基础动作训练，夯实头颈、躯干核心力量；</w:t>
      </w:r>
    </w:p>
    <w:p w14:paraId="6C81ADAD">
      <w:pPr>
        <w:pStyle w:val="134"/>
      </w:pPr>
      <w:r>
        <w:rPr>
          <w:rFonts w:hint="eastAsia" w:ascii="宋体" w:hAnsi="宋体" w:cs="宋体"/>
          <w:lang w:bidi="ar"/>
          <w:woUserID w:val="9"/>
        </w:rPr>
        <w:t>7-18月龄</w:t>
      </w:r>
      <w:r>
        <w:rPr>
          <w:rFonts w:hint="eastAsia" w:ascii="宋体" w:hAnsi="宋体" w:cs="宋体"/>
          <w:lang w:eastAsia="zh-CN" w:bidi="ar"/>
          <w:woUserID w:val="9"/>
        </w:rPr>
        <w:t>：</w:t>
      </w:r>
      <w:r>
        <w:rPr>
          <w:rFonts w:hint="eastAsia" w:ascii="宋体" w:hAnsi="宋体" w:cs="宋体"/>
          <w:lang w:bidi="ar"/>
          <w:woUserID w:val="9"/>
        </w:rPr>
        <w:t>重点开展独坐、手足爬行、扶站、独站、扶走、独立行走、低阶攀爬等阶段性运动，助力婴幼儿建立直立行走能力；</w:t>
      </w:r>
    </w:p>
    <w:p w14:paraId="1A6E940F">
      <w:pPr>
        <w:pStyle w:val="134"/>
      </w:pPr>
      <w:r>
        <w:rPr>
          <w:rFonts w:hint="eastAsia" w:ascii="宋体" w:hAnsi="宋体" w:cs="宋体"/>
          <w:lang w:bidi="ar"/>
          <w:woUserID w:val="9"/>
        </w:rPr>
        <w:t>19-36月龄</w:t>
      </w:r>
      <w:r>
        <w:rPr>
          <w:rFonts w:hint="eastAsia" w:ascii="宋体" w:hAnsi="宋体" w:cs="宋体"/>
          <w:lang w:eastAsia="zh-CN" w:bidi="ar"/>
          <w:woUserID w:val="9"/>
        </w:rPr>
        <w:t>：</w:t>
      </w:r>
      <w:r>
        <w:rPr>
          <w:rFonts w:hint="eastAsia" w:ascii="宋体" w:hAnsi="宋体" w:cs="宋体"/>
          <w:lang w:bidi="ar"/>
          <w:woUserID w:val="9"/>
        </w:rPr>
        <w:t>开展快走、慢跑、跳跃、平衡、钻爬、投掷、障碍闯关等综合性运动，持续提升婴幼儿肢体力量、身体协调性与肢体控制能力。</w:t>
      </w:r>
    </w:p>
    <w:p w14:paraId="7A27E12C">
      <w:pPr>
        <w:pStyle w:val="167"/>
      </w:pPr>
      <w:r>
        <w:rPr>
          <w:rFonts w:hint="eastAsia" w:ascii="宋体" w:hAnsi="宋体" w:cs="宋体"/>
          <w:lang w:bidi="ar"/>
          <w:woUserID w:val="9"/>
        </w:rPr>
        <w:t>精细动作训练 结合生活照料与游戏活动，开展抓握、串珠、叠放、涂鸦、拼图等精细动作训练，逐步提升难度，锻炼婴幼儿手眼协调与手部精细控制能力。</w:t>
      </w:r>
    </w:p>
    <w:p w14:paraId="02F1C088">
      <w:pPr>
        <w:pStyle w:val="167"/>
      </w:pPr>
      <w:r>
        <w:rPr>
          <w:rFonts w:hint="eastAsia" w:ascii="宋体" w:hAnsi="宋体" w:cs="宋体"/>
          <w:lang w:bidi="ar"/>
          <w:woUserID w:val="9"/>
        </w:rPr>
        <w:t>运动安全与激励 运动期间全程安全看护，科学把控运动强度，及时排查安全隐患。鼓励婴幼儿大胆尝试，培育运动兴趣与自信心。</w:t>
      </w:r>
    </w:p>
    <w:p w14:paraId="4A2A47F8">
      <w:pPr>
        <w:pStyle w:val="107"/>
        <w:spacing w:before="156" w:after="156"/>
        <w:rPr>
          <w:rFonts w:hint="eastAsia" w:ascii="宋体" w:hAnsi="宋体" w:eastAsia="宋体" w:cs="宋体"/>
          <w:b/>
          <w:bCs/>
          <w:color w:val="000000"/>
          <w:sz w:val="21"/>
          <w:szCs w:val="21"/>
          <w:lang w:val="en-US" w:eastAsia="zh-CN" w:bidi="ar"/>
        </w:rPr>
      </w:pPr>
      <w:bookmarkStart w:id="188" w:name="_Toc21441"/>
      <w:r>
        <w:rPr>
          <w:rFonts w:hint="eastAsia" w:ascii="宋体" w:hAnsi="宋体" w:eastAsia="宋体" w:cs="宋体"/>
          <w:b w:val="0"/>
          <w:bCs w:val="0"/>
          <w:color w:val="auto"/>
          <w:sz w:val="21"/>
          <w:szCs w:val="21"/>
          <w:lang w:val="en-US" w:eastAsia="zh-CN" w:bidi="ar"/>
        </w:rPr>
        <w:t>家园协同促进早期学习</w:t>
      </w:r>
      <w:bookmarkEnd w:id="188"/>
    </w:p>
    <w:p w14:paraId="11961831">
      <w:pPr>
        <w:pStyle w:val="167"/>
      </w:pPr>
      <w:r>
        <w:rPr>
          <w:rFonts w:hint="eastAsia" w:ascii="宋体" w:hAnsi="宋体" w:cs="宋体"/>
          <w:lang w:bidi="ar"/>
          <w:woUserID w:val="9"/>
        </w:rPr>
        <w:t>科学育儿科普 常态化开展育儿科普，普及婴幼儿早期发展知识与家庭启蒙技巧，引导家长树立正确育儿理念，杜绝超前早教与功利化育儿。</w:t>
      </w:r>
    </w:p>
    <w:p w14:paraId="1A34E50B">
      <w:pPr>
        <w:pStyle w:val="167"/>
      </w:pPr>
      <w:r>
        <w:rPr>
          <w:rFonts w:hint="eastAsia" w:ascii="宋体" w:hAnsi="宋体" w:cs="宋体"/>
          <w:lang w:bidi="ar"/>
          <w:woUserID w:val="9"/>
        </w:rPr>
        <w:t>家长参与共育 通过家长开放日、亲子主题活动等形式，邀请家长参与婴幼儿在园学习与游戏，深化亲子互动，统一家园育儿认知。</w:t>
      </w:r>
    </w:p>
    <w:p w14:paraId="34E9B9C8">
      <w:pPr>
        <w:pStyle w:val="167"/>
      </w:pPr>
      <w:r>
        <w:rPr>
          <w:rFonts w:hint="eastAsia" w:ascii="宋体" w:hAnsi="宋体" w:cs="宋体"/>
          <w:lang w:bidi="ar"/>
          <w:woUserID w:val="9"/>
        </w:rPr>
        <w:t>个性化家庭指导 结合婴幼儿个体评估结果，提供分龄、个性化家庭启蒙指导，指导家长将早期发展训练融入家庭日常生活。</w:t>
      </w:r>
    </w:p>
    <w:p w14:paraId="2BC8A752">
      <w:pPr>
        <w:pStyle w:val="167"/>
      </w:pPr>
      <w:r>
        <w:rPr>
          <w:rFonts w:hint="eastAsia" w:ascii="宋体" w:hAnsi="宋体" w:cs="宋体"/>
          <w:lang w:bidi="ar"/>
          <w:woUserID w:val="9"/>
        </w:rPr>
        <w:t>常态化家园沟通 建立常态化家园双向沟通机制，及时反馈婴幼儿成长情况，协同研判解决育儿问题，凝聚家园共育合力。</w:t>
      </w:r>
    </w:p>
    <w:p w14:paraId="1D5A6091">
      <w:pPr>
        <w:pStyle w:val="106"/>
        <w:spacing w:before="312" w:after="312"/>
        <w:rPr>
          <w:rFonts w:hint="eastAsia" w:ascii="黑体" w:hAnsi="Times New Roman" w:eastAsia="黑体" w:cs="Times New Roman"/>
          <w:b w:val="0"/>
          <w:bCs w:val="0"/>
          <w:sz w:val="21"/>
          <w:szCs w:val="20"/>
          <w:lang w:eastAsia="zh-CN" w:bidi="ar"/>
        </w:rPr>
      </w:pPr>
      <w:bookmarkStart w:id="189" w:name="_Toc31221"/>
      <w:bookmarkStart w:id="190" w:name="_Toc12932"/>
      <w:bookmarkStart w:id="191" w:name="_Toc5810"/>
      <w:bookmarkStart w:id="192" w:name="_Toc29056"/>
      <w:bookmarkStart w:id="193" w:name="_Toc8295"/>
      <w:r>
        <w:rPr>
          <w:rFonts w:hint="eastAsia" w:ascii="黑体" w:hAnsi="Times New Roman" w:eastAsia="黑体" w:cs="Times New Roman"/>
          <w:b w:val="0"/>
          <w:bCs w:val="0"/>
          <w:sz w:val="21"/>
          <w:szCs w:val="20"/>
          <w:lang w:bidi="ar"/>
        </w:rPr>
        <w:t>安全环境创设</w:t>
      </w:r>
      <w:bookmarkEnd w:id="189"/>
      <w:bookmarkEnd w:id="190"/>
      <w:bookmarkEnd w:id="191"/>
      <w:bookmarkEnd w:id="192"/>
      <w:bookmarkEnd w:id="193"/>
    </w:p>
    <w:p w14:paraId="2A6BBD70">
      <w:pPr>
        <w:pStyle w:val="107"/>
        <w:spacing w:before="156" w:after="156"/>
        <w:rPr>
          <w:rFonts w:hint="eastAsia" w:ascii="宋体" w:hAnsi="宋体" w:eastAsia="宋体" w:cs="宋体"/>
          <w:b/>
          <w:bCs/>
          <w:color w:val="000000"/>
          <w:sz w:val="21"/>
          <w:szCs w:val="21"/>
          <w:lang w:val="en-US" w:eastAsia="zh-CN" w:bidi="ar"/>
        </w:rPr>
      </w:pPr>
      <w:bookmarkStart w:id="194" w:name="_Toc3861"/>
      <w:r>
        <w:rPr>
          <w:rFonts w:hint="eastAsia" w:ascii="宋体" w:hAnsi="宋体" w:eastAsia="宋体" w:cs="宋体"/>
          <w:b w:val="0"/>
          <w:bCs w:val="0"/>
          <w:color w:val="auto"/>
          <w:sz w:val="21"/>
          <w:szCs w:val="21"/>
          <w:lang w:val="en-US" w:eastAsia="zh-CN" w:bidi="ar"/>
        </w:rPr>
        <w:t>基本要求</w:t>
      </w:r>
      <w:bookmarkEnd w:id="194"/>
    </w:p>
    <w:p w14:paraId="18A8519A">
      <w:pPr>
        <w:pStyle w:val="167"/>
      </w:pPr>
      <w:r>
        <w:rPr>
          <w:rFonts w:hint="eastAsia" w:ascii="宋体" w:hAnsi="宋体" w:eastAsia="宋体" w:cs="宋体"/>
          <w:b w:val="0"/>
          <w:bCs w:val="0"/>
          <w:sz w:val="21"/>
          <w:szCs w:val="21"/>
          <w:lang w:eastAsia="zh-CN" w:bidi="ar"/>
          <w:woUserID w:val="9"/>
        </w:rPr>
        <w:t>托育机构建筑、设施设备、功能布局应符合 JGJ 39、GB 50016、《托育机构消防安全指南（试行）》要求</w:t>
      </w:r>
      <w:r>
        <w:rPr>
          <w:rFonts w:hint="eastAsia" w:ascii="宋体" w:hAnsi="宋体" w:eastAsia="宋体" w:cs="宋体"/>
          <w:b w:val="0"/>
          <w:bCs w:val="0"/>
          <w:sz w:val="21"/>
          <w:szCs w:val="21"/>
          <w:lang w:bidi="ar"/>
          <w:woUserID w:val="9"/>
        </w:rPr>
        <w:t>，布局合理、整洁有序</w:t>
      </w:r>
      <w:r>
        <w:rPr>
          <w:rFonts w:hint="eastAsia" w:ascii="宋体" w:hAnsi="宋体" w:cs="宋体"/>
          <w:b w:val="0"/>
          <w:bCs w:val="0"/>
          <w:sz w:val="21"/>
          <w:szCs w:val="21"/>
          <w:lang w:eastAsia="zh-CN" w:bidi="ar"/>
          <w:woUserID w:val="9"/>
        </w:rPr>
        <w:t>，</w:t>
      </w:r>
      <w:r>
        <w:rPr>
          <w:rFonts w:hint="eastAsia" w:ascii="宋体" w:hAnsi="宋体" w:eastAsia="宋体" w:cs="宋体"/>
          <w:b w:val="0"/>
          <w:bCs w:val="0"/>
          <w:sz w:val="21"/>
          <w:szCs w:val="21"/>
          <w:lang w:eastAsia="zh-CN" w:bidi="ar"/>
          <w:woUserID w:val="9"/>
        </w:rPr>
        <w:t>满足抗震、防火、疏散安全条件。</w:t>
      </w:r>
    </w:p>
    <w:p w14:paraId="5A7D8905">
      <w:pPr>
        <w:pStyle w:val="167"/>
      </w:pPr>
      <w:r>
        <w:rPr>
          <w:rFonts w:hint="eastAsia" w:ascii="宋体" w:hAnsi="宋体" w:eastAsia="宋体" w:cs="宋体"/>
          <w:b w:val="0"/>
          <w:bCs w:val="0"/>
          <w:sz w:val="21"/>
          <w:szCs w:val="21"/>
          <w:lang w:eastAsia="zh-CN" w:bidi="ar"/>
          <w:woUserID w:val="9"/>
        </w:rPr>
        <w:t>建筑材料、设施设备、安全防护、游乐设施、家具、日用用具、玩教具、图书及游戏材料</w:t>
      </w:r>
      <w:r>
        <w:rPr>
          <w:rFonts w:hint="eastAsia" w:ascii="宋体" w:hAnsi="宋体" w:cs="宋体"/>
          <w:b w:val="0"/>
          <w:bCs w:val="0"/>
          <w:sz w:val="21"/>
          <w:szCs w:val="21"/>
          <w:lang w:eastAsia="zh-CN" w:bidi="ar"/>
          <w:woUserID w:val="9"/>
        </w:rPr>
        <w:t>、</w:t>
      </w:r>
      <w:r>
        <w:rPr>
          <w:rFonts w:hint="eastAsia" w:ascii="宋体" w:hAnsi="宋体" w:eastAsia="宋体" w:cs="宋体"/>
          <w:b w:val="0"/>
          <w:bCs w:val="0"/>
          <w:sz w:val="21"/>
          <w:szCs w:val="21"/>
          <w:lang w:eastAsia="zh-CN" w:bidi="ar"/>
          <w:woUserID w:val="9"/>
        </w:rPr>
        <w:t>室内空气质量</w:t>
      </w:r>
      <w:r>
        <w:rPr>
          <w:rFonts w:hint="eastAsia" w:ascii="宋体" w:hAnsi="宋体" w:cs="宋体"/>
          <w:b w:val="0"/>
          <w:bCs w:val="0"/>
          <w:sz w:val="21"/>
          <w:szCs w:val="21"/>
          <w:lang w:eastAsia="zh-CN" w:bidi="ar"/>
          <w:woUserID w:val="9"/>
        </w:rPr>
        <w:t>，</w:t>
      </w:r>
      <w:r>
        <w:rPr>
          <w:rFonts w:hint="eastAsia" w:ascii="宋体" w:hAnsi="宋体" w:eastAsia="宋体" w:cs="宋体"/>
          <w:b w:val="0"/>
          <w:bCs w:val="0"/>
          <w:sz w:val="21"/>
          <w:szCs w:val="21"/>
          <w:lang w:eastAsia="zh-CN" w:bidi="ar"/>
          <w:woUserID w:val="9"/>
        </w:rPr>
        <w:t>须全部符合国家强制性安全与环保标准：</w:t>
      </w:r>
    </w:p>
    <w:p w14:paraId="3C7F7BE5">
      <w:pPr>
        <w:pStyle w:val="176"/>
      </w:pPr>
      <w:r>
        <w:rPr>
          <w:rFonts w:hint="eastAsia" w:ascii="宋体" w:hAnsi="宋体" w:eastAsia="宋体" w:cs="宋体"/>
          <w:b w:val="0"/>
          <w:bCs w:val="0"/>
          <w:sz w:val="21"/>
          <w:szCs w:val="21"/>
          <w:lang w:eastAsia="zh-CN" w:bidi="ar"/>
          <w:woUserID w:val="9"/>
        </w:rPr>
        <w:t>室内装修材料防火性能符合 GB 50222；</w:t>
      </w:r>
    </w:p>
    <w:p w14:paraId="0D03C48C">
      <w:pPr>
        <w:pStyle w:val="176"/>
      </w:pPr>
      <w:r>
        <w:rPr>
          <w:rFonts w:hint="eastAsia" w:ascii="宋体" w:hAnsi="宋体" w:eastAsia="宋体" w:cs="宋体"/>
          <w:b w:val="0"/>
          <w:bCs w:val="0"/>
          <w:sz w:val="21"/>
          <w:szCs w:val="21"/>
          <w:lang w:eastAsia="zh-CN" w:bidi="ar"/>
          <w:woUserID w:val="9"/>
        </w:rPr>
        <w:t>玩教具安全性能符合 GB 6675；</w:t>
      </w:r>
    </w:p>
    <w:p w14:paraId="41D26689">
      <w:pPr>
        <w:pStyle w:val="176"/>
      </w:pPr>
      <w:r>
        <w:rPr>
          <w:rFonts w:hint="eastAsia" w:ascii="宋体" w:hAnsi="宋体" w:eastAsia="宋体" w:cs="宋体"/>
          <w:b w:val="0"/>
          <w:bCs w:val="0"/>
          <w:sz w:val="21"/>
          <w:szCs w:val="21"/>
          <w:lang w:eastAsia="zh-CN" w:bidi="ar"/>
          <w:woUserID w:val="9"/>
        </w:rPr>
        <w:t>装修建材有害物质限值符合 GB 50325；</w:t>
      </w:r>
    </w:p>
    <w:p w14:paraId="1099E9BB">
      <w:pPr>
        <w:pStyle w:val="176"/>
      </w:pPr>
      <w:r>
        <w:rPr>
          <w:rFonts w:hint="eastAsia" w:ascii="宋体" w:hAnsi="宋体" w:eastAsia="宋体" w:cs="宋体"/>
          <w:b w:val="0"/>
          <w:bCs w:val="0"/>
          <w:sz w:val="21"/>
          <w:szCs w:val="21"/>
          <w:lang w:eastAsia="zh-CN" w:bidi="ar"/>
          <w:woUserID w:val="9"/>
        </w:rPr>
        <w:t>婴幼儿家具符合 GB 28007。</w:t>
      </w:r>
    </w:p>
    <w:p w14:paraId="6AAF500B">
      <w:pPr>
        <w:pStyle w:val="176"/>
      </w:pPr>
      <w:r>
        <w:rPr>
          <w:rFonts w:hint="eastAsia" w:ascii="宋体" w:hAnsi="宋体" w:eastAsia="宋体" w:cs="宋体"/>
          <w:b w:val="0"/>
          <w:bCs w:val="0"/>
          <w:sz w:val="21"/>
          <w:szCs w:val="21"/>
          <w:lang w:eastAsia="zh-CN" w:bidi="ar"/>
          <w:woUserID w:val="9"/>
        </w:rPr>
        <w:t>游乐设施结构</w:t>
      </w:r>
      <w:r>
        <w:rPr>
          <w:rFonts w:hint="eastAsia" w:ascii="宋体" w:hAnsi="宋体" w:cs="宋体"/>
          <w:b w:val="0"/>
          <w:bCs w:val="0"/>
          <w:sz w:val="21"/>
          <w:szCs w:val="21"/>
          <w:lang w:eastAsia="zh-CN" w:bidi="ar"/>
          <w:woUserID w:val="9"/>
        </w:rPr>
        <w:t xml:space="preserve"> 符合《GB/T 34272-2017》</w:t>
      </w:r>
    </w:p>
    <w:p w14:paraId="3B48F8F9">
      <w:pPr>
        <w:pStyle w:val="176"/>
      </w:pPr>
      <w:r>
        <w:rPr>
          <w:rFonts w:hint="eastAsia" w:ascii="宋体" w:hAnsi="宋体" w:cs="宋体"/>
          <w:b w:val="0"/>
          <w:bCs w:val="0"/>
          <w:sz w:val="21"/>
          <w:szCs w:val="21"/>
          <w:lang w:eastAsia="zh-CN" w:bidi="ar"/>
          <w:woUserID w:val="9"/>
        </w:rPr>
        <w:t>室内空气质量标准《GB/T 18883-2022》</w:t>
      </w:r>
    </w:p>
    <w:p w14:paraId="34335F92">
      <w:pPr>
        <w:pStyle w:val="167"/>
      </w:pPr>
      <w:r>
        <w:rPr>
          <w:rFonts w:hint="eastAsia" w:ascii="宋体" w:hAnsi="宋体" w:eastAsia="宋体" w:cs="宋体"/>
          <w:b w:val="0"/>
          <w:bCs w:val="0"/>
          <w:sz w:val="21"/>
          <w:szCs w:val="21"/>
        </w:rPr>
        <w:t>环境创设应遵循安全第一、健康适宜、温馨舒适、启发性强的原则，兼顾安全防护与婴幼儿发展需求。</w:t>
      </w:r>
    </w:p>
    <w:p w14:paraId="39A16682">
      <w:pPr>
        <w:pStyle w:val="167"/>
      </w:pPr>
      <w:r>
        <w:rPr>
          <w:rFonts w:hint="eastAsia" w:ascii="宋体" w:hAnsi="宋体" w:eastAsia="宋体" w:cs="宋体"/>
          <w:b w:val="0"/>
          <w:bCs w:val="0"/>
          <w:sz w:val="21"/>
          <w:szCs w:val="21"/>
        </w:rPr>
        <w:t>环境</w:t>
      </w:r>
      <w:r>
        <w:rPr>
          <w:rFonts w:hint="eastAsia" w:ascii="宋体" w:hAnsi="宋体" w:eastAsia="宋体" w:cs="宋体"/>
          <w:b w:val="0"/>
          <w:bCs w:val="0"/>
          <w:sz w:val="21"/>
          <w:szCs w:val="21"/>
          <w:lang w:val="en-US" w:eastAsia="zh-CN"/>
        </w:rPr>
        <w:t>设置</w:t>
      </w:r>
      <w:r>
        <w:rPr>
          <w:rFonts w:hint="eastAsia" w:ascii="宋体" w:hAnsi="宋体" w:eastAsia="宋体" w:cs="宋体"/>
          <w:b w:val="0"/>
          <w:bCs w:val="0"/>
          <w:sz w:val="21"/>
          <w:szCs w:val="21"/>
        </w:rPr>
        <w:t>应满足婴幼儿动作发展、认知探索、语言交流、社会性交往及情绪调节的需要，支持医育融合服务开展。</w:t>
      </w:r>
    </w:p>
    <w:p w14:paraId="4F74F1DF">
      <w:pPr>
        <w:pStyle w:val="107"/>
        <w:spacing w:before="156" w:after="156"/>
        <w:rPr>
          <w:rFonts w:hint="eastAsia" w:ascii="宋体" w:hAnsi="宋体" w:eastAsia="宋体" w:cs="宋体"/>
          <w:b/>
          <w:bCs/>
          <w:color w:val="000000"/>
          <w:sz w:val="21"/>
          <w:szCs w:val="21"/>
          <w:lang w:bidi="ar"/>
        </w:rPr>
      </w:pPr>
      <w:bookmarkStart w:id="195" w:name="_Toc27759"/>
      <w:r>
        <w:rPr>
          <w:rFonts w:hint="eastAsia" w:ascii="宋体" w:hAnsi="宋体" w:eastAsia="宋体" w:cs="宋体"/>
          <w:b w:val="0"/>
          <w:bCs w:val="0"/>
          <w:color w:val="auto"/>
          <w:sz w:val="21"/>
          <w:szCs w:val="21"/>
          <w:lang w:bidi="ar"/>
        </w:rPr>
        <w:t>物质环境</w:t>
      </w:r>
      <w:bookmarkEnd w:id="195"/>
    </w:p>
    <w:p w14:paraId="698CC3F2">
      <w:pPr>
        <w:pStyle w:val="67"/>
        <w:spacing w:before="156" w:after="156"/>
      </w:pPr>
      <w:r>
        <w:rPr>
          <w:rFonts w:hint="eastAsia" w:ascii="宋体" w:hAnsi="宋体" w:eastAsia="宋体" w:cs="宋体"/>
          <w:b/>
          <w:bCs/>
          <w:sz w:val="21"/>
          <w:szCs w:val="21"/>
          <w:lang w:val="en-US" w:eastAsia="zh-CN"/>
        </w:rPr>
        <w:t>室内环境</w:t>
      </w:r>
    </w:p>
    <w:p w14:paraId="4E8180E4">
      <w:pPr>
        <w:pStyle w:val="96"/>
        <w:spacing w:before="156" w:after="156"/>
      </w:pPr>
      <w:r>
        <w:rPr>
          <w:rFonts w:hint="eastAsia" w:ascii="宋体" w:hAnsi="宋体" w:eastAsia="宋体" w:cs="宋体"/>
          <w:b/>
          <w:bCs/>
          <w:sz w:val="21"/>
          <w:szCs w:val="21"/>
          <w:lang w:val="en-US" w:eastAsia="zh-CN"/>
        </w:rPr>
        <w:t>生活照料区</w:t>
      </w:r>
    </w:p>
    <w:p w14:paraId="02C5B867">
      <w:pPr>
        <w:pStyle w:val="134"/>
      </w:pPr>
      <w:r>
        <w:rPr>
          <w:rFonts w:hint="eastAsia" w:ascii="宋体" w:hAnsi="宋体" w:eastAsia="宋体" w:cs="宋体"/>
          <w:b w:val="0"/>
          <w:bCs w:val="0"/>
          <w:sz w:val="21"/>
          <w:szCs w:val="21"/>
        </w:rPr>
        <w:t>睡眠区</w:t>
      </w:r>
      <w:r>
        <w:rPr>
          <w:rFonts w:hint="eastAsia" w:ascii="宋体" w:hAnsi="宋体" w:cs="宋体"/>
          <w:b w:val="0"/>
          <w:bCs w:val="0"/>
          <w:sz w:val="21"/>
          <w:szCs w:val="21"/>
          <w:lang w:eastAsia="zh"/>
          <w:woUserID w:val="11"/>
        </w:rPr>
        <w:t>：</w:t>
      </w:r>
      <w:r>
        <w:rPr>
          <w:rFonts w:hint="eastAsia" w:ascii="宋体" w:hAnsi="宋体" w:eastAsia="宋体" w:cs="宋体"/>
          <w:b w:val="0"/>
          <w:bCs w:val="0"/>
          <w:sz w:val="21"/>
          <w:szCs w:val="21"/>
        </w:rPr>
        <w:t>安静、光线柔和，床位间距合理，床具干净舒适，便于保育人员全程观察与巡视。</w:t>
      </w:r>
    </w:p>
    <w:p w14:paraId="44967CB3">
      <w:pPr>
        <w:pStyle w:val="134"/>
      </w:pPr>
      <w:r>
        <w:rPr>
          <w:rFonts w:hint="eastAsia" w:ascii="宋体" w:hAnsi="宋体" w:eastAsia="宋体" w:cs="宋体"/>
          <w:b w:val="0"/>
          <w:bCs w:val="0"/>
          <w:sz w:val="21"/>
          <w:szCs w:val="21"/>
        </w:rPr>
        <w:t>盥洗区、如厕区</w:t>
      </w:r>
      <w:r>
        <w:rPr>
          <w:rFonts w:hint="eastAsia" w:ascii="宋体" w:hAnsi="宋体" w:cs="宋体"/>
          <w:b w:val="0"/>
          <w:bCs w:val="0"/>
          <w:sz w:val="21"/>
          <w:szCs w:val="21"/>
          <w:lang w:eastAsia="zh"/>
          <w:woUserID w:val="11"/>
        </w:rPr>
        <w:t>：</w:t>
      </w:r>
      <w:r>
        <w:rPr>
          <w:rFonts w:hint="eastAsia" w:ascii="宋体" w:hAnsi="宋体" w:eastAsia="宋体" w:cs="宋体"/>
          <w:b w:val="0"/>
          <w:bCs w:val="0"/>
          <w:sz w:val="21"/>
          <w:szCs w:val="21"/>
        </w:rPr>
        <w:t>地面应防滑、防积水，设施高度适配婴幼儿身形，水龙头、扶手、便器等安全易用，便于</w:t>
      </w:r>
      <w:r>
        <w:rPr>
          <w:rFonts w:hint="eastAsia" w:ascii="宋体" w:hAnsi="宋体" w:eastAsia="宋体" w:cs="宋体"/>
          <w:b w:val="0"/>
          <w:bCs w:val="0"/>
          <w:sz w:val="21"/>
          <w:szCs w:val="21"/>
          <w:lang w:val="en-US" w:eastAsia="zh-CN"/>
        </w:rPr>
        <w:t>婴</w:t>
      </w:r>
      <w:r>
        <w:rPr>
          <w:rFonts w:hint="eastAsia" w:ascii="宋体" w:hAnsi="宋体" w:eastAsia="宋体" w:cs="宋体"/>
          <w:b w:val="0"/>
          <w:bCs w:val="0"/>
          <w:sz w:val="21"/>
          <w:szCs w:val="21"/>
        </w:rPr>
        <w:t>幼儿自主尝试。</w:t>
      </w:r>
    </w:p>
    <w:p w14:paraId="7D0D4349">
      <w:pPr>
        <w:pStyle w:val="134"/>
      </w:pPr>
      <w:r>
        <w:rPr>
          <w:rFonts w:hint="eastAsia" w:ascii="宋体" w:hAnsi="宋体" w:eastAsia="宋体" w:cs="宋体"/>
          <w:b w:val="0"/>
          <w:bCs w:val="0"/>
          <w:sz w:val="21"/>
          <w:szCs w:val="21"/>
        </w:rPr>
        <w:t>喂养区与餐具区</w:t>
      </w:r>
      <w:r>
        <w:rPr>
          <w:rFonts w:hint="eastAsia" w:ascii="宋体" w:hAnsi="宋体" w:cs="宋体"/>
          <w:b w:val="0"/>
          <w:bCs w:val="0"/>
          <w:sz w:val="21"/>
          <w:szCs w:val="21"/>
          <w:lang w:eastAsia="zh"/>
          <w:woUserID w:val="11"/>
        </w:rPr>
        <w:t>：</w:t>
      </w:r>
      <w:r>
        <w:rPr>
          <w:rFonts w:hint="eastAsia" w:ascii="宋体" w:hAnsi="宋体" w:eastAsia="宋体" w:cs="宋体"/>
          <w:b w:val="0"/>
          <w:bCs w:val="0"/>
          <w:sz w:val="21"/>
          <w:szCs w:val="21"/>
        </w:rPr>
        <w:t>应卫生</w:t>
      </w:r>
      <w:r>
        <w:rPr>
          <w:rFonts w:hint="eastAsia" w:ascii="宋体" w:hAnsi="宋体" w:eastAsia="宋体" w:cs="宋体"/>
          <w:b w:val="0"/>
          <w:bCs w:val="0"/>
          <w:sz w:val="21"/>
          <w:szCs w:val="21"/>
          <w:lang w:val="en-US" w:eastAsia="zh-CN"/>
        </w:rPr>
        <w:t>整洁</w:t>
      </w:r>
      <w:r>
        <w:rPr>
          <w:rFonts w:hint="eastAsia" w:ascii="宋体" w:hAnsi="宋体" w:eastAsia="宋体" w:cs="宋体"/>
          <w:b w:val="0"/>
          <w:bCs w:val="0"/>
          <w:sz w:val="21"/>
          <w:szCs w:val="21"/>
        </w:rPr>
        <w:t>，布局合理，满足顺应喂养与自主进食需求，避免拥挤、碰撞、交叉污染。</w:t>
      </w:r>
    </w:p>
    <w:p w14:paraId="0489C28C">
      <w:pPr>
        <w:pStyle w:val="96"/>
        <w:spacing w:before="156" w:after="156"/>
      </w:pPr>
      <w:r>
        <w:rPr>
          <w:rFonts w:hint="eastAsia" w:ascii="宋体" w:hAnsi="宋体" w:eastAsia="宋体" w:cs="宋体"/>
          <w:b/>
          <w:bCs/>
          <w:sz w:val="21"/>
          <w:szCs w:val="21"/>
          <w:lang w:val="en-US" w:eastAsia="zh-CN"/>
        </w:rPr>
        <w:t>游戏活动区</w:t>
      </w:r>
    </w:p>
    <w:p w14:paraId="09C84E09">
      <w:pPr>
        <w:pStyle w:val="169"/>
      </w:pPr>
      <w:r>
        <w:rPr>
          <w:rFonts w:hint="eastAsia" w:ascii="宋体" w:hAnsi="宋体" w:eastAsia="宋体" w:cs="宋体"/>
          <w:b w:val="0"/>
          <w:bCs w:val="0"/>
          <w:sz w:val="21"/>
          <w:szCs w:val="21"/>
          <w:lang w:val="en-US" w:eastAsia="zh-CN"/>
        </w:rPr>
        <w:t>科学</w:t>
      </w:r>
      <w:r>
        <w:rPr>
          <w:rFonts w:hint="eastAsia" w:ascii="宋体" w:hAnsi="宋体" w:eastAsia="宋体" w:cs="宋体"/>
          <w:b w:val="0"/>
          <w:bCs w:val="0"/>
          <w:sz w:val="21"/>
          <w:szCs w:val="21"/>
        </w:rPr>
        <w:t>划分游戏区域，动静分区明确，避免相互干扰，保证婴幼儿</w:t>
      </w:r>
      <w:r>
        <w:rPr>
          <w:rFonts w:hint="eastAsia" w:ascii="宋体" w:hAnsi="宋体" w:eastAsia="宋体" w:cs="宋体"/>
          <w:b w:val="0"/>
          <w:bCs w:val="0"/>
          <w:sz w:val="21"/>
          <w:szCs w:val="21"/>
          <w:lang w:val="en-US" w:eastAsia="zh-CN"/>
        </w:rPr>
        <w:t>自主</w:t>
      </w:r>
      <w:r>
        <w:rPr>
          <w:rFonts w:hint="eastAsia" w:ascii="宋体" w:hAnsi="宋体" w:eastAsia="宋体" w:cs="宋体"/>
          <w:b w:val="0"/>
          <w:bCs w:val="0"/>
          <w:sz w:val="21"/>
          <w:szCs w:val="21"/>
        </w:rPr>
        <w:t>活动</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顺畅</w:t>
      </w:r>
      <w:r>
        <w:rPr>
          <w:rFonts w:hint="eastAsia" w:ascii="宋体" w:hAnsi="宋体" w:eastAsia="宋体" w:cs="宋体"/>
          <w:b w:val="0"/>
          <w:bCs w:val="0"/>
          <w:sz w:val="21"/>
          <w:szCs w:val="21"/>
        </w:rPr>
        <w:t>通行。</w:t>
      </w:r>
    </w:p>
    <w:p w14:paraId="3F49BD97">
      <w:pPr>
        <w:pStyle w:val="169"/>
      </w:pPr>
      <w:r>
        <w:rPr>
          <w:rFonts w:hint="eastAsia" w:ascii="宋体" w:hAnsi="宋体" w:eastAsia="宋体" w:cs="宋体"/>
          <w:b w:val="0"/>
          <w:bCs w:val="0"/>
          <w:sz w:val="21"/>
          <w:szCs w:val="21"/>
        </w:rPr>
        <w:t>玩具、图书、操作材料应分类摆放</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高度适宜</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便于</w:t>
      </w:r>
      <w:r>
        <w:rPr>
          <w:rFonts w:hint="eastAsia" w:ascii="宋体" w:hAnsi="宋体" w:eastAsia="宋体" w:cs="宋体"/>
          <w:b w:val="0"/>
          <w:bCs w:val="0"/>
          <w:sz w:val="21"/>
          <w:szCs w:val="21"/>
        </w:rPr>
        <w:t>婴幼儿自主取放</w:t>
      </w:r>
      <w:r>
        <w:rPr>
          <w:rFonts w:hint="eastAsia" w:ascii="宋体" w:hAnsi="宋体" w:eastAsia="宋体" w:cs="宋体"/>
          <w:b w:val="0"/>
          <w:bCs w:val="0"/>
          <w:sz w:val="21"/>
          <w:szCs w:val="21"/>
          <w:lang w:val="en-US" w:eastAsia="zh-CN"/>
        </w:rPr>
        <w:t>与整理</w:t>
      </w:r>
      <w:r>
        <w:rPr>
          <w:rFonts w:hint="eastAsia" w:ascii="宋体" w:hAnsi="宋体" w:eastAsia="宋体" w:cs="宋体"/>
          <w:b w:val="0"/>
          <w:bCs w:val="0"/>
          <w:sz w:val="21"/>
          <w:szCs w:val="21"/>
        </w:rPr>
        <w:t>，培养</w:t>
      </w:r>
      <w:r>
        <w:rPr>
          <w:rFonts w:hint="eastAsia" w:ascii="宋体" w:hAnsi="宋体" w:eastAsia="宋体" w:cs="宋体"/>
          <w:b w:val="0"/>
          <w:bCs w:val="0"/>
          <w:sz w:val="21"/>
          <w:szCs w:val="21"/>
          <w:lang w:val="en-US" w:eastAsia="zh-CN"/>
        </w:rPr>
        <w:t>良好的</w:t>
      </w:r>
      <w:r>
        <w:rPr>
          <w:rFonts w:hint="eastAsia" w:ascii="宋体" w:hAnsi="宋体" w:eastAsia="宋体" w:cs="宋体"/>
          <w:b w:val="0"/>
          <w:bCs w:val="0"/>
          <w:sz w:val="21"/>
          <w:szCs w:val="21"/>
        </w:rPr>
        <w:t>收纳习惯。</w:t>
      </w:r>
    </w:p>
    <w:p w14:paraId="0E8F914E">
      <w:pPr>
        <w:pStyle w:val="169"/>
      </w:pPr>
      <w:r>
        <w:rPr>
          <w:rFonts w:hint="eastAsia" w:ascii="宋体" w:hAnsi="宋体" w:eastAsia="宋体" w:cs="宋体"/>
          <w:b w:val="0"/>
          <w:bCs w:val="0"/>
          <w:sz w:val="21"/>
          <w:szCs w:val="21"/>
        </w:rPr>
        <w:t>区域标识清晰、形象直观，以图片、实物为主，便于婴幼儿</w:t>
      </w:r>
      <w:r>
        <w:rPr>
          <w:rFonts w:hint="eastAsia" w:ascii="宋体" w:hAnsi="宋体" w:eastAsia="宋体" w:cs="宋体"/>
          <w:b w:val="0"/>
          <w:bCs w:val="0"/>
          <w:sz w:val="21"/>
          <w:szCs w:val="21"/>
          <w:lang w:val="en-US" w:eastAsia="zh-CN"/>
        </w:rPr>
        <w:t>识别、</w:t>
      </w:r>
      <w:r>
        <w:rPr>
          <w:rFonts w:hint="eastAsia" w:ascii="宋体" w:hAnsi="宋体" w:eastAsia="宋体" w:cs="宋体"/>
          <w:b w:val="0"/>
          <w:bCs w:val="0"/>
          <w:sz w:val="21"/>
          <w:szCs w:val="21"/>
        </w:rPr>
        <w:t>理解与</w:t>
      </w:r>
      <w:r>
        <w:rPr>
          <w:rFonts w:hint="eastAsia" w:ascii="宋体" w:hAnsi="宋体" w:eastAsia="宋体" w:cs="宋体"/>
          <w:b w:val="0"/>
          <w:bCs w:val="0"/>
          <w:sz w:val="21"/>
          <w:szCs w:val="21"/>
          <w:lang w:val="en-US" w:eastAsia="zh-CN"/>
        </w:rPr>
        <w:t>操作</w:t>
      </w:r>
      <w:r>
        <w:rPr>
          <w:rFonts w:hint="eastAsia" w:ascii="宋体" w:hAnsi="宋体" w:eastAsia="宋体" w:cs="宋体"/>
          <w:b w:val="0"/>
          <w:bCs w:val="0"/>
          <w:sz w:val="21"/>
          <w:szCs w:val="21"/>
        </w:rPr>
        <w:t>。</w:t>
      </w:r>
    </w:p>
    <w:p w14:paraId="6CF04649">
      <w:pPr>
        <w:pStyle w:val="96"/>
        <w:spacing w:before="156" w:after="156"/>
      </w:pPr>
      <w:r>
        <w:rPr>
          <w:rFonts w:hint="eastAsia" w:ascii="宋体" w:hAnsi="宋体" w:eastAsia="宋体" w:cs="宋体"/>
          <w:b/>
          <w:bCs/>
          <w:sz w:val="21"/>
          <w:szCs w:val="21"/>
          <w:lang w:val="en-US" w:eastAsia="zh-CN"/>
        </w:rPr>
        <w:t>保健观察区</w:t>
      </w:r>
    </w:p>
    <w:p w14:paraId="30158387">
      <w:pPr>
        <w:pStyle w:val="169"/>
      </w:pPr>
      <w:r>
        <w:rPr>
          <w:rFonts w:hint="eastAsia" w:ascii="宋体" w:hAnsi="宋体" w:eastAsia="宋体" w:cs="宋体"/>
          <w:b w:val="0"/>
          <w:bCs w:val="0"/>
          <w:sz w:val="21"/>
          <w:szCs w:val="21"/>
        </w:rPr>
        <w:t>宜设置相对独立的健康观察角或临时隔离区，便于对身体不适、可疑患病婴幼儿进行临时观察与</w:t>
      </w:r>
      <w:r>
        <w:rPr>
          <w:rFonts w:hint="eastAsia" w:ascii="宋体" w:hAnsi="宋体" w:eastAsia="宋体" w:cs="宋体"/>
          <w:b w:val="0"/>
          <w:bCs w:val="0"/>
          <w:sz w:val="21"/>
          <w:szCs w:val="21"/>
          <w:lang w:val="en-US" w:eastAsia="zh-CN"/>
        </w:rPr>
        <w:t>照护</w:t>
      </w:r>
      <w:r>
        <w:rPr>
          <w:rFonts w:hint="eastAsia" w:ascii="宋体" w:hAnsi="宋体" w:eastAsia="宋体" w:cs="宋体"/>
          <w:b w:val="0"/>
          <w:bCs w:val="0"/>
          <w:sz w:val="21"/>
          <w:szCs w:val="21"/>
        </w:rPr>
        <w:t>。</w:t>
      </w:r>
    </w:p>
    <w:p w14:paraId="4E0F12A9">
      <w:pPr>
        <w:pStyle w:val="169"/>
      </w:pPr>
      <w:r>
        <w:rPr>
          <w:rFonts w:hint="eastAsia" w:ascii="宋体" w:hAnsi="宋体" w:eastAsia="宋体" w:cs="宋体"/>
          <w:b w:val="0"/>
          <w:bCs w:val="0"/>
          <w:sz w:val="21"/>
          <w:szCs w:val="21"/>
        </w:rPr>
        <w:t>保健区域应配备基础急救用品、消毒用品及体温监测设备，保持通风、洁净、私密</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符合卫生防护要求。</w:t>
      </w:r>
    </w:p>
    <w:p w14:paraId="792BCB3B">
      <w:pPr>
        <w:pStyle w:val="96"/>
        <w:spacing w:before="156" w:after="156"/>
      </w:pPr>
      <w:r>
        <w:rPr>
          <w:rFonts w:hint="eastAsia" w:ascii="宋体" w:hAnsi="宋体" w:eastAsia="宋体" w:cs="宋体"/>
          <w:b/>
          <w:bCs/>
          <w:sz w:val="21"/>
          <w:szCs w:val="21"/>
          <w:lang w:val="en-US" w:eastAsia="zh-CN"/>
        </w:rPr>
        <w:t>室内安全防护</w:t>
      </w:r>
    </w:p>
    <w:p w14:paraId="5F534E6E">
      <w:pPr>
        <w:pStyle w:val="169"/>
      </w:pPr>
      <w:r>
        <w:rPr>
          <w:rFonts w:hint="eastAsia" w:ascii="宋体" w:hAnsi="宋体" w:eastAsia="宋体" w:cs="宋体"/>
          <w:b w:val="0"/>
          <w:bCs w:val="0"/>
          <w:sz w:val="21"/>
          <w:szCs w:val="21"/>
        </w:rPr>
        <w:t>门窗、</w:t>
      </w:r>
      <w:r>
        <w:rPr>
          <w:rFonts w:hint="eastAsia" w:ascii="宋体" w:hAnsi="宋体" w:eastAsia="宋体" w:cs="宋体"/>
          <w:sz w:val="21"/>
          <w:szCs w:val="21"/>
          <w:woUserID w:val="0"/>
        </w:rPr>
        <w:t>棱角加装防撞装置，窗户设安全限位与防护栏</w:t>
      </w:r>
      <w:r>
        <w:rPr>
          <w:rFonts w:hint="eastAsia" w:ascii="宋体" w:hAnsi="宋体" w:eastAsia="宋体" w:cs="宋体"/>
          <w:b w:val="0"/>
          <w:bCs w:val="0"/>
          <w:sz w:val="21"/>
          <w:szCs w:val="21"/>
        </w:rPr>
        <w:t>。</w:t>
      </w:r>
    </w:p>
    <w:p w14:paraId="0D2C3456">
      <w:pPr>
        <w:pStyle w:val="169"/>
      </w:pPr>
      <w:r>
        <w:rPr>
          <w:rFonts w:hint="eastAsia" w:ascii="宋体" w:hAnsi="宋体" w:eastAsia="宋体" w:cs="宋体"/>
          <w:b w:val="0"/>
          <w:bCs w:val="0"/>
          <w:sz w:val="21"/>
          <w:szCs w:val="21"/>
        </w:rPr>
        <w:t>电源插座加装安全保护盖，电线、数据线隐蔽收纳，杜绝触电、拉扯、绊倒风险。</w:t>
      </w:r>
    </w:p>
    <w:p w14:paraId="2D0CB8DD">
      <w:pPr>
        <w:pStyle w:val="169"/>
      </w:pPr>
      <w:r>
        <w:rPr>
          <w:rFonts w:hint="eastAsia" w:ascii="宋体" w:hAnsi="宋体" w:eastAsia="宋体" w:cs="宋体"/>
          <w:b w:val="0"/>
          <w:bCs w:val="0"/>
          <w:sz w:val="21"/>
          <w:szCs w:val="21"/>
        </w:rPr>
        <w:t>物品摆放稳固，高大柜体固定墙面，防止倾倒；重物、危险物品放置于婴幼儿</w:t>
      </w:r>
      <w:r>
        <w:rPr>
          <w:rFonts w:hint="eastAsia" w:ascii="宋体" w:hAnsi="宋体" w:eastAsia="宋体" w:cs="宋体"/>
          <w:b w:val="0"/>
          <w:bCs w:val="0"/>
          <w:sz w:val="21"/>
          <w:szCs w:val="21"/>
          <w:lang w:val="en-US" w:eastAsia="zh-CN"/>
        </w:rPr>
        <w:t>难以触及的位置。</w:t>
      </w:r>
    </w:p>
    <w:p w14:paraId="753E79FA">
      <w:pPr>
        <w:pStyle w:val="169"/>
      </w:pPr>
      <w:r>
        <w:rPr>
          <w:rFonts w:hint="eastAsia" w:ascii="宋体" w:hAnsi="宋体" w:eastAsia="宋体" w:cs="宋体"/>
          <w:b w:val="0"/>
          <w:bCs w:val="0"/>
          <w:sz w:val="21"/>
          <w:szCs w:val="21"/>
        </w:rPr>
        <w:t>室内温湿度、空气质量达标，定期通风换气</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规范开展环境消杀，保持卫生合格。</w:t>
      </w:r>
    </w:p>
    <w:p w14:paraId="5B910717">
      <w:pPr>
        <w:pStyle w:val="67"/>
        <w:spacing w:before="156" w:after="156"/>
      </w:pPr>
      <w:r>
        <w:rPr>
          <w:rFonts w:hint="eastAsia" w:ascii="宋体" w:hAnsi="宋体" w:eastAsia="宋体" w:cs="宋体"/>
          <w:b/>
          <w:bCs/>
          <w:sz w:val="21"/>
          <w:szCs w:val="21"/>
          <w:lang w:val="en-US" w:eastAsia="zh-CN"/>
        </w:rPr>
        <w:t>室外环境</w:t>
      </w:r>
    </w:p>
    <w:p w14:paraId="083E0755">
      <w:pPr>
        <w:pStyle w:val="96"/>
        <w:spacing w:before="156" w:after="156"/>
      </w:pPr>
      <w:r>
        <w:rPr>
          <w:rFonts w:hint="eastAsia" w:ascii="宋体" w:hAnsi="宋体" w:eastAsia="宋体" w:cs="宋体"/>
          <w:b/>
          <w:bCs/>
          <w:sz w:val="21"/>
          <w:szCs w:val="21"/>
          <w:lang w:val="en-US" w:eastAsia="zh-CN"/>
        </w:rPr>
        <w:t>活动场地</w:t>
      </w:r>
    </w:p>
    <w:p w14:paraId="5C1B6FE9">
      <w:pPr>
        <w:pStyle w:val="169"/>
      </w:pPr>
      <w:r>
        <w:rPr>
          <w:rFonts w:hint="eastAsia" w:ascii="宋体" w:hAnsi="宋体" w:eastAsia="宋体" w:cs="宋体"/>
          <w:b w:val="0"/>
          <w:bCs w:val="0"/>
          <w:sz w:val="21"/>
          <w:szCs w:val="21"/>
        </w:rPr>
        <w:t>活动场地平整、防滑、无碎石、无坑洼，宜采用软性安全铺装，降低跌倒损伤风险。</w:t>
      </w:r>
    </w:p>
    <w:p w14:paraId="321525A4">
      <w:pPr>
        <w:pStyle w:val="169"/>
      </w:pPr>
      <w:r>
        <w:rPr>
          <w:rFonts w:hint="eastAsia" w:ascii="宋体" w:hAnsi="宋体" w:eastAsia="宋体" w:cs="宋体"/>
          <w:b w:val="0"/>
          <w:bCs w:val="0"/>
          <w:sz w:val="21"/>
          <w:szCs w:val="21"/>
        </w:rPr>
        <w:t>活动空间充足，满足婴幼儿跑、跳、钻、爬、平衡等粗大动作发展需要。</w:t>
      </w:r>
    </w:p>
    <w:p w14:paraId="393DC1C5">
      <w:pPr>
        <w:pStyle w:val="169"/>
      </w:pPr>
      <w:r>
        <w:rPr>
          <w:rFonts w:hint="eastAsia" w:ascii="宋体" w:hAnsi="宋体" w:eastAsia="宋体" w:cs="宋体"/>
          <w:b w:val="0"/>
          <w:bCs w:val="0"/>
          <w:sz w:val="21"/>
          <w:szCs w:val="21"/>
        </w:rPr>
        <w:t>场地周边设安全围栏或防护边界，防止婴幼儿擅自离开活动区域。</w:t>
      </w:r>
    </w:p>
    <w:p w14:paraId="3FF2FECB">
      <w:pPr>
        <w:pStyle w:val="96"/>
        <w:spacing w:before="156" w:after="156"/>
      </w:pPr>
      <w:r>
        <w:rPr>
          <w:rFonts w:hint="eastAsia" w:ascii="宋体" w:hAnsi="宋体" w:eastAsia="宋体" w:cs="宋体"/>
          <w:b/>
          <w:bCs/>
          <w:sz w:val="21"/>
          <w:szCs w:val="21"/>
          <w:lang w:val="en-US" w:eastAsia="zh-CN"/>
        </w:rPr>
        <w:t>活动器材与玩教具</w:t>
      </w:r>
    </w:p>
    <w:p w14:paraId="18940C9D">
      <w:pPr>
        <w:pStyle w:val="169"/>
      </w:pPr>
      <w:r>
        <w:rPr>
          <w:rFonts w:hint="eastAsia" w:ascii="宋体" w:hAnsi="宋体" w:eastAsia="宋体" w:cs="宋体"/>
          <w:b w:val="0"/>
          <w:bCs w:val="0"/>
          <w:sz w:val="21"/>
          <w:szCs w:val="21"/>
        </w:rPr>
        <w:t>室外游乐设施、感统器材</w:t>
      </w:r>
      <w:r>
        <w:rPr>
          <w:rFonts w:hint="eastAsia" w:ascii="宋体" w:hAnsi="宋体" w:eastAsia="宋体" w:cs="宋体"/>
          <w:b w:val="0"/>
          <w:bCs w:val="0"/>
          <w:sz w:val="21"/>
          <w:szCs w:val="21"/>
          <w:lang w:val="en-US" w:eastAsia="zh-CN"/>
        </w:rPr>
        <w:t>适配</w:t>
      </w:r>
      <w:r>
        <w:rPr>
          <w:rFonts w:hint="eastAsia" w:ascii="宋体" w:hAnsi="宋体" w:eastAsia="宋体" w:cs="宋体"/>
          <w:b w:val="0"/>
          <w:bCs w:val="0"/>
          <w:sz w:val="21"/>
          <w:szCs w:val="21"/>
        </w:rPr>
        <w:t>婴幼儿月龄特点，结构牢固、连接紧密，定期检查</w:t>
      </w:r>
      <w:r>
        <w:rPr>
          <w:rFonts w:hint="eastAsia" w:ascii="宋体" w:hAnsi="宋体" w:eastAsia="宋体" w:cs="宋体"/>
          <w:b w:val="0"/>
          <w:bCs w:val="0"/>
          <w:sz w:val="21"/>
          <w:szCs w:val="21"/>
          <w:lang w:val="en-US" w:eastAsia="zh-CN"/>
        </w:rPr>
        <w:t>与</w:t>
      </w:r>
      <w:r>
        <w:rPr>
          <w:rFonts w:hint="eastAsia" w:ascii="宋体" w:hAnsi="宋体" w:eastAsia="宋体" w:cs="宋体"/>
          <w:b w:val="0"/>
          <w:bCs w:val="0"/>
          <w:sz w:val="21"/>
          <w:szCs w:val="21"/>
        </w:rPr>
        <w:t>维护。</w:t>
      </w:r>
    </w:p>
    <w:p w14:paraId="37EEEC0F">
      <w:pPr>
        <w:pStyle w:val="169"/>
      </w:pPr>
      <w:r>
        <w:rPr>
          <w:rFonts w:hint="eastAsia" w:ascii="宋体" w:hAnsi="宋体" w:eastAsia="宋体" w:cs="宋体"/>
          <w:b w:val="0"/>
          <w:bCs w:val="0"/>
          <w:sz w:val="21"/>
          <w:szCs w:val="21"/>
        </w:rPr>
        <w:t>器材摆放间距合理，避免活动碰撞，确保婴幼儿</w:t>
      </w:r>
      <w:r>
        <w:rPr>
          <w:rFonts w:hint="eastAsia" w:ascii="宋体" w:hAnsi="宋体" w:eastAsia="宋体" w:cs="宋体"/>
          <w:b w:val="0"/>
          <w:bCs w:val="0"/>
          <w:sz w:val="21"/>
          <w:szCs w:val="21"/>
          <w:lang w:val="en-US" w:eastAsia="zh-CN"/>
        </w:rPr>
        <w:t>全程</w:t>
      </w:r>
      <w:r>
        <w:rPr>
          <w:rFonts w:hint="eastAsia" w:ascii="宋体" w:hAnsi="宋体" w:eastAsia="宋体" w:cs="宋体"/>
          <w:b w:val="0"/>
          <w:bCs w:val="0"/>
          <w:sz w:val="21"/>
          <w:szCs w:val="21"/>
        </w:rPr>
        <w:t>在成人</w:t>
      </w:r>
      <w:r>
        <w:rPr>
          <w:rFonts w:hint="eastAsia" w:ascii="宋体" w:hAnsi="宋体" w:eastAsia="宋体" w:cs="宋体"/>
          <w:b w:val="0"/>
          <w:bCs w:val="0"/>
          <w:sz w:val="21"/>
          <w:szCs w:val="21"/>
          <w:lang w:val="en-US" w:eastAsia="zh-CN"/>
        </w:rPr>
        <w:t>有效</w:t>
      </w:r>
      <w:r>
        <w:rPr>
          <w:rFonts w:hint="eastAsia" w:ascii="宋体" w:hAnsi="宋体" w:eastAsia="宋体" w:cs="宋体"/>
          <w:b w:val="0"/>
          <w:bCs w:val="0"/>
          <w:sz w:val="21"/>
          <w:szCs w:val="21"/>
        </w:rPr>
        <w:t>视线内活动。</w:t>
      </w:r>
    </w:p>
    <w:p w14:paraId="7066BC3D">
      <w:pPr>
        <w:pStyle w:val="96"/>
        <w:spacing w:before="156" w:after="156"/>
      </w:pPr>
      <w:r>
        <w:rPr>
          <w:rFonts w:hint="eastAsia" w:ascii="宋体" w:hAnsi="宋体" w:eastAsia="宋体" w:cs="宋体"/>
          <w:b/>
          <w:bCs/>
          <w:sz w:val="21"/>
          <w:szCs w:val="21"/>
          <w:lang w:val="en-US" w:eastAsia="zh-CN"/>
        </w:rPr>
        <w:t>室外安全与卫生</w:t>
      </w:r>
    </w:p>
    <w:p w14:paraId="23EF4EB4">
      <w:pPr>
        <w:pStyle w:val="169"/>
      </w:pPr>
      <w:r>
        <w:rPr>
          <w:rFonts w:hint="eastAsia" w:ascii="宋体" w:hAnsi="宋体" w:eastAsia="宋体" w:cs="宋体"/>
          <w:b w:val="0"/>
          <w:bCs w:val="0"/>
          <w:sz w:val="21"/>
          <w:szCs w:val="21"/>
        </w:rPr>
        <w:t>配备遮阳、避雨设施，</w:t>
      </w:r>
      <w:r>
        <w:rPr>
          <w:rFonts w:hint="eastAsia" w:ascii="宋体" w:hAnsi="宋体" w:cs="宋体"/>
          <w:b w:val="0"/>
          <w:bCs w:val="0"/>
          <w:sz w:val="21"/>
          <w:szCs w:val="21"/>
          <w:lang w:eastAsia="zh"/>
          <w:woUserID w:val="11"/>
        </w:rPr>
        <w:t>恶劣情况暂停</w:t>
      </w:r>
      <w:r>
        <w:rPr>
          <w:rFonts w:hint="eastAsia" w:ascii="宋体" w:hAnsi="宋体" w:eastAsia="宋体" w:cs="宋体"/>
          <w:b w:val="0"/>
          <w:bCs w:val="0"/>
          <w:sz w:val="21"/>
          <w:szCs w:val="21"/>
        </w:rPr>
        <w:t>室外活动。</w:t>
      </w:r>
    </w:p>
    <w:p w14:paraId="2E53FD1B">
      <w:pPr>
        <w:pStyle w:val="169"/>
      </w:pPr>
      <w:r>
        <w:rPr>
          <w:rFonts w:hint="eastAsia" w:ascii="宋体" w:hAnsi="宋体" w:eastAsia="宋体" w:cs="宋体"/>
          <w:b w:val="0"/>
          <w:bCs w:val="0"/>
          <w:sz w:val="21"/>
          <w:szCs w:val="21"/>
        </w:rPr>
        <w:t>定期清理场地杂草、杂物、积水及蚊虫滋生地，做好防鼠、防虫、防蝇措施。</w:t>
      </w:r>
    </w:p>
    <w:p w14:paraId="09426000">
      <w:pPr>
        <w:pStyle w:val="169"/>
      </w:pPr>
      <w:r>
        <w:rPr>
          <w:rFonts w:hint="eastAsia" w:ascii="宋体" w:hAnsi="宋体" w:eastAsia="宋体" w:cs="宋体"/>
          <w:b w:val="0"/>
          <w:bCs w:val="0"/>
          <w:sz w:val="21"/>
          <w:szCs w:val="21"/>
        </w:rPr>
        <w:t>建立巡查制度，</w:t>
      </w:r>
      <w:r>
        <w:rPr>
          <w:rFonts w:hint="eastAsia" w:ascii="宋体" w:hAnsi="宋体" w:eastAsia="宋体" w:cs="宋体"/>
          <w:sz w:val="21"/>
          <w:szCs w:val="21"/>
          <w:woUserID w:val="0"/>
        </w:rPr>
        <w:t>活动前后排查场地、器材安全隐患</w:t>
      </w:r>
      <w:r>
        <w:rPr>
          <w:rFonts w:hint="eastAsia" w:ascii="宋体" w:hAnsi="宋体" w:eastAsia="宋体" w:cs="宋体"/>
          <w:b w:val="0"/>
          <w:bCs w:val="0"/>
          <w:sz w:val="21"/>
          <w:szCs w:val="21"/>
        </w:rPr>
        <w:t>。</w:t>
      </w:r>
    </w:p>
    <w:p w14:paraId="73B31289">
      <w:pPr>
        <w:pStyle w:val="107"/>
        <w:spacing w:before="156" w:after="156"/>
        <w:rPr>
          <w:rFonts w:hint="eastAsia" w:ascii="宋体" w:hAnsi="宋体" w:eastAsia="宋体" w:cs="宋体"/>
          <w:b/>
          <w:bCs/>
          <w:color w:val="000000"/>
          <w:sz w:val="21"/>
          <w:szCs w:val="21"/>
          <w:lang w:bidi="ar"/>
        </w:rPr>
      </w:pPr>
      <w:bookmarkStart w:id="196" w:name="_Toc8800"/>
      <w:r>
        <w:rPr>
          <w:rFonts w:hint="eastAsia" w:ascii="宋体" w:hAnsi="宋体" w:eastAsia="宋体" w:cs="宋体"/>
          <w:b w:val="0"/>
          <w:bCs w:val="0"/>
          <w:color w:val="auto"/>
          <w:sz w:val="21"/>
          <w:szCs w:val="21"/>
          <w:lang w:bidi="ar"/>
        </w:rPr>
        <w:t>心理环境</w:t>
      </w:r>
      <w:bookmarkEnd w:id="196"/>
    </w:p>
    <w:p w14:paraId="0F6DA597">
      <w:pPr>
        <w:pStyle w:val="67"/>
        <w:spacing w:before="156" w:after="156"/>
      </w:pPr>
      <w:r>
        <w:rPr>
          <w:rFonts w:hint="eastAsia" w:ascii="宋体" w:hAnsi="宋体" w:eastAsia="宋体" w:cs="宋体"/>
          <w:b/>
          <w:bCs/>
          <w:sz w:val="21"/>
          <w:szCs w:val="21"/>
          <w:lang w:val="en-US" w:eastAsia="zh-CN"/>
        </w:rPr>
        <w:t>情感安全环境</w:t>
      </w:r>
    </w:p>
    <w:p w14:paraId="768E511B">
      <w:pPr>
        <w:pStyle w:val="166"/>
      </w:pPr>
      <w:r>
        <w:rPr>
          <w:rFonts w:hint="eastAsia" w:ascii="宋体" w:hAnsi="宋体" w:eastAsia="宋体" w:cs="宋体"/>
          <w:b w:val="0"/>
          <w:bCs w:val="0"/>
          <w:sz w:val="21"/>
          <w:szCs w:val="21"/>
        </w:rPr>
        <w:t>营造温暖、接纳、尊重的心理氛围，保育人员态度温和、语气亲切，及时回应婴幼儿情绪需求。</w:t>
      </w:r>
    </w:p>
    <w:p w14:paraId="66BE8FEC">
      <w:pPr>
        <w:pStyle w:val="166"/>
      </w:pPr>
      <w:r>
        <w:rPr>
          <w:rFonts w:hint="eastAsia" w:ascii="宋体" w:hAnsi="宋体" w:eastAsia="宋体" w:cs="宋体"/>
          <w:b w:val="0"/>
          <w:bCs w:val="0"/>
          <w:sz w:val="21"/>
          <w:szCs w:val="21"/>
        </w:rPr>
        <w:t>建立稳定的照护关系，</w:t>
      </w:r>
      <w:r>
        <w:rPr>
          <w:rFonts w:hint="eastAsia" w:ascii="宋体" w:hAnsi="宋体" w:cs="宋体"/>
          <w:b w:val="0"/>
          <w:bCs w:val="0"/>
          <w:sz w:val="21"/>
          <w:szCs w:val="21"/>
          <w:lang w:eastAsia="zh"/>
          <w:woUserID w:val="11"/>
        </w:rPr>
        <w:t>助力</w:t>
      </w:r>
      <w:r>
        <w:rPr>
          <w:rFonts w:hint="eastAsia" w:ascii="宋体" w:hAnsi="宋体" w:eastAsia="宋体" w:cs="宋体"/>
          <w:b w:val="0"/>
          <w:bCs w:val="0"/>
          <w:sz w:val="21"/>
          <w:szCs w:val="21"/>
        </w:rPr>
        <w:t>婴幼儿建立安全感、归属感与信任感，缓解分离焦虑。</w:t>
      </w:r>
    </w:p>
    <w:p w14:paraId="1076FBDB">
      <w:pPr>
        <w:pStyle w:val="58"/>
        <w:ind w:firstLine="420"/>
      </w:pPr>
      <w:r>
        <w:rPr>
          <w:rFonts w:hint="eastAsia" w:ascii="宋体" w:hAnsi="宋体" w:cs="宋体"/>
          <w:kern w:val="2"/>
          <w:sz w:val="21"/>
          <w:szCs w:val="21"/>
          <w:lang w:val="en-US" w:eastAsia="zh" w:bidi="ar"/>
          <w:woUserID w:val="12"/>
        </w:rPr>
        <w:t>可</w:t>
      </w:r>
      <w:r>
        <w:rPr>
          <w:rFonts w:hint="eastAsia" w:ascii="宋体" w:hAnsi="宋体" w:cs="宋体"/>
          <w:b w:val="0"/>
          <w:bCs w:val="0"/>
          <w:sz w:val="21"/>
          <w:szCs w:val="21"/>
          <w:lang w:eastAsia="zh"/>
          <w:woUserID w:val="12"/>
        </w:rPr>
        <w:t>设置情绪安抚角，</w:t>
      </w:r>
      <w:r>
        <w:rPr>
          <w:rFonts w:hint="eastAsia" w:ascii="宋体" w:hAnsi="宋体" w:cs="宋体"/>
          <w:b w:val="0"/>
          <w:bCs w:val="0"/>
          <w:sz w:val="21"/>
          <w:szCs w:val="21"/>
          <w:lang w:eastAsia="zh"/>
          <w:woUserID w:val="11"/>
        </w:rPr>
        <w:t>配备</w:t>
      </w:r>
      <w:r>
        <w:rPr>
          <w:rFonts w:hint="eastAsia" w:ascii="宋体" w:hAnsi="宋体" w:cs="宋体"/>
          <w:b w:val="0"/>
          <w:bCs w:val="0"/>
          <w:sz w:val="21"/>
          <w:szCs w:val="21"/>
          <w:lang w:eastAsia="zh"/>
          <w:woUserID w:val="12"/>
        </w:rPr>
        <w:t>软垫、安抚玩偶、情绪认知卡片</w:t>
      </w:r>
      <w:r>
        <w:rPr>
          <w:rFonts w:hint="eastAsia" w:ascii="宋体" w:hAnsi="宋体" w:cs="宋体"/>
          <w:b w:val="0"/>
          <w:bCs w:val="0"/>
          <w:sz w:val="21"/>
          <w:szCs w:val="21"/>
          <w:lang w:eastAsia="zh"/>
          <w:woUserID w:val="11"/>
        </w:rPr>
        <w:t>等</w:t>
      </w:r>
      <w:r>
        <w:rPr>
          <w:rFonts w:hint="eastAsia" w:ascii="宋体" w:hAnsi="宋体" w:cs="宋体"/>
          <w:b w:val="0"/>
          <w:bCs w:val="0"/>
          <w:sz w:val="21"/>
          <w:szCs w:val="21"/>
          <w:lang w:eastAsia="zh"/>
          <w:woUserID w:val="12"/>
        </w:rPr>
        <w:t>，供婴幼儿平复情绪。</w:t>
      </w:r>
    </w:p>
    <w:p w14:paraId="3D844309">
      <w:pPr>
        <w:pStyle w:val="67"/>
        <w:spacing w:before="156" w:after="156"/>
      </w:pPr>
      <w:r>
        <w:rPr>
          <w:rFonts w:hint="eastAsia" w:ascii="宋体" w:hAnsi="宋体" w:eastAsia="宋体" w:cs="宋体"/>
          <w:b/>
          <w:bCs/>
          <w:sz w:val="21"/>
          <w:szCs w:val="21"/>
          <w:lang w:val="en-US" w:eastAsia="zh-CN"/>
        </w:rPr>
        <w:t>积极互动环境</w:t>
      </w:r>
    </w:p>
    <w:p w14:paraId="0F9F02D5">
      <w:pPr>
        <w:pStyle w:val="166"/>
      </w:pPr>
      <w:r>
        <w:rPr>
          <w:rFonts w:hint="eastAsia" w:ascii="宋体" w:hAnsi="宋体" w:eastAsia="宋体" w:cs="宋体"/>
          <w:b w:val="0"/>
          <w:bCs w:val="0"/>
          <w:sz w:val="21"/>
          <w:szCs w:val="21"/>
        </w:rPr>
        <w:t>鼓励同伴间友好交往，引导分享、合作与轮流等待，支持婴幼儿在互动中发展社会性。</w:t>
      </w:r>
    </w:p>
    <w:p w14:paraId="4E48CBDA">
      <w:pPr>
        <w:pStyle w:val="166"/>
      </w:pPr>
      <w:r>
        <w:rPr>
          <w:rFonts w:hint="eastAsia" w:ascii="宋体" w:hAnsi="宋体" w:eastAsia="宋体" w:cs="宋体"/>
          <w:b w:val="0"/>
          <w:bCs w:val="0"/>
          <w:sz w:val="21"/>
          <w:szCs w:val="21"/>
        </w:rPr>
        <w:t>保育人员平等沟通，多用鼓励、肯定的语言，保护</w:t>
      </w:r>
      <w:r>
        <w:rPr>
          <w:rFonts w:hint="eastAsia" w:ascii="宋体" w:hAnsi="宋体" w:cs="宋体"/>
          <w:b w:val="0"/>
          <w:bCs w:val="0"/>
          <w:sz w:val="21"/>
          <w:szCs w:val="21"/>
          <w:lang w:eastAsia="zh"/>
          <w:woUserID w:val="11"/>
        </w:rPr>
        <w:t>婴幼儿</w:t>
      </w:r>
      <w:r>
        <w:rPr>
          <w:rFonts w:hint="eastAsia" w:ascii="宋体" w:hAnsi="宋体" w:eastAsia="宋体" w:cs="宋体"/>
          <w:b w:val="0"/>
          <w:bCs w:val="0"/>
          <w:sz w:val="21"/>
          <w:szCs w:val="21"/>
        </w:rPr>
        <w:t>自信心与探索欲。</w:t>
      </w:r>
    </w:p>
    <w:p w14:paraId="2772EA30">
      <w:pPr>
        <w:pStyle w:val="67"/>
        <w:spacing w:before="156" w:after="156"/>
      </w:pPr>
      <w:r>
        <w:rPr>
          <w:rFonts w:hint="eastAsia" w:ascii="宋体" w:hAnsi="宋体" w:eastAsia="宋体" w:cs="宋体"/>
          <w:b w:val="0"/>
          <w:bCs w:val="0"/>
          <w:sz w:val="21"/>
          <w:szCs w:val="21"/>
        </w:rPr>
        <w:t>规则与秩序环境</w:t>
      </w:r>
    </w:p>
    <w:p w14:paraId="0B334E8D">
      <w:pPr>
        <w:pStyle w:val="166"/>
      </w:pPr>
      <w:r>
        <w:rPr>
          <w:rFonts w:hint="eastAsia" w:ascii="宋体" w:hAnsi="宋体" w:eastAsia="宋体" w:cs="宋体"/>
          <w:b w:val="0"/>
          <w:bCs w:val="0"/>
          <w:sz w:val="21"/>
          <w:szCs w:val="21"/>
        </w:rPr>
        <w:t>建立简单、清晰、一致的日常规则与活动秩序，用婴幼儿可理解的方式提示行为边界。</w:t>
      </w:r>
    </w:p>
    <w:p w14:paraId="632066A6">
      <w:pPr>
        <w:pStyle w:val="166"/>
      </w:pPr>
      <w:r>
        <w:rPr>
          <w:rFonts w:hint="eastAsia" w:ascii="宋体" w:hAnsi="宋体" w:eastAsia="宋体" w:cs="宋体"/>
          <w:b w:val="0"/>
          <w:bCs w:val="0"/>
          <w:sz w:val="21"/>
          <w:szCs w:val="21"/>
        </w:rPr>
        <w:t>安全前提下给予婴幼儿自主选择、自主探索的机会，促进其自我意识与自控能力发展。</w:t>
      </w:r>
    </w:p>
    <w:p w14:paraId="38F7A3FF">
      <w:pPr>
        <w:pStyle w:val="107"/>
        <w:spacing w:before="156" w:after="156"/>
      </w:pPr>
      <w:r>
        <w:rPr>
          <w:rFonts w:hint="eastAsia" w:ascii="宋体" w:hAnsi="宋体" w:eastAsia="宋体" w:cs="宋体"/>
          <w:b/>
          <w:bCs/>
          <w:sz w:val="21"/>
          <w:szCs w:val="21"/>
        </w:rPr>
        <w:t>环境监测与改进</w:t>
      </w:r>
    </w:p>
    <w:p w14:paraId="75508549">
      <w:pPr>
        <w:pStyle w:val="167"/>
      </w:pPr>
      <w:r>
        <w:rPr>
          <w:rFonts w:hint="eastAsia" w:ascii="宋体" w:hAnsi="宋体" w:eastAsia="宋体" w:cs="宋体"/>
          <w:b w:val="0"/>
          <w:bCs w:val="0"/>
          <w:sz w:val="21"/>
          <w:szCs w:val="21"/>
        </w:rPr>
        <w:t>每日对室内外环境进行安全巡查，每周开展全面安全隐患排查，做好记录并及时整改。</w:t>
      </w:r>
    </w:p>
    <w:p w14:paraId="7F927CF1">
      <w:pPr>
        <w:pStyle w:val="167"/>
      </w:pPr>
      <w:r>
        <w:rPr>
          <w:rFonts w:hint="eastAsia" w:ascii="宋体" w:hAnsi="宋体" w:eastAsia="宋体" w:cs="宋体"/>
          <w:b w:val="0"/>
          <w:bCs w:val="0"/>
          <w:sz w:val="21"/>
          <w:szCs w:val="21"/>
        </w:rPr>
        <w:t>结合婴幼儿发展需求、季节变化及医育融合服务内容，动态调整环境布置与材料投放。</w:t>
      </w:r>
    </w:p>
    <w:p w14:paraId="23F20FCF">
      <w:pPr>
        <w:pStyle w:val="167"/>
      </w:pPr>
      <w:r>
        <w:rPr>
          <w:rFonts w:hint="eastAsia" w:ascii="宋体" w:hAnsi="宋体" w:eastAsia="宋体" w:cs="宋体"/>
          <w:b w:val="0"/>
          <w:bCs w:val="0"/>
          <w:sz w:val="21"/>
          <w:szCs w:val="21"/>
        </w:rPr>
        <w:t>定期征求家长、保健人员及签约医疗机构意见，持续优化环境的安全性、适宜性与教育性。</w:t>
      </w:r>
    </w:p>
    <w:p w14:paraId="2862D7AC">
      <w:pPr>
        <w:pStyle w:val="106"/>
        <w:spacing w:before="312" w:after="312"/>
        <w:rPr>
          <w:rFonts w:hint="eastAsia" w:ascii="黑体" w:hAnsi="Times New Roman" w:eastAsia="黑体" w:cs="Times New Roman"/>
          <w:b w:val="0"/>
          <w:bCs w:val="0"/>
          <w:sz w:val="21"/>
          <w:szCs w:val="20"/>
          <w:lang w:val="en-US" w:eastAsia="zh-CN" w:bidi="ar"/>
        </w:rPr>
      </w:pPr>
      <w:bookmarkStart w:id="197" w:name="_Toc27139"/>
      <w:bookmarkStart w:id="198" w:name="_Toc2212"/>
      <w:bookmarkStart w:id="199" w:name="_Toc27032"/>
      <w:bookmarkStart w:id="200" w:name="_Toc4599"/>
      <w:bookmarkStart w:id="201" w:name="_Toc9057"/>
      <w:r>
        <w:rPr>
          <w:rFonts w:hint="eastAsia" w:ascii="黑体" w:hAnsi="Times New Roman" w:eastAsia="黑体" w:cs="Times New Roman"/>
          <w:b w:val="0"/>
          <w:bCs w:val="0"/>
          <w:sz w:val="21"/>
          <w:szCs w:val="20"/>
          <w:lang w:val="en-US" w:eastAsia="zh-CN" w:bidi="ar"/>
        </w:rPr>
        <w:t>特殊健康需求儿童养育照护</w:t>
      </w:r>
      <w:bookmarkEnd w:id="197"/>
      <w:bookmarkEnd w:id="198"/>
      <w:bookmarkEnd w:id="199"/>
      <w:bookmarkEnd w:id="200"/>
      <w:bookmarkEnd w:id="201"/>
    </w:p>
    <w:p w14:paraId="3364CB30">
      <w:pPr>
        <w:pStyle w:val="58"/>
        <w:ind w:firstLine="420"/>
      </w:pPr>
      <w:r>
        <w:rPr>
          <w:rFonts w:hint="eastAsia" w:ascii="宋体" w:hAnsi="宋体" w:eastAsia="宋体" w:cs="宋体"/>
          <w:b w:val="0"/>
          <w:bCs w:val="0"/>
          <w:color w:val="000000"/>
          <w:kern w:val="0"/>
          <w:sz w:val="21"/>
          <w:szCs w:val="21"/>
          <w:lang w:val="en-US" w:eastAsia="zh-CN" w:bidi="ar"/>
        </w:rPr>
        <w:t>特殊健康需求婴幼儿指 0～3 岁存在生长发育偏离、营养不良、超重肥胖、轻度心理行为发育偏离、慢性疾病稳定期需定期专科复诊的婴幼儿。托育机构应遵循包容接纳、安全健康、精准适配、医育协同、家园共育、回应性照护六大原则，为特殊健康需求婴幼儿提供个性化、专业化养育照护与早期发展支持，保障婴幼儿平等享有普惠托育服务权利，促进发展潜能充分发挥。</w:t>
      </w:r>
    </w:p>
    <w:p w14:paraId="175B84E3">
      <w:pPr>
        <w:pStyle w:val="107"/>
        <w:spacing w:before="156" w:after="156"/>
        <w:rPr>
          <w:rFonts w:hint="eastAsia" w:ascii="宋体" w:hAnsi="宋体" w:eastAsia="宋体" w:cs="宋体"/>
          <w:b/>
          <w:bCs/>
          <w:color w:val="000000"/>
          <w:sz w:val="21"/>
          <w:szCs w:val="21"/>
          <w:lang w:val="en-US" w:eastAsia="zh-CN" w:bidi="ar"/>
        </w:rPr>
      </w:pPr>
      <w:bookmarkStart w:id="202" w:name="_Toc7271"/>
      <w:r>
        <w:rPr>
          <w:rFonts w:hint="eastAsia" w:ascii="宋体" w:hAnsi="宋体" w:eastAsia="宋体" w:cs="宋体"/>
          <w:b w:val="0"/>
          <w:bCs w:val="0"/>
          <w:color w:val="auto"/>
          <w:sz w:val="21"/>
          <w:szCs w:val="21"/>
          <w:lang w:val="en-US" w:eastAsia="zh-CN" w:bidi="ar"/>
        </w:rPr>
        <w:t>早期筛查与评估机制</w:t>
      </w:r>
      <w:bookmarkEnd w:id="202"/>
    </w:p>
    <w:p w14:paraId="7172F8A6">
      <w:pPr>
        <w:pStyle w:val="167"/>
      </w:pPr>
      <w:r>
        <w:rPr>
          <w:rFonts w:hint="eastAsia" w:ascii="宋体" w:hAnsi="宋体" w:eastAsia="宋体" w:cs="宋体"/>
          <w:b w:val="0"/>
          <w:bCs w:val="0"/>
          <w:color w:val="000000"/>
          <w:kern w:val="0"/>
          <w:sz w:val="21"/>
          <w:szCs w:val="21"/>
          <w:lang w:val="en-US" w:eastAsia="zh-CN" w:bidi="ar"/>
        </w:rPr>
        <w:t>托育机构应在儿童保健专科医师指导下，建立婴幼儿发育早期筛查与动态监测制度，将发育状况监测纳入日常健康照护体系。婴幼儿入托首月完成发育基线摸底观察，严格按照国家 0～36 月龄儿童健康管理规范节点（3、6、8、12、18、24、30、36 月龄）开展标准化发育筛查，重点监测大运动、精细动作、语言沟通、社交情感、认知理解五大领域。</w:t>
      </w:r>
    </w:p>
    <w:p w14:paraId="7CC058EB">
      <w:pPr>
        <w:pStyle w:val="167"/>
      </w:pPr>
      <w:r>
        <w:rPr>
          <w:rFonts w:hint="eastAsia" w:ascii="宋体" w:hAnsi="宋体" w:eastAsia="宋体" w:cs="宋体"/>
          <w:b w:val="0"/>
          <w:bCs w:val="0"/>
          <w:color w:val="000000"/>
          <w:kern w:val="0"/>
          <w:sz w:val="21"/>
          <w:szCs w:val="21"/>
          <w:lang w:val="en-US" w:eastAsia="zh-CN" w:bidi="ar"/>
        </w:rPr>
        <w:t>筛查应使用国家卫生健康委推荐的婴幼儿标准化发育筛查量表，由经专项培训并考核合格的卫生保健人员实施；保育人员负责日常行为观察与发育预警征象排查。筛查提示发育偏异的，应及时告知监护人并留存书面记录，协助家长对接医疗机构开展精准评估，明确偏离类型与程度，共同制定个体化照护与早期干预方案；托育机构应与医疗机构建立医育绿色转诊通道。</w:t>
      </w:r>
    </w:p>
    <w:p w14:paraId="32A6D0BC">
      <w:pPr>
        <w:pStyle w:val="167"/>
      </w:pPr>
      <w:r>
        <w:rPr>
          <w:rFonts w:hint="eastAsia" w:ascii="宋体" w:hAnsi="宋体" w:eastAsia="宋体" w:cs="宋体"/>
          <w:b w:val="0"/>
          <w:bCs w:val="0"/>
          <w:color w:val="000000"/>
          <w:kern w:val="0"/>
          <w:sz w:val="21"/>
          <w:szCs w:val="21"/>
          <w:lang w:val="en-US" w:eastAsia="zh-CN" w:bidi="ar"/>
        </w:rPr>
        <w:t>托育机构应为特殊健康需求、发育偏异婴幼儿建立专属专项健康管理档案，内容包括基线筛查记录、医疗机构评估报告、个性化干预照护计划、日常照护追踪记录、发育随访数据等。档案实行专人专柜、动态更新管理，严格保护婴幼儿隐私。</w:t>
      </w:r>
    </w:p>
    <w:p w14:paraId="25A430AA">
      <w:pPr>
        <w:pStyle w:val="107"/>
        <w:spacing w:before="156" w:after="156"/>
        <w:rPr>
          <w:rFonts w:hint="eastAsia" w:ascii="宋体" w:hAnsi="宋体" w:eastAsia="宋体" w:cs="宋体"/>
          <w:b/>
          <w:bCs/>
          <w:color w:val="000000"/>
          <w:sz w:val="21"/>
          <w:szCs w:val="21"/>
          <w:lang w:val="en-US" w:eastAsia="zh-CN" w:bidi="ar"/>
        </w:rPr>
      </w:pPr>
      <w:bookmarkStart w:id="203" w:name="_Toc22590"/>
      <w:r>
        <w:rPr>
          <w:rFonts w:hint="eastAsia" w:ascii="宋体" w:hAnsi="宋体" w:eastAsia="宋体" w:cs="宋体"/>
          <w:b w:val="0"/>
          <w:bCs w:val="0"/>
          <w:color w:val="auto"/>
          <w:sz w:val="21"/>
          <w:szCs w:val="21"/>
          <w:lang w:val="en-US" w:eastAsia="zh-CN" w:bidi="ar"/>
        </w:rPr>
        <w:t>个性化养育照护与干预计划</w:t>
      </w:r>
      <w:bookmarkEnd w:id="203"/>
    </w:p>
    <w:p w14:paraId="67F9BE6E">
      <w:pPr>
        <w:pStyle w:val="167"/>
      </w:pPr>
      <w:r>
        <w:rPr>
          <w:rFonts w:hint="eastAsia" w:ascii="宋体" w:hAnsi="宋体" w:eastAsia="宋体" w:cs="宋体"/>
          <w:b w:val="0"/>
          <w:bCs w:val="0"/>
          <w:color w:val="000000"/>
          <w:kern w:val="0"/>
          <w:sz w:val="21"/>
          <w:szCs w:val="21"/>
          <w:lang w:val="en-US" w:eastAsia="zh-CN" w:bidi="ar"/>
        </w:rPr>
        <w:t>经医疗机构评估确认的特殊健康需求婴幼儿，由专科医师牵头，联合托育卫生保健人员、保育人员、照护辅助人员及监护人，共同制定个性化早期养育发展支持计划，明确养育目标、适配引导内容、实施方式、开展频次、安全照护要求及阶段性观察节点。</w:t>
      </w:r>
    </w:p>
    <w:p w14:paraId="16B3B263">
      <w:pPr>
        <w:pStyle w:val="167"/>
      </w:pPr>
      <w:r>
        <w:rPr>
          <w:rFonts w:hint="eastAsia" w:ascii="宋体" w:hAnsi="宋体" w:eastAsia="宋体" w:cs="宋体"/>
          <w:b w:val="0"/>
          <w:bCs w:val="0"/>
          <w:color w:val="000000"/>
          <w:kern w:val="0"/>
          <w:sz w:val="21"/>
          <w:szCs w:val="21"/>
          <w:lang w:val="en-US" w:eastAsia="zh-CN" w:bidi="ar"/>
        </w:rPr>
        <w:t>个性化养育计划应将适配性早期发展目标融入一日生活各环节，结合婴幼儿能力水平动态调整：为肢体发育偏弱婴幼儿提供无障碍移动支持，为语言表达偏弱婴幼儿增加一对一回应式语言互动，为感官敏感、情绪调节困难婴幼儿营造低刺激、结构化、可预判的生活与游戏场景，实现精准适配养育。</w:t>
      </w:r>
    </w:p>
    <w:p w14:paraId="6D834E42">
      <w:pPr>
        <w:pStyle w:val="167"/>
      </w:pPr>
      <w:r>
        <w:rPr>
          <w:rFonts w:hint="eastAsia" w:ascii="宋体" w:hAnsi="宋体" w:eastAsia="宋体" w:cs="宋体"/>
          <w:b w:val="0"/>
          <w:bCs w:val="0"/>
          <w:color w:val="000000"/>
          <w:kern w:val="0"/>
          <w:sz w:val="21"/>
          <w:szCs w:val="21"/>
          <w:lang w:val="en-US" w:eastAsia="zh-CN" w:bidi="ar"/>
        </w:rPr>
        <w:t>托育机构应指定专人负责特殊需求婴幼儿日常照护与干预实施，每日记录执行情况、婴幼儿反应及发展变化；每月常态化对接专科医师，特殊情况即时沟通，依据发育进展动态调整方案，并同步告知家长。</w:t>
      </w:r>
    </w:p>
    <w:p w14:paraId="6F2BDAEB">
      <w:pPr>
        <w:pStyle w:val="107"/>
        <w:spacing w:before="156" w:after="156"/>
        <w:rPr>
          <w:rFonts w:hint="eastAsia" w:ascii="宋体" w:hAnsi="宋体" w:eastAsia="宋体" w:cs="宋体"/>
          <w:b/>
          <w:bCs/>
          <w:color w:val="000000"/>
          <w:sz w:val="21"/>
          <w:szCs w:val="21"/>
          <w:lang w:val="en-US" w:eastAsia="zh-CN" w:bidi="ar"/>
        </w:rPr>
      </w:pPr>
      <w:bookmarkStart w:id="204" w:name="_Toc7904"/>
      <w:r>
        <w:rPr>
          <w:rFonts w:hint="eastAsia" w:ascii="宋体" w:hAnsi="宋体" w:eastAsia="宋体" w:cs="宋体"/>
          <w:b w:val="0"/>
          <w:bCs w:val="0"/>
          <w:color w:val="auto"/>
          <w:sz w:val="21"/>
          <w:szCs w:val="21"/>
          <w:lang w:val="en-US" w:eastAsia="zh-CN" w:bidi="ar"/>
        </w:rPr>
        <w:t>日常照护与针对性康复训练融合</w:t>
      </w:r>
      <w:bookmarkEnd w:id="204"/>
    </w:p>
    <w:p w14:paraId="32E2028A">
      <w:pPr>
        <w:pStyle w:val="167"/>
      </w:pPr>
      <w:r>
        <w:rPr>
          <w:rFonts w:hint="eastAsia" w:ascii="宋体" w:hAnsi="宋体" w:eastAsia="宋体" w:cs="宋体"/>
          <w:b w:val="0"/>
          <w:bCs w:val="0"/>
          <w:color w:val="000000"/>
          <w:kern w:val="0"/>
          <w:sz w:val="21"/>
          <w:szCs w:val="21"/>
          <w:lang w:val="en-US" w:eastAsia="zh-CN" w:bidi="ar"/>
        </w:rPr>
        <w:t>保育人员应按照儿童保健医师制定的个性化方案，将适配性能力引导融入进食、盥洗、如厕、睡眠、游戏及户外活动全过程；在进餐中锻炼精细动作与口腔咀嚼能力，在游戏中开展社交互动引导，在户外活动中循序渐进开展大运动练习，践行照护促发展、发展融日常模式。</w:t>
      </w:r>
    </w:p>
    <w:p w14:paraId="06BD497C">
      <w:pPr>
        <w:pStyle w:val="167"/>
      </w:pPr>
      <w:r>
        <w:rPr>
          <w:rFonts w:hint="eastAsia" w:ascii="宋体" w:hAnsi="宋体" w:eastAsia="宋体" w:cs="宋体"/>
          <w:b w:val="0"/>
          <w:bCs w:val="0"/>
          <w:color w:val="000000"/>
          <w:kern w:val="0"/>
          <w:sz w:val="21"/>
          <w:szCs w:val="21"/>
          <w:lang w:val="en-US" w:eastAsia="zh-CN" w:bidi="ar"/>
        </w:rPr>
        <w:t>托育机构应根据特殊需求婴幼儿实际情况，对园区环境、设施设备进行个性化调整，包括设置无障碍通道、加装扶手、配备感统训练器材、提供听力/视力辅助设备、降低环境噪音与视觉刺激等，保障活动安全与参与度。</w:t>
      </w:r>
    </w:p>
    <w:p w14:paraId="5C2F669C">
      <w:pPr>
        <w:pStyle w:val="167"/>
      </w:pPr>
      <w:r>
        <w:rPr>
          <w:rFonts w:hint="eastAsia" w:ascii="宋体" w:hAnsi="宋体" w:eastAsia="宋体" w:cs="宋体"/>
          <w:b w:val="0"/>
          <w:bCs w:val="0"/>
          <w:color w:val="000000"/>
          <w:kern w:val="0"/>
          <w:sz w:val="21"/>
          <w:szCs w:val="21"/>
          <w:lang w:val="en-US" w:eastAsia="zh-CN" w:bidi="ar"/>
        </w:rPr>
        <w:t>托育机构应依照专科医师指导，开展舒缓养育照料，包括舒适体位安置、轻柔肢体放松、温和感官体验、常规口腔清洁等，不开展医疗康复、诊疗类服务。</w:t>
      </w:r>
    </w:p>
    <w:p w14:paraId="62F2CCE5">
      <w:pPr>
        <w:pStyle w:val="167"/>
      </w:pPr>
      <w:r>
        <w:rPr>
          <w:rFonts w:hint="eastAsia" w:ascii="宋体" w:hAnsi="宋体" w:eastAsia="宋体" w:cs="宋体"/>
          <w:b w:val="0"/>
          <w:bCs w:val="0"/>
          <w:color w:val="000000"/>
          <w:kern w:val="0"/>
          <w:sz w:val="21"/>
          <w:szCs w:val="21"/>
          <w:lang w:val="en-US" w:eastAsia="zh-CN" w:bidi="ar"/>
        </w:rPr>
        <w:t>照护过程应注重情感支持与心理关怀，敏锐观察情绪状态，及时给予恰当回应，建立安全稳定的照护关系，提升婴幼儿安全感与情绪调节能力。</w:t>
      </w:r>
    </w:p>
    <w:p w14:paraId="65CEC624">
      <w:pPr>
        <w:pStyle w:val="107"/>
        <w:spacing w:before="156" w:after="156"/>
        <w:rPr>
          <w:rFonts w:hint="eastAsia" w:ascii="宋体" w:hAnsi="宋体" w:eastAsia="宋体" w:cs="宋体"/>
          <w:b/>
          <w:bCs/>
          <w:color w:val="000000"/>
          <w:sz w:val="21"/>
          <w:szCs w:val="21"/>
          <w:lang w:val="en-US" w:eastAsia="zh-CN" w:bidi="ar"/>
        </w:rPr>
      </w:pPr>
      <w:bookmarkStart w:id="205" w:name="_Toc17144"/>
      <w:r>
        <w:rPr>
          <w:rFonts w:hint="eastAsia" w:ascii="宋体" w:hAnsi="宋体" w:eastAsia="宋体" w:cs="宋体"/>
          <w:b w:val="0"/>
          <w:bCs w:val="0"/>
          <w:color w:val="auto"/>
          <w:sz w:val="21"/>
          <w:szCs w:val="21"/>
          <w:lang w:val="en-US" w:eastAsia="zh-CN" w:bidi="ar"/>
        </w:rPr>
        <w:t>医育协同与转介机制</w:t>
      </w:r>
      <w:bookmarkEnd w:id="205"/>
    </w:p>
    <w:p w14:paraId="35625438">
      <w:pPr>
        <w:pStyle w:val="167"/>
      </w:pPr>
      <w:r>
        <w:rPr>
          <w:rFonts w:hint="eastAsia" w:ascii="宋体" w:hAnsi="宋体" w:eastAsia="宋体" w:cs="宋体"/>
          <w:b w:val="0"/>
          <w:bCs w:val="0"/>
          <w:color w:val="000000"/>
          <w:kern w:val="0"/>
          <w:sz w:val="21"/>
          <w:szCs w:val="21"/>
          <w:lang w:val="en-US" w:eastAsia="zh-CN" w:bidi="ar"/>
        </w:rPr>
        <w:t>托育机构应与辖区医疗机构建立长期稳定医育协同合作关系，明确双方职责；专科医师每月至少入园1 次，开展现场指导与效果评估。</w:t>
      </w:r>
    </w:p>
    <w:p w14:paraId="0E851E66">
      <w:pPr>
        <w:pStyle w:val="167"/>
      </w:pPr>
      <w:r>
        <w:rPr>
          <w:rFonts w:hint="eastAsia" w:ascii="宋体" w:hAnsi="宋体" w:eastAsia="宋体" w:cs="宋体"/>
          <w:b w:val="0"/>
          <w:bCs w:val="0"/>
          <w:color w:val="000000"/>
          <w:kern w:val="0"/>
          <w:sz w:val="21"/>
          <w:szCs w:val="21"/>
          <w:lang w:val="en-US" w:eastAsia="zh-CN" w:bidi="ar"/>
        </w:rPr>
        <w:t>建立绿色转诊通道，对筛查提示显著发育偏离的婴幼儿，协助监护人办理转诊手续，规范填写并留存转诊单据；跟进就诊评估结果，归入专项健康档案动态更新。</w:t>
      </w:r>
    </w:p>
    <w:p w14:paraId="52E7D894">
      <w:pPr>
        <w:pStyle w:val="167"/>
      </w:pPr>
      <w:r>
        <w:rPr>
          <w:rFonts w:hint="eastAsia" w:ascii="宋体" w:hAnsi="宋体" w:eastAsia="宋体" w:cs="宋体"/>
          <w:b w:val="0"/>
          <w:bCs w:val="0"/>
          <w:color w:val="000000"/>
          <w:kern w:val="0"/>
          <w:sz w:val="21"/>
          <w:szCs w:val="21"/>
          <w:lang w:val="en-US" w:eastAsia="zh-CN" w:bidi="ar"/>
        </w:rPr>
        <w:t>对正在接受专业康复诊疗的婴幼儿，托育机构应与医疗机构建立常态化衔接，严格遵照医师居家延续养育指导，在一日生活中开展适配性照料与能力引导；定期将婴幼儿日常状态、行为表现反馈至医疗机构，支撑方案优化。</w:t>
      </w:r>
    </w:p>
    <w:p w14:paraId="6CB084C3">
      <w:pPr>
        <w:pStyle w:val="167"/>
      </w:pPr>
      <w:r>
        <w:rPr>
          <w:rFonts w:hint="eastAsia" w:ascii="宋体" w:hAnsi="宋体" w:eastAsia="宋体" w:cs="宋体"/>
          <w:b w:val="0"/>
          <w:bCs w:val="0"/>
          <w:color w:val="000000"/>
          <w:kern w:val="0"/>
          <w:sz w:val="21"/>
          <w:szCs w:val="21"/>
          <w:lang w:val="en-US" w:eastAsia="zh-CN" w:bidi="ar"/>
        </w:rPr>
        <w:t>由专科医师主导研判养育调整方向，医育双方协同优化个性化早期养育指引，保障托育、居家、医疗机构支持连续统一，随访与调整记录统一归档。</w:t>
      </w:r>
    </w:p>
    <w:p w14:paraId="693163EB">
      <w:pPr>
        <w:pStyle w:val="106"/>
        <w:spacing w:before="312" w:after="312"/>
        <w:rPr>
          <w:rFonts w:hint="eastAsia" w:ascii="黑体" w:hAnsi="Times New Roman" w:eastAsia="黑体" w:cs="Times New Roman"/>
          <w:b w:val="0"/>
          <w:bCs w:val="0"/>
          <w:sz w:val="21"/>
          <w:szCs w:val="20"/>
          <w:lang w:val="en-US" w:eastAsia="zh-CN" w:bidi="ar"/>
        </w:rPr>
      </w:pPr>
      <w:bookmarkStart w:id="206" w:name="_Toc31597"/>
      <w:bookmarkStart w:id="207" w:name="_Toc8816"/>
      <w:bookmarkStart w:id="208" w:name="_Toc32096"/>
      <w:bookmarkStart w:id="209" w:name="_Toc9582"/>
      <w:bookmarkStart w:id="210" w:name="_Toc9962"/>
      <w:r>
        <w:rPr>
          <w:rFonts w:hint="eastAsia" w:ascii="黑体" w:hAnsi="Times New Roman" w:eastAsia="黑体" w:cs="Times New Roman"/>
          <w:b w:val="0"/>
          <w:bCs w:val="0"/>
          <w:sz w:val="21"/>
          <w:szCs w:val="20"/>
          <w:lang w:val="en-US" w:eastAsia="zh-CN" w:bidi="ar"/>
        </w:rPr>
        <w:t>中医保健服务</w:t>
      </w:r>
      <w:bookmarkEnd w:id="206"/>
      <w:bookmarkEnd w:id="207"/>
      <w:bookmarkEnd w:id="208"/>
      <w:bookmarkEnd w:id="209"/>
      <w:bookmarkEnd w:id="210"/>
    </w:p>
    <w:p w14:paraId="26783412">
      <w:pPr>
        <w:pStyle w:val="164"/>
      </w:pPr>
      <w:r>
        <w:rPr>
          <w:rFonts w:hint="eastAsia" w:ascii="宋体" w:hAnsi="宋体" w:eastAsia="宋体" w:cs="宋体"/>
          <w:b w:val="0"/>
          <w:bCs w:val="0"/>
          <w:color w:val="000000"/>
          <w:kern w:val="0"/>
          <w:sz w:val="21"/>
          <w:szCs w:val="21"/>
          <w:lang w:val="en-US" w:eastAsia="zh-CN" w:bidi="ar"/>
        </w:rPr>
        <w:t>托育机构应在签约医疗机构指导下，规范开展中医特色保健活动。</w:t>
      </w:r>
    </w:p>
    <w:p w14:paraId="48F114DA">
      <w:pPr>
        <w:pStyle w:val="164"/>
      </w:pPr>
      <w:r>
        <w:rPr>
          <w:rFonts w:hint="eastAsia" w:ascii="宋体" w:hAnsi="宋体" w:eastAsia="宋体" w:cs="宋体"/>
          <w:b w:val="0"/>
          <w:bCs w:val="0"/>
          <w:color w:val="000000"/>
          <w:kern w:val="0"/>
          <w:sz w:val="21"/>
          <w:szCs w:val="21"/>
          <w:lang w:val="en-US" w:eastAsia="zh-CN" w:bidi="ar"/>
        </w:rPr>
        <w:t>完善婴幼儿晨检内容，将舌苔厚薄、颜色等中医体征纳入观察项目；发现异常体征的，在医疗机构专业人员指导下提供对应健康服务。</w:t>
      </w:r>
    </w:p>
    <w:p w14:paraId="68DCA527">
      <w:pPr>
        <w:pStyle w:val="164"/>
      </w:pPr>
      <w:r>
        <w:rPr>
          <w:rFonts w:hint="eastAsia" w:ascii="宋体" w:hAnsi="宋体" w:eastAsia="宋体" w:cs="宋体"/>
          <w:b w:val="0"/>
          <w:bCs w:val="0"/>
          <w:color w:val="000000"/>
          <w:kern w:val="0"/>
          <w:sz w:val="21"/>
          <w:szCs w:val="21"/>
          <w:lang w:val="en-US" w:eastAsia="zh-CN" w:bidi="ar"/>
        </w:rPr>
        <w:t>每季度联合签约医疗机构开展主题活动，结合季节特点为家长提供中医儿童保健知识培训；由专业人员开展婴幼儿中医体质辨识，提供个性化饮食、起居调护建议；按需规范开展小儿推拿、药浴、中药贴敷等中医适宜技术。</w:t>
      </w:r>
    </w:p>
    <w:p w14:paraId="6F7F920D">
      <w:pPr>
        <w:pStyle w:val="164"/>
      </w:pPr>
      <w:r>
        <w:rPr>
          <w:rFonts w:hint="eastAsia" w:ascii="宋体" w:hAnsi="宋体" w:eastAsia="宋体" w:cs="宋体"/>
          <w:b w:val="0"/>
          <w:bCs w:val="0"/>
          <w:color w:val="000000"/>
          <w:kern w:val="0"/>
          <w:sz w:val="21"/>
          <w:szCs w:val="21"/>
          <w:lang w:val="en-US" w:eastAsia="zh-CN" w:bidi="ar"/>
        </w:rPr>
        <w:t>鼓励签约医疗机构定期开展工作人员中医保健培训，提升饮食调护、日常保健等知识技能；可结合实际采用膳食搭配、中药香囊、中药熏蒸等方式优化健康环境。</w:t>
      </w:r>
    </w:p>
    <w:p w14:paraId="3EC54FBE">
      <w:pPr>
        <w:pStyle w:val="164"/>
      </w:pPr>
      <w:r>
        <w:rPr>
          <w:rFonts w:hint="eastAsia" w:ascii="宋体" w:hAnsi="宋体" w:eastAsia="宋体" w:cs="宋体"/>
          <w:b w:val="0"/>
          <w:bCs w:val="0"/>
          <w:color w:val="000000"/>
          <w:kern w:val="0"/>
          <w:sz w:val="21"/>
          <w:szCs w:val="21"/>
          <w:lang w:val="en-US" w:eastAsia="zh-CN" w:bidi="ar"/>
        </w:rPr>
        <w:t>鼓励托育机构设置中医药文化展示区，开展适宜的中医文化启蒙。</w:t>
      </w:r>
    </w:p>
    <w:p w14:paraId="23BC6986">
      <w:pPr>
        <w:pStyle w:val="106"/>
        <w:spacing w:before="312" w:after="312"/>
        <w:rPr>
          <w:rFonts w:hint="eastAsia" w:ascii="黑体" w:hAnsi="Times New Roman" w:eastAsia="黑体" w:cs="Times New Roman"/>
          <w:b w:val="0"/>
          <w:bCs w:val="0"/>
          <w:sz w:val="21"/>
          <w:szCs w:val="20"/>
          <w:lang w:val="en-US" w:eastAsia="zh-CN" w:bidi="ar"/>
        </w:rPr>
      </w:pPr>
      <w:bookmarkStart w:id="211" w:name="_Toc22594"/>
      <w:bookmarkStart w:id="212" w:name="_Toc32197"/>
      <w:bookmarkStart w:id="213" w:name="_Toc24046"/>
      <w:bookmarkStart w:id="214" w:name="_Toc8310"/>
      <w:bookmarkStart w:id="215" w:name="_Toc11416"/>
      <w:r>
        <w:rPr>
          <w:rFonts w:hint="eastAsia" w:ascii="黑体" w:hAnsi="Times New Roman" w:eastAsia="黑体" w:cs="Times New Roman"/>
          <w:b w:val="0"/>
          <w:bCs w:val="0"/>
          <w:sz w:val="21"/>
          <w:szCs w:val="20"/>
          <w:lang w:val="en-US" w:eastAsia="zh-CN" w:bidi="ar"/>
        </w:rPr>
        <w:t>四方互动</w:t>
      </w:r>
      <w:bookmarkEnd w:id="211"/>
      <w:bookmarkEnd w:id="212"/>
      <w:bookmarkEnd w:id="213"/>
      <w:bookmarkEnd w:id="214"/>
      <w:bookmarkEnd w:id="215"/>
    </w:p>
    <w:p w14:paraId="410F600E">
      <w:pPr>
        <w:pStyle w:val="58"/>
        <w:ind w:firstLine="420"/>
      </w:pPr>
      <w:r>
        <w:rPr>
          <w:rFonts w:hint="eastAsia" w:ascii="宋体" w:hAnsi="宋体" w:eastAsia="宋体" w:cs="宋体"/>
          <w:b w:val="0"/>
          <w:bCs w:val="0"/>
          <w:color w:val="000000"/>
          <w:kern w:val="0"/>
          <w:sz w:val="21"/>
          <w:szCs w:val="21"/>
          <w:lang w:val="en-US" w:eastAsia="zh-CN" w:bidi="ar"/>
        </w:rPr>
        <w:t>本章规定医疗机构、托育机构、家庭、社区四方协作规范，通过信息共享与专业指导，提升家庭科学育儿能力，保障婴幼儿健康成长。</w:t>
      </w:r>
    </w:p>
    <w:p w14:paraId="0C13AB0E">
      <w:pPr>
        <w:pStyle w:val="107"/>
        <w:spacing w:before="156" w:after="156"/>
        <w:rPr>
          <w:rFonts w:hint="eastAsia" w:ascii="宋体" w:hAnsi="宋体" w:eastAsia="宋体" w:cs="宋体"/>
          <w:b/>
          <w:bCs/>
          <w:color w:val="000000"/>
          <w:sz w:val="21"/>
          <w:szCs w:val="21"/>
          <w:lang w:val="en-US" w:eastAsia="zh-CN" w:bidi="ar"/>
        </w:rPr>
      </w:pPr>
      <w:bookmarkStart w:id="216" w:name="_Toc26057"/>
      <w:r>
        <w:rPr>
          <w:rFonts w:hint="eastAsia" w:ascii="宋体" w:hAnsi="宋体" w:eastAsia="宋体" w:cs="宋体"/>
          <w:b w:val="0"/>
          <w:bCs w:val="0"/>
          <w:color w:val="auto"/>
          <w:sz w:val="21"/>
          <w:szCs w:val="21"/>
          <w:lang w:val="en-US" w:eastAsia="zh-CN" w:bidi="ar"/>
        </w:rPr>
        <w:t>医疗机构专业支撑</w:t>
      </w:r>
      <w:bookmarkEnd w:id="216"/>
    </w:p>
    <w:p w14:paraId="393E2A0C">
      <w:pPr>
        <w:pStyle w:val="167"/>
      </w:pPr>
      <w:r>
        <w:rPr>
          <w:rFonts w:hint="eastAsia" w:ascii="宋体" w:hAnsi="宋体" w:eastAsia="宋体" w:cs="宋体"/>
          <w:b w:val="0"/>
          <w:bCs w:val="0"/>
          <w:color w:val="000000"/>
          <w:kern w:val="0"/>
          <w:sz w:val="21"/>
          <w:szCs w:val="21"/>
          <w:lang w:val="en-US" w:eastAsia="zh-CN" w:bidi="ar"/>
        </w:rPr>
        <w:t>健康管理指导：督导托育机构卫生设施、生活环境、安全与营养管理达标；开展健康监测、建档评估，制定个性化健康指导方案，指导落实传染病防控。</w:t>
      </w:r>
    </w:p>
    <w:p w14:paraId="79BEEF0F">
      <w:pPr>
        <w:pStyle w:val="167"/>
      </w:pPr>
      <w:r>
        <w:rPr>
          <w:rFonts w:hint="eastAsia" w:ascii="宋体" w:hAnsi="宋体" w:eastAsia="宋体" w:cs="宋体"/>
          <w:b w:val="0"/>
          <w:bCs w:val="0"/>
          <w:color w:val="000000"/>
          <w:kern w:val="0"/>
          <w:sz w:val="21"/>
          <w:szCs w:val="21"/>
          <w:lang w:val="en-US" w:eastAsia="zh-CN" w:bidi="ar"/>
        </w:rPr>
        <w:t>健康宣教：每学期围绕体重、视力、口腔、骨骼、心理、中医药等主题开展科普，搭建家园社健康沟通平台。</w:t>
      </w:r>
    </w:p>
    <w:p w14:paraId="1DBFD5CC">
      <w:pPr>
        <w:pStyle w:val="167"/>
      </w:pPr>
      <w:r>
        <w:rPr>
          <w:rFonts w:hint="eastAsia" w:ascii="宋体" w:hAnsi="宋体" w:eastAsia="宋体" w:cs="宋体"/>
          <w:b w:val="0"/>
          <w:bCs w:val="0"/>
          <w:color w:val="000000"/>
          <w:kern w:val="0"/>
          <w:sz w:val="21"/>
          <w:szCs w:val="21"/>
          <w:lang w:val="en-US" w:eastAsia="zh-CN" w:bidi="ar"/>
        </w:rPr>
        <w:t>应急救护与心理健康：指导托育机构开展应急救护培训与演练，普及急救技能；建立婴幼儿心理健康服务体系，对特殊婴幼儿建档跟踪。</w:t>
      </w:r>
    </w:p>
    <w:p w14:paraId="78FDAF8E">
      <w:pPr>
        <w:pStyle w:val="167"/>
      </w:pPr>
      <w:r>
        <w:rPr>
          <w:rFonts w:hint="eastAsia" w:ascii="宋体" w:hAnsi="宋体" w:eastAsia="宋体" w:cs="宋体"/>
          <w:b w:val="0"/>
          <w:bCs w:val="0"/>
          <w:color w:val="000000"/>
          <w:kern w:val="0"/>
          <w:sz w:val="21"/>
          <w:szCs w:val="21"/>
          <w:lang w:val="en-US" w:eastAsia="zh-CN" w:bidi="ar"/>
        </w:rPr>
        <w:t>家庭育儿支持：为家庭提供营养喂养、发育监测、心理引导、疫苗管理等常态化指导；针对发育异常、心理行为问题、疾病等建立筛查 —评估 — 转诊 — 随访闭环，实现早发现、早干预。</w:t>
      </w:r>
    </w:p>
    <w:p w14:paraId="7C23F999">
      <w:pPr>
        <w:pStyle w:val="107"/>
        <w:spacing w:before="156" w:after="156"/>
        <w:rPr>
          <w:rFonts w:hint="eastAsia" w:ascii="宋体" w:hAnsi="宋体" w:eastAsia="宋体" w:cs="宋体"/>
          <w:b/>
          <w:bCs/>
          <w:color w:val="000000"/>
          <w:sz w:val="21"/>
          <w:szCs w:val="21"/>
          <w:lang w:val="en-US" w:eastAsia="zh-CN" w:bidi="ar"/>
        </w:rPr>
      </w:pPr>
      <w:bookmarkStart w:id="217" w:name="_Toc18953"/>
      <w:r>
        <w:rPr>
          <w:rFonts w:hint="eastAsia" w:ascii="宋体" w:hAnsi="宋体" w:eastAsia="宋体" w:cs="宋体"/>
          <w:b w:val="0"/>
          <w:bCs w:val="0"/>
          <w:color w:val="auto"/>
          <w:sz w:val="21"/>
          <w:szCs w:val="21"/>
          <w:lang w:val="en-US" w:eastAsia="zh-CN" w:bidi="ar"/>
        </w:rPr>
        <w:t>托育机构照护实践</w:t>
      </w:r>
      <w:bookmarkEnd w:id="217"/>
    </w:p>
    <w:p w14:paraId="5579F05A">
      <w:pPr>
        <w:pStyle w:val="167"/>
      </w:pPr>
      <w:r>
        <w:rPr>
          <w:rFonts w:hint="eastAsia" w:ascii="宋体" w:hAnsi="宋体" w:eastAsia="宋体" w:cs="宋体"/>
          <w:b w:val="0"/>
          <w:bCs w:val="0"/>
          <w:color w:val="000000"/>
          <w:kern w:val="0"/>
          <w:sz w:val="21"/>
          <w:szCs w:val="21"/>
          <w:lang w:val="en-US" w:eastAsia="zh-CN" w:bidi="ar"/>
        </w:rPr>
        <w:t>互动交流：保育人员每日与家长沟通婴幼儿饮食、睡眠、排便、情绪及活动情况，特殊情况及时沟通；每学期开展1～2 次集中交流（家长会、家访等）。</w:t>
      </w:r>
    </w:p>
    <w:p w14:paraId="1B9C4646">
      <w:pPr>
        <w:pStyle w:val="167"/>
      </w:pPr>
      <w:r>
        <w:rPr>
          <w:rFonts w:hint="eastAsia" w:ascii="宋体" w:hAnsi="宋体" w:eastAsia="宋体" w:cs="宋体"/>
          <w:b w:val="0"/>
          <w:bCs w:val="0"/>
          <w:color w:val="000000"/>
          <w:kern w:val="0"/>
          <w:sz w:val="21"/>
          <w:szCs w:val="21"/>
          <w:lang w:val="en-US" w:eastAsia="zh-CN" w:bidi="ar"/>
        </w:rPr>
        <w:t>共育活动：定期组织亲子活动、园区观摩、家长开放日，鼓励家长以志愿者身份参与活动。</w:t>
      </w:r>
    </w:p>
    <w:p w14:paraId="6BEE379D">
      <w:pPr>
        <w:pStyle w:val="167"/>
      </w:pPr>
      <w:r>
        <w:rPr>
          <w:rFonts w:hint="eastAsia" w:ascii="宋体" w:hAnsi="宋体" w:eastAsia="宋体" w:cs="宋体"/>
          <w:b w:val="0"/>
          <w:bCs w:val="0"/>
          <w:color w:val="000000"/>
          <w:kern w:val="0"/>
          <w:sz w:val="21"/>
          <w:szCs w:val="21"/>
          <w:lang w:val="en-US" w:eastAsia="zh-CN" w:bidi="ar"/>
        </w:rPr>
        <w:t>信息互通：运用信息化手段实现医疗机构、托育机构、家庭之间信息共享。</w:t>
      </w:r>
    </w:p>
    <w:p w14:paraId="303D9C51">
      <w:pPr>
        <w:pStyle w:val="167"/>
      </w:pPr>
      <w:r>
        <w:rPr>
          <w:rFonts w:hint="eastAsia" w:ascii="宋体" w:hAnsi="宋体" w:eastAsia="宋体" w:cs="宋体"/>
          <w:b w:val="0"/>
          <w:bCs w:val="0"/>
          <w:color w:val="000000"/>
          <w:kern w:val="0"/>
          <w:sz w:val="21"/>
          <w:szCs w:val="21"/>
          <w:lang w:val="en-US" w:eastAsia="zh-CN" w:bidi="ar"/>
        </w:rPr>
        <w:t>日常保健：落实全员健康管理，执行晨午检、全日观察制度；开展生长发育与五官保健，定制科学膳食，常态化开展防病健康教育。</w:t>
      </w:r>
    </w:p>
    <w:p w14:paraId="0BAF8792">
      <w:pPr>
        <w:pStyle w:val="107"/>
        <w:spacing w:before="156" w:after="156"/>
        <w:rPr>
          <w:rFonts w:hint="eastAsia" w:ascii="宋体" w:hAnsi="宋体" w:eastAsia="宋体" w:cs="宋体"/>
          <w:b/>
          <w:bCs/>
          <w:color w:val="000000"/>
          <w:sz w:val="21"/>
          <w:szCs w:val="21"/>
          <w:lang w:val="en-US" w:eastAsia="zh-CN" w:bidi="ar"/>
        </w:rPr>
      </w:pPr>
      <w:bookmarkStart w:id="218" w:name="_Toc19474"/>
      <w:r>
        <w:rPr>
          <w:rFonts w:hint="eastAsia" w:ascii="宋体" w:hAnsi="宋体" w:eastAsia="宋体" w:cs="宋体"/>
          <w:b w:val="0"/>
          <w:bCs w:val="0"/>
          <w:color w:val="auto"/>
          <w:sz w:val="21"/>
          <w:szCs w:val="21"/>
          <w:lang w:val="en-US" w:eastAsia="zh-CN" w:bidi="ar"/>
        </w:rPr>
        <w:t>家庭养育执行</w:t>
      </w:r>
      <w:bookmarkEnd w:id="218"/>
    </w:p>
    <w:p w14:paraId="55A8294B">
      <w:pPr>
        <w:pStyle w:val="167"/>
      </w:pPr>
      <w:r>
        <w:rPr>
          <w:rFonts w:hint="eastAsia" w:ascii="宋体" w:hAnsi="宋体" w:eastAsia="宋体" w:cs="宋体"/>
          <w:b w:val="0"/>
          <w:bCs w:val="0"/>
          <w:color w:val="000000"/>
          <w:kern w:val="0"/>
          <w:sz w:val="21"/>
          <w:szCs w:val="21"/>
          <w:lang w:val="en-US" w:eastAsia="zh-CN" w:bidi="ar"/>
        </w:rPr>
        <w:t>配合托育机构完成基础信息录入，按时参与体检、发育筛查、疫苗接种，如实上报居家喂养、作息及异常体征。</w:t>
      </w:r>
    </w:p>
    <w:p w14:paraId="1DA80855">
      <w:pPr>
        <w:pStyle w:val="167"/>
      </w:pPr>
      <w:r>
        <w:rPr>
          <w:rFonts w:hint="eastAsia" w:ascii="宋体" w:hAnsi="宋体" w:eastAsia="宋体" w:cs="宋体"/>
          <w:b w:val="0"/>
          <w:bCs w:val="0"/>
          <w:color w:val="000000"/>
          <w:kern w:val="0"/>
          <w:sz w:val="21"/>
          <w:szCs w:val="21"/>
          <w:lang w:val="en-US" w:eastAsia="zh-CN" w:bidi="ar"/>
        </w:rPr>
        <w:t>遵照医疗机构健康指导与托育机构衔接建议，落实居家喂养、作息、早教、安全防护、疾病护理要求。</w:t>
      </w:r>
    </w:p>
    <w:p w14:paraId="5AFFF054">
      <w:pPr>
        <w:pStyle w:val="167"/>
      </w:pPr>
      <w:r>
        <w:rPr>
          <w:rFonts w:hint="eastAsia" w:ascii="宋体" w:hAnsi="宋体" w:eastAsia="宋体" w:cs="宋体"/>
          <w:b w:val="0"/>
          <w:bCs w:val="0"/>
          <w:color w:val="000000"/>
          <w:kern w:val="0"/>
          <w:sz w:val="21"/>
          <w:szCs w:val="21"/>
          <w:lang w:val="en-US" w:eastAsia="zh-CN" w:bidi="ar"/>
        </w:rPr>
        <w:t>主动参与社区家长课堂、托育亲子活动、医疗机构科普讲座，提升科学育儿能力。</w:t>
      </w:r>
    </w:p>
    <w:p w14:paraId="12AA7833">
      <w:pPr>
        <w:pStyle w:val="107"/>
        <w:spacing w:before="156" w:after="156"/>
        <w:rPr>
          <w:rFonts w:hint="eastAsia" w:ascii="宋体" w:hAnsi="宋体" w:eastAsia="宋体" w:cs="宋体"/>
          <w:b/>
          <w:bCs/>
          <w:color w:val="000000"/>
          <w:sz w:val="21"/>
          <w:szCs w:val="21"/>
          <w:lang w:val="en-US" w:eastAsia="zh-CN" w:bidi="ar"/>
        </w:rPr>
      </w:pPr>
      <w:bookmarkStart w:id="219" w:name="_Toc28301"/>
      <w:r>
        <w:rPr>
          <w:rFonts w:hint="eastAsia" w:ascii="宋体" w:hAnsi="宋体" w:eastAsia="宋体" w:cs="宋体"/>
          <w:b w:val="0"/>
          <w:bCs w:val="0"/>
          <w:color w:val="auto"/>
          <w:sz w:val="21"/>
          <w:szCs w:val="21"/>
          <w:lang w:val="en-US" w:eastAsia="zh-CN" w:bidi="ar"/>
        </w:rPr>
        <w:t>社区联动协同服务</w:t>
      </w:r>
      <w:bookmarkEnd w:id="219"/>
    </w:p>
    <w:p w14:paraId="1E7FE1FD">
      <w:pPr>
        <w:pStyle w:val="167"/>
      </w:pPr>
      <w:r>
        <w:rPr>
          <w:rFonts w:hint="eastAsia" w:ascii="宋体" w:hAnsi="宋体" w:eastAsia="宋体" w:cs="宋体"/>
          <w:b w:val="0"/>
          <w:bCs w:val="0"/>
          <w:color w:val="000000"/>
          <w:kern w:val="0"/>
          <w:sz w:val="21"/>
          <w:szCs w:val="21"/>
          <w:lang w:val="en-US" w:eastAsia="zh-CN" w:bidi="ar"/>
        </w:rPr>
        <w:t>为托育机构和家庭提供照护支持，可设立社区婴幼儿养育服务站，提供公益亲子课堂、临时托育、入户指导预约及场地支持。</w:t>
      </w:r>
    </w:p>
    <w:p w14:paraId="03C89950">
      <w:pPr>
        <w:pStyle w:val="167"/>
      </w:pPr>
      <w:r>
        <w:rPr>
          <w:rFonts w:hint="eastAsia" w:ascii="宋体" w:hAnsi="宋体" w:eastAsia="宋体" w:cs="宋体"/>
          <w:b w:val="0"/>
          <w:bCs w:val="0"/>
          <w:color w:val="000000"/>
          <w:kern w:val="0"/>
          <w:sz w:val="21"/>
          <w:szCs w:val="21"/>
          <w:lang w:val="en-US" w:eastAsia="zh-CN" w:bidi="ar"/>
        </w:rPr>
        <w:t>衔接医疗机构义诊、托育机构公益体验活动，开展科学育儿宣传，精准匹配专业资源。</w:t>
      </w:r>
    </w:p>
    <w:p w14:paraId="40B16AF0">
      <w:pPr>
        <w:pStyle w:val="167"/>
      </w:pPr>
      <w:r>
        <w:rPr>
          <w:rFonts w:hint="eastAsia" w:ascii="宋体" w:hAnsi="宋体" w:eastAsia="宋体" w:cs="宋体"/>
          <w:b w:val="0"/>
          <w:bCs w:val="0"/>
          <w:color w:val="000000"/>
          <w:kern w:val="0"/>
          <w:sz w:val="21"/>
          <w:szCs w:val="21"/>
          <w:lang w:val="en-US" w:eastAsia="zh-CN" w:bidi="ar"/>
        </w:rPr>
        <w:t>协调安保、公共资源，支持托育机构安全运行与服务开展。</w:t>
      </w:r>
    </w:p>
    <w:p w14:paraId="0413EE83">
      <w:pPr>
        <w:pStyle w:val="107"/>
        <w:spacing w:before="156" w:after="156"/>
        <w:rPr>
          <w:rFonts w:hint="eastAsia" w:ascii="宋体" w:hAnsi="宋体" w:eastAsia="宋体" w:cs="宋体"/>
          <w:b/>
          <w:bCs/>
          <w:color w:val="000000"/>
          <w:sz w:val="21"/>
          <w:szCs w:val="21"/>
          <w:lang w:val="en-US" w:eastAsia="zh-CN" w:bidi="ar"/>
        </w:rPr>
      </w:pPr>
      <w:bookmarkStart w:id="220" w:name="_Toc11913"/>
      <w:r>
        <w:rPr>
          <w:rFonts w:hint="eastAsia" w:ascii="宋体" w:hAnsi="宋体" w:eastAsia="宋体" w:cs="宋体"/>
          <w:b w:val="0"/>
          <w:bCs w:val="0"/>
          <w:color w:val="auto"/>
          <w:sz w:val="21"/>
          <w:szCs w:val="21"/>
          <w:lang w:val="en-US" w:eastAsia="zh-CN" w:bidi="ar"/>
        </w:rPr>
        <w:t>信息安全与服务评价</w:t>
      </w:r>
      <w:bookmarkEnd w:id="220"/>
    </w:p>
    <w:p w14:paraId="3B7B39E5">
      <w:pPr>
        <w:pStyle w:val="167"/>
      </w:pPr>
      <w:r>
        <w:rPr>
          <w:rFonts w:hint="eastAsia" w:ascii="宋体" w:hAnsi="宋体" w:eastAsia="宋体" w:cs="宋体"/>
          <w:b w:val="0"/>
          <w:bCs w:val="0"/>
          <w:color w:val="000000"/>
          <w:kern w:val="0"/>
          <w:sz w:val="21"/>
          <w:szCs w:val="21"/>
          <w:lang w:val="en-US" w:eastAsia="zh-CN" w:bidi="ar"/>
        </w:rPr>
        <w:t>信息安全：严格遵守个人信息保护法律法规，规范婴幼儿及家庭信息采集、存储、使用、传输，严禁泄露、篡改、非法提供个人信息。</w:t>
      </w:r>
    </w:p>
    <w:p w14:paraId="5A75F655">
      <w:pPr>
        <w:pStyle w:val="167"/>
      </w:pPr>
      <w:r>
        <w:rPr>
          <w:rFonts w:hint="eastAsia" w:ascii="宋体" w:hAnsi="宋体" w:eastAsia="宋体" w:cs="宋体"/>
          <w:b w:val="0"/>
          <w:bCs w:val="0"/>
          <w:color w:val="000000"/>
          <w:kern w:val="0"/>
          <w:sz w:val="21"/>
          <w:szCs w:val="21"/>
          <w:lang w:val="en-US" w:eastAsia="zh-CN" w:bidi="ar"/>
        </w:rPr>
        <w:t>服务考评：定期从服务频次、落实成效、家庭满意度、健康管理效果、转诊时效等维度开展评价，持续优化服务质量。</w:t>
      </w:r>
    </w:p>
    <w:p w14:paraId="2662F14D">
      <w:pPr>
        <w:pStyle w:val="106"/>
        <w:spacing w:before="312" w:after="312"/>
        <w:rPr>
          <w:rFonts w:hint="eastAsia" w:ascii="黑体" w:hAnsi="Times New Roman" w:eastAsia="黑体" w:cs="Times New Roman"/>
          <w:b w:val="0"/>
          <w:bCs w:val="0"/>
          <w:sz w:val="21"/>
          <w:szCs w:val="20"/>
          <w:lang w:val="en-US" w:eastAsia="zh-CN" w:bidi="ar"/>
        </w:rPr>
      </w:pPr>
      <w:bookmarkStart w:id="221" w:name="_Toc12317"/>
      <w:bookmarkStart w:id="222" w:name="_Toc5966"/>
      <w:bookmarkStart w:id="223" w:name="_Toc25743"/>
      <w:bookmarkStart w:id="224" w:name="_Toc21696"/>
      <w:bookmarkStart w:id="225" w:name="_Toc15173"/>
      <w:r>
        <w:rPr>
          <w:rFonts w:hint="eastAsia" w:ascii="黑体" w:hAnsi="Times New Roman" w:eastAsia="黑体" w:cs="Times New Roman"/>
          <w:b w:val="0"/>
          <w:bCs w:val="0"/>
          <w:sz w:val="21"/>
          <w:szCs w:val="20"/>
          <w:lang w:val="en-US" w:eastAsia="zh-CN" w:bidi="ar"/>
        </w:rPr>
        <w:t>健康教育</w:t>
      </w:r>
      <w:bookmarkEnd w:id="221"/>
      <w:bookmarkEnd w:id="222"/>
      <w:bookmarkEnd w:id="223"/>
      <w:bookmarkEnd w:id="224"/>
      <w:bookmarkEnd w:id="225"/>
    </w:p>
    <w:p w14:paraId="0E09219D">
      <w:pPr>
        <w:pStyle w:val="107"/>
        <w:spacing w:before="156" w:after="156"/>
        <w:rPr>
          <w:rFonts w:hint="eastAsia" w:ascii="宋体" w:hAnsi="宋体" w:eastAsia="宋体" w:cs="宋体"/>
          <w:b/>
          <w:bCs/>
          <w:color w:val="000000"/>
          <w:sz w:val="21"/>
          <w:szCs w:val="21"/>
          <w:lang w:val="en-US" w:eastAsia="zh-CN" w:bidi="ar"/>
        </w:rPr>
      </w:pPr>
      <w:bookmarkStart w:id="226" w:name="_Toc23113"/>
      <w:r>
        <w:rPr>
          <w:rFonts w:hint="eastAsia" w:ascii="宋体" w:hAnsi="宋体" w:eastAsia="宋体" w:cs="宋体"/>
          <w:b w:val="0"/>
          <w:bCs w:val="0"/>
          <w:color w:val="auto"/>
          <w:sz w:val="21"/>
          <w:szCs w:val="21"/>
          <w:lang w:val="en-US" w:eastAsia="zh-CN" w:bidi="ar"/>
        </w:rPr>
        <w:t>常态化宣教机制</w:t>
      </w:r>
      <w:bookmarkEnd w:id="226"/>
    </w:p>
    <w:p w14:paraId="1CEB949D">
      <w:pPr>
        <w:pStyle w:val="167"/>
      </w:pPr>
      <w:r>
        <w:rPr>
          <w:rFonts w:hint="eastAsia" w:ascii="宋体" w:hAnsi="宋体" w:eastAsia="宋体" w:cs="宋体"/>
          <w:b w:val="0"/>
          <w:bCs w:val="0"/>
          <w:color w:val="000000"/>
          <w:kern w:val="0"/>
          <w:sz w:val="21"/>
          <w:szCs w:val="21"/>
          <w:lang w:val="en-US" w:eastAsia="zh-CN" w:bidi="ar"/>
        </w:rPr>
        <w:t>托育机构应在签约医疗卫生机构指导下，结合保健需求、季节特点、区域疾病流行趋势，制定并实施全年医育结合健康宣教计划。</w:t>
      </w:r>
    </w:p>
    <w:p w14:paraId="2982CF83">
      <w:pPr>
        <w:pStyle w:val="167"/>
      </w:pPr>
      <w:r>
        <w:rPr>
          <w:rFonts w:hint="eastAsia" w:ascii="宋体" w:hAnsi="宋体" w:eastAsia="宋体" w:cs="宋体"/>
          <w:b w:val="0"/>
          <w:bCs w:val="0"/>
          <w:color w:val="000000"/>
          <w:kern w:val="0"/>
          <w:sz w:val="21"/>
          <w:szCs w:val="21"/>
          <w:lang w:val="en-US" w:eastAsia="zh-CN" w:bidi="ar"/>
        </w:rPr>
        <w:t>宣教内容应简洁实用、图文易懂，贴合日常照护场景，满足工作人员与家庭照护人需求。</w:t>
      </w:r>
    </w:p>
    <w:p w14:paraId="53EAC1EA">
      <w:pPr>
        <w:pStyle w:val="167"/>
      </w:pPr>
      <w:r>
        <w:rPr>
          <w:rFonts w:hint="eastAsia" w:ascii="宋体" w:hAnsi="宋体" w:eastAsia="宋体" w:cs="宋体"/>
          <w:b w:val="0"/>
          <w:bCs w:val="0"/>
          <w:color w:val="000000"/>
          <w:kern w:val="0"/>
          <w:sz w:val="21"/>
          <w:szCs w:val="21"/>
          <w:lang w:val="en-US" w:eastAsia="zh-CN" w:bidi="ar"/>
        </w:rPr>
        <w:t>签约医疗卫生机构联合托育机构建立平面阵地 + 新媒体矩阵 + 互动咨询三位一体宣教体系，实现健康知识全覆盖。</w:t>
      </w:r>
    </w:p>
    <w:p w14:paraId="6888EE03">
      <w:pPr>
        <w:pStyle w:val="167"/>
      </w:pPr>
      <w:r>
        <w:rPr>
          <w:rFonts w:hint="eastAsia" w:ascii="宋体" w:hAnsi="宋体" w:eastAsia="宋体" w:cs="宋体"/>
          <w:b w:val="0"/>
          <w:bCs w:val="0"/>
          <w:color w:val="000000"/>
          <w:kern w:val="0"/>
          <w:sz w:val="21"/>
          <w:szCs w:val="21"/>
          <w:lang w:val="en-US" w:eastAsia="zh-CN" w:bidi="ar"/>
        </w:rPr>
        <w:t>季节转换、传染病高发及突发公共卫生事件期间，及时开展专项应急宣教。</w:t>
      </w:r>
    </w:p>
    <w:p w14:paraId="58AE3327">
      <w:pPr>
        <w:pStyle w:val="107"/>
        <w:spacing w:before="156" w:after="156"/>
        <w:rPr>
          <w:rFonts w:hint="eastAsia" w:ascii="宋体" w:hAnsi="宋体" w:eastAsia="宋体" w:cs="宋体"/>
          <w:b/>
          <w:bCs/>
          <w:color w:val="000000"/>
          <w:sz w:val="21"/>
          <w:szCs w:val="21"/>
          <w:lang w:val="en-US" w:eastAsia="zh-CN" w:bidi="ar"/>
        </w:rPr>
      </w:pPr>
      <w:bookmarkStart w:id="227" w:name="_Toc8464"/>
      <w:r>
        <w:rPr>
          <w:rFonts w:hint="eastAsia" w:ascii="宋体" w:hAnsi="宋体" w:eastAsia="宋体" w:cs="宋体"/>
          <w:b w:val="0"/>
          <w:bCs w:val="0"/>
          <w:color w:val="auto"/>
          <w:sz w:val="21"/>
          <w:szCs w:val="21"/>
          <w:lang w:val="en-US" w:eastAsia="zh-CN" w:bidi="ar"/>
        </w:rPr>
        <w:t>宣教内容</w:t>
      </w:r>
      <w:bookmarkEnd w:id="227"/>
    </w:p>
    <w:p w14:paraId="441FB1DE">
      <w:pPr>
        <w:pStyle w:val="58"/>
        <w:ind w:firstLine="420"/>
      </w:pPr>
      <w:r>
        <w:rPr>
          <w:rFonts w:hint="eastAsia" w:ascii="宋体" w:hAnsi="宋体" w:eastAsia="宋体" w:cs="宋体"/>
          <w:b w:val="0"/>
          <w:bCs w:val="0"/>
          <w:color w:val="000000"/>
          <w:kern w:val="0"/>
          <w:sz w:val="21"/>
          <w:szCs w:val="21"/>
          <w:lang w:val="en-US" w:eastAsia="zh-CN" w:bidi="ar"/>
        </w:rPr>
        <w:t>宣教覆盖核心模块，面向工作人员与家庭照护人统一普及：</w:t>
      </w:r>
    </w:p>
    <w:p w14:paraId="50E0E4CA">
      <w:pPr>
        <w:pStyle w:val="176"/>
      </w:pPr>
      <w:r>
        <w:rPr>
          <w:rFonts w:hint="eastAsia" w:ascii="宋体" w:hAnsi="宋体" w:eastAsia="宋体" w:cs="宋体"/>
          <w:b w:val="0"/>
          <w:bCs w:val="0"/>
          <w:color w:val="000000"/>
          <w:kern w:val="0"/>
          <w:sz w:val="21"/>
          <w:szCs w:val="21"/>
          <w:lang w:val="en-US" w:eastAsia="zh-CN" w:bidi="ar"/>
        </w:rPr>
        <w:t>科学育儿：生长发育规律、日常照护要点、良好生活卫生习惯培养；</w:t>
      </w:r>
    </w:p>
    <w:p w14:paraId="340E0ADF">
      <w:pPr>
        <w:pStyle w:val="176"/>
      </w:pPr>
      <w:r>
        <w:rPr>
          <w:rFonts w:hint="eastAsia" w:ascii="宋体" w:hAnsi="宋体" w:eastAsia="宋体" w:cs="宋体"/>
          <w:b w:val="0"/>
          <w:bCs w:val="0"/>
          <w:color w:val="000000"/>
          <w:kern w:val="0"/>
          <w:sz w:val="21"/>
          <w:szCs w:val="21"/>
          <w:lang w:val="en-US" w:eastAsia="zh-CN" w:bidi="ar"/>
        </w:rPr>
        <w:t>营养喂养：母乳喂养、辅食添加、膳食搭配、饮食安全与过敏预防；</w:t>
      </w:r>
    </w:p>
    <w:p w14:paraId="48638131">
      <w:pPr>
        <w:pStyle w:val="176"/>
      </w:pPr>
      <w:r>
        <w:rPr>
          <w:rFonts w:hint="eastAsia" w:ascii="宋体" w:hAnsi="宋体" w:eastAsia="宋体" w:cs="宋体"/>
          <w:b w:val="0"/>
          <w:bCs w:val="0"/>
          <w:color w:val="000000"/>
          <w:kern w:val="0"/>
          <w:sz w:val="21"/>
          <w:szCs w:val="21"/>
          <w:lang w:val="en-US" w:eastAsia="zh-CN" w:bidi="ar"/>
        </w:rPr>
        <w:t>疾病预防：常见传染病早期识别、日常防护、消毒通风、就医指征；</w:t>
      </w:r>
    </w:p>
    <w:p w14:paraId="518EAABA">
      <w:pPr>
        <w:pStyle w:val="176"/>
      </w:pPr>
      <w:r>
        <w:rPr>
          <w:rFonts w:hint="eastAsia" w:ascii="宋体" w:hAnsi="宋体" w:eastAsia="宋体" w:cs="宋体"/>
          <w:b w:val="0"/>
          <w:bCs w:val="0"/>
          <w:color w:val="000000"/>
          <w:kern w:val="0"/>
          <w:sz w:val="21"/>
          <w:szCs w:val="21"/>
          <w:lang w:val="en-US" w:eastAsia="zh-CN" w:bidi="ar"/>
        </w:rPr>
        <w:t>安全照护：跌倒、烫伤、窒息、误食等意外伤害预防；</w:t>
      </w:r>
    </w:p>
    <w:p w14:paraId="582EF6C7">
      <w:pPr>
        <w:pStyle w:val="176"/>
      </w:pPr>
      <w:r>
        <w:rPr>
          <w:rFonts w:hint="eastAsia" w:ascii="宋体" w:hAnsi="宋体" w:eastAsia="宋体" w:cs="宋体"/>
          <w:b w:val="0"/>
          <w:bCs w:val="0"/>
          <w:color w:val="000000"/>
          <w:kern w:val="0"/>
          <w:sz w:val="21"/>
          <w:szCs w:val="21"/>
          <w:lang w:val="en-US" w:eastAsia="zh-CN" w:bidi="ar"/>
        </w:rPr>
        <w:t>发育支持：回应性照护、情绪安抚、亲子互动、早期发展引导；</w:t>
      </w:r>
    </w:p>
    <w:p w14:paraId="7BCCB496">
      <w:pPr>
        <w:pStyle w:val="176"/>
      </w:pPr>
      <w:r>
        <w:rPr>
          <w:rFonts w:hint="eastAsia" w:ascii="宋体" w:hAnsi="宋体" w:eastAsia="宋体" w:cs="宋体"/>
          <w:b w:val="0"/>
          <w:bCs w:val="0"/>
          <w:color w:val="000000"/>
          <w:kern w:val="0"/>
          <w:sz w:val="21"/>
          <w:szCs w:val="21"/>
          <w:lang w:val="en-US" w:eastAsia="zh-CN" w:bidi="ar"/>
        </w:rPr>
        <w:t>医育衔接：健康监测、机构 — 家庭 — 医疗机构转诊流程、健康档案管理。</w:t>
      </w:r>
    </w:p>
    <w:p w14:paraId="3213AE26">
      <w:pPr>
        <w:pStyle w:val="107"/>
        <w:spacing w:before="156" w:after="156"/>
        <w:rPr>
          <w:rFonts w:hint="eastAsia" w:ascii="宋体" w:hAnsi="宋体" w:eastAsia="宋体" w:cs="宋体"/>
          <w:b/>
          <w:bCs/>
          <w:color w:val="000000"/>
          <w:sz w:val="21"/>
          <w:szCs w:val="21"/>
          <w:lang w:val="en-US" w:eastAsia="zh-CN" w:bidi="ar"/>
        </w:rPr>
      </w:pPr>
      <w:bookmarkStart w:id="228" w:name="_Toc18115"/>
      <w:r>
        <w:rPr>
          <w:rFonts w:hint="eastAsia" w:ascii="宋体" w:hAnsi="宋体" w:eastAsia="宋体" w:cs="宋体"/>
          <w:b w:val="0"/>
          <w:bCs w:val="0"/>
          <w:color w:val="auto"/>
          <w:sz w:val="21"/>
          <w:szCs w:val="21"/>
          <w:lang w:val="en-US" w:eastAsia="zh-CN" w:bidi="ar"/>
        </w:rPr>
        <w:t>宣教形式</w:t>
      </w:r>
      <w:bookmarkEnd w:id="228"/>
    </w:p>
    <w:p w14:paraId="1ADD91FA">
      <w:pPr>
        <w:pStyle w:val="167"/>
      </w:pPr>
      <w:r>
        <w:rPr>
          <w:rFonts w:hint="eastAsia" w:ascii="宋体" w:hAnsi="宋体" w:eastAsia="宋体" w:cs="宋体"/>
          <w:b w:val="0"/>
          <w:bCs w:val="0"/>
          <w:color w:val="000000"/>
          <w:kern w:val="0"/>
          <w:sz w:val="21"/>
          <w:szCs w:val="21"/>
          <w:lang w:val="en-US" w:eastAsia="zh-CN" w:bidi="ar"/>
        </w:rPr>
        <w:t>平面阵地宣教：在公共区域、照护区域、家长等候区设置宣传栏、科普海报；发放折页、手册、提示卡，按季 / 按需更新。</w:t>
      </w:r>
    </w:p>
    <w:p w14:paraId="5E514DE1">
      <w:pPr>
        <w:pStyle w:val="167"/>
      </w:pPr>
      <w:r>
        <w:rPr>
          <w:rFonts w:hint="eastAsia" w:ascii="宋体" w:hAnsi="宋体" w:eastAsia="宋体" w:cs="宋体"/>
          <w:b w:val="0"/>
          <w:bCs w:val="0"/>
          <w:color w:val="000000"/>
          <w:kern w:val="0"/>
          <w:sz w:val="21"/>
          <w:szCs w:val="21"/>
          <w:lang w:val="en-US" w:eastAsia="zh-CN" w:bidi="ar"/>
        </w:rPr>
        <w:t>新媒体矩阵宣教：通过微信群、公众号推送科普图文、短视频、健康提示；搭建线上科普知识库。</w:t>
      </w:r>
    </w:p>
    <w:p w14:paraId="507F48DB">
      <w:pPr>
        <w:pStyle w:val="167"/>
      </w:pPr>
      <w:r>
        <w:rPr>
          <w:rFonts w:hint="eastAsia" w:ascii="宋体" w:hAnsi="宋体" w:eastAsia="宋体" w:cs="宋体"/>
          <w:b w:val="0"/>
          <w:bCs w:val="0"/>
          <w:color w:val="000000"/>
          <w:kern w:val="0"/>
          <w:sz w:val="21"/>
          <w:szCs w:val="21"/>
          <w:lang w:val="en-US" w:eastAsia="zh-CN" w:bidi="ar"/>
        </w:rPr>
        <w:t>互动式宣教：举办健康沙龙、科普小课堂、专家入托咨询；开展情景演示、案例分享、一对一指导。</w:t>
      </w:r>
    </w:p>
    <w:p w14:paraId="122913A7">
      <w:pPr>
        <w:pStyle w:val="107"/>
        <w:spacing w:before="156" w:after="156"/>
        <w:rPr>
          <w:rFonts w:hint="eastAsia" w:ascii="宋体" w:hAnsi="宋体" w:eastAsia="宋体" w:cs="宋体"/>
          <w:b/>
          <w:bCs/>
          <w:color w:val="000000"/>
          <w:sz w:val="21"/>
          <w:szCs w:val="21"/>
          <w:lang w:val="en-US" w:eastAsia="zh-CN" w:bidi="ar"/>
        </w:rPr>
      </w:pPr>
      <w:bookmarkStart w:id="229" w:name="_Toc9983"/>
      <w:r>
        <w:rPr>
          <w:rFonts w:hint="eastAsia" w:ascii="宋体" w:hAnsi="宋体" w:eastAsia="宋体" w:cs="宋体"/>
          <w:b w:val="0"/>
          <w:bCs w:val="0"/>
          <w:color w:val="auto"/>
          <w:sz w:val="21"/>
          <w:szCs w:val="21"/>
          <w:lang w:val="en-US" w:eastAsia="zh-CN" w:bidi="ar"/>
        </w:rPr>
        <w:t>宣教频次</w:t>
      </w:r>
      <w:bookmarkEnd w:id="229"/>
    </w:p>
    <w:p w14:paraId="2622AE22">
      <w:pPr>
        <w:pStyle w:val="167"/>
      </w:pPr>
      <w:r>
        <w:rPr>
          <w:rFonts w:hint="eastAsia" w:ascii="宋体" w:hAnsi="宋体" w:eastAsia="宋体" w:cs="宋体"/>
          <w:b w:val="0"/>
          <w:bCs w:val="0"/>
          <w:color w:val="000000"/>
          <w:kern w:val="0"/>
          <w:sz w:val="21"/>
          <w:szCs w:val="21"/>
          <w:lang w:val="en-US" w:eastAsia="zh-CN" w:bidi="ar"/>
        </w:rPr>
        <w:t>日常宣教：持续开展，内容按季 / 按需动态更新。</w:t>
      </w:r>
    </w:p>
    <w:p w14:paraId="2E928B78">
      <w:pPr>
        <w:pStyle w:val="167"/>
      </w:pPr>
      <w:r>
        <w:rPr>
          <w:rFonts w:hint="eastAsia" w:ascii="宋体" w:hAnsi="宋体" w:eastAsia="宋体" w:cs="宋体"/>
          <w:b w:val="0"/>
          <w:bCs w:val="0"/>
          <w:color w:val="000000"/>
          <w:kern w:val="0"/>
          <w:sz w:val="21"/>
          <w:szCs w:val="21"/>
          <w:lang w:val="en-US" w:eastAsia="zh-CN" w:bidi="ar"/>
        </w:rPr>
        <w:t>集中宣教：每季度至少开展1 次主题宣教。</w:t>
      </w:r>
    </w:p>
    <w:p w14:paraId="3EAAB58E">
      <w:pPr>
        <w:pStyle w:val="167"/>
      </w:pPr>
      <w:r>
        <w:rPr>
          <w:rFonts w:hint="eastAsia" w:ascii="宋体" w:hAnsi="宋体" w:eastAsia="宋体" w:cs="宋体"/>
          <w:b w:val="0"/>
          <w:bCs w:val="0"/>
          <w:color w:val="000000"/>
          <w:kern w:val="0"/>
          <w:sz w:val="21"/>
          <w:szCs w:val="21"/>
          <w:lang w:val="en-US" w:eastAsia="zh-CN" w:bidi="ar"/>
        </w:rPr>
        <w:t>专项宣教：传染病高发期前完成全覆盖专项宣教。</w:t>
      </w:r>
    </w:p>
    <w:p w14:paraId="65184FDA">
      <w:pPr>
        <w:pStyle w:val="107"/>
        <w:spacing w:before="156" w:after="156"/>
        <w:rPr>
          <w:rFonts w:hint="eastAsia" w:ascii="宋体" w:hAnsi="宋体" w:eastAsia="宋体" w:cs="宋体"/>
          <w:b/>
          <w:bCs/>
          <w:color w:val="000000"/>
          <w:sz w:val="21"/>
          <w:szCs w:val="21"/>
          <w:lang w:val="en-US" w:eastAsia="zh-CN" w:bidi="ar"/>
        </w:rPr>
      </w:pPr>
      <w:bookmarkStart w:id="230" w:name="_Toc5119"/>
      <w:r>
        <w:rPr>
          <w:rFonts w:hint="eastAsia" w:ascii="宋体" w:hAnsi="宋体" w:eastAsia="宋体" w:cs="宋体"/>
          <w:b w:val="0"/>
          <w:bCs w:val="0"/>
          <w:color w:val="auto"/>
          <w:sz w:val="21"/>
          <w:szCs w:val="21"/>
          <w:lang w:val="en-US" w:eastAsia="zh-CN" w:bidi="ar"/>
        </w:rPr>
        <w:t>记录与评估</w:t>
      </w:r>
      <w:bookmarkEnd w:id="230"/>
    </w:p>
    <w:p w14:paraId="53581DDD">
      <w:pPr>
        <w:pStyle w:val="167"/>
      </w:pPr>
      <w:r>
        <w:rPr>
          <w:rFonts w:hint="eastAsia" w:ascii="宋体" w:hAnsi="宋体" w:eastAsia="宋体" w:cs="宋体"/>
          <w:b w:val="0"/>
          <w:bCs w:val="0"/>
          <w:color w:val="000000"/>
          <w:kern w:val="0"/>
          <w:sz w:val="21"/>
          <w:szCs w:val="21"/>
          <w:lang w:val="en-US" w:eastAsia="zh-CN" w:bidi="ar"/>
        </w:rPr>
        <w:t>建立健康宣教档案，如实记录全过程，使用附录 A 统一记录表，档案保存期限不少于 3 年。</w:t>
      </w:r>
    </w:p>
    <w:p w14:paraId="46AF8F4C">
      <w:pPr>
        <w:pStyle w:val="167"/>
      </w:pPr>
      <w:r>
        <w:rPr>
          <w:rFonts w:hint="eastAsia" w:ascii="宋体" w:hAnsi="宋体" w:eastAsia="宋体" w:cs="宋体"/>
          <w:b w:val="0"/>
          <w:bCs w:val="0"/>
          <w:color w:val="000000"/>
          <w:kern w:val="0"/>
          <w:sz w:val="21"/>
          <w:szCs w:val="21"/>
          <w:lang w:val="en-US" w:eastAsia="zh-CN" w:bidi="ar"/>
        </w:rPr>
        <w:t>每半年联合签约医疗机构开展1次宣教效果评估，内容包括知识知晓、照护行为改善、婴幼儿健康状况、服务满意度等。</w:t>
      </w:r>
    </w:p>
    <w:p w14:paraId="0A58DEDA">
      <w:pPr>
        <w:pStyle w:val="167"/>
      </w:pPr>
      <w:r>
        <w:rPr>
          <w:rFonts w:hint="eastAsia" w:ascii="宋体" w:hAnsi="宋体" w:eastAsia="宋体" w:cs="宋体"/>
          <w:b w:val="0"/>
          <w:bCs w:val="0"/>
          <w:color w:val="000000"/>
          <w:kern w:val="0"/>
          <w:sz w:val="21"/>
          <w:szCs w:val="21"/>
          <w:lang w:val="en-US" w:eastAsia="zh-CN" w:bidi="ar"/>
        </w:rPr>
        <w:t>依据评估结果优化宣教计划，形成计划 — 实施 — 评估 — 改进闭环管理。</w:t>
      </w:r>
    </w:p>
    <w:p w14:paraId="48EC1BE4">
      <w:pPr>
        <w:pStyle w:val="106"/>
        <w:spacing w:before="312" w:after="312"/>
        <w:rPr>
          <w:rFonts w:hint="eastAsia" w:ascii="黑体" w:hAnsi="Times New Roman" w:eastAsia="黑体" w:cs="Times New Roman"/>
          <w:b w:val="0"/>
          <w:bCs w:val="0"/>
          <w:sz w:val="21"/>
          <w:szCs w:val="20"/>
          <w:lang w:val="en-US" w:eastAsia="zh-CN" w:bidi="ar"/>
        </w:rPr>
      </w:pPr>
      <w:bookmarkStart w:id="231" w:name="_Toc1502"/>
      <w:bookmarkStart w:id="232" w:name="_Toc24282"/>
      <w:bookmarkStart w:id="233" w:name="_Toc673"/>
      <w:bookmarkStart w:id="234" w:name="_Toc29617"/>
      <w:bookmarkStart w:id="235" w:name="_Toc15355"/>
      <w:r>
        <w:rPr>
          <w:rFonts w:hint="eastAsia" w:ascii="黑体" w:hAnsi="Times New Roman" w:eastAsia="黑体" w:cs="Times New Roman"/>
          <w:b w:val="0"/>
          <w:bCs w:val="0"/>
          <w:sz w:val="21"/>
          <w:szCs w:val="20"/>
          <w:lang w:val="en-US" w:eastAsia="zh-CN" w:bidi="ar"/>
        </w:rPr>
        <w:t>信息收集</w:t>
      </w:r>
      <w:bookmarkEnd w:id="231"/>
      <w:bookmarkEnd w:id="232"/>
      <w:bookmarkEnd w:id="233"/>
      <w:bookmarkEnd w:id="234"/>
      <w:bookmarkEnd w:id="235"/>
    </w:p>
    <w:p w14:paraId="01BC3786">
      <w:pPr>
        <w:pStyle w:val="107"/>
        <w:spacing w:before="156" w:after="156"/>
        <w:rPr>
          <w:rFonts w:hint="eastAsia" w:ascii="宋体" w:hAnsi="宋体" w:eastAsia="宋体" w:cs="宋体"/>
          <w:b/>
          <w:bCs/>
          <w:color w:val="000000"/>
          <w:sz w:val="21"/>
          <w:szCs w:val="21"/>
          <w:lang w:val="en-US" w:eastAsia="zh-CN" w:bidi="ar"/>
        </w:rPr>
      </w:pPr>
      <w:bookmarkStart w:id="236" w:name="_Toc22507"/>
      <w:r>
        <w:rPr>
          <w:rFonts w:hint="eastAsia" w:ascii="宋体" w:hAnsi="宋体" w:eastAsia="宋体" w:cs="宋体"/>
          <w:b w:val="0"/>
          <w:bCs w:val="0"/>
          <w:color w:val="auto"/>
          <w:sz w:val="21"/>
          <w:szCs w:val="21"/>
          <w:lang w:val="en-US" w:eastAsia="zh-CN" w:bidi="ar"/>
        </w:rPr>
        <w:t>工作人员资质档案</w:t>
      </w:r>
      <w:bookmarkEnd w:id="236"/>
    </w:p>
    <w:p w14:paraId="4AA017AB">
      <w:pPr>
        <w:pStyle w:val="167"/>
      </w:pPr>
      <w:r>
        <w:rPr>
          <w:rFonts w:hint="eastAsia" w:ascii="宋体" w:hAnsi="宋体" w:eastAsia="宋体" w:cs="宋体"/>
          <w:b w:val="0"/>
          <w:bCs w:val="0"/>
          <w:color w:val="000000"/>
          <w:kern w:val="0"/>
          <w:sz w:val="21"/>
          <w:szCs w:val="21"/>
          <w:lang w:val="en-US" w:eastAsia="zh-CN" w:bidi="ar"/>
        </w:rPr>
        <w:t>健康管理员资质档案：对提供卫生保健服务的医护人员、保健医师等，统一登记学历、工作经历、技术职称等信息。</w:t>
      </w:r>
      <w:r>
        <w:rPr>
          <w:rFonts w:hint="eastAsia" w:ascii="宋体" w:hAnsi="宋体" w:eastAsia="宋体" w:cs="宋体"/>
          <w:b w:val="0"/>
          <w:bCs w:val="0"/>
          <w:color w:val="0000FF"/>
          <w:kern w:val="0"/>
          <w:sz w:val="21"/>
          <w:szCs w:val="21"/>
          <w:lang w:val="en-US" w:eastAsia="zh-CN" w:bidi="ar"/>
        </w:rPr>
        <w:t>健康管理员资质档案参考附录D。</w:t>
      </w:r>
    </w:p>
    <w:p w14:paraId="0A619BDF">
      <w:pPr>
        <w:pStyle w:val="167"/>
      </w:pPr>
      <w:r>
        <w:rPr>
          <w:rFonts w:hint="eastAsia" w:ascii="宋体" w:hAnsi="宋体" w:eastAsia="宋体" w:cs="宋体"/>
          <w:b w:val="0"/>
          <w:bCs w:val="0"/>
          <w:color w:val="000000"/>
          <w:kern w:val="0"/>
          <w:sz w:val="21"/>
          <w:szCs w:val="21"/>
          <w:lang w:val="en-US" w:eastAsia="zh-CN" w:bidi="ar"/>
        </w:rPr>
        <w:t>儿童保健医护支持团队档案：对提供医育结合服务的儿童保健医护团队进行信息登记。</w:t>
      </w:r>
      <w:r>
        <w:rPr>
          <w:rFonts w:hint="eastAsia" w:ascii="宋体" w:hAnsi="宋体" w:eastAsia="宋体" w:cs="宋体"/>
          <w:b w:val="0"/>
          <w:bCs w:val="0"/>
          <w:color w:val="0000FF"/>
          <w:kern w:val="0"/>
          <w:sz w:val="21"/>
          <w:szCs w:val="21"/>
          <w:lang w:val="en-US" w:eastAsia="zh-CN" w:bidi="ar"/>
        </w:rPr>
        <w:t>儿童保健医护支持团队档案参考附录E。</w:t>
      </w:r>
    </w:p>
    <w:p w14:paraId="0823A0BF">
      <w:pPr>
        <w:pStyle w:val="107"/>
        <w:spacing w:before="156" w:after="156"/>
        <w:rPr>
          <w:rFonts w:hint="eastAsia" w:ascii="宋体" w:hAnsi="宋体" w:eastAsia="宋体" w:cs="宋体"/>
          <w:b/>
          <w:bCs/>
          <w:color w:val="000000"/>
          <w:sz w:val="21"/>
          <w:szCs w:val="21"/>
          <w:lang w:val="en-US" w:eastAsia="zh-CN" w:bidi="ar"/>
        </w:rPr>
      </w:pPr>
      <w:bookmarkStart w:id="237" w:name="_Toc29250"/>
      <w:r>
        <w:rPr>
          <w:rFonts w:hint="eastAsia" w:ascii="宋体" w:hAnsi="宋体" w:eastAsia="宋体" w:cs="宋体"/>
          <w:b w:val="0"/>
          <w:bCs w:val="0"/>
          <w:color w:val="auto"/>
          <w:sz w:val="21"/>
          <w:szCs w:val="21"/>
          <w:lang w:val="en-US" w:eastAsia="zh-CN" w:bidi="ar"/>
        </w:rPr>
        <w:t>健康管理员工作日志</w:t>
      </w:r>
      <w:bookmarkEnd w:id="237"/>
    </w:p>
    <w:p w14:paraId="2D304F35">
      <w:pPr>
        <w:pStyle w:val="167"/>
      </w:pPr>
      <w:r>
        <w:rPr>
          <w:rFonts w:hint="eastAsia" w:ascii="宋体" w:hAnsi="宋体" w:eastAsia="宋体" w:cs="宋体"/>
          <w:b w:val="0"/>
          <w:bCs w:val="0"/>
          <w:color w:val="000000"/>
          <w:kern w:val="0"/>
          <w:sz w:val="21"/>
          <w:szCs w:val="21"/>
          <w:lang w:val="en-US" w:eastAsia="zh-CN" w:bidi="ar"/>
        </w:rPr>
        <w:t>全日健康观察登记表：记录晨午检及全日健康观察情况。</w:t>
      </w:r>
      <w:r>
        <w:rPr>
          <w:rFonts w:hint="eastAsia" w:ascii="宋体" w:hAnsi="宋体" w:eastAsia="宋体" w:cs="宋体"/>
          <w:b w:val="0"/>
          <w:bCs w:val="0"/>
          <w:color w:val="0000FF"/>
          <w:kern w:val="0"/>
          <w:sz w:val="21"/>
          <w:szCs w:val="21"/>
          <w:lang w:val="en-US" w:eastAsia="zh-CN" w:bidi="ar"/>
        </w:rPr>
        <w:t>全日健康观察登记表参考附录F。</w:t>
      </w:r>
    </w:p>
    <w:p w14:paraId="5686B58B">
      <w:pPr>
        <w:pStyle w:val="167"/>
      </w:pPr>
      <w:r>
        <w:rPr>
          <w:rFonts w:hint="eastAsia" w:ascii="宋体" w:hAnsi="宋体" w:eastAsia="宋体" w:cs="宋体"/>
          <w:b w:val="0"/>
          <w:bCs w:val="0"/>
          <w:color w:val="000000"/>
          <w:kern w:val="0"/>
          <w:sz w:val="21"/>
          <w:szCs w:val="21"/>
          <w:lang w:val="en-US" w:eastAsia="zh-CN" w:bidi="ar"/>
        </w:rPr>
        <w:t>病假缺勤跟踪记录表：对因病缺勤婴幼儿进行持续跟踪记录。</w:t>
      </w:r>
      <w:r>
        <w:rPr>
          <w:rFonts w:hint="eastAsia" w:ascii="宋体" w:hAnsi="宋体" w:eastAsia="宋体" w:cs="宋体"/>
          <w:b w:val="0"/>
          <w:bCs w:val="0"/>
          <w:color w:val="0000FF"/>
          <w:kern w:val="0"/>
          <w:sz w:val="21"/>
          <w:szCs w:val="21"/>
          <w:lang w:val="en-US" w:eastAsia="zh-CN" w:bidi="ar"/>
        </w:rPr>
        <w:t>病假缺勤跟踪记录表参考附录G。</w:t>
      </w:r>
    </w:p>
    <w:p w14:paraId="11972D14">
      <w:pPr>
        <w:pStyle w:val="167"/>
      </w:pPr>
      <w:r>
        <w:rPr>
          <w:rFonts w:hint="eastAsia" w:ascii="宋体" w:hAnsi="宋体" w:eastAsia="宋体" w:cs="宋体"/>
          <w:b w:val="0"/>
          <w:bCs w:val="0"/>
          <w:color w:val="000000"/>
          <w:kern w:val="0"/>
          <w:sz w:val="21"/>
          <w:szCs w:val="21"/>
          <w:lang w:val="en-US" w:eastAsia="zh-CN" w:bidi="ar"/>
        </w:rPr>
        <w:t>婴幼儿传染病登记表：登记婴幼儿传染病相关情况。</w:t>
      </w:r>
      <w:r>
        <w:rPr>
          <w:rFonts w:hint="eastAsia" w:ascii="宋体" w:hAnsi="宋体" w:eastAsia="宋体" w:cs="宋体"/>
          <w:b w:val="0"/>
          <w:bCs w:val="0"/>
          <w:color w:val="0000FF"/>
          <w:kern w:val="0"/>
          <w:sz w:val="21"/>
          <w:szCs w:val="21"/>
          <w:lang w:val="en-US" w:eastAsia="zh-CN" w:bidi="ar"/>
        </w:rPr>
        <w:t>婴幼儿传染病登记表参考附录H。</w:t>
      </w:r>
    </w:p>
    <w:p w14:paraId="42E7AFD3">
      <w:pPr>
        <w:pStyle w:val="167"/>
      </w:pPr>
      <w:r>
        <w:rPr>
          <w:rFonts w:hint="eastAsia" w:ascii="宋体" w:hAnsi="宋体" w:eastAsia="宋体" w:cs="宋体"/>
          <w:b w:val="0"/>
          <w:bCs w:val="0"/>
          <w:color w:val="000000"/>
          <w:kern w:val="0"/>
          <w:sz w:val="21"/>
          <w:szCs w:val="21"/>
          <w:lang w:val="en-US" w:eastAsia="zh-CN" w:bidi="ar"/>
        </w:rPr>
        <w:t>婴幼儿营养性疾病及常见疾病登记表：登记营养不良、贫血、肥胖、先心病、哮喘、癫痫、听力 / 视力异常、龋齿等情况。</w:t>
      </w:r>
      <w:r>
        <w:rPr>
          <w:rFonts w:hint="eastAsia" w:ascii="宋体" w:hAnsi="宋体" w:eastAsia="宋体" w:cs="宋体"/>
          <w:b w:val="0"/>
          <w:bCs w:val="0"/>
          <w:color w:val="0000FF"/>
          <w:kern w:val="0"/>
          <w:sz w:val="21"/>
          <w:szCs w:val="21"/>
          <w:lang w:val="en-US" w:eastAsia="zh-CN" w:bidi="ar"/>
        </w:rPr>
        <w:t>婴幼儿营养性疾病及常见疾病登记表参考附录I。</w:t>
      </w:r>
    </w:p>
    <w:p w14:paraId="36A5B93A">
      <w:pPr>
        <w:pStyle w:val="167"/>
      </w:pPr>
      <w:r>
        <w:rPr>
          <w:rFonts w:hint="eastAsia" w:ascii="宋体" w:hAnsi="宋体" w:eastAsia="宋体" w:cs="宋体"/>
          <w:b w:val="0"/>
          <w:bCs w:val="0"/>
          <w:color w:val="000000"/>
          <w:kern w:val="0"/>
          <w:sz w:val="21"/>
          <w:szCs w:val="21"/>
          <w:lang w:val="en-US" w:eastAsia="zh-CN" w:bidi="ar"/>
        </w:rPr>
        <w:t>婴幼儿生长发育监测记录表：每半年记录身高、体重、视力、血红蛋白、龋齿等信息。</w:t>
      </w:r>
      <w:r>
        <w:rPr>
          <w:rFonts w:hint="eastAsia" w:ascii="宋体" w:hAnsi="宋体" w:eastAsia="宋体" w:cs="宋体"/>
          <w:b w:val="0"/>
          <w:bCs w:val="0"/>
          <w:color w:val="0000FF"/>
          <w:kern w:val="0"/>
          <w:sz w:val="21"/>
          <w:szCs w:val="21"/>
          <w:lang w:val="en-US" w:eastAsia="zh-CN" w:bidi="ar"/>
        </w:rPr>
        <w:t>婴幼儿生长发育监测记录表参考附录J。</w:t>
      </w:r>
    </w:p>
    <w:p w14:paraId="45056D93">
      <w:pPr>
        <w:pStyle w:val="167"/>
      </w:pPr>
      <w:r>
        <w:rPr>
          <w:rFonts w:hint="eastAsia" w:ascii="宋体" w:hAnsi="宋体" w:eastAsia="宋体" w:cs="宋体"/>
          <w:b w:val="0"/>
          <w:bCs w:val="0"/>
          <w:color w:val="000000"/>
          <w:kern w:val="0"/>
          <w:sz w:val="21"/>
          <w:szCs w:val="21"/>
          <w:lang w:val="en-US" w:eastAsia="zh-CN" w:bidi="ar"/>
        </w:rPr>
        <w:t>婴幼儿回应性照护实践登记表：记录回应性照护实施内容与效果评价。</w:t>
      </w:r>
      <w:r>
        <w:rPr>
          <w:rFonts w:hint="eastAsia" w:ascii="宋体" w:hAnsi="宋体" w:eastAsia="宋体" w:cs="宋体"/>
          <w:b w:val="0"/>
          <w:bCs w:val="0"/>
          <w:color w:val="0000FF"/>
          <w:kern w:val="0"/>
          <w:sz w:val="21"/>
          <w:szCs w:val="21"/>
          <w:lang w:val="en-US" w:eastAsia="zh-CN" w:bidi="ar"/>
        </w:rPr>
        <w:t>婴幼儿回应性照护实践登记表参考附录K。</w:t>
      </w:r>
    </w:p>
    <w:p w14:paraId="757CF540">
      <w:pPr>
        <w:pStyle w:val="107"/>
        <w:spacing w:before="156" w:after="156"/>
        <w:rPr>
          <w:rFonts w:hint="eastAsia" w:ascii="宋体" w:hAnsi="宋体" w:eastAsia="宋体" w:cs="宋体"/>
          <w:b/>
          <w:bCs/>
          <w:color w:val="000000"/>
          <w:sz w:val="21"/>
          <w:szCs w:val="21"/>
          <w:lang w:val="en-US" w:eastAsia="zh-CN" w:bidi="ar"/>
        </w:rPr>
      </w:pPr>
      <w:bookmarkStart w:id="238" w:name="_Toc6989"/>
      <w:r>
        <w:rPr>
          <w:rFonts w:hint="eastAsia" w:ascii="宋体" w:hAnsi="宋体" w:eastAsia="宋体" w:cs="宋体"/>
          <w:b w:val="0"/>
          <w:bCs w:val="0"/>
          <w:color w:val="auto"/>
          <w:sz w:val="21"/>
          <w:szCs w:val="21"/>
          <w:lang w:val="en-US" w:eastAsia="zh-CN" w:bidi="ar"/>
        </w:rPr>
        <w:t>医育结合指导登记</w:t>
      </w:r>
      <w:bookmarkEnd w:id="238"/>
    </w:p>
    <w:p w14:paraId="13E031C1">
      <w:pPr>
        <w:pStyle w:val="167"/>
      </w:pPr>
      <w:r>
        <w:rPr>
          <w:rFonts w:hint="eastAsia" w:ascii="宋体" w:hAnsi="宋体" w:eastAsia="宋体" w:cs="宋体"/>
          <w:b w:val="0"/>
          <w:bCs w:val="0"/>
          <w:color w:val="000000"/>
          <w:kern w:val="0"/>
          <w:sz w:val="21"/>
          <w:szCs w:val="21"/>
          <w:lang w:val="en-US" w:eastAsia="zh-CN" w:bidi="ar"/>
        </w:rPr>
        <w:t>医育结合指导登记表：记录医疗机构医务人员现场指导内容、问题及建议。</w:t>
      </w:r>
      <w:r>
        <w:rPr>
          <w:rFonts w:hint="eastAsia" w:ascii="宋体" w:hAnsi="宋体" w:eastAsia="宋体" w:cs="宋体"/>
          <w:b w:val="0"/>
          <w:bCs w:val="0"/>
          <w:color w:val="0000FF"/>
          <w:kern w:val="0"/>
          <w:sz w:val="21"/>
          <w:szCs w:val="21"/>
          <w:lang w:val="en-US" w:eastAsia="zh-CN" w:bidi="ar"/>
        </w:rPr>
        <w:t>医育结合指导登记表参考附录L。</w:t>
      </w:r>
    </w:p>
    <w:p w14:paraId="74E72CC2">
      <w:pPr>
        <w:pStyle w:val="167"/>
      </w:pPr>
      <w:r>
        <w:rPr>
          <w:rFonts w:hint="eastAsia" w:ascii="宋体" w:hAnsi="宋体" w:eastAsia="宋体" w:cs="宋体"/>
          <w:b w:val="0"/>
          <w:bCs w:val="0"/>
          <w:color w:val="000000"/>
          <w:kern w:val="0"/>
          <w:sz w:val="21"/>
          <w:szCs w:val="21"/>
          <w:lang w:val="en-US" w:eastAsia="zh-CN" w:bidi="ar"/>
        </w:rPr>
        <w:t>特需情况婴幼儿指导登记表：记录医务人员对特殊需求婴幼儿的指导内容、关注要点与专业建议。</w:t>
      </w:r>
      <w:r>
        <w:rPr>
          <w:rFonts w:hint="eastAsia" w:ascii="宋体" w:hAnsi="宋体" w:eastAsia="宋体" w:cs="宋体"/>
          <w:b w:val="0"/>
          <w:bCs w:val="0"/>
          <w:color w:val="0000FF"/>
          <w:kern w:val="0"/>
          <w:sz w:val="21"/>
          <w:szCs w:val="21"/>
          <w:lang w:val="en-US" w:eastAsia="zh-CN" w:bidi="ar"/>
        </w:rPr>
        <w:t>特需情况婴幼儿指导登记表参考附录M。</w:t>
      </w:r>
    </w:p>
    <w:p w14:paraId="4D2522A8">
      <w:pPr>
        <w:pStyle w:val="106"/>
        <w:spacing w:before="312" w:after="312"/>
        <w:rPr>
          <w:rFonts w:hint="eastAsia" w:ascii="黑体" w:hAnsi="Times New Roman" w:eastAsia="黑体" w:cs="Times New Roman"/>
          <w:b w:val="0"/>
          <w:bCs w:val="0"/>
          <w:sz w:val="21"/>
          <w:szCs w:val="20"/>
          <w:lang w:val="en-US" w:eastAsia="zh-CN" w:bidi="ar"/>
        </w:rPr>
      </w:pPr>
      <w:bookmarkStart w:id="239" w:name="_Toc2122"/>
      <w:bookmarkStart w:id="240" w:name="_Toc13050"/>
      <w:bookmarkStart w:id="241" w:name="_Toc24040"/>
      <w:bookmarkStart w:id="242" w:name="_Toc1854"/>
      <w:bookmarkStart w:id="243" w:name="_Toc8679"/>
      <w:r>
        <w:rPr>
          <w:rFonts w:hint="eastAsia" w:ascii="黑体" w:hAnsi="Times New Roman" w:eastAsia="黑体" w:cs="Times New Roman"/>
          <w:b w:val="0"/>
          <w:bCs w:val="0"/>
          <w:sz w:val="21"/>
          <w:szCs w:val="20"/>
          <w:lang w:val="en-US" w:eastAsia="zh-CN" w:bidi="ar"/>
        </w:rPr>
        <w:t>评价与改进</w:t>
      </w:r>
      <w:bookmarkEnd w:id="239"/>
      <w:bookmarkEnd w:id="240"/>
      <w:bookmarkEnd w:id="241"/>
      <w:bookmarkEnd w:id="242"/>
      <w:bookmarkEnd w:id="243"/>
    </w:p>
    <w:p w14:paraId="5EA74EF7">
      <w:pPr>
        <w:pStyle w:val="107"/>
        <w:spacing w:before="156" w:after="156"/>
        <w:rPr>
          <w:rFonts w:hint="eastAsia" w:ascii="宋体" w:hAnsi="宋体" w:eastAsia="宋体" w:cs="宋体"/>
          <w:b/>
          <w:bCs/>
          <w:color w:val="000000"/>
          <w:sz w:val="21"/>
          <w:szCs w:val="21"/>
          <w:lang w:val="en-US" w:eastAsia="zh-CN" w:bidi="ar"/>
        </w:rPr>
      </w:pPr>
      <w:bookmarkStart w:id="244" w:name="_Toc11024"/>
      <w:r>
        <w:rPr>
          <w:rFonts w:hint="eastAsia" w:ascii="宋体" w:hAnsi="宋体" w:eastAsia="宋体" w:cs="宋体"/>
          <w:b w:val="0"/>
          <w:bCs w:val="0"/>
          <w:color w:val="auto"/>
          <w:sz w:val="21"/>
          <w:szCs w:val="21"/>
          <w:lang w:val="en-US" w:eastAsia="zh-CN" w:bidi="ar"/>
        </w:rPr>
        <w:t>日常巡查与整改</w:t>
      </w:r>
      <w:bookmarkEnd w:id="244"/>
    </w:p>
    <w:p w14:paraId="0938CC44">
      <w:pPr>
        <w:pStyle w:val="167"/>
      </w:pPr>
      <w:r>
        <w:rPr>
          <w:rFonts w:hint="eastAsia" w:ascii="宋体" w:hAnsi="宋体" w:eastAsia="宋体" w:cs="宋体"/>
          <w:b w:val="0"/>
          <w:bCs w:val="0"/>
          <w:color w:val="000000"/>
          <w:kern w:val="0"/>
          <w:sz w:val="21"/>
          <w:szCs w:val="21"/>
          <w:lang w:val="en-US" w:eastAsia="zh-CN" w:bidi="ar"/>
        </w:rPr>
        <w:t>托育机构应严格落实医育结合工作规范，建立常态化日常巡查制度，对健康管理、照护服务、安全管理等关键环节开展每日检查。</w:t>
      </w:r>
    </w:p>
    <w:p w14:paraId="5D5F0304">
      <w:pPr>
        <w:pStyle w:val="167"/>
      </w:pPr>
      <w:r>
        <w:rPr>
          <w:rFonts w:hint="eastAsia" w:ascii="宋体" w:hAnsi="宋体" w:eastAsia="宋体" w:cs="宋体"/>
          <w:b w:val="0"/>
          <w:bCs w:val="0"/>
          <w:color w:val="000000"/>
          <w:kern w:val="0"/>
          <w:sz w:val="21"/>
          <w:szCs w:val="21"/>
          <w:lang w:val="en-US" w:eastAsia="zh-CN" w:bidi="ar"/>
        </w:rPr>
        <w:t>对巡查发现问题及时登记，形成整改清单，明确整改措施、责任人员及整改时限。</w:t>
      </w:r>
    </w:p>
    <w:p w14:paraId="4BEE61B1">
      <w:pPr>
        <w:pStyle w:val="167"/>
      </w:pPr>
      <w:r>
        <w:rPr>
          <w:rFonts w:hint="eastAsia" w:ascii="宋体" w:hAnsi="宋体" w:eastAsia="宋体" w:cs="宋体"/>
          <w:b w:val="0"/>
          <w:bCs w:val="0"/>
          <w:color w:val="000000"/>
          <w:kern w:val="0"/>
          <w:sz w:val="21"/>
          <w:szCs w:val="21"/>
          <w:lang w:val="en-US" w:eastAsia="zh-CN" w:bidi="ar"/>
        </w:rPr>
        <w:t>对整改落实情况进行复查，确保问题整改到位。</w:t>
      </w:r>
    </w:p>
    <w:p w14:paraId="6A5EED18">
      <w:pPr>
        <w:pStyle w:val="107"/>
        <w:spacing w:before="156" w:after="156"/>
        <w:rPr>
          <w:rFonts w:hint="eastAsia" w:ascii="宋体" w:hAnsi="宋体" w:eastAsia="宋体" w:cs="宋体"/>
          <w:b/>
          <w:bCs/>
          <w:color w:val="000000"/>
          <w:sz w:val="21"/>
          <w:szCs w:val="21"/>
          <w:lang w:val="en-US" w:eastAsia="zh-CN" w:bidi="ar"/>
        </w:rPr>
      </w:pPr>
      <w:bookmarkStart w:id="245" w:name="_Toc23076"/>
      <w:r>
        <w:rPr>
          <w:rFonts w:hint="eastAsia" w:ascii="宋体" w:hAnsi="宋体" w:eastAsia="宋体" w:cs="宋体"/>
          <w:b w:val="0"/>
          <w:bCs w:val="0"/>
          <w:color w:val="auto"/>
          <w:sz w:val="21"/>
          <w:szCs w:val="21"/>
          <w:lang w:val="en-US" w:eastAsia="zh-CN" w:bidi="ar"/>
        </w:rPr>
        <w:t>服务质量评价</w:t>
      </w:r>
      <w:bookmarkEnd w:id="245"/>
    </w:p>
    <w:p w14:paraId="2DE01291">
      <w:pPr>
        <w:pStyle w:val="167"/>
      </w:pPr>
      <w:r>
        <w:rPr>
          <w:rFonts w:hint="eastAsia" w:ascii="宋体" w:hAnsi="宋体" w:eastAsia="宋体" w:cs="宋体"/>
          <w:b w:val="0"/>
          <w:bCs w:val="0"/>
          <w:color w:val="000000"/>
          <w:kern w:val="0"/>
          <w:sz w:val="21"/>
          <w:szCs w:val="21"/>
          <w:lang w:val="en-US" w:eastAsia="zh-CN" w:bidi="ar"/>
        </w:rPr>
        <w:t>托育机构定期开展家长满意度调查，重点评价健康管理、日常照护及沟通服务，作为服务质量评价重要依据。</w:t>
      </w:r>
    </w:p>
    <w:p w14:paraId="6D25F3B4">
      <w:pPr>
        <w:pStyle w:val="167"/>
      </w:pPr>
      <w:r>
        <w:rPr>
          <w:rFonts w:hint="eastAsia" w:ascii="宋体" w:hAnsi="宋体" w:eastAsia="宋体" w:cs="宋体"/>
          <w:b w:val="0"/>
          <w:bCs w:val="0"/>
          <w:color w:val="000000"/>
          <w:kern w:val="0"/>
          <w:sz w:val="21"/>
          <w:szCs w:val="21"/>
          <w:lang w:val="en-US" w:eastAsia="zh-CN" w:bidi="ar"/>
        </w:rPr>
        <w:t>将评价结果纳入医育结合服务持续改进体系，作为优化服务的重要参考。</w:t>
      </w:r>
    </w:p>
    <w:p w14:paraId="27F03A7E">
      <w:pPr>
        <w:pStyle w:val="107"/>
        <w:spacing w:before="156" w:after="156"/>
        <w:rPr>
          <w:rFonts w:hint="eastAsia" w:ascii="宋体" w:hAnsi="宋体" w:eastAsia="宋体" w:cs="宋体"/>
          <w:b/>
          <w:bCs/>
          <w:color w:val="000000"/>
          <w:sz w:val="21"/>
          <w:szCs w:val="21"/>
          <w:lang w:val="en-US" w:eastAsia="zh-CN" w:bidi="ar"/>
        </w:rPr>
      </w:pPr>
      <w:bookmarkStart w:id="246" w:name="_Toc18675"/>
      <w:r>
        <w:rPr>
          <w:rFonts w:hint="eastAsia" w:ascii="宋体" w:hAnsi="宋体" w:eastAsia="宋体" w:cs="宋体"/>
          <w:b w:val="0"/>
          <w:bCs w:val="0"/>
          <w:color w:val="auto"/>
          <w:sz w:val="21"/>
          <w:szCs w:val="21"/>
          <w:lang w:val="en-US" w:eastAsia="zh-CN" w:bidi="ar"/>
        </w:rPr>
        <w:t>专业能力考核</w:t>
      </w:r>
      <w:bookmarkEnd w:id="246"/>
    </w:p>
    <w:p w14:paraId="4A2EAA93">
      <w:pPr>
        <w:pStyle w:val="58"/>
        <w:ind w:firstLine="420"/>
      </w:pPr>
      <w:r>
        <w:rPr>
          <w:rFonts w:hint="eastAsia" w:ascii="宋体" w:hAnsi="宋体" w:eastAsia="宋体" w:cs="宋体"/>
          <w:b w:val="0"/>
          <w:bCs w:val="0"/>
          <w:color w:val="000000"/>
          <w:kern w:val="0"/>
          <w:sz w:val="21"/>
          <w:szCs w:val="21"/>
          <w:lang w:val="en-US" w:eastAsia="zh-CN" w:bidi="ar"/>
        </w:rPr>
        <w:t>专业能力考核参照从业人员专业能力要求，由从业人员主管部门组织实施。</w:t>
      </w:r>
    </w:p>
    <w:p w14:paraId="4FA126A5">
      <w:pPr>
        <w:pStyle w:val="107"/>
        <w:spacing w:before="156" w:after="156"/>
        <w:rPr>
          <w:rFonts w:hint="eastAsia" w:ascii="宋体" w:hAnsi="宋体" w:eastAsia="宋体" w:cs="宋体"/>
          <w:b/>
          <w:bCs/>
          <w:color w:val="000000"/>
          <w:sz w:val="21"/>
          <w:szCs w:val="21"/>
          <w:lang w:val="en-US" w:eastAsia="zh-CN" w:bidi="ar"/>
        </w:rPr>
      </w:pPr>
      <w:bookmarkStart w:id="247" w:name="_Toc2388"/>
      <w:r>
        <w:rPr>
          <w:rFonts w:hint="eastAsia" w:ascii="宋体" w:hAnsi="宋体" w:eastAsia="宋体" w:cs="宋体"/>
          <w:b w:val="0"/>
          <w:bCs w:val="0"/>
          <w:color w:val="auto"/>
          <w:sz w:val="21"/>
          <w:szCs w:val="21"/>
          <w:lang w:val="en-US" w:eastAsia="zh-CN" w:bidi="ar"/>
        </w:rPr>
        <w:t>机构服务质量监督评价</w:t>
      </w:r>
      <w:bookmarkEnd w:id="247"/>
    </w:p>
    <w:p w14:paraId="64CE9D3A">
      <w:pPr>
        <w:pStyle w:val="167"/>
      </w:pPr>
      <w:r>
        <w:rPr>
          <w:rFonts w:hint="eastAsia" w:ascii="宋体" w:hAnsi="宋体" w:eastAsia="宋体" w:cs="宋体"/>
          <w:b w:val="0"/>
          <w:bCs w:val="0"/>
          <w:color w:val="000000"/>
          <w:kern w:val="0"/>
          <w:sz w:val="21"/>
          <w:szCs w:val="21"/>
          <w:lang w:val="en-US" w:eastAsia="zh-CN" w:bidi="ar"/>
        </w:rPr>
        <w:t>托育机构应主动接受卫生健康行政部门及专业机构监督指导，定期开展服务质量评估。</w:t>
      </w:r>
    </w:p>
    <w:p w14:paraId="041C34DC">
      <w:pPr>
        <w:pStyle w:val="167"/>
      </w:pPr>
      <w:r>
        <w:rPr>
          <w:rFonts w:hint="eastAsia" w:ascii="宋体" w:hAnsi="宋体" w:eastAsia="宋体" w:cs="宋体"/>
          <w:b w:val="0"/>
          <w:bCs w:val="0"/>
          <w:color w:val="000000"/>
          <w:kern w:val="0"/>
          <w:sz w:val="21"/>
          <w:szCs w:val="21"/>
          <w:lang w:val="en-US" w:eastAsia="zh-CN" w:bidi="ar"/>
        </w:rPr>
        <w:t>建立内部自评 + 外部评估相结合的评价机制，综合研判机构整体服务质量。</w:t>
      </w:r>
    </w:p>
    <w:p w14:paraId="2EE1915F">
      <w:pPr>
        <w:pStyle w:val="167"/>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val="0"/>
          <w:bCs w:val="0"/>
          <w:color w:val="000000"/>
          <w:kern w:val="0"/>
          <w:sz w:val="21"/>
          <w:szCs w:val="21"/>
          <w:lang w:val="en-US" w:eastAsia="zh-CN" w:bidi="ar"/>
        </w:rPr>
        <w:t>对评估发现问题形成分析报告，制定整改措施并持续跟踪落实，持续提升服务水平。</w:t>
      </w:r>
    </w:p>
    <w:p w14:paraId="4AE784BC">
      <w:pPr>
        <w:pStyle w:val="78"/>
        <w:pageBreakBefore/>
        <w:numPr>
          <w:ilvl w:val="0"/>
          <w:numId w:val="0"/>
        </w:numPr>
        <w:spacing w:after="156"/>
        <w:ind w:left="0" w:firstLine="0" w:firstLineChars="0"/>
        <w:jc w:val="center"/>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ascii="Arial" w:hAnsi="Arial" w:eastAsia="Arial" w:cs="Arial"/>
          <w:snapToGrid w:val="0"/>
          <w:color w:val="0000FF"/>
          <w:spacing w:val="-9"/>
          <w:kern w:val="0"/>
          <w:sz w:val="22"/>
          <w:szCs w:val="22"/>
          <w:lang w:val="en-US" w:eastAsia="en-US" w:bidi="ar-SA"/>
        </w:rPr>
        <w:t>A</w:t>
      </w:r>
    </w:p>
    <w:p w14:paraId="614AD9FC">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1F75CC85">
      <w:pPr>
        <w:pStyle w:val="89"/>
      </w:pPr>
      <w:r>
        <w:rPr>
          <w:rFonts w:hint="default" w:ascii="黑体" w:hAnsi="黑体" w:eastAsia="黑体" w:cs="黑体"/>
          <w:b w:val="0"/>
          <w:bCs w:val="0"/>
          <w:snapToGrid w:val="0"/>
          <w:color w:val="000000"/>
          <w:spacing w:val="-10"/>
          <w:kern w:val="0"/>
          <w:sz w:val="22"/>
          <w:szCs w:val="22"/>
          <w:lang w:val="en-US" w:eastAsia="en-US" w:bidi="ar"/>
        </w:rPr>
        <w:t>婴幼儿膳食评估记录表</w:t>
      </w:r>
    </w:p>
    <w:p w14:paraId="56C77C14">
      <w:pPr>
        <w:widowControl/>
        <w:kinsoku w:val="0"/>
        <w:autoSpaceDE w:val="0"/>
        <w:autoSpaceDN w:val="0"/>
        <w:snapToGrid w:val="0"/>
        <w:spacing w:before="71" w:line="219" w:lineRule="auto"/>
        <w:ind w:left="405"/>
        <w:jc w:val="left"/>
        <w:textAlignment w:val="baseline"/>
        <w:rPr>
          <w:rFonts w:hint="default" w:ascii="宋体" w:hAnsi="宋体" w:eastAsia="宋体" w:cs="宋体"/>
          <w:snapToGrid w:val="0"/>
          <w:color w:val="000000"/>
          <w:spacing w:val="-9"/>
          <w:kern w:val="0"/>
          <w:sz w:val="22"/>
          <w:szCs w:val="22"/>
          <w:lang w:val="en-US" w:eastAsia="en-US" w:bidi="ar-SA"/>
        </w:rPr>
      </w:pPr>
    </w:p>
    <w:p w14:paraId="626993A3">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本附录给出了本文件所需使用的记录表样式，托育机构可结合实际工作需要增加栏目，但不得删改必备栏目，见表A.1。</w:t>
      </w:r>
    </w:p>
    <w:p w14:paraId="45B43E1A">
      <w:pPr>
        <w:pStyle w:val="79"/>
        <w:keepNext/>
        <w:numPr>
          <w:ilvl w:val="0"/>
          <w:numId w:val="0"/>
        </w:numPr>
        <w:spacing w:before="156" w:after="156"/>
      </w:pPr>
      <w:r>
        <w:rPr>
          <w:rFonts w:hint="eastAsia" w:ascii="宋体" w:hAnsi="宋体" w:eastAsia="宋体" w:cs="宋体"/>
          <w:b/>
          <w:bCs/>
          <w:kern w:val="0"/>
          <w:sz w:val="21"/>
          <w:szCs w:val="21"/>
          <w:lang w:val="en-US" w:eastAsia="zh-CN" w:bidi="ar"/>
        </w:rPr>
        <w:t>表A.1  婴幼儿膳食评估记录表（按月龄分阶段）</w:t>
      </w:r>
    </w:p>
    <w:tbl>
      <w:tblPr>
        <w:tblStyle w:val="28"/>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51"/>
        <w:gridCol w:w="2691"/>
        <w:gridCol w:w="2000"/>
        <w:gridCol w:w="1186"/>
        <w:gridCol w:w="2066"/>
      </w:tblGrid>
      <w:tr w14:paraId="11A4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441" w:type="dxa"/>
            <w:shd w:val="clear" w:color="auto" w:fill="auto"/>
          </w:tcPr>
          <w:p w14:paraId="7ADE3334">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婴幼儿姓名</w:t>
            </w:r>
          </w:p>
        </w:tc>
        <w:tc>
          <w:tcPr>
            <w:tcW w:w="2672" w:type="dxa"/>
            <w:shd w:val="clear" w:color="auto" w:fill="auto"/>
          </w:tcPr>
          <w:p w14:paraId="7AA29DFA">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月龄段</w:t>
            </w:r>
          </w:p>
        </w:tc>
        <w:tc>
          <w:tcPr>
            <w:tcW w:w="1986" w:type="dxa"/>
            <w:shd w:val="clear" w:color="auto" w:fill="auto"/>
          </w:tcPr>
          <w:p w14:paraId="023BF601">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评估日期</w:t>
            </w:r>
          </w:p>
        </w:tc>
        <w:tc>
          <w:tcPr>
            <w:tcW w:w="1178" w:type="dxa"/>
            <w:shd w:val="clear" w:color="auto" w:fill="auto"/>
          </w:tcPr>
          <w:p w14:paraId="626FB714">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评估人</w:t>
            </w:r>
          </w:p>
        </w:tc>
        <w:tc>
          <w:tcPr>
            <w:tcW w:w="2051" w:type="dxa"/>
            <w:shd w:val="clear" w:color="auto" w:fill="auto"/>
          </w:tcPr>
          <w:p w14:paraId="5B605BFE">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机构名称</w:t>
            </w:r>
          </w:p>
        </w:tc>
      </w:tr>
      <w:tr w14:paraId="2EBC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441" w:type="dxa"/>
            <w:shd w:val="clear" w:color="auto" w:fill="auto"/>
          </w:tcPr>
          <w:p w14:paraId="08F3F3EC">
            <w:pPr>
              <w:jc w:val="center"/>
              <w:rPr>
                <w:rFonts w:hint="default" w:ascii="Times New Roman" w:hAnsi="Times New Roman" w:eastAsia="宋体" w:cs="Times New Roman"/>
                <w:sz w:val="24"/>
                <w:szCs w:val="24"/>
                <w:vertAlign w:val="baseline"/>
                <w:lang w:val="en-US" w:eastAsia="zh-CN"/>
              </w:rPr>
            </w:pPr>
          </w:p>
        </w:tc>
        <w:tc>
          <w:tcPr>
            <w:tcW w:w="2672" w:type="dxa"/>
            <w:shd w:val="clear" w:color="auto" w:fill="auto"/>
          </w:tcPr>
          <w:p w14:paraId="2205BEEE">
            <w:pPr>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6～12月龄</w:t>
            </w:r>
          </w:p>
          <w:p w14:paraId="78D3383B">
            <w:pPr>
              <w:jc w:val="center"/>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12～24月龄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24～36月龄</w:t>
            </w:r>
          </w:p>
        </w:tc>
        <w:tc>
          <w:tcPr>
            <w:tcW w:w="1986" w:type="dxa"/>
            <w:shd w:val="clear" w:color="auto" w:fill="auto"/>
          </w:tcPr>
          <w:p w14:paraId="6DF665C2">
            <w:pPr>
              <w:jc w:val="center"/>
              <w:rPr>
                <w:rFonts w:hint="default" w:ascii="Times New Roman" w:hAnsi="Times New Roman" w:eastAsia="宋体" w:cs="Times New Roman"/>
                <w:sz w:val="24"/>
                <w:szCs w:val="24"/>
                <w:vertAlign w:val="baseline"/>
                <w:lang w:val="en-US" w:eastAsia="zh-CN"/>
              </w:rPr>
            </w:pPr>
          </w:p>
        </w:tc>
        <w:tc>
          <w:tcPr>
            <w:tcW w:w="1178" w:type="dxa"/>
            <w:shd w:val="clear" w:color="auto" w:fill="auto"/>
          </w:tcPr>
          <w:p w14:paraId="2BF9D516">
            <w:pPr>
              <w:jc w:val="center"/>
              <w:rPr>
                <w:rFonts w:hint="default" w:ascii="Times New Roman" w:hAnsi="Times New Roman" w:eastAsia="宋体" w:cs="Times New Roman"/>
                <w:sz w:val="24"/>
                <w:szCs w:val="24"/>
                <w:vertAlign w:val="baseline"/>
                <w:lang w:val="en-US" w:eastAsia="zh-CN"/>
              </w:rPr>
            </w:pPr>
          </w:p>
        </w:tc>
        <w:tc>
          <w:tcPr>
            <w:tcW w:w="2051" w:type="dxa"/>
            <w:shd w:val="clear" w:color="auto" w:fill="auto"/>
          </w:tcPr>
          <w:p w14:paraId="5B5E9DFB">
            <w:pPr>
              <w:jc w:val="center"/>
              <w:rPr>
                <w:rFonts w:hint="default" w:ascii="Times New Roman" w:hAnsi="Times New Roman" w:eastAsia="宋体" w:cs="Times New Roman"/>
                <w:sz w:val="24"/>
                <w:szCs w:val="24"/>
                <w:vertAlign w:val="baseline"/>
                <w:lang w:val="en-US" w:eastAsia="zh-CN"/>
              </w:rPr>
            </w:pPr>
          </w:p>
        </w:tc>
      </w:tr>
      <w:tr w14:paraId="3D26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441" w:type="dxa"/>
            <w:shd w:val="clear" w:color="auto" w:fill="auto"/>
            <w:vAlign w:val="center"/>
          </w:tcPr>
          <w:p w14:paraId="3A5A0848">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评估项目</w:t>
            </w:r>
          </w:p>
        </w:tc>
        <w:tc>
          <w:tcPr>
            <w:tcW w:w="2672" w:type="dxa"/>
            <w:shd w:val="clear" w:color="auto" w:fill="auto"/>
            <w:vAlign w:val="center"/>
          </w:tcPr>
          <w:p w14:paraId="15C928FC">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评估内容</w:t>
            </w:r>
          </w:p>
        </w:tc>
        <w:tc>
          <w:tcPr>
            <w:tcW w:w="1986" w:type="dxa"/>
            <w:shd w:val="clear" w:color="auto" w:fill="auto"/>
            <w:vAlign w:val="center"/>
          </w:tcPr>
          <w:p w14:paraId="349626E0">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评估结果</w:t>
            </w:r>
          </w:p>
        </w:tc>
        <w:tc>
          <w:tcPr>
            <w:tcW w:w="3229" w:type="dxa"/>
            <w:gridSpan w:val="2"/>
            <w:shd w:val="clear" w:color="auto" w:fill="auto"/>
            <w:vAlign w:val="center"/>
          </w:tcPr>
          <w:p w14:paraId="390713BD">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备注</w:t>
            </w:r>
          </w:p>
        </w:tc>
      </w:tr>
      <w:tr w14:paraId="11DD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3A298AA6">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母乳/奶量</w:t>
            </w:r>
          </w:p>
        </w:tc>
        <w:tc>
          <w:tcPr>
            <w:tcW w:w="2672" w:type="dxa"/>
            <w:shd w:val="clear" w:color="auto" w:fill="auto"/>
            <w:vAlign w:val="center"/>
          </w:tcPr>
          <w:p w14:paraId="33D8FD4C">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是否坚持母乳喂养 / 每日奶量是否达标</w:t>
            </w:r>
          </w:p>
        </w:tc>
        <w:tc>
          <w:tcPr>
            <w:tcW w:w="1986" w:type="dxa"/>
            <w:shd w:val="clear" w:color="auto" w:fill="auto"/>
            <w:vAlign w:val="center"/>
          </w:tcPr>
          <w:p w14:paraId="0870CBED">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 /</w:t>
            </w:r>
          </w:p>
          <w:p w14:paraId="178AAD7A">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达标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不达标</w:t>
            </w:r>
          </w:p>
        </w:tc>
        <w:tc>
          <w:tcPr>
            <w:tcW w:w="3229" w:type="dxa"/>
            <w:gridSpan w:val="2"/>
            <w:shd w:val="clear" w:color="auto" w:fill="auto"/>
            <w:vAlign w:val="center"/>
          </w:tcPr>
          <w:p w14:paraId="41789A26">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目标奶量：6～12月龄≥600mL；12～24月龄400～600mL</w:t>
            </w:r>
            <w:r>
              <w:rPr>
                <w:rFonts w:hint="eastAsia" w:ascii="Times New Roman" w:hAnsi="Times New Roman" w:eastAsia="宋体" w:cs="Times New Roman"/>
                <w:kern w:val="0"/>
                <w:sz w:val="24"/>
                <w:szCs w:val="24"/>
                <w:lang w:val="en-US" w:eastAsia="zh-CN" w:bidi="ar"/>
              </w:rPr>
              <w:t>；24</w:t>
            </w:r>
            <w:r>
              <w:rPr>
                <w:rFonts w:hint="default" w:ascii="Times New Roman" w:hAnsi="Times New Roman" w:eastAsia="宋体" w:cs="Times New Roman"/>
                <w:kern w:val="0"/>
                <w:sz w:val="24"/>
                <w:szCs w:val="24"/>
                <w:lang w:val="en-US" w:eastAsia="zh-CN" w:bidi="ar"/>
              </w:rPr>
              <w:t>～</w:t>
            </w:r>
            <w:r>
              <w:rPr>
                <w:rFonts w:hint="eastAsia" w:ascii="Times New Roman" w:hAnsi="Times New Roman" w:eastAsia="宋体" w:cs="Times New Roman"/>
                <w:kern w:val="0"/>
                <w:sz w:val="24"/>
                <w:szCs w:val="24"/>
                <w:lang w:val="en-US" w:eastAsia="zh-CN" w:bidi="ar"/>
              </w:rPr>
              <w:t>36</w:t>
            </w:r>
            <w:r>
              <w:rPr>
                <w:rFonts w:hint="default" w:ascii="Times New Roman" w:hAnsi="Times New Roman" w:eastAsia="宋体" w:cs="Times New Roman"/>
                <w:kern w:val="0"/>
                <w:sz w:val="24"/>
                <w:szCs w:val="24"/>
                <w:lang w:val="en-US" w:eastAsia="zh-CN" w:bidi="ar"/>
              </w:rPr>
              <w:t>月龄</w:t>
            </w:r>
            <w:r>
              <w:rPr>
                <w:rFonts w:hint="eastAsia" w:ascii="Times New Roman" w:hAnsi="Times New Roman" w:eastAsia="宋体" w:cs="Times New Roman"/>
                <w:kern w:val="0"/>
                <w:sz w:val="24"/>
                <w:szCs w:val="24"/>
                <w:lang w:val="en-US" w:eastAsia="zh-CN" w:bidi="ar"/>
              </w:rPr>
              <w:t xml:space="preserve"> 3</w:t>
            </w:r>
            <w:r>
              <w:rPr>
                <w:rFonts w:hint="default" w:ascii="Times New Roman" w:hAnsi="Times New Roman" w:eastAsia="宋体" w:cs="Times New Roman"/>
                <w:kern w:val="0"/>
                <w:sz w:val="24"/>
                <w:szCs w:val="24"/>
                <w:lang w:val="en-US" w:eastAsia="zh-CN" w:bidi="ar"/>
              </w:rPr>
              <w:t>00～</w:t>
            </w:r>
            <w:r>
              <w:rPr>
                <w:rFonts w:hint="eastAsia" w:ascii="Times New Roman" w:hAnsi="Times New Roman" w:eastAsia="宋体" w:cs="Times New Roman"/>
                <w:kern w:val="0"/>
                <w:sz w:val="24"/>
                <w:szCs w:val="24"/>
                <w:lang w:val="en-US" w:eastAsia="zh-CN" w:bidi="ar"/>
              </w:rPr>
              <w:t>5</w:t>
            </w:r>
            <w:r>
              <w:rPr>
                <w:rFonts w:hint="default" w:ascii="Times New Roman" w:hAnsi="Times New Roman" w:eastAsia="宋体" w:cs="Times New Roman"/>
                <w:kern w:val="0"/>
                <w:sz w:val="24"/>
                <w:szCs w:val="24"/>
                <w:lang w:val="en-US" w:eastAsia="zh-CN" w:bidi="ar"/>
              </w:rPr>
              <w:t>00mL</w:t>
            </w:r>
          </w:p>
        </w:tc>
      </w:tr>
      <w:tr w14:paraId="0B02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3980A6A2">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辅食添加</w:t>
            </w:r>
          </w:p>
        </w:tc>
        <w:tc>
          <w:tcPr>
            <w:tcW w:w="2672" w:type="dxa"/>
            <w:shd w:val="clear" w:color="auto" w:fill="auto"/>
            <w:vAlign w:val="center"/>
          </w:tcPr>
          <w:p w14:paraId="0064CF43">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是否按时、按序添加辅食</w:t>
            </w:r>
          </w:p>
        </w:tc>
        <w:tc>
          <w:tcPr>
            <w:tcW w:w="1986" w:type="dxa"/>
            <w:shd w:val="clear" w:color="auto" w:fill="auto"/>
            <w:vAlign w:val="center"/>
          </w:tcPr>
          <w:p w14:paraId="5D608443">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vAlign w:val="center"/>
          </w:tcPr>
          <w:p w14:paraId="172B7FF8">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缺铁食物优先：强化铁米粉、</w:t>
            </w:r>
            <w:r>
              <w:rPr>
                <w:rFonts w:hint="eastAsia" w:ascii="Times New Roman" w:hAnsi="Times New Roman" w:eastAsia="宋体" w:cs="Times New Roman"/>
                <w:kern w:val="0"/>
                <w:sz w:val="24"/>
                <w:szCs w:val="24"/>
                <w:lang w:val="en-US" w:eastAsia="zh-CN" w:bidi="ar"/>
              </w:rPr>
              <w:t>肉泥、</w:t>
            </w:r>
            <w:r>
              <w:rPr>
                <w:rFonts w:hint="default" w:ascii="Times New Roman" w:hAnsi="Times New Roman" w:eastAsia="宋体" w:cs="Times New Roman"/>
                <w:kern w:val="0"/>
                <w:sz w:val="24"/>
                <w:szCs w:val="24"/>
                <w:lang w:val="en-US" w:eastAsia="zh-CN" w:bidi="ar"/>
              </w:rPr>
              <w:t>肝泥等</w:t>
            </w:r>
          </w:p>
        </w:tc>
      </w:tr>
      <w:tr w14:paraId="77A2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441" w:type="dxa"/>
            <w:shd w:val="clear" w:color="auto" w:fill="auto"/>
            <w:vAlign w:val="center"/>
          </w:tcPr>
          <w:p w14:paraId="244E8212">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食物种类</w:t>
            </w:r>
          </w:p>
        </w:tc>
        <w:tc>
          <w:tcPr>
            <w:tcW w:w="2672" w:type="dxa"/>
            <w:shd w:val="clear" w:color="auto" w:fill="auto"/>
            <w:vAlign w:val="center"/>
          </w:tcPr>
          <w:p w14:paraId="4BAF72B5">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每日是否≥12种 / 每周是否≥25种</w:t>
            </w:r>
          </w:p>
        </w:tc>
        <w:tc>
          <w:tcPr>
            <w:tcW w:w="1986" w:type="dxa"/>
            <w:shd w:val="clear" w:color="auto" w:fill="auto"/>
            <w:vAlign w:val="center"/>
          </w:tcPr>
          <w:p w14:paraId="40515346">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vAlign w:val="center"/>
          </w:tcPr>
          <w:p w14:paraId="7D5E47EF">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需记录食物清单</w:t>
            </w:r>
          </w:p>
        </w:tc>
      </w:tr>
      <w:tr w14:paraId="7FD7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02FCD4A8">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餐次安排</w:t>
            </w:r>
          </w:p>
        </w:tc>
        <w:tc>
          <w:tcPr>
            <w:tcW w:w="2672" w:type="dxa"/>
            <w:shd w:val="clear" w:color="auto" w:fill="auto"/>
            <w:vAlign w:val="center"/>
          </w:tcPr>
          <w:p w14:paraId="405CDA2E">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是否提供三餐两点</w:t>
            </w:r>
          </w:p>
        </w:tc>
        <w:tc>
          <w:tcPr>
            <w:tcW w:w="1986" w:type="dxa"/>
            <w:shd w:val="clear" w:color="auto" w:fill="auto"/>
            <w:vAlign w:val="center"/>
          </w:tcPr>
          <w:p w14:paraId="56CD2114">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vAlign w:val="center"/>
          </w:tcPr>
          <w:p w14:paraId="187D191D">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能量分配：早30%、午40%、晚30%</w:t>
            </w:r>
          </w:p>
        </w:tc>
      </w:tr>
      <w:tr w14:paraId="21DD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6C522780">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进餐行为</w:t>
            </w:r>
          </w:p>
        </w:tc>
        <w:tc>
          <w:tcPr>
            <w:tcW w:w="2672" w:type="dxa"/>
            <w:shd w:val="clear" w:color="auto" w:fill="auto"/>
            <w:vAlign w:val="center"/>
          </w:tcPr>
          <w:p w14:paraId="03850A57">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是否鼓励自主进食、回应式喂养</w:t>
            </w:r>
          </w:p>
        </w:tc>
        <w:tc>
          <w:tcPr>
            <w:tcW w:w="1986" w:type="dxa"/>
            <w:shd w:val="clear" w:color="auto" w:fill="auto"/>
            <w:vAlign w:val="center"/>
          </w:tcPr>
          <w:p w14:paraId="1106C4CC">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vAlign w:val="center"/>
          </w:tcPr>
          <w:p w14:paraId="0DD14E2F">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观察是否拒绝、挑食、暴食</w:t>
            </w:r>
          </w:p>
        </w:tc>
      </w:tr>
      <w:tr w14:paraId="5101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1FF6A0C0">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特殊膳食</w:t>
            </w:r>
          </w:p>
        </w:tc>
        <w:tc>
          <w:tcPr>
            <w:tcW w:w="2672" w:type="dxa"/>
            <w:shd w:val="clear" w:color="auto" w:fill="auto"/>
            <w:vAlign w:val="center"/>
          </w:tcPr>
          <w:p w14:paraId="3DCACCE6">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是否有过敏、贫血、肥胖等特殊需求</w:t>
            </w:r>
          </w:p>
        </w:tc>
        <w:tc>
          <w:tcPr>
            <w:tcW w:w="1986" w:type="dxa"/>
            <w:shd w:val="clear" w:color="auto" w:fill="auto"/>
            <w:vAlign w:val="center"/>
          </w:tcPr>
          <w:p w14:paraId="36183D84">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无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有（请填写）</w:t>
            </w:r>
          </w:p>
        </w:tc>
        <w:tc>
          <w:tcPr>
            <w:tcW w:w="3229" w:type="dxa"/>
            <w:gridSpan w:val="2"/>
            <w:shd w:val="clear" w:color="auto" w:fill="auto"/>
            <w:vAlign w:val="center"/>
          </w:tcPr>
          <w:p w14:paraId="6882B63B">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需附医疗机构建议</w:t>
            </w:r>
          </w:p>
        </w:tc>
      </w:tr>
      <w:tr w14:paraId="68B4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1" w:type="dxa"/>
            <w:shd w:val="clear" w:color="auto" w:fill="auto"/>
            <w:vAlign w:val="center"/>
          </w:tcPr>
          <w:p w14:paraId="638A598C">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营养评估</w:t>
            </w:r>
          </w:p>
        </w:tc>
        <w:tc>
          <w:tcPr>
            <w:tcW w:w="2672" w:type="dxa"/>
            <w:shd w:val="clear" w:color="auto" w:fill="auto"/>
            <w:vAlign w:val="center"/>
          </w:tcPr>
          <w:p w14:paraId="59A918C8">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身高、体重、血红蛋白等是否达标</w:t>
            </w:r>
          </w:p>
        </w:tc>
        <w:tc>
          <w:tcPr>
            <w:tcW w:w="1986" w:type="dxa"/>
            <w:shd w:val="clear" w:color="auto" w:fill="auto"/>
            <w:vAlign w:val="center"/>
          </w:tcPr>
          <w:p w14:paraId="749E5A07">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vAlign w:val="center"/>
          </w:tcPr>
          <w:p w14:paraId="57167965">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每季度评估1次</w:t>
            </w:r>
          </w:p>
        </w:tc>
      </w:tr>
      <w:tr w14:paraId="4DD2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441" w:type="dxa"/>
            <w:shd w:val="clear" w:color="auto" w:fill="auto"/>
            <w:vAlign w:val="center"/>
          </w:tcPr>
          <w:p w14:paraId="782F59EF">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Style w:val="31"/>
                <w:rFonts w:hint="default" w:ascii="Times New Roman" w:hAnsi="Times New Roman" w:eastAsia="宋体" w:cs="Times New Roman"/>
                <w:b/>
                <w:bCs/>
                <w:kern w:val="0"/>
                <w:sz w:val="24"/>
                <w:szCs w:val="24"/>
                <w:lang w:val="en-US" w:eastAsia="zh-CN" w:bidi="ar"/>
              </w:rPr>
              <w:t>家长沟通</w:t>
            </w:r>
          </w:p>
        </w:tc>
        <w:tc>
          <w:tcPr>
            <w:tcW w:w="2672" w:type="dxa"/>
            <w:shd w:val="clear" w:color="auto" w:fill="auto"/>
            <w:vAlign w:val="center"/>
          </w:tcPr>
          <w:p w14:paraId="517A5C78">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kern w:val="0"/>
                <w:sz w:val="24"/>
                <w:szCs w:val="24"/>
                <w:lang w:val="en-US" w:eastAsia="zh-CN" w:bidi="ar"/>
              </w:rPr>
              <w:t>是否每周反馈膳食记录</w:t>
            </w:r>
          </w:p>
        </w:tc>
        <w:tc>
          <w:tcPr>
            <w:tcW w:w="1986" w:type="dxa"/>
            <w:shd w:val="clear" w:color="auto" w:fill="auto"/>
            <w:vAlign w:val="center"/>
          </w:tcPr>
          <w:p w14:paraId="266985B7">
            <w:pPr>
              <w:keepNext w:val="0"/>
              <w:keepLines w:val="0"/>
              <w:widowControl/>
              <w:suppressLineNumbers w:val="0"/>
              <w:jc w:val="left"/>
              <w:rPr>
                <w:rFonts w:hint="default" w:ascii="Times New Roman" w:hAnsi="Times New Roman" w:eastAsia="宋体" w:cs="Times New Roman"/>
                <w:sz w:val="24"/>
                <w:szCs w:val="24"/>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3229" w:type="dxa"/>
            <w:gridSpan w:val="2"/>
            <w:shd w:val="clear" w:color="auto" w:fill="auto"/>
          </w:tcPr>
          <w:p w14:paraId="1C767D56">
            <w:pPr>
              <w:jc w:val="center"/>
              <w:rPr>
                <w:rFonts w:hint="default" w:ascii="Times New Roman" w:hAnsi="Times New Roman" w:eastAsia="宋体" w:cs="Times New Roman"/>
                <w:sz w:val="24"/>
                <w:szCs w:val="24"/>
                <w:vertAlign w:val="baseline"/>
                <w:lang w:val="en-US" w:eastAsia="zh-CN"/>
              </w:rPr>
            </w:pPr>
          </w:p>
        </w:tc>
      </w:tr>
    </w:tbl>
    <w:p w14:paraId="48104B83">
      <w:pPr>
        <w:pStyle w:val="58"/>
        <w:keepNext/>
        <w:ind w:firstLine="420"/>
      </w:pPr>
      <w:r>
        <w:rPr>
          <w:rFonts w:ascii="宋体" w:hAnsi="宋体" w:eastAsia="宋体" w:cs="宋体"/>
          <w:b/>
          <w:bCs/>
          <w:color w:val="000000"/>
          <w:sz w:val="21"/>
          <w:szCs w:val="21"/>
          <w:lang w:val="en-US" w:eastAsia="zh-CN"/>
        </w:rPr>
        <w:t>评估结论：</w:t>
      </w:r>
    </w:p>
    <w:p w14:paraId="45BCE824">
      <w:pPr>
        <w:pStyle w:val="58"/>
        <w:keepNext/>
        <w:ind w:firstLine="420"/>
      </w:pPr>
      <w:r>
        <w:rPr>
          <w:rFonts w:ascii="宋体" w:hAnsi="宋体" w:eastAsia="宋体" w:cs="宋体"/>
          <w:b w:val="0"/>
          <w:bCs w:val="0"/>
          <w:color w:val="000000"/>
          <w:sz w:val="21"/>
          <w:szCs w:val="21"/>
          <w:lang w:eastAsia="zh-CN"/>
        </w:rPr>
        <w:t>□</w:t>
      </w:r>
      <w:r>
        <w:rPr>
          <w:rFonts w:ascii="宋体" w:hAnsi="宋体" w:eastAsia="宋体" w:cs="宋体"/>
          <w:b w:val="0"/>
          <w:bCs w:val="0"/>
          <w:color w:val="000000"/>
          <w:sz w:val="21"/>
          <w:szCs w:val="21"/>
        </w:rPr>
        <w:t>营养均衡，继续维持</w:t>
      </w:r>
      <w:r>
        <w:rPr>
          <w:rFonts w:ascii="宋体" w:hAnsi="宋体" w:eastAsia="宋体" w:cs="宋体"/>
          <w:b w:val="0"/>
          <w:bCs w:val="0"/>
          <w:color w:val="000000"/>
          <w:sz w:val="21"/>
          <w:szCs w:val="21"/>
        </w:rPr>
        <w:br w:type="textWrapping"/>
      </w:r>
      <w:r>
        <w:rPr>
          <w:rFonts w:ascii="宋体" w:hAnsi="宋体" w:eastAsia="宋体" w:cs="宋体"/>
          <w:b w:val="0"/>
          <w:bCs w:val="0"/>
          <w:color w:val="000000"/>
          <w:sz w:val="21"/>
          <w:szCs w:val="21"/>
          <w:lang w:eastAsia="zh-CN"/>
        </w:rPr>
        <w:t>□</w:t>
      </w:r>
      <w:r>
        <w:rPr>
          <w:rFonts w:ascii="宋体" w:hAnsi="宋体" w:eastAsia="宋体" w:cs="宋体"/>
          <w:b w:val="0"/>
          <w:bCs w:val="0"/>
          <w:color w:val="000000"/>
          <w:sz w:val="21"/>
          <w:szCs w:val="21"/>
        </w:rPr>
        <w:t>需调整食谱（原因：</w:t>
      </w:r>
      <w:r>
        <w:rPr>
          <w:rFonts w:ascii="宋体" w:hAnsi="宋体" w:eastAsia="宋体" w:cs="宋体"/>
          <w:b w:val="0"/>
          <w:bCs w:val="0"/>
          <w:color w:val="000000"/>
          <w:sz w:val="21"/>
          <w:szCs w:val="21"/>
          <w:lang w:val="en-US" w:eastAsia="zh-CN"/>
        </w:rPr>
        <w:t xml:space="preserve">                                           </w:t>
      </w:r>
      <w:r>
        <w:rPr>
          <w:rStyle w:val="31"/>
          <w:rFonts w:ascii="宋体" w:hAnsi="宋体" w:eastAsia="宋体" w:cs="宋体"/>
          <w:b w:val="0"/>
          <w:bCs w:val="0"/>
          <w:color w:val="000000"/>
          <w:sz w:val="21"/>
          <w:szCs w:val="21"/>
        </w:rPr>
        <w:t>）</w:t>
      </w:r>
      <w:r>
        <w:rPr>
          <w:rStyle w:val="31"/>
          <w:rFonts w:ascii="宋体" w:hAnsi="宋体" w:eastAsia="宋体" w:cs="宋体"/>
          <w:b w:val="0"/>
          <w:bCs w:val="0"/>
          <w:color w:val="000000"/>
          <w:sz w:val="21"/>
          <w:szCs w:val="21"/>
        </w:rPr>
        <w:br w:type="textWrapping"/>
      </w:r>
      <w:r>
        <w:rPr>
          <w:rStyle w:val="31"/>
          <w:rFonts w:ascii="宋体" w:hAnsi="宋体" w:eastAsia="宋体" w:cs="宋体"/>
          <w:b w:val="0"/>
          <w:bCs w:val="0"/>
          <w:color w:val="000000"/>
          <w:sz w:val="21"/>
          <w:szCs w:val="21"/>
          <w:lang w:eastAsia="zh-CN"/>
        </w:rPr>
        <w:t>□</w:t>
      </w:r>
      <w:r>
        <w:rPr>
          <w:rStyle w:val="31"/>
          <w:rFonts w:ascii="宋体" w:hAnsi="宋体" w:eastAsia="宋体" w:cs="宋体"/>
          <w:b w:val="0"/>
          <w:bCs w:val="0"/>
          <w:color w:val="000000"/>
          <w:sz w:val="21"/>
          <w:szCs w:val="21"/>
        </w:rPr>
        <w:t>需医疗机构介入（原因：</w:t>
      </w:r>
      <w:r>
        <w:rPr>
          <w:rStyle w:val="31"/>
          <w:rFonts w:ascii="宋体" w:hAnsi="宋体" w:eastAsia="宋体" w:cs="宋体"/>
          <w:b w:val="0"/>
          <w:bCs w:val="0"/>
          <w:color w:val="000000"/>
          <w:sz w:val="21"/>
          <w:szCs w:val="21"/>
          <w:lang w:val="en-US" w:eastAsia="zh-CN"/>
        </w:rPr>
        <w:t xml:space="preserve">                                       </w:t>
      </w:r>
      <w:r>
        <w:rPr>
          <w:rFonts w:ascii="宋体" w:hAnsi="宋体" w:eastAsia="宋体" w:cs="宋体"/>
          <w:b w:val="0"/>
          <w:bCs w:val="0"/>
          <w:color w:val="000000"/>
          <w:sz w:val="21"/>
          <w:szCs w:val="21"/>
        </w:rPr>
        <w:t>）</w:t>
      </w:r>
    </w:p>
    <w:p w14:paraId="276154A8">
      <w:pPr>
        <w:pStyle w:val="58"/>
        <w:keepNext/>
        <w:ind w:firstLine="420"/>
      </w:pPr>
    </w:p>
    <w:p w14:paraId="10491353">
      <w:pPr>
        <w:pStyle w:val="58"/>
        <w:ind w:firstLine="420"/>
      </w:pPr>
      <w:r>
        <w:rPr>
          <w:rFonts w:ascii="宋体" w:hAnsi="宋体" w:eastAsia="宋体" w:cs="宋体"/>
          <w:color w:val="000000"/>
          <w:sz w:val="21"/>
          <w:szCs w:val="21"/>
          <w:lang w:val="en-US" w:eastAsia="zh-CN"/>
        </w:rPr>
        <w:t xml:space="preserve"> </w:t>
      </w:r>
      <w:r>
        <w:rPr>
          <w:rStyle w:val="31"/>
          <w:rFonts w:ascii="宋体" w:hAnsi="宋体" w:eastAsia="宋体" w:cs="宋体"/>
          <w:b/>
          <w:bCs/>
          <w:color w:val="000000"/>
          <w:sz w:val="21"/>
          <w:szCs w:val="21"/>
        </w:rPr>
        <w:t>签字：</w:t>
      </w:r>
      <w:r>
        <w:rPr>
          <w:rFonts w:ascii="宋体" w:hAnsi="宋体" w:eastAsia="宋体" w:cs="宋体"/>
          <w:color w:val="000000"/>
          <w:sz w:val="21"/>
          <w:szCs w:val="21"/>
        </w:rPr>
        <w:t> 卫生保健人员：______ 家长：______ 医疗机构人员：______</w:t>
      </w:r>
    </w:p>
    <w:p w14:paraId="106A5D26">
      <w:pPr>
        <w:pStyle w:val="78"/>
        <w:pageBreakBefore/>
        <w:numPr>
          <w:ilvl w:val="0"/>
          <w:numId w:val="0"/>
        </w:numPr>
        <w:spacing w:after="156"/>
        <w:ind w:left="0" w:firstLine="0" w:firstLineChars="0"/>
        <w:jc w:val="center"/>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ascii="Arial" w:hAnsi="Arial" w:eastAsia="Arial" w:cs="Arial"/>
          <w:snapToGrid w:val="0"/>
          <w:color w:val="0000FF"/>
          <w:spacing w:val="-9"/>
          <w:kern w:val="0"/>
          <w:sz w:val="22"/>
          <w:szCs w:val="22"/>
          <w:lang w:val="en-US" w:eastAsia="en-US" w:bidi="ar-SA"/>
        </w:rPr>
        <w:t>B</w:t>
      </w:r>
    </w:p>
    <w:p w14:paraId="7F23C64A">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(规范性)</w:t>
      </w:r>
    </w:p>
    <w:p w14:paraId="14BD4EFD">
      <w:pPr>
        <w:pStyle w:val="89"/>
      </w:pPr>
      <w:r>
        <w:rPr>
          <w:rFonts w:hint="default" w:ascii="黑体" w:hAnsi="黑体" w:eastAsia="黑体" w:cs="黑体"/>
          <w:b w:val="0"/>
          <w:bCs w:val="0"/>
          <w:snapToGrid w:val="0"/>
          <w:color w:val="000000"/>
          <w:spacing w:val="-10"/>
          <w:kern w:val="0"/>
          <w:sz w:val="22"/>
          <w:szCs w:val="22"/>
          <w:lang w:val="en-US" w:eastAsia="en-US" w:bidi="ar"/>
        </w:rPr>
        <w:t>特殊膳食管理台账</w:t>
      </w:r>
    </w:p>
    <w:p w14:paraId="3927D2F0">
      <w:pPr>
        <w:widowControl/>
        <w:kinsoku w:val="0"/>
        <w:autoSpaceDE w:val="0"/>
        <w:autoSpaceDN w:val="0"/>
        <w:snapToGrid w:val="0"/>
        <w:spacing w:before="71" w:line="219" w:lineRule="auto"/>
        <w:ind w:left="405"/>
        <w:jc w:val="left"/>
        <w:textAlignment w:val="baseline"/>
        <w:rPr>
          <w:rFonts w:hint="default" w:ascii="宋体" w:hAnsi="宋体" w:eastAsia="宋体" w:cs="宋体"/>
          <w:snapToGrid w:val="0"/>
          <w:color w:val="000000"/>
          <w:spacing w:val="-9"/>
          <w:kern w:val="0"/>
          <w:sz w:val="22"/>
          <w:szCs w:val="22"/>
          <w:lang w:val="en-US" w:eastAsia="en-US" w:bidi="ar-SA"/>
        </w:rPr>
      </w:pPr>
    </w:p>
    <w:p w14:paraId="5AD9090B">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本附录给出了本文件所需使用的记录表样式，托育机构可结合实际工作需要增加栏目，但不得删改必备栏目，见表B.1。</w:t>
      </w:r>
    </w:p>
    <w:p w14:paraId="7620A119">
      <w:pPr>
        <w:pStyle w:val="79"/>
        <w:keepNext/>
        <w:numPr>
          <w:ilvl w:val="0"/>
          <w:numId w:val="0"/>
        </w:numPr>
        <w:spacing w:before="156" w:after="156"/>
      </w:pPr>
      <w:r>
        <w:rPr>
          <w:rFonts w:hint="eastAsia" w:ascii="宋体" w:hAnsi="宋体" w:eastAsia="宋体" w:cs="宋体"/>
          <w:b/>
          <w:bCs/>
          <w:kern w:val="0"/>
          <w:sz w:val="21"/>
          <w:szCs w:val="21"/>
          <w:lang w:val="en-US" w:eastAsia="zh-CN" w:bidi="ar"/>
        </w:rPr>
        <w:t>表B.1  特殊膳食登记表</w:t>
      </w:r>
    </w:p>
    <w:tbl>
      <w:tblPr>
        <w:tblStyle w:val="28"/>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94"/>
        <w:gridCol w:w="826"/>
        <w:gridCol w:w="1498"/>
        <w:gridCol w:w="1317"/>
        <w:gridCol w:w="1230"/>
        <w:gridCol w:w="1230"/>
        <w:gridCol w:w="1999"/>
      </w:tblGrid>
      <w:tr w14:paraId="31E4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82" w:type="dxa"/>
            <w:shd w:val="clear" w:color="auto" w:fill="auto"/>
            <w:vAlign w:val="center"/>
          </w:tcPr>
          <w:p w14:paraId="1639FA6F">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婴幼儿姓名</w:t>
            </w:r>
          </w:p>
        </w:tc>
        <w:tc>
          <w:tcPr>
            <w:tcW w:w="818" w:type="dxa"/>
            <w:shd w:val="clear" w:color="auto" w:fill="auto"/>
            <w:vAlign w:val="center"/>
          </w:tcPr>
          <w:p w14:paraId="50495FF6">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月龄</w:t>
            </w:r>
          </w:p>
        </w:tc>
        <w:tc>
          <w:tcPr>
            <w:tcW w:w="1484" w:type="dxa"/>
            <w:shd w:val="clear" w:color="auto" w:fill="auto"/>
            <w:vAlign w:val="center"/>
          </w:tcPr>
          <w:p w14:paraId="3BB177E7">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特殊类型</w:t>
            </w:r>
          </w:p>
        </w:tc>
        <w:tc>
          <w:tcPr>
            <w:tcW w:w="1305" w:type="dxa"/>
            <w:shd w:val="clear" w:color="auto" w:fill="auto"/>
            <w:vAlign w:val="center"/>
          </w:tcPr>
          <w:p w14:paraId="75AFFE53">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医疗机构诊断/建议</w:t>
            </w:r>
          </w:p>
        </w:tc>
        <w:tc>
          <w:tcPr>
            <w:tcW w:w="1218" w:type="dxa"/>
            <w:shd w:val="clear" w:color="auto" w:fill="auto"/>
            <w:vAlign w:val="center"/>
          </w:tcPr>
          <w:p w14:paraId="41FB994C">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膳食要求</w:t>
            </w:r>
          </w:p>
        </w:tc>
        <w:tc>
          <w:tcPr>
            <w:tcW w:w="1218" w:type="dxa"/>
            <w:shd w:val="clear" w:color="auto" w:fill="auto"/>
            <w:vAlign w:val="center"/>
          </w:tcPr>
          <w:p w14:paraId="186C8AAF">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登记日期</w:t>
            </w:r>
          </w:p>
        </w:tc>
        <w:tc>
          <w:tcPr>
            <w:tcW w:w="1980" w:type="dxa"/>
            <w:shd w:val="clear" w:color="auto" w:fill="auto"/>
            <w:vAlign w:val="center"/>
          </w:tcPr>
          <w:p w14:paraId="4E8FEFFD">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责任人</w:t>
            </w:r>
          </w:p>
        </w:tc>
      </w:tr>
      <w:tr w14:paraId="71D2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2" w:type="dxa"/>
            <w:shd w:val="clear" w:color="auto" w:fill="auto"/>
          </w:tcPr>
          <w:p w14:paraId="3AC2796F">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18" w:type="dxa"/>
            <w:shd w:val="clear" w:color="auto" w:fill="auto"/>
          </w:tcPr>
          <w:p w14:paraId="307B94D7">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484" w:type="dxa"/>
            <w:shd w:val="clear" w:color="auto" w:fill="auto"/>
            <w:vAlign w:val="center"/>
          </w:tcPr>
          <w:p w14:paraId="32779065">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过敏</w:t>
            </w:r>
          </w:p>
          <w:p w14:paraId="06CACDFF">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贫血</w:t>
            </w:r>
          </w:p>
          <w:p w14:paraId="7CBD5EF3">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营养不良 </w:t>
            </w:r>
          </w:p>
          <w:p w14:paraId="00169BCC">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□生长迟缓</w:t>
            </w:r>
          </w:p>
          <w:p w14:paraId="4D6BE4EF">
            <w:pPr>
              <w:keepNext w:val="0"/>
              <w:keepLines w:val="0"/>
              <w:widowControl/>
              <w:suppressLineNumbers w:val="0"/>
              <w:jc w:val="left"/>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肥胖</w:t>
            </w:r>
          </w:p>
          <w:p w14:paraId="291B7255">
            <w:pPr>
              <w:keepNext w:val="0"/>
              <w:keepLines w:val="0"/>
              <w:widowControl/>
              <w:suppressLineNumbers w:val="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c>
          <w:tcPr>
            <w:tcW w:w="1305" w:type="dxa"/>
            <w:shd w:val="clear" w:color="auto" w:fill="auto"/>
          </w:tcPr>
          <w:p w14:paraId="5F29EABA">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18" w:type="dxa"/>
            <w:shd w:val="clear" w:color="auto" w:fill="auto"/>
          </w:tcPr>
          <w:p w14:paraId="50DB710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18" w:type="dxa"/>
            <w:shd w:val="clear" w:color="auto" w:fill="auto"/>
          </w:tcPr>
          <w:p w14:paraId="2A12922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980" w:type="dxa"/>
            <w:shd w:val="clear" w:color="auto" w:fill="auto"/>
          </w:tcPr>
          <w:p w14:paraId="1AB6E80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bl>
    <w:p w14:paraId="4E90F203">
      <w:pPr>
        <w:pStyle w:val="58"/>
        <w:ind w:firstLine="420"/>
      </w:pPr>
      <w:r>
        <w:rPr>
          <w:rFonts w:ascii="宋体" w:hAnsi="宋体" w:eastAsia="宋体" w:cs="宋体"/>
          <w:color w:val="000000"/>
          <w:sz w:val="21"/>
          <w:szCs w:val="21"/>
          <w:lang w:val="en-US" w:eastAsia="zh-CN"/>
        </w:rPr>
        <w:t>特殊类型说明：</w:t>
      </w:r>
    </w:p>
    <w:p w14:paraId="7221CCDC">
      <w:pPr>
        <w:pStyle w:val="58"/>
        <w:ind w:firstLine="420"/>
      </w:pPr>
      <w:r>
        <w:rPr>
          <w:rStyle w:val="31"/>
          <w:rFonts w:ascii="宋体" w:hAnsi="宋体" w:eastAsia="宋体" w:cs="宋体"/>
          <w:b/>
          <w:bCs/>
          <w:color w:val="000000"/>
          <w:sz w:val="21"/>
          <w:szCs w:val="21"/>
        </w:rPr>
        <w:t>过敏</w:t>
      </w:r>
      <w:r>
        <w:rPr>
          <w:rFonts w:ascii="宋体" w:hAnsi="宋体" w:eastAsia="宋体" w:cs="宋体"/>
          <w:color w:val="000000"/>
          <w:sz w:val="21"/>
          <w:szCs w:val="21"/>
        </w:rPr>
        <w:t>：需注明过敏原（如牛奶、鸡蛋、海鲜等）及替代食物。</w:t>
      </w:r>
    </w:p>
    <w:p w14:paraId="443D5F9B">
      <w:pPr>
        <w:pStyle w:val="58"/>
        <w:ind w:firstLine="420"/>
      </w:pPr>
      <w:r>
        <w:rPr>
          <w:rStyle w:val="31"/>
          <w:rFonts w:ascii="宋体" w:hAnsi="宋体" w:eastAsia="宋体" w:cs="宋体"/>
          <w:b/>
          <w:bCs/>
          <w:color w:val="000000"/>
          <w:sz w:val="21"/>
          <w:szCs w:val="21"/>
        </w:rPr>
        <w:t>贫血</w:t>
      </w:r>
      <w:r>
        <w:rPr>
          <w:rFonts w:ascii="宋体" w:hAnsi="宋体" w:eastAsia="宋体" w:cs="宋体"/>
          <w:color w:val="000000"/>
          <w:sz w:val="21"/>
          <w:szCs w:val="21"/>
        </w:rPr>
        <w:t>：需注明血红蛋白值及补铁方案。</w:t>
      </w:r>
    </w:p>
    <w:p w14:paraId="23F065E5">
      <w:pPr>
        <w:pStyle w:val="58"/>
        <w:ind w:firstLine="420"/>
      </w:pPr>
      <w:r>
        <w:rPr>
          <w:rStyle w:val="31"/>
          <w:rFonts w:ascii="宋体" w:hAnsi="宋体" w:eastAsia="宋体" w:cs="宋体"/>
          <w:b/>
          <w:bCs/>
          <w:color w:val="000000"/>
          <w:sz w:val="21"/>
          <w:szCs w:val="21"/>
        </w:rPr>
        <w:t>营养不良/生长迟缓</w:t>
      </w:r>
      <w:r>
        <w:rPr>
          <w:rFonts w:ascii="宋体" w:hAnsi="宋体" w:eastAsia="宋体" w:cs="宋体"/>
          <w:color w:val="000000"/>
          <w:sz w:val="21"/>
          <w:szCs w:val="21"/>
        </w:rPr>
        <w:t>：需注明身高、体重百分位及能量补充目标。</w:t>
      </w:r>
    </w:p>
    <w:p w14:paraId="2201E0AC">
      <w:pPr>
        <w:pStyle w:val="58"/>
        <w:ind w:firstLine="420"/>
      </w:pPr>
      <w:r>
        <w:rPr>
          <w:rStyle w:val="31"/>
          <w:rFonts w:ascii="宋体" w:hAnsi="宋体" w:eastAsia="宋体" w:cs="宋体"/>
          <w:b/>
          <w:bCs/>
          <w:color w:val="000000"/>
          <w:sz w:val="21"/>
          <w:szCs w:val="21"/>
        </w:rPr>
        <w:t>肥胖</w:t>
      </w:r>
      <w:r>
        <w:rPr>
          <w:rFonts w:ascii="宋体" w:hAnsi="宋体" w:eastAsia="宋体" w:cs="宋体"/>
          <w:color w:val="000000"/>
          <w:sz w:val="21"/>
          <w:szCs w:val="21"/>
        </w:rPr>
        <w:t>：需注明体重指数（BMI）及控制目标。</w:t>
      </w:r>
    </w:p>
    <w:p w14:paraId="012A120E">
      <w:pPr>
        <w:jc w:val="both"/>
        <w:rPr>
          <w:rFonts w:hint="eastAsia" w:ascii="Times New Roman" w:hAnsi="Times New Roman" w:eastAsia="宋体" w:cs="Times New Roman"/>
          <w:i w:val="0"/>
          <w:iCs w:val="0"/>
          <w:caps w:val="0"/>
          <w:color w:val="0F1115"/>
          <w:spacing w:val="0"/>
          <w:sz w:val="24"/>
          <w:szCs w:val="24"/>
          <w:shd w:val="clear" w:fill="FFFFFF"/>
          <w:lang w:val="en-US" w:eastAsia="zh-CN"/>
        </w:rPr>
      </w:pPr>
    </w:p>
    <w:p w14:paraId="03392A24">
      <w:pPr>
        <w:pStyle w:val="79"/>
        <w:keepNext/>
        <w:numPr>
          <w:ilvl w:val="0"/>
          <w:numId w:val="0"/>
        </w:numPr>
        <w:spacing w:before="156" w:after="156"/>
      </w:pPr>
      <w:r>
        <w:rPr>
          <w:rFonts w:hint="eastAsia" w:ascii="宋体" w:hAnsi="宋体" w:eastAsia="宋体" w:cs="宋体"/>
          <w:b/>
          <w:bCs/>
          <w:kern w:val="0"/>
          <w:sz w:val="21"/>
          <w:szCs w:val="21"/>
          <w:lang w:val="en-US" w:eastAsia="zh-CN" w:bidi="ar"/>
        </w:rPr>
        <w:t>表B.2  特殊膳食执行记录表（每日）</w:t>
      </w:r>
    </w:p>
    <w:tbl>
      <w:tblPr>
        <w:tblStyle w:val="28"/>
        <w:tblW w:w="50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90"/>
        <w:gridCol w:w="975"/>
        <w:gridCol w:w="880"/>
        <w:gridCol w:w="880"/>
        <w:gridCol w:w="880"/>
        <w:gridCol w:w="880"/>
        <w:gridCol w:w="880"/>
        <w:gridCol w:w="945"/>
        <w:gridCol w:w="1033"/>
        <w:gridCol w:w="1051"/>
      </w:tblGrid>
      <w:tr w14:paraId="1256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60" w:type="dxa"/>
            <w:shd w:val="clear" w:color="auto" w:fill="auto"/>
            <w:vAlign w:val="center"/>
          </w:tcPr>
          <w:p w14:paraId="64104CBB">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日期</w:t>
            </w:r>
          </w:p>
        </w:tc>
        <w:tc>
          <w:tcPr>
            <w:tcW w:w="945" w:type="dxa"/>
            <w:shd w:val="clear" w:color="auto" w:fill="auto"/>
            <w:vAlign w:val="center"/>
          </w:tcPr>
          <w:p w14:paraId="0714D333">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婴幼儿姓名</w:t>
            </w:r>
          </w:p>
        </w:tc>
        <w:tc>
          <w:tcPr>
            <w:tcW w:w="852" w:type="dxa"/>
            <w:shd w:val="clear" w:color="auto" w:fill="auto"/>
            <w:vAlign w:val="center"/>
          </w:tcPr>
          <w:p w14:paraId="078F32D0">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特殊类型</w:t>
            </w:r>
          </w:p>
        </w:tc>
        <w:tc>
          <w:tcPr>
            <w:tcW w:w="852" w:type="dxa"/>
            <w:shd w:val="clear" w:color="auto" w:fill="auto"/>
            <w:vAlign w:val="center"/>
          </w:tcPr>
          <w:p w14:paraId="1F3093FC">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早餐</w:t>
            </w:r>
          </w:p>
        </w:tc>
        <w:tc>
          <w:tcPr>
            <w:tcW w:w="852" w:type="dxa"/>
            <w:shd w:val="clear" w:color="auto" w:fill="auto"/>
            <w:vAlign w:val="center"/>
          </w:tcPr>
          <w:p w14:paraId="2011620F">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早点</w:t>
            </w:r>
          </w:p>
        </w:tc>
        <w:tc>
          <w:tcPr>
            <w:tcW w:w="852" w:type="dxa"/>
            <w:shd w:val="clear" w:color="auto" w:fill="auto"/>
            <w:vAlign w:val="center"/>
          </w:tcPr>
          <w:p w14:paraId="1D8BF377">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午餐</w:t>
            </w:r>
          </w:p>
        </w:tc>
        <w:tc>
          <w:tcPr>
            <w:tcW w:w="852" w:type="dxa"/>
            <w:shd w:val="clear" w:color="auto" w:fill="auto"/>
            <w:vAlign w:val="center"/>
          </w:tcPr>
          <w:p w14:paraId="142CE7A4">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午点</w:t>
            </w:r>
          </w:p>
        </w:tc>
        <w:tc>
          <w:tcPr>
            <w:tcW w:w="915" w:type="dxa"/>
            <w:shd w:val="clear" w:color="auto" w:fill="auto"/>
            <w:vAlign w:val="center"/>
          </w:tcPr>
          <w:p w14:paraId="3F160A35">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晚餐</w:t>
            </w:r>
          </w:p>
        </w:tc>
        <w:tc>
          <w:tcPr>
            <w:tcW w:w="1000" w:type="dxa"/>
            <w:shd w:val="clear" w:color="auto" w:fill="auto"/>
            <w:vAlign w:val="center"/>
          </w:tcPr>
          <w:p w14:paraId="1DCC5943">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进食反应</w:t>
            </w:r>
          </w:p>
        </w:tc>
        <w:tc>
          <w:tcPr>
            <w:tcW w:w="1018" w:type="dxa"/>
            <w:shd w:val="clear" w:color="auto" w:fill="auto"/>
            <w:vAlign w:val="center"/>
          </w:tcPr>
          <w:p w14:paraId="2A9FD766">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责任人</w:t>
            </w:r>
          </w:p>
        </w:tc>
      </w:tr>
      <w:tr w14:paraId="1F9E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60" w:type="dxa"/>
            <w:shd w:val="clear" w:color="auto" w:fill="auto"/>
          </w:tcPr>
          <w:p w14:paraId="1D23C42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5" w:type="dxa"/>
            <w:shd w:val="clear" w:color="auto" w:fill="auto"/>
          </w:tcPr>
          <w:p w14:paraId="52B3BEE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52" w:type="dxa"/>
            <w:shd w:val="clear" w:color="auto" w:fill="auto"/>
          </w:tcPr>
          <w:p w14:paraId="2D6C8E1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52" w:type="dxa"/>
            <w:shd w:val="clear" w:color="auto" w:fill="auto"/>
          </w:tcPr>
          <w:p w14:paraId="06552EB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52" w:type="dxa"/>
            <w:shd w:val="clear" w:color="auto" w:fill="auto"/>
          </w:tcPr>
          <w:p w14:paraId="6E66734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52" w:type="dxa"/>
            <w:shd w:val="clear" w:color="auto" w:fill="auto"/>
          </w:tcPr>
          <w:p w14:paraId="15FCCD8B">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852" w:type="dxa"/>
            <w:shd w:val="clear" w:color="auto" w:fill="auto"/>
          </w:tcPr>
          <w:p w14:paraId="17C9FF34">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15" w:type="dxa"/>
            <w:shd w:val="clear" w:color="auto" w:fill="auto"/>
          </w:tcPr>
          <w:p w14:paraId="0E3300A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0" w:type="dxa"/>
            <w:shd w:val="clear" w:color="auto" w:fill="auto"/>
          </w:tcPr>
          <w:p w14:paraId="3550E10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c>
          <w:tcPr>
            <w:tcW w:w="1018" w:type="dxa"/>
            <w:shd w:val="clear" w:color="auto" w:fill="auto"/>
          </w:tcPr>
          <w:p w14:paraId="0161801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bl>
    <w:p w14:paraId="51504DF2">
      <w:pPr>
        <w:pStyle w:val="58"/>
        <w:ind w:firstLine="420"/>
      </w:pPr>
      <w:r>
        <w:rPr>
          <w:rFonts w:ascii="宋体" w:hAnsi="宋体" w:eastAsia="宋体" w:cs="宋体"/>
          <w:color w:val="000000"/>
          <w:sz w:val="21"/>
          <w:szCs w:val="21"/>
          <w:lang w:val="en-US" w:eastAsia="zh-CN"/>
        </w:rPr>
        <w:t>完成度说明：</w:t>
      </w:r>
      <w:r>
        <w:rPr>
          <w:rFonts w:ascii="宋体" w:hAnsi="宋体" w:eastAsia="宋体" w:cs="宋体"/>
          <w:color w:val="000000"/>
          <w:sz w:val="21"/>
          <w:szCs w:val="21"/>
        </w:rPr>
        <w:t>全部吃完（100%）、大部分吃完（≥75%）、一半（50%）、少量（&lt;50%）、未</w:t>
      </w:r>
      <w:r>
        <w:rPr>
          <w:rFonts w:ascii="宋体" w:hAnsi="宋体" w:eastAsia="宋体" w:cs="宋体"/>
          <w:color w:val="000000"/>
          <w:sz w:val="21"/>
          <w:szCs w:val="21"/>
          <w:lang w:val="en-US" w:eastAsia="zh-CN"/>
        </w:rPr>
        <w:t>吃</w:t>
      </w:r>
      <w:r>
        <w:rPr>
          <w:rFonts w:ascii="宋体" w:hAnsi="宋体" w:eastAsia="宋体" w:cs="宋体"/>
          <w:color w:val="000000"/>
          <w:sz w:val="21"/>
          <w:szCs w:val="21"/>
        </w:rPr>
        <w:t>（0%</w:t>
      </w:r>
      <w:r>
        <w:rPr>
          <w:rFonts w:ascii="宋体" w:hAnsi="宋体" w:eastAsia="宋体" w:cs="宋体"/>
          <w:color w:val="000000"/>
          <w:sz w:val="21"/>
          <w:szCs w:val="21"/>
          <w:lang w:eastAsia="zh-CN"/>
        </w:rPr>
        <w:t>）</w:t>
      </w:r>
    </w:p>
    <w:p w14:paraId="33C9D01A">
      <w:pPr>
        <w:pStyle w:val="79"/>
        <w:keepNext/>
        <w:numPr>
          <w:ilvl w:val="0"/>
          <w:numId w:val="0"/>
        </w:numPr>
        <w:spacing w:before="156" w:after="156"/>
      </w:pPr>
      <w:r>
        <w:rPr>
          <w:rFonts w:hint="eastAsia" w:ascii="宋体" w:hAnsi="宋体" w:eastAsia="宋体" w:cs="宋体"/>
          <w:b/>
          <w:bCs/>
          <w:kern w:val="0"/>
          <w:sz w:val="21"/>
          <w:szCs w:val="21"/>
          <w:lang w:val="en-US" w:eastAsia="zh-CN" w:bidi="ar"/>
        </w:rPr>
        <w:t>表B.3  特殊膳食月度总结表</w:t>
      </w:r>
    </w:p>
    <w:tbl>
      <w:tblPr>
        <w:tblStyle w:val="28"/>
        <w:tblW w:w="50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22"/>
        <w:gridCol w:w="1237"/>
        <w:gridCol w:w="1206"/>
        <w:gridCol w:w="1846"/>
        <w:gridCol w:w="1406"/>
        <w:gridCol w:w="1248"/>
        <w:gridCol w:w="1429"/>
      </w:tblGrid>
      <w:tr w14:paraId="58F9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00" w:type="dxa"/>
            <w:shd w:val="clear" w:color="auto" w:fill="auto"/>
            <w:vAlign w:val="center"/>
          </w:tcPr>
          <w:p w14:paraId="2810D1C2">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婴幼儿姓名</w:t>
            </w:r>
          </w:p>
        </w:tc>
        <w:tc>
          <w:tcPr>
            <w:tcW w:w="1210" w:type="dxa"/>
            <w:shd w:val="clear" w:color="auto" w:fill="auto"/>
            <w:vAlign w:val="center"/>
          </w:tcPr>
          <w:p w14:paraId="62FCEFBD">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特殊类型</w:t>
            </w:r>
          </w:p>
        </w:tc>
        <w:tc>
          <w:tcPr>
            <w:tcW w:w="1180" w:type="dxa"/>
            <w:shd w:val="clear" w:color="auto" w:fill="auto"/>
            <w:vAlign w:val="center"/>
          </w:tcPr>
          <w:p w14:paraId="7F992123">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本月膳食执行情况</w:t>
            </w:r>
          </w:p>
        </w:tc>
        <w:tc>
          <w:tcPr>
            <w:tcW w:w="1806" w:type="dxa"/>
            <w:shd w:val="clear" w:color="auto" w:fill="auto"/>
            <w:vAlign w:val="center"/>
          </w:tcPr>
          <w:p w14:paraId="71DA2750">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体格变化（体重/身高）</w:t>
            </w:r>
          </w:p>
        </w:tc>
        <w:tc>
          <w:tcPr>
            <w:tcW w:w="1375" w:type="dxa"/>
            <w:shd w:val="clear" w:color="auto" w:fill="auto"/>
            <w:vAlign w:val="center"/>
          </w:tcPr>
          <w:p w14:paraId="4F45B556">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医疗机构评估意见</w:t>
            </w:r>
          </w:p>
        </w:tc>
        <w:tc>
          <w:tcPr>
            <w:tcW w:w="1221" w:type="dxa"/>
            <w:shd w:val="clear" w:color="auto" w:fill="auto"/>
            <w:vAlign w:val="center"/>
          </w:tcPr>
          <w:p w14:paraId="07C7B1A5">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下月调整计划</w:t>
            </w:r>
          </w:p>
        </w:tc>
        <w:tc>
          <w:tcPr>
            <w:tcW w:w="1397" w:type="dxa"/>
            <w:shd w:val="clear" w:color="auto" w:fill="auto"/>
            <w:vAlign w:val="center"/>
          </w:tcPr>
          <w:p w14:paraId="631F4C43">
            <w:pPr>
              <w:keepNext w:val="0"/>
              <w:keepLines w:val="0"/>
              <w:widowControl/>
              <w:suppressLineNumbers w:val="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0"/>
                <w:sz w:val="24"/>
                <w:szCs w:val="24"/>
                <w:lang w:val="en-US" w:eastAsia="zh-CN" w:bidi="ar"/>
              </w:rPr>
              <w:t>责任人</w:t>
            </w:r>
          </w:p>
        </w:tc>
      </w:tr>
      <w:tr w14:paraId="22B2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000" w:type="dxa"/>
            <w:shd w:val="clear" w:color="auto" w:fill="auto"/>
          </w:tcPr>
          <w:p w14:paraId="59DCFFEA">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10" w:type="dxa"/>
            <w:shd w:val="clear" w:color="auto" w:fill="auto"/>
          </w:tcPr>
          <w:p w14:paraId="6412A4A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80" w:type="dxa"/>
            <w:shd w:val="clear" w:color="auto" w:fill="auto"/>
          </w:tcPr>
          <w:p w14:paraId="6A427BE4">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06" w:type="dxa"/>
            <w:shd w:val="clear" w:color="auto" w:fill="auto"/>
          </w:tcPr>
          <w:p w14:paraId="3FB8AB3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375" w:type="dxa"/>
            <w:shd w:val="clear" w:color="auto" w:fill="auto"/>
          </w:tcPr>
          <w:p w14:paraId="0A2655A4">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21" w:type="dxa"/>
            <w:shd w:val="clear" w:color="auto" w:fill="auto"/>
          </w:tcPr>
          <w:p w14:paraId="462C1169">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397" w:type="dxa"/>
            <w:shd w:val="clear" w:color="auto" w:fill="auto"/>
          </w:tcPr>
          <w:p w14:paraId="4EBF7E9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bl>
    <w:p w14:paraId="716B738C">
      <w:pPr>
        <w:pStyle w:val="78"/>
        <w:pageBreakBefore/>
        <w:numPr>
          <w:ilvl w:val="0"/>
          <w:numId w:val="0"/>
        </w:numPr>
        <w:spacing w:after="156"/>
        <w:ind w:left="0" w:firstLine="0" w:firstLineChars="0"/>
        <w:jc w:val="center"/>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ascii="Arial" w:hAnsi="Arial" w:eastAsia="Arial" w:cs="Arial"/>
          <w:snapToGrid w:val="0"/>
          <w:color w:val="0000FF"/>
          <w:spacing w:val="-9"/>
          <w:kern w:val="0"/>
          <w:sz w:val="22"/>
          <w:szCs w:val="22"/>
          <w:lang w:val="en-US" w:eastAsia="en-US" w:bidi="ar-SA"/>
        </w:rPr>
        <w:t>C</w:t>
      </w:r>
    </w:p>
    <w:p w14:paraId="25D7069F">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339AE134">
      <w:pPr>
        <w:pStyle w:val="89"/>
      </w:pPr>
      <w:r>
        <w:rPr>
          <w:rFonts w:hint="default" w:ascii="黑体" w:hAnsi="黑体" w:eastAsia="黑体" w:cs="黑体"/>
          <w:b w:val="0"/>
          <w:bCs w:val="0"/>
          <w:snapToGrid w:val="0"/>
          <w:color w:val="000000"/>
          <w:spacing w:val="-10"/>
          <w:kern w:val="0"/>
          <w:sz w:val="22"/>
          <w:szCs w:val="22"/>
          <w:lang w:val="en-US" w:eastAsia="en-US" w:bidi="ar"/>
        </w:rPr>
        <w:t>家长膳食反馈单</w:t>
      </w:r>
    </w:p>
    <w:p w14:paraId="42AC7E82">
      <w:pPr>
        <w:widowControl/>
        <w:kinsoku w:val="0"/>
        <w:autoSpaceDE w:val="0"/>
        <w:autoSpaceDN w:val="0"/>
        <w:snapToGrid w:val="0"/>
        <w:spacing w:before="71" w:line="219" w:lineRule="auto"/>
        <w:ind w:left="405"/>
        <w:jc w:val="left"/>
        <w:textAlignment w:val="baseline"/>
        <w:rPr>
          <w:rFonts w:hint="default" w:ascii="宋体" w:hAnsi="宋体" w:eastAsia="宋体" w:cs="宋体"/>
          <w:snapToGrid w:val="0"/>
          <w:color w:val="000000"/>
          <w:spacing w:val="-9"/>
          <w:kern w:val="0"/>
          <w:sz w:val="22"/>
          <w:szCs w:val="22"/>
          <w:lang w:val="en-US" w:eastAsia="en-US" w:bidi="ar-SA"/>
        </w:rPr>
      </w:pPr>
    </w:p>
    <w:p w14:paraId="541468C0">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本附录给出了本文件所需使用的记录表样式，托育机构可结合实际工作需要增加栏目，但不得删改必备栏目，见表C.1。</w:t>
      </w:r>
    </w:p>
    <w:p w14:paraId="7E44110B">
      <w:pPr>
        <w:pStyle w:val="79"/>
        <w:keepNext/>
        <w:numPr>
          <w:ilvl w:val="0"/>
          <w:numId w:val="0"/>
        </w:numPr>
        <w:spacing w:before="156" w:after="156"/>
      </w:pPr>
      <w:r>
        <w:rPr>
          <w:rFonts w:hint="eastAsia" w:ascii="宋体" w:hAnsi="宋体" w:eastAsia="宋体" w:cs="宋体"/>
          <w:b/>
          <w:bCs/>
          <w:kern w:val="0"/>
          <w:sz w:val="21"/>
          <w:szCs w:val="21"/>
          <w:lang w:val="en-US" w:eastAsia="zh-CN" w:bidi="ar"/>
        </w:rPr>
        <w:t>表C.1  婴幼儿周膳食反馈表</w:t>
      </w:r>
    </w:p>
    <w:tbl>
      <w:tblPr>
        <w:tblStyle w:val="28"/>
        <w:tblW w:w="50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1183"/>
        <w:gridCol w:w="1002"/>
        <w:gridCol w:w="1087"/>
        <w:gridCol w:w="1095"/>
        <w:gridCol w:w="933"/>
        <w:gridCol w:w="1287"/>
        <w:gridCol w:w="1807"/>
      </w:tblGrid>
      <w:tr w14:paraId="5F35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9488" w:type="dxa"/>
            <w:gridSpan w:val="8"/>
            <w:shd w:val="clear" w:color="auto" w:fill="auto"/>
          </w:tcPr>
          <w:p w14:paraId="61119F83">
            <w:pPr>
              <w:jc w:val="left"/>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t>尊敬的家长：</w:t>
            </w:r>
          </w:p>
          <w:p w14:paraId="161D3AA6">
            <w:pPr>
              <w:jc w:val="left"/>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rPr>
              <w:t>为了保障您宝宝的健康成长，托育机构每周向您反馈在园膳食情况，请您配合填写家庭饮食情况，共同做好营养管理</w:t>
            </w:r>
          </w:p>
        </w:tc>
      </w:tr>
      <w:tr w14:paraId="1890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212" w:type="dxa"/>
            <w:gridSpan w:val="2"/>
            <w:shd w:val="clear" w:color="auto" w:fill="auto"/>
            <w:vAlign w:val="center"/>
          </w:tcPr>
          <w:p w14:paraId="661E29D6">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婴幼儿姓名</w:t>
            </w:r>
          </w:p>
        </w:tc>
        <w:tc>
          <w:tcPr>
            <w:tcW w:w="2095" w:type="dxa"/>
            <w:gridSpan w:val="2"/>
            <w:shd w:val="clear" w:color="auto" w:fill="auto"/>
            <w:vAlign w:val="center"/>
          </w:tcPr>
          <w:p w14:paraId="58BFEF5B">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班级</w:t>
            </w:r>
          </w:p>
        </w:tc>
        <w:tc>
          <w:tcPr>
            <w:tcW w:w="2052" w:type="dxa"/>
            <w:gridSpan w:val="2"/>
            <w:shd w:val="clear" w:color="auto" w:fill="auto"/>
            <w:vAlign w:val="center"/>
          </w:tcPr>
          <w:p w14:paraId="185F1ED2">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反馈周次</w:t>
            </w:r>
          </w:p>
        </w:tc>
        <w:tc>
          <w:tcPr>
            <w:tcW w:w="3129" w:type="dxa"/>
            <w:gridSpan w:val="2"/>
            <w:shd w:val="clear" w:color="auto" w:fill="auto"/>
            <w:vAlign w:val="center"/>
          </w:tcPr>
          <w:p w14:paraId="62CAC699">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反馈日期</w:t>
            </w:r>
          </w:p>
        </w:tc>
      </w:tr>
      <w:tr w14:paraId="1E3D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2" w:hRule="atLeast"/>
          <w:jc w:val="center"/>
        </w:trPr>
        <w:tc>
          <w:tcPr>
            <w:tcW w:w="2212" w:type="dxa"/>
            <w:gridSpan w:val="2"/>
            <w:shd w:val="clear" w:color="auto" w:fill="auto"/>
          </w:tcPr>
          <w:p w14:paraId="201ED0C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2095" w:type="dxa"/>
            <w:gridSpan w:val="2"/>
            <w:shd w:val="clear" w:color="auto" w:fill="auto"/>
          </w:tcPr>
          <w:p w14:paraId="3DD6862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2052" w:type="dxa"/>
            <w:gridSpan w:val="2"/>
            <w:shd w:val="clear" w:color="auto" w:fill="auto"/>
          </w:tcPr>
          <w:p w14:paraId="3C812A9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第</w:t>
            </w:r>
            <w:r>
              <w:rPr>
                <w:rFonts w:hint="default" w:ascii="Times New Roman" w:hAnsi="Times New Roman" w:eastAsia="宋体" w:cs="Times New Roman"/>
                <w:kern w:val="0"/>
                <w:sz w:val="24"/>
                <w:szCs w:val="24"/>
                <w:u w:val="single"/>
                <w:lang w:val="en-US" w:eastAsia="zh-CN" w:bidi="ar"/>
              </w:rPr>
              <w:t xml:space="preserve">    </w:t>
            </w:r>
            <w:r>
              <w:rPr>
                <w:rFonts w:hint="default" w:ascii="Times New Roman" w:hAnsi="Times New Roman" w:eastAsia="宋体" w:cs="Times New Roman"/>
                <w:kern w:val="0"/>
                <w:sz w:val="24"/>
                <w:szCs w:val="24"/>
                <w:lang w:val="en-US" w:eastAsia="zh-CN" w:bidi="ar"/>
              </w:rPr>
              <w:t>周</w:t>
            </w:r>
          </w:p>
        </w:tc>
        <w:tc>
          <w:tcPr>
            <w:tcW w:w="3129" w:type="dxa"/>
            <w:gridSpan w:val="2"/>
            <w:shd w:val="clear" w:color="auto" w:fill="auto"/>
          </w:tcPr>
          <w:p w14:paraId="7C4C4925">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r w14:paraId="49A9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488" w:type="dxa"/>
            <w:gridSpan w:val="8"/>
            <w:shd w:val="clear" w:color="auto" w:fill="auto"/>
            <w:vAlign w:val="center"/>
          </w:tcPr>
          <w:p w14:paraId="778CB2BE">
            <w:pPr>
              <w:jc w:val="both"/>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i w:val="0"/>
                <w:iCs w:val="0"/>
                <w:caps w:val="0"/>
                <w:color w:val="0F1115"/>
                <w:spacing w:val="0"/>
                <w:sz w:val="24"/>
                <w:szCs w:val="24"/>
                <w:shd w:val="clear" w:fill="FFFFFF"/>
                <w:vertAlign w:val="baseline"/>
                <w:lang w:val="en-US" w:eastAsia="zh-CN"/>
              </w:rPr>
              <w:t>一、本周在园膳食情况</w:t>
            </w:r>
          </w:p>
        </w:tc>
      </w:tr>
      <w:tr w14:paraId="2DAD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013" w:type="dxa"/>
            <w:shd w:val="clear" w:color="auto" w:fill="auto"/>
            <w:vAlign w:val="center"/>
          </w:tcPr>
          <w:p w14:paraId="50261B62">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日期</w:t>
            </w:r>
          </w:p>
        </w:tc>
        <w:tc>
          <w:tcPr>
            <w:tcW w:w="1199" w:type="dxa"/>
            <w:shd w:val="clear" w:color="auto" w:fill="auto"/>
            <w:vAlign w:val="center"/>
          </w:tcPr>
          <w:p w14:paraId="7B18D30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早餐</w:t>
            </w:r>
          </w:p>
        </w:tc>
        <w:tc>
          <w:tcPr>
            <w:tcW w:w="1002" w:type="dxa"/>
            <w:shd w:val="clear" w:color="auto" w:fill="auto"/>
            <w:vAlign w:val="center"/>
          </w:tcPr>
          <w:p w14:paraId="36336BBD">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早点</w:t>
            </w:r>
          </w:p>
        </w:tc>
        <w:tc>
          <w:tcPr>
            <w:tcW w:w="1093" w:type="dxa"/>
            <w:shd w:val="clear" w:color="auto" w:fill="auto"/>
            <w:vAlign w:val="center"/>
          </w:tcPr>
          <w:p w14:paraId="7A4F4FDD">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午餐</w:t>
            </w:r>
          </w:p>
        </w:tc>
        <w:tc>
          <w:tcPr>
            <w:tcW w:w="1109" w:type="dxa"/>
            <w:shd w:val="clear" w:color="auto" w:fill="auto"/>
            <w:vAlign w:val="center"/>
          </w:tcPr>
          <w:p w14:paraId="6D68172B">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午点</w:t>
            </w:r>
          </w:p>
        </w:tc>
        <w:tc>
          <w:tcPr>
            <w:tcW w:w="943" w:type="dxa"/>
            <w:shd w:val="clear" w:color="auto" w:fill="auto"/>
            <w:vAlign w:val="center"/>
          </w:tcPr>
          <w:p w14:paraId="13F4CD56">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晚餐</w:t>
            </w:r>
          </w:p>
        </w:tc>
        <w:tc>
          <w:tcPr>
            <w:tcW w:w="1292" w:type="dxa"/>
            <w:shd w:val="clear" w:color="auto" w:fill="auto"/>
            <w:vAlign w:val="center"/>
          </w:tcPr>
          <w:p w14:paraId="12835B80">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饮水量（mL）</w:t>
            </w:r>
          </w:p>
        </w:tc>
        <w:tc>
          <w:tcPr>
            <w:tcW w:w="1837" w:type="dxa"/>
            <w:shd w:val="clear" w:color="auto" w:fill="auto"/>
            <w:vAlign w:val="center"/>
          </w:tcPr>
          <w:p w14:paraId="5DD2A77F">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进食反应</w:t>
            </w:r>
          </w:p>
        </w:tc>
      </w:tr>
      <w:tr w14:paraId="3DA1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shd w:val="clear" w:color="auto" w:fill="auto"/>
            <w:vAlign w:val="center"/>
          </w:tcPr>
          <w:p w14:paraId="10ED76C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周一</w:t>
            </w:r>
          </w:p>
        </w:tc>
        <w:tc>
          <w:tcPr>
            <w:tcW w:w="1199" w:type="dxa"/>
            <w:shd w:val="clear" w:color="auto" w:fill="auto"/>
          </w:tcPr>
          <w:p w14:paraId="2DD20CF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2" w:type="dxa"/>
            <w:shd w:val="clear" w:color="auto" w:fill="auto"/>
          </w:tcPr>
          <w:p w14:paraId="226541E2">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93" w:type="dxa"/>
            <w:shd w:val="clear" w:color="auto" w:fill="auto"/>
          </w:tcPr>
          <w:p w14:paraId="23B5162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09" w:type="dxa"/>
            <w:shd w:val="clear" w:color="auto" w:fill="auto"/>
          </w:tcPr>
          <w:p w14:paraId="34602FF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3" w:type="dxa"/>
            <w:shd w:val="clear" w:color="auto" w:fill="auto"/>
          </w:tcPr>
          <w:p w14:paraId="08E4D290">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92" w:type="dxa"/>
            <w:shd w:val="clear" w:color="auto" w:fill="auto"/>
          </w:tcPr>
          <w:p w14:paraId="38486AB7">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37" w:type="dxa"/>
            <w:shd w:val="clear" w:color="auto" w:fill="auto"/>
          </w:tcPr>
          <w:p w14:paraId="4CF464FE">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r>
      <w:tr w14:paraId="61B4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13" w:type="dxa"/>
            <w:shd w:val="clear" w:color="auto" w:fill="auto"/>
            <w:vAlign w:val="center"/>
          </w:tcPr>
          <w:p w14:paraId="5CEBBA4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周二</w:t>
            </w:r>
          </w:p>
        </w:tc>
        <w:tc>
          <w:tcPr>
            <w:tcW w:w="1199" w:type="dxa"/>
            <w:shd w:val="clear" w:color="auto" w:fill="auto"/>
          </w:tcPr>
          <w:p w14:paraId="4B62009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2" w:type="dxa"/>
            <w:shd w:val="clear" w:color="auto" w:fill="auto"/>
          </w:tcPr>
          <w:p w14:paraId="717D152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93" w:type="dxa"/>
            <w:shd w:val="clear" w:color="auto" w:fill="auto"/>
          </w:tcPr>
          <w:p w14:paraId="7545D6A0">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09" w:type="dxa"/>
            <w:shd w:val="clear" w:color="auto" w:fill="auto"/>
          </w:tcPr>
          <w:p w14:paraId="3874F4A7">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3" w:type="dxa"/>
            <w:shd w:val="clear" w:color="auto" w:fill="auto"/>
          </w:tcPr>
          <w:p w14:paraId="2A5978B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92" w:type="dxa"/>
            <w:shd w:val="clear" w:color="auto" w:fill="auto"/>
          </w:tcPr>
          <w:p w14:paraId="39932E1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37" w:type="dxa"/>
            <w:shd w:val="clear" w:color="auto" w:fill="auto"/>
          </w:tcPr>
          <w:p w14:paraId="64F3348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r>
      <w:tr w14:paraId="611E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13" w:type="dxa"/>
            <w:shd w:val="clear" w:color="auto" w:fill="auto"/>
            <w:vAlign w:val="center"/>
          </w:tcPr>
          <w:p w14:paraId="29D4649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周三</w:t>
            </w:r>
          </w:p>
        </w:tc>
        <w:tc>
          <w:tcPr>
            <w:tcW w:w="1199" w:type="dxa"/>
            <w:shd w:val="clear" w:color="auto" w:fill="auto"/>
          </w:tcPr>
          <w:p w14:paraId="1B06FCB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2" w:type="dxa"/>
            <w:shd w:val="clear" w:color="auto" w:fill="auto"/>
          </w:tcPr>
          <w:p w14:paraId="212E93B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93" w:type="dxa"/>
            <w:shd w:val="clear" w:color="auto" w:fill="auto"/>
          </w:tcPr>
          <w:p w14:paraId="0FDDBE24">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09" w:type="dxa"/>
            <w:shd w:val="clear" w:color="auto" w:fill="auto"/>
          </w:tcPr>
          <w:p w14:paraId="5A63046B">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3" w:type="dxa"/>
            <w:shd w:val="clear" w:color="auto" w:fill="auto"/>
          </w:tcPr>
          <w:p w14:paraId="3E5F8515">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92" w:type="dxa"/>
            <w:shd w:val="clear" w:color="auto" w:fill="auto"/>
          </w:tcPr>
          <w:p w14:paraId="02BA73D9">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37" w:type="dxa"/>
            <w:shd w:val="clear" w:color="auto" w:fill="auto"/>
          </w:tcPr>
          <w:p w14:paraId="12014701">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r>
      <w:tr w14:paraId="6C89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shd w:val="clear" w:color="auto" w:fill="auto"/>
            <w:vAlign w:val="center"/>
          </w:tcPr>
          <w:p w14:paraId="315CDF6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周四</w:t>
            </w:r>
          </w:p>
        </w:tc>
        <w:tc>
          <w:tcPr>
            <w:tcW w:w="1199" w:type="dxa"/>
            <w:shd w:val="clear" w:color="auto" w:fill="auto"/>
          </w:tcPr>
          <w:p w14:paraId="3845A4CA">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2" w:type="dxa"/>
            <w:shd w:val="clear" w:color="auto" w:fill="auto"/>
          </w:tcPr>
          <w:p w14:paraId="6D77BC82">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93" w:type="dxa"/>
            <w:shd w:val="clear" w:color="auto" w:fill="auto"/>
          </w:tcPr>
          <w:p w14:paraId="4DA3A6D3">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09" w:type="dxa"/>
            <w:shd w:val="clear" w:color="auto" w:fill="auto"/>
          </w:tcPr>
          <w:p w14:paraId="0E07F145">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3" w:type="dxa"/>
            <w:shd w:val="clear" w:color="auto" w:fill="auto"/>
          </w:tcPr>
          <w:p w14:paraId="6B7DDFEF">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92" w:type="dxa"/>
            <w:shd w:val="clear" w:color="auto" w:fill="auto"/>
          </w:tcPr>
          <w:p w14:paraId="62F80D4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37" w:type="dxa"/>
            <w:shd w:val="clear" w:color="auto" w:fill="auto"/>
          </w:tcPr>
          <w:p w14:paraId="60A63A3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r>
      <w:tr w14:paraId="1B77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3" w:type="dxa"/>
            <w:shd w:val="clear" w:color="auto" w:fill="auto"/>
            <w:vAlign w:val="center"/>
          </w:tcPr>
          <w:p w14:paraId="30763156">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kern w:val="0"/>
                <w:sz w:val="24"/>
                <w:szCs w:val="24"/>
                <w:lang w:val="en-US" w:eastAsia="zh-CN" w:bidi="ar"/>
              </w:rPr>
              <w:t>周五</w:t>
            </w:r>
          </w:p>
        </w:tc>
        <w:tc>
          <w:tcPr>
            <w:tcW w:w="1199" w:type="dxa"/>
            <w:shd w:val="clear" w:color="auto" w:fill="auto"/>
          </w:tcPr>
          <w:p w14:paraId="655D690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02" w:type="dxa"/>
            <w:shd w:val="clear" w:color="auto" w:fill="auto"/>
          </w:tcPr>
          <w:p w14:paraId="471FFAF2">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093" w:type="dxa"/>
            <w:shd w:val="clear" w:color="auto" w:fill="auto"/>
          </w:tcPr>
          <w:p w14:paraId="1E93214B">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109" w:type="dxa"/>
            <w:shd w:val="clear" w:color="auto" w:fill="auto"/>
          </w:tcPr>
          <w:p w14:paraId="3AEFB949">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943" w:type="dxa"/>
            <w:shd w:val="clear" w:color="auto" w:fill="auto"/>
          </w:tcPr>
          <w:p w14:paraId="028EA3C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292" w:type="dxa"/>
            <w:shd w:val="clear" w:color="auto" w:fill="auto"/>
          </w:tcPr>
          <w:p w14:paraId="1ED1758E">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c>
          <w:tcPr>
            <w:tcW w:w="1837" w:type="dxa"/>
            <w:shd w:val="clear" w:color="auto" w:fill="auto"/>
          </w:tcPr>
          <w:p w14:paraId="415A3F6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正常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拒食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呕吐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皮疹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其他</w:t>
            </w:r>
          </w:p>
        </w:tc>
      </w:tr>
      <w:tr w14:paraId="445F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9488" w:type="dxa"/>
            <w:gridSpan w:val="8"/>
            <w:shd w:val="clear" w:color="auto" w:fill="auto"/>
            <w:vAlign w:val="center"/>
          </w:tcPr>
          <w:p w14:paraId="038B98D0">
            <w:pPr>
              <w:jc w:val="left"/>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t>完成度说明：</w:t>
            </w:r>
            <w:r>
              <w:rPr>
                <w:rFonts w:hint="default" w:ascii="Times New Roman" w:hAnsi="Times New Roman" w:eastAsia="宋体" w:cs="Times New Roman"/>
                <w:i w:val="0"/>
                <w:iCs w:val="0"/>
                <w:caps w:val="0"/>
                <w:color w:val="0F1115"/>
                <w:spacing w:val="0"/>
                <w:sz w:val="24"/>
                <w:szCs w:val="24"/>
                <w:shd w:val="clear" w:fill="FFFFFF"/>
              </w:rPr>
              <w:t>全部吃完（√）、大部分吃完（○）、一半（△）、少量（▲）、未吃（×）</w:t>
            </w:r>
          </w:p>
        </w:tc>
      </w:tr>
      <w:tr w14:paraId="3EF1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9488" w:type="dxa"/>
            <w:gridSpan w:val="8"/>
            <w:shd w:val="clear" w:color="auto" w:fill="auto"/>
            <w:vAlign w:val="center"/>
          </w:tcPr>
          <w:p w14:paraId="3BB43C4B">
            <w:pPr>
              <w:jc w:val="left"/>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Style w:val="31"/>
                <w:rFonts w:hint="default" w:ascii="Times New Roman" w:hAnsi="Times New Roman" w:eastAsia="宋体" w:cs="Times New Roman"/>
                <w:b/>
                <w:bCs/>
                <w:i w:val="0"/>
                <w:iCs w:val="0"/>
                <w:caps w:val="0"/>
                <w:color w:val="0F1115"/>
                <w:spacing w:val="0"/>
                <w:sz w:val="24"/>
                <w:szCs w:val="24"/>
                <w:shd w:val="clear" w:fill="FFFFFF"/>
              </w:rPr>
              <w:t>二、本周在园特殊膳食执行情况</w:t>
            </w:r>
            <w:r>
              <w:rPr>
                <w:rFonts w:hint="default" w:ascii="Times New Roman" w:hAnsi="Times New Roman" w:eastAsia="宋体" w:cs="Times New Roman"/>
                <w:i w:val="0"/>
                <w:iCs w:val="0"/>
                <w:caps w:val="0"/>
                <w:color w:val="0F1115"/>
                <w:spacing w:val="0"/>
                <w:sz w:val="24"/>
                <w:szCs w:val="24"/>
                <w:shd w:val="clear" w:fill="FFFFFF"/>
              </w:rPr>
              <w:t>（如有特殊类型）</w:t>
            </w:r>
          </w:p>
        </w:tc>
      </w:tr>
      <w:tr w14:paraId="67C0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212" w:type="dxa"/>
            <w:gridSpan w:val="2"/>
            <w:shd w:val="clear" w:color="auto" w:fill="auto"/>
            <w:vAlign w:val="center"/>
          </w:tcPr>
          <w:p w14:paraId="2C7DD8E3">
            <w:pPr>
              <w:pStyle w:val="26"/>
              <w:keepNext w:val="0"/>
              <w:keepLines w:val="0"/>
              <w:widowControl/>
              <w:suppressLineNumbers w:val="0"/>
              <w:spacing w:before="0" w:beforeAutospacing="0" w:after="0" w:afterAutospacing="0"/>
              <w:ind w:left="0" w:right="0"/>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shd w:val="clear" w:fill="FFFFFF"/>
              </w:rPr>
              <w:t>无特殊膳食要求</w:t>
            </w:r>
          </w:p>
        </w:tc>
        <w:tc>
          <w:tcPr>
            <w:tcW w:w="7276" w:type="dxa"/>
            <w:gridSpan w:val="6"/>
            <w:shd w:val="clear" w:color="auto" w:fill="auto"/>
          </w:tcPr>
          <w:p w14:paraId="001C9AAF">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r w14:paraId="312A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212" w:type="dxa"/>
            <w:gridSpan w:val="2"/>
            <w:shd w:val="clear" w:color="auto" w:fill="auto"/>
            <w:vAlign w:val="center"/>
          </w:tcPr>
          <w:p w14:paraId="023171CA">
            <w:pPr>
              <w:jc w:val="both"/>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shd w:val="clear" w:fill="FFFFFF"/>
              </w:rPr>
              <w:t>有特殊膳食要求</w:t>
            </w:r>
          </w:p>
        </w:tc>
        <w:tc>
          <w:tcPr>
            <w:tcW w:w="2095" w:type="dxa"/>
            <w:gridSpan w:val="2"/>
            <w:shd w:val="clear" w:color="auto" w:fill="auto"/>
          </w:tcPr>
          <w:p w14:paraId="521E4A9A">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rPr>
              <w:t>（类型</w:t>
            </w:r>
            <w:r>
              <w:rPr>
                <w:rFonts w:hint="default"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u w:val="single"/>
                <w:shd w:val="clear" w:fill="FFFFFF"/>
                <w:lang w:val="en-US" w:eastAsia="zh-CN"/>
              </w:rPr>
              <w:t xml:space="preserve">       </w:t>
            </w:r>
            <w:r>
              <w:rPr>
                <w:rFonts w:hint="default" w:ascii="Times New Roman" w:hAnsi="Times New Roman" w:eastAsia="宋体" w:cs="Times New Roman"/>
                <w:i w:val="0"/>
                <w:iCs w:val="0"/>
                <w:caps w:val="0"/>
                <w:color w:val="0F1115"/>
                <w:spacing w:val="0"/>
                <w:sz w:val="24"/>
                <w:szCs w:val="24"/>
                <w:shd w:val="clear" w:fill="FFFFFF"/>
              </w:rPr>
              <w:t>）</w:t>
            </w:r>
          </w:p>
        </w:tc>
        <w:tc>
          <w:tcPr>
            <w:tcW w:w="5181" w:type="dxa"/>
            <w:gridSpan w:val="4"/>
            <w:shd w:val="clear" w:color="auto" w:fill="auto"/>
          </w:tcPr>
          <w:p w14:paraId="4A5981A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i w:val="0"/>
                <w:iCs w:val="0"/>
                <w:caps w:val="0"/>
                <w:color w:val="0F1115"/>
                <w:spacing w:val="0"/>
                <w:sz w:val="24"/>
                <w:szCs w:val="24"/>
                <w:shd w:val="clear" w:fill="FFFFFF"/>
              </w:rPr>
              <w:t>执行情况：</w:t>
            </w:r>
            <w:r>
              <w:rPr>
                <w:rFonts w:hint="eastAsia"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shd w:val="clear" w:fill="FFFFFF"/>
              </w:rPr>
              <w:t xml:space="preserve">全部执行 </w:t>
            </w:r>
            <w:r>
              <w:rPr>
                <w:rFonts w:hint="eastAsia"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shd w:val="clear" w:fill="FFFFFF"/>
              </w:rPr>
              <w:t xml:space="preserve">部分执行 </w:t>
            </w:r>
            <w:r>
              <w:rPr>
                <w:rFonts w:hint="eastAsia"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eastAsia="宋体" w:cs="Times New Roman"/>
                <w:i w:val="0"/>
                <w:iCs w:val="0"/>
                <w:caps w:val="0"/>
                <w:color w:val="0F1115"/>
                <w:spacing w:val="0"/>
                <w:sz w:val="24"/>
                <w:szCs w:val="24"/>
                <w:shd w:val="clear" w:fill="FFFFFF"/>
              </w:rPr>
              <w:t>未执行</w:t>
            </w:r>
          </w:p>
        </w:tc>
      </w:tr>
      <w:tr w14:paraId="4C77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488" w:type="dxa"/>
            <w:gridSpan w:val="8"/>
            <w:shd w:val="clear" w:color="auto" w:fill="auto"/>
            <w:vAlign w:val="center"/>
          </w:tcPr>
          <w:p w14:paraId="7950BBA3">
            <w:pPr>
              <w:jc w:val="left"/>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Style w:val="31"/>
                <w:rFonts w:hint="default" w:ascii="Times New Roman" w:hAnsi="Times New Roman" w:eastAsia="宋体" w:cs="Times New Roman"/>
                <w:b/>
                <w:bCs/>
                <w:i w:val="0"/>
                <w:iCs w:val="0"/>
                <w:caps w:val="0"/>
                <w:color w:val="0F1115"/>
                <w:spacing w:val="0"/>
                <w:sz w:val="24"/>
                <w:szCs w:val="24"/>
                <w:shd w:val="clear" w:fill="FFFFFF"/>
              </w:rPr>
              <w:t>三、家庭饮食配合情况（请家长填写）</w:t>
            </w:r>
          </w:p>
        </w:tc>
      </w:tr>
      <w:tr w14:paraId="0AAF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jc w:val="center"/>
        </w:trPr>
        <w:tc>
          <w:tcPr>
            <w:tcW w:w="1013" w:type="dxa"/>
            <w:shd w:val="clear" w:color="auto" w:fill="auto"/>
            <w:vAlign w:val="center"/>
          </w:tcPr>
          <w:p w14:paraId="5DDBFE6B">
            <w:pPr>
              <w:keepNext w:val="0"/>
              <w:keepLines w:val="0"/>
              <w:widowControl/>
              <w:suppressLineNumbers w:val="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b/>
                <w:bCs/>
                <w:kern w:val="0"/>
                <w:sz w:val="24"/>
                <w:szCs w:val="24"/>
                <w:lang w:val="en-US" w:eastAsia="zh-CN" w:bidi="ar"/>
              </w:rPr>
              <w:t>日期</w:t>
            </w:r>
          </w:p>
        </w:tc>
        <w:tc>
          <w:tcPr>
            <w:tcW w:w="2201" w:type="dxa"/>
            <w:gridSpan w:val="2"/>
            <w:shd w:val="clear" w:color="auto" w:fill="auto"/>
            <w:vAlign w:val="center"/>
          </w:tcPr>
          <w:p w14:paraId="3C827763">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在家是否完成母乳/配方奶</w:t>
            </w:r>
          </w:p>
        </w:tc>
        <w:tc>
          <w:tcPr>
            <w:tcW w:w="2202" w:type="dxa"/>
            <w:gridSpan w:val="2"/>
            <w:shd w:val="clear" w:color="auto" w:fill="auto"/>
            <w:vAlign w:val="center"/>
          </w:tcPr>
          <w:p w14:paraId="2E0B24CA">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在家进餐情况</w:t>
            </w:r>
          </w:p>
        </w:tc>
        <w:tc>
          <w:tcPr>
            <w:tcW w:w="2235" w:type="dxa"/>
            <w:gridSpan w:val="2"/>
            <w:shd w:val="clear" w:color="auto" w:fill="auto"/>
            <w:vAlign w:val="center"/>
          </w:tcPr>
          <w:p w14:paraId="47CCCADB">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有无过敏/不适反应</w:t>
            </w:r>
          </w:p>
        </w:tc>
        <w:tc>
          <w:tcPr>
            <w:tcW w:w="1837" w:type="dxa"/>
            <w:shd w:val="clear" w:color="auto" w:fill="auto"/>
            <w:vAlign w:val="center"/>
          </w:tcPr>
          <w:p w14:paraId="14A869DE">
            <w:pPr>
              <w:keepNext w:val="0"/>
              <w:keepLines w:val="0"/>
              <w:widowControl/>
              <w:suppressLineNumbers w:val="0"/>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default" w:ascii="Times New Roman" w:hAnsi="Times New Roman" w:eastAsia="宋体" w:cs="Times New Roman"/>
                <w:b/>
                <w:bCs/>
                <w:kern w:val="0"/>
                <w:sz w:val="24"/>
                <w:szCs w:val="24"/>
                <w:lang w:val="en-US" w:eastAsia="zh-CN" w:bidi="ar"/>
              </w:rPr>
              <w:t>备注</w:t>
            </w:r>
          </w:p>
        </w:tc>
      </w:tr>
      <w:tr w14:paraId="7F4E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013" w:type="dxa"/>
            <w:shd w:val="clear" w:color="auto" w:fill="auto"/>
            <w:vAlign w:val="center"/>
          </w:tcPr>
          <w:p w14:paraId="35087179">
            <w:pPr>
              <w:keepNext w:val="0"/>
              <w:keepLines w:val="0"/>
              <w:widowControl/>
              <w:suppressLineNumbers w:val="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周六</w:t>
            </w:r>
          </w:p>
        </w:tc>
        <w:tc>
          <w:tcPr>
            <w:tcW w:w="2201" w:type="dxa"/>
            <w:gridSpan w:val="2"/>
            <w:shd w:val="clear" w:color="auto" w:fill="auto"/>
          </w:tcPr>
          <w:p w14:paraId="58F41F15">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2202" w:type="dxa"/>
            <w:gridSpan w:val="2"/>
            <w:shd w:val="clear" w:color="auto" w:fill="auto"/>
          </w:tcPr>
          <w:p w14:paraId="129AE676">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好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一般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差</w:t>
            </w:r>
          </w:p>
        </w:tc>
        <w:tc>
          <w:tcPr>
            <w:tcW w:w="2235" w:type="dxa"/>
            <w:gridSpan w:val="2"/>
            <w:shd w:val="clear" w:color="auto" w:fill="auto"/>
          </w:tcPr>
          <w:p w14:paraId="694C0AEC">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无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有（说明：）</w:t>
            </w:r>
          </w:p>
        </w:tc>
        <w:tc>
          <w:tcPr>
            <w:tcW w:w="1837" w:type="dxa"/>
            <w:shd w:val="clear" w:color="auto" w:fill="auto"/>
          </w:tcPr>
          <w:p w14:paraId="226C2A98">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r w14:paraId="4F6F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 w:hRule="atLeast"/>
          <w:jc w:val="center"/>
        </w:trPr>
        <w:tc>
          <w:tcPr>
            <w:tcW w:w="1013" w:type="dxa"/>
            <w:shd w:val="clear" w:color="auto" w:fill="auto"/>
            <w:vAlign w:val="center"/>
          </w:tcPr>
          <w:p w14:paraId="3C9E8FA5">
            <w:pPr>
              <w:keepNext w:val="0"/>
              <w:keepLines w:val="0"/>
              <w:widowControl/>
              <w:suppressLineNumbers w:val="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周日</w:t>
            </w:r>
          </w:p>
        </w:tc>
        <w:tc>
          <w:tcPr>
            <w:tcW w:w="2201" w:type="dxa"/>
            <w:gridSpan w:val="2"/>
            <w:shd w:val="clear" w:color="auto" w:fill="auto"/>
          </w:tcPr>
          <w:p w14:paraId="570CCDCD">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是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否</w:t>
            </w:r>
          </w:p>
        </w:tc>
        <w:tc>
          <w:tcPr>
            <w:tcW w:w="2202" w:type="dxa"/>
            <w:gridSpan w:val="2"/>
            <w:shd w:val="clear" w:color="auto" w:fill="auto"/>
            <w:vAlign w:val="top"/>
          </w:tcPr>
          <w:p w14:paraId="4A94A655">
            <w:pPr>
              <w:jc w:val="center"/>
              <w:rPr>
                <w:rFonts w:hint="default" w:ascii="Times New Roman" w:hAnsi="Times New Roman" w:eastAsia="宋体" w:cs="Times New Roman"/>
                <w:i w:val="0"/>
                <w:iCs w:val="0"/>
                <w:caps w:val="0"/>
                <w:color w:val="0F1115"/>
                <w:spacing w:val="0"/>
                <w:kern w:val="2"/>
                <w:sz w:val="24"/>
                <w:szCs w:val="24"/>
                <w:shd w:val="clear" w:fill="FFFFFF"/>
                <w:vertAlign w:val="baseline"/>
                <w:lang w:val="en-US" w:eastAsia="zh-CN" w:bidi="ar-SA"/>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好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一般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差</w:t>
            </w:r>
          </w:p>
        </w:tc>
        <w:tc>
          <w:tcPr>
            <w:tcW w:w="2235" w:type="dxa"/>
            <w:gridSpan w:val="2"/>
            <w:shd w:val="clear" w:color="auto" w:fill="auto"/>
            <w:vAlign w:val="top"/>
          </w:tcPr>
          <w:p w14:paraId="0D1CA932">
            <w:pPr>
              <w:jc w:val="center"/>
              <w:rPr>
                <w:rFonts w:hint="default" w:ascii="Times New Roman" w:hAnsi="Times New Roman" w:eastAsia="宋体" w:cs="Times New Roman"/>
                <w:i w:val="0"/>
                <w:iCs w:val="0"/>
                <w:caps w:val="0"/>
                <w:color w:val="0F1115"/>
                <w:spacing w:val="0"/>
                <w:kern w:val="2"/>
                <w:sz w:val="24"/>
                <w:szCs w:val="24"/>
                <w:shd w:val="clear" w:fill="FFFFFF"/>
                <w:vertAlign w:val="baseline"/>
                <w:lang w:val="en-US" w:eastAsia="zh-CN" w:bidi="ar-SA"/>
              </w:rPr>
            </w:pP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 xml:space="preserve">无 </w:t>
            </w:r>
            <w:r>
              <w:rPr>
                <w:rFonts w:hint="eastAsia" w:ascii="Times New Roman" w:hAnsi="Times New Roman" w:eastAsia="宋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有（说明：）</w:t>
            </w:r>
          </w:p>
        </w:tc>
        <w:tc>
          <w:tcPr>
            <w:tcW w:w="1837" w:type="dxa"/>
            <w:shd w:val="clear" w:color="auto" w:fill="auto"/>
          </w:tcPr>
          <w:p w14:paraId="1789BBE7">
            <w:pPr>
              <w:jc w:val="center"/>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p>
        </w:tc>
      </w:tr>
      <w:tr w14:paraId="39A8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488" w:type="dxa"/>
            <w:gridSpan w:val="8"/>
            <w:shd w:val="clear" w:color="auto" w:fill="auto"/>
            <w:vAlign w:val="top"/>
          </w:tcPr>
          <w:p w14:paraId="74E91524">
            <w:pPr>
              <w:numPr>
                <w:ilvl w:val="0"/>
                <w:numId w:val="0"/>
              </w:numPr>
              <w:jc w:val="both"/>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b/>
                <w:bCs/>
                <w:i w:val="0"/>
                <w:iCs w:val="0"/>
                <w:caps w:val="0"/>
                <w:color w:val="0F1115"/>
                <w:spacing w:val="0"/>
                <w:sz w:val="24"/>
                <w:szCs w:val="24"/>
                <w:shd w:val="clear" w:fill="FFFFFF"/>
                <w:vertAlign w:val="baseline"/>
                <w:lang w:val="en-US" w:eastAsia="zh-CN"/>
              </w:rPr>
              <w:t>四、家长意见与建议</w:t>
            </w:r>
          </w:p>
        </w:tc>
      </w:tr>
      <w:tr w14:paraId="634F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488" w:type="dxa"/>
            <w:gridSpan w:val="8"/>
            <w:shd w:val="clear" w:color="auto" w:fill="auto"/>
            <w:vAlign w:val="top"/>
          </w:tcPr>
          <w:p w14:paraId="7F22B334">
            <w:pPr>
              <w:jc w:val="both"/>
              <w:rPr>
                <w:rFonts w:hint="default" w:ascii="Times New Roman" w:hAnsi="Times New Roman" w:eastAsia="宋体" w:cs="Times New Roman"/>
                <w:i w:val="0"/>
                <w:iCs w:val="0"/>
                <w:caps w:val="0"/>
                <w:color w:val="0F1115"/>
                <w:spacing w:val="0"/>
                <w:sz w:val="24"/>
                <w:szCs w:val="24"/>
                <w:shd w:val="clear" w:fill="FFFFFF"/>
                <w:vertAlign w:val="baseline"/>
                <w:lang w:val="en-US" w:eastAsia="zh-CN"/>
              </w:rPr>
            </w:pPr>
            <w:r>
              <w:rPr>
                <w:rFonts w:hint="eastAsia" w:ascii="Times New Roman" w:hAnsi="Times New Roman" w:eastAsia="宋体" w:cs="Times New Roman"/>
                <w:b/>
                <w:bCs/>
                <w:i w:val="0"/>
                <w:iCs w:val="0"/>
                <w:caps w:val="0"/>
                <w:color w:val="0F1115"/>
                <w:spacing w:val="0"/>
                <w:sz w:val="24"/>
                <w:szCs w:val="24"/>
                <w:shd w:val="clear" w:fill="FFFFFF"/>
                <w:vertAlign w:val="baseline"/>
                <w:lang w:val="en-US" w:eastAsia="zh-CN"/>
              </w:rPr>
              <w:t>五、医疗机构指导意见（如有）</w:t>
            </w:r>
          </w:p>
        </w:tc>
      </w:tr>
    </w:tbl>
    <w:p w14:paraId="4439A24F">
      <w:pPr>
        <w:rPr>
          <w:rFonts w:hint="eastAsia" w:ascii="Times New Roman" w:hAnsi="Times New Roman" w:eastAsia="宋体" w:cs="Times New Roman"/>
          <w:i w:val="0"/>
          <w:iCs w:val="0"/>
          <w:caps w:val="0"/>
          <w:color w:val="0F1115"/>
          <w:spacing w:val="0"/>
          <w:sz w:val="24"/>
          <w:szCs w:val="24"/>
          <w:shd w:val="clear" w:fill="FFFFFF"/>
          <w:lang w:val="en-US" w:eastAsia="zh-CN"/>
        </w:rPr>
      </w:pPr>
    </w:p>
    <w:p w14:paraId="434D0F03">
      <w:pPr>
        <w:pStyle w:val="58"/>
        <w:ind w:firstLine="420"/>
      </w:pPr>
      <w:r>
        <w:rPr>
          <w:rFonts w:ascii="宋体" w:hAnsi="宋体" w:eastAsia="宋体" w:cs="宋体"/>
          <w:color w:val="000000"/>
          <w:sz w:val="21"/>
          <w:szCs w:val="21"/>
          <w:lang w:val="en-US" w:eastAsia="zh-CN"/>
        </w:rPr>
        <w:t>反馈人：</w:t>
      </w:r>
      <w:r>
        <w:rPr>
          <w:rFonts w:ascii="宋体" w:hAnsi="宋体" w:eastAsia="宋体" w:cs="宋体"/>
          <w:color w:val="000000"/>
          <w:sz w:val="21"/>
          <w:szCs w:val="21"/>
        </w:rPr>
        <w:t>卫生保健人员：______ 家长：______ 日期：______</w:t>
      </w:r>
    </w:p>
    <w:p w14:paraId="247064E5">
      <w:pPr>
        <w:rPr>
          <w:rFonts w:hint="default" w:ascii="Times New Roman" w:hAnsi="Times New Roman" w:eastAsia="宋体" w:cs="Times New Roman"/>
          <w:i w:val="0"/>
          <w:iCs w:val="0"/>
          <w:caps w:val="0"/>
          <w:color w:val="0F1115"/>
          <w:spacing w:val="0"/>
          <w:sz w:val="24"/>
          <w:szCs w:val="24"/>
          <w:shd w:val="clear" w:fill="FFFFFF"/>
        </w:rPr>
      </w:pPr>
    </w:p>
    <w:p w14:paraId="33E41CBF">
      <w:pPr>
        <w:rPr>
          <w:rFonts w:hint="default" w:ascii="Times New Roman" w:hAnsi="Times New Roman" w:eastAsia="宋体" w:cs="Times New Roman"/>
          <w:i w:val="0"/>
          <w:iCs w:val="0"/>
          <w:caps w:val="0"/>
          <w:color w:val="0F1115"/>
          <w:spacing w:val="0"/>
          <w:sz w:val="24"/>
          <w:szCs w:val="24"/>
          <w:shd w:val="clear" w:fill="FFFFFF"/>
        </w:rPr>
      </w:pPr>
    </w:p>
    <w:p w14:paraId="702DDE40">
      <w:pPr>
        <w:rPr>
          <w:rFonts w:hint="default" w:ascii="Times New Roman" w:hAnsi="Times New Roman" w:eastAsia="宋体" w:cs="Times New Roman"/>
          <w:i w:val="0"/>
          <w:iCs w:val="0"/>
          <w:caps w:val="0"/>
          <w:color w:val="0F1115"/>
          <w:spacing w:val="0"/>
          <w:sz w:val="24"/>
          <w:szCs w:val="24"/>
          <w:shd w:val="clear" w:fill="FFFFFF"/>
        </w:rPr>
      </w:pPr>
    </w:p>
    <w:p w14:paraId="03AD8676">
      <w:pPr>
        <w:rPr>
          <w:rFonts w:hint="default" w:ascii="Times New Roman" w:hAnsi="Times New Roman" w:eastAsia="宋体" w:cs="Times New Roman"/>
          <w:i w:val="0"/>
          <w:iCs w:val="0"/>
          <w:caps w:val="0"/>
          <w:color w:val="0F1115"/>
          <w:spacing w:val="0"/>
          <w:sz w:val="24"/>
          <w:szCs w:val="24"/>
          <w:shd w:val="clear" w:fill="FFFFFF"/>
        </w:rPr>
      </w:pPr>
    </w:p>
    <w:p w14:paraId="114D7718">
      <w:pPr>
        <w:rPr>
          <w:rFonts w:hint="default" w:ascii="Times New Roman" w:hAnsi="Times New Roman" w:eastAsia="宋体" w:cs="Times New Roman"/>
          <w:i w:val="0"/>
          <w:iCs w:val="0"/>
          <w:caps w:val="0"/>
          <w:color w:val="0F1115"/>
          <w:spacing w:val="0"/>
          <w:sz w:val="24"/>
          <w:szCs w:val="24"/>
          <w:shd w:val="clear" w:fill="FFFFFF"/>
        </w:rPr>
      </w:pPr>
    </w:p>
    <w:p w14:paraId="2E84F125">
      <w:pPr>
        <w:rPr>
          <w:rFonts w:hint="default" w:ascii="Times New Roman" w:hAnsi="Times New Roman" w:eastAsia="宋体" w:cs="Times New Roman"/>
          <w:i w:val="0"/>
          <w:iCs w:val="0"/>
          <w:caps w:val="0"/>
          <w:color w:val="0F1115"/>
          <w:spacing w:val="0"/>
          <w:sz w:val="24"/>
          <w:szCs w:val="24"/>
          <w:shd w:val="clear" w:fill="FFFFFF"/>
        </w:rPr>
      </w:pPr>
    </w:p>
    <w:p w14:paraId="57EF1B2B">
      <w:pPr>
        <w:rPr>
          <w:rFonts w:hint="default" w:ascii="Times New Roman" w:hAnsi="Times New Roman" w:eastAsia="宋体" w:cs="Times New Roman"/>
          <w:i w:val="0"/>
          <w:iCs w:val="0"/>
          <w:caps w:val="0"/>
          <w:color w:val="0F1115"/>
          <w:spacing w:val="0"/>
          <w:sz w:val="24"/>
          <w:szCs w:val="24"/>
          <w:shd w:val="clear" w:fill="FFFFFF"/>
        </w:rPr>
      </w:pPr>
    </w:p>
    <w:p w14:paraId="7EE32FE0">
      <w:pPr>
        <w:rPr>
          <w:rFonts w:hint="default" w:ascii="Times New Roman" w:hAnsi="Times New Roman" w:eastAsia="宋体" w:cs="Times New Roman"/>
          <w:i w:val="0"/>
          <w:iCs w:val="0"/>
          <w:caps w:val="0"/>
          <w:color w:val="0F1115"/>
          <w:spacing w:val="0"/>
          <w:sz w:val="24"/>
          <w:szCs w:val="24"/>
          <w:shd w:val="clear" w:fill="FFFFFF"/>
        </w:rPr>
      </w:pPr>
    </w:p>
    <w:p w14:paraId="1EA361B7">
      <w:pPr>
        <w:rPr>
          <w:rFonts w:hint="default" w:ascii="Times New Roman" w:hAnsi="Times New Roman" w:eastAsia="宋体" w:cs="Times New Roman"/>
          <w:i w:val="0"/>
          <w:iCs w:val="0"/>
          <w:caps w:val="0"/>
          <w:color w:val="0F1115"/>
          <w:spacing w:val="0"/>
          <w:sz w:val="24"/>
          <w:szCs w:val="24"/>
          <w:shd w:val="clear" w:fill="FFFFFF"/>
        </w:rPr>
      </w:pPr>
    </w:p>
    <w:p w14:paraId="1AED8460">
      <w:pPr>
        <w:rPr>
          <w:rFonts w:hint="default" w:ascii="Times New Roman" w:hAnsi="Times New Roman" w:eastAsia="宋体" w:cs="Times New Roman"/>
          <w:i w:val="0"/>
          <w:iCs w:val="0"/>
          <w:caps w:val="0"/>
          <w:color w:val="0F1115"/>
          <w:spacing w:val="0"/>
          <w:sz w:val="24"/>
          <w:szCs w:val="24"/>
          <w:shd w:val="clear" w:fill="FFFFFF"/>
        </w:rPr>
      </w:pPr>
    </w:p>
    <w:p w14:paraId="64922233">
      <w:pPr>
        <w:rPr>
          <w:rFonts w:hint="default" w:ascii="Times New Roman" w:hAnsi="Times New Roman" w:eastAsia="宋体" w:cs="Times New Roman"/>
          <w:i w:val="0"/>
          <w:iCs w:val="0"/>
          <w:caps w:val="0"/>
          <w:color w:val="0F1115"/>
          <w:spacing w:val="0"/>
          <w:sz w:val="24"/>
          <w:szCs w:val="24"/>
          <w:shd w:val="clear" w:fill="FFFFFF"/>
        </w:rPr>
      </w:pPr>
    </w:p>
    <w:p w14:paraId="19E143F0">
      <w:pPr>
        <w:rPr>
          <w:rFonts w:hint="default" w:ascii="Times New Roman" w:hAnsi="Times New Roman" w:eastAsia="宋体" w:cs="Times New Roman"/>
          <w:i w:val="0"/>
          <w:iCs w:val="0"/>
          <w:caps w:val="0"/>
          <w:color w:val="0F1115"/>
          <w:spacing w:val="0"/>
          <w:sz w:val="24"/>
          <w:szCs w:val="24"/>
          <w:shd w:val="clear" w:fill="FFFFFF"/>
        </w:rPr>
      </w:pPr>
    </w:p>
    <w:p w14:paraId="3A7CF88E">
      <w:pPr>
        <w:rPr>
          <w:rFonts w:hint="default" w:ascii="Times New Roman" w:hAnsi="Times New Roman" w:eastAsia="宋体" w:cs="Times New Roman"/>
          <w:i w:val="0"/>
          <w:iCs w:val="0"/>
          <w:caps w:val="0"/>
          <w:color w:val="0F1115"/>
          <w:spacing w:val="0"/>
          <w:sz w:val="24"/>
          <w:szCs w:val="24"/>
          <w:shd w:val="clear" w:fill="FFFFFF"/>
        </w:rPr>
      </w:pPr>
    </w:p>
    <w:p w14:paraId="69700BB2">
      <w:pPr>
        <w:rPr>
          <w:rFonts w:hint="default" w:ascii="Times New Roman" w:hAnsi="Times New Roman" w:eastAsia="宋体" w:cs="Times New Roman"/>
          <w:i w:val="0"/>
          <w:iCs w:val="0"/>
          <w:caps w:val="0"/>
          <w:color w:val="0F1115"/>
          <w:spacing w:val="0"/>
          <w:sz w:val="24"/>
          <w:szCs w:val="24"/>
          <w:shd w:val="clear" w:fill="FFFFFF"/>
        </w:rPr>
      </w:pPr>
    </w:p>
    <w:p w14:paraId="363F97EA">
      <w:pPr>
        <w:rPr>
          <w:rFonts w:hint="default" w:ascii="Times New Roman" w:hAnsi="Times New Roman" w:eastAsia="宋体" w:cs="Times New Roman"/>
          <w:i w:val="0"/>
          <w:iCs w:val="0"/>
          <w:caps w:val="0"/>
          <w:color w:val="0F1115"/>
          <w:spacing w:val="0"/>
          <w:sz w:val="24"/>
          <w:szCs w:val="24"/>
          <w:shd w:val="clear" w:fill="FFFFFF"/>
        </w:rPr>
      </w:pPr>
    </w:p>
    <w:p w14:paraId="3B133017">
      <w:pPr>
        <w:rPr>
          <w:rFonts w:hint="default" w:ascii="Times New Roman" w:hAnsi="Times New Roman" w:eastAsia="宋体" w:cs="Times New Roman"/>
          <w:i w:val="0"/>
          <w:iCs w:val="0"/>
          <w:caps w:val="0"/>
          <w:color w:val="0F1115"/>
          <w:spacing w:val="0"/>
          <w:sz w:val="24"/>
          <w:szCs w:val="24"/>
          <w:shd w:val="clear" w:fill="FFFFFF"/>
        </w:rPr>
      </w:pPr>
    </w:p>
    <w:p w14:paraId="0B9C3B81">
      <w:pPr>
        <w:rPr>
          <w:rFonts w:hint="default" w:ascii="Times New Roman" w:hAnsi="Times New Roman" w:eastAsia="宋体" w:cs="Times New Roman"/>
          <w:i w:val="0"/>
          <w:iCs w:val="0"/>
          <w:caps w:val="0"/>
          <w:color w:val="0F1115"/>
          <w:spacing w:val="0"/>
          <w:sz w:val="24"/>
          <w:szCs w:val="24"/>
          <w:shd w:val="clear" w:fill="FFFFFF"/>
        </w:rPr>
      </w:pPr>
    </w:p>
    <w:p w14:paraId="6FE744E4">
      <w:pPr>
        <w:pStyle w:val="78"/>
        <w:numPr>
          <w:ilvl w:val="0"/>
          <w:numId w:val="0"/>
        </w:numPr>
        <w:spacing w:after="156"/>
        <w:ind w:left="0" w:firstLine="0" w:firstLineChars="0"/>
        <w:jc w:val="center"/>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ascii="Arial" w:hAnsi="Arial" w:eastAsia="Arial" w:cs="Arial"/>
          <w:snapToGrid w:val="0"/>
          <w:color w:val="0000FF"/>
          <w:spacing w:val="-9"/>
          <w:kern w:val="0"/>
          <w:sz w:val="22"/>
          <w:szCs w:val="22"/>
          <w:lang w:val="en-US" w:eastAsia="en-US" w:bidi="ar-SA"/>
        </w:rPr>
        <w:t>D</w:t>
      </w:r>
    </w:p>
    <w:p w14:paraId="550CBC01">
      <w:pPr>
        <w:pStyle w:val="78"/>
        <w:numPr>
          <w:ilvl w:val="0"/>
          <w:numId w:val="0"/>
        </w:numPr>
        <w:spacing w:after="156"/>
        <w:ind w:left="0" w:firstLine="0" w:firstLineChars="0"/>
      </w:pPr>
      <w:bookmarkStart w:id="248" w:name="bookmark12"/>
      <w:bookmarkEnd w:id="248"/>
      <w:r>
        <w:rPr>
          <w:rFonts w:ascii="黑体" w:hAnsi="黑体" w:eastAsia="黑体" w:cs="黑体"/>
          <w:snapToGrid w:val="0"/>
          <w:color w:val="000000"/>
          <w:spacing w:val="-4"/>
          <w:kern w:val="0"/>
          <w:sz w:val="22"/>
          <w:szCs w:val="22"/>
          <w:lang w:val="en-US" w:eastAsia="en-US" w:bidi="ar-SA"/>
        </w:rPr>
        <w:t>(资料性)</w:t>
      </w:r>
    </w:p>
    <w:p w14:paraId="01E10ED1">
      <w:pPr>
        <w:pStyle w:val="89"/>
      </w:pPr>
      <w:r>
        <w:rPr>
          <w:rFonts w:hint="default" w:ascii="黑体" w:hAnsi="黑体" w:eastAsia="黑体" w:cs="黑体"/>
          <w:b w:val="0"/>
          <w:bCs w:val="0"/>
          <w:snapToGrid w:val="0"/>
          <w:color w:val="000000"/>
          <w:spacing w:val="-10"/>
          <w:kern w:val="0"/>
          <w:sz w:val="22"/>
          <w:szCs w:val="22"/>
          <w:lang w:val="en-US" w:eastAsia="en-US" w:bidi="ar"/>
        </w:rPr>
        <w:t>健康管理员个人档案</w:t>
      </w:r>
    </w:p>
    <w:p w14:paraId="4E6147B5">
      <w:pPr>
        <w:widowControl/>
        <w:kinsoku w:val="0"/>
        <w:autoSpaceDE w:val="0"/>
        <w:autoSpaceDN w:val="0"/>
        <w:snapToGrid w:val="0"/>
        <w:spacing w:before="71" w:line="219" w:lineRule="auto"/>
        <w:ind w:left="405"/>
        <w:jc w:val="left"/>
        <w:textAlignment w:val="baseline"/>
        <w:rPr>
          <w:rFonts w:hint="default" w:ascii="宋体" w:hAnsi="宋体" w:eastAsia="宋体" w:cs="宋体"/>
          <w:snapToGrid w:val="0"/>
          <w:color w:val="000000"/>
          <w:spacing w:val="-9"/>
          <w:kern w:val="0"/>
          <w:sz w:val="22"/>
          <w:szCs w:val="22"/>
          <w:lang w:val="en-US" w:eastAsia="en-US" w:bidi="ar-SA"/>
        </w:rPr>
      </w:pPr>
    </w:p>
    <w:p w14:paraId="79FB45D2">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见表D.1</w:t>
      </w:r>
      <w:r>
        <w:rPr>
          <w:rFonts w:hint="default" w:ascii="宋体" w:hAnsi="宋体" w:eastAsia="宋体" w:cs="宋体"/>
          <w:snapToGrid w:val="0"/>
          <w:color w:val="000000"/>
          <w:spacing w:val="-9"/>
          <w:kern w:val="0"/>
          <w:sz w:val="22"/>
          <w:szCs w:val="22"/>
          <w:lang w:val="en-US" w:eastAsia="en-US" w:bidi="ar-SA"/>
        </w:rPr>
        <w:t>。</w:t>
      </w:r>
    </w:p>
    <w:p w14:paraId="1429CC19">
      <w:pPr>
        <w:pStyle w:val="79"/>
        <w:numPr>
          <w:ilvl w:val="0"/>
          <w:numId w:val="0"/>
        </w:numPr>
        <w:spacing w:before="156" w:after="156"/>
      </w:pPr>
      <w:r>
        <w:rPr>
          <w:rFonts w:hint="eastAsia" w:ascii="宋体" w:hAnsi="宋体" w:eastAsia="宋体" w:cs="宋体"/>
          <w:b/>
          <w:bCs/>
          <w:kern w:val="0"/>
          <w:sz w:val="21"/>
          <w:szCs w:val="21"/>
          <w:lang w:val="en-US" w:eastAsia="zh-CN" w:bidi="ar"/>
        </w:rPr>
        <w:t>表D.1  健康管理员个人档案</w:t>
      </w:r>
    </w:p>
    <w:tbl>
      <w:tblPr>
        <w:tblStyle w:val="28"/>
        <w:tblW w:w="502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1374"/>
        <w:gridCol w:w="1176"/>
        <w:gridCol w:w="374"/>
        <w:gridCol w:w="398"/>
        <w:gridCol w:w="701"/>
        <w:gridCol w:w="1007"/>
        <w:gridCol w:w="727"/>
        <w:gridCol w:w="137"/>
        <w:gridCol w:w="951"/>
        <w:gridCol w:w="802"/>
        <w:gridCol w:w="1747"/>
      </w:tblGrid>
      <w:tr w14:paraId="0BEF5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4"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6BC82C3F">
            <w:pPr>
              <w:pStyle w:val="180"/>
              <w:keepNext w:val="0"/>
              <w:keepLines w:val="0"/>
              <w:widowControl/>
              <w:suppressLineNumbers w:val="0"/>
              <w:rPr>
                <w:woUserID w:val="21"/>
              </w:rPr>
            </w:pPr>
            <w:r>
              <w:rPr>
                <w:rFonts w:hint="eastAsia" w:ascii="宋体" w:hAnsi="宋体" w:eastAsia="宋体" w:cs="宋体"/>
                <w:color w:val="000000"/>
                <w:spacing w:val="13"/>
                <w:kern w:val="0"/>
                <w:sz w:val="21"/>
                <w:szCs w:val="21"/>
                <w:woUserID w:val="21"/>
              </w:rPr>
              <w:t>姓名</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top"/>
          </w:tcPr>
          <w:p w14:paraId="3C88B381">
            <w:pPr>
              <w:pStyle w:val="180"/>
              <w:keepNext w:val="0"/>
              <w:keepLines w:val="0"/>
              <w:widowControl/>
              <w:suppressLineNumbers w:val="0"/>
              <w:rPr>
                <w:woUserID w:val="21"/>
              </w:rPr>
            </w:pP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CB707D4">
            <w:pPr>
              <w:pStyle w:val="180"/>
              <w:keepNext w:val="0"/>
              <w:keepLines w:val="0"/>
              <w:widowControl/>
              <w:suppressLineNumbers w:val="0"/>
              <w:rPr>
                <w:woUserID w:val="21"/>
              </w:rPr>
            </w:pPr>
            <w:r>
              <w:rPr>
                <w:rFonts w:hint="eastAsia" w:ascii="宋体" w:hAnsi="宋体" w:eastAsia="宋体" w:cs="宋体"/>
                <w:color w:val="000000"/>
                <w:spacing w:val="11"/>
                <w:kern w:val="0"/>
                <w:sz w:val="21"/>
                <w:szCs w:val="21"/>
                <w:woUserID w:val="21"/>
              </w:rPr>
              <w:t>性别</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top"/>
          </w:tcPr>
          <w:p w14:paraId="42475C75">
            <w:pPr>
              <w:pStyle w:val="180"/>
              <w:keepNext w:val="0"/>
              <w:keepLines w:val="0"/>
              <w:widowControl/>
              <w:suppressLineNumbers w:val="0"/>
              <w:rPr>
                <w:woUserID w:val="21"/>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54D17482">
            <w:pPr>
              <w:pStyle w:val="180"/>
              <w:keepNext w:val="0"/>
              <w:keepLines w:val="0"/>
              <w:widowControl/>
              <w:suppressLineNumbers w:val="0"/>
              <w:rPr>
                <w:woUserID w:val="21"/>
              </w:rPr>
            </w:pPr>
            <w:r>
              <w:rPr>
                <w:rFonts w:hint="eastAsia" w:ascii="宋体" w:hAnsi="宋体" w:eastAsia="宋体" w:cs="宋体"/>
                <w:color w:val="000000"/>
                <w:spacing w:val="10"/>
                <w:kern w:val="0"/>
                <w:sz w:val="21"/>
                <w:szCs w:val="21"/>
                <w:woUserID w:val="21"/>
              </w:rPr>
              <w:t>出生年月</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top"/>
          </w:tcPr>
          <w:p w14:paraId="057B61EC">
            <w:pPr>
              <w:pStyle w:val="180"/>
              <w:keepNext w:val="0"/>
              <w:keepLines w:val="0"/>
              <w:widowControl/>
              <w:suppressLineNumbers w:val="0"/>
              <w:rPr>
                <w:woUserID w:val="21"/>
              </w:rPr>
            </w:pP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02FB9A">
            <w:pPr>
              <w:pStyle w:val="180"/>
              <w:keepNext w:val="0"/>
              <w:keepLines w:val="0"/>
              <w:widowControl/>
              <w:suppressLineNumbers w:val="0"/>
              <w:rPr>
                <w:woUserID w:val="21"/>
              </w:rPr>
            </w:pPr>
            <w:r>
              <w:rPr>
                <w:rFonts w:hint="eastAsia" w:ascii="宋体" w:hAnsi="宋体" w:eastAsia="宋体" w:cs="宋体"/>
                <w:color w:val="000000"/>
                <w:spacing w:val="9"/>
                <w:kern w:val="0"/>
                <w:sz w:val="21"/>
                <w:szCs w:val="21"/>
                <w:woUserID w:val="21"/>
              </w:rPr>
              <w:t>政治</w:t>
            </w:r>
            <w:r>
              <w:rPr>
                <w:rFonts w:hint="eastAsia" w:ascii="宋体" w:hAnsi="宋体" w:eastAsia="宋体" w:cs="宋体"/>
                <w:color w:val="000000"/>
                <w:kern w:val="0"/>
                <w:sz w:val="21"/>
                <w:szCs w:val="21"/>
                <w:woUserID w:val="21"/>
              </w:rPr>
              <w:t xml:space="preserve"> </w:t>
            </w:r>
            <w:r>
              <w:rPr>
                <w:rFonts w:hint="eastAsia" w:ascii="宋体" w:hAnsi="宋体" w:eastAsia="宋体" w:cs="宋体"/>
                <w:color w:val="000000"/>
                <w:spacing w:val="-3"/>
                <w:kern w:val="0"/>
                <w:sz w:val="21"/>
                <w:szCs w:val="21"/>
                <w:woUserID w:val="21"/>
              </w:rPr>
              <w:t>面貌</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top"/>
          </w:tcPr>
          <w:p w14:paraId="0E2F8456">
            <w:pPr>
              <w:pStyle w:val="180"/>
              <w:keepNext w:val="0"/>
              <w:keepLines w:val="0"/>
              <w:widowControl/>
              <w:suppressLineNumbers w:val="0"/>
              <w:rPr>
                <w:woUserID w:val="21"/>
              </w:rPr>
            </w:pPr>
          </w:p>
        </w:tc>
        <w:tc>
          <w:tcPr>
            <w:tcW w:w="929" w:type="pct"/>
            <w:vMerge w:val="restart"/>
            <w:tcBorders>
              <w:top w:val="single" w:color="000000" w:sz="4" w:space="0"/>
              <w:left w:val="single" w:color="000000" w:sz="4" w:space="0"/>
              <w:bottom w:val="nil"/>
              <w:right w:val="single" w:color="000000" w:sz="4" w:space="0"/>
            </w:tcBorders>
            <w:shd w:val="clear" w:color="auto" w:fill="auto"/>
            <w:vAlign w:val="top"/>
          </w:tcPr>
          <w:p w14:paraId="09CECA55">
            <w:pPr>
              <w:pStyle w:val="180"/>
              <w:keepNext w:val="0"/>
              <w:keepLines w:val="0"/>
              <w:widowControl/>
              <w:suppressLineNumbers w:val="0"/>
              <w:rPr>
                <w:woUserID w:val="21"/>
              </w:rPr>
            </w:pPr>
          </w:p>
        </w:tc>
      </w:tr>
      <w:tr w14:paraId="73007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60D7E88C">
            <w:pPr>
              <w:pStyle w:val="180"/>
              <w:keepNext w:val="0"/>
              <w:keepLines w:val="0"/>
              <w:widowControl/>
              <w:suppressLineNumbers w:val="0"/>
              <w:rPr>
                <w:woUserID w:val="21"/>
              </w:rPr>
            </w:pPr>
            <w:r>
              <w:rPr>
                <w:rFonts w:hint="eastAsia" w:ascii="宋体" w:hAnsi="宋体" w:eastAsia="宋体" w:cs="宋体"/>
                <w:color w:val="000000"/>
                <w:spacing w:val="-10"/>
                <w:kern w:val="0"/>
                <w:position w:val="1"/>
                <w:sz w:val="21"/>
                <w:szCs w:val="21"/>
                <w:woUserID w:val="21"/>
              </w:rPr>
              <w:t>毕业院校</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top"/>
          </w:tcPr>
          <w:p w14:paraId="2A76FD77">
            <w:pPr>
              <w:pStyle w:val="180"/>
              <w:keepNext w:val="0"/>
              <w:keepLines w:val="0"/>
              <w:widowControl/>
              <w:suppressLineNumbers w:val="0"/>
              <w:rPr>
                <w:woUserID w:val="21"/>
              </w:rPr>
            </w:pP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9D9971A">
            <w:pPr>
              <w:pStyle w:val="180"/>
              <w:keepNext w:val="0"/>
              <w:keepLines w:val="0"/>
              <w:widowControl/>
              <w:suppressLineNumbers w:val="0"/>
              <w:rPr>
                <w:woUserID w:val="21"/>
              </w:rPr>
            </w:pPr>
            <w:r>
              <w:rPr>
                <w:rFonts w:hint="eastAsia" w:ascii="宋体" w:hAnsi="宋体" w:eastAsia="宋体" w:cs="宋体"/>
                <w:color w:val="000000"/>
                <w:spacing w:val="-7"/>
                <w:kern w:val="0"/>
                <w:sz w:val="21"/>
                <w:szCs w:val="21"/>
                <w:woUserID w:val="21"/>
              </w:rPr>
              <w:t>毕业</w:t>
            </w:r>
          </w:p>
          <w:p w14:paraId="75AEB1E5">
            <w:pPr>
              <w:pStyle w:val="180"/>
              <w:keepNext w:val="0"/>
              <w:keepLines w:val="0"/>
              <w:widowControl/>
              <w:suppressLineNumbers w:val="0"/>
              <w:rPr>
                <w:woUserID w:val="21"/>
              </w:rPr>
            </w:pPr>
            <w:r>
              <w:rPr>
                <w:rFonts w:hint="eastAsia" w:ascii="宋体" w:hAnsi="宋体" w:eastAsia="宋体" w:cs="宋体"/>
                <w:color w:val="000000"/>
                <w:spacing w:val="-7"/>
                <w:kern w:val="0"/>
                <w:sz w:val="21"/>
                <w:szCs w:val="21"/>
                <w:woUserID w:val="21"/>
              </w:rPr>
              <w:t>时间</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top"/>
          </w:tcPr>
          <w:p w14:paraId="4AD99E4E">
            <w:pPr>
              <w:pStyle w:val="180"/>
              <w:keepNext w:val="0"/>
              <w:keepLines w:val="0"/>
              <w:widowControl/>
              <w:suppressLineNumbers w:val="0"/>
              <w:rPr>
                <w:woUserID w:val="21"/>
              </w:rPr>
            </w:pPr>
          </w:p>
        </w:tc>
        <w:tc>
          <w:tcPr>
            <w:tcW w:w="536" w:type="pct"/>
            <w:tcBorders>
              <w:top w:val="single" w:color="000000" w:sz="4" w:space="0"/>
              <w:left w:val="single" w:color="000000" w:sz="4" w:space="0"/>
              <w:bottom w:val="nil"/>
              <w:right w:val="single" w:color="000000" w:sz="4" w:space="0"/>
            </w:tcBorders>
            <w:shd w:val="clear" w:color="auto" w:fill="auto"/>
            <w:vAlign w:val="top"/>
          </w:tcPr>
          <w:p w14:paraId="5C239ED9">
            <w:pPr>
              <w:pStyle w:val="180"/>
              <w:keepNext w:val="0"/>
              <w:keepLines w:val="0"/>
              <w:widowControl/>
              <w:suppressLineNumbers w:val="0"/>
              <w:rPr>
                <w:woUserID w:val="21"/>
              </w:rPr>
            </w:pPr>
            <w:r>
              <w:rPr>
                <w:rFonts w:hint="eastAsia" w:ascii="宋体" w:hAnsi="宋体" w:eastAsia="宋体" w:cs="宋体"/>
                <w:color w:val="000000"/>
                <w:spacing w:val="3"/>
                <w:kern w:val="0"/>
                <w:sz w:val="21"/>
                <w:szCs w:val="21"/>
                <w:woUserID w:val="21"/>
              </w:rPr>
              <w:t>最高学历</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top"/>
          </w:tcPr>
          <w:p w14:paraId="2FD5B122">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woUserID w:val="21"/>
              </w:rPr>
              <w:t>本科</w:t>
            </w: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EE35FF">
            <w:pPr>
              <w:pStyle w:val="180"/>
              <w:keepNext w:val="0"/>
              <w:keepLines w:val="0"/>
              <w:widowControl/>
              <w:suppressLineNumbers w:val="0"/>
              <w:rPr>
                <w:woUserID w:val="21"/>
              </w:rPr>
            </w:pPr>
            <w:r>
              <w:rPr>
                <w:rFonts w:hint="eastAsia" w:ascii="宋体" w:hAnsi="宋体" w:eastAsia="宋体" w:cs="宋体"/>
                <w:color w:val="000000"/>
                <w:spacing w:val="5"/>
                <w:kern w:val="0"/>
                <w:sz w:val="21"/>
                <w:szCs w:val="21"/>
                <w:woUserID w:val="21"/>
              </w:rPr>
              <w:t>学位</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top"/>
          </w:tcPr>
          <w:p w14:paraId="7E42BB91">
            <w:pPr>
              <w:pStyle w:val="180"/>
              <w:keepNext w:val="0"/>
              <w:keepLines w:val="0"/>
              <w:widowControl/>
              <w:suppressLineNumbers w:val="0"/>
              <w:rPr>
                <w:woUserID w:val="21"/>
              </w:rPr>
            </w:pPr>
          </w:p>
        </w:tc>
        <w:tc>
          <w:tcPr>
            <w:tcW w:w="929" w:type="pct"/>
            <w:vMerge w:val="continue"/>
            <w:tcBorders>
              <w:top w:val="single" w:color="000000" w:sz="4" w:space="0"/>
              <w:left w:val="single" w:color="000000" w:sz="4" w:space="0"/>
              <w:bottom w:val="nil"/>
              <w:right w:val="single" w:color="000000" w:sz="4" w:space="0"/>
            </w:tcBorders>
            <w:shd w:val="clear" w:color="auto" w:fill="auto"/>
            <w:vAlign w:val="top"/>
          </w:tcPr>
          <w:p w14:paraId="6F66582C">
            <w:pPr>
              <w:pStyle w:val="180"/>
              <w:rPr>
                <w:rFonts w:hint="eastAsia" w:ascii="宋体"/>
                <w:sz w:val="24"/>
                <w:szCs w:val="24"/>
                <w:woUserID w:val="21"/>
              </w:rPr>
            </w:pPr>
          </w:p>
        </w:tc>
      </w:tr>
      <w:tr w14:paraId="48691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1A7FB456">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技术职称</w:t>
            </w:r>
          </w:p>
        </w:tc>
        <w:tc>
          <w:tcPr>
            <w:tcW w:w="1410"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D3343AE">
            <w:pPr>
              <w:pStyle w:val="180"/>
              <w:keepNext w:val="0"/>
              <w:keepLines w:val="0"/>
              <w:widowControl/>
              <w:suppressLineNumbers w:val="0"/>
              <w:rPr>
                <w:woUserID w:val="21"/>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46CAB166">
            <w:pPr>
              <w:pStyle w:val="180"/>
              <w:keepNext w:val="0"/>
              <w:keepLines w:val="0"/>
              <w:widowControl/>
              <w:suppressLineNumbers w:val="0"/>
              <w:rPr>
                <w:woUserID w:val="21"/>
              </w:rPr>
            </w:pPr>
            <w:r>
              <w:rPr>
                <w:rFonts w:hint="eastAsia" w:ascii="宋体" w:hAnsi="宋体" w:eastAsia="宋体" w:cs="宋体"/>
                <w:color w:val="000000"/>
                <w:spacing w:val="3"/>
                <w:kern w:val="0"/>
                <w:sz w:val="21"/>
                <w:szCs w:val="21"/>
                <w:woUserID w:val="21"/>
              </w:rPr>
              <w:t>从业资格证名称</w:t>
            </w:r>
          </w:p>
        </w:tc>
        <w:tc>
          <w:tcPr>
            <w:tcW w:w="139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28B88D1">
            <w:pPr>
              <w:pStyle w:val="180"/>
              <w:keepNext w:val="0"/>
              <w:keepLines w:val="0"/>
              <w:widowControl/>
              <w:suppressLineNumbers w:val="0"/>
              <w:rPr>
                <w:woUserID w:val="21"/>
              </w:rPr>
            </w:pPr>
          </w:p>
        </w:tc>
        <w:tc>
          <w:tcPr>
            <w:tcW w:w="929" w:type="pct"/>
            <w:vMerge w:val="continue"/>
            <w:tcBorders>
              <w:top w:val="single" w:color="000000" w:sz="4" w:space="0"/>
              <w:left w:val="single" w:color="000000" w:sz="4" w:space="0"/>
              <w:bottom w:val="nil"/>
              <w:right w:val="single" w:color="000000" w:sz="4" w:space="0"/>
            </w:tcBorders>
            <w:shd w:val="clear" w:color="auto" w:fill="auto"/>
            <w:vAlign w:val="top"/>
          </w:tcPr>
          <w:p w14:paraId="6590F838">
            <w:pPr>
              <w:pStyle w:val="180"/>
              <w:rPr>
                <w:rFonts w:hint="eastAsia" w:ascii="宋体"/>
                <w:sz w:val="24"/>
                <w:szCs w:val="24"/>
                <w:woUserID w:val="21"/>
              </w:rPr>
            </w:pPr>
          </w:p>
        </w:tc>
      </w:tr>
      <w:tr w14:paraId="737A6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47E1AD51">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身份证号码</w:t>
            </w:r>
          </w:p>
        </w:tc>
        <w:tc>
          <w:tcPr>
            <w:tcW w:w="1410"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E9E5F36">
            <w:pPr>
              <w:pStyle w:val="180"/>
              <w:keepNext w:val="0"/>
              <w:keepLines w:val="0"/>
              <w:widowControl/>
              <w:suppressLineNumbers w:val="0"/>
              <w:rPr>
                <w:woUserID w:val="21"/>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7BC5656F">
            <w:pPr>
              <w:pStyle w:val="180"/>
              <w:keepNext w:val="0"/>
              <w:keepLines w:val="0"/>
              <w:widowControl/>
              <w:suppressLineNumbers w:val="0"/>
              <w:rPr>
                <w:woUserID w:val="21"/>
              </w:rPr>
            </w:pPr>
            <w:r>
              <w:rPr>
                <w:rFonts w:hint="eastAsia" w:ascii="宋体" w:hAnsi="宋体" w:eastAsia="宋体" w:cs="宋体"/>
                <w:color w:val="000000"/>
                <w:spacing w:val="4"/>
                <w:kern w:val="0"/>
                <w:sz w:val="21"/>
                <w:szCs w:val="21"/>
                <w:woUserID w:val="21"/>
              </w:rPr>
              <w:t>专业</w:t>
            </w:r>
          </w:p>
        </w:tc>
        <w:tc>
          <w:tcPr>
            <w:tcW w:w="1392"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6408E6C">
            <w:pPr>
              <w:pStyle w:val="180"/>
              <w:keepNext w:val="0"/>
              <w:keepLines w:val="0"/>
              <w:widowControl/>
              <w:suppressLineNumbers w:val="0"/>
              <w:rPr>
                <w:woUserID w:val="21"/>
              </w:rPr>
            </w:pPr>
          </w:p>
        </w:tc>
        <w:tc>
          <w:tcPr>
            <w:tcW w:w="929" w:type="pct"/>
            <w:vMerge w:val="continue"/>
            <w:tcBorders>
              <w:top w:val="single" w:color="000000" w:sz="4" w:space="0"/>
              <w:left w:val="single" w:color="000000" w:sz="4" w:space="0"/>
              <w:bottom w:val="nil"/>
              <w:right w:val="single" w:color="000000" w:sz="4" w:space="0"/>
            </w:tcBorders>
            <w:shd w:val="clear" w:color="auto" w:fill="auto"/>
            <w:vAlign w:val="top"/>
          </w:tcPr>
          <w:p w14:paraId="6EB5B4AF">
            <w:pPr>
              <w:pStyle w:val="180"/>
              <w:rPr>
                <w:rFonts w:hint="eastAsia" w:ascii="宋体"/>
                <w:sz w:val="24"/>
                <w:szCs w:val="24"/>
                <w:woUserID w:val="21"/>
              </w:rPr>
            </w:pPr>
          </w:p>
        </w:tc>
      </w:tr>
      <w:tr w14:paraId="38521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008B74F0">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家庭住址</w:t>
            </w:r>
          </w:p>
        </w:tc>
        <w:tc>
          <w:tcPr>
            <w:tcW w:w="2406" w:type="pct"/>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7BC6A79C">
            <w:pPr>
              <w:pStyle w:val="180"/>
              <w:keepNext w:val="0"/>
              <w:keepLines w:val="0"/>
              <w:widowControl/>
              <w:suppressLineNumbers w:val="0"/>
              <w:rPr>
                <w:woUserID w:val="21"/>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top"/>
          </w:tcPr>
          <w:p w14:paraId="6294608B">
            <w:pPr>
              <w:pStyle w:val="180"/>
              <w:keepNext w:val="0"/>
              <w:keepLines w:val="0"/>
              <w:widowControl/>
              <w:suppressLineNumbers w:val="0"/>
              <w:rPr>
                <w:woUserID w:val="21"/>
              </w:rPr>
            </w:pPr>
            <w:r>
              <w:rPr>
                <w:rFonts w:hint="eastAsia" w:ascii="宋体" w:hAnsi="宋体" w:eastAsia="宋体" w:cs="宋体"/>
                <w:color w:val="000000"/>
                <w:spacing w:val="9"/>
                <w:kern w:val="0"/>
                <w:sz w:val="21"/>
                <w:szCs w:val="21"/>
                <w:woUserID w:val="21"/>
              </w:rPr>
              <w:t>联系</w:t>
            </w:r>
            <w:r>
              <w:rPr>
                <w:rFonts w:hint="eastAsia" w:ascii="宋体" w:hAnsi="宋体" w:eastAsia="宋体" w:cs="宋体"/>
                <w:color w:val="000000"/>
                <w:kern w:val="0"/>
                <w:sz w:val="21"/>
                <w:szCs w:val="21"/>
                <w:woUserID w:val="21"/>
              </w:rPr>
              <w:t xml:space="preserve"> </w:t>
            </w:r>
            <w:r>
              <w:rPr>
                <w:rFonts w:hint="eastAsia" w:ascii="宋体" w:hAnsi="宋体" w:eastAsia="宋体" w:cs="宋体"/>
                <w:color w:val="000000"/>
                <w:spacing w:val="4"/>
                <w:kern w:val="0"/>
                <w:sz w:val="21"/>
                <w:szCs w:val="21"/>
                <w:woUserID w:val="21"/>
              </w:rPr>
              <w:t>电话</w:t>
            </w: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4E460EA">
            <w:pPr>
              <w:pStyle w:val="180"/>
              <w:keepNext w:val="0"/>
              <w:keepLines w:val="0"/>
              <w:widowControl/>
              <w:suppressLineNumbers w:val="0"/>
              <w:rPr>
                <w:woUserID w:val="21"/>
              </w:rPr>
            </w:pPr>
          </w:p>
        </w:tc>
      </w:tr>
      <w:tr w14:paraId="7B509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65"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102F2A82">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户籍所在地</w:t>
            </w:r>
          </w:p>
        </w:tc>
        <w:tc>
          <w:tcPr>
            <w:tcW w:w="1410"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D3A0279">
            <w:pPr>
              <w:pStyle w:val="180"/>
              <w:keepNext w:val="0"/>
              <w:keepLines w:val="0"/>
              <w:widowControl/>
              <w:suppressLineNumbers w:val="0"/>
              <w:rPr>
                <w:woUserID w:val="21"/>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top"/>
          </w:tcPr>
          <w:p w14:paraId="1628FB6E">
            <w:pPr>
              <w:pStyle w:val="180"/>
              <w:keepNext w:val="0"/>
              <w:keepLines w:val="0"/>
              <w:widowControl/>
              <w:suppressLineNumbers w:val="0"/>
              <w:rPr>
                <w:woUserID w:val="21"/>
              </w:rPr>
            </w:pPr>
            <w:r>
              <w:rPr>
                <w:rFonts w:hint="eastAsia" w:ascii="宋体" w:hAnsi="宋体" w:eastAsia="宋体" w:cs="宋体"/>
                <w:color w:val="000000"/>
                <w:spacing w:val="6"/>
                <w:kern w:val="0"/>
                <w:sz w:val="21"/>
                <w:szCs w:val="21"/>
                <w:woUserID w:val="21"/>
              </w:rPr>
              <w:t>籍贯</w:t>
            </w:r>
          </w:p>
        </w:tc>
        <w:tc>
          <w:tcPr>
            <w:tcW w:w="459"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7566E3A">
            <w:pPr>
              <w:pStyle w:val="180"/>
              <w:keepNext w:val="0"/>
              <w:keepLines w:val="0"/>
              <w:widowControl/>
              <w:suppressLineNumbers w:val="0"/>
              <w:rPr>
                <w:woUserID w:val="21"/>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top"/>
          </w:tcPr>
          <w:p w14:paraId="45A9942B">
            <w:pPr>
              <w:pStyle w:val="180"/>
              <w:keepNext w:val="0"/>
              <w:keepLines w:val="0"/>
              <w:pageBreakBefore w:val="0"/>
              <w:widowControl/>
              <w:suppressLineNumbers w:val="0"/>
              <w:kinsoku/>
              <w:wordWrap/>
              <w:overflowPunct/>
              <w:topLinePunct w:val="0"/>
              <w:autoSpaceDE/>
              <w:autoSpaceDN/>
              <w:bidi w:val="0"/>
              <w:adjustRightInd w:val="0"/>
              <w:snapToGrid/>
              <w:textAlignment w:val="auto"/>
              <w:rPr>
                <w:rFonts w:hint="eastAsia" w:ascii="宋体" w:hAnsi="宋体" w:eastAsia="宋体" w:cs="宋体"/>
                <w:color w:val="000000"/>
                <w:spacing w:val="4"/>
                <w:kern w:val="0"/>
                <w:sz w:val="21"/>
                <w:szCs w:val="21"/>
                <w:woUserID w:val="21"/>
              </w:rPr>
            </w:pPr>
            <w:r>
              <w:rPr>
                <w:rFonts w:hint="eastAsia" w:ascii="宋体" w:hAnsi="宋体" w:eastAsia="宋体" w:cs="宋体"/>
                <w:color w:val="000000"/>
                <w:spacing w:val="4"/>
                <w:kern w:val="0"/>
                <w:sz w:val="21"/>
                <w:szCs w:val="21"/>
                <w:woUserID w:val="21"/>
              </w:rPr>
              <w:t>身体</w:t>
            </w:r>
          </w:p>
          <w:p w14:paraId="1FBF89F3">
            <w:pPr>
              <w:pStyle w:val="180"/>
              <w:keepNext w:val="0"/>
              <w:keepLines w:val="0"/>
              <w:pageBreakBefore w:val="0"/>
              <w:widowControl/>
              <w:suppressLineNumbers w:val="0"/>
              <w:kinsoku/>
              <w:wordWrap/>
              <w:overflowPunct/>
              <w:topLinePunct w:val="0"/>
              <w:autoSpaceDE/>
              <w:autoSpaceDN/>
              <w:bidi w:val="0"/>
              <w:adjustRightInd w:val="0"/>
              <w:snapToGrid/>
              <w:textAlignment w:val="auto"/>
              <w:rPr>
                <w:woUserID w:val="21"/>
              </w:rPr>
            </w:pPr>
            <w:r>
              <w:rPr>
                <w:rFonts w:hint="eastAsia" w:ascii="宋体" w:hAnsi="宋体" w:eastAsia="宋体" w:cs="宋体"/>
                <w:color w:val="000000"/>
                <w:spacing w:val="-3"/>
                <w:kern w:val="0"/>
                <w:sz w:val="21"/>
                <w:szCs w:val="21"/>
                <w:woUserID w:val="21"/>
              </w:rPr>
              <w:t>状况</w:t>
            </w: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E9AC53C">
            <w:pPr>
              <w:pStyle w:val="180"/>
              <w:keepNext w:val="0"/>
              <w:keepLines w:val="0"/>
              <w:widowControl/>
              <w:suppressLineNumbers w:val="0"/>
              <w:rPr>
                <w:woUserID w:val="21"/>
              </w:rPr>
            </w:pPr>
          </w:p>
        </w:tc>
      </w:tr>
      <w:tr w14:paraId="5B845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980"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7F8FFAB1">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现工作单位</w:t>
            </w:r>
          </w:p>
        </w:tc>
        <w:tc>
          <w:tcPr>
            <w:tcW w:w="4268"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00C2D41F">
            <w:pPr>
              <w:pStyle w:val="180"/>
              <w:keepNext w:val="0"/>
              <w:keepLines w:val="0"/>
              <w:widowControl/>
              <w:suppressLineNumbers w:val="0"/>
              <w:rPr>
                <w:woUserID w:val="21"/>
              </w:rPr>
            </w:pPr>
          </w:p>
        </w:tc>
      </w:tr>
      <w:tr w14:paraId="4B39A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659" w:hRule="atLeast"/>
        </w:trPr>
        <w:tc>
          <w:tcPr>
            <w:tcW w:w="731" w:type="pct"/>
            <w:vMerge w:val="restart"/>
            <w:tcBorders>
              <w:top w:val="nil"/>
              <w:left w:val="single" w:color="000000" w:sz="4" w:space="0"/>
              <w:bottom w:val="single" w:color="000000" w:sz="4" w:space="0"/>
              <w:right w:val="single" w:color="000000" w:sz="4" w:space="0"/>
            </w:tcBorders>
            <w:shd w:val="clear" w:color="auto" w:fill="auto"/>
            <w:vAlign w:val="top"/>
          </w:tcPr>
          <w:p w14:paraId="394C543A">
            <w:pPr>
              <w:pStyle w:val="180"/>
              <w:keepNext w:val="0"/>
              <w:keepLines w:val="0"/>
              <w:widowControl/>
              <w:suppressLineNumbers w:val="0"/>
              <w:rPr>
                <w:woUserID w:val="21"/>
              </w:rPr>
            </w:pPr>
          </w:p>
          <w:p w14:paraId="2A1559E4">
            <w:pPr>
              <w:pStyle w:val="180"/>
              <w:keepNext w:val="0"/>
              <w:keepLines w:val="0"/>
              <w:widowControl/>
              <w:suppressLineNumbers w:val="0"/>
              <w:rPr>
                <w:woUserID w:val="21"/>
              </w:rPr>
            </w:pPr>
            <w:r>
              <w:rPr>
                <w:rFonts w:hint="eastAsia" w:ascii="宋体" w:hAnsi="宋体" w:eastAsia="宋体" w:cs="宋体"/>
                <w:color w:val="000000"/>
                <w:spacing w:val="24"/>
                <w:kern w:val="0"/>
                <w:sz w:val="21"/>
                <w:szCs w:val="21"/>
                <w:woUserID w:val="21"/>
              </w:rPr>
              <w:t>学    习    经</w:t>
            </w:r>
            <w:r>
              <w:rPr>
                <w:rFonts w:hint="eastAsia" w:ascii="宋体" w:hAnsi="宋体" w:eastAsia="宋体" w:cs="宋体"/>
                <w:color w:val="000000"/>
                <w:spacing w:val="25"/>
                <w:kern w:val="0"/>
                <w:sz w:val="21"/>
                <w:szCs w:val="21"/>
                <w:woUserID w:val="21"/>
              </w:rPr>
              <w:t xml:space="preserve">    历</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41ECE5">
            <w:pPr>
              <w:pStyle w:val="180"/>
              <w:keepNext w:val="0"/>
              <w:keepLines w:val="0"/>
              <w:widowControl/>
              <w:suppressLineNumbers w:val="0"/>
              <w:rPr>
                <w:woUserID w:val="21"/>
              </w:rPr>
            </w:pPr>
            <w:r>
              <w:rPr>
                <w:rFonts w:hint="eastAsia" w:ascii="宋体" w:hAnsi="宋体" w:eastAsia="宋体" w:cs="宋体"/>
                <w:color w:val="000000"/>
                <w:spacing w:val="5"/>
                <w:kern w:val="0"/>
                <w:sz w:val="21"/>
                <w:szCs w:val="21"/>
                <w:woUserID w:val="21"/>
              </w:rPr>
              <w:t>起止时间</w:t>
            </w: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C661F03">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woUserID w:val="21"/>
              </w:rPr>
              <w:t>学校及获得的证书名称</w:t>
            </w:r>
          </w:p>
        </w:tc>
      </w:tr>
      <w:tr w14:paraId="64235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70" w:hRule="atLeast"/>
        </w:trPr>
        <w:tc>
          <w:tcPr>
            <w:tcW w:w="731" w:type="pct"/>
            <w:vMerge w:val="continue"/>
            <w:tcBorders>
              <w:top w:val="nil"/>
              <w:left w:val="single" w:color="000000" w:sz="4" w:space="0"/>
              <w:bottom w:val="single" w:color="000000" w:sz="4" w:space="0"/>
              <w:right w:val="single" w:color="000000" w:sz="4" w:space="0"/>
            </w:tcBorders>
            <w:shd w:val="clear" w:color="auto" w:fill="auto"/>
            <w:vAlign w:val="top"/>
          </w:tcPr>
          <w:p w14:paraId="31BDFDDE">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B31F8AA">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3AB9FD6E">
            <w:pPr>
              <w:pStyle w:val="180"/>
              <w:keepNext w:val="0"/>
              <w:keepLines w:val="0"/>
              <w:widowControl/>
              <w:suppressLineNumbers w:val="0"/>
              <w:rPr>
                <w:woUserID w:val="21"/>
              </w:rPr>
            </w:pPr>
          </w:p>
        </w:tc>
      </w:tr>
      <w:tr w14:paraId="41F1D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vMerge w:val="continue"/>
            <w:tcBorders>
              <w:top w:val="nil"/>
              <w:left w:val="single" w:color="000000" w:sz="4" w:space="0"/>
              <w:bottom w:val="single" w:color="000000" w:sz="4" w:space="0"/>
              <w:right w:val="single" w:color="000000" w:sz="4" w:space="0"/>
            </w:tcBorders>
            <w:shd w:val="clear" w:color="auto" w:fill="auto"/>
            <w:vAlign w:val="top"/>
          </w:tcPr>
          <w:p w14:paraId="5746E236">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BC0B51F">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635B5E46">
            <w:pPr>
              <w:pStyle w:val="180"/>
              <w:keepNext w:val="0"/>
              <w:keepLines w:val="0"/>
              <w:widowControl/>
              <w:suppressLineNumbers w:val="0"/>
              <w:rPr>
                <w:woUserID w:val="21"/>
              </w:rPr>
            </w:pPr>
          </w:p>
        </w:tc>
      </w:tr>
      <w:tr w14:paraId="3320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660" w:hRule="atLeast"/>
        </w:trPr>
        <w:tc>
          <w:tcPr>
            <w:tcW w:w="731" w:type="pct"/>
            <w:vMerge w:val="continue"/>
            <w:tcBorders>
              <w:top w:val="nil"/>
              <w:left w:val="single" w:color="000000" w:sz="4" w:space="0"/>
              <w:bottom w:val="single" w:color="000000" w:sz="4" w:space="0"/>
              <w:right w:val="single" w:color="000000" w:sz="4" w:space="0"/>
            </w:tcBorders>
            <w:shd w:val="clear" w:color="auto" w:fill="auto"/>
            <w:vAlign w:val="top"/>
          </w:tcPr>
          <w:p w14:paraId="38FE440E">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ECD7BBE">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140FD534">
            <w:pPr>
              <w:pStyle w:val="180"/>
              <w:keepNext w:val="0"/>
              <w:keepLines w:val="0"/>
              <w:widowControl/>
              <w:suppressLineNumbers w:val="0"/>
              <w:rPr>
                <w:woUserID w:val="21"/>
              </w:rPr>
            </w:pPr>
          </w:p>
        </w:tc>
      </w:tr>
      <w:tr w14:paraId="4C5C9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29" w:hRule="atLeast"/>
        </w:trPr>
        <w:tc>
          <w:tcPr>
            <w:tcW w:w="731" w:type="pct"/>
            <w:vMerge w:val="continue"/>
            <w:tcBorders>
              <w:top w:val="nil"/>
              <w:left w:val="single" w:color="000000" w:sz="4" w:space="0"/>
              <w:bottom w:val="single" w:color="000000" w:sz="4" w:space="0"/>
              <w:right w:val="single" w:color="000000" w:sz="4" w:space="0"/>
            </w:tcBorders>
            <w:shd w:val="clear" w:color="auto" w:fill="auto"/>
            <w:vAlign w:val="top"/>
          </w:tcPr>
          <w:p w14:paraId="2CC8DB0B">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D46FF35">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5D25018F">
            <w:pPr>
              <w:pStyle w:val="180"/>
              <w:keepNext w:val="0"/>
              <w:keepLines w:val="0"/>
              <w:widowControl/>
              <w:suppressLineNumbers w:val="0"/>
              <w:rPr>
                <w:woUserID w:val="21"/>
              </w:rPr>
            </w:pPr>
          </w:p>
        </w:tc>
      </w:tr>
      <w:tr w14:paraId="78DF0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vMerge w:val="restart"/>
            <w:tcBorders>
              <w:top w:val="nil"/>
              <w:left w:val="single" w:color="000000" w:sz="4" w:space="0"/>
              <w:bottom w:val="nil"/>
              <w:right w:val="single" w:color="000000" w:sz="4" w:space="0"/>
            </w:tcBorders>
            <w:shd w:val="clear" w:color="auto" w:fill="auto"/>
            <w:vAlign w:val="top"/>
          </w:tcPr>
          <w:p w14:paraId="637C7BC3">
            <w:pPr>
              <w:pStyle w:val="180"/>
              <w:keepNext w:val="0"/>
              <w:keepLines w:val="0"/>
              <w:widowControl/>
              <w:suppressLineNumbers w:val="0"/>
              <w:rPr>
                <w:woUserID w:val="21"/>
              </w:rPr>
            </w:pPr>
          </w:p>
          <w:p w14:paraId="21470B07">
            <w:pPr>
              <w:pStyle w:val="180"/>
              <w:keepNext w:val="0"/>
              <w:keepLines w:val="0"/>
              <w:widowControl/>
              <w:suppressLineNumbers w:val="0"/>
              <w:rPr>
                <w:woUserID w:val="21"/>
              </w:rPr>
            </w:pPr>
            <w:r>
              <w:rPr>
                <w:rFonts w:hint="eastAsia" w:ascii="宋体" w:hAnsi="宋体" w:eastAsia="宋体" w:cs="宋体"/>
                <w:color w:val="000000"/>
                <w:kern w:val="0"/>
                <w:sz w:val="21"/>
                <w:szCs w:val="21"/>
                <w:woUserID w:val="21"/>
              </w:rPr>
              <w:t>工</w:t>
            </w:r>
            <w:r>
              <w:rPr>
                <w:rFonts w:hint="eastAsia" w:ascii="宋体" w:hAnsi="宋体" w:eastAsia="宋体" w:cs="宋体"/>
                <w:color w:val="000000"/>
                <w:spacing w:val="24"/>
                <w:kern w:val="0"/>
                <w:sz w:val="21"/>
                <w:szCs w:val="21"/>
                <w:woUserID w:val="21"/>
              </w:rPr>
              <w:t xml:space="preserve">    </w:t>
            </w:r>
            <w:r>
              <w:rPr>
                <w:rFonts w:hint="eastAsia" w:ascii="宋体" w:hAnsi="宋体" w:eastAsia="宋体" w:cs="宋体"/>
                <w:color w:val="000000"/>
                <w:kern w:val="0"/>
                <w:sz w:val="21"/>
                <w:szCs w:val="21"/>
                <w:woUserID w:val="21"/>
              </w:rPr>
              <w:t>作</w:t>
            </w:r>
            <w:r>
              <w:rPr>
                <w:rFonts w:hint="eastAsia" w:ascii="宋体" w:hAnsi="宋体" w:eastAsia="宋体" w:cs="宋体"/>
                <w:color w:val="000000"/>
                <w:spacing w:val="24"/>
                <w:kern w:val="0"/>
                <w:sz w:val="21"/>
                <w:szCs w:val="21"/>
                <w:woUserID w:val="21"/>
              </w:rPr>
              <w:t xml:space="preserve">    </w:t>
            </w:r>
            <w:r>
              <w:rPr>
                <w:rFonts w:hint="eastAsia" w:ascii="宋体" w:hAnsi="宋体" w:eastAsia="宋体" w:cs="宋体"/>
                <w:color w:val="000000"/>
                <w:kern w:val="0"/>
                <w:sz w:val="21"/>
                <w:szCs w:val="21"/>
                <w:woUserID w:val="21"/>
              </w:rPr>
              <w:t>经</w:t>
            </w:r>
            <w:r>
              <w:rPr>
                <w:rFonts w:hint="eastAsia" w:ascii="宋体" w:hAnsi="宋体" w:eastAsia="宋体" w:cs="宋体"/>
                <w:color w:val="000000"/>
                <w:spacing w:val="25"/>
                <w:kern w:val="0"/>
                <w:sz w:val="21"/>
                <w:szCs w:val="21"/>
                <w:woUserID w:val="21"/>
              </w:rPr>
              <w:t xml:space="preserve">    </w:t>
            </w:r>
            <w:r>
              <w:rPr>
                <w:rFonts w:hint="eastAsia" w:ascii="宋体" w:hAnsi="宋体" w:eastAsia="宋体" w:cs="宋体"/>
                <w:color w:val="000000"/>
                <w:kern w:val="0"/>
                <w:sz w:val="21"/>
                <w:szCs w:val="21"/>
                <w:woUserID w:val="21"/>
              </w:rPr>
              <w:t>历</w:t>
            </w: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B9462F">
            <w:pPr>
              <w:pStyle w:val="180"/>
              <w:keepNext w:val="0"/>
              <w:keepLines w:val="0"/>
              <w:widowControl/>
              <w:suppressLineNumbers w:val="0"/>
              <w:rPr>
                <w:woUserID w:val="21"/>
              </w:rPr>
            </w:pPr>
            <w:r>
              <w:rPr>
                <w:rFonts w:hint="eastAsia" w:ascii="宋体" w:hAnsi="宋体" w:eastAsia="宋体" w:cs="宋体"/>
                <w:color w:val="000000"/>
                <w:spacing w:val="5"/>
                <w:kern w:val="0"/>
                <w:sz w:val="21"/>
                <w:szCs w:val="21"/>
                <w:woUserID w:val="21"/>
              </w:rPr>
              <w:t>起止时间</w:t>
            </w: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5947C2A4">
            <w:pPr>
              <w:pStyle w:val="180"/>
              <w:keepNext w:val="0"/>
              <w:keepLines w:val="0"/>
              <w:widowControl/>
              <w:suppressLineNumbers w:val="0"/>
              <w:rPr>
                <w:woUserID w:val="21"/>
              </w:rPr>
            </w:pPr>
            <w:r>
              <w:rPr>
                <w:rFonts w:hint="eastAsia" w:ascii="宋体" w:hAnsi="宋体" w:eastAsia="宋体" w:cs="宋体"/>
                <w:color w:val="000000"/>
                <w:kern w:val="0"/>
                <w:sz w:val="21"/>
                <w:szCs w:val="21"/>
                <w:woUserID w:val="21"/>
              </w:rPr>
              <w:t>单位名称及所从事工作、职务职称</w:t>
            </w:r>
          </w:p>
        </w:tc>
      </w:tr>
      <w:tr w14:paraId="1BFD8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80" w:hRule="atLeast"/>
        </w:trPr>
        <w:tc>
          <w:tcPr>
            <w:tcW w:w="731" w:type="pct"/>
            <w:vMerge w:val="continue"/>
            <w:tcBorders>
              <w:top w:val="nil"/>
              <w:left w:val="single" w:color="000000" w:sz="4" w:space="0"/>
              <w:bottom w:val="nil"/>
              <w:right w:val="single" w:color="000000" w:sz="4" w:space="0"/>
            </w:tcBorders>
            <w:shd w:val="clear" w:color="auto" w:fill="auto"/>
            <w:vAlign w:val="top"/>
          </w:tcPr>
          <w:p w14:paraId="385933CD">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2CFD468">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14CAF23E">
            <w:pPr>
              <w:pStyle w:val="180"/>
              <w:keepNext w:val="0"/>
              <w:keepLines w:val="0"/>
              <w:widowControl/>
              <w:suppressLineNumbers w:val="0"/>
              <w:rPr>
                <w:woUserID w:val="21"/>
              </w:rPr>
            </w:pPr>
          </w:p>
        </w:tc>
      </w:tr>
      <w:tr w14:paraId="174AA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vMerge w:val="continue"/>
            <w:tcBorders>
              <w:top w:val="nil"/>
              <w:left w:val="single" w:color="000000" w:sz="4" w:space="0"/>
              <w:bottom w:val="nil"/>
              <w:right w:val="single" w:color="000000" w:sz="4" w:space="0"/>
            </w:tcBorders>
            <w:shd w:val="clear" w:color="auto" w:fill="auto"/>
            <w:vAlign w:val="top"/>
          </w:tcPr>
          <w:p w14:paraId="5B8391D7">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E4CEB55">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5FECFFCD">
            <w:pPr>
              <w:pStyle w:val="180"/>
              <w:keepNext w:val="0"/>
              <w:keepLines w:val="0"/>
              <w:widowControl/>
              <w:suppressLineNumbers w:val="0"/>
              <w:rPr>
                <w:woUserID w:val="21"/>
              </w:rPr>
            </w:pPr>
          </w:p>
        </w:tc>
      </w:tr>
      <w:tr w14:paraId="424AC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59" w:hRule="atLeast"/>
        </w:trPr>
        <w:tc>
          <w:tcPr>
            <w:tcW w:w="731" w:type="pct"/>
            <w:vMerge w:val="continue"/>
            <w:tcBorders>
              <w:top w:val="nil"/>
              <w:left w:val="single" w:color="000000" w:sz="4" w:space="0"/>
              <w:bottom w:val="nil"/>
              <w:right w:val="single" w:color="000000" w:sz="4" w:space="0"/>
            </w:tcBorders>
            <w:shd w:val="clear" w:color="auto" w:fill="auto"/>
            <w:vAlign w:val="top"/>
          </w:tcPr>
          <w:p w14:paraId="064DBC31">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60028A">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A3F37FB">
            <w:pPr>
              <w:pStyle w:val="180"/>
              <w:keepNext w:val="0"/>
              <w:keepLines w:val="0"/>
              <w:widowControl/>
              <w:suppressLineNumbers w:val="0"/>
              <w:rPr>
                <w:woUserID w:val="21"/>
              </w:rPr>
            </w:pPr>
          </w:p>
        </w:tc>
      </w:tr>
      <w:tr w14:paraId="051D0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00" w:hRule="atLeast"/>
        </w:trPr>
        <w:tc>
          <w:tcPr>
            <w:tcW w:w="731" w:type="pct"/>
            <w:vMerge w:val="continue"/>
            <w:tcBorders>
              <w:top w:val="nil"/>
              <w:left w:val="single" w:color="000000" w:sz="4" w:space="0"/>
              <w:bottom w:val="nil"/>
              <w:right w:val="single" w:color="000000" w:sz="4" w:space="0"/>
            </w:tcBorders>
            <w:shd w:val="clear" w:color="auto" w:fill="auto"/>
            <w:vAlign w:val="top"/>
          </w:tcPr>
          <w:p w14:paraId="20677B57">
            <w:pPr>
              <w:pStyle w:val="180"/>
              <w:rPr>
                <w:rFonts w:hint="eastAsia" w:ascii="宋体"/>
                <w:sz w:val="24"/>
                <w:szCs w:val="24"/>
                <w:woUserID w:val="21"/>
              </w:rPr>
            </w:pPr>
          </w:p>
        </w:tc>
        <w:tc>
          <w:tcPr>
            <w:tcW w:w="825" w:type="pct"/>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D4D666">
            <w:pPr>
              <w:pStyle w:val="180"/>
              <w:keepNext w:val="0"/>
              <w:keepLines w:val="0"/>
              <w:widowControl/>
              <w:suppressLineNumbers w:val="0"/>
              <w:rPr>
                <w:woUserID w:val="21"/>
              </w:rPr>
            </w:pPr>
          </w:p>
        </w:tc>
        <w:tc>
          <w:tcPr>
            <w:tcW w:w="3443"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55690550">
            <w:pPr>
              <w:pStyle w:val="180"/>
              <w:keepNext w:val="0"/>
              <w:keepLines w:val="0"/>
              <w:widowControl/>
              <w:suppressLineNumbers w:val="0"/>
              <w:rPr>
                <w:woUserID w:val="21"/>
              </w:rPr>
            </w:pPr>
          </w:p>
        </w:tc>
      </w:tr>
      <w:tr w14:paraId="40171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263" w:hRule="atLeast"/>
        </w:trPr>
        <w:tc>
          <w:tcPr>
            <w:tcW w:w="731" w:type="pct"/>
            <w:tcBorders>
              <w:top w:val="single" w:color="000000" w:sz="4" w:space="0"/>
              <w:left w:val="single" w:color="000000" w:sz="4" w:space="0"/>
              <w:bottom w:val="single" w:color="000000" w:sz="4" w:space="0"/>
              <w:right w:val="single" w:color="000000" w:sz="4" w:space="0"/>
            </w:tcBorders>
            <w:shd w:val="clear" w:color="auto" w:fill="auto"/>
            <w:vAlign w:val="top"/>
          </w:tcPr>
          <w:p w14:paraId="68CC4EFF">
            <w:pPr>
              <w:pStyle w:val="180"/>
              <w:keepNext w:val="0"/>
              <w:keepLines w:val="0"/>
              <w:widowControl/>
              <w:suppressLineNumbers w:val="0"/>
              <w:rPr>
                <w:woUserID w:val="21"/>
              </w:rPr>
            </w:pPr>
          </w:p>
          <w:p w14:paraId="2F3DACF9">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woUserID w:val="21"/>
              </w:rPr>
              <w:t>主要业绩及</w:t>
            </w:r>
            <w:r>
              <w:rPr>
                <w:rFonts w:hint="eastAsia" w:ascii="宋体" w:hAnsi="宋体" w:eastAsia="宋体" w:cs="宋体"/>
                <w:color w:val="000000"/>
                <w:kern w:val="0"/>
                <w:sz w:val="21"/>
                <w:szCs w:val="21"/>
                <w:woUserID w:val="21"/>
              </w:rPr>
              <w:t xml:space="preserve"> </w:t>
            </w:r>
            <w:r>
              <w:rPr>
                <w:rFonts w:hint="eastAsia" w:ascii="宋体" w:hAnsi="宋体" w:eastAsia="宋体" w:cs="宋体"/>
                <w:color w:val="000000"/>
                <w:spacing w:val="2"/>
                <w:kern w:val="0"/>
                <w:sz w:val="21"/>
                <w:szCs w:val="21"/>
                <w:woUserID w:val="21"/>
              </w:rPr>
              <w:t>获奖情况</w:t>
            </w:r>
          </w:p>
        </w:tc>
        <w:tc>
          <w:tcPr>
            <w:tcW w:w="4268"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1C11ADAA">
            <w:pPr>
              <w:pStyle w:val="180"/>
              <w:keepNext w:val="0"/>
              <w:keepLines w:val="0"/>
              <w:widowControl/>
              <w:suppressLineNumbers w:val="0"/>
              <w:rPr>
                <w:woUserID w:val="21"/>
              </w:rPr>
            </w:pPr>
          </w:p>
        </w:tc>
      </w:tr>
    </w:tbl>
    <w:p w14:paraId="112AB5EE">
      <w:pPr>
        <w:rPr>
          <w:rFonts w:ascii="方正小标宋简体" w:hAnsi="方正小标宋简体" w:eastAsia="方正小标宋简体" w:cs="方正小标宋简体"/>
          <w:b/>
          <w:bCs/>
          <w:color w:val="000000"/>
          <w:spacing w:val="1"/>
          <w:kern w:val="0"/>
          <w:sz w:val="48"/>
          <w:szCs w:val="48"/>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p>
    <w:p w14:paraId="7F6ED4FA">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E</w:t>
      </w:r>
    </w:p>
    <w:p w14:paraId="05912BAA">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28D76DA5">
      <w:pPr>
        <w:pStyle w:val="89"/>
      </w:pPr>
      <w:r>
        <w:rPr>
          <w:rFonts w:hint="eastAsia" w:ascii="宋体" w:hAnsi="宋体" w:eastAsia="宋体" w:cs="宋体"/>
          <w:b/>
          <w:bCs/>
          <w:kern w:val="0"/>
          <w:sz w:val="21"/>
          <w:szCs w:val="21"/>
          <w:lang w:val="en-US" w:eastAsia="zh-CN" w:bidi="ar"/>
          <w:woUserID w:val="0"/>
        </w:rPr>
        <w:t>儿童保健医护支持团队档案</w:t>
      </w:r>
    </w:p>
    <w:p w14:paraId="6E423CFF">
      <w:pPr>
        <w:pStyle w:val="14"/>
        <w:widowControl/>
        <w:kinsoku w:val="0"/>
        <w:autoSpaceDE/>
        <w:autoSpaceDN/>
        <w:snapToGrid w:val="0"/>
        <w:spacing w:before="54" w:after="0" w:line="221" w:lineRule="auto"/>
        <w:ind w:left="0" w:firstLine="0" w:firstLineChars="0"/>
        <w:jc w:val="center"/>
        <w:textAlignment w:val="baseline"/>
        <w:outlineLvl w:val="0"/>
        <w:rPr>
          <w:rFonts w:hint="default" w:ascii="宋体" w:hAnsi="宋体" w:eastAsia="宋体" w:cs="宋体"/>
          <w:b/>
          <w:bCs/>
          <w:kern w:val="0"/>
          <w:sz w:val="21"/>
          <w:szCs w:val="21"/>
          <w:lang w:val="en-US" w:eastAsia="en-US" w:bidi="ar"/>
          <w:woUserID w:val="0"/>
        </w:rPr>
      </w:pPr>
    </w:p>
    <w:p w14:paraId="53AACE30">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见表E.1</w:t>
      </w:r>
      <w:r>
        <w:rPr>
          <w:rFonts w:hint="default" w:ascii="宋体" w:hAnsi="宋体" w:eastAsia="宋体" w:cs="宋体"/>
          <w:snapToGrid w:val="0"/>
          <w:color w:val="000000"/>
          <w:spacing w:val="-9"/>
          <w:kern w:val="0"/>
          <w:sz w:val="22"/>
          <w:szCs w:val="22"/>
          <w:lang w:val="en-US" w:eastAsia="en-US" w:bidi="ar-SA"/>
        </w:rPr>
        <w:t>。</w:t>
      </w:r>
    </w:p>
    <w:p w14:paraId="2E7982D9">
      <w:pPr>
        <w:pStyle w:val="79"/>
        <w:numPr>
          <w:ilvl w:val="0"/>
          <w:numId w:val="0"/>
        </w:numPr>
        <w:spacing w:before="156" w:after="156"/>
      </w:pPr>
      <w:r>
        <w:rPr>
          <w:rFonts w:hint="eastAsia" w:ascii="宋体" w:hAnsi="宋体" w:eastAsia="宋体" w:cs="宋体"/>
          <w:b/>
          <w:bCs/>
          <w:kern w:val="0"/>
          <w:sz w:val="21"/>
          <w:szCs w:val="21"/>
          <w:lang w:val="en-US" w:eastAsia="zh-CN" w:bidi="ar"/>
          <w:woUserID w:val="0"/>
        </w:rPr>
        <w:t>表E.1</w:t>
      </w:r>
      <w:r>
        <w:rPr>
          <w:rFonts w:hint="eastAsia" w:ascii="宋体" w:hAnsi="宋体" w:cs="宋体"/>
          <w:b/>
          <w:bCs/>
          <w:kern w:val="0"/>
          <w:sz w:val="21"/>
          <w:szCs w:val="21"/>
          <w:lang w:val="en-US" w:eastAsia="zh-CN" w:bidi="ar"/>
          <w:woUserID w:val="0"/>
        </w:rPr>
        <w:t xml:space="preserve">  </w:t>
      </w:r>
      <w:r>
        <w:rPr>
          <w:rFonts w:hint="eastAsia" w:ascii="宋体" w:hAnsi="宋体" w:eastAsia="宋体" w:cs="宋体"/>
          <w:b/>
          <w:bCs/>
          <w:kern w:val="0"/>
          <w:sz w:val="21"/>
          <w:szCs w:val="21"/>
          <w:lang w:val="en-US" w:eastAsia="zh-CN" w:bidi="ar"/>
          <w:woUserID w:val="0"/>
        </w:rPr>
        <w:t>儿童保健医护支持团队档案</w:t>
      </w:r>
    </w:p>
    <w:tbl>
      <w:tblPr>
        <w:tblStyle w:val="28"/>
        <w:tblW w:w="500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834"/>
        <w:gridCol w:w="984"/>
        <w:gridCol w:w="1328"/>
        <w:gridCol w:w="1940"/>
        <w:gridCol w:w="1280"/>
        <w:gridCol w:w="1570"/>
        <w:gridCol w:w="1412"/>
      </w:tblGrid>
      <w:tr w14:paraId="5C8B5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74549DE9">
            <w:pPr>
              <w:pStyle w:val="180"/>
              <w:keepNext w:val="0"/>
              <w:keepLines w:val="0"/>
              <w:widowControl/>
              <w:suppressLineNumbers w:val="0"/>
              <w:rPr>
                <w:woUserID w:val="21"/>
              </w:rPr>
            </w:pPr>
            <w:r>
              <w:rPr>
                <w:rFonts w:hint="eastAsia" w:ascii="宋体" w:hAnsi="宋体" w:eastAsia="宋体" w:cs="宋体"/>
                <w:color w:val="000000"/>
                <w:spacing w:val="13"/>
                <w:kern w:val="0"/>
                <w:sz w:val="21"/>
                <w:szCs w:val="21"/>
                <w:lang w:val="en-US" w:eastAsia="zh-CN" w:bidi="ar"/>
                <w:woUserID w:val="21"/>
              </w:rPr>
              <w:t>姓名</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7A208F9F">
            <w:pPr>
              <w:pStyle w:val="180"/>
              <w:keepNext w:val="0"/>
              <w:keepLines w:val="0"/>
              <w:widowControl/>
              <w:suppressLineNumbers w:val="0"/>
              <w:rPr>
                <w:woUserID w:val="21"/>
              </w:rPr>
            </w:pPr>
            <w:r>
              <w:rPr>
                <w:rFonts w:hint="eastAsia" w:ascii="宋体" w:hAnsi="宋体" w:eastAsia="宋体" w:cs="宋体"/>
                <w:color w:val="000000"/>
                <w:spacing w:val="8"/>
                <w:kern w:val="0"/>
                <w:sz w:val="21"/>
                <w:szCs w:val="21"/>
                <w:lang w:val="en-US" w:eastAsia="zh-CN" w:bidi="ar"/>
                <w:woUserID w:val="21"/>
              </w:rPr>
              <w:t>性别</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1E1B4571">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lang w:val="en-US" w:eastAsia="zh-CN" w:bidi="ar"/>
                <w:woUserID w:val="21"/>
              </w:rPr>
              <w:t>团队职务</w:t>
            </w: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05F1A34A">
            <w:pPr>
              <w:pStyle w:val="180"/>
              <w:keepNext w:val="0"/>
              <w:keepLines w:val="0"/>
              <w:widowControl/>
              <w:suppressLineNumbers w:val="0"/>
              <w:rPr>
                <w:woUserID w:val="21"/>
              </w:rPr>
            </w:pPr>
            <w:r>
              <w:rPr>
                <w:rFonts w:hint="eastAsia" w:ascii="宋体" w:hAnsi="宋体" w:eastAsia="宋体" w:cs="宋体"/>
                <w:color w:val="000000"/>
                <w:spacing w:val="-3"/>
                <w:kern w:val="0"/>
                <w:sz w:val="21"/>
                <w:szCs w:val="21"/>
                <w:lang w:val="en-US" w:eastAsia="zh-CN" w:bidi="ar"/>
                <w:woUserID w:val="21"/>
              </w:rPr>
              <w:t>工作单位</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491EC4A1">
            <w:pPr>
              <w:pStyle w:val="180"/>
              <w:keepNext w:val="0"/>
              <w:keepLines w:val="0"/>
              <w:widowControl/>
              <w:suppressLineNumbers w:val="0"/>
              <w:rPr>
                <w:woUserID w:val="21"/>
              </w:rPr>
            </w:pPr>
            <w:r>
              <w:rPr>
                <w:rFonts w:hint="eastAsia" w:ascii="宋体" w:hAnsi="宋体" w:eastAsia="宋体" w:cs="宋体"/>
                <w:color w:val="000000"/>
                <w:spacing w:val="-3"/>
                <w:kern w:val="0"/>
                <w:sz w:val="21"/>
                <w:szCs w:val="21"/>
                <w:lang w:val="en-US" w:eastAsia="zh-CN" w:bidi="ar"/>
                <w:woUserID w:val="21"/>
              </w:rPr>
              <w:t>职称</w:t>
            </w: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6EB48602">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lang w:val="en-US" w:eastAsia="zh-CN" w:bidi="ar"/>
                <w:woUserID w:val="21"/>
              </w:rPr>
              <w:t>主要工作职责</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58F19B8A">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lang w:val="en-US" w:eastAsia="zh-CN" w:bidi="ar"/>
                <w:woUserID w:val="21"/>
              </w:rPr>
              <w:t>联系电话</w:t>
            </w:r>
          </w:p>
        </w:tc>
      </w:tr>
      <w:tr w14:paraId="1733F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14BD3FF0">
            <w:pPr>
              <w:pStyle w:val="180"/>
              <w:keepNext w:val="0"/>
              <w:keepLines w:val="0"/>
              <w:widowControl/>
              <w:suppressLineNumbers w:val="0"/>
              <w:rPr>
                <w:woUserID w:val="21"/>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73707740">
            <w:pPr>
              <w:pStyle w:val="180"/>
              <w:keepNext w:val="0"/>
              <w:keepLines w:val="0"/>
              <w:widowControl/>
              <w:suppressLineNumbers w:val="0"/>
              <w:rPr>
                <w:woUserID w:val="21"/>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7220F1A5">
            <w:pPr>
              <w:pStyle w:val="180"/>
              <w:keepNext w:val="0"/>
              <w:keepLines w:val="0"/>
              <w:widowControl/>
              <w:suppressLineNumbers w:val="0"/>
              <w:rPr>
                <w:woUserID w:val="21"/>
              </w:rPr>
            </w:pP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03179659">
            <w:pPr>
              <w:pStyle w:val="180"/>
              <w:keepNext w:val="0"/>
              <w:keepLines w:val="0"/>
              <w:widowControl/>
              <w:suppressLineNumbers w:val="0"/>
              <w:rPr>
                <w:woUserID w:val="21"/>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73C04915">
            <w:pPr>
              <w:pStyle w:val="180"/>
              <w:keepNext w:val="0"/>
              <w:keepLines w:val="0"/>
              <w:widowControl/>
              <w:suppressLineNumbers w:val="0"/>
              <w:rPr>
                <w:woUserID w:val="21"/>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3FD7CF1B">
            <w:pPr>
              <w:pStyle w:val="180"/>
              <w:keepNext w:val="0"/>
              <w:keepLines w:val="0"/>
              <w:widowControl/>
              <w:suppressLineNumbers w:val="0"/>
              <w:rPr>
                <w:woUserID w:val="21"/>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1D2AC3E3">
            <w:pPr>
              <w:pStyle w:val="180"/>
              <w:keepNext w:val="0"/>
              <w:keepLines w:val="0"/>
              <w:widowControl/>
              <w:suppressLineNumbers w:val="0"/>
              <w:rPr>
                <w:woUserID w:val="21"/>
              </w:rPr>
            </w:pPr>
          </w:p>
        </w:tc>
      </w:tr>
      <w:tr w14:paraId="55EDD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723DEC8F">
            <w:pPr>
              <w:pStyle w:val="180"/>
              <w:keepNext w:val="0"/>
              <w:keepLines w:val="0"/>
              <w:widowControl/>
              <w:suppressLineNumbers w:val="0"/>
              <w:rPr>
                <w:woUserID w:val="21"/>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05D1BFB9">
            <w:pPr>
              <w:pStyle w:val="180"/>
              <w:keepNext w:val="0"/>
              <w:keepLines w:val="0"/>
              <w:widowControl/>
              <w:suppressLineNumbers w:val="0"/>
              <w:rPr>
                <w:woUserID w:val="21"/>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72A1465D">
            <w:pPr>
              <w:pStyle w:val="180"/>
              <w:keepNext w:val="0"/>
              <w:keepLines w:val="0"/>
              <w:widowControl/>
              <w:suppressLineNumbers w:val="0"/>
              <w:rPr>
                <w:woUserID w:val="21"/>
              </w:rPr>
            </w:pP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1BD75C60">
            <w:pPr>
              <w:pStyle w:val="180"/>
              <w:keepNext w:val="0"/>
              <w:keepLines w:val="0"/>
              <w:widowControl/>
              <w:suppressLineNumbers w:val="0"/>
              <w:rPr>
                <w:woUserID w:val="21"/>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13A23B54">
            <w:pPr>
              <w:pStyle w:val="180"/>
              <w:keepNext w:val="0"/>
              <w:keepLines w:val="0"/>
              <w:widowControl/>
              <w:suppressLineNumbers w:val="0"/>
              <w:rPr>
                <w:woUserID w:val="21"/>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213550B6">
            <w:pPr>
              <w:pStyle w:val="180"/>
              <w:keepNext w:val="0"/>
              <w:keepLines w:val="0"/>
              <w:widowControl/>
              <w:suppressLineNumbers w:val="0"/>
              <w:rPr>
                <w:woUserID w:val="21"/>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4EFDFDE9">
            <w:pPr>
              <w:pStyle w:val="180"/>
              <w:keepNext w:val="0"/>
              <w:keepLines w:val="0"/>
              <w:widowControl/>
              <w:suppressLineNumbers w:val="0"/>
              <w:rPr>
                <w:woUserID w:val="21"/>
              </w:rPr>
            </w:pPr>
          </w:p>
        </w:tc>
      </w:tr>
      <w:tr w14:paraId="7C3C9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34E9DBB2">
            <w:pPr>
              <w:pStyle w:val="180"/>
              <w:keepNext w:val="0"/>
              <w:keepLines w:val="0"/>
              <w:widowControl/>
              <w:suppressLineNumbers w:val="0"/>
              <w:rPr>
                <w:woUserID w:val="21"/>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3301BE16">
            <w:pPr>
              <w:pStyle w:val="180"/>
              <w:keepNext w:val="0"/>
              <w:keepLines w:val="0"/>
              <w:widowControl/>
              <w:suppressLineNumbers w:val="0"/>
              <w:rPr>
                <w:woUserID w:val="21"/>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313934F2">
            <w:pPr>
              <w:pStyle w:val="180"/>
              <w:keepNext w:val="0"/>
              <w:keepLines w:val="0"/>
              <w:widowControl/>
              <w:suppressLineNumbers w:val="0"/>
              <w:rPr>
                <w:woUserID w:val="21"/>
              </w:rPr>
            </w:pP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1B527E94">
            <w:pPr>
              <w:pStyle w:val="180"/>
              <w:keepNext w:val="0"/>
              <w:keepLines w:val="0"/>
              <w:widowControl/>
              <w:suppressLineNumbers w:val="0"/>
              <w:rPr>
                <w:woUserID w:val="21"/>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44310104">
            <w:pPr>
              <w:pStyle w:val="180"/>
              <w:keepNext w:val="0"/>
              <w:keepLines w:val="0"/>
              <w:widowControl/>
              <w:suppressLineNumbers w:val="0"/>
              <w:rPr>
                <w:woUserID w:val="21"/>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6DEFAAF3">
            <w:pPr>
              <w:pStyle w:val="180"/>
              <w:keepNext w:val="0"/>
              <w:keepLines w:val="0"/>
              <w:widowControl/>
              <w:suppressLineNumbers w:val="0"/>
              <w:rPr>
                <w:woUserID w:val="21"/>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791AA8EF">
            <w:pPr>
              <w:pStyle w:val="180"/>
              <w:keepNext w:val="0"/>
              <w:keepLines w:val="0"/>
              <w:widowControl/>
              <w:suppressLineNumbers w:val="0"/>
              <w:rPr>
                <w:woUserID w:val="21"/>
              </w:rPr>
            </w:pPr>
          </w:p>
        </w:tc>
      </w:tr>
      <w:tr w14:paraId="0C5F2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01432ADF">
            <w:pPr>
              <w:pStyle w:val="180"/>
              <w:keepNext w:val="0"/>
              <w:keepLines w:val="0"/>
              <w:widowControl/>
              <w:suppressLineNumbers w:val="0"/>
              <w:rPr>
                <w:woUserID w:val="21"/>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7FD71CAC">
            <w:pPr>
              <w:pStyle w:val="180"/>
              <w:keepNext w:val="0"/>
              <w:keepLines w:val="0"/>
              <w:widowControl/>
              <w:suppressLineNumbers w:val="0"/>
              <w:rPr>
                <w:woUserID w:val="21"/>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52FA971B">
            <w:pPr>
              <w:pStyle w:val="180"/>
              <w:keepNext w:val="0"/>
              <w:keepLines w:val="0"/>
              <w:widowControl/>
              <w:suppressLineNumbers w:val="0"/>
              <w:rPr>
                <w:woUserID w:val="21"/>
              </w:rPr>
            </w:pP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0187753D">
            <w:pPr>
              <w:pStyle w:val="180"/>
              <w:keepNext w:val="0"/>
              <w:keepLines w:val="0"/>
              <w:widowControl/>
              <w:suppressLineNumbers w:val="0"/>
              <w:rPr>
                <w:woUserID w:val="21"/>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4F09BFEA">
            <w:pPr>
              <w:pStyle w:val="180"/>
              <w:keepNext w:val="0"/>
              <w:keepLines w:val="0"/>
              <w:widowControl/>
              <w:suppressLineNumbers w:val="0"/>
              <w:rPr>
                <w:woUserID w:val="21"/>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253462F0">
            <w:pPr>
              <w:pStyle w:val="180"/>
              <w:keepNext w:val="0"/>
              <w:keepLines w:val="0"/>
              <w:widowControl/>
              <w:suppressLineNumbers w:val="0"/>
              <w:rPr>
                <w:woUserID w:val="21"/>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1D0E4C16">
            <w:pPr>
              <w:pStyle w:val="180"/>
              <w:keepNext w:val="0"/>
              <w:keepLines w:val="0"/>
              <w:widowControl/>
              <w:suppressLineNumbers w:val="0"/>
              <w:rPr>
                <w:woUserID w:val="21"/>
              </w:rPr>
            </w:pPr>
          </w:p>
        </w:tc>
      </w:tr>
      <w:tr w14:paraId="7E46A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top"/>
          </w:tcPr>
          <w:p w14:paraId="03CA3A10">
            <w:pPr>
              <w:pStyle w:val="180"/>
              <w:keepNext w:val="0"/>
              <w:keepLines w:val="0"/>
              <w:widowControl/>
              <w:suppressLineNumbers w:val="0"/>
              <w:rPr>
                <w:woUserID w:val="21"/>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top"/>
          </w:tcPr>
          <w:p w14:paraId="74B53251">
            <w:pPr>
              <w:pStyle w:val="180"/>
              <w:keepNext w:val="0"/>
              <w:keepLines w:val="0"/>
              <w:widowControl/>
              <w:suppressLineNumbers w:val="0"/>
              <w:rPr>
                <w:woUserID w:val="21"/>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top"/>
          </w:tcPr>
          <w:p w14:paraId="15940AF7">
            <w:pPr>
              <w:pStyle w:val="180"/>
              <w:keepNext w:val="0"/>
              <w:keepLines w:val="0"/>
              <w:widowControl/>
              <w:suppressLineNumbers w:val="0"/>
              <w:rPr>
                <w:woUserID w:val="21"/>
              </w:rPr>
            </w:pPr>
          </w:p>
        </w:tc>
        <w:tc>
          <w:tcPr>
            <w:tcW w:w="1037" w:type="pct"/>
            <w:tcBorders>
              <w:top w:val="single" w:color="000000" w:sz="4" w:space="0"/>
              <w:left w:val="single" w:color="000000" w:sz="4" w:space="0"/>
              <w:bottom w:val="single" w:color="000000" w:sz="4" w:space="0"/>
              <w:right w:val="single" w:color="000000" w:sz="4" w:space="0"/>
            </w:tcBorders>
            <w:shd w:val="clear" w:color="auto" w:fill="auto"/>
            <w:vAlign w:val="top"/>
          </w:tcPr>
          <w:p w14:paraId="63DCFD68">
            <w:pPr>
              <w:pStyle w:val="180"/>
              <w:keepNext w:val="0"/>
              <w:keepLines w:val="0"/>
              <w:widowControl/>
              <w:suppressLineNumbers w:val="0"/>
              <w:rPr>
                <w:woUserID w:val="21"/>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top"/>
          </w:tcPr>
          <w:p w14:paraId="1183E85C">
            <w:pPr>
              <w:pStyle w:val="180"/>
              <w:keepNext w:val="0"/>
              <w:keepLines w:val="0"/>
              <w:widowControl/>
              <w:suppressLineNumbers w:val="0"/>
              <w:rPr>
                <w:woUserID w:val="21"/>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top"/>
          </w:tcPr>
          <w:p w14:paraId="051FAC4C">
            <w:pPr>
              <w:pStyle w:val="180"/>
              <w:keepNext w:val="0"/>
              <w:keepLines w:val="0"/>
              <w:widowControl/>
              <w:suppressLineNumbers w:val="0"/>
              <w:rPr>
                <w:woUserID w:val="21"/>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top"/>
          </w:tcPr>
          <w:p w14:paraId="5D0B77FE">
            <w:pPr>
              <w:pStyle w:val="180"/>
              <w:keepNext w:val="0"/>
              <w:keepLines w:val="0"/>
              <w:widowControl/>
              <w:suppressLineNumbers w:val="0"/>
              <w:rPr>
                <w:woUserID w:val="21"/>
              </w:rPr>
            </w:pPr>
          </w:p>
        </w:tc>
      </w:tr>
    </w:tbl>
    <w:p w14:paraId="56BEB5D4">
      <w:pPr>
        <w:rPr>
          <w:rFonts w:hint="default" w:ascii="Arial" w:hAnsi="Arial" w:cs="Arial"/>
          <w:color w:val="000000"/>
          <w:kern w:val="0"/>
          <w:sz w:val="21"/>
          <w:szCs w:val="21"/>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p>
    <w:p w14:paraId="5E89EFD8">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F</w:t>
      </w:r>
    </w:p>
    <w:p w14:paraId="48DDEB07">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20608A5F">
      <w:pPr>
        <w:pStyle w:val="89"/>
      </w:pPr>
      <w:r>
        <w:rPr>
          <w:rFonts w:hint="eastAsia" w:ascii="宋体" w:hAnsi="宋体" w:eastAsia="宋体" w:cs="宋体"/>
          <w:b/>
          <w:bCs/>
          <w:kern w:val="0"/>
          <w:sz w:val="21"/>
          <w:szCs w:val="21"/>
          <w:lang w:val="en-US" w:eastAsia="zh-CN" w:bidi="ar"/>
          <w:woUserID w:val="0"/>
        </w:rPr>
        <w:t>全日健康观察登记表</w:t>
      </w:r>
    </w:p>
    <w:p w14:paraId="0C403C17">
      <w:pPr>
        <w:pStyle w:val="14"/>
        <w:widowControl/>
        <w:kinsoku w:val="0"/>
        <w:autoSpaceDE/>
        <w:autoSpaceDN/>
        <w:snapToGrid w:val="0"/>
        <w:spacing w:before="54" w:after="0" w:line="221" w:lineRule="auto"/>
        <w:ind w:left="0" w:firstLine="0" w:firstLineChars="0"/>
        <w:jc w:val="center"/>
        <w:textAlignment w:val="baseline"/>
        <w:outlineLvl w:val="0"/>
        <w:rPr>
          <w:rFonts w:hint="default" w:ascii="宋体" w:hAnsi="宋体" w:eastAsia="宋体" w:cs="宋体"/>
          <w:b/>
          <w:bCs/>
          <w:kern w:val="0"/>
          <w:sz w:val="21"/>
          <w:szCs w:val="21"/>
          <w:lang w:val="en-US" w:eastAsia="en-US" w:bidi="ar"/>
          <w:woUserID w:val="0"/>
        </w:rPr>
      </w:pPr>
    </w:p>
    <w:p w14:paraId="4D9733F1">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见表F.1</w:t>
      </w:r>
      <w:r>
        <w:rPr>
          <w:rFonts w:hint="default" w:ascii="宋体" w:hAnsi="宋体" w:eastAsia="宋体" w:cs="宋体"/>
          <w:snapToGrid w:val="0"/>
          <w:color w:val="000000"/>
          <w:spacing w:val="-9"/>
          <w:kern w:val="0"/>
          <w:sz w:val="22"/>
          <w:szCs w:val="22"/>
          <w:lang w:val="en-US" w:eastAsia="en-US" w:bidi="ar-SA"/>
        </w:rPr>
        <w:t>。</w:t>
      </w:r>
    </w:p>
    <w:p w14:paraId="680C9A1E">
      <w:pPr>
        <w:pStyle w:val="79"/>
        <w:numPr>
          <w:ilvl w:val="0"/>
          <w:numId w:val="0"/>
        </w:numPr>
        <w:spacing w:before="156" w:after="156"/>
      </w:pPr>
      <w:r>
        <w:rPr>
          <w:rFonts w:hint="eastAsia" w:ascii="宋体" w:hAnsi="宋体" w:eastAsia="宋体" w:cs="宋体"/>
          <w:b/>
          <w:bCs/>
          <w:kern w:val="0"/>
          <w:sz w:val="21"/>
          <w:szCs w:val="21"/>
          <w:lang w:val="en-US" w:eastAsia="zh-CN" w:bidi="ar"/>
          <w:woUserID w:val="0"/>
        </w:rPr>
        <w:t>表F.1</w:t>
      </w:r>
      <w:r>
        <w:rPr>
          <w:rFonts w:hint="eastAsia" w:ascii="宋体" w:hAnsi="宋体" w:cs="宋体"/>
          <w:b/>
          <w:bCs/>
          <w:kern w:val="0"/>
          <w:sz w:val="21"/>
          <w:szCs w:val="21"/>
          <w:lang w:val="en-US" w:eastAsia="zh-CN" w:bidi="ar"/>
          <w:woUserID w:val="0"/>
        </w:rPr>
        <w:t xml:space="preserve">  </w:t>
      </w:r>
      <w:r>
        <w:rPr>
          <w:rFonts w:hint="eastAsia" w:ascii="宋体" w:hAnsi="宋体" w:eastAsia="宋体" w:cs="宋体"/>
          <w:b/>
          <w:bCs/>
          <w:kern w:val="0"/>
          <w:sz w:val="21"/>
          <w:szCs w:val="21"/>
          <w:lang w:val="en-US" w:eastAsia="zh-CN" w:bidi="ar"/>
          <w:woUserID w:val="0"/>
        </w:rPr>
        <w:t>全日健康观察登记表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14:paraId="7700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2" w:type="dxa"/>
            <w:gridSpan w:val="10"/>
            <w:tcBorders>
              <w:top w:val="nil"/>
              <w:left w:val="nil"/>
              <w:bottom w:val="single" w:color="auto" w:sz="4" w:space="0"/>
              <w:right w:val="nil"/>
            </w:tcBorders>
            <w:shd w:val="clear" w:color="auto" w:fill="auto"/>
            <w:vAlign w:val="center"/>
          </w:tcPr>
          <w:p w14:paraId="29DE6BAF">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日期：                                          检查者：</w:t>
            </w:r>
          </w:p>
        </w:tc>
      </w:tr>
      <w:tr w14:paraId="7941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 w:type="dxa"/>
            <w:vMerge w:val="restart"/>
            <w:tcBorders>
              <w:top w:val="nil"/>
              <w:left w:val="single" w:color="auto" w:sz="4" w:space="0"/>
              <w:bottom w:val="single" w:color="auto" w:sz="4" w:space="0"/>
              <w:right w:val="single" w:color="auto" w:sz="4" w:space="0"/>
            </w:tcBorders>
            <w:shd w:val="clear" w:color="auto" w:fill="auto"/>
            <w:vAlign w:val="center"/>
          </w:tcPr>
          <w:p w14:paraId="5AE19D9D">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序号</w:t>
            </w:r>
          </w:p>
        </w:tc>
        <w:tc>
          <w:tcPr>
            <w:tcW w:w="852" w:type="dxa"/>
            <w:vMerge w:val="restart"/>
            <w:tcBorders>
              <w:top w:val="single" w:color="auto" w:sz="4" w:space="0"/>
              <w:left w:val="nil"/>
              <w:bottom w:val="single" w:color="auto" w:sz="4" w:space="0"/>
              <w:right w:val="single" w:color="auto" w:sz="4" w:space="0"/>
            </w:tcBorders>
            <w:shd w:val="clear" w:color="auto" w:fill="auto"/>
            <w:vAlign w:val="center"/>
          </w:tcPr>
          <w:p w14:paraId="0121794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班级</w:t>
            </w:r>
          </w:p>
        </w:tc>
        <w:tc>
          <w:tcPr>
            <w:tcW w:w="852" w:type="dxa"/>
            <w:vMerge w:val="restart"/>
            <w:tcBorders>
              <w:top w:val="single" w:color="auto" w:sz="4" w:space="0"/>
              <w:left w:val="nil"/>
              <w:bottom w:val="single" w:color="auto" w:sz="4" w:space="0"/>
              <w:right w:val="single" w:color="auto" w:sz="4" w:space="0"/>
            </w:tcBorders>
            <w:shd w:val="clear" w:color="auto" w:fill="auto"/>
            <w:vAlign w:val="center"/>
          </w:tcPr>
          <w:p w14:paraId="2BA8772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姓名</w:t>
            </w:r>
          </w:p>
        </w:tc>
        <w:tc>
          <w:tcPr>
            <w:tcW w:w="1704" w:type="dxa"/>
            <w:gridSpan w:val="2"/>
            <w:tcBorders>
              <w:top w:val="single" w:color="auto" w:sz="4" w:space="0"/>
              <w:left w:val="nil"/>
              <w:bottom w:val="single" w:color="auto" w:sz="4" w:space="0"/>
              <w:right w:val="single" w:color="auto" w:sz="4" w:space="0"/>
            </w:tcBorders>
            <w:shd w:val="clear" w:color="auto" w:fill="auto"/>
            <w:vAlign w:val="center"/>
          </w:tcPr>
          <w:p w14:paraId="7A79764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晨检</w:t>
            </w:r>
          </w:p>
        </w:tc>
        <w:tc>
          <w:tcPr>
            <w:tcW w:w="1704" w:type="dxa"/>
            <w:gridSpan w:val="2"/>
            <w:tcBorders>
              <w:top w:val="single" w:color="auto" w:sz="4" w:space="0"/>
              <w:left w:val="nil"/>
              <w:bottom w:val="single" w:color="auto" w:sz="4" w:space="0"/>
              <w:right w:val="single" w:color="auto" w:sz="4" w:space="0"/>
            </w:tcBorders>
            <w:shd w:val="clear" w:color="auto" w:fill="auto"/>
            <w:vAlign w:val="center"/>
          </w:tcPr>
          <w:p w14:paraId="16A24395">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午检</w:t>
            </w:r>
          </w:p>
        </w:tc>
        <w:tc>
          <w:tcPr>
            <w:tcW w:w="852" w:type="dxa"/>
            <w:vMerge w:val="restart"/>
            <w:tcBorders>
              <w:top w:val="single" w:color="auto" w:sz="4" w:space="0"/>
              <w:left w:val="nil"/>
              <w:bottom w:val="single" w:color="auto" w:sz="4" w:space="0"/>
              <w:right w:val="single" w:color="auto" w:sz="4" w:space="0"/>
            </w:tcBorders>
            <w:shd w:val="clear" w:color="auto" w:fill="auto"/>
            <w:vAlign w:val="center"/>
          </w:tcPr>
          <w:p w14:paraId="27C0AF33">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全日健康状况（健康；疾病）</w:t>
            </w:r>
          </w:p>
        </w:tc>
        <w:tc>
          <w:tcPr>
            <w:tcW w:w="853" w:type="dxa"/>
            <w:vMerge w:val="restart"/>
            <w:tcBorders>
              <w:top w:val="single" w:color="auto" w:sz="4" w:space="0"/>
              <w:left w:val="nil"/>
              <w:bottom w:val="single" w:color="auto" w:sz="4" w:space="0"/>
              <w:right w:val="single" w:color="auto" w:sz="4" w:space="0"/>
            </w:tcBorders>
            <w:shd w:val="clear" w:color="auto" w:fill="auto"/>
            <w:vAlign w:val="center"/>
          </w:tcPr>
          <w:p w14:paraId="400C593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处理意见</w:t>
            </w:r>
          </w:p>
        </w:tc>
        <w:tc>
          <w:tcPr>
            <w:tcW w:w="853" w:type="dxa"/>
            <w:vMerge w:val="restart"/>
            <w:tcBorders>
              <w:top w:val="single" w:color="auto" w:sz="4" w:space="0"/>
              <w:left w:val="nil"/>
              <w:bottom w:val="single" w:color="auto" w:sz="4" w:space="0"/>
              <w:right w:val="single" w:color="auto" w:sz="4" w:space="0"/>
            </w:tcBorders>
            <w:shd w:val="clear" w:color="auto" w:fill="auto"/>
            <w:vAlign w:val="center"/>
          </w:tcPr>
          <w:p w14:paraId="6B12209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备注</w:t>
            </w:r>
          </w:p>
        </w:tc>
      </w:tr>
      <w:tr w14:paraId="50BA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 w:type="dxa"/>
            <w:vMerge w:val="continue"/>
            <w:tcBorders>
              <w:top w:val="nil"/>
              <w:left w:val="single" w:color="auto" w:sz="4" w:space="0"/>
              <w:bottom w:val="single" w:color="auto" w:sz="4" w:space="0"/>
              <w:right w:val="single" w:color="auto" w:sz="4" w:space="0"/>
            </w:tcBorders>
            <w:shd w:val="clear" w:color="auto" w:fill="auto"/>
            <w:vAlign w:val="center"/>
          </w:tcPr>
          <w:p w14:paraId="48E96151">
            <w:pPr>
              <w:pStyle w:val="180"/>
              <w:rPr>
                <w:rFonts w:hint="eastAsia" w:ascii="宋体"/>
                <w:sz w:val="24"/>
                <w:szCs w:val="24"/>
                <w:woUserID w:val="21"/>
              </w:rPr>
            </w:pPr>
          </w:p>
        </w:tc>
        <w:tc>
          <w:tcPr>
            <w:tcW w:w="852" w:type="dxa"/>
            <w:vMerge w:val="continue"/>
            <w:tcBorders>
              <w:top w:val="single" w:color="auto" w:sz="4" w:space="0"/>
              <w:left w:val="nil"/>
              <w:bottom w:val="single" w:color="auto" w:sz="4" w:space="0"/>
              <w:right w:val="single" w:color="auto" w:sz="4" w:space="0"/>
            </w:tcBorders>
            <w:shd w:val="clear" w:color="auto" w:fill="auto"/>
            <w:vAlign w:val="center"/>
          </w:tcPr>
          <w:p w14:paraId="47CF9A3B">
            <w:pPr>
              <w:pStyle w:val="180"/>
              <w:rPr>
                <w:rFonts w:hint="eastAsia" w:ascii="宋体"/>
                <w:sz w:val="24"/>
                <w:szCs w:val="24"/>
                <w:woUserID w:val="21"/>
              </w:rPr>
            </w:pPr>
          </w:p>
        </w:tc>
        <w:tc>
          <w:tcPr>
            <w:tcW w:w="852" w:type="dxa"/>
            <w:vMerge w:val="continue"/>
            <w:tcBorders>
              <w:top w:val="single" w:color="auto" w:sz="4" w:space="0"/>
              <w:left w:val="nil"/>
              <w:bottom w:val="single" w:color="auto" w:sz="4" w:space="0"/>
              <w:right w:val="single" w:color="auto" w:sz="4" w:space="0"/>
            </w:tcBorders>
            <w:shd w:val="clear" w:color="auto" w:fill="auto"/>
            <w:vAlign w:val="center"/>
          </w:tcPr>
          <w:p w14:paraId="6EE168FC">
            <w:pPr>
              <w:pStyle w:val="180"/>
              <w:rPr>
                <w:rFonts w:hint="eastAsia" w:ascii="宋体"/>
                <w:sz w:val="24"/>
                <w:szCs w:val="24"/>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6BE3C27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体温</w:t>
            </w:r>
          </w:p>
        </w:tc>
        <w:tc>
          <w:tcPr>
            <w:tcW w:w="852" w:type="dxa"/>
            <w:tcBorders>
              <w:top w:val="single" w:color="auto" w:sz="4" w:space="0"/>
              <w:left w:val="nil"/>
              <w:bottom w:val="single" w:color="auto" w:sz="4" w:space="0"/>
              <w:right w:val="single" w:color="auto" w:sz="4" w:space="0"/>
            </w:tcBorders>
            <w:shd w:val="clear" w:color="auto" w:fill="auto"/>
            <w:vAlign w:val="center"/>
          </w:tcPr>
          <w:p w14:paraId="1827613A">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测量时间</w:t>
            </w:r>
          </w:p>
        </w:tc>
        <w:tc>
          <w:tcPr>
            <w:tcW w:w="852" w:type="dxa"/>
            <w:tcBorders>
              <w:top w:val="single" w:color="auto" w:sz="4" w:space="0"/>
              <w:left w:val="nil"/>
              <w:bottom w:val="single" w:color="auto" w:sz="4" w:space="0"/>
              <w:right w:val="single" w:color="auto" w:sz="4" w:space="0"/>
            </w:tcBorders>
            <w:shd w:val="clear" w:color="auto" w:fill="auto"/>
            <w:vAlign w:val="center"/>
          </w:tcPr>
          <w:p w14:paraId="51C6FF22">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体温</w:t>
            </w:r>
          </w:p>
        </w:tc>
        <w:tc>
          <w:tcPr>
            <w:tcW w:w="852" w:type="dxa"/>
            <w:tcBorders>
              <w:top w:val="single" w:color="auto" w:sz="4" w:space="0"/>
              <w:left w:val="nil"/>
              <w:bottom w:val="single" w:color="auto" w:sz="4" w:space="0"/>
              <w:right w:val="single" w:color="auto" w:sz="4" w:space="0"/>
            </w:tcBorders>
            <w:shd w:val="clear" w:color="auto" w:fill="auto"/>
            <w:vAlign w:val="center"/>
          </w:tcPr>
          <w:p w14:paraId="367EAB42">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测量时间</w:t>
            </w:r>
          </w:p>
        </w:tc>
        <w:tc>
          <w:tcPr>
            <w:tcW w:w="852" w:type="dxa"/>
            <w:vMerge w:val="continue"/>
            <w:tcBorders>
              <w:top w:val="single" w:color="auto" w:sz="4" w:space="0"/>
              <w:left w:val="nil"/>
              <w:bottom w:val="single" w:color="auto" w:sz="4" w:space="0"/>
              <w:right w:val="single" w:color="auto" w:sz="4" w:space="0"/>
            </w:tcBorders>
            <w:shd w:val="clear" w:color="auto" w:fill="auto"/>
            <w:vAlign w:val="center"/>
          </w:tcPr>
          <w:p w14:paraId="2CE0141D">
            <w:pPr>
              <w:pStyle w:val="180"/>
              <w:rPr>
                <w:rFonts w:hint="eastAsia" w:ascii="宋体"/>
                <w:sz w:val="24"/>
                <w:szCs w:val="24"/>
                <w:woUserID w:val="21"/>
              </w:rPr>
            </w:pPr>
          </w:p>
        </w:tc>
        <w:tc>
          <w:tcPr>
            <w:tcW w:w="853" w:type="dxa"/>
            <w:vMerge w:val="continue"/>
            <w:tcBorders>
              <w:top w:val="single" w:color="auto" w:sz="4" w:space="0"/>
              <w:left w:val="nil"/>
              <w:bottom w:val="single" w:color="auto" w:sz="4" w:space="0"/>
              <w:right w:val="single" w:color="auto" w:sz="4" w:space="0"/>
            </w:tcBorders>
            <w:shd w:val="clear" w:color="auto" w:fill="auto"/>
            <w:vAlign w:val="center"/>
          </w:tcPr>
          <w:p w14:paraId="2C12789F">
            <w:pPr>
              <w:pStyle w:val="180"/>
              <w:rPr>
                <w:rFonts w:hint="eastAsia" w:ascii="宋体"/>
                <w:sz w:val="24"/>
                <w:szCs w:val="24"/>
                <w:woUserID w:val="21"/>
              </w:rPr>
            </w:pPr>
          </w:p>
        </w:tc>
        <w:tc>
          <w:tcPr>
            <w:tcW w:w="853" w:type="dxa"/>
            <w:vMerge w:val="continue"/>
            <w:tcBorders>
              <w:top w:val="single" w:color="auto" w:sz="4" w:space="0"/>
              <w:left w:val="nil"/>
              <w:bottom w:val="single" w:color="auto" w:sz="4" w:space="0"/>
              <w:right w:val="single" w:color="auto" w:sz="4" w:space="0"/>
            </w:tcBorders>
            <w:shd w:val="clear" w:color="auto" w:fill="auto"/>
            <w:vAlign w:val="center"/>
          </w:tcPr>
          <w:p w14:paraId="6569E5A9">
            <w:pPr>
              <w:pStyle w:val="180"/>
              <w:rPr>
                <w:rFonts w:hint="eastAsia" w:ascii="宋体"/>
                <w:sz w:val="24"/>
                <w:szCs w:val="24"/>
                <w:woUserID w:val="21"/>
              </w:rPr>
            </w:pPr>
          </w:p>
        </w:tc>
      </w:tr>
      <w:tr w14:paraId="0DA1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67955546">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3E6AE73E">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1EFC6450">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522A415D">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7F6F0862">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0138B8B5">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3CDA48D7">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74CC2C73">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44CECEAE">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1779888B">
            <w:pPr>
              <w:pStyle w:val="180"/>
              <w:keepNext w:val="0"/>
              <w:keepLines w:val="0"/>
              <w:widowControl w:val="0"/>
              <w:suppressLineNumbers w:val="0"/>
              <w:rPr>
                <w:woUserID w:val="21"/>
              </w:rPr>
            </w:pPr>
          </w:p>
        </w:tc>
      </w:tr>
      <w:tr w14:paraId="70A5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74A6CBDA">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2EE65AF8">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17C0E381">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4E387E68">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6F4BAB23">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7452B148">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26B42148">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3FFE3B78">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35032422">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387B9551">
            <w:pPr>
              <w:pStyle w:val="180"/>
              <w:keepNext w:val="0"/>
              <w:keepLines w:val="0"/>
              <w:widowControl w:val="0"/>
              <w:suppressLineNumbers w:val="0"/>
              <w:rPr>
                <w:woUserID w:val="21"/>
              </w:rPr>
            </w:pPr>
          </w:p>
        </w:tc>
      </w:tr>
      <w:tr w14:paraId="3FDC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49D30A5B">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1D711973">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6585726A">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27E6F9D6">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3B287D26">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77DD20CC">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62609725">
            <w:pPr>
              <w:pStyle w:val="180"/>
              <w:keepNext w:val="0"/>
              <w:keepLines w:val="0"/>
              <w:widowControl w:val="0"/>
              <w:suppressLineNumbers w:val="0"/>
              <w:rPr>
                <w:woUserID w:val="21"/>
              </w:rPr>
            </w:pPr>
          </w:p>
        </w:tc>
        <w:tc>
          <w:tcPr>
            <w:tcW w:w="852" w:type="dxa"/>
            <w:tcBorders>
              <w:top w:val="single" w:color="auto" w:sz="4" w:space="0"/>
              <w:left w:val="nil"/>
              <w:bottom w:val="single" w:color="auto" w:sz="4" w:space="0"/>
              <w:right w:val="single" w:color="auto" w:sz="4" w:space="0"/>
            </w:tcBorders>
            <w:shd w:val="clear" w:color="auto" w:fill="auto"/>
            <w:vAlign w:val="center"/>
          </w:tcPr>
          <w:p w14:paraId="3B13D16A">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6C43E97D">
            <w:pPr>
              <w:pStyle w:val="180"/>
              <w:keepNext w:val="0"/>
              <w:keepLines w:val="0"/>
              <w:widowControl w:val="0"/>
              <w:suppressLineNumbers w:val="0"/>
              <w:rPr>
                <w:woUserID w:val="21"/>
              </w:rPr>
            </w:pPr>
          </w:p>
        </w:tc>
        <w:tc>
          <w:tcPr>
            <w:tcW w:w="853" w:type="dxa"/>
            <w:tcBorders>
              <w:top w:val="single" w:color="auto" w:sz="4" w:space="0"/>
              <w:left w:val="nil"/>
              <w:bottom w:val="single" w:color="auto" w:sz="4" w:space="0"/>
              <w:right w:val="single" w:color="auto" w:sz="4" w:space="0"/>
            </w:tcBorders>
            <w:shd w:val="clear" w:color="auto" w:fill="auto"/>
            <w:vAlign w:val="center"/>
          </w:tcPr>
          <w:p w14:paraId="0E8495E6">
            <w:pPr>
              <w:pStyle w:val="180"/>
              <w:keepNext w:val="0"/>
              <w:keepLines w:val="0"/>
              <w:widowControl w:val="0"/>
              <w:suppressLineNumbers w:val="0"/>
              <w:rPr>
                <w:woUserID w:val="21"/>
              </w:rPr>
            </w:pPr>
          </w:p>
        </w:tc>
      </w:tr>
    </w:tbl>
    <w:p w14:paraId="546614BC">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0C1A6336">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5007E3F6">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31F8CFEC">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6B3D445B">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3778A729">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1F59AD7D">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7F15DF02">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pPr>
    </w:p>
    <w:p w14:paraId="4F07D998">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G</w:t>
      </w:r>
    </w:p>
    <w:p w14:paraId="38571B80">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0AD42CFD">
      <w:pPr>
        <w:pStyle w:val="89"/>
      </w:pPr>
      <w:r>
        <w:rPr>
          <w:rFonts w:hint="eastAsia" w:ascii="宋体" w:hAnsi="宋体" w:eastAsia="宋体" w:cs="宋体"/>
          <w:b/>
          <w:bCs/>
          <w:kern w:val="0"/>
          <w:sz w:val="21"/>
          <w:szCs w:val="21"/>
          <w:lang w:bidi="ar"/>
          <w:woUserID w:val="0"/>
        </w:rPr>
        <w:t>病假缺勤跟踪记录表</w:t>
      </w:r>
    </w:p>
    <w:p w14:paraId="3477BBA3">
      <w:pPr>
        <w:pStyle w:val="14"/>
        <w:kinsoku w:val="0"/>
        <w:snapToGrid w:val="0"/>
        <w:spacing w:before="54" w:line="221" w:lineRule="auto"/>
        <w:textAlignment w:val="baseline"/>
        <w:outlineLvl w:val="0"/>
        <w:rPr>
          <w:rFonts w:hint="eastAsia" w:ascii="宋体" w:hAnsi="宋体" w:eastAsia="宋体" w:cs="宋体"/>
          <w:b/>
          <w:bCs/>
          <w:color w:val="000000"/>
          <w:kern w:val="0"/>
          <w:sz w:val="21"/>
          <w:szCs w:val="21"/>
          <w:woUserID w:val="21"/>
        </w:rPr>
      </w:pPr>
    </w:p>
    <w:p w14:paraId="1AA3469F">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见表G.1</w:t>
      </w:r>
      <w:r>
        <w:rPr>
          <w:rFonts w:hint="default" w:ascii="宋体" w:hAnsi="宋体" w:eastAsia="宋体" w:cs="宋体"/>
          <w:snapToGrid w:val="0"/>
          <w:color w:val="000000"/>
          <w:spacing w:val="-9"/>
          <w:kern w:val="0"/>
          <w:sz w:val="22"/>
          <w:szCs w:val="22"/>
          <w:lang w:val="en-US" w:eastAsia="en-US" w:bidi="ar-SA"/>
        </w:rPr>
        <w:t>。</w:t>
      </w:r>
    </w:p>
    <w:p w14:paraId="62B5EB02">
      <w:pPr>
        <w:pStyle w:val="79"/>
        <w:numPr>
          <w:ilvl w:val="0"/>
          <w:numId w:val="0"/>
        </w:numPr>
        <w:spacing w:before="156" w:after="156"/>
      </w:pPr>
      <w:r>
        <w:rPr>
          <w:rFonts w:hint="eastAsia" w:ascii="宋体" w:hAnsi="宋体" w:eastAsia="宋体" w:cs="宋体"/>
          <w:b/>
          <w:bCs/>
          <w:kern w:val="0"/>
          <w:sz w:val="21"/>
          <w:szCs w:val="21"/>
          <w:lang w:bidi="ar"/>
          <w:woUserID w:val="0"/>
        </w:rPr>
        <w:t>表G.1 病假缺勤跟踪记录表</w:t>
      </w:r>
    </w:p>
    <w:tbl>
      <w:tblPr>
        <w:tblStyle w:val="2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59"/>
        <w:gridCol w:w="671"/>
        <w:gridCol w:w="619"/>
        <w:gridCol w:w="976"/>
        <w:gridCol w:w="937"/>
        <w:gridCol w:w="873"/>
        <w:gridCol w:w="976"/>
        <w:gridCol w:w="1079"/>
        <w:gridCol w:w="849"/>
        <w:gridCol w:w="849"/>
        <w:gridCol w:w="849"/>
      </w:tblGrid>
      <w:tr w14:paraId="7D90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06"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B9FE91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序号</w:t>
            </w:r>
          </w:p>
        </w:tc>
        <w:tc>
          <w:tcPr>
            <w:tcW w:w="359" w:type="pct"/>
            <w:tcBorders>
              <w:top w:val="single" w:color="auto" w:sz="4" w:space="0"/>
              <w:left w:val="nil"/>
              <w:bottom w:val="single" w:color="auto" w:sz="4" w:space="0"/>
              <w:right w:val="single" w:color="auto" w:sz="4" w:space="0"/>
            </w:tcBorders>
            <w:shd w:val="clear" w:color="auto" w:fill="auto"/>
            <w:vAlign w:val="center"/>
          </w:tcPr>
          <w:p w14:paraId="15531530">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班级</w:t>
            </w:r>
          </w:p>
        </w:tc>
        <w:tc>
          <w:tcPr>
            <w:tcW w:w="331" w:type="pct"/>
            <w:tcBorders>
              <w:top w:val="single" w:color="auto" w:sz="4" w:space="0"/>
              <w:left w:val="nil"/>
              <w:bottom w:val="single" w:color="auto" w:sz="4" w:space="0"/>
              <w:right w:val="single" w:color="auto" w:sz="4" w:space="0"/>
            </w:tcBorders>
            <w:shd w:val="clear" w:color="auto" w:fill="auto"/>
            <w:vAlign w:val="center"/>
          </w:tcPr>
          <w:p w14:paraId="71B09DCB">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姓名</w:t>
            </w:r>
          </w:p>
        </w:tc>
        <w:tc>
          <w:tcPr>
            <w:tcW w:w="522" w:type="pct"/>
            <w:tcBorders>
              <w:top w:val="single" w:color="auto" w:sz="4" w:space="0"/>
              <w:left w:val="nil"/>
              <w:bottom w:val="single" w:color="auto" w:sz="4" w:space="0"/>
              <w:right w:val="single" w:color="auto" w:sz="4" w:space="0"/>
            </w:tcBorders>
            <w:shd w:val="clear" w:color="auto" w:fill="auto"/>
            <w:vAlign w:val="center"/>
          </w:tcPr>
          <w:p w14:paraId="286C206F">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发病日期</w:t>
            </w:r>
          </w:p>
        </w:tc>
        <w:tc>
          <w:tcPr>
            <w:tcW w:w="501" w:type="pct"/>
            <w:tcBorders>
              <w:top w:val="single" w:color="auto" w:sz="4" w:space="0"/>
              <w:left w:val="nil"/>
              <w:bottom w:val="single" w:color="auto" w:sz="4" w:space="0"/>
              <w:right w:val="single" w:color="auto" w:sz="4" w:space="0"/>
            </w:tcBorders>
            <w:shd w:val="clear" w:color="auto" w:fill="auto"/>
            <w:vAlign w:val="center"/>
          </w:tcPr>
          <w:p w14:paraId="12F976DA">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疾病名称</w:t>
            </w:r>
          </w:p>
        </w:tc>
        <w:tc>
          <w:tcPr>
            <w:tcW w:w="467" w:type="pct"/>
            <w:tcBorders>
              <w:top w:val="single" w:color="auto" w:sz="4" w:space="0"/>
              <w:left w:val="nil"/>
              <w:bottom w:val="single" w:color="auto" w:sz="4" w:space="0"/>
              <w:right w:val="single" w:color="auto" w:sz="4" w:space="0"/>
            </w:tcBorders>
            <w:shd w:val="clear" w:color="auto" w:fill="auto"/>
            <w:vAlign w:val="center"/>
          </w:tcPr>
          <w:p w14:paraId="14C50318">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主要症状</w:t>
            </w:r>
          </w:p>
        </w:tc>
        <w:tc>
          <w:tcPr>
            <w:tcW w:w="522" w:type="pct"/>
            <w:tcBorders>
              <w:top w:val="single" w:color="auto" w:sz="4" w:space="0"/>
              <w:left w:val="nil"/>
              <w:bottom w:val="single" w:color="auto" w:sz="4" w:space="0"/>
              <w:right w:val="single" w:color="auto" w:sz="4" w:space="0"/>
            </w:tcBorders>
            <w:shd w:val="clear" w:color="auto" w:fill="auto"/>
            <w:vAlign w:val="center"/>
          </w:tcPr>
          <w:p w14:paraId="1FB1CFF3">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跟踪情况</w:t>
            </w:r>
          </w:p>
        </w:tc>
        <w:tc>
          <w:tcPr>
            <w:tcW w:w="577" w:type="pct"/>
            <w:tcBorders>
              <w:top w:val="single" w:color="auto" w:sz="4" w:space="0"/>
              <w:left w:val="nil"/>
              <w:bottom w:val="single" w:color="auto" w:sz="4" w:space="0"/>
              <w:right w:val="single" w:color="auto" w:sz="4" w:space="0"/>
            </w:tcBorders>
            <w:shd w:val="clear" w:color="auto" w:fill="auto"/>
            <w:vAlign w:val="center"/>
          </w:tcPr>
          <w:p w14:paraId="0D40CA7D">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返园日期</w:t>
            </w:r>
          </w:p>
        </w:tc>
        <w:tc>
          <w:tcPr>
            <w:tcW w:w="454" w:type="pct"/>
            <w:tcBorders>
              <w:top w:val="single" w:color="auto" w:sz="4" w:space="0"/>
              <w:left w:val="nil"/>
              <w:bottom w:val="single" w:color="auto" w:sz="4" w:space="0"/>
              <w:right w:val="single" w:color="auto" w:sz="4" w:space="0"/>
            </w:tcBorders>
            <w:shd w:val="clear" w:color="auto" w:fill="auto"/>
            <w:vAlign w:val="center"/>
          </w:tcPr>
          <w:p w14:paraId="7E257902">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返园是否提交相关检查证明</w:t>
            </w:r>
          </w:p>
        </w:tc>
        <w:tc>
          <w:tcPr>
            <w:tcW w:w="454" w:type="pct"/>
            <w:tcBorders>
              <w:top w:val="single" w:color="auto" w:sz="4" w:space="0"/>
              <w:left w:val="nil"/>
              <w:bottom w:val="single" w:color="auto" w:sz="4" w:space="0"/>
              <w:right w:val="single" w:color="auto" w:sz="4" w:space="0"/>
            </w:tcBorders>
            <w:shd w:val="clear" w:color="auto" w:fill="auto"/>
            <w:vAlign w:val="center"/>
          </w:tcPr>
          <w:p w14:paraId="684EF16D">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返园评估</w:t>
            </w:r>
          </w:p>
        </w:tc>
        <w:tc>
          <w:tcPr>
            <w:tcW w:w="454" w:type="pct"/>
            <w:tcBorders>
              <w:top w:val="single" w:color="auto" w:sz="4" w:space="0"/>
              <w:left w:val="nil"/>
              <w:bottom w:val="single" w:color="auto" w:sz="4" w:space="0"/>
              <w:right w:val="single" w:color="auto" w:sz="4" w:space="0"/>
            </w:tcBorders>
            <w:shd w:val="clear" w:color="auto" w:fill="auto"/>
            <w:vAlign w:val="center"/>
          </w:tcPr>
          <w:p w14:paraId="56D5CB1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家长签名</w:t>
            </w:r>
          </w:p>
        </w:tc>
      </w:tr>
      <w:tr w14:paraId="68AE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9"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3CFDDF90">
            <w:pPr>
              <w:pStyle w:val="180"/>
              <w:keepNext w:val="0"/>
              <w:keepLines w:val="0"/>
              <w:widowControl w:val="0"/>
              <w:suppressLineNumbers w:val="0"/>
              <w:rPr>
                <w:woUserID w:val="21"/>
              </w:rPr>
            </w:pPr>
          </w:p>
        </w:tc>
        <w:tc>
          <w:tcPr>
            <w:tcW w:w="359" w:type="pct"/>
            <w:tcBorders>
              <w:top w:val="single" w:color="auto" w:sz="4" w:space="0"/>
              <w:left w:val="nil"/>
              <w:bottom w:val="single" w:color="auto" w:sz="4" w:space="0"/>
              <w:right w:val="single" w:color="auto" w:sz="4" w:space="0"/>
            </w:tcBorders>
            <w:shd w:val="clear" w:color="auto" w:fill="auto"/>
            <w:vAlign w:val="center"/>
          </w:tcPr>
          <w:p w14:paraId="2168FCB6">
            <w:pPr>
              <w:pStyle w:val="180"/>
              <w:keepNext w:val="0"/>
              <w:keepLines w:val="0"/>
              <w:widowControl w:val="0"/>
              <w:suppressLineNumbers w:val="0"/>
              <w:rPr>
                <w:woUserID w:val="21"/>
              </w:rPr>
            </w:pPr>
          </w:p>
        </w:tc>
        <w:tc>
          <w:tcPr>
            <w:tcW w:w="331" w:type="pct"/>
            <w:tcBorders>
              <w:top w:val="single" w:color="auto" w:sz="4" w:space="0"/>
              <w:left w:val="nil"/>
              <w:bottom w:val="single" w:color="auto" w:sz="4" w:space="0"/>
              <w:right w:val="single" w:color="auto" w:sz="4" w:space="0"/>
            </w:tcBorders>
            <w:shd w:val="clear" w:color="auto" w:fill="auto"/>
            <w:vAlign w:val="center"/>
          </w:tcPr>
          <w:p w14:paraId="0B0CA465">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32FEA9E1">
            <w:pPr>
              <w:pStyle w:val="180"/>
              <w:keepNext w:val="0"/>
              <w:keepLines w:val="0"/>
              <w:widowControl w:val="0"/>
              <w:suppressLineNumbers w:val="0"/>
              <w:rPr>
                <w:woUserID w:val="21"/>
              </w:rPr>
            </w:pPr>
          </w:p>
        </w:tc>
        <w:tc>
          <w:tcPr>
            <w:tcW w:w="501" w:type="pct"/>
            <w:tcBorders>
              <w:top w:val="single" w:color="auto" w:sz="4" w:space="0"/>
              <w:left w:val="nil"/>
              <w:bottom w:val="single" w:color="auto" w:sz="4" w:space="0"/>
              <w:right w:val="single" w:color="auto" w:sz="4" w:space="0"/>
            </w:tcBorders>
            <w:shd w:val="clear" w:color="auto" w:fill="auto"/>
            <w:vAlign w:val="center"/>
          </w:tcPr>
          <w:p w14:paraId="5785818E">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6CE8DCD1">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68CCD744">
            <w:pPr>
              <w:pStyle w:val="180"/>
              <w:keepNext w:val="0"/>
              <w:keepLines w:val="0"/>
              <w:widowControl w:val="0"/>
              <w:suppressLineNumbers w:val="0"/>
              <w:rPr>
                <w:woUserID w:val="21"/>
              </w:rPr>
            </w:pPr>
          </w:p>
        </w:tc>
        <w:tc>
          <w:tcPr>
            <w:tcW w:w="577" w:type="pct"/>
            <w:tcBorders>
              <w:top w:val="single" w:color="auto" w:sz="4" w:space="0"/>
              <w:left w:val="nil"/>
              <w:bottom w:val="single" w:color="auto" w:sz="4" w:space="0"/>
              <w:right w:val="single" w:color="auto" w:sz="4" w:space="0"/>
            </w:tcBorders>
            <w:shd w:val="clear" w:color="auto" w:fill="auto"/>
            <w:vAlign w:val="center"/>
          </w:tcPr>
          <w:p w14:paraId="6A08DA69">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11C0B131">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2B1B1F36">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3A4D5D63">
            <w:pPr>
              <w:pStyle w:val="180"/>
              <w:keepNext w:val="0"/>
              <w:keepLines w:val="0"/>
              <w:widowControl w:val="0"/>
              <w:suppressLineNumbers w:val="0"/>
              <w:rPr>
                <w:woUserID w:val="21"/>
              </w:rPr>
            </w:pPr>
          </w:p>
        </w:tc>
      </w:tr>
      <w:tr w14:paraId="6A96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9"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57F97EE">
            <w:pPr>
              <w:pStyle w:val="180"/>
              <w:keepNext w:val="0"/>
              <w:keepLines w:val="0"/>
              <w:widowControl w:val="0"/>
              <w:suppressLineNumbers w:val="0"/>
              <w:rPr>
                <w:woUserID w:val="21"/>
              </w:rPr>
            </w:pPr>
          </w:p>
        </w:tc>
        <w:tc>
          <w:tcPr>
            <w:tcW w:w="359" w:type="pct"/>
            <w:tcBorders>
              <w:top w:val="single" w:color="auto" w:sz="4" w:space="0"/>
              <w:left w:val="nil"/>
              <w:bottom w:val="single" w:color="auto" w:sz="4" w:space="0"/>
              <w:right w:val="single" w:color="auto" w:sz="4" w:space="0"/>
            </w:tcBorders>
            <w:shd w:val="clear" w:color="auto" w:fill="auto"/>
            <w:vAlign w:val="center"/>
          </w:tcPr>
          <w:p w14:paraId="66093518">
            <w:pPr>
              <w:pStyle w:val="180"/>
              <w:keepNext w:val="0"/>
              <w:keepLines w:val="0"/>
              <w:widowControl w:val="0"/>
              <w:suppressLineNumbers w:val="0"/>
              <w:rPr>
                <w:woUserID w:val="21"/>
              </w:rPr>
            </w:pPr>
          </w:p>
        </w:tc>
        <w:tc>
          <w:tcPr>
            <w:tcW w:w="331" w:type="pct"/>
            <w:tcBorders>
              <w:top w:val="single" w:color="auto" w:sz="4" w:space="0"/>
              <w:left w:val="nil"/>
              <w:bottom w:val="single" w:color="auto" w:sz="4" w:space="0"/>
              <w:right w:val="single" w:color="auto" w:sz="4" w:space="0"/>
            </w:tcBorders>
            <w:shd w:val="clear" w:color="auto" w:fill="auto"/>
            <w:vAlign w:val="center"/>
          </w:tcPr>
          <w:p w14:paraId="6A457B44">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0D72B84D">
            <w:pPr>
              <w:pStyle w:val="180"/>
              <w:keepNext w:val="0"/>
              <w:keepLines w:val="0"/>
              <w:widowControl w:val="0"/>
              <w:suppressLineNumbers w:val="0"/>
              <w:rPr>
                <w:woUserID w:val="21"/>
              </w:rPr>
            </w:pPr>
          </w:p>
        </w:tc>
        <w:tc>
          <w:tcPr>
            <w:tcW w:w="501" w:type="pct"/>
            <w:tcBorders>
              <w:top w:val="single" w:color="auto" w:sz="4" w:space="0"/>
              <w:left w:val="nil"/>
              <w:bottom w:val="single" w:color="auto" w:sz="4" w:space="0"/>
              <w:right w:val="single" w:color="auto" w:sz="4" w:space="0"/>
            </w:tcBorders>
            <w:shd w:val="clear" w:color="auto" w:fill="auto"/>
            <w:vAlign w:val="center"/>
          </w:tcPr>
          <w:p w14:paraId="3CF1EBFB">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2B894C02">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49817E02">
            <w:pPr>
              <w:pStyle w:val="180"/>
              <w:keepNext w:val="0"/>
              <w:keepLines w:val="0"/>
              <w:widowControl w:val="0"/>
              <w:suppressLineNumbers w:val="0"/>
              <w:rPr>
                <w:woUserID w:val="21"/>
              </w:rPr>
            </w:pPr>
          </w:p>
        </w:tc>
        <w:tc>
          <w:tcPr>
            <w:tcW w:w="577" w:type="pct"/>
            <w:tcBorders>
              <w:top w:val="single" w:color="auto" w:sz="4" w:space="0"/>
              <w:left w:val="nil"/>
              <w:bottom w:val="single" w:color="auto" w:sz="4" w:space="0"/>
              <w:right w:val="single" w:color="auto" w:sz="4" w:space="0"/>
            </w:tcBorders>
            <w:shd w:val="clear" w:color="auto" w:fill="auto"/>
            <w:vAlign w:val="center"/>
          </w:tcPr>
          <w:p w14:paraId="3E2804B6">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42E30C5F">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5D3338A3">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154A33C0">
            <w:pPr>
              <w:pStyle w:val="180"/>
              <w:keepNext w:val="0"/>
              <w:keepLines w:val="0"/>
              <w:widowControl w:val="0"/>
              <w:suppressLineNumbers w:val="0"/>
              <w:rPr>
                <w:woUserID w:val="21"/>
              </w:rPr>
            </w:pPr>
          </w:p>
        </w:tc>
      </w:tr>
      <w:tr w14:paraId="38EB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9"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3872AC3C">
            <w:pPr>
              <w:pStyle w:val="180"/>
              <w:keepNext w:val="0"/>
              <w:keepLines w:val="0"/>
              <w:widowControl w:val="0"/>
              <w:suppressLineNumbers w:val="0"/>
              <w:rPr>
                <w:woUserID w:val="21"/>
              </w:rPr>
            </w:pPr>
          </w:p>
        </w:tc>
        <w:tc>
          <w:tcPr>
            <w:tcW w:w="359" w:type="pct"/>
            <w:tcBorders>
              <w:top w:val="single" w:color="auto" w:sz="4" w:space="0"/>
              <w:left w:val="nil"/>
              <w:bottom w:val="single" w:color="auto" w:sz="4" w:space="0"/>
              <w:right w:val="single" w:color="auto" w:sz="4" w:space="0"/>
            </w:tcBorders>
            <w:shd w:val="clear" w:color="auto" w:fill="auto"/>
            <w:vAlign w:val="center"/>
          </w:tcPr>
          <w:p w14:paraId="378937A6">
            <w:pPr>
              <w:pStyle w:val="180"/>
              <w:keepNext w:val="0"/>
              <w:keepLines w:val="0"/>
              <w:widowControl w:val="0"/>
              <w:suppressLineNumbers w:val="0"/>
              <w:rPr>
                <w:woUserID w:val="21"/>
              </w:rPr>
            </w:pPr>
          </w:p>
        </w:tc>
        <w:tc>
          <w:tcPr>
            <w:tcW w:w="331" w:type="pct"/>
            <w:tcBorders>
              <w:top w:val="single" w:color="auto" w:sz="4" w:space="0"/>
              <w:left w:val="nil"/>
              <w:bottom w:val="single" w:color="auto" w:sz="4" w:space="0"/>
              <w:right w:val="single" w:color="auto" w:sz="4" w:space="0"/>
            </w:tcBorders>
            <w:shd w:val="clear" w:color="auto" w:fill="auto"/>
            <w:vAlign w:val="center"/>
          </w:tcPr>
          <w:p w14:paraId="7A4A04F4">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0ED55272">
            <w:pPr>
              <w:pStyle w:val="180"/>
              <w:keepNext w:val="0"/>
              <w:keepLines w:val="0"/>
              <w:widowControl w:val="0"/>
              <w:suppressLineNumbers w:val="0"/>
              <w:rPr>
                <w:woUserID w:val="21"/>
              </w:rPr>
            </w:pPr>
          </w:p>
        </w:tc>
        <w:tc>
          <w:tcPr>
            <w:tcW w:w="501" w:type="pct"/>
            <w:tcBorders>
              <w:top w:val="single" w:color="auto" w:sz="4" w:space="0"/>
              <w:left w:val="nil"/>
              <w:bottom w:val="single" w:color="auto" w:sz="4" w:space="0"/>
              <w:right w:val="single" w:color="auto" w:sz="4" w:space="0"/>
            </w:tcBorders>
            <w:shd w:val="clear" w:color="auto" w:fill="auto"/>
            <w:vAlign w:val="center"/>
          </w:tcPr>
          <w:p w14:paraId="6AC087C0">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0CADE756">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792A4092">
            <w:pPr>
              <w:pStyle w:val="180"/>
              <w:keepNext w:val="0"/>
              <w:keepLines w:val="0"/>
              <w:widowControl w:val="0"/>
              <w:suppressLineNumbers w:val="0"/>
              <w:rPr>
                <w:woUserID w:val="21"/>
              </w:rPr>
            </w:pPr>
          </w:p>
        </w:tc>
        <w:tc>
          <w:tcPr>
            <w:tcW w:w="577" w:type="pct"/>
            <w:tcBorders>
              <w:top w:val="single" w:color="auto" w:sz="4" w:space="0"/>
              <w:left w:val="nil"/>
              <w:bottom w:val="single" w:color="auto" w:sz="4" w:space="0"/>
              <w:right w:val="single" w:color="auto" w:sz="4" w:space="0"/>
            </w:tcBorders>
            <w:shd w:val="clear" w:color="auto" w:fill="auto"/>
            <w:vAlign w:val="center"/>
          </w:tcPr>
          <w:p w14:paraId="12702DBA">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0A57F280">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6F61878A">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707F8B7D">
            <w:pPr>
              <w:pStyle w:val="180"/>
              <w:keepNext w:val="0"/>
              <w:keepLines w:val="0"/>
              <w:widowControl w:val="0"/>
              <w:suppressLineNumbers w:val="0"/>
              <w:rPr>
                <w:woUserID w:val="21"/>
              </w:rPr>
            </w:pPr>
          </w:p>
        </w:tc>
      </w:tr>
      <w:tr w14:paraId="2B01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9" w:hRule="atLeast"/>
          <w:jc w:val="center"/>
        </w:trPr>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69B49BD">
            <w:pPr>
              <w:pStyle w:val="180"/>
              <w:keepNext w:val="0"/>
              <w:keepLines w:val="0"/>
              <w:widowControl w:val="0"/>
              <w:suppressLineNumbers w:val="0"/>
              <w:rPr>
                <w:woUserID w:val="21"/>
              </w:rPr>
            </w:pPr>
          </w:p>
        </w:tc>
        <w:tc>
          <w:tcPr>
            <w:tcW w:w="359" w:type="pct"/>
            <w:tcBorders>
              <w:top w:val="single" w:color="auto" w:sz="4" w:space="0"/>
              <w:left w:val="nil"/>
              <w:bottom w:val="single" w:color="auto" w:sz="4" w:space="0"/>
              <w:right w:val="single" w:color="auto" w:sz="4" w:space="0"/>
            </w:tcBorders>
            <w:shd w:val="clear" w:color="auto" w:fill="auto"/>
            <w:vAlign w:val="center"/>
          </w:tcPr>
          <w:p w14:paraId="16902454">
            <w:pPr>
              <w:pStyle w:val="180"/>
              <w:keepNext w:val="0"/>
              <w:keepLines w:val="0"/>
              <w:widowControl w:val="0"/>
              <w:suppressLineNumbers w:val="0"/>
              <w:rPr>
                <w:woUserID w:val="21"/>
              </w:rPr>
            </w:pPr>
          </w:p>
        </w:tc>
        <w:tc>
          <w:tcPr>
            <w:tcW w:w="331" w:type="pct"/>
            <w:tcBorders>
              <w:top w:val="single" w:color="auto" w:sz="4" w:space="0"/>
              <w:left w:val="nil"/>
              <w:bottom w:val="single" w:color="auto" w:sz="4" w:space="0"/>
              <w:right w:val="single" w:color="auto" w:sz="4" w:space="0"/>
            </w:tcBorders>
            <w:shd w:val="clear" w:color="auto" w:fill="auto"/>
            <w:vAlign w:val="center"/>
          </w:tcPr>
          <w:p w14:paraId="376F6FD4">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05DB1669">
            <w:pPr>
              <w:pStyle w:val="180"/>
              <w:keepNext w:val="0"/>
              <w:keepLines w:val="0"/>
              <w:widowControl w:val="0"/>
              <w:suppressLineNumbers w:val="0"/>
              <w:rPr>
                <w:woUserID w:val="21"/>
              </w:rPr>
            </w:pPr>
          </w:p>
        </w:tc>
        <w:tc>
          <w:tcPr>
            <w:tcW w:w="501" w:type="pct"/>
            <w:tcBorders>
              <w:top w:val="single" w:color="auto" w:sz="4" w:space="0"/>
              <w:left w:val="nil"/>
              <w:bottom w:val="single" w:color="auto" w:sz="4" w:space="0"/>
              <w:right w:val="single" w:color="auto" w:sz="4" w:space="0"/>
            </w:tcBorders>
            <w:shd w:val="clear" w:color="auto" w:fill="auto"/>
            <w:vAlign w:val="center"/>
          </w:tcPr>
          <w:p w14:paraId="0338F04B">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4269C4BA">
            <w:pPr>
              <w:pStyle w:val="180"/>
              <w:keepNext w:val="0"/>
              <w:keepLines w:val="0"/>
              <w:widowControl w:val="0"/>
              <w:suppressLineNumbers w:val="0"/>
              <w:rPr>
                <w:woUserID w:val="21"/>
              </w:rPr>
            </w:pPr>
          </w:p>
        </w:tc>
        <w:tc>
          <w:tcPr>
            <w:tcW w:w="522" w:type="pct"/>
            <w:tcBorders>
              <w:top w:val="single" w:color="auto" w:sz="4" w:space="0"/>
              <w:left w:val="nil"/>
              <w:bottom w:val="single" w:color="auto" w:sz="4" w:space="0"/>
              <w:right w:val="single" w:color="auto" w:sz="4" w:space="0"/>
            </w:tcBorders>
            <w:shd w:val="clear" w:color="auto" w:fill="auto"/>
            <w:vAlign w:val="center"/>
          </w:tcPr>
          <w:p w14:paraId="0B5AE0C1">
            <w:pPr>
              <w:pStyle w:val="180"/>
              <w:keepNext w:val="0"/>
              <w:keepLines w:val="0"/>
              <w:widowControl w:val="0"/>
              <w:suppressLineNumbers w:val="0"/>
              <w:rPr>
                <w:woUserID w:val="21"/>
              </w:rPr>
            </w:pPr>
          </w:p>
        </w:tc>
        <w:tc>
          <w:tcPr>
            <w:tcW w:w="577" w:type="pct"/>
            <w:tcBorders>
              <w:top w:val="single" w:color="auto" w:sz="4" w:space="0"/>
              <w:left w:val="nil"/>
              <w:bottom w:val="single" w:color="auto" w:sz="4" w:space="0"/>
              <w:right w:val="single" w:color="auto" w:sz="4" w:space="0"/>
            </w:tcBorders>
            <w:shd w:val="clear" w:color="auto" w:fill="auto"/>
            <w:vAlign w:val="center"/>
          </w:tcPr>
          <w:p w14:paraId="5DF52F31">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60BC9D5B">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008CA312">
            <w:pPr>
              <w:pStyle w:val="180"/>
              <w:keepNext w:val="0"/>
              <w:keepLines w:val="0"/>
              <w:widowControl w:val="0"/>
              <w:suppressLineNumbers w:val="0"/>
              <w:rPr>
                <w:woUserID w:val="21"/>
              </w:rPr>
            </w:pPr>
          </w:p>
        </w:tc>
        <w:tc>
          <w:tcPr>
            <w:tcW w:w="454" w:type="pct"/>
            <w:tcBorders>
              <w:top w:val="single" w:color="auto" w:sz="4" w:space="0"/>
              <w:left w:val="nil"/>
              <w:bottom w:val="single" w:color="auto" w:sz="4" w:space="0"/>
              <w:right w:val="single" w:color="auto" w:sz="4" w:space="0"/>
            </w:tcBorders>
            <w:shd w:val="clear" w:color="auto" w:fill="auto"/>
            <w:vAlign w:val="center"/>
          </w:tcPr>
          <w:p w14:paraId="71830951">
            <w:pPr>
              <w:pStyle w:val="180"/>
              <w:keepNext w:val="0"/>
              <w:keepLines w:val="0"/>
              <w:widowControl w:val="0"/>
              <w:suppressLineNumbers w:val="0"/>
              <w:rPr>
                <w:woUserID w:val="21"/>
              </w:rPr>
            </w:pPr>
          </w:p>
        </w:tc>
      </w:tr>
    </w:tbl>
    <w:p w14:paraId="4C3FB94C">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b/>
          <w:bCs/>
          <w:color w:val="000000"/>
          <w:kern w:val="0"/>
          <w:sz w:val="21"/>
          <w:szCs w:val="21"/>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bCs/>
          <w:color w:val="000000"/>
          <w:kern w:val="0"/>
          <w:sz w:val="21"/>
          <w:szCs w:val="21"/>
          <w:woUserID w:val="21"/>
        </w:rPr>
        <w:t xml:space="preserve"> </w:t>
      </w:r>
    </w:p>
    <w:p w14:paraId="0F5A955E">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H</w:t>
      </w:r>
    </w:p>
    <w:p w14:paraId="63F9E145">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7B2169BF">
      <w:pPr>
        <w:pStyle w:val="89"/>
      </w:pPr>
      <w:r>
        <w:rPr>
          <w:rFonts w:hint="eastAsia" w:ascii="宋体" w:hAnsi="宋体" w:eastAsia="宋体" w:cs="宋体"/>
          <w:b/>
          <w:bCs/>
          <w:kern w:val="0"/>
          <w:sz w:val="21"/>
          <w:szCs w:val="21"/>
          <w:lang w:bidi="ar"/>
          <w:woUserID w:val="0"/>
        </w:rPr>
        <w:t>婴幼儿传染病登记表</w:t>
      </w:r>
    </w:p>
    <w:p w14:paraId="52AE5C9C">
      <w:pPr>
        <w:pStyle w:val="14"/>
        <w:keepNext w:val="0"/>
        <w:keepLines w:val="0"/>
        <w:widowControl/>
        <w:suppressLineNumbers w:val="0"/>
        <w:kinsoku w:val="0"/>
        <w:snapToGrid w:val="0"/>
        <w:spacing w:before="54" w:beforeAutospacing="0" w:after="0" w:afterAutospacing="0" w:line="221" w:lineRule="auto"/>
        <w:ind w:right="0"/>
        <w:textAlignment w:val="baseline"/>
        <w:outlineLvl w:val="0"/>
        <w:rPr>
          <w:rFonts w:hint="eastAsia" w:ascii="宋体" w:hAnsi="宋体" w:eastAsia="宋体" w:cs="宋体"/>
          <w:b/>
          <w:bCs/>
          <w:color w:val="000000"/>
          <w:kern w:val="0"/>
          <w:sz w:val="21"/>
          <w:szCs w:val="21"/>
          <w:woUserID w:val="21"/>
        </w:rPr>
      </w:pPr>
    </w:p>
    <w:p w14:paraId="35DA9AEB">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见表H.1</w:t>
      </w:r>
      <w:r>
        <w:rPr>
          <w:rFonts w:hint="default" w:ascii="宋体" w:hAnsi="宋体" w:eastAsia="宋体" w:cs="宋体"/>
          <w:snapToGrid w:val="0"/>
          <w:color w:val="000000"/>
          <w:spacing w:val="-9"/>
          <w:kern w:val="0"/>
          <w:sz w:val="22"/>
          <w:szCs w:val="22"/>
          <w:lang w:val="en-US" w:eastAsia="en-US" w:bidi="ar-SA"/>
        </w:rPr>
        <w:t>。</w:t>
      </w:r>
    </w:p>
    <w:p w14:paraId="2A3A879D">
      <w:pPr>
        <w:pStyle w:val="79"/>
        <w:numPr>
          <w:ilvl w:val="0"/>
          <w:numId w:val="0"/>
        </w:numPr>
        <w:spacing w:before="156" w:after="156"/>
      </w:pPr>
      <w:r>
        <w:rPr>
          <w:rFonts w:hint="eastAsia" w:ascii="宋体" w:hAnsi="宋体" w:eastAsia="宋体" w:cs="宋体"/>
          <w:b/>
          <w:bCs/>
          <w:kern w:val="0"/>
          <w:sz w:val="21"/>
          <w:szCs w:val="21"/>
          <w:lang w:bidi="ar"/>
          <w:woUserID w:val="0"/>
        </w:rPr>
        <w:t>表H.1 婴幼儿传染病登记表</w:t>
      </w: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48"/>
        <w:gridCol w:w="448"/>
        <w:gridCol w:w="448"/>
        <w:gridCol w:w="549"/>
        <w:gridCol w:w="525"/>
        <w:gridCol w:w="488"/>
        <w:gridCol w:w="550"/>
        <w:gridCol w:w="611"/>
        <w:gridCol w:w="477"/>
        <w:gridCol w:w="477"/>
        <w:gridCol w:w="477"/>
        <w:gridCol w:w="477"/>
        <w:gridCol w:w="477"/>
        <w:gridCol w:w="477"/>
        <w:gridCol w:w="477"/>
        <w:gridCol w:w="501"/>
        <w:gridCol w:w="477"/>
        <w:gridCol w:w="477"/>
        <w:gridCol w:w="477"/>
      </w:tblGrid>
      <w:tr w14:paraId="043A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F35288">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序号</w:t>
            </w:r>
          </w:p>
        </w:tc>
        <w:tc>
          <w:tcPr>
            <w:tcW w:w="240" w:type="pct"/>
            <w:vMerge w:val="restart"/>
            <w:tcBorders>
              <w:top w:val="single" w:color="auto" w:sz="4" w:space="0"/>
              <w:left w:val="nil"/>
              <w:bottom w:val="single" w:color="auto" w:sz="4" w:space="0"/>
              <w:right w:val="single" w:color="auto" w:sz="4" w:space="0"/>
            </w:tcBorders>
            <w:shd w:val="clear" w:color="auto" w:fill="auto"/>
            <w:vAlign w:val="center"/>
          </w:tcPr>
          <w:p w14:paraId="26C3AEF5">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姓名</w:t>
            </w:r>
          </w:p>
        </w:tc>
        <w:tc>
          <w:tcPr>
            <w:tcW w:w="240" w:type="pct"/>
            <w:vMerge w:val="restart"/>
            <w:tcBorders>
              <w:top w:val="single" w:color="auto" w:sz="4" w:space="0"/>
              <w:left w:val="nil"/>
              <w:bottom w:val="single" w:color="auto" w:sz="4" w:space="0"/>
              <w:right w:val="single" w:color="auto" w:sz="4" w:space="0"/>
            </w:tcBorders>
            <w:shd w:val="clear" w:color="auto" w:fill="auto"/>
            <w:vAlign w:val="center"/>
          </w:tcPr>
          <w:p w14:paraId="0C2038BE">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性别</w:t>
            </w:r>
          </w:p>
        </w:tc>
        <w:tc>
          <w:tcPr>
            <w:tcW w:w="294" w:type="pct"/>
            <w:vMerge w:val="restart"/>
            <w:tcBorders>
              <w:top w:val="single" w:color="auto" w:sz="4" w:space="0"/>
              <w:left w:val="nil"/>
              <w:bottom w:val="single" w:color="auto" w:sz="4" w:space="0"/>
              <w:right w:val="single" w:color="auto" w:sz="4" w:space="0"/>
            </w:tcBorders>
            <w:shd w:val="clear" w:color="auto" w:fill="auto"/>
            <w:vAlign w:val="center"/>
          </w:tcPr>
          <w:p w14:paraId="022DD6C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年龄</w:t>
            </w:r>
          </w:p>
        </w:tc>
        <w:tc>
          <w:tcPr>
            <w:tcW w:w="281" w:type="pct"/>
            <w:vMerge w:val="restart"/>
            <w:tcBorders>
              <w:top w:val="single" w:color="auto" w:sz="4" w:space="0"/>
              <w:left w:val="nil"/>
              <w:bottom w:val="single" w:color="auto" w:sz="4" w:space="0"/>
              <w:right w:val="single" w:color="auto" w:sz="4" w:space="0"/>
            </w:tcBorders>
            <w:shd w:val="clear" w:color="auto" w:fill="auto"/>
            <w:vAlign w:val="center"/>
          </w:tcPr>
          <w:p w14:paraId="6E68D948">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发病日期</w:t>
            </w:r>
          </w:p>
        </w:tc>
        <w:tc>
          <w:tcPr>
            <w:tcW w:w="2935" w:type="pct"/>
            <w:gridSpan w:val="11"/>
            <w:tcBorders>
              <w:top w:val="single" w:color="auto" w:sz="4" w:space="0"/>
              <w:left w:val="nil"/>
              <w:bottom w:val="single" w:color="auto" w:sz="4" w:space="0"/>
              <w:right w:val="single" w:color="auto" w:sz="4" w:space="0"/>
            </w:tcBorders>
            <w:shd w:val="clear" w:color="auto" w:fill="auto"/>
            <w:vAlign w:val="center"/>
          </w:tcPr>
          <w:p w14:paraId="455AB777">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传染病名称</w:t>
            </w:r>
          </w:p>
        </w:tc>
        <w:tc>
          <w:tcPr>
            <w:tcW w:w="255" w:type="pct"/>
            <w:tcBorders>
              <w:top w:val="single" w:color="auto" w:sz="4" w:space="0"/>
              <w:left w:val="nil"/>
              <w:bottom w:val="single" w:color="auto" w:sz="4" w:space="0"/>
              <w:right w:val="single" w:color="auto" w:sz="4" w:space="0"/>
            </w:tcBorders>
            <w:shd w:val="clear" w:color="auto" w:fill="auto"/>
            <w:vAlign w:val="center"/>
          </w:tcPr>
          <w:p w14:paraId="76E0AFA2">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诊断医院</w:t>
            </w:r>
          </w:p>
        </w:tc>
        <w:tc>
          <w:tcPr>
            <w:tcW w:w="255" w:type="pct"/>
            <w:tcBorders>
              <w:top w:val="single" w:color="auto" w:sz="4" w:space="0"/>
              <w:left w:val="nil"/>
              <w:bottom w:val="single" w:color="auto" w:sz="4" w:space="0"/>
              <w:right w:val="single" w:color="auto" w:sz="4" w:space="0"/>
            </w:tcBorders>
            <w:shd w:val="clear" w:color="auto" w:fill="auto"/>
            <w:vAlign w:val="center"/>
          </w:tcPr>
          <w:p w14:paraId="78C94A1B">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诊断日期</w:t>
            </w:r>
          </w:p>
        </w:tc>
        <w:tc>
          <w:tcPr>
            <w:tcW w:w="255" w:type="pct"/>
            <w:tcBorders>
              <w:top w:val="single" w:color="auto" w:sz="4" w:space="0"/>
              <w:left w:val="nil"/>
              <w:bottom w:val="single" w:color="auto" w:sz="4" w:space="0"/>
              <w:right w:val="single" w:color="auto" w:sz="4" w:space="0"/>
            </w:tcBorders>
            <w:shd w:val="clear" w:color="auto" w:fill="auto"/>
            <w:vAlign w:val="center"/>
          </w:tcPr>
          <w:p w14:paraId="15E24E83">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处置</w:t>
            </w:r>
          </w:p>
        </w:tc>
      </w:tr>
      <w:tr w14:paraId="7D6F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9D322E">
            <w:pPr>
              <w:pStyle w:val="180"/>
              <w:rPr>
                <w:rFonts w:hint="eastAsia" w:ascii="宋体"/>
                <w:sz w:val="24"/>
                <w:szCs w:val="24"/>
                <w:woUserID w:val="21"/>
              </w:rPr>
            </w:pPr>
          </w:p>
        </w:tc>
        <w:tc>
          <w:tcPr>
            <w:tcW w:w="240" w:type="pct"/>
            <w:vMerge w:val="continue"/>
            <w:tcBorders>
              <w:top w:val="single" w:color="auto" w:sz="4" w:space="0"/>
              <w:left w:val="nil"/>
              <w:bottom w:val="single" w:color="auto" w:sz="4" w:space="0"/>
              <w:right w:val="single" w:color="auto" w:sz="4" w:space="0"/>
            </w:tcBorders>
            <w:shd w:val="clear" w:color="auto" w:fill="auto"/>
            <w:vAlign w:val="center"/>
          </w:tcPr>
          <w:p w14:paraId="6D0D937D">
            <w:pPr>
              <w:pStyle w:val="180"/>
              <w:rPr>
                <w:rFonts w:hint="eastAsia" w:ascii="宋体"/>
                <w:sz w:val="24"/>
                <w:szCs w:val="24"/>
                <w:woUserID w:val="21"/>
              </w:rPr>
            </w:pPr>
          </w:p>
        </w:tc>
        <w:tc>
          <w:tcPr>
            <w:tcW w:w="240" w:type="pct"/>
            <w:vMerge w:val="continue"/>
            <w:tcBorders>
              <w:top w:val="single" w:color="auto" w:sz="4" w:space="0"/>
              <w:left w:val="nil"/>
              <w:bottom w:val="single" w:color="auto" w:sz="4" w:space="0"/>
              <w:right w:val="single" w:color="auto" w:sz="4" w:space="0"/>
            </w:tcBorders>
            <w:shd w:val="clear" w:color="auto" w:fill="auto"/>
            <w:vAlign w:val="center"/>
          </w:tcPr>
          <w:p w14:paraId="596714D2">
            <w:pPr>
              <w:pStyle w:val="180"/>
              <w:rPr>
                <w:rFonts w:hint="eastAsia" w:ascii="宋体"/>
                <w:sz w:val="24"/>
                <w:szCs w:val="24"/>
                <w:woUserID w:val="21"/>
              </w:rPr>
            </w:pPr>
          </w:p>
        </w:tc>
        <w:tc>
          <w:tcPr>
            <w:tcW w:w="294" w:type="pct"/>
            <w:vMerge w:val="continue"/>
            <w:tcBorders>
              <w:top w:val="single" w:color="auto" w:sz="4" w:space="0"/>
              <w:left w:val="nil"/>
              <w:bottom w:val="single" w:color="auto" w:sz="4" w:space="0"/>
              <w:right w:val="single" w:color="auto" w:sz="4" w:space="0"/>
            </w:tcBorders>
            <w:shd w:val="clear" w:color="auto" w:fill="auto"/>
            <w:vAlign w:val="center"/>
          </w:tcPr>
          <w:p w14:paraId="1211E467">
            <w:pPr>
              <w:pStyle w:val="180"/>
              <w:rPr>
                <w:rFonts w:hint="eastAsia" w:ascii="宋体"/>
                <w:sz w:val="24"/>
                <w:szCs w:val="24"/>
                <w:woUserID w:val="21"/>
              </w:rPr>
            </w:pPr>
          </w:p>
        </w:tc>
        <w:tc>
          <w:tcPr>
            <w:tcW w:w="281" w:type="pct"/>
            <w:vMerge w:val="continue"/>
            <w:tcBorders>
              <w:top w:val="single" w:color="auto" w:sz="4" w:space="0"/>
              <w:left w:val="nil"/>
              <w:bottom w:val="single" w:color="auto" w:sz="4" w:space="0"/>
              <w:right w:val="single" w:color="auto" w:sz="4" w:space="0"/>
            </w:tcBorders>
            <w:shd w:val="clear" w:color="auto" w:fill="auto"/>
            <w:vAlign w:val="center"/>
          </w:tcPr>
          <w:p w14:paraId="32E1FDC5">
            <w:pPr>
              <w:pStyle w:val="180"/>
              <w:rPr>
                <w:rFonts w:hint="eastAsia" w:ascii="宋体"/>
                <w:sz w:val="24"/>
                <w:szCs w:val="24"/>
                <w:woUserID w:val="21"/>
              </w:rPr>
            </w:pPr>
          </w:p>
        </w:tc>
        <w:tc>
          <w:tcPr>
            <w:tcW w:w="261" w:type="pct"/>
            <w:tcBorders>
              <w:top w:val="single" w:color="auto" w:sz="4" w:space="0"/>
              <w:left w:val="nil"/>
              <w:bottom w:val="single" w:color="auto" w:sz="4" w:space="0"/>
              <w:right w:val="single" w:color="auto" w:sz="4" w:space="0"/>
            </w:tcBorders>
            <w:shd w:val="clear" w:color="auto" w:fill="auto"/>
            <w:vAlign w:val="top"/>
          </w:tcPr>
          <w:p w14:paraId="79A25D18">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手足口</w:t>
            </w:r>
          </w:p>
          <w:p w14:paraId="38811CA5">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病</w:t>
            </w:r>
          </w:p>
        </w:tc>
        <w:tc>
          <w:tcPr>
            <w:tcW w:w="294" w:type="pct"/>
            <w:tcBorders>
              <w:top w:val="single" w:color="auto" w:sz="4" w:space="0"/>
              <w:left w:val="nil"/>
              <w:bottom w:val="single" w:color="auto" w:sz="4" w:space="0"/>
              <w:right w:val="single" w:color="auto" w:sz="4" w:space="0"/>
            </w:tcBorders>
            <w:shd w:val="clear" w:color="auto" w:fill="auto"/>
            <w:vAlign w:val="top"/>
          </w:tcPr>
          <w:p w14:paraId="321C7354">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水痘</w:t>
            </w:r>
          </w:p>
        </w:tc>
        <w:tc>
          <w:tcPr>
            <w:tcW w:w="327" w:type="pct"/>
            <w:tcBorders>
              <w:top w:val="single" w:color="auto" w:sz="4" w:space="0"/>
              <w:left w:val="nil"/>
              <w:bottom w:val="single" w:color="auto" w:sz="4" w:space="0"/>
              <w:right w:val="single" w:color="auto" w:sz="4" w:space="0"/>
            </w:tcBorders>
            <w:shd w:val="clear" w:color="auto" w:fill="auto"/>
            <w:vAlign w:val="top"/>
          </w:tcPr>
          <w:p w14:paraId="543C1B84">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流行性腮腺炎</w:t>
            </w:r>
          </w:p>
        </w:tc>
        <w:tc>
          <w:tcPr>
            <w:tcW w:w="255" w:type="pct"/>
            <w:tcBorders>
              <w:top w:val="single" w:color="auto" w:sz="4" w:space="0"/>
              <w:left w:val="nil"/>
              <w:bottom w:val="single" w:color="auto" w:sz="4" w:space="0"/>
              <w:right w:val="single" w:color="auto" w:sz="4" w:space="0"/>
            </w:tcBorders>
            <w:shd w:val="clear" w:color="auto" w:fill="auto"/>
            <w:vAlign w:val="top"/>
          </w:tcPr>
          <w:p w14:paraId="441BCCA4">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猩红热</w:t>
            </w:r>
          </w:p>
        </w:tc>
        <w:tc>
          <w:tcPr>
            <w:tcW w:w="255" w:type="pct"/>
            <w:tcBorders>
              <w:top w:val="single" w:color="auto" w:sz="4" w:space="0"/>
              <w:left w:val="nil"/>
              <w:bottom w:val="single" w:color="auto" w:sz="4" w:space="0"/>
              <w:right w:val="single" w:color="auto" w:sz="4" w:space="0"/>
            </w:tcBorders>
            <w:shd w:val="clear" w:color="auto" w:fill="auto"/>
            <w:vAlign w:val="top"/>
          </w:tcPr>
          <w:p w14:paraId="737C02FA">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急性出血性结膜炎</w:t>
            </w:r>
          </w:p>
        </w:tc>
        <w:tc>
          <w:tcPr>
            <w:tcW w:w="255" w:type="pct"/>
            <w:tcBorders>
              <w:top w:val="single" w:color="auto" w:sz="4" w:space="0"/>
              <w:left w:val="nil"/>
              <w:bottom w:val="single" w:color="auto" w:sz="4" w:space="0"/>
              <w:right w:val="single" w:color="auto" w:sz="4" w:space="0"/>
            </w:tcBorders>
            <w:shd w:val="clear" w:color="auto" w:fill="auto"/>
            <w:vAlign w:val="top"/>
          </w:tcPr>
          <w:p w14:paraId="07037D2F">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痢疾</w:t>
            </w:r>
          </w:p>
        </w:tc>
        <w:tc>
          <w:tcPr>
            <w:tcW w:w="255" w:type="pct"/>
            <w:tcBorders>
              <w:top w:val="single" w:color="auto" w:sz="4" w:space="0"/>
              <w:left w:val="nil"/>
              <w:bottom w:val="single" w:color="auto" w:sz="4" w:space="0"/>
              <w:right w:val="single" w:color="auto" w:sz="4" w:space="0"/>
            </w:tcBorders>
            <w:shd w:val="clear" w:color="auto" w:fill="auto"/>
            <w:vAlign w:val="top"/>
          </w:tcPr>
          <w:p w14:paraId="2170DFC7">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麻疹</w:t>
            </w:r>
          </w:p>
        </w:tc>
        <w:tc>
          <w:tcPr>
            <w:tcW w:w="255" w:type="pct"/>
            <w:tcBorders>
              <w:top w:val="single" w:color="auto" w:sz="4" w:space="0"/>
              <w:left w:val="nil"/>
              <w:bottom w:val="single" w:color="auto" w:sz="4" w:space="0"/>
              <w:right w:val="single" w:color="auto" w:sz="4" w:space="0"/>
            </w:tcBorders>
            <w:shd w:val="clear" w:color="auto" w:fill="auto"/>
            <w:vAlign w:val="top"/>
          </w:tcPr>
          <w:p w14:paraId="3838226A">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风疹</w:t>
            </w:r>
          </w:p>
        </w:tc>
        <w:tc>
          <w:tcPr>
            <w:tcW w:w="255" w:type="pct"/>
            <w:tcBorders>
              <w:top w:val="single" w:color="auto" w:sz="4" w:space="0"/>
              <w:left w:val="nil"/>
              <w:bottom w:val="single" w:color="auto" w:sz="4" w:space="0"/>
              <w:right w:val="single" w:color="auto" w:sz="4" w:space="0"/>
            </w:tcBorders>
            <w:shd w:val="clear" w:color="auto" w:fill="auto"/>
            <w:vAlign w:val="top"/>
          </w:tcPr>
          <w:p w14:paraId="3F9C33FA">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传染性肝炎</w:t>
            </w:r>
          </w:p>
        </w:tc>
        <w:tc>
          <w:tcPr>
            <w:tcW w:w="255" w:type="pct"/>
            <w:tcBorders>
              <w:top w:val="single" w:color="auto" w:sz="4" w:space="0"/>
              <w:left w:val="nil"/>
              <w:bottom w:val="single" w:color="auto" w:sz="4" w:space="0"/>
              <w:right w:val="single" w:color="auto" w:sz="4" w:space="0"/>
            </w:tcBorders>
            <w:shd w:val="clear" w:color="auto" w:fill="auto"/>
            <w:vAlign w:val="top"/>
          </w:tcPr>
          <w:p w14:paraId="69AC883B">
            <w:pPr>
              <w:pStyle w:val="180"/>
              <w:keepNext w:val="0"/>
              <w:keepLines w:val="0"/>
              <w:widowControl w:val="0"/>
              <w:suppressLineNumbers w:val="0"/>
              <w:rPr>
                <w:woUserID w:val="21"/>
              </w:rPr>
            </w:pPr>
            <w:r>
              <w:rPr>
                <w:rFonts w:hint="eastAsia" w:ascii="宋体" w:hAnsi="宋体" w:eastAsia="宋体" w:cs="宋体"/>
                <w:color w:val="000000"/>
                <w:kern w:val="0"/>
                <w:sz w:val="21"/>
                <w:szCs w:val="21"/>
                <w:lang w:val="en-US" w:eastAsia="zh-CN" w:bidi="ar"/>
                <w:woUserID w:val="21"/>
              </w:rPr>
              <w:t>流感</w:t>
            </w:r>
          </w:p>
        </w:tc>
        <w:tc>
          <w:tcPr>
            <w:tcW w:w="260" w:type="pct"/>
            <w:tcBorders>
              <w:top w:val="single" w:color="auto" w:sz="4" w:space="0"/>
              <w:left w:val="nil"/>
              <w:bottom w:val="single" w:color="auto" w:sz="4" w:space="0"/>
              <w:right w:val="single" w:color="auto" w:sz="4" w:space="0"/>
            </w:tcBorders>
            <w:shd w:val="clear" w:color="auto" w:fill="auto"/>
            <w:vAlign w:val="top"/>
          </w:tcPr>
          <w:p w14:paraId="07AEA8E9">
            <w:pPr>
              <w:pStyle w:val="180"/>
              <w:keepNext w:val="0"/>
              <w:keepLines w:val="0"/>
              <w:widowControl w:val="0"/>
              <w:suppressLineNumbers w:val="0"/>
              <w:rPr>
                <w:woUserID w:val="21"/>
              </w:rPr>
            </w:pPr>
            <w:r>
              <w:rPr>
                <w:rFonts w:hint="eastAsia" w:ascii="宋体" w:hAnsi="宋体" w:eastAsia="宋体" w:cs="宋体"/>
                <w:color w:val="000000"/>
                <w:kern w:val="0"/>
                <w:sz w:val="21"/>
                <w:szCs w:val="21"/>
                <w:lang w:val="en-US" w:eastAsia="zh-CN" w:bidi="ar"/>
                <w:woUserID w:val="21"/>
              </w:rPr>
              <w:t>其他</w:t>
            </w:r>
          </w:p>
        </w:tc>
        <w:tc>
          <w:tcPr>
            <w:tcW w:w="255" w:type="pct"/>
            <w:tcBorders>
              <w:top w:val="single" w:color="auto" w:sz="4" w:space="0"/>
              <w:left w:val="nil"/>
              <w:bottom w:val="single" w:color="auto" w:sz="4" w:space="0"/>
              <w:right w:val="single" w:color="auto" w:sz="4" w:space="0"/>
            </w:tcBorders>
            <w:shd w:val="clear" w:color="auto" w:fill="auto"/>
            <w:vAlign w:val="top"/>
          </w:tcPr>
          <w:p w14:paraId="5BF1878C">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top"/>
          </w:tcPr>
          <w:p w14:paraId="69B3B1C2">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top"/>
          </w:tcPr>
          <w:p w14:paraId="6C4CCEFF">
            <w:pPr>
              <w:pStyle w:val="180"/>
              <w:keepNext w:val="0"/>
              <w:keepLines w:val="0"/>
              <w:widowControl w:val="0"/>
              <w:suppressLineNumbers w:val="0"/>
              <w:rPr>
                <w:woUserID w:val="21"/>
              </w:rPr>
            </w:pPr>
          </w:p>
        </w:tc>
      </w:tr>
      <w:tr w14:paraId="06ED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FECBB7B">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1616764E">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7DD80720">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6DFEB9F2">
            <w:pPr>
              <w:pStyle w:val="180"/>
              <w:keepNext w:val="0"/>
              <w:keepLines w:val="0"/>
              <w:widowControl w:val="0"/>
              <w:suppressLineNumbers w:val="0"/>
              <w:rPr>
                <w:woUserID w:val="21"/>
              </w:rPr>
            </w:pPr>
          </w:p>
        </w:tc>
        <w:tc>
          <w:tcPr>
            <w:tcW w:w="281" w:type="pct"/>
            <w:tcBorders>
              <w:top w:val="single" w:color="auto" w:sz="4" w:space="0"/>
              <w:left w:val="nil"/>
              <w:bottom w:val="single" w:color="auto" w:sz="4" w:space="0"/>
              <w:right w:val="single" w:color="auto" w:sz="4" w:space="0"/>
            </w:tcBorders>
            <w:shd w:val="clear" w:color="auto" w:fill="auto"/>
            <w:vAlign w:val="center"/>
          </w:tcPr>
          <w:p w14:paraId="510FCD70">
            <w:pPr>
              <w:pStyle w:val="180"/>
              <w:keepNext w:val="0"/>
              <w:keepLines w:val="0"/>
              <w:widowControl w:val="0"/>
              <w:suppressLineNumbers w:val="0"/>
              <w:rPr>
                <w:woUserID w:val="21"/>
              </w:rPr>
            </w:pPr>
          </w:p>
        </w:tc>
        <w:tc>
          <w:tcPr>
            <w:tcW w:w="261" w:type="pct"/>
            <w:tcBorders>
              <w:top w:val="single" w:color="auto" w:sz="4" w:space="0"/>
              <w:left w:val="nil"/>
              <w:bottom w:val="single" w:color="auto" w:sz="4" w:space="0"/>
              <w:right w:val="single" w:color="auto" w:sz="4" w:space="0"/>
            </w:tcBorders>
            <w:shd w:val="clear" w:color="auto" w:fill="auto"/>
            <w:vAlign w:val="center"/>
          </w:tcPr>
          <w:p w14:paraId="087AEDE9">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65CAD026">
            <w:pPr>
              <w:pStyle w:val="180"/>
              <w:keepNext w:val="0"/>
              <w:keepLines w:val="0"/>
              <w:widowControl w:val="0"/>
              <w:suppressLineNumbers w:val="0"/>
              <w:rPr>
                <w:woUserID w:val="21"/>
              </w:rPr>
            </w:pPr>
          </w:p>
        </w:tc>
        <w:tc>
          <w:tcPr>
            <w:tcW w:w="327" w:type="pct"/>
            <w:tcBorders>
              <w:top w:val="single" w:color="auto" w:sz="4" w:space="0"/>
              <w:left w:val="nil"/>
              <w:bottom w:val="single" w:color="auto" w:sz="4" w:space="0"/>
              <w:right w:val="single" w:color="auto" w:sz="4" w:space="0"/>
            </w:tcBorders>
            <w:shd w:val="clear" w:color="auto" w:fill="auto"/>
            <w:vAlign w:val="center"/>
          </w:tcPr>
          <w:p w14:paraId="2F803250">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0EEF9D84">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21A7DB27">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42F45A07">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C5EB450">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82C7CEE">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F0047AF">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7BC98DF">
            <w:pPr>
              <w:pStyle w:val="180"/>
              <w:keepNext w:val="0"/>
              <w:keepLines w:val="0"/>
              <w:widowControl w:val="0"/>
              <w:suppressLineNumbers w:val="0"/>
              <w:rPr>
                <w:woUserID w:val="21"/>
              </w:rPr>
            </w:pPr>
          </w:p>
        </w:tc>
        <w:tc>
          <w:tcPr>
            <w:tcW w:w="260" w:type="pct"/>
            <w:tcBorders>
              <w:top w:val="single" w:color="auto" w:sz="4" w:space="0"/>
              <w:left w:val="nil"/>
              <w:bottom w:val="single" w:color="auto" w:sz="4" w:space="0"/>
              <w:right w:val="single" w:color="auto" w:sz="4" w:space="0"/>
            </w:tcBorders>
            <w:shd w:val="clear" w:color="auto" w:fill="auto"/>
            <w:vAlign w:val="center"/>
          </w:tcPr>
          <w:p w14:paraId="4062B094">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9E0513C">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24CE6324">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2CDF733">
            <w:pPr>
              <w:pStyle w:val="180"/>
              <w:keepNext w:val="0"/>
              <w:keepLines w:val="0"/>
              <w:widowControl w:val="0"/>
              <w:suppressLineNumbers w:val="0"/>
              <w:rPr>
                <w:woUserID w:val="21"/>
              </w:rPr>
            </w:pPr>
          </w:p>
        </w:tc>
      </w:tr>
      <w:tr w14:paraId="0D6F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5D9C065">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245E82C3">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4B1D6734">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7852E774">
            <w:pPr>
              <w:pStyle w:val="180"/>
              <w:keepNext w:val="0"/>
              <w:keepLines w:val="0"/>
              <w:widowControl w:val="0"/>
              <w:suppressLineNumbers w:val="0"/>
              <w:rPr>
                <w:woUserID w:val="21"/>
              </w:rPr>
            </w:pPr>
          </w:p>
        </w:tc>
        <w:tc>
          <w:tcPr>
            <w:tcW w:w="281" w:type="pct"/>
            <w:tcBorders>
              <w:top w:val="single" w:color="auto" w:sz="4" w:space="0"/>
              <w:left w:val="nil"/>
              <w:bottom w:val="single" w:color="auto" w:sz="4" w:space="0"/>
              <w:right w:val="single" w:color="auto" w:sz="4" w:space="0"/>
            </w:tcBorders>
            <w:shd w:val="clear" w:color="auto" w:fill="auto"/>
            <w:vAlign w:val="center"/>
          </w:tcPr>
          <w:p w14:paraId="4C7BFF7A">
            <w:pPr>
              <w:pStyle w:val="180"/>
              <w:keepNext w:val="0"/>
              <w:keepLines w:val="0"/>
              <w:widowControl w:val="0"/>
              <w:suppressLineNumbers w:val="0"/>
              <w:rPr>
                <w:woUserID w:val="21"/>
              </w:rPr>
            </w:pPr>
          </w:p>
        </w:tc>
        <w:tc>
          <w:tcPr>
            <w:tcW w:w="261" w:type="pct"/>
            <w:tcBorders>
              <w:top w:val="single" w:color="auto" w:sz="4" w:space="0"/>
              <w:left w:val="nil"/>
              <w:bottom w:val="single" w:color="auto" w:sz="4" w:space="0"/>
              <w:right w:val="single" w:color="auto" w:sz="4" w:space="0"/>
            </w:tcBorders>
            <w:shd w:val="clear" w:color="auto" w:fill="auto"/>
            <w:vAlign w:val="center"/>
          </w:tcPr>
          <w:p w14:paraId="49E707C4">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31A83A6D">
            <w:pPr>
              <w:pStyle w:val="180"/>
              <w:keepNext w:val="0"/>
              <w:keepLines w:val="0"/>
              <w:widowControl w:val="0"/>
              <w:suppressLineNumbers w:val="0"/>
              <w:rPr>
                <w:woUserID w:val="21"/>
              </w:rPr>
            </w:pPr>
          </w:p>
        </w:tc>
        <w:tc>
          <w:tcPr>
            <w:tcW w:w="327" w:type="pct"/>
            <w:tcBorders>
              <w:top w:val="single" w:color="auto" w:sz="4" w:space="0"/>
              <w:left w:val="nil"/>
              <w:bottom w:val="single" w:color="auto" w:sz="4" w:space="0"/>
              <w:right w:val="single" w:color="auto" w:sz="4" w:space="0"/>
            </w:tcBorders>
            <w:shd w:val="clear" w:color="auto" w:fill="auto"/>
            <w:vAlign w:val="center"/>
          </w:tcPr>
          <w:p w14:paraId="13B28B19">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8A312B3">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3BF26241">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66038D01">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19C7D35">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C6E15E7">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63F82AAA">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6E299A37">
            <w:pPr>
              <w:pStyle w:val="180"/>
              <w:keepNext w:val="0"/>
              <w:keepLines w:val="0"/>
              <w:widowControl w:val="0"/>
              <w:suppressLineNumbers w:val="0"/>
              <w:rPr>
                <w:woUserID w:val="21"/>
              </w:rPr>
            </w:pPr>
          </w:p>
        </w:tc>
        <w:tc>
          <w:tcPr>
            <w:tcW w:w="260" w:type="pct"/>
            <w:tcBorders>
              <w:top w:val="single" w:color="auto" w:sz="4" w:space="0"/>
              <w:left w:val="nil"/>
              <w:bottom w:val="single" w:color="auto" w:sz="4" w:space="0"/>
              <w:right w:val="single" w:color="auto" w:sz="4" w:space="0"/>
            </w:tcBorders>
            <w:shd w:val="clear" w:color="auto" w:fill="auto"/>
            <w:vAlign w:val="center"/>
          </w:tcPr>
          <w:p w14:paraId="380EE2B1">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1B3491BD">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64A9A68B">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65A8CFB2">
            <w:pPr>
              <w:pStyle w:val="180"/>
              <w:keepNext w:val="0"/>
              <w:keepLines w:val="0"/>
              <w:widowControl w:val="0"/>
              <w:suppressLineNumbers w:val="0"/>
              <w:rPr>
                <w:woUserID w:val="21"/>
              </w:rPr>
            </w:pPr>
          </w:p>
        </w:tc>
      </w:tr>
      <w:tr w14:paraId="7441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13A82BF">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7C2B5EF7">
            <w:pPr>
              <w:pStyle w:val="180"/>
              <w:keepNext w:val="0"/>
              <w:keepLines w:val="0"/>
              <w:widowControl w:val="0"/>
              <w:suppressLineNumbers w:val="0"/>
              <w:rPr>
                <w:woUserID w:val="21"/>
              </w:rPr>
            </w:pPr>
          </w:p>
        </w:tc>
        <w:tc>
          <w:tcPr>
            <w:tcW w:w="240" w:type="pct"/>
            <w:tcBorders>
              <w:top w:val="single" w:color="auto" w:sz="4" w:space="0"/>
              <w:left w:val="nil"/>
              <w:bottom w:val="single" w:color="auto" w:sz="4" w:space="0"/>
              <w:right w:val="single" w:color="auto" w:sz="4" w:space="0"/>
            </w:tcBorders>
            <w:shd w:val="clear" w:color="auto" w:fill="auto"/>
            <w:vAlign w:val="center"/>
          </w:tcPr>
          <w:p w14:paraId="622CBC4D">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25CF8014">
            <w:pPr>
              <w:pStyle w:val="180"/>
              <w:keepNext w:val="0"/>
              <w:keepLines w:val="0"/>
              <w:widowControl w:val="0"/>
              <w:suppressLineNumbers w:val="0"/>
              <w:rPr>
                <w:woUserID w:val="21"/>
              </w:rPr>
            </w:pPr>
          </w:p>
        </w:tc>
        <w:tc>
          <w:tcPr>
            <w:tcW w:w="281" w:type="pct"/>
            <w:tcBorders>
              <w:top w:val="single" w:color="auto" w:sz="4" w:space="0"/>
              <w:left w:val="nil"/>
              <w:bottom w:val="single" w:color="auto" w:sz="4" w:space="0"/>
              <w:right w:val="single" w:color="auto" w:sz="4" w:space="0"/>
            </w:tcBorders>
            <w:shd w:val="clear" w:color="auto" w:fill="auto"/>
            <w:vAlign w:val="center"/>
          </w:tcPr>
          <w:p w14:paraId="4294EFFD">
            <w:pPr>
              <w:pStyle w:val="180"/>
              <w:keepNext w:val="0"/>
              <w:keepLines w:val="0"/>
              <w:widowControl w:val="0"/>
              <w:suppressLineNumbers w:val="0"/>
              <w:rPr>
                <w:woUserID w:val="21"/>
              </w:rPr>
            </w:pPr>
          </w:p>
        </w:tc>
        <w:tc>
          <w:tcPr>
            <w:tcW w:w="261" w:type="pct"/>
            <w:tcBorders>
              <w:top w:val="single" w:color="auto" w:sz="4" w:space="0"/>
              <w:left w:val="nil"/>
              <w:bottom w:val="single" w:color="auto" w:sz="4" w:space="0"/>
              <w:right w:val="single" w:color="auto" w:sz="4" w:space="0"/>
            </w:tcBorders>
            <w:shd w:val="clear" w:color="auto" w:fill="auto"/>
            <w:vAlign w:val="center"/>
          </w:tcPr>
          <w:p w14:paraId="2A0E37C8">
            <w:pPr>
              <w:pStyle w:val="180"/>
              <w:keepNext w:val="0"/>
              <w:keepLines w:val="0"/>
              <w:widowControl w:val="0"/>
              <w:suppressLineNumbers w:val="0"/>
              <w:rPr>
                <w:woUserID w:val="21"/>
              </w:rPr>
            </w:pPr>
          </w:p>
        </w:tc>
        <w:tc>
          <w:tcPr>
            <w:tcW w:w="294" w:type="pct"/>
            <w:tcBorders>
              <w:top w:val="single" w:color="auto" w:sz="4" w:space="0"/>
              <w:left w:val="nil"/>
              <w:bottom w:val="single" w:color="auto" w:sz="4" w:space="0"/>
              <w:right w:val="single" w:color="auto" w:sz="4" w:space="0"/>
            </w:tcBorders>
            <w:shd w:val="clear" w:color="auto" w:fill="auto"/>
            <w:vAlign w:val="center"/>
          </w:tcPr>
          <w:p w14:paraId="3871A625">
            <w:pPr>
              <w:pStyle w:val="180"/>
              <w:keepNext w:val="0"/>
              <w:keepLines w:val="0"/>
              <w:widowControl w:val="0"/>
              <w:suppressLineNumbers w:val="0"/>
              <w:rPr>
                <w:woUserID w:val="21"/>
              </w:rPr>
            </w:pPr>
          </w:p>
        </w:tc>
        <w:tc>
          <w:tcPr>
            <w:tcW w:w="327" w:type="pct"/>
            <w:tcBorders>
              <w:top w:val="single" w:color="auto" w:sz="4" w:space="0"/>
              <w:left w:val="nil"/>
              <w:bottom w:val="single" w:color="auto" w:sz="4" w:space="0"/>
              <w:right w:val="single" w:color="auto" w:sz="4" w:space="0"/>
            </w:tcBorders>
            <w:shd w:val="clear" w:color="auto" w:fill="auto"/>
            <w:vAlign w:val="center"/>
          </w:tcPr>
          <w:p w14:paraId="5C5B3CCE">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4BEC211C">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27F77F87">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43697892">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05B580D1">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3DE4696F">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0F2A89B">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2F61ED0C">
            <w:pPr>
              <w:pStyle w:val="180"/>
              <w:keepNext w:val="0"/>
              <w:keepLines w:val="0"/>
              <w:widowControl w:val="0"/>
              <w:suppressLineNumbers w:val="0"/>
              <w:rPr>
                <w:woUserID w:val="21"/>
              </w:rPr>
            </w:pPr>
          </w:p>
        </w:tc>
        <w:tc>
          <w:tcPr>
            <w:tcW w:w="260" w:type="pct"/>
            <w:tcBorders>
              <w:top w:val="single" w:color="auto" w:sz="4" w:space="0"/>
              <w:left w:val="nil"/>
              <w:bottom w:val="single" w:color="auto" w:sz="4" w:space="0"/>
              <w:right w:val="single" w:color="auto" w:sz="4" w:space="0"/>
            </w:tcBorders>
            <w:shd w:val="clear" w:color="auto" w:fill="auto"/>
            <w:vAlign w:val="center"/>
          </w:tcPr>
          <w:p w14:paraId="4290B8A0">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75FA5134">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7A848937">
            <w:pPr>
              <w:pStyle w:val="180"/>
              <w:keepNext w:val="0"/>
              <w:keepLines w:val="0"/>
              <w:widowControl w:val="0"/>
              <w:suppressLineNumbers w:val="0"/>
              <w:rPr>
                <w:woUserID w:val="21"/>
              </w:rPr>
            </w:pPr>
          </w:p>
        </w:tc>
        <w:tc>
          <w:tcPr>
            <w:tcW w:w="255" w:type="pct"/>
            <w:tcBorders>
              <w:top w:val="single" w:color="auto" w:sz="4" w:space="0"/>
              <w:left w:val="nil"/>
              <w:bottom w:val="single" w:color="auto" w:sz="4" w:space="0"/>
              <w:right w:val="single" w:color="auto" w:sz="4" w:space="0"/>
            </w:tcBorders>
            <w:shd w:val="clear" w:color="auto" w:fill="auto"/>
            <w:vAlign w:val="center"/>
          </w:tcPr>
          <w:p w14:paraId="543E6032">
            <w:pPr>
              <w:pStyle w:val="180"/>
              <w:keepNext w:val="0"/>
              <w:keepLines w:val="0"/>
              <w:widowControl w:val="0"/>
              <w:suppressLineNumbers w:val="0"/>
              <w:rPr>
                <w:woUserID w:val="21"/>
              </w:rPr>
            </w:pPr>
          </w:p>
        </w:tc>
      </w:tr>
    </w:tbl>
    <w:p w14:paraId="13CF4B3F">
      <w:pPr>
        <w:rPr>
          <w:rFonts w:hint="eastAsia" w:ascii="宋体" w:hAnsi="宋体" w:eastAsia="宋体" w:cs="宋体"/>
          <w:color w:val="000000"/>
          <w:kern w:val="0"/>
          <w:sz w:val="21"/>
          <w:szCs w:val="21"/>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p>
    <w:p w14:paraId="592CC1AD">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I</w:t>
      </w:r>
    </w:p>
    <w:p w14:paraId="7C0F243D">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2D29B134">
      <w:pPr>
        <w:pStyle w:val="89"/>
      </w:pPr>
      <w:r>
        <w:rPr>
          <w:rFonts w:hint="eastAsia" w:ascii="宋体" w:hAnsi="宋体" w:eastAsia="宋体" w:cs="宋体"/>
          <w:b/>
          <w:bCs/>
          <w:kern w:val="0"/>
          <w:sz w:val="21"/>
          <w:szCs w:val="21"/>
          <w:lang w:bidi="ar"/>
          <w:woUserID w:val="0"/>
        </w:rPr>
        <w:t>婴幼儿营养性疾病及常见疾病登记表</w:t>
      </w:r>
    </w:p>
    <w:p w14:paraId="629B1141">
      <w:pPr>
        <w:pStyle w:val="14"/>
        <w:keepNext w:val="0"/>
        <w:keepLines w:val="0"/>
        <w:widowControl/>
        <w:suppressLineNumbers w:val="0"/>
        <w:kinsoku w:val="0"/>
        <w:snapToGrid w:val="0"/>
        <w:spacing w:before="54" w:beforeAutospacing="0" w:after="0" w:afterAutospacing="0" w:line="221" w:lineRule="auto"/>
        <w:ind w:right="0"/>
        <w:textAlignment w:val="baseline"/>
        <w:outlineLvl w:val="0"/>
        <w:rPr>
          <w:rFonts w:hint="eastAsia" w:ascii="宋体" w:hAnsi="宋体" w:eastAsia="宋体" w:cs="宋体"/>
          <w:b/>
          <w:bCs/>
          <w:color w:val="000000"/>
          <w:kern w:val="0"/>
          <w:sz w:val="21"/>
          <w:szCs w:val="21"/>
          <w:woUserID w:val="21"/>
        </w:rPr>
      </w:pPr>
    </w:p>
    <w:p w14:paraId="1C706C8E">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见表I.1</w:t>
      </w:r>
      <w:r>
        <w:rPr>
          <w:rFonts w:hint="default" w:ascii="宋体" w:hAnsi="宋体" w:eastAsia="宋体" w:cs="宋体"/>
          <w:snapToGrid w:val="0"/>
          <w:color w:val="000000"/>
          <w:spacing w:val="-9"/>
          <w:kern w:val="0"/>
          <w:sz w:val="22"/>
          <w:szCs w:val="22"/>
          <w:lang w:val="en-US" w:eastAsia="en-US" w:bidi="ar-SA"/>
        </w:rPr>
        <w:t>。</w:t>
      </w:r>
    </w:p>
    <w:p w14:paraId="6BB7BC71">
      <w:pPr>
        <w:pStyle w:val="79"/>
        <w:numPr>
          <w:ilvl w:val="0"/>
          <w:numId w:val="0"/>
        </w:numPr>
        <w:spacing w:before="156" w:after="156"/>
      </w:pPr>
      <w:r>
        <w:rPr>
          <w:rFonts w:hint="eastAsia" w:ascii="宋体" w:hAnsi="宋体" w:eastAsia="宋体" w:cs="宋体"/>
          <w:b/>
          <w:bCs/>
          <w:kern w:val="0"/>
          <w:sz w:val="21"/>
          <w:szCs w:val="21"/>
          <w:lang w:bidi="ar"/>
          <w:woUserID w:val="0"/>
        </w:rPr>
        <w:t>表I.1 婴幼儿营养性疾病及常见疾病登记表</w:t>
      </w: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77"/>
        <w:gridCol w:w="1098"/>
        <w:gridCol w:w="1009"/>
        <w:gridCol w:w="1595"/>
        <w:gridCol w:w="1530"/>
        <w:gridCol w:w="1425"/>
        <w:gridCol w:w="1604"/>
      </w:tblGrid>
      <w:tr w14:paraId="23D8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65CDA3C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序号</w:t>
            </w:r>
          </w:p>
        </w:tc>
        <w:tc>
          <w:tcPr>
            <w:tcW w:w="588" w:type="pct"/>
            <w:tcBorders>
              <w:top w:val="single" w:color="auto" w:sz="4" w:space="0"/>
              <w:left w:val="nil"/>
              <w:bottom w:val="single" w:color="auto" w:sz="4" w:space="0"/>
              <w:right w:val="single" w:color="auto" w:sz="4" w:space="0"/>
            </w:tcBorders>
            <w:shd w:val="clear" w:color="auto" w:fill="auto"/>
            <w:vAlign w:val="center"/>
          </w:tcPr>
          <w:p w14:paraId="4BA68DDD">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班级</w:t>
            </w:r>
          </w:p>
        </w:tc>
        <w:tc>
          <w:tcPr>
            <w:tcW w:w="540" w:type="pct"/>
            <w:tcBorders>
              <w:top w:val="single" w:color="auto" w:sz="4" w:space="0"/>
              <w:left w:val="nil"/>
              <w:bottom w:val="single" w:color="auto" w:sz="4" w:space="0"/>
              <w:right w:val="single" w:color="auto" w:sz="4" w:space="0"/>
            </w:tcBorders>
            <w:shd w:val="clear" w:color="auto" w:fill="auto"/>
            <w:vAlign w:val="center"/>
          </w:tcPr>
          <w:p w14:paraId="48C82132">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姓名</w:t>
            </w:r>
          </w:p>
        </w:tc>
        <w:tc>
          <w:tcPr>
            <w:tcW w:w="854" w:type="pct"/>
            <w:tcBorders>
              <w:top w:val="single" w:color="auto" w:sz="4" w:space="0"/>
              <w:left w:val="nil"/>
              <w:bottom w:val="single" w:color="auto" w:sz="4" w:space="0"/>
              <w:right w:val="single" w:color="auto" w:sz="4" w:space="0"/>
            </w:tcBorders>
            <w:shd w:val="clear" w:color="auto" w:fill="auto"/>
            <w:vAlign w:val="center"/>
          </w:tcPr>
          <w:p w14:paraId="0C49A20F">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疾病名称</w:t>
            </w:r>
          </w:p>
        </w:tc>
        <w:tc>
          <w:tcPr>
            <w:tcW w:w="819" w:type="pct"/>
            <w:tcBorders>
              <w:top w:val="single" w:color="auto" w:sz="4" w:space="0"/>
              <w:left w:val="nil"/>
              <w:bottom w:val="single" w:color="auto" w:sz="4" w:space="0"/>
              <w:right w:val="single" w:color="auto" w:sz="4" w:space="0"/>
            </w:tcBorders>
            <w:shd w:val="clear" w:color="auto" w:fill="auto"/>
            <w:vAlign w:val="center"/>
          </w:tcPr>
          <w:p w14:paraId="0DBC28D2">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确诊日期</w:t>
            </w:r>
          </w:p>
        </w:tc>
        <w:tc>
          <w:tcPr>
            <w:tcW w:w="763" w:type="pct"/>
            <w:tcBorders>
              <w:top w:val="single" w:color="auto" w:sz="4" w:space="0"/>
              <w:left w:val="nil"/>
              <w:bottom w:val="single" w:color="auto" w:sz="4" w:space="0"/>
              <w:right w:val="single" w:color="auto" w:sz="4" w:space="0"/>
            </w:tcBorders>
            <w:shd w:val="clear" w:color="auto" w:fill="auto"/>
            <w:vAlign w:val="center"/>
          </w:tcPr>
          <w:p w14:paraId="68496CAD">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干预与治疗</w:t>
            </w:r>
          </w:p>
        </w:tc>
        <w:tc>
          <w:tcPr>
            <w:tcW w:w="854" w:type="pct"/>
            <w:tcBorders>
              <w:top w:val="single" w:color="auto" w:sz="4" w:space="0"/>
              <w:left w:val="nil"/>
              <w:bottom w:val="single" w:color="auto" w:sz="4" w:space="0"/>
              <w:right w:val="single" w:color="auto" w:sz="4" w:space="0"/>
            </w:tcBorders>
            <w:shd w:val="clear" w:color="auto" w:fill="auto"/>
            <w:vAlign w:val="center"/>
          </w:tcPr>
          <w:p w14:paraId="4058E175">
            <w:pPr>
              <w:pStyle w:val="180"/>
              <w:keepNext w:val="0"/>
              <w:keepLines w:val="0"/>
              <w:widowControl w:val="0"/>
              <w:suppressLineNumbers w:val="0"/>
              <w:rPr>
                <w:woUserID w:val="21"/>
              </w:rPr>
            </w:pPr>
            <w:r>
              <w:rPr>
                <w:rFonts w:hint="default" w:ascii="Arial" w:hAnsi="Arial" w:eastAsia="宋体" w:cs="Arial"/>
                <w:color w:val="000000"/>
                <w:kern w:val="0"/>
                <w:sz w:val="21"/>
                <w:szCs w:val="21"/>
                <w:lang w:val="en-US" w:eastAsia="zh-CN" w:bidi="ar"/>
                <w:woUserID w:val="21"/>
              </w:rPr>
              <w:t>转归</w:t>
            </w:r>
          </w:p>
        </w:tc>
      </w:tr>
      <w:tr w14:paraId="022F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2" w:hRule="atLeast"/>
          <w:jc w:val="center"/>
        </w:trPr>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0CBB831D">
            <w:pPr>
              <w:pStyle w:val="180"/>
              <w:keepNext w:val="0"/>
              <w:keepLines w:val="0"/>
              <w:widowControl w:val="0"/>
              <w:suppressLineNumbers w:val="0"/>
              <w:rPr>
                <w:woUserID w:val="21"/>
              </w:rPr>
            </w:pPr>
          </w:p>
        </w:tc>
        <w:tc>
          <w:tcPr>
            <w:tcW w:w="588" w:type="pct"/>
            <w:tcBorders>
              <w:top w:val="single" w:color="auto" w:sz="4" w:space="0"/>
              <w:left w:val="nil"/>
              <w:bottom w:val="single" w:color="auto" w:sz="4" w:space="0"/>
              <w:right w:val="single" w:color="auto" w:sz="4" w:space="0"/>
            </w:tcBorders>
            <w:shd w:val="clear" w:color="auto" w:fill="auto"/>
            <w:vAlign w:val="center"/>
          </w:tcPr>
          <w:p w14:paraId="557A1541">
            <w:pPr>
              <w:pStyle w:val="180"/>
              <w:keepNext w:val="0"/>
              <w:keepLines w:val="0"/>
              <w:widowControl w:val="0"/>
              <w:suppressLineNumbers w:val="0"/>
              <w:rPr>
                <w:woUserID w:val="21"/>
              </w:rPr>
            </w:pPr>
          </w:p>
        </w:tc>
        <w:tc>
          <w:tcPr>
            <w:tcW w:w="540" w:type="pct"/>
            <w:tcBorders>
              <w:top w:val="single" w:color="auto" w:sz="4" w:space="0"/>
              <w:left w:val="nil"/>
              <w:bottom w:val="single" w:color="auto" w:sz="4" w:space="0"/>
              <w:right w:val="single" w:color="auto" w:sz="4" w:space="0"/>
            </w:tcBorders>
            <w:shd w:val="clear" w:color="auto" w:fill="auto"/>
            <w:vAlign w:val="center"/>
          </w:tcPr>
          <w:p w14:paraId="283E51E9">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21F886C2">
            <w:pPr>
              <w:pStyle w:val="180"/>
              <w:keepNext w:val="0"/>
              <w:keepLines w:val="0"/>
              <w:widowControl w:val="0"/>
              <w:suppressLineNumbers w:val="0"/>
              <w:rPr>
                <w:woUserID w:val="21"/>
              </w:rPr>
            </w:pPr>
          </w:p>
        </w:tc>
        <w:tc>
          <w:tcPr>
            <w:tcW w:w="819" w:type="pct"/>
            <w:tcBorders>
              <w:top w:val="single" w:color="auto" w:sz="4" w:space="0"/>
              <w:left w:val="nil"/>
              <w:bottom w:val="single" w:color="auto" w:sz="4" w:space="0"/>
              <w:right w:val="single" w:color="auto" w:sz="4" w:space="0"/>
            </w:tcBorders>
            <w:shd w:val="clear" w:color="auto" w:fill="auto"/>
            <w:vAlign w:val="center"/>
          </w:tcPr>
          <w:p w14:paraId="13871A81">
            <w:pPr>
              <w:pStyle w:val="180"/>
              <w:keepNext w:val="0"/>
              <w:keepLines w:val="0"/>
              <w:widowControl w:val="0"/>
              <w:suppressLineNumbers w:val="0"/>
              <w:rPr>
                <w:woUserID w:val="21"/>
              </w:rPr>
            </w:pPr>
          </w:p>
        </w:tc>
        <w:tc>
          <w:tcPr>
            <w:tcW w:w="763" w:type="pct"/>
            <w:tcBorders>
              <w:top w:val="single" w:color="auto" w:sz="4" w:space="0"/>
              <w:left w:val="nil"/>
              <w:bottom w:val="single" w:color="auto" w:sz="4" w:space="0"/>
              <w:right w:val="single" w:color="auto" w:sz="4" w:space="0"/>
            </w:tcBorders>
            <w:shd w:val="clear" w:color="auto" w:fill="auto"/>
            <w:vAlign w:val="center"/>
          </w:tcPr>
          <w:p w14:paraId="18D252E7">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7BEF2802">
            <w:pPr>
              <w:pStyle w:val="180"/>
              <w:keepNext w:val="0"/>
              <w:keepLines w:val="0"/>
              <w:widowControl w:val="0"/>
              <w:suppressLineNumbers w:val="0"/>
              <w:rPr>
                <w:woUserID w:val="21"/>
              </w:rPr>
            </w:pPr>
          </w:p>
        </w:tc>
      </w:tr>
      <w:tr w14:paraId="407B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1EEC4B6F">
            <w:pPr>
              <w:pStyle w:val="180"/>
              <w:keepNext w:val="0"/>
              <w:keepLines w:val="0"/>
              <w:widowControl w:val="0"/>
              <w:suppressLineNumbers w:val="0"/>
              <w:rPr>
                <w:woUserID w:val="21"/>
              </w:rPr>
            </w:pPr>
          </w:p>
        </w:tc>
        <w:tc>
          <w:tcPr>
            <w:tcW w:w="588" w:type="pct"/>
            <w:tcBorders>
              <w:top w:val="single" w:color="auto" w:sz="4" w:space="0"/>
              <w:left w:val="nil"/>
              <w:bottom w:val="single" w:color="auto" w:sz="4" w:space="0"/>
              <w:right w:val="single" w:color="auto" w:sz="4" w:space="0"/>
            </w:tcBorders>
            <w:shd w:val="clear" w:color="auto" w:fill="auto"/>
            <w:vAlign w:val="center"/>
          </w:tcPr>
          <w:p w14:paraId="04AC0A05">
            <w:pPr>
              <w:pStyle w:val="180"/>
              <w:keepNext w:val="0"/>
              <w:keepLines w:val="0"/>
              <w:widowControl w:val="0"/>
              <w:suppressLineNumbers w:val="0"/>
              <w:rPr>
                <w:woUserID w:val="21"/>
              </w:rPr>
            </w:pPr>
          </w:p>
        </w:tc>
        <w:tc>
          <w:tcPr>
            <w:tcW w:w="540" w:type="pct"/>
            <w:tcBorders>
              <w:top w:val="single" w:color="auto" w:sz="4" w:space="0"/>
              <w:left w:val="nil"/>
              <w:bottom w:val="single" w:color="auto" w:sz="4" w:space="0"/>
              <w:right w:val="single" w:color="auto" w:sz="4" w:space="0"/>
            </w:tcBorders>
            <w:shd w:val="clear" w:color="auto" w:fill="auto"/>
            <w:vAlign w:val="center"/>
          </w:tcPr>
          <w:p w14:paraId="1ACF4F99">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606ADEBA">
            <w:pPr>
              <w:pStyle w:val="180"/>
              <w:keepNext w:val="0"/>
              <w:keepLines w:val="0"/>
              <w:widowControl w:val="0"/>
              <w:suppressLineNumbers w:val="0"/>
              <w:rPr>
                <w:woUserID w:val="21"/>
              </w:rPr>
            </w:pPr>
          </w:p>
        </w:tc>
        <w:tc>
          <w:tcPr>
            <w:tcW w:w="819" w:type="pct"/>
            <w:tcBorders>
              <w:top w:val="single" w:color="auto" w:sz="4" w:space="0"/>
              <w:left w:val="nil"/>
              <w:bottom w:val="single" w:color="auto" w:sz="4" w:space="0"/>
              <w:right w:val="single" w:color="auto" w:sz="4" w:space="0"/>
            </w:tcBorders>
            <w:shd w:val="clear" w:color="auto" w:fill="auto"/>
            <w:vAlign w:val="center"/>
          </w:tcPr>
          <w:p w14:paraId="5D6FCBED">
            <w:pPr>
              <w:pStyle w:val="180"/>
              <w:keepNext w:val="0"/>
              <w:keepLines w:val="0"/>
              <w:widowControl w:val="0"/>
              <w:suppressLineNumbers w:val="0"/>
              <w:rPr>
                <w:woUserID w:val="21"/>
              </w:rPr>
            </w:pPr>
          </w:p>
        </w:tc>
        <w:tc>
          <w:tcPr>
            <w:tcW w:w="763" w:type="pct"/>
            <w:tcBorders>
              <w:top w:val="single" w:color="auto" w:sz="4" w:space="0"/>
              <w:left w:val="nil"/>
              <w:bottom w:val="single" w:color="auto" w:sz="4" w:space="0"/>
              <w:right w:val="single" w:color="auto" w:sz="4" w:space="0"/>
            </w:tcBorders>
            <w:shd w:val="clear" w:color="auto" w:fill="auto"/>
            <w:vAlign w:val="center"/>
          </w:tcPr>
          <w:p w14:paraId="5A0BB8C7">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34595CFE">
            <w:pPr>
              <w:pStyle w:val="180"/>
              <w:keepNext w:val="0"/>
              <w:keepLines w:val="0"/>
              <w:widowControl w:val="0"/>
              <w:suppressLineNumbers w:val="0"/>
              <w:rPr>
                <w:woUserID w:val="21"/>
              </w:rPr>
            </w:pPr>
          </w:p>
        </w:tc>
      </w:tr>
      <w:tr w14:paraId="3519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36334F2E">
            <w:pPr>
              <w:pStyle w:val="180"/>
              <w:keepNext w:val="0"/>
              <w:keepLines w:val="0"/>
              <w:widowControl w:val="0"/>
              <w:suppressLineNumbers w:val="0"/>
              <w:rPr>
                <w:woUserID w:val="21"/>
              </w:rPr>
            </w:pPr>
          </w:p>
        </w:tc>
        <w:tc>
          <w:tcPr>
            <w:tcW w:w="588" w:type="pct"/>
            <w:tcBorders>
              <w:top w:val="single" w:color="auto" w:sz="4" w:space="0"/>
              <w:left w:val="nil"/>
              <w:bottom w:val="single" w:color="auto" w:sz="4" w:space="0"/>
              <w:right w:val="single" w:color="auto" w:sz="4" w:space="0"/>
            </w:tcBorders>
            <w:shd w:val="clear" w:color="auto" w:fill="auto"/>
            <w:vAlign w:val="center"/>
          </w:tcPr>
          <w:p w14:paraId="0DF2244D">
            <w:pPr>
              <w:pStyle w:val="180"/>
              <w:keepNext w:val="0"/>
              <w:keepLines w:val="0"/>
              <w:widowControl w:val="0"/>
              <w:suppressLineNumbers w:val="0"/>
              <w:rPr>
                <w:woUserID w:val="21"/>
              </w:rPr>
            </w:pPr>
          </w:p>
        </w:tc>
        <w:tc>
          <w:tcPr>
            <w:tcW w:w="540" w:type="pct"/>
            <w:tcBorders>
              <w:top w:val="single" w:color="auto" w:sz="4" w:space="0"/>
              <w:left w:val="nil"/>
              <w:bottom w:val="single" w:color="auto" w:sz="4" w:space="0"/>
              <w:right w:val="single" w:color="auto" w:sz="4" w:space="0"/>
            </w:tcBorders>
            <w:shd w:val="clear" w:color="auto" w:fill="auto"/>
            <w:vAlign w:val="center"/>
          </w:tcPr>
          <w:p w14:paraId="2943CAEB">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41793BB0">
            <w:pPr>
              <w:pStyle w:val="180"/>
              <w:keepNext w:val="0"/>
              <w:keepLines w:val="0"/>
              <w:widowControl w:val="0"/>
              <w:suppressLineNumbers w:val="0"/>
              <w:rPr>
                <w:woUserID w:val="21"/>
              </w:rPr>
            </w:pPr>
          </w:p>
        </w:tc>
        <w:tc>
          <w:tcPr>
            <w:tcW w:w="819" w:type="pct"/>
            <w:tcBorders>
              <w:top w:val="single" w:color="auto" w:sz="4" w:space="0"/>
              <w:left w:val="nil"/>
              <w:bottom w:val="single" w:color="auto" w:sz="4" w:space="0"/>
              <w:right w:val="single" w:color="auto" w:sz="4" w:space="0"/>
            </w:tcBorders>
            <w:shd w:val="clear" w:color="auto" w:fill="auto"/>
            <w:vAlign w:val="center"/>
          </w:tcPr>
          <w:p w14:paraId="1740C10B">
            <w:pPr>
              <w:pStyle w:val="180"/>
              <w:keepNext w:val="0"/>
              <w:keepLines w:val="0"/>
              <w:widowControl w:val="0"/>
              <w:suppressLineNumbers w:val="0"/>
              <w:rPr>
                <w:woUserID w:val="21"/>
              </w:rPr>
            </w:pPr>
          </w:p>
        </w:tc>
        <w:tc>
          <w:tcPr>
            <w:tcW w:w="763" w:type="pct"/>
            <w:tcBorders>
              <w:top w:val="single" w:color="auto" w:sz="4" w:space="0"/>
              <w:left w:val="nil"/>
              <w:bottom w:val="single" w:color="auto" w:sz="4" w:space="0"/>
              <w:right w:val="single" w:color="auto" w:sz="4" w:space="0"/>
            </w:tcBorders>
            <w:shd w:val="clear" w:color="auto" w:fill="auto"/>
            <w:vAlign w:val="center"/>
          </w:tcPr>
          <w:p w14:paraId="64755616">
            <w:pPr>
              <w:pStyle w:val="180"/>
              <w:keepNext w:val="0"/>
              <w:keepLines w:val="0"/>
              <w:widowControl w:val="0"/>
              <w:suppressLineNumbers w:val="0"/>
              <w:rPr>
                <w:woUserID w:val="21"/>
              </w:rPr>
            </w:pPr>
          </w:p>
        </w:tc>
        <w:tc>
          <w:tcPr>
            <w:tcW w:w="854" w:type="pct"/>
            <w:tcBorders>
              <w:top w:val="single" w:color="auto" w:sz="4" w:space="0"/>
              <w:left w:val="nil"/>
              <w:bottom w:val="single" w:color="auto" w:sz="4" w:space="0"/>
              <w:right w:val="single" w:color="auto" w:sz="4" w:space="0"/>
            </w:tcBorders>
            <w:shd w:val="clear" w:color="auto" w:fill="auto"/>
            <w:vAlign w:val="center"/>
          </w:tcPr>
          <w:p w14:paraId="15D9DCB4">
            <w:pPr>
              <w:pStyle w:val="180"/>
              <w:keepNext w:val="0"/>
              <w:keepLines w:val="0"/>
              <w:widowControl w:val="0"/>
              <w:suppressLineNumbers w:val="0"/>
              <w:rPr>
                <w:woUserID w:val="21"/>
              </w:rPr>
            </w:pPr>
          </w:p>
        </w:tc>
      </w:tr>
      <w:tr w14:paraId="563D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3" w:hRule="atLeast"/>
          <w:jc w:val="center"/>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C3144D4">
            <w:pPr>
              <w:pStyle w:val="180"/>
              <w:keepNext w:val="0"/>
              <w:keepLines w:val="0"/>
              <w:widowControl w:val="0"/>
              <w:suppressLineNumbers w:val="0"/>
              <w:rPr>
                <w:woUserID w:val="21"/>
              </w:rPr>
            </w:pPr>
            <w:r>
              <w:rPr>
                <w:rFonts w:hint="eastAsia" w:ascii="宋体" w:hAnsi="宋体" w:eastAsia="宋体" w:cs="宋体"/>
                <w:b/>
                <w:bCs/>
                <w:color w:val="000000"/>
                <w:kern w:val="0"/>
                <w:sz w:val="21"/>
                <w:szCs w:val="21"/>
                <w:lang w:val="en-US" w:eastAsia="zh-CN" w:bidi="ar"/>
                <w:woUserID w:val="21"/>
              </w:rPr>
              <w:t>注：</w:t>
            </w:r>
            <w:r>
              <w:rPr>
                <w:rFonts w:hint="default" w:ascii="Arial" w:hAnsi="Arial" w:eastAsia="宋体" w:cs="Arial"/>
                <w:color w:val="000000"/>
                <w:kern w:val="0"/>
                <w:sz w:val="21"/>
                <w:szCs w:val="21"/>
                <w:lang w:val="en-US" w:eastAsia="zh-CN" w:bidi="ar"/>
                <w:woUserID w:val="21"/>
              </w:rPr>
              <w:t>登记范围包括营养不良、贫血、单纯性肥胖、先心病、哮喘、癫痫、听力障碍、视力低常、龋齿等。</w:t>
            </w:r>
          </w:p>
        </w:tc>
      </w:tr>
    </w:tbl>
    <w:p w14:paraId="1D7F5271">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25BA2641">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7BA23DE0">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72D75284">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13FC6E10">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3A13AA24">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12EB9750">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55C80667">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7BC74220">
      <w:pPr>
        <w:pStyle w:val="26"/>
        <w:keepNext w:val="0"/>
        <w:keepLines w:val="0"/>
        <w:widowControl/>
        <w:suppressLineNumbers w:val="0"/>
        <w:spacing w:before="0" w:beforeAutospacing="1" w:after="0" w:afterAutospacing="1" w:line="381" w:lineRule="auto"/>
        <w:ind w:left="0" w:right="0"/>
        <w:jc w:val="center"/>
        <w:rPr>
          <w:rFonts w:hint="eastAsia" w:ascii="宋体" w:hAnsi="宋体" w:eastAsia="宋体" w:cs="宋体"/>
          <w:color w:val="000000"/>
          <w:kern w:val="0"/>
          <w:sz w:val="21"/>
          <w:szCs w:val="21"/>
          <w:woUserID w:val="21"/>
        </w:rPr>
      </w:pPr>
    </w:p>
    <w:p w14:paraId="57D42E65">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J</w:t>
      </w:r>
    </w:p>
    <w:p w14:paraId="4363A6E6">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6F07485D">
      <w:pPr>
        <w:pStyle w:val="89"/>
      </w:pPr>
      <w:r>
        <w:rPr>
          <w:rFonts w:hint="eastAsia" w:ascii="宋体" w:hAnsi="宋体" w:eastAsia="宋体" w:cs="宋体"/>
          <w:b/>
          <w:bCs/>
          <w:color w:val="000000"/>
          <w:kern w:val="0"/>
          <w:sz w:val="21"/>
          <w:szCs w:val="21"/>
          <w:woUserID w:val="21"/>
        </w:rPr>
        <w:t xml:space="preserve"> 婴幼儿生长发育监测记录</w:t>
      </w:r>
      <w:r>
        <w:rPr>
          <w:rFonts w:hint="eastAsia" w:ascii="宋体" w:hAnsi="宋体" w:eastAsia="宋体" w:cs="宋体"/>
          <w:b/>
          <w:bCs/>
          <w:kern w:val="0"/>
          <w:sz w:val="21"/>
          <w:szCs w:val="21"/>
          <w:lang w:bidi="ar"/>
          <w:woUserID w:val="0"/>
        </w:rPr>
        <w:t>表</w:t>
      </w:r>
    </w:p>
    <w:p w14:paraId="0B84C7C8">
      <w:pPr>
        <w:pStyle w:val="14"/>
        <w:keepNext w:val="0"/>
        <w:keepLines w:val="0"/>
        <w:widowControl/>
        <w:suppressLineNumbers w:val="0"/>
        <w:kinsoku w:val="0"/>
        <w:snapToGrid w:val="0"/>
        <w:spacing w:before="54" w:beforeAutospacing="0" w:after="0" w:afterAutospacing="0" w:line="221" w:lineRule="auto"/>
        <w:ind w:right="0"/>
        <w:textAlignment w:val="baseline"/>
        <w:outlineLvl w:val="0"/>
        <w:rPr>
          <w:rFonts w:hint="eastAsia" w:ascii="宋体" w:hAnsi="宋体" w:eastAsia="宋体" w:cs="宋体"/>
          <w:b/>
          <w:bCs/>
          <w:color w:val="000000"/>
          <w:kern w:val="0"/>
          <w:sz w:val="21"/>
          <w:szCs w:val="21"/>
          <w:woUserID w:val="21"/>
        </w:rPr>
      </w:pPr>
    </w:p>
    <w:p w14:paraId="2194F62F">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见表J.1</w:t>
      </w:r>
      <w:r>
        <w:rPr>
          <w:rFonts w:hint="default" w:ascii="宋体" w:hAnsi="宋体" w:eastAsia="宋体" w:cs="宋体"/>
          <w:snapToGrid w:val="0"/>
          <w:color w:val="000000"/>
          <w:spacing w:val="-9"/>
          <w:kern w:val="0"/>
          <w:sz w:val="22"/>
          <w:szCs w:val="22"/>
          <w:lang w:val="en-US" w:eastAsia="en-US" w:bidi="ar-SA"/>
        </w:rPr>
        <w:t>。</w:t>
      </w:r>
    </w:p>
    <w:p w14:paraId="3473D001">
      <w:pPr>
        <w:pStyle w:val="79"/>
        <w:numPr>
          <w:ilvl w:val="0"/>
          <w:numId w:val="0"/>
        </w:numPr>
        <w:spacing w:before="156" w:after="156"/>
      </w:pPr>
      <w:r>
        <w:rPr>
          <w:rFonts w:hint="eastAsia" w:ascii="宋体" w:hAnsi="宋体" w:eastAsia="宋体" w:cs="宋体"/>
          <w:b/>
          <w:bCs/>
          <w:kern w:val="0"/>
          <w:sz w:val="21"/>
          <w:szCs w:val="21"/>
          <w:lang w:bidi="ar"/>
          <w:woUserID w:val="0"/>
        </w:rPr>
        <w:t xml:space="preserve">表J.1 </w:t>
      </w:r>
      <w:r>
        <w:rPr>
          <w:rFonts w:hint="eastAsia" w:ascii="宋体" w:hAnsi="宋体" w:eastAsia="宋体" w:cs="宋体"/>
          <w:b/>
          <w:bCs/>
          <w:color w:val="000000"/>
          <w:kern w:val="0"/>
          <w:sz w:val="21"/>
          <w:szCs w:val="21"/>
          <w:woUserID w:val="21"/>
        </w:rPr>
        <w:t xml:space="preserve"> 婴幼儿生长发育监测记录表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88"/>
        <w:gridCol w:w="601"/>
        <w:gridCol w:w="741"/>
        <w:gridCol w:w="871"/>
        <w:gridCol w:w="848"/>
        <w:gridCol w:w="777"/>
        <w:gridCol w:w="886"/>
        <w:gridCol w:w="960"/>
        <w:gridCol w:w="757"/>
        <w:gridCol w:w="758"/>
        <w:gridCol w:w="771"/>
        <w:gridCol w:w="786"/>
      </w:tblGrid>
      <w:tr w14:paraId="1AEF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7" w:hRule="atLeast"/>
          <w:jc w:val="center"/>
        </w:trPr>
        <w:tc>
          <w:tcPr>
            <w:tcW w:w="5000" w:type="pct"/>
            <w:gridSpan w:val="12"/>
            <w:tcBorders>
              <w:top w:val="single" w:color="auto" w:sz="4" w:space="0"/>
              <w:left w:val="single" w:color="auto" w:sz="4" w:space="0"/>
              <w:bottom w:val="single" w:color="auto" w:sz="4" w:space="0"/>
              <w:right w:val="single" w:color="auto" w:sz="4" w:space="0"/>
            </w:tcBorders>
            <w:shd w:val="clear" w:color="auto" w:fill="auto"/>
            <w:vAlign w:val="center"/>
          </w:tcPr>
          <w:p w14:paraId="37F5C8C3">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姓名：       性别：       出生日期：</w:t>
            </w:r>
          </w:p>
          <w:p w14:paraId="476BBCDE">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入托时间：</w:t>
            </w:r>
          </w:p>
          <w:p w14:paraId="185AE400">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监护人联系方式：</w:t>
            </w:r>
          </w:p>
        </w:tc>
      </w:tr>
      <w:tr w14:paraId="21C7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jc w:val="center"/>
        </w:trPr>
        <w:tc>
          <w:tcPr>
            <w:tcW w:w="317" w:type="pct"/>
            <w:vMerge w:val="restart"/>
            <w:tcBorders>
              <w:top w:val="nil"/>
              <w:left w:val="single" w:color="auto" w:sz="4" w:space="0"/>
              <w:bottom w:val="single" w:color="auto" w:sz="4" w:space="0"/>
              <w:right w:val="single" w:color="auto" w:sz="4" w:space="0"/>
            </w:tcBorders>
            <w:shd w:val="clear" w:color="auto" w:fill="auto"/>
            <w:vAlign w:val="center"/>
          </w:tcPr>
          <w:p w14:paraId="5B0ACDEC">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年龄</w:t>
            </w:r>
          </w:p>
        </w:tc>
        <w:tc>
          <w:tcPr>
            <w:tcW w:w="324" w:type="pct"/>
            <w:vMerge w:val="restart"/>
            <w:tcBorders>
              <w:top w:val="single" w:color="auto" w:sz="4" w:space="0"/>
              <w:left w:val="nil"/>
              <w:bottom w:val="single" w:color="auto" w:sz="4" w:space="0"/>
              <w:right w:val="single" w:color="auto" w:sz="4" w:space="0"/>
            </w:tcBorders>
            <w:shd w:val="clear" w:color="auto" w:fill="auto"/>
            <w:vAlign w:val="center"/>
          </w:tcPr>
          <w:p w14:paraId="6572233D">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检查日期</w:t>
            </w:r>
          </w:p>
        </w:tc>
        <w:tc>
          <w:tcPr>
            <w:tcW w:w="842" w:type="pct"/>
            <w:gridSpan w:val="2"/>
            <w:tcBorders>
              <w:top w:val="single" w:color="auto" w:sz="4" w:space="0"/>
              <w:left w:val="nil"/>
              <w:bottom w:val="single" w:color="auto" w:sz="4" w:space="0"/>
              <w:right w:val="single" w:color="auto" w:sz="4" w:space="0"/>
            </w:tcBorders>
            <w:shd w:val="clear" w:color="auto" w:fill="auto"/>
            <w:vAlign w:val="center"/>
          </w:tcPr>
          <w:p w14:paraId="11F4C64A">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体重</w:t>
            </w:r>
          </w:p>
        </w:tc>
        <w:tc>
          <w:tcPr>
            <w:tcW w:w="874" w:type="pct"/>
            <w:gridSpan w:val="2"/>
            <w:tcBorders>
              <w:top w:val="single" w:color="auto" w:sz="4" w:space="0"/>
              <w:left w:val="nil"/>
              <w:bottom w:val="single" w:color="auto" w:sz="4" w:space="0"/>
              <w:right w:val="single" w:color="auto" w:sz="4" w:space="0"/>
            </w:tcBorders>
            <w:shd w:val="clear" w:color="auto" w:fill="auto"/>
            <w:vAlign w:val="center"/>
          </w:tcPr>
          <w:p w14:paraId="6FE2DC29">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身高</w:t>
            </w:r>
          </w:p>
        </w:tc>
        <w:tc>
          <w:tcPr>
            <w:tcW w:w="992" w:type="pct"/>
            <w:gridSpan w:val="2"/>
            <w:tcBorders>
              <w:top w:val="single" w:color="auto" w:sz="4" w:space="0"/>
              <w:left w:val="nil"/>
              <w:bottom w:val="single" w:color="auto" w:sz="4" w:space="0"/>
              <w:right w:val="single" w:color="auto" w:sz="4" w:space="0"/>
            </w:tcBorders>
            <w:shd w:val="clear" w:color="auto" w:fill="auto"/>
            <w:vAlign w:val="center"/>
          </w:tcPr>
          <w:p w14:paraId="5ECDDDC3">
            <w:pPr>
              <w:pStyle w:val="180"/>
              <w:keepNext w:val="0"/>
              <w:keepLines w:val="0"/>
              <w:widowControl w:val="0"/>
              <w:suppressLineNumbers w:val="0"/>
              <w:rPr>
                <w:woUserID w:val="21"/>
              </w:rPr>
            </w:pPr>
            <w:r>
              <w:rPr>
                <w:rFonts w:hint="eastAsia" w:ascii="宋体" w:hAnsi="宋体" w:eastAsia="宋体" w:cs="宋体"/>
                <w:bCs/>
                <w:color w:val="000000"/>
                <w:kern w:val="0"/>
                <w:sz w:val="21"/>
                <w:szCs w:val="21"/>
                <w:woUserID w:val="21"/>
              </w:rPr>
              <w:t>血红蛋白</w:t>
            </w:r>
          </w:p>
        </w:tc>
        <w:tc>
          <w:tcPr>
            <w:tcW w:w="815" w:type="pct"/>
            <w:gridSpan w:val="2"/>
            <w:tcBorders>
              <w:top w:val="single" w:color="auto" w:sz="4" w:space="0"/>
              <w:left w:val="nil"/>
              <w:bottom w:val="single" w:color="auto" w:sz="4" w:space="0"/>
              <w:right w:val="single" w:color="auto" w:sz="4" w:space="0"/>
            </w:tcBorders>
            <w:shd w:val="clear" w:color="auto" w:fill="auto"/>
            <w:vAlign w:val="center"/>
          </w:tcPr>
          <w:p w14:paraId="1450C50C">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视力</w:t>
            </w:r>
          </w:p>
        </w:tc>
        <w:tc>
          <w:tcPr>
            <w:tcW w:w="414" w:type="pct"/>
            <w:vMerge w:val="restart"/>
            <w:tcBorders>
              <w:top w:val="single" w:color="auto" w:sz="4" w:space="0"/>
              <w:left w:val="nil"/>
              <w:bottom w:val="single" w:color="auto" w:sz="4" w:space="0"/>
              <w:right w:val="single" w:color="auto" w:sz="4" w:space="0"/>
            </w:tcBorders>
            <w:shd w:val="clear" w:color="auto" w:fill="auto"/>
            <w:vAlign w:val="center"/>
          </w:tcPr>
          <w:p w14:paraId="5097448B">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龋齿</w:t>
            </w:r>
          </w:p>
        </w:tc>
        <w:tc>
          <w:tcPr>
            <w:tcW w:w="418" w:type="pct"/>
            <w:vMerge w:val="restart"/>
            <w:tcBorders>
              <w:top w:val="single" w:color="auto" w:sz="4" w:space="0"/>
              <w:left w:val="nil"/>
              <w:bottom w:val="single" w:color="auto" w:sz="4" w:space="0"/>
              <w:right w:val="single" w:color="auto" w:sz="4" w:space="0"/>
            </w:tcBorders>
            <w:shd w:val="clear" w:color="auto" w:fill="auto"/>
            <w:vAlign w:val="center"/>
          </w:tcPr>
          <w:p w14:paraId="0566137B">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备注</w:t>
            </w:r>
          </w:p>
        </w:tc>
      </w:tr>
      <w:tr w14:paraId="4DAE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2" w:hRule="atLeast"/>
          <w:jc w:val="center"/>
        </w:trPr>
        <w:tc>
          <w:tcPr>
            <w:tcW w:w="317" w:type="pct"/>
            <w:vMerge w:val="continue"/>
            <w:tcBorders>
              <w:top w:val="nil"/>
              <w:left w:val="single" w:color="auto" w:sz="4" w:space="0"/>
              <w:bottom w:val="single" w:color="auto" w:sz="4" w:space="0"/>
              <w:right w:val="single" w:color="auto" w:sz="4" w:space="0"/>
            </w:tcBorders>
            <w:shd w:val="clear" w:color="auto" w:fill="auto"/>
            <w:vAlign w:val="center"/>
          </w:tcPr>
          <w:p w14:paraId="60612F42">
            <w:pPr>
              <w:pStyle w:val="180"/>
              <w:rPr>
                <w:rFonts w:hint="eastAsia" w:ascii="宋体"/>
                <w:sz w:val="24"/>
                <w:szCs w:val="24"/>
                <w:woUserID w:val="21"/>
              </w:rPr>
            </w:pPr>
          </w:p>
        </w:tc>
        <w:tc>
          <w:tcPr>
            <w:tcW w:w="324" w:type="pct"/>
            <w:vMerge w:val="continue"/>
            <w:tcBorders>
              <w:top w:val="single" w:color="auto" w:sz="4" w:space="0"/>
              <w:left w:val="nil"/>
              <w:bottom w:val="single" w:color="auto" w:sz="4" w:space="0"/>
              <w:right w:val="single" w:color="auto" w:sz="4" w:space="0"/>
            </w:tcBorders>
            <w:shd w:val="clear" w:color="auto" w:fill="auto"/>
            <w:vAlign w:val="center"/>
          </w:tcPr>
          <w:p w14:paraId="71512BB8">
            <w:pPr>
              <w:pStyle w:val="180"/>
              <w:rPr>
                <w:rFonts w:hint="eastAsia" w:ascii="宋体"/>
                <w:sz w:val="24"/>
                <w:szCs w:val="24"/>
                <w:woUserID w:val="21"/>
              </w:rPr>
            </w:pPr>
          </w:p>
        </w:tc>
        <w:tc>
          <w:tcPr>
            <w:tcW w:w="374" w:type="pct"/>
            <w:tcBorders>
              <w:top w:val="single" w:color="auto" w:sz="4" w:space="0"/>
              <w:left w:val="nil"/>
              <w:bottom w:val="single" w:color="auto" w:sz="4" w:space="0"/>
              <w:right w:val="single" w:color="auto" w:sz="4" w:space="0"/>
            </w:tcBorders>
            <w:shd w:val="clear" w:color="auto" w:fill="auto"/>
            <w:vAlign w:val="center"/>
          </w:tcPr>
          <w:p w14:paraId="4F807837">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体重（Kg)</w:t>
            </w:r>
          </w:p>
        </w:tc>
        <w:tc>
          <w:tcPr>
            <w:tcW w:w="467" w:type="pct"/>
            <w:tcBorders>
              <w:top w:val="single" w:color="auto" w:sz="4" w:space="0"/>
              <w:left w:val="nil"/>
              <w:bottom w:val="single" w:color="auto" w:sz="4" w:space="0"/>
              <w:right w:val="single" w:color="auto" w:sz="4" w:space="0"/>
            </w:tcBorders>
            <w:shd w:val="clear" w:color="auto" w:fill="auto"/>
            <w:vAlign w:val="center"/>
          </w:tcPr>
          <w:p w14:paraId="438697A7">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评价</w:t>
            </w:r>
          </w:p>
        </w:tc>
        <w:tc>
          <w:tcPr>
            <w:tcW w:w="456" w:type="pct"/>
            <w:tcBorders>
              <w:top w:val="single" w:color="auto" w:sz="4" w:space="0"/>
              <w:left w:val="nil"/>
              <w:bottom w:val="single" w:color="auto" w:sz="4" w:space="0"/>
              <w:right w:val="single" w:color="auto" w:sz="4" w:space="0"/>
            </w:tcBorders>
            <w:shd w:val="clear" w:color="auto" w:fill="auto"/>
            <w:vAlign w:val="center"/>
          </w:tcPr>
          <w:p w14:paraId="47878E47">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身高（cm)</w:t>
            </w:r>
          </w:p>
        </w:tc>
        <w:tc>
          <w:tcPr>
            <w:tcW w:w="418" w:type="pct"/>
            <w:tcBorders>
              <w:top w:val="single" w:color="auto" w:sz="4" w:space="0"/>
              <w:left w:val="nil"/>
              <w:bottom w:val="single" w:color="auto" w:sz="4" w:space="0"/>
              <w:right w:val="single" w:color="auto" w:sz="4" w:space="0"/>
            </w:tcBorders>
            <w:shd w:val="clear" w:color="auto" w:fill="auto"/>
            <w:vAlign w:val="center"/>
          </w:tcPr>
          <w:p w14:paraId="1DC8CF3F">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评价</w:t>
            </w:r>
          </w:p>
        </w:tc>
        <w:tc>
          <w:tcPr>
            <w:tcW w:w="476" w:type="pct"/>
            <w:tcBorders>
              <w:top w:val="single" w:color="auto" w:sz="4" w:space="0"/>
              <w:left w:val="nil"/>
              <w:bottom w:val="single" w:color="auto" w:sz="4" w:space="0"/>
              <w:right w:val="single" w:color="auto" w:sz="4" w:space="0"/>
            </w:tcBorders>
            <w:shd w:val="clear" w:color="auto" w:fill="auto"/>
            <w:vAlign w:val="center"/>
          </w:tcPr>
          <w:p w14:paraId="77DBB9CF">
            <w:pPr>
              <w:pStyle w:val="180"/>
              <w:keepNext w:val="0"/>
              <w:keepLines w:val="0"/>
              <w:widowControl w:val="0"/>
              <w:suppressLineNumbers w:val="0"/>
              <w:rPr>
                <w:woUserID w:val="21"/>
              </w:rPr>
            </w:pPr>
            <w:r>
              <w:rPr>
                <w:rFonts w:hint="eastAsia" w:ascii="宋体" w:hAnsi="宋体" w:eastAsia="宋体" w:cs="宋体"/>
                <w:bCs/>
                <w:color w:val="000000"/>
                <w:kern w:val="0"/>
                <w:sz w:val="21"/>
                <w:szCs w:val="21"/>
                <w:woUserID w:val="21"/>
              </w:rPr>
              <w:t>血红蛋白</w:t>
            </w:r>
            <w:r>
              <w:rPr>
                <w:rFonts w:hint="eastAsia" w:ascii="宋体" w:hAnsi="宋体" w:eastAsia="宋体" w:cs="宋体"/>
                <w:color w:val="000000"/>
                <w:kern w:val="0"/>
                <w:sz w:val="21"/>
                <w:szCs w:val="21"/>
                <w:woUserID w:val="21"/>
              </w:rPr>
              <w:t>（g/L)</w:t>
            </w:r>
          </w:p>
        </w:tc>
        <w:tc>
          <w:tcPr>
            <w:tcW w:w="515" w:type="pct"/>
            <w:tcBorders>
              <w:top w:val="single" w:color="auto" w:sz="4" w:space="0"/>
              <w:left w:val="nil"/>
              <w:bottom w:val="single" w:color="auto" w:sz="4" w:space="0"/>
              <w:right w:val="single" w:color="auto" w:sz="4" w:space="0"/>
            </w:tcBorders>
            <w:shd w:val="clear" w:color="auto" w:fill="auto"/>
            <w:vAlign w:val="center"/>
          </w:tcPr>
          <w:p w14:paraId="33290A4F">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评价</w:t>
            </w:r>
          </w:p>
        </w:tc>
        <w:tc>
          <w:tcPr>
            <w:tcW w:w="407" w:type="pct"/>
            <w:tcBorders>
              <w:top w:val="single" w:color="auto" w:sz="4" w:space="0"/>
              <w:left w:val="nil"/>
              <w:bottom w:val="single" w:color="auto" w:sz="4" w:space="0"/>
              <w:right w:val="single" w:color="auto" w:sz="4" w:space="0"/>
            </w:tcBorders>
            <w:shd w:val="clear" w:color="auto" w:fill="auto"/>
            <w:vAlign w:val="center"/>
          </w:tcPr>
          <w:p w14:paraId="50D39F22">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视力</w:t>
            </w:r>
          </w:p>
        </w:tc>
        <w:tc>
          <w:tcPr>
            <w:tcW w:w="408" w:type="pct"/>
            <w:tcBorders>
              <w:top w:val="single" w:color="auto" w:sz="4" w:space="0"/>
              <w:left w:val="nil"/>
              <w:bottom w:val="single" w:color="auto" w:sz="4" w:space="0"/>
              <w:right w:val="single" w:color="auto" w:sz="4" w:space="0"/>
            </w:tcBorders>
            <w:shd w:val="clear" w:color="auto" w:fill="auto"/>
            <w:vAlign w:val="center"/>
          </w:tcPr>
          <w:p w14:paraId="1CCA7F96">
            <w:pPr>
              <w:pStyle w:val="180"/>
              <w:keepNext w:val="0"/>
              <w:keepLines w:val="0"/>
              <w:widowControl w:val="0"/>
              <w:suppressLineNumbers w:val="0"/>
              <w:rPr>
                <w:woUserID w:val="21"/>
              </w:rPr>
            </w:pPr>
            <w:r>
              <w:rPr>
                <w:rFonts w:hint="eastAsia" w:ascii="宋体" w:hAnsi="宋体" w:eastAsia="宋体" w:cs="宋体"/>
                <w:color w:val="000000"/>
                <w:kern w:val="0"/>
                <w:sz w:val="21"/>
                <w:szCs w:val="21"/>
                <w:woUserID w:val="21"/>
              </w:rPr>
              <w:t>评价</w:t>
            </w:r>
          </w:p>
        </w:tc>
        <w:tc>
          <w:tcPr>
            <w:tcW w:w="414" w:type="pct"/>
            <w:vMerge w:val="continue"/>
            <w:tcBorders>
              <w:top w:val="single" w:color="auto" w:sz="4" w:space="0"/>
              <w:left w:val="nil"/>
              <w:bottom w:val="single" w:color="auto" w:sz="4" w:space="0"/>
              <w:right w:val="single" w:color="auto" w:sz="4" w:space="0"/>
            </w:tcBorders>
            <w:shd w:val="clear" w:color="auto" w:fill="auto"/>
            <w:vAlign w:val="center"/>
          </w:tcPr>
          <w:p w14:paraId="79AA60D3">
            <w:pPr>
              <w:pStyle w:val="180"/>
              <w:rPr>
                <w:rFonts w:hint="eastAsia" w:ascii="宋体"/>
                <w:sz w:val="24"/>
                <w:szCs w:val="24"/>
                <w:woUserID w:val="21"/>
              </w:rPr>
            </w:pPr>
          </w:p>
        </w:tc>
        <w:tc>
          <w:tcPr>
            <w:tcW w:w="418" w:type="pct"/>
            <w:vMerge w:val="continue"/>
            <w:tcBorders>
              <w:top w:val="single" w:color="auto" w:sz="4" w:space="0"/>
              <w:left w:val="nil"/>
              <w:bottom w:val="single" w:color="auto" w:sz="4" w:space="0"/>
              <w:right w:val="single" w:color="auto" w:sz="4" w:space="0"/>
            </w:tcBorders>
            <w:shd w:val="clear" w:color="auto" w:fill="auto"/>
            <w:vAlign w:val="center"/>
          </w:tcPr>
          <w:p w14:paraId="11EFA332">
            <w:pPr>
              <w:pStyle w:val="180"/>
              <w:rPr>
                <w:rFonts w:hint="eastAsia" w:ascii="宋体"/>
                <w:sz w:val="24"/>
                <w:szCs w:val="24"/>
                <w:woUserID w:val="21"/>
              </w:rPr>
            </w:pPr>
          </w:p>
        </w:tc>
      </w:tr>
      <w:tr w14:paraId="46C7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7" w:hRule="atLeast"/>
          <w:jc w:val="center"/>
        </w:trPr>
        <w:tc>
          <w:tcPr>
            <w:tcW w:w="317" w:type="pct"/>
            <w:tcBorders>
              <w:top w:val="single" w:color="auto" w:sz="4" w:space="0"/>
              <w:left w:val="single" w:color="auto" w:sz="4" w:space="0"/>
              <w:bottom w:val="single" w:color="auto" w:sz="4" w:space="0"/>
              <w:right w:val="single" w:color="auto" w:sz="4" w:space="0"/>
            </w:tcBorders>
            <w:shd w:val="clear" w:color="auto" w:fill="auto"/>
            <w:vAlign w:val="center"/>
          </w:tcPr>
          <w:p w14:paraId="4EE37616">
            <w:pPr>
              <w:pStyle w:val="180"/>
              <w:keepNext w:val="0"/>
              <w:keepLines w:val="0"/>
              <w:widowControl w:val="0"/>
              <w:suppressLineNumbers w:val="0"/>
              <w:rPr>
                <w:woUserID w:val="21"/>
              </w:rPr>
            </w:pPr>
          </w:p>
        </w:tc>
        <w:tc>
          <w:tcPr>
            <w:tcW w:w="324" w:type="pct"/>
            <w:tcBorders>
              <w:top w:val="single" w:color="auto" w:sz="4" w:space="0"/>
              <w:left w:val="nil"/>
              <w:bottom w:val="single" w:color="auto" w:sz="4" w:space="0"/>
              <w:right w:val="single" w:color="auto" w:sz="4" w:space="0"/>
            </w:tcBorders>
            <w:shd w:val="clear" w:color="auto" w:fill="auto"/>
            <w:vAlign w:val="center"/>
          </w:tcPr>
          <w:p w14:paraId="1410FE6C">
            <w:pPr>
              <w:pStyle w:val="180"/>
              <w:keepNext w:val="0"/>
              <w:keepLines w:val="0"/>
              <w:widowControl w:val="0"/>
              <w:suppressLineNumbers w:val="0"/>
              <w:rPr>
                <w:woUserID w:val="21"/>
              </w:rPr>
            </w:pPr>
          </w:p>
        </w:tc>
        <w:tc>
          <w:tcPr>
            <w:tcW w:w="374" w:type="pct"/>
            <w:tcBorders>
              <w:top w:val="single" w:color="auto" w:sz="4" w:space="0"/>
              <w:left w:val="nil"/>
              <w:bottom w:val="single" w:color="auto" w:sz="4" w:space="0"/>
              <w:right w:val="single" w:color="auto" w:sz="4" w:space="0"/>
            </w:tcBorders>
            <w:shd w:val="clear" w:color="auto" w:fill="auto"/>
            <w:vAlign w:val="center"/>
          </w:tcPr>
          <w:p w14:paraId="52841F00">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24309A5A">
            <w:pPr>
              <w:pStyle w:val="180"/>
              <w:keepNext w:val="0"/>
              <w:keepLines w:val="0"/>
              <w:widowControl w:val="0"/>
              <w:suppressLineNumbers w:val="0"/>
              <w:rPr>
                <w:woUserID w:val="21"/>
              </w:rPr>
            </w:pPr>
          </w:p>
        </w:tc>
        <w:tc>
          <w:tcPr>
            <w:tcW w:w="456" w:type="pct"/>
            <w:tcBorders>
              <w:top w:val="single" w:color="auto" w:sz="4" w:space="0"/>
              <w:left w:val="nil"/>
              <w:bottom w:val="single" w:color="auto" w:sz="4" w:space="0"/>
              <w:right w:val="single" w:color="auto" w:sz="4" w:space="0"/>
            </w:tcBorders>
            <w:shd w:val="clear" w:color="auto" w:fill="auto"/>
            <w:vAlign w:val="center"/>
          </w:tcPr>
          <w:p w14:paraId="0C16449B">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5CD65ACF">
            <w:pPr>
              <w:pStyle w:val="180"/>
              <w:keepNext w:val="0"/>
              <w:keepLines w:val="0"/>
              <w:widowControl w:val="0"/>
              <w:suppressLineNumbers w:val="0"/>
              <w:rPr>
                <w:woUserID w:val="21"/>
              </w:rPr>
            </w:pPr>
          </w:p>
        </w:tc>
        <w:tc>
          <w:tcPr>
            <w:tcW w:w="476" w:type="pct"/>
            <w:tcBorders>
              <w:top w:val="single" w:color="auto" w:sz="4" w:space="0"/>
              <w:left w:val="nil"/>
              <w:bottom w:val="single" w:color="auto" w:sz="4" w:space="0"/>
              <w:right w:val="single" w:color="auto" w:sz="4" w:space="0"/>
            </w:tcBorders>
            <w:shd w:val="clear" w:color="auto" w:fill="auto"/>
            <w:vAlign w:val="center"/>
          </w:tcPr>
          <w:p w14:paraId="74C9B54E">
            <w:pPr>
              <w:pStyle w:val="180"/>
              <w:keepNext w:val="0"/>
              <w:keepLines w:val="0"/>
              <w:widowControl w:val="0"/>
              <w:suppressLineNumbers w:val="0"/>
              <w:rPr>
                <w:woUserID w:val="21"/>
              </w:rPr>
            </w:pPr>
          </w:p>
        </w:tc>
        <w:tc>
          <w:tcPr>
            <w:tcW w:w="515" w:type="pct"/>
            <w:tcBorders>
              <w:top w:val="single" w:color="auto" w:sz="4" w:space="0"/>
              <w:left w:val="nil"/>
              <w:bottom w:val="single" w:color="auto" w:sz="4" w:space="0"/>
              <w:right w:val="single" w:color="auto" w:sz="4" w:space="0"/>
            </w:tcBorders>
            <w:shd w:val="clear" w:color="auto" w:fill="auto"/>
            <w:vAlign w:val="center"/>
          </w:tcPr>
          <w:p w14:paraId="26BC5757">
            <w:pPr>
              <w:pStyle w:val="180"/>
              <w:keepNext w:val="0"/>
              <w:keepLines w:val="0"/>
              <w:widowControl w:val="0"/>
              <w:suppressLineNumbers w:val="0"/>
              <w:rPr>
                <w:woUserID w:val="21"/>
              </w:rPr>
            </w:pPr>
          </w:p>
        </w:tc>
        <w:tc>
          <w:tcPr>
            <w:tcW w:w="407" w:type="pct"/>
            <w:tcBorders>
              <w:top w:val="single" w:color="auto" w:sz="4" w:space="0"/>
              <w:left w:val="nil"/>
              <w:bottom w:val="single" w:color="auto" w:sz="4" w:space="0"/>
              <w:right w:val="single" w:color="auto" w:sz="4" w:space="0"/>
            </w:tcBorders>
            <w:shd w:val="clear" w:color="auto" w:fill="auto"/>
            <w:vAlign w:val="center"/>
          </w:tcPr>
          <w:p w14:paraId="4FADB6B5">
            <w:pPr>
              <w:pStyle w:val="180"/>
              <w:keepNext w:val="0"/>
              <w:keepLines w:val="0"/>
              <w:widowControl w:val="0"/>
              <w:suppressLineNumbers w:val="0"/>
              <w:rPr>
                <w:woUserID w:val="21"/>
              </w:rPr>
            </w:pPr>
          </w:p>
        </w:tc>
        <w:tc>
          <w:tcPr>
            <w:tcW w:w="408" w:type="pct"/>
            <w:tcBorders>
              <w:top w:val="single" w:color="auto" w:sz="4" w:space="0"/>
              <w:left w:val="nil"/>
              <w:bottom w:val="single" w:color="auto" w:sz="4" w:space="0"/>
              <w:right w:val="single" w:color="auto" w:sz="4" w:space="0"/>
            </w:tcBorders>
            <w:shd w:val="clear" w:color="auto" w:fill="auto"/>
            <w:vAlign w:val="center"/>
          </w:tcPr>
          <w:p w14:paraId="4503467B">
            <w:pPr>
              <w:pStyle w:val="180"/>
              <w:keepNext w:val="0"/>
              <w:keepLines w:val="0"/>
              <w:widowControl w:val="0"/>
              <w:suppressLineNumbers w:val="0"/>
              <w:rPr>
                <w:woUserID w:val="21"/>
              </w:rPr>
            </w:pPr>
          </w:p>
        </w:tc>
        <w:tc>
          <w:tcPr>
            <w:tcW w:w="414" w:type="pct"/>
            <w:tcBorders>
              <w:top w:val="single" w:color="auto" w:sz="4" w:space="0"/>
              <w:left w:val="nil"/>
              <w:bottom w:val="single" w:color="auto" w:sz="4" w:space="0"/>
              <w:right w:val="single" w:color="auto" w:sz="4" w:space="0"/>
            </w:tcBorders>
            <w:shd w:val="clear" w:color="auto" w:fill="auto"/>
            <w:vAlign w:val="center"/>
          </w:tcPr>
          <w:p w14:paraId="08C9AAFB">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0B798A0C">
            <w:pPr>
              <w:pStyle w:val="180"/>
              <w:keepNext w:val="0"/>
              <w:keepLines w:val="0"/>
              <w:widowControl w:val="0"/>
              <w:suppressLineNumbers w:val="0"/>
              <w:rPr>
                <w:woUserID w:val="21"/>
              </w:rPr>
            </w:pPr>
          </w:p>
        </w:tc>
      </w:tr>
      <w:tr w14:paraId="4915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7" w:hRule="atLeast"/>
          <w:jc w:val="center"/>
        </w:trPr>
        <w:tc>
          <w:tcPr>
            <w:tcW w:w="317" w:type="pct"/>
            <w:tcBorders>
              <w:top w:val="single" w:color="auto" w:sz="4" w:space="0"/>
              <w:left w:val="single" w:color="auto" w:sz="4" w:space="0"/>
              <w:bottom w:val="single" w:color="auto" w:sz="4" w:space="0"/>
              <w:right w:val="single" w:color="auto" w:sz="4" w:space="0"/>
            </w:tcBorders>
            <w:shd w:val="clear" w:color="auto" w:fill="auto"/>
            <w:vAlign w:val="center"/>
          </w:tcPr>
          <w:p w14:paraId="32C1587F">
            <w:pPr>
              <w:pStyle w:val="180"/>
              <w:keepNext w:val="0"/>
              <w:keepLines w:val="0"/>
              <w:widowControl w:val="0"/>
              <w:suppressLineNumbers w:val="0"/>
              <w:rPr>
                <w:woUserID w:val="21"/>
              </w:rPr>
            </w:pPr>
          </w:p>
        </w:tc>
        <w:tc>
          <w:tcPr>
            <w:tcW w:w="324" w:type="pct"/>
            <w:tcBorders>
              <w:top w:val="single" w:color="auto" w:sz="4" w:space="0"/>
              <w:left w:val="nil"/>
              <w:bottom w:val="single" w:color="auto" w:sz="4" w:space="0"/>
              <w:right w:val="single" w:color="auto" w:sz="4" w:space="0"/>
            </w:tcBorders>
            <w:shd w:val="clear" w:color="auto" w:fill="auto"/>
            <w:vAlign w:val="center"/>
          </w:tcPr>
          <w:p w14:paraId="4089687A">
            <w:pPr>
              <w:pStyle w:val="180"/>
              <w:keepNext w:val="0"/>
              <w:keepLines w:val="0"/>
              <w:widowControl w:val="0"/>
              <w:suppressLineNumbers w:val="0"/>
              <w:rPr>
                <w:woUserID w:val="21"/>
              </w:rPr>
            </w:pPr>
          </w:p>
        </w:tc>
        <w:tc>
          <w:tcPr>
            <w:tcW w:w="374" w:type="pct"/>
            <w:tcBorders>
              <w:top w:val="single" w:color="auto" w:sz="4" w:space="0"/>
              <w:left w:val="nil"/>
              <w:bottom w:val="single" w:color="auto" w:sz="4" w:space="0"/>
              <w:right w:val="single" w:color="auto" w:sz="4" w:space="0"/>
            </w:tcBorders>
            <w:shd w:val="clear" w:color="auto" w:fill="auto"/>
            <w:vAlign w:val="center"/>
          </w:tcPr>
          <w:p w14:paraId="60A133DD">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6BE737EB">
            <w:pPr>
              <w:pStyle w:val="180"/>
              <w:keepNext w:val="0"/>
              <w:keepLines w:val="0"/>
              <w:widowControl w:val="0"/>
              <w:suppressLineNumbers w:val="0"/>
              <w:rPr>
                <w:woUserID w:val="21"/>
              </w:rPr>
            </w:pPr>
          </w:p>
        </w:tc>
        <w:tc>
          <w:tcPr>
            <w:tcW w:w="456" w:type="pct"/>
            <w:tcBorders>
              <w:top w:val="single" w:color="auto" w:sz="4" w:space="0"/>
              <w:left w:val="nil"/>
              <w:bottom w:val="single" w:color="auto" w:sz="4" w:space="0"/>
              <w:right w:val="single" w:color="auto" w:sz="4" w:space="0"/>
            </w:tcBorders>
            <w:shd w:val="clear" w:color="auto" w:fill="auto"/>
            <w:vAlign w:val="center"/>
          </w:tcPr>
          <w:p w14:paraId="6AC31928">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7CFC067E">
            <w:pPr>
              <w:pStyle w:val="180"/>
              <w:keepNext w:val="0"/>
              <w:keepLines w:val="0"/>
              <w:widowControl w:val="0"/>
              <w:suppressLineNumbers w:val="0"/>
              <w:rPr>
                <w:woUserID w:val="21"/>
              </w:rPr>
            </w:pPr>
          </w:p>
        </w:tc>
        <w:tc>
          <w:tcPr>
            <w:tcW w:w="476" w:type="pct"/>
            <w:tcBorders>
              <w:top w:val="single" w:color="auto" w:sz="4" w:space="0"/>
              <w:left w:val="nil"/>
              <w:bottom w:val="single" w:color="auto" w:sz="4" w:space="0"/>
              <w:right w:val="single" w:color="auto" w:sz="4" w:space="0"/>
            </w:tcBorders>
            <w:shd w:val="clear" w:color="auto" w:fill="auto"/>
            <w:vAlign w:val="center"/>
          </w:tcPr>
          <w:p w14:paraId="204D0DE2">
            <w:pPr>
              <w:pStyle w:val="180"/>
              <w:keepNext w:val="0"/>
              <w:keepLines w:val="0"/>
              <w:widowControl w:val="0"/>
              <w:suppressLineNumbers w:val="0"/>
              <w:rPr>
                <w:woUserID w:val="21"/>
              </w:rPr>
            </w:pPr>
          </w:p>
        </w:tc>
        <w:tc>
          <w:tcPr>
            <w:tcW w:w="515" w:type="pct"/>
            <w:tcBorders>
              <w:top w:val="single" w:color="auto" w:sz="4" w:space="0"/>
              <w:left w:val="nil"/>
              <w:bottom w:val="single" w:color="auto" w:sz="4" w:space="0"/>
              <w:right w:val="single" w:color="auto" w:sz="4" w:space="0"/>
            </w:tcBorders>
            <w:shd w:val="clear" w:color="auto" w:fill="auto"/>
            <w:vAlign w:val="center"/>
          </w:tcPr>
          <w:p w14:paraId="4C0132D3">
            <w:pPr>
              <w:pStyle w:val="180"/>
              <w:keepNext w:val="0"/>
              <w:keepLines w:val="0"/>
              <w:widowControl w:val="0"/>
              <w:suppressLineNumbers w:val="0"/>
              <w:rPr>
                <w:woUserID w:val="21"/>
              </w:rPr>
            </w:pPr>
          </w:p>
        </w:tc>
        <w:tc>
          <w:tcPr>
            <w:tcW w:w="407" w:type="pct"/>
            <w:tcBorders>
              <w:top w:val="single" w:color="auto" w:sz="4" w:space="0"/>
              <w:left w:val="nil"/>
              <w:bottom w:val="single" w:color="auto" w:sz="4" w:space="0"/>
              <w:right w:val="single" w:color="auto" w:sz="4" w:space="0"/>
            </w:tcBorders>
            <w:shd w:val="clear" w:color="auto" w:fill="auto"/>
            <w:vAlign w:val="center"/>
          </w:tcPr>
          <w:p w14:paraId="11CED5FB">
            <w:pPr>
              <w:pStyle w:val="180"/>
              <w:keepNext w:val="0"/>
              <w:keepLines w:val="0"/>
              <w:widowControl w:val="0"/>
              <w:suppressLineNumbers w:val="0"/>
              <w:rPr>
                <w:woUserID w:val="21"/>
              </w:rPr>
            </w:pPr>
          </w:p>
        </w:tc>
        <w:tc>
          <w:tcPr>
            <w:tcW w:w="408" w:type="pct"/>
            <w:tcBorders>
              <w:top w:val="single" w:color="auto" w:sz="4" w:space="0"/>
              <w:left w:val="nil"/>
              <w:bottom w:val="single" w:color="auto" w:sz="4" w:space="0"/>
              <w:right w:val="single" w:color="auto" w:sz="4" w:space="0"/>
            </w:tcBorders>
            <w:shd w:val="clear" w:color="auto" w:fill="auto"/>
            <w:vAlign w:val="center"/>
          </w:tcPr>
          <w:p w14:paraId="38F39C2E">
            <w:pPr>
              <w:pStyle w:val="180"/>
              <w:keepNext w:val="0"/>
              <w:keepLines w:val="0"/>
              <w:widowControl w:val="0"/>
              <w:suppressLineNumbers w:val="0"/>
              <w:rPr>
                <w:woUserID w:val="21"/>
              </w:rPr>
            </w:pPr>
          </w:p>
        </w:tc>
        <w:tc>
          <w:tcPr>
            <w:tcW w:w="414" w:type="pct"/>
            <w:tcBorders>
              <w:top w:val="single" w:color="auto" w:sz="4" w:space="0"/>
              <w:left w:val="nil"/>
              <w:bottom w:val="single" w:color="auto" w:sz="4" w:space="0"/>
              <w:right w:val="single" w:color="auto" w:sz="4" w:space="0"/>
            </w:tcBorders>
            <w:shd w:val="clear" w:color="auto" w:fill="auto"/>
            <w:vAlign w:val="center"/>
          </w:tcPr>
          <w:p w14:paraId="42974009">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1D9CA2A2">
            <w:pPr>
              <w:pStyle w:val="180"/>
              <w:keepNext w:val="0"/>
              <w:keepLines w:val="0"/>
              <w:widowControl w:val="0"/>
              <w:suppressLineNumbers w:val="0"/>
              <w:rPr>
                <w:woUserID w:val="21"/>
              </w:rPr>
            </w:pPr>
          </w:p>
        </w:tc>
      </w:tr>
      <w:tr w14:paraId="38C5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7" w:hRule="atLeast"/>
          <w:jc w:val="center"/>
        </w:trPr>
        <w:tc>
          <w:tcPr>
            <w:tcW w:w="317" w:type="pct"/>
            <w:tcBorders>
              <w:top w:val="single" w:color="auto" w:sz="4" w:space="0"/>
              <w:left w:val="single" w:color="auto" w:sz="4" w:space="0"/>
              <w:bottom w:val="single" w:color="auto" w:sz="4" w:space="0"/>
              <w:right w:val="single" w:color="auto" w:sz="4" w:space="0"/>
            </w:tcBorders>
            <w:shd w:val="clear" w:color="auto" w:fill="auto"/>
            <w:vAlign w:val="center"/>
          </w:tcPr>
          <w:p w14:paraId="73925634">
            <w:pPr>
              <w:pStyle w:val="180"/>
              <w:keepNext w:val="0"/>
              <w:keepLines w:val="0"/>
              <w:widowControl w:val="0"/>
              <w:suppressLineNumbers w:val="0"/>
              <w:rPr>
                <w:woUserID w:val="21"/>
              </w:rPr>
            </w:pPr>
          </w:p>
        </w:tc>
        <w:tc>
          <w:tcPr>
            <w:tcW w:w="324" w:type="pct"/>
            <w:tcBorders>
              <w:top w:val="single" w:color="auto" w:sz="4" w:space="0"/>
              <w:left w:val="nil"/>
              <w:bottom w:val="single" w:color="auto" w:sz="4" w:space="0"/>
              <w:right w:val="single" w:color="auto" w:sz="4" w:space="0"/>
            </w:tcBorders>
            <w:shd w:val="clear" w:color="auto" w:fill="auto"/>
            <w:vAlign w:val="center"/>
          </w:tcPr>
          <w:p w14:paraId="6E37925D">
            <w:pPr>
              <w:pStyle w:val="180"/>
              <w:keepNext w:val="0"/>
              <w:keepLines w:val="0"/>
              <w:widowControl w:val="0"/>
              <w:suppressLineNumbers w:val="0"/>
              <w:rPr>
                <w:woUserID w:val="21"/>
              </w:rPr>
            </w:pPr>
          </w:p>
        </w:tc>
        <w:tc>
          <w:tcPr>
            <w:tcW w:w="374" w:type="pct"/>
            <w:tcBorders>
              <w:top w:val="single" w:color="auto" w:sz="4" w:space="0"/>
              <w:left w:val="nil"/>
              <w:bottom w:val="single" w:color="auto" w:sz="4" w:space="0"/>
              <w:right w:val="single" w:color="auto" w:sz="4" w:space="0"/>
            </w:tcBorders>
            <w:shd w:val="clear" w:color="auto" w:fill="auto"/>
            <w:vAlign w:val="center"/>
          </w:tcPr>
          <w:p w14:paraId="7E5736D3">
            <w:pPr>
              <w:pStyle w:val="180"/>
              <w:keepNext w:val="0"/>
              <w:keepLines w:val="0"/>
              <w:widowControl w:val="0"/>
              <w:suppressLineNumbers w:val="0"/>
              <w:rPr>
                <w:woUserID w:val="21"/>
              </w:rPr>
            </w:pPr>
          </w:p>
        </w:tc>
        <w:tc>
          <w:tcPr>
            <w:tcW w:w="467" w:type="pct"/>
            <w:tcBorders>
              <w:top w:val="single" w:color="auto" w:sz="4" w:space="0"/>
              <w:left w:val="nil"/>
              <w:bottom w:val="single" w:color="auto" w:sz="4" w:space="0"/>
              <w:right w:val="single" w:color="auto" w:sz="4" w:space="0"/>
            </w:tcBorders>
            <w:shd w:val="clear" w:color="auto" w:fill="auto"/>
            <w:vAlign w:val="center"/>
          </w:tcPr>
          <w:p w14:paraId="5BA45449">
            <w:pPr>
              <w:pStyle w:val="180"/>
              <w:keepNext w:val="0"/>
              <w:keepLines w:val="0"/>
              <w:widowControl w:val="0"/>
              <w:suppressLineNumbers w:val="0"/>
              <w:rPr>
                <w:woUserID w:val="21"/>
              </w:rPr>
            </w:pPr>
          </w:p>
        </w:tc>
        <w:tc>
          <w:tcPr>
            <w:tcW w:w="456" w:type="pct"/>
            <w:tcBorders>
              <w:top w:val="single" w:color="auto" w:sz="4" w:space="0"/>
              <w:left w:val="nil"/>
              <w:bottom w:val="single" w:color="auto" w:sz="4" w:space="0"/>
              <w:right w:val="single" w:color="auto" w:sz="4" w:space="0"/>
            </w:tcBorders>
            <w:shd w:val="clear" w:color="auto" w:fill="auto"/>
            <w:vAlign w:val="center"/>
          </w:tcPr>
          <w:p w14:paraId="2A5825C8">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4737F796">
            <w:pPr>
              <w:pStyle w:val="180"/>
              <w:keepNext w:val="0"/>
              <w:keepLines w:val="0"/>
              <w:widowControl w:val="0"/>
              <w:suppressLineNumbers w:val="0"/>
              <w:rPr>
                <w:woUserID w:val="21"/>
              </w:rPr>
            </w:pPr>
          </w:p>
        </w:tc>
        <w:tc>
          <w:tcPr>
            <w:tcW w:w="476" w:type="pct"/>
            <w:tcBorders>
              <w:top w:val="single" w:color="auto" w:sz="4" w:space="0"/>
              <w:left w:val="nil"/>
              <w:bottom w:val="single" w:color="auto" w:sz="4" w:space="0"/>
              <w:right w:val="single" w:color="auto" w:sz="4" w:space="0"/>
            </w:tcBorders>
            <w:shd w:val="clear" w:color="auto" w:fill="auto"/>
            <w:vAlign w:val="center"/>
          </w:tcPr>
          <w:p w14:paraId="366B5A6F">
            <w:pPr>
              <w:pStyle w:val="180"/>
              <w:keepNext w:val="0"/>
              <w:keepLines w:val="0"/>
              <w:widowControl w:val="0"/>
              <w:suppressLineNumbers w:val="0"/>
              <w:rPr>
                <w:woUserID w:val="21"/>
              </w:rPr>
            </w:pPr>
          </w:p>
        </w:tc>
        <w:tc>
          <w:tcPr>
            <w:tcW w:w="515" w:type="pct"/>
            <w:tcBorders>
              <w:top w:val="single" w:color="auto" w:sz="4" w:space="0"/>
              <w:left w:val="nil"/>
              <w:bottom w:val="single" w:color="auto" w:sz="4" w:space="0"/>
              <w:right w:val="single" w:color="auto" w:sz="4" w:space="0"/>
            </w:tcBorders>
            <w:shd w:val="clear" w:color="auto" w:fill="auto"/>
            <w:vAlign w:val="center"/>
          </w:tcPr>
          <w:p w14:paraId="37202CF7">
            <w:pPr>
              <w:pStyle w:val="180"/>
              <w:keepNext w:val="0"/>
              <w:keepLines w:val="0"/>
              <w:widowControl w:val="0"/>
              <w:suppressLineNumbers w:val="0"/>
              <w:rPr>
                <w:woUserID w:val="21"/>
              </w:rPr>
            </w:pPr>
          </w:p>
        </w:tc>
        <w:tc>
          <w:tcPr>
            <w:tcW w:w="407" w:type="pct"/>
            <w:tcBorders>
              <w:top w:val="single" w:color="auto" w:sz="4" w:space="0"/>
              <w:left w:val="nil"/>
              <w:bottom w:val="single" w:color="auto" w:sz="4" w:space="0"/>
              <w:right w:val="single" w:color="auto" w:sz="4" w:space="0"/>
            </w:tcBorders>
            <w:shd w:val="clear" w:color="auto" w:fill="auto"/>
            <w:vAlign w:val="center"/>
          </w:tcPr>
          <w:p w14:paraId="66F6AECA">
            <w:pPr>
              <w:pStyle w:val="180"/>
              <w:keepNext w:val="0"/>
              <w:keepLines w:val="0"/>
              <w:widowControl w:val="0"/>
              <w:suppressLineNumbers w:val="0"/>
              <w:rPr>
                <w:woUserID w:val="21"/>
              </w:rPr>
            </w:pPr>
          </w:p>
        </w:tc>
        <w:tc>
          <w:tcPr>
            <w:tcW w:w="408" w:type="pct"/>
            <w:tcBorders>
              <w:top w:val="single" w:color="auto" w:sz="4" w:space="0"/>
              <w:left w:val="nil"/>
              <w:bottom w:val="single" w:color="auto" w:sz="4" w:space="0"/>
              <w:right w:val="single" w:color="auto" w:sz="4" w:space="0"/>
            </w:tcBorders>
            <w:shd w:val="clear" w:color="auto" w:fill="auto"/>
            <w:vAlign w:val="center"/>
          </w:tcPr>
          <w:p w14:paraId="76424C39">
            <w:pPr>
              <w:pStyle w:val="180"/>
              <w:keepNext w:val="0"/>
              <w:keepLines w:val="0"/>
              <w:widowControl w:val="0"/>
              <w:suppressLineNumbers w:val="0"/>
              <w:rPr>
                <w:woUserID w:val="21"/>
              </w:rPr>
            </w:pPr>
          </w:p>
        </w:tc>
        <w:tc>
          <w:tcPr>
            <w:tcW w:w="414" w:type="pct"/>
            <w:tcBorders>
              <w:top w:val="single" w:color="auto" w:sz="4" w:space="0"/>
              <w:left w:val="nil"/>
              <w:bottom w:val="single" w:color="auto" w:sz="4" w:space="0"/>
              <w:right w:val="single" w:color="auto" w:sz="4" w:space="0"/>
            </w:tcBorders>
            <w:shd w:val="clear" w:color="auto" w:fill="auto"/>
            <w:vAlign w:val="center"/>
          </w:tcPr>
          <w:p w14:paraId="7CCEF586">
            <w:pPr>
              <w:pStyle w:val="180"/>
              <w:keepNext w:val="0"/>
              <w:keepLines w:val="0"/>
              <w:widowControl w:val="0"/>
              <w:suppressLineNumbers w:val="0"/>
              <w:rPr>
                <w:woUserID w:val="21"/>
              </w:rPr>
            </w:pPr>
          </w:p>
        </w:tc>
        <w:tc>
          <w:tcPr>
            <w:tcW w:w="418" w:type="pct"/>
            <w:tcBorders>
              <w:top w:val="single" w:color="auto" w:sz="4" w:space="0"/>
              <w:left w:val="nil"/>
              <w:bottom w:val="single" w:color="auto" w:sz="4" w:space="0"/>
              <w:right w:val="single" w:color="auto" w:sz="4" w:space="0"/>
            </w:tcBorders>
            <w:shd w:val="clear" w:color="auto" w:fill="auto"/>
            <w:vAlign w:val="center"/>
          </w:tcPr>
          <w:p w14:paraId="0B0E2895">
            <w:pPr>
              <w:pStyle w:val="180"/>
              <w:keepNext w:val="0"/>
              <w:keepLines w:val="0"/>
              <w:widowControl w:val="0"/>
              <w:suppressLineNumbers w:val="0"/>
              <w:rPr>
                <w:woUserID w:val="21"/>
              </w:rPr>
            </w:pPr>
          </w:p>
        </w:tc>
      </w:tr>
    </w:tbl>
    <w:p w14:paraId="70A33911">
      <w:pPr>
        <w:rPr>
          <w:rFonts w:hint="eastAsia" w:ascii="宋体" w:hAnsi="宋体" w:eastAsia="宋体" w:cs="宋体"/>
          <w:color w:val="000000"/>
          <w:kern w:val="0"/>
          <w:sz w:val="21"/>
          <w:szCs w:val="21"/>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p>
    <w:tbl>
      <w:tblPr>
        <w:tblStyle w:val="2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028"/>
        <w:gridCol w:w="2072"/>
        <w:gridCol w:w="2478"/>
        <w:gridCol w:w="2766"/>
      </w:tblGrid>
      <w:tr w14:paraId="3D758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5000" w:type="pct"/>
            <w:gridSpan w:val="4"/>
            <w:tcBorders>
              <w:top w:val="nil"/>
              <w:left w:val="nil"/>
              <w:bottom w:val="single" w:color="000000" w:sz="4" w:space="0"/>
              <w:right w:val="nil"/>
            </w:tcBorders>
            <w:shd w:val="clear" w:color="auto" w:fill="auto"/>
            <w:vAlign w:val="center"/>
          </w:tcPr>
          <w:p w14:paraId="6F62220F">
            <w:pPr>
              <w:pStyle w:val="180"/>
              <w:kinsoku w:val="0"/>
              <w:autoSpaceDE/>
              <w:autoSpaceDN/>
              <w:adjustRightInd w:val="0"/>
              <w:snapToGrid w:val="0"/>
              <w:textAlignment w:val="baseline"/>
              <w:outlineLvl w:val="0"/>
              <w:rPr>
                <w:rFonts w:hint="eastAsia" w:ascii="Arial" w:hAnsi="Arial" w:eastAsia="黑体" w:cs="Arial"/>
                <w:snapToGrid w:val="0"/>
                <w:color w:val="0000FF"/>
                <w:kern w:val="0"/>
                <w:sz w:val="22"/>
                <w:szCs w:val="22"/>
                <w:lang w:val="en-US" w:eastAsia="zh-CN" w:bidi="ar-SA"/>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K</w:t>
            </w:r>
          </w:p>
          <w:p w14:paraId="51FDAC19">
            <w:pPr>
              <w:pStyle w:val="180"/>
              <w:kinsoku w:val="0"/>
              <w:autoSpaceDE w:val="0"/>
              <w:autoSpaceDN w:val="0"/>
              <w:adjustRightInd w:val="0"/>
              <w:snapToGrid w:val="0"/>
              <w:textAlignment w:val="baseline"/>
              <w:outlineLvl w:val="0"/>
              <w:rPr>
                <w:rFonts w:ascii="黑体" w:hAnsi="黑体" w:eastAsia="黑体" w:cs="黑体"/>
                <w:snapToGrid w:val="0"/>
                <w:color w:val="000000"/>
                <w:kern w:val="0"/>
                <w:sz w:val="22"/>
                <w:szCs w:val="22"/>
                <w:lang w:val="en-US" w:eastAsia="en-US" w:bidi="ar-SA"/>
              </w:rPr>
            </w:pPr>
            <w:r>
              <w:rPr>
                <w:rFonts w:ascii="黑体" w:hAnsi="黑体" w:eastAsia="黑体" w:cs="黑体"/>
                <w:snapToGrid w:val="0"/>
                <w:color w:val="000000"/>
                <w:spacing w:val="-4"/>
                <w:kern w:val="0"/>
                <w:sz w:val="22"/>
                <w:szCs w:val="22"/>
                <w:lang w:val="en-US" w:eastAsia="en-US" w:bidi="ar-SA"/>
              </w:rPr>
              <w:t>(资料性)</w:t>
            </w:r>
          </w:p>
          <w:p w14:paraId="1F1E2CC5">
            <w:pPr>
              <w:pStyle w:val="180"/>
              <w:widowControl/>
              <w:kinsoku w:val="0"/>
              <w:autoSpaceDE/>
              <w:autoSpaceDN/>
              <w:snapToGrid w:val="0"/>
              <w:textAlignment w:val="baseline"/>
              <w:outlineLvl w:val="0"/>
              <w:rPr>
                <w:rFonts w:hint="eastAsia" w:ascii="宋体" w:hAnsi="宋体" w:eastAsia="宋体" w:cs="宋体"/>
                <w:b/>
                <w:bCs/>
                <w:kern w:val="0"/>
                <w:sz w:val="21"/>
                <w:szCs w:val="21"/>
                <w:lang w:val="en-US" w:eastAsia="zh-CN" w:bidi="ar"/>
                <w:woUserID w:val="0"/>
              </w:rPr>
            </w:pPr>
            <w:r>
              <w:rPr>
                <w:rFonts w:hint="eastAsia" w:ascii="宋体" w:hAnsi="宋体" w:eastAsia="宋体" w:cs="宋体"/>
                <w:b/>
                <w:bCs/>
                <w:color w:val="000000"/>
                <w:kern w:val="0"/>
                <w:sz w:val="21"/>
                <w:szCs w:val="21"/>
                <w:woUserID w:val="21"/>
              </w:rPr>
              <w:t xml:space="preserve"> 婴幼儿回应性照护实践登记</w:t>
            </w:r>
            <w:r>
              <w:rPr>
                <w:rFonts w:hint="eastAsia" w:ascii="宋体" w:hAnsi="宋体" w:eastAsia="宋体" w:cs="宋体"/>
                <w:b/>
                <w:bCs/>
                <w:kern w:val="0"/>
                <w:sz w:val="21"/>
                <w:szCs w:val="21"/>
                <w:lang w:bidi="ar"/>
                <w:woUserID w:val="0"/>
              </w:rPr>
              <w:t>表</w:t>
            </w:r>
          </w:p>
          <w:p w14:paraId="145BEADF">
            <w:pPr>
              <w:pStyle w:val="180"/>
              <w:keepNext w:val="0"/>
              <w:keepLines w:val="0"/>
              <w:widowControl/>
              <w:suppressLineNumbers w:val="0"/>
              <w:kinsoku w:val="0"/>
              <w:snapToGrid w:val="0"/>
              <w:textAlignment w:val="baseline"/>
              <w:outlineLvl w:val="0"/>
              <w:rPr>
                <w:rFonts w:hint="eastAsia" w:ascii="宋体" w:hAnsi="宋体" w:eastAsia="宋体" w:cs="宋体"/>
                <w:b/>
                <w:bCs/>
                <w:color w:val="000000"/>
                <w:kern w:val="0"/>
                <w:sz w:val="21"/>
                <w:szCs w:val="21"/>
                <w:woUserID w:val="21"/>
              </w:rPr>
            </w:pPr>
          </w:p>
          <w:p w14:paraId="40365072">
            <w:pPr>
              <w:pStyle w:val="180"/>
              <w:kinsoku w:val="0"/>
              <w:autoSpaceDE w:val="0"/>
              <w:autoSpaceDN w:val="0"/>
              <w:snapToGrid w:val="0"/>
              <w:textAlignment w:val="baseline"/>
              <w:outlineLvl w:val="9"/>
              <w:rPr>
                <w:rFonts w:hint="eastAsia" w:ascii="宋体" w:hAnsi="宋体" w:eastAsia="宋体" w:cs="宋体"/>
                <w:b/>
                <w:bCs/>
                <w:color w:val="000000"/>
                <w:kern w:val="0"/>
                <w:sz w:val="21"/>
                <w:szCs w:val="21"/>
                <w:woUserID w:val="21"/>
              </w:rPr>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见表K.1</w:t>
            </w:r>
            <w:r>
              <w:rPr>
                <w:rFonts w:hint="default" w:ascii="宋体" w:hAnsi="宋体" w:eastAsia="宋体" w:cs="宋体"/>
                <w:snapToGrid w:val="0"/>
                <w:color w:val="000000"/>
                <w:spacing w:val="-9"/>
                <w:kern w:val="0"/>
                <w:sz w:val="22"/>
                <w:szCs w:val="22"/>
                <w:lang w:val="en-US" w:eastAsia="en-US" w:bidi="ar-SA"/>
              </w:rPr>
              <w:t>。</w:t>
            </w:r>
          </w:p>
          <w:p w14:paraId="5D80ADD7">
            <w:pPr>
              <w:pStyle w:val="180"/>
              <w:widowControl w:val="0"/>
              <w:kinsoku w:val="0"/>
              <w:autoSpaceDE w:val="0"/>
              <w:autoSpaceDN w:val="0"/>
              <w:snapToGrid w:val="0"/>
              <w:textAlignment w:val="baseline"/>
              <w:outlineLvl w:val="9"/>
              <w:rPr>
                <w:rFonts w:hint="eastAsia" w:ascii="宋体" w:hAnsi="宋体" w:eastAsia="宋体" w:cs="宋体"/>
                <w:b/>
                <w:bCs/>
                <w:color w:val="000000"/>
                <w:kern w:val="0"/>
                <w:sz w:val="21"/>
                <w:szCs w:val="21"/>
                <w:woUserID w:val="21"/>
              </w:rPr>
            </w:pPr>
            <w:r>
              <w:rPr>
                <w:rFonts w:hint="eastAsia" w:ascii="宋体" w:hAnsi="宋体" w:eastAsia="宋体" w:cs="宋体"/>
                <w:b/>
                <w:bCs/>
                <w:color w:val="000000"/>
                <w:kern w:val="0"/>
                <w:sz w:val="21"/>
                <w:szCs w:val="21"/>
                <w:woUserID w:val="21"/>
              </w:rPr>
              <w:t>表K.1 婴幼儿回应性照护实践登记表</w:t>
            </w:r>
          </w:p>
          <w:p w14:paraId="6510414E">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lang w:val="en-US" w:eastAsia="zh-CN" w:bidi="ar"/>
                <w:woUserID w:val="21"/>
              </w:rPr>
              <w:t>托育机构：</w:t>
            </w:r>
            <w:r>
              <w:rPr>
                <w:rFonts w:hint="eastAsia" w:ascii="宋体" w:hAnsi="宋体" w:eastAsia="宋体" w:cs="宋体"/>
                <w:color w:val="000000"/>
                <w:kern w:val="0"/>
                <w:sz w:val="21"/>
                <w:szCs w:val="21"/>
                <w:lang w:val="en-US" w:eastAsia="zh-CN" w:bidi="ar"/>
                <w:woUserID w:val="21"/>
              </w:rPr>
              <w:t xml:space="preserve">                  </w:t>
            </w:r>
            <w:r>
              <w:rPr>
                <w:rFonts w:hint="eastAsia" w:ascii="宋体" w:hAnsi="宋体" w:eastAsia="宋体" w:cs="宋体"/>
                <w:color w:val="000000"/>
                <w:spacing w:val="2"/>
                <w:kern w:val="0"/>
                <w:sz w:val="21"/>
                <w:szCs w:val="21"/>
                <w:lang w:val="en-US" w:eastAsia="zh-CN" w:bidi="ar"/>
                <w:woUserID w:val="21"/>
              </w:rPr>
              <w:t>医 疗 机 构：                    指导日期：</w:t>
            </w:r>
          </w:p>
        </w:tc>
      </w:tr>
      <w:tr w14:paraId="728C8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4"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6F6B">
            <w:pPr>
              <w:pStyle w:val="180"/>
              <w:keepNext w:val="0"/>
              <w:keepLines w:val="0"/>
              <w:widowControl/>
              <w:suppressLineNumbers w:val="0"/>
              <w:rPr>
                <w:woUserID w:val="21"/>
              </w:rPr>
            </w:pPr>
            <w:r>
              <w:rPr>
                <w:rFonts w:hint="eastAsia" w:ascii="宋体" w:hAnsi="宋体" w:eastAsia="宋体" w:cs="宋体"/>
                <w:color w:val="000000"/>
                <w:kern w:val="0"/>
                <w:sz w:val="21"/>
                <w:szCs w:val="21"/>
                <w:lang w:val="en-US" w:eastAsia="zh-CN" w:bidi="ar"/>
                <w:woUserID w:val="21"/>
              </w:rPr>
              <w:t>指导内容</w:t>
            </w:r>
          </w:p>
          <w:p w14:paraId="135909B6">
            <w:pPr>
              <w:pStyle w:val="180"/>
              <w:keepNext w:val="0"/>
              <w:keepLines w:val="0"/>
              <w:widowControl/>
              <w:suppressLineNumbers w:val="0"/>
              <w:rPr>
                <w:woUserID w:val="21"/>
              </w:rPr>
            </w:pPr>
            <w:r>
              <w:rPr>
                <w:rFonts w:hint="eastAsia" w:ascii="宋体" w:hAnsi="宋体" w:eastAsia="宋体" w:cs="宋体"/>
                <w:color w:val="000000"/>
                <w:kern w:val="0"/>
                <w:sz w:val="21"/>
                <w:szCs w:val="21"/>
                <w:lang w:val="en-US" w:eastAsia="zh-CN" w:bidi="ar"/>
                <w:woUserID w:val="21"/>
              </w:rPr>
              <w:t>(每次指导选择其</w:t>
            </w:r>
            <w:r>
              <w:rPr>
                <w:rFonts w:hint="eastAsia" w:ascii="宋体" w:hAnsi="宋体" w:eastAsia="宋体" w:cs="宋体"/>
                <w:color w:val="000000"/>
                <w:spacing w:val="2"/>
                <w:kern w:val="0"/>
                <w:sz w:val="21"/>
                <w:szCs w:val="21"/>
                <w:lang w:val="en-US" w:eastAsia="zh-CN" w:bidi="ar"/>
                <w:woUserID w:val="21"/>
              </w:rPr>
              <w:t xml:space="preserve"> </w:t>
            </w:r>
            <w:r>
              <w:rPr>
                <w:rFonts w:hint="eastAsia" w:ascii="宋体" w:hAnsi="宋体" w:eastAsia="宋体" w:cs="宋体"/>
                <w:color w:val="000000"/>
                <w:spacing w:val="1"/>
                <w:kern w:val="0"/>
                <w:sz w:val="21"/>
                <w:szCs w:val="21"/>
                <w:lang w:val="en-US" w:eastAsia="zh-CN" w:bidi="ar"/>
                <w:woUserID w:val="21"/>
              </w:rPr>
              <w:t>中一项或者若干</w:t>
            </w:r>
            <w:r>
              <w:rPr>
                <w:rFonts w:hint="eastAsia" w:ascii="宋体" w:hAnsi="宋体" w:eastAsia="宋体" w:cs="宋体"/>
                <w:color w:val="000000"/>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项，打</w:t>
            </w:r>
            <w:r>
              <w:rPr>
                <w:rFonts w:hint="eastAsia" w:ascii="宋体" w:hAnsi="宋体" w:eastAsia="宋体" w:cs="宋体"/>
                <w:color w:val="000000"/>
                <w:spacing w:val="-39"/>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w:t>
            </w:r>
            <w:r>
              <w:rPr>
                <w:rFonts w:hint="eastAsia" w:ascii="宋体" w:hAnsi="宋体" w:eastAsia="宋体" w:cs="宋体"/>
                <w:color w:val="000000"/>
                <w:spacing w:val="-109"/>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w:t>
            </w:r>
          </w:p>
        </w:tc>
        <w:tc>
          <w:tcPr>
            <w:tcW w:w="3914" w:type="pct"/>
            <w:gridSpan w:val="3"/>
            <w:tcBorders>
              <w:top w:val="single" w:color="000000" w:sz="4" w:space="0"/>
              <w:left w:val="nil"/>
              <w:bottom w:val="single" w:color="000000" w:sz="4" w:space="0"/>
              <w:right w:val="single" w:color="000000" w:sz="4" w:space="0"/>
            </w:tcBorders>
            <w:shd w:val="clear" w:color="auto" w:fill="auto"/>
            <w:vAlign w:val="center"/>
          </w:tcPr>
          <w:p w14:paraId="073897EC">
            <w:pPr>
              <w:pStyle w:val="180"/>
              <w:keepNext w:val="0"/>
              <w:keepLines w:val="0"/>
              <w:widowControl/>
              <w:suppressLineNumbers w:val="0"/>
              <w:rPr>
                <w:woUserID w:val="21"/>
              </w:rPr>
            </w:pPr>
            <w:r>
              <w:rPr>
                <w:rFonts w:hint="eastAsia" w:ascii="宋体" w:hAnsi="宋体" w:eastAsia="宋体" w:cs="宋体"/>
                <w:color w:val="000000"/>
                <w:spacing w:val="-1"/>
                <w:kern w:val="0"/>
                <w:position w:val="1"/>
                <w:sz w:val="21"/>
                <w:szCs w:val="21"/>
                <w:lang w:val="en-US" w:eastAsia="zh-CN" w:bidi="ar"/>
                <w:woUserID w:val="21"/>
              </w:rPr>
              <w:t>口饮食喂养</w:t>
            </w:r>
            <w:r>
              <w:rPr>
                <w:rFonts w:hint="eastAsia" w:ascii="宋体" w:hAnsi="宋体" w:eastAsia="宋体" w:cs="宋体"/>
                <w:color w:val="000000"/>
                <w:spacing w:val="26"/>
                <w:kern w:val="0"/>
                <w:position w:val="1"/>
                <w:sz w:val="21"/>
                <w:szCs w:val="21"/>
                <w:lang w:val="en-US" w:eastAsia="zh-CN" w:bidi="ar"/>
                <w:woUserID w:val="21"/>
              </w:rPr>
              <w:t xml:space="preserve">  </w:t>
            </w:r>
            <w:r>
              <w:rPr>
                <w:rFonts w:hint="eastAsia" w:ascii="宋体" w:hAnsi="宋体" w:eastAsia="宋体" w:cs="宋体"/>
                <w:color w:val="000000"/>
                <w:spacing w:val="-1"/>
                <w:kern w:val="0"/>
                <w:sz w:val="21"/>
                <w:szCs w:val="21"/>
                <w:lang w:val="en-US" w:eastAsia="zh-CN" w:bidi="ar"/>
                <w:woUserID w:val="21"/>
              </w:rPr>
              <w:t>口生活照料</w:t>
            </w:r>
            <w:r>
              <w:rPr>
                <w:rFonts w:hint="eastAsia" w:ascii="宋体" w:hAnsi="宋体" w:eastAsia="宋体" w:cs="宋体"/>
                <w:color w:val="000000"/>
                <w:spacing w:val="54"/>
                <w:kern w:val="0"/>
                <w:sz w:val="21"/>
                <w:szCs w:val="21"/>
                <w:lang w:val="en-US" w:eastAsia="zh-CN" w:bidi="ar"/>
                <w:woUserID w:val="21"/>
              </w:rPr>
              <w:t xml:space="preserve"> </w:t>
            </w:r>
            <w:r>
              <w:rPr>
                <w:rFonts w:hint="eastAsia" w:ascii="宋体" w:hAnsi="宋体" w:eastAsia="宋体" w:cs="宋体"/>
                <w:color w:val="000000"/>
                <w:spacing w:val="-1"/>
                <w:kern w:val="0"/>
                <w:position w:val="-1"/>
                <w:sz w:val="21"/>
                <w:szCs w:val="21"/>
                <w:lang w:val="en-US" w:eastAsia="zh-CN" w:bidi="ar"/>
                <w:woUserID w:val="21"/>
              </w:rPr>
              <w:t>口</w:t>
            </w:r>
            <w:r>
              <w:rPr>
                <w:rFonts w:hint="eastAsia" w:ascii="宋体" w:hAnsi="宋体" w:eastAsia="宋体" w:cs="宋体"/>
                <w:spacing w:val="0"/>
                <w:w w:val="100"/>
                <w:kern w:val="0"/>
                <w:sz w:val="21"/>
                <w:szCs w:val="21"/>
                <w:lang w:val="en-US" w:eastAsia="zh-CN" w:bidi="ar"/>
                <w:woUserID w:val="21"/>
              </w:rPr>
              <w:t>亲子互动</w:t>
            </w:r>
            <w:r>
              <w:rPr>
                <w:rFonts w:hint="eastAsia" w:ascii="宋体" w:hAnsi="宋体" w:eastAsia="宋体" w:cs="宋体"/>
                <w:color w:val="000000"/>
                <w:spacing w:val="70"/>
                <w:kern w:val="0"/>
                <w:position w:val="-1"/>
                <w:sz w:val="21"/>
                <w:szCs w:val="21"/>
                <w:lang w:val="en-US" w:eastAsia="zh-CN" w:bidi="ar"/>
                <w:woUserID w:val="21"/>
              </w:rPr>
              <w:t xml:space="preserve"> </w:t>
            </w:r>
            <w:r>
              <w:rPr>
                <w:rFonts w:hint="eastAsia" w:ascii="宋体" w:hAnsi="宋体" w:eastAsia="宋体" w:cs="宋体"/>
                <w:color w:val="000000"/>
                <w:spacing w:val="-1"/>
                <w:kern w:val="0"/>
                <w:position w:val="-1"/>
                <w:sz w:val="21"/>
                <w:szCs w:val="21"/>
                <w:lang w:val="en-US" w:eastAsia="zh-CN" w:bidi="ar"/>
                <w:woUserID w:val="21"/>
              </w:rPr>
              <w:t>口常见疾病状态的回应性照护</w:t>
            </w:r>
          </w:p>
        </w:tc>
      </w:tr>
      <w:tr w14:paraId="21FD8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1449">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实践/观察要点</w:t>
            </w:r>
          </w:p>
        </w:tc>
        <w:tc>
          <w:tcPr>
            <w:tcW w:w="3914" w:type="pct"/>
            <w:gridSpan w:val="3"/>
            <w:tcBorders>
              <w:top w:val="single" w:color="000000" w:sz="4" w:space="0"/>
              <w:left w:val="nil"/>
              <w:bottom w:val="single" w:color="000000" w:sz="4" w:space="0"/>
              <w:right w:val="single" w:color="000000" w:sz="4" w:space="0"/>
            </w:tcBorders>
            <w:shd w:val="clear" w:color="auto" w:fill="auto"/>
            <w:vAlign w:val="center"/>
          </w:tcPr>
          <w:p w14:paraId="3125D281">
            <w:pPr>
              <w:pStyle w:val="180"/>
              <w:keepNext w:val="0"/>
              <w:keepLines w:val="0"/>
              <w:widowControl/>
              <w:suppressLineNumbers w:val="0"/>
              <w:rPr>
                <w:woUserID w:val="21"/>
              </w:rPr>
            </w:pPr>
          </w:p>
        </w:tc>
      </w:tr>
      <w:tr w14:paraId="7F558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4"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4B236">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记录与观察情况</w:t>
            </w:r>
          </w:p>
        </w:tc>
        <w:tc>
          <w:tcPr>
            <w:tcW w:w="3914" w:type="pct"/>
            <w:gridSpan w:val="3"/>
            <w:tcBorders>
              <w:top w:val="single" w:color="000000" w:sz="4" w:space="0"/>
              <w:left w:val="nil"/>
              <w:bottom w:val="single" w:color="000000" w:sz="4" w:space="0"/>
              <w:right w:val="single" w:color="000000" w:sz="4" w:space="0"/>
            </w:tcBorders>
            <w:shd w:val="clear" w:color="auto" w:fill="auto"/>
            <w:vAlign w:val="center"/>
          </w:tcPr>
          <w:p w14:paraId="7EBF5AE9">
            <w:pPr>
              <w:pStyle w:val="180"/>
              <w:keepNext w:val="0"/>
              <w:keepLines w:val="0"/>
              <w:widowControl/>
              <w:suppressLineNumbers w:val="0"/>
              <w:rPr>
                <w:woUserID w:val="21"/>
              </w:rPr>
            </w:pPr>
          </w:p>
        </w:tc>
      </w:tr>
      <w:tr w14:paraId="1E923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5CCC">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发现问题</w:t>
            </w:r>
          </w:p>
        </w:tc>
        <w:tc>
          <w:tcPr>
            <w:tcW w:w="3914" w:type="pct"/>
            <w:gridSpan w:val="3"/>
            <w:tcBorders>
              <w:top w:val="single" w:color="000000" w:sz="4" w:space="0"/>
              <w:left w:val="nil"/>
              <w:bottom w:val="single" w:color="000000" w:sz="4" w:space="0"/>
              <w:right w:val="single" w:color="000000" w:sz="4" w:space="0"/>
            </w:tcBorders>
            <w:shd w:val="clear" w:color="auto" w:fill="auto"/>
            <w:vAlign w:val="center"/>
          </w:tcPr>
          <w:p w14:paraId="6AC86D08">
            <w:pPr>
              <w:pStyle w:val="180"/>
              <w:keepNext w:val="0"/>
              <w:keepLines w:val="0"/>
              <w:widowControl/>
              <w:suppressLineNumbers w:val="0"/>
              <w:rPr>
                <w:woUserID w:val="21"/>
              </w:rPr>
            </w:pPr>
          </w:p>
        </w:tc>
      </w:tr>
      <w:tr w14:paraId="0267A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2D40">
            <w:pPr>
              <w:pStyle w:val="180"/>
              <w:keepNext w:val="0"/>
              <w:keepLines w:val="0"/>
              <w:widowControl/>
              <w:suppressLineNumbers w:val="0"/>
              <w:rPr>
                <w:woUserID w:val="21"/>
              </w:rPr>
            </w:pPr>
            <w:r>
              <w:rPr>
                <w:rFonts w:hint="eastAsia" w:ascii="宋体" w:hAnsi="宋体" w:eastAsia="宋体" w:cs="宋体"/>
                <w:color w:val="000000"/>
                <w:kern w:val="0"/>
                <w:sz w:val="21"/>
                <w:szCs w:val="21"/>
                <w:lang w:val="en-US" w:eastAsia="zh-CN" w:bidi="ar"/>
                <w:woUserID w:val="21"/>
              </w:rPr>
              <w:t>改进建议</w:t>
            </w:r>
          </w:p>
        </w:tc>
        <w:tc>
          <w:tcPr>
            <w:tcW w:w="3914" w:type="pct"/>
            <w:gridSpan w:val="3"/>
            <w:tcBorders>
              <w:top w:val="single" w:color="000000" w:sz="4" w:space="0"/>
              <w:left w:val="nil"/>
              <w:bottom w:val="single" w:color="000000" w:sz="4" w:space="0"/>
              <w:right w:val="single" w:color="000000" w:sz="4" w:space="0"/>
            </w:tcBorders>
            <w:shd w:val="clear" w:color="auto" w:fill="auto"/>
            <w:vAlign w:val="center"/>
          </w:tcPr>
          <w:p w14:paraId="5E2634A4">
            <w:pPr>
              <w:pStyle w:val="180"/>
              <w:keepNext w:val="0"/>
              <w:keepLines w:val="0"/>
              <w:widowControl/>
              <w:suppressLineNumbers w:val="0"/>
              <w:rPr>
                <w:woUserID w:val="21"/>
              </w:rPr>
            </w:pPr>
          </w:p>
        </w:tc>
      </w:tr>
      <w:tr w14:paraId="2261B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64" w:hRule="atLeast"/>
          <w:jc w:val="center"/>
        </w:trPr>
        <w:tc>
          <w:tcPr>
            <w:tcW w:w="10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4F99">
            <w:pPr>
              <w:pStyle w:val="180"/>
              <w:keepNext w:val="0"/>
              <w:keepLines w:val="0"/>
              <w:widowControl/>
              <w:suppressLineNumbers w:val="0"/>
              <w:rPr>
                <w:woUserID w:val="21"/>
              </w:rPr>
            </w:pPr>
            <w:r>
              <w:rPr>
                <w:rFonts w:hint="eastAsia" w:ascii="宋体" w:hAnsi="宋体" w:eastAsia="宋体" w:cs="宋体"/>
                <w:color w:val="000000"/>
                <w:spacing w:val="7"/>
                <w:kern w:val="0"/>
                <w:sz w:val="21"/>
                <w:szCs w:val="21"/>
                <w:lang w:val="en-US" w:eastAsia="zh-CN" w:bidi="ar"/>
                <w:woUserID w:val="21"/>
              </w:rPr>
              <w:t>健康管理员</w:t>
            </w:r>
            <w:r>
              <w:rPr>
                <w:rFonts w:hint="eastAsia" w:ascii="宋体" w:hAnsi="宋体" w:eastAsia="宋体" w:cs="宋体"/>
                <w:color w:val="000000"/>
                <w:spacing w:val="18"/>
                <w:kern w:val="0"/>
                <w:sz w:val="21"/>
                <w:szCs w:val="21"/>
                <w:lang w:val="en-US" w:eastAsia="zh-CN" w:bidi="ar"/>
                <w:woUserID w:val="21"/>
              </w:rPr>
              <w:t>签名</w:t>
            </w:r>
          </w:p>
        </w:tc>
        <w:tc>
          <w:tcPr>
            <w:tcW w:w="1109" w:type="pct"/>
            <w:tcBorders>
              <w:top w:val="single" w:color="000000" w:sz="4" w:space="0"/>
              <w:left w:val="nil"/>
              <w:bottom w:val="single" w:color="000000" w:sz="4" w:space="0"/>
              <w:right w:val="single" w:color="000000" w:sz="4" w:space="0"/>
            </w:tcBorders>
            <w:shd w:val="clear" w:color="auto" w:fill="auto"/>
            <w:vAlign w:val="center"/>
          </w:tcPr>
          <w:p w14:paraId="5FD650DD">
            <w:pPr>
              <w:pStyle w:val="180"/>
              <w:keepNext w:val="0"/>
              <w:keepLines w:val="0"/>
              <w:widowControl/>
              <w:suppressLineNumbers w:val="0"/>
              <w:rPr>
                <w:woUserID w:val="21"/>
              </w:rPr>
            </w:pPr>
          </w:p>
        </w:tc>
        <w:tc>
          <w:tcPr>
            <w:tcW w:w="1326" w:type="pct"/>
            <w:tcBorders>
              <w:top w:val="single" w:color="000000" w:sz="4" w:space="0"/>
              <w:left w:val="nil"/>
              <w:bottom w:val="single" w:color="000000" w:sz="4" w:space="0"/>
              <w:right w:val="single" w:color="000000" w:sz="4" w:space="0"/>
            </w:tcBorders>
            <w:shd w:val="clear" w:color="auto" w:fill="auto"/>
            <w:vAlign w:val="center"/>
          </w:tcPr>
          <w:p w14:paraId="764E7B85">
            <w:pPr>
              <w:pStyle w:val="180"/>
              <w:keepNext w:val="0"/>
              <w:keepLines w:val="0"/>
              <w:widowControl/>
              <w:suppressLineNumbers w:val="0"/>
              <w:rPr>
                <w:woUserID w:val="21"/>
              </w:rPr>
            </w:pPr>
            <w:r>
              <w:rPr>
                <w:rFonts w:hint="eastAsia" w:ascii="宋体" w:hAnsi="宋体" w:eastAsia="宋体" w:cs="宋体"/>
                <w:color w:val="000000"/>
                <w:spacing w:val="4"/>
                <w:kern w:val="0"/>
                <w:sz w:val="21"/>
                <w:szCs w:val="21"/>
                <w:lang w:val="en-US" w:eastAsia="zh-CN" w:bidi="ar"/>
                <w:woUserID w:val="21"/>
              </w:rPr>
              <w:t>托育机构</w:t>
            </w:r>
            <w:r>
              <w:rPr>
                <w:rFonts w:hint="eastAsia" w:ascii="宋体" w:hAnsi="宋体" w:eastAsia="宋体" w:cs="宋体"/>
                <w:color w:val="000000"/>
                <w:spacing w:val="7"/>
                <w:kern w:val="0"/>
                <w:sz w:val="21"/>
                <w:szCs w:val="21"/>
                <w:lang w:val="en-US" w:eastAsia="zh-CN" w:bidi="ar"/>
                <w:woUserID w:val="21"/>
              </w:rPr>
              <w:t>负责人签名</w:t>
            </w:r>
          </w:p>
        </w:tc>
        <w:tc>
          <w:tcPr>
            <w:tcW w:w="1478" w:type="pct"/>
            <w:tcBorders>
              <w:top w:val="single" w:color="000000" w:sz="4" w:space="0"/>
              <w:left w:val="nil"/>
              <w:bottom w:val="single" w:color="000000" w:sz="4" w:space="0"/>
              <w:right w:val="single" w:color="000000" w:sz="4" w:space="0"/>
            </w:tcBorders>
            <w:shd w:val="clear" w:color="auto" w:fill="auto"/>
            <w:vAlign w:val="top"/>
          </w:tcPr>
          <w:p w14:paraId="282E3163">
            <w:pPr>
              <w:pStyle w:val="180"/>
              <w:keepNext w:val="0"/>
              <w:keepLines w:val="0"/>
              <w:widowControl/>
              <w:suppressLineNumbers w:val="0"/>
              <w:rPr>
                <w:woUserID w:val="21"/>
              </w:rPr>
            </w:pPr>
          </w:p>
        </w:tc>
      </w:tr>
    </w:tbl>
    <w:p w14:paraId="2A8CF921">
      <w:pPr>
        <w:pStyle w:val="58"/>
        <w:ind w:firstLine="420"/>
      </w:pPr>
      <w:r>
        <w:rPr>
          <w:rFonts w:hint="eastAsia" w:ascii="宋体" w:hAnsi="宋体" w:eastAsia="宋体" w:cs="宋体"/>
          <w:color w:val="000000"/>
          <w:kern w:val="0"/>
          <w:sz w:val="21"/>
          <w:szCs w:val="21"/>
          <w:vertAlign w:val="baseline"/>
          <w:lang w:val="en-US" w:eastAsia="zh-CN" w:bidi="ar"/>
          <w:woUserID w:val="21"/>
        </w:rPr>
        <w:t>填表说明：</w:t>
      </w:r>
    </w:p>
    <w:p w14:paraId="7F920B1C">
      <w:pPr>
        <w:pStyle w:val="58"/>
        <w:ind w:firstLine="420"/>
      </w:pPr>
      <w:r>
        <w:rPr>
          <w:rFonts w:hint="eastAsia" w:ascii="宋体" w:hAnsi="宋体" w:eastAsia="宋体" w:cs="宋体"/>
          <w:color w:val="000000"/>
          <w:kern w:val="0"/>
          <w:sz w:val="21"/>
          <w:szCs w:val="21"/>
          <w:vertAlign w:val="baseline"/>
          <w:lang w:val="en-US" w:eastAsia="zh-CN" w:bidi="ar"/>
          <w:woUserID w:val="21"/>
        </w:rPr>
        <w:t>1.本表依据《3岁以下婴幼儿回应性照护指南》设计，用于日常照护实践记录与质量改进。</w:t>
      </w:r>
    </w:p>
    <w:p w14:paraId="32455108">
      <w:pPr>
        <w:pStyle w:val="58"/>
        <w:ind w:firstLine="420"/>
      </w:pPr>
      <w:r>
        <w:rPr>
          <w:rFonts w:hint="eastAsia" w:ascii="宋体" w:hAnsi="宋体" w:eastAsia="宋体" w:cs="宋体"/>
          <w:color w:val="000000"/>
          <w:kern w:val="0"/>
          <w:sz w:val="21"/>
          <w:szCs w:val="21"/>
          <w:vertAlign w:val="baseline"/>
          <w:lang w:val="en-US" w:eastAsia="zh-CN" w:bidi="ar"/>
          <w:woUserID w:val="21"/>
        </w:rPr>
        <w:t>2.“</w:t>
      </w:r>
      <w:r>
        <w:rPr>
          <w:rFonts w:hint="eastAsia" w:ascii="宋体" w:hAnsi="宋体" w:eastAsia="宋体" w:cs="宋体"/>
          <w:color w:val="000000"/>
          <w:spacing w:val="1"/>
          <w:kern w:val="0"/>
          <w:sz w:val="21"/>
          <w:szCs w:val="21"/>
          <w:vertAlign w:val="baseline"/>
          <w:lang w:val="en-US" w:eastAsia="zh-CN" w:bidi="ar"/>
          <w:woUserID w:val="21"/>
        </w:rPr>
        <w:t>实践/观察要点</w:t>
      </w:r>
      <w:r>
        <w:rPr>
          <w:rFonts w:hint="eastAsia" w:ascii="宋体" w:hAnsi="宋体" w:eastAsia="宋体" w:cs="宋体"/>
          <w:color w:val="000000"/>
          <w:kern w:val="0"/>
          <w:sz w:val="21"/>
          <w:szCs w:val="21"/>
          <w:vertAlign w:val="baseline"/>
          <w:lang w:val="en-US" w:eastAsia="zh-CN" w:bidi="ar"/>
          <w:woUserID w:val="21"/>
        </w:rPr>
        <w:t>”记录《3岁以下婴幼儿回应性照护指南》评价要点，旨在通过记录促进反思，确保回应性照护有效实施。</w:t>
      </w:r>
    </w:p>
    <w:p w14:paraId="5DA90238">
      <w:pPr>
        <w:pStyle w:val="58"/>
        <w:ind w:firstLine="420"/>
      </w:pPr>
      <w:r>
        <w:rPr>
          <w:rFonts w:hint="eastAsia" w:ascii="宋体" w:hAnsi="宋体" w:eastAsia="宋体" w:cs="宋体"/>
          <w:color w:val="000000"/>
          <w:kern w:val="0"/>
          <w:sz w:val="21"/>
          <w:szCs w:val="21"/>
          <w:vertAlign w:val="baseline"/>
          <w:lang w:val="en-US" w:eastAsia="zh-CN" w:bidi="ar"/>
          <w:woUserID w:val="21"/>
        </w:rPr>
        <w:t>3.“记录与观察情况”栏请简要描述事实。“发现问题”与“改进建议”栏用于记录不足及调整计划。“跟踪落实”栏记录后续执行情况。</w:t>
      </w:r>
    </w:p>
    <w:p w14:paraId="2813B724">
      <w:pPr>
        <w:keepNext w:val="0"/>
        <w:keepLines w:val="0"/>
        <w:pageBreakBefore w:val="0"/>
        <w:wordWrap/>
        <w:overflowPunct/>
        <w:topLinePunct w:val="0"/>
        <w:bidi w:val="0"/>
        <w:adjustRightInd w:val="0"/>
        <w:spacing w:beforeAutospacing="0" w:afterAutospacing="0" w:line="240" w:lineRule="auto"/>
        <w:rPr>
          <w:rFonts w:hint="eastAsia" w:ascii="宋体" w:hAnsi="宋体" w:eastAsia="宋体" w:cs="宋体"/>
          <w:color w:val="000000"/>
          <w:kern w:val="0"/>
          <w:sz w:val="21"/>
          <w:szCs w:val="21"/>
          <w:woUserID w:val="21"/>
        </w:rPr>
        <w:sectPr>
          <w:pgSz w:w="11906" w:h="16838"/>
          <w:pgMar w:top="1928" w:right="1134" w:bottom="1134" w:left="1134" w:header="1418" w:footer="1134" w:gutter="284"/>
          <w:pgBorders w:offsetFrom="page">
            <w:top w:val="none" w:sz="0" w:space="0"/>
            <w:left w:val="none" w:sz="0" w:space="0"/>
            <w:bottom w:val="none" w:sz="0" w:space="0"/>
            <w:right w:val="none" w:sz="0" w:space="0"/>
          </w:pgBorders>
          <w:cols w:space="425" w:num="1"/>
          <w:docGrid w:type="lines" w:linePitch="312" w:charSpace="0"/>
        </w:sectPr>
      </w:pPr>
    </w:p>
    <w:p w14:paraId="0A641430">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L</w:t>
      </w:r>
    </w:p>
    <w:p w14:paraId="6797C247">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61B99C6A">
      <w:pPr>
        <w:pStyle w:val="89"/>
      </w:pPr>
      <w:r>
        <w:rPr>
          <w:rFonts w:hint="eastAsia" w:ascii="宋体" w:hAnsi="宋体" w:eastAsia="宋体" w:cs="宋体"/>
          <w:b/>
          <w:bCs/>
          <w:color w:val="000000"/>
          <w:kern w:val="0"/>
          <w:sz w:val="21"/>
          <w:szCs w:val="21"/>
          <w:woUserID w:val="21"/>
        </w:rPr>
        <w:t xml:space="preserve"> 医育结合指导登记</w:t>
      </w:r>
      <w:r>
        <w:rPr>
          <w:rFonts w:hint="eastAsia" w:ascii="宋体" w:hAnsi="宋体" w:eastAsia="宋体" w:cs="宋体"/>
          <w:b/>
          <w:bCs/>
          <w:kern w:val="0"/>
          <w:sz w:val="21"/>
          <w:szCs w:val="21"/>
          <w:lang w:bidi="ar"/>
          <w:woUserID w:val="0"/>
        </w:rPr>
        <w:t>表</w:t>
      </w:r>
    </w:p>
    <w:p w14:paraId="48B9E3C2">
      <w:pPr>
        <w:pStyle w:val="14"/>
        <w:keepNext w:val="0"/>
        <w:keepLines w:val="0"/>
        <w:widowControl/>
        <w:suppressLineNumbers w:val="0"/>
        <w:kinsoku w:val="0"/>
        <w:snapToGrid w:val="0"/>
        <w:spacing w:before="54" w:beforeAutospacing="0" w:after="0" w:afterAutospacing="0" w:line="221" w:lineRule="auto"/>
        <w:ind w:right="0"/>
        <w:textAlignment w:val="baseline"/>
        <w:outlineLvl w:val="0"/>
        <w:rPr>
          <w:rFonts w:hint="eastAsia" w:ascii="宋体" w:hAnsi="宋体" w:eastAsia="宋体" w:cs="宋体"/>
          <w:b/>
          <w:bCs/>
          <w:color w:val="000000"/>
          <w:kern w:val="0"/>
          <w:sz w:val="21"/>
          <w:szCs w:val="21"/>
          <w:woUserID w:val="21"/>
        </w:rPr>
      </w:pPr>
    </w:p>
    <w:p w14:paraId="4633B041">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见表L.1</w:t>
      </w:r>
      <w:r>
        <w:rPr>
          <w:rFonts w:hint="default" w:ascii="宋体" w:hAnsi="宋体" w:eastAsia="宋体" w:cs="宋体"/>
          <w:snapToGrid w:val="0"/>
          <w:color w:val="000000"/>
          <w:spacing w:val="-9"/>
          <w:kern w:val="0"/>
          <w:sz w:val="22"/>
          <w:szCs w:val="22"/>
          <w:lang w:val="en-US" w:eastAsia="en-US" w:bidi="ar-SA"/>
        </w:rPr>
        <w:t>。</w:t>
      </w:r>
    </w:p>
    <w:p w14:paraId="3EDE206A">
      <w:pPr>
        <w:pStyle w:val="79"/>
        <w:numPr>
          <w:ilvl w:val="0"/>
          <w:numId w:val="0"/>
        </w:numPr>
        <w:spacing w:before="156" w:after="156"/>
      </w:pPr>
      <w:r>
        <w:rPr>
          <w:rFonts w:hint="eastAsia" w:ascii="宋体" w:hAnsi="宋体" w:eastAsia="宋体" w:cs="宋体"/>
          <w:b/>
          <w:bCs/>
          <w:color w:val="000000"/>
          <w:kern w:val="0"/>
          <w:sz w:val="21"/>
          <w:szCs w:val="21"/>
          <w:woUserID w:val="21"/>
        </w:rPr>
        <w:t>表L.1 医育结合指导登记表</w:t>
      </w:r>
    </w:p>
    <w:tbl>
      <w:tblPr>
        <w:tblStyle w:val="2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005"/>
        <w:gridCol w:w="2074"/>
        <w:gridCol w:w="2246"/>
        <w:gridCol w:w="3019"/>
      </w:tblGrid>
      <w:tr w14:paraId="4189D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98"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63DF6D">
            <w:pPr>
              <w:pStyle w:val="180"/>
              <w:keepNext w:val="0"/>
              <w:keepLines w:val="0"/>
              <w:widowControl/>
              <w:suppressLineNumbers w:val="0"/>
              <w:rPr>
                <w:woUserID w:val="21"/>
              </w:rPr>
            </w:pPr>
            <w:r>
              <w:rPr>
                <w:rFonts w:hint="eastAsia" w:ascii="宋体" w:hAnsi="宋体" w:eastAsia="宋体" w:cs="宋体"/>
                <w:color w:val="000000"/>
                <w:spacing w:val="2"/>
                <w:kern w:val="0"/>
                <w:sz w:val="21"/>
                <w:szCs w:val="21"/>
                <w:lang w:val="en-US" w:eastAsia="zh-CN" w:bidi="ar"/>
                <w:woUserID w:val="21"/>
              </w:rPr>
              <w:t>托育机构：</w:t>
            </w:r>
            <w:r>
              <w:rPr>
                <w:rFonts w:hint="eastAsia" w:ascii="宋体" w:hAnsi="宋体" w:eastAsia="宋体" w:cs="宋体"/>
                <w:color w:val="000000"/>
                <w:kern w:val="0"/>
                <w:sz w:val="21"/>
                <w:szCs w:val="21"/>
                <w:lang w:val="en-US" w:eastAsia="zh-CN" w:bidi="ar"/>
                <w:woUserID w:val="21"/>
              </w:rPr>
              <w:t xml:space="preserve">                  </w:t>
            </w:r>
            <w:r>
              <w:rPr>
                <w:rFonts w:hint="eastAsia" w:ascii="宋体" w:hAnsi="宋体" w:eastAsia="宋体" w:cs="宋体"/>
                <w:color w:val="000000"/>
                <w:spacing w:val="2"/>
                <w:kern w:val="0"/>
                <w:sz w:val="21"/>
                <w:szCs w:val="21"/>
                <w:lang w:val="en-US" w:eastAsia="zh-CN" w:bidi="ar"/>
                <w:woUserID w:val="21"/>
              </w:rPr>
              <w:t>医 疗 机 构：                    指导日期：</w:t>
            </w:r>
          </w:p>
        </w:tc>
      </w:tr>
      <w:tr w14:paraId="59F69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604"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AD06">
            <w:pPr>
              <w:pStyle w:val="180"/>
              <w:keepNext w:val="0"/>
              <w:keepLines w:val="0"/>
              <w:widowControl/>
              <w:suppressLineNumbers w:val="0"/>
              <w:rPr>
                <w:woUserID w:val="21"/>
              </w:rPr>
            </w:pPr>
            <w:r>
              <w:rPr>
                <w:rFonts w:hint="eastAsia" w:ascii="宋体" w:hAnsi="宋体" w:eastAsia="宋体" w:cs="宋体"/>
                <w:color w:val="000000"/>
                <w:kern w:val="0"/>
                <w:sz w:val="21"/>
                <w:szCs w:val="21"/>
                <w:lang w:val="en-US" w:eastAsia="zh-CN" w:bidi="ar"/>
                <w:woUserID w:val="21"/>
              </w:rPr>
              <w:t>指导内容</w:t>
            </w:r>
          </w:p>
          <w:p w14:paraId="276648B2">
            <w:pPr>
              <w:pStyle w:val="180"/>
              <w:keepNext w:val="0"/>
              <w:keepLines w:val="0"/>
              <w:widowControl/>
              <w:suppressLineNumbers w:val="0"/>
              <w:rPr>
                <w:woUserID w:val="21"/>
              </w:rPr>
            </w:pPr>
            <w:r>
              <w:rPr>
                <w:rFonts w:hint="eastAsia" w:ascii="宋体" w:hAnsi="宋体" w:eastAsia="宋体" w:cs="宋体"/>
                <w:color w:val="000000"/>
                <w:kern w:val="0"/>
                <w:sz w:val="21"/>
                <w:szCs w:val="21"/>
                <w:lang w:val="en-US" w:eastAsia="zh-CN" w:bidi="ar"/>
                <w:woUserID w:val="21"/>
              </w:rPr>
              <w:t>(每次指导选择其</w:t>
            </w:r>
            <w:r>
              <w:rPr>
                <w:rFonts w:hint="eastAsia" w:ascii="宋体" w:hAnsi="宋体" w:eastAsia="宋体" w:cs="宋体"/>
                <w:color w:val="000000"/>
                <w:spacing w:val="2"/>
                <w:kern w:val="0"/>
                <w:sz w:val="21"/>
                <w:szCs w:val="21"/>
                <w:lang w:val="en-US" w:eastAsia="zh-CN" w:bidi="ar"/>
                <w:woUserID w:val="21"/>
              </w:rPr>
              <w:t xml:space="preserve"> </w:t>
            </w:r>
            <w:r>
              <w:rPr>
                <w:rFonts w:hint="eastAsia" w:ascii="宋体" w:hAnsi="宋体" w:eastAsia="宋体" w:cs="宋体"/>
                <w:color w:val="000000"/>
                <w:spacing w:val="1"/>
                <w:kern w:val="0"/>
                <w:sz w:val="21"/>
                <w:szCs w:val="21"/>
                <w:lang w:val="en-US" w:eastAsia="zh-CN" w:bidi="ar"/>
                <w:woUserID w:val="21"/>
              </w:rPr>
              <w:t>中一项或者若干</w:t>
            </w:r>
            <w:r>
              <w:rPr>
                <w:rFonts w:hint="eastAsia" w:ascii="宋体" w:hAnsi="宋体" w:eastAsia="宋体" w:cs="宋体"/>
                <w:color w:val="000000"/>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项，打</w:t>
            </w:r>
            <w:r>
              <w:rPr>
                <w:rFonts w:hint="eastAsia" w:ascii="宋体" w:hAnsi="宋体" w:eastAsia="宋体" w:cs="宋体"/>
                <w:color w:val="000000"/>
                <w:spacing w:val="-39"/>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w:t>
            </w:r>
            <w:r>
              <w:rPr>
                <w:rFonts w:hint="eastAsia" w:ascii="宋体" w:hAnsi="宋体" w:eastAsia="宋体" w:cs="宋体"/>
                <w:color w:val="000000"/>
                <w:spacing w:val="-109"/>
                <w:kern w:val="0"/>
                <w:sz w:val="21"/>
                <w:szCs w:val="21"/>
                <w:lang w:val="en-US" w:eastAsia="zh-CN" w:bidi="ar"/>
                <w:woUserID w:val="21"/>
              </w:rPr>
              <w:t xml:space="preserve"> </w:t>
            </w:r>
            <w:r>
              <w:rPr>
                <w:rFonts w:hint="eastAsia" w:ascii="宋体" w:hAnsi="宋体" w:eastAsia="宋体" w:cs="宋体"/>
                <w:color w:val="000000"/>
                <w:spacing w:val="-12"/>
                <w:kern w:val="0"/>
                <w:sz w:val="21"/>
                <w:szCs w:val="21"/>
                <w:lang w:val="en-US" w:eastAsia="zh-CN" w:bidi="ar"/>
                <w:woUserID w:val="21"/>
              </w:rPr>
              <w:t>)</w:t>
            </w:r>
          </w:p>
        </w:tc>
        <w:tc>
          <w:tcPr>
            <w:tcW w:w="39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E5477">
            <w:pPr>
              <w:pStyle w:val="180"/>
              <w:keepNext w:val="0"/>
              <w:keepLines w:val="0"/>
              <w:widowControl/>
              <w:suppressLineNumbers w:val="0"/>
              <w:rPr>
                <w:woUserID w:val="21"/>
              </w:rPr>
            </w:pPr>
          </w:p>
        </w:tc>
      </w:tr>
      <w:tr w14:paraId="4396E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99"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7F948">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指导方式：</w:t>
            </w:r>
            <w:r>
              <w:rPr>
                <w:rFonts w:hint="eastAsia" w:ascii="宋体" w:hAnsi="宋体" w:eastAsia="宋体" w:cs="宋体"/>
                <w:color w:val="000000"/>
                <w:spacing w:val="-25"/>
                <w:kern w:val="0"/>
                <w:sz w:val="21"/>
                <w:szCs w:val="21"/>
                <w:lang w:val="en-US" w:eastAsia="zh-CN" w:bidi="ar"/>
                <w:woUserID w:val="21"/>
              </w:rPr>
              <w:t>(打</w:t>
            </w:r>
            <w:r>
              <w:rPr>
                <w:rFonts w:hint="eastAsia" w:ascii="宋体" w:hAnsi="宋体" w:eastAsia="宋体" w:cs="宋体"/>
                <w:color w:val="000000"/>
                <w:spacing w:val="-20"/>
                <w:kern w:val="0"/>
                <w:sz w:val="21"/>
                <w:szCs w:val="21"/>
                <w:lang w:val="en-US" w:eastAsia="zh-CN" w:bidi="ar"/>
                <w:woUserID w:val="21"/>
              </w:rPr>
              <w:t xml:space="preserve"> </w:t>
            </w:r>
            <w:r>
              <w:rPr>
                <w:rFonts w:hint="eastAsia" w:ascii="宋体" w:hAnsi="宋体" w:eastAsia="宋体" w:cs="宋体"/>
                <w:color w:val="000000"/>
                <w:spacing w:val="-25"/>
                <w:kern w:val="0"/>
                <w:sz w:val="21"/>
                <w:szCs w:val="21"/>
                <w:lang w:val="en-US" w:eastAsia="zh-CN" w:bidi="ar"/>
                <w:woUserID w:val="21"/>
              </w:rPr>
              <w:t>√</w:t>
            </w:r>
            <w:r>
              <w:rPr>
                <w:rFonts w:hint="eastAsia" w:ascii="宋体" w:hAnsi="宋体" w:eastAsia="宋体" w:cs="宋体"/>
                <w:color w:val="000000"/>
                <w:spacing w:val="-88"/>
                <w:kern w:val="0"/>
                <w:sz w:val="21"/>
                <w:szCs w:val="21"/>
                <w:lang w:val="en-US" w:eastAsia="zh-CN" w:bidi="ar"/>
                <w:woUserID w:val="21"/>
              </w:rPr>
              <w:t xml:space="preserve"> </w:t>
            </w:r>
            <w:r>
              <w:rPr>
                <w:rFonts w:hint="eastAsia" w:ascii="宋体" w:hAnsi="宋体" w:eastAsia="宋体" w:cs="宋体"/>
                <w:color w:val="000000"/>
                <w:spacing w:val="-25"/>
                <w:kern w:val="0"/>
                <w:sz w:val="21"/>
                <w:szCs w:val="21"/>
                <w:lang w:val="en-US" w:eastAsia="zh-CN" w:bidi="ar"/>
                <w:woUserID w:val="21"/>
              </w:rPr>
              <w:t>)</w:t>
            </w:r>
          </w:p>
        </w:tc>
        <w:tc>
          <w:tcPr>
            <w:tcW w:w="39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06353">
            <w:pPr>
              <w:pStyle w:val="180"/>
              <w:keepNext w:val="0"/>
              <w:keepLines w:val="0"/>
              <w:widowControl/>
              <w:suppressLineNumbers w:val="0"/>
              <w:rPr>
                <w:woUserID w:val="21"/>
              </w:rPr>
            </w:pPr>
            <w:r>
              <w:rPr>
                <w:rFonts w:hint="eastAsia" w:ascii="宋体" w:hAnsi="宋体" w:eastAsia="宋体" w:cs="宋体"/>
                <w:color w:val="000000"/>
                <w:spacing w:val="-1"/>
                <w:kern w:val="0"/>
                <w:position w:val="1"/>
                <w:sz w:val="21"/>
                <w:szCs w:val="21"/>
                <w:lang w:val="en-US" w:eastAsia="zh-CN" w:bidi="ar"/>
                <w:woUserID w:val="21"/>
              </w:rPr>
              <w:t>口现场指导</w:t>
            </w:r>
            <w:r>
              <w:rPr>
                <w:rFonts w:hint="eastAsia" w:ascii="宋体" w:hAnsi="宋体" w:eastAsia="宋体" w:cs="宋体"/>
                <w:color w:val="000000"/>
                <w:spacing w:val="26"/>
                <w:kern w:val="0"/>
                <w:position w:val="1"/>
                <w:sz w:val="21"/>
                <w:szCs w:val="21"/>
                <w:lang w:val="en-US" w:eastAsia="zh-CN" w:bidi="ar"/>
                <w:woUserID w:val="21"/>
              </w:rPr>
              <w:t xml:space="preserve">  </w:t>
            </w:r>
            <w:r>
              <w:rPr>
                <w:rFonts w:hint="eastAsia" w:ascii="宋体" w:hAnsi="宋体" w:eastAsia="宋体" w:cs="宋体"/>
                <w:color w:val="000000"/>
                <w:spacing w:val="-1"/>
                <w:kern w:val="0"/>
                <w:sz w:val="21"/>
                <w:szCs w:val="21"/>
                <w:lang w:val="en-US" w:eastAsia="zh-CN" w:bidi="ar"/>
                <w:woUserID w:val="21"/>
              </w:rPr>
              <w:t>口健康体检</w:t>
            </w:r>
            <w:r>
              <w:rPr>
                <w:rFonts w:hint="eastAsia" w:ascii="宋体" w:hAnsi="宋体" w:eastAsia="宋体" w:cs="宋体"/>
                <w:color w:val="000000"/>
                <w:spacing w:val="54"/>
                <w:kern w:val="0"/>
                <w:sz w:val="21"/>
                <w:szCs w:val="21"/>
                <w:lang w:val="en-US" w:eastAsia="zh-CN" w:bidi="ar"/>
                <w:woUserID w:val="21"/>
              </w:rPr>
              <w:t xml:space="preserve">  </w:t>
            </w:r>
            <w:r>
              <w:rPr>
                <w:rFonts w:hint="eastAsia" w:ascii="宋体" w:hAnsi="宋体" w:eastAsia="宋体" w:cs="宋体"/>
                <w:color w:val="000000"/>
                <w:spacing w:val="-1"/>
                <w:kern w:val="0"/>
                <w:position w:val="-1"/>
                <w:sz w:val="21"/>
                <w:szCs w:val="21"/>
                <w:lang w:val="en-US" w:eastAsia="zh-CN" w:bidi="ar"/>
                <w:woUserID w:val="21"/>
              </w:rPr>
              <w:t>口集中培训</w:t>
            </w:r>
            <w:r>
              <w:rPr>
                <w:rFonts w:hint="eastAsia" w:ascii="宋体" w:hAnsi="宋体" w:eastAsia="宋体" w:cs="宋体"/>
                <w:color w:val="000000"/>
                <w:spacing w:val="70"/>
                <w:kern w:val="0"/>
                <w:position w:val="-1"/>
                <w:sz w:val="21"/>
                <w:szCs w:val="21"/>
                <w:lang w:val="en-US" w:eastAsia="zh-CN" w:bidi="ar"/>
                <w:woUserID w:val="21"/>
              </w:rPr>
              <w:t xml:space="preserve"> </w:t>
            </w:r>
            <w:r>
              <w:rPr>
                <w:rFonts w:hint="eastAsia" w:ascii="宋体" w:hAnsi="宋体" w:eastAsia="宋体" w:cs="宋体"/>
                <w:color w:val="000000"/>
                <w:spacing w:val="-1"/>
                <w:kern w:val="0"/>
                <w:position w:val="-1"/>
                <w:sz w:val="21"/>
                <w:szCs w:val="21"/>
                <w:lang w:val="en-US" w:eastAsia="zh-CN" w:bidi="ar"/>
                <w:woUserID w:val="21"/>
              </w:rPr>
              <w:t>口其他</w:t>
            </w:r>
          </w:p>
        </w:tc>
      </w:tr>
      <w:tr w14:paraId="17B7D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480"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151F">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发现问题：</w:t>
            </w:r>
          </w:p>
        </w:tc>
        <w:tc>
          <w:tcPr>
            <w:tcW w:w="39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3EE2D">
            <w:pPr>
              <w:pStyle w:val="180"/>
              <w:keepNext w:val="0"/>
              <w:keepLines w:val="0"/>
              <w:widowControl/>
              <w:suppressLineNumbers w:val="0"/>
              <w:rPr>
                <w:woUserID w:val="21"/>
              </w:rPr>
            </w:pPr>
          </w:p>
        </w:tc>
      </w:tr>
      <w:tr w14:paraId="5E753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40"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F0FB">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指导建议：</w:t>
            </w:r>
          </w:p>
        </w:tc>
        <w:tc>
          <w:tcPr>
            <w:tcW w:w="39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7C6FC">
            <w:pPr>
              <w:pStyle w:val="180"/>
              <w:keepNext w:val="0"/>
              <w:keepLines w:val="0"/>
              <w:widowControl/>
              <w:suppressLineNumbers w:val="0"/>
              <w:rPr>
                <w:woUserID w:val="21"/>
              </w:rPr>
            </w:pPr>
          </w:p>
        </w:tc>
      </w:tr>
      <w:tr w14:paraId="245CD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360"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2ACD">
            <w:pPr>
              <w:pStyle w:val="180"/>
              <w:keepNext w:val="0"/>
              <w:keepLines w:val="0"/>
              <w:widowControl/>
              <w:suppressLineNumbers w:val="0"/>
              <w:rPr>
                <w:woUserID w:val="21"/>
              </w:rPr>
            </w:pPr>
            <w:r>
              <w:rPr>
                <w:rFonts w:hint="eastAsia" w:ascii="宋体" w:hAnsi="宋体" w:eastAsia="宋体" w:cs="宋体"/>
                <w:color w:val="000000"/>
                <w:spacing w:val="-1"/>
                <w:kern w:val="0"/>
                <w:sz w:val="21"/>
                <w:szCs w:val="21"/>
                <w:lang w:val="en-US" w:eastAsia="zh-CN" w:bidi="ar"/>
                <w:woUserID w:val="21"/>
              </w:rPr>
              <w:t>跟踪落实：</w:t>
            </w:r>
          </w:p>
        </w:tc>
        <w:tc>
          <w:tcPr>
            <w:tcW w:w="39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952F7">
            <w:pPr>
              <w:pStyle w:val="180"/>
              <w:keepNext w:val="0"/>
              <w:keepLines w:val="0"/>
              <w:widowControl/>
              <w:suppressLineNumbers w:val="0"/>
              <w:rPr>
                <w:woUserID w:val="21"/>
              </w:rPr>
            </w:pPr>
          </w:p>
        </w:tc>
      </w:tr>
      <w:tr w14:paraId="6843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64" w:hRule="atLeast"/>
        </w:trPr>
        <w:tc>
          <w:tcPr>
            <w:tcW w:w="10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432C">
            <w:pPr>
              <w:pStyle w:val="180"/>
              <w:keepNext w:val="0"/>
              <w:keepLines w:val="0"/>
              <w:widowControl/>
              <w:suppressLineNumbers w:val="0"/>
              <w:rPr>
                <w:woUserID w:val="21"/>
              </w:rPr>
            </w:pPr>
            <w:r>
              <w:rPr>
                <w:rFonts w:hint="eastAsia" w:ascii="宋体" w:hAnsi="宋体" w:eastAsia="宋体" w:cs="宋体"/>
                <w:color w:val="000000"/>
                <w:spacing w:val="7"/>
                <w:kern w:val="0"/>
                <w:sz w:val="21"/>
                <w:szCs w:val="21"/>
                <w:lang w:val="en-US" w:eastAsia="zh-CN" w:bidi="ar"/>
                <w:woUserID w:val="21"/>
              </w:rPr>
              <w:t xml:space="preserve"> 健康管理员</w:t>
            </w:r>
            <w:r>
              <w:rPr>
                <w:rFonts w:hint="eastAsia" w:ascii="宋体" w:hAnsi="宋体" w:eastAsia="宋体" w:cs="宋体"/>
                <w:color w:val="000000"/>
                <w:spacing w:val="18"/>
                <w:kern w:val="0"/>
                <w:sz w:val="21"/>
                <w:szCs w:val="21"/>
                <w:lang w:val="en-US" w:eastAsia="zh-CN" w:bidi="ar"/>
                <w:woUserID w:val="21"/>
              </w:rPr>
              <w:t>签名</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B7F09">
            <w:pPr>
              <w:pStyle w:val="180"/>
              <w:keepNext w:val="0"/>
              <w:keepLines w:val="0"/>
              <w:widowControl/>
              <w:suppressLineNumbers w:val="0"/>
              <w:rPr>
                <w:woUserID w:val="21"/>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1460">
            <w:pPr>
              <w:pStyle w:val="180"/>
              <w:keepNext w:val="0"/>
              <w:keepLines w:val="0"/>
              <w:widowControl/>
              <w:suppressLineNumbers w:val="0"/>
              <w:rPr>
                <w:woUserID w:val="21"/>
              </w:rPr>
            </w:pPr>
            <w:r>
              <w:rPr>
                <w:rFonts w:hint="eastAsia" w:ascii="宋体" w:hAnsi="宋体" w:eastAsia="宋体" w:cs="宋体"/>
                <w:color w:val="000000"/>
                <w:spacing w:val="4"/>
                <w:kern w:val="0"/>
                <w:sz w:val="21"/>
                <w:szCs w:val="21"/>
                <w:lang w:val="en-US" w:eastAsia="zh-CN" w:bidi="ar"/>
                <w:woUserID w:val="21"/>
              </w:rPr>
              <w:t>托育机构</w:t>
            </w:r>
            <w:r>
              <w:rPr>
                <w:rFonts w:hint="eastAsia" w:ascii="宋体" w:hAnsi="宋体" w:eastAsia="宋体" w:cs="宋体"/>
                <w:color w:val="000000"/>
                <w:spacing w:val="7"/>
                <w:kern w:val="0"/>
                <w:sz w:val="21"/>
                <w:szCs w:val="21"/>
                <w:lang w:val="en-US" w:eastAsia="zh-CN" w:bidi="ar"/>
                <w:woUserID w:val="21"/>
              </w:rPr>
              <w:t>负责人签名</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top"/>
          </w:tcPr>
          <w:p w14:paraId="31C49DBD">
            <w:pPr>
              <w:pStyle w:val="180"/>
              <w:keepNext w:val="0"/>
              <w:keepLines w:val="0"/>
              <w:widowControl/>
              <w:suppressLineNumbers w:val="0"/>
              <w:rPr>
                <w:woUserID w:val="21"/>
              </w:rPr>
            </w:pPr>
          </w:p>
        </w:tc>
      </w:tr>
    </w:tbl>
    <w:p w14:paraId="10E97F9C">
      <w:pPr>
        <w:keepNext w:val="0"/>
        <w:keepLines w:val="0"/>
        <w:widowControl/>
        <w:suppressLineNumbers w:val="0"/>
        <w:spacing w:before="68" w:beforeAutospacing="0" w:after="0" w:afterAutospacing="1"/>
        <w:ind w:left="0" w:right="0" w:firstLine="214" w:firstLineChars="100"/>
        <w:jc w:val="both"/>
        <w:rPr>
          <w:woUserID w:val="21"/>
        </w:rPr>
      </w:pPr>
      <w:r>
        <w:rPr>
          <w:rFonts w:hint="eastAsia" w:ascii="宋体" w:hAnsi="宋体" w:eastAsia="宋体" w:cs="宋体"/>
          <w:color w:val="000000"/>
          <w:spacing w:val="2"/>
          <w:kern w:val="0"/>
          <w:sz w:val="21"/>
          <w:szCs w:val="21"/>
          <w:lang w:val="en-US" w:eastAsia="zh-CN" w:bidi="ar"/>
          <w:woUserID w:val="21"/>
        </w:rPr>
        <w:t xml:space="preserve"> </w:t>
      </w:r>
    </w:p>
    <w:p w14:paraId="1A3AFDB8">
      <w:pPr>
        <w:pStyle w:val="26"/>
        <w:keepNext w:val="0"/>
        <w:keepLines w:val="0"/>
        <w:widowControl/>
        <w:suppressLineNumbers w:val="0"/>
        <w:spacing w:before="0" w:beforeAutospacing="1" w:after="0" w:afterAutospacing="1"/>
        <w:ind w:left="0" w:right="0"/>
        <w:jc w:val="both"/>
        <w:rPr>
          <w:woUserID w:val="21"/>
        </w:rPr>
      </w:pPr>
      <w:r>
        <w:rPr>
          <w:rFonts w:hint="default" w:ascii="Arial" w:hAnsi="Arial" w:cs="Arial"/>
          <w:color w:val="000000"/>
          <w:kern w:val="0"/>
          <w:sz w:val="21"/>
          <w:szCs w:val="21"/>
          <w:woUserID w:val="21"/>
        </w:rPr>
        <w:t xml:space="preserve"> </w:t>
      </w:r>
    </w:p>
    <w:p w14:paraId="19F4DC58">
      <w:pPr>
        <w:pStyle w:val="78"/>
        <w:numPr>
          <w:ilvl w:val="0"/>
          <w:numId w:val="0"/>
        </w:numPr>
        <w:spacing w:after="156"/>
        <w:ind w:left="420" w:hanging="404" w:hangingChars="200"/>
        <w:rPr>
          <w:color w:val="0000FF"/>
        </w:rPr>
      </w:pPr>
      <w:r>
        <w:rPr>
          <w:rFonts w:ascii="黑体" w:hAnsi="黑体" w:eastAsia="黑体" w:cs="黑体"/>
          <w:snapToGrid w:val="0"/>
          <w:color w:val="0000FF"/>
          <w:spacing w:val="-9"/>
          <w:kern w:val="0"/>
          <w:sz w:val="22"/>
          <w:szCs w:val="22"/>
          <w:lang w:val="en-US" w:eastAsia="en-US" w:bidi="ar-SA"/>
        </w:rPr>
        <w:t>附  录</w:t>
      </w:r>
      <w:r>
        <w:rPr>
          <w:rFonts w:ascii="黑体" w:hAnsi="黑体" w:eastAsia="黑体" w:cs="黑体"/>
          <w:snapToGrid w:val="0"/>
          <w:color w:val="0000FF"/>
          <w:spacing w:val="94"/>
          <w:kern w:val="0"/>
          <w:sz w:val="22"/>
          <w:szCs w:val="22"/>
          <w:lang w:val="en-US" w:eastAsia="en-US" w:bidi="ar-SA"/>
        </w:rPr>
        <w:t xml:space="preserve"> </w:t>
      </w:r>
      <w:r>
        <w:rPr>
          <w:rFonts w:hint="eastAsia" w:ascii="黑体" w:hAnsi="黑体" w:eastAsia="黑体" w:cs="黑体"/>
          <w:snapToGrid w:val="0"/>
          <w:color w:val="0000FF"/>
          <w:spacing w:val="94"/>
          <w:kern w:val="0"/>
          <w:sz w:val="22"/>
          <w:szCs w:val="22"/>
          <w:lang w:val="en-US" w:eastAsia="zh-CN" w:bidi="ar-SA"/>
        </w:rPr>
        <w:t>M</w:t>
      </w:r>
    </w:p>
    <w:p w14:paraId="60D09D22">
      <w:pPr>
        <w:pStyle w:val="78"/>
        <w:numPr>
          <w:ilvl w:val="0"/>
          <w:numId w:val="0"/>
        </w:numPr>
        <w:spacing w:after="156"/>
        <w:ind w:left="0" w:firstLine="0" w:firstLineChars="0"/>
      </w:pPr>
      <w:r>
        <w:rPr>
          <w:rFonts w:ascii="黑体" w:hAnsi="黑体" w:eastAsia="黑体" w:cs="黑体"/>
          <w:snapToGrid w:val="0"/>
          <w:color w:val="000000"/>
          <w:spacing w:val="-4"/>
          <w:kern w:val="0"/>
          <w:sz w:val="22"/>
          <w:szCs w:val="22"/>
          <w:lang w:val="en-US" w:eastAsia="en-US" w:bidi="ar-SA"/>
        </w:rPr>
        <w:t>(资料性)</w:t>
      </w:r>
    </w:p>
    <w:p w14:paraId="3DDFD06E">
      <w:pPr>
        <w:pStyle w:val="89"/>
      </w:pPr>
      <w:r>
        <w:rPr>
          <w:rFonts w:hint="eastAsia" w:ascii="宋体" w:hAnsi="宋体" w:eastAsia="宋体" w:cs="宋体"/>
          <w:b/>
          <w:bCs/>
          <w:color w:val="000000"/>
          <w:kern w:val="0"/>
          <w:sz w:val="21"/>
          <w:szCs w:val="21"/>
          <w:woUserID w:val="21"/>
        </w:rPr>
        <w:t>特需情况婴幼儿指导登记</w:t>
      </w:r>
      <w:r>
        <w:rPr>
          <w:rFonts w:hint="eastAsia" w:ascii="宋体" w:hAnsi="宋体" w:eastAsia="宋体" w:cs="宋体"/>
          <w:b/>
          <w:bCs/>
          <w:kern w:val="0"/>
          <w:sz w:val="21"/>
          <w:szCs w:val="21"/>
          <w:lang w:bidi="ar"/>
          <w:woUserID w:val="0"/>
        </w:rPr>
        <w:t>表</w:t>
      </w:r>
    </w:p>
    <w:p w14:paraId="4DA3A058">
      <w:pPr>
        <w:pStyle w:val="14"/>
        <w:keepNext w:val="0"/>
        <w:keepLines w:val="0"/>
        <w:widowControl/>
        <w:suppressLineNumbers w:val="0"/>
        <w:kinsoku w:val="0"/>
        <w:snapToGrid w:val="0"/>
        <w:spacing w:before="54" w:beforeAutospacing="0" w:after="0" w:afterAutospacing="0" w:line="221" w:lineRule="auto"/>
        <w:ind w:right="0"/>
        <w:textAlignment w:val="baseline"/>
        <w:outlineLvl w:val="0"/>
        <w:rPr>
          <w:rFonts w:hint="eastAsia" w:ascii="宋体" w:hAnsi="宋体" w:eastAsia="宋体" w:cs="宋体"/>
          <w:b/>
          <w:bCs/>
          <w:color w:val="000000"/>
          <w:kern w:val="0"/>
          <w:sz w:val="21"/>
          <w:szCs w:val="21"/>
          <w:woUserID w:val="21"/>
        </w:rPr>
      </w:pPr>
    </w:p>
    <w:p w14:paraId="2264F73E">
      <w:pPr>
        <w:pStyle w:val="58"/>
        <w:ind w:firstLine="420"/>
      </w:pPr>
      <w:r>
        <w:rPr>
          <w:rFonts w:hint="default" w:ascii="宋体" w:hAnsi="宋体" w:eastAsia="宋体" w:cs="宋体"/>
          <w:snapToGrid w:val="0"/>
          <w:color w:val="000000"/>
          <w:spacing w:val="-9"/>
          <w:kern w:val="0"/>
          <w:sz w:val="22"/>
          <w:szCs w:val="22"/>
          <w:lang w:val="en-US" w:eastAsia="en-US" w:bidi="ar-SA"/>
        </w:rPr>
        <w:t>本附录给出了本文件所需使用的记录表样式，托育机构可结合实际工作需要增加栏目，但不得删改必备栏目</w:t>
      </w:r>
      <w:r>
        <w:rPr>
          <w:rFonts w:hint="default" w:ascii="宋体" w:hAnsi="宋体" w:cs="宋体"/>
          <w:snapToGrid w:val="0"/>
          <w:color w:val="000000"/>
          <w:spacing w:val="-9"/>
          <w:kern w:val="0"/>
          <w:sz w:val="22"/>
          <w:szCs w:val="22"/>
          <w:lang w:val="en-US" w:eastAsia="en-US" w:bidi="ar-SA"/>
        </w:rPr>
        <w:t>,</w:t>
      </w:r>
      <w:r>
        <w:rPr>
          <w:rFonts w:ascii="宋体" w:hAnsi="宋体" w:eastAsia="宋体" w:cs="宋体"/>
          <w:snapToGrid w:val="0"/>
          <w:color w:val="000000"/>
          <w:spacing w:val="-9"/>
          <w:kern w:val="0"/>
          <w:sz w:val="22"/>
          <w:szCs w:val="22"/>
          <w:lang w:eastAsia="en-US"/>
        </w:rPr>
        <w:t>见表M.1</w:t>
      </w:r>
      <w:r>
        <w:rPr>
          <w:rFonts w:hint="default" w:ascii="宋体" w:hAnsi="宋体" w:eastAsia="宋体" w:cs="宋体"/>
          <w:snapToGrid w:val="0"/>
          <w:color w:val="000000"/>
          <w:spacing w:val="-9"/>
          <w:kern w:val="0"/>
          <w:sz w:val="22"/>
          <w:szCs w:val="22"/>
          <w:lang w:val="en-US" w:eastAsia="en-US" w:bidi="ar-SA"/>
        </w:rPr>
        <w:t>。</w:t>
      </w:r>
    </w:p>
    <w:p w14:paraId="3AEBC1BC">
      <w:pPr>
        <w:pStyle w:val="79"/>
        <w:numPr>
          <w:ilvl w:val="0"/>
          <w:numId w:val="0"/>
        </w:numPr>
        <w:spacing w:before="156" w:after="156"/>
      </w:pPr>
      <w:r>
        <w:rPr>
          <w:rFonts w:hint="eastAsia" w:ascii="宋体" w:hAnsi="宋体" w:eastAsia="宋体" w:cs="宋体"/>
          <w:b/>
          <w:bCs/>
          <w:color w:val="000000"/>
          <w:kern w:val="0"/>
          <w:sz w:val="21"/>
          <w:szCs w:val="21"/>
          <w:woUserID w:val="21"/>
        </w:rPr>
        <w:t>表M.1 特需情况婴幼儿指导登记表</w:t>
      </w:r>
    </w:p>
    <w:tbl>
      <w:tblPr>
        <w:tblStyle w:val="28"/>
        <w:tblW w:w="90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4984"/>
        <w:gridCol w:w="30"/>
        <w:gridCol w:w="4036"/>
        <w:gridCol w:w="39"/>
      </w:tblGrid>
      <w:tr w14:paraId="32E47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0" w:hRule="atLeast"/>
          <w:jc w:val="center"/>
        </w:trPr>
        <w:tc>
          <w:tcPr>
            <w:tcW w:w="49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0ED00E">
            <w:pPr>
              <w:pStyle w:val="180"/>
              <w:keepNext w:val="0"/>
              <w:keepLines w:val="0"/>
              <w:widowControl/>
              <w:suppressLineNumbers w:val="0"/>
              <w:snapToGrid w:val="0"/>
              <w:rPr>
                <w:woUserID w:val="21"/>
              </w:rPr>
            </w:pPr>
            <w:r>
              <w:rPr>
                <w:rFonts w:hint="eastAsia" w:ascii="宋体" w:hAnsi="宋体" w:eastAsia="宋体" w:cs="宋体"/>
                <w:color w:val="000000"/>
                <w:spacing w:val="2"/>
                <w:kern w:val="0"/>
                <w:sz w:val="21"/>
                <w:szCs w:val="21"/>
                <w:lang w:val="en-US" w:eastAsia="zh-CN" w:bidi="ar"/>
                <w:woUserID w:val="21"/>
              </w:rPr>
              <w:t>托育机构：</w:t>
            </w:r>
            <w:r>
              <w:rPr>
                <w:rFonts w:hint="eastAsia" w:ascii="宋体" w:hAnsi="宋体" w:eastAsia="宋体" w:cs="宋体"/>
                <w:color w:val="000000"/>
                <w:kern w:val="0"/>
                <w:sz w:val="21"/>
                <w:szCs w:val="21"/>
                <w:lang w:val="en-US" w:eastAsia="zh-CN" w:bidi="ar"/>
                <w:woUserID w:val="21"/>
              </w:rPr>
              <w:t xml:space="preserve">                  </w:t>
            </w:r>
            <w:r>
              <w:rPr>
                <w:rFonts w:hint="eastAsia" w:ascii="宋体" w:hAnsi="宋体" w:eastAsia="宋体" w:cs="宋体"/>
                <w:color w:val="000000"/>
                <w:spacing w:val="2"/>
                <w:kern w:val="0"/>
                <w:sz w:val="21"/>
                <w:szCs w:val="21"/>
                <w:lang w:val="en-US" w:eastAsia="zh-CN" w:bidi="ar"/>
                <w:woUserID w:val="21"/>
              </w:rPr>
              <w:t>医 疗 机 构：                    指导日期：</w:t>
            </w:r>
          </w:p>
        </w:tc>
      </w:tr>
      <w:tr w14:paraId="5A89C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620B">
            <w:pPr>
              <w:pStyle w:val="180"/>
              <w:keepNext w:val="0"/>
              <w:keepLines w:val="0"/>
              <w:widowControl/>
              <w:suppressLineNumbers w:val="0"/>
              <w:snapToGrid w:val="0"/>
              <w:rPr>
                <w:woUserID w:val="21"/>
              </w:rPr>
            </w:pPr>
            <w:r>
              <w:rPr>
                <w:rFonts w:ascii="Segoe UI" w:hAnsi="Segoe UI" w:eastAsia="Segoe UI" w:cs="Segoe UI"/>
                <w:i w:val="0"/>
                <w:iCs w:val="0"/>
                <w:caps w:val="0"/>
                <w:color w:val="0F1115"/>
                <w:spacing w:val="0"/>
                <w:kern w:val="0"/>
                <w:sz w:val="22"/>
                <w:szCs w:val="22"/>
                <w:shd w:val="clear" w:fill="FFFFFF"/>
                <w:lang w:val="en-US" w:eastAsia="zh-CN" w:bidi="ar"/>
                <w:woUserID w:val="21"/>
              </w:rPr>
              <w:t>儿童姓名</w:t>
            </w:r>
            <w:r>
              <w:rPr>
                <w:rFonts w:hint="default" w:ascii="Segoe UI" w:hAnsi="Segoe UI" w:eastAsia="Segoe UI" w:cs="Segoe UI"/>
                <w:i w:val="0"/>
                <w:iCs w:val="0"/>
                <w:caps w:val="0"/>
                <w:color w:val="0F1115"/>
                <w:spacing w:val="0"/>
                <w:kern w:val="0"/>
                <w:sz w:val="22"/>
                <w:szCs w:val="22"/>
                <w:shd w:val="clear" w:fill="FFFFFF"/>
                <w:lang w:val="en-US" w:eastAsia="zh-CN" w:bidi="ar"/>
                <w:woUserID w:val="21"/>
              </w:rPr>
              <w:t>及监护人联系方式</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ACAD1">
            <w:pPr>
              <w:pStyle w:val="180"/>
              <w:keepNext w:val="0"/>
              <w:keepLines w:val="0"/>
              <w:widowControl/>
              <w:suppressLineNumbers w:val="0"/>
              <w:snapToGrid w:val="0"/>
              <w:rPr>
                <w:woUserID w:val="21"/>
              </w:rPr>
            </w:pPr>
          </w:p>
        </w:tc>
      </w:tr>
      <w:tr w14:paraId="5BB1C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9F5A">
            <w:pPr>
              <w:pStyle w:val="180"/>
              <w:keepNext w:val="0"/>
              <w:keepLines w:val="0"/>
              <w:widowControl/>
              <w:suppressLineNumbers w:val="0"/>
              <w:snapToGrid w:val="0"/>
              <w:rPr>
                <w:woUserID w:val="21"/>
              </w:rPr>
            </w:pPr>
            <w:r>
              <w:rPr>
                <w:rFonts w:hint="default" w:ascii="Segoe UI" w:hAnsi="Segoe UI" w:eastAsia="Segoe UI" w:cs="Segoe UI"/>
                <w:i w:val="0"/>
                <w:iCs w:val="0"/>
                <w:caps w:val="0"/>
                <w:color w:val="0F1115"/>
                <w:spacing w:val="0"/>
                <w:kern w:val="0"/>
                <w:sz w:val="22"/>
                <w:szCs w:val="22"/>
                <w:shd w:val="clear" w:fill="FFFFFF"/>
                <w:lang w:val="en-US" w:eastAsia="zh-CN" w:bidi="ar"/>
                <w:woUserID w:val="21"/>
              </w:rPr>
              <w:t>需要关注的特殊症状/行为（请具体描述表现、频率、情境等）</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24205">
            <w:pPr>
              <w:pStyle w:val="180"/>
              <w:keepNext w:val="0"/>
              <w:keepLines w:val="0"/>
              <w:widowControl/>
              <w:suppressLineNumbers w:val="0"/>
              <w:snapToGrid w:val="0"/>
              <w:rPr>
                <w:woUserID w:val="21"/>
              </w:rPr>
            </w:pPr>
          </w:p>
        </w:tc>
      </w:tr>
      <w:tr w14:paraId="21FB9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47D4">
            <w:pPr>
              <w:pStyle w:val="180"/>
              <w:keepNext w:val="0"/>
              <w:keepLines w:val="0"/>
              <w:widowControl/>
              <w:suppressLineNumbers w:val="0"/>
              <w:snapToGrid w:val="0"/>
              <w:rPr>
                <w:woUserID w:val="21"/>
              </w:rPr>
            </w:pPr>
            <w:r>
              <w:rPr>
                <w:rFonts w:hint="default" w:ascii="Segoe UI" w:hAnsi="Segoe UI" w:eastAsia="Segoe UI" w:cs="Segoe UI"/>
                <w:i w:val="0"/>
                <w:iCs w:val="0"/>
                <w:caps w:val="0"/>
                <w:color w:val="0F1115"/>
                <w:spacing w:val="0"/>
                <w:kern w:val="0"/>
                <w:sz w:val="22"/>
                <w:szCs w:val="22"/>
                <w:shd w:val="clear" w:fill="FFFFFF"/>
                <w:lang w:val="en-US" w:eastAsia="zh-CN" w:bidi="ar"/>
                <w:woUserID w:val="21"/>
              </w:rPr>
              <w:t>已采取的支持措施（机构或家庭已在实施的干预/照护方法）</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0A005">
            <w:pPr>
              <w:pStyle w:val="180"/>
              <w:keepNext w:val="0"/>
              <w:keepLines w:val="0"/>
              <w:widowControl/>
              <w:suppressLineNumbers w:val="0"/>
              <w:snapToGrid w:val="0"/>
              <w:rPr>
                <w:woUserID w:val="21"/>
              </w:rPr>
            </w:pPr>
          </w:p>
        </w:tc>
      </w:tr>
      <w:tr w14:paraId="53F03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47CE">
            <w:pPr>
              <w:pStyle w:val="180"/>
              <w:keepNext w:val="0"/>
              <w:keepLines w:val="0"/>
              <w:widowControl/>
              <w:suppressLineNumbers w:val="0"/>
              <w:snapToGrid w:val="0"/>
              <w:rPr>
                <w:woUserID w:val="21"/>
              </w:rPr>
            </w:pPr>
            <w:r>
              <w:rPr>
                <w:rFonts w:hint="default" w:ascii="Segoe UI" w:hAnsi="Segoe UI" w:eastAsia="Segoe UI" w:cs="Segoe UI"/>
                <w:i w:val="0"/>
                <w:iCs w:val="0"/>
                <w:caps w:val="0"/>
                <w:color w:val="0F1115"/>
                <w:spacing w:val="0"/>
                <w:kern w:val="0"/>
                <w:sz w:val="22"/>
                <w:szCs w:val="22"/>
                <w:shd w:val="clear" w:fill="FFFFFF"/>
                <w:lang w:val="en-US" w:eastAsia="zh-CN" w:bidi="ar"/>
                <w:woUserID w:val="21"/>
              </w:rPr>
              <w:t>本次观察/随访重点记录（客观描述儿童当日表现、反应、进步或新问题）</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EC6A5">
            <w:pPr>
              <w:pStyle w:val="180"/>
              <w:keepNext w:val="0"/>
              <w:keepLines w:val="0"/>
              <w:widowControl/>
              <w:suppressLineNumbers w:val="0"/>
              <w:snapToGrid w:val="0"/>
              <w:rPr>
                <w:woUserID w:val="21"/>
              </w:rPr>
            </w:pPr>
          </w:p>
        </w:tc>
      </w:tr>
      <w:tr w14:paraId="0663F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2EE9">
            <w:pPr>
              <w:pStyle w:val="180"/>
              <w:keepNext w:val="0"/>
              <w:keepLines w:val="0"/>
              <w:widowControl/>
              <w:suppressLineNumbers w:val="0"/>
              <w:snapToGrid w:val="0"/>
              <w:rPr>
                <w:woUserID w:val="21"/>
              </w:rPr>
            </w:pPr>
            <w:r>
              <w:rPr>
                <w:rFonts w:hint="eastAsia" w:ascii="宋体" w:hAnsi="宋体" w:eastAsia="宋体" w:cs="宋体"/>
                <w:color w:val="000000"/>
                <w:spacing w:val="1"/>
                <w:kern w:val="0"/>
                <w:sz w:val="21"/>
                <w:szCs w:val="21"/>
                <w:lang w:val="en-US" w:eastAsia="zh-CN" w:bidi="ar"/>
                <w:woUserID w:val="21"/>
              </w:rPr>
              <w:t>专业分析与指导建议</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C51E8">
            <w:pPr>
              <w:pStyle w:val="180"/>
              <w:keepNext w:val="0"/>
              <w:keepLines w:val="0"/>
              <w:widowControl/>
              <w:suppressLineNumbers w:val="0"/>
              <w:snapToGrid w:val="0"/>
              <w:rPr>
                <w:woUserID w:val="21"/>
              </w:rPr>
            </w:pPr>
          </w:p>
        </w:tc>
      </w:tr>
      <w:tr w14:paraId="2FF46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310F">
            <w:pPr>
              <w:pStyle w:val="180"/>
              <w:keepNext w:val="0"/>
              <w:keepLines w:val="0"/>
              <w:widowControl/>
              <w:suppressLineNumbers w:val="0"/>
              <w:snapToGrid w:val="0"/>
              <w:rPr>
                <w:woUserID w:val="21"/>
              </w:rPr>
            </w:pPr>
            <w:r>
              <w:rPr>
                <w:rFonts w:hint="eastAsia" w:ascii="宋体" w:hAnsi="宋体" w:eastAsia="宋体" w:cs="宋体"/>
                <w:color w:val="000000"/>
                <w:spacing w:val="1"/>
                <w:kern w:val="0"/>
                <w:sz w:val="21"/>
                <w:szCs w:val="21"/>
                <w:lang w:val="en-US" w:eastAsia="zh-CN" w:bidi="ar"/>
                <w:woUserID w:val="21"/>
              </w:rPr>
              <w:t>后续计划与随访安排</w:t>
            </w:r>
          </w:p>
        </w:tc>
        <w:tc>
          <w:tcPr>
            <w:tcW w:w="4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7DCF8">
            <w:pPr>
              <w:pStyle w:val="180"/>
              <w:keepNext w:val="0"/>
              <w:keepLines w:val="0"/>
              <w:widowControl/>
              <w:suppressLineNumbers w:val="0"/>
              <w:kinsoku w:val="0"/>
              <w:autoSpaceDE w:val="0"/>
              <w:autoSpaceDN w:val="0"/>
              <w:adjustRightInd w:val="0"/>
              <w:snapToGrid w:val="0"/>
              <w:textAlignment w:val="baseline"/>
              <w:rPr>
                <w:woUserID w:val="21"/>
              </w:rPr>
            </w:pPr>
            <w:r>
              <w:rPr>
                <w:rFonts w:hint="eastAsia" w:ascii="宋体" w:hAnsi="宋体" w:eastAsia="宋体" w:cs="宋体"/>
                <w:color w:val="000000"/>
                <w:spacing w:val="-1"/>
                <w:kern w:val="0"/>
                <w:position w:val="1"/>
                <w:sz w:val="21"/>
                <w:szCs w:val="21"/>
                <w:vertAlign w:val="baseline"/>
                <w:woUserID w:val="21"/>
              </w:rPr>
              <w:t>口</w:t>
            </w:r>
            <w:r>
              <w:rPr>
                <w:rFonts w:hint="default" w:ascii="Segoe UI" w:hAnsi="Segoe UI" w:eastAsia="Segoe UI" w:cs="Segoe UI"/>
                <w:i w:val="0"/>
                <w:iCs w:val="0"/>
                <w:caps w:val="0"/>
                <w:color w:val="0F1115"/>
                <w:spacing w:val="0"/>
                <w:kern w:val="0"/>
                <w:sz w:val="22"/>
                <w:szCs w:val="22"/>
                <w:shd w:val="clear" w:fill="FFFFFF"/>
                <w:vertAlign w:val="baseline"/>
                <w:woUserID w:val="21"/>
              </w:rPr>
              <w:t xml:space="preserve">常规观察                 </w:t>
            </w:r>
            <w:r>
              <w:rPr>
                <w:rFonts w:hint="eastAsia" w:ascii="宋体" w:hAnsi="宋体" w:eastAsia="宋体" w:cs="宋体"/>
                <w:color w:val="000000"/>
                <w:spacing w:val="-1"/>
                <w:kern w:val="0"/>
                <w:position w:val="1"/>
                <w:sz w:val="21"/>
                <w:szCs w:val="21"/>
                <w:vertAlign w:val="baseline"/>
                <w:woUserID w:val="21"/>
              </w:rPr>
              <w:t>口</w:t>
            </w:r>
            <w:r>
              <w:rPr>
                <w:rFonts w:hint="default" w:ascii="Segoe UI" w:hAnsi="Segoe UI" w:eastAsia="Segoe UI" w:cs="Segoe UI"/>
                <w:i w:val="0"/>
                <w:iCs w:val="0"/>
                <w:caps w:val="0"/>
                <w:color w:val="0F1115"/>
                <w:spacing w:val="0"/>
                <w:kern w:val="0"/>
                <w:sz w:val="22"/>
                <w:szCs w:val="22"/>
                <w:shd w:val="clear" w:fill="FFFFFF"/>
                <w:vertAlign w:val="baseline"/>
                <w:woUserID w:val="21"/>
              </w:rPr>
              <w:t xml:space="preserve">增加专项观察                </w:t>
            </w:r>
          </w:p>
          <w:p w14:paraId="516EAC5E">
            <w:pPr>
              <w:pStyle w:val="180"/>
              <w:keepNext w:val="0"/>
              <w:keepLines w:val="0"/>
              <w:widowControl/>
              <w:suppressLineNumbers w:val="0"/>
              <w:kinsoku w:val="0"/>
              <w:autoSpaceDE w:val="0"/>
              <w:autoSpaceDN w:val="0"/>
              <w:adjustRightInd w:val="0"/>
              <w:snapToGrid w:val="0"/>
              <w:textAlignment w:val="baseline"/>
              <w:rPr>
                <w:woUserID w:val="21"/>
              </w:rPr>
            </w:pPr>
            <w:r>
              <w:rPr>
                <w:rFonts w:hint="default" w:ascii="Segoe UI" w:hAnsi="Segoe UI" w:eastAsia="Segoe UI" w:cs="Segoe UI"/>
                <w:i w:val="0"/>
                <w:iCs w:val="0"/>
                <w:caps w:val="0"/>
                <w:color w:val="0F1115"/>
                <w:spacing w:val="0"/>
                <w:kern w:val="0"/>
                <w:sz w:val="22"/>
                <w:szCs w:val="22"/>
                <w:shd w:val="clear" w:fill="FFFFFF"/>
                <w:vertAlign w:val="baseline"/>
                <w:woUserID w:val="21"/>
              </w:rPr>
              <w:t xml:space="preserve">建议医疗评估科室：__________ </w:t>
            </w:r>
          </w:p>
          <w:p w14:paraId="3F98D56E">
            <w:pPr>
              <w:pStyle w:val="180"/>
              <w:keepNext w:val="0"/>
              <w:keepLines w:val="0"/>
              <w:widowControl/>
              <w:suppressLineNumbers w:val="0"/>
              <w:kinsoku w:val="0"/>
              <w:autoSpaceDE w:val="0"/>
              <w:autoSpaceDN w:val="0"/>
              <w:adjustRightInd w:val="0"/>
              <w:snapToGrid w:val="0"/>
              <w:textAlignment w:val="baseline"/>
              <w:rPr>
                <w:woUserID w:val="21"/>
              </w:rPr>
            </w:pPr>
            <w:r>
              <w:rPr>
                <w:rFonts w:hint="default" w:ascii="Segoe UI" w:hAnsi="Segoe UI" w:eastAsia="Segoe UI" w:cs="Segoe UI"/>
                <w:i w:val="0"/>
                <w:iCs w:val="0"/>
                <w:caps w:val="0"/>
                <w:color w:val="0F1115"/>
                <w:spacing w:val="0"/>
                <w:kern w:val="0"/>
                <w:sz w:val="22"/>
                <w:szCs w:val="22"/>
                <w:shd w:val="clear" w:fill="FFFFFF"/>
                <w:vertAlign w:val="baseline"/>
                <w:woUserID w:val="21"/>
              </w:rPr>
              <w:t>下次随访日期：_________________</w:t>
            </w:r>
          </w:p>
        </w:tc>
      </w:tr>
      <w:tr w14:paraId="0A9A7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0" w:hRule="atLeast"/>
          <w:jc w:val="center"/>
        </w:trPr>
        <w:tc>
          <w:tcPr>
            <w:tcW w:w="4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4B9E">
            <w:pPr>
              <w:pStyle w:val="180"/>
              <w:keepNext w:val="0"/>
              <w:keepLines w:val="0"/>
              <w:widowControl/>
              <w:suppressLineNumbers w:val="0"/>
              <w:snapToGrid w:val="0"/>
              <w:rPr>
                <w:woUserID w:val="21"/>
              </w:rPr>
            </w:pPr>
            <w:r>
              <w:rPr>
                <w:rFonts w:hint="eastAsia" w:ascii="宋体" w:hAnsi="宋体" w:eastAsia="宋体" w:cs="宋体"/>
                <w:color w:val="000000"/>
                <w:spacing w:val="7"/>
                <w:kern w:val="0"/>
                <w:sz w:val="21"/>
                <w:szCs w:val="21"/>
                <w:lang w:val="en-US" w:eastAsia="zh-CN" w:bidi="ar"/>
                <w:woUserID w:val="21"/>
              </w:rPr>
              <w:t xml:space="preserve"> 健康管理员</w:t>
            </w:r>
            <w:r>
              <w:rPr>
                <w:rFonts w:hint="eastAsia" w:ascii="宋体" w:hAnsi="宋体" w:eastAsia="宋体" w:cs="宋体"/>
                <w:color w:val="000000"/>
                <w:spacing w:val="18"/>
                <w:kern w:val="0"/>
                <w:sz w:val="21"/>
                <w:szCs w:val="21"/>
                <w:lang w:val="en-US" w:eastAsia="zh-CN" w:bidi="ar"/>
                <w:woUserID w:val="21"/>
              </w:rPr>
              <w:t>签名</w:t>
            </w:r>
          </w:p>
        </w:tc>
        <w:tc>
          <w:tcPr>
            <w:tcW w:w="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C1D5">
            <w:pPr>
              <w:pStyle w:val="180"/>
              <w:keepNext w:val="0"/>
              <w:keepLines w:val="0"/>
              <w:widowControl/>
              <w:suppressLineNumbers w:val="0"/>
              <w:snapToGrid w:val="0"/>
              <w:rPr>
                <w:woUserID w:val="21"/>
              </w:rPr>
            </w:pPr>
          </w:p>
        </w:tc>
        <w:tc>
          <w:tcPr>
            <w:tcW w:w="4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CB18">
            <w:pPr>
              <w:pStyle w:val="180"/>
              <w:keepNext w:val="0"/>
              <w:keepLines w:val="0"/>
              <w:widowControl/>
              <w:suppressLineNumbers w:val="0"/>
              <w:snapToGrid w:val="0"/>
              <w:rPr>
                <w:woUserID w:val="21"/>
              </w:rPr>
            </w:pPr>
            <w:r>
              <w:rPr>
                <w:rFonts w:hint="eastAsia" w:ascii="宋体" w:hAnsi="宋体" w:eastAsia="宋体" w:cs="宋体"/>
                <w:color w:val="000000"/>
                <w:spacing w:val="4"/>
                <w:kern w:val="0"/>
                <w:sz w:val="21"/>
                <w:szCs w:val="21"/>
                <w:lang w:val="en-US" w:eastAsia="zh-CN" w:bidi="ar"/>
                <w:woUserID w:val="21"/>
              </w:rPr>
              <w:t>托育机构</w:t>
            </w:r>
            <w:r>
              <w:rPr>
                <w:rFonts w:hint="eastAsia" w:ascii="宋体" w:hAnsi="宋体" w:eastAsia="宋体" w:cs="宋体"/>
                <w:color w:val="000000"/>
                <w:spacing w:val="7"/>
                <w:kern w:val="0"/>
                <w:sz w:val="21"/>
                <w:szCs w:val="21"/>
                <w:lang w:val="en-US" w:eastAsia="zh-CN" w:bidi="ar"/>
                <w:woUserID w:val="21"/>
              </w:rPr>
              <w:t>负责人签名</w:t>
            </w:r>
          </w:p>
        </w:tc>
        <w:tc>
          <w:tcPr>
            <w:tcW w:w="39" w:type="dxa"/>
            <w:tcBorders>
              <w:top w:val="single" w:color="000000" w:sz="4" w:space="0"/>
              <w:left w:val="single" w:color="000000" w:sz="4" w:space="0"/>
              <w:bottom w:val="single" w:color="000000" w:sz="4" w:space="0"/>
              <w:right w:val="single" w:color="000000" w:sz="4" w:space="0"/>
            </w:tcBorders>
            <w:shd w:val="clear" w:color="auto" w:fill="auto"/>
            <w:vAlign w:val="top"/>
          </w:tcPr>
          <w:p w14:paraId="1A834F9F">
            <w:pPr>
              <w:pStyle w:val="180"/>
              <w:keepNext w:val="0"/>
              <w:keepLines w:val="0"/>
              <w:widowControl/>
              <w:suppressLineNumbers w:val="0"/>
              <w:snapToGrid w:val="0"/>
              <w:rPr>
                <w:woUserID w:val="21"/>
              </w:rPr>
            </w:pPr>
          </w:p>
        </w:tc>
      </w:tr>
      <w:bookmarkEnd w:id="33"/>
    </w:tbl>
    <w:p w14:paraId="25B7DA54">
      <w:pPr>
        <w:pStyle w:val="58"/>
        <w:ind w:firstLine="0" w:firstLineChars="0"/>
        <w:jc w:val="center"/>
      </w:pPr>
    </w:p>
    <w:p w14:paraId="0F21513D">
      <w:pPr>
        <w:pStyle w:val="58"/>
        <w:ind w:firstLine="0" w:firstLineChars="0"/>
        <w:jc w:val="center"/>
      </w:pPr>
    </w:p>
    <w:p w14:paraId="7296D2E1">
      <w:pPr>
        <w:pStyle w:val="58"/>
        <w:ind w:firstLine="0" w:firstLineChars="0"/>
        <w:jc w:val="center"/>
      </w:pPr>
    </w:p>
    <w:p w14:paraId="09BDF9DD">
      <w:pPr>
        <w:pStyle w:val="58"/>
        <w:ind w:firstLine="0" w:firstLineChars="0"/>
        <w:jc w:val="center"/>
      </w:pPr>
    </w:p>
    <w:p w14:paraId="6438AD6A">
      <w:pPr>
        <w:pStyle w:val="58"/>
        <w:ind w:firstLine="0" w:firstLineChars="0"/>
        <w:jc w:val="center"/>
      </w:pPr>
    </w:p>
    <w:p w14:paraId="47F287D2">
      <w:pPr>
        <w:pStyle w:val="58"/>
        <w:ind w:firstLine="0" w:firstLineChars="0"/>
        <w:jc w:val="center"/>
      </w:pPr>
    </w:p>
    <w:p w14:paraId="4172EDCC">
      <w:pPr>
        <w:pStyle w:val="58"/>
        <w:ind w:firstLine="0" w:firstLineChars="0"/>
        <w:jc w:val="center"/>
      </w:pPr>
    </w:p>
    <w:p w14:paraId="319B74B5">
      <w:pPr>
        <w:pStyle w:val="58"/>
        <w:ind w:firstLine="0" w:firstLineChars="0"/>
        <w:jc w:val="center"/>
      </w:pPr>
    </w:p>
    <w:p w14:paraId="1F0E9E9F">
      <w:pPr>
        <w:pStyle w:val="58"/>
        <w:ind w:firstLine="0" w:firstLineChars="0"/>
        <w:jc w:val="center"/>
      </w:pPr>
    </w:p>
    <w:p w14:paraId="58EFC903">
      <w:pPr>
        <w:pStyle w:val="58"/>
        <w:ind w:firstLine="0" w:firstLineChars="0"/>
        <w:jc w:val="center"/>
      </w:pPr>
    </w:p>
    <w:p w14:paraId="209AB8D9">
      <w:pPr>
        <w:pStyle w:val="58"/>
        <w:ind w:firstLine="0" w:firstLineChars="0"/>
        <w:jc w:val="center"/>
      </w:pPr>
    </w:p>
    <w:p w14:paraId="7A3AF307">
      <w:pPr>
        <w:pStyle w:val="58"/>
        <w:ind w:firstLine="0" w:firstLineChars="0"/>
        <w:jc w:val="center"/>
      </w:pPr>
    </w:p>
    <w:p w14:paraId="50855C4C">
      <w:pPr>
        <w:pStyle w:val="65"/>
        <w:spacing w:after="156"/>
      </w:pPr>
      <w:r>
        <w:rPr>
          <w:spacing w:val="-8"/>
          <w:sz w:val="22"/>
          <w:szCs w:val="22"/>
        </w:rPr>
        <w:t>参</w:t>
      </w:r>
      <w:r>
        <w:rPr>
          <w:spacing w:val="91"/>
          <w:sz w:val="22"/>
          <w:szCs w:val="22"/>
        </w:rPr>
        <w:t xml:space="preserve"> </w:t>
      </w:r>
      <w:r>
        <w:rPr>
          <w:spacing w:val="-8"/>
          <w:sz w:val="22"/>
          <w:szCs w:val="22"/>
        </w:rPr>
        <w:t>考</w:t>
      </w:r>
      <w:r>
        <w:rPr>
          <w:spacing w:val="98"/>
          <w:sz w:val="22"/>
          <w:szCs w:val="22"/>
        </w:rPr>
        <w:t xml:space="preserve"> </w:t>
      </w:r>
      <w:r>
        <w:rPr>
          <w:spacing w:val="-8"/>
          <w:sz w:val="22"/>
          <w:szCs w:val="22"/>
        </w:rPr>
        <w:t>文</w:t>
      </w:r>
      <w:r>
        <w:rPr>
          <w:spacing w:val="101"/>
          <w:sz w:val="22"/>
          <w:szCs w:val="22"/>
        </w:rPr>
        <w:t xml:space="preserve"> </w:t>
      </w:r>
      <w:r>
        <w:rPr>
          <w:spacing w:val="-8"/>
          <w:sz w:val="22"/>
          <w:szCs w:val="22"/>
        </w:rPr>
        <w:t>献</w:t>
      </w:r>
    </w:p>
    <w:p w14:paraId="15C44DD8">
      <w:pPr>
        <w:pStyle w:val="66"/>
        <w:numPr>
          <w:ilvl w:val="-1"/>
          <w:numId w:val="0"/>
        </w:numPr>
        <w:ind w:left="777" w:firstLine="0"/>
      </w:pPr>
      <w:r>
        <w:rPr>
          <w:rFonts w:ascii="宋体" w:hAnsi="宋体" w:eastAsia="宋体" w:cs="宋体"/>
          <w:i w:val="0"/>
          <w:iCs w:val="0"/>
          <w:caps w:val="0"/>
          <w:snapToGrid w:val="0"/>
          <w:color w:val="000000"/>
          <w:spacing w:val="-5"/>
          <w:kern w:val="0"/>
          <w:sz w:val="22"/>
          <w:szCs w:val="22"/>
          <w:shd w:val="clear"/>
          <w:lang w:eastAsia="en-US"/>
        </w:rPr>
        <w:t>[1] WS/T 821—2023 托育机构质量评估标准</w:t>
      </w:r>
      <w:r>
        <w:rPr>
          <w:rFonts w:hint="default" w:ascii="宋体" w:hAnsi="宋体" w:eastAsia="宋体" w:cs="宋体"/>
          <w:i w:val="0"/>
          <w:iCs w:val="0"/>
          <w:caps w:val="0"/>
          <w:snapToGrid w:val="0"/>
          <w:color w:val="000000"/>
          <w:spacing w:val="-5"/>
          <w:kern w:val="0"/>
          <w:sz w:val="22"/>
          <w:szCs w:val="22"/>
          <w:shd w:val="clear"/>
          <w:lang w:eastAsia="en-US"/>
        </w:rPr>
        <w:br w:type="textWrapping"/>
      </w:r>
      <w:r>
        <w:rPr>
          <w:rFonts w:hint="default" w:ascii="宋体" w:hAnsi="宋体" w:eastAsia="宋体" w:cs="宋体"/>
          <w:i w:val="0"/>
          <w:iCs w:val="0"/>
          <w:caps w:val="0"/>
          <w:snapToGrid w:val="0"/>
          <w:color w:val="000000"/>
          <w:spacing w:val="-5"/>
          <w:kern w:val="0"/>
          <w:sz w:val="22"/>
          <w:szCs w:val="22"/>
          <w:shd w:val="clear"/>
          <w:lang w:eastAsia="en-US"/>
        </w:rPr>
        <w:t>[2] 国家卫生健康委关于印发托育机构管理规范（试行）的通知. 国卫人口发〔2019〕58号</w:t>
      </w:r>
      <w:r>
        <w:rPr>
          <w:rFonts w:hint="default" w:ascii="宋体" w:hAnsi="宋体" w:eastAsia="宋体" w:cs="宋体"/>
          <w:i w:val="0"/>
          <w:iCs w:val="0"/>
          <w:caps w:val="0"/>
          <w:snapToGrid w:val="0"/>
          <w:color w:val="000000"/>
          <w:spacing w:val="-5"/>
          <w:kern w:val="0"/>
          <w:sz w:val="22"/>
          <w:szCs w:val="22"/>
          <w:shd w:val="clear"/>
          <w:lang w:eastAsia="en-US"/>
        </w:rPr>
        <w:br w:type="textWrapping"/>
      </w:r>
      <w:r>
        <w:rPr>
          <w:rFonts w:hint="default" w:ascii="宋体" w:hAnsi="宋体" w:eastAsia="宋体" w:cs="宋体"/>
          <w:i w:val="0"/>
          <w:iCs w:val="0"/>
          <w:caps w:val="0"/>
          <w:snapToGrid w:val="0"/>
          <w:color w:val="000000"/>
          <w:spacing w:val="-5"/>
          <w:kern w:val="0"/>
          <w:sz w:val="22"/>
          <w:szCs w:val="22"/>
          <w:shd w:val="clear"/>
          <w:lang w:eastAsia="en-US"/>
        </w:rPr>
        <w:t>[3] 国家卫生健康委办公厅关于印发婴幼儿早期发展服务指南（试行）的通知. 国卫办妇幼函〔2024〕467号</w:t>
      </w:r>
      <w:r>
        <w:rPr>
          <w:rFonts w:hint="default" w:ascii="宋体" w:hAnsi="宋体" w:eastAsia="宋体" w:cs="宋体"/>
          <w:i w:val="0"/>
          <w:iCs w:val="0"/>
          <w:caps w:val="0"/>
          <w:snapToGrid w:val="0"/>
          <w:color w:val="000000"/>
          <w:spacing w:val="-5"/>
          <w:kern w:val="0"/>
          <w:sz w:val="22"/>
          <w:szCs w:val="22"/>
          <w:shd w:val="clear"/>
          <w:lang w:eastAsia="en-US"/>
        </w:rPr>
        <w:br w:type="textWrapping"/>
      </w:r>
      <w:r>
        <w:rPr>
          <w:rFonts w:hint="default" w:ascii="宋体" w:hAnsi="宋体" w:eastAsia="宋体" w:cs="宋体"/>
          <w:i w:val="0"/>
          <w:iCs w:val="0"/>
          <w:caps w:val="0"/>
          <w:snapToGrid w:val="0"/>
          <w:color w:val="000000"/>
          <w:spacing w:val="-5"/>
          <w:kern w:val="0"/>
          <w:sz w:val="22"/>
          <w:szCs w:val="22"/>
          <w:shd w:val="clear"/>
          <w:lang w:eastAsia="en-US"/>
        </w:rPr>
        <w:t>[4] 国家卫生健康委办公厅关于印发0～6岁儿童孤独症筛查干预服务规范（试行）的通知. 国卫办妇幼发〔2022〕12号</w:t>
      </w:r>
      <w:r>
        <w:rPr>
          <w:rFonts w:hint="default" w:ascii="宋体" w:hAnsi="宋体" w:eastAsia="宋体" w:cs="宋体"/>
          <w:i w:val="0"/>
          <w:iCs w:val="0"/>
          <w:caps w:val="0"/>
          <w:snapToGrid w:val="0"/>
          <w:color w:val="000000"/>
          <w:spacing w:val="-5"/>
          <w:kern w:val="0"/>
          <w:sz w:val="22"/>
          <w:szCs w:val="22"/>
          <w:shd w:val="clear"/>
          <w:lang w:eastAsia="en-US"/>
        </w:rPr>
        <w:br w:type="textWrapping"/>
      </w:r>
      <w:r>
        <w:rPr>
          <w:rFonts w:hint="default" w:ascii="宋体" w:hAnsi="宋体" w:eastAsia="宋体" w:cs="宋体"/>
          <w:i w:val="0"/>
          <w:iCs w:val="0"/>
          <w:caps w:val="0"/>
          <w:snapToGrid w:val="0"/>
          <w:color w:val="000000"/>
          <w:spacing w:val="-5"/>
          <w:kern w:val="0"/>
          <w:sz w:val="22"/>
          <w:szCs w:val="22"/>
          <w:shd w:val="clear"/>
          <w:lang w:eastAsia="en-US"/>
        </w:rPr>
        <w:t>[5] 中华预防医学会儿童保健分会，中国妇幼保健协会. 0-3岁特殊健康婴幼儿医育照护专家共识[J]. 2024版.</w:t>
      </w:r>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B02BA67-3675-4F1E-9786-0B7686040061}"/>
  </w:font>
  <w:font w:name="黑体">
    <w:panose1 w:val="02010609060101010101"/>
    <w:charset w:val="86"/>
    <w:family w:val="auto"/>
    <w:pitch w:val="default"/>
    <w:sig w:usb0="800002BF" w:usb1="38CF7CFA" w:usb2="00000016" w:usb3="00000000" w:csb0="00040001" w:csb1="00000000"/>
    <w:embedRegular r:id="rId2" w:fontKey="{6538F98D-D2C9-408F-9D7E-61F0CA3B54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6EECC67B-96EA-4F67-B7A0-69365A82D99B}"/>
  </w:font>
  <w:font w:name="Segoe UI">
    <w:panose1 w:val="020B0502040204020203"/>
    <w:charset w:val="00"/>
    <w:family w:val="auto"/>
    <w:pitch w:val="default"/>
    <w:sig w:usb0="E4002EFF" w:usb1="C000E47F" w:usb2="00000009" w:usb3="00000000" w:csb0="200001FF" w:csb1="00000000"/>
    <w:embedRegular r:id="rId4" w:fontKey="{A7DA0954-A7B7-458F-906F-1D5A6FEB62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395A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0B1C">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A70">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6F316">
    <w:pPr>
      <w:pStyle w:val="54"/>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89C0">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71C8F">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BF8AE">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DBC1">
    <w:pPr>
      <w:pStyle w:val="63"/>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4A97D">
    <w:pPr>
      <w:pStyle w:val="19"/>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FE8B59"/>
    <w:multiLevelType w:val="multilevel"/>
    <w:tmpl w:val="C2FE8B59"/>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auto"/>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7"/>
      <w:suff w:val="nothing"/>
      <w:lvlText w:val="%1%2.%3.%4　"/>
      <w:lvlJc w:val="left"/>
      <w:pPr>
        <w:tabs>
          <w:tab w:val="left" w:pos="0"/>
        </w:tabs>
        <w:ind w:left="0" w:firstLine="0"/>
      </w:pPr>
      <w:rPr>
        <w:rFonts w:hint="default" w:ascii="黑体" w:eastAsia="黑体"/>
        <w:b w:val="0"/>
        <w:i w:val="0"/>
        <w:sz w:val="21"/>
      </w:rPr>
    </w:lvl>
    <w:lvl w:ilvl="4" w:tentative="0">
      <w:start w:val="1"/>
      <w:numFmt w:val="decimal"/>
      <w:pStyle w:val="96"/>
      <w:suff w:val="nothing"/>
      <w:lvlText w:val="%1%2.%3.%4.%5　"/>
      <w:lvlJc w:val="left"/>
      <w:pPr>
        <w:tabs>
          <w:tab w:val="left" w:pos="420"/>
        </w:tabs>
        <w:ind w:left="0" w:firstLine="0"/>
      </w:pPr>
      <w:rPr>
        <w:rFonts w:hint="default" w:ascii="黑体" w:hAnsi="黑体" w:eastAsia="黑体" w:cs="宋体"/>
        <w:b w:val="0"/>
        <w:i w:val="0"/>
        <w:sz w:val="21"/>
      </w:rPr>
    </w:lvl>
    <w:lvl w:ilvl="5" w:tentative="0">
      <w:start w:val="1"/>
      <w:numFmt w:val="decimal"/>
      <w:pStyle w:val="100"/>
      <w:suff w:val="nothing"/>
      <w:lvlText w:val="%1%2.%3.%4.%5.%6　"/>
      <w:lvlJc w:val="left"/>
      <w:pPr>
        <w:ind w:left="0" w:firstLine="0"/>
      </w:pPr>
      <w:rPr>
        <w:rFonts w:hint="default" w:ascii="黑体" w:hAnsi="黑体" w:eastAsia="黑体" w:cs="宋体"/>
        <w:b w:val="0"/>
        <w:i w:val="0"/>
        <w:sz w:val="21"/>
      </w:rPr>
    </w:lvl>
    <w:lvl w:ilvl="6" w:tentative="0">
      <w:start w:val="1"/>
      <w:numFmt w:val="decimal"/>
      <w:pStyle w:val="105"/>
      <w:suff w:val="nothing"/>
      <w:lvlText w:val="%1%2.%3.%4.%5.%6.%7　"/>
      <w:lvlJc w:val="left"/>
      <w:pPr>
        <w:ind w:left="0" w:firstLine="0"/>
      </w:pPr>
      <w:rPr>
        <w:rFonts w:hint="default" w:ascii="宋体" w:hAnsi="宋体" w:eastAsia="宋体" w:cs="宋体"/>
        <w:b w:val="0"/>
        <w:i w:val="0"/>
        <w:sz w:val="21"/>
      </w:rPr>
    </w:lvl>
    <w:lvl w:ilvl="7" w:tentative="0">
      <w:start w:val="1"/>
      <w:numFmt w:val="decimal"/>
      <w:lvlText w:val="%1.%2.%3.%4.%5.%6.%7.%8"/>
      <w:lvlJc w:val="left"/>
      <w:pPr>
        <w:tabs>
          <w:tab w:val="left" w:pos="420"/>
        </w:tabs>
        <w:ind w:left="3969" w:hanging="1418"/>
      </w:pPr>
      <w:rPr>
        <w:rFonts w:hint="default" w:ascii="宋体" w:hAnsi="宋体" w:eastAsia="宋体" w:cs="宋体"/>
      </w:rPr>
    </w:lvl>
    <w:lvl w:ilvl="8" w:tentative="0">
      <w:start w:val="1"/>
      <w:numFmt w:val="decimal"/>
      <w:lvlText w:val="%1.%2.%3.%4.%5.%6.%7.%8.%9"/>
      <w:lvlJc w:val="left"/>
      <w:pPr>
        <w:tabs>
          <w:tab w:val="left" w:pos="4777"/>
        </w:tabs>
        <w:ind w:left="4677" w:hanging="1700"/>
      </w:pPr>
      <w:rPr>
        <w:rFonts w:hint="eastAsia"/>
      </w:rPr>
    </w:lvl>
  </w:abstractNum>
  <w:abstractNum w:abstractNumId="1">
    <w:nsid w:val="02837933"/>
    <w:multiLevelType w:val="multilevel"/>
    <w:tmpl w:val="02837933"/>
    <w:lvl w:ilvl="0" w:tentative="0">
      <w:start w:val="1"/>
      <w:numFmt w:val="decimal"/>
      <w:pStyle w:val="66"/>
      <w:lvlText w:val="[%1]"/>
      <w:lvlJc w:val="left"/>
      <w:pPr>
        <w:tabs>
          <w:tab w:val="left" w:pos="1425"/>
        </w:tabs>
        <w:ind w:left="1425" w:hanging="648"/>
      </w:pPr>
    </w:lvl>
    <w:lvl w:ilvl="1" w:tentative="0">
      <w:start w:val="1"/>
      <w:numFmt w:val="lowerLetter"/>
      <w:lvlText w:val="%2)"/>
      <w:lvlJc w:val="left"/>
      <w:pPr>
        <w:tabs>
          <w:tab w:val="left" w:pos="1617"/>
        </w:tabs>
        <w:ind w:left="1617" w:hanging="420"/>
      </w:pPr>
    </w:lvl>
    <w:lvl w:ilvl="2" w:tentative="0">
      <w:start w:val="1"/>
      <w:numFmt w:val="lowerRoman"/>
      <w:lvlText w:val="%3."/>
      <w:lvlJc w:val="right"/>
      <w:pPr>
        <w:tabs>
          <w:tab w:val="left" w:pos="2037"/>
        </w:tabs>
        <w:ind w:left="2037" w:hanging="420"/>
      </w:pPr>
    </w:lvl>
    <w:lvl w:ilvl="3" w:tentative="0">
      <w:start w:val="1"/>
      <w:numFmt w:val="decimal"/>
      <w:lvlText w:val="%4."/>
      <w:lvlJc w:val="left"/>
      <w:pPr>
        <w:tabs>
          <w:tab w:val="left" w:pos="2457"/>
        </w:tabs>
        <w:ind w:left="2457" w:hanging="420"/>
      </w:pPr>
    </w:lvl>
    <w:lvl w:ilvl="4" w:tentative="0">
      <w:start w:val="1"/>
      <w:numFmt w:val="lowerLetter"/>
      <w:lvlText w:val="%5)"/>
      <w:lvlJc w:val="left"/>
      <w:pPr>
        <w:tabs>
          <w:tab w:val="left" w:pos="2877"/>
        </w:tabs>
        <w:ind w:left="2877" w:hanging="420"/>
      </w:pPr>
    </w:lvl>
    <w:lvl w:ilvl="5" w:tentative="0">
      <w:start w:val="1"/>
      <w:numFmt w:val="lowerRoman"/>
      <w:lvlText w:val="%6."/>
      <w:lvlJc w:val="right"/>
      <w:pPr>
        <w:tabs>
          <w:tab w:val="left" w:pos="3297"/>
        </w:tabs>
        <w:ind w:left="3297" w:hanging="420"/>
      </w:pPr>
    </w:lvl>
    <w:lvl w:ilvl="6" w:tentative="0">
      <w:start w:val="1"/>
      <w:numFmt w:val="decimal"/>
      <w:lvlText w:val="%7."/>
      <w:lvlJc w:val="left"/>
      <w:pPr>
        <w:tabs>
          <w:tab w:val="left" w:pos="3717"/>
        </w:tabs>
        <w:ind w:left="3717" w:hanging="420"/>
      </w:pPr>
    </w:lvl>
    <w:lvl w:ilvl="7" w:tentative="0">
      <w:start w:val="1"/>
      <w:numFmt w:val="lowerLetter"/>
      <w:lvlText w:val="%8)"/>
      <w:lvlJc w:val="left"/>
      <w:pPr>
        <w:tabs>
          <w:tab w:val="left" w:pos="4137"/>
        </w:tabs>
        <w:ind w:left="4137" w:hanging="420"/>
      </w:pPr>
    </w:lvl>
    <w:lvl w:ilvl="8" w:tentative="0">
      <w:start w:val="1"/>
      <w:numFmt w:val="lowerRoman"/>
      <w:lvlText w:val="%9."/>
      <w:lvlJc w:val="right"/>
      <w:pPr>
        <w:tabs>
          <w:tab w:val="left" w:pos="4557"/>
        </w:tabs>
        <w:ind w:left="4557"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2C5917C3"/>
    <w:multiLevelType w:val="multilevel"/>
    <w:tmpl w:val="2C5917C3"/>
    <w:lvl w:ilvl="0" w:tentative="0">
      <w:start w:val="1"/>
      <w:numFmt w:val="none"/>
      <w:pStyle w:val="134"/>
      <w:lvlText w:val="%1——"/>
      <w:lvlJc w:val="left"/>
      <w:pPr>
        <w:tabs>
          <w:tab w:val="left" w:pos="426"/>
        </w:tabs>
        <w:ind w:left="426"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default" w:ascii="黑体" w:eastAsia="黑体"/>
        <w:color w:val="FF0000"/>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4"/>
      <w:suff w:val="nothing"/>
      <w:lvlText w:val="表%1　"/>
      <w:lvlJc w:val="left"/>
      <w:pPr>
        <w:ind w:left="6552" w:firstLine="0"/>
      </w:pPr>
      <w:rPr>
        <w:rFonts w:hint="default"/>
        <w:color w:val="FF0000"/>
      </w:rPr>
    </w:lvl>
    <w:lvl w:ilvl="1" w:tentative="0">
      <w:start w:val="1"/>
      <w:numFmt w:val="decimal"/>
      <w:lvlText w:val="%1.%2"/>
      <w:lvlJc w:val="left"/>
      <w:pPr>
        <w:tabs>
          <w:tab w:val="left" w:pos="992"/>
        </w:tabs>
        <w:ind w:left="4142" w:hanging="567"/>
      </w:pPr>
    </w:lvl>
    <w:lvl w:ilvl="2" w:tentative="0">
      <w:start w:val="1"/>
      <w:numFmt w:val="decimal"/>
      <w:lvlText w:val="%1.%2.%3"/>
      <w:lvlJc w:val="left"/>
      <w:pPr>
        <w:tabs>
          <w:tab w:val="left" w:pos="1417"/>
        </w:tabs>
        <w:ind w:left="4567" w:hanging="567"/>
      </w:pPr>
    </w:lvl>
    <w:lvl w:ilvl="3" w:tentative="0">
      <w:start w:val="1"/>
      <w:numFmt w:val="decimal"/>
      <w:lvlText w:val="%1.%2.%3.%4"/>
      <w:lvlJc w:val="left"/>
      <w:pPr>
        <w:tabs>
          <w:tab w:val="left" w:pos="1984"/>
        </w:tabs>
        <w:ind w:left="5134" w:hanging="708"/>
      </w:pPr>
    </w:lvl>
    <w:lvl w:ilvl="4" w:tentative="0">
      <w:start w:val="1"/>
      <w:numFmt w:val="decimal"/>
      <w:lvlText w:val="%1.%2.%3.%4.%5"/>
      <w:lvlJc w:val="left"/>
      <w:pPr>
        <w:tabs>
          <w:tab w:val="left" w:pos="2551"/>
        </w:tabs>
        <w:ind w:left="5701" w:hanging="850"/>
      </w:pPr>
    </w:lvl>
    <w:lvl w:ilvl="5" w:tentative="0">
      <w:start w:val="1"/>
      <w:numFmt w:val="decimal"/>
      <w:lvlText w:val="%1.%2.%3.%4.%5.%6"/>
      <w:lvlJc w:val="left"/>
      <w:pPr>
        <w:tabs>
          <w:tab w:val="left" w:pos="3260"/>
        </w:tabs>
        <w:ind w:left="6410" w:hanging="1134"/>
      </w:pPr>
    </w:lvl>
    <w:lvl w:ilvl="6" w:tentative="0">
      <w:start w:val="1"/>
      <w:numFmt w:val="decimal"/>
      <w:lvlText w:val="%1.%2.%3.%4.%5.%6.%7"/>
      <w:lvlJc w:val="left"/>
      <w:pPr>
        <w:tabs>
          <w:tab w:val="left" w:pos="3827"/>
        </w:tabs>
        <w:ind w:left="6977" w:hanging="1276"/>
      </w:pPr>
    </w:lvl>
    <w:lvl w:ilvl="7" w:tentative="0">
      <w:start w:val="1"/>
      <w:numFmt w:val="decimal"/>
      <w:lvlText w:val="%1.%2.%3.%4.%5.%6.%7.%8"/>
      <w:lvlJc w:val="left"/>
      <w:pPr>
        <w:tabs>
          <w:tab w:val="left" w:pos="4394"/>
        </w:tabs>
        <w:ind w:left="7544" w:hanging="1418"/>
      </w:pPr>
    </w:lvl>
    <w:lvl w:ilvl="8" w:tentative="0">
      <w:start w:val="1"/>
      <w:numFmt w:val="decimal"/>
      <w:lvlText w:val="%1.%2.%3.%4.%5.%6.%7.%8.%9"/>
      <w:lvlJc w:val="left"/>
      <w:pPr>
        <w:tabs>
          <w:tab w:val="left" w:pos="5102"/>
        </w:tabs>
        <w:ind w:left="8252" w:hanging="1700"/>
      </w:pPr>
    </w:lvl>
  </w:abstractNum>
  <w:abstractNum w:abstractNumId="23">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142"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6"/>
  </w:num>
  <w:num w:numId="4">
    <w:abstractNumId w:val="24"/>
  </w:num>
  <w:num w:numId="5">
    <w:abstractNumId w:val="19"/>
  </w:num>
  <w:num w:numId="6">
    <w:abstractNumId w:val="14"/>
  </w:num>
  <w:num w:numId="7">
    <w:abstractNumId w:val="9"/>
  </w:num>
  <w:num w:numId="8">
    <w:abstractNumId w:val="4"/>
  </w:num>
  <w:num w:numId="9">
    <w:abstractNumId w:val="10"/>
  </w:num>
  <w:num w:numId="10">
    <w:abstractNumId w:val="17"/>
  </w:num>
  <w:num w:numId="11">
    <w:abstractNumId w:val="26"/>
  </w:num>
  <w:num w:numId="12">
    <w:abstractNumId w:val="12"/>
  </w:num>
  <w:num w:numId="13">
    <w:abstractNumId w:val="13"/>
  </w:num>
  <w:num w:numId="14">
    <w:abstractNumId w:val="8"/>
  </w:num>
  <w:num w:numId="15">
    <w:abstractNumId w:val="20"/>
  </w:num>
  <w:num w:numId="16">
    <w:abstractNumId w:val="22"/>
  </w:num>
  <w:num w:numId="17">
    <w:abstractNumId w:val="18"/>
  </w:num>
  <w:num w:numId="18">
    <w:abstractNumId w:val="29"/>
  </w:num>
  <w:num w:numId="19">
    <w:abstractNumId w:val="16"/>
  </w:num>
  <w:num w:numId="20">
    <w:abstractNumId w:val="2"/>
  </w:num>
  <w:num w:numId="21">
    <w:abstractNumId w:val="11"/>
  </w:num>
  <w:num w:numId="22">
    <w:abstractNumId w:val="30"/>
  </w:num>
  <w:num w:numId="23">
    <w:abstractNumId w:val="21"/>
  </w:num>
  <w:num w:numId="24">
    <w:abstractNumId w:val="7"/>
  </w:num>
  <w:num w:numId="25">
    <w:abstractNumId w:val="27"/>
  </w:num>
  <w:num w:numId="26">
    <w:abstractNumId w:val="28"/>
  </w:num>
  <w:num w:numId="27">
    <w:abstractNumId w:val="3"/>
  </w:num>
  <w:num w:numId="28">
    <w:abstractNumId w:val="5"/>
  </w:num>
  <w:num w:numId="29">
    <w:abstractNumId w:val="15"/>
  </w:num>
  <w:num w:numId="30">
    <w:abstractNumId w:val="25"/>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778"/>
    <w:rsid w:val="0000040A"/>
    <w:rsid w:val="00000A94"/>
    <w:rsid w:val="00001972"/>
    <w:rsid w:val="00001D9A"/>
    <w:rsid w:val="00007B3A"/>
    <w:rsid w:val="000107E0"/>
    <w:rsid w:val="00011FDE"/>
    <w:rsid w:val="00012FFD"/>
    <w:rsid w:val="00013076"/>
    <w:rsid w:val="00013ED2"/>
    <w:rsid w:val="00014162"/>
    <w:rsid w:val="00014340"/>
    <w:rsid w:val="00016A9C"/>
    <w:rsid w:val="00020B3F"/>
    <w:rsid w:val="00022184"/>
    <w:rsid w:val="00022762"/>
    <w:rsid w:val="000238E0"/>
    <w:rsid w:val="000249DB"/>
    <w:rsid w:val="000252C4"/>
    <w:rsid w:val="0002595E"/>
    <w:rsid w:val="000303C3"/>
    <w:rsid w:val="000330A9"/>
    <w:rsid w:val="000331D3"/>
    <w:rsid w:val="000346A5"/>
    <w:rsid w:val="000359C3"/>
    <w:rsid w:val="00035A7D"/>
    <w:rsid w:val="000365ED"/>
    <w:rsid w:val="00036BF1"/>
    <w:rsid w:val="0004249A"/>
    <w:rsid w:val="00042B20"/>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5B77"/>
    <w:rsid w:val="00077181"/>
    <w:rsid w:val="00077B64"/>
    <w:rsid w:val="00080A1C"/>
    <w:rsid w:val="00082317"/>
    <w:rsid w:val="00083D2C"/>
    <w:rsid w:val="00085389"/>
    <w:rsid w:val="00086AA1"/>
    <w:rsid w:val="00087A77"/>
    <w:rsid w:val="00090CA6"/>
    <w:rsid w:val="00092B8A"/>
    <w:rsid w:val="00092BD0"/>
    <w:rsid w:val="00092FB0"/>
    <w:rsid w:val="000934C5"/>
    <w:rsid w:val="000936B8"/>
    <w:rsid w:val="00093D25"/>
    <w:rsid w:val="00093DAB"/>
    <w:rsid w:val="00094176"/>
    <w:rsid w:val="00094D73"/>
    <w:rsid w:val="00096D63"/>
    <w:rsid w:val="000A0B60"/>
    <w:rsid w:val="000A0EB8"/>
    <w:rsid w:val="000A19FC"/>
    <w:rsid w:val="000A1F1A"/>
    <w:rsid w:val="000A296B"/>
    <w:rsid w:val="000A468E"/>
    <w:rsid w:val="000A5C0B"/>
    <w:rsid w:val="000A7311"/>
    <w:rsid w:val="000B060F"/>
    <w:rsid w:val="000B1592"/>
    <w:rsid w:val="000B1FF2"/>
    <w:rsid w:val="000B3CDA"/>
    <w:rsid w:val="000B6A0B"/>
    <w:rsid w:val="000C0F6C"/>
    <w:rsid w:val="000C11DB"/>
    <w:rsid w:val="000C1492"/>
    <w:rsid w:val="000C1ED8"/>
    <w:rsid w:val="000C2FBD"/>
    <w:rsid w:val="000C4120"/>
    <w:rsid w:val="000C4B41"/>
    <w:rsid w:val="000C57D6"/>
    <w:rsid w:val="000C6362"/>
    <w:rsid w:val="000C7666"/>
    <w:rsid w:val="000D0A9C"/>
    <w:rsid w:val="000D1795"/>
    <w:rsid w:val="000D2F16"/>
    <w:rsid w:val="000D329A"/>
    <w:rsid w:val="000D4B9C"/>
    <w:rsid w:val="000D4EB6"/>
    <w:rsid w:val="000D753B"/>
    <w:rsid w:val="000E1104"/>
    <w:rsid w:val="000E4C9E"/>
    <w:rsid w:val="000E4E59"/>
    <w:rsid w:val="000E5E66"/>
    <w:rsid w:val="000E6FD7"/>
    <w:rsid w:val="000F06E1"/>
    <w:rsid w:val="000F0E3C"/>
    <w:rsid w:val="000F19D5"/>
    <w:rsid w:val="000F4AEA"/>
    <w:rsid w:val="000F633F"/>
    <w:rsid w:val="000F67E9"/>
    <w:rsid w:val="000F793C"/>
    <w:rsid w:val="00103CEB"/>
    <w:rsid w:val="00104926"/>
    <w:rsid w:val="00113B1E"/>
    <w:rsid w:val="0011711C"/>
    <w:rsid w:val="0012059C"/>
    <w:rsid w:val="00124E4F"/>
    <w:rsid w:val="001260B7"/>
    <w:rsid w:val="001265CB"/>
    <w:rsid w:val="001321C6"/>
    <w:rsid w:val="001324FC"/>
    <w:rsid w:val="001325C4"/>
    <w:rsid w:val="00133010"/>
    <w:rsid w:val="001338EE"/>
    <w:rsid w:val="00133AAE"/>
    <w:rsid w:val="00135323"/>
    <w:rsid w:val="001356C4"/>
    <w:rsid w:val="0013786D"/>
    <w:rsid w:val="00140F5F"/>
    <w:rsid w:val="00141114"/>
    <w:rsid w:val="00142969"/>
    <w:rsid w:val="001433E8"/>
    <w:rsid w:val="001446C2"/>
    <w:rsid w:val="001457E7"/>
    <w:rsid w:val="00145D9D"/>
    <w:rsid w:val="00146388"/>
    <w:rsid w:val="001529E5"/>
    <w:rsid w:val="00152ECA"/>
    <w:rsid w:val="00153C7E"/>
    <w:rsid w:val="0015661A"/>
    <w:rsid w:val="00156B25"/>
    <w:rsid w:val="00156E1A"/>
    <w:rsid w:val="00157894"/>
    <w:rsid w:val="00157B55"/>
    <w:rsid w:val="001612B5"/>
    <w:rsid w:val="00163BE0"/>
    <w:rsid w:val="001642FA"/>
    <w:rsid w:val="001649EB"/>
    <w:rsid w:val="00164BAF"/>
    <w:rsid w:val="00164FA8"/>
    <w:rsid w:val="00165065"/>
    <w:rsid w:val="00165434"/>
    <w:rsid w:val="0016580B"/>
    <w:rsid w:val="0016582F"/>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0BD5"/>
    <w:rsid w:val="001A1A53"/>
    <w:rsid w:val="001A234A"/>
    <w:rsid w:val="001A3130"/>
    <w:rsid w:val="001A4351"/>
    <w:rsid w:val="001A4CF3"/>
    <w:rsid w:val="001B06E8"/>
    <w:rsid w:val="001B71D0"/>
    <w:rsid w:val="001B71EE"/>
    <w:rsid w:val="001C04A8"/>
    <w:rsid w:val="001C2152"/>
    <w:rsid w:val="001C2C03"/>
    <w:rsid w:val="001C42F7"/>
    <w:rsid w:val="001C49E5"/>
    <w:rsid w:val="001C680C"/>
    <w:rsid w:val="001C7FEA"/>
    <w:rsid w:val="001D0499"/>
    <w:rsid w:val="001D0BBE"/>
    <w:rsid w:val="001D0ED4"/>
    <w:rsid w:val="001D212F"/>
    <w:rsid w:val="001D29D7"/>
    <w:rsid w:val="001D2ABB"/>
    <w:rsid w:val="001D2D5D"/>
    <w:rsid w:val="001D2DE7"/>
    <w:rsid w:val="001D411C"/>
    <w:rsid w:val="001E1B6A"/>
    <w:rsid w:val="001E2484"/>
    <w:rsid w:val="001E3CC4"/>
    <w:rsid w:val="001E4882"/>
    <w:rsid w:val="001E73AB"/>
    <w:rsid w:val="001E7CFF"/>
    <w:rsid w:val="001F092D"/>
    <w:rsid w:val="001F143A"/>
    <w:rsid w:val="001F1605"/>
    <w:rsid w:val="001F2508"/>
    <w:rsid w:val="001F4816"/>
    <w:rsid w:val="001F4EE9"/>
    <w:rsid w:val="001F5627"/>
    <w:rsid w:val="001F5BCA"/>
    <w:rsid w:val="001F69B4"/>
    <w:rsid w:val="001F77C7"/>
    <w:rsid w:val="00200183"/>
    <w:rsid w:val="00200333"/>
    <w:rsid w:val="0020107D"/>
    <w:rsid w:val="00202AA4"/>
    <w:rsid w:val="002031F7"/>
    <w:rsid w:val="002040E6"/>
    <w:rsid w:val="0020527B"/>
    <w:rsid w:val="00205F2C"/>
    <w:rsid w:val="00206A2E"/>
    <w:rsid w:val="00210B15"/>
    <w:rsid w:val="002115D3"/>
    <w:rsid w:val="00213ABF"/>
    <w:rsid w:val="002142EA"/>
    <w:rsid w:val="002204BB"/>
    <w:rsid w:val="00221B79"/>
    <w:rsid w:val="00221C6B"/>
    <w:rsid w:val="0022309A"/>
    <w:rsid w:val="002253A1"/>
    <w:rsid w:val="00225CF8"/>
    <w:rsid w:val="00226F2B"/>
    <w:rsid w:val="0022794E"/>
    <w:rsid w:val="00233D64"/>
    <w:rsid w:val="0023482A"/>
    <w:rsid w:val="002359CB"/>
    <w:rsid w:val="00243540"/>
    <w:rsid w:val="0024497B"/>
    <w:rsid w:val="0024515B"/>
    <w:rsid w:val="00245FA2"/>
    <w:rsid w:val="00246021"/>
    <w:rsid w:val="0024666E"/>
    <w:rsid w:val="00247DD0"/>
    <w:rsid w:val="00247F52"/>
    <w:rsid w:val="002508D4"/>
    <w:rsid w:val="00250B25"/>
    <w:rsid w:val="00250BBE"/>
    <w:rsid w:val="002515C2"/>
    <w:rsid w:val="0025194F"/>
    <w:rsid w:val="00252DCD"/>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1FD5"/>
    <w:rsid w:val="002A25DC"/>
    <w:rsid w:val="002A3AAB"/>
    <w:rsid w:val="002A4CEA"/>
    <w:rsid w:val="002A5977"/>
    <w:rsid w:val="002A5A13"/>
    <w:rsid w:val="002A757F"/>
    <w:rsid w:val="002A7F44"/>
    <w:rsid w:val="002B0C40"/>
    <w:rsid w:val="002B1966"/>
    <w:rsid w:val="002B4508"/>
    <w:rsid w:val="002B5779"/>
    <w:rsid w:val="002B7332"/>
    <w:rsid w:val="002B746F"/>
    <w:rsid w:val="002B7F51"/>
    <w:rsid w:val="002C09E7"/>
    <w:rsid w:val="002C1E06"/>
    <w:rsid w:val="002C1E1C"/>
    <w:rsid w:val="002C3F07"/>
    <w:rsid w:val="002C5278"/>
    <w:rsid w:val="002C580E"/>
    <w:rsid w:val="002C7AAC"/>
    <w:rsid w:val="002C7EBB"/>
    <w:rsid w:val="002D06C1"/>
    <w:rsid w:val="002D42B5"/>
    <w:rsid w:val="002D4F1A"/>
    <w:rsid w:val="002D6EC6"/>
    <w:rsid w:val="002D79AC"/>
    <w:rsid w:val="002E039D"/>
    <w:rsid w:val="002E0C77"/>
    <w:rsid w:val="002E4D5A"/>
    <w:rsid w:val="002E507D"/>
    <w:rsid w:val="002E5359"/>
    <w:rsid w:val="002E6326"/>
    <w:rsid w:val="002F2A67"/>
    <w:rsid w:val="002F30E0"/>
    <w:rsid w:val="002F35E4"/>
    <w:rsid w:val="002F3730"/>
    <w:rsid w:val="002F38E1"/>
    <w:rsid w:val="002F52EC"/>
    <w:rsid w:val="002F7AF6"/>
    <w:rsid w:val="00300A23"/>
    <w:rsid w:val="00300E63"/>
    <w:rsid w:val="00302F5F"/>
    <w:rsid w:val="0030441D"/>
    <w:rsid w:val="00306063"/>
    <w:rsid w:val="00306BF1"/>
    <w:rsid w:val="00310432"/>
    <w:rsid w:val="00310FAE"/>
    <w:rsid w:val="00313B85"/>
    <w:rsid w:val="00317988"/>
    <w:rsid w:val="003221B4"/>
    <w:rsid w:val="0032258D"/>
    <w:rsid w:val="00322E62"/>
    <w:rsid w:val="00324D13"/>
    <w:rsid w:val="00324D2A"/>
    <w:rsid w:val="00324EDD"/>
    <w:rsid w:val="00325940"/>
    <w:rsid w:val="00325BBC"/>
    <w:rsid w:val="00326A8A"/>
    <w:rsid w:val="003331E4"/>
    <w:rsid w:val="00336C64"/>
    <w:rsid w:val="00337162"/>
    <w:rsid w:val="0034194F"/>
    <w:rsid w:val="00344605"/>
    <w:rsid w:val="003474AA"/>
    <w:rsid w:val="00350D1D"/>
    <w:rsid w:val="003522E2"/>
    <w:rsid w:val="003525C9"/>
    <w:rsid w:val="00352C83"/>
    <w:rsid w:val="00356AD5"/>
    <w:rsid w:val="00357D1F"/>
    <w:rsid w:val="003615D2"/>
    <w:rsid w:val="00363B1A"/>
    <w:rsid w:val="0036429C"/>
    <w:rsid w:val="00364A53"/>
    <w:rsid w:val="003654CB"/>
    <w:rsid w:val="00365AA9"/>
    <w:rsid w:val="00365F86"/>
    <w:rsid w:val="00365F87"/>
    <w:rsid w:val="00366E89"/>
    <w:rsid w:val="003705F4"/>
    <w:rsid w:val="00370D58"/>
    <w:rsid w:val="00370F30"/>
    <w:rsid w:val="00371316"/>
    <w:rsid w:val="00374E9F"/>
    <w:rsid w:val="00376713"/>
    <w:rsid w:val="0038108B"/>
    <w:rsid w:val="00381815"/>
    <w:rsid w:val="003819AF"/>
    <w:rsid w:val="003820E9"/>
    <w:rsid w:val="00382DE7"/>
    <w:rsid w:val="00384FFC"/>
    <w:rsid w:val="00385369"/>
    <w:rsid w:val="003872FC"/>
    <w:rsid w:val="00387ADC"/>
    <w:rsid w:val="00390020"/>
    <w:rsid w:val="003903D6"/>
    <w:rsid w:val="003905B2"/>
    <w:rsid w:val="00390EE6"/>
    <w:rsid w:val="0039118F"/>
    <w:rsid w:val="00392AD7"/>
    <w:rsid w:val="003938D9"/>
    <w:rsid w:val="00394376"/>
    <w:rsid w:val="003943FF"/>
    <w:rsid w:val="00395700"/>
    <w:rsid w:val="003974EB"/>
    <w:rsid w:val="00397CC5"/>
    <w:rsid w:val="003A1582"/>
    <w:rsid w:val="003A4077"/>
    <w:rsid w:val="003A5F04"/>
    <w:rsid w:val="003B09AD"/>
    <w:rsid w:val="003B1C5B"/>
    <w:rsid w:val="003B1F18"/>
    <w:rsid w:val="003B2BFF"/>
    <w:rsid w:val="003B5BF0"/>
    <w:rsid w:val="003B60BF"/>
    <w:rsid w:val="003B6BE3"/>
    <w:rsid w:val="003C010C"/>
    <w:rsid w:val="003C0A6C"/>
    <w:rsid w:val="003C14F8"/>
    <w:rsid w:val="003C4B3D"/>
    <w:rsid w:val="003C5A43"/>
    <w:rsid w:val="003D0519"/>
    <w:rsid w:val="003D0FF6"/>
    <w:rsid w:val="003D262C"/>
    <w:rsid w:val="003D2E64"/>
    <w:rsid w:val="003D6D61"/>
    <w:rsid w:val="003D79C6"/>
    <w:rsid w:val="003E091D"/>
    <w:rsid w:val="003E1C53"/>
    <w:rsid w:val="003E2A69"/>
    <w:rsid w:val="003E2D49"/>
    <w:rsid w:val="003E2FD4"/>
    <w:rsid w:val="003E49F6"/>
    <w:rsid w:val="003E660F"/>
    <w:rsid w:val="003F0841"/>
    <w:rsid w:val="003F23D3"/>
    <w:rsid w:val="003F3F08"/>
    <w:rsid w:val="003F49F1"/>
    <w:rsid w:val="003F6272"/>
    <w:rsid w:val="003F6F1B"/>
    <w:rsid w:val="00400E72"/>
    <w:rsid w:val="00401400"/>
    <w:rsid w:val="00404869"/>
    <w:rsid w:val="00405884"/>
    <w:rsid w:val="00407D39"/>
    <w:rsid w:val="00410145"/>
    <w:rsid w:val="0041477A"/>
    <w:rsid w:val="00415878"/>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97D"/>
    <w:rsid w:val="00481C44"/>
    <w:rsid w:val="00484936"/>
    <w:rsid w:val="00485AA3"/>
    <w:rsid w:val="00485C89"/>
    <w:rsid w:val="00486BE3"/>
    <w:rsid w:val="00487596"/>
    <w:rsid w:val="004905E4"/>
    <w:rsid w:val="00490A89"/>
    <w:rsid w:val="00490AB4"/>
    <w:rsid w:val="00492F02"/>
    <w:rsid w:val="004939AE"/>
    <w:rsid w:val="004A12DF"/>
    <w:rsid w:val="004A17E6"/>
    <w:rsid w:val="004A1BA8"/>
    <w:rsid w:val="004A4B57"/>
    <w:rsid w:val="004A63FA"/>
    <w:rsid w:val="004A755E"/>
    <w:rsid w:val="004A7B57"/>
    <w:rsid w:val="004B0272"/>
    <w:rsid w:val="004B2701"/>
    <w:rsid w:val="004B2E1B"/>
    <w:rsid w:val="004B3AA8"/>
    <w:rsid w:val="004B3E93"/>
    <w:rsid w:val="004B56A2"/>
    <w:rsid w:val="004B5C51"/>
    <w:rsid w:val="004C1FBC"/>
    <w:rsid w:val="004C3F1D"/>
    <w:rsid w:val="004C458D"/>
    <w:rsid w:val="004C7556"/>
    <w:rsid w:val="004C7E8B"/>
    <w:rsid w:val="004C7E9D"/>
    <w:rsid w:val="004C7F67"/>
    <w:rsid w:val="004D076D"/>
    <w:rsid w:val="004D0EF1"/>
    <w:rsid w:val="004D2253"/>
    <w:rsid w:val="004D3B06"/>
    <w:rsid w:val="004D4406"/>
    <w:rsid w:val="004D57EA"/>
    <w:rsid w:val="004D7C42"/>
    <w:rsid w:val="004E0465"/>
    <w:rsid w:val="004E127B"/>
    <w:rsid w:val="004E1C0A"/>
    <w:rsid w:val="004E2B06"/>
    <w:rsid w:val="004E30C5"/>
    <w:rsid w:val="004E4AA5"/>
    <w:rsid w:val="004E4AEE"/>
    <w:rsid w:val="004E59E3"/>
    <w:rsid w:val="004E67C0"/>
    <w:rsid w:val="004F391A"/>
    <w:rsid w:val="004F3CFB"/>
    <w:rsid w:val="004F409C"/>
    <w:rsid w:val="004F6456"/>
    <w:rsid w:val="004F696E"/>
    <w:rsid w:val="004F6C71"/>
    <w:rsid w:val="00501139"/>
    <w:rsid w:val="0050363E"/>
    <w:rsid w:val="005039BC"/>
    <w:rsid w:val="005043BB"/>
    <w:rsid w:val="00504A3D"/>
    <w:rsid w:val="00505767"/>
    <w:rsid w:val="00506141"/>
    <w:rsid w:val="00507017"/>
    <w:rsid w:val="005073F0"/>
    <w:rsid w:val="00510A7B"/>
    <w:rsid w:val="00512F6E"/>
    <w:rsid w:val="00513038"/>
    <w:rsid w:val="005139E7"/>
    <w:rsid w:val="00514174"/>
    <w:rsid w:val="0051525B"/>
    <w:rsid w:val="00516088"/>
    <w:rsid w:val="00516B0B"/>
    <w:rsid w:val="00520CF9"/>
    <w:rsid w:val="005220EC"/>
    <w:rsid w:val="00523F95"/>
    <w:rsid w:val="00524D65"/>
    <w:rsid w:val="00525B16"/>
    <w:rsid w:val="00533795"/>
    <w:rsid w:val="00533D04"/>
    <w:rsid w:val="00534804"/>
    <w:rsid w:val="00534BDF"/>
    <w:rsid w:val="005354EA"/>
    <w:rsid w:val="0053585F"/>
    <w:rsid w:val="00535EC4"/>
    <w:rsid w:val="00535ED9"/>
    <w:rsid w:val="0053692B"/>
    <w:rsid w:val="00541853"/>
    <w:rsid w:val="00543BDA"/>
    <w:rsid w:val="005441CC"/>
    <w:rsid w:val="0054738C"/>
    <w:rsid w:val="005479DA"/>
    <w:rsid w:val="00547BCC"/>
    <w:rsid w:val="0055013B"/>
    <w:rsid w:val="00551F6F"/>
    <w:rsid w:val="00555044"/>
    <w:rsid w:val="00556701"/>
    <w:rsid w:val="00556F85"/>
    <w:rsid w:val="00561475"/>
    <w:rsid w:val="0056487B"/>
    <w:rsid w:val="00564FB9"/>
    <w:rsid w:val="00570122"/>
    <w:rsid w:val="0057384D"/>
    <w:rsid w:val="00573D9E"/>
    <w:rsid w:val="005770B2"/>
    <w:rsid w:val="005801E3"/>
    <w:rsid w:val="00581802"/>
    <w:rsid w:val="005836A8"/>
    <w:rsid w:val="0058409C"/>
    <w:rsid w:val="00584262"/>
    <w:rsid w:val="00584BCB"/>
    <w:rsid w:val="00586630"/>
    <w:rsid w:val="00587ADD"/>
    <w:rsid w:val="00591E27"/>
    <w:rsid w:val="00596160"/>
    <w:rsid w:val="005966E2"/>
    <w:rsid w:val="00597007"/>
    <w:rsid w:val="005A0966"/>
    <w:rsid w:val="005A11B7"/>
    <w:rsid w:val="005A260B"/>
    <w:rsid w:val="005A37BD"/>
    <w:rsid w:val="005A4A1B"/>
    <w:rsid w:val="005A7830"/>
    <w:rsid w:val="005A7FCE"/>
    <w:rsid w:val="005B0F3F"/>
    <w:rsid w:val="005B4903"/>
    <w:rsid w:val="005B51CE"/>
    <w:rsid w:val="005B5885"/>
    <w:rsid w:val="005B5CD7"/>
    <w:rsid w:val="005B6CF6"/>
    <w:rsid w:val="005B7422"/>
    <w:rsid w:val="005C22D7"/>
    <w:rsid w:val="005C29B8"/>
    <w:rsid w:val="005C5F21"/>
    <w:rsid w:val="005C7156"/>
    <w:rsid w:val="005D0C75"/>
    <w:rsid w:val="005D2E45"/>
    <w:rsid w:val="005D4171"/>
    <w:rsid w:val="005D4A69"/>
    <w:rsid w:val="005D6A95"/>
    <w:rsid w:val="005D6B2C"/>
    <w:rsid w:val="005D6D9C"/>
    <w:rsid w:val="005E2335"/>
    <w:rsid w:val="005E34CA"/>
    <w:rsid w:val="005E3C18"/>
    <w:rsid w:val="005E6812"/>
    <w:rsid w:val="005E7881"/>
    <w:rsid w:val="005E78E0"/>
    <w:rsid w:val="005F06EB"/>
    <w:rsid w:val="005F0934"/>
    <w:rsid w:val="005F0D9C"/>
    <w:rsid w:val="005F284E"/>
    <w:rsid w:val="005F2C69"/>
    <w:rsid w:val="005F4712"/>
    <w:rsid w:val="005F7315"/>
    <w:rsid w:val="006015CE"/>
    <w:rsid w:val="00604784"/>
    <w:rsid w:val="00604934"/>
    <w:rsid w:val="00606419"/>
    <w:rsid w:val="00607D29"/>
    <w:rsid w:val="00612952"/>
    <w:rsid w:val="006149F1"/>
    <w:rsid w:val="00614CC1"/>
    <w:rsid w:val="00615A9D"/>
    <w:rsid w:val="00617387"/>
    <w:rsid w:val="006205D6"/>
    <w:rsid w:val="00621CEB"/>
    <w:rsid w:val="006252D8"/>
    <w:rsid w:val="006259BC"/>
    <w:rsid w:val="0062636B"/>
    <w:rsid w:val="00627EB6"/>
    <w:rsid w:val="00632182"/>
    <w:rsid w:val="00632AE0"/>
    <w:rsid w:val="00633C17"/>
    <w:rsid w:val="00634D9E"/>
    <w:rsid w:val="00636E3E"/>
    <w:rsid w:val="006379F7"/>
    <w:rsid w:val="00637E4D"/>
    <w:rsid w:val="00640620"/>
    <w:rsid w:val="00641A1F"/>
    <w:rsid w:val="00644320"/>
    <w:rsid w:val="00645904"/>
    <w:rsid w:val="00651ACB"/>
    <w:rsid w:val="00651C47"/>
    <w:rsid w:val="00652AB2"/>
    <w:rsid w:val="00653FED"/>
    <w:rsid w:val="00654EC0"/>
    <w:rsid w:val="0065525B"/>
    <w:rsid w:val="00655D4F"/>
    <w:rsid w:val="00656D29"/>
    <w:rsid w:val="00660D47"/>
    <w:rsid w:val="006640E5"/>
    <w:rsid w:val="006646F1"/>
    <w:rsid w:val="00664929"/>
    <w:rsid w:val="00664F62"/>
    <w:rsid w:val="006655E1"/>
    <w:rsid w:val="0067068D"/>
    <w:rsid w:val="00672060"/>
    <w:rsid w:val="00672BFD"/>
    <w:rsid w:val="006770F4"/>
    <w:rsid w:val="00677A84"/>
    <w:rsid w:val="0068026D"/>
    <w:rsid w:val="00680A27"/>
    <w:rsid w:val="006816A4"/>
    <w:rsid w:val="006819B8"/>
    <w:rsid w:val="0068267A"/>
    <w:rsid w:val="006840A6"/>
    <w:rsid w:val="006850CD"/>
    <w:rsid w:val="00685AAB"/>
    <w:rsid w:val="006959D5"/>
    <w:rsid w:val="00695D22"/>
    <w:rsid w:val="006A07AA"/>
    <w:rsid w:val="006A25E5"/>
    <w:rsid w:val="006A2B46"/>
    <w:rsid w:val="006A336D"/>
    <w:rsid w:val="006A37B9"/>
    <w:rsid w:val="006B2672"/>
    <w:rsid w:val="006B54BF"/>
    <w:rsid w:val="006B5F44"/>
    <w:rsid w:val="006B5F90"/>
    <w:rsid w:val="006B62E4"/>
    <w:rsid w:val="006B788C"/>
    <w:rsid w:val="006C0DD6"/>
    <w:rsid w:val="006C1BBA"/>
    <w:rsid w:val="006C2079"/>
    <w:rsid w:val="006C5A62"/>
    <w:rsid w:val="006C5D68"/>
    <w:rsid w:val="006C6976"/>
    <w:rsid w:val="006C6DD0"/>
    <w:rsid w:val="006D04EA"/>
    <w:rsid w:val="006D0AB7"/>
    <w:rsid w:val="006D16C4"/>
    <w:rsid w:val="006D3E96"/>
    <w:rsid w:val="006D41E9"/>
    <w:rsid w:val="006D4515"/>
    <w:rsid w:val="006D4BB1"/>
    <w:rsid w:val="006D4DC9"/>
    <w:rsid w:val="006D6593"/>
    <w:rsid w:val="006E1461"/>
    <w:rsid w:val="006E23EA"/>
    <w:rsid w:val="006F03A8"/>
    <w:rsid w:val="006F2ACA"/>
    <w:rsid w:val="006F2ADC"/>
    <w:rsid w:val="006F2BFE"/>
    <w:rsid w:val="006F31E9"/>
    <w:rsid w:val="006F6284"/>
    <w:rsid w:val="007002C5"/>
    <w:rsid w:val="00702AB4"/>
    <w:rsid w:val="00704387"/>
    <w:rsid w:val="00707669"/>
    <w:rsid w:val="00711CBA"/>
    <w:rsid w:val="00711FB5"/>
    <w:rsid w:val="00712A01"/>
    <w:rsid w:val="00714F58"/>
    <w:rsid w:val="0071533A"/>
    <w:rsid w:val="007201F6"/>
    <w:rsid w:val="00722F48"/>
    <w:rsid w:val="00722FBF"/>
    <w:rsid w:val="00722FC2"/>
    <w:rsid w:val="00723E1A"/>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114"/>
    <w:rsid w:val="0074548E"/>
    <w:rsid w:val="00745773"/>
    <w:rsid w:val="00746800"/>
    <w:rsid w:val="007501A8"/>
    <w:rsid w:val="00750D61"/>
    <w:rsid w:val="00750EE1"/>
    <w:rsid w:val="00752B4D"/>
    <w:rsid w:val="00755402"/>
    <w:rsid w:val="00756B26"/>
    <w:rsid w:val="00756EDF"/>
    <w:rsid w:val="007600E3"/>
    <w:rsid w:val="007620A0"/>
    <w:rsid w:val="00765C43"/>
    <w:rsid w:val="00765EFB"/>
    <w:rsid w:val="0076608F"/>
    <w:rsid w:val="007671CA"/>
    <w:rsid w:val="00767C61"/>
    <w:rsid w:val="0077008A"/>
    <w:rsid w:val="00773C1F"/>
    <w:rsid w:val="00774DA4"/>
    <w:rsid w:val="00776599"/>
    <w:rsid w:val="00780D55"/>
    <w:rsid w:val="0078114B"/>
    <w:rsid w:val="00781DD2"/>
    <w:rsid w:val="00782D6E"/>
    <w:rsid w:val="00783ECF"/>
    <w:rsid w:val="0078413A"/>
    <w:rsid w:val="007959E8"/>
    <w:rsid w:val="00795E9C"/>
    <w:rsid w:val="007A0521"/>
    <w:rsid w:val="007A21DA"/>
    <w:rsid w:val="007A2E12"/>
    <w:rsid w:val="007A3475"/>
    <w:rsid w:val="007A41C8"/>
    <w:rsid w:val="007A54CE"/>
    <w:rsid w:val="007A6FD9"/>
    <w:rsid w:val="007A7FFA"/>
    <w:rsid w:val="007B04EB"/>
    <w:rsid w:val="007B0D4F"/>
    <w:rsid w:val="007B57F0"/>
    <w:rsid w:val="007B5A3D"/>
    <w:rsid w:val="007B5B95"/>
    <w:rsid w:val="007B68EA"/>
    <w:rsid w:val="007B7453"/>
    <w:rsid w:val="007C1E8B"/>
    <w:rsid w:val="007C238D"/>
    <w:rsid w:val="007C2D89"/>
    <w:rsid w:val="007C4593"/>
    <w:rsid w:val="007C5309"/>
    <w:rsid w:val="007C6069"/>
    <w:rsid w:val="007C7BEF"/>
    <w:rsid w:val="007D06C4"/>
    <w:rsid w:val="007D1352"/>
    <w:rsid w:val="007D2508"/>
    <w:rsid w:val="007D346A"/>
    <w:rsid w:val="007D6518"/>
    <w:rsid w:val="007D76BD"/>
    <w:rsid w:val="007E0BF1"/>
    <w:rsid w:val="007E6D8F"/>
    <w:rsid w:val="007F0ED8"/>
    <w:rsid w:val="007F0F63"/>
    <w:rsid w:val="007F2AB6"/>
    <w:rsid w:val="007F7544"/>
    <w:rsid w:val="007F75CE"/>
    <w:rsid w:val="00800606"/>
    <w:rsid w:val="008013A4"/>
    <w:rsid w:val="008027CE"/>
    <w:rsid w:val="00802F42"/>
    <w:rsid w:val="00804383"/>
    <w:rsid w:val="00804BB7"/>
    <w:rsid w:val="00804D41"/>
    <w:rsid w:val="0080799B"/>
    <w:rsid w:val="00810257"/>
    <w:rsid w:val="008104F5"/>
    <w:rsid w:val="00811072"/>
    <w:rsid w:val="00811369"/>
    <w:rsid w:val="00814884"/>
    <w:rsid w:val="00815419"/>
    <w:rsid w:val="008163C8"/>
    <w:rsid w:val="008164A1"/>
    <w:rsid w:val="00817325"/>
    <w:rsid w:val="008209E6"/>
    <w:rsid w:val="00823303"/>
    <w:rsid w:val="008233B2"/>
    <w:rsid w:val="00823A9F"/>
    <w:rsid w:val="00823C85"/>
    <w:rsid w:val="00825138"/>
    <w:rsid w:val="008269DD"/>
    <w:rsid w:val="00826B38"/>
    <w:rsid w:val="00826D00"/>
    <w:rsid w:val="00830621"/>
    <w:rsid w:val="00832B5E"/>
    <w:rsid w:val="0083348C"/>
    <w:rsid w:val="00835A99"/>
    <w:rsid w:val="00836150"/>
    <w:rsid w:val="008373D3"/>
    <w:rsid w:val="00840617"/>
    <w:rsid w:val="00840F84"/>
    <w:rsid w:val="00842A47"/>
    <w:rsid w:val="00843C13"/>
    <w:rsid w:val="008454F8"/>
    <w:rsid w:val="0085173A"/>
    <w:rsid w:val="00856316"/>
    <w:rsid w:val="008603CE"/>
    <w:rsid w:val="008620FC"/>
    <w:rsid w:val="008627A5"/>
    <w:rsid w:val="00863E05"/>
    <w:rsid w:val="00864DB7"/>
    <w:rsid w:val="00865ACA"/>
    <w:rsid w:val="00865D28"/>
    <w:rsid w:val="00865F85"/>
    <w:rsid w:val="00867C10"/>
    <w:rsid w:val="00870439"/>
    <w:rsid w:val="0087076C"/>
    <w:rsid w:val="00870DA1"/>
    <w:rsid w:val="0088381B"/>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455C"/>
    <w:rsid w:val="008A57E6"/>
    <w:rsid w:val="008A5EDD"/>
    <w:rsid w:val="008A60E7"/>
    <w:rsid w:val="008A6F81"/>
    <w:rsid w:val="008A769A"/>
    <w:rsid w:val="008B0C9C"/>
    <w:rsid w:val="008B166D"/>
    <w:rsid w:val="008B17F4"/>
    <w:rsid w:val="008B3615"/>
    <w:rsid w:val="008B4AC4"/>
    <w:rsid w:val="008B50C8"/>
    <w:rsid w:val="008B5281"/>
    <w:rsid w:val="008B7E05"/>
    <w:rsid w:val="008C1797"/>
    <w:rsid w:val="008C195F"/>
    <w:rsid w:val="008C219C"/>
    <w:rsid w:val="008C475E"/>
    <w:rsid w:val="008C53E9"/>
    <w:rsid w:val="008C619A"/>
    <w:rsid w:val="008D0CE8"/>
    <w:rsid w:val="008D2D1D"/>
    <w:rsid w:val="008D2E03"/>
    <w:rsid w:val="008D453D"/>
    <w:rsid w:val="008D53AD"/>
    <w:rsid w:val="008D562B"/>
    <w:rsid w:val="008D5733"/>
    <w:rsid w:val="008D622B"/>
    <w:rsid w:val="008D666C"/>
    <w:rsid w:val="008D7B54"/>
    <w:rsid w:val="008E0C9D"/>
    <w:rsid w:val="008E1648"/>
    <w:rsid w:val="008E1B3E"/>
    <w:rsid w:val="008E1C76"/>
    <w:rsid w:val="008E1CB2"/>
    <w:rsid w:val="008E2319"/>
    <w:rsid w:val="008E4BB6"/>
    <w:rsid w:val="008E5518"/>
    <w:rsid w:val="008E6A84"/>
    <w:rsid w:val="008F0CDC"/>
    <w:rsid w:val="008F17A3"/>
    <w:rsid w:val="008F1D3F"/>
    <w:rsid w:val="008F1ED3"/>
    <w:rsid w:val="008F23A5"/>
    <w:rsid w:val="008F47C6"/>
    <w:rsid w:val="008F4C29"/>
    <w:rsid w:val="008F70BD"/>
    <w:rsid w:val="008F788F"/>
    <w:rsid w:val="008F78E7"/>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46609"/>
    <w:rsid w:val="00953604"/>
    <w:rsid w:val="0095496B"/>
    <w:rsid w:val="009610DC"/>
    <w:rsid w:val="00961490"/>
    <w:rsid w:val="00962A42"/>
    <w:rsid w:val="0096381A"/>
    <w:rsid w:val="00965E04"/>
    <w:rsid w:val="009674AD"/>
    <w:rsid w:val="00970CDC"/>
    <w:rsid w:val="00977010"/>
    <w:rsid w:val="00977D02"/>
    <w:rsid w:val="009809BB"/>
    <w:rsid w:val="00980A91"/>
    <w:rsid w:val="00982394"/>
    <w:rsid w:val="0098364B"/>
    <w:rsid w:val="00986FE9"/>
    <w:rsid w:val="009911AF"/>
    <w:rsid w:val="00991875"/>
    <w:rsid w:val="00991F92"/>
    <w:rsid w:val="00992985"/>
    <w:rsid w:val="00993889"/>
    <w:rsid w:val="0099551B"/>
    <w:rsid w:val="00997BF1"/>
    <w:rsid w:val="00997EE1"/>
    <w:rsid w:val="009A089C"/>
    <w:rsid w:val="009A118E"/>
    <w:rsid w:val="009A21CD"/>
    <w:rsid w:val="009A278C"/>
    <w:rsid w:val="009A2BC2"/>
    <w:rsid w:val="009A42C1"/>
    <w:rsid w:val="009A5429"/>
    <w:rsid w:val="009A72AD"/>
    <w:rsid w:val="009A7C63"/>
    <w:rsid w:val="009B09E0"/>
    <w:rsid w:val="009B0BC5"/>
    <w:rsid w:val="009B1247"/>
    <w:rsid w:val="009B2426"/>
    <w:rsid w:val="009B46F9"/>
    <w:rsid w:val="009B6029"/>
    <w:rsid w:val="009B6971"/>
    <w:rsid w:val="009C04E3"/>
    <w:rsid w:val="009C1DE1"/>
    <w:rsid w:val="009C27F1"/>
    <w:rsid w:val="009C3152"/>
    <w:rsid w:val="009C4CFA"/>
    <w:rsid w:val="009C5070"/>
    <w:rsid w:val="009C530C"/>
    <w:rsid w:val="009D112C"/>
    <w:rsid w:val="009D47FA"/>
    <w:rsid w:val="009D4C5B"/>
    <w:rsid w:val="009D50D2"/>
    <w:rsid w:val="009D6BCA"/>
    <w:rsid w:val="009E0F62"/>
    <w:rsid w:val="009E4A58"/>
    <w:rsid w:val="009E5341"/>
    <w:rsid w:val="009E5A2D"/>
    <w:rsid w:val="009E5AB2"/>
    <w:rsid w:val="009E6219"/>
    <w:rsid w:val="009F03B3"/>
    <w:rsid w:val="009F288A"/>
    <w:rsid w:val="00A0096C"/>
    <w:rsid w:val="00A01757"/>
    <w:rsid w:val="00A01C10"/>
    <w:rsid w:val="00A028C0"/>
    <w:rsid w:val="00A02BAE"/>
    <w:rsid w:val="00A0361B"/>
    <w:rsid w:val="00A06A6B"/>
    <w:rsid w:val="00A07E47"/>
    <w:rsid w:val="00A11778"/>
    <w:rsid w:val="00A129D0"/>
    <w:rsid w:val="00A12C33"/>
    <w:rsid w:val="00A138BA"/>
    <w:rsid w:val="00A14C8E"/>
    <w:rsid w:val="00A153D9"/>
    <w:rsid w:val="00A15F09"/>
    <w:rsid w:val="00A169B6"/>
    <w:rsid w:val="00A2271D"/>
    <w:rsid w:val="00A237D5"/>
    <w:rsid w:val="00A27C3A"/>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141F"/>
    <w:rsid w:val="00A51B83"/>
    <w:rsid w:val="00A55BD6"/>
    <w:rsid w:val="00A55D50"/>
    <w:rsid w:val="00A57142"/>
    <w:rsid w:val="00A648CD"/>
    <w:rsid w:val="00A6537A"/>
    <w:rsid w:val="00A656E6"/>
    <w:rsid w:val="00A657E1"/>
    <w:rsid w:val="00A67866"/>
    <w:rsid w:val="00A70B07"/>
    <w:rsid w:val="00A71C76"/>
    <w:rsid w:val="00A723F8"/>
    <w:rsid w:val="00A77CCB"/>
    <w:rsid w:val="00A8087C"/>
    <w:rsid w:val="00A810C9"/>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4C0A"/>
    <w:rsid w:val="00AA57F5"/>
    <w:rsid w:val="00AA672E"/>
    <w:rsid w:val="00AA6EC9"/>
    <w:rsid w:val="00AB07A2"/>
    <w:rsid w:val="00AB3EE5"/>
    <w:rsid w:val="00AB41D5"/>
    <w:rsid w:val="00AB6309"/>
    <w:rsid w:val="00AB6C5F"/>
    <w:rsid w:val="00AB7129"/>
    <w:rsid w:val="00AC1966"/>
    <w:rsid w:val="00AC27A6"/>
    <w:rsid w:val="00AC30F7"/>
    <w:rsid w:val="00AC3A5A"/>
    <w:rsid w:val="00AC4D95"/>
    <w:rsid w:val="00AC5DF4"/>
    <w:rsid w:val="00AD0AEF"/>
    <w:rsid w:val="00AD11B7"/>
    <w:rsid w:val="00AD1A94"/>
    <w:rsid w:val="00AD1C05"/>
    <w:rsid w:val="00AD4126"/>
    <w:rsid w:val="00AD421C"/>
    <w:rsid w:val="00AD44FA"/>
    <w:rsid w:val="00AD7EBE"/>
    <w:rsid w:val="00AE03F7"/>
    <w:rsid w:val="00AE070A"/>
    <w:rsid w:val="00AE101C"/>
    <w:rsid w:val="00AE1BB5"/>
    <w:rsid w:val="00AE37E5"/>
    <w:rsid w:val="00AE5030"/>
    <w:rsid w:val="00AE5D5C"/>
    <w:rsid w:val="00AE5EB4"/>
    <w:rsid w:val="00AE7304"/>
    <w:rsid w:val="00AE750C"/>
    <w:rsid w:val="00AF0C18"/>
    <w:rsid w:val="00AF47C5"/>
    <w:rsid w:val="00AF5398"/>
    <w:rsid w:val="00B049AF"/>
    <w:rsid w:val="00B07242"/>
    <w:rsid w:val="00B10534"/>
    <w:rsid w:val="00B10FA8"/>
    <w:rsid w:val="00B113DB"/>
    <w:rsid w:val="00B11D8A"/>
    <w:rsid w:val="00B12981"/>
    <w:rsid w:val="00B147DD"/>
    <w:rsid w:val="00B156FD"/>
    <w:rsid w:val="00B15C64"/>
    <w:rsid w:val="00B2180B"/>
    <w:rsid w:val="00B21F61"/>
    <w:rsid w:val="00B261F1"/>
    <w:rsid w:val="00B265BC"/>
    <w:rsid w:val="00B26714"/>
    <w:rsid w:val="00B27F24"/>
    <w:rsid w:val="00B30AD7"/>
    <w:rsid w:val="00B31FB1"/>
    <w:rsid w:val="00B33952"/>
    <w:rsid w:val="00B33C5E"/>
    <w:rsid w:val="00B342F4"/>
    <w:rsid w:val="00B34369"/>
    <w:rsid w:val="00B34DC2"/>
    <w:rsid w:val="00B378E5"/>
    <w:rsid w:val="00B4346D"/>
    <w:rsid w:val="00B440F4"/>
    <w:rsid w:val="00B447A5"/>
    <w:rsid w:val="00B45E8F"/>
    <w:rsid w:val="00B4654C"/>
    <w:rsid w:val="00B46AF0"/>
    <w:rsid w:val="00B47293"/>
    <w:rsid w:val="00B50E50"/>
    <w:rsid w:val="00B52120"/>
    <w:rsid w:val="00B53EB0"/>
    <w:rsid w:val="00B54ABC"/>
    <w:rsid w:val="00B54DDE"/>
    <w:rsid w:val="00B56864"/>
    <w:rsid w:val="00B56FBE"/>
    <w:rsid w:val="00B5714F"/>
    <w:rsid w:val="00B577DF"/>
    <w:rsid w:val="00B60ACF"/>
    <w:rsid w:val="00B62B58"/>
    <w:rsid w:val="00B65149"/>
    <w:rsid w:val="00B66567"/>
    <w:rsid w:val="00B66F52"/>
    <w:rsid w:val="00B66FE5"/>
    <w:rsid w:val="00B72880"/>
    <w:rsid w:val="00B758BF"/>
    <w:rsid w:val="00B77EC8"/>
    <w:rsid w:val="00B813AA"/>
    <w:rsid w:val="00B827A6"/>
    <w:rsid w:val="00B831CE"/>
    <w:rsid w:val="00B86677"/>
    <w:rsid w:val="00B87131"/>
    <w:rsid w:val="00B90A58"/>
    <w:rsid w:val="00B911B1"/>
    <w:rsid w:val="00B939B1"/>
    <w:rsid w:val="00B95113"/>
    <w:rsid w:val="00B96D40"/>
    <w:rsid w:val="00B97386"/>
    <w:rsid w:val="00BA263B"/>
    <w:rsid w:val="00BA42B2"/>
    <w:rsid w:val="00BA58D4"/>
    <w:rsid w:val="00BA5B9E"/>
    <w:rsid w:val="00BA7C9A"/>
    <w:rsid w:val="00BB203B"/>
    <w:rsid w:val="00BB5F8F"/>
    <w:rsid w:val="00BB657A"/>
    <w:rsid w:val="00BC1A4E"/>
    <w:rsid w:val="00BC4790"/>
    <w:rsid w:val="00BC52AD"/>
    <w:rsid w:val="00BC5DC7"/>
    <w:rsid w:val="00BC6B8B"/>
    <w:rsid w:val="00BC73D8"/>
    <w:rsid w:val="00BD4DF7"/>
    <w:rsid w:val="00BD52D7"/>
    <w:rsid w:val="00BD5AD2"/>
    <w:rsid w:val="00BD7698"/>
    <w:rsid w:val="00BE22F3"/>
    <w:rsid w:val="00BE5B52"/>
    <w:rsid w:val="00BE7B8D"/>
    <w:rsid w:val="00BF0993"/>
    <w:rsid w:val="00BF10A9"/>
    <w:rsid w:val="00BF1703"/>
    <w:rsid w:val="00BF231C"/>
    <w:rsid w:val="00BF279E"/>
    <w:rsid w:val="00BF4870"/>
    <w:rsid w:val="00BF51E5"/>
    <w:rsid w:val="00BF74A6"/>
    <w:rsid w:val="00C013AD"/>
    <w:rsid w:val="00C0145A"/>
    <w:rsid w:val="00C04904"/>
    <w:rsid w:val="00C056B3"/>
    <w:rsid w:val="00C103E5"/>
    <w:rsid w:val="00C128FA"/>
    <w:rsid w:val="00C13319"/>
    <w:rsid w:val="00C13EE9"/>
    <w:rsid w:val="00C14E8D"/>
    <w:rsid w:val="00C165E3"/>
    <w:rsid w:val="00C21540"/>
    <w:rsid w:val="00C21906"/>
    <w:rsid w:val="00C21BFA"/>
    <w:rsid w:val="00C22148"/>
    <w:rsid w:val="00C24C8D"/>
    <w:rsid w:val="00C259F7"/>
    <w:rsid w:val="00C25FE2"/>
    <w:rsid w:val="00C26B53"/>
    <w:rsid w:val="00C279B2"/>
    <w:rsid w:val="00C33E50"/>
    <w:rsid w:val="00C34C20"/>
    <w:rsid w:val="00C35A3E"/>
    <w:rsid w:val="00C42130"/>
    <w:rsid w:val="00C423A4"/>
    <w:rsid w:val="00C44BF5"/>
    <w:rsid w:val="00C45B21"/>
    <w:rsid w:val="00C521D6"/>
    <w:rsid w:val="00C54F41"/>
    <w:rsid w:val="00C55232"/>
    <w:rsid w:val="00C553A4"/>
    <w:rsid w:val="00C55A06"/>
    <w:rsid w:val="00C55D03"/>
    <w:rsid w:val="00C601BC"/>
    <w:rsid w:val="00C6329F"/>
    <w:rsid w:val="00C63340"/>
    <w:rsid w:val="00C643F9"/>
    <w:rsid w:val="00C64E95"/>
    <w:rsid w:val="00C71372"/>
    <w:rsid w:val="00C72410"/>
    <w:rsid w:val="00C7287F"/>
    <w:rsid w:val="00C77C84"/>
    <w:rsid w:val="00C80982"/>
    <w:rsid w:val="00C80CB8"/>
    <w:rsid w:val="00C819F8"/>
    <w:rsid w:val="00C8248C"/>
    <w:rsid w:val="00C84E33"/>
    <w:rsid w:val="00C86D6F"/>
    <w:rsid w:val="00C905FC"/>
    <w:rsid w:val="00C91C88"/>
    <w:rsid w:val="00C92D03"/>
    <w:rsid w:val="00C9319C"/>
    <w:rsid w:val="00C9435D"/>
    <w:rsid w:val="00C94DF2"/>
    <w:rsid w:val="00C96741"/>
    <w:rsid w:val="00CA2D1B"/>
    <w:rsid w:val="00CA375D"/>
    <w:rsid w:val="00CA4186"/>
    <w:rsid w:val="00CA662A"/>
    <w:rsid w:val="00CA7AFD"/>
    <w:rsid w:val="00CA7C3C"/>
    <w:rsid w:val="00CB0189"/>
    <w:rsid w:val="00CB0BA2"/>
    <w:rsid w:val="00CB1A42"/>
    <w:rsid w:val="00CB1B0C"/>
    <w:rsid w:val="00CB1FC6"/>
    <w:rsid w:val="00CB2C0B"/>
    <w:rsid w:val="00CB517D"/>
    <w:rsid w:val="00CC038D"/>
    <w:rsid w:val="00CC08DB"/>
    <w:rsid w:val="00CC39FF"/>
    <w:rsid w:val="00CC3C2F"/>
    <w:rsid w:val="00CC407A"/>
    <w:rsid w:val="00CC4AC8"/>
    <w:rsid w:val="00CC5233"/>
    <w:rsid w:val="00CC53B8"/>
    <w:rsid w:val="00CC5DE6"/>
    <w:rsid w:val="00CC6E4E"/>
    <w:rsid w:val="00CC6FE8"/>
    <w:rsid w:val="00CC7202"/>
    <w:rsid w:val="00CD2808"/>
    <w:rsid w:val="00CD28BF"/>
    <w:rsid w:val="00CD4092"/>
    <w:rsid w:val="00CD4A20"/>
    <w:rsid w:val="00CD50A1"/>
    <w:rsid w:val="00CD519E"/>
    <w:rsid w:val="00CD543E"/>
    <w:rsid w:val="00CD561D"/>
    <w:rsid w:val="00CD5C54"/>
    <w:rsid w:val="00CE0C4F"/>
    <w:rsid w:val="00CE28FB"/>
    <w:rsid w:val="00CE30EA"/>
    <w:rsid w:val="00CF048A"/>
    <w:rsid w:val="00CF155A"/>
    <w:rsid w:val="00CF2947"/>
    <w:rsid w:val="00CF2B90"/>
    <w:rsid w:val="00CF3E46"/>
    <w:rsid w:val="00CF686F"/>
    <w:rsid w:val="00CF6E60"/>
    <w:rsid w:val="00CF7BCA"/>
    <w:rsid w:val="00D008FD"/>
    <w:rsid w:val="00D0321C"/>
    <w:rsid w:val="00D035EC"/>
    <w:rsid w:val="00D06AB1"/>
    <w:rsid w:val="00D06F6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44"/>
    <w:rsid w:val="00D45E89"/>
    <w:rsid w:val="00D45E8D"/>
    <w:rsid w:val="00D466AE"/>
    <w:rsid w:val="00D4734F"/>
    <w:rsid w:val="00D51BF3"/>
    <w:rsid w:val="00D60D9F"/>
    <w:rsid w:val="00D62DBB"/>
    <w:rsid w:val="00D66846"/>
    <w:rsid w:val="00D66FD6"/>
    <w:rsid w:val="00D675FB"/>
    <w:rsid w:val="00D71F25"/>
    <w:rsid w:val="00D72A9C"/>
    <w:rsid w:val="00D7353F"/>
    <w:rsid w:val="00D74EB1"/>
    <w:rsid w:val="00D77031"/>
    <w:rsid w:val="00D7744C"/>
    <w:rsid w:val="00D84941"/>
    <w:rsid w:val="00D84FA1"/>
    <w:rsid w:val="00D851F0"/>
    <w:rsid w:val="00D85FB2"/>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294E"/>
    <w:rsid w:val="00DC3067"/>
    <w:rsid w:val="00DC370B"/>
    <w:rsid w:val="00DC5B90"/>
    <w:rsid w:val="00DC7A69"/>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0CA"/>
    <w:rsid w:val="00DF1961"/>
    <w:rsid w:val="00DF4043"/>
    <w:rsid w:val="00DF43DC"/>
    <w:rsid w:val="00DF44DE"/>
    <w:rsid w:val="00DF5F11"/>
    <w:rsid w:val="00E01138"/>
    <w:rsid w:val="00E02DFB"/>
    <w:rsid w:val="00E02E6B"/>
    <w:rsid w:val="00E030F9"/>
    <w:rsid w:val="00E0311A"/>
    <w:rsid w:val="00E03138"/>
    <w:rsid w:val="00E06404"/>
    <w:rsid w:val="00E065D2"/>
    <w:rsid w:val="00E11A85"/>
    <w:rsid w:val="00E12495"/>
    <w:rsid w:val="00E15CCD"/>
    <w:rsid w:val="00E202EF"/>
    <w:rsid w:val="00E210B5"/>
    <w:rsid w:val="00E23D99"/>
    <w:rsid w:val="00E2552F"/>
    <w:rsid w:val="00E26537"/>
    <w:rsid w:val="00E308CD"/>
    <w:rsid w:val="00E3137A"/>
    <w:rsid w:val="00E32CCF"/>
    <w:rsid w:val="00E34A98"/>
    <w:rsid w:val="00E35D1E"/>
    <w:rsid w:val="00E364F9"/>
    <w:rsid w:val="00E365FA"/>
    <w:rsid w:val="00E36789"/>
    <w:rsid w:val="00E4426D"/>
    <w:rsid w:val="00E44A83"/>
    <w:rsid w:val="00E502C1"/>
    <w:rsid w:val="00E502DD"/>
    <w:rsid w:val="00E50D3A"/>
    <w:rsid w:val="00E51387"/>
    <w:rsid w:val="00E516EB"/>
    <w:rsid w:val="00E51E68"/>
    <w:rsid w:val="00E52EFD"/>
    <w:rsid w:val="00E5408A"/>
    <w:rsid w:val="00E56800"/>
    <w:rsid w:val="00E60C63"/>
    <w:rsid w:val="00E62FF9"/>
    <w:rsid w:val="00E635D6"/>
    <w:rsid w:val="00E639BC"/>
    <w:rsid w:val="00E6426C"/>
    <w:rsid w:val="00E664CC"/>
    <w:rsid w:val="00E70388"/>
    <w:rsid w:val="00E70F92"/>
    <w:rsid w:val="00E745EE"/>
    <w:rsid w:val="00E74C54"/>
    <w:rsid w:val="00E77A03"/>
    <w:rsid w:val="00E81E30"/>
    <w:rsid w:val="00E822E8"/>
    <w:rsid w:val="00E82554"/>
    <w:rsid w:val="00E82606"/>
    <w:rsid w:val="00E846C8"/>
    <w:rsid w:val="00E84957"/>
    <w:rsid w:val="00E84A55"/>
    <w:rsid w:val="00E85BFF"/>
    <w:rsid w:val="00E866DD"/>
    <w:rsid w:val="00E90391"/>
    <w:rsid w:val="00E906C2"/>
    <w:rsid w:val="00E9311F"/>
    <w:rsid w:val="00E934D1"/>
    <w:rsid w:val="00E94AF0"/>
    <w:rsid w:val="00E95D13"/>
    <w:rsid w:val="00E95DD3"/>
    <w:rsid w:val="00E969D5"/>
    <w:rsid w:val="00E97086"/>
    <w:rsid w:val="00EA58D1"/>
    <w:rsid w:val="00EA61BC"/>
    <w:rsid w:val="00EA681A"/>
    <w:rsid w:val="00EA6B9B"/>
    <w:rsid w:val="00EA735B"/>
    <w:rsid w:val="00EB02A5"/>
    <w:rsid w:val="00EB14D7"/>
    <w:rsid w:val="00EB17DE"/>
    <w:rsid w:val="00EB1E69"/>
    <w:rsid w:val="00EB2086"/>
    <w:rsid w:val="00EB4FD3"/>
    <w:rsid w:val="00EB5EDF"/>
    <w:rsid w:val="00EB60FE"/>
    <w:rsid w:val="00EB74DB"/>
    <w:rsid w:val="00EC5359"/>
    <w:rsid w:val="00EC562A"/>
    <w:rsid w:val="00ED067A"/>
    <w:rsid w:val="00ED2B50"/>
    <w:rsid w:val="00EE0350"/>
    <w:rsid w:val="00EE0719"/>
    <w:rsid w:val="00EE0A78"/>
    <w:rsid w:val="00EE0E80"/>
    <w:rsid w:val="00EE54A6"/>
    <w:rsid w:val="00EE613F"/>
    <w:rsid w:val="00EE7295"/>
    <w:rsid w:val="00EE7869"/>
    <w:rsid w:val="00EF054A"/>
    <w:rsid w:val="00EF1DF7"/>
    <w:rsid w:val="00EF23B4"/>
    <w:rsid w:val="00EF3235"/>
    <w:rsid w:val="00EF7E72"/>
    <w:rsid w:val="00F06D37"/>
    <w:rsid w:val="00F07B9D"/>
    <w:rsid w:val="00F1077E"/>
    <w:rsid w:val="00F11586"/>
    <w:rsid w:val="00F1183B"/>
    <w:rsid w:val="00F11C9F"/>
    <w:rsid w:val="00F12263"/>
    <w:rsid w:val="00F1409D"/>
    <w:rsid w:val="00F14214"/>
    <w:rsid w:val="00F157A9"/>
    <w:rsid w:val="00F16FCB"/>
    <w:rsid w:val="00F2118E"/>
    <w:rsid w:val="00F24FF6"/>
    <w:rsid w:val="00F25BB6"/>
    <w:rsid w:val="00F26B7E"/>
    <w:rsid w:val="00F27A3B"/>
    <w:rsid w:val="00F33817"/>
    <w:rsid w:val="00F420D5"/>
    <w:rsid w:val="00F451EA"/>
    <w:rsid w:val="00F45447"/>
    <w:rsid w:val="00F456C6"/>
    <w:rsid w:val="00F4577B"/>
    <w:rsid w:val="00F46496"/>
    <w:rsid w:val="00F474D0"/>
    <w:rsid w:val="00F50179"/>
    <w:rsid w:val="00F50D10"/>
    <w:rsid w:val="00F515EE"/>
    <w:rsid w:val="00F55625"/>
    <w:rsid w:val="00F56511"/>
    <w:rsid w:val="00F5790C"/>
    <w:rsid w:val="00F6194E"/>
    <w:rsid w:val="00F623AC"/>
    <w:rsid w:val="00F6412A"/>
    <w:rsid w:val="00F65893"/>
    <w:rsid w:val="00F66A4A"/>
    <w:rsid w:val="00F71E22"/>
    <w:rsid w:val="00F72142"/>
    <w:rsid w:val="00F72AE7"/>
    <w:rsid w:val="00F81141"/>
    <w:rsid w:val="00F833BA"/>
    <w:rsid w:val="00F84FD0"/>
    <w:rsid w:val="00F859A8"/>
    <w:rsid w:val="00F86D87"/>
    <w:rsid w:val="00F878F5"/>
    <w:rsid w:val="00F9108B"/>
    <w:rsid w:val="00F91349"/>
    <w:rsid w:val="00F92A54"/>
    <w:rsid w:val="00F938D9"/>
    <w:rsid w:val="00F93A8A"/>
    <w:rsid w:val="00F95248"/>
    <w:rsid w:val="00F956A9"/>
    <w:rsid w:val="00F963ED"/>
    <w:rsid w:val="00F966CF"/>
    <w:rsid w:val="00F96CAE"/>
    <w:rsid w:val="00F97C99"/>
    <w:rsid w:val="00FA419F"/>
    <w:rsid w:val="00FA4DAC"/>
    <w:rsid w:val="00FA662D"/>
    <w:rsid w:val="00FA69EC"/>
    <w:rsid w:val="00FA72CE"/>
    <w:rsid w:val="00FA73B1"/>
    <w:rsid w:val="00FB0CB9"/>
    <w:rsid w:val="00FB231D"/>
    <w:rsid w:val="00FB45F1"/>
    <w:rsid w:val="00FB4A72"/>
    <w:rsid w:val="00FB54E8"/>
    <w:rsid w:val="00FB7054"/>
    <w:rsid w:val="00FB77A6"/>
    <w:rsid w:val="00FC17B7"/>
    <w:rsid w:val="00FC2CB7"/>
    <w:rsid w:val="00FC4090"/>
    <w:rsid w:val="00FC540B"/>
    <w:rsid w:val="00FC55B4"/>
    <w:rsid w:val="00FC7EB5"/>
    <w:rsid w:val="00FD00E6"/>
    <w:rsid w:val="00FD09A1"/>
    <w:rsid w:val="00FD2A7C"/>
    <w:rsid w:val="00FD59EB"/>
    <w:rsid w:val="00FD7299"/>
    <w:rsid w:val="00FE1FBE"/>
    <w:rsid w:val="00FE3901"/>
    <w:rsid w:val="00FE39D3"/>
    <w:rsid w:val="00FE4BCE"/>
    <w:rsid w:val="00FE54AE"/>
    <w:rsid w:val="00FE576A"/>
    <w:rsid w:val="00FE676B"/>
    <w:rsid w:val="00FE7E79"/>
    <w:rsid w:val="00FF3501"/>
    <w:rsid w:val="00FF3E7D"/>
    <w:rsid w:val="00FF5B99"/>
    <w:rsid w:val="00FF730C"/>
    <w:rsid w:val="00FF73F4"/>
    <w:rsid w:val="00FF79C5"/>
    <w:rsid w:val="00FF7CE4"/>
    <w:rsid w:val="00FF7E39"/>
    <w:rsid w:val="01BF5575"/>
    <w:rsid w:val="029470C3"/>
    <w:rsid w:val="046B735C"/>
    <w:rsid w:val="04B968A3"/>
    <w:rsid w:val="075F4120"/>
    <w:rsid w:val="0BF71382"/>
    <w:rsid w:val="11536D8C"/>
    <w:rsid w:val="12270050"/>
    <w:rsid w:val="137F7C0F"/>
    <w:rsid w:val="13E92C7F"/>
    <w:rsid w:val="14A533EE"/>
    <w:rsid w:val="15B0C53D"/>
    <w:rsid w:val="17573502"/>
    <w:rsid w:val="175D9F28"/>
    <w:rsid w:val="1B130E91"/>
    <w:rsid w:val="1EBFDE47"/>
    <w:rsid w:val="1F7D34F0"/>
    <w:rsid w:val="1FEF16C6"/>
    <w:rsid w:val="1FF37E40"/>
    <w:rsid w:val="24187274"/>
    <w:rsid w:val="25DA453B"/>
    <w:rsid w:val="25DBD720"/>
    <w:rsid w:val="26691A84"/>
    <w:rsid w:val="267F58E5"/>
    <w:rsid w:val="26DBA8A7"/>
    <w:rsid w:val="27DD4D4F"/>
    <w:rsid w:val="285A1B8E"/>
    <w:rsid w:val="2B807273"/>
    <w:rsid w:val="2BCC26F6"/>
    <w:rsid w:val="2DEE316A"/>
    <w:rsid w:val="2EF95B07"/>
    <w:rsid w:val="2FAFA18A"/>
    <w:rsid w:val="2FFF89BE"/>
    <w:rsid w:val="317D7846"/>
    <w:rsid w:val="340B7A0E"/>
    <w:rsid w:val="35345C9F"/>
    <w:rsid w:val="35A67661"/>
    <w:rsid w:val="35CE3803"/>
    <w:rsid w:val="35F54BFE"/>
    <w:rsid w:val="3773E051"/>
    <w:rsid w:val="37AFF665"/>
    <w:rsid w:val="37ED5372"/>
    <w:rsid w:val="37F6B41B"/>
    <w:rsid w:val="37FFBBB4"/>
    <w:rsid w:val="39F47685"/>
    <w:rsid w:val="3AF70C98"/>
    <w:rsid w:val="3B73543A"/>
    <w:rsid w:val="3BBF172C"/>
    <w:rsid w:val="3BE7FB05"/>
    <w:rsid w:val="3C150796"/>
    <w:rsid w:val="3C4C7F36"/>
    <w:rsid w:val="3DD71955"/>
    <w:rsid w:val="3EEDD761"/>
    <w:rsid w:val="3F124CDD"/>
    <w:rsid w:val="3FBE5A3F"/>
    <w:rsid w:val="3FFA8342"/>
    <w:rsid w:val="3FFB49D3"/>
    <w:rsid w:val="3FFBF70C"/>
    <w:rsid w:val="3FFE5A0E"/>
    <w:rsid w:val="3FFEE3EA"/>
    <w:rsid w:val="409F89D1"/>
    <w:rsid w:val="41F6FA9E"/>
    <w:rsid w:val="4666478B"/>
    <w:rsid w:val="469A387C"/>
    <w:rsid w:val="46D9E9BA"/>
    <w:rsid w:val="47F9EC0F"/>
    <w:rsid w:val="4C5D167A"/>
    <w:rsid w:val="4CBBC358"/>
    <w:rsid w:val="4D3D08CF"/>
    <w:rsid w:val="4D7E1F86"/>
    <w:rsid w:val="4DCC1136"/>
    <w:rsid w:val="4DD7B2DA"/>
    <w:rsid w:val="4E9734CF"/>
    <w:rsid w:val="4EFB6490"/>
    <w:rsid w:val="4FDDE9FC"/>
    <w:rsid w:val="51465C27"/>
    <w:rsid w:val="531132DF"/>
    <w:rsid w:val="53C574D6"/>
    <w:rsid w:val="53FC6F3A"/>
    <w:rsid w:val="55F65CBA"/>
    <w:rsid w:val="56DFC285"/>
    <w:rsid w:val="56F7E7FA"/>
    <w:rsid w:val="57C7C0D5"/>
    <w:rsid w:val="595E960E"/>
    <w:rsid w:val="59E73222"/>
    <w:rsid w:val="5BBD0B8A"/>
    <w:rsid w:val="5BCD0BFC"/>
    <w:rsid w:val="5C7F9BCF"/>
    <w:rsid w:val="5CDB0025"/>
    <w:rsid w:val="5CFEFC0C"/>
    <w:rsid w:val="5D2F5FB9"/>
    <w:rsid w:val="5DB89099"/>
    <w:rsid w:val="5E6BA34D"/>
    <w:rsid w:val="5EB804F7"/>
    <w:rsid w:val="5F6F5776"/>
    <w:rsid w:val="5F775C97"/>
    <w:rsid w:val="5FBF5CC0"/>
    <w:rsid w:val="5FDB7DE1"/>
    <w:rsid w:val="5FF995C3"/>
    <w:rsid w:val="5FFB74EB"/>
    <w:rsid w:val="631ABC39"/>
    <w:rsid w:val="64E705B0"/>
    <w:rsid w:val="660AAEB0"/>
    <w:rsid w:val="67DF866F"/>
    <w:rsid w:val="67FD8356"/>
    <w:rsid w:val="68C31C60"/>
    <w:rsid w:val="69946040"/>
    <w:rsid w:val="6A3A4914"/>
    <w:rsid w:val="6A954BA7"/>
    <w:rsid w:val="6BEDD834"/>
    <w:rsid w:val="6CF3D172"/>
    <w:rsid w:val="6DFB3837"/>
    <w:rsid w:val="6EFB5689"/>
    <w:rsid w:val="6F7B7D82"/>
    <w:rsid w:val="6F7FEE12"/>
    <w:rsid w:val="6F8A05E0"/>
    <w:rsid w:val="6FA62683"/>
    <w:rsid w:val="6FB02125"/>
    <w:rsid w:val="6FCFC21E"/>
    <w:rsid w:val="71284E55"/>
    <w:rsid w:val="72446A9C"/>
    <w:rsid w:val="72FE1AD7"/>
    <w:rsid w:val="736D5536"/>
    <w:rsid w:val="73DA5DB9"/>
    <w:rsid w:val="73FA7E59"/>
    <w:rsid w:val="7579AB72"/>
    <w:rsid w:val="75B15460"/>
    <w:rsid w:val="76C529E2"/>
    <w:rsid w:val="76FB53FC"/>
    <w:rsid w:val="777FACF3"/>
    <w:rsid w:val="77BEA708"/>
    <w:rsid w:val="77FF8388"/>
    <w:rsid w:val="798E3B4A"/>
    <w:rsid w:val="7AD7F803"/>
    <w:rsid w:val="7ADF4760"/>
    <w:rsid w:val="7ADFFD25"/>
    <w:rsid w:val="7B6F41AE"/>
    <w:rsid w:val="7BEDAACC"/>
    <w:rsid w:val="7BEF7B54"/>
    <w:rsid w:val="7BFD71F5"/>
    <w:rsid w:val="7C4F185F"/>
    <w:rsid w:val="7CCD6C96"/>
    <w:rsid w:val="7CD45737"/>
    <w:rsid w:val="7CFF2355"/>
    <w:rsid w:val="7DADEC63"/>
    <w:rsid w:val="7DE33E37"/>
    <w:rsid w:val="7DFF7B1E"/>
    <w:rsid w:val="7E2E146D"/>
    <w:rsid w:val="7EB70D07"/>
    <w:rsid w:val="7ED692B9"/>
    <w:rsid w:val="7EDF9BB1"/>
    <w:rsid w:val="7F0E3E18"/>
    <w:rsid w:val="7F9FCFD1"/>
    <w:rsid w:val="7FBEA121"/>
    <w:rsid w:val="7FBF2533"/>
    <w:rsid w:val="7FDFFF19"/>
    <w:rsid w:val="7FF702B6"/>
    <w:rsid w:val="7FF746A6"/>
    <w:rsid w:val="7FFB19BF"/>
    <w:rsid w:val="7FFD37F1"/>
    <w:rsid w:val="7FFFDE87"/>
    <w:rsid w:val="8F7FD611"/>
    <w:rsid w:val="97F7C442"/>
    <w:rsid w:val="A4ED2C77"/>
    <w:rsid w:val="A67C022C"/>
    <w:rsid w:val="AFA5380A"/>
    <w:rsid w:val="AFEF6E10"/>
    <w:rsid w:val="B3FB10ED"/>
    <w:rsid w:val="B3FDF18A"/>
    <w:rsid w:val="B56E9D74"/>
    <w:rsid w:val="B6FBAF47"/>
    <w:rsid w:val="B7FDD028"/>
    <w:rsid w:val="B95F1E33"/>
    <w:rsid w:val="B9DB5CFB"/>
    <w:rsid w:val="BA3FB612"/>
    <w:rsid w:val="BBBF59E0"/>
    <w:rsid w:val="BDFD349F"/>
    <w:rsid w:val="BF171150"/>
    <w:rsid w:val="BF3FCAD6"/>
    <w:rsid w:val="BF7AD9B0"/>
    <w:rsid w:val="BFD62C47"/>
    <w:rsid w:val="BFDFD71D"/>
    <w:rsid w:val="BFFB6829"/>
    <w:rsid w:val="BFFF1C76"/>
    <w:rsid w:val="C3FD2E4C"/>
    <w:rsid w:val="C86F0DC5"/>
    <w:rsid w:val="CDE76989"/>
    <w:rsid w:val="CE12FD11"/>
    <w:rsid w:val="CF73046F"/>
    <w:rsid w:val="CFFDFD7B"/>
    <w:rsid w:val="D3B6C532"/>
    <w:rsid w:val="D3FE2D46"/>
    <w:rsid w:val="D4E766B7"/>
    <w:rsid w:val="D6BF65EC"/>
    <w:rsid w:val="D893A3C4"/>
    <w:rsid w:val="D9D92CEE"/>
    <w:rsid w:val="D9EF1A55"/>
    <w:rsid w:val="DAAFFE7F"/>
    <w:rsid w:val="DAFFC0DC"/>
    <w:rsid w:val="DB6F7479"/>
    <w:rsid w:val="DB7348F9"/>
    <w:rsid w:val="DBD2A9CB"/>
    <w:rsid w:val="DBFFD63F"/>
    <w:rsid w:val="DDFBD65A"/>
    <w:rsid w:val="DDFD559D"/>
    <w:rsid w:val="DEFF0CE7"/>
    <w:rsid w:val="DF4E3E54"/>
    <w:rsid w:val="DF7A8E68"/>
    <w:rsid w:val="DF7F16F5"/>
    <w:rsid w:val="DFBFAA69"/>
    <w:rsid w:val="DFCBFF12"/>
    <w:rsid w:val="DFEB5FF4"/>
    <w:rsid w:val="DFF5D548"/>
    <w:rsid w:val="E17F49F9"/>
    <w:rsid w:val="E6EDC9AA"/>
    <w:rsid w:val="E75DE5E8"/>
    <w:rsid w:val="E7DBB87E"/>
    <w:rsid w:val="EAFF650B"/>
    <w:rsid w:val="EB6FA0C1"/>
    <w:rsid w:val="EBDEFE95"/>
    <w:rsid w:val="EBFF001E"/>
    <w:rsid w:val="EC4F93BC"/>
    <w:rsid w:val="ECFDFD53"/>
    <w:rsid w:val="ED6EE15B"/>
    <w:rsid w:val="ED7F2867"/>
    <w:rsid w:val="EDDB931A"/>
    <w:rsid w:val="EEBF0398"/>
    <w:rsid w:val="EF5D95C1"/>
    <w:rsid w:val="EF670A27"/>
    <w:rsid w:val="EFAF4545"/>
    <w:rsid w:val="EFF78F7F"/>
    <w:rsid w:val="EFF7CAAA"/>
    <w:rsid w:val="EFFAD5A0"/>
    <w:rsid w:val="F09F7EA6"/>
    <w:rsid w:val="F1FBDDE1"/>
    <w:rsid w:val="F29D53D1"/>
    <w:rsid w:val="F2FFDE16"/>
    <w:rsid w:val="F36F7780"/>
    <w:rsid w:val="F3EF3C68"/>
    <w:rsid w:val="F3FECA89"/>
    <w:rsid w:val="F53C1F02"/>
    <w:rsid w:val="F57A5D52"/>
    <w:rsid w:val="F5FE0208"/>
    <w:rsid w:val="F5FF33E1"/>
    <w:rsid w:val="F6BE9016"/>
    <w:rsid w:val="F73F193F"/>
    <w:rsid w:val="F77D042C"/>
    <w:rsid w:val="F78FC035"/>
    <w:rsid w:val="F7E3709D"/>
    <w:rsid w:val="F7E5BD67"/>
    <w:rsid w:val="F7E781D7"/>
    <w:rsid w:val="F8DE9D22"/>
    <w:rsid w:val="F99F78E1"/>
    <w:rsid w:val="F9FF8C6C"/>
    <w:rsid w:val="FACF88FF"/>
    <w:rsid w:val="FBF391D2"/>
    <w:rsid w:val="FBFD2B14"/>
    <w:rsid w:val="FBFFA6EA"/>
    <w:rsid w:val="FD3B602D"/>
    <w:rsid w:val="FDF7E99F"/>
    <w:rsid w:val="FDFB02D7"/>
    <w:rsid w:val="FE33EF59"/>
    <w:rsid w:val="FE7F4BC2"/>
    <w:rsid w:val="FEBEF4E7"/>
    <w:rsid w:val="FEBFDFC3"/>
    <w:rsid w:val="FEFF70E0"/>
    <w:rsid w:val="FEFF9644"/>
    <w:rsid w:val="FEFFD422"/>
    <w:rsid w:val="FF0DDA9A"/>
    <w:rsid w:val="FF27A11F"/>
    <w:rsid w:val="FF4B98A9"/>
    <w:rsid w:val="FF73A685"/>
    <w:rsid w:val="FF7563F9"/>
    <w:rsid w:val="FFBD2E4B"/>
    <w:rsid w:val="FFBF78B9"/>
    <w:rsid w:val="FFC39DE6"/>
    <w:rsid w:val="FFC79DB2"/>
    <w:rsid w:val="FFDED941"/>
    <w:rsid w:val="FFEA1ED5"/>
    <w:rsid w:val="FFEB8268"/>
    <w:rsid w:val="FFEE42A8"/>
    <w:rsid w:val="FFEFDFEF"/>
    <w:rsid w:val="FFF54674"/>
    <w:rsid w:val="FFFB447E"/>
    <w:rsid w:val="FFFE4086"/>
    <w:rsid w:val="FFFF17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8"/>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7"/>
    <w:semiHidden/>
    <w:unhideWhenUsed/>
    <w:qFormat/>
    <w:uiPriority w:val="99"/>
    <w:rPr>
      <w:sz w:val="18"/>
      <w:szCs w:val="18"/>
    </w:rPr>
  </w:style>
  <w:style w:type="paragraph" w:styleId="18">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5"/>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7">
    <w:name w:val="Title"/>
    <w:basedOn w:val="1"/>
    <w:link w:val="50"/>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字符"/>
    <w:link w:val="2"/>
    <w:qFormat/>
    <w:uiPriority w:val="0"/>
    <w:rPr>
      <w:b/>
      <w:bCs/>
      <w:kern w:val="44"/>
      <w:sz w:val="44"/>
      <w:szCs w:val="44"/>
    </w:rPr>
  </w:style>
  <w:style w:type="character" w:customStyle="1" w:styleId="37">
    <w:name w:val="标题 2 字符"/>
    <w:link w:val="3"/>
    <w:qFormat/>
    <w:uiPriority w:val="0"/>
    <w:rPr>
      <w:rFonts w:ascii="Arial" w:hAnsi="Arial" w:eastAsia="黑体"/>
      <w:b/>
      <w:bCs/>
      <w:kern w:val="2"/>
      <w:sz w:val="32"/>
      <w:szCs w:val="32"/>
    </w:rPr>
  </w:style>
  <w:style w:type="character" w:customStyle="1" w:styleId="38">
    <w:name w:val="标题 3 字符"/>
    <w:link w:val="4"/>
    <w:qFormat/>
    <w:uiPriority w:val="0"/>
    <w:rPr>
      <w:b/>
      <w:bCs/>
      <w:kern w:val="2"/>
      <w:sz w:val="32"/>
      <w:szCs w:val="32"/>
    </w:rPr>
  </w:style>
  <w:style w:type="character" w:customStyle="1" w:styleId="39">
    <w:name w:val="标题 4 字符"/>
    <w:link w:val="5"/>
    <w:qFormat/>
    <w:uiPriority w:val="0"/>
    <w:rPr>
      <w:rFonts w:ascii="Arial" w:hAnsi="Arial" w:eastAsia="黑体"/>
      <w:b/>
      <w:bCs/>
      <w:kern w:val="2"/>
      <w:sz w:val="28"/>
      <w:szCs w:val="28"/>
    </w:rPr>
  </w:style>
  <w:style w:type="character" w:customStyle="1" w:styleId="40">
    <w:name w:val="标题 5 字符"/>
    <w:link w:val="6"/>
    <w:qFormat/>
    <w:uiPriority w:val="0"/>
    <w:rPr>
      <w:b/>
      <w:bCs/>
      <w:kern w:val="2"/>
      <w:sz w:val="28"/>
      <w:szCs w:val="28"/>
    </w:rPr>
  </w:style>
  <w:style w:type="character" w:customStyle="1" w:styleId="41">
    <w:name w:val="标题 6 字符"/>
    <w:link w:val="7"/>
    <w:qFormat/>
    <w:uiPriority w:val="0"/>
    <w:rPr>
      <w:rFonts w:ascii="Arial" w:hAnsi="Arial" w:eastAsia="黑体"/>
      <w:b/>
      <w:bCs/>
      <w:kern w:val="2"/>
      <w:sz w:val="24"/>
      <w:szCs w:val="24"/>
    </w:rPr>
  </w:style>
  <w:style w:type="character" w:customStyle="1" w:styleId="42">
    <w:name w:val="标题 7 字符"/>
    <w:link w:val="8"/>
    <w:qFormat/>
    <w:uiPriority w:val="0"/>
    <w:rPr>
      <w:b/>
      <w:bCs/>
      <w:kern w:val="2"/>
      <w:sz w:val="24"/>
      <w:szCs w:val="24"/>
    </w:rPr>
  </w:style>
  <w:style w:type="character" w:customStyle="1" w:styleId="43">
    <w:name w:val="标题 8 字符"/>
    <w:link w:val="9"/>
    <w:qFormat/>
    <w:uiPriority w:val="0"/>
    <w:rPr>
      <w:rFonts w:ascii="Arial" w:hAnsi="Arial" w:eastAsia="黑体"/>
      <w:kern w:val="2"/>
      <w:sz w:val="24"/>
      <w:szCs w:val="24"/>
    </w:rPr>
  </w:style>
  <w:style w:type="character" w:customStyle="1" w:styleId="44">
    <w:name w:val="标题 9 字符"/>
    <w:link w:val="10"/>
    <w:qFormat/>
    <w:uiPriority w:val="0"/>
    <w:rPr>
      <w:rFonts w:ascii="Arial" w:hAnsi="Arial" w:eastAsia="黑体"/>
      <w:kern w:val="2"/>
      <w:sz w:val="21"/>
      <w:szCs w:val="21"/>
    </w:rPr>
  </w:style>
  <w:style w:type="character" w:customStyle="1" w:styleId="45">
    <w:name w:val="页眉 字符"/>
    <w:link w:val="19"/>
    <w:qFormat/>
    <w:uiPriority w:val="99"/>
    <w:rPr>
      <w:kern w:val="2"/>
      <w:sz w:val="18"/>
      <w:szCs w:val="18"/>
    </w:rPr>
  </w:style>
  <w:style w:type="character" w:customStyle="1" w:styleId="46">
    <w:name w:val="页脚 字符"/>
    <w:link w:val="18"/>
    <w:qFormat/>
    <w:uiPriority w:val="99"/>
    <w:rPr>
      <w:rFonts w:ascii="宋体"/>
      <w:kern w:val="2"/>
      <w:sz w:val="18"/>
      <w:szCs w:val="18"/>
    </w:rPr>
  </w:style>
  <w:style w:type="character" w:customStyle="1" w:styleId="47">
    <w:name w:val="批注框文本 字符"/>
    <w:link w:val="17"/>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字符"/>
    <w:link w:val="48"/>
    <w:qFormat/>
    <w:uiPriority w:val="29"/>
    <w:rPr>
      <w:i/>
      <w:iCs/>
      <w:color w:val="000000"/>
      <w:kern w:val="2"/>
      <w:sz w:val="21"/>
      <w:szCs w:val="21"/>
    </w:rPr>
  </w:style>
  <w:style w:type="character" w:customStyle="1" w:styleId="50">
    <w:name w:val="标题 字符"/>
    <w:link w:val="27"/>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50" w:beforeLines="50" w:after="50" w:afterLines="50"/>
      <w:ind w:left="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link w:val="14"/>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1">
    <w:name w:val="脚注文本 字符"/>
    <w:link w:val="22"/>
    <w:semiHidden/>
    <w:qFormat/>
    <w:uiPriority w:val="0"/>
    <w:rPr>
      <w:rFonts w:ascii="宋体"/>
      <w:kern w:val="2"/>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50" w:beforeLines="50" w:after="50" w:afterLines="50"/>
      <w:ind w:left="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tabs>
        <w:tab w:val="left" w:pos="851"/>
        <w:tab w:val="clear" w:pos="426"/>
      </w:tabs>
      <w:ind w:left="851"/>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目录 31"/>
    <w:basedOn w:val="1"/>
    <w:next w:val="1"/>
    <w:semiHidden/>
    <w:qFormat/>
    <w:uiPriority w:val="0"/>
    <w:pPr>
      <w:spacing w:line="240" w:lineRule="auto"/>
    </w:pPr>
    <w:rPr>
      <w:rFonts w:ascii="宋体" w:hAnsi="宋体"/>
      <w:iCs/>
    </w:rPr>
  </w:style>
  <w:style w:type="paragraph" w:customStyle="1" w:styleId="146">
    <w:name w:val="目录 41"/>
    <w:basedOn w:val="1"/>
    <w:next w:val="1"/>
    <w:semiHidden/>
    <w:qFormat/>
    <w:uiPriority w:val="0"/>
    <w:pPr>
      <w:adjustRightInd/>
      <w:spacing w:line="240" w:lineRule="auto"/>
      <w:jc w:val="left"/>
    </w:pPr>
  </w:style>
  <w:style w:type="paragraph" w:customStyle="1" w:styleId="147">
    <w:name w:val="目录 51"/>
    <w:basedOn w:val="1"/>
    <w:next w:val="1"/>
    <w:semiHidden/>
    <w:qFormat/>
    <w:uiPriority w:val="0"/>
    <w:pPr>
      <w:spacing w:line="240" w:lineRule="auto"/>
    </w:pPr>
    <w:rPr>
      <w:rFonts w:ascii="宋体" w:hAnsi="宋体"/>
    </w:rPr>
  </w:style>
  <w:style w:type="paragraph" w:customStyle="1" w:styleId="148">
    <w:name w:val="目录 61"/>
    <w:basedOn w:val="1"/>
    <w:next w:val="1"/>
    <w:semiHidden/>
    <w:qFormat/>
    <w:uiPriority w:val="0"/>
    <w:pPr>
      <w:adjustRightInd/>
      <w:spacing w:line="240" w:lineRule="auto"/>
      <w:jc w:val="left"/>
    </w:p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qFormat/>
    <w:uiPriority w:val="0"/>
    <w:rPr>
      <w:rFonts w:ascii="黑体" w:eastAsia="黑体"/>
      <w:spacing w:val="85"/>
      <w:w w:val="100"/>
      <w:position w:val="3"/>
      <w:sz w:val="28"/>
      <w:szCs w:val="28"/>
    </w:rPr>
  </w:style>
  <w:style w:type="character" w:customStyle="1" w:styleId="232">
    <w:name w:val="未处理的提及1"/>
    <w:basedOn w:val="30"/>
    <w:semiHidden/>
    <w:unhideWhenUsed/>
    <w:qFormat/>
    <w:uiPriority w:val="99"/>
    <w:rPr>
      <w:color w:val="605E5C"/>
      <w:shd w:val="clear" w:color="auto" w:fill="E1DFDD"/>
    </w:rPr>
  </w:style>
  <w:style w:type="paragraph" w:customStyle="1" w:styleId="233">
    <w:name w:val="修订1"/>
    <w:hidden/>
    <w:unhideWhenUsed/>
    <w:qFormat/>
    <w:uiPriority w:val="99"/>
    <w:rPr>
      <w:rFonts w:ascii="Calibri" w:hAnsi="Calibri" w:eastAsia="宋体" w:cs="Times New Roman"/>
      <w:kern w:val="2"/>
      <w:sz w:val="21"/>
      <w:szCs w:val="21"/>
      <w:lang w:val="en-US" w:eastAsia="zh-CN" w:bidi="ar-SA"/>
    </w:rPr>
  </w:style>
  <w:style w:type="paragraph" w:customStyle="1" w:styleId="234">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328ED17357643E38DD9AB61F4C15DD6"/>
        <w:style w:val=""/>
        <w:category>
          <w:name w:val="常规"/>
          <w:gallery w:val="placeholder"/>
        </w:category>
        <w:types>
          <w:type w:val="bbPlcHdr"/>
        </w:types>
        <w:behaviors>
          <w:behavior w:val="content"/>
        </w:behaviors>
        <w:description w:val=""/>
        <w:guid w:val="{0ED1304D-E0B2-4F12-8B3F-4E23C07456C6}"/>
      </w:docPartPr>
      <w:docPartBody>
        <w:p w14:paraId="0543C76A">
          <w:pPr>
            <w:pStyle w:val="5"/>
            <w:rPr>
              <w:rFonts w:hint="eastAsia"/>
            </w:rPr>
          </w:pPr>
          <w:r>
            <w:rPr>
              <w:rStyle w:val="4"/>
              <w:rFonts w:hint="eastAsia"/>
            </w:rPr>
            <w:t>单击或点击此处输入文字。</w:t>
          </w:r>
        </w:p>
      </w:docPartBody>
    </w:docPart>
    <w:docPart>
      <w:docPartPr>
        <w:name w:val="5A3A87E77F6942C29FD6257B8FAC0F32"/>
        <w:style w:val=""/>
        <w:category>
          <w:name w:val="常规"/>
          <w:gallery w:val="placeholder"/>
        </w:category>
        <w:types>
          <w:type w:val="bbPlcHdr"/>
        </w:types>
        <w:behaviors>
          <w:behavior w:val="content"/>
        </w:behaviors>
        <w:description w:val=""/>
        <w:guid w:val="{02AE6D92-A383-4410-A039-57DEFF726475}"/>
      </w:docPartPr>
      <w:docPartBody>
        <w:p w14:paraId="5EB40C0C">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EBA"/>
    <w:rsid w:val="0005242E"/>
    <w:rsid w:val="00094176"/>
    <w:rsid w:val="00140F5F"/>
    <w:rsid w:val="001612B5"/>
    <w:rsid w:val="001F4BC1"/>
    <w:rsid w:val="00520CF9"/>
    <w:rsid w:val="006E406C"/>
    <w:rsid w:val="00766C90"/>
    <w:rsid w:val="00825EBA"/>
    <w:rsid w:val="00997EE1"/>
    <w:rsid w:val="00A07E49"/>
    <w:rsid w:val="00AF6707"/>
    <w:rsid w:val="00B66195"/>
    <w:rsid w:val="00BF4870"/>
    <w:rsid w:val="00C73B14"/>
    <w:rsid w:val="00C87F43"/>
    <w:rsid w:val="00CB4576"/>
    <w:rsid w:val="00DE605B"/>
    <w:rsid w:val="00E02E0D"/>
    <w:rsid w:val="00E71497"/>
    <w:rsid w:val="00F25B87"/>
    <w:rsid w:val="00FC540B"/>
    <w:rsid w:val="00FC7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0328ED17357643E38DD9AB61F4C15DD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D3B11480E5F7489BBC6645B6EE67BDE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5A3A87E77F6942C29FD6257B8FAC0F3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PCMI</Company>
  <Pages>41</Pages>
  <Words>17956</Words>
  <Characters>18550</Characters>
  <Lines>1</Lines>
  <Paragraphs>1</Paragraphs>
  <TotalTime>3</TotalTime>
  <ScaleCrop>false</ScaleCrop>
  <LinksUpToDate>false</LinksUpToDate>
  <CharactersWithSpaces>18925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2025-08-05T18:53:00Z</dcterms:created>
  <dc:creator>LENOVO</dc:creator>
  <dc:description>&lt;config cover="true" show_menu="true" version="1.0.0" doctype="SDKXY"&gt;_x000d_
&lt;/config&gt;</dc:description>
  <cp:lastModifiedBy>文溪溪溪溪。。。。。</cp:lastModifiedBy>
  <cp:lastPrinted>2020-09-17T02:00:00Z</cp:lastPrinted>
  <dcterms:modified xsi:type="dcterms:W3CDTF">2026-09-23T08:33:25Z</dcterms:modified>
  <dc:title>地方标准</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eyJoZGlkIjoiNmU4ZjZkYzNhNDIzYmYxNmE3YzIyZGUzMTA2NmYwOWQiLCJ1c2VySWQiOiI0NDcxNzQ3OTQifQ==</vt:lpwstr>
  </property>
  <property fmtid="{D5CDD505-2E9C-101B-9397-08002B2CF9AE}" pid="15" name="KSOProductBuildVer">
    <vt:lpwstr>2052-12.1.0.28505</vt:lpwstr>
  </property>
  <property fmtid="{D5CDD505-2E9C-101B-9397-08002B2CF9AE}" pid="16" name="ICV">
    <vt:lpwstr>3BE42E25C97AE787143A966A4FA0DC8A_43</vt:lpwstr>
  </property>
</Properties>
</file>