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3"/>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65.020</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CCS</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B30</w:t>
            </w:r>
            <w:r>
              <w:rPr>
                <w:rFonts w:ascii="黑体" w:hAnsi="黑体" w:eastAsia="黑体"/>
                <w:sz w:val="21"/>
                <w:szCs w:val="21"/>
              </w:rPr>
              <w:fldChar w:fldCharType="end"/>
            </w:r>
            <w:bookmarkEnd w:id="1"/>
          </w:p>
        </w:tc>
      </w:tr>
    </w:tbl>
    <w:tbl>
      <w:tblPr>
        <w:tblStyle w:val="33"/>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Ex>
        <w:tc>
          <w:tcPr>
            <w:tcW w:w="6407" w:type="dxa"/>
          </w:tcPr>
          <w:p>
            <w:pPr>
              <w:pStyle w:val="49"/>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fldChar w:fldCharType="begin">
                <w:ffData>
                  <w:name w:val="c1"/>
                  <w:enabled/>
                  <w:calcOnExit w:val="0"/>
                  <w:textInput>
                    <w:maxLength w:val="8"/>
                  </w:textInput>
                </w:ffData>
              </w:fldChar>
            </w:r>
            <w:bookmarkStart w:id="3" w:name="c1"/>
            <w:r>
              <w:instrText xml:space="preserve"> FORMTEXT </w:instrText>
            </w:r>
            <w:r>
              <w:fldChar w:fldCharType="separate"/>
            </w:r>
            <w:r>
              <w:t>43</w:t>
            </w:r>
            <w:r>
              <w:fldChar w:fldCharType="end"/>
            </w:r>
            <w:bookmarkEnd w:id="3"/>
          </w:p>
        </w:tc>
      </w:tr>
    </w:tbl>
    <w:p>
      <w:pPr>
        <w:pStyle w:val="50"/>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rPr>
          <w:lang w:val="fr-FR"/>
        </w:rPr>
      </w:pPr>
      <w:r>
        <w:rPr>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t>43</w:t>
      </w:r>
      <w:r>
        <w:rPr>
          <w:lang w:val="fr-FR"/>
        </w:rPr>
        <w:t>/T</w:t>
      </w:r>
      <w:r>
        <w:fldChar w:fldCharType="end"/>
      </w:r>
      <w:bookmarkEnd w:id="5"/>
      <w:r>
        <w:t>xxxx</w:t>
      </w:r>
      <w:r>
        <w:rPr>
          <w:rFonts w:hAnsi="黑体"/>
          <w:lang w:val="fr-FR"/>
        </w:rPr>
        <w:t>—202</w:t>
      </w:r>
      <w:r>
        <w:rPr>
          <w:rFonts w:hint="eastAsia"/>
          <w:lang w:val="en-US" w:eastAsia="zh-CN"/>
        </w:rPr>
        <w:t>6</w:t>
      </w:r>
      <w:bookmarkStart w:id="49" w:name="_GoBack"/>
      <w:bookmarkEnd w:id="49"/>
    </w:p>
    <w:p>
      <w:pPr>
        <w:pStyle w:val="196"/>
        <w:rPr>
          <w:rFonts w:hAnsi="黑体"/>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6"/>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62336" behindDoc="0" locked="0" layoutInCell="1" allowOverlap="0">
                <wp:simplePos x="0" y="0"/>
                <wp:positionH relativeFrom="page">
                  <wp:posOffset>900430</wp:posOffset>
                </wp:positionH>
                <wp:positionV relativeFrom="page">
                  <wp:posOffset>2700655</wp:posOffset>
                </wp:positionV>
                <wp:extent cx="6120130" cy="0"/>
                <wp:effectExtent l="0" t="4445" r="0" b="508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2336;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J4NJltgAAAAMAQAADwAAAAAAAAABACAAAAAiAAAA&#10;ZHJzL2Rvd25yZXYueG1sUEsBAhQAFAAAAAgAh07iQCAX8V/OAQAAbAMAAA4AAAAAAAAAAQAgAAAA&#10;JwEAAGRycy9lMm9Eb2MueG1sUEsFBgAAAAAGAAYAWQEAAGcFAA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ascii="黑体" w:hAnsi="黑体" w:eastAsia="黑体"/>
          <w:b w:val="0"/>
          <w:bCs w:val="0"/>
          <w:w w:val="100"/>
        </w:rPr>
      </w:pPr>
    </w:p>
    <w:p>
      <w:pPr>
        <w:pStyle w:val="197"/>
        <w:framePr w:h="6974" w:hRule="exact" w:x="1419" w:anchorLock="1"/>
      </w:pPr>
      <w:r>
        <w:rPr>
          <w:rFonts w:hint="eastAsia"/>
        </w:rPr>
        <w:t>大豆炭疽</w:t>
      </w: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t>病绿色防控技术规程</w:t>
      </w:r>
      <w:r>
        <w:fldChar w:fldCharType="end"/>
      </w:r>
      <w:bookmarkEnd w:id="7"/>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eastAsia="黑体"/>
          <w:szCs w:val="28"/>
        </w:rPr>
      </w:pPr>
      <w:r>
        <w:rPr>
          <w:rFonts w:eastAsia="黑体"/>
          <w:szCs w:val="28"/>
        </w:rPr>
        <w:t>Technical code of practice for green prevention and control of soybean anthracnose</w:t>
      </w:r>
    </w:p>
    <w:p>
      <w:pPr>
        <w:pStyle w:val="125"/>
        <w:framePr w:w="9639" w:h="6974" w:hRule="exact" w:wrap="around" w:vAnchor="page" w:hAnchor="page" w:x="1419" w:y="6408" w:anchorLock="1"/>
        <w:textAlignment w:val="bottom"/>
        <w:rPr>
          <w:sz w:val="21"/>
          <w:szCs w:val="28"/>
        </w:rPr>
      </w:pPr>
    </w:p>
    <w:p>
      <w:pPr>
        <w:pStyle w:val="125"/>
        <w:framePr w:w="9639" w:h="6974" w:hRule="exact" w:wrap="around" w:vAnchor="page" w:hAnchor="page" w:x="1419" w:y="6408" w:anchorLock="1"/>
        <w:textAlignment w:val="bottom"/>
        <w:rPr>
          <w:szCs w:val="28"/>
        </w:rPr>
      </w:pPr>
      <w:r>
        <w:rPr>
          <w:rFonts w:hint="eastAsia"/>
          <w:szCs w:val="28"/>
        </w:rPr>
        <w:t>（征求意见稿）</w:t>
      </w:r>
    </w:p>
    <w:p>
      <w:pPr>
        <w:pStyle w:val="125"/>
        <w:framePr w:w="9639" w:h="6974" w:hRule="exact" w:wrap="around" w:vAnchor="page" w:hAnchor="page" w:x="1419" w:y="6408" w:anchorLock="1"/>
        <w:spacing w:before="180" w:line="240" w:lineRule="atLeast"/>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8" w:name="下拉2"/>
      <w:r>
        <w:rPr>
          <w:b/>
          <w:sz w:val="21"/>
          <w:szCs w:val="28"/>
        </w:rPr>
        <w:instrText xml:space="preserve"> FORMDROPDOWN </w:instrText>
      </w:r>
      <w:r>
        <w:rPr>
          <w:b/>
          <w:sz w:val="21"/>
          <w:szCs w:val="28"/>
        </w:rPr>
        <w:fldChar w:fldCharType="separate"/>
      </w:r>
      <w:r>
        <w:rPr>
          <w:b/>
          <w:sz w:val="21"/>
          <w:szCs w:val="28"/>
        </w:rPr>
        <w:fldChar w:fldCharType="end"/>
      </w:r>
      <w:bookmarkEnd w:id="8"/>
    </w:p>
    <w:p>
      <w:pPr>
        <w:pStyle w:val="193"/>
        <w:framePr w:y="14176"/>
      </w:pPr>
      <w:r>
        <w:rPr>
          <w:rFonts w:ascii="黑体"/>
        </w:rPr>
        <w:t>2027-</w:t>
      </w:r>
      <w:r>
        <w:rPr>
          <w:rFonts w:hint="eastAsia" w:ascii="黑体"/>
        </w:rPr>
        <w:t>XX</w:t>
      </w:r>
      <w:r>
        <w:rPr>
          <w:rFonts w:ascii="黑体"/>
        </w:rPr>
        <w:t>-</w:t>
      </w:r>
      <w:r>
        <w:rPr>
          <w:rFonts w:hint="eastAsia" w:ascii="黑体"/>
        </w:rPr>
        <w:t>XX</w:t>
      </w:r>
      <w:r>
        <w:rPr>
          <w:rFonts w:hint="eastAsia"/>
        </w:rPr>
        <w:t>发布</w:t>
      </w:r>
    </w:p>
    <w:p>
      <w:pPr>
        <w:pStyle w:val="194"/>
        <w:framePr w:y="14176"/>
      </w:pPr>
      <w:r>
        <w:rPr>
          <w:rFonts w:ascii="黑体"/>
        </w:rPr>
        <w:t>2027-</w:t>
      </w:r>
      <w:r>
        <w:rPr>
          <w:rFonts w:hint="eastAsia" w:ascii="黑体"/>
        </w:rPr>
        <w:t>XX</w:t>
      </w:r>
      <w:r>
        <w:rPr>
          <w:rFonts w:ascii="黑体"/>
        </w:rPr>
        <w:t>-</w:t>
      </w:r>
      <w:r>
        <w:rPr>
          <w:rFonts w:hint="eastAsia" w:ascii="黑体"/>
        </w:rPr>
        <w:t>XX</w:t>
      </w:r>
      <w:r>
        <w:rPr>
          <w:rFonts w:hint="eastAsia"/>
        </w:rPr>
        <w:t>实施</w:t>
      </w:r>
    </w:p>
    <w:p>
      <w:pPr>
        <w:pStyle w:val="151"/>
        <w:framePr w:h="584" w:hRule="exact" w:hSpace="181" w:vSpace="181" w:y="15027"/>
        <w:rPr>
          <w:rFonts w:hAnsi="黑体"/>
        </w:rPr>
      </w:pPr>
      <w:r>
        <w:rPr>
          <w:rFonts w:hAnsi="黑体"/>
          <w:w w:val="100"/>
          <w:sz w:val="28"/>
        </w:rPr>
        <w:fldChar w:fldCharType="begin">
          <w:ffData>
            <w:name w:val="fm"/>
            <w:enabled/>
            <w:calcOnExit w:val="0"/>
            <w:textInput/>
          </w:ffData>
        </w:fldChar>
      </w:r>
      <w:bookmarkStart w:id="9"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湖南省市场监督管理局</w:t>
      </w:r>
      <w:r>
        <w:rPr>
          <w:rFonts w:hAnsi="黑体"/>
          <w:w w:val="100"/>
          <w:sz w:val="28"/>
        </w:rPr>
        <w:fldChar w:fldCharType="end"/>
      </w:r>
      <w:bookmarkEnd w:id="9"/>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ascii="宋体" w:hAnsi="宋体"/>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338" w:right="1134" w:bottom="1021" w:left="1134" w:header="0" w:footer="0" w:gutter="284"/>
          <w:cols w:space="425" w:num="1"/>
          <w:titlePg/>
          <w:docGrid w:linePitch="312" w:charSpace="0"/>
        </w:sectPr>
      </w:pPr>
      <w:r>
        <w:rPr>
          <w:rFonts w:ascii="宋体" w:hAnsi="宋体"/>
          <w:sz w:val="28"/>
          <w:szCs w:val="28"/>
        </w:rPr>
        <mc:AlternateContent>
          <mc:Choice Requires="wps">
            <w:drawing>
              <wp:anchor distT="0" distB="0" distL="114300" distR="114300" simplePos="0" relativeHeight="251663360" behindDoc="0" locked="1" layoutInCell="1" allowOverlap="1">
                <wp:simplePos x="0" y="0"/>
                <wp:positionH relativeFrom="page">
                  <wp:posOffset>899795</wp:posOffset>
                </wp:positionH>
                <wp:positionV relativeFrom="page">
                  <wp:posOffset>9253220</wp:posOffset>
                </wp:positionV>
                <wp:extent cx="6120130" cy="0"/>
                <wp:effectExtent l="0" t="4445" r="0" b="508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3360;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szHPvXAAAADgEAAA8AAAAAAAAAAQAgAAAAIgAAAGRy&#10;cy9kb3ducmV2LnhtbFBLAQIUABQAAAAIAIdO4kCcmq9QzQEAAGoDAAAOAAAAAAAAAAEAIAAAACYB&#10;AABkcnMvZTJvRG9jLnhtbFBLBQYAAAAABgAGAFkBAABlBQAAAAA=&#10;">
                <v:fill on="f" focussize="0,0"/>
                <v:stroke color="#000000" joinstyle="round"/>
                <v:imagedata o:title=""/>
                <o:lock v:ext="edit" aspectratio="f"/>
                <w10:anchorlock/>
              </v:line>
            </w:pict>
          </mc:Fallback>
        </mc:AlternateContent>
      </w:r>
    </w:p>
    <w:p>
      <w:pPr>
        <w:pStyle w:val="91"/>
        <w:spacing w:after="468"/>
      </w:pPr>
      <w:bookmarkStart w:id="10" w:name="BookMark1"/>
      <w:r>
        <w:rPr>
          <w:rFonts w:hint="eastAsia"/>
          <w:spacing w:val="320"/>
        </w:rPr>
        <w:t>目</w:t>
      </w:r>
      <w:r>
        <w:rPr>
          <w:rFonts w:hint="eastAsia"/>
        </w:rPr>
        <w:t>次</w:t>
      </w:r>
    </w:p>
    <w:p>
      <w:pPr>
        <w:pStyle w:val="19"/>
        <w:tabs>
          <w:tab w:val="right" w:leader="dot" w:pos="9344"/>
        </w:tabs>
        <w:rPr>
          <w:rStyle w:val="30"/>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"_Toc177034882" </w:instrText>
      </w:r>
      <w:r>
        <w:fldChar w:fldCharType="separate"/>
      </w:r>
      <w:r>
        <w:rPr>
          <w:rStyle w:val="30"/>
          <w:rFonts w:hint="eastAsia"/>
        </w:rPr>
        <w:t>前言</w:t>
      </w:r>
      <w:r>
        <w:rPr>
          <w:rStyle w:val="30"/>
        </w:rPr>
        <w:tab/>
      </w:r>
      <w:r>
        <w:rPr>
          <w:rStyle w:val="30"/>
        </w:rPr>
        <w:fldChar w:fldCharType="begin"/>
      </w:r>
      <w:r>
        <w:rPr>
          <w:rStyle w:val="30"/>
        </w:rPr>
        <w:instrText xml:space="preserve"> PAGEREF _Toc177034882 \h </w:instrText>
      </w:r>
      <w:r>
        <w:rPr>
          <w:rStyle w:val="30"/>
        </w:rPr>
        <w:fldChar w:fldCharType="separate"/>
      </w:r>
      <w:r>
        <w:rPr>
          <w:rStyle w:val="30"/>
        </w:rPr>
        <w:t>II</w:t>
      </w:r>
      <w:r>
        <w:rPr>
          <w:rStyle w:val="30"/>
        </w:rPr>
        <w:fldChar w:fldCharType="end"/>
      </w:r>
      <w:r>
        <w:rPr>
          <w:rStyle w:val="30"/>
        </w:rPr>
        <w:fldChar w:fldCharType="end"/>
      </w:r>
    </w:p>
    <w:p>
      <w:pPr>
        <w:pStyle w:val="19"/>
        <w:tabs>
          <w:tab w:val="right" w:leader="dot" w:pos="9344"/>
        </w:tabs>
        <w:rPr>
          <w:rStyle w:val="30"/>
        </w:rPr>
      </w:pPr>
      <w:r>
        <w:fldChar w:fldCharType="begin"/>
      </w:r>
      <w:r>
        <w:instrText xml:space="preserve"> HYPERLINK \l "_Toc177034883" </w:instrText>
      </w:r>
      <w:r>
        <w:fldChar w:fldCharType="separate"/>
      </w:r>
      <w:r>
        <w:rPr>
          <w:rStyle w:val="30"/>
        </w:rPr>
        <w:t xml:space="preserve">1 </w:t>
      </w:r>
      <w:r>
        <w:rPr>
          <w:rStyle w:val="30"/>
          <w:rFonts w:hint="eastAsia"/>
        </w:rPr>
        <w:t>范围</w:t>
      </w:r>
      <w:r>
        <w:rPr>
          <w:rStyle w:val="30"/>
        </w:rPr>
        <w:tab/>
      </w:r>
      <w:r>
        <w:rPr>
          <w:rStyle w:val="30"/>
        </w:rPr>
        <w:fldChar w:fldCharType="begin"/>
      </w:r>
      <w:r>
        <w:rPr>
          <w:rStyle w:val="30"/>
        </w:rPr>
        <w:instrText xml:space="preserve"> PAGEREF _Toc177034883 \h </w:instrText>
      </w:r>
      <w:r>
        <w:rPr>
          <w:rStyle w:val="30"/>
        </w:rPr>
        <w:fldChar w:fldCharType="separate"/>
      </w:r>
      <w:r>
        <w:rPr>
          <w:rStyle w:val="30"/>
        </w:rPr>
        <w:t>1</w:t>
      </w:r>
      <w:r>
        <w:rPr>
          <w:rStyle w:val="30"/>
        </w:rPr>
        <w:fldChar w:fldCharType="end"/>
      </w:r>
      <w:r>
        <w:rPr>
          <w:rStyle w:val="30"/>
        </w:rPr>
        <w:fldChar w:fldCharType="end"/>
      </w:r>
    </w:p>
    <w:p>
      <w:pPr>
        <w:pStyle w:val="19"/>
        <w:tabs>
          <w:tab w:val="right" w:leader="dot" w:pos="9344"/>
        </w:tabs>
        <w:rPr>
          <w:rStyle w:val="30"/>
        </w:rPr>
      </w:pPr>
      <w:r>
        <w:fldChar w:fldCharType="begin"/>
      </w:r>
      <w:r>
        <w:instrText xml:space="preserve"> HYPERLINK \l "_Toc177034884" </w:instrText>
      </w:r>
      <w:r>
        <w:fldChar w:fldCharType="separate"/>
      </w:r>
      <w:r>
        <w:rPr>
          <w:rStyle w:val="30"/>
        </w:rPr>
        <w:t xml:space="preserve">2 </w:t>
      </w:r>
      <w:r>
        <w:rPr>
          <w:rStyle w:val="30"/>
          <w:rFonts w:hint="eastAsia"/>
        </w:rPr>
        <w:t>规范性引用文件</w:t>
      </w:r>
      <w:r>
        <w:rPr>
          <w:rStyle w:val="30"/>
        </w:rPr>
        <w:tab/>
      </w:r>
      <w:r>
        <w:rPr>
          <w:rStyle w:val="30"/>
        </w:rPr>
        <w:fldChar w:fldCharType="begin"/>
      </w:r>
      <w:r>
        <w:rPr>
          <w:rStyle w:val="30"/>
        </w:rPr>
        <w:instrText xml:space="preserve"> PAGEREF _Toc177034884 \h </w:instrText>
      </w:r>
      <w:r>
        <w:rPr>
          <w:rStyle w:val="30"/>
        </w:rPr>
        <w:fldChar w:fldCharType="separate"/>
      </w:r>
      <w:r>
        <w:rPr>
          <w:rStyle w:val="30"/>
        </w:rPr>
        <w:t>1</w:t>
      </w:r>
      <w:r>
        <w:rPr>
          <w:rStyle w:val="30"/>
        </w:rPr>
        <w:fldChar w:fldCharType="end"/>
      </w:r>
      <w:r>
        <w:rPr>
          <w:rStyle w:val="30"/>
        </w:rPr>
        <w:fldChar w:fldCharType="end"/>
      </w:r>
    </w:p>
    <w:p>
      <w:pPr>
        <w:pStyle w:val="19"/>
        <w:tabs>
          <w:tab w:val="right" w:leader="dot" w:pos="9344"/>
        </w:tabs>
        <w:rPr>
          <w:rStyle w:val="30"/>
        </w:rPr>
      </w:pPr>
      <w:r>
        <w:fldChar w:fldCharType="begin"/>
      </w:r>
      <w:r>
        <w:instrText xml:space="preserve"> HYPERLINK \l "_Toc177034885" </w:instrText>
      </w:r>
      <w:r>
        <w:fldChar w:fldCharType="separate"/>
      </w:r>
      <w:r>
        <w:rPr>
          <w:rStyle w:val="30"/>
        </w:rPr>
        <w:t xml:space="preserve">3 </w:t>
      </w:r>
      <w:r>
        <w:rPr>
          <w:rStyle w:val="30"/>
          <w:rFonts w:hint="eastAsia"/>
        </w:rPr>
        <w:t>术语和定义</w:t>
      </w:r>
      <w:r>
        <w:rPr>
          <w:rStyle w:val="30"/>
        </w:rPr>
        <w:tab/>
      </w:r>
      <w:r>
        <w:rPr>
          <w:rStyle w:val="30"/>
        </w:rPr>
        <w:fldChar w:fldCharType="begin"/>
      </w:r>
      <w:r>
        <w:rPr>
          <w:rStyle w:val="30"/>
        </w:rPr>
        <w:instrText xml:space="preserve"> PAGEREF _Toc177034885 \h </w:instrText>
      </w:r>
      <w:r>
        <w:rPr>
          <w:rStyle w:val="30"/>
        </w:rPr>
        <w:fldChar w:fldCharType="separate"/>
      </w:r>
      <w:r>
        <w:rPr>
          <w:rStyle w:val="30"/>
        </w:rPr>
        <w:t>1</w:t>
      </w:r>
      <w:r>
        <w:rPr>
          <w:rStyle w:val="30"/>
        </w:rPr>
        <w:fldChar w:fldCharType="end"/>
      </w:r>
      <w:r>
        <w:rPr>
          <w:rStyle w:val="30"/>
        </w:rPr>
        <w:fldChar w:fldCharType="end"/>
      </w:r>
    </w:p>
    <w:p>
      <w:pPr>
        <w:pStyle w:val="19"/>
        <w:tabs>
          <w:tab w:val="right" w:leader="dot" w:pos="9344"/>
        </w:tabs>
        <w:rPr>
          <w:rStyle w:val="30"/>
        </w:rPr>
      </w:pPr>
      <w:r>
        <w:fldChar w:fldCharType="begin"/>
      </w:r>
      <w:r>
        <w:instrText xml:space="preserve"> HYPERLINK \l "_Toc177034885" </w:instrText>
      </w:r>
      <w:r>
        <w:fldChar w:fldCharType="separate"/>
      </w:r>
      <w:r>
        <w:rPr>
          <w:rStyle w:val="30"/>
        </w:rPr>
        <w:t xml:space="preserve">4 </w:t>
      </w:r>
      <w:r>
        <w:rPr>
          <w:rStyle w:val="30"/>
          <w:rFonts w:hint="eastAsia"/>
        </w:rPr>
        <w:t>病原菌鉴定</w:t>
      </w:r>
      <w:r>
        <w:rPr>
          <w:rStyle w:val="30"/>
        </w:rPr>
        <w:tab/>
      </w:r>
      <w:r>
        <w:rPr>
          <w:rStyle w:val="30"/>
        </w:rPr>
        <w:fldChar w:fldCharType="begin"/>
      </w:r>
      <w:r>
        <w:rPr>
          <w:rStyle w:val="30"/>
        </w:rPr>
        <w:instrText xml:space="preserve"> PAGEREF _Toc177034885 \h </w:instrText>
      </w:r>
      <w:r>
        <w:rPr>
          <w:rStyle w:val="30"/>
        </w:rPr>
        <w:fldChar w:fldCharType="separate"/>
      </w:r>
      <w:r>
        <w:rPr>
          <w:rStyle w:val="30"/>
        </w:rPr>
        <w:t>1</w:t>
      </w:r>
      <w:r>
        <w:rPr>
          <w:rStyle w:val="30"/>
        </w:rPr>
        <w:fldChar w:fldCharType="end"/>
      </w:r>
      <w:r>
        <w:rPr>
          <w:rStyle w:val="30"/>
        </w:rPr>
        <w:fldChar w:fldCharType="end"/>
      </w:r>
    </w:p>
    <w:p>
      <w:pPr>
        <w:pStyle w:val="19"/>
        <w:tabs>
          <w:tab w:val="right" w:leader="dot" w:pos="9344"/>
        </w:tabs>
        <w:rPr>
          <w:rStyle w:val="30"/>
        </w:rPr>
      </w:pPr>
      <w:r>
        <w:fldChar w:fldCharType="begin"/>
      </w:r>
      <w:r>
        <w:instrText xml:space="preserve"> HYPERLINK \l "_Toc177034886" </w:instrText>
      </w:r>
      <w:r>
        <w:fldChar w:fldCharType="separate"/>
      </w:r>
      <w:r>
        <w:rPr>
          <w:rStyle w:val="30"/>
        </w:rPr>
        <w:t xml:space="preserve">5 </w:t>
      </w:r>
      <w:r>
        <w:rPr>
          <w:rStyle w:val="30"/>
          <w:rFonts w:hint="eastAsia"/>
        </w:rPr>
        <w:t>病害诊断</w:t>
      </w:r>
      <w:r>
        <w:rPr>
          <w:rStyle w:val="30"/>
        </w:rPr>
        <w:tab/>
      </w:r>
      <w:r>
        <w:rPr>
          <w:rStyle w:val="30"/>
        </w:rPr>
        <w:fldChar w:fldCharType="begin"/>
      </w:r>
      <w:r>
        <w:rPr>
          <w:rStyle w:val="30"/>
        </w:rPr>
        <w:instrText xml:space="preserve"> PAGEREF _Toc177034886 \h </w:instrText>
      </w:r>
      <w:r>
        <w:rPr>
          <w:rStyle w:val="30"/>
        </w:rPr>
        <w:fldChar w:fldCharType="separate"/>
      </w:r>
      <w:r>
        <w:rPr>
          <w:rStyle w:val="30"/>
        </w:rPr>
        <w:t>2</w:t>
      </w:r>
      <w:r>
        <w:rPr>
          <w:rStyle w:val="30"/>
        </w:rPr>
        <w:fldChar w:fldCharType="end"/>
      </w:r>
      <w:r>
        <w:rPr>
          <w:rStyle w:val="30"/>
        </w:rPr>
        <w:fldChar w:fldCharType="end"/>
      </w:r>
    </w:p>
    <w:p>
      <w:pPr>
        <w:pStyle w:val="19"/>
        <w:tabs>
          <w:tab w:val="right" w:leader="dot" w:pos="9344"/>
        </w:tabs>
        <w:rPr>
          <w:rStyle w:val="30"/>
        </w:rPr>
      </w:pPr>
      <w:r>
        <w:fldChar w:fldCharType="begin"/>
      </w:r>
      <w:r>
        <w:instrText xml:space="preserve"> HYPERLINK \l "_Toc177034887" </w:instrText>
      </w:r>
      <w:r>
        <w:fldChar w:fldCharType="separate"/>
      </w:r>
      <w:r>
        <w:rPr>
          <w:rStyle w:val="30"/>
        </w:rPr>
        <w:t xml:space="preserve">6 </w:t>
      </w:r>
      <w:r>
        <w:rPr>
          <w:rStyle w:val="30"/>
          <w:rFonts w:hint="eastAsia"/>
        </w:rPr>
        <w:t>发生流行规律</w:t>
      </w:r>
      <w:r>
        <w:rPr>
          <w:rStyle w:val="30"/>
        </w:rPr>
        <w:tab/>
      </w:r>
      <w:r>
        <w:rPr>
          <w:rStyle w:val="30"/>
        </w:rPr>
        <w:fldChar w:fldCharType="begin"/>
      </w:r>
      <w:r>
        <w:rPr>
          <w:rStyle w:val="30"/>
        </w:rPr>
        <w:instrText xml:space="preserve"> PAGEREF _Toc177034887 \h </w:instrText>
      </w:r>
      <w:r>
        <w:rPr>
          <w:rStyle w:val="30"/>
        </w:rPr>
        <w:fldChar w:fldCharType="separate"/>
      </w:r>
      <w:r>
        <w:rPr>
          <w:rStyle w:val="30"/>
        </w:rPr>
        <w:t>2</w:t>
      </w:r>
      <w:r>
        <w:rPr>
          <w:rStyle w:val="30"/>
        </w:rPr>
        <w:fldChar w:fldCharType="end"/>
      </w:r>
      <w:r>
        <w:rPr>
          <w:rStyle w:val="30"/>
        </w:rPr>
        <w:fldChar w:fldCharType="end"/>
      </w:r>
    </w:p>
    <w:p>
      <w:pPr>
        <w:pStyle w:val="19"/>
        <w:tabs>
          <w:tab w:val="right" w:leader="dot" w:pos="9344"/>
        </w:tabs>
        <w:rPr>
          <w:rStyle w:val="30"/>
        </w:rPr>
      </w:pPr>
      <w:r>
        <w:fldChar w:fldCharType="begin"/>
      </w:r>
      <w:r>
        <w:instrText xml:space="preserve"> HYPERLINK \l "_Toc177034888" </w:instrText>
      </w:r>
      <w:r>
        <w:fldChar w:fldCharType="separate"/>
      </w:r>
      <w:r>
        <w:rPr>
          <w:rStyle w:val="30"/>
        </w:rPr>
        <w:t xml:space="preserve">7 </w:t>
      </w:r>
      <w:r>
        <w:rPr>
          <w:rStyle w:val="30"/>
          <w:rFonts w:hint="eastAsia"/>
        </w:rPr>
        <w:t>防控原则</w:t>
      </w:r>
      <w:r>
        <w:rPr>
          <w:rStyle w:val="30"/>
        </w:rPr>
        <w:tab/>
      </w:r>
      <w:r>
        <w:rPr>
          <w:rStyle w:val="30"/>
        </w:rPr>
        <w:fldChar w:fldCharType="begin"/>
      </w:r>
      <w:r>
        <w:rPr>
          <w:rStyle w:val="30"/>
        </w:rPr>
        <w:instrText xml:space="preserve"> PAGEREF _Toc177034888 \h </w:instrText>
      </w:r>
      <w:r>
        <w:rPr>
          <w:rStyle w:val="30"/>
        </w:rPr>
        <w:fldChar w:fldCharType="separate"/>
      </w:r>
      <w:r>
        <w:rPr>
          <w:rStyle w:val="30"/>
        </w:rPr>
        <w:t>2</w:t>
      </w:r>
      <w:r>
        <w:rPr>
          <w:rStyle w:val="30"/>
        </w:rPr>
        <w:fldChar w:fldCharType="end"/>
      </w:r>
      <w:r>
        <w:rPr>
          <w:rStyle w:val="30"/>
        </w:rPr>
        <w:fldChar w:fldCharType="end"/>
      </w:r>
    </w:p>
    <w:p>
      <w:pPr>
        <w:pStyle w:val="19"/>
        <w:tabs>
          <w:tab w:val="right" w:leader="dot" w:pos="9344"/>
        </w:tabs>
        <w:rPr>
          <w:rStyle w:val="30"/>
        </w:rPr>
      </w:pPr>
      <w:r>
        <w:fldChar w:fldCharType="begin"/>
      </w:r>
      <w:r>
        <w:instrText xml:space="preserve"> HYPERLINK \l "_Toc177034889" </w:instrText>
      </w:r>
      <w:r>
        <w:fldChar w:fldCharType="separate"/>
      </w:r>
      <w:r>
        <w:rPr>
          <w:rStyle w:val="30"/>
        </w:rPr>
        <w:t xml:space="preserve">8 </w:t>
      </w:r>
      <w:r>
        <w:rPr>
          <w:rStyle w:val="30"/>
          <w:rFonts w:hint="eastAsia"/>
        </w:rPr>
        <w:t>防控措施</w:t>
      </w:r>
      <w:r>
        <w:rPr>
          <w:rStyle w:val="30"/>
        </w:rPr>
        <w:tab/>
      </w:r>
      <w:r>
        <w:rPr>
          <w:rStyle w:val="30"/>
        </w:rPr>
        <w:fldChar w:fldCharType="begin"/>
      </w:r>
      <w:r>
        <w:rPr>
          <w:rStyle w:val="30"/>
        </w:rPr>
        <w:instrText xml:space="preserve"> PAGEREF _Toc177034889 \h </w:instrText>
      </w:r>
      <w:r>
        <w:rPr>
          <w:rStyle w:val="30"/>
        </w:rPr>
        <w:fldChar w:fldCharType="separate"/>
      </w:r>
      <w:r>
        <w:rPr>
          <w:rStyle w:val="30"/>
        </w:rPr>
        <w:t>3</w:t>
      </w:r>
      <w:r>
        <w:rPr>
          <w:rStyle w:val="30"/>
        </w:rPr>
        <w:fldChar w:fldCharType="end"/>
      </w:r>
      <w:r>
        <w:rPr>
          <w:rStyle w:val="30"/>
        </w:rPr>
        <w:fldChar w:fldCharType="end"/>
      </w:r>
    </w:p>
    <w:p>
      <w:pPr>
        <w:pStyle w:val="24"/>
        <w:rPr>
          <w:rStyle w:val="30"/>
        </w:rPr>
      </w:pPr>
      <w:r>
        <w:fldChar w:fldCharType="begin"/>
      </w:r>
      <w:r>
        <w:instrText xml:space="preserve"> HYPERLINK \l "_Toc177034890" </w:instrText>
      </w:r>
      <w:r>
        <w:fldChar w:fldCharType="separate"/>
      </w:r>
      <w:r>
        <w:rPr>
          <w:rStyle w:val="30"/>
        </w:rPr>
        <w:t xml:space="preserve">8.1 </w:t>
      </w:r>
      <w:r>
        <w:rPr>
          <w:rStyle w:val="30"/>
          <w:rFonts w:hint="eastAsia"/>
        </w:rPr>
        <w:t>农业防治</w:t>
      </w:r>
      <w:r>
        <w:rPr>
          <w:rStyle w:val="30"/>
        </w:rPr>
        <w:tab/>
      </w:r>
      <w:r>
        <w:rPr>
          <w:rStyle w:val="30"/>
        </w:rPr>
        <w:fldChar w:fldCharType="begin"/>
      </w:r>
      <w:r>
        <w:rPr>
          <w:rStyle w:val="30"/>
        </w:rPr>
        <w:instrText xml:space="preserve"> PAGEREF _Toc177034890 \h </w:instrText>
      </w:r>
      <w:r>
        <w:rPr>
          <w:rStyle w:val="30"/>
        </w:rPr>
        <w:fldChar w:fldCharType="separate"/>
      </w:r>
      <w:r>
        <w:rPr>
          <w:rStyle w:val="30"/>
        </w:rPr>
        <w:t>3</w:t>
      </w:r>
      <w:r>
        <w:rPr>
          <w:rStyle w:val="30"/>
        </w:rPr>
        <w:fldChar w:fldCharType="end"/>
      </w:r>
      <w:r>
        <w:rPr>
          <w:rStyle w:val="30"/>
        </w:rPr>
        <w:fldChar w:fldCharType="end"/>
      </w:r>
    </w:p>
    <w:p>
      <w:pPr>
        <w:pStyle w:val="24"/>
        <w:rPr>
          <w:rStyle w:val="30"/>
        </w:rPr>
      </w:pPr>
      <w:r>
        <w:fldChar w:fldCharType="begin"/>
      </w:r>
      <w:r>
        <w:instrText xml:space="preserve"> HYPERLINK \l "_Toc177034892" </w:instrText>
      </w:r>
      <w:r>
        <w:fldChar w:fldCharType="separate"/>
      </w:r>
      <w:r>
        <w:rPr>
          <w:rStyle w:val="30"/>
        </w:rPr>
        <w:t xml:space="preserve">8.2 </w:t>
      </w:r>
      <w:r>
        <w:rPr>
          <w:rStyle w:val="30"/>
          <w:rFonts w:hint="eastAsia"/>
        </w:rPr>
        <w:t>化学防治</w:t>
      </w:r>
      <w:r>
        <w:rPr>
          <w:rStyle w:val="30"/>
        </w:rPr>
        <w:tab/>
      </w:r>
      <w:r>
        <w:rPr>
          <w:rStyle w:val="30"/>
        </w:rPr>
        <w:fldChar w:fldCharType="begin"/>
      </w:r>
      <w:r>
        <w:rPr>
          <w:rStyle w:val="30"/>
        </w:rPr>
        <w:instrText xml:space="preserve"> PAGEREF _Toc177034892 \h </w:instrText>
      </w:r>
      <w:r>
        <w:rPr>
          <w:rStyle w:val="30"/>
        </w:rPr>
        <w:fldChar w:fldCharType="separate"/>
      </w:r>
      <w:r>
        <w:rPr>
          <w:rStyle w:val="30"/>
        </w:rPr>
        <w:t>3</w:t>
      </w:r>
      <w:r>
        <w:rPr>
          <w:rStyle w:val="30"/>
        </w:rPr>
        <w:fldChar w:fldCharType="end"/>
      </w:r>
      <w:r>
        <w:rPr>
          <w:rStyle w:val="30"/>
        </w:rPr>
        <w:fldChar w:fldCharType="end"/>
      </w:r>
    </w:p>
    <w:p>
      <w:pPr>
        <w:pStyle w:val="24"/>
        <w:rPr>
          <w:color w:val="auto"/>
        </w:rPr>
      </w:pPr>
      <w:r>
        <w:fldChar w:fldCharType="begin"/>
      </w:r>
      <w:r>
        <w:instrText xml:space="preserve"> HYPERLINK \l "_Toc177034891" </w:instrText>
      </w:r>
      <w:r>
        <w:fldChar w:fldCharType="separate"/>
      </w:r>
      <w:r>
        <w:rPr>
          <w:rStyle w:val="30"/>
        </w:rPr>
        <w:t xml:space="preserve">8.3 </w:t>
      </w:r>
      <w:r>
        <w:rPr>
          <w:rStyle w:val="30"/>
          <w:rFonts w:hint="eastAsia"/>
        </w:rPr>
        <w:t>生物防治</w:t>
      </w:r>
      <w:r>
        <w:rPr>
          <w:rStyle w:val="30"/>
        </w:rPr>
        <w:tab/>
      </w:r>
      <w:r>
        <w:rPr>
          <w:rStyle w:val="30"/>
        </w:rPr>
        <w:t>3</w:t>
      </w:r>
      <w:r>
        <w:rPr>
          <w:rStyle w:val="30"/>
        </w:rP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"_Toc177034893" </w:instrText>
      </w:r>
      <w:r>
        <w:fldChar w:fldCharType="separate"/>
      </w:r>
      <w:r>
        <w:rPr>
          <w:rStyle w:val="30"/>
        </w:rPr>
        <w:t xml:space="preserve">9 </w:t>
      </w:r>
      <w:r>
        <w:rPr>
          <w:rStyle w:val="30"/>
          <w:rFonts w:hint="eastAsia"/>
        </w:rPr>
        <w:t>防控档案</w:t>
      </w:r>
      <w:r>
        <w:tab/>
      </w:r>
      <w:r>
        <w:fldChar w:fldCharType="begin"/>
      </w:r>
      <w:r>
        <w:instrText xml:space="preserve"> PAGEREF _Toc177034893 \h </w:instrText>
      </w:r>
      <w:r>
        <w:fldChar w:fldCharType="separate"/>
      </w:r>
      <w:r>
        <w:t>4</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"_Toc177034894" </w:instrText>
      </w:r>
      <w:r>
        <w:fldChar w:fldCharType="separate"/>
      </w:r>
      <w:r>
        <w:rPr>
          <w:rStyle w:val="30"/>
          <w:rFonts w:hint="eastAsia"/>
        </w:rPr>
        <w:t>附录A（资料性） 扩增ITS、</w:t>
      </w:r>
      <w:r>
        <w:rPr>
          <w:rStyle w:val="30"/>
          <w:rFonts w:hint="eastAsia"/>
          <w:i/>
        </w:rPr>
        <w:t>ACT、CHS-1</w:t>
      </w:r>
      <w:r>
        <w:rPr>
          <w:rStyle w:val="30"/>
          <w:rFonts w:hint="eastAsia"/>
        </w:rPr>
        <w:t>和</w:t>
      </w:r>
      <w:r>
        <w:rPr>
          <w:rStyle w:val="30"/>
          <w:i/>
        </w:rPr>
        <w:t>GAPDH</w:t>
      </w:r>
      <w:r>
        <w:rPr>
          <w:rStyle w:val="30"/>
          <w:rFonts w:hint="eastAsia"/>
        </w:rPr>
        <w:t>基因序列的引物</w:t>
      </w:r>
      <w:r>
        <w:tab/>
      </w:r>
      <w:r>
        <w:t>4</w:t>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"_Toc177034894" </w:instrText>
      </w:r>
      <w:r>
        <w:fldChar w:fldCharType="separate"/>
      </w:r>
      <w:r>
        <w:rPr>
          <w:rStyle w:val="30"/>
        </w:rPr>
        <w:t>附录</w:t>
      </w:r>
      <w:r>
        <w:rPr>
          <w:rStyle w:val="30"/>
          <w:rFonts w:hint="eastAsia"/>
        </w:rPr>
        <w:t>B</w:t>
      </w:r>
      <w:r>
        <w:rPr>
          <w:rStyle w:val="30"/>
        </w:rPr>
        <w:t>（资料性）</w:t>
      </w:r>
      <w:r>
        <w:rPr>
          <w:rStyle w:val="30"/>
          <w:rFonts w:hint="eastAsia"/>
        </w:rPr>
        <w:t xml:space="preserve"> 大豆炭疽病的防控药剂及施药方法</w:t>
      </w:r>
      <w:r>
        <w:tab/>
      </w:r>
      <w:r>
        <w:fldChar w:fldCharType="begin"/>
      </w:r>
      <w:r>
        <w:instrText xml:space="preserve"> PAGEREF _Toc177034894 \h </w:instrText>
      </w:r>
      <w:r>
        <w:fldChar w:fldCharType="separate"/>
      </w:r>
      <w:r>
        <w:t>6</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"_Toc177034895" </w:instrText>
      </w:r>
      <w:r>
        <w:fldChar w:fldCharType="separate"/>
      </w:r>
      <w:r>
        <w:rPr>
          <w:rStyle w:val="30"/>
        </w:rPr>
        <w:t>附录</w:t>
      </w:r>
      <w:r>
        <w:rPr>
          <w:rStyle w:val="30"/>
          <w:rFonts w:hint="eastAsia"/>
        </w:rPr>
        <w:t>C</w:t>
      </w:r>
      <w:r>
        <w:rPr>
          <w:rStyle w:val="30"/>
        </w:rPr>
        <w:t>（资料性）</w:t>
      </w:r>
      <w:r>
        <w:rPr>
          <w:rStyle w:val="30"/>
          <w:rFonts w:hint="eastAsia"/>
        </w:rPr>
        <w:t xml:space="preserve"> </w:t>
      </w:r>
      <w:r>
        <w:rPr>
          <w:rFonts w:hint="eastAsia"/>
        </w:rPr>
        <w:t>大豆炭疽</w:t>
      </w:r>
      <w:r>
        <w:rPr>
          <w:rStyle w:val="30"/>
        </w:rPr>
        <w:t>病的防控档案</w:t>
      </w:r>
      <w:r>
        <w:tab/>
      </w:r>
      <w:r>
        <w:fldChar w:fldCharType="begin"/>
      </w:r>
      <w:r>
        <w:instrText xml:space="preserve"> PAGEREF _Toc177034895 \h </w:instrText>
      </w:r>
      <w:r>
        <w:fldChar w:fldCharType="separate"/>
      </w:r>
      <w:r>
        <w:t>7</w:t>
      </w:r>
      <w:r>
        <w:fldChar w:fldCharType="end"/>
      </w:r>
      <w:r>
        <w:fldChar w:fldCharType="end"/>
      </w:r>
    </w:p>
    <w:p>
      <w:pPr>
        <w:pStyle w:val="91"/>
        <w:spacing w:after="468"/>
        <w:sectPr>
          <w:headerReference r:id="rId9" w:type="default"/>
          <w:footerReference r:id="rId11" w:type="default"/>
          <w:headerReference r:id="rId10" w:type="even"/>
          <w:foot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10"/>
    <w:p>
      <w:pPr>
        <w:pStyle w:val="89"/>
        <w:spacing w:before="900" w:after="468"/>
      </w:pPr>
      <w:bookmarkStart w:id="11" w:name="_Toc177034882"/>
      <w:bookmarkStart w:id="12" w:name="BookMark2"/>
      <w:r>
        <w:rPr>
          <w:spacing w:val="320"/>
        </w:rPr>
        <w:t>前</w:t>
      </w:r>
      <w:r>
        <w:t>言</w:t>
      </w:r>
      <w:bookmarkEnd w:id="11"/>
    </w:p>
    <w:p>
      <w:pPr>
        <w:pStyle w:val="56"/>
        <w:ind w:firstLine="420"/>
      </w:pPr>
      <w:r>
        <w:rPr>
          <w:rFonts w:hint="eastAsia"/>
        </w:rPr>
        <w:t>本文件按照GB/T 1.1—2020《标准化工作导则 第1部分：标准化文件的结构和起草规则》的规定起草。</w:t>
      </w:r>
    </w:p>
    <w:p>
      <w:pPr>
        <w:pStyle w:val="56"/>
        <w:ind w:firstLine="420"/>
      </w:pPr>
      <w:r>
        <w:rPr>
          <w:rFonts w:hint="eastAsia"/>
        </w:rPr>
        <w:t>请注意本文件的某些内容可能涉及专利。本文件的发布机构不承担识别专利的责任。</w:t>
      </w:r>
    </w:p>
    <w:p>
      <w:pPr>
        <w:pStyle w:val="56"/>
        <w:ind w:firstLine="420"/>
      </w:pPr>
      <w:r>
        <w:rPr>
          <w:rFonts w:hint="eastAsia"/>
        </w:rPr>
        <w:t>本文件由湖南省农业农村厅提出。</w:t>
      </w:r>
    </w:p>
    <w:p>
      <w:pPr>
        <w:pStyle w:val="56"/>
        <w:ind w:firstLine="420"/>
      </w:pPr>
      <w:r>
        <w:rPr>
          <w:rFonts w:hint="eastAsia"/>
        </w:rPr>
        <w:t>本文件由湖南省农业标准化技术委员会归口。</w:t>
      </w:r>
    </w:p>
    <w:p>
      <w:pPr>
        <w:pStyle w:val="56"/>
        <w:ind w:firstLine="420"/>
      </w:pPr>
      <w:r>
        <w:rPr>
          <w:rFonts w:hint="eastAsia"/>
        </w:rPr>
        <w:t>本文件起草单位：湖南农业大学、岳麓山实验室、湖南省植保植检站、岳阳市农业农村事务中心、华容县植保植检站、南县植保植检站、安乡县农业农村局、吉首市农业农村局、桃江县农业农村局、君山区农业农村局、临湘市植保植检站、临澧县农业农村局、桂阳县植保植检站、岳阳市小牛撒野农业科技有限公司、平江县百庆茂种养农民专业合作社、湖南长峪铺农业科技发展有限公司、湖南潺陵春农业发展有限公司。</w:t>
      </w:r>
    </w:p>
    <w:p>
      <w:pPr>
        <w:pStyle w:val="56"/>
        <w:ind w:firstLine="420"/>
        <w:sectPr>
          <w:footerReference r:id="rId13" w:type="default"/>
          <w:footerReference r:id="rId14" w:type="even"/>
          <w:pgSz w:w="11906" w:h="16838"/>
          <w:pgMar w:top="567" w:right="1134" w:bottom="1134" w:left="1417" w:header="850" w:footer="992" w:gutter="0"/>
          <w:pgNumType w:fmt="upperRoman"/>
          <w:cols w:space="720" w:num="1"/>
          <w:formProt w:val="0"/>
          <w:docGrid w:type="lines" w:linePitch="312" w:charSpace="0"/>
        </w:sectPr>
      </w:pPr>
      <w:r>
        <w:rPr>
          <w:rFonts w:hint="eastAsia"/>
        </w:rPr>
        <w:t>本文件主要起草人：刘双清、姜宇星、黄运友、朱秀秀、林宇丰、陈  戈、刘  剑、李宁波、唐易平、高崇友、滕召君、莫长安、何顺强、刘  胜、王俊琳、潘求一、肖清君、周东来、戴仲柏、张  亚、吴  亮、朱  芳、叶  虬。</w:t>
      </w:r>
    </w:p>
    <w:bookmarkEnd w:id="12"/>
    <w:p>
      <w:pPr>
        <w:spacing w:line="20" w:lineRule="exact"/>
        <w:jc w:val="center"/>
        <w:rPr>
          <w:rFonts w:ascii="黑体" w:hAnsi="黑体" w:eastAsia="黑体"/>
          <w:sz w:val="32"/>
          <w:szCs w:val="32"/>
        </w:rPr>
      </w:pPr>
      <w:bookmarkStart w:id="13" w:name="BookMark4"/>
    </w:p>
    <w:p>
      <w:pPr>
        <w:spacing w:line="20" w:lineRule="exact"/>
        <w:jc w:val="center"/>
        <w:rPr>
          <w:rFonts w:ascii="黑体" w:hAnsi="黑体" w:eastAsia="黑体"/>
          <w:sz w:val="32"/>
          <w:szCs w:val="32"/>
        </w:rPr>
      </w:pPr>
    </w:p>
    <w:sdt>
      <w:sdtPr>
        <w:tag w:val="NEW_STAND_NAME"/>
        <w:id w:val="595910757"/>
        <w:lock w:val="sdtLocked"/>
        <w:placeholder>
          <w:docPart w:val="A51BEE0D50604128AE0D447890238672"/>
        </w:placeholder>
      </w:sdtPr>
      <w:sdtContent>
        <w:p>
          <w:pPr>
            <w:pStyle w:val="177"/>
            <w:spacing w:before="3" w:beforeLines="1" w:after="686" w:afterLines="220"/>
          </w:pPr>
          <w:bookmarkStart w:id="14" w:name="NEW_STAND_NAME"/>
          <w:r>
            <w:rPr>
              <w:rFonts w:hint="eastAsia"/>
            </w:rPr>
            <w:t>大豆炭疽病绿色防控技术规程</w:t>
          </w:r>
        </w:p>
      </w:sdtContent>
    </w:sdt>
    <w:bookmarkEnd w:id="14"/>
    <w:p>
      <w:pPr>
        <w:pStyle w:val="104"/>
        <w:spacing w:before="312" w:after="312"/>
      </w:pPr>
      <w:bookmarkStart w:id="15" w:name="_Toc177034883"/>
      <w:bookmarkStart w:id="16" w:name="_Toc26648465"/>
      <w:bookmarkStart w:id="17" w:name="_Toc26986771"/>
      <w:bookmarkStart w:id="18" w:name="_Toc26986530"/>
      <w:bookmarkStart w:id="19" w:name="_Toc17233333"/>
      <w:bookmarkStart w:id="20" w:name="_Toc26718930"/>
      <w:bookmarkStart w:id="21" w:name="_Toc97191423"/>
      <w:bookmarkStart w:id="22" w:name="_Toc24884218"/>
      <w:bookmarkStart w:id="23" w:name="_Toc17233325"/>
      <w:bookmarkStart w:id="24" w:name="_Toc24884211"/>
      <w:r>
        <w:rPr>
          <w:rFonts w:hint="eastAsia"/>
        </w:rPr>
        <w:t>范围</w:t>
      </w:r>
      <w:bookmarkEnd w:id="15"/>
      <w:bookmarkEnd w:id="16"/>
      <w:bookmarkEnd w:id="17"/>
      <w:bookmarkEnd w:id="18"/>
      <w:bookmarkEnd w:id="19"/>
      <w:bookmarkEnd w:id="20"/>
      <w:bookmarkEnd w:id="21"/>
      <w:bookmarkEnd w:id="22"/>
      <w:bookmarkEnd w:id="23"/>
      <w:bookmarkEnd w:id="24"/>
    </w:p>
    <w:p>
      <w:pPr>
        <w:pStyle w:val="56"/>
        <w:ind w:firstLine="420"/>
      </w:pPr>
      <w:bookmarkStart w:id="25" w:name="_Toc26648466"/>
      <w:bookmarkStart w:id="26" w:name="_Toc24884212"/>
      <w:bookmarkStart w:id="27" w:name="_Toc17233326"/>
      <w:bookmarkStart w:id="28" w:name="_Toc24884219"/>
      <w:bookmarkStart w:id="29" w:name="_Toc17233334"/>
      <w:r>
        <w:rPr>
          <w:rFonts w:hint="eastAsia"/>
        </w:rPr>
        <w:t>本文件规定了大豆炭疽病绿色防控的病原菌鉴定、病害诊断、发生流行规律、防控原则、防控措施及防控档案等技术要求。</w:t>
      </w:r>
    </w:p>
    <w:p>
      <w:pPr>
        <w:pStyle w:val="56"/>
        <w:ind w:firstLine="420"/>
      </w:pPr>
      <w:r>
        <w:rPr>
          <w:rFonts w:hint="eastAsia"/>
        </w:rPr>
        <w:t>本文件适用于湖南省大豆净作或大豆玉米复合种植过程中大豆炭疽病的绿色防控。</w:t>
      </w:r>
    </w:p>
    <w:p>
      <w:pPr>
        <w:pStyle w:val="104"/>
        <w:spacing w:before="312" w:after="312"/>
      </w:pPr>
      <w:bookmarkStart w:id="30" w:name="_Toc97191424"/>
      <w:bookmarkStart w:id="31" w:name="_Toc177034884"/>
      <w:bookmarkStart w:id="32" w:name="_Toc26986772"/>
      <w:bookmarkStart w:id="33" w:name="_Toc26718931"/>
      <w:bookmarkStart w:id="34" w:name="_Toc26986531"/>
      <w:r>
        <w:rPr>
          <w:rFonts w:hint="eastAsia"/>
        </w:rPr>
        <w:t>规范性引用文件</w:t>
      </w:r>
      <w:bookmarkEnd w:id="25"/>
      <w:bookmarkEnd w:id="26"/>
      <w:bookmarkEnd w:id="27"/>
      <w:bookmarkEnd w:id="28"/>
      <w:bookmarkEnd w:id="29"/>
      <w:bookmarkEnd w:id="30"/>
      <w:bookmarkEnd w:id="31"/>
      <w:bookmarkEnd w:id="32"/>
      <w:bookmarkEnd w:id="33"/>
      <w:bookmarkEnd w:id="34"/>
    </w:p>
    <w:sdt>
      <w:sdtPr>
        <w:rPr>
          <w:rFonts w:hint="eastAsia"/>
        </w:rPr>
        <w:id w:val="715848253"/>
        <w:placeholder>
          <w:docPart w:val="6591BB83E20E4CB8BDD27B9FA9921D8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rPr>
          <w:rFonts w:ascii="Times New Roman"/>
        </w:rPr>
      </w:pPr>
      <w:r>
        <w:rPr>
          <w:rFonts w:ascii="Times New Roman"/>
        </w:rPr>
        <w:t xml:space="preserve">GB/T 4285 </w:t>
      </w:r>
      <w:r>
        <w:rPr>
          <w:rFonts w:hint="eastAsia" w:ascii="Times New Roman"/>
        </w:rPr>
        <w:t>农药安全使用准则</w:t>
      </w:r>
    </w:p>
    <w:p>
      <w:pPr>
        <w:pStyle w:val="56"/>
        <w:ind w:firstLine="420"/>
        <w:rPr>
          <w:rFonts w:ascii="Times New Roman"/>
        </w:rPr>
      </w:pPr>
      <w:r>
        <w:rPr>
          <w:rFonts w:ascii="Times New Roman"/>
        </w:rPr>
        <w:t xml:space="preserve">GB/T 8321 </w:t>
      </w:r>
      <w:r>
        <w:rPr>
          <w:rFonts w:hint="eastAsia" w:ascii="Times New Roman"/>
        </w:rPr>
        <w:t>农药合理使用准则</w:t>
      </w:r>
    </w:p>
    <w:p>
      <w:pPr>
        <w:pStyle w:val="56"/>
        <w:ind w:firstLine="420"/>
        <w:rPr>
          <w:rFonts w:ascii="Times New Roman"/>
        </w:rPr>
      </w:pPr>
      <w:r>
        <w:rPr>
          <w:rFonts w:ascii="Times New Roman"/>
        </w:rPr>
        <w:t xml:space="preserve">NY/T 1276 </w:t>
      </w:r>
      <w:r>
        <w:rPr>
          <w:rFonts w:hint="eastAsia" w:ascii="Times New Roman"/>
        </w:rPr>
        <w:t>农药安全使用规范总则</w:t>
      </w:r>
    </w:p>
    <w:p>
      <w:pPr>
        <w:pStyle w:val="56"/>
        <w:ind w:firstLine="420"/>
        <w:rPr>
          <w:rFonts w:ascii="Times New Roman"/>
        </w:rPr>
      </w:pPr>
      <w:r>
        <w:rPr>
          <w:rFonts w:hint="eastAsia" w:ascii="Times New Roman"/>
        </w:rPr>
        <w:t>NY/T 2159 大豆主要病害防治技术规程</w:t>
      </w:r>
    </w:p>
    <w:p>
      <w:pPr>
        <w:pStyle w:val="56"/>
        <w:ind w:firstLine="420"/>
        <w:rPr>
          <w:rFonts w:ascii="Times New Roman"/>
        </w:rPr>
      </w:pPr>
      <w:r>
        <w:rPr>
          <w:rFonts w:ascii="Times New Roman"/>
        </w:rPr>
        <w:t xml:space="preserve">DB43/T 3051 </w:t>
      </w:r>
      <w:r>
        <w:rPr>
          <w:rFonts w:hint="eastAsia" w:ascii="Times New Roman"/>
        </w:rPr>
        <w:t>大豆病虫害绿色防控技术规程</w:t>
      </w:r>
    </w:p>
    <w:p>
      <w:pPr>
        <w:pStyle w:val="56"/>
        <w:ind w:firstLine="420"/>
        <w:rPr>
          <w:rFonts w:ascii="Times New Roman"/>
        </w:rPr>
      </w:pPr>
      <w:r>
        <w:rPr>
          <w:rFonts w:ascii="Times New Roman"/>
        </w:rPr>
        <w:t xml:space="preserve">DB43/T 3155 </w:t>
      </w:r>
      <w:r>
        <w:rPr>
          <w:rFonts w:hint="eastAsia" w:ascii="Times New Roman"/>
        </w:rPr>
        <w:t>大豆玉米带状复合种植病虫草害综合防控技术规程</w:t>
      </w:r>
    </w:p>
    <w:p>
      <w:pPr>
        <w:pStyle w:val="104"/>
        <w:spacing w:before="312" w:after="312"/>
      </w:pPr>
      <w:bookmarkStart w:id="35" w:name="_Toc177034885"/>
      <w:bookmarkStart w:id="36" w:name="_Toc97191425"/>
      <w:r>
        <w:rPr>
          <w:rFonts w:hint="eastAsia"/>
          <w:szCs w:val="21"/>
        </w:rPr>
        <w:t>术语和定义</w:t>
      </w:r>
      <w:bookmarkEnd w:id="35"/>
      <w:bookmarkEnd w:id="36"/>
    </w:p>
    <w:sdt>
      <w:sdtPr>
        <w:id w:val="-1909835108"/>
        <w:placeholder>
          <w:docPart w:val="B6E41D2C71414E209A71BFBC01CB2DB0"/>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6"/>
            <w:ind w:firstLine="420"/>
          </w:pPr>
          <w:bookmarkStart w:id="37" w:name="_Toc26986532"/>
          <w:bookmarkEnd w:id="37"/>
          <w:r>
            <w:t>下列术语和定义适用于本文件。</w:t>
          </w:r>
        </w:p>
      </w:sdtContent>
    </w:sdt>
    <w:p>
      <w:pPr>
        <w:pStyle w:val="223"/>
        <w:rPr>
          <w:rFonts w:ascii="黑体" w:hAnsi="黑体"/>
        </w:rPr>
      </w:pPr>
      <w:r>
        <w:rPr>
          <w:rFonts w:ascii="黑体" w:hAnsi="黑体"/>
        </w:rPr>
        <w:br w:type="textWrapping"/>
      </w:r>
      <w:r>
        <w:rPr>
          <w:rFonts w:hint="eastAsia" w:ascii="黑体" w:hAnsi="黑体" w:eastAsia="黑体"/>
        </w:rPr>
        <w:t xml:space="preserve"> </w:t>
      </w:r>
      <w:r>
        <w:rPr>
          <w:rFonts w:ascii="黑体" w:hAnsi="黑体" w:eastAsia="黑体"/>
        </w:rPr>
        <w:t xml:space="preserve">   </w:t>
      </w:r>
      <w:r>
        <w:rPr>
          <w:rFonts w:hint="eastAsia" w:ascii="黑体" w:hAnsi="黑体" w:eastAsia="黑体"/>
        </w:rPr>
        <w:t xml:space="preserve">大豆炭疽病 </w:t>
      </w:r>
      <w:r>
        <w:rPr>
          <w:rFonts w:ascii="黑体" w:hAnsi="黑体"/>
        </w:rPr>
        <w:t>soybean anthracnose</w:t>
      </w:r>
      <w:r>
        <w:rPr>
          <w:rFonts w:hint="eastAsia" w:ascii="黑体" w:hAnsi="黑体"/>
        </w:rPr>
        <w:t xml:space="preserve"> </w:t>
      </w:r>
    </w:p>
    <w:p>
      <w:pPr>
        <w:pStyle w:val="223"/>
        <w:numPr>
          <w:ilvl w:val="0"/>
          <w:numId w:val="0"/>
        </w:numPr>
      </w:pPr>
      <w:r>
        <w:rPr>
          <w:rFonts w:ascii="黑体" w:hAnsi="黑体"/>
        </w:rPr>
        <w:t xml:space="preserve">    </w:t>
      </w:r>
      <w:r>
        <w:rPr>
          <w:rFonts w:hint="eastAsia" w:ascii="黑体" w:hAnsi="黑体"/>
        </w:rPr>
        <w:t>由炭疽菌属</w:t>
      </w:r>
      <w:r>
        <w:rPr>
          <w:rFonts w:ascii="Times New Roman"/>
          <w:i/>
          <w:iCs/>
        </w:rPr>
        <w:t xml:space="preserve">Colletotrichum </w:t>
      </w:r>
      <w:r>
        <w:rPr>
          <w:rFonts w:hint="eastAsia" w:ascii="Times New Roman"/>
          <w:iCs/>
        </w:rPr>
        <w:t>s</w:t>
      </w:r>
      <w:r>
        <w:rPr>
          <w:rFonts w:ascii="Times New Roman"/>
          <w:iCs/>
        </w:rPr>
        <w:t>pp</w:t>
      </w:r>
      <w:r>
        <w:rPr>
          <w:rFonts w:hint="eastAsia" w:ascii="Times New Roman"/>
          <w:iCs/>
        </w:rPr>
        <w:t>.</w:t>
      </w:r>
      <w:r>
        <w:rPr>
          <w:rFonts w:ascii="Times New Roman"/>
        </w:rPr>
        <w:t>多种病原菌</w:t>
      </w:r>
      <w:r>
        <w:rPr>
          <w:rFonts w:hint="eastAsia" w:ascii="黑体" w:hAnsi="黑体"/>
        </w:rPr>
        <w:t>引起一种真菌性病害，从大豆苗期到成熟期均可发病，主要为害茎秆和豆荚，也为害叶片，造成死苗、植株早衰，豆荚豆粒坏死，严重影响大豆的产量和品质，大面积爆发时可导致整田颗粒无收。</w:t>
      </w:r>
    </w:p>
    <w:p>
      <w:pPr>
        <w:pStyle w:val="223"/>
        <w:ind w:left="420" w:hanging="420" w:hangingChars="200"/>
        <w:rPr>
          <w:rFonts w:ascii="黑体" w:hAnsi="黑体" w:eastAsia="黑体"/>
        </w:rPr>
      </w:pPr>
    </w:p>
    <w:p>
      <w:pPr>
        <w:pStyle w:val="223"/>
        <w:numPr>
          <w:ilvl w:val="0"/>
          <w:numId w:val="0"/>
        </w:numPr>
        <w:ind w:left="420"/>
        <w:rPr>
          <w:rFonts w:ascii="黑体" w:hAnsi="黑体" w:eastAsia="黑体"/>
        </w:rPr>
      </w:pPr>
      <w:r>
        <w:rPr>
          <w:rFonts w:hint="eastAsia" w:ascii="黑体" w:hAnsi="黑体" w:eastAsia="黑体"/>
        </w:rPr>
        <w:t xml:space="preserve">绿色防控 </w:t>
      </w:r>
      <w:r>
        <w:rPr>
          <w:rFonts w:ascii="Times New Roman" w:eastAsia="黑体"/>
        </w:rPr>
        <w:t>green prevention and control</w:t>
      </w:r>
    </w:p>
    <w:p>
      <w:pPr>
        <w:pStyle w:val="56"/>
        <w:autoSpaceDE/>
        <w:autoSpaceDN/>
        <w:ind w:firstLine="420"/>
      </w:pPr>
      <w:r>
        <w:rPr>
          <w:rFonts w:hint="eastAsia"/>
        </w:rPr>
        <w:t>以确保农业生产、农产品质量和农业生态环境安全为目标，以减少化学农药使用为目的，采取物理防治、化学防治、生物防治、生态调控等环境友好型技术控制大豆病虫害为害的系列技术措施。</w:t>
      </w:r>
    </w:p>
    <w:p>
      <w:pPr>
        <w:pStyle w:val="223"/>
        <w:ind w:left="420" w:hanging="420" w:hangingChars="200"/>
        <w:rPr>
          <w:rFonts w:ascii="黑体" w:hAnsi="黑体" w:eastAsia="黑体"/>
        </w:rPr>
      </w:pPr>
    </w:p>
    <w:p>
      <w:pPr>
        <w:pStyle w:val="231"/>
        <w:spacing w:before="50" w:after="156" w:afterLines="50"/>
        <w:outlineLvl w:val="0"/>
        <w:rPr>
          <w:rFonts w:ascii="Times New Roman" w:eastAsia="黑体"/>
          <w:snapToGrid w:val="0"/>
          <w:szCs w:val="21"/>
          <w:shd w:val="clear" w:color="auto" w:fill="FFFFFF"/>
        </w:rPr>
      </w:pPr>
      <w:r>
        <w:rPr>
          <w:rFonts w:hint="eastAsia" w:ascii="黑体" w:hAnsi="黑体" w:eastAsia="黑体"/>
          <w:snapToGrid w:val="0"/>
          <w:shd w:val="clear" w:color="auto" w:fill="FFFFFF"/>
        </w:rPr>
        <w:t xml:space="preserve">一喷多促 </w:t>
      </w:r>
      <w:r>
        <w:rPr>
          <w:rFonts w:hint="eastAsia" w:ascii="Times New Roman" w:eastAsia="黑体"/>
          <w:snapToGrid w:val="0"/>
          <w:szCs w:val="21"/>
          <w:shd w:val="clear" w:color="auto" w:fill="FFFFFF"/>
        </w:rPr>
        <w:t>o</w:t>
      </w:r>
      <w:r>
        <w:rPr>
          <w:rFonts w:ascii="Times New Roman" w:eastAsia="黑体"/>
          <w:snapToGrid w:val="0"/>
          <w:szCs w:val="21"/>
          <w:shd w:val="clear" w:color="auto" w:fill="FFFFFF"/>
        </w:rPr>
        <w:t>ne spray multiple promotion</w:t>
      </w:r>
    </w:p>
    <w:p>
      <w:pPr>
        <w:pStyle w:val="231"/>
        <w:spacing w:before="50"/>
        <w:rPr>
          <w:rFonts w:ascii="Times New Roman" w:eastAsia="宋体"/>
          <w:snapToGrid w:val="0"/>
          <w:shd w:val="clear" w:color="auto" w:fill="FFFFFF"/>
        </w:rPr>
      </w:pPr>
      <w:r>
        <w:rPr>
          <w:rFonts w:hint="eastAsia" w:ascii="Times New Roman" w:eastAsia="宋体"/>
          <w:snapToGrid w:val="0"/>
          <w:shd w:val="clear" w:color="auto" w:fill="FFFFFF"/>
        </w:rPr>
        <w:t>一次喷施杀菌剂、杀虫剂、免疫诱抗剂或叶面肥，达到防病治虫、促壮苗稳长、促灌浆鼓粒、提</w:t>
      </w:r>
      <w:r>
        <w:rPr>
          <w:rFonts w:ascii="Times New Roman" w:eastAsia="宋体"/>
          <w:snapToGrid w:val="0"/>
          <w:shd w:val="clear" w:color="auto" w:fill="FFFFFF"/>
        </w:rPr>
        <w:t>升</w:t>
      </w:r>
      <w:r>
        <w:rPr>
          <w:rFonts w:hint="eastAsia" w:ascii="Times New Roman" w:eastAsia="宋体"/>
          <w:snapToGrid w:val="0"/>
          <w:shd w:val="clear" w:color="auto" w:fill="FFFFFF"/>
        </w:rPr>
        <w:t>作物单产等多重功效的作用。</w:t>
      </w:r>
    </w:p>
    <w:p>
      <w:pPr>
        <w:pStyle w:val="104"/>
        <w:spacing w:before="312" w:after="312"/>
      </w:pPr>
      <w:r>
        <w:rPr>
          <w:rFonts w:hint="eastAsia"/>
        </w:rPr>
        <w:t>病原菌鉴定</w:t>
      </w:r>
    </w:p>
    <w:p>
      <w:pPr>
        <w:pStyle w:val="105"/>
        <w:spacing w:before="156" w:after="156"/>
      </w:pPr>
      <w:r>
        <w:rPr>
          <w:rFonts w:hint="eastAsia"/>
        </w:rPr>
        <w:t>病原菌的分离纯化</w:t>
      </w:r>
    </w:p>
    <w:p>
      <w:pPr>
        <w:pStyle w:val="56"/>
        <w:spacing w:before="312" w:after="312"/>
        <w:ind w:firstLine="420"/>
        <w:rPr>
          <w:rFonts w:ascii="Times New Roman"/>
        </w:rPr>
      </w:pPr>
      <w:r>
        <w:rPr>
          <w:rFonts w:hint="eastAsia" w:ascii="Times New Roman"/>
        </w:rPr>
        <w:t>采用组织分离法分离大豆炭疽病的病原菌。用灭菌剪刀于豆荚和病叶的病健交界处切取</w:t>
      </w:r>
      <w:r>
        <w:rPr>
          <w:rFonts w:ascii="Times New Roman"/>
        </w:rPr>
        <w:t xml:space="preserve">5 </w:t>
      </w:r>
      <w:r>
        <w:rPr>
          <w:rFonts w:hint="eastAsia" w:ascii="Times New Roman"/>
        </w:rPr>
        <w:t>mm分离法分离的表皮组织，先用无菌水浸泡组织</w:t>
      </w:r>
      <w:r>
        <w:rPr>
          <w:rFonts w:ascii="Times New Roman"/>
        </w:rPr>
        <w:t>1 min</w:t>
      </w:r>
      <w:r>
        <w:rPr>
          <w:rFonts w:hint="eastAsia" w:ascii="Times New Roman"/>
        </w:rPr>
        <w:t>后冲洗</w:t>
      </w:r>
      <w:r>
        <w:rPr>
          <w:rFonts w:ascii="Times New Roman"/>
        </w:rPr>
        <w:t>3</w:t>
      </w:r>
      <w:r>
        <w:rPr>
          <w:rFonts w:hint="eastAsia" w:ascii="Times New Roman"/>
        </w:rPr>
        <w:t>遍，然后用</w:t>
      </w:r>
      <w:r>
        <w:rPr>
          <w:rFonts w:ascii="Times New Roman"/>
        </w:rPr>
        <w:t>75%</w:t>
      </w:r>
      <w:r>
        <w:rPr>
          <w:rFonts w:hint="eastAsia" w:ascii="Times New Roman"/>
        </w:rPr>
        <w:t>酒精浸泡</w:t>
      </w:r>
      <w:r>
        <w:rPr>
          <w:rFonts w:ascii="Times New Roman"/>
        </w:rPr>
        <w:t>30 s</w:t>
      </w:r>
      <w:r>
        <w:rPr>
          <w:rFonts w:hint="eastAsia" w:ascii="Times New Roman"/>
        </w:rPr>
        <w:t>，</w:t>
      </w:r>
      <w:r>
        <w:rPr>
          <w:rFonts w:ascii="Times New Roman"/>
        </w:rPr>
        <w:t>1%</w:t>
      </w:r>
      <w:r>
        <w:rPr>
          <w:rFonts w:hint="eastAsia" w:ascii="Times New Roman"/>
        </w:rPr>
        <w:t>次氯酸钠消毒</w:t>
      </w:r>
      <w:r>
        <w:rPr>
          <w:rFonts w:ascii="Times New Roman"/>
        </w:rPr>
        <w:t>1 min</w:t>
      </w:r>
      <w:r>
        <w:rPr>
          <w:rFonts w:hint="eastAsia" w:ascii="Times New Roman"/>
        </w:rPr>
        <w:t>，最后再用无菌水冲洗</w:t>
      </w:r>
      <w:r>
        <w:rPr>
          <w:rFonts w:ascii="Times New Roman"/>
        </w:rPr>
        <w:t>3</w:t>
      </w:r>
      <w:r>
        <w:rPr>
          <w:rFonts w:hint="eastAsia" w:ascii="Times New Roman"/>
        </w:rPr>
        <w:t>遍，用无菌吸水纸吸收多余水分后，将组织接种于含有</w:t>
      </w:r>
      <w:r>
        <w:rPr>
          <w:rFonts w:ascii="Times New Roman"/>
        </w:rPr>
        <w:t xml:space="preserve">500 </w:t>
      </w:r>
      <w:r>
        <w:rPr>
          <w:rFonts w:hint="eastAsia" w:ascii="Times New Roman"/>
        </w:rPr>
        <w:t>u</w:t>
      </w:r>
      <w:r>
        <w:rPr>
          <w:rFonts w:ascii="Times New Roman"/>
        </w:rPr>
        <w:t>g/mL</w:t>
      </w:r>
      <w:r>
        <w:rPr>
          <w:rFonts w:hint="eastAsia" w:ascii="Times New Roman"/>
        </w:rPr>
        <w:t>氨苄青霉素钠的</w:t>
      </w:r>
      <w:r>
        <w:rPr>
          <w:rFonts w:ascii="Times New Roman"/>
        </w:rPr>
        <w:t>PDA</w:t>
      </w:r>
      <w:r>
        <w:rPr>
          <w:rFonts w:hint="eastAsia" w:ascii="Times New Roman"/>
        </w:rPr>
        <w:t>培养基上，置于</w:t>
      </w:r>
      <w:r>
        <w:rPr>
          <w:rFonts w:ascii="Times New Roman"/>
        </w:rPr>
        <w:t>2</w:t>
      </w:r>
      <w:r>
        <w:rPr>
          <w:rFonts w:hint="eastAsia" w:ascii="Times New Roman"/>
        </w:rPr>
        <w:t>8℃恒温培养箱内黑暗条件下倒置培养。待菌落直径生长至</w:t>
      </w:r>
      <w:r>
        <w:rPr>
          <w:rFonts w:ascii="Times New Roman"/>
        </w:rPr>
        <w:t>2~3 cm</w:t>
      </w:r>
      <w:r>
        <w:rPr>
          <w:rFonts w:hint="eastAsia" w:ascii="Times New Roman"/>
        </w:rPr>
        <w:t>时，挑取菌落边缘菌丝接种于新的</w:t>
      </w:r>
      <w:r>
        <w:rPr>
          <w:rFonts w:ascii="Times New Roman"/>
        </w:rPr>
        <w:t>PDA</w:t>
      </w:r>
      <w:r>
        <w:rPr>
          <w:rFonts w:hint="eastAsia" w:ascii="Times New Roman"/>
        </w:rPr>
        <w:t>培养基上，反复数次，直到分离出单菌落形态的分离物。根据炭疽病菌的菌落、菌丝、孢子等特征，初步进行鉴定。</w:t>
      </w:r>
    </w:p>
    <w:p>
      <w:pPr>
        <w:pStyle w:val="105"/>
        <w:spacing w:before="156" w:after="156"/>
      </w:pPr>
      <w:r>
        <w:rPr>
          <w:rFonts w:hint="eastAsia"/>
        </w:rPr>
        <w:t>病原菌的</w:t>
      </w:r>
      <w:r>
        <w:rPr>
          <w:rFonts w:hint="eastAsia"/>
          <w:szCs w:val="21"/>
        </w:rPr>
        <w:t>形态学鉴定</w:t>
      </w:r>
    </w:p>
    <w:p>
      <w:pPr>
        <w:pStyle w:val="56"/>
        <w:spacing w:before="156" w:after="156"/>
        <w:ind w:firstLine="420"/>
        <w:rPr>
          <w:rFonts w:ascii="Times New Roman"/>
        </w:rPr>
      </w:pPr>
      <w:r>
        <w:rPr>
          <w:rFonts w:hint="eastAsia" w:ascii="Times New Roman"/>
        </w:rPr>
        <w:t>将纯化后的病原菌于</w:t>
      </w:r>
      <w:r>
        <w:rPr>
          <w:rFonts w:ascii="Times New Roman"/>
        </w:rPr>
        <w:t>PDA</w:t>
      </w:r>
      <w:r>
        <w:rPr>
          <w:rFonts w:hint="eastAsia" w:ascii="Times New Roman"/>
        </w:rPr>
        <w:t>培养基平板上</w:t>
      </w:r>
      <w:r>
        <w:rPr>
          <w:rFonts w:ascii="Times New Roman"/>
        </w:rPr>
        <w:t>2</w:t>
      </w:r>
      <w:r>
        <w:rPr>
          <w:rFonts w:hint="eastAsia" w:ascii="Times New Roman"/>
        </w:rPr>
        <w:t>8℃黑暗培养</w:t>
      </w:r>
      <w:r>
        <w:rPr>
          <w:rFonts w:ascii="Times New Roman"/>
        </w:rPr>
        <w:t>7 d</w:t>
      </w:r>
      <w:r>
        <w:rPr>
          <w:rFonts w:hint="eastAsia" w:ascii="Times New Roman"/>
        </w:rPr>
        <w:t>后，肉眼观察菌落的形态、颜色等特征；在光学显微镜下观察菌丝、孢子等产生情况及其特征。</w:t>
      </w:r>
    </w:p>
    <w:p>
      <w:pPr>
        <w:pStyle w:val="105"/>
        <w:spacing w:before="156" w:after="156"/>
      </w:pPr>
      <w:r>
        <w:rPr>
          <w:rFonts w:hint="eastAsia"/>
        </w:rPr>
        <w:t>病原菌的分子鉴定</w:t>
      </w:r>
    </w:p>
    <w:p>
      <w:pPr>
        <w:spacing w:line="240" w:lineRule="auto"/>
        <w:ind w:firstLine="420" w:firstLineChars="200"/>
        <w:rPr>
          <w:rFonts w:ascii="Times New Roman" w:hAnsi="Times New Roman"/>
        </w:rPr>
      </w:pPr>
      <w:r>
        <w:rPr>
          <w:rFonts w:hint="eastAsia" w:ascii="Times New Roman" w:hAnsi="Times New Roman"/>
        </w:rPr>
        <w:t>根据形态学特征，将菌株接种至</w:t>
      </w:r>
      <w:r>
        <w:rPr>
          <w:rFonts w:ascii="Times New Roman" w:hAnsi="Times New Roman"/>
        </w:rPr>
        <w:t>PDA</w:t>
      </w:r>
      <w:r>
        <w:rPr>
          <w:rFonts w:hint="eastAsia" w:ascii="Times New Roman" w:hAnsi="Times New Roman"/>
        </w:rPr>
        <w:t>培养基上</w:t>
      </w:r>
      <w:r>
        <w:rPr>
          <w:rFonts w:ascii="Times New Roman" w:hAnsi="Times New Roman"/>
        </w:rPr>
        <w:t>2</w:t>
      </w:r>
      <w:r>
        <w:rPr>
          <w:rFonts w:hint="eastAsia" w:ascii="Times New Roman" w:hAnsi="Times New Roman"/>
        </w:rPr>
        <w:t>8℃黑暗培养</w:t>
      </w:r>
      <w:r>
        <w:rPr>
          <w:rFonts w:ascii="Times New Roman" w:hAnsi="Times New Roman"/>
        </w:rPr>
        <w:t>7 d</w:t>
      </w:r>
      <w:r>
        <w:rPr>
          <w:rFonts w:hint="eastAsia" w:ascii="Times New Roman" w:hAnsi="Times New Roman"/>
        </w:rPr>
        <w:t>，用直径</w:t>
      </w:r>
      <w:r>
        <w:rPr>
          <w:rFonts w:ascii="Times New Roman" w:hAnsi="Times New Roman"/>
        </w:rPr>
        <w:t>7 mm</w:t>
      </w:r>
      <w:r>
        <w:rPr>
          <w:rFonts w:hint="eastAsia" w:ascii="Times New Roman" w:hAnsi="Times New Roman"/>
        </w:rPr>
        <w:t>的打孔器从菌落边缘打取菌饼并接入</w:t>
      </w:r>
      <w:r>
        <w:rPr>
          <w:rFonts w:ascii="Times New Roman" w:hAnsi="Times New Roman"/>
        </w:rPr>
        <w:t>PDB</w:t>
      </w:r>
      <w:r>
        <w:rPr>
          <w:rFonts w:hint="eastAsia" w:ascii="Times New Roman" w:hAnsi="Times New Roman"/>
        </w:rPr>
        <w:t>培养基中，在</w:t>
      </w:r>
      <w:r>
        <w:rPr>
          <w:rFonts w:ascii="Times New Roman" w:hAnsi="Times New Roman"/>
        </w:rPr>
        <w:t>2</w:t>
      </w:r>
      <w:r>
        <w:rPr>
          <w:rFonts w:hint="eastAsia" w:ascii="Times New Roman" w:hAnsi="Times New Roman"/>
        </w:rPr>
        <w:t>8℃</w:t>
      </w:r>
      <w:r>
        <w:rPr>
          <w:rFonts w:ascii="Times New Roman" w:hAnsi="Times New Roman"/>
        </w:rPr>
        <w:t>条件</w:t>
      </w:r>
      <w:r>
        <w:rPr>
          <w:rFonts w:hint="eastAsia" w:ascii="Times New Roman" w:hAnsi="Times New Roman"/>
        </w:rPr>
        <w:t>下</w:t>
      </w:r>
      <w:r>
        <w:rPr>
          <w:rFonts w:ascii="Times New Roman" w:hAnsi="Times New Roman"/>
        </w:rPr>
        <w:t>180 r</w:t>
      </w:r>
      <w:r>
        <w:rPr>
          <w:rFonts w:hint="eastAsia" w:ascii="Times New Roman" w:hAnsi="Times New Roman"/>
        </w:rPr>
        <w:t>/</w:t>
      </w:r>
      <w:r>
        <w:rPr>
          <w:rFonts w:ascii="Times New Roman" w:hAnsi="Times New Roman"/>
        </w:rPr>
        <w:t>min</w:t>
      </w:r>
      <w:r>
        <w:rPr>
          <w:rFonts w:hint="eastAsia" w:ascii="Times New Roman" w:hAnsi="Times New Roman"/>
        </w:rPr>
        <w:t>培养</w:t>
      </w:r>
      <w:r>
        <w:rPr>
          <w:rFonts w:ascii="Times New Roman" w:hAnsi="Times New Roman"/>
        </w:rPr>
        <w:t>5 d</w:t>
      </w:r>
      <w:r>
        <w:rPr>
          <w:rFonts w:hint="eastAsia" w:ascii="Times New Roman" w:hAnsi="Times New Roman"/>
        </w:rPr>
        <w:t>，收集菌丝体冷冻抽干提取菌株</w:t>
      </w:r>
      <w:r>
        <w:rPr>
          <w:rFonts w:ascii="Times New Roman" w:hAnsi="Times New Roman"/>
        </w:rPr>
        <w:t>DNA</w:t>
      </w:r>
      <w:r>
        <w:rPr>
          <w:rFonts w:hint="eastAsia" w:ascii="Times New Roman" w:hAnsi="Times New Roman"/>
        </w:rPr>
        <w:t>。</w:t>
      </w:r>
    </w:p>
    <w:p>
      <w:pPr>
        <w:pStyle w:val="56"/>
        <w:ind w:firstLine="420"/>
      </w:pPr>
      <w:r>
        <w:rPr>
          <w:rFonts w:hint="eastAsia" w:ascii="Times New Roman"/>
          <w:szCs w:val="21"/>
        </w:rPr>
        <w:t>用引物</w:t>
      </w:r>
      <w:r>
        <w:rPr>
          <w:rFonts w:ascii="Times New Roman"/>
          <w:szCs w:val="21"/>
        </w:rPr>
        <w:t>ITS1/ITS4</w:t>
      </w:r>
      <w:r>
        <w:rPr>
          <w:rFonts w:hint="eastAsia" w:ascii="Times New Roman"/>
          <w:szCs w:val="21"/>
        </w:rPr>
        <w:t>、</w:t>
      </w:r>
      <w:r>
        <w:rPr>
          <w:rFonts w:ascii="Times New Roman"/>
          <w:szCs w:val="21"/>
        </w:rPr>
        <w:t>ACT-512F/ACT-783R</w:t>
      </w:r>
      <w:r>
        <w:rPr>
          <w:rFonts w:hint="eastAsia" w:ascii="Times New Roman"/>
          <w:szCs w:val="21"/>
        </w:rPr>
        <w:t>、</w:t>
      </w:r>
      <w:r>
        <w:rPr>
          <w:rFonts w:ascii="Times New Roman"/>
          <w:szCs w:val="21"/>
        </w:rPr>
        <w:t>CHS-79F/CHS-345R</w:t>
      </w:r>
      <w:r>
        <w:rPr>
          <w:rFonts w:hint="eastAsia" w:ascii="Times New Roman"/>
          <w:szCs w:val="21"/>
        </w:rPr>
        <w:t>、</w:t>
      </w:r>
      <w:r>
        <w:rPr>
          <w:rFonts w:ascii="Times New Roman"/>
          <w:szCs w:val="21"/>
        </w:rPr>
        <w:t>GDF/GDR</w:t>
      </w:r>
      <w:r>
        <w:rPr>
          <w:rFonts w:hint="eastAsia" w:ascii="Times New Roman"/>
          <w:szCs w:val="21"/>
        </w:rPr>
        <w:t>分别扩增病原菌的</w:t>
      </w:r>
      <w:r>
        <w:rPr>
          <w:rFonts w:ascii="Times New Roman"/>
          <w:szCs w:val="21"/>
        </w:rPr>
        <w:t>ITS</w:t>
      </w:r>
      <w:r>
        <w:rPr>
          <w:rFonts w:hint="eastAsia" w:ascii="Times New Roman"/>
          <w:szCs w:val="21"/>
        </w:rPr>
        <w:t>、</w:t>
      </w:r>
      <w:r>
        <w:rPr>
          <w:rFonts w:ascii="Times New Roman"/>
          <w:i/>
          <w:iCs/>
          <w:szCs w:val="21"/>
        </w:rPr>
        <w:t>ACT</w:t>
      </w:r>
      <w:r>
        <w:rPr>
          <w:rFonts w:hint="eastAsia" w:ascii="Times New Roman"/>
          <w:szCs w:val="21"/>
        </w:rPr>
        <w:t>、</w:t>
      </w:r>
      <w:r>
        <w:rPr>
          <w:rFonts w:ascii="Times New Roman"/>
          <w:i/>
          <w:iCs/>
          <w:szCs w:val="21"/>
        </w:rPr>
        <w:t>CHS-1</w:t>
      </w:r>
      <w:r>
        <w:rPr>
          <w:rFonts w:hint="eastAsia" w:ascii="Times New Roman"/>
          <w:szCs w:val="21"/>
        </w:rPr>
        <w:t>和</w:t>
      </w:r>
      <w:r>
        <w:rPr>
          <w:rFonts w:ascii="Times New Roman"/>
          <w:i/>
          <w:iCs/>
          <w:szCs w:val="21"/>
        </w:rPr>
        <w:t>GAPDH</w:t>
      </w:r>
      <w:r>
        <w:rPr>
          <w:rFonts w:hint="eastAsia" w:ascii="Times New Roman"/>
          <w:szCs w:val="21"/>
        </w:rPr>
        <w:t>基因序列，</w:t>
      </w:r>
      <w:r>
        <w:rPr>
          <w:rFonts w:ascii="Times New Roman"/>
          <w:szCs w:val="21"/>
        </w:rPr>
        <w:t>PCR</w:t>
      </w:r>
      <w:r>
        <w:rPr>
          <w:rFonts w:hint="eastAsia" w:ascii="Times New Roman"/>
          <w:szCs w:val="21"/>
        </w:rPr>
        <w:t>产物经测序</w:t>
      </w:r>
      <w:r>
        <w:rPr>
          <w:rFonts w:hint="eastAsia" w:ascii="Times New Roman"/>
        </w:rPr>
        <w:t>后，</w:t>
      </w:r>
      <w:r>
        <w:rPr>
          <w:rFonts w:ascii="Times New Roman"/>
        </w:rPr>
        <w:t>将</w:t>
      </w:r>
      <w:r>
        <w:rPr>
          <w:rFonts w:hint="eastAsia" w:ascii="Times New Roman"/>
          <w:szCs w:val="21"/>
        </w:rPr>
        <w:t>获得的</w:t>
      </w:r>
      <w:r>
        <w:rPr>
          <w:rFonts w:ascii="Times New Roman"/>
          <w:szCs w:val="21"/>
        </w:rPr>
        <w:t>ITS</w:t>
      </w:r>
      <w:r>
        <w:rPr>
          <w:rFonts w:hint="eastAsia" w:ascii="Times New Roman"/>
          <w:szCs w:val="21"/>
        </w:rPr>
        <w:t>、</w:t>
      </w:r>
      <w:r>
        <w:rPr>
          <w:rFonts w:ascii="Times New Roman"/>
          <w:i/>
          <w:iCs/>
          <w:szCs w:val="21"/>
        </w:rPr>
        <w:t>ACT</w:t>
      </w:r>
      <w:r>
        <w:rPr>
          <w:rFonts w:hint="eastAsia" w:ascii="Times New Roman"/>
          <w:szCs w:val="21"/>
        </w:rPr>
        <w:t>、</w:t>
      </w:r>
      <w:r>
        <w:rPr>
          <w:rFonts w:ascii="Times New Roman"/>
          <w:i/>
          <w:iCs/>
          <w:szCs w:val="21"/>
        </w:rPr>
        <w:t>CHS-1</w:t>
      </w:r>
      <w:r>
        <w:rPr>
          <w:rFonts w:hint="eastAsia" w:ascii="Times New Roman"/>
          <w:szCs w:val="21"/>
        </w:rPr>
        <w:t>和</w:t>
      </w:r>
      <w:r>
        <w:rPr>
          <w:rFonts w:ascii="Times New Roman"/>
          <w:i/>
          <w:iCs/>
          <w:szCs w:val="21"/>
        </w:rPr>
        <w:t>GAPDH</w:t>
      </w:r>
      <w:r>
        <w:rPr>
          <w:rFonts w:hint="eastAsia" w:ascii="Times New Roman"/>
          <w:szCs w:val="21"/>
        </w:rPr>
        <w:t>基因序列</w:t>
      </w:r>
      <w:r>
        <w:rPr>
          <w:rFonts w:ascii="Times New Roman"/>
        </w:rPr>
        <w:t>串联</w:t>
      </w:r>
      <w:r>
        <w:rPr>
          <w:rFonts w:hint="eastAsia" w:ascii="Times New Roman"/>
          <w:szCs w:val="21"/>
        </w:rPr>
        <w:t>构建系统发育树，明确病原菌</w:t>
      </w:r>
      <w:r>
        <w:rPr>
          <w:rFonts w:ascii="Times New Roman"/>
        </w:rPr>
        <w:t>的分类地位</w:t>
      </w:r>
      <w:r>
        <w:rPr>
          <w:rFonts w:hint="eastAsia" w:ascii="Times New Roman"/>
          <w:szCs w:val="21"/>
        </w:rPr>
        <w:t>。</w:t>
      </w:r>
      <w:r>
        <w:rPr>
          <w:rFonts w:ascii="Times New Roman"/>
          <w:szCs w:val="21"/>
        </w:rPr>
        <w:t>扩增ITS、</w:t>
      </w:r>
      <w:r>
        <w:rPr>
          <w:rFonts w:ascii="Times New Roman"/>
          <w:i/>
          <w:iCs/>
          <w:szCs w:val="21"/>
        </w:rPr>
        <w:t>ACT</w:t>
      </w:r>
      <w:r>
        <w:rPr>
          <w:rFonts w:ascii="Times New Roman"/>
          <w:szCs w:val="21"/>
        </w:rPr>
        <w:t>、</w:t>
      </w:r>
      <w:r>
        <w:rPr>
          <w:rFonts w:ascii="Times New Roman"/>
          <w:i/>
          <w:iCs/>
          <w:szCs w:val="21"/>
        </w:rPr>
        <w:t>CHS-1</w:t>
      </w:r>
      <w:r>
        <w:rPr>
          <w:rFonts w:ascii="Times New Roman"/>
          <w:szCs w:val="21"/>
        </w:rPr>
        <w:t>和</w:t>
      </w:r>
      <w:r>
        <w:rPr>
          <w:rFonts w:ascii="Times New Roman"/>
          <w:i/>
          <w:iCs/>
          <w:szCs w:val="21"/>
        </w:rPr>
        <w:t>GAPDH</w:t>
      </w:r>
      <w:r>
        <w:rPr>
          <w:rFonts w:ascii="Times New Roman"/>
          <w:szCs w:val="21"/>
        </w:rPr>
        <w:t>基因序列的引物</w:t>
      </w:r>
      <w:r>
        <w:rPr>
          <w:rFonts w:hint="eastAsia"/>
        </w:rPr>
        <w:t>参见附录A。</w:t>
      </w:r>
    </w:p>
    <w:p>
      <w:pPr>
        <w:pStyle w:val="104"/>
        <w:spacing w:before="312" w:after="312"/>
      </w:pPr>
      <w:bookmarkStart w:id="38" w:name="_Toc177034886"/>
      <w:r>
        <w:rPr>
          <w:rFonts w:hint="eastAsia"/>
        </w:rPr>
        <w:t>病害诊断</w:t>
      </w:r>
      <w:bookmarkEnd w:id="38"/>
    </w:p>
    <w:p>
      <w:pPr>
        <w:pStyle w:val="56"/>
        <w:autoSpaceDE/>
        <w:autoSpaceDN/>
        <w:ind w:firstLine="420"/>
      </w:pPr>
      <w:r>
        <w:rPr>
          <w:rFonts w:hint="eastAsia"/>
        </w:rPr>
        <w:t>大豆炭疽病主要危害大豆叶片、叶柄、茎和豆荚。播种后，带病种子发芽后死亡。子叶感病后病斑呈黑褐色，扩展后出现凹陷或开裂；湿度大时病部呈水浸状，子叶萎蔫脱落。幼茎发病部位为水渍状，病部以上枯死。叶片发病，首先出现黑褐色斑点，病斑扩大后边缘深褐色，内部浅褐色，后期斑点处凹陷或开裂，病部密生刺毛状黑点。叶柄发病，病斑褐色、不规则，叶片早落。茎秆发病，布满初生褐色不规则病斑，病部产生密布小黑点。豆荚感病，表面产生轮纹状排列的小黑点，严重时病斑布满豆荚，种子不能正常发育结实，甚至使结实的种子发霉、呈暗褐色和皱缩。</w:t>
      </w:r>
    </w:p>
    <w:p>
      <w:pPr>
        <w:pStyle w:val="104"/>
        <w:spacing w:before="312" w:after="312"/>
      </w:pPr>
      <w:bookmarkStart w:id="39" w:name="_Toc177034887"/>
      <w:r>
        <w:rPr>
          <w:rFonts w:hint="eastAsia"/>
        </w:rPr>
        <w:t>发生流行规律</w:t>
      </w:r>
      <w:bookmarkEnd w:id="39"/>
    </w:p>
    <w:p>
      <w:pPr>
        <w:pStyle w:val="56"/>
        <w:autoSpaceDE/>
        <w:autoSpaceDN/>
        <w:ind w:firstLine="420"/>
      </w:pPr>
      <w:r>
        <w:rPr>
          <w:rFonts w:ascii="Times New Roman"/>
        </w:rPr>
        <w:t>大豆炭疽病病菌主要在大豆种子和病残体上越冬，翌年播种后即可发病，发病适温25℃。病菌在13～14℃以下或34～35℃以上不能正常发育。生产上苗期低温或土壤过分干燥，容易造成幼苗发病。成株期遇温暖潮湿天气有利于该病菌</w:t>
      </w:r>
      <w:r>
        <w:rPr>
          <w:rFonts w:hint="eastAsia"/>
        </w:rPr>
        <w:t>的传播侵染。植株在整个生长期都可感病，特别是在大豆开花期到豆荚形成期，高温多雨的年份发病重。</w:t>
      </w:r>
    </w:p>
    <w:p>
      <w:pPr>
        <w:pStyle w:val="104"/>
        <w:spacing w:before="312" w:after="312"/>
      </w:pPr>
      <w:bookmarkStart w:id="40" w:name="_Toc177034888"/>
      <w:r>
        <w:rPr>
          <w:rFonts w:hint="eastAsia"/>
        </w:rPr>
        <w:t>防控原则</w:t>
      </w:r>
      <w:bookmarkEnd w:id="40"/>
    </w:p>
    <w:p>
      <w:pPr>
        <w:pStyle w:val="56"/>
        <w:ind w:firstLine="420"/>
      </w:pPr>
      <w:r>
        <w:rPr>
          <w:rFonts w:hint="eastAsia"/>
          <w:snapToGrid w:val="0"/>
          <w:shd w:val="clear" w:color="auto" w:fill="FFFFFF"/>
        </w:rPr>
        <w:t>坚持“预防为主，综合防治”的植保方针，</w:t>
      </w:r>
      <w:r>
        <w:rPr>
          <w:rFonts w:hint="eastAsia" w:hAnsi="宋体"/>
          <w:snapToGrid w:val="0"/>
          <w:szCs w:val="21"/>
          <w:shd w:val="clear" w:color="auto" w:fill="FFFFFF"/>
        </w:rPr>
        <w:t>加强田间病害的调查监测，准确掌握病害的发生动态，</w:t>
      </w:r>
      <w:r>
        <w:rPr>
          <w:rFonts w:hint="eastAsia"/>
          <w:snapToGrid w:val="0"/>
          <w:shd w:val="clear" w:color="auto" w:fill="FFFFFF"/>
        </w:rPr>
        <w:t>根据田间</w:t>
      </w:r>
      <w:r>
        <w:rPr>
          <w:rFonts w:hint="eastAsia" w:hAnsi="宋体"/>
          <w:snapToGrid w:val="0"/>
          <w:szCs w:val="21"/>
          <w:shd w:val="clear" w:color="auto" w:fill="FFFFFF"/>
        </w:rPr>
        <w:t>病害</w:t>
      </w:r>
      <w:r>
        <w:rPr>
          <w:rFonts w:hint="eastAsia"/>
          <w:snapToGrid w:val="0"/>
          <w:shd w:val="clear" w:color="auto" w:fill="FFFFFF"/>
        </w:rPr>
        <w:t>发生情况，在病害发生初期采用多种技术措施进行综合防控和统防统治，获得最佳防控效果。</w:t>
      </w:r>
      <w:r>
        <w:rPr>
          <w:rFonts w:hint="eastAsia"/>
        </w:rPr>
        <w:t>大豆炭疽病的防控药剂及施药方法参见附录B。</w:t>
      </w:r>
    </w:p>
    <w:p>
      <w:pPr>
        <w:pStyle w:val="104"/>
        <w:spacing w:before="312" w:after="312"/>
      </w:pPr>
      <w:bookmarkStart w:id="41" w:name="_Toc177034889"/>
      <w:r>
        <w:rPr>
          <w:rFonts w:hint="eastAsia"/>
        </w:rPr>
        <w:t>防控措施</w:t>
      </w:r>
      <w:bookmarkEnd w:id="41"/>
    </w:p>
    <w:p>
      <w:pPr>
        <w:pStyle w:val="105"/>
        <w:spacing w:before="156" w:after="156"/>
        <w:rPr>
          <w:color w:val="0000FF"/>
        </w:rPr>
      </w:pPr>
      <w:bookmarkStart w:id="42" w:name="_Toc177034890"/>
      <w:r>
        <w:rPr>
          <w:rFonts w:hint="eastAsia"/>
        </w:rPr>
        <w:t>农业防治</w:t>
      </w:r>
      <w:bookmarkEnd w:id="42"/>
    </w:p>
    <w:p>
      <w:pPr>
        <w:pStyle w:val="164"/>
        <w:numPr>
          <w:ilvl w:val="0"/>
          <w:numId w:val="0"/>
        </w:numPr>
        <w:rPr>
          <w:rFonts w:ascii="黑体" w:hAnsi="黑体" w:eastAsia="黑体"/>
        </w:rPr>
      </w:pPr>
      <w:r>
        <w:rPr>
          <w:rFonts w:hint="eastAsia" w:ascii="黑体" w:hAnsi="黑体" w:eastAsia="黑体"/>
        </w:rPr>
        <w:t>8</w:t>
      </w:r>
      <w:r>
        <w:rPr>
          <w:rFonts w:ascii="黑体" w:hAnsi="黑体" w:eastAsia="黑体"/>
        </w:rPr>
        <w:t>.1.1</w:t>
      </w:r>
      <w:r>
        <w:rPr>
          <w:rFonts w:hint="eastAsia" w:ascii="黑体" w:hAnsi="黑体" w:eastAsia="黑体"/>
        </w:rPr>
        <w:t>品种选择</w:t>
      </w:r>
    </w:p>
    <w:p>
      <w:pPr>
        <w:pStyle w:val="231"/>
        <w:widowControl w:val="0"/>
        <w:outlineLvl w:val="0"/>
        <w:rPr>
          <w:rFonts w:ascii="Times New Roman" w:eastAsia="宋体"/>
          <w:snapToGrid w:val="0"/>
          <w:shd w:val="clear" w:color="auto" w:fill="FFFFFF"/>
        </w:rPr>
      </w:pPr>
      <w:r>
        <w:rPr>
          <w:rFonts w:hint="eastAsia"/>
        </w:rPr>
        <w:t>选择抗病性强、综合品质优良</w:t>
      </w:r>
      <w:r>
        <w:rPr>
          <w:rFonts w:hint="eastAsia" w:ascii="Times New Roman" w:eastAsia="宋体"/>
          <w:snapToGrid w:val="0"/>
          <w:shd w:val="clear" w:color="auto" w:fill="FFFFFF"/>
        </w:rPr>
        <w:t>、适宜机械化收获的品种。</w:t>
      </w:r>
    </w:p>
    <w:p>
      <w:pPr>
        <w:pStyle w:val="65"/>
        <w:numPr>
          <w:ilvl w:val="0"/>
          <w:numId w:val="0"/>
        </w:numPr>
        <w:spacing w:before="156" w:after="156"/>
      </w:pPr>
      <w:r>
        <w:rPr>
          <w:rFonts w:hint="eastAsia" w:hAnsi="黑体"/>
        </w:rPr>
        <w:t>8</w:t>
      </w:r>
      <w:r>
        <w:rPr>
          <w:rFonts w:hAnsi="黑体"/>
        </w:rPr>
        <w:t>.1.2</w:t>
      </w:r>
      <w:r>
        <w:rPr>
          <w:rFonts w:hint="eastAsia"/>
        </w:rPr>
        <w:t>清洁田园</w:t>
      </w:r>
    </w:p>
    <w:p>
      <w:pPr>
        <w:pStyle w:val="65"/>
        <w:numPr>
          <w:ilvl w:val="0"/>
          <w:numId w:val="0"/>
        </w:numPr>
        <w:spacing w:before="156" w:after="156"/>
        <w:ind w:firstLine="420" w:firstLineChars="200"/>
        <w:outlineLvl w:val="0"/>
        <w:rPr>
          <w:rFonts w:eastAsia="宋体"/>
          <w:snapToGrid w:val="0"/>
          <w:shd w:val="clear" w:color="auto" w:fill="FFFFFF"/>
        </w:rPr>
      </w:pPr>
      <w:r>
        <w:rPr>
          <w:rFonts w:hint="eastAsia" w:ascii="Times New Roman" w:eastAsia="宋体"/>
          <w:snapToGrid w:val="0"/>
          <w:szCs w:val="21"/>
          <w:shd w:val="clear" w:color="auto" w:fill="FFFFFF"/>
        </w:rPr>
        <w:t>清除田间病株以及田园周围的杂草、枯枝落叶，减少田间病残体和病源基数，大豆收获后深翻土壤，减少越冬菌源。</w:t>
      </w:r>
    </w:p>
    <w:p>
      <w:pPr>
        <w:pStyle w:val="65"/>
        <w:numPr>
          <w:ilvl w:val="0"/>
          <w:numId w:val="0"/>
        </w:numPr>
        <w:spacing w:before="156" w:after="156"/>
      </w:pPr>
      <w:r>
        <w:rPr>
          <w:rFonts w:hint="eastAsia" w:hAnsi="黑体"/>
        </w:rPr>
        <w:t>8</w:t>
      </w:r>
      <w:r>
        <w:rPr>
          <w:rFonts w:hAnsi="黑体"/>
        </w:rPr>
        <w:t>.1.3</w:t>
      </w:r>
      <w:r>
        <w:rPr>
          <w:rFonts w:hint="eastAsia"/>
        </w:rPr>
        <w:t>健身栽培</w:t>
      </w:r>
    </w:p>
    <w:p>
      <w:pPr>
        <w:pStyle w:val="65"/>
        <w:numPr>
          <w:ilvl w:val="0"/>
          <w:numId w:val="0"/>
        </w:numPr>
        <w:spacing w:before="156" w:after="156"/>
        <w:ind w:firstLine="420" w:firstLineChars="200"/>
        <w:rPr>
          <w:rFonts w:ascii="Times New Roman" w:eastAsia="宋体"/>
          <w:snapToGrid w:val="0"/>
          <w:szCs w:val="21"/>
          <w:shd w:val="clear" w:color="auto" w:fill="FFFFFF"/>
        </w:rPr>
      </w:pPr>
      <w:r>
        <w:rPr>
          <w:rFonts w:hint="eastAsia" w:ascii="Times New Roman" w:eastAsia="宋体"/>
          <w:snapToGrid w:val="0"/>
          <w:szCs w:val="21"/>
          <w:shd w:val="clear" w:color="auto" w:fill="FFFFFF"/>
        </w:rPr>
        <w:t>加强水肥管理，提高大豆植株抗病抗逆能力。开好排水沟，预防洪涝，降低田间湿度；科学配方施肥，增施有机肥，合理施用化肥（控氮肥、增磷钾肥）；在大豆始花期、结荚期和鼓粒期分别进行叶面追肥。</w:t>
      </w:r>
    </w:p>
    <w:p>
      <w:pPr>
        <w:pStyle w:val="105"/>
        <w:spacing w:before="156" w:after="156"/>
        <w:rPr>
          <w:color w:val="0000FF"/>
        </w:rPr>
      </w:pPr>
      <w:bookmarkStart w:id="43" w:name="_Toc177034892"/>
      <w:r>
        <w:rPr>
          <w:rFonts w:hint="eastAsia"/>
        </w:rPr>
        <w:t>化学防治</w:t>
      </w:r>
      <w:bookmarkEnd w:id="43"/>
    </w:p>
    <w:p>
      <w:pPr>
        <w:pStyle w:val="65"/>
        <w:numPr>
          <w:ilvl w:val="0"/>
          <w:numId w:val="0"/>
        </w:numPr>
        <w:spacing w:before="156" w:after="156"/>
      </w:pPr>
      <w:r>
        <w:rPr>
          <w:rFonts w:hint="eastAsia" w:hAnsi="黑体"/>
        </w:rPr>
        <w:t>8</w:t>
      </w:r>
      <w:r>
        <w:rPr>
          <w:rFonts w:hAnsi="黑体"/>
        </w:rPr>
        <w:t>.2.1</w:t>
      </w:r>
      <w:r>
        <w:rPr>
          <w:rFonts w:hint="eastAsia"/>
        </w:rPr>
        <w:t>科学预测预报</w:t>
      </w:r>
    </w:p>
    <w:p>
      <w:pPr>
        <w:pStyle w:val="56"/>
        <w:autoSpaceDE/>
        <w:autoSpaceDN/>
        <w:ind w:firstLine="420"/>
      </w:pPr>
      <w:r>
        <w:rPr>
          <w:rFonts w:hint="eastAsia"/>
        </w:rPr>
        <w:t>根据大豆炭疽病的发生为害规律，对田间大豆炭疽病发生情况进行观察，结合气象因素，对大豆炭疽病进行预测预报。</w:t>
      </w:r>
    </w:p>
    <w:p>
      <w:pPr>
        <w:pStyle w:val="65"/>
        <w:numPr>
          <w:ilvl w:val="0"/>
          <w:numId w:val="0"/>
        </w:numPr>
        <w:spacing w:before="156" w:after="156"/>
      </w:pPr>
      <w:r>
        <w:rPr>
          <w:rFonts w:hint="eastAsia" w:hAnsi="黑体"/>
        </w:rPr>
        <w:t>8</w:t>
      </w:r>
      <w:r>
        <w:rPr>
          <w:rFonts w:hAnsi="黑体"/>
        </w:rPr>
        <w:t>.2.2</w:t>
      </w:r>
      <w:r>
        <w:rPr>
          <w:rFonts w:hint="eastAsia"/>
        </w:rPr>
        <w:t>防治时期</w:t>
      </w:r>
    </w:p>
    <w:p>
      <w:pPr>
        <w:pStyle w:val="164"/>
        <w:numPr>
          <w:ilvl w:val="0"/>
          <w:numId w:val="0"/>
        </w:numPr>
      </w:pPr>
      <w:r>
        <w:rPr>
          <w:rFonts w:hint="eastAsia" w:ascii="黑体" w:hAnsi="黑体" w:eastAsia="黑体"/>
        </w:rPr>
        <w:t>8</w:t>
      </w:r>
      <w:r>
        <w:rPr>
          <w:rFonts w:ascii="黑体" w:hAnsi="黑体" w:eastAsia="黑体"/>
        </w:rPr>
        <w:t>.2.2.1</w:t>
      </w:r>
      <w:r>
        <w:rPr>
          <w:rFonts w:hint="eastAsia"/>
        </w:rPr>
        <w:t>播种前</w:t>
      </w:r>
    </w:p>
    <w:p>
      <w:pPr>
        <w:pStyle w:val="164"/>
        <w:numPr>
          <w:ilvl w:val="0"/>
          <w:numId w:val="0"/>
        </w:numPr>
        <w:ind w:firstLine="420" w:firstLineChars="200"/>
      </w:pPr>
      <w:r>
        <w:rPr>
          <w:rFonts w:hint="eastAsia"/>
        </w:rPr>
        <w:t>选择含有咯菌腈、精甲霜灵等成分的种衣剂，进行种子包衣或拌种，晾干后播种（放置时间不超过一周），兼防其他土传种传病害。</w:t>
      </w:r>
    </w:p>
    <w:p>
      <w:pPr>
        <w:pStyle w:val="164"/>
        <w:numPr>
          <w:ilvl w:val="0"/>
          <w:numId w:val="0"/>
        </w:numPr>
      </w:pPr>
      <w:r>
        <w:rPr>
          <w:rFonts w:hint="eastAsia" w:ascii="黑体" w:hAnsi="黑体" w:eastAsia="黑体"/>
        </w:rPr>
        <w:t>8</w:t>
      </w:r>
      <w:r>
        <w:rPr>
          <w:rFonts w:ascii="黑体" w:hAnsi="黑体" w:eastAsia="黑体"/>
        </w:rPr>
        <w:t>.2.2.2</w:t>
      </w:r>
      <w:r>
        <w:rPr>
          <w:rFonts w:hint="eastAsia"/>
        </w:rPr>
        <w:t>苗期</w:t>
      </w:r>
    </w:p>
    <w:p>
      <w:pPr>
        <w:pStyle w:val="164"/>
        <w:numPr>
          <w:ilvl w:val="255"/>
          <w:numId w:val="0"/>
        </w:numPr>
        <w:ind w:firstLine="420" w:firstLineChars="200"/>
      </w:pPr>
      <w:r>
        <w:rPr>
          <w:rFonts w:hint="eastAsia"/>
        </w:rPr>
        <w:t>苗期优先选择兼具保护和一定治疗作用的杀菌剂喷雾（如苯醚甲环唑、吡唑醚菌酯），复配或混配效果更佳，可兼治其他种传病害</w:t>
      </w:r>
      <w:r>
        <w:rPr>
          <w:rFonts w:hint="eastAsia" w:hAnsi="宋体" w:cs="宋体"/>
          <w:szCs w:val="21"/>
        </w:rPr>
        <w:t>。</w:t>
      </w:r>
    </w:p>
    <w:p>
      <w:pPr>
        <w:pStyle w:val="164"/>
        <w:numPr>
          <w:ilvl w:val="0"/>
          <w:numId w:val="0"/>
        </w:numPr>
      </w:pPr>
      <w:r>
        <w:rPr>
          <w:rFonts w:hint="eastAsia" w:ascii="黑体" w:hAnsi="黑体" w:eastAsia="黑体"/>
        </w:rPr>
        <w:t>8</w:t>
      </w:r>
      <w:r>
        <w:rPr>
          <w:rFonts w:ascii="黑体" w:hAnsi="黑体" w:eastAsia="黑体"/>
        </w:rPr>
        <w:t>.2.2.3</w:t>
      </w:r>
      <w:r>
        <w:rPr>
          <w:rFonts w:hint="eastAsia"/>
        </w:rPr>
        <w:t>分枝期</w:t>
      </w:r>
    </w:p>
    <w:p>
      <w:pPr>
        <w:pStyle w:val="164"/>
        <w:numPr>
          <w:ilvl w:val="255"/>
          <w:numId w:val="0"/>
        </w:numPr>
        <w:ind w:firstLine="420" w:firstLineChars="200"/>
      </w:pPr>
      <w:r>
        <w:rPr>
          <w:rFonts w:hint="eastAsia"/>
        </w:rPr>
        <w:t>分枝期以施用保护性杀菌剂为主，合理预防施药。炭疽病尚未发生时，可选用</w:t>
      </w:r>
      <w:r>
        <w:rPr>
          <w:rFonts w:hAnsi="宋体" w:cs="宋体"/>
          <w:szCs w:val="21"/>
        </w:rPr>
        <w:t>苯甲·嘧菌酯</w:t>
      </w:r>
      <w:r>
        <w:rPr>
          <w:rFonts w:hint="eastAsia" w:hAnsi="宋体" w:cs="宋体"/>
          <w:szCs w:val="21"/>
        </w:rPr>
        <w:t>、</w:t>
      </w:r>
      <w:r>
        <w:rPr>
          <w:rFonts w:hAnsi="宋体" w:cs="宋体"/>
          <w:szCs w:val="21"/>
        </w:rPr>
        <w:t>氟菌·戊唑醇</w:t>
      </w:r>
      <w:r>
        <w:rPr>
          <w:rFonts w:hint="eastAsia" w:hAnsi="宋体" w:cs="宋体"/>
          <w:szCs w:val="21"/>
        </w:rPr>
        <w:t>等</w:t>
      </w:r>
      <w:r>
        <w:rPr>
          <w:rFonts w:hint="eastAsia"/>
        </w:rPr>
        <w:t>杀菌剂</w:t>
      </w:r>
      <w:r>
        <w:rPr>
          <w:rFonts w:hint="eastAsia" w:hAnsi="宋体" w:cs="宋体"/>
          <w:szCs w:val="21"/>
        </w:rPr>
        <w:t>叶面喷雾；炭疽病发生后，立即进行治疗性施药，以内吸性治疗</w:t>
      </w:r>
      <w:r>
        <w:rPr>
          <w:rFonts w:hint="eastAsia"/>
        </w:rPr>
        <w:t>杀菌</w:t>
      </w:r>
      <w:r>
        <w:rPr>
          <w:rFonts w:hint="eastAsia" w:hAnsi="宋体" w:cs="宋体"/>
          <w:szCs w:val="21"/>
        </w:rPr>
        <w:t>剂为主，如唑醚</w:t>
      </w:r>
      <w:r>
        <w:rPr>
          <w:rFonts w:hAnsi="宋体" w:cs="宋体"/>
          <w:szCs w:val="21"/>
        </w:rPr>
        <w:t>·</w:t>
      </w:r>
      <w:r>
        <w:rPr>
          <w:rFonts w:hint="eastAsia" w:hAnsi="宋体" w:cs="宋体"/>
          <w:szCs w:val="21"/>
        </w:rPr>
        <w:t>戊唑醇、</w:t>
      </w:r>
      <w:r>
        <w:rPr>
          <w:rFonts w:hAnsi="宋体" w:cs="宋体"/>
          <w:szCs w:val="21"/>
        </w:rPr>
        <w:t>苯甲·</w:t>
      </w:r>
      <w:r>
        <w:rPr>
          <w:rFonts w:hint="eastAsia" w:hAnsi="宋体" w:cs="宋体"/>
          <w:szCs w:val="21"/>
        </w:rPr>
        <w:t>丙环唑等。</w:t>
      </w:r>
    </w:p>
    <w:p>
      <w:pPr>
        <w:pStyle w:val="164"/>
        <w:numPr>
          <w:ilvl w:val="0"/>
          <w:numId w:val="0"/>
        </w:numPr>
      </w:pPr>
      <w:r>
        <w:rPr>
          <w:rFonts w:hint="eastAsia" w:ascii="黑体" w:hAnsi="黑体" w:eastAsia="黑体"/>
        </w:rPr>
        <w:t>8</w:t>
      </w:r>
      <w:r>
        <w:rPr>
          <w:rFonts w:ascii="黑体" w:hAnsi="黑体" w:eastAsia="黑体"/>
        </w:rPr>
        <w:t>.2.2.4</w:t>
      </w:r>
      <w:r>
        <w:rPr>
          <w:rFonts w:hint="eastAsia"/>
        </w:rPr>
        <w:t>开花结荚期</w:t>
      </w:r>
    </w:p>
    <w:p>
      <w:pPr>
        <w:pStyle w:val="164"/>
        <w:numPr>
          <w:ilvl w:val="255"/>
          <w:numId w:val="0"/>
        </w:numPr>
        <w:ind w:firstLine="420" w:firstLineChars="200"/>
      </w:pPr>
      <w:r>
        <w:rPr>
          <w:rFonts w:hint="eastAsia"/>
        </w:rPr>
        <w:t>大豆始花期、结荚和鼓粒初期是防治炭疽病的最佳时期，以预防为主，保护和治疗并重，选择强内吸、高效、持效期长的杀菌剂叶面喷雾。炭疽病未发生时，可选用</w:t>
      </w:r>
      <w:r>
        <w:rPr>
          <w:rFonts w:hAnsi="宋体" w:cs="宋体"/>
          <w:szCs w:val="21"/>
        </w:rPr>
        <w:t>苯甲·嘧菌酯</w:t>
      </w:r>
      <w:r>
        <w:rPr>
          <w:rFonts w:hint="eastAsia" w:hAnsi="宋体" w:cs="宋体"/>
          <w:szCs w:val="21"/>
        </w:rPr>
        <w:t>、</w:t>
      </w:r>
      <w:r>
        <w:rPr>
          <w:rFonts w:hint="eastAsia"/>
        </w:rPr>
        <w:t>吡唑醚菌酯等；</w:t>
      </w:r>
      <w:r>
        <w:rPr>
          <w:rFonts w:hint="eastAsia" w:hAnsi="宋体" w:cs="宋体"/>
          <w:szCs w:val="21"/>
        </w:rPr>
        <w:t>炭疽病发生后，</w:t>
      </w:r>
      <w:r>
        <w:rPr>
          <w:rFonts w:hint="eastAsia"/>
        </w:rPr>
        <w:t>可选用苯醚</w:t>
      </w:r>
      <w:r>
        <w:rPr>
          <w:rFonts w:hAnsi="宋体" w:cs="宋体"/>
          <w:szCs w:val="21"/>
        </w:rPr>
        <w:t>·</w:t>
      </w:r>
      <w:r>
        <w:rPr>
          <w:rFonts w:hint="eastAsia"/>
        </w:rPr>
        <w:t>甲环唑和</w:t>
      </w:r>
      <w:r>
        <w:rPr>
          <w:rFonts w:hint="eastAsia" w:hAnsi="宋体" w:cs="宋体"/>
          <w:szCs w:val="21"/>
        </w:rPr>
        <w:t>唑醚</w:t>
      </w:r>
      <w:r>
        <w:rPr>
          <w:rFonts w:hAnsi="宋体" w:cs="宋体"/>
          <w:szCs w:val="21"/>
        </w:rPr>
        <w:t>·</w:t>
      </w:r>
      <w:r>
        <w:rPr>
          <w:rFonts w:hint="eastAsia" w:hAnsi="宋体" w:cs="宋体"/>
          <w:szCs w:val="21"/>
        </w:rPr>
        <w:t>戊唑醇等。</w:t>
      </w:r>
    </w:p>
    <w:p>
      <w:pPr>
        <w:pStyle w:val="65"/>
        <w:numPr>
          <w:ilvl w:val="0"/>
          <w:numId w:val="0"/>
        </w:numPr>
        <w:spacing w:before="156" w:after="156"/>
      </w:pPr>
      <w:r>
        <w:rPr>
          <w:rFonts w:hint="eastAsia" w:hAnsi="黑体"/>
        </w:rPr>
        <w:t>8</w:t>
      </w:r>
      <w:r>
        <w:rPr>
          <w:rFonts w:hAnsi="黑体"/>
        </w:rPr>
        <w:t>.2.3</w:t>
      </w:r>
      <w:r>
        <w:rPr>
          <w:rFonts w:hint="eastAsia"/>
        </w:rPr>
        <w:t>防治方法</w:t>
      </w:r>
    </w:p>
    <w:p>
      <w:pPr>
        <w:pStyle w:val="56"/>
        <w:ind w:firstLine="420"/>
      </w:pPr>
      <w:r>
        <w:rPr>
          <w:rFonts w:hint="eastAsia"/>
        </w:rPr>
        <w:t>在病害防治适期选择对路药剂，合理添加增效剂、沉降剂等助剂。作业时选择合适天气统一喷施，宜在上午9点前或下午5点后进行。</w:t>
      </w:r>
    </w:p>
    <w:p>
      <w:pPr>
        <w:pStyle w:val="105"/>
        <w:spacing w:before="156" w:after="156"/>
        <w:rPr>
          <w:color w:val="0000FF"/>
        </w:rPr>
      </w:pPr>
      <w:r>
        <w:rPr>
          <w:rFonts w:hint="eastAsia"/>
        </w:rPr>
        <w:t>生物防治</w:t>
      </w:r>
    </w:p>
    <w:p>
      <w:pPr>
        <w:pStyle w:val="56"/>
        <w:ind w:firstLine="420"/>
      </w:pPr>
      <w:r>
        <w:rPr>
          <w:rFonts w:hint="eastAsia"/>
        </w:rPr>
        <w:t>播种前可用枯草芽孢杆菌、解淀粉芽孢杆菌、木霉菌等进行拌种处理。</w:t>
      </w:r>
    </w:p>
    <w:p>
      <w:pPr>
        <w:pStyle w:val="56"/>
        <w:ind w:firstLine="420"/>
      </w:pPr>
      <w:r>
        <w:t>在病害早</w:t>
      </w:r>
      <w:r>
        <w:rPr>
          <w:rFonts w:hint="eastAsia"/>
        </w:rPr>
        <w:t>期发生或轻发生时选用生物农药进行防治，如枯草芽孢杆菌、哈茨木霉</w:t>
      </w:r>
      <w:r>
        <w:rPr>
          <w:rFonts w:hint="eastAsia" w:hAnsi="宋体" w:cs="宋体"/>
          <w:szCs w:val="21"/>
        </w:rPr>
        <w:t>等。</w:t>
      </w:r>
    </w:p>
    <w:p>
      <w:pPr>
        <w:pStyle w:val="104"/>
        <w:spacing w:before="312" w:after="312"/>
      </w:pPr>
      <w:bookmarkStart w:id="44" w:name="_Toc177034893"/>
      <w:r>
        <w:rPr>
          <w:rFonts w:hint="eastAsia"/>
        </w:rPr>
        <w:t>防控档案</w:t>
      </w:r>
      <w:bookmarkEnd w:id="44"/>
    </w:p>
    <w:p>
      <w:pPr>
        <w:pStyle w:val="65"/>
        <w:numPr>
          <w:ilvl w:val="0"/>
          <w:numId w:val="0"/>
        </w:numPr>
        <w:spacing w:beforeLines="0" w:afterLines="0"/>
      </w:pPr>
      <w:r>
        <w:rPr>
          <w:rFonts w:hint="eastAsia"/>
        </w:rPr>
        <w:t>9</w:t>
      </w:r>
      <w:r>
        <w:t>.1</w:t>
      </w:r>
      <w:r>
        <w:rPr>
          <w:rFonts w:hint="eastAsia"/>
        </w:rPr>
        <w:t>档案记录</w:t>
      </w:r>
    </w:p>
    <w:p>
      <w:pPr>
        <w:pStyle w:val="104"/>
        <w:numPr>
          <w:ilvl w:val="0"/>
          <w:numId w:val="0"/>
        </w:numPr>
        <w:spacing w:beforeLines="0" w:afterLines="0"/>
        <w:ind w:firstLine="420" w:firstLineChars="200"/>
        <w:rPr>
          <w:rFonts w:ascii="宋体" w:eastAsia="宋体"/>
        </w:rPr>
      </w:pPr>
      <w:r>
        <w:rPr>
          <w:rFonts w:hint="eastAsia" w:ascii="宋体" w:eastAsia="宋体"/>
        </w:rPr>
        <w:t>建立档案记录，档案应专人负责，记录清楚、准确和完整，保存24个月以上。</w:t>
      </w:r>
    </w:p>
    <w:p>
      <w:pPr>
        <w:pStyle w:val="65"/>
        <w:numPr>
          <w:ilvl w:val="0"/>
          <w:numId w:val="0"/>
        </w:numPr>
        <w:spacing w:beforeLines="0" w:afterLines="0"/>
      </w:pPr>
      <w:r>
        <w:rPr>
          <w:rFonts w:hint="eastAsia"/>
        </w:rPr>
        <w:t>9</w:t>
      </w:r>
      <w:r>
        <w:t>.2</w:t>
      </w:r>
      <w:r>
        <w:rPr>
          <w:rFonts w:hint="eastAsia"/>
        </w:rPr>
        <w:t>投入品</w:t>
      </w:r>
    </w:p>
    <w:p>
      <w:pPr>
        <w:pStyle w:val="56"/>
        <w:ind w:firstLine="420"/>
      </w:pPr>
      <w:r>
        <w:rPr>
          <w:rFonts w:hint="eastAsia"/>
        </w:rPr>
        <w:t>建立投入品档案记录，包括化学农药、生物农药等投入品的采购、出入库以及使用日期、方法等。</w:t>
      </w:r>
    </w:p>
    <w:p>
      <w:pPr>
        <w:pStyle w:val="65"/>
        <w:numPr>
          <w:ilvl w:val="0"/>
          <w:numId w:val="0"/>
        </w:numPr>
        <w:spacing w:beforeLines="0" w:afterLines="0"/>
      </w:pPr>
      <w:r>
        <w:rPr>
          <w:rFonts w:hint="eastAsia"/>
        </w:rPr>
        <w:t>9</w:t>
      </w:r>
      <w:r>
        <w:t>.3</w:t>
      </w:r>
      <w:r>
        <w:rPr>
          <w:rFonts w:hint="eastAsia" w:ascii="宋体"/>
        </w:rPr>
        <w:t>田间管理操作</w:t>
      </w:r>
    </w:p>
    <w:p>
      <w:pPr>
        <w:pStyle w:val="104"/>
        <w:numPr>
          <w:ilvl w:val="0"/>
          <w:numId w:val="0"/>
        </w:numPr>
        <w:spacing w:beforeLines="0" w:afterLines="0"/>
        <w:ind w:firstLine="420" w:firstLineChars="200"/>
        <w:rPr>
          <w:rFonts w:ascii="宋体" w:eastAsia="宋体"/>
        </w:rPr>
      </w:pPr>
      <w:r>
        <w:rPr>
          <w:rFonts w:hint="eastAsia" w:ascii="宋体" w:eastAsia="宋体"/>
        </w:rPr>
        <w:t>建立田间管理操作档案，包括植保措施、水肥管理等种植生产过程，田间管理操作档案参见附录C。</w:t>
      </w:r>
    </w:p>
    <w:p>
      <w:pPr>
        <w:pStyle w:val="56"/>
        <w:autoSpaceDE/>
        <w:autoSpaceDN/>
        <w:ind w:firstLine="0" w:firstLineChars="0"/>
        <w:sectPr>
          <w:headerReference r:id="rId15" w:type="default"/>
          <w:footerReference r:id="rId17" w:type="default"/>
          <w:headerReference r:id="rId16" w:type="even"/>
          <w:footerReference r:id="rId18" w:type="even"/>
          <w:pgSz w:w="11906" w:h="16838"/>
          <w:pgMar w:top="1928" w:right="1134" w:bottom="1134" w:left="1134" w:header="1418" w:footer="1134" w:gutter="284"/>
          <w:pgNumType w:start="1"/>
          <w:cols w:space="425" w:num="1"/>
          <w:formProt w:val="0"/>
          <w:docGrid w:type="lines" w:linePitch="312" w:charSpace="0"/>
        </w:sectPr>
      </w:pPr>
    </w:p>
    <w:bookmarkEnd w:id="13"/>
    <w:p>
      <w:pPr>
        <w:pStyle w:val="198"/>
        <w:rPr>
          <w:vanish w:val="0"/>
        </w:rPr>
      </w:pPr>
      <w:bookmarkStart w:id="45" w:name="BookMark5"/>
    </w:p>
    <w:p>
      <w:pPr>
        <w:pStyle w:val="199"/>
        <w:rPr>
          <w:vanish w:val="0"/>
        </w:rPr>
      </w:pPr>
    </w:p>
    <w:p>
      <w:pPr>
        <w:pStyle w:val="76"/>
        <w:spacing w:before="0" w:afterLines="0"/>
        <w:ind w:left="0"/>
      </w:pPr>
    </w:p>
    <w:p>
      <w:pPr>
        <w:pStyle w:val="76"/>
        <w:numPr>
          <w:ilvl w:val="0"/>
          <w:numId w:val="0"/>
        </w:numPr>
        <w:spacing w:before="0" w:afterLines="0"/>
      </w:pPr>
      <w:r>
        <w:rPr>
          <w:rFonts w:hint="eastAsia"/>
        </w:rPr>
        <w:t>（资料性）</w:t>
      </w:r>
    </w:p>
    <w:p>
      <w:pPr>
        <w:pStyle w:val="76"/>
        <w:numPr>
          <w:ilvl w:val="0"/>
          <w:numId w:val="0"/>
        </w:numPr>
        <w:spacing w:before="0" w:afterLines="0"/>
      </w:pPr>
      <w:r>
        <w:rPr>
          <w:rFonts w:hint="eastAsia"/>
        </w:rPr>
        <w:t>扩增ITS、</w:t>
      </w:r>
      <w:r>
        <w:rPr>
          <w:rFonts w:hint="eastAsia"/>
          <w:i/>
        </w:rPr>
        <w:t>ACT、CHS-1</w:t>
      </w:r>
      <w:r>
        <w:rPr>
          <w:rFonts w:hint="eastAsia"/>
        </w:rPr>
        <w:t>和</w:t>
      </w:r>
      <w:r>
        <w:rPr>
          <w:i/>
        </w:rPr>
        <w:t>GAPDH</w:t>
      </w:r>
      <w:r>
        <w:rPr>
          <w:rFonts w:hint="eastAsia"/>
        </w:rPr>
        <w:t>基因序列的引物</w:t>
      </w:r>
    </w:p>
    <w:p>
      <w:pPr>
        <w:pStyle w:val="56"/>
        <w:spacing w:after="156"/>
        <w:ind w:firstLine="420"/>
      </w:pPr>
    </w:p>
    <w:p>
      <w:pPr>
        <w:pStyle w:val="56"/>
        <w:ind w:firstLine="420"/>
      </w:pPr>
      <w:r>
        <w:rPr>
          <w:rFonts w:hint="eastAsia"/>
        </w:rPr>
        <w:t>扩增ITS、</w:t>
      </w:r>
      <w:r>
        <w:rPr>
          <w:rFonts w:hint="eastAsia"/>
          <w:i/>
        </w:rPr>
        <w:t>ACT、CHS-1</w:t>
      </w:r>
      <w:r>
        <w:rPr>
          <w:rFonts w:hint="eastAsia"/>
        </w:rPr>
        <w:t>和</w:t>
      </w:r>
      <w:r>
        <w:rPr>
          <w:i/>
        </w:rPr>
        <w:t>GAPDH</w:t>
      </w:r>
      <w:r>
        <w:rPr>
          <w:rFonts w:hint="eastAsia"/>
        </w:rPr>
        <w:t>基因序列的引物见表A.1。</w:t>
      </w:r>
    </w:p>
    <w:p>
      <w:pPr>
        <w:jc w:val="center"/>
        <w:rPr>
          <w:rFonts w:ascii="黑体" w:hAnsi="Times New Roman" w:eastAsia="黑体"/>
          <w:kern w:val="21"/>
          <w:szCs w:val="20"/>
        </w:rPr>
      </w:pPr>
      <w:r>
        <w:rPr>
          <w:rFonts w:hint="eastAsia" w:ascii="黑体" w:hAnsi="Times New Roman" w:eastAsia="黑体"/>
          <w:kern w:val="21"/>
          <w:szCs w:val="20"/>
        </w:rPr>
        <w:t>表</w:t>
      </w:r>
      <w:r>
        <w:rPr>
          <w:rFonts w:ascii="黑体" w:hAnsi="Times New Roman" w:eastAsia="黑体"/>
          <w:kern w:val="21"/>
          <w:szCs w:val="20"/>
        </w:rPr>
        <w:t xml:space="preserve">A.1 </w:t>
      </w:r>
      <w:r>
        <w:rPr>
          <w:rFonts w:hint="eastAsia" w:ascii="黑体" w:hAnsi="Times New Roman" w:eastAsia="黑体"/>
          <w:kern w:val="21"/>
          <w:szCs w:val="20"/>
        </w:rPr>
        <w:t>扩增ITS、</w:t>
      </w:r>
      <w:r>
        <w:rPr>
          <w:rFonts w:hint="eastAsia" w:ascii="黑体" w:hAnsi="Times New Roman" w:eastAsia="黑体"/>
          <w:i/>
          <w:kern w:val="21"/>
          <w:szCs w:val="20"/>
        </w:rPr>
        <w:t>ACT、CHS-1</w:t>
      </w:r>
      <w:r>
        <w:rPr>
          <w:rFonts w:hint="eastAsia" w:ascii="黑体" w:hAnsi="Times New Roman" w:eastAsia="黑体"/>
          <w:kern w:val="21"/>
          <w:szCs w:val="20"/>
        </w:rPr>
        <w:t>和</w:t>
      </w:r>
      <w:r>
        <w:rPr>
          <w:rFonts w:ascii="黑体" w:hAnsi="Times New Roman" w:eastAsia="黑体"/>
          <w:i/>
          <w:kern w:val="21"/>
          <w:szCs w:val="20"/>
        </w:rPr>
        <w:t>GAPDH</w:t>
      </w:r>
      <w:r>
        <w:rPr>
          <w:rFonts w:hint="eastAsia" w:ascii="黑体" w:hAnsi="Times New Roman" w:eastAsia="黑体"/>
          <w:kern w:val="21"/>
          <w:szCs w:val="20"/>
        </w:rPr>
        <w:t>基因序列的引物</w:t>
      </w:r>
    </w:p>
    <w:tbl>
      <w:tblPr>
        <w:tblStyle w:val="32"/>
        <w:tblW w:w="8204" w:type="dxa"/>
        <w:jc w:val="center"/>
        <w:tblInd w:w="0" w:type="dxa"/>
        <w:tblLayout w:type="fixed"/>
        <w:tblCellMar>
          <w:top w:w="0" w:type="dxa"/>
          <w:left w:w="108" w:type="dxa"/>
          <w:bottom w:w="0" w:type="dxa"/>
          <w:right w:w="108" w:type="dxa"/>
        </w:tblCellMar>
      </w:tblPr>
      <w:tblGrid>
        <w:gridCol w:w="1620"/>
        <w:gridCol w:w="3456"/>
        <w:gridCol w:w="1427"/>
        <w:gridCol w:w="1701"/>
      </w:tblGrid>
      <w:tr>
        <w:tblPrEx>
          <w:tblLayout w:type="fixed"/>
          <w:tblCellMar>
            <w:top w:w="0" w:type="dxa"/>
            <w:left w:w="108" w:type="dxa"/>
            <w:bottom w:w="0" w:type="dxa"/>
            <w:right w:w="108" w:type="dxa"/>
          </w:tblCellMar>
        </w:tblPrEx>
        <w:trPr>
          <w:jc w:val="center"/>
        </w:trPr>
        <w:tc>
          <w:tcPr>
            <w:tcW w:w="1620" w:type="dxa"/>
            <w:tcBorders>
              <w:top w:val="single" w:color="auto" w:sz="8" w:space="0"/>
              <w:left w:val="nil"/>
              <w:bottom w:val="single" w:color="auto" w:sz="8" w:space="0"/>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引物名称</w:t>
            </w:r>
          </w:p>
        </w:tc>
        <w:tc>
          <w:tcPr>
            <w:tcW w:w="3456" w:type="dxa"/>
            <w:tcBorders>
              <w:top w:val="single" w:color="auto" w:sz="8" w:space="0"/>
              <w:left w:val="nil"/>
              <w:bottom w:val="single" w:color="auto" w:sz="8" w:space="0"/>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 xml:space="preserve"> 序列（5′- 3′）</w:t>
            </w:r>
          </w:p>
        </w:tc>
        <w:tc>
          <w:tcPr>
            <w:tcW w:w="1427" w:type="dxa"/>
            <w:tcBorders>
              <w:top w:val="single" w:color="auto" w:sz="8" w:space="0"/>
              <w:left w:val="nil"/>
              <w:bottom w:val="single" w:color="auto" w:sz="8" w:space="0"/>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目标基因</w:t>
            </w:r>
          </w:p>
        </w:tc>
        <w:tc>
          <w:tcPr>
            <w:tcW w:w="1701" w:type="dxa"/>
            <w:tcBorders>
              <w:top w:val="single" w:color="auto" w:sz="8" w:space="0"/>
              <w:left w:val="nil"/>
              <w:bottom w:val="single" w:color="auto" w:sz="8" w:space="0"/>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kern w:val="0"/>
                <w:sz w:val="18"/>
                <w:szCs w:val="18"/>
                <w:lang w:bidi="ar"/>
              </w:rPr>
              <w:t>退火温度/</w:t>
            </w:r>
            <w:r>
              <w:rPr>
                <w:rFonts w:ascii="Times New Roman" w:hAnsi="Times New Roman" w:eastAsia="FZSSK--GBK1-0"/>
                <w:color w:val="000000"/>
                <w:kern w:val="0"/>
                <w:sz w:val="18"/>
                <w:szCs w:val="18"/>
                <w:lang w:bidi="ar"/>
              </w:rPr>
              <w:t>℃</w:t>
            </w:r>
          </w:p>
        </w:tc>
      </w:tr>
      <w:tr>
        <w:tblPrEx>
          <w:tblLayout w:type="fixed"/>
          <w:tblCellMar>
            <w:top w:w="0" w:type="dxa"/>
            <w:left w:w="108" w:type="dxa"/>
            <w:bottom w:w="0" w:type="dxa"/>
            <w:right w:w="108" w:type="dxa"/>
          </w:tblCellMar>
        </w:tblPrEx>
        <w:trPr>
          <w:jc w:val="center"/>
        </w:trPr>
        <w:tc>
          <w:tcPr>
            <w:tcW w:w="1620" w:type="dxa"/>
            <w:tcBorders>
              <w:top w:val="single" w:color="auto" w:sz="8" w:space="0"/>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ITS-1</w:t>
            </w:r>
          </w:p>
        </w:tc>
        <w:tc>
          <w:tcPr>
            <w:tcW w:w="3456" w:type="dxa"/>
            <w:tcBorders>
              <w:top w:val="single" w:color="auto" w:sz="8" w:space="0"/>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TCCGTAGGTGAACCTGCGG</w:t>
            </w:r>
          </w:p>
        </w:tc>
        <w:tc>
          <w:tcPr>
            <w:tcW w:w="1427" w:type="dxa"/>
            <w:vMerge w:val="restart"/>
            <w:tcBorders>
              <w:top w:val="single" w:color="auto" w:sz="8" w:space="0"/>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ITS</w:t>
            </w:r>
          </w:p>
        </w:tc>
        <w:tc>
          <w:tcPr>
            <w:tcW w:w="1701" w:type="dxa"/>
            <w:vMerge w:val="restart"/>
            <w:tcBorders>
              <w:top w:val="single" w:color="auto" w:sz="8" w:space="0"/>
              <w:left w:val="nil"/>
              <w:bottom w:val="nil"/>
              <w:right w:val="nil"/>
            </w:tcBorders>
            <w:vAlign w:val="center"/>
          </w:tcPr>
          <w:p>
            <w:pPr>
              <w:widowControl/>
              <w:spacing w:line="240" w:lineRule="auto"/>
              <w:jc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56</w:t>
            </w:r>
          </w:p>
        </w:tc>
      </w:tr>
      <w:tr>
        <w:tblPrEx>
          <w:tblLayout w:type="fixed"/>
          <w:tblCellMar>
            <w:top w:w="0" w:type="dxa"/>
            <w:left w:w="108" w:type="dxa"/>
            <w:bottom w:w="0" w:type="dxa"/>
            <w:right w:w="108" w:type="dxa"/>
          </w:tblCellMar>
        </w:tblPrEx>
        <w:trPr>
          <w:jc w:val="center"/>
        </w:trPr>
        <w:tc>
          <w:tcPr>
            <w:tcW w:w="1620" w:type="dxa"/>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ITS-4</w:t>
            </w:r>
          </w:p>
        </w:tc>
        <w:tc>
          <w:tcPr>
            <w:tcW w:w="3456" w:type="dxa"/>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TCCTCCGCTTATTGATATGC</w:t>
            </w:r>
          </w:p>
        </w:tc>
        <w:tc>
          <w:tcPr>
            <w:tcW w:w="1427" w:type="dxa"/>
            <w:vMerge w:val="continue"/>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p>
        </w:tc>
        <w:tc>
          <w:tcPr>
            <w:tcW w:w="1701" w:type="dxa"/>
            <w:vMerge w:val="continue"/>
            <w:tcBorders>
              <w:top w:val="nil"/>
              <w:left w:val="nil"/>
              <w:bottom w:val="nil"/>
              <w:right w:val="nil"/>
            </w:tcBorders>
            <w:vAlign w:val="center"/>
          </w:tcPr>
          <w:p>
            <w:pPr>
              <w:widowControl/>
              <w:spacing w:line="240" w:lineRule="auto"/>
              <w:jc w:val="center"/>
              <w:rPr>
                <w:rFonts w:ascii="Times New Roman" w:hAnsi="Times New Roman"/>
                <w:color w:val="000000"/>
                <w:kern w:val="0"/>
                <w:sz w:val="18"/>
                <w:szCs w:val="18"/>
                <w:lang w:bidi="ar"/>
              </w:rPr>
            </w:pPr>
          </w:p>
        </w:tc>
      </w:tr>
      <w:tr>
        <w:tblPrEx>
          <w:tblLayout w:type="fixed"/>
          <w:tblCellMar>
            <w:top w:w="0" w:type="dxa"/>
            <w:left w:w="108" w:type="dxa"/>
            <w:bottom w:w="0" w:type="dxa"/>
            <w:right w:w="108" w:type="dxa"/>
          </w:tblCellMar>
        </w:tblPrEx>
        <w:trPr>
          <w:jc w:val="center"/>
        </w:trPr>
        <w:tc>
          <w:tcPr>
            <w:tcW w:w="1620" w:type="dxa"/>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ACT-512F</w:t>
            </w:r>
          </w:p>
        </w:tc>
        <w:tc>
          <w:tcPr>
            <w:tcW w:w="3456" w:type="dxa"/>
            <w:tcBorders>
              <w:top w:val="nil"/>
              <w:left w:val="nil"/>
              <w:bottom w:val="nil"/>
              <w:right w:val="nil"/>
            </w:tcBorders>
            <w:vAlign w:val="center"/>
          </w:tcPr>
          <w:p>
            <w:pPr>
              <w:widowControl/>
              <w:jc w:val="center"/>
              <w:rPr>
                <w:rFonts w:ascii="Times New Roman" w:hAnsi="Times New Roman"/>
                <w:color w:val="000000"/>
                <w:sz w:val="18"/>
                <w:szCs w:val="18"/>
              </w:rPr>
            </w:pPr>
            <w:r>
              <w:rPr>
                <w:rFonts w:ascii="Times New Roman" w:hAnsi="Times New Roman"/>
                <w:color w:val="000000"/>
                <w:kern w:val="0"/>
                <w:sz w:val="18"/>
                <w:szCs w:val="18"/>
                <w:lang w:bidi="ar"/>
              </w:rPr>
              <w:t>ATGTGCAAGGCCGGTTTCGC</w:t>
            </w:r>
          </w:p>
        </w:tc>
        <w:tc>
          <w:tcPr>
            <w:tcW w:w="1427" w:type="dxa"/>
            <w:vMerge w:val="restart"/>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i/>
                <w:iCs/>
                <w:color w:val="000000"/>
                <w:sz w:val="18"/>
                <w:szCs w:val="18"/>
              </w:rPr>
              <w:t>ACT</w:t>
            </w:r>
          </w:p>
        </w:tc>
        <w:tc>
          <w:tcPr>
            <w:tcW w:w="1701" w:type="dxa"/>
            <w:vMerge w:val="restart"/>
            <w:tcBorders>
              <w:top w:val="nil"/>
              <w:left w:val="nil"/>
              <w:bottom w:val="nil"/>
              <w:right w:val="nil"/>
            </w:tcBorders>
            <w:vAlign w:val="center"/>
          </w:tcPr>
          <w:p>
            <w:pPr>
              <w:widowControl/>
              <w:spacing w:line="240" w:lineRule="auto"/>
              <w:jc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56</w:t>
            </w:r>
          </w:p>
        </w:tc>
      </w:tr>
      <w:tr>
        <w:tblPrEx>
          <w:tblLayout w:type="fixed"/>
          <w:tblCellMar>
            <w:top w:w="0" w:type="dxa"/>
            <w:left w:w="108" w:type="dxa"/>
            <w:bottom w:w="0" w:type="dxa"/>
            <w:right w:w="108" w:type="dxa"/>
          </w:tblCellMar>
        </w:tblPrEx>
        <w:trPr>
          <w:trHeight w:val="280" w:hRule="atLeast"/>
          <w:jc w:val="center"/>
        </w:trPr>
        <w:tc>
          <w:tcPr>
            <w:tcW w:w="1620" w:type="dxa"/>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ACT-783R</w:t>
            </w:r>
          </w:p>
        </w:tc>
        <w:tc>
          <w:tcPr>
            <w:tcW w:w="3456" w:type="dxa"/>
            <w:tcBorders>
              <w:top w:val="nil"/>
              <w:left w:val="nil"/>
              <w:bottom w:val="nil"/>
              <w:right w:val="nil"/>
            </w:tcBorders>
            <w:vAlign w:val="center"/>
          </w:tcPr>
          <w:p>
            <w:pPr>
              <w:widowControl/>
              <w:jc w:val="center"/>
              <w:rPr>
                <w:rFonts w:ascii="Times New Roman" w:hAnsi="Times New Roman"/>
                <w:color w:val="000000"/>
                <w:sz w:val="18"/>
                <w:szCs w:val="18"/>
              </w:rPr>
            </w:pPr>
            <w:r>
              <w:rPr>
                <w:rFonts w:ascii="Times New Roman" w:hAnsi="Times New Roman"/>
                <w:color w:val="000000"/>
                <w:kern w:val="0"/>
                <w:sz w:val="18"/>
                <w:szCs w:val="18"/>
                <w:lang w:bidi="ar"/>
              </w:rPr>
              <w:t>TACGAGTCCTGGCCCAT</w:t>
            </w:r>
          </w:p>
        </w:tc>
        <w:tc>
          <w:tcPr>
            <w:tcW w:w="1427" w:type="dxa"/>
            <w:vMerge w:val="continue"/>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p>
        </w:tc>
        <w:tc>
          <w:tcPr>
            <w:tcW w:w="1701" w:type="dxa"/>
            <w:vMerge w:val="continue"/>
            <w:tcBorders>
              <w:top w:val="nil"/>
              <w:left w:val="nil"/>
              <w:bottom w:val="nil"/>
              <w:right w:val="nil"/>
            </w:tcBorders>
            <w:vAlign w:val="center"/>
          </w:tcPr>
          <w:p>
            <w:pPr>
              <w:widowControl/>
              <w:spacing w:line="240" w:lineRule="auto"/>
              <w:jc w:val="center"/>
              <w:rPr>
                <w:rFonts w:ascii="Times New Roman" w:hAnsi="Times New Roman"/>
                <w:color w:val="000000"/>
                <w:kern w:val="0"/>
                <w:sz w:val="18"/>
                <w:szCs w:val="18"/>
                <w:lang w:bidi="ar"/>
              </w:rPr>
            </w:pPr>
          </w:p>
        </w:tc>
      </w:tr>
      <w:tr>
        <w:tblPrEx>
          <w:tblLayout w:type="fixed"/>
          <w:tblCellMar>
            <w:top w:w="0" w:type="dxa"/>
            <w:left w:w="108" w:type="dxa"/>
            <w:bottom w:w="0" w:type="dxa"/>
            <w:right w:w="108" w:type="dxa"/>
          </w:tblCellMar>
        </w:tblPrEx>
        <w:trPr>
          <w:jc w:val="center"/>
        </w:trPr>
        <w:tc>
          <w:tcPr>
            <w:tcW w:w="1620" w:type="dxa"/>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CHS-79F</w:t>
            </w:r>
          </w:p>
        </w:tc>
        <w:tc>
          <w:tcPr>
            <w:tcW w:w="3456" w:type="dxa"/>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TGGGGCAAGGATGCTTGGAAGAAG</w:t>
            </w:r>
          </w:p>
        </w:tc>
        <w:tc>
          <w:tcPr>
            <w:tcW w:w="1427" w:type="dxa"/>
            <w:vMerge w:val="restart"/>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i/>
                <w:iCs/>
                <w:color w:val="000000"/>
                <w:sz w:val="18"/>
                <w:szCs w:val="18"/>
              </w:rPr>
              <w:t>CHS-1</w:t>
            </w:r>
          </w:p>
        </w:tc>
        <w:tc>
          <w:tcPr>
            <w:tcW w:w="1701" w:type="dxa"/>
            <w:vMerge w:val="restart"/>
            <w:tcBorders>
              <w:top w:val="nil"/>
              <w:left w:val="nil"/>
              <w:bottom w:val="nil"/>
              <w:right w:val="nil"/>
            </w:tcBorders>
            <w:vAlign w:val="center"/>
          </w:tcPr>
          <w:p>
            <w:pPr>
              <w:widowControl/>
              <w:spacing w:line="240" w:lineRule="auto"/>
              <w:jc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59</w:t>
            </w:r>
          </w:p>
        </w:tc>
      </w:tr>
      <w:tr>
        <w:tblPrEx>
          <w:tblLayout w:type="fixed"/>
          <w:tblCellMar>
            <w:top w:w="0" w:type="dxa"/>
            <w:left w:w="108" w:type="dxa"/>
            <w:bottom w:w="0" w:type="dxa"/>
            <w:right w:w="108" w:type="dxa"/>
          </w:tblCellMar>
        </w:tblPrEx>
        <w:trPr>
          <w:jc w:val="center"/>
        </w:trPr>
        <w:tc>
          <w:tcPr>
            <w:tcW w:w="1620" w:type="dxa"/>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CHS-345R</w:t>
            </w:r>
          </w:p>
        </w:tc>
        <w:tc>
          <w:tcPr>
            <w:tcW w:w="3456" w:type="dxa"/>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TGGAAGAACCATCTGTGAGAGTTG</w:t>
            </w:r>
          </w:p>
        </w:tc>
        <w:tc>
          <w:tcPr>
            <w:tcW w:w="1427" w:type="dxa"/>
            <w:vMerge w:val="continue"/>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p>
        </w:tc>
        <w:tc>
          <w:tcPr>
            <w:tcW w:w="1701" w:type="dxa"/>
            <w:vMerge w:val="continue"/>
            <w:tcBorders>
              <w:top w:val="nil"/>
              <w:left w:val="nil"/>
              <w:bottom w:val="nil"/>
              <w:right w:val="nil"/>
            </w:tcBorders>
            <w:vAlign w:val="center"/>
          </w:tcPr>
          <w:p>
            <w:pPr>
              <w:widowControl/>
              <w:spacing w:line="240" w:lineRule="auto"/>
              <w:jc w:val="center"/>
              <w:rPr>
                <w:rFonts w:ascii="Times New Roman" w:hAnsi="Times New Roman"/>
                <w:color w:val="000000"/>
                <w:kern w:val="0"/>
                <w:sz w:val="18"/>
                <w:szCs w:val="18"/>
                <w:lang w:bidi="ar"/>
              </w:rPr>
            </w:pPr>
          </w:p>
        </w:tc>
      </w:tr>
      <w:tr>
        <w:tblPrEx>
          <w:tblLayout w:type="fixed"/>
          <w:tblCellMar>
            <w:top w:w="0" w:type="dxa"/>
            <w:left w:w="108" w:type="dxa"/>
            <w:bottom w:w="0" w:type="dxa"/>
            <w:right w:w="108" w:type="dxa"/>
          </w:tblCellMar>
        </w:tblPrEx>
        <w:trPr>
          <w:jc w:val="center"/>
        </w:trPr>
        <w:tc>
          <w:tcPr>
            <w:tcW w:w="1620" w:type="dxa"/>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GDF</w:t>
            </w:r>
          </w:p>
        </w:tc>
        <w:tc>
          <w:tcPr>
            <w:tcW w:w="3456" w:type="dxa"/>
            <w:tcBorders>
              <w:top w:val="nil"/>
              <w:left w:val="nil"/>
              <w:bottom w:val="nil"/>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GCCGTCAACGACCCCTTCATTGA</w:t>
            </w:r>
          </w:p>
        </w:tc>
        <w:tc>
          <w:tcPr>
            <w:tcW w:w="1427" w:type="dxa"/>
            <w:vMerge w:val="restart"/>
            <w:tcBorders>
              <w:top w:val="nil"/>
              <w:left w:val="nil"/>
              <w:bottom w:val="single" w:color="auto" w:sz="8" w:space="0"/>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i/>
                <w:iCs/>
                <w:color w:val="000000"/>
                <w:sz w:val="18"/>
                <w:szCs w:val="18"/>
              </w:rPr>
              <w:t>GAPDH</w:t>
            </w:r>
          </w:p>
        </w:tc>
        <w:tc>
          <w:tcPr>
            <w:tcW w:w="1701" w:type="dxa"/>
            <w:vMerge w:val="restart"/>
            <w:tcBorders>
              <w:top w:val="nil"/>
              <w:left w:val="nil"/>
              <w:bottom w:val="single" w:color="auto" w:sz="8" w:space="0"/>
              <w:right w:val="nil"/>
            </w:tcBorders>
            <w:vAlign w:val="center"/>
          </w:tcPr>
          <w:p>
            <w:pPr>
              <w:widowControl/>
              <w:spacing w:line="240" w:lineRule="auto"/>
              <w:jc w:val="center"/>
              <w:rPr>
                <w:rFonts w:ascii="Times New Roman" w:hAnsi="Times New Roman"/>
                <w:color w:val="000000"/>
                <w:kern w:val="0"/>
                <w:sz w:val="18"/>
                <w:szCs w:val="18"/>
                <w:lang w:bidi="ar"/>
              </w:rPr>
            </w:pPr>
            <w:r>
              <w:rPr>
                <w:rFonts w:ascii="Times New Roman" w:hAnsi="Times New Roman"/>
                <w:color w:val="000000"/>
                <w:kern w:val="0"/>
                <w:sz w:val="18"/>
                <w:szCs w:val="18"/>
                <w:lang w:bidi="ar"/>
              </w:rPr>
              <w:t>54</w:t>
            </w:r>
          </w:p>
        </w:tc>
      </w:tr>
      <w:tr>
        <w:tblPrEx>
          <w:tblLayout w:type="fixed"/>
          <w:tblCellMar>
            <w:top w:w="0" w:type="dxa"/>
            <w:left w:w="108" w:type="dxa"/>
            <w:bottom w:w="0" w:type="dxa"/>
            <w:right w:w="108" w:type="dxa"/>
          </w:tblCellMar>
        </w:tblPrEx>
        <w:trPr>
          <w:trHeight w:val="216" w:hRule="atLeast"/>
          <w:jc w:val="center"/>
        </w:trPr>
        <w:tc>
          <w:tcPr>
            <w:tcW w:w="1620" w:type="dxa"/>
            <w:tcBorders>
              <w:top w:val="nil"/>
              <w:left w:val="nil"/>
              <w:bottom w:val="single" w:color="auto" w:sz="8" w:space="0"/>
              <w:right w:val="nil"/>
            </w:tcBorders>
            <w:vAlign w:val="center"/>
          </w:tcPr>
          <w:p>
            <w:pPr>
              <w:widowControl/>
              <w:spacing w:line="240" w:lineRule="auto"/>
              <w:jc w:val="center"/>
              <w:rPr>
                <w:rFonts w:ascii="Times New Roman" w:hAnsi="Times New Roman"/>
                <w:color w:val="000000"/>
                <w:sz w:val="18"/>
                <w:szCs w:val="18"/>
              </w:rPr>
            </w:pPr>
            <w:r>
              <w:rPr>
                <w:rFonts w:ascii="Times New Roman" w:hAnsi="Times New Roman"/>
                <w:color w:val="000000"/>
                <w:sz w:val="18"/>
                <w:szCs w:val="18"/>
              </w:rPr>
              <w:t>GDR</w:t>
            </w:r>
          </w:p>
        </w:tc>
        <w:tc>
          <w:tcPr>
            <w:tcW w:w="3456" w:type="dxa"/>
            <w:tcBorders>
              <w:top w:val="nil"/>
              <w:left w:val="nil"/>
              <w:bottom w:val="single" w:color="auto" w:sz="8" w:space="0"/>
              <w:right w:val="nil"/>
            </w:tcBorders>
            <w:vAlign w:val="center"/>
          </w:tcPr>
          <w:p>
            <w:pPr>
              <w:widowControl/>
              <w:jc w:val="center"/>
              <w:rPr>
                <w:rFonts w:ascii="Times New Roman" w:hAnsi="Times New Roman"/>
                <w:color w:val="000000"/>
                <w:sz w:val="18"/>
                <w:szCs w:val="18"/>
              </w:rPr>
            </w:pPr>
            <w:r>
              <w:rPr>
                <w:rFonts w:ascii="Times New Roman" w:hAnsi="Times New Roman"/>
                <w:color w:val="000000"/>
                <w:sz w:val="18"/>
                <w:szCs w:val="18"/>
              </w:rPr>
              <w:t>GGGTGGAGTCGTACTTGAGCATGT</w:t>
            </w:r>
          </w:p>
        </w:tc>
        <w:tc>
          <w:tcPr>
            <w:tcW w:w="1427" w:type="dxa"/>
            <w:vMerge w:val="continue"/>
            <w:tcBorders>
              <w:top w:val="single" w:color="auto" w:sz="8" w:space="0"/>
              <w:left w:val="nil"/>
              <w:bottom w:val="single" w:color="auto" w:sz="8" w:space="0"/>
            </w:tcBorders>
            <w:vAlign w:val="center"/>
          </w:tcPr>
          <w:p>
            <w:pPr>
              <w:widowControl/>
              <w:spacing w:line="240" w:lineRule="auto"/>
              <w:jc w:val="center"/>
              <w:rPr>
                <w:rFonts w:ascii="Times New Roman" w:hAnsi="Times New Roman"/>
                <w:color w:val="FF0000"/>
              </w:rPr>
            </w:pPr>
          </w:p>
        </w:tc>
        <w:tc>
          <w:tcPr>
            <w:tcW w:w="1701" w:type="dxa"/>
            <w:vMerge w:val="continue"/>
            <w:tcBorders>
              <w:top w:val="single" w:color="auto" w:sz="8" w:space="0"/>
              <w:bottom w:val="single" w:color="auto" w:sz="8" w:space="0"/>
              <w:right w:val="nil"/>
            </w:tcBorders>
            <w:vAlign w:val="center"/>
          </w:tcPr>
          <w:p>
            <w:pPr>
              <w:widowControl/>
              <w:spacing w:line="240" w:lineRule="auto"/>
              <w:jc w:val="center"/>
              <w:rPr>
                <w:rFonts w:ascii="Times New Roman" w:hAnsi="Times New Roman"/>
                <w:color w:val="FF0000"/>
                <w:kern w:val="0"/>
                <w:lang w:bidi="ar"/>
              </w:rPr>
            </w:pPr>
          </w:p>
        </w:tc>
      </w:tr>
    </w:tbl>
    <w:p>
      <w:pPr>
        <w:pStyle w:val="4"/>
        <w:adjustRightInd/>
        <w:snapToGrid w:val="0"/>
        <w:spacing w:before="120" w:after="120" w:line="259" w:lineRule="auto"/>
        <w:ind w:right="680"/>
        <w:jc w:val="left"/>
        <w:rPr>
          <w:rFonts w:ascii="楷体" w:hAnsi="楷体" w:eastAsia="楷体" w:cs="华文楷体"/>
          <w:bCs w:val="0"/>
          <w:kern w:val="0"/>
          <w:sz w:val="21"/>
          <w:szCs w:val="24"/>
        </w:rPr>
      </w:pPr>
    </w:p>
    <w:p>
      <w:pPr>
        <w:pStyle w:val="76"/>
        <w:numPr>
          <w:ilvl w:val="0"/>
          <w:numId w:val="0"/>
        </w:numPr>
        <w:spacing w:after="156"/>
        <w:jc w:val="both"/>
      </w:pPr>
    </w:p>
    <w:p>
      <w:pPr>
        <w:pStyle w:val="56"/>
        <w:spacing w:after="156"/>
        <w:ind w:firstLine="420"/>
      </w:pPr>
    </w:p>
    <w:p>
      <w:pPr>
        <w:pStyle w:val="56"/>
        <w:spacing w:after="156"/>
        <w:ind w:firstLine="420"/>
      </w:pPr>
    </w:p>
    <w:p>
      <w:pPr>
        <w:pStyle w:val="56"/>
        <w:spacing w:after="156"/>
        <w:ind w:firstLine="420"/>
      </w:pPr>
    </w:p>
    <w:p>
      <w:pPr>
        <w:pStyle w:val="56"/>
        <w:spacing w:after="156"/>
        <w:ind w:firstLine="420"/>
      </w:pPr>
    </w:p>
    <w:p>
      <w:pPr>
        <w:pStyle w:val="56"/>
        <w:spacing w:after="156"/>
        <w:ind w:firstLine="420"/>
      </w:pPr>
    </w:p>
    <w:p>
      <w:pPr>
        <w:pStyle w:val="56"/>
        <w:spacing w:after="156"/>
        <w:ind w:firstLine="420"/>
      </w:pPr>
    </w:p>
    <w:p>
      <w:pPr>
        <w:pStyle w:val="56"/>
        <w:spacing w:after="156"/>
        <w:ind w:firstLine="420"/>
      </w:pPr>
    </w:p>
    <w:p>
      <w:pPr>
        <w:pStyle w:val="56"/>
        <w:spacing w:after="156"/>
        <w:ind w:firstLine="420"/>
      </w:pPr>
    </w:p>
    <w:p>
      <w:pPr>
        <w:pStyle w:val="56"/>
        <w:spacing w:after="156"/>
        <w:ind w:firstLine="420"/>
      </w:pPr>
    </w:p>
    <w:p>
      <w:pPr>
        <w:pStyle w:val="56"/>
        <w:spacing w:after="156"/>
        <w:ind w:firstLine="420"/>
      </w:pPr>
    </w:p>
    <w:p>
      <w:pPr>
        <w:pStyle w:val="56"/>
        <w:spacing w:after="156"/>
        <w:ind w:firstLine="420"/>
      </w:pPr>
    </w:p>
    <w:p>
      <w:pPr>
        <w:pStyle w:val="56"/>
        <w:spacing w:after="156"/>
        <w:ind w:firstLine="420"/>
      </w:pPr>
    </w:p>
    <w:p>
      <w:pPr>
        <w:pStyle w:val="56"/>
        <w:spacing w:after="156"/>
        <w:ind w:firstLine="420"/>
      </w:pPr>
    </w:p>
    <w:p>
      <w:pPr>
        <w:pStyle w:val="56"/>
        <w:spacing w:after="156"/>
        <w:ind w:firstLine="0" w:firstLineChars="0"/>
      </w:pPr>
    </w:p>
    <w:p>
      <w:pPr>
        <w:pStyle w:val="76"/>
        <w:spacing w:before="0" w:afterLines="0"/>
        <w:ind w:left="0"/>
      </w:pPr>
      <w:r>
        <w:br w:type="textWrapping"/>
      </w:r>
      <w:bookmarkStart w:id="46" w:name="_Toc177034894"/>
      <w:r>
        <w:rPr>
          <w:rFonts w:hint="eastAsia"/>
        </w:rPr>
        <w:t>（资料性）</w:t>
      </w:r>
    </w:p>
    <w:p>
      <w:pPr>
        <w:pStyle w:val="76"/>
        <w:numPr>
          <w:ilvl w:val="0"/>
          <w:numId w:val="0"/>
        </w:numPr>
        <w:spacing w:before="0" w:afterLines="0"/>
      </w:pPr>
      <w:r>
        <w:rPr>
          <w:rFonts w:hint="eastAsia"/>
        </w:rPr>
        <w:t>大豆炭疽病的防控药剂及</w:t>
      </w:r>
      <w:bookmarkEnd w:id="46"/>
      <w:r>
        <w:rPr>
          <w:rFonts w:hint="eastAsia"/>
        </w:rPr>
        <w:t>施药方法</w:t>
      </w:r>
    </w:p>
    <w:p>
      <w:pPr>
        <w:pStyle w:val="56"/>
        <w:spacing w:after="156"/>
        <w:ind w:firstLine="420"/>
      </w:pPr>
    </w:p>
    <w:p>
      <w:pPr>
        <w:pStyle w:val="56"/>
        <w:ind w:firstLine="420"/>
      </w:pPr>
      <w:r>
        <w:rPr>
          <w:rFonts w:hint="eastAsia"/>
        </w:rPr>
        <w:t>大豆炭疽病的防控药剂及施药方法见表B.1。</w:t>
      </w:r>
    </w:p>
    <w:p>
      <w:pPr>
        <w:pStyle w:val="77"/>
        <w:numPr>
          <w:ilvl w:val="0"/>
          <w:numId w:val="0"/>
        </w:numPr>
        <w:spacing w:before="156" w:after="156"/>
        <w:ind w:left="2835"/>
        <w:jc w:val="both"/>
      </w:pPr>
      <w:r>
        <w:rPr>
          <w:rFonts w:hint="eastAsia"/>
        </w:rPr>
        <w:t>表B.1</w:t>
      </w:r>
      <w:r>
        <w:t xml:space="preserve"> </w:t>
      </w:r>
      <w:r>
        <w:rPr>
          <w:rFonts w:hint="eastAsia"/>
        </w:rPr>
        <w:t>大豆炭疽病的防控药剂及施药方法</w:t>
      </w:r>
    </w:p>
    <w:tbl>
      <w:tblPr>
        <w:tblStyle w:val="33"/>
        <w:tblW w:w="8679"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567"/>
        <w:gridCol w:w="2584"/>
        <w:gridCol w:w="2434"/>
        <w:gridCol w:w="1077"/>
        <w:gridCol w:w="967"/>
        <w:gridCol w:w="10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665" w:hRule="atLeast"/>
          <w:tblHeader/>
          <w:jc w:val="center"/>
        </w:trPr>
        <w:tc>
          <w:tcPr>
            <w:tcW w:w="567" w:type="dxa"/>
            <w:tcBorders>
              <w:top w:val="single" w:color="auto" w:sz="8" w:space="0"/>
            </w:tcBorders>
            <w:shd w:val="clear" w:color="auto" w:fill="auto"/>
            <w:vAlign w:val="center"/>
          </w:tcPr>
          <w:p>
            <w:pPr>
              <w:pStyle w:val="178"/>
            </w:pPr>
            <w:r>
              <w:rPr>
                <w:rFonts w:hint="eastAsia"/>
              </w:rPr>
              <w:t>序号</w:t>
            </w:r>
          </w:p>
        </w:tc>
        <w:tc>
          <w:tcPr>
            <w:tcW w:w="2584" w:type="dxa"/>
            <w:tcBorders>
              <w:top w:val="single" w:color="auto" w:sz="8" w:space="0"/>
            </w:tcBorders>
            <w:shd w:val="clear" w:color="auto" w:fill="auto"/>
            <w:vAlign w:val="center"/>
          </w:tcPr>
          <w:p>
            <w:pPr>
              <w:pStyle w:val="178"/>
            </w:pPr>
            <w:r>
              <w:rPr>
                <w:rFonts w:hint="eastAsia"/>
              </w:rPr>
              <w:t>农药名称</w:t>
            </w:r>
          </w:p>
        </w:tc>
        <w:tc>
          <w:tcPr>
            <w:tcW w:w="2434" w:type="dxa"/>
            <w:tcBorders>
              <w:top w:val="single" w:color="auto" w:sz="8" w:space="0"/>
            </w:tcBorders>
            <w:shd w:val="clear" w:color="auto" w:fill="auto"/>
            <w:vAlign w:val="center"/>
          </w:tcPr>
          <w:p>
            <w:pPr>
              <w:pStyle w:val="178"/>
            </w:pPr>
            <w:r>
              <w:rPr>
                <w:rFonts w:hint="eastAsia"/>
              </w:rPr>
              <w:t>使用剂量或稀释倍数</w:t>
            </w:r>
          </w:p>
        </w:tc>
        <w:tc>
          <w:tcPr>
            <w:tcW w:w="1077" w:type="dxa"/>
            <w:tcBorders>
              <w:top w:val="single" w:color="auto" w:sz="8" w:space="0"/>
            </w:tcBorders>
            <w:shd w:val="clear" w:color="auto" w:fill="auto"/>
            <w:vAlign w:val="center"/>
          </w:tcPr>
          <w:p>
            <w:pPr>
              <w:pStyle w:val="178"/>
            </w:pPr>
            <w:r>
              <w:rPr>
                <w:rFonts w:hint="eastAsia"/>
              </w:rPr>
              <w:t>施药方式</w:t>
            </w:r>
          </w:p>
        </w:tc>
        <w:tc>
          <w:tcPr>
            <w:tcW w:w="967" w:type="dxa"/>
            <w:tcBorders>
              <w:top w:val="single" w:color="auto" w:sz="8" w:space="0"/>
            </w:tcBorders>
            <w:shd w:val="clear" w:color="auto" w:fill="auto"/>
            <w:vAlign w:val="center"/>
          </w:tcPr>
          <w:p>
            <w:pPr>
              <w:pStyle w:val="178"/>
            </w:pPr>
            <w:r>
              <w:rPr>
                <w:rFonts w:hint="eastAsia"/>
              </w:rPr>
              <w:t>使用次数</w:t>
            </w:r>
          </w:p>
        </w:tc>
        <w:tc>
          <w:tcPr>
            <w:tcW w:w="1050" w:type="dxa"/>
            <w:tcBorders>
              <w:top w:val="single" w:color="auto" w:sz="8" w:space="0"/>
            </w:tcBorders>
            <w:shd w:val="clear" w:color="auto" w:fill="auto"/>
            <w:vAlign w:val="center"/>
          </w:tcPr>
          <w:p>
            <w:pPr>
              <w:pStyle w:val="178"/>
            </w:pPr>
            <w:r>
              <w:t>备注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526" w:hRule="atLeast"/>
          <w:tblHeader/>
          <w:jc w:val="center"/>
        </w:trPr>
        <w:tc>
          <w:tcPr>
            <w:tcW w:w="567" w:type="dxa"/>
            <w:tcBorders>
              <w:top w:val="single" w:color="auto" w:sz="8" w:space="0"/>
            </w:tcBorders>
            <w:shd w:val="clear" w:color="auto" w:fill="auto"/>
            <w:vAlign w:val="center"/>
          </w:tcPr>
          <w:p>
            <w:pPr>
              <w:pStyle w:val="178"/>
            </w:pPr>
            <w:r>
              <w:t>1</w:t>
            </w:r>
          </w:p>
        </w:tc>
        <w:tc>
          <w:tcPr>
            <w:tcW w:w="2584" w:type="dxa"/>
            <w:tcBorders>
              <w:top w:val="single" w:color="auto" w:sz="8" w:space="0"/>
            </w:tcBorders>
            <w:shd w:val="clear" w:color="auto" w:fill="auto"/>
            <w:vAlign w:val="center"/>
          </w:tcPr>
          <w:p>
            <w:pPr>
              <w:pStyle w:val="178"/>
              <w:rPr>
                <w:rFonts w:ascii="Times New Roman"/>
              </w:rPr>
            </w:pPr>
            <w:r>
              <w:rPr>
                <w:rFonts w:ascii="Times New Roman"/>
              </w:rPr>
              <w:t>25%噻虫·咯·霜灵悬浮种衣剂</w:t>
            </w:r>
          </w:p>
        </w:tc>
        <w:tc>
          <w:tcPr>
            <w:tcW w:w="2434" w:type="dxa"/>
            <w:tcBorders>
              <w:top w:val="single" w:color="auto" w:sz="8" w:space="0"/>
            </w:tcBorders>
            <w:shd w:val="clear" w:color="auto" w:fill="auto"/>
            <w:vAlign w:val="center"/>
          </w:tcPr>
          <w:p>
            <w:pPr>
              <w:pStyle w:val="178"/>
              <w:rPr>
                <w:rFonts w:ascii="Times New Roman"/>
              </w:rPr>
            </w:pPr>
            <w:r>
              <w:rPr>
                <w:rFonts w:ascii="Times New Roman"/>
              </w:rPr>
              <w:t>500～700 mL/100 Kg种子</w:t>
            </w:r>
          </w:p>
        </w:tc>
        <w:tc>
          <w:tcPr>
            <w:tcW w:w="1077" w:type="dxa"/>
            <w:tcBorders>
              <w:top w:val="single" w:color="auto" w:sz="8" w:space="0"/>
            </w:tcBorders>
            <w:shd w:val="clear" w:color="auto" w:fill="auto"/>
            <w:vAlign w:val="center"/>
          </w:tcPr>
          <w:p>
            <w:pPr>
              <w:pStyle w:val="178"/>
              <w:rPr>
                <w:rFonts w:ascii="Times New Roman"/>
              </w:rPr>
            </w:pPr>
            <w:r>
              <w:rPr>
                <w:rFonts w:ascii="Times New Roman"/>
              </w:rPr>
              <w:t>拌种</w:t>
            </w:r>
          </w:p>
        </w:tc>
        <w:tc>
          <w:tcPr>
            <w:tcW w:w="967" w:type="dxa"/>
            <w:tcBorders>
              <w:top w:val="single" w:color="auto" w:sz="8" w:space="0"/>
            </w:tcBorders>
            <w:shd w:val="clear" w:color="auto" w:fill="auto"/>
            <w:vAlign w:val="center"/>
          </w:tcPr>
          <w:p>
            <w:pPr>
              <w:pStyle w:val="178"/>
              <w:rPr>
                <w:rFonts w:ascii="Times New Roman"/>
              </w:rPr>
            </w:pPr>
            <w:r>
              <w:rPr>
                <w:rFonts w:ascii="Times New Roman"/>
              </w:rPr>
              <w:t>1</w:t>
            </w:r>
          </w:p>
        </w:tc>
        <w:tc>
          <w:tcPr>
            <w:tcW w:w="1050" w:type="dxa"/>
            <w:tcBorders>
              <w:top w:val="single" w:color="auto" w:sz="8" w:space="0"/>
            </w:tcBorders>
            <w:shd w:val="clear" w:color="auto" w:fill="auto"/>
            <w:vAlign w:val="center"/>
          </w:tcPr>
          <w:p>
            <w:pPr>
              <w:pStyle w:val="178"/>
            </w:pPr>
            <w:r>
              <w:rPr>
                <w:rFonts w:hint="eastAsia"/>
              </w:rPr>
              <w:t>化学农药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67" w:type="dxa"/>
            <w:shd w:val="clear" w:color="auto" w:fill="auto"/>
            <w:vAlign w:val="center"/>
          </w:tcPr>
          <w:p>
            <w:pPr>
              <w:pStyle w:val="178"/>
            </w:pPr>
            <w:r>
              <w:t>2</w:t>
            </w:r>
          </w:p>
        </w:tc>
        <w:tc>
          <w:tcPr>
            <w:tcW w:w="2584" w:type="dxa"/>
            <w:shd w:val="clear" w:color="auto" w:fill="auto"/>
            <w:vAlign w:val="center"/>
          </w:tcPr>
          <w:p>
            <w:pPr>
              <w:pStyle w:val="178"/>
              <w:rPr>
                <w:rFonts w:ascii="Times New Roman"/>
              </w:rPr>
            </w:pPr>
            <w:r>
              <w:rPr>
                <w:rFonts w:ascii="Times New Roman"/>
              </w:rPr>
              <w:t>30%</w:t>
            </w:r>
            <w:r>
              <w:rPr>
                <w:rFonts w:ascii="Times New Roman"/>
                <w:szCs w:val="21"/>
              </w:rPr>
              <w:t>吡唑醚菌酯悬浮剂</w:t>
            </w:r>
          </w:p>
        </w:tc>
        <w:tc>
          <w:tcPr>
            <w:tcW w:w="2434" w:type="dxa"/>
            <w:shd w:val="clear" w:color="auto" w:fill="auto"/>
            <w:vAlign w:val="center"/>
          </w:tcPr>
          <w:p>
            <w:pPr>
              <w:pStyle w:val="178"/>
              <w:rPr>
                <w:rFonts w:ascii="Times New Roman"/>
              </w:rPr>
            </w:pPr>
            <w:r>
              <w:rPr>
                <w:rFonts w:ascii="Times New Roman"/>
              </w:rPr>
              <w:t>25～35 mL/亩</w:t>
            </w:r>
          </w:p>
        </w:tc>
        <w:tc>
          <w:tcPr>
            <w:tcW w:w="1077" w:type="dxa"/>
            <w:shd w:val="clear" w:color="auto" w:fill="auto"/>
            <w:vAlign w:val="center"/>
          </w:tcPr>
          <w:p>
            <w:pPr>
              <w:pStyle w:val="178"/>
              <w:rPr>
                <w:rFonts w:ascii="Times New Roman"/>
              </w:rPr>
            </w:pPr>
            <w:r>
              <w:rPr>
                <w:rFonts w:ascii="Times New Roman"/>
              </w:rPr>
              <w:t>喷雾</w:t>
            </w:r>
          </w:p>
        </w:tc>
        <w:tc>
          <w:tcPr>
            <w:tcW w:w="967" w:type="dxa"/>
            <w:shd w:val="clear" w:color="auto" w:fill="auto"/>
            <w:vAlign w:val="center"/>
          </w:tcPr>
          <w:p>
            <w:pPr>
              <w:pStyle w:val="178"/>
              <w:rPr>
                <w:rFonts w:ascii="Times New Roman"/>
              </w:rPr>
            </w:pPr>
            <w:r>
              <w:rPr>
                <w:rFonts w:ascii="Times New Roman"/>
              </w:rPr>
              <w:t>2~3</w:t>
            </w:r>
          </w:p>
        </w:tc>
        <w:tc>
          <w:tcPr>
            <w:tcW w:w="1050" w:type="dxa"/>
            <w:shd w:val="clear" w:color="auto" w:fill="auto"/>
            <w:vAlign w:val="center"/>
          </w:tcPr>
          <w:p>
            <w:pPr>
              <w:pStyle w:val="178"/>
              <w:rPr>
                <w:rFonts w:hAnsi="宋体" w:cs="宋体"/>
              </w:rPr>
            </w:pPr>
            <w:r>
              <w:rPr>
                <w:rFonts w:hint="eastAsia"/>
              </w:rPr>
              <w:t>化学农药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67" w:type="dxa"/>
            <w:shd w:val="clear" w:color="auto" w:fill="auto"/>
            <w:vAlign w:val="center"/>
          </w:tcPr>
          <w:p>
            <w:pPr>
              <w:pStyle w:val="178"/>
            </w:pPr>
            <w:r>
              <w:t>3</w:t>
            </w:r>
          </w:p>
        </w:tc>
        <w:tc>
          <w:tcPr>
            <w:tcW w:w="2584" w:type="dxa"/>
            <w:shd w:val="clear" w:color="auto" w:fill="auto"/>
            <w:vAlign w:val="center"/>
          </w:tcPr>
          <w:p>
            <w:pPr>
              <w:pStyle w:val="178"/>
              <w:rPr>
                <w:rFonts w:ascii="Times New Roman"/>
              </w:rPr>
            </w:pPr>
            <w:r>
              <w:rPr>
                <w:rFonts w:ascii="Times New Roman"/>
                <w:szCs w:val="21"/>
              </w:rPr>
              <w:t>38%唑醚·戊唑醇悬浮剂</w:t>
            </w:r>
          </w:p>
        </w:tc>
        <w:tc>
          <w:tcPr>
            <w:tcW w:w="2434" w:type="dxa"/>
            <w:shd w:val="clear" w:color="auto" w:fill="auto"/>
            <w:vAlign w:val="center"/>
          </w:tcPr>
          <w:p>
            <w:pPr>
              <w:pStyle w:val="178"/>
              <w:rPr>
                <w:rFonts w:ascii="Times New Roman"/>
              </w:rPr>
            </w:pPr>
            <w:r>
              <w:rPr>
                <w:rFonts w:ascii="Times New Roman"/>
              </w:rPr>
              <w:t>25～35 mL/亩</w:t>
            </w:r>
          </w:p>
        </w:tc>
        <w:tc>
          <w:tcPr>
            <w:tcW w:w="1077" w:type="dxa"/>
            <w:shd w:val="clear" w:color="auto" w:fill="auto"/>
            <w:vAlign w:val="center"/>
          </w:tcPr>
          <w:p>
            <w:pPr>
              <w:pStyle w:val="178"/>
              <w:rPr>
                <w:rFonts w:ascii="Times New Roman"/>
              </w:rPr>
            </w:pPr>
            <w:r>
              <w:rPr>
                <w:rFonts w:ascii="Times New Roman"/>
              </w:rPr>
              <w:t>喷雾</w:t>
            </w:r>
          </w:p>
        </w:tc>
        <w:tc>
          <w:tcPr>
            <w:tcW w:w="967" w:type="dxa"/>
            <w:shd w:val="clear" w:color="auto" w:fill="auto"/>
            <w:vAlign w:val="center"/>
          </w:tcPr>
          <w:p>
            <w:pPr>
              <w:pStyle w:val="178"/>
              <w:rPr>
                <w:rFonts w:ascii="Times New Roman"/>
              </w:rPr>
            </w:pPr>
            <w:r>
              <w:rPr>
                <w:rFonts w:ascii="Times New Roman"/>
              </w:rPr>
              <w:t>2~3</w:t>
            </w:r>
          </w:p>
        </w:tc>
        <w:tc>
          <w:tcPr>
            <w:tcW w:w="1050" w:type="dxa"/>
            <w:shd w:val="clear" w:color="auto" w:fill="auto"/>
            <w:vAlign w:val="center"/>
          </w:tcPr>
          <w:p>
            <w:pPr>
              <w:pStyle w:val="178"/>
              <w:rPr>
                <w:rFonts w:hAnsi="宋体" w:cs="宋体"/>
              </w:rPr>
            </w:pPr>
            <w:r>
              <w:rPr>
                <w:rFonts w:hint="eastAsia"/>
              </w:rPr>
              <w:t>化学农药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67" w:type="dxa"/>
            <w:shd w:val="clear" w:color="auto" w:fill="auto"/>
            <w:vAlign w:val="center"/>
          </w:tcPr>
          <w:p>
            <w:pPr>
              <w:pStyle w:val="178"/>
            </w:pPr>
            <w:r>
              <w:t>4</w:t>
            </w:r>
          </w:p>
        </w:tc>
        <w:tc>
          <w:tcPr>
            <w:tcW w:w="2584" w:type="dxa"/>
            <w:shd w:val="clear" w:color="auto" w:fill="auto"/>
            <w:vAlign w:val="center"/>
          </w:tcPr>
          <w:p>
            <w:pPr>
              <w:pStyle w:val="178"/>
              <w:rPr>
                <w:rFonts w:ascii="Times New Roman"/>
              </w:rPr>
            </w:pPr>
            <w:r>
              <w:rPr>
                <w:rFonts w:ascii="Times New Roman"/>
                <w:szCs w:val="21"/>
              </w:rPr>
              <w:t>30%苯甲·丙环唑乳油</w:t>
            </w:r>
          </w:p>
        </w:tc>
        <w:tc>
          <w:tcPr>
            <w:tcW w:w="2434" w:type="dxa"/>
            <w:shd w:val="clear" w:color="auto" w:fill="auto"/>
            <w:vAlign w:val="center"/>
          </w:tcPr>
          <w:p>
            <w:pPr>
              <w:pStyle w:val="178"/>
              <w:rPr>
                <w:rFonts w:ascii="Times New Roman"/>
              </w:rPr>
            </w:pPr>
            <w:r>
              <w:rPr>
                <w:rFonts w:ascii="Times New Roman"/>
              </w:rPr>
              <w:t>15～25 mL/亩</w:t>
            </w:r>
          </w:p>
        </w:tc>
        <w:tc>
          <w:tcPr>
            <w:tcW w:w="1077" w:type="dxa"/>
            <w:shd w:val="clear" w:color="auto" w:fill="auto"/>
            <w:vAlign w:val="center"/>
          </w:tcPr>
          <w:p>
            <w:pPr>
              <w:pStyle w:val="178"/>
              <w:rPr>
                <w:rFonts w:ascii="Times New Roman"/>
              </w:rPr>
            </w:pPr>
            <w:r>
              <w:rPr>
                <w:rFonts w:ascii="Times New Roman"/>
              </w:rPr>
              <w:t>喷雾</w:t>
            </w:r>
          </w:p>
        </w:tc>
        <w:tc>
          <w:tcPr>
            <w:tcW w:w="967" w:type="dxa"/>
            <w:shd w:val="clear" w:color="auto" w:fill="auto"/>
            <w:vAlign w:val="center"/>
          </w:tcPr>
          <w:p>
            <w:pPr>
              <w:pStyle w:val="178"/>
              <w:rPr>
                <w:rFonts w:ascii="Times New Roman"/>
              </w:rPr>
            </w:pPr>
            <w:r>
              <w:rPr>
                <w:rFonts w:ascii="Times New Roman"/>
              </w:rPr>
              <w:t>2~3</w:t>
            </w:r>
          </w:p>
        </w:tc>
        <w:tc>
          <w:tcPr>
            <w:tcW w:w="1050" w:type="dxa"/>
            <w:shd w:val="clear" w:color="auto" w:fill="auto"/>
            <w:vAlign w:val="center"/>
          </w:tcPr>
          <w:p>
            <w:pPr>
              <w:pStyle w:val="178"/>
              <w:rPr>
                <w:rFonts w:hAnsi="宋体" w:cs="宋体"/>
              </w:rPr>
            </w:pPr>
            <w:r>
              <w:rPr>
                <w:rFonts w:hint="eastAsia"/>
              </w:rPr>
              <w:t>化学农药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67" w:type="dxa"/>
            <w:shd w:val="clear" w:color="auto" w:fill="auto"/>
            <w:vAlign w:val="center"/>
          </w:tcPr>
          <w:p>
            <w:pPr>
              <w:pStyle w:val="178"/>
            </w:pPr>
            <w:r>
              <w:t>5</w:t>
            </w:r>
          </w:p>
        </w:tc>
        <w:tc>
          <w:tcPr>
            <w:tcW w:w="2584" w:type="dxa"/>
            <w:shd w:val="clear" w:color="auto" w:fill="auto"/>
            <w:vAlign w:val="center"/>
          </w:tcPr>
          <w:p>
            <w:pPr>
              <w:pStyle w:val="178"/>
              <w:rPr>
                <w:rFonts w:ascii="Times New Roman"/>
                <w:color w:val="FF0000"/>
              </w:rPr>
            </w:pPr>
            <w:r>
              <w:rPr>
                <w:rFonts w:ascii="Times New Roman"/>
                <w:szCs w:val="21"/>
              </w:rPr>
              <w:t>325 g/L苯甲·嘧菌酯悬浮剂</w:t>
            </w:r>
          </w:p>
        </w:tc>
        <w:tc>
          <w:tcPr>
            <w:tcW w:w="2434" w:type="dxa"/>
            <w:shd w:val="clear" w:color="auto" w:fill="auto"/>
            <w:vAlign w:val="center"/>
          </w:tcPr>
          <w:p>
            <w:pPr>
              <w:pStyle w:val="178"/>
              <w:rPr>
                <w:rFonts w:ascii="Times New Roman"/>
              </w:rPr>
            </w:pPr>
            <w:r>
              <w:rPr>
                <w:rFonts w:ascii="Times New Roman"/>
              </w:rPr>
              <w:t>30～50 mL/亩</w:t>
            </w:r>
          </w:p>
        </w:tc>
        <w:tc>
          <w:tcPr>
            <w:tcW w:w="1077" w:type="dxa"/>
            <w:shd w:val="clear" w:color="auto" w:fill="auto"/>
            <w:vAlign w:val="center"/>
          </w:tcPr>
          <w:p>
            <w:pPr>
              <w:pStyle w:val="178"/>
              <w:rPr>
                <w:rFonts w:ascii="Times New Roman"/>
              </w:rPr>
            </w:pPr>
            <w:r>
              <w:rPr>
                <w:rFonts w:ascii="Times New Roman"/>
              </w:rPr>
              <w:t>喷雾</w:t>
            </w:r>
          </w:p>
        </w:tc>
        <w:tc>
          <w:tcPr>
            <w:tcW w:w="967" w:type="dxa"/>
            <w:shd w:val="clear" w:color="auto" w:fill="auto"/>
            <w:vAlign w:val="center"/>
          </w:tcPr>
          <w:p>
            <w:pPr>
              <w:pStyle w:val="178"/>
              <w:rPr>
                <w:rFonts w:ascii="Times New Roman"/>
              </w:rPr>
            </w:pPr>
            <w:r>
              <w:rPr>
                <w:rFonts w:ascii="Times New Roman"/>
              </w:rPr>
              <w:t>2~3</w:t>
            </w:r>
          </w:p>
        </w:tc>
        <w:tc>
          <w:tcPr>
            <w:tcW w:w="1050" w:type="dxa"/>
            <w:shd w:val="clear" w:color="auto" w:fill="auto"/>
            <w:vAlign w:val="center"/>
          </w:tcPr>
          <w:p>
            <w:pPr>
              <w:pStyle w:val="178"/>
            </w:pPr>
            <w:r>
              <w:rPr>
                <w:rFonts w:hint="eastAsia"/>
              </w:rPr>
              <w:t>化学农药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67" w:type="dxa"/>
            <w:shd w:val="clear" w:color="auto" w:fill="auto"/>
            <w:vAlign w:val="center"/>
          </w:tcPr>
          <w:p>
            <w:pPr>
              <w:pStyle w:val="178"/>
            </w:pPr>
            <w:r>
              <w:t>6</w:t>
            </w:r>
          </w:p>
        </w:tc>
        <w:tc>
          <w:tcPr>
            <w:tcW w:w="2584" w:type="dxa"/>
            <w:shd w:val="clear" w:color="auto" w:fill="auto"/>
            <w:vAlign w:val="center"/>
          </w:tcPr>
          <w:p>
            <w:pPr>
              <w:pStyle w:val="178"/>
              <w:rPr>
                <w:rFonts w:ascii="Times New Roman"/>
                <w:color w:val="FF0000"/>
              </w:rPr>
            </w:pPr>
            <w:r>
              <w:rPr>
                <w:rFonts w:ascii="Times New Roman"/>
                <w:szCs w:val="21"/>
              </w:rPr>
              <w:t>10%苯醚甲环唑水分散粒剂</w:t>
            </w:r>
          </w:p>
        </w:tc>
        <w:tc>
          <w:tcPr>
            <w:tcW w:w="2434" w:type="dxa"/>
            <w:shd w:val="clear" w:color="auto" w:fill="auto"/>
            <w:vAlign w:val="center"/>
          </w:tcPr>
          <w:p>
            <w:pPr>
              <w:pStyle w:val="178"/>
              <w:rPr>
                <w:rFonts w:ascii="Times New Roman"/>
              </w:rPr>
            </w:pPr>
            <w:r>
              <w:rPr>
                <w:rFonts w:ascii="Times New Roman"/>
              </w:rPr>
              <w:t>65～80 g/亩</w:t>
            </w:r>
          </w:p>
        </w:tc>
        <w:tc>
          <w:tcPr>
            <w:tcW w:w="1077" w:type="dxa"/>
            <w:shd w:val="clear" w:color="auto" w:fill="auto"/>
            <w:vAlign w:val="center"/>
          </w:tcPr>
          <w:p>
            <w:pPr>
              <w:pStyle w:val="178"/>
              <w:rPr>
                <w:rFonts w:ascii="Times New Roman"/>
              </w:rPr>
            </w:pPr>
            <w:r>
              <w:rPr>
                <w:rFonts w:ascii="Times New Roman"/>
              </w:rPr>
              <w:t>喷雾</w:t>
            </w:r>
          </w:p>
        </w:tc>
        <w:tc>
          <w:tcPr>
            <w:tcW w:w="967" w:type="dxa"/>
            <w:shd w:val="clear" w:color="auto" w:fill="auto"/>
            <w:vAlign w:val="center"/>
          </w:tcPr>
          <w:p>
            <w:pPr>
              <w:pStyle w:val="178"/>
              <w:rPr>
                <w:rFonts w:ascii="Times New Roman"/>
              </w:rPr>
            </w:pPr>
            <w:r>
              <w:rPr>
                <w:rFonts w:ascii="Times New Roman"/>
              </w:rPr>
              <w:t>2~3</w:t>
            </w:r>
          </w:p>
        </w:tc>
        <w:tc>
          <w:tcPr>
            <w:tcW w:w="1050" w:type="dxa"/>
            <w:shd w:val="clear" w:color="auto" w:fill="auto"/>
            <w:vAlign w:val="center"/>
          </w:tcPr>
          <w:p>
            <w:pPr>
              <w:pStyle w:val="178"/>
            </w:pPr>
            <w:r>
              <w:rPr>
                <w:rFonts w:hint="eastAsia"/>
              </w:rPr>
              <w:t>化学农药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67" w:type="dxa"/>
            <w:shd w:val="clear" w:color="auto" w:fill="auto"/>
            <w:vAlign w:val="center"/>
          </w:tcPr>
          <w:p>
            <w:pPr>
              <w:pStyle w:val="178"/>
            </w:pPr>
            <w:r>
              <w:t>7</w:t>
            </w:r>
          </w:p>
        </w:tc>
        <w:tc>
          <w:tcPr>
            <w:tcW w:w="2584" w:type="dxa"/>
            <w:shd w:val="clear" w:color="auto" w:fill="auto"/>
            <w:vAlign w:val="center"/>
          </w:tcPr>
          <w:p>
            <w:pPr>
              <w:pStyle w:val="178"/>
              <w:rPr>
                <w:rFonts w:ascii="Times New Roman"/>
                <w:szCs w:val="21"/>
              </w:rPr>
            </w:pPr>
            <w:r>
              <w:rPr>
                <w:rFonts w:ascii="Times New Roman"/>
              </w:rPr>
              <w:t>35%</w:t>
            </w:r>
            <w:r>
              <w:rPr>
                <w:rFonts w:ascii="Times New Roman"/>
                <w:szCs w:val="21"/>
              </w:rPr>
              <w:t>氟菌·戊唑醇悬浮剂</w:t>
            </w:r>
          </w:p>
        </w:tc>
        <w:tc>
          <w:tcPr>
            <w:tcW w:w="2434" w:type="dxa"/>
            <w:shd w:val="clear" w:color="auto" w:fill="auto"/>
            <w:vAlign w:val="center"/>
          </w:tcPr>
          <w:p>
            <w:pPr>
              <w:pStyle w:val="178"/>
              <w:rPr>
                <w:rFonts w:ascii="Times New Roman"/>
              </w:rPr>
            </w:pPr>
            <w:r>
              <w:rPr>
                <w:rFonts w:ascii="Times New Roman"/>
              </w:rPr>
              <w:t>25～30 mL/亩</w:t>
            </w:r>
          </w:p>
        </w:tc>
        <w:tc>
          <w:tcPr>
            <w:tcW w:w="1077" w:type="dxa"/>
            <w:shd w:val="clear" w:color="auto" w:fill="auto"/>
            <w:vAlign w:val="center"/>
          </w:tcPr>
          <w:p>
            <w:pPr>
              <w:pStyle w:val="178"/>
              <w:rPr>
                <w:rFonts w:ascii="Times New Roman"/>
              </w:rPr>
            </w:pPr>
            <w:r>
              <w:rPr>
                <w:rFonts w:ascii="Times New Roman"/>
              </w:rPr>
              <w:t>喷雾</w:t>
            </w:r>
          </w:p>
        </w:tc>
        <w:tc>
          <w:tcPr>
            <w:tcW w:w="967" w:type="dxa"/>
            <w:shd w:val="clear" w:color="auto" w:fill="auto"/>
            <w:vAlign w:val="center"/>
          </w:tcPr>
          <w:p>
            <w:pPr>
              <w:pStyle w:val="178"/>
              <w:rPr>
                <w:rFonts w:ascii="Times New Roman"/>
              </w:rPr>
            </w:pPr>
            <w:r>
              <w:rPr>
                <w:rFonts w:ascii="Times New Roman"/>
              </w:rPr>
              <w:t>2~3</w:t>
            </w:r>
          </w:p>
        </w:tc>
        <w:tc>
          <w:tcPr>
            <w:tcW w:w="1050" w:type="dxa"/>
            <w:shd w:val="clear" w:color="auto" w:fill="auto"/>
            <w:vAlign w:val="center"/>
          </w:tcPr>
          <w:p>
            <w:pPr>
              <w:pStyle w:val="178"/>
            </w:pPr>
            <w:r>
              <w:rPr>
                <w:rFonts w:hint="eastAsia"/>
              </w:rPr>
              <w:t>化学</w:t>
            </w:r>
            <w:r>
              <w:t>农药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67" w:type="dxa"/>
            <w:shd w:val="clear" w:color="auto" w:fill="auto"/>
            <w:vAlign w:val="center"/>
          </w:tcPr>
          <w:p>
            <w:pPr>
              <w:pStyle w:val="178"/>
            </w:pPr>
            <w:r>
              <w:t>8</w:t>
            </w:r>
          </w:p>
        </w:tc>
        <w:tc>
          <w:tcPr>
            <w:tcW w:w="2584" w:type="dxa"/>
            <w:shd w:val="clear" w:color="auto" w:fill="auto"/>
            <w:vAlign w:val="center"/>
          </w:tcPr>
          <w:p>
            <w:pPr>
              <w:pStyle w:val="178"/>
              <w:rPr>
                <w:rFonts w:ascii="Times New Roman"/>
                <w:color w:val="FF0000"/>
              </w:rPr>
            </w:pPr>
            <w:r>
              <w:rPr>
                <w:rFonts w:ascii="Times New Roman"/>
                <w:szCs w:val="21"/>
              </w:rPr>
              <w:t>42.4%唑醚·氟酰胺悬浮剂</w:t>
            </w:r>
          </w:p>
        </w:tc>
        <w:tc>
          <w:tcPr>
            <w:tcW w:w="2434" w:type="dxa"/>
            <w:shd w:val="clear" w:color="auto" w:fill="auto"/>
            <w:vAlign w:val="center"/>
          </w:tcPr>
          <w:p>
            <w:pPr>
              <w:pStyle w:val="178"/>
              <w:rPr>
                <w:rFonts w:ascii="Times New Roman"/>
              </w:rPr>
            </w:pPr>
            <w:r>
              <w:rPr>
                <w:rFonts w:ascii="Times New Roman"/>
              </w:rPr>
              <w:t>20～26 mL/亩</w:t>
            </w:r>
          </w:p>
        </w:tc>
        <w:tc>
          <w:tcPr>
            <w:tcW w:w="1077" w:type="dxa"/>
            <w:shd w:val="clear" w:color="auto" w:fill="auto"/>
            <w:vAlign w:val="center"/>
          </w:tcPr>
          <w:p>
            <w:pPr>
              <w:pStyle w:val="178"/>
              <w:rPr>
                <w:rFonts w:ascii="Times New Roman"/>
              </w:rPr>
            </w:pPr>
            <w:r>
              <w:rPr>
                <w:rFonts w:ascii="Times New Roman"/>
              </w:rPr>
              <w:t>喷雾</w:t>
            </w:r>
          </w:p>
        </w:tc>
        <w:tc>
          <w:tcPr>
            <w:tcW w:w="967" w:type="dxa"/>
            <w:shd w:val="clear" w:color="auto" w:fill="auto"/>
            <w:vAlign w:val="center"/>
          </w:tcPr>
          <w:p>
            <w:pPr>
              <w:pStyle w:val="178"/>
              <w:rPr>
                <w:rFonts w:ascii="Times New Roman"/>
              </w:rPr>
            </w:pPr>
            <w:r>
              <w:rPr>
                <w:rFonts w:ascii="Times New Roman"/>
              </w:rPr>
              <w:t>2~3</w:t>
            </w:r>
          </w:p>
        </w:tc>
        <w:tc>
          <w:tcPr>
            <w:tcW w:w="1050" w:type="dxa"/>
            <w:shd w:val="clear" w:color="auto" w:fill="auto"/>
            <w:vAlign w:val="center"/>
          </w:tcPr>
          <w:p>
            <w:pPr>
              <w:pStyle w:val="178"/>
            </w:pPr>
            <w:r>
              <w:rPr>
                <w:rFonts w:hint="eastAsia"/>
              </w:rPr>
              <w:t>化学</w:t>
            </w:r>
            <w:r>
              <w:t>农药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67" w:type="dxa"/>
            <w:shd w:val="clear" w:color="auto" w:fill="auto"/>
            <w:vAlign w:val="center"/>
          </w:tcPr>
          <w:p>
            <w:pPr>
              <w:pStyle w:val="178"/>
            </w:pPr>
            <w:r>
              <w:t>9</w:t>
            </w:r>
          </w:p>
        </w:tc>
        <w:tc>
          <w:tcPr>
            <w:tcW w:w="2584" w:type="dxa"/>
            <w:shd w:val="clear" w:color="auto" w:fill="auto"/>
            <w:vAlign w:val="center"/>
          </w:tcPr>
          <w:p>
            <w:pPr>
              <w:pStyle w:val="178"/>
              <w:rPr>
                <w:rFonts w:ascii="Times New Roman"/>
                <w:color w:val="0000FF"/>
              </w:rPr>
            </w:pPr>
            <w:r>
              <w:rPr>
                <w:rFonts w:ascii="Times New Roman"/>
                <w:szCs w:val="21"/>
              </w:rPr>
              <w:t>2%氨基寡糖素水剂</w:t>
            </w:r>
          </w:p>
        </w:tc>
        <w:tc>
          <w:tcPr>
            <w:tcW w:w="2434" w:type="dxa"/>
            <w:shd w:val="clear" w:color="auto" w:fill="auto"/>
            <w:vAlign w:val="center"/>
          </w:tcPr>
          <w:p>
            <w:pPr>
              <w:pStyle w:val="178"/>
              <w:rPr>
                <w:rFonts w:ascii="Times New Roman"/>
              </w:rPr>
            </w:pPr>
            <w:r>
              <w:rPr>
                <w:rFonts w:ascii="Times New Roman"/>
              </w:rPr>
              <w:t>125～245 mL/亩</w:t>
            </w:r>
          </w:p>
        </w:tc>
        <w:tc>
          <w:tcPr>
            <w:tcW w:w="1077" w:type="dxa"/>
            <w:shd w:val="clear" w:color="auto" w:fill="auto"/>
            <w:vAlign w:val="center"/>
          </w:tcPr>
          <w:p>
            <w:pPr>
              <w:pStyle w:val="178"/>
              <w:rPr>
                <w:rFonts w:ascii="Times New Roman"/>
              </w:rPr>
            </w:pPr>
            <w:r>
              <w:rPr>
                <w:rFonts w:ascii="Times New Roman"/>
              </w:rPr>
              <w:t>喷雾</w:t>
            </w:r>
          </w:p>
        </w:tc>
        <w:tc>
          <w:tcPr>
            <w:tcW w:w="967" w:type="dxa"/>
            <w:shd w:val="clear" w:color="auto" w:fill="auto"/>
            <w:vAlign w:val="center"/>
          </w:tcPr>
          <w:p>
            <w:pPr>
              <w:pStyle w:val="178"/>
              <w:rPr>
                <w:rFonts w:ascii="Times New Roman"/>
              </w:rPr>
            </w:pPr>
            <w:r>
              <w:rPr>
                <w:rFonts w:ascii="Times New Roman"/>
              </w:rPr>
              <w:t>2~3</w:t>
            </w:r>
          </w:p>
        </w:tc>
        <w:tc>
          <w:tcPr>
            <w:tcW w:w="1050" w:type="dxa"/>
            <w:shd w:val="clear" w:color="auto" w:fill="auto"/>
            <w:vAlign w:val="center"/>
          </w:tcPr>
          <w:p>
            <w:pPr>
              <w:pStyle w:val="178"/>
            </w:pPr>
            <w:r>
              <w:rPr>
                <w:rFonts w:hint="eastAsia"/>
              </w:rPr>
              <w:t>生物农药</w:t>
            </w:r>
          </w:p>
        </w:tc>
      </w:tr>
    </w:tbl>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sectPr>
          <w:headerReference r:id="rId19" w:type="default"/>
          <w:footerReference r:id="rId21" w:type="default"/>
          <w:headerReference r:id="rId20" w:type="even"/>
          <w:footerReference r:id="rId22" w:type="even"/>
          <w:pgSz w:w="11906" w:h="16838"/>
          <w:pgMar w:top="1928" w:right="1134" w:bottom="1134" w:left="1134" w:header="1418" w:footer="1134" w:gutter="284"/>
          <w:cols w:space="425" w:num="1"/>
          <w:formProt w:val="0"/>
          <w:docGrid w:type="lines" w:linePitch="312" w:charSpace="0"/>
        </w:sectPr>
      </w:pPr>
    </w:p>
    <w:p>
      <w:pPr>
        <w:pStyle w:val="198"/>
        <w:rPr>
          <w:vanish w:val="0"/>
        </w:rPr>
      </w:pPr>
    </w:p>
    <w:p>
      <w:pPr>
        <w:pStyle w:val="199"/>
        <w:rPr>
          <w:vanish w:val="0"/>
        </w:rPr>
      </w:pPr>
    </w:p>
    <w:p>
      <w:pPr>
        <w:pStyle w:val="76"/>
        <w:spacing w:before="0" w:afterLines="0"/>
        <w:ind w:left="0"/>
      </w:pPr>
      <w:r>
        <w:br w:type="textWrapping"/>
      </w:r>
      <w:bookmarkStart w:id="47" w:name="_Toc177034895"/>
      <w:r>
        <w:rPr>
          <w:rFonts w:hint="eastAsia"/>
        </w:rPr>
        <w:t>（资料性）</w:t>
      </w:r>
    </w:p>
    <w:p>
      <w:pPr>
        <w:pStyle w:val="76"/>
        <w:numPr>
          <w:ilvl w:val="0"/>
          <w:numId w:val="0"/>
        </w:numPr>
        <w:spacing w:before="0" w:afterLines="0"/>
      </w:pPr>
      <w:r>
        <w:rPr>
          <w:rFonts w:hint="eastAsia"/>
        </w:rPr>
        <w:t>大豆炭疽病的防控档案</w:t>
      </w:r>
      <w:bookmarkEnd w:id="47"/>
    </w:p>
    <w:p>
      <w:pPr>
        <w:pStyle w:val="56"/>
        <w:spacing w:after="156"/>
        <w:ind w:firstLine="420"/>
      </w:pPr>
    </w:p>
    <w:p>
      <w:pPr>
        <w:pStyle w:val="56"/>
        <w:ind w:firstLine="630" w:firstLineChars="300"/>
      </w:pPr>
      <w:r>
        <w:rPr>
          <w:rFonts w:hint="eastAsia"/>
        </w:rPr>
        <w:t>大豆炭疽病的防控档案表C.1。</w:t>
      </w:r>
    </w:p>
    <w:p>
      <w:pPr>
        <w:pStyle w:val="77"/>
        <w:numPr>
          <w:ilvl w:val="0"/>
          <w:numId w:val="0"/>
        </w:numPr>
        <w:spacing w:before="156" w:after="156"/>
        <w:ind w:left="2835" w:firstLine="630" w:firstLineChars="300"/>
        <w:jc w:val="both"/>
      </w:pPr>
      <w:r>
        <w:rPr>
          <w:rFonts w:hint="eastAsia"/>
        </w:rPr>
        <w:t>表C.1大豆炭疽病的防控档案</w:t>
      </w:r>
    </w:p>
    <w:tbl>
      <w:tblPr>
        <w:tblStyle w:val="33"/>
        <w:tblW w:w="8167"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825"/>
        <w:gridCol w:w="1292"/>
        <w:gridCol w:w="1275"/>
        <w:gridCol w:w="1274"/>
        <w:gridCol w:w="1262"/>
        <w:gridCol w:w="1072"/>
        <w:gridCol w:w="11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blHeader/>
          <w:jc w:val="center"/>
        </w:trPr>
        <w:tc>
          <w:tcPr>
            <w:tcW w:w="825" w:type="dxa"/>
            <w:tcBorders>
              <w:top w:val="single" w:color="auto" w:sz="8" w:space="0"/>
              <w:bottom w:val="single" w:color="auto" w:sz="8" w:space="0"/>
            </w:tcBorders>
            <w:shd w:val="clear" w:color="auto" w:fill="auto"/>
            <w:vAlign w:val="center"/>
          </w:tcPr>
          <w:p>
            <w:pPr>
              <w:pStyle w:val="178"/>
            </w:pPr>
            <w:r>
              <w:rPr>
                <w:rFonts w:hint="eastAsia"/>
              </w:rPr>
              <w:t>日期</w:t>
            </w:r>
          </w:p>
        </w:tc>
        <w:tc>
          <w:tcPr>
            <w:tcW w:w="1292" w:type="dxa"/>
            <w:tcBorders>
              <w:top w:val="single" w:color="auto" w:sz="8" w:space="0"/>
              <w:bottom w:val="single" w:color="auto" w:sz="8" w:space="0"/>
            </w:tcBorders>
            <w:shd w:val="clear" w:color="auto" w:fill="auto"/>
            <w:vAlign w:val="center"/>
          </w:tcPr>
          <w:p>
            <w:pPr>
              <w:pStyle w:val="178"/>
            </w:pPr>
            <w:r>
              <w:rPr>
                <w:rFonts w:hint="eastAsia"/>
              </w:rPr>
              <w:t>品种</w:t>
            </w:r>
          </w:p>
        </w:tc>
        <w:tc>
          <w:tcPr>
            <w:tcW w:w="1275" w:type="dxa"/>
            <w:tcBorders>
              <w:top w:val="single" w:color="auto" w:sz="8" w:space="0"/>
              <w:bottom w:val="single" w:color="auto" w:sz="8" w:space="0"/>
            </w:tcBorders>
            <w:shd w:val="clear" w:color="auto" w:fill="auto"/>
            <w:vAlign w:val="center"/>
          </w:tcPr>
          <w:p>
            <w:pPr>
              <w:pStyle w:val="178"/>
            </w:pPr>
            <w:r>
              <w:rPr>
                <w:rFonts w:hint="eastAsia"/>
              </w:rPr>
              <w:t>病害症状特点</w:t>
            </w:r>
          </w:p>
        </w:tc>
        <w:tc>
          <w:tcPr>
            <w:tcW w:w="1274" w:type="dxa"/>
            <w:tcBorders>
              <w:top w:val="single" w:color="auto" w:sz="8" w:space="0"/>
              <w:bottom w:val="single" w:color="auto" w:sz="8" w:space="0"/>
            </w:tcBorders>
            <w:shd w:val="clear" w:color="auto" w:fill="auto"/>
            <w:vAlign w:val="center"/>
          </w:tcPr>
          <w:p>
            <w:pPr>
              <w:pStyle w:val="178"/>
            </w:pPr>
            <w:r>
              <w:rPr>
                <w:rFonts w:hint="eastAsia"/>
              </w:rPr>
              <w:t>发病率(%)</w:t>
            </w:r>
          </w:p>
        </w:tc>
        <w:tc>
          <w:tcPr>
            <w:tcW w:w="1262" w:type="dxa"/>
            <w:tcBorders>
              <w:top w:val="single" w:color="auto" w:sz="8" w:space="0"/>
              <w:bottom w:val="single" w:color="auto" w:sz="8" w:space="0"/>
            </w:tcBorders>
            <w:shd w:val="clear" w:color="auto" w:fill="auto"/>
            <w:vAlign w:val="center"/>
          </w:tcPr>
          <w:p>
            <w:pPr>
              <w:pStyle w:val="178"/>
            </w:pPr>
            <w:r>
              <w:rPr>
                <w:rFonts w:hint="eastAsia"/>
              </w:rPr>
              <w:t>曾使用过的</w:t>
            </w:r>
          </w:p>
          <w:p>
            <w:pPr>
              <w:pStyle w:val="178"/>
            </w:pPr>
            <w:r>
              <w:rPr>
                <w:rFonts w:hint="eastAsia"/>
              </w:rPr>
              <w:t>防治方法</w:t>
            </w:r>
          </w:p>
        </w:tc>
        <w:tc>
          <w:tcPr>
            <w:tcW w:w="1072" w:type="dxa"/>
            <w:tcBorders>
              <w:top w:val="single" w:color="auto" w:sz="8" w:space="0"/>
              <w:bottom w:val="single" w:color="auto" w:sz="8" w:space="0"/>
            </w:tcBorders>
            <w:shd w:val="clear" w:color="auto" w:fill="auto"/>
            <w:vAlign w:val="center"/>
          </w:tcPr>
          <w:p>
            <w:pPr>
              <w:pStyle w:val="178"/>
            </w:pPr>
            <w:r>
              <w:rPr>
                <w:rFonts w:hint="eastAsia"/>
              </w:rPr>
              <w:t>当前使用的</w:t>
            </w:r>
          </w:p>
          <w:p>
            <w:pPr>
              <w:pStyle w:val="178"/>
            </w:pPr>
            <w:r>
              <w:rPr>
                <w:rFonts w:hint="eastAsia"/>
              </w:rPr>
              <w:t>防治方法</w:t>
            </w:r>
          </w:p>
        </w:tc>
        <w:tc>
          <w:tcPr>
            <w:tcW w:w="1167" w:type="dxa"/>
            <w:tcBorders>
              <w:top w:val="single" w:color="auto" w:sz="8" w:space="0"/>
              <w:bottom w:val="single" w:color="auto" w:sz="8" w:space="0"/>
            </w:tcBorders>
            <w:shd w:val="clear" w:color="auto" w:fill="auto"/>
            <w:vAlign w:val="center"/>
          </w:tcPr>
          <w:p>
            <w:pPr>
              <w:pStyle w:val="178"/>
            </w:pPr>
            <w:r>
              <w:rPr>
                <w:rFonts w:hint="eastAsia"/>
              </w:rPr>
              <w:t>防治效果(%)</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825" w:type="dxa"/>
            <w:tcBorders>
              <w:top w:val="single" w:color="auto" w:sz="8" w:space="0"/>
            </w:tcBorders>
            <w:shd w:val="clear" w:color="auto" w:fill="auto"/>
            <w:vAlign w:val="center"/>
          </w:tcPr>
          <w:p>
            <w:pPr>
              <w:pStyle w:val="178"/>
            </w:pPr>
          </w:p>
        </w:tc>
        <w:tc>
          <w:tcPr>
            <w:tcW w:w="1292" w:type="dxa"/>
            <w:tcBorders>
              <w:top w:val="single" w:color="auto" w:sz="8" w:space="0"/>
            </w:tcBorders>
            <w:shd w:val="clear" w:color="auto" w:fill="auto"/>
            <w:vAlign w:val="center"/>
          </w:tcPr>
          <w:p>
            <w:pPr>
              <w:pStyle w:val="178"/>
            </w:pPr>
          </w:p>
        </w:tc>
        <w:tc>
          <w:tcPr>
            <w:tcW w:w="1275" w:type="dxa"/>
            <w:tcBorders>
              <w:top w:val="single" w:color="auto" w:sz="8" w:space="0"/>
            </w:tcBorders>
            <w:shd w:val="clear" w:color="auto" w:fill="auto"/>
            <w:vAlign w:val="center"/>
          </w:tcPr>
          <w:p>
            <w:pPr>
              <w:pStyle w:val="178"/>
            </w:pPr>
          </w:p>
        </w:tc>
        <w:tc>
          <w:tcPr>
            <w:tcW w:w="1274" w:type="dxa"/>
            <w:tcBorders>
              <w:top w:val="single" w:color="auto" w:sz="8" w:space="0"/>
            </w:tcBorders>
            <w:shd w:val="clear" w:color="auto" w:fill="auto"/>
            <w:vAlign w:val="center"/>
          </w:tcPr>
          <w:p>
            <w:pPr>
              <w:pStyle w:val="178"/>
            </w:pPr>
          </w:p>
        </w:tc>
        <w:tc>
          <w:tcPr>
            <w:tcW w:w="1262" w:type="dxa"/>
            <w:tcBorders>
              <w:top w:val="single" w:color="auto" w:sz="8" w:space="0"/>
            </w:tcBorders>
            <w:shd w:val="clear" w:color="auto" w:fill="auto"/>
            <w:vAlign w:val="center"/>
          </w:tcPr>
          <w:p>
            <w:pPr>
              <w:pStyle w:val="178"/>
            </w:pPr>
          </w:p>
        </w:tc>
        <w:tc>
          <w:tcPr>
            <w:tcW w:w="1072" w:type="dxa"/>
            <w:tcBorders>
              <w:top w:val="single" w:color="auto" w:sz="8" w:space="0"/>
            </w:tcBorders>
            <w:shd w:val="clear" w:color="auto" w:fill="auto"/>
            <w:vAlign w:val="center"/>
          </w:tcPr>
          <w:p>
            <w:pPr>
              <w:pStyle w:val="178"/>
            </w:pPr>
          </w:p>
        </w:tc>
        <w:tc>
          <w:tcPr>
            <w:tcW w:w="1167" w:type="dxa"/>
            <w:tcBorders>
              <w:top w:val="single" w:color="auto" w:sz="8" w:space="0"/>
            </w:tcBorders>
            <w:shd w:val="clear" w:color="auto" w:fill="auto"/>
            <w:vAlign w:val="center"/>
          </w:tcPr>
          <w:p>
            <w:pPr>
              <w:pStyle w:val="178"/>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825" w:type="dxa"/>
            <w:shd w:val="clear" w:color="auto" w:fill="auto"/>
            <w:vAlign w:val="center"/>
          </w:tcPr>
          <w:p>
            <w:pPr>
              <w:pStyle w:val="178"/>
            </w:pPr>
          </w:p>
        </w:tc>
        <w:tc>
          <w:tcPr>
            <w:tcW w:w="1292" w:type="dxa"/>
            <w:shd w:val="clear" w:color="auto" w:fill="auto"/>
            <w:vAlign w:val="center"/>
          </w:tcPr>
          <w:p>
            <w:pPr>
              <w:pStyle w:val="178"/>
            </w:pPr>
          </w:p>
        </w:tc>
        <w:tc>
          <w:tcPr>
            <w:tcW w:w="1275" w:type="dxa"/>
            <w:shd w:val="clear" w:color="auto" w:fill="auto"/>
            <w:vAlign w:val="center"/>
          </w:tcPr>
          <w:p>
            <w:pPr>
              <w:pStyle w:val="178"/>
            </w:pPr>
          </w:p>
        </w:tc>
        <w:tc>
          <w:tcPr>
            <w:tcW w:w="1274" w:type="dxa"/>
            <w:shd w:val="clear" w:color="auto" w:fill="auto"/>
            <w:vAlign w:val="center"/>
          </w:tcPr>
          <w:p>
            <w:pPr>
              <w:pStyle w:val="178"/>
            </w:pPr>
          </w:p>
        </w:tc>
        <w:tc>
          <w:tcPr>
            <w:tcW w:w="1262" w:type="dxa"/>
            <w:shd w:val="clear" w:color="auto" w:fill="auto"/>
            <w:vAlign w:val="center"/>
          </w:tcPr>
          <w:p>
            <w:pPr>
              <w:pStyle w:val="178"/>
            </w:pPr>
          </w:p>
        </w:tc>
        <w:tc>
          <w:tcPr>
            <w:tcW w:w="1072" w:type="dxa"/>
            <w:shd w:val="clear" w:color="auto" w:fill="auto"/>
            <w:vAlign w:val="center"/>
          </w:tcPr>
          <w:p>
            <w:pPr>
              <w:pStyle w:val="178"/>
            </w:pPr>
          </w:p>
        </w:tc>
        <w:tc>
          <w:tcPr>
            <w:tcW w:w="1167" w:type="dxa"/>
            <w:shd w:val="clear" w:color="auto" w:fill="auto"/>
            <w:vAlign w:val="center"/>
          </w:tcPr>
          <w:p>
            <w:pPr>
              <w:pStyle w:val="178"/>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825" w:type="dxa"/>
            <w:shd w:val="clear" w:color="auto" w:fill="auto"/>
            <w:vAlign w:val="center"/>
          </w:tcPr>
          <w:p>
            <w:pPr>
              <w:pStyle w:val="178"/>
            </w:pPr>
          </w:p>
        </w:tc>
        <w:tc>
          <w:tcPr>
            <w:tcW w:w="1292" w:type="dxa"/>
            <w:shd w:val="clear" w:color="auto" w:fill="auto"/>
            <w:vAlign w:val="center"/>
          </w:tcPr>
          <w:p>
            <w:pPr>
              <w:pStyle w:val="178"/>
            </w:pPr>
          </w:p>
        </w:tc>
        <w:tc>
          <w:tcPr>
            <w:tcW w:w="1275" w:type="dxa"/>
            <w:shd w:val="clear" w:color="auto" w:fill="auto"/>
            <w:vAlign w:val="center"/>
          </w:tcPr>
          <w:p>
            <w:pPr>
              <w:pStyle w:val="178"/>
            </w:pPr>
          </w:p>
        </w:tc>
        <w:tc>
          <w:tcPr>
            <w:tcW w:w="1274" w:type="dxa"/>
            <w:shd w:val="clear" w:color="auto" w:fill="auto"/>
            <w:vAlign w:val="center"/>
          </w:tcPr>
          <w:p>
            <w:pPr>
              <w:pStyle w:val="178"/>
            </w:pPr>
          </w:p>
        </w:tc>
        <w:tc>
          <w:tcPr>
            <w:tcW w:w="1262" w:type="dxa"/>
            <w:shd w:val="clear" w:color="auto" w:fill="auto"/>
            <w:vAlign w:val="center"/>
          </w:tcPr>
          <w:p>
            <w:pPr>
              <w:pStyle w:val="178"/>
            </w:pPr>
          </w:p>
        </w:tc>
        <w:tc>
          <w:tcPr>
            <w:tcW w:w="1072" w:type="dxa"/>
            <w:shd w:val="clear" w:color="auto" w:fill="auto"/>
            <w:vAlign w:val="center"/>
          </w:tcPr>
          <w:p>
            <w:pPr>
              <w:pStyle w:val="178"/>
            </w:pPr>
          </w:p>
        </w:tc>
        <w:tc>
          <w:tcPr>
            <w:tcW w:w="1167" w:type="dxa"/>
            <w:shd w:val="clear" w:color="auto" w:fill="auto"/>
            <w:vAlign w:val="center"/>
          </w:tcPr>
          <w:p>
            <w:pPr>
              <w:pStyle w:val="178"/>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825" w:type="dxa"/>
            <w:shd w:val="clear" w:color="auto" w:fill="auto"/>
            <w:vAlign w:val="center"/>
          </w:tcPr>
          <w:p>
            <w:pPr>
              <w:pStyle w:val="178"/>
            </w:pPr>
          </w:p>
        </w:tc>
        <w:tc>
          <w:tcPr>
            <w:tcW w:w="1292" w:type="dxa"/>
            <w:shd w:val="clear" w:color="auto" w:fill="auto"/>
            <w:vAlign w:val="center"/>
          </w:tcPr>
          <w:p>
            <w:pPr>
              <w:pStyle w:val="178"/>
            </w:pPr>
          </w:p>
        </w:tc>
        <w:tc>
          <w:tcPr>
            <w:tcW w:w="1275" w:type="dxa"/>
            <w:shd w:val="clear" w:color="auto" w:fill="auto"/>
            <w:vAlign w:val="center"/>
          </w:tcPr>
          <w:p>
            <w:pPr>
              <w:pStyle w:val="178"/>
            </w:pPr>
          </w:p>
        </w:tc>
        <w:tc>
          <w:tcPr>
            <w:tcW w:w="1274" w:type="dxa"/>
            <w:shd w:val="clear" w:color="auto" w:fill="auto"/>
            <w:vAlign w:val="center"/>
          </w:tcPr>
          <w:p>
            <w:pPr>
              <w:pStyle w:val="178"/>
            </w:pPr>
          </w:p>
        </w:tc>
        <w:tc>
          <w:tcPr>
            <w:tcW w:w="1262" w:type="dxa"/>
            <w:shd w:val="clear" w:color="auto" w:fill="auto"/>
            <w:vAlign w:val="center"/>
          </w:tcPr>
          <w:p>
            <w:pPr>
              <w:pStyle w:val="178"/>
            </w:pPr>
          </w:p>
        </w:tc>
        <w:tc>
          <w:tcPr>
            <w:tcW w:w="1072" w:type="dxa"/>
            <w:shd w:val="clear" w:color="auto" w:fill="auto"/>
            <w:vAlign w:val="center"/>
          </w:tcPr>
          <w:p>
            <w:pPr>
              <w:pStyle w:val="178"/>
            </w:pPr>
          </w:p>
        </w:tc>
        <w:tc>
          <w:tcPr>
            <w:tcW w:w="1167" w:type="dxa"/>
            <w:shd w:val="clear" w:color="auto" w:fill="auto"/>
            <w:vAlign w:val="center"/>
          </w:tcPr>
          <w:p>
            <w:pPr>
              <w:pStyle w:val="178"/>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825" w:type="dxa"/>
            <w:shd w:val="clear" w:color="auto" w:fill="auto"/>
            <w:vAlign w:val="center"/>
          </w:tcPr>
          <w:p>
            <w:pPr>
              <w:pStyle w:val="178"/>
            </w:pPr>
          </w:p>
        </w:tc>
        <w:tc>
          <w:tcPr>
            <w:tcW w:w="1292" w:type="dxa"/>
            <w:shd w:val="clear" w:color="auto" w:fill="auto"/>
            <w:vAlign w:val="center"/>
          </w:tcPr>
          <w:p>
            <w:pPr>
              <w:pStyle w:val="178"/>
            </w:pPr>
          </w:p>
        </w:tc>
        <w:tc>
          <w:tcPr>
            <w:tcW w:w="1275" w:type="dxa"/>
            <w:shd w:val="clear" w:color="auto" w:fill="auto"/>
            <w:vAlign w:val="center"/>
          </w:tcPr>
          <w:p>
            <w:pPr>
              <w:pStyle w:val="178"/>
            </w:pPr>
          </w:p>
        </w:tc>
        <w:tc>
          <w:tcPr>
            <w:tcW w:w="1274" w:type="dxa"/>
            <w:shd w:val="clear" w:color="auto" w:fill="auto"/>
            <w:vAlign w:val="center"/>
          </w:tcPr>
          <w:p>
            <w:pPr>
              <w:pStyle w:val="178"/>
            </w:pPr>
          </w:p>
        </w:tc>
        <w:tc>
          <w:tcPr>
            <w:tcW w:w="1262" w:type="dxa"/>
            <w:shd w:val="clear" w:color="auto" w:fill="auto"/>
            <w:vAlign w:val="center"/>
          </w:tcPr>
          <w:p>
            <w:pPr>
              <w:pStyle w:val="178"/>
            </w:pPr>
          </w:p>
        </w:tc>
        <w:tc>
          <w:tcPr>
            <w:tcW w:w="1072" w:type="dxa"/>
            <w:shd w:val="clear" w:color="auto" w:fill="auto"/>
            <w:vAlign w:val="center"/>
          </w:tcPr>
          <w:p>
            <w:pPr>
              <w:pStyle w:val="178"/>
            </w:pPr>
          </w:p>
        </w:tc>
        <w:tc>
          <w:tcPr>
            <w:tcW w:w="1167" w:type="dxa"/>
            <w:shd w:val="clear" w:color="auto" w:fill="auto"/>
            <w:vAlign w:val="center"/>
          </w:tcPr>
          <w:p>
            <w:pPr>
              <w:pStyle w:val="178"/>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825" w:type="dxa"/>
            <w:shd w:val="clear" w:color="auto" w:fill="auto"/>
            <w:vAlign w:val="center"/>
          </w:tcPr>
          <w:p>
            <w:pPr>
              <w:pStyle w:val="178"/>
            </w:pPr>
          </w:p>
        </w:tc>
        <w:tc>
          <w:tcPr>
            <w:tcW w:w="1292" w:type="dxa"/>
            <w:shd w:val="clear" w:color="auto" w:fill="auto"/>
            <w:vAlign w:val="center"/>
          </w:tcPr>
          <w:p>
            <w:pPr>
              <w:pStyle w:val="178"/>
            </w:pPr>
          </w:p>
        </w:tc>
        <w:tc>
          <w:tcPr>
            <w:tcW w:w="1275" w:type="dxa"/>
            <w:shd w:val="clear" w:color="auto" w:fill="auto"/>
            <w:vAlign w:val="center"/>
          </w:tcPr>
          <w:p>
            <w:pPr>
              <w:pStyle w:val="178"/>
            </w:pPr>
          </w:p>
        </w:tc>
        <w:tc>
          <w:tcPr>
            <w:tcW w:w="1274" w:type="dxa"/>
            <w:shd w:val="clear" w:color="auto" w:fill="auto"/>
            <w:vAlign w:val="center"/>
          </w:tcPr>
          <w:p>
            <w:pPr>
              <w:pStyle w:val="178"/>
            </w:pPr>
          </w:p>
        </w:tc>
        <w:tc>
          <w:tcPr>
            <w:tcW w:w="1262" w:type="dxa"/>
            <w:shd w:val="clear" w:color="auto" w:fill="auto"/>
            <w:vAlign w:val="center"/>
          </w:tcPr>
          <w:p>
            <w:pPr>
              <w:pStyle w:val="178"/>
            </w:pPr>
          </w:p>
        </w:tc>
        <w:tc>
          <w:tcPr>
            <w:tcW w:w="1072" w:type="dxa"/>
            <w:shd w:val="clear" w:color="auto" w:fill="auto"/>
            <w:vAlign w:val="center"/>
          </w:tcPr>
          <w:p>
            <w:pPr>
              <w:pStyle w:val="178"/>
            </w:pPr>
          </w:p>
        </w:tc>
        <w:tc>
          <w:tcPr>
            <w:tcW w:w="1167" w:type="dxa"/>
            <w:shd w:val="clear" w:color="auto" w:fill="auto"/>
            <w:vAlign w:val="center"/>
          </w:tcPr>
          <w:p>
            <w:pPr>
              <w:pStyle w:val="178"/>
            </w:pPr>
          </w:p>
        </w:tc>
      </w:tr>
    </w:tbl>
    <w:p>
      <w:pPr>
        <w:pStyle w:val="56"/>
        <w:ind w:firstLine="420"/>
      </w:pPr>
    </w:p>
    <w:p>
      <w:pPr>
        <w:pStyle w:val="56"/>
        <w:ind w:firstLine="420"/>
      </w:pPr>
    </w:p>
    <w:bookmarkEnd w:id="45"/>
    <w:p>
      <w:pPr>
        <w:pStyle w:val="56"/>
        <w:ind w:firstLine="0" w:firstLineChars="0"/>
        <w:jc w:val="center"/>
      </w:pPr>
      <w:bookmarkStart w:id="48" w:name="BookMark8"/>
      <w: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29">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48"/>
    </w:p>
    <w:sectPr>
      <w:headerReference r:id="rId23" w:type="default"/>
      <w:footerReference r:id="rId25" w:type="default"/>
      <w:headerReference r:id="rId24" w:type="even"/>
      <w:footerReference r:id="rId26" w:type="even"/>
      <w:pgSz w:w="11906" w:h="16838"/>
      <w:pgMar w:top="1928" w:right="1134" w:bottom="1134" w:left="1134" w:header="1418" w:footer="1134" w:gutter="284"/>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FZSSK--GBK1-0">
    <w:altName w:val="微软雅黑"/>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5516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III</w:t>
                          </w:r>
                          <w:r>
                            <w:rPr>
                              <w:rFonts w:hint="eastAsia"/>
                            </w:rPr>
                            <w:fldChar w:fldCharType="end"/>
                          </w:r>
                        </w:p>
                      </w:txbxContent>
                    </wps:txbx>
                    <wps:bodyPr wrap="none" lIns="0" tIns="0" rIns="0" bIns="0" upright="1">
                      <a:spAutoFit/>
                    </wps:bodyPr>
                  </wps:wsp>
                </a:graphicData>
              </a:graphic>
            </wp:anchor>
          </w:drawing>
        </mc:Choice>
        <mc:Fallback>
          <w:pict>
            <v:shape id="文本框 12" o:spid="_x0000_s1026" o:spt="202" type="#_x0000_t202" style="position:absolute;left:0pt;margin-top:0pt;height:144pt;width:144pt;mso-position-horizontal:outside;mso-position-horizontal-relative:margin;mso-wrap-style:none;z-index:2516551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gt+tAK8BAABM&#10;AwAADgAAAAAAAAABACAAAAAeAQAAZHJzL2Uyb0RvYy54bWxQSwUGAAAAAAYABgBZAQAAPwUA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III</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2"/>
      <w:ind w:right="360"/>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92710</wp:posOffset>
              </wp:positionV>
              <wp:extent cx="1828800" cy="1828800"/>
              <wp:effectExtent l="0" t="0" r="0" b="0"/>
              <wp:wrapNone/>
              <wp:docPr id="6"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rPr>
                              <w:rFonts w:hint="eastAsia"/>
                            </w:rPr>
                            <w:fldChar w:fldCharType="begin"/>
                          </w:r>
                          <w:r>
                            <w:rPr>
                              <w:rFonts w:hint="eastAsia"/>
                            </w:rPr>
                            <w:instrText xml:space="preserve"> PAGE  \* MERGEFORMAT </w:instrText>
                          </w:r>
                          <w:r>
                            <w:rPr>
                              <w:rFonts w:hint="eastAsia"/>
                            </w:rPr>
                            <w:fldChar w:fldCharType="separate"/>
                          </w:r>
                          <w:r>
                            <w:t>II</w:t>
                          </w:r>
                          <w:r>
                            <w:rPr>
                              <w:rFonts w:hint="eastAsia"/>
                            </w:rPr>
                            <w:fldChar w:fldCharType="end"/>
                          </w:r>
                        </w:p>
                      </w:txbxContent>
                    </wps:txbx>
                    <wps:bodyPr wrap="none" lIns="0" tIns="0" rIns="0" bIns="0" upright="1">
                      <a:spAutoFit/>
                    </wps:bodyPr>
                  </wps:wsp>
                </a:graphicData>
              </a:graphic>
            </wp:anchor>
          </w:drawing>
        </mc:Choice>
        <mc:Fallback>
          <w:pict>
            <v:shape id="文本框 8" o:spid="_x0000_s1026" o:spt="202" type="#_x0000_t202" style="position:absolute;left:0pt;margin-top:7.3pt;height:144pt;width:144pt;mso-position-horizontal:outside;mso-position-horizontal-relative:margin;mso-wrap-style:none;z-index:251663360;mso-width-relative:page;mso-height-relative:page;" filled="f" stroked="f" coordsize="21600,21600" o:gfxdata="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T74uK0wAAAAcB&#10;AAAPAAAAAAAAAAEAIAAAACIAAABkcnMvZG93bnJldi54bWxQSwECFAAUAAAACACHTuJA0TXu5K4B&#10;AABLAwAADgAAAAAAAAABACAAAAAiAQAAZHJzL2Uyb0RvYy54bWxQSwUGAAAAAAYABgBZAQAAQgUA&#10;AAAA&#10;">
              <v:fill on="f" focussize="0,0"/>
              <v:stroke on="f"/>
              <v:imagedata o:title=""/>
              <o:lock v:ext="edit" aspectratio="f"/>
              <v:textbox inset="0mm,0mm,0mm,0mm" style="mso-fit-shape-to-text:t;">
                <w:txbxContent>
                  <w:p>
                    <w:pPr>
                      <w:pStyle w:val="17"/>
                    </w:pPr>
                    <w:r>
                      <w:rPr>
                        <w:rFonts w:hint="eastAsia"/>
                      </w:rPr>
                      <w:fldChar w:fldCharType="begin"/>
                    </w:r>
                    <w:r>
                      <w:rPr>
                        <w:rFonts w:hint="eastAsia"/>
                      </w:rPr>
                      <w:instrText xml:space="preserve"> PAGE  \* MERGEFORMAT </w:instrText>
                    </w:r>
                    <w:r>
                      <w:rPr>
                        <w:rFonts w:hint="eastAsia"/>
                      </w:rPr>
                      <w:fldChar w:fldCharType="separate"/>
                    </w:r>
                    <w:r>
                      <w:t>II</w:t>
                    </w:r>
                    <w:r>
                      <w:rPr>
                        <w:rFonts w:hint="eastAsia"/>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rPr>
                              <w:color w:val="FFFFFF"/>
                            </w:rPr>
                          </w:pPr>
                          <w:r>
                            <w:rPr>
                              <w:rFonts w:hint="eastAsia"/>
                              <w:color w:val="FFFFFF"/>
                            </w:rPr>
                            <w:fldChar w:fldCharType="begin"/>
                          </w:r>
                          <w:r>
                            <w:rPr>
                              <w:rFonts w:hint="eastAsia"/>
                              <w:color w:val="FFFFFF"/>
                            </w:rPr>
                            <w:instrText xml:space="preserve"> PAGE  \* MERGEFORMAT </w:instrText>
                          </w:r>
                          <w:r>
                            <w:rPr>
                              <w:rFonts w:hint="eastAsia"/>
                              <w:color w:val="FFFFFF"/>
                            </w:rPr>
                            <w:fldChar w:fldCharType="separate"/>
                          </w:r>
                          <w:r>
                            <w:rPr>
                              <w:color w:val="FFFFFF"/>
                            </w:rPr>
                            <w:t>II</w:t>
                          </w:r>
                          <w:r>
                            <w:rPr>
                              <w:rFonts w:hint="eastAsia"/>
                              <w:color w:val="FFFFFF"/>
                            </w:rPr>
                            <w:fldChar w:fldCharType="end"/>
                          </w:r>
                        </w:p>
                      </w:txbxContent>
                    </wps:txbx>
                    <wps:bodyPr wrap="none" lIns="0" tIns="0" rIns="0" bIns="0" upright="1">
                      <a:spAutoFit/>
                    </wps:bodyPr>
                  </wps:wsp>
                </a:graphicData>
              </a:graphic>
            </wp:anchor>
          </w:drawing>
        </mc:Choice>
        <mc:Fallback>
          <w:pict>
            <v:shape id="文本框 1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LGcoYmwAQAA&#10;TAMAAA4AAAAAAAAAAQAgAAAAHgEAAGRycy9lMm9Eb2MueG1sUEsFBgAAAAAGAAYAWQEAAEAFAAAA&#10;AA==&#10;">
              <v:fill on="f" focussize="0,0"/>
              <v:stroke on="f"/>
              <v:imagedata o:title=""/>
              <o:lock v:ext="edit" aspectratio="f"/>
              <v:textbox inset="0mm,0mm,0mm,0mm" style="mso-fit-shape-to-text:t;">
                <w:txbxContent>
                  <w:p>
                    <w:pPr>
                      <w:pStyle w:val="17"/>
                      <w:rPr>
                        <w:color w:val="FFFFFF"/>
                      </w:rPr>
                    </w:pPr>
                    <w:r>
                      <w:rPr>
                        <w:rFonts w:hint="eastAsia"/>
                        <w:color w:val="FFFFFF"/>
                      </w:rPr>
                      <w:fldChar w:fldCharType="begin"/>
                    </w:r>
                    <w:r>
                      <w:rPr>
                        <w:rFonts w:hint="eastAsia"/>
                        <w:color w:val="FFFFFF"/>
                      </w:rPr>
                      <w:instrText xml:space="preserve"> PAGE  \* MERGEFORMAT </w:instrText>
                    </w:r>
                    <w:r>
                      <w:rPr>
                        <w:rFonts w:hint="eastAsia"/>
                        <w:color w:val="FFFFFF"/>
                      </w:rPr>
                      <w:fldChar w:fldCharType="separate"/>
                    </w:r>
                    <w:r>
                      <w:rPr>
                        <w:color w:val="FFFFFF"/>
                      </w:rPr>
                      <w:t>II</w:t>
                    </w:r>
                    <w:r>
                      <w:rPr>
                        <w:rFonts w:hint="eastAsia"/>
                        <w:color w:val="FFFFFF"/>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4</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5</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6</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7</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6</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DB43/Txxxx—2027</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DB43/Txxxx—2027</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DB43/Txxxx—2027</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DB43/Txxxx—2027</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DB43/Txxxx—2027</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DB43/Txxxx—2027</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DB43/Txxxx—2027</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DB43/Txxxx—2026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2976"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4252" w:firstLine="0"/>
      </w:pPr>
      <w:rPr>
        <w:rFonts w:hint="eastAsia"/>
        <w:spacing w:val="100"/>
        <w:lang w:val="en-US"/>
      </w:rPr>
    </w:lvl>
    <w:lvl w:ilvl="1" w:tentative="0">
      <w:start w:val="1"/>
      <w:numFmt w:val="decimal"/>
      <w:pStyle w:val="78"/>
      <w:suff w:val="nothing"/>
      <w:lvlText w:val="%1.%2　"/>
      <w:lvlJc w:val="left"/>
      <w:pPr>
        <w:ind w:left="-283" w:firstLine="0"/>
      </w:pPr>
      <w:rPr>
        <w:rFonts w:hint="eastAsia" w:ascii="黑体" w:eastAsia="黑体"/>
        <w:b w:val="0"/>
        <w:i w:val="0"/>
        <w:sz w:val="21"/>
      </w:rPr>
    </w:lvl>
    <w:lvl w:ilvl="2" w:tentative="0">
      <w:start w:val="1"/>
      <w:numFmt w:val="decimal"/>
      <w:pStyle w:val="79"/>
      <w:suff w:val="nothing"/>
      <w:lvlText w:val="%1.%2.%3　"/>
      <w:lvlJc w:val="left"/>
      <w:pPr>
        <w:ind w:left="-283" w:firstLine="0"/>
      </w:pPr>
      <w:rPr>
        <w:rFonts w:hint="eastAsia" w:ascii="黑体" w:eastAsia="黑体"/>
        <w:b w:val="0"/>
        <w:i w:val="0"/>
        <w:sz w:val="21"/>
      </w:rPr>
    </w:lvl>
    <w:lvl w:ilvl="3" w:tentative="0">
      <w:start w:val="1"/>
      <w:numFmt w:val="decimal"/>
      <w:pStyle w:val="81"/>
      <w:suff w:val="nothing"/>
      <w:lvlText w:val="%1.%2.%3.%4　"/>
      <w:lvlJc w:val="left"/>
      <w:pPr>
        <w:ind w:left="-283" w:firstLine="0"/>
      </w:pPr>
      <w:rPr>
        <w:rFonts w:hint="eastAsia" w:ascii="黑体" w:eastAsia="黑体"/>
        <w:b w:val="0"/>
        <w:i w:val="0"/>
        <w:sz w:val="21"/>
      </w:rPr>
    </w:lvl>
    <w:lvl w:ilvl="4" w:tentative="0">
      <w:start w:val="1"/>
      <w:numFmt w:val="decimal"/>
      <w:pStyle w:val="82"/>
      <w:suff w:val="nothing"/>
      <w:lvlText w:val="%1.%2.%3.%4.%5　"/>
      <w:lvlJc w:val="left"/>
      <w:pPr>
        <w:ind w:left="-283" w:firstLine="0"/>
      </w:pPr>
      <w:rPr>
        <w:rFonts w:hint="eastAsia" w:ascii="黑体" w:eastAsia="黑体"/>
        <w:b w:val="0"/>
        <w:i w:val="0"/>
        <w:sz w:val="21"/>
      </w:rPr>
    </w:lvl>
    <w:lvl w:ilvl="5" w:tentative="0">
      <w:start w:val="1"/>
      <w:numFmt w:val="decimal"/>
      <w:pStyle w:val="84"/>
      <w:suff w:val="nothing"/>
      <w:lvlText w:val="%1.%2.%3.%4.%5.%6　"/>
      <w:lvlJc w:val="left"/>
      <w:pPr>
        <w:ind w:left="-283" w:firstLine="0"/>
      </w:pPr>
      <w:rPr>
        <w:rFonts w:hint="eastAsia" w:ascii="黑体" w:eastAsia="黑体"/>
        <w:b w:val="0"/>
        <w:i w:val="0"/>
        <w:sz w:val="21"/>
      </w:rPr>
    </w:lvl>
    <w:lvl w:ilvl="6" w:tentative="0">
      <w:start w:val="1"/>
      <w:numFmt w:val="decimal"/>
      <w:suff w:val="nothing"/>
      <w:lvlText w:val="%1.%2.%3.%4.%5.%6.%7　"/>
      <w:lvlJc w:val="left"/>
      <w:pPr>
        <w:ind w:left="-283" w:firstLine="0"/>
      </w:pPr>
      <w:rPr>
        <w:rFonts w:hint="eastAsia"/>
      </w:rPr>
    </w:lvl>
    <w:lvl w:ilvl="7" w:tentative="0">
      <w:start w:val="1"/>
      <w:numFmt w:val="decimal"/>
      <w:lvlText w:val="%1.%2.%3.%4.%5.%6.%7.%8"/>
      <w:lvlJc w:val="left"/>
      <w:pPr>
        <w:tabs>
          <w:tab w:val="left" w:pos="4111"/>
        </w:tabs>
        <w:ind w:left="4111" w:hanging="1418"/>
      </w:pPr>
      <w:rPr>
        <w:rFonts w:hint="eastAsia"/>
      </w:rPr>
    </w:lvl>
    <w:lvl w:ilvl="8" w:tentative="0">
      <w:start w:val="1"/>
      <w:numFmt w:val="decimal"/>
      <w:lvlText w:val="%1.%2.%3.%4.%5.%6.%7.%8.%9"/>
      <w:lvlJc w:val="left"/>
      <w:pPr>
        <w:tabs>
          <w:tab w:val="left" w:pos="4819"/>
        </w:tabs>
        <w:ind w:left="4819"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65"/>
      <w:suff w:val="nothing"/>
      <w:lvlText w:val="%1%2.%3.%4　"/>
      <w:lvlJc w:val="left"/>
      <w:pPr>
        <w:ind w:left="1985" w:firstLine="0"/>
      </w:pPr>
      <w:rPr>
        <w:rFonts w:hint="eastAsia" w:ascii="黑体" w:eastAsia="黑体"/>
        <w:b w:val="0"/>
        <w:i w:val="0"/>
        <w:sz w:val="21"/>
      </w:rPr>
    </w:lvl>
    <w:lvl w:ilvl="4" w:tentative="0">
      <w:start w:val="1"/>
      <w:numFmt w:val="decimal"/>
      <w:pStyle w:val="94"/>
      <w:suff w:val="nothing"/>
      <w:lvlText w:val="%1%2.%3.%4.%5　"/>
      <w:lvlJc w:val="left"/>
      <w:pPr>
        <w:ind w:left="2835"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attachedTemplate r:id="rId1"/>
  <w:documentProtection w:edit="forms"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36E"/>
    <w:rsid w:val="0000040A"/>
    <w:rsid w:val="00000A94"/>
    <w:rsid w:val="00001972"/>
    <w:rsid w:val="00001D9A"/>
    <w:rsid w:val="00005DE7"/>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373DF"/>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5BC5"/>
    <w:rsid w:val="00086AA1"/>
    <w:rsid w:val="00087A77"/>
    <w:rsid w:val="00090CA6"/>
    <w:rsid w:val="000914B5"/>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9EC"/>
    <w:rsid w:val="000B1FF2"/>
    <w:rsid w:val="000B2EA4"/>
    <w:rsid w:val="000B3CDA"/>
    <w:rsid w:val="000B6A0B"/>
    <w:rsid w:val="000C0F6C"/>
    <w:rsid w:val="000C11DB"/>
    <w:rsid w:val="000C1492"/>
    <w:rsid w:val="000C2DA4"/>
    <w:rsid w:val="000C2FBD"/>
    <w:rsid w:val="000C4B41"/>
    <w:rsid w:val="000C4BF3"/>
    <w:rsid w:val="000C57D6"/>
    <w:rsid w:val="000C6362"/>
    <w:rsid w:val="000C7666"/>
    <w:rsid w:val="000D0A9C"/>
    <w:rsid w:val="000D1795"/>
    <w:rsid w:val="000D329A"/>
    <w:rsid w:val="000D3300"/>
    <w:rsid w:val="000D4B9C"/>
    <w:rsid w:val="000D4EB6"/>
    <w:rsid w:val="000D753B"/>
    <w:rsid w:val="000E1121"/>
    <w:rsid w:val="000E4C9E"/>
    <w:rsid w:val="000E6FD7"/>
    <w:rsid w:val="000E751B"/>
    <w:rsid w:val="000F06E1"/>
    <w:rsid w:val="000F0E3C"/>
    <w:rsid w:val="000F19D5"/>
    <w:rsid w:val="000F4AEA"/>
    <w:rsid w:val="000F5D41"/>
    <w:rsid w:val="000F633F"/>
    <w:rsid w:val="000F67E9"/>
    <w:rsid w:val="00104926"/>
    <w:rsid w:val="00104BDD"/>
    <w:rsid w:val="00113B1E"/>
    <w:rsid w:val="0011711C"/>
    <w:rsid w:val="0012059C"/>
    <w:rsid w:val="00124E4F"/>
    <w:rsid w:val="001253F8"/>
    <w:rsid w:val="001260B7"/>
    <w:rsid w:val="001265CB"/>
    <w:rsid w:val="001321C6"/>
    <w:rsid w:val="001325C4"/>
    <w:rsid w:val="00133010"/>
    <w:rsid w:val="001338EE"/>
    <w:rsid w:val="00133AAE"/>
    <w:rsid w:val="00135323"/>
    <w:rsid w:val="001356C4"/>
    <w:rsid w:val="00141114"/>
    <w:rsid w:val="00142969"/>
    <w:rsid w:val="0014451F"/>
    <w:rsid w:val="001446C2"/>
    <w:rsid w:val="001457E7"/>
    <w:rsid w:val="00145D9D"/>
    <w:rsid w:val="00146388"/>
    <w:rsid w:val="00146D57"/>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965"/>
    <w:rsid w:val="00166B88"/>
    <w:rsid w:val="0016770A"/>
    <w:rsid w:val="00170804"/>
    <w:rsid w:val="001708E9"/>
    <w:rsid w:val="0017340B"/>
    <w:rsid w:val="00173FB1"/>
    <w:rsid w:val="001749D8"/>
    <w:rsid w:val="00176DFD"/>
    <w:rsid w:val="00182CA8"/>
    <w:rsid w:val="001852C9"/>
    <w:rsid w:val="00190087"/>
    <w:rsid w:val="001913C4"/>
    <w:rsid w:val="0019348F"/>
    <w:rsid w:val="00193A07"/>
    <w:rsid w:val="00194C95"/>
    <w:rsid w:val="00195C34"/>
    <w:rsid w:val="00196EF5"/>
    <w:rsid w:val="001A1A53"/>
    <w:rsid w:val="001A234A"/>
    <w:rsid w:val="001A4CF3"/>
    <w:rsid w:val="001A5076"/>
    <w:rsid w:val="001A69F9"/>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53F7"/>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3333"/>
    <w:rsid w:val="00275A4F"/>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4F83"/>
    <w:rsid w:val="002C5278"/>
    <w:rsid w:val="002C7EBB"/>
    <w:rsid w:val="002D06C1"/>
    <w:rsid w:val="002D42B5"/>
    <w:rsid w:val="002D4F1A"/>
    <w:rsid w:val="002D6EC6"/>
    <w:rsid w:val="002D79AC"/>
    <w:rsid w:val="002E039D"/>
    <w:rsid w:val="002E3F77"/>
    <w:rsid w:val="002E4D5A"/>
    <w:rsid w:val="002E6326"/>
    <w:rsid w:val="002F30E0"/>
    <w:rsid w:val="002F35E4"/>
    <w:rsid w:val="002F3730"/>
    <w:rsid w:val="002F38E1"/>
    <w:rsid w:val="002F5D0D"/>
    <w:rsid w:val="002F7AF6"/>
    <w:rsid w:val="00300E63"/>
    <w:rsid w:val="00302F5F"/>
    <w:rsid w:val="0030441D"/>
    <w:rsid w:val="00304B57"/>
    <w:rsid w:val="00306063"/>
    <w:rsid w:val="0031057A"/>
    <w:rsid w:val="0031176F"/>
    <w:rsid w:val="00313B85"/>
    <w:rsid w:val="00317988"/>
    <w:rsid w:val="003221B4"/>
    <w:rsid w:val="0032258D"/>
    <w:rsid w:val="00322E62"/>
    <w:rsid w:val="00324D13"/>
    <w:rsid w:val="00324D2A"/>
    <w:rsid w:val="00324EDD"/>
    <w:rsid w:val="00325967"/>
    <w:rsid w:val="00325AA7"/>
    <w:rsid w:val="003312B9"/>
    <w:rsid w:val="003331E4"/>
    <w:rsid w:val="00336C64"/>
    <w:rsid w:val="00337162"/>
    <w:rsid w:val="0034194F"/>
    <w:rsid w:val="00344605"/>
    <w:rsid w:val="00344E52"/>
    <w:rsid w:val="003474AA"/>
    <w:rsid w:val="00350D1D"/>
    <w:rsid w:val="00352C83"/>
    <w:rsid w:val="00352EE9"/>
    <w:rsid w:val="00354151"/>
    <w:rsid w:val="003547EF"/>
    <w:rsid w:val="003615D2"/>
    <w:rsid w:val="0036429C"/>
    <w:rsid w:val="00364A53"/>
    <w:rsid w:val="003654CB"/>
    <w:rsid w:val="00365AA9"/>
    <w:rsid w:val="00365F86"/>
    <w:rsid w:val="00365F87"/>
    <w:rsid w:val="00366E89"/>
    <w:rsid w:val="003705F4"/>
    <w:rsid w:val="00370D58"/>
    <w:rsid w:val="00371316"/>
    <w:rsid w:val="003745AF"/>
    <w:rsid w:val="00376713"/>
    <w:rsid w:val="00381815"/>
    <w:rsid w:val="003819AF"/>
    <w:rsid w:val="003820E9"/>
    <w:rsid w:val="00382DE7"/>
    <w:rsid w:val="00384FFC"/>
    <w:rsid w:val="003872FC"/>
    <w:rsid w:val="0038787D"/>
    <w:rsid w:val="00387ADC"/>
    <w:rsid w:val="00390020"/>
    <w:rsid w:val="003903D6"/>
    <w:rsid w:val="00390EE6"/>
    <w:rsid w:val="0039118F"/>
    <w:rsid w:val="00392AD7"/>
    <w:rsid w:val="003938D9"/>
    <w:rsid w:val="00394376"/>
    <w:rsid w:val="003943FF"/>
    <w:rsid w:val="00395700"/>
    <w:rsid w:val="00395723"/>
    <w:rsid w:val="003974EB"/>
    <w:rsid w:val="00397CC5"/>
    <w:rsid w:val="003A1582"/>
    <w:rsid w:val="003A173E"/>
    <w:rsid w:val="003A4077"/>
    <w:rsid w:val="003B09AD"/>
    <w:rsid w:val="003B1F18"/>
    <w:rsid w:val="003B2DEB"/>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17C"/>
    <w:rsid w:val="003E49F6"/>
    <w:rsid w:val="003E5D7E"/>
    <w:rsid w:val="003E660F"/>
    <w:rsid w:val="003F0841"/>
    <w:rsid w:val="003F23D3"/>
    <w:rsid w:val="003F3F08"/>
    <w:rsid w:val="003F49F1"/>
    <w:rsid w:val="003F566A"/>
    <w:rsid w:val="003F6272"/>
    <w:rsid w:val="00400E72"/>
    <w:rsid w:val="00401400"/>
    <w:rsid w:val="00401682"/>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3699"/>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240"/>
    <w:rsid w:val="004B3AA8"/>
    <w:rsid w:val="004B3E93"/>
    <w:rsid w:val="004B4976"/>
    <w:rsid w:val="004B5172"/>
    <w:rsid w:val="004B5C91"/>
    <w:rsid w:val="004C1FBC"/>
    <w:rsid w:val="004C3F1D"/>
    <w:rsid w:val="004C40F7"/>
    <w:rsid w:val="004C458D"/>
    <w:rsid w:val="004C7556"/>
    <w:rsid w:val="004C7E8B"/>
    <w:rsid w:val="004C7E9D"/>
    <w:rsid w:val="004C7F67"/>
    <w:rsid w:val="004D076D"/>
    <w:rsid w:val="004D0EF1"/>
    <w:rsid w:val="004D0F79"/>
    <w:rsid w:val="004D2253"/>
    <w:rsid w:val="004D4406"/>
    <w:rsid w:val="004D7C42"/>
    <w:rsid w:val="004E0465"/>
    <w:rsid w:val="004E127B"/>
    <w:rsid w:val="004E136E"/>
    <w:rsid w:val="004E1623"/>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1854"/>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48D5"/>
    <w:rsid w:val="00586630"/>
    <w:rsid w:val="00587ADD"/>
    <w:rsid w:val="00591AA7"/>
    <w:rsid w:val="00591E27"/>
    <w:rsid w:val="00596160"/>
    <w:rsid w:val="005965E7"/>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D7C23"/>
    <w:rsid w:val="005E2335"/>
    <w:rsid w:val="005E313B"/>
    <w:rsid w:val="005E34CA"/>
    <w:rsid w:val="005E3C18"/>
    <w:rsid w:val="005E6812"/>
    <w:rsid w:val="005E7881"/>
    <w:rsid w:val="005E78E0"/>
    <w:rsid w:val="005F0D9C"/>
    <w:rsid w:val="005F284E"/>
    <w:rsid w:val="005F4712"/>
    <w:rsid w:val="006015CE"/>
    <w:rsid w:val="0060315B"/>
    <w:rsid w:val="00604784"/>
    <w:rsid w:val="00606419"/>
    <w:rsid w:val="00607D29"/>
    <w:rsid w:val="006121D9"/>
    <w:rsid w:val="00612952"/>
    <w:rsid w:val="00614CC1"/>
    <w:rsid w:val="00615A9D"/>
    <w:rsid w:val="00617387"/>
    <w:rsid w:val="006205D6"/>
    <w:rsid w:val="006252D8"/>
    <w:rsid w:val="006259BC"/>
    <w:rsid w:val="0062636B"/>
    <w:rsid w:val="00632182"/>
    <w:rsid w:val="00632AE0"/>
    <w:rsid w:val="00633884"/>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77EF7"/>
    <w:rsid w:val="0068026D"/>
    <w:rsid w:val="00680A27"/>
    <w:rsid w:val="006816A4"/>
    <w:rsid w:val="006819B8"/>
    <w:rsid w:val="006840A6"/>
    <w:rsid w:val="006850CD"/>
    <w:rsid w:val="00685AAB"/>
    <w:rsid w:val="006926A0"/>
    <w:rsid w:val="00695D22"/>
    <w:rsid w:val="006A07AA"/>
    <w:rsid w:val="006A25E5"/>
    <w:rsid w:val="006A2B46"/>
    <w:rsid w:val="006A336D"/>
    <w:rsid w:val="006A37B9"/>
    <w:rsid w:val="006A4557"/>
    <w:rsid w:val="006A6494"/>
    <w:rsid w:val="006B2672"/>
    <w:rsid w:val="006B313B"/>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5B7"/>
    <w:rsid w:val="006D4BB1"/>
    <w:rsid w:val="006D6593"/>
    <w:rsid w:val="006E23EA"/>
    <w:rsid w:val="006E3DC4"/>
    <w:rsid w:val="006F03A8"/>
    <w:rsid w:val="006F2ACA"/>
    <w:rsid w:val="006F2ADC"/>
    <w:rsid w:val="006F2BFE"/>
    <w:rsid w:val="006F31E9"/>
    <w:rsid w:val="006F6284"/>
    <w:rsid w:val="007002C5"/>
    <w:rsid w:val="00704387"/>
    <w:rsid w:val="00707669"/>
    <w:rsid w:val="00711CBA"/>
    <w:rsid w:val="00711FB5"/>
    <w:rsid w:val="00712A01"/>
    <w:rsid w:val="00714F58"/>
    <w:rsid w:val="00717365"/>
    <w:rsid w:val="00722B7E"/>
    <w:rsid w:val="00722FBF"/>
    <w:rsid w:val="00722FC2"/>
    <w:rsid w:val="00724879"/>
    <w:rsid w:val="00724E1B"/>
    <w:rsid w:val="00725949"/>
    <w:rsid w:val="00725AA8"/>
    <w:rsid w:val="00727FA2"/>
    <w:rsid w:val="007322D9"/>
    <w:rsid w:val="00732BC0"/>
    <w:rsid w:val="0073720F"/>
    <w:rsid w:val="00737796"/>
    <w:rsid w:val="0074165C"/>
    <w:rsid w:val="00741F24"/>
    <w:rsid w:val="00742C35"/>
    <w:rsid w:val="007432CA"/>
    <w:rsid w:val="007439EB"/>
    <w:rsid w:val="00743CB4"/>
    <w:rsid w:val="00743F0A"/>
    <w:rsid w:val="00744436"/>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663C"/>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C7AEA"/>
    <w:rsid w:val="007D06C4"/>
    <w:rsid w:val="007D1352"/>
    <w:rsid w:val="007D2508"/>
    <w:rsid w:val="007D346A"/>
    <w:rsid w:val="007D6518"/>
    <w:rsid w:val="007D76BD"/>
    <w:rsid w:val="007E0BF1"/>
    <w:rsid w:val="007E11DD"/>
    <w:rsid w:val="007F0ED8"/>
    <w:rsid w:val="007F0F63"/>
    <w:rsid w:val="007F75CE"/>
    <w:rsid w:val="008013A4"/>
    <w:rsid w:val="008027CE"/>
    <w:rsid w:val="00802F42"/>
    <w:rsid w:val="00804383"/>
    <w:rsid w:val="00804BB7"/>
    <w:rsid w:val="00804D41"/>
    <w:rsid w:val="00810257"/>
    <w:rsid w:val="008104F5"/>
    <w:rsid w:val="00811072"/>
    <w:rsid w:val="00811369"/>
    <w:rsid w:val="00813950"/>
    <w:rsid w:val="008146C0"/>
    <w:rsid w:val="00815419"/>
    <w:rsid w:val="008163C8"/>
    <w:rsid w:val="008164A1"/>
    <w:rsid w:val="00817325"/>
    <w:rsid w:val="008209E6"/>
    <w:rsid w:val="00823303"/>
    <w:rsid w:val="008233B2"/>
    <w:rsid w:val="00823A9F"/>
    <w:rsid w:val="00823C85"/>
    <w:rsid w:val="00825138"/>
    <w:rsid w:val="008269DD"/>
    <w:rsid w:val="00830621"/>
    <w:rsid w:val="0083348C"/>
    <w:rsid w:val="0083711B"/>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6032"/>
    <w:rsid w:val="00867C10"/>
    <w:rsid w:val="00867D45"/>
    <w:rsid w:val="00870439"/>
    <w:rsid w:val="00870DA1"/>
    <w:rsid w:val="00883F93"/>
    <w:rsid w:val="00884DB3"/>
    <w:rsid w:val="00885A9D"/>
    <w:rsid w:val="008864F6"/>
    <w:rsid w:val="0089049D"/>
    <w:rsid w:val="008928C9"/>
    <w:rsid w:val="008930CB"/>
    <w:rsid w:val="008938DC"/>
    <w:rsid w:val="00893FD1"/>
    <w:rsid w:val="00894836"/>
    <w:rsid w:val="00894CE4"/>
    <w:rsid w:val="00895172"/>
    <w:rsid w:val="00895680"/>
    <w:rsid w:val="00896DFF"/>
    <w:rsid w:val="0089762C"/>
    <w:rsid w:val="008A1893"/>
    <w:rsid w:val="008A3215"/>
    <w:rsid w:val="008A57E6"/>
    <w:rsid w:val="008A6F81"/>
    <w:rsid w:val="008A71B3"/>
    <w:rsid w:val="008A769A"/>
    <w:rsid w:val="008B0C9C"/>
    <w:rsid w:val="008B166D"/>
    <w:rsid w:val="008B17F4"/>
    <w:rsid w:val="008B3615"/>
    <w:rsid w:val="008B4AC4"/>
    <w:rsid w:val="008B50C8"/>
    <w:rsid w:val="008B5281"/>
    <w:rsid w:val="008B7E05"/>
    <w:rsid w:val="008C1797"/>
    <w:rsid w:val="008C219C"/>
    <w:rsid w:val="008C3E65"/>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5C0B"/>
    <w:rsid w:val="008E6A84"/>
    <w:rsid w:val="008F0CDC"/>
    <w:rsid w:val="008F17A3"/>
    <w:rsid w:val="008F1ED3"/>
    <w:rsid w:val="008F23A5"/>
    <w:rsid w:val="008F4C29"/>
    <w:rsid w:val="008F6DE5"/>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4FD5"/>
    <w:rsid w:val="00926C81"/>
    <w:rsid w:val="009273B3"/>
    <w:rsid w:val="00927B47"/>
    <w:rsid w:val="009302CC"/>
    <w:rsid w:val="009305B5"/>
    <w:rsid w:val="009429D5"/>
    <w:rsid w:val="00942BF1"/>
    <w:rsid w:val="00945180"/>
    <w:rsid w:val="00945428"/>
    <w:rsid w:val="0094607B"/>
    <w:rsid w:val="00953604"/>
    <w:rsid w:val="0095496B"/>
    <w:rsid w:val="0096105B"/>
    <w:rsid w:val="009610DC"/>
    <w:rsid w:val="00961490"/>
    <w:rsid w:val="00962F05"/>
    <w:rsid w:val="0096381A"/>
    <w:rsid w:val="00965E04"/>
    <w:rsid w:val="009674AD"/>
    <w:rsid w:val="009705B8"/>
    <w:rsid w:val="00970CDC"/>
    <w:rsid w:val="0097173D"/>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1B71"/>
    <w:rsid w:val="009B1F81"/>
    <w:rsid w:val="009B46F9"/>
    <w:rsid w:val="009B6029"/>
    <w:rsid w:val="009B6971"/>
    <w:rsid w:val="009C27F1"/>
    <w:rsid w:val="009C3152"/>
    <w:rsid w:val="009C4CFA"/>
    <w:rsid w:val="009C5070"/>
    <w:rsid w:val="009C5C42"/>
    <w:rsid w:val="009D112C"/>
    <w:rsid w:val="009D47FA"/>
    <w:rsid w:val="009D4C5B"/>
    <w:rsid w:val="009D50D2"/>
    <w:rsid w:val="009D6BCA"/>
    <w:rsid w:val="009E0F62"/>
    <w:rsid w:val="009E4A58"/>
    <w:rsid w:val="009E5A2D"/>
    <w:rsid w:val="009E5AB2"/>
    <w:rsid w:val="009E6219"/>
    <w:rsid w:val="009F03B3"/>
    <w:rsid w:val="009F7F51"/>
    <w:rsid w:val="00A004D4"/>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9B"/>
    <w:rsid w:val="00A237D5"/>
    <w:rsid w:val="00A2627D"/>
    <w:rsid w:val="00A30EFC"/>
    <w:rsid w:val="00A31984"/>
    <w:rsid w:val="00A32D73"/>
    <w:rsid w:val="00A3367B"/>
    <w:rsid w:val="00A3597D"/>
    <w:rsid w:val="00A36D90"/>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0E7E"/>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3E4"/>
    <w:rsid w:val="00AC3A5A"/>
    <w:rsid w:val="00AC4D95"/>
    <w:rsid w:val="00AC5DF4"/>
    <w:rsid w:val="00AD0AEF"/>
    <w:rsid w:val="00AD11B7"/>
    <w:rsid w:val="00AD1A94"/>
    <w:rsid w:val="00AD1C05"/>
    <w:rsid w:val="00AD4126"/>
    <w:rsid w:val="00AD421C"/>
    <w:rsid w:val="00AD44FA"/>
    <w:rsid w:val="00AE070A"/>
    <w:rsid w:val="00AE101C"/>
    <w:rsid w:val="00AE37E5"/>
    <w:rsid w:val="00AE5BA8"/>
    <w:rsid w:val="00AE5EB4"/>
    <w:rsid w:val="00AF0C18"/>
    <w:rsid w:val="00AF2D20"/>
    <w:rsid w:val="00AF47C5"/>
    <w:rsid w:val="00AF5398"/>
    <w:rsid w:val="00B049AF"/>
    <w:rsid w:val="00B07242"/>
    <w:rsid w:val="00B10534"/>
    <w:rsid w:val="00B113DB"/>
    <w:rsid w:val="00B11D8A"/>
    <w:rsid w:val="00B12981"/>
    <w:rsid w:val="00B147DD"/>
    <w:rsid w:val="00B14C70"/>
    <w:rsid w:val="00B156FD"/>
    <w:rsid w:val="00B21F61"/>
    <w:rsid w:val="00B261F1"/>
    <w:rsid w:val="00B265BC"/>
    <w:rsid w:val="00B31FB1"/>
    <w:rsid w:val="00B33952"/>
    <w:rsid w:val="00B33C5E"/>
    <w:rsid w:val="00B342F4"/>
    <w:rsid w:val="00B34369"/>
    <w:rsid w:val="00B34DC2"/>
    <w:rsid w:val="00B378E5"/>
    <w:rsid w:val="00B40D30"/>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6737B"/>
    <w:rsid w:val="00B72880"/>
    <w:rsid w:val="00B74002"/>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0285"/>
    <w:rsid w:val="00BE22F3"/>
    <w:rsid w:val="00BE5B52"/>
    <w:rsid w:val="00BE7B8D"/>
    <w:rsid w:val="00BF0993"/>
    <w:rsid w:val="00BF10A9"/>
    <w:rsid w:val="00BF1703"/>
    <w:rsid w:val="00BF231C"/>
    <w:rsid w:val="00BF51E5"/>
    <w:rsid w:val="00BF74A6"/>
    <w:rsid w:val="00C013AD"/>
    <w:rsid w:val="00C04904"/>
    <w:rsid w:val="00C056B3"/>
    <w:rsid w:val="00C103E5"/>
    <w:rsid w:val="00C12E64"/>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3733"/>
    <w:rsid w:val="00C643F9"/>
    <w:rsid w:val="00C64E95"/>
    <w:rsid w:val="00C67659"/>
    <w:rsid w:val="00C71372"/>
    <w:rsid w:val="00C72410"/>
    <w:rsid w:val="00C7287F"/>
    <w:rsid w:val="00C80982"/>
    <w:rsid w:val="00C80CB8"/>
    <w:rsid w:val="00C819F8"/>
    <w:rsid w:val="00C8248C"/>
    <w:rsid w:val="00C84E33"/>
    <w:rsid w:val="00C86D6F"/>
    <w:rsid w:val="00C905FC"/>
    <w:rsid w:val="00C91104"/>
    <w:rsid w:val="00C92D03"/>
    <w:rsid w:val="00C9319C"/>
    <w:rsid w:val="00C9435D"/>
    <w:rsid w:val="00C94DF2"/>
    <w:rsid w:val="00C95D97"/>
    <w:rsid w:val="00C96741"/>
    <w:rsid w:val="00CA1465"/>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4F2"/>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5F39"/>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2967"/>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05AE"/>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0BEA"/>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57AC"/>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B9"/>
    <w:rsid w:val="00E365FA"/>
    <w:rsid w:val="00E36789"/>
    <w:rsid w:val="00E44A83"/>
    <w:rsid w:val="00E502C1"/>
    <w:rsid w:val="00E502DD"/>
    <w:rsid w:val="00E50D3A"/>
    <w:rsid w:val="00E51387"/>
    <w:rsid w:val="00E51B2A"/>
    <w:rsid w:val="00E51E68"/>
    <w:rsid w:val="00E52EFD"/>
    <w:rsid w:val="00E5408A"/>
    <w:rsid w:val="00E56800"/>
    <w:rsid w:val="00E60C63"/>
    <w:rsid w:val="00E612EA"/>
    <w:rsid w:val="00E62FF9"/>
    <w:rsid w:val="00E635D6"/>
    <w:rsid w:val="00E639BC"/>
    <w:rsid w:val="00E664CC"/>
    <w:rsid w:val="00E70358"/>
    <w:rsid w:val="00E70388"/>
    <w:rsid w:val="00E70F92"/>
    <w:rsid w:val="00E74BEE"/>
    <w:rsid w:val="00E74C54"/>
    <w:rsid w:val="00E772FC"/>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368C"/>
    <w:rsid w:val="00EA58D1"/>
    <w:rsid w:val="00EA61BC"/>
    <w:rsid w:val="00EA681A"/>
    <w:rsid w:val="00EA735B"/>
    <w:rsid w:val="00EA743F"/>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3B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2F5A"/>
    <w:rsid w:val="00F93A8A"/>
    <w:rsid w:val="00F95248"/>
    <w:rsid w:val="00F956A9"/>
    <w:rsid w:val="00F95B80"/>
    <w:rsid w:val="00F963ED"/>
    <w:rsid w:val="00F966CF"/>
    <w:rsid w:val="00F96CAE"/>
    <w:rsid w:val="00F97C99"/>
    <w:rsid w:val="00FA4DAC"/>
    <w:rsid w:val="00FA662D"/>
    <w:rsid w:val="00FA73B1"/>
    <w:rsid w:val="00FB0CB9"/>
    <w:rsid w:val="00FB231D"/>
    <w:rsid w:val="00FB45F1"/>
    <w:rsid w:val="00FB4A72"/>
    <w:rsid w:val="00FB54E8"/>
    <w:rsid w:val="00FB6DF0"/>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3419E4"/>
    <w:rsid w:val="0708240E"/>
    <w:rsid w:val="0B11159C"/>
    <w:rsid w:val="0F4E78C2"/>
    <w:rsid w:val="155C60D9"/>
    <w:rsid w:val="15684AB8"/>
    <w:rsid w:val="1BC4291D"/>
    <w:rsid w:val="1E6058EF"/>
    <w:rsid w:val="30D444AE"/>
    <w:rsid w:val="38E4599B"/>
    <w:rsid w:val="49CB22EE"/>
    <w:rsid w:val="4C794E06"/>
    <w:rsid w:val="4E2C067A"/>
    <w:rsid w:val="58FF53CC"/>
    <w:rsid w:val="610C75F9"/>
    <w:rsid w:val="7C622048"/>
    <w:rsid w:val="7DB514D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6">
    <w:name w:val="Default Paragraph Font"/>
    <w:unhideWhenUsed/>
    <w:uiPriority w:val="1"/>
  </w:style>
  <w:style w:type="table" w:default="1" w:styleId="32">
    <w:name w:val="Normal Table"/>
    <w:unhideWhenUsed/>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unhideWhenUsed/>
    <w:qFormat/>
    <w:uiPriority w:val="99"/>
    <w:rPr>
      <w:sz w:val="18"/>
      <w:szCs w:val="18"/>
    </w:rPr>
  </w:style>
  <w:style w:type="paragraph" w:styleId="17">
    <w:name w:val="footer"/>
    <w:basedOn w:val="1"/>
    <w:link w:val="44"/>
    <w:qFormat/>
    <w:uiPriority w:val="0"/>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color w:val="FF0000"/>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character" w:styleId="27">
    <w:name w:val="Strong"/>
    <w:qFormat/>
    <w:uiPriority w:val="22"/>
    <w:rPr>
      <w:b/>
      <w:bCs/>
    </w:rPr>
  </w:style>
  <w:style w:type="character" w:styleId="28">
    <w:name w:val="page number"/>
    <w:qFormat/>
    <w:uiPriority w:val="0"/>
    <w:rPr>
      <w:rFonts w:ascii="宋体" w:hAnsi="Times New Roman" w:eastAsia="宋体"/>
      <w:sz w:val="18"/>
    </w:rPr>
  </w:style>
  <w:style w:type="character" w:styleId="29">
    <w:name w:val="Emphasis"/>
    <w:qFormat/>
    <w:uiPriority w:val="20"/>
    <w:rPr>
      <w:i/>
      <w:iCs/>
    </w:rPr>
  </w:style>
  <w:style w:type="character" w:styleId="30">
    <w:name w:val="Hyperlink"/>
    <w:qFormat/>
    <w:uiPriority w:val="99"/>
    <w:rPr>
      <w:rFonts w:ascii="宋体" w:hAnsi="Times New Roman" w:eastAsia="宋体"/>
      <w:color w:val="auto"/>
      <w:spacing w:val="0"/>
      <w:w w:val="100"/>
      <w:position w:val="0"/>
      <w:sz w:val="21"/>
      <w:u w:val="none"/>
      <w:vertAlign w:val="baseline"/>
    </w:rPr>
  </w:style>
  <w:style w:type="character" w:styleId="31">
    <w:name w:val="footnote reference"/>
    <w:semiHidden/>
    <w:qFormat/>
    <w:uiPriority w:val="0"/>
    <w:rPr>
      <w:rFonts w:ascii="宋体" w:hAnsi="宋体" w:eastAsia="宋体" w:cs="Times New Roman"/>
      <w:spacing w:val="0"/>
      <w:sz w:val="18"/>
      <w:vertAlign w:val="superscript"/>
    </w:r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4">
    <w:name w:val="标题 1 Char"/>
    <w:link w:val="2"/>
    <w:qFormat/>
    <w:uiPriority w:val="0"/>
    <w:rPr>
      <w:b/>
      <w:bCs/>
      <w:kern w:val="44"/>
      <w:sz w:val="44"/>
      <w:szCs w:val="44"/>
    </w:rPr>
  </w:style>
  <w:style w:type="character" w:customStyle="1" w:styleId="35">
    <w:name w:val="标题 2 Char"/>
    <w:link w:val="3"/>
    <w:qFormat/>
    <w:uiPriority w:val="0"/>
    <w:rPr>
      <w:rFonts w:ascii="Arial" w:hAnsi="Arial" w:eastAsia="黑体"/>
      <w:b/>
      <w:bCs/>
      <w:kern w:val="2"/>
      <w:sz w:val="32"/>
      <w:szCs w:val="32"/>
    </w:rPr>
  </w:style>
  <w:style w:type="character" w:customStyle="1" w:styleId="36">
    <w:name w:val="标题 3 Char"/>
    <w:link w:val="4"/>
    <w:qFormat/>
    <w:uiPriority w:val="0"/>
    <w:rPr>
      <w:b/>
      <w:bCs/>
      <w:kern w:val="2"/>
      <w:sz w:val="32"/>
      <w:szCs w:val="32"/>
    </w:rPr>
  </w:style>
  <w:style w:type="character" w:customStyle="1" w:styleId="37">
    <w:name w:val="标题 4 Char"/>
    <w:link w:val="5"/>
    <w:qFormat/>
    <w:uiPriority w:val="0"/>
    <w:rPr>
      <w:rFonts w:ascii="Arial" w:hAnsi="Arial" w:eastAsia="黑体"/>
      <w:b/>
      <w:bCs/>
      <w:kern w:val="2"/>
      <w:sz w:val="28"/>
      <w:szCs w:val="28"/>
    </w:rPr>
  </w:style>
  <w:style w:type="character" w:customStyle="1" w:styleId="38">
    <w:name w:val="标题 5 Char"/>
    <w:link w:val="6"/>
    <w:qFormat/>
    <w:uiPriority w:val="0"/>
    <w:rPr>
      <w:b/>
      <w:bCs/>
      <w:kern w:val="2"/>
      <w:sz w:val="28"/>
      <w:szCs w:val="28"/>
    </w:rPr>
  </w:style>
  <w:style w:type="character" w:customStyle="1" w:styleId="39">
    <w:name w:val="标题 6 Char"/>
    <w:link w:val="7"/>
    <w:qFormat/>
    <w:uiPriority w:val="0"/>
    <w:rPr>
      <w:rFonts w:ascii="Arial" w:hAnsi="Arial" w:eastAsia="黑体"/>
      <w:b/>
      <w:bCs/>
      <w:kern w:val="2"/>
      <w:sz w:val="24"/>
      <w:szCs w:val="24"/>
    </w:rPr>
  </w:style>
  <w:style w:type="character" w:customStyle="1" w:styleId="40">
    <w:name w:val="标题 7 Char"/>
    <w:link w:val="8"/>
    <w:qFormat/>
    <w:uiPriority w:val="0"/>
    <w:rPr>
      <w:b/>
      <w:bCs/>
      <w:kern w:val="2"/>
      <w:sz w:val="24"/>
      <w:szCs w:val="24"/>
    </w:rPr>
  </w:style>
  <w:style w:type="character" w:customStyle="1" w:styleId="41">
    <w:name w:val="标题 8 Char"/>
    <w:link w:val="9"/>
    <w:qFormat/>
    <w:uiPriority w:val="0"/>
    <w:rPr>
      <w:rFonts w:ascii="Arial" w:hAnsi="Arial" w:eastAsia="黑体"/>
      <w:kern w:val="2"/>
      <w:sz w:val="24"/>
      <w:szCs w:val="24"/>
    </w:rPr>
  </w:style>
  <w:style w:type="character" w:customStyle="1" w:styleId="42">
    <w:name w:val="标题 9 Char"/>
    <w:link w:val="10"/>
    <w:qFormat/>
    <w:uiPriority w:val="0"/>
    <w:rPr>
      <w:rFonts w:ascii="Arial" w:hAnsi="Arial" w:eastAsia="黑体"/>
      <w:kern w:val="2"/>
      <w:sz w:val="21"/>
      <w:szCs w:val="21"/>
    </w:rPr>
  </w:style>
  <w:style w:type="character" w:customStyle="1" w:styleId="43">
    <w:name w:val="页眉 Char"/>
    <w:link w:val="18"/>
    <w:qFormat/>
    <w:uiPriority w:val="99"/>
    <w:rPr>
      <w:kern w:val="2"/>
      <w:sz w:val="18"/>
      <w:szCs w:val="18"/>
    </w:rPr>
  </w:style>
  <w:style w:type="character" w:customStyle="1" w:styleId="44">
    <w:name w:val="页脚 Char"/>
    <w:link w:val="17"/>
    <w:qFormat/>
    <w:uiPriority w:val="0"/>
    <w:rPr>
      <w:rFonts w:ascii="宋体"/>
      <w:kern w:val="2"/>
      <w:sz w:val="18"/>
      <w:szCs w:val="18"/>
    </w:rPr>
  </w:style>
  <w:style w:type="character" w:customStyle="1" w:styleId="45">
    <w:name w:val="批注框文本 Char"/>
    <w:link w:val="16"/>
    <w:semiHidden/>
    <w:qFormat/>
    <w:uiPriority w:val="99"/>
    <w:rPr>
      <w:kern w:val="2"/>
      <w:sz w:val="18"/>
      <w:szCs w:val="18"/>
    </w:rPr>
  </w:style>
  <w:style w:type="paragraph" w:customStyle="1" w:styleId="46">
    <w:name w:val="Quote"/>
    <w:basedOn w:val="1"/>
    <w:next w:val="1"/>
    <w:link w:val="47"/>
    <w:qFormat/>
    <w:uiPriority w:val="29"/>
    <w:rPr>
      <w:i/>
      <w:iCs/>
      <w:color w:val="000000"/>
    </w:rPr>
  </w:style>
  <w:style w:type="character" w:customStyle="1" w:styleId="47">
    <w:name w:val="引用 Char"/>
    <w:link w:val="46"/>
    <w:qFormat/>
    <w:uiPriority w:val="29"/>
    <w:rPr>
      <w:i/>
      <w:iCs/>
      <w:color w:val="000000"/>
      <w:kern w:val="2"/>
      <w:sz w:val="21"/>
      <w:szCs w:val="21"/>
    </w:rPr>
  </w:style>
  <w:style w:type="character" w:customStyle="1" w:styleId="48">
    <w:name w:val="标题 Char"/>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Lines="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Lines="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Lines="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Lines="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Lines="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Lines="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Char"/>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Lines="50" w:afterLines="50"/>
      <w:jc w:val="both"/>
      <w:outlineLvl w:val="4"/>
    </w:pPr>
    <w:rPr>
      <w:rFonts w:ascii="黑体" w:hAnsi="Times New Roman" w:eastAsia="黑体" w:cs="Times New Roman"/>
      <w:sz w:val="21"/>
      <w:lang w:val="en-US" w:eastAsia="zh-CN" w:bidi="ar-SA"/>
    </w:rPr>
  </w:style>
  <w:style w:type="character" w:customStyle="1" w:styleId="99">
    <w:name w:val="脚注文本 Char"/>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Lines="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Lines="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Lines="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Lines="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Lines="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Lines="0" w:afterLines="0"/>
      <w:outlineLvl w:val="9"/>
    </w:pPr>
    <w:rPr>
      <w:rFonts w:ascii="宋体" w:eastAsia="宋体"/>
    </w:rPr>
  </w:style>
  <w:style w:type="paragraph" w:customStyle="1" w:styleId="163">
    <w:name w:val="标准文件_五级无标题"/>
    <w:basedOn w:val="103"/>
    <w:qFormat/>
    <w:uiPriority w:val="0"/>
    <w:pPr>
      <w:spacing w:beforeLines="0" w:afterLines="0"/>
      <w:outlineLvl w:val="9"/>
    </w:pPr>
    <w:rPr>
      <w:rFonts w:ascii="宋体" w:eastAsia="宋体"/>
    </w:rPr>
  </w:style>
  <w:style w:type="paragraph" w:customStyle="1" w:styleId="164">
    <w:name w:val="标准文件_三级无标题"/>
    <w:basedOn w:val="94"/>
    <w:qFormat/>
    <w:uiPriority w:val="0"/>
    <w:pPr>
      <w:spacing w:beforeLines="0" w:afterLines="0"/>
      <w:outlineLvl w:val="9"/>
    </w:pPr>
    <w:rPr>
      <w:rFonts w:ascii="宋体" w:eastAsia="宋体"/>
    </w:rPr>
  </w:style>
  <w:style w:type="paragraph" w:customStyle="1" w:styleId="165">
    <w:name w:val="标准文件_二级无标题"/>
    <w:basedOn w:val="65"/>
    <w:qFormat/>
    <w:uiPriority w:val="0"/>
    <w:pPr>
      <w:spacing w:beforeLines="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Lines="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customStyle="1" w:styleId="186">
    <w:name w:val="Placeholder Text"/>
    <w:basedOn w:val="26"/>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6"/>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vAnchor="page" w:hAnchor="page" w:x="1419" w:y="14097"/>
    </w:pPr>
  </w:style>
  <w:style w:type="paragraph" w:customStyle="1" w:styleId="194">
    <w:name w:val="其他实施日期"/>
    <w:basedOn w:val="154"/>
    <w:qFormat/>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Lines="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Lines="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Lines="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Lines="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Lines="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Lines="0" w:afterLines="0" w:line="276" w:lineRule="auto"/>
      <w:outlineLvl w:val="9"/>
    </w:pPr>
    <w:rPr>
      <w:rFonts w:ascii="宋体" w:eastAsia="宋体"/>
    </w:rPr>
  </w:style>
  <w:style w:type="paragraph" w:customStyle="1" w:styleId="212">
    <w:name w:val="标准文件_附录二级无标题"/>
    <w:basedOn w:val="79"/>
    <w:qFormat/>
    <w:uiPriority w:val="0"/>
    <w:pPr>
      <w:spacing w:beforeLines="0" w:afterLines="0" w:line="276" w:lineRule="auto"/>
      <w:outlineLvl w:val="9"/>
    </w:pPr>
    <w:rPr>
      <w:rFonts w:ascii="宋体" w:eastAsia="宋体"/>
    </w:rPr>
  </w:style>
  <w:style w:type="paragraph" w:customStyle="1" w:styleId="213">
    <w:name w:val="标准文件_附录三级无标题"/>
    <w:basedOn w:val="81"/>
    <w:qFormat/>
    <w:uiPriority w:val="0"/>
    <w:pPr>
      <w:spacing w:beforeLines="0" w:afterLines="0" w:line="276" w:lineRule="auto"/>
      <w:outlineLvl w:val="9"/>
    </w:pPr>
    <w:rPr>
      <w:rFonts w:ascii="宋体" w:eastAsia="宋体"/>
    </w:rPr>
  </w:style>
  <w:style w:type="paragraph" w:customStyle="1" w:styleId="214">
    <w:name w:val="标准文件_附录四级无标题"/>
    <w:basedOn w:val="82"/>
    <w:qFormat/>
    <w:uiPriority w:val="0"/>
    <w:pPr>
      <w:spacing w:beforeLines="0" w:afterLines="0" w:line="276" w:lineRule="auto"/>
      <w:outlineLvl w:val="9"/>
    </w:pPr>
    <w:rPr>
      <w:rFonts w:ascii="宋体" w:eastAsia="宋体"/>
    </w:rPr>
  </w:style>
  <w:style w:type="paragraph" w:customStyle="1" w:styleId="215">
    <w:name w:val="标准文件_附录五级无标题"/>
    <w:basedOn w:val="84"/>
    <w:qFormat/>
    <w:uiPriority w:val="0"/>
    <w:pPr>
      <w:spacing w:beforeLines="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Lines="0" w:afterLines="0" w:line="276" w:lineRule="auto"/>
    </w:pPr>
    <w:rPr>
      <w:rFonts w:ascii="宋体" w:eastAsia="宋体"/>
    </w:rPr>
  </w:style>
  <w:style w:type="paragraph" w:customStyle="1" w:styleId="217">
    <w:name w:val="标准文件_引言二级无标题"/>
    <w:basedOn w:val="201"/>
    <w:next w:val="56"/>
    <w:qFormat/>
    <w:uiPriority w:val="0"/>
    <w:pPr>
      <w:spacing w:beforeLines="0" w:afterLines="0" w:line="276" w:lineRule="auto"/>
    </w:pPr>
    <w:rPr>
      <w:rFonts w:ascii="宋体" w:eastAsia="宋体"/>
    </w:rPr>
  </w:style>
  <w:style w:type="paragraph" w:customStyle="1" w:styleId="218">
    <w:name w:val="标准文件_引言三级无标题"/>
    <w:basedOn w:val="202"/>
    <w:qFormat/>
    <w:uiPriority w:val="0"/>
    <w:pPr>
      <w:spacing w:beforeLines="0" w:afterLines="0" w:line="276" w:lineRule="auto"/>
    </w:pPr>
    <w:rPr>
      <w:rFonts w:ascii="宋体" w:eastAsia="宋体"/>
    </w:rPr>
  </w:style>
  <w:style w:type="paragraph" w:customStyle="1" w:styleId="219">
    <w:name w:val="标准文件_引言四级无标题"/>
    <w:basedOn w:val="203"/>
    <w:next w:val="56"/>
    <w:qFormat/>
    <w:uiPriority w:val="0"/>
    <w:pPr>
      <w:spacing w:beforeLines="0" w:afterLines="0" w:line="276" w:lineRule="auto"/>
    </w:pPr>
    <w:rPr>
      <w:rFonts w:ascii="宋体" w:eastAsia="宋体"/>
    </w:rPr>
  </w:style>
  <w:style w:type="paragraph" w:customStyle="1" w:styleId="220">
    <w:name w:val="标准文件_引言五级无标题"/>
    <w:basedOn w:val="204"/>
    <w:next w:val="56"/>
    <w:qFormat/>
    <w:uiPriority w:val="0"/>
    <w:pPr>
      <w:spacing w:beforeLines="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6"/>
    <w:qFormat/>
    <w:uiPriority w:val="0"/>
    <w:rPr>
      <w:rFonts w:ascii="黑体" w:eastAsia="黑体"/>
      <w:spacing w:val="85"/>
      <w:w w:val="100"/>
      <w:position w:val="3"/>
      <w:sz w:val="28"/>
      <w:szCs w:val="28"/>
    </w:rPr>
  </w:style>
  <w:style w:type="character" w:customStyle="1" w:styleId="230">
    <w:name w:val="段 Char"/>
    <w:link w:val="231"/>
    <w:qFormat/>
    <w:uiPriority w:val="0"/>
    <w:rPr>
      <w:rFonts w:ascii="宋体" w:eastAsia="Times New Roman"/>
      <w:sz w:val="21"/>
    </w:rPr>
  </w:style>
  <w:style w:type="paragraph" w:customStyle="1" w:styleId="231">
    <w:name w:val="段"/>
    <w:link w:val="230"/>
    <w:qFormat/>
    <w:uiPriority w:val="0"/>
    <w:pPr>
      <w:tabs>
        <w:tab w:val="center" w:pos="4201"/>
        <w:tab w:val="right" w:leader="dot" w:pos="9298"/>
      </w:tabs>
      <w:autoSpaceDE w:val="0"/>
      <w:autoSpaceDN w:val="0"/>
      <w:ind w:firstLine="420" w:firstLineChars="200"/>
      <w:jc w:val="both"/>
    </w:pPr>
    <w:rPr>
      <w:rFonts w:ascii="宋体" w:hAnsi="Calibri" w:eastAsia="Times New Roman" w:cs="Times New Roman"/>
      <w:sz w:val="21"/>
      <w:lang w:val="en-US" w:eastAsia="zh-CN" w:bidi="ar-SA"/>
    </w:rPr>
  </w:style>
  <w:style w:type="paragraph" w:customStyle="1" w:styleId="232">
    <w:name w:val="标准书脚_偶数页"/>
    <w:qFormat/>
    <w:uiPriority w:val="0"/>
    <w:pPr>
      <w:spacing w:before="120"/>
      <w:ind w:left="221"/>
    </w:pPr>
    <w:rPr>
      <w:rFonts w:ascii="宋体" w:hAnsi="Times New Roman" w:eastAsia="宋体" w:cs="Times New Roman"/>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glossaryDocument" Target="glossary/document.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jpeg"/><Relationship Id="rId28" Type="http://schemas.openxmlformats.org/officeDocument/2006/relationships/image" Target="media/image1.tiff"/><Relationship Id="rId27" Type="http://schemas.openxmlformats.org/officeDocument/2006/relationships/theme" Target="theme/theme1.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header" Target="header11.xml"/><Relationship Id="rId23" Type="http://schemas.openxmlformats.org/officeDocument/2006/relationships/header" Target="header10.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51BEE0D50604128AE0D447890238672"/>
        <w:style w:val=""/>
        <w:category>
          <w:name w:val="常规"/>
          <w:gallery w:val="placeholder"/>
        </w:category>
        <w:types>
          <w:type w:val="bbPlcHdr"/>
        </w:types>
        <w:behaviors>
          <w:behavior w:val="content"/>
        </w:behaviors>
        <w:description w:val=""/>
        <w:guid w:val="{EC0CB53C-CB3F-4D2E-8839-42F92F3A0D2A}"/>
      </w:docPartPr>
      <w:docPartBody>
        <w:p>
          <w:pPr>
            <w:pStyle w:val="5"/>
          </w:pPr>
          <w:r>
            <w:rPr>
              <w:rStyle w:val="4"/>
              <w:rFonts w:hint="eastAsia"/>
            </w:rPr>
            <w:t>单击或点击此处输入文字。</w:t>
          </w:r>
        </w:p>
      </w:docPartBody>
    </w:docPart>
    <w:docPart>
      <w:docPartPr>
        <w:name w:val="6591BB83E20E4CB8BDD27B9FA9921D87"/>
        <w:style w:val=""/>
        <w:category>
          <w:name w:val="常规"/>
          <w:gallery w:val="placeholder"/>
        </w:category>
        <w:types>
          <w:type w:val="bbPlcHdr"/>
        </w:types>
        <w:behaviors>
          <w:behavior w:val="content"/>
        </w:behaviors>
        <w:description w:val=""/>
        <w:guid w:val="{4E70CFCB-E4C1-4D8E-8527-DE2CAD129380}"/>
      </w:docPartPr>
      <w:docPartBody>
        <w:p>
          <w:pPr>
            <w:pStyle w:val="6"/>
          </w:pPr>
          <w:r>
            <w:rPr>
              <w:rStyle w:val="4"/>
              <w:rFonts w:hint="eastAsia"/>
            </w:rPr>
            <w:t>选择一项。</w:t>
          </w:r>
        </w:p>
      </w:docPartBody>
    </w:docPart>
    <w:docPart>
      <w:docPartPr>
        <w:name w:val="B6E41D2C71414E209A71BFBC01CB2DB0"/>
        <w:style w:val=""/>
        <w:category>
          <w:name w:val="常规"/>
          <w:gallery w:val="placeholder"/>
        </w:category>
        <w:types>
          <w:type w:val="bbPlcHdr"/>
        </w:types>
        <w:behaviors>
          <w:behavior w:val="content"/>
        </w:behaviors>
        <w:description w:val=""/>
        <w:guid w:val="{7D136EB8-ADB5-4FDF-8C30-55FAF548E5CB}"/>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FZSSK--GBK1-0">
    <w:altName w:val="微软雅黑"/>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Calibri Light">
    <w:panose1 w:val="020F0302020204030204"/>
    <w:charset w:val="00"/>
    <w:family w:val="swiss"/>
    <w:pitch w:val="default"/>
    <w:sig w:usb0="A00002EF" w:usb1="4000207B" w:usb2="00000000" w:usb3="00000000" w:csb0="2000019F" w:csb1="00000000"/>
  </w:font>
  <w:font w:name="等线">
    <w:altName w:val="Segoe Print"/>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046424"/>
    <w:rsid w:val="00027918"/>
    <w:rsid w:val="00046424"/>
    <w:rsid w:val="000F424C"/>
    <w:rsid w:val="001B79C7"/>
    <w:rsid w:val="001C52AC"/>
    <w:rsid w:val="002C3F70"/>
    <w:rsid w:val="00332FEC"/>
    <w:rsid w:val="004D3D9C"/>
    <w:rsid w:val="004E6FCD"/>
    <w:rsid w:val="00517DC4"/>
    <w:rsid w:val="005E3B7B"/>
    <w:rsid w:val="005F5924"/>
    <w:rsid w:val="00635CD5"/>
    <w:rsid w:val="00652C43"/>
    <w:rsid w:val="00712A7A"/>
    <w:rsid w:val="00716AB4"/>
    <w:rsid w:val="00895173"/>
    <w:rsid w:val="00A21553"/>
    <w:rsid w:val="00A40C48"/>
    <w:rsid w:val="00B33F74"/>
    <w:rsid w:val="00DD0D5A"/>
    <w:rsid w:val="00E07D81"/>
    <w:rsid w:val="00F22542"/>
    <w:rsid w:val="00F52C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character" w:customStyle="1" w:styleId="4">
    <w:name w:val="Placeholder Text"/>
    <w:basedOn w:val="2"/>
    <w:semiHidden/>
    <w:qFormat/>
    <w:uiPriority w:val="99"/>
    <w:rPr>
      <w:color w:val="808080"/>
    </w:rPr>
  </w:style>
  <w:style w:type="paragraph" w:customStyle="1" w:styleId="5">
    <w:name w:val="A51BEE0D50604128AE0D44789023867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6591BB83E20E4CB8BDD27B9FA9921D87"/>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B6E41D2C71414E209A71BFBC01CB2DB0"/>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1F486C-C479-406E-9936-60E359DA5E78}">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11</Pages>
  <Words>888</Words>
  <Characters>5064</Characters>
  <Lines>42</Lines>
  <Paragraphs>11</Paragraphs>
  <TotalTime>217</TotalTime>
  <ScaleCrop>false</ScaleCrop>
  <LinksUpToDate>false</LinksUpToDate>
  <CharactersWithSpaces>5941</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2026-01-21T02:34:00Z</dcterms:created>
  <dc:creator>Microsoft</dc:creator>
  <dc:description>&lt;config cover="true" show_menu="true" version="1.0.0" doctype="SDKXY"&gt;_x000d_
&lt;/config&gt;</dc:description>
  <cp:lastModifiedBy>admin</cp:lastModifiedBy>
  <cp:lastPrinted>2026-05-11T08:43:00Z</cp:lastPrinted>
  <dcterms:modified xsi:type="dcterms:W3CDTF">2026-09-28T01:51:07Z</dcterms:modified>
  <dc:title>地方标准</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TemplateDocerSaveRecord">
    <vt:lpwstr>eyJoZGlkIjoiNTYyNDQ0MzkwMjMzY2ZiY2M5M2VhZTI3OGRmNWJjZTgiLCJ1c2VySWQiOiIzNTM2MTQzMzUifQ==</vt:lpwstr>
  </property>
  <property fmtid="{D5CDD505-2E9C-101B-9397-08002B2CF9AE}" pid="16" name="KSOProductBuildVer">
    <vt:lpwstr>2052-10.8.0.6423</vt:lpwstr>
  </property>
  <property fmtid="{D5CDD505-2E9C-101B-9397-08002B2CF9AE}" pid="17" name="ICV">
    <vt:lpwstr>3305F4DB4EA34600AF08B72F7DC34901_13</vt:lpwstr>
  </property>
</Properties>
</file>