
<file path=[Content_Types].xml><?xml version="1.0" encoding="utf-8"?>
<Types xmlns="http://schemas.openxmlformats.org/package/2006/content-types">
  <Default Extension="xml" ContentType="application/xml"/>
  <Default Extension="jpeg" ContentType="image/jpeg"/>
  <Default Extension="tiff" ContentType="image/tif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33"/>
        <w:tblW w:w="936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509"/>
        <w:gridCol w:w="885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PrEx>
        <w:tc>
          <w:tcPr>
            <w:tcW w:w="509" w:type="dxa"/>
          </w:tcPr>
          <w:p>
            <w:pPr>
              <w:pStyle w:val="18"/>
              <w:framePr w:wrap="notBeside" w:vAnchor="page" w:hAnchor="page" w:x="1372" w:y="568"/>
              <w:tabs>
                <w:tab w:val="clear" w:pos="4153"/>
                <w:tab w:val="clear" w:pos="8306"/>
              </w:tabs>
              <w:spacing w:line="240" w:lineRule="auto"/>
              <w:jc w:val="left"/>
              <w:rPr>
                <w:rFonts w:ascii="黑体" w:hAnsi="黑体" w:eastAsia="黑体"/>
                <w:sz w:val="21"/>
                <w:szCs w:val="21"/>
              </w:rPr>
            </w:pPr>
            <w:r>
              <w:rPr>
                <w:rFonts w:ascii="Times New Roman" w:hAnsi="Times New Roman" w:eastAsia="黑体"/>
                <w:sz w:val="21"/>
                <w:szCs w:val="21"/>
              </w:rPr>
              <w:t>ICS</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line="240" w:lineRule="auto"/>
              <w:jc w:val="both"/>
              <w:rPr>
                <w:rFonts w:ascii="黑体" w:hAnsi="黑体" w:eastAsia="黑体"/>
                <w:sz w:val="21"/>
                <w:szCs w:val="21"/>
              </w:rPr>
            </w:pPr>
            <w:r>
              <w:rPr>
                <w:rFonts w:ascii="黑体" w:hAnsi="黑体" w:eastAsia="黑体"/>
                <w:sz w:val="21"/>
                <w:szCs w:val="21"/>
              </w:rPr>
              <w:fldChar w:fldCharType="begin">
                <w:ffData>
                  <w:name w:val="ICS"/>
                  <w:enabled/>
                  <w:calcOnExit w:val="0"/>
                  <w:textInput>
                    <w:default w:val="点击此处添加ICS号"/>
                  </w:textInput>
                </w:ffData>
              </w:fldChar>
            </w:r>
            <w:bookmarkStart w:id="0" w:name="ICS"/>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点击此处添加ICS号</w:t>
            </w:r>
            <w:r>
              <w:rPr>
                <w:rFonts w:ascii="黑体" w:hAnsi="黑体" w:eastAsia="黑体"/>
                <w:sz w:val="21"/>
                <w:szCs w:val="21"/>
              </w:rPr>
              <w:fldChar w:fldCharType="end"/>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Ex>
        <w:tc>
          <w:tcPr>
            <w:tcW w:w="509"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Times New Roman" w:hAnsi="Times New Roman" w:eastAsia="黑体"/>
                <w:sz w:val="21"/>
                <w:szCs w:val="21"/>
              </w:rPr>
              <w:t xml:space="preserve">CCS </w:t>
            </w:r>
            <w:r>
              <w:rPr>
                <w:rFonts w:ascii="黑体" w:hAnsi="黑体" w:eastAsia="黑体"/>
                <w:sz w:val="21"/>
                <w:szCs w:val="21"/>
              </w:rPr>
              <w:t xml:space="preserve"> </w:t>
            </w:r>
          </w:p>
        </w:tc>
        <w:tc>
          <w:tcPr>
            <w:tcW w:w="8855" w:type="dxa"/>
          </w:tcPr>
          <w:p>
            <w:pPr>
              <w:pStyle w:val="18"/>
              <w:framePr w:wrap="notBeside" w:vAnchor="page" w:hAnchor="page" w:x="1372" w:y="568"/>
              <w:tabs>
                <w:tab w:val="clear" w:pos="4153"/>
                <w:tab w:val="clear" w:pos="8306"/>
              </w:tabs>
              <w:spacing w:before="40" w:line="240" w:lineRule="auto"/>
              <w:jc w:val="left"/>
              <w:rPr>
                <w:rFonts w:ascii="黑体" w:hAnsi="黑体" w:eastAsia="黑体"/>
                <w:sz w:val="21"/>
                <w:szCs w:val="21"/>
              </w:rPr>
            </w:pPr>
            <w:r>
              <w:rPr>
                <w:rFonts w:ascii="黑体" w:hAnsi="黑体" w:eastAsia="黑体"/>
                <w:sz w:val="21"/>
                <w:szCs w:val="21"/>
              </w:rPr>
              <w:fldChar w:fldCharType="begin">
                <w:ffData>
                  <w:name w:val="CSDN"/>
                  <w:enabled/>
                  <w:calcOnExit w:val="0"/>
                  <w:textInput>
                    <w:default w:val="点击此处添加CCS号"/>
                  </w:textInput>
                </w:ffData>
              </w:fldChar>
            </w:r>
            <w:bookmarkStart w:id="1" w:name="CSDN"/>
            <w:r>
              <w:rPr>
                <w:rFonts w:ascii="黑体" w:hAnsi="黑体" w:eastAsia="黑体"/>
                <w:sz w:val="21"/>
                <w:szCs w:val="21"/>
              </w:rPr>
              <w:instrText xml:space="preserve"> FORMTEXT </w:instrText>
            </w:r>
            <w:r>
              <w:rPr>
                <w:rFonts w:ascii="黑体" w:hAnsi="黑体" w:eastAsia="黑体"/>
                <w:sz w:val="21"/>
                <w:szCs w:val="21"/>
              </w:rPr>
              <w:fldChar w:fldCharType="separate"/>
            </w:r>
            <w:r>
              <w:rPr>
                <w:rFonts w:ascii="黑体" w:hAnsi="黑体" w:eastAsia="黑体"/>
                <w:sz w:val="21"/>
                <w:szCs w:val="21"/>
              </w:rPr>
              <w:t>点击此处添加CCS号</w:t>
            </w:r>
            <w:r>
              <w:rPr>
                <w:rFonts w:ascii="黑体" w:hAnsi="黑体" w:eastAsia="黑体"/>
                <w:sz w:val="21"/>
                <w:szCs w:val="21"/>
              </w:rPr>
              <w:fldChar w:fldCharType="end"/>
            </w:r>
            <w:bookmarkEnd w:id="1"/>
          </w:p>
        </w:tc>
      </w:tr>
    </w:tbl>
    <w:tbl>
      <w:tblPr>
        <w:tblStyle w:val="33"/>
        <w:tblpPr w:leftFromText="180" w:rightFromText="180" w:vertAnchor="text" w:horzAnchor="margin" w:tblpX="2683" w:tblpY="578"/>
        <w:tblW w:w="6407" w:type="dxa"/>
        <w:tblInd w:w="0" w:type="dxa"/>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CellMar>
          <w:top w:w="0" w:type="dxa"/>
          <w:left w:w="108" w:type="dxa"/>
          <w:bottom w:w="0" w:type="dxa"/>
          <w:right w:w="221" w:type="dxa"/>
        </w:tblCellMar>
      </w:tblPr>
      <w:tblGrid>
        <w:gridCol w:w="6407"/>
      </w:tblGrid>
      <w:tr>
        <w:tblPrEx>
          <w:tblBorders>
            <w:top w:val="none" w:color="auto" w:sz="0" w:space="0"/>
            <w:left w:val="none" w:color="auto" w:sz="0" w:space="0"/>
            <w:bottom w:val="none" w:color="auto" w:sz="0" w:space="0"/>
            <w:right w:val="none" w:color="auto" w:sz="0" w:space="0"/>
            <w:insideH w:val="single" w:color="auto" w:sz="4" w:space="0"/>
            <w:insideV w:val="single" w:color="auto" w:sz="4" w:space="0"/>
          </w:tblBorders>
          <w:tblLayout w:type="fixed"/>
        </w:tblPrEx>
        <w:tc>
          <w:tcPr>
            <w:tcW w:w="6407" w:type="dxa"/>
          </w:tcPr>
          <w:p>
            <w:pPr>
              <w:pStyle w:val="49"/>
              <w:framePr w:w="0" w:hRule="auto" w:wrap="auto" w:vAnchor="margin" w:hAnchor="text" w:xAlign="left" w:yAlign="inline"/>
              <w:rPr>
                <w:rFonts w:ascii="宋体" w:hAnsi="宋体"/>
                <w:sz w:val="28"/>
                <w:szCs w:val="28"/>
              </w:rPr>
            </w:pPr>
            <w:bookmarkStart w:id="2" w:name="_Hlk26473981"/>
            <w:r>
              <w:drawing>
                <wp:inline distT="0" distB="0" distL="0" distR="0">
                  <wp:extent cx="796290" cy="397510"/>
                  <wp:effectExtent l="0" t="0" r="3810" b="254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813958" cy="406373"/>
                          </a:xfrm>
                          <a:prstGeom prst="rect">
                            <a:avLst/>
                          </a:prstGeom>
                        </pic:spPr>
                      </pic:pic>
                    </a:graphicData>
                  </a:graphic>
                </wp:inline>
              </w:drawing>
            </w:r>
            <w:r>
              <w:rPr>
                <w:sz w:val="21"/>
                <w:szCs w:val="21"/>
              </w:rPr>
              <w:t xml:space="preserve"> </w:t>
            </w:r>
            <w:r>
              <w:fldChar w:fldCharType="begin">
                <w:ffData>
                  <w:name w:val="c1"/>
                  <w:enabled/>
                  <w:calcOnExit w:val="0"/>
                  <w:textInput>
                    <w:maxLength w:val="8"/>
                  </w:textInput>
                </w:ffData>
              </w:fldChar>
            </w:r>
            <w:bookmarkStart w:id="3" w:name="c1"/>
            <w:r>
              <w:instrText xml:space="preserve"> FORMTEXT </w:instrText>
            </w:r>
            <w:r>
              <w:fldChar w:fldCharType="separate"/>
            </w:r>
            <w:r>
              <w:rPr>
                <w:rFonts w:hint="eastAsia"/>
              </w:rPr>
              <w:t>43</w:t>
            </w:r>
            <w:r>
              <w:fldChar w:fldCharType="end"/>
            </w:r>
            <w:bookmarkEnd w:id="3"/>
          </w:p>
        </w:tc>
      </w:tr>
    </w:tbl>
    <w:p>
      <w:pPr>
        <w:pStyle w:val="50"/>
        <w:framePr w:w="9639" w:h="624" w:hRule="exact" w:hSpace="181" w:vSpace="181" w:hAnchor="page" w:x="1305" w:y="2269"/>
        <w:rPr>
          <w:rFonts w:ascii="黑体" w:hAnsi="黑体" w:eastAsia="黑体"/>
          <w:b w:val="0"/>
          <w:bCs w:val="0"/>
          <w:w w:val="100"/>
          <w:sz w:val="48"/>
          <w:szCs w:val="48"/>
        </w:rPr>
      </w:pPr>
      <w:r>
        <w:rPr>
          <w:rFonts w:ascii="黑体" w:eastAsia="黑体"/>
          <w:b w:val="0"/>
          <w:w w:val="100"/>
          <w:sz w:val="48"/>
        </w:rPr>
        <w:fldChar w:fldCharType="begin">
          <w:ffData>
            <w:name w:val="c2"/>
            <w:enabled/>
            <w:calcOnExit w:val="0"/>
            <w:textInput/>
          </w:ffData>
        </w:fldChar>
      </w:r>
      <w:bookmarkStart w:id="4" w:name="c2"/>
      <w:r>
        <w:rPr>
          <w:rFonts w:ascii="黑体" w:eastAsia="黑体"/>
          <w:b w:val="0"/>
          <w:w w:val="100"/>
          <w:sz w:val="48"/>
        </w:rPr>
        <w:instrText xml:space="preserve"> FORMTEXT </w:instrText>
      </w:r>
      <w:r>
        <w:rPr>
          <w:rFonts w:ascii="黑体" w:eastAsia="黑体"/>
          <w:b w:val="0"/>
          <w:w w:val="100"/>
          <w:sz w:val="48"/>
        </w:rPr>
        <w:fldChar w:fldCharType="separate"/>
      </w:r>
      <w:r>
        <w:rPr>
          <w:rFonts w:hint="eastAsia" w:ascii="黑体" w:eastAsia="黑体"/>
          <w:b w:val="0"/>
          <w:w w:val="100"/>
          <w:sz w:val="48"/>
        </w:rPr>
        <w:t>湖南省</w:t>
      </w:r>
      <w:r>
        <w:rPr>
          <w:rFonts w:ascii="黑体" w:eastAsia="黑体"/>
          <w:b w:val="0"/>
          <w:w w:val="100"/>
          <w:sz w:val="48"/>
        </w:rPr>
        <w:fldChar w:fldCharType="end"/>
      </w:r>
      <w:bookmarkEnd w:id="4"/>
      <w:r>
        <w:rPr>
          <w:rFonts w:hint="eastAsia" w:ascii="黑体" w:hAnsi="黑体" w:eastAsia="黑体"/>
          <w:b w:val="0"/>
          <w:bCs w:val="0"/>
          <w:w w:val="100"/>
          <w:sz w:val="48"/>
          <w:szCs w:val="48"/>
        </w:rPr>
        <w:t>地方标准</w:t>
      </w:r>
    </w:p>
    <w:bookmarkEnd w:id="2"/>
    <w:p>
      <w:pPr>
        <w:pStyle w:val="195"/>
        <w:rPr>
          <w:lang w:val="fr-FR"/>
        </w:rPr>
      </w:pPr>
      <w:r>
        <w:rPr>
          <w:lang w:val="fr-FR"/>
        </w:rPr>
        <w:t>DB</w:t>
      </w:r>
      <w:r>
        <w:rPr>
          <w:sz w:val="15"/>
          <w:szCs w:val="15"/>
          <w:lang w:val="fr-FR"/>
        </w:rPr>
        <w:t xml:space="preserve"> </w:t>
      </w:r>
      <w:r>
        <w:fldChar w:fldCharType="begin">
          <w:ffData>
            <w:name w:val="文字1"/>
            <w:enabled/>
            <w:calcOnExit w:val="0"/>
            <w:textInput>
              <w:default w:val="XX/T"/>
            </w:textInput>
          </w:ffData>
        </w:fldChar>
      </w:r>
      <w:bookmarkStart w:id="5" w:name="文字1"/>
      <w:r>
        <w:rPr>
          <w:lang w:val="fr-FR"/>
        </w:rPr>
        <w:instrText xml:space="preserve"> FORMTEXT </w:instrText>
      </w:r>
      <w:r>
        <w:fldChar w:fldCharType="separate"/>
      </w:r>
      <w:r>
        <w:rPr>
          <w:rFonts w:hint="eastAsia"/>
        </w:rPr>
        <w:t>43</w:t>
      </w:r>
      <w:r>
        <w:rPr>
          <w:lang w:val="fr-FR"/>
        </w:rPr>
        <w:t>/T</w:t>
      </w:r>
      <w:r>
        <w:fldChar w:fldCharType="end"/>
      </w:r>
      <w:bookmarkEnd w:id="5"/>
      <w:r>
        <w:rPr>
          <w:lang w:val="fr-FR"/>
        </w:rPr>
        <w:t xml:space="preserve"> </w:t>
      </w:r>
      <w:r>
        <w:fldChar w:fldCharType="begin">
          <w:ffData>
            <w:name w:val="NSTD_CODE_F"/>
            <w:enabled/>
            <w:calcOnExit w:val="0"/>
            <w:textInput>
              <w:default w:val="XXXX"/>
            </w:textInput>
          </w:ffData>
        </w:fldChar>
      </w:r>
      <w:bookmarkStart w:id="6" w:name="NSTD_CODE_F"/>
      <w:r>
        <w:rPr>
          <w:lang w:val="fr-FR"/>
        </w:rPr>
        <w:instrText xml:space="preserve"> FORMTEXT </w:instrText>
      </w:r>
      <w:r>
        <w:fldChar w:fldCharType="separate"/>
      </w:r>
      <w:r>
        <w:rPr>
          <w:lang w:val="fr-FR"/>
        </w:rPr>
        <w:t>XXXX</w:t>
      </w:r>
      <w:r>
        <w:fldChar w:fldCharType="end"/>
      </w:r>
      <w:bookmarkEnd w:id="6"/>
      <w:r>
        <w:rPr>
          <w:rFonts w:hAnsi="黑体"/>
          <w:lang w:val="fr-FR"/>
        </w:rPr>
        <w:t>—</w:t>
      </w:r>
      <w:r>
        <w:fldChar w:fldCharType="begin">
          <w:ffData>
            <w:name w:val="NSTD_CODE_B"/>
            <w:enabled/>
            <w:calcOnExit w:val="0"/>
            <w:textInput>
              <w:default w:val="XXXX"/>
            </w:textInput>
          </w:ffData>
        </w:fldChar>
      </w:r>
      <w:bookmarkStart w:id="7" w:name="NSTD_CODE_B"/>
      <w:r>
        <w:rPr>
          <w:lang w:val="fr-FR"/>
        </w:rPr>
        <w:instrText xml:space="preserve"> FORMTEXT </w:instrText>
      </w:r>
      <w:r>
        <w:fldChar w:fldCharType="separate"/>
      </w:r>
      <w:r>
        <w:rPr>
          <w:lang w:val="fr-FR"/>
        </w:rPr>
        <w:t>XXXX</w:t>
      </w:r>
      <w:r>
        <w:fldChar w:fldCharType="end"/>
      </w:r>
      <w:bookmarkEnd w:id="7"/>
    </w:p>
    <w:p>
      <w:pPr>
        <w:pStyle w:val="196"/>
        <w:rPr>
          <w:rFonts w:hAnsi="黑体"/>
        </w:rPr>
      </w:pPr>
      <w:r>
        <w:rPr>
          <w:rFonts w:hAnsi="黑体"/>
        </w:rPr>
        <w:fldChar w:fldCharType="begin">
          <w:ffData>
            <w:name w:val="OSTD_CODE"/>
            <w:enabled/>
            <w:calcOnExit w:val="0"/>
            <w:textInput/>
          </w:ffData>
        </w:fldChar>
      </w:r>
      <w:bookmarkStart w:id="8" w:name="OSTD_CODE"/>
      <w:r>
        <w:rPr>
          <w:rFonts w:hAnsi="黑体"/>
        </w:rPr>
        <w:instrText xml:space="preserve"> FORMTEXT </w:instrText>
      </w:r>
      <w:r>
        <w:rPr>
          <w:rFonts w:hAnsi="黑体"/>
        </w:rPr>
        <w:fldChar w:fldCharType="separate"/>
      </w:r>
      <w:r>
        <w:rPr>
          <w:rFonts w:hAnsi="黑体"/>
        </w:rPr>
        <w:t>     </w:t>
      </w:r>
      <w:r>
        <w:rPr>
          <w:rFonts w:hAnsi="黑体"/>
        </w:rPr>
        <w:fldChar w:fldCharType="end"/>
      </w:r>
      <w:bookmarkEnd w:id="8"/>
    </w:p>
    <w:p>
      <w:pPr>
        <w:spacing w:line="240" w:lineRule="auto"/>
        <w:rPr>
          <w:rFonts w:ascii="黑体" w:hAnsi="黑体" w:eastAsia="黑体"/>
          <w:kern w:val="0"/>
          <w:sz w:val="10"/>
          <w:szCs w:val="10"/>
        </w:rPr>
      </w:pPr>
      <w:r>
        <w:rPr>
          <w:rFonts w:ascii="黑体" w:hAnsi="黑体" w:eastAsia="黑体"/>
          <w:kern w:val="0"/>
          <w:sz w:val="10"/>
          <w:szCs w:val="10"/>
        </w:rPr>
        <mc:AlternateContent>
          <mc:Choice Requires="wps">
            <w:drawing>
              <wp:anchor distT="0" distB="0" distL="114300" distR="114300" simplePos="0" relativeHeight="251660288" behindDoc="0" locked="0" layoutInCell="1" allowOverlap="0">
                <wp:simplePos x="0" y="0"/>
                <wp:positionH relativeFrom="page">
                  <wp:posOffset>900430</wp:posOffset>
                </wp:positionH>
                <wp:positionV relativeFrom="page">
                  <wp:posOffset>2700655</wp:posOffset>
                </wp:positionV>
                <wp:extent cx="6120130" cy="0"/>
                <wp:effectExtent l="0" t="0" r="0" b="0"/>
                <wp:wrapNone/>
                <wp:docPr id="73" name="直接连接符 73"/>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9pt;margin-top:212.65pt;height:0pt;width:481.9pt;mso-position-horizontal-relative:page;mso-position-vertical-relative:page;z-index:251660288;mso-width-relative:page;mso-height-relative:page;" filled="f" stroked="t" coordsize="21600,21600" o:allowoverlap="f" o:gfxdata="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Ang0mW2AAAAAwBAAAPAAAAAAAAAAEAIAAAACIAAABkcnMv&#10;ZG93bnJldi54bWxQSwECFAAUAAAACACHTuJAeCbvfcoBAABeAwAADgAAAAAAAAABACAAAAAnAQAA&#10;ZHJzL2Uyb0RvYy54bWxQSwUGAAAAAAYABgBZAQAAYwUAAAAA&#10;">
                <v:fill on="f" focussize="0,0"/>
                <v:stroke color="#000000" joinstyle="round"/>
                <v:imagedata o:title=""/>
                <o:lock v:ext="edit" aspectratio="f"/>
              </v:line>
            </w:pict>
          </mc:Fallback>
        </mc:AlternateContent>
      </w:r>
    </w:p>
    <w:p>
      <w:pPr>
        <w:pStyle w:val="50"/>
        <w:framePr w:w="9639" w:h="6976" w:hRule="exact" w:hSpace="0" w:vSpace="0" w:hAnchor="page" w:y="6408"/>
        <w:jc w:val="center"/>
        <w:rPr>
          <w:rFonts w:ascii="黑体" w:hAnsi="黑体" w:eastAsia="黑体"/>
          <w:b w:val="0"/>
          <w:bCs w:val="0"/>
          <w:w w:val="100"/>
        </w:rPr>
      </w:pPr>
    </w:p>
    <w:p>
      <w:pPr>
        <w:pStyle w:val="197"/>
        <w:framePr w:h="6974" w:hRule="exact" w:x="1419" w:anchorLock="1"/>
      </w:pPr>
      <w:r>
        <w:fldChar w:fldCharType="begin">
          <w:ffData>
            <w:name w:val="CSTD_NAME"/>
            <w:enabled/>
            <w:calcOnExit w:val="0"/>
            <w:textInput>
              <w:default w:val="点击此处添加标准名称"/>
            </w:textInput>
          </w:ffData>
        </w:fldChar>
      </w:r>
      <w:bookmarkStart w:id="9" w:name="CSTD_NAME"/>
      <w:r>
        <w:instrText xml:space="preserve"> FORMTEXT </w:instrText>
      </w:r>
      <w:r>
        <w:fldChar w:fldCharType="separate"/>
      </w:r>
      <w:r>
        <w:t>规模猪场非洲猪瘟无疫小区建设技术规范</w:t>
      </w:r>
      <w:r>
        <w:fldChar w:fldCharType="end"/>
      </w:r>
      <w:bookmarkEnd w:id="9"/>
    </w:p>
    <w:p>
      <w:pPr>
        <w:framePr w:w="9639" w:h="6974" w:hRule="exact" w:wrap="around" w:vAnchor="page" w:hAnchor="page" w:x="1419" w:y="6408" w:anchorLock="1"/>
        <w:ind w:left="-1418"/>
      </w:pPr>
    </w:p>
    <w:p>
      <w:pPr>
        <w:pStyle w:val="125"/>
        <w:framePr w:w="9639" w:h="6974" w:hRule="exact" w:wrap="around" w:vAnchor="page" w:hAnchor="page" w:x="1419" w:y="6408" w:anchorLock="1"/>
        <w:textAlignment w:val="bottom"/>
        <w:rPr>
          <w:rFonts w:ascii="黑体" w:hAnsi="黑体" w:eastAsia="黑体"/>
          <w:szCs w:val="28"/>
        </w:rPr>
      </w:pPr>
      <w:r>
        <w:rPr>
          <w:rFonts w:ascii="黑体" w:hAnsi="黑体" w:eastAsia="黑体"/>
          <w:szCs w:val="28"/>
        </w:rPr>
        <w:fldChar w:fldCharType="begin">
          <w:ffData>
            <w:name w:val="ESTD_NAME"/>
            <w:enabled/>
            <w:calcOnExit w:val="0"/>
            <w:textInput>
              <w:default w:val="点击此处添加标准名称的英文译名"/>
            </w:textInput>
          </w:ffData>
        </w:fldChar>
      </w:r>
      <w:bookmarkStart w:id="10" w:name="ESTD_NAME"/>
      <w:r>
        <w:rPr>
          <w:rFonts w:ascii="黑体" w:hAnsi="黑体" w:eastAsia="黑体"/>
          <w:szCs w:val="28"/>
        </w:rPr>
        <w:instrText xml:space="preserve"> FORMTEXT </w:instrText>
      </w:r>
      <w:r>
        <w:rPr>
          <w:rFonts w:ascii="黑体" w:hAnsi="黑体" w:eastAsia="黑体"/>
          <w:szCs w:val="28"/>
        </w:rPr>
        <w:fldChar w:fldCharType="separate"/>
      </w:r>
      <w:r>
        <w:rPr>
          <w:rFonts w:ascii="黑体" w:hAnsi="黑体" w:eastAsia="黑体"/>
          <w:szCs w:val="28"/>
        </w:rPr>
        <w:t xml:space="preserve"> </w:t>
      </w:r>
      <w:r>
        <w:rPr>
          <w:rFonts w:hint="eastAsia" w:ascii="黑体" w:hAnsi="黑体" w:eastAsia="黑体"/>
          <w:szCs w:val="28"/>
        </w:rPr>
        <w:t>Construction of ASF-Free Compartments on sized pig farm</w:t>
      </w:r>
    </w:p>
    <w:p>
      <w:pPr>
        <w:pStyle w:val="125"/>
        <w:framePr w:w="9639" w:h="6974" w:hRule="exact" w:wrap="around" w:vAnchor="page" w:hAnchor="page" w:x="1419" w:y="6408" w:anchorLock="1"/>
        <w:textAlignment w:val="bottom"/>
        <w:rPr>
          <w:rFonts w:ascii="黑体" w:hAnsi="黑体" w:eastAsia="黑体"/>
          <w:szCs w:val="28"/>
        </w:rPr>
      </w:pPr>
      <w:r>
        <w:rPr>
          <w:rFonts w:hint="eastAsia" w:ascii="黑体" w:hAnsi="黑体" w:eastAsia="黑体"/>
          <w:szCs w:val="28"/>
        </w:rPr>
        <w:t>technical specifications</w:t>
      </w:r>
      <w:r>
        <w:rPr>
          <w:rFonts w:ascii="黑体" w:hAnsi="黑体" w:eastAsia="黑体"/>
          <w:szCs w:val="28"/>
        </w:rPr>
        <w:fldChar w:fldCharType="end"/>
      </w:r>
      <w:bookmarkEnd w:id="10"/>
    </w:p>
    <w:p>
      <w:pPr>
        <w:framePr w:w="9639" w:h="6974" w:hRule="exact" w:wrap="around" w:vAnchor="page" w:hAnchor="page" w:x="1419" w:y="6408" w:anchorLock="1"/>
        <w:spacing w:line="760" w:lineRule="exact"/>
        <w:ind w:left="-1418"/>
      </w:pPr>
    </w:p>
    <w:p>
      <w:pPr>
        <w:pStyle w:val="125"/>
        <w:framePr w:w="9639" w:h="6974" w:hRule="exact" w:wrap="around" w:vAnchor="page" w:hAnchor="page" w:x="1419" w:y="6408" w:anchorLock="1"/>
        <w:textAlignment w:val="bottom"/>
        <w:rPr>
          <w:rFonts w:eastAsia="黑体"/>
          <w:szCs w:val="28"/>
        </w:rPr>
      </w:pPr>
    </w:p>
    <w:p>
      <w:pPr>
        <w:pStyle w:val="125"/>
        <w:framePr w:w="9639" w:h="6974" w:hRule="exact" w:wrap="around" w:vAnchor="page" w:hAnchor="page" w:x="1419" w:y="6408" w:anchorLock="1"/>
        <w:spacing w:before="440" w:after="160"/>
        <w:textAlignment w:val="bottom"/>
        <w:rPr>
          <w:sz w:val="24"/>
          <w:szCs w:val="28"/>
        </w:rPr>
      </w:pPr>
      <w:bookmarkStart w:id="11" w:name="下拉1"/>
      <w:r>
        <w:rPr>
          <w:sz w:val="24"/>
          <w:szCs w:val="28"/>
        </w:rPr>
        <w:fldChar w:fldCharType="begin">
          <w:ffData>
            <w:name w:val="下拉1"/>
            <w:enabled/>
            <w:calcOnExit w:val="0"/>
            <w:ddList>
              <w:listEntry w:val=" "/>
              <w:listEntry w:val="草案版次选择"/>
              <w:listEntry w:val="（工作组讨论稿）"/>
              <w:listEntry w:val="（征求意见稿）"/>
              <w:listEntry w:val="（送审讨论稿）"/>
              <w:listEntry w:val="（送审稿）"/>
              <w:listEntry w:val="（报批稿）"/>
            </w:ddList>
          </w:ffData>
        </w:fldChar>
      </w:r>
      <w:r>
        <w:rPr>
          <w:sz w:val="24"/>
          <w:szCs w:val="28"/>
        </w:rPr>
        <w:instrText xml:space="preserve"> FORMDROPDOWN </w:instrText>
      </w:r>
      <w:r>
        <w:rPr>
          <w:sz w:val="24"/>
          <w:szCs w:val="28"/>
        </w:rPr>
        <w:fldChar w:fldCharType="separate"/>
      </w:r>
      <w:r>
        <w:rPr>
          <w:sz w:val="24"/>
          <w:szCs w:val="28"/>
        </w:rPr>
        <w:fldChar w:fldCharType="end"/>
      </w:r>
      <w:bookmarkEnd w:id="11"/>
    </w:p>
    <w:p>
      <w:pPr>
        <w:pStyle w:val="125"/>
        <w:framePr w:w="9639" w:h="6974" w:hRule="exact" w:wrap="around" w:vAnchor="page" w:hAnchor="page" w:x="1419" w:y="6408" w:anchorLock="1"/>
        <w:spacing w:before="180" w:line="240" w:lineRule="atLeast"/>
        <w:textAlignment w:val="bottom"/>
        <w:rPr>
          <w:sz w:val="21"/>
          <w:szCs w:val="28"/>
        </w:rPr>
      </w:pPr>
      <w:bookmarkStart w:id="12" w:name="CMPLSH_DATE"/>
      <w:r>
        <w:rPr>
          <w:sz w:val="21"/>
          <w:szCs w:val="28"/>
        </w:rPr>
        <w:fldChar w:fldCharType="begin">
          <w:ffData>
            <w:name w:val="CMPLSH_DATE"/>
            <w:enabled/>
            <w:calcOnExit w:val="0"/>
            <w:textInput/>
          </w:ffData>
        </w:fldChar>
      </w:r>
      <w:r>
        <w:rPr>
          <w:sz w:val="21"/>
          <w:szCs w:val="28"/>
        </w:rPr>
        <w:instrText xml:space="preserve"> FORMTEXT </w:instrText>
      </w:r>
      <w:r>
        <w:rPr>
          <w:sz w:val="21"/>
          <w:szCs w:val="28"/>
        </w:rPr>
        <w:fldChar w:fldCharType="separate"/>
      </w:r>
      <w:r>
        <w:rPr>
          <w:rFonts w:hint="eastAsia"/>
          <w:sz w:val="21"/>
          <w:szCs w:val="28"/>
          <w:lang w:eastAsia="zh-CN"/>
        </w:rPr>
        <w:t>征求意见稿</w:t>
      </w:r>
      <w:r>
        <w:rPr>
          <w:sz w:val="21"/>
          <w:szCs w:val="28"/>
        </w:rPr>
        <w:fldChar w:fldCharType="end"/>
      </w:r>
      <w:bookmarkEnd w:id="12"/>
    </w:p>
    <w:p>
      <w:pPr>
        <w:pStyle w:val="125"/>
        <w:framePr w:w="9639" w:h="6974" w:hRule="exact" w:wrap="around" w:vAnchor="page" w:hAnchor="page" w:x="1419" w:y="6408" w:anchorLock="1"/>
        <w:spacing w:before="720" w:beforeLines="300" w:after="72" w:afterLines="30" w:line="240" w:lineRule="auto"/>
        <w:textAlignment w:val="bottom"/>
        <w:rPr>
          <w:b/>
          <w:sz w:val="21"/>
          <w:szCs w:val="28"/>
        </w:rPr>
      </w:pPr>
      <w:bookmarkStart w:id="13" w:name="下拉2"/>
      <w:r>
        <w:rPr>
          <w:b/>
          <w:sz w:val="21"/>
          <w:szCs w:val="28"/>
        </w:rPr>
        <w:fldChar w:fldCharType="begin">
          <w:ffData>
            <w:name w:val="下拉2"/>
            <w:enabled/>
            <w:calcOnExit w:val="0"/>
            <w:ddList>
              <w:listEntry w:val=" "/>
              <w:listEntry w:val="在提交反馈意见时，请将您知道的相关专利连同支持性文件一并附上。"/>
            </w:ddList>
          </w:ffData>
        </w:fldChar>
      </w:r>
      <w:r>
        <w:rPr>
          <w:b/>
          <w:sz w:val="21"/>
          <w:szCs w:val="28"/>
        </w:rPr>
        <w:instrText xml:space="preserve"> FORMDROPDOWN </w:instrText>
      </w:r>
      <w:r>
        <w:rPr>
          <w:b/>
          <w:sz w:val="21"/>
          <w:szCs w:val="28"/>
        </w:rPr>
        <w:fldChar w:fldCharType="separate"/>
      </w:r>
      <w:r>
        <w:rPr>
          <w:b/>
          <w:sz w:val="21"/>
          <w:szCs w:val="28"/>
        </w:rPr>
        <w:fldChar w:fldCharType="end"/>
      </w:r>
      <w:bookmarkEnd w:id="13"/>
    </w:p>
    <w:p>
      <w:pPr>
        <w:pStyle w:val="193"/>
        <w:framePr w:y="14176"/>
      </w:pPr>
      <w:r>
        <w:rPr>
          <w:rFonts w:ascii="黑体"/>
        </w:rPr>
        <w:fldChar w:fldCharType="begin">
          <w:ffData>
            <w:name w:val="PLSH_DATE_Y"/>
            <w:enabled/>
            <w:calcOnExit w:val="0"/>
            <w:textInput>
              <w:default w:val="XXXX"/>
              <w:maxLength w:val="4"/>
            </w:textInput>
          </w:ffData>
        </w:fldChar>
      </w:r>
      <w:bookmarkStart w:id="14" w:name="PLSH_DATE_Y"/>
      <w:r>
        <w:rPr>
          <w:rFonts w:ascii="黑体"/>
        </w:rPr>
        <w:instrText xml:space="preserve"> FORMTEXT </w:instrText>
      </w:r>
      <w:r>
        <w:rPr>
          <w:rFonts w:ascii="黑体"/>
        </w:rPr>
        <w:fldChar w:fldCharType="separate"/>
      </w:r>
      <w:r>
        <w:rPr>
          <w:rFonts w:hint="eastAsia" w:ascii="黑体"/>
        </w:rPr>
        <w:t>2026</w:t>
      </w:r>
      <w:r>
        <w:rPr>
          <w:rFonts w:ascii="黑体"/>
        </w:rPr>
        <w:fldChar w:fldCharType="end"/>
      </w:r>
      <w:bookmarkEnd w:id="14"/>
      <w:r>
        <w:t xml:space="preserve"> </w:t>
      </w:r>
      <w:r>
        <w:rPr>
          <w:rFonts w:ascii="黑体"/>
        </w:rPr>
        <w:t>-</w:t>
      </w:r>
      <w:r>
        <w:t xml:space="preserve"> </w:t>
      </w:r>
      <w:r>
        <w:rPr>
          <w:rFonts w:ascii="黑体"/>
        </w:rPr>
        <w:fldChar w:fldCharType="begin">
          <w:ffData>
            <w:name w:val="PLSH_DATE_M"/>
            <w:enabled/>
            <w:calcOnExit w:val="0"/>
            <w:textInput>
              <w:default w:val="XX"/>
              <w:maxLength w:val="2"/>
            </w:textInput>
          </w:ffData>
        </w:fldChar>
      </w:r>
      <w:bookmarkStart w:id="15" w:name="PLSH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5"/>
      <w:r>
        <w:t xml:space="preserve"> </w:t>
      </w:r>
      <w:r>
        <w:rPr>
          <w:rFonts w:ascii="黑体"/>
        </w:rPr>
        <w:t>-</w:t>
      </w:r>
      <w:r>
        <w:t xml:space="preserve"> </w:t>
      </w:r>
      <w:r>
        <w:rPr>
          <w:rFonts w:ascii="黑体"/>
        </w:rPr>
        <w:fldChar w:fldCharType="begin">
          <w:ffData>
            <w:name w:val="PLSH_DATE_D"/>
            <w:enabled/>
            <w:calcOnExit w:val="0"/>
            <w:textInput>
              <w:default w:val="XX"/>
              <w:maxLength w:val="2"/>
            </w:textInput>
          </w:ffData>
        </w:fldChar>
      </w:r>
      <w:bookmarkStart w:id="16" w:name="PLSH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6"/>
      <w:r>
        <w:rPr>
          <w:rFonts w:hint="eastAsia"/>
        </w:rPr>
        <w:t>发布</w:t>
      </w:r>
    </w:p>
    <w:p>
      <w:pPr>
        <w:pStyle w:val="194"/>
        <w:framePr w:y="14176"/>
      </w:pPr>
      <w:r>
        <w:rPr>
          <w:rFonts w:ascii="黑体"/>
        </w:rPr>
        <w:fldChar w:fldCharType="begin">
          <w:ffData>
            <w:name w:val="CROT_DATE_Y"/>
            <w:enabled/>
            <w:calcOnExit w:val="0"/>
            <w:textInput>
              <w:default w:val="XXXX"/>
              <w:maxLength w:val="4"/>
            </w:textInput>
          </w:ffData>
        </w:fldChar>
      </w:r>
      <w:bookmarkStart w:id="17" w:name="CROT_DATE_Y"/>
      <w:r>
        <w:rPr>
          <w:rFonts w:ascii="黑体"/>
        </w:rPr>
        <w:instrText xml:space="preserve"> FORMTEXT </w:instrText>
      </w:r>
      <w:r>
        <w:rPr>
          <w:rFonts w:ascii="黑体"/>
        </w:rPr>
        <w:fldChar w:fldCharType="separate"/>
      </w:r>
      <w:r>
        <w:rPr>
          <w:rFonts w:hint="eastAsia" w:ascii="黑体"/>
        </w:rPr>
        <w:t>2026</w:t>
      </w:r>
      <w:r>
        <w:rPr>
          <w:rFonts w:ascii="黑体"/>
        </w:rPr>
        <w:fldChar w:fldCharType="end"/>
      </w:r>
      <w:bookmarkEnd w:id="17"/>
      <w:r>
        <w:t xml:space="preserve"> </w:t>
      </w:r>
      <w:r>
        <w:rPr>
          <w:rFonts w:ascii="黑体"/>
        </w:rPr>
        <w:t>-</w:t>
      </w:r>
      <w:r>
        <w:t xml:space="preserve"> </w:t>
      </w:r>
      <w:r>
        <w:rPr>
          <w:rFonts w:ascii="黑体"/>
        </w:rPr>
        <w:fldChar w:fldCharType="begin">
          <w:ffData>
            <w:name w:val="CROT_DATE_M"/>
            <w:enabled/>
            <w:calcOnExit w:val="0"/>
            <w:textInput>
              <w:default w:val="XX"/>
              <w:maxLength w:val="2"/>
            </w:textInput>
          </w:ffData>
        </w:fldChar>
      </w:r>
      <w:bookmarkStart w:id="18" w:name="CROT_DATE_M"/>
      <w:r>
        <w:rPr>
          <w:rFonts w:ascii="黑体"/>
        </w:rPr>
        <w:instrText xml:space="preserve"> FORMTEXT </w:instrText>
      </w:r>
      <w:r>
        <w:rPr>
          <w:rFonts w:ascii="黑体"/>
        </w:rPr>
        <w:fldChar w:fldCharType="separate"/>
      </w:r>
      <w:r>
        <w:rPr>
          <w:rFonts w:ascii="黑体"/>
        </w:rPr>
        <w:t>XX</w:t>
      </w:r>
      <w:r>
        <w:rPr>
          <w:rFonts w:ascii="黑体"/>
        </w:rPr>
        <w:fldChar w:fldCharType="end"/>
      </w:r>
      <w:bookmarkEnd w:id="18"/>
      <w:r>
        <w:t xml:space="preserve"> </w:t>
      </w:r>
      <w:r>
        <w:rPr>
          <w:rFonts w:ascii="黑体"/>
        </w:rPr>
        <w:t>-</w:t>
      </w:r>
      <w:r>
        <w:t xml:space="preserve"> </w:t>
      </w:r>
      <w:r>
        <w:rPr>
          <w:rFonts w:ascii="黑体"/>
        </w:rPr>
        <w:fldChar w:fldCharType="begin">
          <w:ffData>
            <w:name w:val="CROT_DATE_D"/>
            <w:enabled/>
            <w:calcOnExit w:val="0"/>
            <w:textInput>
              <w:default w:val="XX"/>
              <w:maxLength w:val="2"/>
            </w:textInput>
          </w:ffData>
        </w:fldChar>
      </w:r>
      <w:bookmarkStart w:id="19" w:name="CROT_DATE_D"/>
      <w:r>
        <w:rPr>
          <w:rFonts w:ascii="黑体"/>
        </w:rPr>
        <w:instrText xml:space="preserve"> FORMTEXT </w:instrText>
      </w:r>
      <w:r>
        <w:rPr>
          <w:rFonts w:ascii="黑体"/>
        </w:rPr>
        <w:fldChar w:fldCharType="separate"/>
      </w:r>
      <w:r>
        <w:rPr>
          <w:rFonts w:ascii="黑体"/>
        </w:rPr>
        <w:t>XX</w:t>
      </w:r>
      <w:r>
        <w:rPr>
          <w:rFonts w:ascii="黑体"/>
        </w:rPr>
        <w:fldChar w:fldCharType="end"/>
      </w:r>
      <w:bookmarkEnd w:id="19"/>
      <w:r>
        <w:rPr>
          <w:rFonts w:hint="eastAsia"/>
        </w:rPr>
        <w:t>实施</w:t>
      </w:r>
    </w:p>
    <w:p>
      <w:pPr>
        <w:pStyle w:val="151"/>
        <w:framePr w:h="584" w:hRule="exact" w:hSpace="181" w:vSpace="181" w:y="15027"/>
        <w:rPr>
          <w:rFonts w:hAnsi="黑体"/>
        </w:rPr>
      </w:pPr>
      <w:r>
        <w:rPr>
          <w:rFonts w:hAnsi="黑体"/>
          <w:w w:val="100"/>
          <w:sz w:val="28"/>
        </w:rPr>
        <w:fldChar w:fldCharType="begin">
          <w:ffData>
            <w:name w:val="fm"/>
            <w:enabled/>
            <w:calcOnExit w:val="0"/>
            <w:textInput/>
          </w:ffData>
        </w:fldChar>
      </w:r>
      <w:bookmarkStart w:id="20" w:name="fm"/>
      <w:r>
        <w:rPr>
          <w:rFonts w:hAnsi="黑体"/>
          <w:w w:val="100"/>
          <w:sz w:val="28"/>
        </w:rPr>
        <w:instrText xml:space="preserve"> FORMTEXT </w:instrText>
      </w:r>
      <w:r>
        <w:rPr>
          <w:rFonts w:hAnsi="黑体"/>
          <w:w w:val="100"/>
          <w:sz w:val="28"/>
        </w:rPr>
        <w:fldChar w:fldCharType="separate"/>
      </w:r>
      <w:r>
        <w:rPr>
          <w:rFonts w:hint="eastAsia" w:hAnsi="黑体"/>
          <w:w w:val="100"/>
          <w:sz w:val="28"/>
        </w:rPr>
        <w:t>湖南省</w:t>
      </w:r>
      <w:r>
        <w:rPr>
          <w:rFonts w:hint="eastAsia" w:hAnsi="黑体"/>
          <w:w w:val="100"/>
          <w:sz w:val="28"/>
          <w:lang w:eastAsia="zh-CN"/>
        </w:rPr>
        <w:t>市场</w:t>
      </w:r>
      <w:r>
        <w:rPr>
          <w:rFonts w:hint="eastAsia" w:hAnsi="黑体"/>
          <w:w w:val="100"/>
          <w:sz w:val="28"/>
        </w:rPr>
        <w:t>监督</w:t>
      </w:r>
      <w:r>
        <w:rPr>
          <w:rFonts w:hint="eastAsia" w:hAnsi="黑体"/>
          <w:w w:val="100"/>
          <w:sz w:val="28"/>
          <w:lang w:eastAsia="zh-CN"/>
        </w:rPr>
        <w:t>管理</w:t>
      </w:r>
      <w:r>
        <w:rPr>
          <w:rFonts w:hint="eastAsia" w:hAnsi="黑体"/>
          <w:w w:val="100"/>
          <w:sz w:val="28"/>
        </w:rPr>
        <w:t>局</w:t>
      </w:r>
      <w:r>
        <w:rPr>
          <w:rFonts w:hAnsi="黑体"/>
          <w:w w:val="100"/>
          <w:sz w:val="28"/>
        </w:rPr>
        <w:fldChar w:fldCharType="end"/>
      </w:r>
      <w:bookmarkEnd w:id="20"/>
      <w:r>
        <w:rPr>
          <w:rFonts w:ascii="Times New Roman"/>
          <w:w w:val="100"/>
          <w:sz w:val="28"/>
        </w:rPr>
        <w:t>  </w:t>
      </w:r>
      <w:r>
        <w:rPr>
          <w:rStyle w:val="229"/>
          <w:rFonts w:hint="eastAsia" w:hAnsi="黑体"/>
          <w:position w:val="0"/>
        </w:rPr>
        <w:t>发</w:t>
      </w:r>
      <w:r>
        <w:rPr>
          <w:rStyle w:val="229"/>
          <w:rFonts w:hint="eastAsia" w:hAnsi="黑体"/>
          <w:spacing w:val="0"/>
          <w:position w:val="0"/>
        </w:rPr>
        <w:t>布</w:t>
      </w:r>
    </w:p>
    <w:p>
      <w:pPr>
        <w:rPr>
          <w:rFonts w:ascii="宋体" w:hAnsi="宋体"/>
          <w:sz w:val="28"/>
          <w:szCs w:val="28"/>
        </w:rPr>
        <w:sectPr>
          <w:headerReference r:id="rId4" w:type="first"/>
          <w:footerReference r:id="rId6" w:type="first"/>
          <w:headerReference r:id="rId3" w:type="default"/>
          <w:footerReference r:id="rId5" w:type="even"/>
          <w:type w:val="continuous"/>
          <w:pgSz w:w="11906" w:h="16838"/>
          <w:pgMar w:top="-338" w:right="1134" w:bottom="1021" w:left="1134" w:header="0" w:footer="0" w:gutter="284"/>
          <w:cols w:space="425" w:num="1"/>
          <w:titlePg/>
          <w:docGrid w:linePitch="312" w:charSpace="0"/>
        </w:sectPr>
      </w:pPr>
      <w:r>
        <w:rPr>
          <w:rFonts w:hint="eastAsia" w:ascii="宋体" w:hAnsi="宋体"/>
          <w:sz w:val="28"/>
          <w:szCs w:val="28"/>
        </w:rPr>
        <mc:AlternateContent>
          <mc:Choice Requires="wps">
            <w:drawing>
              <wp:anchor distT="0" distB="0" distL="114300" distR="114300" simplePos="0" relativeHeight="251659264" behindDoc="0" locked="1" layoutInCell="1" allowOverlap="1">
                <wp:simplePos x="0" y="0"/>
                <wp:positionH relativeFrom="page">
                  <wp:posOffset>899795</wp:posOffset>
                </wp:positionH>
                <wp:positionV relativeFrom="page">
                  <wp:posOffset>9253220</wp:posOffset>
                </wp:positionV>
                <wp:extent cx="6120130" cy="0"/>
                <wp:effectExtent l="0" t="0" r="0" b="0"/>
                <wp:wrapNone/>
                <wp:docPr id="5" name="直接连接符 5"/>
                <wp:cNvGraphicFramePr/>
                <a:graphic xmlns:a="http://schemas.openxmlformats.org/drawingml/2006/main">
                  <a:graphicData uri="http://schemas.microsoft.com/office/word/2010/wordprocessingShape">
                    <wps:wsp>
                      <wps:cNvCnPr>
                        <a:cxnSpLocks noChangeShapeType="1"/>
                      </wps:cNvCnPr>
                      <wps:spPr bwMode="auto">
                        <a:xfrm>
                          <a:off x="0" y="0"/>
                          <a:ext cx="61200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70.85pt;margin-top:728.6pt;height:0pt;width:481.9pt;mso-position-horizontal-relative:page;mso-position-vertical-relative:page;z-index:251659264;mso-width-relative:page;mso-height-relative:page;" filled="f" stroked="t" coordsize="21600,21600" o:gfxdata="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CrMxz71wAAAA4BAAAPAAAAAAAAAAEAIAAAACIAAABkcnMvZG93&#10;bnJldi54bWxQSwECFAAUAAAACACHTuJAqt0+T8gBAABcAwAADgAAAAAAAAABACAAAAAmAQAAZHJz&#10;L2Uyb0RvYy54bWxQSwUGAAAAAAYABgBZAQAAYAUAAAAA&#10;">
                <v:fill on="f" focussize="0,0"/>
                <v:stroke color="#000000" joinstyle="round"/>
                <v:imagedata o:title=""/>
                <o:lock v:ext="edit" aspectratio="f"/>
                <w10:anchorlock/>
              </v:line>
            </w:pict>
          </mc:Fallback>
        </mc:AlternateContent>
      </w:r>
    </w:p>
    <w:p>
      <w:pPr>
        <w:pStyle w:val="91"/>
        <w:spacing w:after="468"/>
      </w:pPr>
      <w:bookmarkStart w:id="21" w:name="BookMark1"/>
      <w:bookmarkStart w:id="22" w:name="_Toc232758551"/>
      <w:r>
        <w:rPr>
          <w:rFonts w:hint="eastAsia"/>
          <w:spacing w:val="320"/>
        </w:rPr>
        <w:t>目</w:t>
      </w:r>
      <w:r>
        <w:rPr>
          <w:rFonts w:hint="eastAsia"/>
        </w:rPr>
        <w:t>次</w:t>
      </w:r>
    </w:p>
    <w:p>
      <w:pPr>
        <w:pStyle w:val="19"/>
        <w:tabs>
          <w:tab w:val="right" w:leader="dot" w:pos="9344"/>
        </w:tabs>
        <w:rPr>
          <w:rFonts w:asciiTheme="minorHAnsi" w:hAnsiTheme="minorHAnsi" w:eastAsiaTheme="minorEastAsia" w:cstheme="minorBidi"/>
          <w:szCs w:val="22"/>
        </w:rPr>
      </w:pPr>
      <w:r>
        <w:fldChar w:fldCharType="begin"/>
      </w:r>
      <w:r>
        <w:instrText xml:space="preserve"> TOC \o "1-1" \h </w:instrText>
      </w:r>
      <w:r>
        <w:fldChar w:fldCharType="separate"/>
      </w:r>
      <w:r>
        <w:fldChar w:fldCharType="begin"/>
      </w:r>
      <w:r>
        <w:instrText xml:space="preserve"> HYPERLINK \l "_Toc232758576" </w:instrText>
      </w:r>
      <w:r>
        <w:fldChar w:fldCharType="separate"/>
      </w:r>
      <w:r>
        <w:rPr>
          <w:rStyle w:val="30"/>
        </w:rPr>
        <w:t>前言</w:t>
      </w:r>
      <w:r>
        <w:tab/>
      </w:r>
      <w:r>
        <w:fldChar w:fldCharType="begin"/>
      </w:r>
      <w:r>
        <w:instrText xml:space="preserve"> PAGEREF _Toc232758576 \h </w:instrText>
      </w:r>
      <w:r>
        <w:fldChar w:fldCharType="separate"/>
      </w:r>
      <w:r>
        <w:t>II</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"_Toc232758577" </w:instrText>
      </w:r>
      <w:r>
        <w:fldChar w:fldCharType="separate"/>
      </w:r>
      <w:r>
        <w:rPr>
          <w:rStyle w:val="30"/>
        </w:rPr>
        <w:t>1  范围</w:t>
      </w:r>
      <w:r>
        <w:tab/>
      </w:r>
      <w:r>
        <w:fldChar w:fldCharType="begin"/>
      </w:r>
      <w:r>
        <w:instrText xml:space="preserve"> PAGEREF _Toc232758577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"_Toc232758578" </w:instrText>
      </w:r>
      <w:r>
        <w:fldChar w:fldCharType="separate"/>
      </w:r>
      <w:r>
        <w:rPr>
          <w:rStyle w:val="30"/>
        </w:rPr>
        <w:t>2  规范性引用文件</w:t>
      </w:r>
      <w:r>
        <w:tab/>
      </w:r>
      <w:r>
        <w:fldChar w:fldCharType="begin"/>
      </w:r>
      <w:r>
        <w:instrText xml:space="preserve"> PAGEREF _Toc232758578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"_Toc232758579" </w:instrText>
      </w:r>
      <w:r>
        <w:fldChar w:fldCharType="separate"/>
      </w:r>
      <w:r>
        <w:rPr>
          <w:rStyle w:val="30"/>
        </w:rPr>
        <w:t>3  术语和定义</w:t>
      </w:r>
      <w:r>
        <w:tab/>
      </w:r>
      <w:r>
        <w:fldChar w:fldCharType="begin"/>
      </w:r>
      <w:r>
        <w:instrText xml:space="preserve"> PAGEREF _Toc232758579 \h </w:instrText>
      </w:r>
      <w:r>
        <w:fldChar w:fldCharType="separate"/>
      </w:r>
      <w:r>
        <w:t>1</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"_Toc232758580" </w:instrText>
      </w:r>
      <w:r>
        <w:fldChar w:fldCharType="separate"/>
      </w:r>
      <w:r>
        <w:rPr>
          <w:rStyle w:val="30"/>
        </w:rPr>
        <w:t>4  基本条件</w:t>
      </w:r>
      <w:r>
        <w:tab/>
      </w:r>
      <w:r>
        <w:fldChar w:fldCharType="begin"/>
      </w:r>
      <w:r>
        <w:instrText xml:space="preserve"> PAGEREF _Toc232758580 \h </w:instrText>
      </w:r>
      <w:r>
        <w:fldChar w:fldCharType="separate"/>
      </w:r>
      <w:r>
        <w:t>2</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"_Toc232758581" </w:instrText>
      </w:r>
      <w:r>
        <w:fldChar w:fldCharType="separate"/>
      </w:r>
      <w:r>
        <w:rPr>
          <w:rStyle w:val="30"/>
        </w:rPr>
        <w:t>5  生物安全管理体系</w:t>
      </w:r>
      <w:r>
        <w:tab/>
      </w:r>
      <w:r>
        <w:fldChar w:fldCharType="begin"/>
      </w:r>
      <w:r>
        <w:instrText xml:space="preserve"> PAGEREF _Toc232758581 \h </w:instrText>
      </w:r>
      <w:r>
        <w:fldChar w:fldCharType="separate"/>
      </w:r>
      <w:r>
        <w:t>4</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"_Toc232758582" </w:instrText>
      </w:r>
      <w:r>
        <w:fldChar w:fldCharType="separate"/>
      </w:r>
      <w:r>
        <w:rPr>
          <w:rStyle w:val="30"/>
        </w:rPr>
        <w:t>6  关键环节管理</w:t>
      </w:r>
      <w:r>
        <w:tab/>
      </w:r>
      <w:r>
        <w:fldChar w:fldCharType="begin"/>
      </w:r>
      <w:r>
        <w:instrText xml:space="preserve"> PAGEREF _Toc232758582 \h </w:instrText>
      </w:r>
      <w:r>
        <w:fldChar w:fldCharType="separate"/>
      </w:r>
      <w:r>
        <w:t>4</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"_Toc232758583" </w:instrText>
      </w:r>
      <w:r>
        <w:fldChar w:fldCharType="separate"/>
      </w:r>
      <w:r>
        <w:rPr>
          <w:rStyle w:val="30"/>
        </w:rPr>
        <w:t>7  监测与应急响应</w:t>
      </w:r>
      <w:r>
        <w:tab/>
      </w:r>
      <w:r>
        <w:fldChar w:fldCharType="begin"/>
      </w:r>
      <w:r>
        <w:instrText xml:space="preserve"> PAGEREF _Toc232758583 \h </w:instrText>
      </w:r>
      <w:r>
        <w:fldChar w:fldCharType="separate"/>
      </w:r>
      <w:r>
        <w:t>7</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"_Toc232758584" </w:instrText>
      </w:r>
      <w:r>
        <w:fldChar w:fldCharType="separate"/>
      </w:r>
      <w:r>
        <w:rPr>
          <w:rStyle w:val="30"/>
        </w:rPr>
        <w:t>8  记录与追溯体系</w:t>
      </w:r>
      <w:r>
        <w:tab/>
      </w:r>
      <w:r>
        <w:fldChar w:fldCharType="begin"/>
      </w:r>
      <w:r>
        <w:instrText xml:space="preserve"> PAGEREF _Toc232758584 \h </w:instrText>
      </w:r>
      <w:r>
        <w:fldChar w:fldCharType="separate"/>
      </w:r>
      <w:r>
        <w:t>8</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"_Toc232758585" </w:instrText>
      </w:r>
      <w:r>
        <w:fldChar w:fldCharType="separate"/>
      </w:r>
      <w:r>
        <w:rPr>
          <w:rStyle w:val="30"/>
        </w:rPr>
        <w:t>9  评估与维持</w:t>
      </w:r>
      <w:r>
        <w:tab/>
      </w:r>
      <w:r>
        <w:fldChar w:fldCharType="begin"/>
      </w:r>
      <w:r>
        <w:instrText xml:space="preserve"> PAGEREF _Toc232758585 \h </w:instrText>
      </w:r>
      <w:r>
        <w:fldChar w:fldCharType="separate"/>
      </w:r>
      <w:r>
        <w:t>8</w:t>
      </w:r>
      <w:r>
        <w:fldChar w:fldCharType="end"/>
      </w:r>
      <w:r>
        <w:fldChar w:fldCharType="end"/>
      </w:r>
    </w:p>
    <w:p>
      <w:pPr>
        <w:pStyle w:val="19"/>
        <w:tabs>
          <w:tab w:val="right" w:leader="dot" w:pos="9344"/>
        </w:tabs>
        <w:rPr>
          <w:rFonts w:asciiTheme="minorHAnsi" w:hAnsiTheme="minorHAnsi" w:eastAsiaTheme="minorEastAsia" w:cstheme="minorBidi"/>
          <w:szCs w:val="22"/>
        </w:rPr>
      </w:pPr>
      <w:r>
        <w:fldChar w:fldCharType="begin"/>
      </w:r>
      <w:r>
        <w:instrText xml:space="preserve"> HYPERLINK \l "_Toc232758586" </w:instrText>
      </w:r>
      <w:r>
        <w:fldChar w:fldCharType="separate"/>
      </w:r>
      <w:r>
        <w:rPr>
          <w:rStyle w:val="30"/>
        </w:rPr>
        <w:t>参考文献</w:t>
      </w:r>
      <w:r>
        <w:tab/>
      </w:r>
      <w:r>
        <w:fldChar w:fldCharType="begin"/>
      </w:r>
      <w:r>
        <w:instrText xml:space="preserve"> PAGEREF _Toc232758586 \h </w:instrText>
      </w:r>
      <w:r>
        <w:fldChar w:fldCharType="separate"/>
      </w:r>
      <w:r>
        <w:t>9</w:t>
      </w:r>
      <w:r>
        <w:fldChar w:fldCharType="end"/>
      </w:r>
      <w:r>
        <w:fldChar w:fldCharType="end"/>
      </w:r>
    </w:p>
    <w:p>
      <w:pPr>
        <w:pStyle w:val="91"/>
        <w:spacing w:after="468"/>
        <w:sectPr>
          <w:headerReference r:id="rId7" w:type="default"/>
          <w:footerReference r:id="rId9" w:type="default"/>
          <w:headerReference r:id="rId8" w:type="even"/>
          <w:footerReference r:id="rId10" w:type="even"/>
          <w:pgSz w:w="11906" w:h="16838"/>
          <w:pgMar w:top="1928" w:right="1134" w:bottom="1134" w:left="1134" w:header="1418" w:footer="1134" w:gutter="284"/>
          <w:pgNumType w:fmt="upperRoman" w:start="1"/>
          <w:cols w:space="425" w:num="1"/>
          <w:formProt w:val="0"/>
          <w:docGrid w:type="lines" w:linePitch="312" w:charSpace="0"/>
        </w:sectPr>
      </w:pPr>
      <w:r>
        <w:fldChar w:fldCharType="end"/>
      </w:r>
    </w:p>
    <w:bookmarkEnd w:id="21"/>
    <w:p>
      <w:pPr>
        <w:pStyle w:val="89"/>
        <w:spacing w:before="900" w:after="468"/>
      </w:pPr>
      <w:bookmarkStart w:id="23" w:name="_Toc232758576"/>
      <w:bookmarkStart w:id="24" w:name="BookMark2"/>
      <w:r>
        <w:rPr>
          <w:spacing w:val="320"/>
        </w:rPr>
        <w:t>前</w:t>
      </w:r>
      <w:r>
        <w:t>言</w:t>
      </w:r>
      <w:bookmarkEnd w:id="22"/>
      <w:bookmarkEnd w:id="23"/>
    </w:p>
    <w:p>
      <w:pPr>
        <w:pStyle w:val="56"/>
        <w:autoSpaceDE w:val="0"/>
        <w:autoSpaceDN w:val="0"/>
        <w:ind w:firstLine="420"/>
      </w:pPr>
      <w:r>
        <w:rPr>
          <w:rFonts w:hint="eastAsia"/>
        </w:rPr>
        <w:t>本文件按照GB/T 1.1—2020《标准化工作导则  第1部分：标准化文件的结构和起草规则》的规定起草。</w:t>
      </w:r>
    </w:p>
    <w:p>
      <w:pPr>
        <w:pStyle w:val="56"/>
        <w:ind w:firstLine="420"/>
      </w:pPr>
      <w:r>
        <w:rPr>
          <w:rFonts w:hint="eastAsia"/>
        </w:rPr>
        <w:t>请注意本文件的某些内容可能涉及专利。本文件的发布机构不承担识别专利的责任。</w:t>
      </w:r>
    </w:p>
    <w:p>
      <w:pPr>
        <w:pStyle w:val="56"/>
        <w:ind w:firstLine="420"/>
        <w:rPr>
          <w:rFonts w:hint="eastAsia"/>
        </w:rPr>
      </w:pPr>
      <w:r>
        <w:rPr>
          <w:rFonts w:hint="eastAsia"/>
        </w:rPr>
        <w:t>本文件由湖南省农业农村厅提出。</w:t>
      </w:r>
      <w:bookmarkStart w:id="83" w:name="_GoBack"/>
      <w:bookmarkEnd w:id="83"/>
    </w:p>
    <w:p>
      <w:pPr>
        <w:pStyle w:val="230"/>
        <w:rPr>
          <w:rFonts w:hint="eastAsia"/>
        </w:rPr>
      </w:pPr>
      <w:r>
        <w:rPr>
          <w:rFonts w:ascii="Times New Roman"/>
        </w:rPr>
        <w:t>本</w:t>
      </w:r>
      <w:r>
        <w:rPr>
          <w:rFonts w:hint="eastAsia" w:ascii="Times New Roman" w:eastAsia="宋体"/>
          <w:lang w:val="en-US" w:eastAsia="zh-CN"/>
        </w:rPr>
        <w:t>文件</w:t>
      </w:r>
      <w:r>
        <w:rPr>
          <w:rFonts w:ascii="Times New Roman"/>
        </w:rPr>
        <w:t>由湖南省农业标准化技术委员会归口。</w:t>
      </w:r>
    </w:p>
    <w:p>
      <w:pPr>
        <w:pStyle w:val="56"/>
        <w:ind w:firstLine="420"/>
      </w:pPr>
      <w:r>
        <w:rPr>
          <w:rFonts w:hint="eastAsia"/>
        </w:rPr>
        <w:t>本文件起草单位：湖南省动物疫病预防控制中心、湖南省畜牧水产事务中心、湖南中净生物科技有限公司、娄底市动物疫病预防控制中心、永州市动物疫病预防控制中心、邵阳市动物疾病预防控制中心、长沙市动物疫病预防控制中心、湘西州畜牧水产事务中心、湘阴县畜牧水产事务中心。</w:t>
      </w:r>
    </w:p>
    <w:p>
      <w:pPr>
        <w:pStyle w:val="56"/>
        <w:ind w:firstLine="420"/>
      </w:pPr>
      <w:r>
        <w:rPr>
          <w:rFonts w:hint="eastAsia"/>
        </w:rPr>
        <w:t xml:space="preserve">本文件主要起草人：林源、谭运华、雷勇、丁朝阳、何世成、邹玖零、喻正军、谢志辉、王雅、皮绍娣、王卫国、丁美月、谢怡灵、陈智、孙瑜、徐微、唐小明、黄建龙、彭志、胡巧云、汪洪冰、邓国强、谭庆辉、王成、张坤、杜红梅、屈蓓蓓、刘鹏、伍应松、李朋、何海洋、周英、李春燕、张朝阳、匡光伟、范仲鑫、朱春霞。  </w:t>
      </w:r>
    </w:p>
    <w:p>
      <w:pPr>
        <w:pStyle w:val="56"/>
        <w:ind w:firstLine="420"/>
      </w:pPr>
    </w:p>
    <w:p>
      <w:pPr>
        <w:pStyle w:val="56"/>
        <w:ind w:firstLine="420"/>
        <w:sectPr>
          <w:pgSz w:w="11906" w:h="16838"/>
          <w:pgMar w:top="1928" w:right="1134" w:bottom="1134" w:left="1134" w:header="1418" w:footer="1134" w:gutter="284"/>
          <w:pgNumType w:fmt="upperRoman"/>
          <w:cols w:space="425" w:num="1"/>
          <w:formProt w:val="0"/>
          <w:docGrid w:type="lines" w:linePitch="312" w:charSpace="0"/>
        </w:sectPr>
      </w:pPr>
    </w:p>
    <w:bookmarkEnd w:id="24"/>
    <w:p>
      <w:pPr>
        <w:spacing w:line="20" w:lineRule="exact"/>
        <w:jc w:val="center"/>
        <w:rPr>
          <w:rFonts w:ascii="黑体" w:hAnsi="黑体" w:eastAsia="黑体"/>
          <w:sz w:val="32"/>
          <w:szCs w:val="32"/>
        </w:rPr>
      </w:pPr>
      <w:bookmarkStart w:id="25" w:name="BookMark4"/>
    </w:p>
    <w:p>
      <w:pPr>
        <w:spacing w:line="20" w:lineRule="exact"/>
        <w:jc w:val="center"/>
        <w:rPr>
          <w:rFonts w:ascii="黑体" w:hAnsi="黑体" w:eastAsia="黑体"/>
          <w:sz w:val="32"/>
          <w:szCs w:val="32"/>
        </w:rPr>
      </w:pPr>
    </w:p>
    <w:sdt>
      <w:sdtPr>
        <w:tag w:val="NEW_STAND_NAME"/>
        <w:id w:val="595910757"/>
        <w:lock w:val="sdtLocked"/>
        <w:placeholder>
          <w:docPart w:val="A90BE4AC84BD4038939C1BBFB8812628"/>
        </w:placeholder>
      </w:sdtPr>
      <w:sdtContent>
        <w:p>
          <w:pPr>
            <w:pStyle w:val="177"/>
            <w:spacing w:before="3" w:beforeLines="1" w:after="686" w:afterLines="220"/>
          </w:pPr>
          <w:bookmarkStart w:id="26" w:name="NEW_STAND_NAME"/>
          <w:r>
            <w:rPr>
              <w:rFonts w:hint="eastAsia"/>
            </w:rPr>
            <w:t>规模猪场非洲猪瘟无疫小区建设技术规范</w:t>
          </w:r>
        </w:p>
      </w:sdtContent>
    </w:sdt>
    <w:bookmarkEnd w:id="26"/>
    <w:p>
      <w:pPr>
        <w:pStyle w:val="104"/>
        <w:spacing w:before="312" w:after="312"/>
      </w:pPr>
      <w:bookmarkStart w:id="27" w:name="_Toc17233333"/>
      <w:bookmarkStart w:id="28" w:name="_Toc26718930"/>
      <w:bookmarkStart w:id="29" w:name="_Toc97191423"/>
      <w:bookmarkStart w:id="30" w:name="_Toc26986771"/>
      <w:bookmarkStart w:id="31" w:name="_Toc17233325"/>
      <w:bookmarkStart w:id="32" w:name="_Toc26648465"/>
      <w:bookmarkStart w:id="33" w:name="_Toc24884211"/>
      <w:bookmarkStart w:id="34" w:name="_Toc24884218"/>
      <w:bookmarkStart w:id="35" w:name="_Toc26986530"/>
      <w:bookmarkStart w:id="36" w:name="_Toc232758552"/>
      <w:bookmarkStart w:id="37" w:name="_Toc232758577"/>
      <w:r>
        <w:rPr>
          <w:rFonts w:hint="eastAsia"/>
        </w:rPr>
        <w:t>范围</w:t>
      </w:r>
      <w:bookmarkEnd w:id="27"/>
      <w:bookmarkEnd w:id="28"/>
      <w:bookmarkEnd w:id="29"/>
      <w:bookmarkEnd w:id="30"/>
      <w:bookmarkEnd w:id="31"/>
      <w:bookmarkEnd w:id="32"/>
      <w:bookmarkEnd w:id="33"/>
      <w:bookmarkEnd w:id="34"/>
      <w:bookmarkEnd w:id="35"/>
      <w:bookmarkEnd w:id="36"/>
      <w:bookmarkEnd w:id="37"/>
    </w:p>
    <w:p>
      <w:pPr>
        <w:pStyle w:val="56"/>
        <w:ind w:firstLine="420"/>
      </w:pPr>
      <w:bookmarkStart w:id="38" w:name="_Toc17233326"/>
      <w:bookmarkStart w:id="39" w:name="_Toc17233334"/>
      <w:bookmarkStart w:id="40" w:name="_Toc26648466"/>
      <w:bookmarkStart w:id="41" w:name="_Toc24884212"/>
      <w:bookmarkStart w:id="42" w:name="_Toc24884219"/>
      <w:r>
        <w:rPr>
          <w:rFonts w:hint="eastAsia"/>
        </w:rPr>
        <w:t>本文件规定了非洲猪瘟无疫小区基本条件、生物安全管理体系、关键环节管理、非洲猪瘟监测与应急响应、台账记录与追溯体系、评估申请与维持运行等技术要求。</w:t>
      </w:r>
    </w:p>
    <w:p>
      <w:pPr>
        <w:pStyle w:val="56"/>
        <w:ind w:firstLine="420"/>
      </w:pPr>
      <w:r>
        <w:t>本文件适用于我省</w:t>
      </w:r>
      <w:r>
        <w:rPr>
          <w:rFonts w:hint="eastAsia"/>
        </w:rPr>
        <w:t>存栏2000头以上的规模猪场非洲猪瘟无疫小区创建。</w:t>
      </w:r>
    </w:p>
    <w:p>
      <w:pPr>
        <w:pStyle w:val="104"/>
        <w:spacing w:before="312" w:after="312"/>
      </w:pPr>
      <w:bookmarkStart w:id="43" w:name="_Toc232758578"/>
      <w:bookmarkStart w:id="44" w:name="_Toc97191424"/>
      <w:bookmarkStart w:id="45" w:name="_Toc26718931"/>
      <w:bookmarkStart w:id="46" w:name="_Toc26986772"/>
      <w:bookmarkStart w:id="47" w:name="_Toc26986531"/>
      <w:bookmarkStart w:id="48" w:name="_Toc232758553"/>
      <w:r>
        <w:rPr>
          <w:rFonts w:hint="eastAsia"/>
        </w:rPr>
        <w:t>规范性引用文件</w:t>
      </w:r>
      <w:bookmarkEnd w:id="38"/>
      <w:bookmarkEnd w:id="39"/>
      <w:bookmarkEnd w:id="40"/>
      <w:bookmarkEnd w:id="41"/>
      <w:bookmarkEnd w:id="42"/>
      <w:bookmarkEnd w:id="43"/>
      <w:bookmarkEnd w:id="44"/>
      <w:bookmarkEnd w:id="45"/>
      <w:bookmarkEnd w:id="46"/>
      <w:bookmarkEnd w:id="47"/>
      <w:bookmarkEnd w:id="48"/>
    </w:p>
    <w:sdt>
      <w:sdtPr>
        <w:rPr>
          <w:rFonts w:hint="eastAsia"/>
        </w:rPr>
        <w:id w:val="715848253"/>
        <w:placeholder>
          <w:docPart w:val="77C8C2E436944E04954C3BCE4EE32365"/>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rPr>
      </w:sdtEndPr>
      <w:sdtContent>
        <w:p>
          <w:pPr>
            <w:pStyle w:val="56"/>
            <w:ind w:firstLine="420"/>
          </w:pPr>
          <w:r>
            <w:rPr>
              <w:rFonts w:hint="eastAsia"/>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pPr>
        <w:pStyle w:val="56"/>
        <w:ind w:firstLine="420"/>
      </w:pPr>
      <w:r>
        <w:rPr>
          <w:rFonts w:hint="eastAsia"/>
        </w:rPr>
        <w:t>GB 5749  生活饮用水卫生标准</w:t>
      </w:r>
    </w:p>
    <w:p>
      <w:pPr>
        <w:pStyle w:val="56"/>
        <w:ind w:firstLine="420"/>
      </w:pPr>
      <w:r>
        <w:rPr>
          <w:rFonts w:hint="eastAsia"/>
        </w:rPr>
        <w:t>GB 19489</w:t>
      </w:r>
      <w:r>
        <w:t xml:space="preserve"> </w:t>
      </w:r>
      <w:r>
        <w:rPr>
          <w:rFonts w:hint="eastAsia"/>
        </w:rPr>
        <w:t xml:space="preserve"> 实验室  生物安全通用要求</w:t>
      </w:r>
    </w:p>
    <w:p>
      <w:pPr>
        <w:pStyle w:val="56"/>
        <w:ind w:firstLine="420"/>
      </w:pPr>
      <w:r>
        <w:rPr>
          <w:rFonts w:hint="eastAsia"/>
        </w:rPr>
        <w:t>GB/T 18648  非洲猪瘟诊断技术</w:t>
      </w:r>
    </w:p>
    <w:p>
      <w:pPr>
        <w:pStyle w:val="56"/>
        <w:ind w:firstLine="420"/>
      </w:pPr>
      <w:r>
        <w:rPr>
          <w:rFonts w:hint="eastAsia"/>
        </w:rPr>
        <w:t>GB/T</w:t>
      </w:r>
      <w:r>
        <w:t xml:space="preserve"> </w:t>
      </w:r>
      <w:r>
        <w:rPr>
          <w:rFonts w:hint="eastAsia"/>
        </w:rPr>
        <w:t xml:space="preserve">22330.1 </w:t>
      </w:r>
      <w:r>
        <w:t xml:space="preserve"> </w:t>
      </w:r>
      <w:r>
        <w:rPr>
          <w:rFonts w:hint="eastAsia"/>
        </w:rPr>
        <w:t xml:space="preserve">无规定动物疫病区标准 </w:t>
      </w:r>
      <w:r>
        <w:t xml:space="preserve"> </w:t>
      </w:r>
      <w:r>
        <w:rPr>
          <w:rFonts w:hint="eastAsia"/>
        </w:rPr>
        <w:t>第1部分：通则</w:t>
      </w:r>
    </w:p>
    <w:p>
      <w:pPr>
        <w:pStyle w:val="56"/>
        <w:ind w:firstLine="420"/>
      </w:pPr>
      <w:r>
        <w:rPr>
          <w:rFonts w:hint="eastAsia"/>
        </w:rPr>
        <w:t xml:space="preserve">GB/T 27622 </w:t>
      </w:r>
      <w:r>
        <w:t xml:space="preserve"> </w:t>
      </w:r>
      <w:r>
        <w:rPr>
          <w:rFonts w:hint="eastAsia"/>
        </w:rPr>
        <w:t>畜禽粪便贮存设施设计要求</w:t>
      </w:r>
    </w:p>
    <w:p>
      <w:pPr>
        <w:pStyle w:val="56"/>
        <w:ind w:firstLine="420"/>
      </w:pPr>
      <w:r>
        <w:rPr>
          <w:rFonts w:hint="eastAsia"/>
        </w:rPr>
        <w:t xml:space="preserve">GB/T 32149 </w:t>
      </w:r>
      <w:r>
        <w:t xml:space="preserve"> </w:t>
      </w:r>
      <w:r>
        <w:rPr>
          <w:rFonts w:hint="eastAsia"/>
        </w:rPr>
        <w:t>规模猪场清洁生产技术规范</w:t>
      </w:r>
    </w:p>
    <w:p>
      <w:pPr>
        <w:pStyle w:val="56"/>
        <w:ind w:firstLine="420"/>
      </w:pPr>
      <w:r>
        <w:rPr>
          <w:rFonts w:hint="eastAsia"/>
        </w:rPr>
        <w:t xml:space="preserve">GB/T 36195 </w:t>
      </w:r>
      <w:r>
        <w:t xml:space="preserve"> </w:t>
      </w:r>
      <w:r>
        <w:rPr>
          <w:rFonts w:hint="eastAsia"/>
        </w:rPr>
        <w:t>畜禽粪便无害化处理技术规范</w:t>
      </w:r>
    </w:p>
    <w:p>
      <w:pPr>
        <w:pStyle w:val="56"/>
        <w:ind w:firstLine="420"/>
      </w:pPr>
      <w:r>
        <w:rPr>
          <w:rFonts w:hint="eastAsia"/>
        </w:rPr>
        <w:t xml:space="preserve">GB 39707 </w:t>
      </w:r>
      <w:r>
        <w:t xml:space="preserve"> </w:t>
      </w:r>
      <w:r>
        <w:rPr>
          <w:rFonts w:hint="eastAsia"/>
        </w:rPr>
        <w:t>医疗废物处理处置污染控制标准</w:t>
      </w:r>
    </w:p>
    <w:p>
      <w:pPr>
        <w:pStyle w:val="56"/>
        <w:ind w:firstLine="420"/>
      </w:pPr>
      <w:r>
        <w:rPr>
          <w:rFonts w:hint="eastAsia"/>
        </w:rPr>
        <w:t>NY/T 1948  兽医实验室生物安全要求通则</w:t>
      </w:r>
    </w:p>
    <w:p>
      <w:pPr>
        <w:pStyle w:val="56"/>
        <w:ind w:firstLine="420"/>
      </w:pPr>
      <w:r>
        <w:rPr>
          <w:rFonts w:hint="eastAsia"/>
        </w:rPr>
        <w:t xml:space="preserve">NY/T 4136 </w:t>
      </w:r>
      <w:r>
        <w:t xml:space="preserve"> </w:t>
      </w:r>
      <w:r>
        <w:rPr>
          <w:rFonts w:hint="eastAsia"/>
        </w:rPr>
        <w:t>车辆洗消中心生物安全技术</w:t>
      </w:r>
    </w:p>
    <w:p>
      <w:pPr>
        <w:pStyle w:val="104"/>
        <w:spacing w:before="312" w:after="312"/>
      </w:pPr>
      <w:bookmarkStart w:id="49" w:name="_Toc97191425"/>
      <w:bookmarkStart w:id="50" w:name="_Toc232758579"/>
      <w:bookmarkStart w:id="51" w:name="_Toc232758554"/>
      <w:r>
        <w:rPr>
          <w:rFonts w:hint="eastAsia"/>
          <w:szCs w:val="21"/>
        </w:rPr>
        <w:t>术语和定义</w:t>
      </w:r>
      <w:bookmarkEnd w:id="49"/>
      <w:bookmarkEnd w:id="50"/>
      <w:bookmarkEnd w:id="51"/>
    </w:p>
    <w:sdt>
      <w:sdtPr>
        <w:id w:val="-1909835108"/>
        <w:placeholder>
          <w:docPart w:val="4BCEFF72FF3E40DD828B0B6D14A5CAA9"/>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Content>
        <w:p>
          <w:pPr>
            <w:pStyle w:val="56"/>
            <w:ind w:firstLine="420"/>
          </w:pPr>
          <w:bookmarkStart w:id="52" w:name="_Toc26986532"/>
          <w:bookmarkEnd w:id="52"/>
          <w:r>
            <w:t>下列术语和定义适用于本文件。</w:t>
          </w:r>
        </w:p>
      </w:sdtContent>
    </w:sdt>
    <w:p>
      <w:pPr>
        <w:pStyle w:val="223"/>
        <w:ind w:left="420" w:hanging="420" w:hangingChars="200"/>
      </w:pPr>
      <w:r>
        <w:rPr>
          <w:rFonts w:ascii="黑体" w:hAnsi="黑体" w:eastAsia="黑体"/>
        </w:rPr>
        <w:br w:type="textWrapping"/>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无疫小区</w:t>
      </w:r>
      <w:r>
        <w:rPr>
          <w:rFonts w:hint="eastAsia" w:ascii="黑体" w:hAnsi="黑体" w:eastAsia="黑体"/>
          <w:color w:val="auto"/>
        </w:rPr>
        <w:t>（无规定动物疫病小区）</w:t>
      </w:r>
      <w:r>
        <w:rPr>
          <w:rFonts w:ascii="黑体" w:hAnsi="黑体" w:eastAsia="黑体"/>
        </w:rPr>
        <w:t xml:space="preserve">  free compartments</w:t>
      </w:r>
    </w:p>
    <w:p>
      <w:pPr>
        <w:pStyle w:val="56"/>
        <w:ind w:firstLine="420"/>
      </w:pPr>
      <w:r>
        <w:rPr>
          <w:rFonts w:hint="eastAsia"/>
        </w:rPr>
        <w:t>无规定动物疫病小区，指处于同一生物安全管理体系下的养殖场区，在一定期限内没有发生一种或几种规定动物疫病的若干动物养殖和其他辅助生产单元所构成的特定小型区域。</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生产单元</w:t>
      </w:r>
      <w:r>
        <w:rPr>
          <w:rFonts w:ascii="黑体" w:hAnsi="黑体" w:eastAsia="黑体"/>
        </w:rPr>
        <w:t xml:space="preserve">  production unit</w:t>
      </w:r>
    </w:p>
    <w:p>
      <w:pPr>
        <w:pStyle w:val="56"/>
        <w:ind w:firstLine="420"/>
      </w:pPr>
      <w:r>
        <w:rPr>
          <w:rFonts w:hint="eastAsia"/>
        </w:rPr>
        <w:t>指无规定动物疫病小区内处于同一生物安全管理体系下的畜禽养殖场及孵化、屠宰、产品加工、饲料生产、无害化处理、实验室等场所。生产单元包括养殖单元和辅助生产单元，其中畜禽养殖场及孵化场属于养殖单元，其他均为辅助生产单元。</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生物安全</w:t>
      </w:r>
      <w:r>
        <w:rPr>
          <w:rFonts w:ascii="黑体" w:hAnsi="黑体" w:eastAsia="黑体"/>
        </w:rPr>
        <w:t xml:space="preserve">  biosafety</w:t>
      </w:r>
    </w:p>
    <w:p>
      <w:pPr>
        <w:pStyle w:val="56"/>
        <w:ind w:firstLine="420"/>
      </w:pPr>
      <w:r>
        <w:rPr>
          <w:rFonts w:hint="eastAsia"/>
        </w:rPr>
        <w:t>指为降低动物疫病传入和传播风险，采取的消毒、隔离和防疫等措施，严格控制调入动物、运输工具、生产工具、人员、饲料等传播疫情疫病的风险，建立防止病原入侵的多层屏障，达到预防和控制动物疫病的目的。</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生物安全管理体系</w:t>
      </w:r>
      <w:r>
        <w:rPr>
          <w:rFonts w:ascii="黑体" w:hAnsi="黑体" w:eastAsia="黑体"/>
        </w:rPr>
        <w:t xml:space="preserve">  biosafety management system</w:t>
      </w:r>
    </w:p>
    <w:p>
      <w:pPr>
        <w:pStyle w:val="56"/>
        <w:ind w:firstLine="420"/>
      </w:pPr>
      <w:r>
        <w:rPr>
          <w:rFonts w:hint="eastAsia"/>
        </w:rPr>
        <w:t>指遵循风险管理基本原则，通过制定生物安全计划、实施生物安全措施，并持续维持生物安全状态的所有管理制度。</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物理屏障</w:t>
      </w:r>
      <w:r>
        <w:rPr>
          <w:rFonts w:ascii="黑体" w:hAnsi="黑体" w:eastAsia="黑体"/>
        </w:rPr>
        <w:t xml:space="preserve">  physical barrier</w:t>
      </w:r>
    </w:p>
    <w:p>
      <w:pPr>
        <w:pStyle w:val="56"/>
        <w:ind w:firstLine="420"/>
      </w:pPr>
      <w:r>
        <w:rPr>
          <w:rFonts w:hint="eastAsia"/>
        </w:rPr>
        <w:t>指为防止规定动物疫病传入，在无规定动物疫病小区各生产单元周边建立的物理隔离设施。</w:t>
      </w:r>
    </w:p>
    <w:p>
      <w:pPr>
        <w:pStyle w:val="223"/>
        <w:ind w:left="420" w:hanging="420" w:hangingChars="200"/>
        <w:rPr>
          <w:rFonts w:ascii="黑体" w:hAnsi="黑体" w:eastAsia="黑体"/>
        </w:rPr>
      </w:pPr>
      <w:r>
        <w:rPr>
          <w:rFonts w:ascii="黑体" w:hAnsi="黑体" w:eastAsia="黑体"/>
        </w:rPr>
        <w:br w:type="textWrapping"/>
      </w:r>
      <w:r>
        <w:rPr>
          <w:rFonts w:hint="eastAsia" w:ascii="黑体" w:hAnsi="黑体" w:eastAsia="黑体"/>
        </w:rPr>
        <w:t>缓冲区</w:t>
      </w:r>
      <w:r>
        <w:rPr>
          <w:rFonts w:ascii="黑体" w:hAnsi="黑体" w:eastAsia="黑体"/>
        </w:rPr>
        <w:t xml:space="preserve">  buffer zone</w:t>
      </w:r>
    </w:p>
    <w:p>
      <w:pPr>
        <w:pStyle w:val="56"/>
        <w:ind w:firstLine="420"/>
      </w:pPr>
      <w:r>
        <w:rPr>
          <w:rFonts w:hint="eastAsia"/>
        </w:rPr>
        <w:t>指为防止规定动物疫病传入，必要时沿无规定动物疫病小区物理屏障向外设立的环形防疫区域，原则上不小于</w:t>
      </w:r>
      <w:r>
        <w:t>3</w:t>
      </w:r>
      <w:r>
        <w:rPr>
          <w:rFonts w:hint="eastAsia"/>
        </w:rPr>
        <w:t>公里，并提供根据地形、养殖密度、生物安全风险评估结果可适当调整，在该区域内采取免疫、消毒、监测预警等预防措施。</w:t>
      </w:r>
    </w:p>
    <w:p>
      <w:pPr>
        <w:pStyle w:val="223"/>
        <w:ind w:left="420" w:hanging="420" w:hangingChars="200"/>
        <w:rPr>
          <w:rFonts w:ascii="黑体" w:hAnsi="黑体" w:eastAsia="黑体"/>
        </w:rPr>
      </w:pPr>
      <w:r>
        <w:rPr>
          <w:rFonts w:hint="eastAsia" w:ascii="黑体" w:hAnsi="黑体" w:eastAsia="黑体"/>
        </w:rPr>
        <w:t>净区与污区</w:t>
      </w:r>
    </w:p>
    <w:p>
      <w:pPr>
        <w:widowControl/>
        <w:spacing w:line="240" w:lineRule="auto"/>
        <w:ind w:firstLine="420"/>
        <w:jc w:val="left"/>
        <w:rPr>
          <w:rFonts w:ascii="宋体"/>
          <w:kern w:val="0"/>
          <w:szCs w:val="20"/>
        </w:rPr>
      </w:pPr>
      <w:r>
        <w:rPr>
          <w:rFonts w:hint="eastAsia" w:ascii="宋体"/>
          <w:kern w:val="0"/>
          <w:szCs w:val="20"/>
        </w:rPr>
        <w:t>净区与污区为规模猪场非洲猪瘟无疫小区核心生物安全分区，猪场通过物理屏障、流程管控、分区作业实现两区严格分离、单向流转，杜绝病原交叉传播，是阻断非洲猪瘟等重大动物疫病场内传播、保障无疫小区达标运行的关键分区管控体系。</w:t>
      </w:r>
    </w:p>
    <w:p>
      <w:pPr>
        <w:pStyle w:val="223"/>
        <w:ind w:left="420" w:hanging="420" w:hangingChars="200"/>
        <w:rPr>
          <w:rFonts w:ascii="黑体" w:hAnsi="黑体" w:eastAsia="黑体"/>
        </w:rPr>
      </w:pPr>
      <w:r>
        <w:rPr>
          <w:rFonts w:hint="eastAsia" w:ascii="黑体" w:hAnsi="黑体" w:eastAsia="黑体"/>
          <w:szCs w:val="21"/>
        </w:rPr>
        <w:t>风险评估</w:t>
      </w:r>
      <w:r>
        <w:rPr>
          <w:rFonts w:ascii="黑体" w:hAnsi="黑体" w:eastAsia="黑体"/>
          <w:szCs w:val="21"/>
        </w:rPr>
        <w:t xml:space="preserve"> </w:t>
      </w:r>
      <w:r>
        <w:rPr>
          <w:rFonts w:hint="eastAsia" w:ascii="黑体" w:hAnsi="黑体" w:eastAsia="黑体"/>
        </w:rPr>
        <w:t>r</w:t>
      </w:r>
      <w:r>
        <w:rPr>
          <w:rFonts w:ascii="黑体" w:hAnsi="黑体" w:eastAsia="黑体"/>
        </w:rPr>
        <w:t xml:space="preserve">isk </w:t>
      </w:r>
      <w:r>
        <w:rPr>
          <w:rFonts w:hint="eastAsia" w:ascii="黑体" w:hAnsi="黑体" w:eastAsia="黑体"/>
        </w:rPr>
        <w:t>a</w:t>
      </w:r>
      <w:r>
        <w:rPr>
          <w:rFonts w:ascii="黑体" w:hAnsi="黑体" w:eastAsia="黑体"/>
        </w:rPr>
        <w:t>ssessment</w:t>
      </w:r>
    </w:p>
    <w:p>
      <w:pPr>
        <w:pStyle w:val="223"/>
        <w:numPr>
          <w:ilvl w:val="2"/>
          <w:numId w:val="0"/>
        </w:numPr>
        <w:ind w:left="-420" w:leftChars="-200" w:firstLine="840" w:firstLineChars="400"/>
        <w:rPr>
          <w:rFonts w:ascii="黑体" w:hAnsi="黑体" w:eastAsia="黑体"/>
        </w:rPr>
      </w:pPr>
      <w:r>
        <w:rPr>
          <w:rFonts w:hint="eastAsia"/>
        </w:rPr>
        <w:t>指对无规定动物疫病小区传入、发生或扩散规定动物疫病的可能性及其后果的评价。</w:t>
      </w:r>
    </w:p>
    <w:p>
      <w:pPr>
        <w:pStyle w:val="223"/>
        <w:ind w:left="420" w:hanging="420" w:hangingChars="200"/>
        <w:rPr>
          <w:rFonts w:ascii="黑体" w:hAnsi="黑体" w:eastAsia="黑体"/>
        </w:rPr>
      </w:pPr>
      <w:r>
        <w:rPr>
          <w:rFonts w:hint="eastAsia" w:ascii="黑体" w:hAnsi="黑体" w:eastAsia="黑体"/>
          <w:szCs w:val="21"/>
        </w:rPr>
        <w:t>生物安全计划</w:t>
      </w:r>
      <w:r>
        <w:rPr>
          <w:rFonts w:hint="eastAsia" w:ascii="黑体" w:hAnsi="黑体" w:eastAsia="黑体"/>
          <w:color w:val="FF0000"/>
        </w:rPr>
        <w:t xml:space="preserve"> </w:t>
      </w:r>
      <w:r>
        <w:rPr>
          <w:rFonts w:hint="eastAsia" w:ascii="黑体" w:hAnsi="黑体" w:eastAsia="黑体"/>
        </w:rPr>
        <w:t>b</w:t>
      </w:r>
      <w:r>
        <w:rPr>
          <w:rFonts w:ascii="黑体" w:hAnsi="黑体" w:eastAsia="黑体"/>
        </w:rPr>
        <w:t xml:space="preserve">iosecurity </w:t>
      </w:r>
      <w:r>
        <w:rPr>
          <w:rFonts w:hint="eastAsia" w:ascii="黑体" w:hAnsi="黑体" w:eastAsia="黑体"/>
        </w:rPr>
        <w:t>p</w:t>
      </w:r>
      <w:r>
        <w:rPr>
          <w:rFonts w:ascii="黑体" w:hAnsi="黑体" w:eastAsia="黑体"/>
        </w:rPr>
        <w:t>lan</w:t>
      </w:r>
    </w:p>
    <w:p>
      <w:pPr>
        <w:widowControl/>
        <w:spacing w:line="240" w:lineRule="auto"/>
        <w:ind w:firstLine="420"/>
        <w:jc w:val="left"/>
        <w:rPr>
          <w:rFonts w:ascii="宋体"/>
          <w:kern w:val="0"/>
          <w:szCs w:val="20"/>
        </w:rPr>
      </w:pPr>
      <w:r>
        <w:rPr>
          <w:rFonts w:hint="eastAsia" w:ascii="宋体"/>
          <w:kern w:val="0"/>
          <w:szCs w:val="20"/>
        </w:rPr>
        <w:t>指通过分析规定动物疫病传入、传播、扩散的可能途径，为采取相应控制措施、降低动物疫病风险而制定的防控技术文件。</w:t>
      </w:r>
    </w:p>
    <w:p>
      <w:pPr>
        <w:widowControl/>
        <w:spacing w:line="240" w:lineRule="auto"/>
        <w:ind w:firstLine="420"/>
        <w:jc w:val="left"/>
        <w:rPr>
          <w:rFonts w:ascii="宋体"/>
          <w:kern w:val="0"/>
          <w:szCs w:val="20"/>
          <w:highlight w:val="yellow"/>
        </w:rPr>
      </w:pPr>
    </w:p>
    <w:p>
      <w:pPr>
        <w:pStyle w:val="104"/>
        <w:spacing w:before="312" w:after="312"/>
      </w:pPr>
      <w:bookmarkStart w:id="53" w:name="_Toc232758555"/>
      <w:bookmarkStart w:id="54" w:name="_Toc232758580"/>
      <w:r>
        <w:rPr>
          <w:rFonts w:hint="eastAsia"/>
        </w:rPr>
        <w:t>基本条件</w:t>
      </w:r>
      <w:bookmarkEnd w:id="53"/>
      <w:bookmarkEnd w:id="54"/>
    </w:p>
    <w:p>
      <w:pPr>
        <w:pStyle w:val="105"/>
        <w:spacing w:before="156" w:after="156"/>
      </w:pPr>
      <w:bookmarkStart w:id="55" w:name="_Toc232758556"/>
      <w:r>
        <w:rPr>
          <w:rFonts w:hint="eastAsia"/>
        </w:rPr>
        <w:t>企业资质</w:t>
      </w:r>
      <w:bookmarkEnd w:id="55"/>
    </w:p>
    <w:p>
      <w:pPr>
        <w:pStyle w:val="56"/>
        <w:ind w:firstLine="420"/>
      </w:pPr>
      <w:r>
        <w:rPr>
          <w:rFonts w:hint="eastAsia"/>
        </w:rPr>
        <w:t>建设无疫小区的企业应隶属同一法人实体或企业集团，所有养殖单元应取得《动物防疫条件合格证》等资质。</w:t>
      </w:r>
    </w:p>
    <w:p>
      <w:pPr>
        <w:pStyle w:val="105"/>
        <w:spacing w:before="156" w:after="156"/>
      </w:pPr>
      <w:bookmarkStart w:id="56" w:name="_Toc232758557"/>
      <w:r>
        <w:rPr>
          <w:rFonts w:hint="eastAsia"/>
        </w:rPr>
        <w:t>单元确定</w:t>
      </w:r>
      <w:bookmarkEnd w:id="56"/>
    </w:p>
    <w:p>
      <w:pPr>
        <w:pStyle w:val="56"/>
        <w:ind w:firstLine="420"/>
      </w:pPr>
      <w:bookmarkStart w:id="57" w:name="_Toc232758558"/>
      <w:r>
        <w:rPr>
          <w:rFonts w:hint="eastAsia"/>
        </w:rPr>
        <w:t>养殖单元应为规模猪场，养殖模式必须包括但不仅限于种猪场，各生产单元应处于同一生物安全管理体系，分布相对集中，原则上处于同一县级行政区域内，邻县相距不能超过200公里。辅助生产单元应包含洗消中心、实验室等必需单元，有无疫小区专用的饲料厂、屠宰场、无害化处理厂也可纳入创建辅助生产单元。</w:t>
      </w:r>
    </w:p>
    <w:p>
      <w:pPr>
        <w:pStyle w:val="105"/>
        <w:spacing w:before="156" w:after="156"/>
      </w:pPr>
      <w:r>
        <w:rPr>
          <w:rFonts w:hint="eastAsia"/>
        </w:rPr>
        <w:t>选址布局</w:t>
      </w:r>
      <w:bookmarkEnd w:id="57"/>
    </w:p>
    <w:p>
      <w:pPr>
        <w:pStyle w:val="65"/>
        <w:spacing w:before="156" w:after="156"/>
      </w:pPr>
      <w:r>
        <w:rPr>
          <w:rFonts w:hint="eastAsia"/>
        </w:rPr>
        <w:t>基本原则</w:t>
      </w:r>
    </w:p>
    <w:p>
      <w:pPr>
        <w:pStyle w:val="56"/>
        <w:ind w:firstLine="420"/>
      </w:pPr>
      <w:r>
        <w:rPr>
          <w:rFonts w:hint="eastAsia"/>
        </w:rPr>
        <w:t>生产单元选址布局应符合《动物防疫条件审查办法》相关规定。</w:t>
      </w:r>
    </w:p>
    <w:p>
      <w:pPr>
        <w:pStyle w:val="65"/>
        <w:spacing w:before="156" w:after="156"/>
      </w:pPr>
      <w:r>
        <w:rPr>
          <w:rFonts w:hint="eastAsia"/>
        </w:rPr>
        <w:t>分区管理</w:t>
      </w:r>
    </w:p>
    <w:p>
      <w:pPr>
        <w:pStyle w:val="56"/>
        <w:ind w:firstLine="420"/>
      </w:pPr>
      <w:r>
        <w:rPr>
          <w:rFonts w:hint="eastAsia"/>
        </w:rPr>
        <w:t>各生产单元应按照生物安全等级严格分区、合理布局，包含生活区、生产区、隔离区、无害化处理区（病死猪暂存区）、粪污处理区。生产区应设置在常年主导风向的上风向，隔离舍、无害化处理区（病死猪暂存区）、粪污处理区应设置在下风向。若无法完全满足，应通过实体屏障和严格的消毒隔离措施弥补。各区域间应有实体围墙、围栏或专用通道等进行有效物理分隔，且配备消毒设施。养殖场周边若存在易感动物（含野生动物）或重大规定疫病传播风险时，应沿养殖场物理屏障向外设立不少于3公里的缓冲区，定期开展风险评估，采取消毒、监测等预防措施。</w:t>
      </w:r>
    </w:p>
    <w:p>
      <w:pPr>
        <w:pStyle w:val="65"/>
        <w:spacing w:before="156" w:after="156"/>
      </w:pPr>
      <w:r>
        <w:rPr>
          <w:rFonts w:hint="eastAsia"/>
        </w:rPr>
        <w:t>道路管理</w:t>
      </w:r>
    </w:p>
    <w:p>
      <w:pPr>
        <w:pStyle w:val="164"/>
      </w:pPr>
      <w:r>
        <w:rPr>
          <w:rFonts w:hint="eastAsia"/>
        </w:rPr>
        <w:t>临近猪场的场外道路应硬化，原则上临近大门口道路仅限人员和饲料、物资、猪苗、淘汰猪运输车辆通行；猪粪、无害化处理等场外运输车辆从另外道路通行。</w:t>
      </w:r>
    </w:p>
    <w:p>
      <w:pPr>
        <w:pStyle w:val="164"/>
      </w:pPr>
      <w:r>
        <w:rPr>
          <w:rFonts w:hint="eastAsia"/>
        </w:rPr>
        <w:t>各生产单元内道路需设置净道与污道，合理布局并硬化，原则上应避免净道与污道交叉或重叠，交叉位置应通过标准制度流程实现错峰流通并彻底消毒。生产区内清洁道、污染道分设，不重叠，不交叉，人员、畜禽和物资运转采取单一流向。</w:t>
      </w:r>
    </w:p>
    <w:p>
      <w:pPr>
        <w:pStyle w:val="105"/>
        <w:spacing w:before="156" w:after="156"/>
      </w:pPr>
      <w:bookmarkStart w:id="58" w:name="_Toc232758559"/>
      <w:r>
        <w:rPr>
          <w:rFonts w:hint="eastAsia"/>
        </w:rPr>
        <w:t>硬件设施</w:t>
      </w:r>
      <w:bookmarkEnd w:id="58"/>
    </w:p>
    <w:p>
      <w:pPr>
        <w:pStyle w:val="65"/>
        <w:spacing w:before="156" w:after="156"/>
      </w:pPr>
      <w:r>
        <w:rPr>
          <w:rFonts w:hint="eastAsia"/>
        </w:rPr>
        <w:t>总则</w:t>
      </w:r>
    </w:p>
    <w:p>
      <w:pPr>
        <w:pStyle w:val="65"/>
        <w:numPr>
          <w:ilvl w:val="255"/>
          <w:numId w:val="0"/>
        </w:numPr>
        <w:spacing w:before="156" w:after="156"/>
        <w:rPr>
          <w:rFonts w:ascii="宋体" w:eastAsia="宋体"/>
        </w:rPr>
      </w:pPr>
      <w:r>
        <w:rPr>
          <w:rFonts w:hint="eastAsia" w:ascii="宋体" w:eastAsia="宋体"/>
        </w:rPr>
        <w:t xml:space="preserve">     应对照非洲猪瘟无疫小区生物安全管理具体需求，对生产单元硬件设施进行全面升级改造。</w:t>
      </w:r>
    </w:p>
    <w:p>
      <w:pPr>
        <w:pStyle w:val="65"/>
        <w:spacing w:before="156" w:after="156"/>
      </w:pPr>
      <w:r>
        <w:rPr>
          <w:rFonts w:hint="eastAsia"/>
        </w:rPr>
        <w:t>洗消中心</w:t>
      </w:r>
    </w:p>
    <w:p>
      <w:pPr>
        <w:pStyle w:val="94"/>
        <w:spacing w:before="156" w:after="156"/>
      </w:pPr>
      <w:r>
        <w:rPr>
          <w:rFonts w:hint="eastAsia"/>
        </w:rPr>
        <w:t>车辆洗消中心</w:t>
      </w:r>
    </w:p>
    <w:p>
      <w:pPr>
        <w:pStyle w:val="56"/>
        <w:ind w:firstLine="420"/>
      </w:pPr>
      <w:r>
        <w:rPr>
          <w:rFonts w:hint="eastAsia"/>
        </w:rPr>
        <w:t>根据养殖单元规模配备专用洗消中心或洗消点，实现净污分区并有实体围墙或围挡隔断，进出道路净污分开、单向流动，排水由净区排向污区，并设置污水收集处理区。配备带顶棚的全封闭或半封闭式洗消车间（廊桥）、高压冲洗设备、消毒设备、烘干或熏蒸设施设备。</w:t>
      </w:r>
    </w:p>
    <w:p>
      <w:pPr>
        <w:pStyle w:val="94"/>
        <w:spacing w:before="156" w:after="156"/>
      </w:pPr>
      <w:r>
        <w:rPr>
          <w:rFonts w:hint="eastAsia"/>
        </w:rPr>
        <w:t>物资洗消中心</w:t>
      </w:r>
    </w:p>
    <w:p>
      <w:pPr>
        <w:pStyle w:val="56"/>
        <w:ind w:firstLine="420"/>
      </w:pPr>
      <w:r>
        <w:rPr>
          <w:rFonts w:hint="eastAsia"/>
        </w:rPr>
        <w:t>可与车辆洗消中心合并建设，但必须分区独立。设置外来物资接收区、拆包区、消毒处理区、净物储存间、净区中转发货平台等，配备有物资浸泡池、物资烘干或熏蒸房、物资静置房等。净污分区并有实体围墙或围挡隔断。物资遵循单向流动，净污区操作人员严禁跨区域作业。</w:t>
      </w:r>
    </w:p>
    <w:p>
      <w:pPr>
        <w:pStyle w:val="94"/>
        <w:spacing w:before="156" w:after="156"/>
      </w:pPr>
      <w:r>
        <w:rPr>
          <w:rFonts w:hint="eastAsia"/>
        </w:rPr>
        <w:t>人员洗消隔离点</w:t>
      </w:r>
    </w:p>
    <w:p>
      <w:pPr>
        <w:pStyle w:val="56"/>
        <w:ind w:firstLine="420"/>
      </w:pPr>
      <w:r>
        <w:rPr>
          <w:rFonts w:hint="eastAsia"/>
        </w:rPr>
        <w:t>应设立人员隔离点，严格划分外来人员到达区和隔离期满人员活动区，并以实体隔断，配置个人物品处理区、淋浴区、采样区，隔离休息区、沐浴区分设更衣间、淋浴间、清洁区，人员从场外进入淋浴间，淋浴后从清洁区更衣进入隔离区。</w:t>
      </w:r>
    </w:p>
    <w:p>
      <w:pPr>
        <w:pStyle w:val="65"/>
        <w:spacing w:before="156" w:after="156"/>
      </w:pPr>
      <w:r>
        <w:rPr>
          <w:rFonts w:hint="eastAsia"/>
        </w:rPr>
        <w:t>场区外围屏障</w:t>
      </w:r>
    </w:p>
    <w:p>
      <w:pPr>
        <w:pStyle w:val="56"/>
        <w:ind w:firstLine="420"/>
      </w:pPr>
      <w:r>
        <w:rPr>
          <w:rFonts w:hint="eastAsia"/>
        </w:rPr>
        <w:t>场区应四周封闭，设置实体围墙或能与外界有效隔离的围挡，高度≥1.8m，围墙或围挡地基应深埋或采用下方水泥加固，防止动物挖洞进入，配置防鼠防鸟设备，入口及围墙设“防疫重地，严禁入内”醒目标识，围墙外侧应无杂草灌木等。</w:t>
      </w:r>
    </w:p>
    <w:p>
      <w:pPr>
        <w:pStyle w:val="65"/>
        <w:spacing w:before="156" w:after="156"/>
      </w:pPr>
      <w:r>
        <w:rPr>
          <w:rFonts w:hint="eastAsia"/>
        </w:rPr>
        <w:t>消毒设施屏障</w:t>
      </w:r>
    </w:p>
    <w:p>
      <w:pPr>
        <w:pStyle w:val="56"/>
        <w:ind w:firstLine="420"/>
      </w:pPr>
      <w:r>
        <w:rPr>
          <w:rFonts w:hint="eastAsia"/>
        </w:rPr>
        <w:t>应设立多级洗消屏障，在距离猪场围墙1～3公里处，或通往猪场的必经之路上，设置独立于生产区的车辆洗消中心；场区大门口设车辆、人员、物资洗消通道；生产区入口设人员、物资消毒通道；猪舍入口设洗手盆和脚踏消毒池。</w:t>
      </w:r>
    </w:p>
    <w:p>
      <w:pPr>
        <w:pStyle w:val="65"/>
        <w:spacing w:before="156" w:after="156"/>
      </w:pPr>
      <w:r>
        <w:rPr>
          <w:rFonts w:hint="eastAsia"/>
        </w:rPr>
        <w:t>实验室</w:t>
      </w:r>
    </w:p>
    <w:p>
      <w:pPr>
        <w:pStyle w:val="56"/>
        <w:ind w:firstLine="420"/>
      </w:pPr>
      <w:r>
        <w:rPr>
          <w:rFonts w:hint="eastAsia"/>
        </w:rPr>
        <w:t>应有实验室提供监测诊断技术支撑。自建实验室的，应建在养殖场区之外，选址、布局、规模应科学合理，符合GB 19489、NY/T 1948 的规定，配备核酸提取仪、荧光定量PCR仪、生物安全柜、高压灭菌器、水浴锅等必备设施设备，具备完善的实验室管理制度，具备非洲猪瘟检测和诊断能力，应向属地农业农村主管部门备案。不具备自建条件的，应与有资质的第三方实验室签订委托检测协议，并确保样品运输和检测的生物安全。</w:t>
      </w:r>
    </w:p>
    <w:p>
      <w:pPr>
        <w:pStyle w:val="65"/>
        <w:spacing w:before="156" w:after="156"/>
      </w:pPr>
      <w:r>
        <w:rPr>
          <w:rFonts w:hint="eastAsia"/>
        </w:rPr>
        <w:t>出猪台</w:t>
      </w:r>
    </w:p>
    <w:p>
      <w:pPr>
        <w:pStyle w:val="94"/>
        <w:spacing w:before="156" w:after="156"/>
      </w:pPr>
      <w:r>
        <w:rPr>
          <w:rFonts w:hint="eastAsia"/>
        </w:rPr>
        <w:t>猪场出猪台</w:t>
      </w:r>
    </w:p>
    <w:p>
      <w:pPr>
        <w:pStyle w:val="56"/>
        <w:ind w:firstLine="420"/>
      </w:pPr>
      <w:r>
        <w:rPr>
          <w:rFonts w:hint="eastAsia"/>
        </w:rPr>
        <w:t>应设置在生产区外围下风向，具有防雨、防鼠等功能，有屏障将净区、污区隔开，设生猪单行道，出猪平台高度与车辆匹配，配备清洗消毒设施设备。</w:t>
      </w:r>
    </w:p>
    <w:p>
      <w:pPr>
        <w:pStyle w:val="94"/>
        <w:spacing w:before="156" w:after="156"/>
      </w:pPr>
      <w:r>
        <w:rPr>
          <w:rFonts w:hint="eastAsia"/>
        </w:rPr>
        <w:t>生猪中转站</w:t>
      </w:r>
    </w:p>
    <w:p>
      <w:pPr>
        <w:pStyle w:val="56"/>
        <w:ind w:firstLine="420"/>
      </w:pPr>
      <w:r>
        <w:rPr>
          <w:rFonts w:hint="eastAsia"/>
        </w:rPr>
        <w:t>养殖规模较大和出猪频次较高的场区，应在场区外设专用的猪只中转站，内设卸猪区、中转区、装猪区，各区物理隔断，中转车辆与外部车辆双向流动。</w:t>
      </w:r>
    </w:p>
    <w:p>
      <w:pPr>
        <w:pStyle w:val="94"/>
        <w:spacing w:before="156" w:after="156"/>
      </w:pPr>
      <w:r>
        <w:rPr>
          <w:rFonts w:hint="eastAsia"/>
        </w:rPr>
        <w:t>引种进猪台</w:t>
      </w:r>
    </w:p>
    <w:p>
      <w:pPr>
        <w:pStyle w:val="56"/>
        <w:ind w:firstLine="420"/>
      </w:pPr>
      <w:r>
        <w:rPr>
          <w:rFonts w:hint="eastAsia"/>
        </w:rPr>
        <w:t>建设要求参照4.4.5.1，主要用于猪场引种使用。</w:t>
      </w:r>
    </w:p>
    <w:p>
      <w:pPr>
        <w:pStyle w:val="65"/>
        <w:spacing w:before="156" w:after="156"/>
      </w:pPr>
      <w:r>
        <w:rPr>
          <w:rFonts w:hint="eastAsia"/>
        </w:rPr>
        <w:t>中转料塔</w:t>
      </w:r>
    </w:p>
    <w:p>
      <w:pPr>
        <w:pStyle w:val="56"/>
        <w:ind w:firstLine="420"/>
      </w:pPr>
      <w:r>
        <w:rPr>
          <w:rFonts w:hint="eastAsia"/>
        </w:rPr>
        <w:t>设在猪场内部生产区靠近围墙边，根据猪场设计规模确定料塔数量和容量，料塔密闭，具有防潮、防霉、防鸟、防鼠等功能。场外散装料车在围墙外打料，确保内部饲料车不出场，场外饲料车不入场。</w:t>
      </w:r>
    </w:p>
    <w:p>
      <w:pPr>
        <w:pStyle w:val="65"/>
        <w:spacing w:before="156" w:after="156"/>
      </w:pPr>
      <w:r>
        <w:rPr>
          <w:rFonts w:hint="eastAsia"/>
        </w:rPr>
        <w:t>防鸟鼠、防蚊蝇、防尘设施</w:t>
      </w:r>
    </w:p>
    <w:p>
      <w:pPr>
        <w:pStyle w:val="56"/>
        <w:ind w:firstLine="420"/>
      </w:pPr>
      <w:r>
        <w:rPr>
          <w:rFonts w:hint="eastAsia"/>
        </w:rPr>
        <w:t>围墙、生产区增加防鸟鼠、防蚊蝇、防尘等设施。出猪台、风机端、水帘端、粪沟、水沟等区域密闭或使用不锈钢纱窗隔离。</w:t>
      </w:r>
    </w:p>
    <w:p>
      <w:pPr>
        <w:pStyle w:val="65"/>
        <w:spacing w:before="156" w:after="156"/>
      </w:pPr>
      <w:r>
        <w:rPr>
          <w:rFonts w:hint="eastAsia"/>
        </w:rPr>
        <w:t>无害化处理</w:t>
      </w:r>
    </w:p>
    <w:p>
      <w:pPr>
        <w:pStyle w:val="56"/>
        <w:ind w:firstLine="420"/>
      </w:pPr>
      <w:r>
        <w:rPr>
          <w:rFonts w:hint="eastAsia"/>
        </w:rPr>
        <w:t>宜与有资质的第三方无害化处理中心签订委托处理协议，并配套病死猪冷冻暂存设施设备和病死猪中转车辆，应在距离场区围墙外不少于1公里外的适宜位置设置病死猪转运接驳点，大型养殖企业应设立病死猪转运中转站。</w:t>
      </w:r>
    </w:p>
    <w:p>
      <w:pPr>
        <w:pStyle w:val="104"/>
        <w:spacing w:before="312" w:after="312"/>
      </w:pPr>
      <w:bookmarkStart w:id="59" w:name="_Toc232758560"/>
      <w:bookmarkStart w:id="60" w:name="_Toc232758581"/>
      <w:r>
        <w:rPr>
          <w:rFonts w:hint="eastAsia"/>
        </w:rPr>
        <w:t>生物安全管理体系</w:t>
      </w:r>
      <w:bookmarkEnd w:id="59"/>
      <w:bookmarkEnd w:id="60"/>
    </w:p>
    <w:p>
      <w:pPr>
        <w:pStyle w:val="105"/>
        <w:spacing w:before="156" w:after="156"/>
      </w:pPr>
      <w:bookmarkStart w:id="61" w:name="_Toc232758561"/>
      <w:r>
        <w:rPr>
          <w:rFonts w:hint="eastAsia"/>
        </w:rPr>
        <w:t>组织管理</w:t>
      </w:r>
    </w:p>
    <w:p>
      <w:pPr>
        <w:pStyle w:val="56"/>
        <w:ind w:firstLine="420"/>
      </w:pPr>
      <w:r>
        <w:rPr>
          <w:rFonts w:hint="eastAsia"/>
        </w:rPr>
        <w:t>应组建生物安全管理小组，由企业主要负责人担任组长，成员包括技术、生产、后勤等关键部门负责人，做到组织架构清晰，成员职责明确。各生产单元设生物安全管理员，并明确各岗位生物安全职责。</w:t>
      </w:r>
    </w:p>
    <w:p>
      <w:pPr>
        <w:pStyle w:val="105"/>
        <w:spacing w:before="156" w:after="156"/>
      </w:pPr>
      <w:r>
        <w:rPr>
          <w:rFonts w:hint="eastAsia"/>
        </w:rPr>
        <w:t>生物安全管理手册</w:t>
      </w:r>
    </w:p>
    <w:p>
      <w:pPr>
        <w:pStyle w:val="105"/>
        <w:numPr>
          <w:ilvl w:val="2"/>
          <w:numId w:val="0"/>
        </w:numPr>
        <w:spacing w:before="156" w:after="156"/>
        <w:ind w:leftChars="0" w:firstLine="420" w:firstLineChars="20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应结合《无规定动物疫病小区管理技术规范》和企业生产实际，组织编写《生物安全管理手册》。《生物安全管理手册》应覆盖无疫小区所有生产单元和环节，包括组织体系、屏障设施及场内设施、风险评估及生物安全计划、生物安全措施标准操作程序（SOP）、监测、应急反应和疫情报告、记录、生物安全培训等方面内容。企业生物安全管理体系应严格按照《生物安全管理手册》规定规范运行，并根据运行情况定期对《生物安全管理手册》进行修订完善。</w:t>
      </w:r>
    </w:p>
    <w:p>
      <w:pPr>
        <w:pStyle w:val="105"/>
        <w:spacing w:before="156" w:after="156"/>
      </w:pPr>
      <w:r>
        <w:rPr>
          <w:rFonts w:hint="eastAsia"/>
        </w:rPr>
        <w:t>风险评估</w:t>
      </w:r>
    </w:p>
    <w:p>
      <w:pPr>
        <w:pStyle w:val="105"/>
        <w:numPr>
          <w:ilvl w:val="2"/>
          <w:numId w:val="0"/>
        </w:numPr>
        <w:spacing w:before="156" w:after="156"/>
        <w:ind w:leftChars="0" w:firstLine="420" w:firstLineChars="200"/>
      </w:pPr>
      <w:r>
        <w:rPr>
          <w:rFonts w:hint="eastAsia" w:ascii="宋体" w:hAnsi="Times New Roman" w:eastAsia="宋体" w:cs="Times New Roman"/>
          <w:sz w:val="21"/>
          <w:lang w:val="en-US" w:eastAsia="zh-CN" w:bidi="ar-SA"/>
        </w:rPr>
        <w:t>每年至少开展1次风险评估，对各生产单元周边布局、设施设备、防疫管理、人员管理、投入品管理、运输管理等环节潜在因素进行系统性评估，形成风险评估报告。毗邻地区发生疫情时，应增加评估频次。</w:t>
      </w:r>
    </w:p>
    <w:p>
      <w:pPr>
        <w:pStyle w:val="105"/>
        <w:spacing w:before="156" w:after="156"/>
      </w:pPr>
      <w:r>
        <w:rPr>
          <w:rFonts w:hint="eastAsia"/>
        </w:rPr>
        <w:t>生物安全计划</w:t>
      </w:r>
    </w:p>
    <w:p>
      <w:pPr>
        <w:pStyle w:val="105"/>
        <w:numPr>
          <w:ilvl w:val="2"/>
          <w:numId w:val="0"/>
        </w:numPr>
        <w:spacing w:before="156" w:after="156"/>
        <w:ind w:leftChars="0" w:firstLine="420" w:firstLineChars="20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每年基于风险评估结果，制定科学合理的生物安全计划 ，制定覆盖所有环节的生物安全措施或制度，并制定标准操作程序（SOP）。计划应覆盖无疫小区所有生产单元及环节，至少包括目的、使用范围、职责分工、计划列表、标准操作程序、培训方案等内容。</w:t>
      </w:r>
    </w:p>
    <w:p>
      <w:pPr>
        <w:pStyle w:val="105"/>
        <w:spacing w:before="156" w:after="156"/>
      </w:pPr>
      <w:r>
        <w:rPr>
          <w:rFonts w:hint="eastAsia"/>
        </w:rPr>
        <w:t>生物安全培训</w:t>
      </w:r>
    </w:p>
    <w:p>
      <w:pPr>
        <w:pStyle w:val="105"/>
        <w:numPr>
          <w:ilvl w:val="2"/>
          <w:numId w:val="0"/>
        </w:numPr>
        <w:spacing w:before="156" w:after="156"/>
        <w:ind w:leftChars="0" w:firstLine="420" w:firstLineChars="200"/>
        <w:rPr>
          <w:rFonts w:hint="eastAsia" w:ascii="宋体" w:hAnsi="Times New Roman" w:eastAsia="宋体" w:cs="Times New Roman"/>
          <w:sz w:val="21"/>
          <w:lang w:val="en-US" w:eastAsia="zh-CN" w:bidi="ar-SA"/>
        </w:rPr>
      </w:pPr>
      <w:r>
        <w:rPr>
          <w:rFonts w:hint="eastAsia" w:ascii="宋体" w:hAnsi="Times New Roman" w:eastAsia="宋体" w:cs="Times New Roman"/>
          <w:sz w:val="21"/>
          <w:lang w:val="en-US" w:eastAsia="zh-CN" w:bidi="ar-SA"/>
        </w:rPr>
        <w:t>制定科学合理的人员培训计划，结合岗位职责定期开展生物安全相关培训，并开展培训考核，规范日常行为操作，确保各项措施落实到位。</w:t>
      </w:r>
    </w:p>
    <w:p>
      <w:pPr>
        <w:pStyle w:val="105"/>
        <w:spacing w:before="156" w:after="156"/>
      </w:pPr>
      <w:r>
        <w:rPr>
          <w:rFonts w:hint="eastAsia"/>
        </w:rPr>
        <w:t>内部审核与改进</w:t>
      </w:r>
    </w:p>
    <w:p>
      <w:pPr>
        <w:pStyle w:val="105"/>
        <w:numPr>
          <w:ilvl w:val="2"/>
          <w:numId w:val="0"/>
        </w:numPr>
        <w:spacing w:before="156" w:after="156"/>
        <w:ind w:leftChars="0" w:firstLine="420" w:firstLineChars="200"/>
      </w:pPr>
      <w:r>
        <w:rPr>
          <w:rFonts w:hint="eastAsia" w:ascii="宋体" w:hAnsi="Times New Roman" w:eastAsia="宋体" w:cs="Times New Roman"/>
          <w:sz w:val="21"/>
          <w:lang w:val="en-US" w:eastAsia="zh-CN" w:bidi="ar-SA"/>
        </w:rPr>
        <w:t>定期对生物安全管理体系运行情况进行内部审核，每年至少开展1次，重点对生物安全措施落实情况进行内部审核，形成专项内审报告，并根据内审结果进行改进和提升。</w:t>
      </w:r>
    </w:p>
    <w:bookmarkEnd w:id="61"/>
    <w:p>
      <w:pPr>
        <w:pStyle w:val="104"/>
        <w:spacing w:before="312" w:after="312"/>
      </w:pPr>
      <w:bookmarkStart w:id="62" w:name="_Toc232758582"/>
      <w:bookmarkStart w:id="63" w:name="_Toc232758562"/>
      <w:r>
        <w:rPr>
          <w:rFonts w:hint="eastAsia"/>
        </w:rPr>
        <w:t>关键环节管理</w:t>
      </w:r>
      <w:bookmarkEnd w:id="62"/>
      <w:bookmarkEnd w:id="63"/>
    </w:p>
    <w:p>
      <w:pPr>
        <w:pStyle w:val="105"/>
        <w:spacing w:before="156" w:after="156"/>
      </w:pPr>
      <w:bookmarkStart w:id="64" w:name="_Toc232758563"/>
      <w:r>
        <w:rPr>
          <w:rFonts w:hint="eastAsia"/>
        </w:rPr>
        <w:t>人员管理</w:t>
      </w:r>
      <w:bookmarkEnd w:id="64"/>
    </w:p>
    <w:p>
      <w:pPr>
        <w:pStyle w:val="65"/>
        <w:spacing w:before="156" w:after="156"/>
      </w:pPr>
      <w:r>
        <w:rPr>
          <w:rFonts w:hint="eastAsia"/>
        </w:rPr>
        <w:t>场内工作人员</w:t>
      </w:r>
    </w:p>
    <w:p>
      <w:pPr>
        <w:pStyle w:val="164"/>
      </w:pPr>
      <w:r>
        <w:rPr>
          <w:rFonts w:hint="eastAsia"/>
        </w:rPr>
        <w:t>入场前3天禁止前往疫点、农贸市场、养猪场、屠宰场、无害化处理厂等高风险区域。严禁携带生鲜猪肉、猪肉制品等违禁食品及大宗物资，携带随身小物品须经消毒后再入场。</w:t>
      </w:r>
    </w:p>
    <w:p>
      <w:pPr>
        <w:pStyle w:val="164"/>
      </w:pPr>
      <w:r>
        <w:rPr>
          <w:rFonts w:hint="eastAsia"/>
        </w:rPr>
        <w:t>入场前应在场外人员洗消隔离点进行非洲猪瘟病毒核酸检测，检测合格后淋浴、更衣，就地隔离至少12小时（一晚），再乘坐专车进入场区隔离点隔离24小时以上。</w:t>
      </w:r>
    </w:p>
    <w:p>
      <w:pPr>
        <w:pStyle w:val="164"/>
      </w:pPr>
      <w:r>
        <w:rPr>
          <w:rFonts w:hint="eastAsia"/>
        </w:rPr>
        <w:t>每日淋浴更衣换鞋后方可进入生产区，进入猪舍前还应进行脚踏消毒和洗手。人员着装应按区域执行“分区分色管理”，禁止不同颜色着装人员跨区域活动。</w:t>
      </w:r>
    </w:p>
    <w:p>
      <w:pPr>
        <w:pStyle w:val="65"/>
        <w:spacing w:before="156" w:after="156"/>
      </w:pPr>
      <w:r>
        <w:rPr>
          <w:rFonts w:hint="eastAsia"/>
        </w:rPr>
        <w:t>来访人员</w:t>
      </w:r>
    </w:p>
    <w:p>
      <w:pPr>
        <w:pStyle w:val="56"/>
        <w:ind w:firstLine="420"/>
      </w:pPr>
      <w:r>
        <w:rPr>
          <w:rFonts w:hint="eastAsia"/>
        </w:rPr>
        <w:t>外部来访人员原则上不允许进入猪场。必须进场的按6.1.1执行。</w:t>
      </w:r>
    </w:p>
    <w:p>
      <w:pPr>
        <w:pStyle w:val="105"/>
        <w:spacing w:before="156" w:after="156"/>
      </w:pPr>
      <w:bookmarkStart w:id="65" w:name="_Toc232758564"/>
      <w:r>
        <w:rPr>
          <w:rFonts w:hint="eastAsia"/>
        </w:rPr>
        <w:t>车辆管理</w:t>
      </w:r>
      <w:bookmarkEnd w:id="65"/>
    </w:p>
    <w:p>
      <w:pPr>
        <w:pStyle w:val="65"/>
        <w:spacing w:before="156" w:after="156"/>
      </w:pPr>
      <w:r>
        <w:rPr>
          <w:rFonts w:hint="eastAsia"/>
        </w:rPr>
        <w:t>总则</w:t>
      </w:r>
    </w:p>
    <w:p>
      <w:pPr>
        <w:pStyle w:val="56"/>
        <w:ind w:firstLine="420"/>
      </w:pPr>
      <w:r>
        <w:rPr>
          <w:rFonts w:hint="eastAsia"/>
        </w:rPr>
        <w:t>应具有车辆运输管理体系，所有专用车辆均需张贴无疫小区专用标识标牌，合理规划运输路线，内部车辆与外部车辆应严格分开、不得混用，做到专车专用。不同风险等级的车辆采取不同管控措施。</w:t>
      </w:r>
    </w:p>
    <w:p>
      <w:pPr>
        <w:pStyle w:val="65"/>
        <w:spacing w:before="156" w:after="156"/>
      </w:pPr>
      <w:r>
        <w:rPr>
          <w:rFonts w:hint="eastAsia"/>
        </w:rPr>
        <w:t>场外车辆</w:t>
      </w:r>
    </w:p>
    <w:p>
      <w:pPr>
        <w:pStyle w:val="94"/>
        <w:spacing w:before="156" w:after="156"/>
      </w:pPr>
      <w:r>
        <w:rPr>
          <w:rFonts w:hint="eastAsia"/>
        </w:rPr>
        <w:t>外来运猪车</w:t>
      </w:r>
    </w:p>
    <w:p>
      <w:pPr>
        <w:pStyle w:val="56"/>
        <w:ind w:firstLine="420"/>
      </w:pPr>
      <w:r>
        <w:rPr>
          <w:rFonts w:hint="eastAsia"/>
        </w:rPr>
        <w:t>应在当地兽医主管部门备案，运猪路线应合理规划，避开高风险区域。运猪前应完成一级洗消，对车辆和司机进行采样，非洲猪瘟检测合格后完成二级洗消、烘干。装猪过程中司机不下车，关闭车窗。</w:t>
      </w:r>
    </w:p>
    <w:p>
      <w:pPr>
        <w:pStyle w:val="94"/>
        <w:spacing w:before="156" w:after="156"/>
      </w:pPr>
      <w:r>
        <w:rPr>
          <w:rFonts w:hint="eastAsia"/>
        </w:rPr>
        <w:t>饲料运输车</w:t>
      </w:r>
    </w:p>
    <w:p>
      <w:pPr>
        <w:pStyle w:val="56"/>
        <w:ind w:firstLine="420"/>
      </w:pPr>
      <w:r>
        <w:rPr>
          <w:rFonts w:hint="eastAsia"/>
        </w:rPr>
        <w:t>应配备装有GPS导航设备的专用饲料车，严格按指定路线配送。饲料车经清洗消毒及干燥后方可使用，每次入场前须经采样、洗消合格后再进场隔墙打料。饲料车不得进入生产区，隔墙打料过程中司机不下车。</w:t>
      </w:r>
    </w:p>
    <w:p>
      <w:pPr>
        <w:pStyle w:val="94"/>
        <w:spacing w:before="156" w:after="156"/>
      </w:pPr>
      <w:r>
        <w:rPr>
          <w:rFonts w:hint="eastAsia"/>
        </w:rPr>
        <w:t>物资、员工中转车辆</w:t>
      </w:r>
    </w:p>
    <w:p>
      <w:pPr>
        <w:pStyle w:val="56"/>
        <w:ind w:firstLine="420"/>
      </w:pPr>
      <w:r>
        <w:rPr>
          <w:rFonts w:hint="eastAsia"/>
        </w:rPr>
        <w:t>物资进场、员工回场仅允许使用内部中转车辆专车转运。配送司机在对应区域执行封闭式管理。司机不得中途下车，需沿指定路线，送至猪场大门口，任务结束后车辆返回洗消中心消毒，并停放于指定位置。</w:t>
      </w:r>
    </w:p>
    <w:p>
      <w:pPr>
        <w:pStyle w:val="94"/>
        <w:spacing w:before="156" w:after="156"/>
      </w:pPr>
      <w:r>
        <w:rPr>
          <w:rFonts w:hint="eastAsia"/>
        </w:rPr>
        <w:t>病死猪运输车</w:t>
      </w:r>
    </w:p>
    <w:p>
      <w:pPr>
        <w:pStyle w:val="56"/>
        <w:ind w:firstLine="420"/>
      </w:pPr>
      <w:r>
        <w:rPr>
          <w:rFonts w:hint="eastAsia"/>
        </w:rPr>
        <w:t>病死猪应采用三段式转运，从栋舍到病死猪暂存冷库和从冷库到场外接驳点（或中转站）分别由场内两种病死猪专用车转运，从场外接驳点（或中转站）到无害化处理中心应由外部病死猪收集车转运。外部病死猪收集车不得靠近场区，场外接驳点（或中转站）应设在在远离场区的指定安全地点，由场内专用病死猪车进行无接触转接。场内病死猪专用车每次使用后都需要经过彻底的洗消烘干并检测合格后，方可返回场内指定位置停放。</w:t>
      </w:r>
    </w:p>
    <w:p>
      <w:pPr>
        <w:pStyle w:val="65"/>
        <w:spacing w:before="156" w:after="156"/>
      </w:pPr>
      <w:r>
        <w:rPr>
          <w:rFonts w:hint="eastAsia"/>
        </w:rPr>
        <w:t>内部车辆</w:t>
      </w:r>
    </w:p>
    <w:p>
      <w:pPr>
        <w:pStyle w:val="56"/>
        <w:ind w:firstLine="420"/>
      </w:pPr>
      <w:r>
        <w:rPr>
          <w:rFonts w:hint="eastAsia"/>
        </w:rPr>
        <w:t>所有猪场内的运猪车、淘汰猪车、死猪污物车、物资车、饲料车应做到专车专用、标识清晰，并按指定路线单向行驶。</w:t>
      </w:r>
    </w:p>
    <w:p>
      <w:pPr>
        <w:pStyle w:val="105"/>
        <w:spacing w:before="156" w:after="156"/>
      </w:pPr>
      <w:bookmarkStart w:id="66" w:name="_Toc232758565"/>
      <w:r>
        <w:rPr>
          <w:rFonts w:hint="eastAsia"/>
        </w:rPr>
        <w:t>物资管理</w:t>
      </w:r>
      <w:bookmarkEnd w:id="66"/>
    </w:p>
    <w:p>
      <w:pPr>
        <w:pStyle w:val="65"/>
        <w:spacing w:before="156" w:after="156"/>
      </w:pPr>
      <w:r>
        <w:rPr>
          <w:rFonts w:hint="eastAsia"/>
        </w:rPr>
        <w:t>总则</w:t>
      </w:r>
    </w:p>
    <w:p>
      <w:pPr>
        <w:pStyle w:val="56"/>
        <w:ind w:firstLine="420"/>
      </w:pPr>
      <w:r>
        <w:rPr>
          <w:rFonts w:hint="eastAsia"/>
        </w:rPr>
        <w:t>猪场应提前规划好各类物资入场时间和频次，不同种类物资经场外物资洗消中心进行中转，以批为单位进行检测和消毒，最大限度减少物资入场频次，非洲猪瘟病毒核酸检测合格后经专人专车定期转运至猪场。</w:t>
      </w:r>
    </w:p>
    <w:p>
      <w:pPr>
        <w:pStyle w:val="65"/>
        <w:spacing w:before="156" w:after="156"/>
      </w:pPr>
      <w:r>
        <w:rPr>
          <w:rFonts w:hint="eastAsia"/>
        </w:rPr>
        <w:t>饲料</w:t>
      </w:r>
    </w:p>
    <w:p>
      <w:pPr>
        <w:pStyle w:val="56"/>
        <w:ind w:firstLine="420"/>
      </w:pPr>
      <w:r>
        <w:rPr>
          <w:rFonts w:hint="eastAsia"/>
        </w:rPr>
        <w:t>饲料来源于专场专线生产并符合要求，经专用饲料车指定路线配送至中转料塔经专用管道输送到猪场，或经场内饲料车运输至猪场料塔，料塔全封闭，定期清理。</w:t>
      </w:r>
    </w:p>
    <w:p>
      <w:pPr>
        <w:pStyle w:val="65"/>
        <w:spacing w:before="156" w:after="156"/>
      </w:pPr>
      <w:r>
        <w:rPr>
          <w:rFonts w:hint="eastAsia"/>
        </w:rPr>
        <w:t>生活及生产物资</w:t>
      </w:r>
    </w:p>
    <w:p>
      <w:pPr>
        <w:pStyle w:val="56"/>
        <w:ind w:firstLine="420"/>
      </w:pPr>
      <w:r>
        <w:rPr>
          <w:rFonts w:hint="eastAsia"/>
        </w:rPr>
        <w:t>集中定期采购，全面包裹，对于未包裹的或有破损的，不予进场，拆除外包装后根据材质特性采取浸泡、臭氧或者熏蒸等方式消毒后入场。</w:t>
      </w:r>
    </w:p>
    <w:p>
      <w:pPr>
        <w:pStyle w:val="65"/>
        <w:spacing w:before="156" w:after="156"/>
      </w:pPr>
      <w:r>
        <w:rPr>
          <w:rFonts w:hint="eastAsia"/>
        </w:rPr>
        <w:t>兽药疫苗</w:t>
      </w:r>
    </w:p>
    <w:p>
      <w:pPr>
        <w:pStyle w:val="56"/>
        <w:ind w:firstLine="420"/>
      </w:pPr>
      <w:r>
        <w:rPr>
          <w:rFonts w:hint="eastAsia"/>
        </w:rPr>
        <w:t>疫苗冷链运输，检测合格后，拆除最外面包装，熏蒸或表面擦拭后入场。兽药按物资消毒流程操作。</w:t>
      </w:r>
    </w:p>
    <w:p>
      <w:pPr>
        <w:pStyle w:val="65"/>
        <w:spacing w:before="156" w:after="156"/>
      </w:pPr>
      <w:r>
        <w:rPr>
          <w:rFonts w:hint="eastAsia"/>
        </w:rPr>
        <w:t>大宗物资</w:t>
      </w:r>
    </w:p>
    <w:p>
      <w:pPr>
        <w:pStyle w:val="56"/>
        <w:ind w:firstLine="420"/>
      </w:pPr>
      <w:r>
        <w:rPr>
          <w:rFonts w:hint="eastAsia"/>
        </w:rPr>
        <w:t>建材、煤炭、石灰等大宗物资原则上直接到猪场门口进行消毒处理，全程监督，确保受控。</w:t>
      </w:r>
    </w:p>
    <w:p>
      <w:pPr>
        <w:pStyle w:val="65"/>
        <w:spacing w:before="156" w:after="156"/>
      </w:pPr>
      <w:r>
        <w:rPr>
          <w:rFonts w:hint="eastAsia"/>
        </w:rPr>
        <w:t>外部精液</w:t>
      </w:r>
    </w:p>
    <w:p>
      <w:pPr>
        <w:pStyle w:val="56"/>
        <w:ind w:firstLine="420"/>
      </w:pPr>
      <w:r>
        <w:rPr>
          <w:rFonts w:hint="eastAsia"/>
        </w:rPr>
        <w:t>原则上来源于非洲猪瘟无疫小区，有非洲猪瘟、蓝耳病、猪瘟等病原阴性检测报告，使用独立3层包装，外层使用防水材料（如泡沫箱+塑料膜），内层为无菌袋，专用运输设备17±1℃恒温运输，避免途经高风险区域，对外包装75%酒精喷洒消毒后入场。</w:t>
      </w:r>
    </w:p>
    <w:p>
      <w:pPr>
        <w:pStyle w:val="65"/>
        <w:spacing w:before="156" w:after="156"/>
      </w:pPr>
      <w:r>
        <w:rPr>
          <w:rFonts w:hint="eastAsia"/>
        </w:rPr>
        <w:t>食材</w:t>
      </w:r>
    </w:p>
    <w:p>
      <w:pPr>
        <w:pStyle w:val="56"/>
        <w:ind w:firstLine="420"/>
      </w:pPr>
      <w:r>
        <w:rPr>
          <w:rFonts w:hint="eastAsia"/>
        </w:rPr>
        <w:t>禁止员工私自做饭，可设置中央厨房，一日三餐均由中央厨房统一配送。</w:t>
      </w:r>
    </w:p>
    <w:p>
      <w:pPr>
        <w:pStyle w:val="105"/>
        <w:spacing w:before="156" w:after="156"/>
      </w:pPr>
      <w:bookmarkStart w:id="67" w:name="_Toc232758566"/>
      <w:r>
        <w:rPr>
          <w:rFonts w:hint="eastAsia"/>
        </w:rPr>
        <w:t>猪只管理</w:t>
      </w:r>
      <w:bookmarkEnd w:id="67"/>
    </w:p>
    <w:p>
      <w:pPr>
        <w:pStyle w:val="65"/>
        <w:spacing w:before="156" w:after="156"/>
      </w:pPr>
      <w:r>
        <w:rPr>
          <w:rFonts w:hint="eastAsia"/>
        </w:rPr>
        <w:t>猪群管理</w:t>
      </w:r>
    </w:p>
    <w:p>
      <w:pPr>
        <w:pStyle w:val="94"/>
        <w:spacing w:before="156" w:after="156"/>
      </w:pPr>
      <w:r>
        <w:rPr>
          <w:rFonts w:hint="eastAsia"/>
        </w:rPr>
        <w:t>猪只转群</w:t>
      </w:r>
    </w:p>
    <w:p>
      <w:pPr>
        <w:pStyle w:val="56"/>
        <w:ind w:firstLine="420"/>
      </w:pPr>
      <w:r>
        <w:rPr>
          <w:rFonts w:hint="eastAsia"/>
        </w:rPr>
        <w:t>隔离区、后备舍、保育舍及育成舍执行严格的批次间全进全出，猪只从种猪、繁育、保育、育肥单向流动，使用专用转群通道，并严格清洗消毒。</w:t>
      </w:r>
    </w:p>
    <w:p>
      <w:pPr>
        <w:pStyle w:val="94"/>
        <w:spacing w:before="156" w:after="156"/>
      </w:pPr>
      <w:r>
        <w:rPr>
          <w:rFonts w:hint="eastAsia"/>
        </w:rPr>
        <w:t>猪只出场</w:t>
      </w:r>
    </w:p>
    <w:p>
      <w:pPr>
        <w:pStyle w:val="56"/>
        <w:ind w:firstLine="420"/>
      </w:pPr>
      <w:r>
        <w:rPr>
          <w:rFonts w:hint="eastAsia"/>
        </w:rPr>
        <w:t>猪只从生产区向场外单向流动，健康猪只走净道，淘汰猪、病死猪只走污道。销售猪应通过场边出猪台，经内部中转车辆转运至生猪中转站。</w:t>
      </w:r>
    </w:p>
    <w:p>
      <w:pPr>
        <w:pStyle w:val="94"/>
        <w:spacing w:before="156" w:after="156"/>
      </w:pPr>
      <w:r>
        <w:rPr>
          <w:rFonts w:hint="eastAsia"/>
        </w:rPr>
        <w:t>日常饲养管理</w:t>
      </w:r>
    </w:p>
    <w:p>
      <w:pPr>
        <w:pStyle w:val="56"/>
        <w:ind w:firstLine="420"/>
      </w:pPr>
      <w:r>
        <w:rPr>
          <w:rFonts w:hint="eastAsia"/>
        </w:rPr>
        <w:t>应制定科学饲养管理制度，并严格按照制度开展日常饲养管理。定期开展环境清理和消毒。饮水来源于深井水或自来水，符合《生活饮用水卫生标准》，定期检测非洲猪瘟，做好饮水消毒。每日开展猪群健康巡查，发现异常及时上报，并采样检测。</w:t>
      </w:r>
    </w:p>
    <w:p>
      <w:pPr>
        <w:pStyle w:val="65"/>
        <w:spacing w:before="156" w:after="156"/>
      </w:pPr>
      <w:r>
        <w:rPr>
          <w:rFonts w:hint="eastAsia"/>
        </w:rPr>
        <w:t>引种管理</w:t>
      </w:r>
    </w:p>
    <w:p>
      <w:pPr>
        <w:pStyle w:val="94"/>
        <w:spacing w:before="156" w:after="156"/>
      </w:pPr>
      <w:r>
        <w:rPr>
          <w:rFonts w:hint="eastAsia"/>
        </w:rPr>
        <w:t>总则</w:t>
      </w:r>
    </w:p>
    <w:p>
      <w:pPr>
        <w:pStyle w:val="56"/>
        <w:ind w:firstLine="420"/>
      </w:pPr>
      <w:r>
        <w:rPr>
          <w:rFonts w:hint="eastAsia"/>
        </w:rPr>
        <w:t>坚持自繁自养，非必要不引种，引种频次、数量与生产实际应相符。</w:t>
      </w:r>
    </w:p>
    <w:p>
      <w:pPr>
        <w:pStyle w:val="94"/>
        <w:spacing w:before="156" w:after="156"/>
      </w:pPr>
      <w:r>
        <w:rPr>
          <w:rFonts w:hint="eastAsia"/>
        </w:rPr>
        <w:t>种源评估</w:t>
      </w:r>
    </w:p>
    <w:p>
      <w:pPr>
        <w:pStyle w:val="56"/>
        <w:ind w:firstLine="420"/>
      </w:pPr>
      <w:r>
        <w:rPr>
          <w:rFonts w:hint="eastAsia"/>
        </w:rPr>
        <w:t>种猪和精液应来源于非洲猪瘟无疫小区，具有《种畜禽生产经营许可证》、《检疫合格证》，引进前完成非洲猪瘟等规定疫病检测并合格。</w:t>
      </w:r>
    </w:p>
    <w:p>
      <w:pPr>
        <w:pStyle w:val="94"/>
        <w:spacing w:before="156" w:after="156"/>
      </w:pPr>
      <w:r>
        <w:rPr>
          <w:rFonts w:hint="eastAsia"/>
        </w:rPr>
        <w:t>运输管控</w:t>
      </w:r>
    </w:p>
    <w:p>
      <w:pPr>
        <w:pStyle w:val="56"/>
        <w:ind w:firstLine="420"/>
      </w:pPr>
      <w:r>
        <w:rPr>
          <w:rFonts w:hint="eastAsia"/>
        </w:rPr>
        <w:t>外购种猪运输应科学规划路线，避开其他猪场、屠宰场、无害化处理场等高风险场所。</w:t>
      </w:r>
    </w:p>
    <w:p>
      <w:pPr>
        <w:pStyle w:val="94"/>
        <w:spacing w:before="156" w:after="156"/>
      </w:pPr>
      <w:r>
        <w:rPr>
          <w:rFonts w:hint="eastAsia"/>
        </w:rPr>
        <w:t>隔离检疫</w:t>
      </w:r>
    </w:p>
    <w:p>
      <w:pPr>
        <w:pStyle w:val="56"/>
        <w:ind w:firstLine="420"/>
      </w:pPr>
      <w:r>
        <w:rPr>
          <w:rFonts w:hint="eastAsia"/>
        </w:rPr>
        <w:t>引进的种猪应安排专人专舍隔离观察至少30天，隔离期满进行非洲猪瘟等检测，确认阴性后方可混群饲养。</w:t>
      </w:r>
    </w:p>
    <w:p>
      <w:pPr>
        <w:pStyle w:val="105"/>
        <w:spacing w:before="156" w:after="156"/>
      </w:pPr>
      <w:bookmarkStart w:id="68" w:name="_Toc232758567"/>
      <w:r>
        <w:rPr>
          <w:rFonts w:hint="eastAsia"/>
        </w:rPr>
        <w:t>病死猪无害化管理</w:t>
      </w:r>
      <w:bookmarkEnd w:id="68"/>
    </w:p>
    <w:p>
      <w:pPr>
        <w:pStyle w:val="65"/>
        <w:spacing w:before="156" w:after="156"/>
      </w:pPr>
      <w:r>
        <w:rPr>
          <w:rFonts w:hint="eastAsia"/>
        </w:rPr>
        <w:t>总则</w:t>
      </w:r>
    </w:p>
    <w:p>
      <w:pPr>
        <w:pStyle w:val="56"/>
        <w:ind w:firstLine="420"/>
      </w:pPr>
      <w:r>
        <w:rPr>
          <w:rFonts w:hint="eastAsia"/>
        </w:rPr>
        <w:t>病死猪无害化处理应符合《病死畜禽和病害畜禽产品无害化处理管理办法》要求，建立无害化处理台账，实现全程可追溯。</w:t>
      </w:r>
    </w:p>
    <w:p>
      <w:pPr>
        <w:pStyle w:val="65"/>
        <w:spacing w:before="156" w:after="156"/>
      </w:pPr>
      <w:r>
        <w:rPr>
          <w:rFonts w:hint="eastAsia"/>
        </w:rPr>
        <w:t>收集</w:t>
      </w:r>
    </w:p>
    <w:p>
      <w:pPr>
        <w:pStyle w:val="56"/>
        <w:ind w:firstLine="420"/>
      </w:pPr>
      <w:r>
        <w:rPr>
          <w:rFonts w:hint="eastAsia"/>
        </w:rPr>
        <w:t>饲养员发现病死猪应立即上报，异常死亡猪只须经采样检测合格后后，密闭包装移动至指定出口。 处理人员应穿戴个人防护用具作业，操作完毕不得返回猪舍。对操作区域、工具要及时消毒。</w:t>
      </w:r>
    </w:p>
    <w:p>
      <w:pPr>
        <w:pStyle w:val="65"/>
        <w:spacing w:before="156" w:after="156"/>
      </w:pPr>
      <w:r>
        <w:rPr>
          <w:rFonts w:hint="eastAsia"/>
        </w:rPr>
        <w:t>转运</w:t>
      </w:r>
    </w:p>
    <w:p>
      <w:pPr>
        <w:pStyle w:val="56"/>
        <w:ind w:firstLine="420"/>
      </w:pPr>
      <w:r>
        <w:rPr>
          <w:rFonts w:hint="eastAsia"/>
        </w:rPr>
        <w:t>污区处理人员使用专车将病死猪转运至死猪暂存点，对所涉区域环境、器具进行彻底消毒。转运过程不落地、不渗漏、不暴露。</w:t>
      </w:r>
    </w:p>
    <w:p>
      <w:pPr>
        <w:pStyle w:val="104"/>
        <w:spacing w:before="312" w:after="312"/>
      </w:pPr>
      <w:bookmarkStart w:id="69" w:name="_Toc232758583"/>
      <w:bookmarkStart w:id="70" w:name="_Toc232758568"/>
      <w:r>
        <w:rPr>
          <w:rFonts w:hint="eastAsia"/>
        </w:rPr>
        <w:t>监测与应急响应</w:t>
      </w:r>
      <w:bookmarkEnd w:id="69"/>
      <w:bookmarkEnd w:id="70"/>
    </w:p>
    <w:p>
      <w:pPr>
        <w:pStyle w:val="105"/>
        <w:spacing w:before="156" w:after="156"/>
      </w:pPr>
      <w:bookmarkStart w:id="71" w:name="_Toc232758569"/>
      <w:r>
        <w:rPr>
          <w:rFonts w:hint="eastAsia"/>
        </w:rPr>
        <w:t>监测计划</w:t>
      </w:r>
      <w:bookmarkEnd w:id="71"/>
    </w:p>
    <w:p>
      <w:pPr>
        <w:pStyle w:val="165"/>
      </w:pPr>
      <w:r>
        <w:rPr>
          <w:rFonts w:hint="eastAsia"/>
        </w:rPr>
        <w:t>根据《无规定动物疫病小区现场评审要素判定原则》和猪场实际科学制定年度非洲猪瘟专项监测方案。</w:t>
      </w:r>
    </w:p>
    <w:p>
      <w:pPr>
        <w:pStyle w:val="165"/>
      </w:pPr>
      <w:r>
        <w:rPr>
          <w:rFonts w:hint="eastAsia"/>
        </w:rPr>
        <w:t>明确监测范围、对象、方式等，应覆盖养殖、饲料、洗消、无害化处理等所有环节，含猪只、环境、车辆、饲料、饮水、物资、人员等日常及证明无疫的主动监测，疑似病例、异常死亡、病死猪只和引种隔离期的被动监测。</w:t>
      </w:r>
    </w:p>
    <w:p>
      <w:pPr>
        <w:pStyle w:val="165"/>
      </w:pPr>
      <w:r>
        <w:rPr>
          <w:rFonts w:hint="eastAsia"/>
        </w:rPr>
        <w:t>配合完成官方的监督监测。</w:t>
      </w:r>
    </w:p>
    <w:p>
      <w:pPr>
        <w:pStyle w:val="165"/>
      </w:pPr>
      <w:r>
        <w:rPr>
          <w:rFonts w:hint="eastAsia"/>
        </w:rPr>
        <w:t>周边发生疫情时应强化监测。</w:t>
      </w:r>
    </w:p>
    <w:p>
      <w:pPr>
        <w:pStyle w:val="105"/>
        <w:spacing w:before="156" w:after="156"/>
      </w:pPr>
      <w:bookmarkStart w:id="72" w:name="_Toc232758570"/>
      <w:r>
        <w:rPr>
          <w:rFonts w:hint="eastAsia"/>
        </w:rPr>
        <w:t>应急响应</w:t>
      </w:r>
      <w:bookmarkEnd w:id="72"/>
    </w:p>
    <w:p>
      <w:pPr>
        <w:pStyle w:val="165"/>
      </w:pPr>
      <w:r>
        <w:rPr>
          <w:rFonts w:hint="eastAsia"/>
        </w:rPr>
        <w:t>制定非洲猪瘟等重大动物疫情应急处置预案，明确疫情确认、报告、封锁、扑杀、无害化处理、清洗消毒、追溯、恢复生产等流程。</w:t>
      </w:r>
    </w:p>
    <w:p>
      <w:pPr>
        <w:pStyle w:val="165"/>
      </w:pPr>
      <w:r>
        <w:rPr>
          <w:rFonts w:hint="eastAsia"/>
        </w:rPr>
        <w:t>建立科学合理的非洲猪瘟应急管理制度和应急物资储备库，至少包含足量的个人防护装备、消毒药、消毒设备、采样设备、扑杀工具、密闭式病死猪专用转运袋、临时封闭设施等应急物资，并定期检查更新。</w:t>
      </w:r>
    </w:p>
    <w:p>
      <w:pPr>
        <w:pStyle w:val="165"/>
      </w:pPr>
      <w:r>
        <w:rPr>
          <w:rFonts w:hint="eastAsia"/>
        </w:rPr>
        <w:t>定期组织全体员工进行疫情应急演练，必要时可与当地兽医主管部门联合开展应急演练，确保人员专业、流程熟悉、反应迅速。</w:t>
      </w:r>
    </w:p>
    <w:p>
      <w:pPr>
        <w:pStyle w:val="165"/>
      </w:pPr>
      <w:r>
        <w:rPr>
          <w:rFonts w:hint="eastAsia"/>
        </w:rPr>
        <w:t>无疫小区发生疑似重大动物疫情时，应立即启动应急处置预案，采取最严格的生物安全措施，防止疫情扩散，并按规定报告相关主管部门。</w:t>
      </w:r>
    </w:p>
    <w:p>
      <w:pPr>
        <w:pStyle w:val="165"/>
      </w:pPr>
      <w:r>
        <w:rPr>
          <w:rFonts w:hint="eastAsia"/>
        </w:rPr>
        <w:t>无疫小区缓冲区或毗邻地区发生相关重大动物疫情时，按照应急处置预案的要求，应立即启动紧急监测，增加对缓冲区及场内环境、车辆、人员的监测频次，并暂停引种、减少销售活动，直至风险解除，防止疫情传入本小区。</w:t>
      </w:r>
    </w:p>
    <w:p>
      <w:pPr>
        <w:pStyle w:val="104"/>
        <w:spacing w:before="312" w:after="312"/>
      </w:pPr>
      <w:bookmarkStart w:id="73" w:name="_Toc232758584"/>
      <w:bookmarkStart w:id="74" w:name="_Toc232758571"/>
      <w:r>
        <w:rPr>
          <w:rFonts w:hint="eastAsia"/>
        </w:rPr>
        <w:t>台账记录与追溯体系</w:t>
      </w:r>
      <w:bookmarkEnd w:id="73"/>
      <w:bookmarkEnd w:id="74"/>
    </w:p>
    <w:p>
      <w:pPr>
        <w:pStyle w:val="105"/>
        <w:spacing w:before="156" w:after="156"/>
      </w:pPr>
      <w:bookmarkStart w:id="75" w:name="_Toc232758572"/>
      <w:r>
        <w:rPr>
          <w:rFonts w:hint="eastAsia"/>
        </w:rPr>
        <w:t>追溯管理</w:t>
      </w:r>
      <w:bookmarkEnd w:id="75"/>
    </w:p>
    <w:p>
      <w:pPr>
        <w:pStyle w:val="56"/>
        <w:ind w:firstLine="420"/>
      </w:pPr>
      <w:r>
        <w:rPr>
          <w:rFonts w:hint="eastAsia"/>
        </w:rPr>
        <w:t>应及时对场内生猪加施耳标，并纳入“湖南智慧兽医APP”管理系统或企业自建的智能化管理体统，实现生猪、生产投入品及病死动物的场内可追溯管理。</w:t>
      </w:r>
    </w:p>
    <w:p>
      <w:pPr>
        <w:pStyle w:val="105"/>
        <w:spacing w:before="156" w:after="156"/>
      </w:pPr>
      <w:bookmarkStart w:id="76" w:name="_Toc232758573"/>
      <w:r>
        <w:rPr>
          <w:rFonts w:hint="eastAsia"/>
        </w:rPr>
        <w:t>记录管理</w:t>
      </w:r>
      <w:bookmarkEnd w:id="76"/>
    </w:p>
    <w:p>
      <w:pPr>
        <w:pStyle w:val="56"/>
        <w:ind w:firstLine="420"/>
      </w:pPr>
      <w:r>
        <w:rPr>
          <w:rFonts w:hint="eastAsia"/>
        </w:rPr>
        <w:t>梳理优化生产记录表格，实现所有生物安全操作（如养殖、消毒、免疫、监测、引种、销售与淘汰、诊疗与用药、病死动物处理、人员车辆进出、培训等）都有真实、详实、可追溯的表格记录，严格分类管理存档，保存期限不少于2年，其中监测记录保存期限不少于5年，并有专人管理。有条件的应建立电子化台账记录管理系统。</w:t>
      </w:r>
    </w:p>
    <w:p>
      <w:pPr>
        <w:pStyle w:val="104"/>
        <w:spacing w:before="312" w:after="312"/>
      </w:pPr>
      <w:bookmarkStart w:id="77" w:name="_Toc232758585"/>
      <w:bookmarkStart w:id="78" w:name="_Toc232758574"/>
      <w:r>
        <w:rPr>
          <w:rFonts w:hint="eastAsia"/>
        </w:rPr>
        <w:t>评估与维持</w:t>
      </w:r>
      <w:bookmarkEnd w:id="77"/>
      <w:bookmarkEnd w:id="78"/>
    </w:p>
    <w:p>
      <w:pPr>
        <w:pStyle w:val="162"/>
      </w:pPr>
      <w:r>
        <w:rPr>
          <w:rFonts w:hint="eastAsia"/>
        </w:rPr>
        <w:t>企业按照《无规定动物疫病小区和无规定动物疫病区评估工作实施方案》等文件要求进行自评合格后，向省动物卫生风险评估专家委员会办公室提交评估申请材料</w:t>
      </w:r>
    </w:p>
    <w:p>
      <w:pPr>
        <w:pStyle w:val="162"/>
      </w:pPr>
      <w:r>
        <w:rPr>
          <w:rFonts w:hint="eastAsia"/>
        </w:rPr>
        <w:t>通过评估后企业持续维持生物安全管理体系正常运行，持续开展日常监测，接受官方日常监管、动态监测和年度维持评估，确保持续符合无疫小区标准。</w:t>
      </w:r>
    </w:p>
    <w:p>
      <w:pPr>
        <w:pStyle w:val="162"/>
      </w:pPr>
      <w:r>
        <w:rPr>
          <w:rFonts w:hint="eastAsia"/>
        </w:rPr>
        <w:t>无疫小区资质或主体发生重大变更时，应重新申请进行全面评估，每隔3年接受一次复评估。</w:t>
      </w:r>
    </w:p>
    <w:bookmarkEnd w:id="25"/>
    <w:p>
      <w:pPr>
        <w:pStyle w:val="56"/>
        <w:ind w:firstLine="420"/>
        <w:sectPr>
          <w:headerReference r:id="rId11" w:type="default"/>
          <w:footerReference r:id="rId13" w:type="default"/>
          <w:headerReference r:id="rId12" w:type="even"/>
          <w:footerReference r:id="rId14" w:type="even"/>
          <w:pgSz w:w="11906" w:h="16838"/>
          <w:pgMar w:top="1928" w:right="1134" w:bottom="1134" w:left="954" w:header="1418" w:footer="1134" w:gutter="284"/>
          <w:pgNumType w:start="1"/>
          <w:cols w:space="425" w:num="1"/>
          <w:formProt w:val="0"/>
          <w:docGrid w:type="lines" w:linePitch="312" w:charSpace="0"/>
        </w:sectPr>
      </w:pPr>
      <w:bookmarkStart w:id="79" w:name="BookMark6"/>
    </w:p>
    <w:p>
      <w:pPr>
        <w:pStyle w:val="63"/>
        <w:spacing w:after="156"/>
      </w:pPr>
      <w:bookmarkStart w:id="80" w:name="_Toc232758586"/>
      <w:bookmarkStart w:id="81" w:name="_Toc232758575"/>
      <w:r>
        <w:rPr>
          <w:rFonts w:hint="eastAsia"/>
          <w:spacing w:val="105"/>
        </w:rPr>
        <w:t>参考文</w:t>
      </w:r>
      <w:r>
        <w:rPr>
          <w:rFonts w:hint="eastAsia"/>
        </w:rPr>
        <w:t>献</w:t>
      </w:r>
      <w:bookmarkEnd w:id="80"/>
      <w:bookmarkEnd w:id="81"/>
    </w:p>
    <w:p>
      <w:pPr>
        <w:pStyle w:val="56"/>
        <w:numPr>
          <w:ilvl w:val="0"/>
          <w:numId w:val="32"/>
        </w:numPr>
        <w:ind w:left="0" w:firstLine="420" w:firstLineChars="0"/>
      </w:pPr>
      <w:r>
        <w:rPr>
          <w:rFonts w:hint="eastAsia"/>
        </w:rPr>
        <w:t xml:space="preserve"> </w:t>
      </w:r>
      <w:r>
        <w:t>GB/T 22330.5</w:t>
      </w:r>
      <w:r>
        <w:rPr>
          <w:rFonts w:hint="eastAsia"/>
        </w:rPr>
        <w:t>—</w:t>
      </w:r>
      <w:r>
        <w:t xml:space="preserve">2008 </w:t>
      </w:r>
      <w:r>
        <w:rPr>
          <w:rFonts w:hint="eastAsia"/>
        </w:rPr>
        <w:t xml:space="preserve"> 无规定动物疫病区标准  第5部分：无非洲猪瘟区</w:t>
      </w:r>
    </w:p>
    <w:p>
      <w:pPr>
        <w:pStyle w:val="56"/>
        <w:numPr>
          <w:ilvl w:val="0"/>
          <w:numId w:val="32"/>
        </w:numPr>
        <w:ind w:left="0" w:firstLine="420" w:firstLineChars="0"/>
      </w:pPr>
      <w:r>
        <w:rPr>
          <w:rFonts w:hint="eastAsia"/>
        </w:rPr>
        <w:t>《病死动物及病害动物无害化处理技术规范》（中华人民共和国农业农村部令2022年第3号)</w:t>
      </w:r>
    </w:p>
    <w:p>
      <w:pPr>
        <w:pStyle w:val="56"/>
        <w:numPr>
          <w:ilvl w:val="0"/>
          <w:numId w:val="32"/>
        </w:numPr>
        <w:ind w:left="0" w:firstLine="420" w:firstLineChars="0"/>
      </w:pPr>
      <w:r>
        <w:rPr>
          <w:rFonts w:hint="eastAsia"/>
        </w:rPr>
        <w:t>《动物防疫条件审查办法》</w:t>
      </w:r>
    </w:p>
    <w:p>
      <w:pPr>
        <w:pStyle w:val="56"/>
        <w:numPr>
          <w:ilvl w:val="0"/>
          <w:numId w:val="32"/>
        </w:numPr>
        <w:ind w:left="0" w:firstLine="420" w:firstLineChars="0"/>
      </w:pPr>
      <w:r>
        <w:rPr>
          <w:rFonts w:hint="eastAsia"/>
        </w:rPr>
        <w:t>《无非洲猪瘟区标准》和《无规定动物疫病小区管理技术规范》农办牧[2019]86号</w:t>
      </w:r>
    </w:p>
    <w:p>
      <w:pPr>
        <w:pStyle w:val="56"/>
        <w:numPr>
          <w:ilvl w:val="0"/>
          <w:numId w:val="32"/>
        </w:numPr>
        <w:ind w:left="0" w:firstLine="420" w:firstLineChars="0"/>
      </w:pPr>
      <w:r>
        <w:rPr>
          <w:rFonts w:hint="eastAsia"/>
        </w:rPr>
        <w:t>《无规定动物疫病小区和无规定动物疫病区评估工作实施方案（2025版）》全评委办[2025]7号</w:t>
      </w:r>
    </w:p>
    <w:p>
      <w:pPr>
        <w:pStyle w:val="56"/>
        <w:numPr>
          <w:ilvl w:val="0"/>
          <w:numId w:val="32"/>
        </w:numPr>
        <w:ind w:left="0" w:firstLine="420" w:firstLineChars="0"/>
      </w:pPr>
      <w:r>
        <w:rPr>
          <w:rFonts w:hint="eastAsia"/>
        </w:rPr>
        <w:t>《无规定动物疫病小区现场评审要素判定原则》</w:t>
      </w:r>
    </w:p>
    <w:bookmarkEnd w:id="79"/>
    <w:p>
      <w:pPr>
        <w:pStyle w:val="56"/>
        <w:ind w:firstLine="420"/>
      </w:pPr>
    </w:p>
    <w:p>
      <w:pPr>
        <w:pStyle w:val="56"/>
        <w:ind w:firstLine="0" w:firstLineChars="0"/>
        <w:jc w:val="center"/>
      </w:pPr>
      <w:bookmarkStart w:id="82" w:name="BookMark8"/>
      <w:r>
        <w:drawing>
          <wp:inline distT="0" distB="0" distL="0" distR="0">
            <wp:extent cx="1485900" cy="317500"/>
            <wp:effectExtent l="0" t="0" r="0" b="635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17"/>
                    <a:stretch>
                      <a:fillRect/>
                    </a:stretch>
                  </pic:blipFill>
                  <pic:spPr>
                    <a:xfrm>
                      <a:off x="0" y="0"/>
                      <a:ext cx="1485900" cy="317500"/>
                    </a:xfrm>
                    <a:prstGeom prst="rect">
                      <a:avLst/>
                    </a:prstGeom>
                  </pic:spPr>
                </pic:pic>
              </a:graphicData>
            </a:graphic>
          </wp:inline>
        </w:drawing>
      </w:r>
      <w:bookmarkEnd w:id="82"/>
    </w:p>
    <w:sectPr>
      <w:pgSz w:w="11906" w:h="16838"/>
      <w:pgMar w:top="1928" w:right="1134" w:bottom="1134" w:left="1134" w:header="1418" w:footer="1134" w:gutter="284"/>
      <w:cols w:space="425" w:num="1"/>
      <w:formProt w:val="0"/>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16" w:usb3="00000000" w:csb0="0004000F" w:csb1="00000000"/>
  </w:font>
  <w:font w:name="Arial Unicode MS">
    <w:altName w:val="宋体"/>
    <w:panose1 w:val="020B0604020202020204"/>
    <w:charset w:val="86"/>
    <w:family w:val="auto"/>
    <w:pitch w:val="default"/>
    <w:sig w:usb0="00000000" w:usb1="00000000" w:usb2="0000003F" w:usb3="00000000" w:csb0="603F01FF" w:csb1="FFFF0000"/>
  </w:font>
  <w:font w:name="等线 Light">
    <w:altName w:val="宋体"/>
    <w:panose1 w:val="00000000000000000000"/>
    <w:charset w:val="86"/>
    <w:family w:val="auto"/>
    <w:pitch w:val="default"/>
    <w:sig w:usb0="00000000" w:usb1="00000000" w:usb2="00000016" w:usb3="00000000" w:csb0="0004000F" w:csb1="00000000"/>
  </w:font>
  <w:font w:name="等线">
    <w:altName w:val="Segoe Print"/>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fldChar w:fldCharType="begin"/>
    </w:r>
    <w:r>
      <w:instrText xml:space="preserve">PAGE   \* MERGEFORMAT</w:instrText>
    </w:r>
    <w:r>
      <w:fldChar w:fldCharType="separate"/>
    </w:r>
    <w:r>
      <w:rPr>
        <w:lang w:val="zh-CN"/>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ind w:right="720"/>
      <w:jc w:val="both"/>
      <w:rPr>
        <w:sz w:val="2"/>
        <w:szCs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7"/>
    </w:pPr>
    <w:r>
      <w:rPr>
        <w:rFonts w:hAnsi="Times New Roman"/>
        <w:kern w:val="0"/>
        <w:szCs w:val="20"/>
      </w:rPr>
      <w:fldChar w:fldCharType="begin"/>
    </w:r>
    <w:r>
      <w:rPr>
        <w:rFonts w:hAnsi="Times New Roman"/>
        <w:kern w:val="0"/>
        <w:szCs w:val="20"/>
      </w:rPr>
      <w:instrText xml:space="preserve"> PAGE  \* MERGEFORMAT </w:instrText>
    </w:r>
    <w:r>
      <w:rPr>
        <w:rFonts w:hAnsi="Times New Roman"/>
        <w:kern w:val="0"/>
        <w:szCs w:val="20"/>
      </w:rPr>
      <w:fldChar w:fldCharType="separate"/>
    </w:r>
    <w:r>
      <w:rPr>
        <w:rFonts w:hAnsi="Times New Roman"/>
        <w:kern w:val="0"/>
        <w:szCs w:val="20"/>
      </w:rPr>
      <w:t>I</w:t>
    </w:r>
    <w:r>
      <w:rPr>
        <w:rFonts w:hAnsi="Times New Roman"/>
        <w:kern w:val="0"/>
        <w:szCs w:val="20"/>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II</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2"/>
    </w:pPr>
    <w:r>
      <w:fldChar w:fldCharType="begin"/>
    </w:r>
    <w:r>
      <w:instrText xml:space="preserve">PAGE   \* MERGEFORMAT</w:instrText>
    </w:r>
    <w:r>
      <w:fldChar w:fldCharType="separate"/>
    </w:r>
    <w:r>
      <w:rPr>
        <w:lang w:val="zh-CN"/>
      </w:rPr>
      <w:t>7</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1"/>
    </w:pPr>
    <w:r>
      <w:fldChar w:fldCharType="begin"/>
    </w:r>
    <w:r>
      <w:instrText xml:space="preserve"> PAGE   \* MERGEFORMAT \* MERGEFORMAT </w:instrText>
    </w:r>
    <w:r>
      <w:fldChar w:fldCharType="separate"/>
    </w:r>
    <w:r>
      <w:t>8</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wordWrap w:val="0"/>
      <w:jc w:val="right"/>
      <w:rPr>
        <w:rFonts w:ascii="黑体" w:hAnsi="黑体" w:eastAsia="黑体"/>
      </w:rPr>
    </w:pPr>
    <w:r>
      <w:rPr>
        <w:rFonts w:ascii="黑体" w:hAnsi="黑体" w:eastAsia="黑体"/>
      </w:rPr>
      <w:t>Q/LB.</w:t>
    </w:r>
    <w:r>
      <w:rPr>
        <w:rFonts w:hint="eastAsia" w:ascii="黑体" w:hAnsi="黑体" w:eastAsia="黑体"/>
      </w:rPr>
      <w:t>□</w:t>
    </w:r>
    <w:r>
      <w:rPr>
        <w:rFonts w:ascii="黑体" w:hAnsi="黑体" w:eastAsia="黑体"/>
      </w:rPr>
      <w:t>XXXXX-XXXX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8"/>
      <w:jc w:val="both"/>
      <w:rPr>
        <w:sz w:val="2"/>
        <w:szCs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43/T XXXX—XXXX</w:t>
    </w:r>
    <w: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 43/T XXXX—XXXX</w:t>
    </w:r>
    <w: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1"/>
    </w:pPr>
    <w:r>
      <w:fldChar w:fldCharType="begin"/>
    </w:r>
    <w:r>
      <w:instrText xml:space="preserve"> STYLEREF  标准文件_文件编号  \* MERGEFORMAT </w:instrText>
    </w:r>
    <w:r>
      <w:fldChar w:fldCharType="separate"/>
    </w:r>
    <w:r>
      <w:t>DB 43/T XXXX—XXXX</w:t>
    </w:r>
    <w:r>
      <w:fldChar w:fldCharType="end"/>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2"/>
    </w:pPr>
    <w:r>
      <w:fldChar w:fldCharType="begin"/>
    </w:r>
    <w:r>
      <w:instrText xml:space="preserve"> STYLEREF  标准文件_文件编号 \* MERGEFORMAT </w:instrText>
    </w:r>
    <w:r>
      <w:fldChar w:fldCharType="separate"/>
    </w:r>
    <w:r>
      <w:t>DB 43/T XXXX—XXXX</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37933"/>
    <w:multiLevelType w:val="multilevel"/>
    <w:tmpl w:val="02837933"/>
    <w:lvl w:ilvl="0" w:tentative="0">
      <w:start w:val="1"/>
      <w:numFmt w:val="decimal"/>
      <w:pStyle w:val="64"/>
      <w:lvlText w:val="[%1]"/>
      <w:lvlJc w:val="left"/>
      <w:pPr>
        <w:tabs>
          <w:tab w:val="left" w:pos="1646"/>
        </w:tabs>
        <w:ind w:left="1646" w:hanging="648"/>
      </w:pPr>
    </w:lvl>
    <w:lvl w:ilvl="1" w:tentative="0">
      <w:start w:val="1"/>
      <w:numFmt w:val="lowerLetter"/>
      <w:lvlText w:val="%2)"/>
      <w:lvlJc w:val="left"/>
      <w:pPr>
        <w:tabs>
          <w:tab w:val="left" w:pos="1838"/>
        </w:tabs>
        <w:ind w:left="1838" w:hanging="420"/>
      </w:pPr>
    </w:lvl>
    <w:lvl w:ilvl="2" w:tentative="0">
      <w:start w:val="1"/>
      <w:numFmt w:val="lowerRoman"/>
      <w:lvlText w:val="%3."/>
      <w:lvlJc w:val="right"/>
      <w:pPr>
        <w:tabs>
          <w:tab w:val="left" w:pos="2258"/>
        </w:tabs>
        <w:ind w:left="2258" w:hanging="420"/>
      </w:pPr>
    </w:lvl>
    <w:lvl w:ilvl="3" w:tentative="0">
      <w:start w:val="1"/>
      <w:numFmt w:val="decimal"/>
      <w:lvlText w:val="%4."/>
      <w:lvlJc w:val="left"/>
      <w:pPr>
        <w:tabs>
          <w:tab w:val="left" w:pos="2678"/>
        </w:tabs>
        <w:ind w:left="2678" w:hanging="420"/>
      </w:pPr>
    </w:lvl>
    <w:lvl w:ilvl="4" w:tentative="0">
      <w:start w:val="1"/>
      <w:numFmt w:val="lowerLetter"/>
      <w:lvlText w:val="%5)"/>
      <w:lvlJc w:val="left"/>
      <w:pPr>
        <w:tabs>
          <w:tab w:val="left" w:pos="3098"/>
        </w:tabs>
        <w:ind w:left="3098" w:hanging="420"/>
      </w:pPr>
    </w:lvl>
    <w:lvl w:ilvl="5" w:tentative="0">
      <w:start w:val="1"/>
      <w:numFmt w:val="lowerRoman"/>
      <w:lvlText w:val="%6."/>
      <w:lvlJc w:val="right"/>
      <w:pPr>
        <w:tabs>
          <w:tab w:val="left" w:pos="3518"/>
        </w:tabs>
        <w:ind w:left="3518" w:hanging="420"/>
      </w:pPr>
    </w:lvl>
    <w:lvl w:ilvl="6" w:tentative="0">
      <w:start w:val="1"/>
      <w:numFmt w:val="decimal"/>
      <w:lvlText w:val="%7."/>
      <w:lvlJc w:val="left"/>
      <w:pPr>
        <w:tabs>
          <w:tab w:val="left" w:pos="3938"/>
        </w:tabs>
        <w:ind w:left="3938" w:hanging="420"/>
      </w:pPr>
    </w:lvl>
    <w:lvl w:ilvl="7" w:tentative="0">
      <w:start w:val="1"/>
      <w:numFmt w:val="lowerLetter"/>
      <w:lvlText w:val="%8)"/>
      <w:lvlJc w:val="left"/>
      <w:pPr>
        <w:tabs>
          <w:tab w:val="left" w:pos="4358"/>
        </w:tabs>
        <w:ind w:left="4358" w:hanging="420"/>
      </w:pPr>
    </w:lvl>
    <w:lvl w:ilvl="8" w:tentative="0">
      <w:start w:val="1"/>
      <w:numFmt w:val="lowerRoman"/>
      <w:lvlText w:val="%9."/>
      <w:lvlJc w:val="right"/>
      <w:pPr>
        <w:tabs>
          <w:tab w:val="left" w:pos="4778"/>
        </w:tabs>
        <w:ind w:left="4778" w:hanging="420"/>
      </w:pPr>
    </w:lvl>
  </w:abstractNum>
  <w:abstractNum w:abstractNumId="1">
    <w:nsid w:val="040A15CD"/>
    <w:multiLevelType w:val="multilevel"/>
    <w:tmpl w:val="040A15CD"/>
    <w:lvl w:ilvl="0" w:tentative="0">
      <w:start w:val="1"/>
      <w:numFmt w:val="none"/>
      <w:suff w:val="nothing"/>
      <w:lvlText w:val="　"/>
      <w:lvlJc w:val="left"/>
      <w:pPr>
        <w:ind w:left="0" w:firstLine="0"/>
      </w:pPr>
    </w:lvl>
    <w:lvl w:ilvl="1" w:tentative="0">
      <w:start w:val="1"/>
      <w:numFmt w:val="decimal"/>
      <w:isLgl/>
      <w:suff w:val="nothing"/>
      <w:lvlText w:val="%2　"/>
      <w:lvlJc w:val="left"/>
      <w:pPr>
        <w:ind w:left="0" w:firstLine="0"/>
      </w:pPr>
    </w:lvl>
    <w:lvl w:ilvl="2" w:tentative="0">
      <w:start w:val="1"/>
      <w:numFmt w:val="decimal"/>
      <w:pStyle w:val="159"/>
      <w:suff w:val="nothing"/>
      <w:lvlText w:val="%1%2.%3　"/>
      <w:lvlJc w:val="left"/>
      <w:pPr>
        <w:ind w:left="0" w:firstLine="0"/>
      </w:pPr>
    </w:lvl>
    <w:lvl w:ilvl="3" w:tentative="0">
      <w:start w:val="1"/>
      <w:numFmt w:val="decimal"/>
      <w:pStyle w:val="118"/>
      <w:suff w:val="nothing"/>
      <w:lvlText w:val="%1%2.%3.%4　"/>
      <w:lvlJc w:val="left"/>
      <w:pPr>
        <w:ind w:left="0" w:firstLine="0"/>
      </w:pPr>
    </w:lvl>
    <w:lvl w:ilvl="4" w:tentative="0">
      <w:start w:val="1"/>
      <w:numFmt w:val="decimal"/>
      <w:pStyle w:val="153"/>
      <w:suff w:val="nothing"/>
      <w:lvlText w:val="%1%2.%3.%4.%5　"/>
      <w:lvlJc w:val="left"/>
      <w:pPr>
        <w:ind w:left="0" w:firstLine="0"/>
      </w:pPr>
    </w:lvl>
    <w:lvl w:ilvl="5" w:tentative="0">
      <w:start w:val="1"/>
      <w:numFmt w:val="decimal"/>
      <w:pStyle w:val="155"/>
      <w:suff w:val="nothing"/>
      <w:lvlText w:val="%1%2.%3.%4.%5.%6　"/>
      <w:lvlJc w:val="left"/>
      <w:pPr>
        <w:ind w:left="0" w:firstLine="0"/>
      </w:pPr>
    </w:lvl>
    <w:lvl w:ilvl="6" w:tentative="0">
      <w:start w:val="1"/>
      <w:numFmt w:val="decimal"/>
      <w:pStyle w:val="158"/>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
    <w:nsid w:val="079102AD"/>
    <w:multiLevelType w:val="multilevel"/>
    <w:tmpl w:val="079102AD"/>
    <w:lvl w:ilvl="0" w:tentative="0">
      <w:start w:val="1"/>
      <w:numFmt w:val="decimal"/>
      <w:pStyle w:val="180"/>
      <w:suff w:val="nothing"/>
      <w:lvlText w:val="注%1："/>
      <w:lvlJc w:val="left"/>
      <w:pPr>
        <w:ind w:left="811" w:hanging="448"/>
      </w:pPr>
      <w:rPr>
        <w:rFonts w:hint="eastAsia" w:ascii="黑体" w:eastAsia="黑体"/>
        <w:b w:val="0"/>
        <w:i w:val="0"/>
        <w:sz w:val="18"/>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3">
    <w:nsid w:val="07ED3FEA"/>
    <w:multiLevelType w:val="multilevel"/>
    <w:tmpl w:val="07ED3FEA"/>
    <w:lvl w:ilvl="0" w:tentative="0">
      <w:start w:val="1"/>
      <w:numFmt w:val="none"/>
      <w:pStyle w:val="89"/>
      <w:lvlText w:val="%1"/>
      <w:lvlJc w:val="left"/>
      <w:pPr>
        <w:ind w:left="425" w:hanging="425"/>
      </w:pPr>
      <w:rPr>
        <w:rFonts w:hint="eastAsia"/>
      </w:rPr>
    </w:lvl>
    <w:lvl w:ilvl="1" w:tentative="0">
      <w:start w:val="1"/>
      <w:numFmt w:val="decimal"/>
      <w:pStyle w:val="200"/>
      <w:suff w:val="nothing"/>
      <w:lvlText w:val="%10.%2 "/>
      <w:lvlJc w:val="left"/>
      <w:pPr>
        <w:ind w:left="0" w:firstLine="0"/>
      </w:pPr>
      <w:rPr>
        <w:rFonts w:hint="eastAsia" w:ascii="黑体" w:eastAsia="黑体" w:hAnsiTheme="minorHAnsi"/>
        <w:b w:val="0"/>
        <w:i w:val="0"/>
        <w:sz w:val="21"/>
      </w:rPr>
    </w:lvl>
    <w:lvl w:ilvl="2" w:tentative="0">
      <w:start w:val="1"/>
      <w:numFmt w:val="decimal"/>
      <w:pStyle w:val="201"/>
      <w:suff w:val="nothing"/>
      <w:lvlText w:val="%10.%2.%3 "/>
      <w:lvlJc w:val="left"/>
      <w:pPr>
        <w:ind w:left="0" w:firstLine="0"/>
      </w:pPr>
      <w:rPr>
        <w:rFonts w:hint="eastAsia" w:ascii="黑体" w:eastAsia="黑体" w:hAnsiTheme="minorHAnsi"/>
        <w:b w:val="0"/>
        <w:i w:val="0"/>
        <w:sz w:val="21"/>
      </w:rPr>
    </w:lvl>
    <w:lvl w:ilvl="3" w:tentative="0">
      <w:start w:val="1"/>
      <w:numFmt w:val="decimal"/>
      <w:pStyle w:val="202"/>
      <w:suff w:val="nothing"/>
      <w:lvlText w:val="%10.%2.%3.%4 "/>
      <w:lvlJc w:val="left"/>
      <w:pPr>
        <w:ind w:left="0" w:firstLine="0"/>
      </w:pPr>
      <w:rPr>
        <w:rFonts w:hint="eastAsia" w:ascii="黑体" w:eastAsia="黑体" w:hAnsiTheme="minorHAnsi"/>
        <w:b w:val="0"/>
        <w:i w:val="0"/>
        <w:sz w:val="21"/>
      </w:rPr>
    </w:lvl>
    <w:lvl w:ilvl="4" w:tentative="0">
      <w:start w:val="1"/>
      <w:numFmt w:val="decimal"/>
      <w:pStyle w:val="203"/>
      <w:suff w:val="nothing"/>
      <w:lvlText w:val="%10.%2.%3.%4.%5 "/>
      <w:lvlJc w:val="left"/>
      <w:pPr>
        <w:ind w:left="0" w:firstLine="0"/>
      </w:pPr>
      <w:rPr>
        <w:rFonts w:hint="eastAsia" w:ascii="黑体" w:eastAsia="黑体" w:hAnsiTheme="minorHAnsi"/>
        <w:b w:val="0"/>
        <w:i w:val="0"/>
        <w:sz w:val="21"/>
      </w:rPr>
    </w:lvl>
    <w:lvl w:ilvl="5" w:tentative="0">
      <w:start w:val="1"/>
      <w:numFmt w:val="decimal"/>
      <w:pStyle w:val="204"/>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4">
    <w:nsid w:val="0AE367E9"/>
    <w:multiLevelType w:val="multilevel"/>
    <w:tmpl w:val="0AE367E9"/>
    <w:lvl w:ilvl="0" w:tentative="0">
      <w:start w:val="1"/>
      <w:numFmt w:val="none"/>
      <w:pStyle w:val="181"/>
      <w:suff w:val="nothing"/>
      <w:lvlText w:val="%1示例："/>
      <w:lvlJc w:val="left"/>
      <w:pPr>
        <w:ind w:left="0" w:firstLine="363"/>
      </w:pPr>
      <w:rPr>
        <w:rFonts w:hint="eastAsia" w:ascii="黑体" w:eastAsia="黑体"/>
        <w:b w:val="0"/>
        <w:i w:val="0"/>
        <w:sz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5">
    <w:nsid w:val="0BDC1670"/>
    <w:multiLevelType w:val="multilevel"/>
    <w:tmpl w:val="0BDC1670"/>
    <w:lvl w:ilvl="0" w:tentative="0">
      <w:start w:val="1"/>
      <w:numFmt w:val="decimal"/>
      <w:pStyle w:val="67"/>
      <w:lvlText w:val="[%1]"/>
      <w:lvlJc w:val="left"/>
      <w:pPr>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D051F45"/>
    <w:multiLevelType w:val="multilevel"/>
    <w:tmpl w:val="0D051F45"/>
    <w:lvl w:ilvl="0" w:tentative="0">
      <w:start w:val="1"/>
      <w:numFmt w:val="lowerRoman"/>
      <w:pStyle w:val="169"/>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543"/>
        </w:tabs>
        <w:ind w:left="1543" w:hanging="420"/>
      </w:pPr>
      <w:rPr>
        <w:rFonts w:hint="eastAsia"/>
      </w:rPr>
    </w:lvl>
    <w:lvl w:ilvl="2" w:tentative="0">
      <w:start w:val="1"/>
      <w:numFmt w:val="lowerRoman"/>
      <w:lvlText w:val="%3."/>
      <w:lvlJc w:val="right"/>
      <w:pPr>
        <w:tabs>
          <w:tab w:val="left" w:pos="1963"/>
        </w:tabs>
        <w:ind w:left="1963" w:hanging="420"/>
      </w:pPr>
      <w:rPr>
        <w:rFonts w:hint="eastAsia"/>
      </w:rPr>
    </w:lvl>
    <w:lvl w:ilvl="3" w:tentative="0">
      <w:start w:val="1"/>
      <w:numFmt w:val="decimal"/>
      <w:lvlText w:val="%4."/>
      <w:lvlJc w:val="left"/>
      <w:pPr>
        <w:tabs>
          <w:tab w:val="left" w:pos="2383"/>
        </w:tabs>
        <w:ind w:left="2383" w:hanging="420"/>
      </w:pPr>
      <w:rPr>
        <w:rFonts w:hint="eastAsia"/>
      </w:rPr>
    </w:lvl>
    <w:lvl w:ilvl="4" w:tentative="0">
      <w:start w:val="1"/>
      <w:numFmt w:val="lowerLetter"/>
      <w:lvlText w:val="%5)"/>
      <w:lvlJc w:val="left"/>
      <w:pPr>
        <w:tabs>
          <w:tab w:val="left" w:pos="2803"/>
        </w:tabs>
        <w:ind w:left="2803" w:hanging="420"/>
      </w:pPr>
      <w:rPr>
        <w:rFonts w:hint="eastAsia"/>
      </w:rPr>
    </w:lvl>
    <w:lvl w:ilvl="5" w:tentative="0">
      <w:start w:val="1"/>
      <w:numFmt w:val="lowerRoman"/>
      <w:lvlText w:val="%6."/>
      <w:lvlJc w:val="right"/>
      <w:pPr>
        <w:tabs>
          <w:tab w:val="left" w:pos="3223"/>
        </w:tabs>
        <w:ind w:left="3223" w:hanging="420"/>
      </w:pPr>
      <w:rPr>
        <w:rFonts w:hint="eastAsia"/>
      </w:rPr>
    </w:lvl>
    <w:lvl w:ilvl="6" w:tentative="0">
      <w:start w:val="1"/>
      <w:numFmt w:val="decimal"/>
      <w:lvlText w:val="%7."/>
      <w:lvlJc w:val="left"/>
      <w:pPr>
        <w:tabs>
          <w:tab w:val="left" w:pos="3643"/>
        </w:tabs>
        <w:ind w:left="3643" w:hanging="420"/>
      </w:pPr>
      <w:rPr>
        <w:rFonts w:hint="eastAsia"/>
      </w:rPr>
    </w:lvl>
    <w:lvl w:ilvl="7" w:tentative="0">
      <w:start w:val="1"/>
      <w:numFmt w:val="lowerLetter"/>
      <w:lvlText w:val="%8)"/>
      <w:lvlJc w:val="left"/>
      <w:pPr>
        <w:tabs>
          <w:tab w:val="left" w:pos="4063"/>
        </w:tabs>
        <w:ind w:left="4063" w:hanging="420"/>
      </w:pPr>
      <w:rPr>
        <w:rFonts w:hint="eastAsia"/>
      </w:rPr>
    </w:lvl>
    <w:lvl w:ilvl="8" w:tentative="0">
      <w:start w:val="1"/>
      <w:numFmt w:val="lowerRoman"/>
      <w:lvlText w:val="%9."/>
      <w:lvlJc w:val="right"/>
      <w:pPr>
        <w:tabs>
          <w:tab w:val="left" w:pos="4483"/>
        </w:tabs>
        <w:ind w:left="4483" w:hanging="420"/>
      </w:pPr>
      <w:rPr>
        <w:rFonts w:hint="eastAsia"/>
      </w:rPr>
    </w:lvl>
  </w:abstractNum>
  <w:abstractNum w:abstractNumId="7">
    <w:nsid w:val="1AD20F90"/>
    <w:multiLevelType w:val="multilevel"/>
    <w:tmpl w:val="1AD20F90"/>
    <w:lvl w:ilvl="0" w:tentative="0">
      <w:start w:val="1"/>
      <w:numFmt w:val="none"/>
      <w:pStyle w:val="110"/>
      <w:lvlText w:val="%1注："/>
      <w:lvlJc w:val="left"/>
      <w:pPr>
        <w:tabs>
          <w:tab w:val="left" w:pos="845"/>
        </w:tabs>
        <w:ind w:left="-102" w:firstLine="419"/>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1AF15012"/>
    <w:multiLevelType w:val="multilevel"/>
    <w:tmpl w:val="1AF15012"/>
    <w:lvl w:ilvl="0" w:tentative="0">
      <w:start w:val="1"/>
      <w:numFmt w:val="upperLetter"/>
      <w:pStyle w:val="85"/>
      <w:suff w:val="nothing"/>
      <w:lvlText w:val="附 录(Annex) %1"/>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9">
    <w:nsid w:val="1EAA1992"/>
    <w:multiLevelType w:val="multilevel"/>
    <w:tmpl w:val="1EAA1992"/>
    <w:lvl w:ilvl="0" w:tentative="0">
      <w:start w:val="1"/>
      <w:numFmt w:val="none"/>
      <w:pStyle w:val="92"/>
      <w:suff w:val="nothing"/>
      <w:lvlText w:val="——"/>
      <w:lvlJc w:val="left"/>
      <w:pPr>
        <w:ind w:left="794" w:hanging="397"/>
      </w:pPr>
    </w:lvl>
    <w:lvl w:ilvl="1" w:tentative="0">
      <w:start w:val="1"/>
      <w:numFmt w:val="decimal"/>
      <w:suff w:val="nothing"/>
      <w:lvlText w:val="%1.%2　"/>
      <w:lvlJc w:val="left"/>
      <w:pPr>
        <w:ind w:left="397" w:firstLine="0"/>
      </w:pPr>
    </w:lvl>
    <w:lvl w:ilvl="2" w:tentative="0">
      <w:start w:val="1"/>
      <w:numFmt w:val="decimal"/>
      <w:suff w:val="nothing"/>
      <w:lvlText w:val="%1.%2.%3　"/>
      <w:lvlJc w:val="left"/>
      <w:pPr>
        <w:ind w:left="397" w:firstLine="0"/>
      </w:pPr>
    </w:lvl>
    <w:lvl w:ilvl="3" w:tentative="0">
      <w:start w:val="1"/>
      <w:numFmt w:val="decimal"/>
      <w:suff w:val="nothing"/>
      <w:lvlText w:val="%1.%2.%3.%4　"/>
      <w:lvlJc w:val="left"/>
      <w:pPr>
        <w:ind w:left="397" w:firstLine="0"/>
      </w:pPr>
    </w:lvl>
    <w:lvl w:ilvl="4" w:tentative="0">
      <w:start w:val="1"/>
      <w:numFmt w:val="decimal"/>
      <w:suff w:val="nothing"/>
      <w:lvlText w:val="%1.%2.%3.%4.%5　"/>
      <w:lvlJc w:val="left"/>
      <w:pPr>
        <w:ind w:left="397" w:firstLine="0"/>
      </w:pPr>
    </w:lvl>
    <w:lvl w:ilvl="5" w:tentative="0">
      <w:start w:val="1"/>
      <w:numFmt w:val="decimal"/>
      <w:suff w:val="nothing"/>
      <w:lvlText w:val="%1.%2.%3.%4.%5.%6　"/>
      <w:lvlJc w:val="left"/>
      <w:pPr>
        <w:ind w:left="397" w:firstLine="0"/>
      </w:pPr>
    </w:lvl>
    <w:lvl w:ilvl="6" w:tentative="0">
      <w:start w:val="1"/>
      <w:numFmt w:val="decimal"/>
      <w:suff w:val="nothing"/>
      <w:lvlText w:val="%1.%2.%3.%4.%5.%6.%7　"/>
      <w:lvlJc w:val="left"/>
      <w:pPr>
        <w:ind w:left="397" w:firstLine="0"/>
      </w:pPr>
    </w:lvl>
    <w:lvl w:ilvl="7" w:tentative="0">
      <w:start w:val="1"/>
      <w:numFmt w:val="decimal"/>
      <w:lvlText w:val="%1.%2.%3.%4.%5.%6.%7.%8"/>
      <w:lvlJc w:val="left"/>
      <w:pPr>
        <w:tabs>
          <w:tab w:val="left" w:pos="4791"/>
        </w:tabs>
        <w:ind w:left="4791" w:hanging="1418"/>
      </w:pPr>
    </w:lvl>
    <w:lvl w:ilvl="8" w:tentative="0">
      <w:start w:val="1"/>
      <w:numFmt w:val="decimal"/>
      <w:lvlText w:val="%1.%2.%3.%4.%5.%6.%7.%8.%9"/>
      <w:lvlJc w:val="left"/>
      <w:pPr>
        <w:tabs>
          <w:tab w:val="left" w:pos="5499"/>
        </w:tabs>
        <w:ind w:left="5499" w:hanging="1700"/>
      </w:pPr>
    </w:lvl>
  </w:abstractNum>
  <w:abstractNum w:abstractNumId="10">
    <w:nsid w:val="2C5917C3"/>
    <w:multiLevelType w:val="multilevel"/>
    <w:tmpl w:val="2C5917C3"/>
    <w:lvl w:ilvl="0" w:tentative="0">
      <w:start w:val="1"/>
      <w:numFmt w:val="none"/>
      <w:pStyle w:val="132"/>
      <w:lvlText w:val="%1——"/>
      <w:lvlJc w:val="left"/>
      <w:pPr>
        <w:tabs>
          <w:tab w:val="left" w:pos="851"/>
        </w:tabs>
        <w:ind w:left="851" w:hanging="426"/>
      </w:pPr>
      <w:rPr>
        <w:rFonts w:hint="eastAsia" w:ascii="宋体" w:hAnsi="Times New Roman" w:eastAsia="宋体"/>
        <w:b w:val="0"/>
        <w:i w:val="0"/>
        <w:sz w:val="21"/>
      </w:rPr>
    </w:lvl>
    <w:lvl w:ilvl="1" w:tentative="0">
      <w:start w:val="1"/>
      <w:numFmt w:val="none"/>
      <w:pStyle w:val="187"/>
      <w:lvlText w:val=""/>
      <w:lvlJc w:val="left"/>
      <w:pPr>
        <w:ind w:left="851" w:hanging="431"/>
      </w:pPr>
      <w:rPr>
        <w:rFonts w:hint="default" w:ascii="Symbol" w:hAnsi="Symbol"/>
        <w:sz w:val="21"/>
      </w:rPr>
    </w:lvl>
    <w:lvl w:ilvl="2" w:tentative="0">
      <w:start w:val="1"/>
      <w:numFmt w:val="bullet"/>
      <w:pStyle w:val="172"/>
      <w:lvlText w:val=""/>
      <w:lvlJc w:val="left"/>
      <w:pPr>
        <w:ind w:left="851" w:hanging="426"/>
      </w:pPr>
      <w:rPr>
        <w:rFonts w:hint="default" w:ascii="Wingdings" w:hAnsi="Wingdings"/>
        <w:sz w:val="21"/>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11">
    <w:nsid w:val="32F04FB2"/>
    <w:multiLevelType w:val="multilevel"/>
    <w:tmpl w:val="32F04FB2"/>
    <w:lvl w:ilvl="0" w:tentative="0">
      <w:start w:val="1"/>
      <w:numFmt w:val="lowerLetter"/>
      <w:pStyle w:val="101"/>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2">
    <w:nsid w:val="37D11B98"/>
    <w:multiLevelType w:val="multilevel"/>
    <w:tmpl w:val="37D11B98"/>
    <w:lvl w:ilvl="0" w:tentative="0">
      <w:start w:val="1"/>
      <w:numFmt w:val="decimal"/>
      <w:suff w:val="nothing"/>
      <w:lvlText w:val="[%1] "/>
      <w:lvlJc w:val="left"/>
      <w:pPr>
        <w:ind w:left="840" w:hanging="420"/>
      </w:pPr>
      <w:rPr>
        <w:rFonts w:hint="eastAsia"/>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3">
    <w:nsid w:val="44C50F90"/>
    <w:multiLevelType w:val="multilevel"/>
    <w:tmpl w:val="44C50F90"/>
    <w:lvl w:ilvl="0" w:tentative="0">
      <w:start w:val="1"/>
      <w:numFmt w:val="lowerLetter"/>
      <w:pStyle w:val="174"/>
      <w:lvlText w:val="%1)"/>
      <w:lvlJc w:val="left"/>
      <w:pPr>
        <w:tabs>
          <w:tab w:val="left" w:pos="851"/>
        </w:tabs>
        <w:ind w:left="851" w:hanging="426"/>
      </w:pPr>
      <w:rPr>
        <w:rFonts w:hint="eastAsia" w:ascii="宋体" w:hAnsi="Times New Roman" w:eastAsia="宋体"/>
        <w:sz w:val="21"/>
      </w:rPr>
    </w:lvl>
    <w:lvl w:ilvl="1" w:tentative="0">
      <w:start w:val="1"/>
      <w:numFmt w:val="decimal"/>
      <w:pStyle w:val="109"/>
      <w:lvlText w:val="%2)"/>
      <w:lvlJc w:val="left"/>
      <w:pPr>
        <w:tabs>
          <w:tab w:val="left" w:pos="1276"/>
        </w:tabs>
        <w:ind w:left="1276" w:hanging="425"/>
      </w:pPr>
      <w:rPr>
        <w:rFonts w:hint="eastAsia" w:ascii="宋体" w:hAnsi="Times New Roman" w:eastAsia="宋体"/>
        <w:sz w:val="21"/>
      </w:rPr>
    </w:lvl>
    <w:lvl w:ilvl="2" w:tentative="0">
      <w:start w:val="1"/>
      <w:numFmt w:val="decimal"/>
      <w:pStyle w:val="117"/>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4">
    <w:nsid w:val="48802D1C"/>
    <w:multiLevelType w:val="multilevel"/>
    <w:tmpl w:val="48802D1C"/>
    <w:lvl w:ilvl="0" w:tentative="0">
      <w:start w:val="1"/>
      <w:numFmt w:val="upperLetter"/>
      <w:pStyle w:val="198"/>
      <w:lvlText w:val="%1"/>
      <w:lvlJc w:val="left"/>
      <w:pPr>
        <w:ind w:left="420" w:hanging="420"/>
      </w:pPr>
      <w:rPr>
        <w:rFonts w:hint="eastAsia"/>
      </w:rPr>
    </w:lvl>
    <w:lvl w:ilvl="1" w:tentative="0">
      <w:start w:val="1"/>
      <w:numFmt w:val="decimal"/>
      <w:pStyle w:val="83"/>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5">
    <w:nsid w:val="4B733A5F"/>
    <w:multiLevelType w:val="multilevel"/>
    <w:tmpl w:val="4B733A5F"/>
    <w:lvl w:ilvl="0" w:tentative="0">
      <w:start w:val="1"/>
      <w:numFmt w:val="decimal"/>
      <w:pStyle w:val="183"/>
      <w:suff w:val="nothing"/>
      <w:lvlText w:val="示例%1："/>
      <w:lvlJc w:val="left"/>
      <w:pPr>
        <w:ind w:left="0" w:firstLine="363"/>
      </w:pPr>
      <w:rPr>
        <w:rFonts w:hint="eastAsia" w:ascii="黑体" w:eastAsia="黑体"/>
        <w:b w:val="0"/>
        <w:i w:val="0"/>
        <w:sz w:val="18"/>
      </w:rPr>
    </w:lvl>
    <w:lvl w:ilvl="1" w:tentative="0">
      <w:start w:val="1"/>
      <w:numFmt w:val="none"/>
      <w:suff w:val="space"/>
      <w:lvlText w:val=""/>
      <w:lvlJc w:val="left"/>
      <w:pPr>
        <w:ind w:left="0" w:firstLine="0"/>
      </w:pPr>
      <w:rPr>
        <w:rFonts w:hint="eastAsia"/>
      </w:rPr>
    </w:lvl>
    <w:lvl w:ilvl="2" w:tentative="0">
      <w:start w:val="1"/>
      <w:numFmt w:val="decimal"/>
      <w:suff w:val="space"/>
      <w:lvlText w:val="2.2.%3"/>
      <w:lvlJc w:val="left"/>
      <w:pPr>
        <w:ind w:left="0" w:firstLine="0"/>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6">
    <w:nsid w:val="4E5D0534"/>
    <w:multiLevelType w:val="multilevel"/>
    <w:tmpl w:val="4E5D0534"/>
    <w:lvl w:ilvl="0" w:tentative="0">
      <w:start w:val="1"/>
      <w:numFmt w:val="decimal"/>
      <w:pStyle w:val="116"/>
      <w:suff w:val="nothing"/>
      <w:lvlText w:val="Figur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7">
    <w:nsid w:val="54632751"/>
    <w:multiLevelType w:val="multilevel"/>
    <w:tmpl w:val="54632751"/>
    <w:lvl w:ilvl="0" w:tentative="0">
      <w:start w:val="1"/>
      <w:numFmt w:val="none"/>
      <w:pStyle w:val="93"/>
      <w:suff w:val="nothing"/>
      <w:lvlText w:val="——"/>
      <w:lvlJc w:val="left"/>
      <w:pPr>
        <w:ind w:left="1588" w:firstLine="0"/>
      </w:pPr>
    </w:lvl>
    <w:lvl w:ilvl="1" w:tentative="0">
      <w:start w:val="1"/>
      <w:numFmt w:val="decimal"/>
      <w:suff w:val="nothing"/>
      <w:lvlText w:val="%1.%2　"/>
      <w:lvlJc w:val="left"/>
      <w:pPr>
        <w:ind w:left="1588" w:firstLine="0"/>
      </w:pPr>
    </w:lvl>
    <w:lvl w:ilvl="2" w:tentative="0">
      <w:start w:val="1"/>
      <w:numFmt w:val="decimal"/>
      <w:suff w:val="nothing"/>
      <w:lvlText w:val="%1.%2.%3　"/>
      <w:lvlJc w:val="left"/>
      <w:pPr>
        <w:ind w:left="1588" w:firstLine="0"/>
      </w:pPr>
    </w:lvl>
    <w:lvl w:ilvl="3" w:tentative="0">
      <w:start w:val="1"/>
      <w:numFmt w:val="decimal"/>
      <w:suff w:val="nothing"/>
      <w:lvlText w:val="%1.%2.%3.%4　"/>
      <w:lvlJc w:val="left"/>
      <w:pPr>
        <w:ind w:left="1588" w:firstLine="0"/>
      </w:pPr>
    </w:lvl>
    <w:lvl w:ilvl="4" w:tentative="0">
      <w:start w:val="1"/>
      <w:numFmt w:val="decimal"/>
      <w:suff w:val="nothing"/>
      <w:lvlText w:val="%1.%2.%3.%4.%5　"/>
      <w:lvlJc w:val="left"/>
      <w:pPr>
        <w:ind w:left="1588" w:firstLine="0"/>
      </w:pPr>
    </w:lvl>
    <w:lvl w:ilvl="5" w:tentative="0">
      <w:start w:val="1"/>
      <w:numFmt w:val="decimal"/>
      <w:suff w:val="nothing"/>
      <w:lvlText w:val="%1.%2.%3.%4.%5.%6　"/>
      <w:lvlJc w:val="left"/>
      <w:pPr>
        <w:ind w:left="1588" w:firstLine="0"/>
      </w:pPr>
    </w:lvl>
    <w:lvl w:ilvl="6" w:tentative="0">
      <w:start w:val="1"/>
      <w:numFmt w:val="decimal"/>
      <w:suff w:val="nothing"/>
      <w:lvlText w:val="%1.%2.%3.%4.%5.%6.%7　"/>
      <w:lvlJc w:val="left"/>
      <w:pPr>
        <w:ind w:left="1588" w:firstLine="0"/>
      </w:pPr>
    </w:lvl>
    <w:lvl w:ilvl="7" w:tentative="0">
      <w:start w:val="1"/>
      <w:numFmt w:val="decimal"/>
      <w:lvlText w:val="%1.%2.%3.%4.%5.%6.%7.%8"/>
      <w:lvlJc w:val="left"/>
      <w:pPr>
        <w:tabs>
          <w:tab w:val="left" w:pos="5982"/>
        </w:tabs>
        <w:ind w:left="5982" w:hanging="1418"/>
      </w:pPr>
    </w:lvl>
    <w:lvl w:ilvl="8" w:tentative="0">
      <w:start w:val="1"/>
      <w:numFmt w:val="decimal"/>
      <w:lvlText w:val="%1.%2.%3.%4.%5.%6.%7.%8.%9"/>
      <w:lvlJc w:val="left"/>
      <w:pPr>
        <w:tabs>
          <w:tab w:val="left" w:pos="6690"/>
        </w:tabs>
        <w:ind w:left="6690" w:hanging="1700"/>
      </w:pPr>
    </w:lvl>
  </w:abstractNum>
  <w:abstractNum w:abstractNumId="18">
    <w:nsid w:val="557C2AF5"/>
    <w:multiLevelType w:val="multilevel"/>
    <w:tmpl w:val="557C2AF5"/>
    <w:lvl w:ilvl="0" w:tentative="0">
      <w:start w:val="1"/>
      <w:numFmt w:val="decimal"/>
      <w:pStyle w:val="114"/>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19">
    <w:nsid w:val="5603797C"/>
    <w:multiLevelType w:val="multilevel"/>
    <w:tmpl w:val="5603797C"/>
    <w:lvl w:ilvl="0" w:tentative="0">
      <w:start w:val="1"/>
      <w:numFmt w:val="upperLetter"/>
      <w:pStyle w:val="199"/>
      <w:suff w:val="space"/>
      <w:lvlText w:val="%1"/>
      <w:lvlJc w:val="left"/>
      <w:pPr>
        <w:ind w:left="425" w:hanging="425"/>
      </w:pPr>
      <w:rPr>
        <w:rFonts w:hint="eastAsia"/>
      </w:rPr>
    </w:lvl>
    <w:lvl w:ilvl="1" w:tentative="0">
      <w:start w:val="1"/>
      <w:numFmt w:val="decimal"/>
      <w:pStyle w:val="77"/>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564D2089"/>
    <w:multiLevelType w:val="multilevel"/>
    <w:tmpl w:val="564D2089"/>
    <w:lvl w:ilvl="0" w:tentative="0">
      <w:start w:val="1"/>
      <w:numFmt w:val="none"/>
      <w:pStyle w:val="111"/>
      <w:lvlText w:val="%1注"/>
      <w:lvlJc w:val="left"/>
      <w:pPr>
        <w:tabs>
          <w:tab w:val="left" w:pos="760"/>
        </w:tabs>
        <w:ind w:left="760" w:hanging="284"/>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1">
    <w:nsid w:val="644622F9"/>
    <w:multiLevelType w:val="multilevel"/>
    <w:tmpl w:val="644622F9"/>
    <w:lvl w:ilvl="0" w:tentative="0">
      <w:start w:val="1"/>
      <w:numFmt w:val="upperRoman"/>
      <w:pStyle w:val="168"/>
      <w:lvlText w:val="%1)"/>
      <w:lvlJc w:val="left"/>
      <w:pPr>
        <w:tabs>
          <w:tab w:val="left" w:pos="851"/>
        </w:tabs>
        <w:ind w:left="851" w:hanging="426"/>
      </w:pPr>
      <w:rPr>
        <w:rFonts w:hint="eastAsia" w:ascii="宋体" w:hAnsi="Times New Roman" w:eastAsia="宋体"/>
        <w:sz w:val="21"/>
      </w:rPr>
    </w:lvl>
    <w:lvl w:ilvl="1" w:tentative="0">
      <w:start w:val="1"/>
      <w:numFmt w:val="lowerLetter"/>
      <w:lvlText w:val="%2)"/>
      <w:lvlJc w:val="left"/>
      <w:pPr>
        <w:tabs>
          <w:tab w:val="left" w:pos="1310"/>
        </w:tabs>
        <w:ind w:left="1310" w:hanging="420"/>
      </w:pPr>
      <w:rPr>
        <w:rFonts w:hint="eastAsia"/>
      </w:rPr>
    </w:lvl>
    <w:lvl w:ilvl="2" w:tentative="0">
      <w:start w:val="1"/>
      <w:numFmt w:val="lowerRoman"/>
      <w:lvlText w:val="%3."/>
      <w:lvlJc w:val="right"/>
      <w:pPr>
        <w:tabs>
          <w:tab w:val="left" w:pos="1730"/>
        </w:tabs>
        <w:ind w:left="1730" w:hanging="420"/>
      </w:pPr>
      <w:rPr>
        <w:rFonts w:hint="eastAsia"/>
      </w:rPr>
    </w:lvl>
    <w:lvl w:ilvl="3" w:tentative="0">
      <w:start w:val="1"/>
      <w:numFmt w:val="decimal"/>
      <w:lvlText w:val="%4."/>
      <w:lvlJc w:val="left"/>
      <w:pPr>
        <w:tabs>
          <w:tab w:val="left" w:pos="2150"/>
        </w:tabs>
        <w:ind w:left="2150" w:hanging="420"/>
      </w:pPr>
      <w:rPr>
        <w:rFonts w:hint="eastAsia"/>
      </w:rPr>
    </w:lvl>
    <w:lvl w:ilvl="4" w:tentative="0">
      <w:start w:val="1"/>
      <w:numFmt w:val="lowerLetter"/>
      <w:lvlText w:val="%5)"/>
      <w:lvlJc w:val="left"/>
      <w:pPr>
        <w:tabs>
          <w:tab w:val="left" w:pos="2570"/>
        </w:tabs>
        <w:ind w:left="2570" w:hanging="420"/>
      </w:pPr>
      <w:rPr>
        <w:rFonts w:hint="eastAsia"/>
      </w:rPr>
    </w:lvl>
    <w:lvl w:ilvl="5" w:tentative="0">
      <w:start w:val="1"/>
      <w:numFmt w:val="lowerRoman"/>
      <w:lvlText w:val="%6."/>
      <w:lvlJc w:val="right"/>
      <w:pPr>
        <w:tabs>
          <w:tab w:val="left" w:pos="2990"/>
        </w:tabs>
        <w:ind w:left="2990" w:hanging="420"/>
      </w:pPr>
      <w:rPr>
        <w:rFonts w:hint="eastAsia"/>
      </w:rPr>
    </w:lvl>
    <w:lvl w:ilvl="6" w:tentative="0">
      <w:start w:val="1"/>
      <w:numFmt w:val="decimal"/>
      <w:lvlText w:val="%7."/>
      <w:lvlJc w:val="left"/>
      <w:pPr>
        <w:tabs>
          <w:tab w:val="left" w:pos="3410"/>
        </w:tabs>
        <w:ind w:left="3410" w:hanging="420"/>
      </w:pPr>
      <w:rPr>
        <w:rFonts w:hint="eastAsia"/>
      </w:rPr>
    </w:lvl>
    <w:lvl w:ilvl="7" w:tentative="0">
      <w:start w:val="1"/>
      <w:numFmt w:val="lowerLetter"/>
      <w:lvlText w:val="%8)"/>
      <w:lvlJc w:val="left"/>
      <w:pPr>
        <w:tabs>
          <w:tab w:val="left" w:pos="3830"/>
        </w:tabs>
        <w:ind w:left="3830" w:hanging="420"/>
      </w:pPr>
      <w:rPr>
        <w:rFonts w:hint="eastAsia"/>
      </w:rPr>
    </w:lvl>
    <w:lvl w:ilvl="8" w:tentative="0">
      <w:start w:val="1"/>
      <w:numFmt w:val="lowerRoman"/>
      <w:lvlText w:val="%9."/>
      <w:lvlJc w:val="right"/>
      <w:pPr>
        <w:tabs>
          <w:tab w:val="left" w:pos="4250"/>
        </w:tabs>
        <w:ind w:left="4250" w:hanging="420"/>
      </w:pPr>
      <w:rPr>
        <w:rFonts w:hint="eastAsia"/>
      </w:rPr>
    </w:lvl>
  </w:abstractNum>
  <w:abstractNum w:abstractNumId="22">
    <w:nsid w:val="646260FA"/>
    <w:multiLevelType w:val="multilevel"/>
    <w:tmpl w:val="646260FA"/>
    <w:lvl w:ilvl="0" w:tentative="0">
      <w:start w:val="1"/>
      <w:numFmt w:val="decimal"/>
      <w:pStyle w:val="112"/>
      <w:suff w:val="nothing"/>
      <w:lvlText w:val="表%1　"/>
      <w:lvlJc w:val="left"/>
      <w:pPr>
        <w:ind w:left="0" w:firstLine="0"/>
      </w:pPr>
    </w:lvl>
    <w:lvl w:ilvl="1" w:tentative="0">
      <w:start w:val="1"/>
      <w:numFmt w:val="decimal"/>
      <w:lvlText w:val="%1.%2"/>
      <w:lvlJc w:val="left"/>
      <w:pPr>
        <w:tabs>
          <w:tab w:val="left" w:pos="992"/>
        </w:tabs>
        <w:ind w:left="992" w:hanging="567"/>
      </w:pPr>
    </w:lvl>
    <w:lvl w:ilvl="2" w:tentative="0">
      <w:start w:val="1"/>
      <w:numFmt w:val="decimal"/>
      <w:lvlText w:val="%1.%2.%3"/>
      <w:lvlJc w:val="left"/>
      <w:pPr>
        <w:tabs>
          <w:tab w:val="left" w:pos="1417"/>
        </w:tabs>
        <w:ind w:left="1417"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23">
    <w:nsid w:val="654A26C9"/>
    <w:multiLevelType w:val="multilevel"/>
    <w:tmpl w:val="654A26C9"/>
    <w:lvl w:ilvl="0" w:tentative="0">
      <w:start w:val="1"/>
      <w:numFmt w:val="none"/>
      <w:pStyle w:val="189"/>
      <w:lvlText w:val="──"/>
      <w:lvlJc w:val="left"/>
      <w:pPr>
        <w:ind w:left="851" w:firstLine="0"/>
      </w:pPr>
      <w:rPr>
        <w:rFonts w:hint="eastAsia" w:ascii="宋体" w:eastAsia="宋体" w:hAnsiTheme="majorHAnsi"/>
        <w:b w:val="0"/>
        <w:i w:val="0"/>
        <w:sz w:val="21"/>
      </w:rPr>
    </w:lvl>
    <w:lvl w:ilvl="1" w:tentative="0">
      <w:start w:val="1"/>
      <w:numFmt w:val="bullet"/>
      <w:lvlText w:val=""/>
      <w:lvlJc w:val="left"/>
      <w:pPr>
        <w:ind w:left="1276" w:hanging="425"/>
      </w:pPr>
      <w:rPr>
        <w:rFonts w:hint="default" w:ascii="Wingdings" w:hAnsi="Wingdings"/>
      </w:rPr>
    </w:lvl>
    <w:lvl w:ilvl="2" w:tentative="0">
      <w:start w:val="1"/>
      <w:numFmt w:val="bullet"/>
      <w:lvlText w:val=""/>
      <w:lvlJc w:val="left"/>
      <w:pPr>
        <w:ind w:left="1276" w:hanging="236"/>
      </w:pPr>
      <w:rPr>
        <w:rFonts w:hint="default" w:ascii="Wingdings" w:hAnsi="Wingdings"/>
      </w:rPr>
    </w:lvl>
    <w:lvl w:ilvl="3" w:tentative="0">
      <w:start w:val="1"/>
      <w:numFmt w:val="bullet"/>
      <w:lvlText w:val=""/>
      <w:lvlJc w:val="left"/>
      <w:pPr>
        <w:ind w:left="1880" w:hanging="420"/>
      </w:pPr>
      <w:rPr>
        <w:rFonts w:hint="default" w:ascii="Wingdings" w:hAnsi="Wingdings"/>
      </w:rPr>
    </w:lvl>
    <w:lvl w:ilvl="4" w:tentative="0">
      <w:start w:val="1"/>
      <w:numFmt w:val="bullet"/>
      <w:lvlText w:val=""/>
      <w:lvlJc w:val="left"/>
      <w:pPr>
        <w:ind w:left="2300" w:hanging="420"/>
      </w:pPr>
      <w:rPr>
        <w:rFonts w:hint="default" w:ascii="Wingdings" w:hAnsi="Wingdings"/>
      </w:rPr>
    </w:lvl>
    <w:lvl w:ilvl="5" w:tentative="0">
      <w:start w:val="1"/>
      <w:numFmt w:val="bullet"/>
      <w:lvlText w:val=""/>
      <w:lvlJc w:val="left"/>
      <w:pPr>
        <w:ind w:left="2720" w:hanging="420"/>
      </w:pPr>
      <w:rPr>
        <w:rFonts w:hint="default" w:ascii="Wingdings" w:hAnsi="Wingdings"/>
      </w:rPr>
    </w:lvl>
    <w:lvl w:ilvl="6" w:tentative="0">
      <w:start w:val="1"/>
      <w:numFmt w:val="bullet"/>
      <w:lvlText w:val=""/>
      <w:lvlJc w:val="left"/>
      <w:pPr>
        <w:ind w:left="3140" w:hanging="420"/>
      </w:pPr>
      <w:rPr>
        <w:rFonts w:hint="default" w:ascii="Wingdings" w:hAnsi="Wingdings"/>
      </w:rPr>
    </w:lvl>
    <w:lvl w:ilvl="7" w:tentative="0">
      <w:start w:val="1"/>
      <w:numFmt w:val="bullet"/>
      <w:lvlText w:val=""/>
      <w:lvlJc w:val="left"/>
      <w:pPr>
        <w:ind w:left="3560" w:hanging="420"/>
      </w:pPr>
      <w:rPr>
        <w:rFonts w:hint="default" w:ascii="Wingdings" w:hAnsi="Wingdings"/>
      </w:rPr>
    </w:lvl>
    <w:lvl w:ilvl="8" w:tentative="0">
      <w:start w:val="1"/>
      <w:numFmt w:val="bullet"/>
      <w:lvlText w:val=""/>
      <w:lvlJc w:val="left"/>
      <w:pPr>
        <w:ind w:left="3980" w:hanging="420"/>
      </w:pPr>
      <w:rPr>
        <w:rFonts w:hint="default" w:ascii="Wingdings" w:hAnsi="Wingdings"/>
      </w:rPr>
    </w:lvl>
  </w:abstractNum>
  <w:abstractNum w:abstractNumId="24">
    <w:nsid w:val="657D3FBC"/>
    <w:multiLevelType w:val="multilevel"/>
    <w:tmpl w:val="657D3FBC"/>
    <w:lvl w:ilvl="0" w:tentative="0">
      <w:start w:val="1"/>
      <w:numFmt w:val="upperLetter"/>
      <w:pStyle w:val="76"/>
      <w:suff w:val="nothing"/>
      <w:lvlText w:val="附录%1"/>
      <w:lvlJc w:val="left"/>
      <w:pPr>
        <w:ind w:left="0" w:firstLine="0"/>
      </w:pPr>
      <w:rPr>
        <w:rFonts w:hint="eastAsia"/>
        <w:spacing w:val="100"/>
      </w:rPr>
    </w:lvl>
    <w:lvl w:ilvl="1" w:tentative="0">
      <w:start w:val="1"/>
      <w:numFmt w:val="decimal"/>
      <w:pStyle w:val="78"/>
      <w:suff w:val="nothing"/>
      <w:lvlText w:val="%1.%2　"/>
      <w:lvlJc w:val="left"/>
      <w:pPr>
        <w:ind w:left="0" w:firstLine="0"/>
      </w:pPr>
      <w:rPr>
        <w:rFonts w:hint="eastAsia" w:ascii="黑体" w:eastAsia="黑体"/>
        <w:b w:val="0"/>
        <w:i w:val="0"/>
        <w:sz w:val="21"/>
      </w:rPr>
    </w:lvl>
    <w:lvl w:ilvl="2" w:tentative="0">
      <w:start w:val="1"/>
      <w:numFmt w:val="decimal"/>
      <w:pStyle w:val="79"/>
      <w:suff w:val="nothing"/>
      <w:lvlText w:val="%1.%2.%3　"/>
      <w:lvlJc w:val="left"/>
      <w:pPr>
        <w:ind w:left="0" w:firstLine="0"/>
      </w:pPr>
      <w:rPr>
        <w:rFonts w:hint="eastAsia" w:ascii="黑体" w:eastAsia="黑体"/>
        <w:b w:val="0"/>
        <w:i w:val="0"/>
        <w:sz w:val="21"/>
      </w:rPr>
    </w:lvl>
    <w:lvl w:ilvl="3" w:tentative="0">
      <w:start w:val="1"/>
      <w:numFmt w:val="decimal"/>
      <w:pStyle w:val="81"/>
      <w:suff w:val="nothing"/>
      <w:lvlText w:val="%1.%2.%3.%4　"/>
      <w:lvlJc w:val="left"/>
      <w:pPr>
        <w:ind w:left="0" w:firstLine="0"/>
      </w:pPr>
      <w:rPr>
        <w:rFonts w:hint="eastAsia" w:ascii="黑体" w:eastAsia="黑体"/>
        <w:b w:val="0"/>
        <w:i w:val="0"/>
        <w:sz w:val="21"/>
      </w:rPr>
    </w:lvl>
    <w:lvl w:ilvl="4" w:tentative="0">
      <w:start w:val="1"/>
      <w:numFmt w:val="decimal"/>
      <w:pStyle w:val="82"/>
      <w:suff w:val="nothing"/>
      <w:lvlText w:val="%1.%2.%3.%4.%5　"/>
      <w:lvlJc w:val="left"/>
      <w:pPr>
        <w:ind w:left="0" w:firstLine="0"/>
      </w:pPr>
      <w:rPr>
        <w:rFonts w:hint="eastAsia" w:ascii="黑体" w:eastAsia="黑体"/>
        <w:b w:val="0"/>
        <w:i w:val="0"/>
        <w:sz w:val="21"/>
      </w:rPr>
    </w:lvl>
    <w:lvl w:ilvl="5" w:tentative="0">
      <w:start w:val="1"/>
      <w:numFmt w:val="decimal"/>
      <w:pStyle w:val="84"/>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5">
    <w:nsid w:val="69506ABF"/>
    <w:multiLevelType w:val="multilevel"/>
    <w:tmpl w:val="69506ABF"/>
    <w:lvl w:ilvl="0" w:tentative="0">
      <w:start w:val="1"/>
      <w:numFmt w:val="bullet"/>
      <w:pStyle w:val="188"/>
      <w:lvlText w:val=""/>
      <w:lvlJc w:val="left"/>
      <w:pPr>
        <w:ind w:left="851" w:firstLine="0"/>
      </w:pPr>
      <w:rPr>
        <w:rFonts w:hint="default" w:ascii="Wingdings" w:hAnsi="Wingdings"/>
        <w:color w:val="auto"/>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26">
    <w:nsid w:val="6CA41985"/>
    <w:multiLevelType w:val="multilevel"/>
    <w:tmpl w:val="6CA41985"/>
    <w:lvl w:ilvl="0" w:tentative="0">
      <w:start w:val="1"/>
      <w:numFmt w:val="decimal"/>
      <w:pStyle w:val="97"/>
      <w:lvlText w:val="%1)"/>
      <w:lvlJc w:val="left"/>
      <w:pPr>
        <w:tabs>
          <w:tab w:val="left" w:pos="823"/>
        </w:tabs>
        <w:ind w:left="823"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7">
    <w:nsid w:val="6CE42AC1"/>
    <w:multiLevelType w:val="multilevel"/>
    <w:tmpl w:val="6CE42AC1"/>
    <w:lvl w:ilvl="0" w:tentative="0">
      <w:start w:val="1"/>
      <w:numFmt w:val="lowerLetter"/>
      <w:pStyle w:val="173"/>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8">
    <w:nsid w:val="6CEA2025"/>
    <w:multiLevelType w:val="multilevel"/>
    <w:tmpl w:val="6CEA2025"/>
    <w:lvl w:ilvl="0" w:tentative="0">
      <w:start w:val="1"/>
      <w:numFmt w:val="none"/>
      <w:pStyle w:val="152"/>
      <w:suff w:val="nothing"/>
      <w:lvlText w:val="%1"/>
      <w:lvlJc w:val="left"/>
      <w:pPr>
        <w:ind w:left="0" w:firstLine="0"/>
      </w:pPr>
      <w:rPr>
        <w:rFonts w:hint="eastAsia"/>
      </w:rPr>
    </w:lvl>
    <w:lvl w:ilvl="1" w:tentative="0">
      <w:start w:val="1"/>
      <w:numFmt w:val="decimal"/>
      <w:pStyle w:val="104"/>
      <w:suff w:val="nothing"/>
      <w:lvlText w:val="%1%2　"/>
      <w:lvlJc w:val="left"/>
      <w:pPr>
        <w:ind w:left="0" w:firstLine="0"/>
      </w:pPr>
      <w:rPr>
        <w:rFonts w:hint="eastAsia" w:ascii="黑体" w:eastAsia="黑体"/>
        <w:b w:val="0"/>
        <w:i w:val="0"/>
        <w:sz w:val="21"/>
      </w:rPr>
    </w:lvl>
    <w:lvl w:ilvl="2" w:tentative="0">
      <w:start w:val="1"/>
      <w:numFmt w:val="decimal"/>
      <w:pStyle w:val="105"/>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65"/>
      <w:suff w:val="nothing"/>
      <w:lvlText w:val="%1%2.%3.%4　"/>
      <w:lvlJc w:val="left"/>
      <w:pPr>
        <w:ind w:left="0" w:firstLine="0"/>
      </w:pPr>
      <w:rPr>
        <w:rFonts w:hint="eastAsia" w:ascii="黑体" w:eastAsia="黑体"/>
        <w:b w:val="0"/>
        <w:i w:val="0"/>
        <w:sz w:val="21"/>
      </w:rPr>
    </w:lvl>
    <w:lvl w:ilvl="4" w:tentative="0">
      <w:start w:val="1"/>
      <w:numFmt w:val="decimal"/>
      <w:pStyle w:val="94"/>
      <w:suff w:val="nothing"/>
      <w:lvlText w:val="%1%2.%3.%4.%5　"/>
      <w:lvlJc w:val="left"/>
      <w:pPr>
        <w:ind w:left="0" w:firstLine="0"/>
      </w:pPr>
      <w:rPr>
        <w:rFonts w:hint="eastAsia" w:ascii="黑体" w:eastAsia="黑体"/>
        <w:b w:val="0"/>
        <w:i w:val="0"/>
        <w:sz w:val="21"/>
      </w:rPr>
    </w:lvl>
    <w:lvl w:ilvl="5" w:tentative="0">
      <w:start w:val="1"/>
      <w:numFmt w:val="decimal"/>
      <w:pStyle w:val="98"/>
      <w:suff w:val="nothing"/>
      <w:lvlText w:val="%1%2.%3.%4.%5.%6　"/>
      <w:lvlJc w:val="left"/>
      <w:pPr>
        <w:ind w:left="0" w:firstLine="0"/>
      </w:pPr>
      <w:rPr>
        <w:rFonts w:hint="eastAsia" w:ascii="黑体" w:eastAsia="黑体"/>
        <w:b w:val="0"/>
        <w:i w:val="0"/>
        <w:sz w:val="21"/>
      </w:rPr>
    </w:lvl>
    <w:lvl w:ilvl="6" w:tentative="0">
      <w:start w:val="1"/>
      <w:numFmt w:val="decimal"/>
      <w:pStyle w:val="103"/>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9">
    <w:nsid w:val="6DBF04F4"/>
    <w:multiLevelType w:val="multilevel"/>
    <w:tmpl w:val="6DBF04F4"/>
    <w:lvl w:ilvl="0" w:tentative="0">
      <w:start w:val="1"/>
      <w:numFmt w:val="none"/>
      <w:pStyle w:val="179"/>
      <w:lvlText w:val="%1注："/>
      <w:lvlJc w:val="left"/>
      <w:pPr>
        <w:ind w:left="737" w:hanging="374"/>
      </w:pPr>
      <w:rPr>
        <w:rFonts w:hint="eastAsia" w:ascii="黑体"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30">
    <w:nsid w:val="6DF35F19"/>
    <w:multiLevelType w:val="multilevel"/>
    <w:tmpl w:val="6DF35F19"/>
    <w:lvl w:ilvl="0" w:tentative="0">
      <w:start w:val="1"/>
      <w:numFmt w:val="decimal"/>
      <w:pStyle w:val="115"/>
      <w:suff w:val="nothing"/>
      <w:lvlText w:val="Table %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31">
    <w:nsid w:val="76933334"/>
    <w:multiLevelType w:val="multilevel"/>
    <w:tmpl w:val="76933334"/>
    <w:lvl w:ilvl="0" w:tentative="0">
      <w:start w:val="1"/>
      <w:numFmt w:val="none"/>
      <w:pStyle w:val="139"/>
      <w:lvlText w:val="%1——"/>
      <w:lvlJc w:val="left"/>
      <w:pPr>
        <w:tabs>
          <w:tab w:val="left" w:pos="330"/>
        </w:tabs>
        <w:ind w:left="948"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0"/>
  </w:num>
  <w:num w:numId="2">
    <w:abstractNumId w:val="28"/>
  </w:num>
  <w:num w:numId="3">
    <w:abstractNumId w:val="5"/>
  </w:num>
  <w:num w:numId="4">
    <w:abstractNumId w:val="24"/>
  </w:num>
  <w:num w:numId="5">
    <w:abstractNumId w:val="19"/>
  </w:num>
  <w:num w:numId="6">
    <w:abstractNumId w:val="14"/>
  </w:num>
  <w:num w:numId="7">
    <w:abstractNumId w:val="8"/>
  </w:num>
  <w:num w:numId="8">
    <w:abstractNumId w:val="3"/>
  </w:num>
  <w:num w:numId="9">
    <w:abstractNumId w:val="9"/>
  </w:num>
  <w:num w:numId="10">
    <w:abstractNumId w:val="17"/>
  </w:num>
  <w:num w:numId="11">
    <w:abstractNumId w:val="26"/>
  </w:num>
  <w:num w:numId="12">
    <w:abstractNumId w:val="11"/>
  </w:num>
  <w:num w:numId="13">
    <w:abstractNumId w:val="13"/>
  </w:num>
  <w:num w:numId="14">
    <w:abstractNumId w:val="7"/>
  </w:num>
  <w:num w:numId="15">
    <w:abstractNumId w:val="20"/>
  </w:num>
  <w:num w:numId="16">
    <w:abstractNumId w:val="22"/>
  </w:num>
  <w:num w:numId="17">
    <w:abstractNumId w:val="18"/>
  </w:num>
  <w:num w:numId="18">
    <w:abstractNumId w:val="30"/>
  </w:num>
  <w:num w:numId="19">
    <w:abstractNumId w:val="16"/>
  </w:num>
  <w:num w:numId="20">
    <w:abstractNumId w:val="1"/>
  </w:num>
  <w:num w:numId="21">
    <w:abstractNumId w:val="10"/>
  </w:num>
  <w:num w:numId="22">
    <w:abstractNumId w:val="31"/>
  </w:num>
  <w:num w:numId="23">
    <w:abstractNumId w:val="21"/>
  </w:num>
  <w:num w:numId="24">
    <w:abstractNumId w:val="6"/>
  </w:num>
  <w:num w:numId="25">
    <w:abstractNumId w:val="27"/>
  </w:num>
  <w:num w:numId="26">
    <w:abstractNumId w:val="29"/>
  </w:num>
  <w:num w:numId="27">
    <w:abstractNumId w:val="2"/>
  </w:num>
  <w:num w:numId="28">
    <w:abstractNumId w:val="4"/>
  </w:num>
  <w:num w:numId="29">
    <w:abstractNumId w:val="15"/>
  </w:num>
  <w:num w:numId="30">
    <w:abstractNumId w:val="25"/>
  </w:num>
  <w:num w:numId="31">
    <w:abstractNumId w:val="23"/>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val="1"/>
  <w:attachedTemplate r:id="rId1"/>
  <w:documentProtection w:edit="forms" w:enforcement="1" w:cryptProviderType="rsaAES" w:cryptAlgorithmClass="hash" w:cryptAlgorithmType="typeAny" w:cryptAlgorithmSid="14" w:cryptSpinCount="100000" w:hash="4NRouXSnmFLCuSGz2GHQAXc7NbeS8oA6RmhB/cg9ooV4ZFoXv4XC69IoPSUznnm2iwSfTCn3woD1sfNMM2BdYw==" w:salt="mo0YizRiiIB6F25GgH9qKw=="/>
  <w:defaultTabStop w:val="420"/>
  <w:evenAndOddHeaders w:val="1"/>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A390F"/>
    <w:rsid w:val="0000040A"/>
    <w:rsid w:val="00000A94"/>
    <w:rsid w:val="00001972"/>
    <w:rsid w:val="00001D9A"/>
    <w:rsid w:val="00007331"/>
    <w:rsid w:val="00007B3A"/>
    <w:rsid w:val="000107E0"/>
    <w:rsid w:val="00011FDE"/>
    <w:rsid w:val="00012FFD"/>
    <w:rsid w:val="00014162"/>
    <w:rsid w:val="00014340"/>
    <w:rsid w:val="00016A9C"/>
    <w:rsid w:val="00022184"/>
    <w:rsid w:val="00022762"/>
    <w:rsid w:val="000238E0"/>
    <w:rsid w:val="000249DB"/>
    <w:rsid w:val="0002595E"/>
    <w:rsid w:val="000303C3"/>
    <w:rsid w:val="00031FCB"/>
    <w:rsid w:val="000331D3"/>
    <w:rsid w:val="000346A5"/>
    <w:rsid w:val="000359C3"/>
    <w:rsid w:val="00035A7D"/>
    <w:rsid w:val="000365ED"/>
    <w:rsid w:val="0004249A"/>
    <w:rsid w:val="00043282"/>
    <w:rsid w:val="00044286"/>
    <w:rsid w:val="00047F28"/>
    <w:rsid w:val="000503AA"/>
    <w:rsid w:val="000506A1"/>
    <w:rsid w:val="000515DD"/>
    <w:rsid w:val="0005265A"/>
    <w:rsid w:val="000539DD"/>
    <w:rsid w:val="00053BD3"/>
    <w:rsid w:val="000556ED"/>
    <w:rsid w:val="00055FE2"/>
    <w:rsid w:val="0005616F"/>
    <w:rsid w:val="00060C2E"/>
    <w:rsid w:val="00061033"/>
    <w:rsid w:val="000619E9"/>
    <w:rsid w:val="000622D4"/>
    <w:rsid w:val="0006357D"/>
    <w:rsid w:val="00067F1E"/>
    <w:rsid w:val="00071CC0"/>
    <w:rsid w:val="00073C8C"/>
    <w:rsid w:val="00077B64"/>
    <w:rsid w:val="00080A1C"/>
    <w:rsid w:val="00082317"/>
    <w:rsid w:val="00083D2C"/>
    <w:rsid w:val="00086AA1"/>
    <w:rsid w:val="00087A77"/>
    <w:rsid w:val="00090CA6"/>
    <w:rsid w:val="00092B8A"/>
    <w:rsid w:val="00092FB0"/>
    <w:rsid w:val="000934C5"/>
    <w:rsid w:val="00093D25"/>
    <w:rsid w:val="00093DAB"/>
    <w:rsid w:val="00094D73"/>
    <w:rsid w:val="00096D63"/>
    <w:rsid w:val="000A0B60"/>
    <w:rsid w:val="000A0EB8"/>
    <w:rsid w:val="000A19FC"/>
    <w:rsid w:val="000A296B"/>
    <w:rsid w:val="000A7311"/>
    <w:rsid w:val="000B060F"/>
    <w:rsid w:val="000B1592"/>
    <w:rsid w:val="000B1FF2"/>
    <w:rsid w:val="000B3CDA"/>
    <w:rsid w:val="000B5F7F"/>
    <w:rsid w:val="000B6A0B"/>
    <w:rsid w:val="000C0F6C"/>
    <w:rsid w:val="000C11DB"/>
    <w:rsid w:val="000C1492"/>
    <w:rsid w:val="000C2FBD"/>
    <w:rsid w:val="000C4B41"/>
    <w:rsid w:val="000C57D6"/>
    <w:rsid w:val="000C6362"/>
    <w:rsid w:val="000C7666"/>
    <w:rsid w:val="000D0A9C"/>
    <w:rsid w:val="000D1795"/>
    <w:rsid w:val="000D329A"/>
    <w:rsid w:val="000D4B9C"/>
    <w:rsid w:val="000D4EB6"/>
    <w:rsid w:val="000D753B"/>
    <w:rsid w:val="000E4C9E"/>
    <w:rsid w:val="000E6FD7"/>
    <w:rsid w:val="000F06E1"/>
    <w:rsid w:val="000F0E3C"/>
    <w:rsid w:val="000F19D5"/>
    <w:rsid w:val="000F4AEA"/>
    <w:rsid w:val="000F633F"/>
    <w:rsid w:val="000F67E9"/>
    <w:rsid w:val="000F702E"/>
    <w:rsid w:val="00104926"/>
    <w:rsid w:val="00113B1E"/>
    <w:rsid w:val="0011711C"/>
    <w:rsid w:val="0012059C"/>
    <w:rsid w:val="00124E4F"/>
    <w:rsid w:val="001260B7"/>
    <w:rsid w:val="001265CB"/>
    <w:rsid w:val="001321C6"/>
    <w:rsid w:val="001325C4"/>
    <w:rsid w:val="00133010"/>
    <w:rsid w:val="001338EE"/>
    <w:rsid w:val="00133AAE"/>
    <w:rsid w:val="00135323"/>
    <w:rsid w:val="001356C4"/>
    <w:rsid w:val="00141114"/>
    <w:rsid w:val="00142969"/>
    <w:rsid w:val="001446C2"/>
    <w:rsid w:val="001457E7"/>
    <w:rsid w:val="00145D9D"/>
    <w:rsid w:val="00146388"/>
    <w:rsid w:val="001529E5"/>
    <w:rsid w:val="00153C7E"/>
    <w:rsid w:val="00156B25"/>
    <w:rsid w:val="00156E1A"/>
    <w:rsid w:val="00157894"/>
    <w:rsid w:val="00157B55"/>
    <w:rsid w:val="001642FA"/>
    <w:rsid w:val="001649EB"/>
    <w:rsid w:val="00164BAF"/>
    <w:rsid w:val="00164FA8"/>
    <w:rsid w:val="00165065"/>
    <w:rsid w:val="00165434"/>
    <w:rsid w:val="0016580B"/>
    <w:rsid w:val="00165F49"/>
    <w:rsid w:val="00166B88"/>
    <w:rsid w:val="0016770A"/>
    <w:rsid w:val="00170723"/>
    <w:rsid w:val="00170804"/>
    <w:rsid w:val="001708E9"/>
    <w:rsid w:val="0017340B"/>
    <w:rsid w:val="00173FB1"/>
    <w:rsid w:val="00176DFD"/>
    <w:rsid w:val="001852C9"/>
    <w:rsid w:val="00190087"/>
    <w:rsid w:val="001913C4"/>
    <w:rsid w:val="0019348F"/>
    <w:rsid w:val="00193A07"/>
    <w:rsid w:val="00194C95"/>
    <w:rsid w:val="00195C34"/>
    <w:rsid w:val="00196EF5"/>
    <w:rsid w:val="001A1A53"/>
    <w:rsid w:val="001A234A"/>
    <w:rsid w:val="001A4CF3"/>
    <w:rsid w:val="001B06E8"/>
    <w:rsid w:val="001B71D0"/>
    <w:rsid w:val="001B71EE"/>
    <w:rsid w:val="001C04A8"/>
    <w:rsid w:val="001C1AE1"/>
    <w:rsid w:val="001C2C03"/>
    <w:rsid w:val="001C42F7"/>
    <w:rsid w:val="001C49E5"/>
    <w:rsid w:val="001C680C"/>
    <w:rsid w:val="001C7FEA"/>
    <w:rsid w:val="001D0499"/>
    <w:rsid w:val="001D0BBE"/>
    <w:rsid w:val="001D0ED4"/>
    <w:rsid w:val="001D212F"/>
    <w:rsid w:val="001D29D7"/>
    <w:rsid w:val="001D2DE7"/>
    <w:rsid w:val="001D411C"/>
    <w:rsid w:val="001E1B6A"/>
    <w:rsid w:val="001E2484"/>
    <w:rsid w:val="001E3CC4"/>
    <w:rsid w:val="001E4882"/>
    <w:rsid w:val="001E73AB"/>
    <w:rsid w:val="001F092D"/>
    <w:rsid w:val="001F143A"/>
    <w:rsid w:val="001F1605"/>
    <w:rsid w:val="001F2508"/>
    <w:rsid w:val="001F4816"/>
    <w:rsid w:val="001F4EE9"/>
    <w:rsid w:val="001F5E75"/>
    <w:rsid w:val="001F69B4"/>
    <w:rsid w:val="001F77C7"/>
    <w:rsid w:val="00200183"/>
    <w:rsid w:val="00200333"/>
    <w:rsid w:val="0020107D"/>
    <w:rsid w:val="00202A79"/>
    <w:rsid w:val="00202AA4"/>
    <w:rsid w:val="002031F7"/>
    <w:rsid w:val="002040E6"/>
    <w:rsid w:val="0020527B"/>
    <w:rsid w:val="00205F2C"/>
    <w:rsid w:val="00210986"/>
    <w:rsid w:val="00210B15"/>
    <w:rsid w:val="002142EA"/>
    <w:rsid w:val="002204BB"/>
    <w:rsid w:val="00221B79"/>
    <w:rsid w:val="00221C6B"/>
    <w:rsid w:val="002253A1"/>
    <w:rsid w:val="00225CF8"/>
    <w:rsid w:val="0022794E"/>
    <w:rsid w:val="00233D64"/>
    <w:rsid w:val="0023482A"/>
    <w:rsid w:val="002359CB"/>
    <w:rsid w:val="00243540"/>
    <w:rsid w:val="0024497B"/>
    <w:rsid w:val="0024515B"/>
    <w:rsid w:val="00246021"/>
    <w:rsid w:val="0024666E"/>
    <w:rsid w:val="00247F52"/>
    <w:rsid w:val="00250B25"/>
    <w:rsid w:val="00250BBE"/>
    <w:rsid w:val="002515C2"/>
    <w:rsid w:val="0025194F"/>
    <w:rsid w:val="00256DCB"/>
    <w:rsid w:val="0026148A"/>
    <w:rsid w:val="00262696"/>
    <w:rsid w:val="00263D25"/>
    <w:rsid w:val="002643C3"/>
    <w:rsid w:val="00264A0C"/>
    <w:rsid w:val="00266EEB"/>
    <w:rsid w:val="00267EF4"/>
    <w:rsid w:val="00270CB8"/>
    <w:rsid w:val="002724AC"/>
    <w:rsid w:val="00272B08"/>
    <w:rsid w:val="002771AC"/>
    <w:rsid w:val="00281BB8"/>
    <w:rsid w:val="00281E9E"/>
    <w:rsid w:val="00282405"/>
    <w:rsid w:val="00282B68"/>
    <w:rsid w:val="00285170"/>
    <w:rsid w:val="00285361"/>
    <w:rsid w:val="00292D60"/>
    <w:rsid w:val="00293B30"/>
    <w:rsid w:val="00294D34"/>
    <w:rsid w:val="00294E3B"/>
    <w:rsid w:val="00296193"/>
    <w:rsid w:val="00296C66"/>
    <w:rsid w:val="00296EBE"/>
    <w:rsid w:val="002974E3"/>
    <w:rsid w:val="002A084B"/>
    <w:rsid w:val="002A1260"/>
    <w:rsid w:val="002A1589"/>
    <w:rsid w:val="002A1608"/>
    <w:rsid w:val="002A25DC"/>
    <w:rsid w:val="002A3AAB"/>
    <w:rsid w:val="002A4CEA"/>
    <w:rsid w:val="002A5977"/>
    <w:rsid w:val="002A5A13"/>
    <w:rsid w:val="002A757F"/>
    <w:rsid w:val="002A7F44"/>
    <w:rsid w:val="002B0C40"/>
    <w:rsid w:val="002B1966"/>
    <w:rsid w:val="002B4508"/>
    <w:rsid w:val="002B5779"/>
    <w:rsid w:val="002B6B9C"/>
    <w:rsid w:val="002B7332"/>
    <w:rsid w:val="002B7F51"/>
    <w:rsid w:val="002C09E7"/>
    <w:rsid w:val="002C1E06"/>
    <w:rsid w:val="002C1E1C"/>
    <w:rsid w:val="002C3F07"/>
    <w:rsid w:val="002C5278"/>
    <w:rsid w:val="002C7EBB"/>
    <w:rsid w:val="002D06C1"/>
    <w:rsid w:val="002D42B5"/>
    <w:rsid w:val="002D4F1A"/>
    <w:rsid w:val="002D6EC6"/>
    <w:rsid w:val="002D79AC"/>
    <w:rsid w:val="002E039D"/>
    <w:rsid w:val="002E3DFC"/>
    <w:rsid w:val="002E4D5A"/>
    <w:rsid w:val="002E6326"/>
    <w:rsid w:val="002F30E0"/>
    <w:rsid w:val="002F35E4"/>
    <w:rsid w:val="002F3730"/>
    <w:rsid w:val="002F38E1"/>
    <w:rsid w:val="002F7AF6"/>
    <w:rsid w:val="00300E63"/>
    <w:rsid w:val="00302F5F"/>
    <w:rsid w:val="0030441D"/>
    <w:rsid w:val="00306063"/>
    <w:rsid w:val="00313B85"/>
    <w:rsid w:val="00317988"/>
    <w:rsid w:val="003221B4"/>
    <w:rsid w:val="0032258D"/>
    <w:rsid w:val="00322E62"/>
    <w:rsid w:val="00324D13"/>
    <w:rsid w:val="00324D2A"/>
    <w:rsid w:val="00324EDD"/>
    <w:rsid w:val="003331E4"/>
    <w:rsid w:val="00336C64"/>
    <w:rsid w:val="00337162"/>
    <w:rsid w:val="0034194F"/>
    <w:rsid w:val="00344605"/>
    <w:rsid w:val="003474AA"/>
    <w:rsid w:val="00350D1D"/>
    <w:rsid w:val="00352C83"/>
    <w:rsid w:val="00356792"/>
    <w:rsid w:val="0035732C"/>
    <w:rsid w:val="003615D2"/>
    <w:rsid w:val="0036429C"/>
    <w:rsid w:val="00364A53"/>
    <w:rsid w:val="003654CB"/>
    <w:rsid w:val="00365AA9"/>
    <w:rsid w:val="00365F86"/>
    <w:rsid w:val="00365F87"/>
    <w:rsid w:val="00366E89"/>
    <w:rsid w:val="003705F4"/>
    <w:rsid w:val="00370D58"/>
    <w:rsid w:val="00371316"/>
    <w:rsid w:val="00376713"/>
    <w:rsid w:val="00381815"/>
    <w:rsid w:val="003819AF"/>
    <w:rsid w:val="003820E9"/>
    <w:rsid w:val="00382DE7"/>
    <w:rsid w:val="00384FFC"/>
    <w:rsid w:val="003872FC"/>
    <w:rsid w:val="00387ADC"/>
    <w:rsid w:val="00390020"/>
    <w:rsid w:val="003903D6"/>
    <w:rsid w:val="00390EE6"/>
    <w:rsid w:val="0039118F"/>
    <w:rsid w:val="00392AD7"/>
    <w:rsid w:val="003938D9"/>
    <w:rsid w:val="00394376"/>
    <w:rsid w:val="003943FF"/>
    <w:rsid w:val="00395700"/>
    <w:rsid w:val="003974EB"/>
    <w:rsid w:val="00397CC5"/>
    <w:rsid w:val="003A1582"/>
    <w:rsid w:val="003A4077"/>
    <w:rsid w:val="003B09AD"/>
    <w:rsid w:val="003B1F18"/>
    <w:rsid w:val="003B5BF0"/>
    <w:rsid w:val="003B60BF"/>
    <w:rsid w:val="003B6BE3"/>
    <w:rsid w:val="003C010C"/>
    <w:rsid w:val="003C0A6C"/>
    <w:rsid w:val="003C14F8"/>
    <w:rsid w:val="003C5A43"/>
    <w:rsid w:val="003D0519"/>
    <w:rsid w:val="003D0FF6"/>
    <w:rsid w:val="003D262C"/>
    <w:rsid w:val="003D6D61"/>
    <w:rsid w:val="003D79C6"/>
    <w:rsid w:val="003E091D"/>
    <w:rsid w:val="003E1C53"/>
    <w:rsid w:val="003E2A69"/>
    <w:rsid w:val="003E2D49"/>
    <w:rsid w:val="003E2FD4"/>
    <w:rsid w:val="003E49F6"/>
    <w:rsid w:val="003E660F"/>
    <w:rsid w:val="003F0841"/>
    <w:rsid w:val="003F23D3"/>
    <w:rsid w:val="003F3F08"/>
    <w:rsid w:val="003F49F1"/>
    <w:rsid w:val="003F6272"/>
    <w:rsid w:val="00400E72"/>
    <w:rsid w:val="00401400"/>
    <w:rsid w:val="00404869"/>
    <w:rsid w:val="00405884"/>
    <w:rsid w:val="00407D39"/>
    <w:rsid w:val="0041477A"/>
    <w:rsid w:val="004167A3"/>
    <w:rsid w:val="00432DAA"/>
    <w:rsid w:val="00434305"/>
    <w:rsid w:val="00435DF7"/>
    <w:rsid w:val="0044083F"/>
    <w:rsid w:val="00441AE7"/>
    <w:rsid w:val="00445574"/>
    <w:rsid w:val="004467FB"/>
    <w:rsid w:val="00452D6B"/>
    <w:rsid w:val="00454484"/>
    <w:rsid w:val="0045517B"/>
    <w:rsid w:val="00463B77"/>
    <w:rsid w:val="00463C7B"/>
    <w:rsid w:val="004644A6"/>
    <w:rsid w:val="004659BD"/>
    <w:rsid w:val="00470775"/>
    <w:rsid w:val="0047092F"/>
    <w:rsid w:val="004746B1"/>
    <w:rsid w:val="0047583F"/>
    <w:rsid w:val="00475DE8"/>
    <w:rsid w:val="00481C44"/>
    <w:rsid w:val="00484936"/>
    <w:rsid w:val="00485C89"/>
    <w:rsid w:val="00486BE3"/>
    <w:rsid w:val="004905E4"/>
    <w:rsid w:val="00490A89"/>
    <w:rsid w:val="00490AB4"/>
    <w:rsid w:val="00492F02"/>
    <w:rsid w:val="004939AE"/>
    <w:rsid w:val="004A12DF"/>
    <w:rsid w:val="004A17E6"/>
    <w:rsid w:val="004A1BA8"/>
    <w:rsid w:val="004A39CD"/>
    <w:rsid w:val="004A4B57"/>
    <w:rsid w:val="004A63FA"/>
    <w:rsid w:val="004B0272"/>
    <w:rsid w:val="004B2701"/>
    <w:rsid w:val="004B2E1B"/>
    <w:rsid w:val="004B3AA8"/>
    <w:rsid w:val="004B3E93"/>
    <w:rsid w:val="004C1FBC"/>
    <w:rsid w:val="004C3F1D"/>
    <w:rsid w:val="004C458D"/>
    <w:rsid w:val="004C7556"/>
    <w:rsid w:val="004C7E8B"/>
    <w:rsid w:val="004C7E9D"/>
    <w:rsid w:val="004C7F67"/>
    <w:rsid w:val="004D076D"/>
    <w:rsid w:val="004D0EF1"/>
    <w:rsid w:val="004D2253"/>
    <w:rsid w:val="004D4406"/>
    <w:rsid w:val="004D500A"/>
    <w:rsid w:val="004D7C42"/>
    <w:rsid w:val="004E0465"/>
    <w:rsid w:val="004E127B"/>
    <w:rsid w:val="004E1C0A"/>
    <w:rsid w:val="004E2B06"/>
    <w:rsid w:val="004E30C5"/>
    <w:rsid w:val="004E4AA5"/>
    <w:rsid w:val="004E4AEE"/>
    <w:rsid w:val="004E59E3"/>
    <w:rsid w:val="004E67C0"/>
    <w:rsid w:val="004F391A"/>
    <w:rsid w:val="004F3CFB"/>
    <w:rsid w:val="004F6456"/>
    <w:rsid w:val="004F696E"/>
    <w:rsid w:val="004F6C71"/>
    <w:rsid w:val="00501139"/>
    <w:rsid w:val="0050363E"/>
    <w:rsid w:val="005039BC"/>
    <w:rsid w:val="005043BB"/>
    <w:rsid w:val="00504A3D"/>
    <w:rsid w:val="00505767"/>
    <w:rsid w:val="005073F0"/>
    <w:rsid w:val="00510A7B"/>
    <w:rsid w:val="00512F6E"/>
    <w:rsid w:val="00513038"/>
    <w:rsid w:val="00514174"/>
    <w:rsid w:val="00516088"/>
    <w:rsid w:val="00516B0B"/>
    <w:rsid w:val="005220EC"/>
    <w:rsid w:val="00523F95"/>
    <w:rsid w:val="00524D65"/>
    <w:rsid w:val="0052587B"/>
    <w:rsid w:val="00525B16"/>
    <w:rsid w:val="00533D04"/>
    <w:rsid w:val="00534804"/>
    <w:rsid w:val="0053484A"/>
    <w:rsid w:val="00534BDF"/>
    <w:rsid w:val="005354EA"/>
    <w:rsid w:val="0053585F"/>
    <w:rsid w:val="00535EC4"/>
    <w:rsid w:val="00535ED9"/>
    <w:rsid w:val="0053692B"/>
    <w:rsid w:val="00541853"/>
    <w:rsid w:val="00543BDA"/>
    <w:rsid w:val="005441CC"/>
    <w:rsid w:val="005479DA"/>
    <w:rsid w:val="00547BCC"/>
    <w:rsid w:val="0055013B"/>
    <w:rsid w:val="00551F6F"/>
    <w:rsid w:val="00555044"/>
    <w:rsid w:val="00561475"/>
    <w:rsid w:val="00561D98"/>
    <w:rsid w:val="0056487B"/>
    <w:rsid w:val="00564FB9"/>
    <w:rsid w:val="00573D9E"/>
    <w:rsid w:val="005801E3"/>
    <w:rsid w:val="00581802"/>
    <w:rsid w:val="005836A8"/>
    <w:rsid w:val="0058409C"/>
    <w:rsid w:val="00584262"/>
    <w:rsid w:val="00586630"/>
    <w:rsid w:val="00587ADD"/>
    <w:rsid w:val="00591E27"/>
    <w:rsid w:val="00596160"/>
    <w:rsid w:val="005966E2"/>
    <w:rsid w:val="00597007"/>
    <w:rsid w:val="005A0966"/>
    <w:rsid w:val="005A11B7"/>
    <w:rsid w:val="005A260B"/>
    <w:rsid w:val="005A4A1B"/>
    <w:rsid w:val="005A7830"/>
    <w:rsid w:val="005A7FCE"/>
    <w:rsid w:val="005B0F3F"/>
    <w:rsid w:val="005B4903"/>
    <w:rsid w:val="005B51CE"/>
    <w:rsid w:val="005B5885"/>
    <w:rsid w:val="005B5CD7"/>
    <w:rsid w:val="005B6839"/>
    <w:rsid w:val="005B6CF6"/>
    <w:rsid w:val="005B7422"/>
    <w:rsid w:val="005C29B8"/>
    <w:rsid w:val="005C5F21"/>
    <w:rsid w:val="005C7156"/>
    <w:rsid w:val="005D0C75"/>
    <w:rsid w:val="005D4171"/>
    <w:rsid w:val="005D6A95"/>
    <w:rsid w:val="005D6B2C"/>
    <w:rsid w:val="005D6D9C"/>
    <w:rsid w:val="005E2335"/>
    <w:rsid w:val="005E34CA"/>
    <w:rsid w:val="005E3C18"/>
    <w:rsid w:val="005E472D"/>
    <w:rsid w:val="005E6812"/>
    <w:rsid w:val="005E7881"/>
    <w:rsid w:val="005E78E0"/>
    <w:rsid w:val="005F0D9C"/>
    <w:rsid w:val="005F284E"/>
    <w:rsid w:val="005F4712"/>
    <w:rsid w:val="006015CE"/>
    <w:rsid w:val="00604784"/>
    <w:rsid w:val="00606419"/>
    <w:rsid w:val="00607D29"/>
    <w:rsid w:val="00612952"/>
    <w:rsid w:val="00614CC1"/>
    <w:rsid w:val="00615A9D"/>
    <w:rsid w:val="00617387"/>
    <w:rsid w:val="006205D6"/>
    <w:rsid w:val="006252D8"/>
    <w:rsid w:val="006259BC"/>
    <w:rsid w:val="0062636B"/>
    <w:rsid w:val="00632182"/>
    <w:rsid w:val="00632AE0"/>
    <w:rsid w:val="00633C17"/>
    <w:rsid w:val="00634D9E"/>
    <w:rsid w:val="00636E3E"/>
    <w:rsid w:val="006379F7"/>
    <w:rsid w:val="00637E4D"/>
    <w:rsid w:val="00640620"/>
    <w:rsid w:val="00641A1F"/>
    <w:rsid w:val="00645904"/>
    <w:rsid w:val="00651ACB"/>
    <w:rsid w:val="00651C47"/>
    <w:rsid w:val="00652AB2"/>
    <w:rsid w:val="00653FED"/>
    <w:rsid w:val="00654EC0"/>
    <w:rsid w:val="00655213"/>
    <w:rsid w:val="0065525B"/>
    <w:rsid w:val="00655D4F"/>
    <w:rsid w:val="00656D29"/>
    <w:rsid w:val="006640E5"/>
    <w:rsid w:val="006646F1"/>
    <w:rsid w:val="00664929"/>
    <w:rsid w:val="00664F62"/>
    <w:rsid w:val="006655E1"/>
    <w:rsid w:val="00672060"/>
    <w:rsid w:val="00672BFD"/>
    <w:rsid w:val="006770F4"/>
    <w:rsid w:val="00677A84"/>
    <w:rsid w:val="0068026D"/>
    <w:rsid w:val="00680A27"/>
    <w:rsid w:val="006816A4"/>
    <w:rsid w:val="006819B8"/>
    <w:rsid w:val="006840A6"/>
    <w:rsid w:val="006850CD"/>
    <w:rsid w:val="00685AAB"/>
    <w:rsid w:val="00695D22"/>
    <w:rsid w:val="006A07AA"/>
    <w:rsid w:val="006A25E5"/>
    <w:rsid w:val="006A2B46"/>
    <w:rsid w:val="006A336D"/>
    <w:rsid w:val="006A37B9"/>
    <w:rsid w:val="006B2672"/>
    <w:rsid w:val="006B54BF"/>
    <w:rsid w:val="006B5F44"/>
    <w:rsid w:val="006B5F90"/>
    <w:rsid w:val="006B62E4"/>
    <w:rsid w:val="006C1BBA"/>
    <w:rsid w:val="006C2079"/>
    <w:rsid w:val="006C5A62"/>
    <w:rsid w:val="006C5D68"/>
    <w:rsid w:val="006C6976"/>
    <w:rsid w:val="006C6DD0"/>
    <w:rsid w:val="006D04EA"/>
    <w:rsid w:val="006D0AB7"/>
    <w:rsid w:val="006D16C4"/>
    <w:rsid w:val="006D3E96"/>
    <w:rsid w:val="006D4515"/>
    <w:rsid w:val="006D4BB1"/>
    <w:rsid w:val="006D6593"/>
    <w:rsid w:val="006E23EA"/>
    <w:rsid w:val="006F03A8"/>
    <w:rsid w:val="006F2ACA"/>
    <w:rsid w:val="006F2ADC"/>
    <w:rsid w:val="006F2BFE"/>
    <w:rsid w:val="006F31E9"/>
    <w:rsid w:val="006F6284"/>
    <w:rsid w:val="007002C5"/>
    <w:rsid w:val="00704387"/>
    <w:rsid w:val="00707669"/>
    <w:rsid w:val="00711CBA"/>
    <w:rsid w:val="00711FB5"/>
    <w:rsid w:val="00712A01"/>
    <w:rsid w:val="00714F58"/>
    <w:rsid w:val="00722FBF"/>
    <w:rsid w:val="00722FC2"/>
    <w:rsid w:val="00724879"/>
    <w:rsid w:val="00724E1B"/>
    <w:rsid w:val="00725949"/>
    <w:rsid w:val="00727FA2"/>
    <w:rsid w:val="007322D9"/>
    <w:rsid w:val="00732BC0"/>
    <w:rsid w:val="0073720F"/>
    <w:rsid w:val="00737796"/>
    <w:rsid w:val="0074165C"/>
    <w:rsid w:val="00742C35"/>
    <w:rsid w:val="007432CA"/>
    <w:rsid w:val="007439EB"/>
    <w:rsid w:val="00743CB4"/>
    <w:rsid w:val="00743F0A"/>
    <w:rsid w:val="007444E8"/>
    <w:rsid w:val="0074548E"/>
    <w:rsid w:val="00745773"/>
    <w:rsid w:val="00746800"/>
    <w:rsid w:val="007501A8"/>
    <w:rsid w:val="00750D61"/>
    <w:rsid w:val="00750EE1"/>
    <w:rsid w:val="00752B4D"/>
    <w:rsid w:val="00755402"/>
    <w:rsid w:val="00756B26"/>
    <w:rsid w:val="00756EDF"/>
    <w:rsid w:val="007600E3"/>
    <w:rsid w:val="00765C43"/>
    <w:rsid w:val="00765EFB"/>
    <w:rsid w:val="007671CA"/>
    <w:rsid w:val="00767C61"/>
    <w:rsid w:val="0077008A"/>
    <w:rsid w:val="00773C1F"/>
    <w:rsid w:val="00774DA4"/>
    <w:rsid w:val="00776599"/>
    <w:rsid w:val="0078114B"/>
    <w:rsid w:val="00781DD2"/>
    <w:rsid w:val="00783ECF"/>
    <w:rsid w:val="0078413A"/>
    <w:rsid w:val="007959E8"/>
    <w:rsid w:val="00795E9C"/>
    <w:rsid w:val="007A0521"/>
    <w:rsid w:val="007A2E12"/>
    <w:rsid w:val="007A3475"/>
    <w:rsid w:val="007A41C8"/>
    <w:rsid w:val="007A54CE"/>
    <w:rsid w:val="007A6FD9"/>
    <w:rsid w:val="007A7FFA"/>
    <w:rsid w:val="007B04EB"/>
    <w:rsid w:val="007B0D4F"/>
    <w:rsid w:val="007B5A3D"/>
    <w:rsid w:val="007B5B95"/>
    <w:rsid w:val="007B68EA"/>
    <w:rsid w:val="007B7453"/>
    <w:rsid w:val="007C1E8B"/>
    <w:rsid w:val="007C2D89"/>
    <w:rsid w:val="007C4593"/>
    <w:rsid w:val="007C5309"/>
    <w:rsid w:val="007C6069"/>
    <w:rsid w:val="007D06C4"/>
    <w:rsid w:val="007D1352"/>
    <w:rsid w:val="007D2508"/>
    <w:rsid w:val="007D346A"/>
    <w:rsid w:val="007D446F"/>
    <w:rsid w:val="007D6518"/>
    <w:rsid w:val="007D76BD"/>
    <w:rsid w:val="007E0BF1"/>
    <w:rsid w:val="007F0ED8"/>
    <w:rsid w:val="007F0F63"/>
    <w:rsid w:val="007F75CE"/>
    <w:rsid w:val="008013A4"/>
    <w:rsid w:val="008027CE"/>
    <w:rsid w:val="00802F42"/>
    <w:rsid w:val="00804383"/>
    <w:rsid w:val="00804BB7"/>
    <w:rsid w:val="00804D41"/>
    <w:rsid w:val="00810257"/>
    <w:rsid w:val="008104F5"/>
    <w:rsid w:val="00811072"/>
    <w:rsid w:val="00811369"/>
    <w:rsid w:val="00815419"/>
    <w:rsid w:val="008163C8"/>
    <w:rsid w:val="008164A1"/>
    <w:rsid w:val="00817325"/>
    <w:rsid w:val="008209E6"/>
    <w:rsid w:val="00823303"/>
    <w:rsid w:val="008233B2"/>
    <w:rsid w:val="00823A9F"/>
    <w:rsid w:val="00823C85"/>
    <w:rsid w:val="00825138"/>
    <w:rsid w:val="008269DD"/>
    <w:rsid w:val="00830621"/>
    <w:rsid w:val="0083348C"/>
    <w:rsid w:val="00835A38"/>
    <w:rsid w:val="008373D3"/>
    <w:rsid w:val="00840617"/>
    <w:rsid w:val="00840F84"/>
    <w:rsid w:val="00842A47"/>
    <w:rsid w:val="00843C13"/>
    <w:rsid w:val="008454F8"/>
    <w:rsid w:val="0085173A"/>
    <w:rsid w:val="00856316"/>
    <w:rsid w:val="008603CE"/>
    <w:rsid w:val="008620FC"/>
    <w:rsid w:val="008627A5"/>
    <w:rsid w:val="00863E05"/>
    <w:rsid w:val="00865ACA"/>
    <w:rsid w:val="00865D28"/>
    <w:rsid w:val="00865F85"/>
    <w:rsid w:val="00867C10"/>
    <w:rsid w:val="00870439"/>
    <w:rsid w:val="00870DA1"/>
    <w:rsid w:val="00883F93"/>
    <w:rsid w:val="00884DB3"/>
    <w:rsid w:val="00885A9D"/>
    <w:rsid w:val="008864F6"/>
    <w:rsid w:val="0089049D"/>
    <w:rsid w:val="00891323"/>
    <w:rsid w:val="008928C9"/>
    <w:rsid w:val="008930CB"/>
    <w:rsid w:val="008938DC"/>
    <w:rsid w:val="00893FD1"/>
    <w:rsid w:val="00894836"/>
    <w:rsid w:val="00895172"/>
    <w:rsid w:val="00895680"/>
    <w:rsid w:val="00896DFF"/>
    <w:rsid w:val="0089762C"/>
    <w:rsid w:val="008A1893"/>
    <w:rsid w:val="008A3215"/>
    <w:rsid w:val="008A57E6"/>
    <w:rsid w:val="008A6F81"/>
    <w:rsid w:val="008A769A"/>
    <w:rsid w:val="008B0C9C"/>
    <w:rsid w:val="008B166D"/>
    <w:rsid w:val="008B17F4"/>
    <w:rsid w:val="008B3615"/>
    <w:rsid w:val="008B4AC4"/>
    <w:rsid w:val="008B50C8"/>
    <w:rsid w:val="008B5281"/>
    <w:rsid w:val="008B7E05"/>
    <w:rsid w:val="008C0B68"/>
    <w:rsid w:val="008C1797"/>
    <w:rsid w:val="008C219C"/>
    <w:rsid w:val="008C475E"/>
    <w:rsid w:val="008C619A"/>
    <w:rsid w:val="008D0CE8"/>
    <w:rsid w:val="008D2D1D"/>
    <w:rsid w:val="008D453D"/>
    <w:rsid w:val="008D53AD"/>
    <w:rsid w:val="008D562B"/>
    <w:rsid w:val="008D5733"/>
    <w:rsid w:val="008D622B"/>
    <w:rsid w:val="008D666C"/>
    <w:rsid w:val="008D7B54"/>
    <w:rsid w:val="008E0C9D"/>
    <w:rsid w:val="008E1648"/>
    <w:rsid w:val="008E1B3E"/>
    <w:rsid w:val="008E2319"/>
    <w:rsid w:val="008E4BB6"/>
    <w:rsid w:val="008E5518"/>
    <w:rsid w:val="008E6A84"/>
    <w:rsid w:val="008F0CDC"/>
    <w:rsid w:val="008F17A3"/>
    <w:rsid w:val="008F1ED3"/>
    <w:rsid w:val="008F23A5"/>
    <w:rsid w:val="008F4C29"/>
    <w:rsid w:val="008F70BD"/>
    <w:rsid w:val="008F788F"/>
    <w:rsid w:val="008F7EA2"/>
    <w:rsid w:val="00902722"/>
    <w:rsid w:val="009027BC"/>
    <w:rsid w:val="009062E6"/>
    <w:rsid w:val="00911BE5"/>
    <w:rsid w:val="00913CA9"/>
    <w:rsid w:val="009145AE"/>
    <w:rsid w:val="009146CE"/>
    <w:rsid w:val="00914CA7"/>
    <w:rsid w:val="00915C3E"/>
    <w:rsid w:val="009161A8"/>
    <w:rsid w:val="009245F5"/>
    <w:rsid w:val="009249EC"/>
    <w:rsid w:val="009273B3"/>
    <w:rsid w:val="009305B5"/>
    <w:rsid w:val="009429D5"/>
    <w:rsid w:val="00942BF1"/>
    <w:rsid w:val="00945180"/>
    <w:rsid w:val="00945428"/>
    <w:rsid w:val="0094607B"/>
    <w:rsid w:val="00953604"/>
    <w:rsid w:val="0095496B"/>
    <w:rsid w:val="009610DC"/>
    <w:rsid w:val="00961490"/>
    <w:rsid w:val="0096381A"/>
    <w:rsid w:val="00965E04"/>
    <w:rsid w:val="009674AD"/>
    <w:rsid w:val="00970CDC"/>
    <w:rsid w:val="00977010"/>
    <w:rsid w:val="00977D02"/>
    <w:rsid w:val="009809BB"/>
    <w:rsid w:val="0098364B"/>
    <w:rsid w:val="009911AF"/>
    <w:rsid w:val="00991875"/>
    <w:rsid w:val="00991F92"/>
    <w:rsid w:val="00992985"/>
    <w:rsid w:val="00993889"/>
    <w:rsid w:val="0099551B"/>
    <w:rsid w:val="00997BF1"/>
    <w:rsid w:val="009A089C"/>
    <w:rsid w:val="009A118E"/>
    <w:rsid w:val="009A21CD"/>
    <w:rsid w:val="009A278C"/>
    <w:rsid w:val="009A2BC2"/>
    <w:rsid w:val="009A42C1"/>
    <w:rsid w:val="009A5429"/>
    <w:rsid w:val="009A72AD"/>
    <w:rsid w:val="009B09E0"/>
    <w:rsid w:val="009B0BC5"/>
    <w:rsid w:val="009B1247"/>
    <w:rsid w:val="009B46F9"/>
    <w:rsid w:val="009B6029"/>
    <w:rsid w:val="009B6971"/>
    <w:rsid w:val="009C27F1"/>
    <w:rsid w:val="009C3152"/>
    <w:rsid w:val="009C4CFA"/>
    <w:rsid w:val="009C5070"/>
    <w:rsid w:val="009D112C"/>
    <w:rsid w:val="009D47FA"/>
    <w:rsid w:val="009D4C5B"/>
    <w:rsid w:val="009D50D2"/>
    <w:rsid w:val="009D6BCA"/>
    <w:rsid w:val="009D6E30"/>
    <w:rsid w:val="009E0F62"/>
    <w:rsid w:val="009E4A58"/>
    <w:rsid w:val="009E5A2D"/>
    <w:rsid w:val="009E5AB2"/>
    <w:rsid w:val="009E6219"/>
    <w:rsid w:val="009F03B3"/>
    <w:rsid w:val="00A0096C"/>
    <w:rsid w:val="00A01757"/>
    <w:rsid w:val="00A028C0"/>
    <w:rsid w:val="00A02BAE"/>
    <w:rsid w:val="00A06A6B"/>
    <w:rsid w:val="00A07E47"/>
    <w:rsid w:val="00A129D0"/>
    <w:rsid w:val="00A12C33"/>
    <w:rsid w:val="00A138BA"/>
    <w:rsid w:val="00A14C8E"/>
    <w:rsid w:val="00A153D9"/>
    <w:rsid w:val="00A15F09"/>
    <w:rsid w:val="00A169B6"/>
    <w:rsid w:val="00A2271D"/>
    <w:rsid w:val="00A237D5"/>
    <w:rsid w:val="00A30EFC"/>
    <w:rsid w:val="00A31984"/>
    <w:rsid w:val="00A32D73"/>
    <w:rsid w:val="00A3367B"/>
    <w:rsid w:val="00A3597D"/>
    <w:rsid w:val="00A36DD1"/>
    <w:rsid w:val="00A4006C"/>
    <w:rsid w:val="00A40091"/>
    <w:rsid w:val="00A4030F"/>
    <w:rsid w:val="00A41C79"/>
    <w:rsid w:val="00A41CB5"/>
    <w:rsid w:val="00A42CDF"/>
    <w:rsid w:val="00A4452E"/>
    <w:rsid w:val="00A4472C"/>
    <w:rsid w:val="00A44E69"/>
    <w:rsid w:val="00A4661E"/>
    <w:rsid w:val="00A55BD6"/>
    <w:rsid w:val="00A55D50"/>
    <w:rsid w:val="00A57142"/>
    <w:rsid w:val="00A648CD"/>
    <w:rsid w:val="00A6537A"/>
    <w:rsid w:val="00A67866"/>
    <w:rsid w:val="00A70B07"/>
    <w:rsid w:val="00A723F8"/>
    <w:rsid w:val="00A77CCB"/>
    <w:rsid w:val="00A83D8D"/>
    <w:rsid w:val="00A8446B"/>
    <w:rsid w:val="00A8473F"/>
    <w:rsid w:val="00A862D6"/>
    <w:rsid w:val="00A8715E"/>
    <w:rsid w:val="00A9295B"/>
    <w:rsid w:val="00A93B09"/>
    <w:rsid w:val="00A94247"/>
    <w:rsid w:val="00A952D7"/>
    <w:rsid w:val="00A963F7"/>
    <w:rsid w:val="00A96AD8"/>
    <w:rsid w:val="00AA052C"/>
    <w:rsid w:val="00AA1E45"/>
    <w:rsid w:val="00AA4286"/>
    <w:rsid w:val="00AA456B"/>
    <w:rsid w:val="00AA57F5"/>
    <w:rsid w:val="00AA672E"/>
    <w:rsid w:val="00AA6EC9"/>
    <w:rsid w:val="00AB41D5"/>
    <w:rsid w:val="00AB6309"/>
    <w:rsid w:val="00AB6C5F"/>
    <w:rsid w:val="00AB7129"/>
    <w:rsid w:val="00AC27A6"/>
    <w:rsid w:val="00AC30F7"/>
    <w:rsid w:val="00AC3A5A"/>
    <w:rsid w:val="00AC4D95"/>
    <w:rsid w:val="00AC5DF4"/>
    <w:rsid w:val="00AD0AEF"/>
    <w:rsid w:val="00AD11B7"/>
    <w:rsid w:val="00AD1A94"/>
    <w:rsid w:val="00AD1C05"/>
    <w:rsid w:val="00AD2DC0"/>
    <w:rsid w:val="00AD4126"/>
    <w:rsid w:val="00AD421C"/>
    <w:rsid w:val="00AD44FA"/>
    <w:rsid w:val="00AE070A"/>
    <w:rsid w:val="00AE101C"/>
    <w:rsid w:val="00AE37E5"/>
    <w:rsid w:val="00AE5EB4"/>
    <w:rsid w:val="00AF0C18"/>
    <w:rsid w:val="00AF47C5"/>
    <w:rsid w:val="00AF5398"/>
    <w:rsid w:val="00B049AF"/>
    <w:rsid w:val="00B07242"/>
    <w:rsid w:val="00B10534"/>
    <w:rsid w:val="00B113DB"/>
    <w:rsid w:val="00B11D8A"/>
    <w:rsid w:val="00B12981"/>
    <w:rsid w:val="00B147DD"/>
    <w:rsid w:val="00B156FD"/>
    <w:rsid w:val="00B21F61"/>
    <w:rsid w:val="00B261F1"/>
    <w:rsid w:val="00B265BC"/>
    <w:rsid w:val="00B31FB1"/>
    <w:rsid w:val="00B33952"/>
    <w:rsid w:val="00B33C5E"/>
    <w:rsid w:val="00B342F4"/>
    <w:rsid w:val="00B34369"/>
    <w:rsid w:val="00B34DC2"/>
    <w:rsid w:val="00B378E5"/>
    <w:rsid w:val="00B4346D"/>
    <w:rsid w:val="00B440F4"/>
    <w:rsid w:val="00B447A5"/>
    <w:rsid w:val="00B4654C"/>
    <w:rsid w:val="00B46AF0"/>
    <w:rsid w:val="00B47293"/>
    <w:rsid w:val="00B50E50"/>
    <w:rsid w:val="00B52120"/>
    <w:rsid w:val="00B52C53"/>
    <w:rsid w:val="00B54ABC"/>
    <w:rsid w:val="00B54DDE"/>
    <w:rsid w:val="00B56FBE"/>
    <w:rsid w:val="00B60ACF"/>
    <w:rsid w:val="00B62B58"/>
    <w:rsid w:val="00B65149"/>
    <w:rsid w:val="00B66567"/>
    <w:rsid w:val="00B66F52"/>
    <w:rsid w:val="00B66FE5"/>
    <w:rsid w:val="00B72880"/>
    <w:rsid w:val="00B758BF"/>
    <w:rsid w:val="00B77EC8"/>
    <w:rsid w:val="00B827A6"/>
    <w:rsid w:val="00B831CE"/>
    <w:rsid w:val="00B86677"/>
    <w:rsid w:val="00B87131"/>
    <w:rsid w:val="00B939B1"/>
    <w:rsid w:val="00B96D40"/>
    <w:rsid w:val="00B97386"/>
    <w:rsid w:val="00BA263B"/>
    <w:rsid w:val="00BA42B2"/>
    <w:rsid w:val="00BA58D4"/>
    <w:rsid w:val="00BA5B9E"/>
    <w:rsid w:val="00BA7C9A"/>
    <w:rsid w:val="00BB203B"/>
    <w:rsid w:val="00BB5F8F"/>
    <w:rsid w:val="00BB657A"/>
    <w:rsid w:val="00BC1A4E"/>
    <w:rsid w:val="00BC4790"/>
    <w:rsid w:val="00BC5DC7"/>
    <w:rsid w:val="00BC6B8B"/>
    <w:rsid w:val="00BC73D8"/>
    <w:rsid w:val="00BD52D7"/>
    <w:rsid w:val="00BD5AD2"/>
    <w:rsid w:val="00BE22F3"/>
    <w:rsid w:val="00BE5B52"/>
    <w:rsid w:val="00BE7B8D"/>
    <w:rsid w:val="00BF0993"/>
    <w:rsid w:val="00BF10A9"/>
    <w:rsid w:val="00BF1703"/>
    <w:rsid w:val="00BF231C"/>
    <w:rsid w:val="00BF51E5"/>
    <w:rsid w:val="00BF74A6"/>
    <w:rsid w:val="00C013AD"/>
    <w:rsid w:val="00C04904"/>
    <w:rsid w:val="00C055FB"/>
    <w:rsid w:val="00C056B3"/>
    <w:rsid w:val="00C103E5"/>
    <w:rsid w:val="00C13319"/>
    <w:rsid w:val="00C13EE9"/>
    <w:rsid w:val="00C21540"/>
    <w:rsid w:val="00C21906"/>
    <w:rsid w:val="00C21BFA"/>
    <w:rsid w:val="00C22148"/>
    <w:rsid w:val="00C24C8D"/>
    <w:rsid w:val="00C25FE2"/>
    <w:rsid w:val="00C26B53"/>
    <w:rsid w:val="00C279B2"/>
    <w:rsid w:val="00C33E50"/>
    <w:rsid w:val="00C34C20"/>
    <w:rsid w:val="00C35A3E"/>
    <w:rsid w:val="00C42130"/>
    <w:rsid w:val="00C423A4"/>
    <w:rsid w:val="00C44BF5"/>
    <w:rsid w:val="00C521D6"/>
    <w:rsid w:val="00C55232"/>
    <w:rsid w:val="00C553A4"/>
    <w:rsid w:val="00C55A06"/>
    <w:rsid w:val="00C55D03"/>
    <w:rsid w:val="00C601BC"/>
    <w:rsid w:val="00C6329F"/>
    <w:rsid w:val="00C63340"/>
    <w:rsid w:val="00C643F9"/>
    <w:rsid w:val="00C64E95"/>
    <w:rsid w:val="00C71372"/>
    <w:rsid w:val="00C72410"/>
    <w:rsid w:val="00C7287F"/>
    <w:rsid w:val="00C73801"/>
    <w:rsid w:val="00C80982"/>
    <w:rsid w:val="00C80CB8"/>
    <w:rsid w:val="00C819F8"/>
    <w:rsid w:val="00C8248C"/>
    <w:rsid w:val="00C84E33"/>
    <w:rsid w:val="00C86D6F"/>
    <w:rsid w:val="00C905FC"/>
    <w:rsid w:val="00C92D03"/>
    <w:rsid w:val="00C9319C"/>
    <w:rsid w:val="00C9435D"/>
    <w:rsid w:val="00C94DF2"/>
    <w:rsid w:val="00C96741"/>
    <w:rsid w:val="00CA2D1B"/>
    <w:rsid w:val="00CA375D"/>
    <w:rsid w:val="00CA662A"/>
    <w:rsid w:val="00CA7AFD"/>
    <w:rsid w:val="00CA7C3C"/>
    <w:rsid w:val="00CB0189"/>
    <w:rsid w:val="00CB0BA2"/>
    <w:rsid w:val="00CB1A42"/>
    <w:rsid w:val="00CB1B0C"/>
    <w:rsid w:val="00CB2C0B"/>
    <w:rsid w:val="00CB517D"/>
    <w:rsid w:val="00CC038D"/>
    <w:rsid w:val="00CC08DB"/>
    <w:rsid w:val="00CC39FF"/>
    <w:rsid w:val="00CC3C2F"/>
    <w:rsid w:val="00CC4AC8"/>
    <w:rsid w:val="00CC5233"/>
    <w:rsid w:val="00CC5DE6"/>
    <w:rsid w:val="00CC6E4E"/>
    <w:rsid w:val="00CC6FE8"/>
    <w:rsid w:val="00CC7202"/>
    <w:rsid w:val="00CD2808"/>
    <w:rsid w:val="00CD28BF"/>
    <w:rsid w:val="00CD4092"/>
    <w:rsid w:val="00CD4A20"/>
    <w:rsid w:val="00CD50A1"/>
    <w:rsid w:val="00CD519E"/>
    <w:rsid w:val="00CD561D"/>
    <w:rsid w:val="00CD6E2B"/>
    <w:rsid w:val="00CE0C4F"/>
    <w:rsid w:val="00CE30EA"/>
    <w:rsid w:val="00CF048A"/>
    <w:rsid w:val="00CF155A"/>
    <w:rsid w:val="00CF2947"/>
    <w:rsid w:val="00CF686F"/>
    <w:rsid w:val="00CF6E60"/>
    <w:rsid w:val="00CF7BCA"/>
    <w:rsid w:val="00D008FD"/>
    <w:rsid w:val="00D0321C"/>
    <w:rsid w:val="00D035EC"/>
    <w:rsid w:val="00D06AB1"/>
    <w:rsid w:val="00D072ED"/>
    <w:rsid w:val="00D07A16"/>
    <w:rsid w:val="00D1067E"/>
    <w:rsid w:val="00D10F50"/>
    <w:rsid w:val="00D11272"/>
    <w:rsid w:val="00D126F5"/>
    <w:rsid w:val="00D1489E"/>
    <w:rsid w:val="00D20737"/>
    <w:rsid w:val="00D21E81"/>
    <w:rsid w:val="00D223DE"/>
    <w:rsid w:val="00D25E37"/>
    <w:rsid w:val="00D2661A"/>
    <w:rsid w:val="00D27582"/>
    <w:rsid w:val="00D27EC4"/>
    <w:rsid w:val="00D32389"/>
    <w:rsid w:val="00D32719"/>
    <w:rsid w:val="00D33333"/>
    <w:rsid w:val="00D33457"/>
    <w:rsid w:val="00D352A2"/>
    <w:rsid w:val="00D3660F"/>
    <w:rsid w:val="00D4162B"/>
    <w:rsid w:val="00D42595"/>
    <w:rsid w:val="00D4514F"/>
    <w:rsid w:val="00D451E2"/>
    <w:rsid w:val="00D45E89"/>
    <w:rsid w:val="00D45E8D"/>
    <w:rsid w:val="00D466AE"/>
    <w:rsid w:val="00D4734F"/>
    <w:rsid w:val="00D51BF3"/>
    <w:rsid w:val="00D66846"/>
    <w:rsid w:val="00D675FB"/>
    <w:rsid w:val="00D71F25"/>
    <w:rsid w:val="00D72A9C"/>
    <w:rsid w:val="00D77031"/>
    <w:rsid w:val="00D84941"/>
    <w:rsid w:val="00D84FA1"/>
    <w:rsid w:val="00D851F0"/>
    <w:rsid w:val="00D86DB7"/>
    <w:rsid w:val="00D926D0"/>
    <w:rsid w:val="00D93030"/>
    <w:rsid w:val="00D950E1"/>
    <w:rsid w:val="00D952A6"/>
    <w:rsid w:val="00D97F99"/>
    <w:rsid w:val="00DA1E08"/>
    <w:rsid w:val="00DA24F8"/>
    <w:rsid w:val="00DA28E8"/>
    <w:rsid w:val="00DA38D3"/>
    <w:rsid w:val="00DA3932"/>
    <w:rsid w:val="00DA3AFC"/>
    <w:rsid w:val="00DA5191"/>
    <w:rsid w:val="00DA64F8"/>
    <w:rsid w:val="00DA6C15"/>
    <w:rsid w:val="00DB0258"/>
    <w:rsid w:val="00DB38EE"/>
    <w:rsid w:val="00DB498B"/>
    <w:rsid w:val="00DB66CA"/>
    <w:rsid w:val="00DB6BCA"/>
    <w:rsid w:val="00DB73F7"/>
    <w:rsid w:val="00DC0321"/>
    <w:rsid w:val="00DC3067"/>
    <w:rsid w:val="00DC370B"/>
    <w:rsid w:val="00DC5B90"/>
    <w:rsid w:val="00DD00FF"/>
    <w:rsid w:val="00DD0619"/>
    <w:rsid w:val="00DD07FB"/>
    <w:rsid w:val="00DD25C6"/>
    <w:rsid w:val="00DD4FE5"/>
    <w:rsid w:val="00DD54B0"/>
    <w:rsid w:val="00DD57EE"/>
    <w:rsid w:val="00DD6BCC"/>
    <w:rsid w:val="00DE0A4B"/>
    <w:rsid w:val="00DE2410"/>
    <w:rsid w:val="00DE2939"/>
    <w:rsid w:val="00DE6E81"/>
    <w:rsid w:val="00DE703F"/>
    <w:rsid w:val="00DE7595"/>
    <w:rsid w:val="00DF1961"/>
    <w:rsid w:val="00DF44DE"/>
    <w:rsid w:val="00DF5F11"/>
    <w:rsid w:val="00DF7C97"/>
    <w:rsid w:val="00E01138"/>
    <w:rsid w:val="00E02DFB"/>
    <w:rsid w:val="00E030F9"/>
    <w:rsid w:val="00E0311A"/>
    <w:rsid w:val="00E03138"/>
    <w:rsid w:val="00E06404"/>
    <w:rsid w:val="00E065D2"/>
    <w:rsid w:val="00E11A85"/>
    <w:rsid w:val="00E12495"/>
    <w:rsid w:val="00E15CCD"/>
    <w:rsid w:val="00E202EF"/>
    <w:rsid w:val="00E210B5"/>
    <w:rsid w:val="00E23D99"/>
    <w:rsid w:val="00E2552F"/>
    <w:rsid w:val="00E3137A"/>
    <w:rsid w:val="00E32CCF"/>
    <w:rsid w:val="00E34A98"/>
    <w:rsid w:val="00E35D1E"/>
    <w:rsid w:val="00E364F9"/>
    <w:rsid w:val="00E365FA"/>
    <w:rsid w:val="00E36789"/>
    <w:rsid w:val="00E44A83"/>
    <w:rsid w:val="00E502C1"/>
    <w:rsid w:val="00E502DD"/>
    <w:rsid w:val="00E5046A"/>
    <w:rsid w:val="00E50D3A"/>
    <w:rsid w:val="00E51387"/>
    <w:rsid w:val="00E51E68"/>
    <w:rsid w:val="00E52EFD"/>
    <w:rsid w:val="00E5408A"/>
    <w:rsid w:val="00E56800"/>
    <w:rsid w:val="00E60C63"/>
    <w:rsid w:val="00E62FF9"/>
    <w:rsid w:val="00E635D6"/>
    <w:rsid w:val="00E639BC"/>
    <w:rsid w:val="00E664CC"/>
    <w:rsid w:val="00E70388"/>
    <w:rsid w:val="00E70F92"/>
    <w:rsid w:val="00E74C54"/>
    <w:rsid w:val="00E77A03"/>
    <w:rsid w:val="00E822E8"/>
    <w:rsid w:val="00E82554"/>
    <w:rsid w:val="00E82606"/>
    <w:rsid w:val="00E846C8"/>
    <w:rsid w:val="00E84957"/>
    <w:rsid w:val="00E84A55"/>
    <w:rsid w:val="00E85BFF"/>
    <w:rsid w:val="00E90391"/>
    <w:rsid w:val="00E906C2"/>
    <w:rsid w:val="00E9311F"/>
    <w:rsid w:val="00E934D1"/>
    <w:rsid w:val="00E94AF0"/>
    <w:rsid w:val="00E95D13"/>
    <w:rsid w:val="00E95DD3"/>
    <w:rsid w:val="00E969D5"/>
    <w:rsid w:val="00EA390F"/>
    <w:rsid w:val="00EA58D1"/>
    <w:rsid w:val="00EA61BC"/>
    <w:rsid w:val="00EA681A"/>
    <w:rsid w:val="00EA735B"/>
    <w:rsid w:val="00EB17DE"/>
    <w:rsid w:val="00EB1E69"/>
    <w:rsid w:val="00EB2086"/>
    <w:rsid w:val="00EB5EDF"/>
    <w:rsid w:val="00EB60FE"/>
    <w:rsid w:val="00EB74DB"/>
    <w:rsid w:val="00EC5359"/>
    <w:rsid w:val="00EC562A"/>
    <w:rsid w:val="00ED067A"/>
    <w:rsid w:val="00ED2B50"/>
    <w:rsid w:val="00EE0350"/>
    <w:rsid w:val="00EE0719"/>
    <w:rsid w:val="00EE0E80"/>
    <w:rsid w:val="00EE54A6"/>
    <w:rsid w:val="00EE613F"/>
    <w:rsid w:val="00EE7295"/>
    <w:rsid w:val="00EE7869"/>
    <w:rsid w:val="00EF054A"/>
    <w:rsid w:val="00EF3235"/>
    <w:rsid w:val="00EF7E72"/>
    <w:rsid w:val="00F06D37"/>
    <w:rsid w:val="00F07B9D"/>
    <w:rsid w:val="00F11586"/>
    <w:rsid w:val="00F1183B"/>
    <w:rsid w:val="00F11C9F"/>
    <w:rsid w:val="00F12263"/>
    <w:rsid w:val="00F1409D"/>
    <w:rsid w:val="00F14214"/>
    <w:rsid w:val="00F157A9"/>
    <w:rsid w:val="00F25BB6"/>
    <w:rsid w:val="00F26B7E"/>
    <w:rsid w:val="00F27A3B"/>
    <w:rsid w:val="00F33817"/>
    <w:rsid w:val="00F420D5"/>
    <w:rsid w:val="00F451EA"/>
    <w:rsid w:val="00F45447"/>
    <w:rsid w:val="00F456C6"/>
    <w:rsid w:val="00F4577B"/>
    <w:rsid w:val="00F46496"/>
    <w:rsid w:val="00F474D0"/>
    <w:rsid w:val="00F50179"/>
    <w:rsid w:val="00F515EE"/>
    <w:rsid w:val="00F56511"/>
    <w:rsid w:val="00F6194E"/>
    <w:rsid w:val="00F623AC"/>
    <w:rsid w:val="00F6412A"/>
    <w:rsid w:val="00F65893"/>
    <w:rsid w:val="00F66A4A"/>
    <w:rsid w:val="00F71E22"/>
    <w:rsid w:val="00F72142"/>
    <w:rsid w:val="00F72AE7"/>
    <w:rsid w:val="00F81141"/>
    <w:rsid w:val="00F833BA"/>
    <w:rsid w:val="00F84FD0"/>
    <w:rsid w:val="00F859A8"/>
    <w:rsid w:val="00F86D87"/>
    <w:rsid w:val="00F9108B"/>
    <w:rsid w:val="00F91349"/>
    <w:rsid w:val="00F93A8A"/>
    <w:rsid w:val="00F95248"/>
    <w:rsid w:val="00F956A9"/>
    <w:rsid w:val="00F963ED"/>
    <w:rsid w:val="00F966CF"/>
    <w:rsid w:val="00F96CAE"/>
    <w:rsid w:val="00F9799A"/>
    <w:rsid w:val="00F97C99"/>
    <w:rsid w:val="00FA4DAC"/>
    <w:rsid w:val="00FA662D"/>
    <w:rsid w:val="00FA73B1"/>
    <w:rsid w:val="00FB0CB9"/>
    <w:rsid w:val="00FB231D"/>
    <w:rsid w:val="00FB45F1"/>
    <w:rsid w:val="00FB4A72"/>
    <w:rsid w:val="00FB54E8"/>
    <w:rsid w:val="00FB6CAA"/>
    <w:rsid w:val="00FB7054"/>
    <w:rsid w:val="00FC1176"/>
    <w:rsid w:val="00FC17B7"/>
    <w:rsid w:val="00FC2CB7"/>
    <w:rsid w:val="00FC4090"/>
    <w:rsid w:val="00FC55B4"/>
    <w:rsid w:val="00FD00E6"/>
    <w:rsid w:val="00FD09A1"/>
    <w:rsid w:val="00FD2A7C"/>
    <w:rsid w:val="00FD59EB"/>
    <w:rsid w:val="00FD7299"/>
    <w:rsid w:val="00FE1FBE"/>
    <w:rsid w:val="00FE3901"/>
    <w:rsid w:val="00FE39D3"/>
    <w:rsid w:val="00FE4990"/>
    <w:rsid w:val="00FE4BCE"/>
    <w:rsid w:val="00FE54AE"/>
    <w:rsid w:val="00FE576A"/>
    <w:rsid w:val="00FE7E79"/>
    <w:rsid w:val="00FF3E7D"/>
    <w:rsid w:val="00FF5B99"/>
    <w:rsid w:val="00FF730C"/>
    <w:rsid w:val="00FF73F4"/>
    <w:rsid w:val="00FF7CE4"/>
    <w:rsid w:val="00FF7E39"/>
    <w:rsid w:val="3D7004D6"/>
    <w:rsid w:val="3DD61791"/>
    <w:rsid w:val="40B44F56"/>
    <w:rsid w:val="56EB17E0"/>
    <w:rsid w:val="5CAA5C3F"/>
    <w:rsid w:val="61911EED"/>
    <w:rsid w:val="639F35EB"/>
    <w:rsid w:val="73977AFF"/>
    <w:rsid w:val="7D5A4B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uiPriority="0" w:name="toc 8"/>
    <w:lsdException w:uiPriority="0" w:name="toc 9"/>
    <w:lsdException w:qFormat="1" w:unhideWhenUsed="0" w:uiPriority="0" w:semiHidden="0" w:name="Normal Indent"/>
    <w:lsdException w:qFormat="1" w:unhideWhenUsed="0" w:uiPriority="0"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qFormat="1" w:unhideWhenUsed="0" w:uiPriority="0" w:name="table of figures"/>
    <w:lsdException w:uiPriority="99" w:name="envelope address"/>
    <w:lsdException w:uiPriority="99" w:name="envelope return"/>
    <w:lsdException w:qFormat="1" w:unhideWhenUsed="0" w:uiPriority="0"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400" w:lineRule="exact"/>
      <w:jc w:val="both"/>
    </w:pPr>
    <w:rPr>
      <w:rFonts w:ascii="Calibri" w:hAnsi="Calibri" w:eastAsia="宋体" w:cs="Times New Roman"/>
      <w:kern w:val="2"/>
      <w:sz w:val="21"/>
      <w:szCs w:val="21"/>
      <w:lang w:val="en-US" w:eastAsia="zh-CN" w:bidi="ar-SA"/>
    </w:rPr>
  </w:style>
  <w:style w:type="paragraph" w:styleId="2">
    <w:name w:val="heading 1"/>
    <w:basedOn w:val="1"/>
    <w:next w:val="1"/>
    <w:link w:val="3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35"/>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36"/>
    <w:qFormat/>
    <w:uiPriority w:val="0"/>
    <w:pPr>
      <w:keepNext/>
      <w:keepLines/>
      <w:spacing w:before="260" w:after="260" w:line="416" w:lineRule="auto"/>
      <w:outlineLvl w:val="2"/>
    </w:pPr>
    <w:rPr>
      <w:b/>
      <w:bCs/>
      <w:sz w:val="32"/>
      <w:szCs w:val="32"/>
    </w:rPr>
  </w:style>
  <w:style w:type="paragraph" w:styleId="5">
    <w:name w:val="heading 4"/>
    <w:basedOn w:val="1"/>
    <w:next w:val="1"/>
    <w:link w:val="37"/>
    <w:qFormat/>
    <w:uiPriority w:val="0"/>
    <w:pPr>
      <w:keepNext/>
      <w:keepLines/>
      <w:spacing w:before="280" w:after="290" w:line="376" w:lineRule="auto"/>
      <w:outlineLvl w:val="3"/>
    </w:pPr>
    <w:rPr>
      <w:rFonts w:ascii="Arial" w:hAnsi="Arial" w:eastAsia="黑体"/>
      <w:b/>
      <w:bCs/>
      <w:sz w:val="28"/>
      <w:szCs w:val="28"/>
    </w:rPr>
  </w:style>
  <w:style w:type="paragraph" w:styleId="6">
    <w:name w:val="heading 5"/>
    <w:basedOn w:val="1"/>
    <w:next w:val="1"/>
    <w:link w:val="38"/>
    <w:qFormat/>
    <w:uiPriority w:val="0"/>
    <w:pPr>
      <w:keepNext/>
      <w:keepLines/>
      <w:adjustRightInd/>
      <w:spacing w:before="280" w:after="290" w:line="376" w:lineRule="auto"/>
      <w:outlineLvl w:val="4"/>
    </w:pPr>
    <w:rPr>
      <w:b/>
      <w:bCs/>
      <w:sz w:val="28"/>
      <w:szCs w:val="28"/>
    </w:rPr>
  </w:style>
  <w:style w:type="paragraph" w:styleId="7">
    <w:name w:val="heading 6"/>
    <w:basedOn w:val="1"/>
    <w:next w:val="1"/>
    <w:link w:val="39"/>
    <w:qFormat/>
    <w:uiPriority w:val="0"/>
    <w:pPr>
      <w:keepNext/>
      <w:keepLines/>
      <w:adjustRightInd/>
      <w:spacing w:before="240" w:after="64" w:line="320" w:lineRule="auto"/>
      <w:outlineLvl w:val="5"/>
    </w:pPr>
    <w:rPr>
      <w:rFonts w:ascii="Arial" w:hAnsi="Arial" w:eastAsia="黑体"/>
      <w:b/>
      <w:bCs/>
      <w:sz w:val="24"/>
      <w:szCs w:val="24"/>
    </w:rPr>
  </w:style>
  <w:style w:type="paragraph" w:styleId="8">
    <w:name w:val="heading 7"/>
    <w:basedOn w:val="1"/>
    <w:next w:val="1"/>
    <w:link w:val="40"/>
    <w:qFormat/>
    <w:uiPriority w:val="0"/>
    <w:pPr>
      <w:keepNext/>
      <w:keepLines/>
      <w:adjustRightInd/>
      <w:spacing w:before="240" w:after="64" w:line="320" w:lineRule="auto"/>
      <w:outlineLvl w:val="6"/>
    </w:pPr>
    <w:rPr>
      <w:b/>
      <w:bCs/>
      <w:sz w:val="24"/>
      <w:szCs w:val="24"/>
    </w:rPr>
  </w:style>
  <w:style w:type="paragraph" w:styleId="9">
    <w:name w:val="heading 8"/>
    <w:basedOn w:val="1"/>
    <w:next w:val="1"/>
    <w:link w:val="41"/>
    <w:qFormat/>
    <w:uiPriority w:val="0"/>
    <w:pPr>
      <w:keepNext/>
      <w:keepLines/>
      <w:adjustRightInd/>
      <w:spacing w:before="240" w:after="64" w:line="320" w:lineRule="auto"/>
      <w:outlineLvl w:val="7"/>
    </w:pPr>
    <w:rPr>
      <w:rFonts w:ascii="Arial" w:hAnsi="Arial" w:eastAsia="黑体"/>
      <w:sz w:val="24"/>
      <w:szCs w:val="24"/>
    </w:rPr>
  </w:style>
  <w:style w:type="paragraph" w:styleId="10">
    <w:name w:val="heading 9"/>
    <w:basedOn w:val="1"/>
    <w:next w:val="1"/>
    <w:link w:val="42"/>
    <w:qFormat/>
    <w:uiPriority w:val="0"/>
    <w:pPr>
      <w:keepNext/>
      <w:keepLines/>
      <w:adjustRightInd/>
      <w:spacing w:before="240" w:after="64" w:line="320" w:lineRule="auto"/>
      <w:outlineLvl w:val="8"/>
    </w:pPr>
    <w:rPr>
      <w:rFonts w:ascii="Arial" w:hAnsi="Arial" w:eastAsia="黑体"/>
    </w:rPr>
  </w:style>
  <w:style w:type="character" w:default="1" w:styleId="26">
    <w:name w:val="Default Paragraph Font"/>
    <w:unhideWhenUsed/>
    <w:qFormat/>
    <w:uiPriority w:val="1"/>
  </w:style>
  <w:style w:type="table" w:default="1" w:styleId="32">
    <w:name w:val="Normal Table"/>
    <w:unhideWhenUsed/>
    <w:uiPriority w:val="99"/>
    <w:tblPr>
      <w:tblLayout w:type="fixed"/>
      <w:tblCellMar>
        <w:top w:w="0" w:type="dxa"/>
        <w:left w:w="108" w:type="dxa"/>
        <w:bottom w:w="0" w:type="dxa"/>
        <w:right w:w="108" w:type="dxa"/>
      </w:tblCellMar>
    </w:tblPr>
  </w:style>
  <w:style w:type="paragraph" w:styleId="11">
    <w:name w:val="toc 7"/>
    <w:basedOn w:val="1"/>
    <w:next w:val="1"/>
    <w:unhideWhenUsed/>
    <w:qFormat/>
    <w:uiPriority w:val="39"/>
    <w:pPr>
      <w:tabs>
        <w:tab w:val="right" w:leader="dot" w:pos="9344"/>
      </w:tabs>
      <w:spacing w:line="300" w:lineRule="exact"/>
      <w:ind w:left="1259"/>
    </w:pPr>
    <w:rPr>
      <w:rFonts w:ascii="宋体"/>
    </w:rPr>
  </w:style>
  <w:style w:type="paragraph" w:styleId="12">
    <w:name w:val="Normal Indent"/>
    <w:basedOn w:val="1"/>
    <w:qFormat/>
    <w:uiPriority w:val="0"/>
    <w:pPr>
      <w:ind w:firstLine="420"/>
    </w:pPr>
  </w:style>
  <w:style w:type="paragraph" w:styleId="13">
    <w:name w:val="Body Text"/>
    <w:basedOn w:val="1"/>
    <w:link w:val="86"/>
    <w:qFormat/>
    <w:uiPriority w:val="0"/>
    <w:pPr>
      <w:spacing w:after="120"/>
    </w:pPr>
  </w:style>
  <w:style w:type="paragraph" w:styleId="14">
    <w:name w:val="toc 5"/>
    <w:basedOn w:val="1"/>
    <w:next w:val="1"/>
    <w:unhideWhenUsed/>
    <w:qFormat/>
    <w:uiPriority w:val="39"/>
    <w:pPr>
      <w:ind w:left="839"/>
    </w:pPr>
    <w:rPr>
      <w:rFonts w:ascii="宋体"/>
    </w:rPr>
  </w:style>
  <w:style w:type="paragraph" w:styleId="15">
    <w:name w:val="toc 3"/>
    <w:basedOn w:val="1"/>
    <w:next w:val="1"/>
    <w:unhideWhenUsed/>
    <w:qFormat/>
    <w:uiPriority w:val="39"/>
    <w:pPr>
      <w:spacing w:line="300" w:lineRule="exact"/>
      <w:ind w:left="420"/>
    </w:pPr>
    <w:rPr>
      <w:rFonts w:ascii="宋体"/>
    </w:rPr>
  </w:style>
  <w:style w:type="paragraph" w:styleId="16">
    <w:name w:val="Balloon Text"/>
    <w:basedOn w:val="1"/>
    <w:link w:val="45"/>
    <w:unhideWhenUsed/>
    <w:qFormat/>
    <w:uiPriority w:val="99"/>
    <w:rPr>
      <w:sz w:val="18"/>
      <w:szCs w:val="18"/>
    </w:rPr>
  </w:style>
  <w:style w:type="paragraph" w:styleId="17">
    <w:name w:val="footer"/>
    <w:basedOn w:val="1"/>
    <w:link w:val="44"/>
    <w:qFormat/>
    <w:uiPriority w:val="99"/>
    <w:pPr>
      <w:tabs>
        <w:tab w:val="center" w:pos="4153"/>
        <w:tab w:val="right" w:pos="8306"/>
      </w:tabs>
      <w:adjustRightInd/>
      <w:snapToGrid w:val="0"/>
      <w:spacing w:line="240" w:lineRule="auto"/>
      <w:jc w:val="right"/>
    </w:pPr>
    <w:rPr>
      <w:rFonts w:ascii="宋体"/>
      <w:sz w:val="18"/>
      <w:szCs w:val="18"/>
    </w:rPr>
  </w:style>
  <w:style w:type="paragraph" w:styleId="18">
    <w:name w:val="header"/>
    <w:basedOn w:val="1"/>
    <w:link w:val="43"/>
    <w:qFormat/>
    <w:uiPriority w:val="99"/>
    <w:pPr>
      <w:tabs>
        <w:tab w:val="center" w:pos="4153"/>
        <w:tab w:val="right" w:pos="8306"/>
      </w:tabs>
      <w:adjustRightInd/>
      <w:snapToGrid w:val="0"/>
      <w:jc w:val="center"/>
    </w:pPr>
    <w:rPr>
      <w:sz w:val="18"/>
      <w:szCs w:val="18"/>
    </w:rPr>
  </w:style>
  <w:style w:type="paragraph" w:styleId="19">
    <w:name w:val="toc 1"/>
    <w:basedOn w:val="1"/>
    <w:next w:val="1"/>
    <w:unhideWhenUsed/>
    <w:qFormat/>
    <w:uiPriority w:val="39"/>
    <w:rPr>
      <w:rFonts w:ascii="宋体"/>
    </w:rPr>
  </w:style>
  <w:style w:type="paragraph" w:styleId="20">
    <w:name w:val="toc 4"/>
    <w:basedOn w:val="1"/>
    <w:next w:val="1"/>
    <w:unhideWhenUsed/>
    <w:qFormat/>
    <w:uiPriority w:val="39"/>
    <w:pPr>
      <w:tabs>
        <w:tab w:val="right" w:leader="dot" w:pos="9344"/>
      </w:tabs>
      <w:spacing w:line="300" w:lineRule="exact"/>
      <w:ind w:left="629"/>
    </w:pPr>
    <w:rPr>
      <w:rFonts w:ascii="宋体"/>
    </w:rPr>
  </w:style>
  <w:style w:type="paragraph" w:styleId="21">
    <w:name w:val="footnote text"/>
    <w:basedOn w:val="1"/>
    <w:next w:val="1"/>
    <w:link w:val="99"/>
    <w:semiHidden/>
    <w:qFormat/>
    <w:uiPriority w:val="0"/>
    <w:pPr>
      <w:adjustRightInd/>
      <w:snapToGrid w:val="0"/>
      <w:spacing w:line="300" w:lineRule="exact"/>
      <w:ind w:left="400" w:leftChars="200" w:hanging="200" w:hangingChars="200"/>
      <w:jc w:val="left"/>
    </w:pPr>
    <w:rPr>
      <w:rFonts w:ascii="宋体"/>
      <w:sz w:val="18"/>
      <w:szCs w:val="18"/>
    </w:rPr>
  </w:style>
  <w:style w:type="paragraph" w:styleId="22">
    <w:name w:val="toc 6"/>
    <w:basedOn w:val="1"/>
    <w:next w:val="1"/>
    <w:unhideWhenUsed/>
    <w:qFormat/>
    <w:uiPriority w:val="39"/>
    <w:pPr>
      <w:spacing w:line="300" w:lineRule="exact"/>
      <w:ind w:left="1049"/>
    </w:pPr>
    <w:rPr>
      <w:rFonts w:ascii="宋体"/>
    </w:rPr>
  </w:style>
  <w:style w:type="paragraph" w:styleId="23">
    <w:name w:val="table of figures"/>
    <w:basedOn w:val="1"/>
    <w:next w:val="1"/>
    <w:semiHidden/>
    <w:qFormat/>
    <w:uiPriority w:val="0"/>
    <w:pPr>
      <w:adjustRightInd/>
      <w:spacing w:line="240" w:lineRule="auto"/>
      <w:jc w:val="left"/>
    </w:pPr>
    <w:rPr>
      <w:szCs w:val="24"/>
    </w:rPr>
  </w:style>
  <w:style w:type="paragraph" w:styleId="24">
    <w:name w:val="toc 2"/>
    <w:basedOn w:val="1"/>
    <w:next w:val="1"/>
    <w:unhideWhenUsed/>
    <w:qFormat/>
    <w:uiPriority w:val="39"/>
    <w:pPr>
      <w:tabs>
        <w:tab w:val="right" w:leader="dot" w:pos="9344"/>
      </w:tabs>
      <w:spacing w:line="300" w:lineRule="exact"/>
      <w:ind w:left="210"/>
    </w:pPr>
    <w:rPr>
      <w:rFonts w:ascii="宋体"/>
    </w:rPr>
  </w:style>
  <w:style w:type="paragraph" w:styleId="25">
    <w:name w:val="Title"/>
    <w:basedOn w:val="1"/>
    <w:link w:val="48"/>
    <w:qFormat/>
    <w:uiPriority w:val="0"/>
    <w:pPr>
      <w:spacing w:before="240" w:after="60"/>
      <w:jc w:val="center"/>
      <w:outlineLvl w:val="0"/>
    </w:pPr>
    <w:rPr>
      <w:rFonts w:ascii="Arial" w:hAnsi="Arial" w:cs="Arial"/>
      <w:b/>
      <w:bCs/>
      <w:sz w:val="32"/>
      <w:szCs w:val="32"/>
    </w:rPr>
  </w:style>
  <w:style w:type="character" w:styleId="27">
    <w:name w:val="Strong"/>
    <w:qFormat/>
    <w:uiPriority w:val="22"/>
    <w:rPr>
      <w:b/>
      <w:bCs/>
    </w:rPr>
  </w:style>
  <w:style w:type="character" w:styleId="28">
    <w:name w:val="page number"/>
    <w:qFormat/>
    <w:uiPriority w:val="0"/>
    <w:rPr>
      <w:rFonts w:ascii="宋体" w:hAnsi="Times New Roman" w:eastAsia="宋体"/>
      <w:sz w:val="18"/>
    </w:rPr>
  </w:style>
  <w:style w:type="character" w:styleId="29">
    <w:name w:val="Emphasis"/>
    <w:qFormat/>
    <w:uiPriority w:val="20"/>
    <w:rPr>
      <w:i/>
      <w:iCs/>
    </w:rPr>
  </w:style>
  <w:style w:type="character" w:styleId="30">
    <w:name w:val="Hyperlink"/>
    <w:qFormat/>
    <w:uiPriority w:val="99"/>
    <w:rPr>
      <w:rFonts w:ascii="宋体" w:hAnsi="Times New Roman" w:eastAsia="宋体"/>
      <w:color w:val="auto"/>
      <w:spacing w:val="0"/>
      <w:w w:val="100"/>
      <w:position w:val="0"/>
      <w:sz w:val="21"/>
      <w:u w:val="none"/>
      <w:vertAlign w:val="baseline"/>
    </w:rPr>
  </w:style>
  <w:style w:type="character" w:styleId="31">
    <w:name w:val="footnote reference"/>
    <w:semiHidden/>
    <w:qFormat/>
    <w:uiPriority w:val="0"/>
    <w:rPr>
      <w:rFonts w:ascii="宋体" w:hAnsi="宋体" w:eastAsia="宋体" w:cs="Times New Roman"/>
      <w:spacing w:val="0"/>
      <w:sz w:val="18"/>
      <w:vertAlign w:val="superscript"/>
    </w:rPr>
  </w:style>
  <w:style w:type="table" w:styleId="33">
    <w:name w:val="Table Grid"/>
    <w:basedOn w:val="3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34">
    <w:name w:val="标题 1 Char"/>
    <w:link w:val="2"/>
    <w:qFormat/>
    <w:uiPriority w:val="0"/>
    <w:rPr>
      <w:b/>
      <w:bCs/>
      <w:kern w:val="44"/>
      <w:sz w:val="44"/>
      <w:szCs w:val="44"/>
    </w:rPr>
  </w:style>
  <w:style w:type="character" w:customStyle="1" w:styleId="35">
    <w:name w:val="标题 2 Char"/>
    <w:link w:val="3"/>
    <w:qFormat/>
    <w:uiPriority w:val="0"/>
    <w:rPr>
      <w:rFonts w:ascii="Arial" w:hAnsi="Arial" w:eastAsia="黑体"/>
      <w:b/>
      <w:bCs/>
      <w:kern w:val="2"/>
      <w:sz w:val="32"/>
      <w:szCs w:val="32"/>
    </w:rPr>
  </w:style>
  <w:style w:type="character" w:customStyle="1" w:styleId="36">
    <w:name w:val="标题 3 Char"/>
    <w:link w:val="4"/>
    <w:qFormat/>
    <w:uiPriority w:val="0"/>
    <w:rPr>
      <w:b/>
      <w:bCs/>
      <w:kern w:val="2"/>
      <w:sz w:val="32"/>
      <w:szCs w:val="32"/>
    </w:rPr>
  </w:style>
  <w:style w:type="character" w:customStyle="1" w:styleId="37">
    <w:name w:val="标题 4 Char"/>
    <w:link w:val="5"/>
    <w:qFormat/>
    <w:uiPriority w:val="0"/>
    <w:rPr>
      <w:rFonts w:ascii="Arial" w:hAnsi="Arial" w:eastAsia="黑体"/>
      <w:b/>
      <w:bCs/>
      <w:kern w:val="2"/>
      <w:sz w:val="28"/>
      <w:szCs w:val="28"/>
    </w:rPr>
  </w:style>
  <w:style w:type="character" w:customStyle="1" w:styleId="38">
    <w:name w:val="标题 5 Char"/>
    <w:link w:val="6"/>
    <w:qFormat/>
    <w:uiPriority w:val="0"/>
    <w:rPr>
      <w:b/>
      <w:bCs/>
      <w:kern w:val="2"/>
      <w:sz w:val="28"/>
      <w:szCs w:val="28"/>
    </w:rPr>
  </w:style>
  <w:style w:type="character" w:customStyle="1" w:styleId="39">
    <w:name w:val="标题 6 Char"/>
    <w:link w:val="7"/>
    <w:qFormat/>
    <w:uiPriority w:val="0"/>
    <w:rPr>
      <w:rFonts w:ascii="Arial" w:hAnsi="Arial" w:eastAsia="黑体"/>
      <w:b/>
      <w:bCs/>
      <w:kern w:val="2"/>
      <w:sz w:val="24"/>
      <w:szCs w:val="24"/>
    </w:rPr>
  </w:style>
  <w:style w:type="character" w:customStyle="1" w:styleId="40">
    <w:name w:val="标题 7 Char"/>
    <w:link w:val="8"/>
    <w:qFormat/>
    <w:uiPriority w:val="0"/>
    <w:rPr>
      <w:b/>
      <w:bCs/>
      <w:kern w:val="2"/>
      <w:sz w:val="24"/>
      <w:szCs w:val="24"/>
    </w:rPr>
  </w:style>
  <w:style w:type="character" w:customStyle="1" w:styleId="41">
    <w:name w:val="标题 8 Char"/>
    <w:link w:val="9"/>
    <w:qFormat/>
    <w:uiPriority w:val="0"/>
    <w:rPr>
      <w:rFonts w:ascii="Arial" w:hAnsi="Arial" w:eastAsia="黑体"/>
      <w:kern w:val="2"/>
      <w:sz w:val="24"/>
      <w:szCs w:val="24"/>
    </w:rPr>
  </w:style>
  <w:style w:type="character" w:customStyle="1" w:styleId="42">
    <w:name w:val="标题 9 Char"/>
    <w:link w:val="10"/>
    <w:qFormat/>
    <w:uiPriority w:val="0"/>
    <w:rPr>
      <w:rFonts w:ascii="Arial" w:hAnsi="Arial" w:eastAsia="黑体"/>
      <w:kern w:val="2"/>
      <w:sz w:val="21"/>
      <w:szCs w:val="21"/>
    </w:rPr>
  </w:style>
  <w:style w:type="character" w:customStyle="1" w:styleId="43">
    <w:name w:val="页眉 Char"/>
    <w:link w:val="18"/>
    <w:qFormat/>
    <w:uiPriority w:val="99"/>
    <w:rPr>
      <w:kern w:val="2"/>
      <w:sz w:val="18"/>
      <w:szCs w:val="18"/>
    </w:rPr>
  </w:style>
  <w:style w:type="character" w:customStyle="1" w:styleId="44">
    <w:name w:val="页脚 Char"/>
    <w:link w:val="17"/>
    <w:qFormat/>
    <w:uiPriority w:val="99"/>
    <w:rPr>
      <w:rFonts w:ascii="宋体"/>
      <w:kern w:val="2"/>
      <w:sz w:val="18"/>
      <w:szCs w:val="18"/>
    </w:rPr>
  </w:style>
  <w:style w:type="character" w:customStyle="1" w:styleId="45">
    <w:name w:val="批注框文本 Char"/>
    <w:link w:val="16"/>
    <w:semiHidden/>
    <w:qFormat/>
    <w:uiPriority w:val="99"/>
    <w:rPr>
      <w:kern w:val="2"/>
      <w:sz w:val="18"/>
      <w:szCs w:val="18"/>
    </w:rPr>
  </w:style>
  <w:style w:type="paragraph" w:customStyle="1" w:styleId="46">
    <w:name w:val="Quote"/>
    <w:basedOn w:val="1"/>
    <w:next w:val="1"/>
    <w:link w:val="47"/>
    <w:qFormat/>
    <w:uiPriority w:val="29"/>
    <w:rPr>
      <w:i/>
      <w:iCs/>
      <w:color w:val="000000"/>
    </w:rPr>
  </w:style>
  <w:style w:type="character" w:customStyle="1" w:styleId="47">
    <w:name w:val="引用 Char"/>
    <w:link w:val="46"/>
    <w:qFormat/>
    <w:uiPriority w:val="29"/>
    <w:rPr>
      <w:i/>
      <w:iCs/>
      <w:color w:val="000000"/>
      <w:kern w:val="2"/>
      <w:sz w:val="21"/>
      <w:szCs w:val="21"/>
    </w:rPr>
  </w:style>
  <w:style w:type="character" w:customStyle="1" w:styleId="48">
    <w:name w:val="标题 Char"/>
    <w:link w:val="25"/>
    <w:qFormat/>
    <w:uiPriority w:val="0"/>
    <w:rPr>
      <w:rFonts w:ascii="Arial" w:hAnsi="Arial" w:cs="Arial"/>
      <w:b/>
      <w:bCs/>
      <w:kern w:val="2"/>
      <w:sz w:val="32"/>
      <w:szCs w:val="32"/>
    </w:rPr>
  </w:style>
  <w:style w:type="paragraph" w:customStyle="1" w:styleId="49">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50">
    <w:name w:val="标准称谓"/>
    <w:next w:val="1"/>
    <w:qFormat/>
    <w:uiPriority w:val="0"/>
    <w:pPr>
      <w:framePr w:w="9638" w:h="754" w:hRule="exact" w:hSpace="180" w:vSpace="180" w:wrap="around" w:vAnchor="page" w:hAnchor="margin" w:xAlign="center" w:y="2128" w:anchorLock="1"/>
      <w:widowControl w:val="0"/>
      <w:kinsoku w:val="0"/>
      <w:overflowPunct w:val="0"/>
      <w:autoSpaceDE w:val="0"/>
      <w:autoSpaceDN w:val="0"/>
      <w:spacing w:line="0" w:lineRule="atLeast"/>
      <w:jc w:val="distribute"/>
    </w:pPr>
    <w:rPr>
      <w:rFonts w:ascii="宋体" w:hAnsi="Times New Roman" w:eastAsia="宋体" w:cs="Times New Roman"/>
      <w:b/>
      <w:bCs/>
      <w:w w:val="148"/>
      <w:sz w:val="52"/>
      <w:lang w:val="en-US" w:eastAsia="zh-CN" w:bidi="ar-SA"/>
    </w:rPr>
  </w:style>
  <w:style w:type="paragraph" w:customStyle="1" w:styleId="51">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52">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53">
    <w:name w:val="标准书眉一"/>
    <w:qFormat/>
    <w:uiPriority w:val="0"/>
    <w:pPr>
      <w:jc w:val="both"/>
    </w:pPr>
    <w:rPr>
      <w:rFonts w:ascii="Times New Roman" w:hAnsi="Times New Roman" w:eastAsia="宋体" w:cs="Times New Roman"/>
      <w:lang w:val="en-US" w:eastAsia="zh-CN" w:bidi="ar-SA"/>
    </w:rPr>
  </w:style>
  <w:style w:type="paragraph" w:customStyle="1" w:styleId="54">
    <w:name w:val="标准文件_ICS"/>
    <w:basedOn w:val="1"/>
    <w:qFormat/>
    <w:uiPriority w:val="0"/>
    <w:pPr>
      <w:spacing w:line="0" w:lineRule="atLeast"/>
    </w:pPr>
    <w:rPr>
      <w:rFonts w:ascii="黑体" w:hAnsi="宋体" w:eastAsia="黑体"/>
    </w:rPr>
  </w:style>
  <w:style w:type="paragraph" w:customStyle="1" w:styleId="55">
    <w:name w:val="标准文件_标准正文"/>
    <w:basedOn w:val="1"/>
    <w:next w:val="56"/>
    <w:qFormat/>
    <w:uiPriority w:val="0"/>
    <w:pPr>
      <w:snapToGrid w:val="0"/>
      <w:ind w:firstLine="200" w:firstLineChars="200"/>
    </w:pPr>
    <w:rPr>
      <w:kern w:val="0"/>
    </w:rPr>
  </w:style>
  <w:style w:type="paragraph" w:customStyle="1" w:styleId="56">
    <w:name w:val="标准文件_段"/>
    <w:link w:val="184"/>
    <w:qFormat/>
    <w:uiPriority w:val="0"/>
    <w:pPr>
      <w:ind w:firstLine="200" w:firstLineChars="200"/>
      <w:jc w:val="both"/>
    </w:pPr>
    <w:rPr>
      <w:rFonts w:ascii="宋体" w:hAnsi="Times New Roman" w:eastAsia="宋体" w:cs="Times New Roman"/>
      <w:sz w:val="21"/>
      <w:lang w:val="en-US" w:eastAsia="zh-CN" w:bidi="ar-SA"/>
    </w:rPr>
  </w:style>
  <w:style w:type="paragraph" w:customStyle="1" w:styleId="57">
    <w:name w:val="标准文件_版本"/>
    <w:basedOn w:val="55"/>
    <w:qFormat/>
    <w:uiPriority w:val="0"/>
    <w:pPr>
      <w:adjustRightInd/>
      <w:snapToGrid/>
      <w:ind w:firstLine="0" w:firstLineChars="0"/>
    </w:pPr>
    <w:rPr>
      <w:rFonts w:ascii="宋体" w:hAnsi="宋体"/>
      <w:kern w:val="2"/>
    </w:rPr>
  </w:style>
  <w:style w:type="paragraph" w:customStyle="1" w:styleId="58">
    <w:name w:val="标准文件_标准部门"/>
    <w:basedOn w:val="1"/>
    <w:qFormat/>
    <w:uiPriority w:val="0"/>
    <w:pPr>
      <w:jc w:val="center"/>
    </w:pPr>
    <w:rPr>
      <w:rFonts w:ascii="黑体" w:eastAsia="黑体"/>
      <w:kern w:val="0"/>
      <w:sz w:val="44"/>
    </w:rPr>
  </w:style>
  <w:style w:type="paragraph" w:customStyle="1" w:styleId="59">
    <w:name w:val="标准文件_标准代替"/>
    <w:basedOn w:val="1"/>
    <w:next w:val="1"/>
    <w:qFormat/>
    <w:uiPriority w:val="0"/>
    <w:pPr>
      <w:spacing w:line="310" w:lineRule="exact"/>
      <w:jc w:val="right"/>
    </w:pPr>
    <w:rPr>
      <w:rFonts w:ascii="宋体" w:hAnsi="宋体"/>
      <w:kern w:val="0"/>
    </w:rPr>
  </w:style>
  <w:style w:type="paragraph" w:customStyle="1" w:styleId="60">
    <w:name w:val="标准文件_标准名称标题"/>
    <w:basedOn w:val="1"/>
    <w:next w:val="1"/>
    <w:qFormat/>
    <w:uiPriority w:val="0"/>
    <w:pPr>
      <w:widowControl/>
      <w:shd w:val="clear" w:color="FFFFFF" w:fill="FFFFFF"/>
      <w:adjustRightInd/>
      <w:spacing w:before="640" w:after="100"/>
      <w:jc w:val="center"/>
    </w:pPr>
    <w:rPr>
      <w:rFonts w:ascii="黑体" w:eastAsia="黑体"/>
      <w:kern w:val="0"/>
      <w:sz w:val="32"/>
    </w:rPr>
  </w:style>
  <w:style w:type="paragraph" w:customStyle="1" w:styleId="61">
    <w:name w:val="标准文件_页眉奇数页"/>
    <w:next w:val="1"/>
    <w:qFormat/>
    <w:uiPriority w:val="0"/>
    <w:pPr>
      <w:tabs>
        <w:tab w:val="center" w:pos="4154"/>
        <w:tab w:val="right" w:pos="8306"/>
      </w:tabs>
      <w:spacing w:after="120"/>
      <w:jc w:val="right"/>
    </w:pPr>
    <w:rPr>
      <w:rFonts w:ascii="黑体" w:hAnsi="宋体" w:eastAsia="黑体" w:cs="Times New Roman"/>
      <w:sz w:val="21"/>
      <w:lang w:val="en-US" w:eastAsia="zh-CN" w:bidi="ar-SA"/>
    </w:rPr>
  </w:style>
  <w:style w:type="paragraph" w:customStyle="1" w:styleId="62">
    <w:name w:val="标准文件_页眉偶数页"/>
    <w:basedOn w:val="61"/>
    <w:next w:val="1"/>
    <w:qFormat/>
    <w:uiPriority w:val="0"/>
    <w:pPr>
      <w:jc w:val="left"/>
    </w:pPr>
  </w:style>
  <w:style w:type="paragraph" w:customStyle="1" w:styleId="63">
    <w:name w:val="标准文件_参考文献标题"/>
    <w:basedOn w:val="1"/>
    <w:next w:val="1"/>
    <w:qFormat/>
    <w:uiPriority w:val="0"/>
    <w:pPr>
      <w:widowControl/>
      <w:shd w:val="clear" w:color="FFFFFF" w:fill="FFFFFF"/>
      <w:adjustRightInd/>
      <w:spacing w:before="580" w:after="50" w:afterLines="50" w:line="240" w:lineRule="auto"/>
      <w:jc w:val="center"/>
      <w:outlineLvl w:val="0"/>
    </w:pPr>
    <w:rPr>
      <w:rFonts w:ascii="黑体" w:eastAsia="黑体"/>
      <w:kern w:val="0"/>
    </w:rPr>
  </w:style>
  <w:style w:type="paragraph" w:customStyle="1" w:styleId="64">
    <w:name w:val="标准文件_参考文献条目"/>
    <w:qFormat/>
    <w:uiPriority w:val="0"/>
    <w:pPr>
      <w:numPr>
        <w:ilvl w:val="0"/>
        <w:numId w:val="1"/>
      </w:numPr>
    </w:pPr>
    <w:rPr>
      <w:rFonts w:ascii="宋体" w:hAnsi="Times New Roman" w:eastAsia="宋体" w:cs="Times New Roman"/>
      <w:lang w:val="en-US" w:eastAsia="zh-CN" w:bidi="ar-SA"/>
    </w:rPr>
  </w:style>
  <w:style w:type="paragraph" w:customStyle="1" w:styleId="65">
    <w:name w:val="标准文件_二级条标题"/>
    <w:next w:val="56"/>
    <w:qFormat/>
    <w:uiPriority w:val="0"/>
    <w:pPr>
      <w:widowControl w:val="0"/>
      <w:numPr>
        <w:ilvl w:val="3"/>
        <w:numId w:val="2"/>
      </w:numPr>
      <w:spacing w:before="50" w:beforeLines="50" w:after="50" w:afterLines="50"/>
      <w:jc w:val="both"/>
      <w:outlineLvl w:val="2"/>
    </w:pPr>
    <w:rPr>
      <w:rFonts w:ascii="黑体" w:hAnsi="Times New Roman" w:eastAsia="黑体" w:cs="Times New Roman"/>
      <w:sz w:val="21"/>
      <w:lang w:val="en-US" w:eastAsia="zh-CN" w:bidi="ar-SA"/>
    </w:rPr>
  </w:style>
  <w:style w:type="character" w:customStyle="1" w:styleId="66">
    <w:name w:val="标准文件_发布"/>
    <w:qFormat/>
    <w:uiPriority w:val="0"/>
    <w:rPr>
      <w:rFonts w:ascii="黑体" w:eastAsia="黑体"/>
      <w:spacing w:val="0"/>
      <w:w w:val="100"/>
      <w:position w:val="3"/>
      <w:sz w:val="28"/>
    </w:rPr>
  </w:style>
  <w:style w:type="paragraph" w:customStyle="1" w:styleId="67">
    <w:name w:val="标准文件_方框数字列项"/>
    <w:basedOn w:val="56"/>
    <w:qFormat/>
    <w:uiPriority w:val="0"/>
    <w:pPr>
      <w:numPr>
        <w:ilvl w:val="0"/>
        <w:numId w:val="3"/>
      </w:numPr>
      <w:ind w:firstLine="0" w:firstLineChars="0"/>
    </w:pPr>
  </w:style>
  <w:style w:type="paragraph" w:customStyle="1" w:styleId="68">
    <w:name w:val="标准文件_封面标准编号"/>
    <w:basedOn w:val="1"/>
    <w:next w:val="59"/>
    <w:qFormat/>
    <w:uiPriority w:val="0"/>
    <w:pPr>
      <w:spacing w:line="310" w:lineRule="exact"/>
      <w:jc w:val="right"/>
    </w:pPr>
    <w:rPr>
      <w:rFonts w:ascii="黑体" w:eastAsia="黑体"/>
      <w:kern w:val="0"/>
      <w:sz w:val="28"/>
    </w:rPr>
  </w:style>
  <w:style w:type="paragraph" w:customStyle="1" w:styleId="69">
    <w:name w:val="标准文件_封面标准分类号"/>
    <w:basedOn w:val="1"/>
    <w:qFormat/>
    <w:uiPriority w:val="0"/>
    <w:rPr>
      <w:rFonts w:ascii="黑体" w:eastAsia="黑体"/>
      <w:b/>
      <w:kern w:val="0"/>
      <w:sz w:val="28"/>
    </w:rPr>
  </w:style>
  <w:style w:type="paragraph" w:customStyle="1" w:styleId="70">
    <w:name w:val="标准文件_封面标准名称"/>
    <w:basedOn w:val="1"/>
    <w:qFormat/>
    <w:uiPriority w:val="0"/>
    <w:pPr>
      <w:spacing w:line="240" w:lineRule="auto"/>
      <w:jc w:val="center"/>
    </w:pPr>
    <w:rPr>
      <w:rFonts w:ascii="黑体" w:eastAsia="黑体"/>
      <w:kern w:val="0"/>
      <w:sz w:val="52"/>
    </w:rPr>
  </w:style>
  <w:style w:type="paragraph" w:customStyle="1" w:styleId="71">
    <w:name w:val="标准文件_封面标准英文名称"/>
    <w:basedOn w:val="1"/>
    <w:qFormat/>
    <w:uiPriority w:val="0"/>
    <w:pPr>
      <w:spacing w:line="240" w:lineRule="auto"/>
      <w:jc w:val="center"/>
    </w:pPr>
    <w:rPr>
      <w:rFonts w:ascii="黑体" w:eastAsia="黑体"/>
      <w:b/>
      <w:sz w:val="28"/>
    </w:rPr>
  </w:style>
  <w:style w:type="paragraph" w:customStyle="1" w:styleId="72">
    <w:name w:val="标准文件_封面发布日期"/>
    <w:basedOn w:val="1"/>
    <w:qFormat/>
    <w:uiPriority w:val="0"/>
    <w:pPr>
      <w:spacing w:line="310" w:lineRule="exact"/>
    </w:pPr>
    <w:rPr>
      <w:rFonts w:ascii="黑体" w:eastAsia="黑体"/>
      <w:kern w:val="0"/>
      <w:sz w:val="28"/>
    </w:rPr>
  </w:style>
  <w:style w:type="paragraph" w:customStyle="1" w:styleId="73">
    <w:name w:val="标准文件_封面密级"/>
    <w:basedOn w:val="1"/>
    <w:qFormat/>
    <w:uiPriority w:val="0"/>
    <w:rPr>
      <w:rFonts w:eastAsia="黑体"/>
      <w:sz w:val="32"/>
    </w:rPr>
  </w:style>
  <w:style w:type="paragraph" w:customStyle="1" w:styleId="74">
    <w:name w:val="标准文件_封面实施日期"/>
    <w:basedOn w:val="1"/>
    <w:qFormat/>
    <w:uiPriority w:val="0"/>
    <w:pPr>
      <w:spacing w:line="310" w:lineRule="exact"/>
      <w:jc w:val="right"/>
    </w:pPr>
    <w:rPr>
      <w:rFonts w:ascii="黑体" w:eastAsia="黑体"/>
      <w:sz w:val="28"/>
    </w:rPr>
  </w:style>
  <w:style w:type="paragraph" w:customStyle="1" w:styleId="75">
    <w:name w:val="标准文件_封面抬头"/>
    <w:basedOn w:val="56"/>
    <w:qFormat/>
    <w:uiPriority w:val="0"/>
    <w:pPr>
      <w:adjustRightInd w:val="0"/>
      <w:spacing w:line="800" w:lineRule="exact"/>
      <w:ind w:firstLine="0" w:firstLineChars="0"/>
      <w:jc w:val="distribute"/>
    </w:pPr>
    <w:rPr>
      <w:rFonts w:ascii="黑体" w:eastAsia="黑体"/>
      <w:b/>
      <w:sz w:val="64"/>
    </w:rPr>
  </w:style>
  <w:style w:type="paragraph" w:customStyle="1" w:styleId="76">
    <w:name w:val="标准文件_附录标识"/>
    <w:next w:val="56"/>
    <w:qFormat/>
    <w:uiPriority w:val="0"/>
    <w:pPr>
      <w:numPr>
        <w:ilvl w:val="0"/>
        <w:numId w:val="4"/>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77">
    <w:name w:val="标准文件_附录表标题"/>
    <w:next w:val="56"/>
    <w:qFormat/>
    <w:uiPriority w:val="0"/>
    <w:pPr>
      <w:numPr>
        <w:ilvl w:val="1"/>
        <w:numId w:val="5"/>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 w:type="paragraph" w:customStyle="1" w:styleId="78">
    <w:name w:val="标准文件_附录一级条标题"/>
    <w:next w:val="56"/>
    <w:qFormat/>
    <w:uiPriority w:val="0"/>
    <w:pPr>
      <w:widowControl w:val="0"/>
      <w:numPr>
        <w:ilvl w:val="1"/>
        <w:numId w:val="4"/>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79">
    <w:name w:val="标准文件_附录二级条标题"/>
    <w:basedOn w:val="78"/>
    <w:next w:val="56"/>
    <w:qFormat/>
    <w:uiPriority w:val="0"/>
    <w:pPr>
      <w:widowControl/>
      <w:numPr>
        <w:ilvl w:val="2"/>
      </w:numPr>
      <w:wordWrap w:val="0"/>
      <w:overflowPunct w:val="0"/>
      <w:autoSpaceDE w:val="0"/>
      <w:autoSpaceDN w:val="0"/>
      <w:textAlignment w:val="baseline"/>
      <w:outlineLvl w:val="3"/>
    </w:pPr>
  </w:style>
  <w:style w:type="paragraph" w:customStyle="1" w:styleId="80">
    <w:name w:val="标准文件_附录公式"/>
    <w:basedOn w:val="55"/>
    <w:next w:val="55"/>
    <w:qFormat/>
    <w:uiPriority w:val="0"/>
    <w:pPr>
      <w:tabs>
        <w:tab w:val="center" w:pos="4678"/>
        <w:tab w:val="right" w:leader="middleDot" w:pos="9356"/>
      </w:tabs>
      <w:spacing w:line="240" w:lineRule="auto"/>
      <w:ind w:right="-51" w:firstLine="0" w:firstLineChars="0"/>
    </w:pPr>
    <w:rPr>
      <w:rFonts w:ascii="宋体" w:hAnsi="宋体"/>
    </w:rPr>
  </w:style>
  <w:style w:type="paragraph" w:customStyle="1" w:styleId="81">
    <w:name w:val="标准文件_附录三级条标题"/>
    <w:next w:val="56"/>
    <w:qFormat/>
    <w:uiPriority w:val="0"/>
    <w:pPr>
      <w:widowControl w:val="0"/>
      <w:numPr>
        <w:ilvl w:val="3"/>
        <w:numId w:val="4"/>
      </w:numPr>
      <w:spacing w:before="50" w:beforeLines="50" w:after="50" w:afterLines="50"/>
      <w:jc w:val="both"/>
      <w:outlineLvl w:val="4"/>
    </w:pPr>
    <w:rPr>
      <w:rFonts w:ascii="黑体" w:hAnsi="Times New Roman" w:eastAsia="黑体" w:cs="Times New Roman"/>
      <w:kern w:val="21"/>
      <w:sz w:val="21"/>
      <w:lang w:val="en-US" w:eastAsia="zh-CN" w:bidi="ar-SA"/>
    </w:rPr>
  </w:style>
  <w:style w:type="paragraph" w:customStyle="1" w:styleId="82">
    <w:name w:val="标准文件_附录四级条标题"/>
    <w:next w:val="56"/>
    <w:qFormat/>
    <w:uiPriority w:val="0"/>
    <w:pPr>
      <w:widowControl w:val="0"/>
      <w:numPr>
        <w:ilvl w:val="4"/>
        <w:numId w:val="4"/>
      </w:numPr>
      <w:spacing w:before="50" w:beforeLines="50" w:after="50" w:afterLines="50"/>
      <w:jc w:val="both"/>
      <w:outlineLvl w:val="5"/>
    </w:pPr>
    <w:rPr>
      <w:rFonts w:ascii="黑体" w:hAnsi="Times New Roman" w:eastAsia="黑体" w:cs="Times New Roman"/>
      <w:kern w:val="21"/>
      <w:sz w:val="21"/>
      <w:lang w:val="en-US" w:eastAsia="zh-CN" w:bidi="ar-SA"/>
    </w:rPr>
  </w:style>
  <w:style w:type="paragraph" w:customStyle="1" w:styleId="83">
    <w:name w:val="标准文件_附录图标题"/>
    <w:next w:val="56"/>
    <w:qFormat/>
    <w:uiPriority w:val="0"/>
    <w:pPr>
      <w:numPr>
        <w:ilvl w:val="1"/>
        <w:numId w:val="6"/>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4">
    <w:name w:val="标准文件_附录五级条标题"/>
    <w:next w:val="56"/>
    <w:qFormat/>
    <w:uiPriority w:val="0"/>
    <w:pPr>
      <w:widowControl w:val="0"/>
      <w:numPr>
        <w:ilvl w:val="5"/>
        <w:numId w:val="4"/>
      </w:numPr>
      <w:spacing w:before="50" w:beforeLines="50" w:after="50" w:afterLines="50"/>
      <w:jc w:val="both"/>
      <w:outlineLvl w:val="6"/>
    </w:pPr>
    <w:rPr>
      <w:rFonts w:ascii="黑体" w:hAnsi="Times New Roman" w:eastAsia="黑体" w:cs="Times New Roman"/>
      <w:kern w:val="21"/>
      <w:sz w:val="21"/>
      <w:lang w:val="en-US" w:eastAsia="zh-CN" w:bidi="ar-SA"/>
    </w:rPr>
  </w:style>
  <w:style w:type="paragraph" w:customStyle="1" w:styleId="85">
    <w:name w:val="标准文件_附录英文标识"/>
    <w:next w:val="13"/>
    <w:qFormat/>
    <w:uiPriority w:val="0"/>
    <w:pPr>
      <w:numPr>
        <w:ilvl w:val="0"/>
        <w:numId w:val="7"/>
      </w:numPr>
      <w:tabs>
        <w:tab w:val="left" w:pos="6406"/>
      </w:tabs>
      <w:spacing w:before="220" w:after="320"/>
      <w:jc w:val="center"/>
      <w:outlineLvl w:val="0"/>
    </w:pPr>
    <w:rPr>
      <w:rFonts w:ascii="黑体" w:hAnsi="Times New Roman" w:eastAsia="黑体" w:cs="Times New Roman"/>
      <w:sz w:val="21"/>
      <w:lang w:val="en-US" w:eastAsia="zh-CN" w:bidi="ar-SA"/>
    </w:rPr>
  </w:style>
  <w:style w:type="character" w:customStyle="1" w:styleId="86">
    <w:name w:val="正文文本 Char"/>
    <w:link w:val="13"/>
    <w:qFormat/>
    <w:uiPriority w:val="0"/>
    <w:rPr>
      <w:kern w:val="2"/>
      <w:sz w:val="21"/>
      <w:szCs w:val="21"/>
    </w:rPr>
  </w:style>
  <w:style w:type="paragraph" w:customStyle="1" w:styleId="87">
    <w:name w:val="标准文件_附录章标题"/>
    <w:next w:val="56"/>
    <w:qFormat/>
    <w:uiPriority w:val="0"/>
    <w:pPr>
      <w:wordWrap w:val="0"/>
      <w:overflowPunct w:val="0"/>
      <w:autoSpaceDE w:val="0"/>
      <w:spacing w:beforeLines="50" w:afterLines="50"/>
      <w:jc w:val="both"/>
      <w:textAlignment w:val="baseline"/>
      <w:outlineLvl w:val="1"/>
    </w:pPr>
    <w:rPr>
      <w:rFonts w:ascii="黑体" w:hAnsi="Times New Roman" w:eastAsia="黑体" w:cs="Times New Roman"/>
      <w:kern w:val="21"/>
      <w:sz w:val="21"/>
      <w:lang w:val="en-US" w:eastAsia="zh-CN" w:bidi="ar-SA"/>
    </w:rPr>
  </w:style>
  <w:style w:type="paragraph" w:customStyle="1" w:styleId="88">
    <w:name w:val="标准文件_公式后的破折号"/>
    <w:basedOn w:val="56"/>
    <w:next w:val="56"/>
    <w:qFormat/>
    <w:uiPriority w:val="0"/>
    <w:pPr>
      <w:ind w:left="488" w:leftChars="200" w:hanging="289" w:hangingChars="290"/>
    </w:pPr>
  </w:style>
  <w:style w:type="paragraph" w:customStyle="1" w:styleId="89">
    <w:name w:val="标准文件_前言、引言标题"/>
    <w:next w:val="1"/>
    <w:qFormat/>
    <w:uiPriority w:val="0"/>
    <w:pPr>
      <w:numPr>
        <w:ilvl w:val="0"/>
        <w:numId w:val="8"/>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90">
    <w:name w:val="标准文件_目次、标准名称标题"/>
    <w:basedOn w:val="89"/>
    <w:next w:val="56"/>
    <w:qFormat/>
    <w:uiPriority w:val="0"/>
    <w:pPr>
      <w:spacing w:line="460" w:lineRule="exact"/>
      <w:ind w:left="0" w:firstLine="0"/>
    </w:pPr>
  </w:style>
  <w:style w:type="paragraph" w:customStyle="1" w:styleId="91">
    <w:name w:val="标准文件_目录标题"/>
    <w:basedOn w:val="1"/>
    <w:qFormat/>
    <w:uiPriority w:val="0"/>
    <w:pPr>
      <w:spacing w:before="480" w:after="150" w:afterLines="150" w:line="240" w:lineRule="auto"/>
      <w:jc w:val="center"/>
    </w:pPr>
    <w:rPr>
      <w:rFonts w:ascii="黑体" w:eastAsia="黑体"/>
      <w:sz w:val="32"/>
    </w:rPr>
  </w:style>
  <w:style w:type="paragraph" w:customStyle="1" w:styleId="92">
    <w:name w:val="标准文件_破折号列项"/>
    <w:qFormat/>
    <w:uiPriority w:val="0"/>
    <w:pPr>
      <w:numPr>
        <w:ilvl w:val="0"/>
        <w:numId w:val="9"/>
      </w:numPr>
      <w:adjustRightInd w:val="0"/>
      <w:snapToGrid w:val="0"/>
      <w:ind w:firstLine="200" w:firstLineChars="200"/>
    </w:pPr>
    <w:rPr>
      <w:rFonts w:ascii="Times New Roman" w:hAnsi="Times New Roman" w:eastAsia="宋体" w:cs="Times New Roman"/>
      <w:sz w:val="21"/>
      <w:lang w:val="en-US" w:eastAsia="zh-CN" w:bidi="ar-SA"/>
    </w:rPr>
  </w:style>
  <w:style w:type="paragraph" w:customStyle="1" w:styleId="93">
    <w:name w:val="标准文件_破折号列项（二级）"/>
    <w:basedOn w:val="92"/>
    <w:qFormat/>
    <w:uiPriority w:val="0"/>
    <w:pPr>
      <w:numPr>
        <w:numId w:val="10"/>
      </w:numPr>
    </w:pPr>
  </w:style>
  <w:style w:type="paragraph" w:customStyle="1" w:styleId="94">
    <w:name w:val="标准文件_三级条标题"/>
    <w:basedOn w:val="65"/>
    <w:next w:val="56"/>
    <w:qFormat/>
    <w:uiPriority w:val="0"/>
    <w:pPr>
      <w:widowControl/>
      <w:numPr>
        <w:ilvl w:val="4"/>
      </w:numPr>
      <w:outlineLvl w:val="3"/>
    </w:pPr>
  </w:style>
  <w:style w:type="character" w:customStyle="1" w:styleId="95">
    <w:name w:val="不明显参考1"/>
    <w:qFormat/>
    <w:uiPriority w:val="31"/>
    <w:rPr>
      <w:smallCaps/>
      <w:color w:val="C0504D"/>
      <w:u w:val="single"/>
    </w:rPr>
  </w:style>
  <w:style w:type="paragraph" w:customStyle="1" w:styleId="96">
    <w:name w:val="标准文件_示例后续"/>
    <w:basedOn w:val="1"/>
    <w:qFormat/>
    <w:uiPriority w:val="0"/>
    <w:pPr>
      <w:adjustRightInd/>
      <w:spacing w:line="240" w:lineRule="auto"/>
      <w:ind w:firstLine="200" w:firstLineChars="200"/>
    </w:pPr>
    <w:rPr>
      <w:sz w:val="18"/>
      <w:szCs w:val="24"/>
    </w:rPr>
  </w:style>
  <w:style w:type="paragraph" w:customStyle="1" w:styleId="97">
    <w:name w:val="标准文件_数字编号列项"/>
    <w:qFormat/>
    <w:uiPriority w:val="0"/>
    <w:pPr>
      <w:numPr>
        <w:ilvl w:val="0"/>
        <w:numId w:val="11"/>
      </w:numPr>
      <w:jc w:val="both"/>
    </w:pPr>
    <w:rPr>
      <w:rFonts w:ascii="宋体" w:hAnsi="宋体" w:eastAsia="宋体" w:cs="Times New Roman"/>
      <w:sz w:val="21"/>
      <w:lang w:val="en-US" w:eastAsia="zh-CN" w:bidi="ar-SA"/>
    </w:rPr>
  </w:style>
  <w:style w:type="paragraph" w:customStyle="1" w:styleId="98">
    <w:name w:val="标准文件_四级条标题"/>
    <w:next w:val="56"/>
    <w:qFormat/>
    <w:uiPriority w:val="0"/>
    <w:pPr>
      <w:widowControl w:val="0"/>
      <w:numPr>
        <w:ilvl w:val="5"/>
        <w:numId w:val="2"/>
      </w:numPr>
      <w:spacing w:before="50" w:beforeLines="50" w:after="50" w:afterLines="50"/>
      <w:jc w:val="both"/>
      <w:outlineLvl w:val="4"/>
    </w:pPr>
    <w:rPr>
      <w:rFonts w:ascii="黑体" w:hAnsi="Times New Roman" w:eastAsia="黑体" w:cs="Times New Roman"/>
      <w:sz w:val="21"/>
      <w:lang w:val="en-US" w:eastAsia="zh-CN" w:bidi="ar-SA"/>
    </w:rPr>
  </w:style>
  <w:style w:type="character" w:customStyle="1" w:styleId="99">
    <w:name w:val="脚注文本 Char"/>
    <w:link w:val="21"/>
    <w:semiHidden/>
    <w:qFormat/>
    <w:uiPriority w:val="0"/>
    <w:rPr>
      <w:rFonts w:ascii="宋体"/>
      <w:kern w:val="2"/>
      <w:sz w:val="18"/>
      <w:szCs w:val="18"/>
    </w:rPr>
  </w:style>
  <w:style w:type="paragraph" w:customStyle="1" w:styleId="100">
    <w:name w:val="标准文件_条文脚注"/>
    <w:basedOn w:val="21"/>
    <w:qFormat/>
    <w:uiPriority w:val="0"/>
    <w:pPr>
      <w:adjustRightInd w:val="0"/>
      <w:spacing w:line="240" w:lineRule="auto"/>
      <w:ind w:left="0" w:leftChars="0" w:firstLine="200" w:firstLineChars="200"/>
      <w:jc w:val="both"/>
    </w:pPr>
    <w:rPr>
      <w:rFonts w:hAnsi="宋体"/>
    </w:rPr>
  </w:style>
  <w:style w:type="paragraph" w:customStyle="1" w:styleId="101">
    <w:name w:val="标准文件_图表脚注"/>
    <w:basedOn w:val="1"/>
    <w:next w:val="56"/>
    <w:qFormat/>
    <w:uiPriority w:val="0"/>
    <w:pPr>
      <w:numPr>
        <w:ilvl w:val="0"/>
        <w:numId w:val="12"/>
      </w:numPr>
      <w:spacing w:line="240" w:lineRule="auto"/>
      <w:jc w:val="left"/>
    </w:pPr>
    <w:rPr>
      <w:rFonts w:ascii="宋体" w:hAnsi="宋体"/>
      <w:sz w:val="18"/>
    </w:rPr>
  </w:style>
  <w:style w:type="character" w:customStyle="1" w:styleId="102">
    <w:name w:val="标准文件_图表脚注内容"/>
    <w:qFormat/>
    <w:uiPriority w:val="0"/>
    <w:rPr>
      <w:rFonts w:ascii="宋体" w:hAnsi="宋体" w:eastAsia="宋体" w:cs="Times New Roman"/>
      <w:spacing w:val="0"/>
      <w:sz w:val="18"/>
      <w:vertAlign w:val="superscript"/>
    </w:rPr>
  </w:style>
  <w:style w:type="paragraph" w:customStyle="1" w:styleId="103">
    <w:name w:val="标准文件_五级条标题"/>
    <w:next w:val="56"/>
    <w:qFormat/>
    <w:uiPriority w:val="0"/>
    <w:pPr>
      <w:widowControl w:val="0"/>
      <w:numPr>
        <w:ilvl w:val="6"/>
        <w:numId w:val="2"/>
      </w:numPr>
      <w:spacing w:before="50" w:beforeLines="50" w:after="50" w:afterLines="50"/>
      <w:jc w:val="both"/>
      <w:outlineLvl w:val="5"/>
    </w:pPr>
    <w:rPr>
      <w:rFonts w:ascii="黑体" w:hAnsi="Times New Roman" w:eastAsia="黑体" w:cs="Times New Roman"/>
      <w:sz w:val="21"/>
      <w:lang w:val="en-US" w:eastAsia="zh-CN" w:bidi="ar-SA"/>
    </w:rPr>
  </w:style>
  <w:style w:type="paragraph" w:customStyle="1" w:styleId="104">
    <w:name w:val="标准文件_章标题"/>
    <w:next w:val="56"/>
    <w:qFormat/>
    <w:uiPriority w:val="0"/>
    <w:pPr>
      <w:numPr>
        <w:ilvl w:val="1"/>
        <w:numId w:val="2"/>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105">
    <w:name w:val="标准文件_一级条标题"/>
    <w:basedOn w:val="104"/>
    <w:next w:val="56"/>
    <w:qFormat/>
    <w:uiPriority w:val="0"/>
    <w:pPr>
      <w:numPr>
        <w:ilvl w:val="2"/>
      </w:numPr>
      <w:spacing w:before="50" w:beforeLines="50" w:after="50" w:afterLines="50"/>
      <w:outlineLvl w:val="1"/>
    </w:pPr>
  </w:style>
  <w:style w:type="paragraph" w:customStyle="1" w:styleId="106">
    <w:name w:val="标准文件_一致程度"/>
    <w:basedOn w:val="1"/>
    <w:qFormat/>
    <w:uiPriority w:val="0"/>
    <w:pPr>
      <w:spacing w:line="440" w:lineRule="exact"/>
      <w:jc w:val="center"/>
    </w:pPr>
    <w:rPr>
      <w:sz w:val="28"/>
    </w:rPr>
  </w:style>
  <w:style w:type="paragraph" w:customStyle="1" w:styleId="107">
    <w:name w:val="标准文件_引言标题"/>
    <w:next w:val="1"/>
    <w:qFormat/>
    <w:uiPriority w:val="0"/>
    <w:p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08">
    <w:name w:val="标准文件_英文图表脚注"/>
    <w:basedOn w:val="55"/>
    <w:qFormat/>
    <w:uiPriority w:val="0"/>
    <w:pPr>
      <w:widowControl/>
      <w:adjustRightInd/>
      <w:snapToGrid/>
      <w:spacing w:line="240" w:lineRule="auto"/>
      <w:ind w:left="79" w:hanging="79" w:hangingChars="80"/>
    </w:pPr>
    <w:rPr>
      <w:rFonts w:ascii="宋体" w:hAnsi="宋体"/>
    </w:rPr>
  </w:style>
  <w:style w:type="paragraph" w:customStyle="1" w:styleId="109">
    <w:name w:val="标准文件_数字编号列项（二级）"/>
    <w:qFormat/>
    <w:uiPriority w:val="0"/>
    <w:pPr>
      <w:numPr>
        <w:ilvl w:val="1"/>
        <w:numId w:val="13"/>
      </w:numPr>
      <w:jc w:val="both"/>
    </w:pPr>
    <w:rPr>
      <w:rFonts w:ascii="宋体" w:hAnsi="Times New Roman" w:eastAsia="宋体" w:cs="Times New Roman"/>
      <w:sz w:val="21"/>
      <w:lang w:val="en-US" w:eastAsia="zh-CN" w:bidi="ar-SA"/>
    </w:rPr>
  </w:style>
  <w:style w:type="paragraph" w:customStyle="1" w:styleId="110">
    <w:name w:val="标准文件_英文注："/>
    <w:basedOn w:val="1"/>
    <w:next w:val="56"/>
    <w:qFormat/>
    <w:uiPriority w:val="0"/>
    <w:pPr>
      <w:numPr>
        <w:ilvl w:val="0"/>
        <w:numId w:val="14"/>
      </w:numPr>
      <w:tabs>
        <w:tab w:val="left" w:pos="420"/>
      </w:tabs>
      <w:autoSpaceDE w:val="0"/>
      <w:autoSpaceDN w:val="0"/>
      <w:spacing w:line="240" w:lineRule="auto"/>
    </w:pPr>
    <w:rPr>
      <w:rFonts w:ascii="宋体" w:hAnsi="宋体"/>
      <w:kern w:val="0"/>
      <w:sz w:val="18"/>
      <w:szCs w:val="20"/>
    </w:rPr>
  </w:style>
  <w:style w:type="paragraph" w:customStyle="1" w:styleId="111">
    <w:name w:val="标准文件_英文注×："/>
    <w:basedOn w:val="1"/>
    <w:qFormat/>
    <w:uiPriority w:val="0"/>
    <w:pPr>
      <w:numPr>
        <w:ilvl w:val="0"/>
        <w:numId w:val="15"/>
      </w:numPr>
      <w:tabs>
        <w:tab w:val="left" w:pos="210"/>
      </w:tabs>
      <w:autoSpaceDE w:val="0"/>
      <w:autoSpaceDN w:val="0"/>
      <w:spacing w:line="240" w:lineRule="auto"/>
    </w:pPr>
    <w:rPr>
      <w:rFonts w:ascii="宋体" w:hAnsi="宋体"/>
      <w:kern w:val="0"/>
      <w:szCs w:val="20"/>
    </w:rPr>
  </w:style>
  <w:style w:type="paragraph" w:customStyle="1" w:styleId="112">
    <w:name w:val="标准文件_正文表标题"/>
    <w:next w:val="56"/>
    <w:qFormat/>
    <w:uiPriority w:val="0"/>
    <w:pPr>
      <w:numPr>
        <w:ilvl w:val="0"/>
        <w:numId w:val="16"/>
      </w:numPr>
      <w:tabs>
        <w:tab w:val="left" w:pos="0"/>
      </w:tabs>
      <w:spacing w:before="50" w:beforeLines="50" w:after="50" w:afterLines="50"/>
      <w:jc w:val="center"/>
    </w:pPr>
    <w:rPr>
      <w:rFonts w:ascii="黑体" w:hAnsi="Times New Roman" w:eastAsia="黑体" w:cs="Times New Roman"/>
      <w:sz w:val="21"/>
      <w:lang w:val="en-US" w:eastAsia="zh-CN" w:bidi="ar-SA"/>
    </w:rPr>
  </w:style>
  <w:style w:type="paragraph" w:customStyle="1" w:styleId="113">
    <w:name w:val="标准文件_正文公式"/>
    <w:basedOn w:val="1"/>
    <w:next w:val="55"/>
    <w:qFormat/>
    <w:uiPriority w:val="0"/>
    <w:pPr>
      <w:tabs>
        <w:tab w:val="center" w:pos="4678"/>
        <w:tab w:val="right" w:leader="middleDot" w:pos="9356"/>
      </w:tabs>
      <w:spacing w:line="240" w:lineRule="auto"/>
    </w:pPr>
    <w:rPr>
      <w:rFonts w:ascii="宋体" w:hAnsi="宋体"/>
    </w:rPr>
  </w:style>
  <w:style w:type="paragraph" w:customStyle="1" w:styleId="114">
    <w:name w:val="标准文件_正文图标题"/>
    <w:next w:val="56"/>
    <w:qFormat/>
    <w:uiPriority w:val="0"/>
    <w:pPr>
      <w:numPr>
        <w:ilvl w:val="0"/>
        <w:numId w:val="17"/>
      </w:numPr>
      <w:spacing w:before="50" w:beforeLines="50" w:after="50" w:afterLines="50"/>
      <w:jc w:val="center"/>
    </w:pPr>
    <w:rPr>
      <w:rFonts w:ascii="黑体" w:hAnsi="Times New Roman" w:eastAsia="黑体" w:cs="Times New Roman"/>
      <w:sz w:val="21"/>
      <w:lang w:val="en-US" w:eastAsia="zh-CN" w:bidi="ar-SA"/>
    </w:rPr>
  </w:style>
  <w:style w:type="paragraph" w:customStyle="1" w:styleId="115">
    <w:name w:val="标准文件_正文英文表标题"/>
    <w:next w:val="56"/>
    <w:qFormat/>
    <w:uiPriority w:val="0"/>
    <w:pPr>
      <w:numPr>
        <w:ilvl w:val="0"/>
        <w:numId w:val="18"/>
      </w:numPr>
      <w:jc w:val="center"/>
    </w:pPr>
    <w:rPr>
      <w:rFonts w:ascii="黑体" w:hAnsi="Times New Roman" w:eastAsia="黑体" w:cs="Times New Roman"/>
      <w:sz w:val="21"/>
      <w:lang w:val="en-US" w:eastAsia="zh-CN" w:bidi="ar-SA"/>
    </w:rPr>
  </w:style>
  <w:style w:type="paragraph" w:customStyle="1" w:styleId="116">
    <w:name w:val="标准文件_正文英文图标题"/>
    <w:next w:val="56"/>
    <w:qFormat/>
    <w:uiPriority w:val="0"/>
    <w:pPr>
      <w:numPr>
        <w:ilvl w:val="0"/>
        <w:numId w:val="19"/>
      </w:numPr>
      <w:jc w:val="center"/>
    </w:pPr>
    <w:rPr>
      <w:rFonts w:ascii="黑体" w:hAnsi="Times New Roman" w:eastAsia="黑体" w:cs="Times New Roman"/>
      <w:sz w:val="21"/>
      <w:lang w:val="en-US" w:eastAsia="zh-CN" w:bidi="ar-SA"/>
    </w:rPr>
  </w:style>
  <w:style w:type="paragraph" w:customStyle="1" w:styleId="117">
    <w:name w:val="标准文件_编号列项（三级）"/>
    <w:qFormat/>
    <w:uiPriority w:val="0"/>
    <w:pPr>
      <w:numPr>
        <w:ilvl w:val="2"/>
        <w:numId w:val="13"/>
      </w:numPr>
    </w:pPr>
    <w:rPr>
      <w:rFonts w:ascii="宋体" w:hAnsi="Times New Roman" w:eastAsia="宋体" w:cs="Times New Roman"/>
      <w:sz w:val="21"/>
      <w:lang w:val="en-US" w:eastAsia="zh-CN" w:bidi="ar-SA"/>
    </w:rPr>
  </w:style>
  <w:style w:type="paragraph" w:customStyle="1" w:styleId="118">
    <w:name w:val="二级无标题条"/>
    <w:basedOn w:val="1"/>
    <w:qFormat/>
    <w:uiPriority w:val="0"/>
    <w:pPr>
      <w:numPr>
        <w:ilvl w:val="3"/>
        <w:numId w:val="20"/>
      </w:numPr>
      <w:adjustRightInd/>
      <w:spacing w:line="240" w:lineRule="auto"/>
    </w:pPr>
    <w:rPr>
      <w:rFonts w:ascii="宋体" w:hAnsi="宋体"/>
      <w:szCs w:val="24"/>
    </w:rPr>
  </w:style>
  <w:style w:type="paragraph" w:customStyle="1" w:styleId="119">
    <w:name w:val="发布部门"/>
    <w:next w:val="56"/>
    <w:qFormat/>
    <w:uiPriority w:val="0"/>
    <w:pPr>
      <w:framePr w:w="7433" w:h="585" w:hRule="exact" w:hSpace="180" w:vSpace="180" w:wrap="around" w:vAnchor="margin" w:hAnchor="margin" w:xAlign="center" w:y="14401" w:anchorLock="1"/>
      <w:jc w:val="center"/>
    </w:pPr>
    <w:rPr>
      <w:rFonts w:ascii="宋体" w:hAnsi="Times New Roman" w:eastAsia="宋体" w:cs="Times New Roman"/>
      <w:b/>
      <w:w w:val="135"/>
      <w:sz w:val="36"/>
      <w:lang w:val="en-US" w:eastAsia="zh-CN" w:bidi="ar-SA"/>
    </w:rPr>
  </w:style>
  <w:style w:type="paragraph" w:customStyle="1" w:styleId="120">
    <w:name w:val="发布日期"/>
    <w:qFormat/>
    <w:uiPriority w:val="0"/>
    <w:pPr>
      <w:framePr w:w="4000" w:h="473" w:hRule="exact" w:hSpace="180" w:vSpace="180" w:wrap="around" w:vAnchor="margin" w:hAnchor="margin" w:y="13511" w:anchorLock="1"/>
    </w:pPr>
    <w:rPr>
      <w:rFonts w:ascii="Times New Roman" w:hAnsi="Times New Roman" w:eastAsia="黑体" w:cs="Times New Roman"/>
      <w:sz w:val="28"/>
      <w:lang w:val="en-US" w:eastAsia="zh-CN" w:bidi="ar-SA"/>
    </w:rPr>
  </w:style>
  <w:style w:type="paragraph" w:customStyle="1" w:styleId="121">
    <w:name w:val="封面标准代替信息"/>
    <w:basedOn w:val="1"/>
    <w:qFormat/>
    <w:uiPriority w:val="0"/>
    <w:pPr>
      <w:framePr w:w="9138" w:h="1244" w:hRule="exact" w:wrap="around" w:vAnchor="page" w:hAnchor="margin" w:y="2908"/>
      <w:kinsoku w:val="0"/>
      <w:overflowPunct w:val="0"/>
      <w:autoSpaceDE w:val="0"/>
      <w:autoSpaceDN w:val="0"/>
      <w:spacing w:before="57" w:line="280" w:lineRule="exact"/>
      <w:jc w:val="right"/>
      <w:textAlignment w:val="center"/>
    </w:pPr>
    <w:rPr>
      <w:rFonts w:ascii="宋体" w:hAnsi="Times New Roman"/>
      <w:kern w:val="0"/>
      <w:szCs w:val="20"/>
    </w:rPr>
  </w:style>
  <w:style w:type="paragraph" w:customStyle="1" w:styleId="122">
    <w:name w:val="封面标准名称"/>
    <w:qFormat/>
    <w:uiPriority w:val="0"/>
    <w:pPr>
      <w:framePr w:w="9638" w:h="6917" w:hRule="exact" w:wrap="around" w:vAnchor="margin" w:hAnchor="margin" w:xAlign="center" w:y="5955" w:anchorLock="1"/>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23">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124">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125">
    <w:name w:val="封面标准英文名称"/>
    <w:qFormat/>
    <w:uiPriority w:val="0"/>
    <w:pPr>
      <w:widowControl w:val="0"/>
      <w:spacing w:line="360" w:lineRule="exact"/>
      <w:jc w:val="center"/>
    </w:pPr>
    <w:rPr>
      <w:rFonts w:ascii="Times New Roman" w:hAnsi="Times New Roman" w:eastAsia="宋体" w:cs="Times New Roman"/>
      <w:sz w:val="28"/>
      <w:lang w:val="en-US" w:eastAsia="zh-CN" w:bidi="ar-SA"/>
    </w:rPr>
  </w:style>
  <w:style w:type="paragraph" w:customStyle="1" w:styleId="126">
    <w:name w:val="封面一致性程度标识"/>
    <w:qFormat/>
    <w:uiPriority w:val="0"/>
    <w:pPr>
      <w:spacing w:before="440" w:line="440" w:lineRule="exact"/>
      <w:jc w:val="center"/>
    </w:pPr>
    <w:rPr>
      <w:rFonts w:ascii="Times New Roman" w:hAnsi="Times New Roman" w:eastAsia="宋体" w:cs="Times New Roman"/>
      <w:sz w:val="28"/>
      <w:lang w:val="en-US" w:eastAsia="zh-CN" w:bidi="ar-SA"/>
    </w:rPr>
  </w:style>
  <w:style w:type="paragraph" w:customStyle="1" w:styleId="127">
    <w:name w:val="封面正文"/>
    <w:qFormat/>
    <w:uiPriority w:val="0"/>
    <w:pPr>
      <w:jc w:val="both"/>
    </w:pPr>
    <w:rPr>
      <w:rFonts w:ascii="Times New Roman" w:hAnsi="Times New Roman" w:eastAsia="宋体" w:cs="Times New Roman"/>
      <w:lang w:val="en-US" w:eastAsia="zh-CN" w:bidi="ar-SA"/>
    </w:rPr>
  </w:style>
  <w:style w:type="paragraph" w:customStyle="1" w:styleId="128">
    <w:name w:val="附录二级无标题条"/>
    <w:basedOn w:val="1"/>
    <w:next w:val="56"/>
    <w:qFormat/>
    <w:uiPriority w:val="0"/>
    <w:pPr>
      <w:widowControl/>
      <w:wordWrap w:val="0"/>
      <w:overflowPunct w:val="0"/>
      <w:autoSpaceDE w:val="0"/>
      <w:autoSpaceDN w:val="0"/>
      <w:adjustRightInd/>
      <w:spacing w:line="240" w:lineRule="auto"/>
      <w:textAlignment w:val="baseline"/>
      <w:outlineLvl w:val="3"/>
    </w:pPr>
    <w:rPr>
      <w:rFonts w:ascii="宋体" w:hAnsi="宋体"/>
      <w:kern w:val="21"/>
    </w:rPr>
  </w:style>
  <w:style w:type="paragraph" w:customStyle="1" w:styleId="129">
    <w:name w:val="附录三级无标题条"/>
    <w:basedOn w:val="128"/>
    <w:next w:val="56"/>
    <w:qFormat/>
    <w:uiPriority w:val="0"/>
    <w:pPr>
      <w:outlineLvl w:val="4"/>
    </w:pPr>
  </w:style>
  <w:style w:type="paragraph" w:customStyle="1" w:styleId="130">
    <w:name w:val="附录四级无标题条"/>
    <w:basedOn w:val="129"/>
    <w:next w:val="56"/>
    <w:qFormat/>
    <w:uiPriority w:val="0"/>
    <w:pPr>
      <w:outlineLvl w:val="5"/>
    </w:pPr>
  </w:style>
  <w:style w:type="paragraph" w:customStyle="1" w:styleId="131">
    <w:name w:val="附录图"/>
    <w:next w:val="56"/>
    <w:qFormat/>
    <w:uiPriority w:val="0"/>
    <w:pPr>
      <w:wordWrap w:val="0"/>
      <w:overflowPunct w:val="0"/>
      <w:autoSpaceDE w:val="0"/>
      <w:spacing w:before="50" w:beforeLines="50" w:after="50" w:afterLines="50"/>
      <w:jc w:val="center"/>
      <w:textAlignment w:val="baseline"/>
      <w:outlineLvl w:val="1"/>
    </w:pPr>
    <w:rPr>
      <w:rFonts w:ascii="黑体" w:hAnsi="Times New Roman" w:eastAsia="黑体" w:cs="Times New Roman"/>
      <w:kern w:val="21"/>
      <w:sz w:val="21"/>
      <w:lang w:val="en-US" w:eastAsia="zh-CN" w:bidi="ar-SA"/>
    </w:rPr>
  </w:style>
  <w:style w:type="paragraph" w:customStyle="1" w:styleId="132">
    <w:name w:val="标准文件_一级项"/>
    <w:qFormat/>
    <w:uiPriority w:val="0"/>
    <w:pPr>
      <w:numPr>
        <w:ilvl w:val="0"/>
        <w:numId w:val="21"/>
      </w:numPr>
    </w:pPr>
    <w:rPr>
      <w:rFonts w:ascii="宋体" w:hAnsi="Times New Roman" w:eastAsia="宋体" w:cs="Times New Roman"/>
      <w:sz w:val="21"/>
      <w:lang w:val="en-US" w:eastAsia="zh-CN" w:bidi="ar-SA"/>
    </w:rPr>
  </w:style>
  <w:style w:type="paragraph" w:customStyle="1" w:styleId="133">
    <w:name w:val="附录五级无标题条"/>
    <w:basedOn w:val="130"/>
    <w:next w:val="56"/>
    <w:qFormat/>
    <w:uiPriority w:val="0"/>
    <w:pPr>
      <w:outlineLvl w:val="6"/>
    </w:pPr>
  </w:style>
  <w:style w:type="paragraph" w:customStyle="1" w:styleId="134">
    <w:name w:val="附录性质"/>
    <w:basedOn w:val="1"/>
    <w:qFormat/>
    <w:uiPriority w:val="0"/>
    <w:pPr>
      <w:widowControl/>
      <w:adjustRightInd/>
      <w:jc w:val="center"/>
    </w:pPr>
    <w:rPr>
      <w:rFonts w:ascii="黑体" w:eastAsia="黑体"/>
    </w:rPr>
  </w:style>
  <w:style w:type="paragraph" w:customStyle="1" w:styleId="135">
    <w:name w:val="附录一级无标题条"/>
    <w:basedOn w:val="87"/>
    <w:next w:val="56"/>
    <w:qFormat/>
    <w:uiPriority w:val="0"/>
    <w:pPr>
      <w:autoSpaceDN w:val="0"/>
      <w:outlineLvl w:val="2"/>
    </w:pPr>
    <w:rPr>
      <w:rFonts w:ascii="宋体" w:hAnsi="宋体" w:eastAsia="宋体"/>
    </w:rPr>
  </w:style>
  <w:style w:type="character" w:customStyle="1" w:styleId="136">
    <w:name w:val="个人答复风格"/>
    <w:qFormat/>
    <w:uiPriority w:val="0"/>
    <w:rPr>
      <w:rFonts w:ascii="Arial" w:hAnsi="Arial" w:eastAsia="宋体" w:cs="Arial"/>
      <w:color w:val="auto"/>
      <w:spacing w:val="0"/>
      <w:sz w:val="20"/>
    </w:rPr>
  </w:style>
  <w:style w:type="character" w:customStyle="1" w:styleId="137">
    <w:name w:val="个人撰写风格"/>
    <w:qFormat/>
    <w:uiPriority w:val="0"/>
    <w:rPr>
      <w:rFonts w:ascii="Arial" w:hAnsi="Arial" w:eastAsia="宋体" w:cs="Arial"/>
      <w:color w:val="auto"/>
      <w:spacing w:val="0"/>
      <w:sz w:val="20"/>
    </w:rPr>
  </w:style>
  <w:style w:type="paragraph" w:customStyle="1" w:styleId="138">
    <w:name w:val="脚注后续"/>
    <w:qFormat/>
    <w:uiPriority w:val="0"/>
    <w:pPr>
      <w:ind w:left="350" w:leftChars="350"/>
      <w:jc w:val="both"/>
    </w:pPr>
    <w:rPr>
      <w:rFonts w:ascii="宋体" w:hAnsi="Times New Roman" w:eastAsia="宋体" w:cs="Times New Roman"/>
      <w:sz w:val="18"/>
      <w:lang w:val="en-US" w:eastAsia="zh-CN" w:bidi="ar-SA"/>
    </w:rPr>
  </w:style>
  <w:style w:type="paragraph" w:customStyle="1" w:styleId="139">
    <w:name w:val="列项——"/>
    <w:qFormat/>
    <w:uiPriority w:val="0"/>
    <w:pPr>
      <w:widowControl w:val="0"/>
      <w:numPr>
        <w:ilvl w:val="0"/>
        <w:numId w:val="22"/>
      </w:numPr>
      <w:jc w:val="both"/>
    </w:pPr>
    <w:rPr>
      <w:rFonts w:ascii="宋体" w:hAnsi="宋体" w:eastAsia="宋体" w:cs="Times New Roman"/>
      <w:sz w:val="21"/>
      <w:lang w:val="en-US" w:eastAsia="zh-CN" w:bidi="ar-SA"/>
    </w:rPr>
  </w:style>
  <w:style w:type="paragraph" w:customStyle="1" w:styleId="140">
    <w:name w:val="列项·"/>
    <w:basedOn w:val="56"/>
    <w:qFormat/>
    <w:uiPriority w:val="0"/>
    <w:pPr>
      <w:tabs>
        <w:tab w:val="left" w:pos="840"/>
      </w:tabs>
    </w:pPr>
  </w:style>
  <w:style w:type="paragraph" w:customStyle="1" w:styleId="141">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2">
    <w:name w:val="目录 21"/>
    <w:basedOn w:val="1"/>
    <w:next w:val="1"/>
    <w:semiHidden/>
    <w:qFormat/>
    <w:uiPriority w:val="0"/>
    <w:pPr>
      <w:adjustRightInd/>
      <w:spacing w:line="240" w:lineRule="auto"/>
      <w:jc w:val="left"/>
    </w:pPr>
    <w:rPr>
      <w:bCs/>
      <w:iCs/>
    </w:rPr>
  </w:style>
  <w:style w:type="paragraph" w:customStyle="1" w:styleId="143">
    <w:name w:val="目录 31"/>
    <w:basedOn w:val="1"/>
    <w:next w:val="1"/>
    <w:semiHidden/>
    <w:qFormat/>
    <w:uiPriority w:val="0"/>
    <w:pPr>
      <w:spacing w:line="240" w:lineRule="auto"/>
    </w:pPr>
    <w:rPr>
      <w:rFonts w:ascii="宋体" w:hAnsi="宋体"/>
      <w:iCs/>
    </w:rPr>
  </w:style>
  <w:style w:type="paragraph" w:customStyle="1" w:styleId="144">
    <w:name w:val="目录 41"/>
    <w:basedOn w:val="1"/>
    <w:next w:val="1"/>
    <w:semiHidden/>
    <w:qFormat/>
    <w:uiPriority w:val="0"/>
    <w:pPr>
      <w:adjustRightInd/>
      <w:spacing w:line="240" w:lineRule="auto"/>
      <w:jc w:val="left"/>
    </w:pPr>
  </w:style>
  <w:style w:type="paragraph" w:customStyle="1" w:styleId="145">
    <w:name w:val="目录 51"/>
    <w:basedOn w:val="1"/>
    <w:next w:val="1"/>
    <w:semiHidden/>
    <w:qFormat/>
    <w:uiPriority w:val="0"/>
    <w:pPr>
      <w:spacing w:line="240" w:lineRule="auto"/>
    </w:pPr>
    <w:rPr>
      <w:rFonts w:ascii="宋体" w:hAnsi="宋体"/>
    </w:rPr>
  </w:style>
  <w:style w:type="paragraph" w:customStyle="1" w:styleId="146">
    <w:name w:val="目录 61"/>
    <w:basedOn w:val="1"/>
    <w:next w:val="1"/>
    <w:semiHidden/>
    <w:qFormat/>
    <w:uiPriority w:val="0"/>
    <w:pPr>
      <w:adjustRightInd/>
      <w:spacing w:line="240" w:lineRule="auto"/>
      <w:jc w:val="left"/>
    </w:pPr>
  </w:style>
  <w:style w:type="paragraph" w:customStyle="1" w:styleId="147">
    <w:name w:val="目录 71"/>
    <w:basedOn w:val="146"/>
    <w:semiHidden/>
    <w:qFormat/>
    <w:uiPriority w:val="0"/>
    <w:pPr>
      <w:ind w:left="1260"/>
    </w:pPr>
  </w:style>
  <w:style w:type="paragraph" w:customStyle="1" w:styleId="148">
    <w:name w:val="目录 81"/>
    <w:basedOn w:val="147"/>
    <w:semiHidden/>
    <w:qFormat/>
    <w:uiPriority w:val="0"/>
    <w:pPr>
      <w:ind w:left="1470"/>
    </w:pPr>
  </w:style>
  <w:style w:type="paragraph" w:customStyle="1" w:styleId="149">
    <w:name w:val="目录 91"/>
    <w:basedOn w:val="148"/>
    <w:semiHidden/>
    <w:qFormat/>
    <w:uiPriority w:val="0"/>
    <w:pPr>
      <w:ind w:left="1680"/>
    </w:pPr>
  </w:style>
  <w:style w:type="paragraph" w:customStyle="1" w:styleId="150">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51">
    <w:name w:val="其他发布部门"/>
    <w:basedOn w:val="119"/>
    <w:qFormat/>
    <w:uiPriority w:val="0"/>
    <w:pPr>
      <w:framePr/>
      <w:spacing w:line="0" w:lineRule="atLeast"/>
    </w:pPr>
    <w:rPr>
      <w:rFonts w:ascii="黑体" w:eastAsia="黑体"/>
      <w:b w:val="0"/>
    </w:rPr>
  </w:style>
  <w:style w:type="paragraph" w:customStyle="1" w:styleId="152">
    <w:name w:val="前言标题"/>
    <w:next w:val="1"/>
    <w:qFormat/>
    <w:uiPriority w:val="0"/>
    <w:pPr>
      <w:numPr>
        <w:ilvl w:val="0"/>
        <w:numId w:val="2"/>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153">
    <w:name w:val="三级无标题条"/>
    <w:basedOn w:val="1"/>
    <w:qFormat/>
    <w:uiPriority w:val="0"/>
    <w:pPr>
      <w:numPr>
        <w:ilvl w:val="4"/>
        <w:numId w:val="20"/>
      </w:numPr>
      <w:adjustRightInd/>
      <w:spacing w:line="240" w:lineRule="auto"/>
    </w:pPr>
    <w:rPr>
      <w:rFonts w:ascii="宋体" w:hAnsi="宋体"/>
      <w:szCs w:val="24"/>
    </w:rPr>
  </w:style>
  <w:style w:type="paragraph" w:customStyle="1" w:styleId="154">
    <w:name w:val="实施日期"/>
    <w:basedOn w:val="120"/>
    <w:qFormat/>
    <w:uiPriority w:val="0"/>
    <w:pPr>
      <w:framePr w:hSpace="0" w:xAlign="right"/>
      <w:jc w:val="right"/>
    </w:pPr>
  </w:style>
  <w:style w:type="paragraph" w:customStyle="1" w:styleId="155">
    <w:name w:val="四级无标题条"/>
    <w:basedOn w:val="1"/>
    <w:qFormat/>
    <w:uiPriority w:val="0"/>
    <w:pPr>
      <w:numPr>
        <w:ilvl w:val="5"/>
        <w:numId w:val="20"/>
      </w:numPr>
      <w:adjustRightInd/>
      <w:spacing w:line="240" w:lineRule="auto"/>
    </w:pPr>
    <w:rPr>
      <w:rFonts w:ascii="宋体" w:hAnsi="宋体"/>
      <w:szCs w:val="24"/>
    </w:rPr>
  </w:style>
  <w:style w:type="paragraph" w:customStyle="1" w:styleId="156">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157">
    <w:name w:val="无标题条"/>
    <w:next w:val="56"/>
    <w:qFormat/>
    <w:uiPriority w:val="0"/>
    <w:pPr>
      <w:jc w:val="both"/>
    </w:pPr>
    <w:rPr>
      <w:rFonts w:ascii="宋体" w:hAnsi="宋体" w:eastAsia="宋体" w:cs="Times New Roman"/>
      <w:sz w:val="21"/>
      <w:lang w:val="en-US" w:eastAsia="zh-CN" w:bidi="ar-SA"/>
    </w:rPr>
  </w:style>
  <w:style w:type="paragraph" w:customStyle="1" w:styleId="158">
    <w:name w:val="五级无标题条"/>
    <w:basedOn w:val="1"/>
    <w:qFormat/>
    <w:uiPriority w:val="0"/>
    <w:pPr>
      <w:numPr>
        <w:ilvl w:val="6"/>
        <w:numId w:val="20"/>
      </w:numPr>
      <w:adjustRightInd/>
    </w:pPr>
    <w:rPr>
      <w:szCs w:val="24"/>
    </w:rPr>
  </w:style>
  <w:style w:type="paragraph" w:customStyle="1" w:styleId="159">
    <w:name w:val="一级无标题条"/>
    <w:basedOn w:val="1"/>
    <w:qFormat/>
    <w:uiPriority w:val="0"/>
    <w:pPr>
      <w:numPr>
        <w:ilvl w:val="2"/>
        <w:numId w:val="20"/>
      </w:numPr>
      <w:adjustRightInd/>
      <w:spacing w:before="10" w:after="10" w:line="240" w:lineRule="auto"/>
    </w:pPr>
    <w:rPr>
      <w:rFonts w:ascii="宋体" w:hAnsi="宋体"/>
      <w:szCs w:val="24"/>
    </w:rPr>
  </w:style>
  <w:style w:type="paragraph" w:customStyle="1" w:styleId="160">
    <w:name w:val="注:后续"/>
    <w:qFormat/>
    <w:uiPriority w:val="0"/>
    <w:pPr>
      <w:spacing w:line="300" w:lineRule="exact"/>
      <w:ind w:left="600" w:leftChars="400" w:hanging="200" w:hangingChars="200"/>
      <w:jc w:val="both"/>
    </w:pPr>
    <w:rPr>
      <w:rFonts w:ascii="宋体" w:hAnsi="Times New Roman" w:eastAsia="宋体" w:cs="Times New Roman"/>
      <w:sz w:val="18"/>
      <w:lang w:val="en-US" w:eastAsia="zh-CN" w:bidi="ar-SA"/>
    </w:rPr>
  </w:style>
  <w:style w:type="paragraph" w:customStyle="1" w:styleId="161">
    <w:name w:val="注×:后续"/>
    <w:basedOn w:val="160"/>
    <w:qFormat/>
    <w:uiPriority w:val="0"/>
    <w:pPr>
      <w:ind w:left="1406" w:leftChars="0" w:hanging="499" w:firstLineChars="0"/>
    </w:pPr>
  </w:style>
  <w:style w:type="paragraph" w:customStyle="1" w:styleId="162">
    <w:name w:val="标准文件_一级无标题"/>
    <w:basedOn w:val="105"/>
    <w:qFormat/>
    <w:uiPriority w:val="0"/>
    <w:pPr>
      <w:spacing w:before="0" w:beforeLines="0" w:after="0" w:afterLines="0"/>
      <w:outlineLvl w:val="9"/>
    </w:pPr>
    <w:rPr>
      <w:rFonts w:ascii="宋体" w:eastAsia="宋体"/>
    </w:rPr>
  </w:style>
  <w:style w:type="paragraph" w:customStyle="1" w:styleId="163">
    <w:name w:val="标准文件_五级无标题"/>
    <w:basedOn w:val="103"/>
    <w:qFormat/>
    <w:uiPriority w:val="0"/>
    <w:pPr>
      <w:spacing w:before="0" w:beforeLines="0" w:after="0" w:afterLines="0"/>
      <w:outlineLvl w:val="9"/>
    </w:pPr>
    <w:rPr>
      <w:rFonts w:ascii="宋体" w:eastAsia="宋体"/>
    </w:rPr>
  </w:style>
  <w:style w:type="paragraph" w:customStyle="1" w:styleId="164">
    <w:name w:val="标准文件_三级无标题"/>
    <w:basedOn w:val="94"/>
    <w:qFormat/>
    <w:uiPriority w:val="0"/>
    <w:pPr>
      <w:spacing w:before="0" w:beforeLines="0" w:after="0" w:afterLines="0"/>
      <w:outlineLvl w:val="9"/>
    </w:pPr>
    <w:rPr>
      <w:rFonts w:ascii="宋体" w:eastAsia="宋体"/>
    </w:rPr>
  </w:style>
  <w:style w:type="paragraph" w:customStyle="1" w:styleId="165">
    <w:name w:val="标准文件_二级无标题"/>
    <w:basedOn w:val="65"/>
    <w:qFormat/>
    <w:uiPriority w:val="0"/>
    <w:pPr>
      <w:spacing w:before="0" w:beforeLines="0" w:after="0" w:afterLines="0"/>
      <w:outlineLvl w:val="9"/>
    </w:pPr>
    <w:rPr>
      <w:rFonts w:ascii="宋体" w:eastAsia="宋体"/>
    </w:rPr>
  </w:style>
  <w:style w:type="paragraph" w:customStyle="1" w:styleId="166">
    <w:name w:val="标准_四级无标题"/>
    <w:basedOn w:val="98"/>
    <w:next w:val="56"/>
    <w:qFormat/>
    <w:uiPriority w:val="0"/>
    <w:rPr>
      <w:rFonts w:eastAsia="宋体"/>
    </w:rPr>
  </w:style>
  <w:style w:type="paragraph" w:customStyle="1" w:styleId="167">
    <w:name w:val="标准文件_四级无标题"/>
    <w:basedOn w:val="98"/>
    <w:qFormat/>
    <w:uiPriority w:val="0"/>
    <w:pPr>
      <w:spacing w:before="0" w:beforeLines="0" w:after="0" w:afterLines="0"/>
      <w:outlineLvl w:val="9"/>
    </w:pPr>
    <w:rPr>
      <w:rFonts w:ascii="宋体" w:hAnsi="黑体" w:eastAsia="宋体"/>
      <w:szCs w:val="52"/>
    </w:rPr>
  </w:style>
  <w:style w:type="paragraph" w:customStyle="1" w:styleId="168">
    <w:name w:val="标准文件_大写罗马数字编号列项"/>
    <w:basedOn w:val="56"/>
    <w:qFormat/>
    <w:uiPriority w:val="0"/>
    <w:pPr>
      <w:numPr>
        <w:ilvl w:val="0"/>
        <w:numId w:val="23"/>
      </w:numPr>
      <w:ind w:firstLine="0" w:firstLineChars="0"/>
    </w:pPr>
    <w:rPr>
      <w:rFonts w:ascii="Times New Roman" w:cs="Arial"/>
      <w:szCs w:val="28"/>
    </w:rPr>
  </w:style>
  <w:style w:type="paragraph" w:customStyle="1" w:styleId="169">
    <w:name w:val="标准文件_小写罗马数字编号列项"/>
    <w:basedOn w:val="56"/>
    <w:qFormat/>
    <w:uiPriority w:val="0"/>
    <w:pPr>
      <w:numPr>
        <w:ilvl w:val="0"/>
        <w:numId w:val="24"/>
      </w:numPr>
      <w:ind w:firstLine="0" w:firstLineChars="0"/>
    </w:pPr>
    <w:rPr>
      <w:rFonts w:cs="Arial"/>
      <w:szCs w:val="28"/>
    </w:rPr>
  </w:style>
  <w:style w:type="paragraph" w:customStyle="1" w:styleId="170">
    <w:name w:val="标准文件_附录标题"/>
    <w:basedOn w:val="76"/>
    <w:qFormat/>
    <w:uiPriority w:val="0"/>
    <w:pPr>
      <w:numPr>
        <w:numId w:val="0"/>
      </w:numPr>
      <w:spacing w:after="280"/>
      <w:outlineLvl w:val="9"/>
    </w:pPr>
  </w:style>
  <w:style w:type="paragraph" w:customStyle="1" w:styleId="171">
    <w:name w:val="标准文件_二级项"/>
    <w:qFormat/>
    <w:uiPriority w:val="0"/>
    <w:rPr>
      <w:rFonts w:ascii="宋体" w:hAnsi="Times New Roman" w:eastAsia="宋体" w:cs="Times New Roman"/>
      <w:sz w:val="21"/>
      <w:lang w:val="en-US" w:eastAsia="zh-CN" w:bidi="ar-SA"/>
    </w:rPr>
  </w:style>
  <w:style w:type="paragraph" w:customStyle="1" w:styleId="172">
    <w:name w:val="标准文件_三级项"/>
    <w:basedOn w:val="1"/>
    <w:qFormat/>
    <w:uiPriority w:val="0"/>
    <w:pPr>
      <w:numPr>
        <w:ilvl w:val="2"/>
        <w:numId w:val="21"/>
      </w:numPr>
      <w:spacing w:line="536870612" w:lineRule="auto"/>
    </w:pPr>
    <w:rPr>
      <w:rFonts w:ascii="Times New Roman" w:hAnsi="Times New Roman"/>
    </w:rPr>
  </w:style>
  <w:style w:type="paragraph" w:customStyle="1" w:styleId="173">
    <w:name w:val="图表脚注说明"/>
    <w:basedOn w:val="1"/>
    <w:next w:val="56"/>
    <w:qFormat/>
    <w:uiPriority w:val="0"/>
    <w:pPr>
      <w:numPr>
        <w:ilvl w:val="0"/>
        <w:numId w:val="25"/>
      </w:numPr>
      <w:adjustRightInd/>
      <w:spacing w:line="240" w:lineRule="auto"/>
    </w:pPr>
    <w:rPr>
      <w:rFonts w:ascii="宋体" w:hAnsi="Times New Roman"/>
      <w:sz w:val="18"/>
      <w:szCs w:val="18"/>
    </w:rPr>
  </w:style>
  <w:style w:type="paragraph" w:customStyle="1" w:styleId="174">
    <w:name w:val="标准文件_字母编号列项（一级）"/>
    <w:qFormat/>
    <w:uiPriority w:val="0"/>
    <w:pPr>
      <w:numPr>
        <w:ilvl w:val="0"/>
        <w:numId w:val="13"/>
      </w:numPr>
      <w:jc w:val="both"/>
    </w:pPr>
    <w:rPr>
      <w:rFonts w:ascii="宋体" w:hAnsi="Times New Roman" w:eastAsia="宋体" w:cs="Times New Roman"/>
      <w:sz w:val="21"/>
      <w:lang w:val="en-US" w:eastAsia="zh-CN" w:bidi="ar-SA"/>
    </w:rPr>
  </w:style>
  <w:style w:type="paragraph" w:customStyle="1" w:styleId="175">
    <w:name w:val="标准文件_索引字母"/>
    <w:next w:val="56"/>
    <w:qFormat/>
    <w:uiPriority w:val="0"/>
    <w:pPr>
      <w:jc w:val="center"/>
    </w:pPr>
    <w:rPr>
      <w:rFonts w:ascii="宋体" w:hAnsi="宋体" w:eastAsia="Times New Roman" w:cs="Times New Roman"/>
      <w:b/>
      <w:kern w:val="2"/>
      <w:sz w:val="21"/>
      <w:lang w:val="en-US" w:eastAsia="zh-CN" w:bidi="ar-SA"/>
    </w:rPr>
  </w:style>
  <w:style w:type="paragraph" w:customStyle="1" w:styleId="176">
    <w:name w:val="标准文件_附录前"/>
    <w:next w:val="56"/>
    <w:qFormat/>
    <w:uiPriority w:val="0"/>
    <w:pPr>
      <w:spacing w:line="20" w:lineRule="atLeast"/>
      <w:ind w:firstLine="200"/>
    </w:pPr>
    <w:rPr>
      <w:rFonts w:ascii="宋体" w:hAnsi="宋体" w:eastAsia="宋体" w:cs="Times New Roman"/>
      <w:kern w:val="2"/>
      <w:sz w:val="10"/>
      <w:lang w:val="en-US" w:eastAsia="zh-CN" w:bidi="ar-SA"/>
    </w:rPr>
  </w:style>
  <w:style w:type="paragraph" w:customStyle="1" w:styleId="177">
    <w:name w:val="标准文件_正文标准名称"/>
    <w:qFormat/>
    <w:uiPriority w:val="0"/>
    <w:pPr>
      <w:spacing w:before="560" w:after="640" w:line="400" w:lineRule="exact"/>
      <w:jc w:val="center"/>
    </w:pPr>
    <w:rPr>
      <w:rFonts w:ascii="黑体" w:hAnsi="黑体" w:eastAsia="黑体" w:cs="Times New Roman"/>
      <w:kern w:val="2"/>
      <w:sz w:val="32"/>
      <w:szCs w:val="32"/>
      <w:lang w:val="en-US" w:eastAsia="zh-CN" w:bidi="ar-SA"/>
    </w:rPr>
  </w:style>
  <w:style w:type="paragraph" w:customStyle="1" w:styleId="178">
    <w:name w:val="标准文件_表格"/>
    <w:basedOn w:val="56"/>
    <w:qFormat/>
    <w:uiPriority w:val="0"/>
    <w:pPr>
      <w:ind w:firstLine="0" w:firstLineChars="0"/>
      <w:jc w:val="center"/>
    </w:pPr>
    <w:rPr>
      <w:sz w:val="18"/>
    </w:rPr>
  </w:style>
  <w:style w:type="paragraph" w:customStyle="1" w:styleId="179">
    <w:name w:val="标准文件_注："/>
    <w:next w:val="56"/>
    <w:qFormat/>
    <w:uiPriority w:val="0"/>
    <w:pPr>
      <w:widowControl w:val="0"/>
      <w:numPr>
        <w:ilvl w:val="0"/>
        <w:numId w:val="26"/>
      </w:numPr>
      <w:autoSpaceDE w:val="0"/>
      <w:autoSpaceDN w:val="0"/>
      <w:jc w:val="both"/>
    </w:pPr>
    <w:rPr>
      <w:rFonts w:ascii="宋体" w:hAnsi="Times New Roman" w:eastAsia="宋体" w:cs="Times New Roman"/>
      <w:sz w:val="18"/>
      <w:szCs w:val="18"/>
      <w:lang w:val="en-US" w:eastAsia="zh-CN" w:bidi="ar-SA"/>
    </w:rPr>
  </w:style>
  <w:style w:type="paragraph" w:customStyle="1" w:styleId="180">
    <w:name w:val="标准文件_注×："/>
    <w:qFormat/>
    <w:uiPriority w:val="0"/>
    <w:pPr>
      <w:widowControl w:val="0"/>
      <w:numPr>
        <w:ilvl w:val="0"/>
        <w:numId w:val="27"/>
      </w:numPr>
      <w:autoSpaceDE w:val="0"/>
      <w:autoSpaceDN w:val="0"/>
      <w:jc w:val="both"/>
    </w:pPr>
    <w:rPr>
      <w:rFonts w:ascii="宋体" w:hAnsi="Times New Roman" w:eastAsia="宋体" w:cs="Times New Roman"/>
      <w:sz w:val="18"/>
      <w:szCs w:val="18"/>
      <w:lang w:val="en-US" w:eastAsia="zh-CN" w:bidi="ar-SA"/>
    </w:rPr>
  </w:style>
  <w:style w:type="paragraph" w:customStyle="1" w:styleId="181">
    <w:name w:val="标准文件_示例："/>
    <w:next w:val="182"/>
    <w:qFormat/>
    <w:uiPriority w:val="0"/>
    <w:pPr>
      <w:widowControl w:val="0"/>
      <w:numPr>
        <w:ilvl w:val="0"/>
        <w:numId w:val="28"/>
      </w:numPr>
      <w:jc w:val="both"/>
    </w:pPr>
    <w:rPr>
      <w:rFonts w:ascii="宋体" w:hAnsi="Times New Roman" w:eastAsia="宋体" w:cs="Times New Roman"/>
      <w:sz w:val="18"/>
      <w:szCs w:val="18"/>
      <w:lang w:val="en-US" w:eastAsia="zh-CN" w:bidi="ar-SA"/>
    </w:rPr>
  </w:style>
  <w:style w:type="paragraph" w:customStyle="1" w:styleId="182">
    <w:name w:val="标准文件_示例内容"/>
    <w:basedOn w:val="56"/>
    <w:qFormat/>
    <w:uiPriority w:val="0"/>
    <w:pPr>
      <w:ind w:firstLine="420"/>
    </w:pPr>
    <w:rPr>
      <w:sz w:val="18"/>
    </w:rPr>
  </w:style>
  <w:style w:type="paragraph" w:customStyle="1" w:styleId="183">
    <w:name w:val="标准文件_示例×："/>
    <w:basedOn w:val="1"/>
    <w:next w:val="182"/>
    <w:qFormat/>
    <w:uiPriority w:val="0"/>
    <w:pPr>
      <w:widowControl/>
      <w:numPr>
        <w:ilvl w:val="0"/>
        <w:numId w:val="29"/>
      </w:numPr>
      <w:adjustRightInd/>
      <w:spacing w:line="240" w:lineRule="auto"/>
    </w:pPr>
    <w:rPr>
      <w:rFonts w:ascii="宋体" w:hAnsi="Times New Roman"/>
      <w:kern w:val="0"/>
      <w:sz w:val="18"/>
      <w:szCs w:val="18"/>
    </w:rPr>
  </w:style>
  <w:style w:type="character" w:customStyle="1" w:styleId="184">
    <w:name w:val="标准文件_段 Char"/>
    <w:link w:val="56"/>
    <w:qFormat/>
    <w:uiPriority w:val="0"/>
    <w:rPr>
      <w:rFonts w:ascii="宋体" w:hAnsi="Times New Roman"/>
      <w:sz w:val="21"/>
    </w:rPr>
  </w:style>
  <w:style w:type="paragraph" w:customStyle="1" w:styleId="185">
    <w:name w:val="标准文件_表格续"/>
    <w:basedOn w:val="56"/>
    <w:next w:val="56"/>
    <w:qFormat/>
    <w:uiPriority w:val="0"/>
    <w:pPr>
      <w:jc w:val="center"/>
    </w:pPr>
    <w:rPr>
      <w:rFonts w:ascii="黑体" w:hAnsi="黑体" w:eastAsia="黑体"/>
    </w:rPr>
  </w:style>
  <w:style w:type="character" w:customStyle="1" w:styleId="186">
    <w:name w:val="Placeholder Text"/>
    <w:basedOn w:val="26"/>
    <w:semiHidden/>
    <w:qFormat/>
    <w:uiPriority w:val="99"/>
    <w:rPr>
      <w:color w:val="808080"/>
    </w:rPr>
  </w:style>
  <w:style w:type="paragraph" w:customStyle="1" w:styleId="187">
    <w:name w:val="标准文件_二级项2"/>
    <w:basedOn w:val="56"/>
    <w:qFormat/>
    <w:uiPriority w:val="0"/>
    <w:pPr>
      <w:numPr>
        <w:ilvl w:val="1"/>
        <w:numId w:val="21"/>
      </w:numPr>
      <w:ind w:firstLine="0" w:firstLineChars="0"/>
    </w:pPr>
  </w:style>
  <w:style w:type="paragraph" w:customStyle="1" w:styleId="188">
    <w:name w:val="标准文件_三级项2"/>
    <w:basedOn w:val="56"/>
    <w:qFormat/>
    <w:uiPriority w:val="0"/>
    <w:pPr>
      <w:numPr>
        <w:ilvl w:val="0"/>
        <w:numId w:val="30"/>
      </w:numPr>
      <w:spacing w:line="300" w:lineRule="exact"/>
      <w:ind w:firstLineChars="0"/>
    </w:pPr>
    <w:rPr>
      <w:rFonts w:ascii="Times New Roman"/>
    </w:rPr>
  </w:style>
  <w:style w:type="paragraph" w:customStyle="1" w:styleId="189">
    <w:name w:val="标准文件_一级项2"/>
    <w:basedOn w:val="56"/>
    <w:qFormat/>
    <w:uiPriority w:val="0"/>
    <w:pPr>
      <w:numPr>
        <w:ilvl w:val="0"/>
        <w:numId w:val="31"/>
      </w:numPr>
      <w:spacing w:line="300" w:lineRule="exact"/>
      <w:ind w:firstLineChars="0"/>
    </w:pPr>
    <w:rPr>
      <w:rFonts w:ascii="Times New Roman"/>
    </w:rPr>
  </w:style>
  <w:style w:type="paragraph" w:customStyle="1" w:styleId="190">
    <w:name w:val="标准文件_提示"/>
    <w:basedOn w:val="56"/>
    <w:next w:val="56"/>
    <w:qFormat/>
    <w:uiPriority w:val="0"/>
    <w:pPr>
      <w:ind w:firstLine="420"/>
    </w:pPr>
    <w:rPr>
      <w:rFonts w:ascii="黑体" w:eastAsia="黑体"/>
    </w:rPr>
  </w:style>
  <w:style w:type="character" w:customStyle="1" w:styleId="191">
    <w:name w:val="标准文件_来源"/>
    <w:basedOn w:val="26"/>
    <w:qFormat/>
    <w:uiPriority w:val="1"/>
    <w:rPr>
      <w:rFonts w:eastAsia="宋体"/>
      <w:sz w:val="21"/>
    </w:rPr>
  </w:style>
  <w:style w:type="paragraph" w:customStyle="1" w:styleId="192">
    <w:name w:val="标准文件_图表说明"/>
    <w:qFormat/>
    <w:uiPriority w:val="0"/>
    <w:pPr>
      <w:spacing w:line="276" w:lineRule="auto"/>
      <w:ind w:firstLine="420"/>
    </w:pPr>
    <w:rPr>
      <w:rFonts w:ascii="宋体" w:hAnsi="宋体" w:eastAsia="宋体" w:cs="Times New Roman"/>
      <w:kern w:val="2"/>
      <w:sz w:val="18"/>
      <w:lang w:val="en-US" w:eastAsia="zh-CN" w:bidi="ar-SA"/>
    </w:rPr>
  </w:style>
  <w:style w:type="paragraph" w:customStyle="1" w:styleId="193">
    <w:name w:val="其他发布日期"/>
    <w:basedOn w:val="120"/>
    <w:qFormat/>
    <w:uiPriority w:val="0"/>
    <w:pPr>
      <w:framePr w:w="3997" w:h="471" w:hRule="exact" w:hSpace="0" w:vSpace="181" w:vAnchor="page" w:hAnchor="page" w:x="1419" w:y="14097"/>
    </w:pPr>
  </w:style>
  <w:style w:type="paragraph" w:customStyle="1" w:styleId="194">
    <w:name w:val="其他实施日期"/>
    <w:basedOn w:val="154"/>
    <w:qFormat/>
    <w:uiPriority w:val="0"/>
    <w:pPr>
      <w:framePr w:w="3997" w:h="471" w:hRule="exact" w:vSpace="181" w:vAnchor="page" w:hAnchor="page" w:x="7089" w:y="14097"/>
    </w:pPr>
  </w:style>
  <w:style w:type="paragraph" w:customStyle="1" w:styleId="195">
    <w:name w:val="标准文件_文件编号"/>
    <w:basedOn w:val="56"/>
    <w:qFormat/>
    <w:uiPriority w:val="0"/>
    <w:pPr>
      <w:framePr w:w="9356" w:h="624" w:hRule="exact" w:hSpace="181" w:vSpace="181" w:wrap="around" w:vAnchor="page" w:hAnchor="page" w:x="1419" w:y="3284"/>
      <w:wordWrap w:val="0"/>
      <w:spacing w:line="280" w:lineRule="exact"/>
      <w:ind w:firstLine="0" w:firstLineChars="0"/>
      <w:jc w:val="right"/>
    </w:pPr>
    <w:rPr>
      <w:rFonts w:ascii="黑体" w:eastAsia="黑体"/>
      <w:bCs/>
      <w:sz w:val="28"/>
      <w:szCs w:val="28"/>
    </w:rPr>
  </w:style>
  <w:style w:type="paragraph" w:customStyle="1" w:styleId="196">
    <w:name w:val="标准文件_替换文件编号"/>
    <w:basedOn w:val="195"/>
    <w:qFormat/>
    <w:uiPriority w:val="0"/>
    <w:pPr>
      <w:spacing w:before="57"/>
    </w:pPr>
    <w:rPr>
      <w:sz w:val="21"/>
    </w:rPr>
  </w:style>
  <w:style w:type="paragraph" w:customStyle="1" w:styleId="197">
    <w:name w:val="标准文件_文件名称"/>
    <w:basedOn w:val="56"/>
    <w:next w:val="56"/>
    <w:qFormat/>
    <w:uiPriority w:val="0"/>
    <w:pPr>
      <w:framePr w:w="9639" w:h="6976" w:hRule="exact" w:wrap="around" w:vAnchor="page" w:hAnchor="page" w:y="6408"/>
      <w:spacing w:line="700" w:lineRule="exact"/>
      <w:ind w:firstLine="0" w:firstLineChars="0"/>
      <w:jc w:val="center"/>
    </w:pPr>
    <w:rPr>
      <w:rFonts w:ascii="黑体" w:hAnsi="黑体" w:eastAsia="黑体"/>
      <w:bCs/>
      <w:sz w:val="52"/>
    </w:rPr>
  </w:style>
  <w:style w:type="paragraph" w:customStyle="1" w:styleId="198">
    <w:name w:val="标准文件_附录图标号"/>
    <w:basedOn w:val="56"/>
    <w:next w:val="56"/>
    <w:qFormat/>
    <w:uiPriority w:val="0"/>
    <w:pPr>
      <w:numPr>
        <w:ilvl w:val="0"/>
        <w:numId w:val="6"/>
      </w:numPr>
      <w:spacing w:line="14" w:lineRule="exact"/>
      <w:ind w:firstLine="0" w:firstLineChars="0"/>
      <w:jc w:val="center"/>
    </w:pPr>
    <w:rPr>
      <w:rFonts w:ascii="黑体" w:hAnsi="黑体" w:eastAsia="黑体"/>
      <w:vanish/>
      <w:sz w:val="2"/>
      <w:szCs w:val="21"/>
    </w:rPr>
  </w:style>
  <w:style w:type="paragraph" w:customStyle="1" w:styleId="199">
    <w:name w:val="标准文件_附录表标号"/>
    <w:basedOn w:val="56"/>
    <w:next w:val="56"/>
    <w:qFormat/>
    <w:uiPriority w:val="0"/>
    <w:pPr>
      <w:numPr>
        <w:ilvl w:val="0"/>
        <w:numId w:val="5"/>
      </w:numPr>
      <w:spacing w:line="14" w:lineRule="exact"/>
      <w:ind w:firstLine="0" w:firstLineChars="0"/>
      <w:jc w:val="center"/>
    </w:pPr>
    <w:rPr>
      <w:rFonts w:eastAsia="黑体"/>
      <w:vanish/>
      <w:sz w:val="2"/>
    </w:rPr>
  </w:style>
  <w:style w:type="paragraph" w:customStyle="1" w:styleId="200">
    <w:name w:val="标准文件_引言一级条标题"/>
    <w:basedOn w:val="56"/>
    <w:next w:val="56"/>
    <w:qFormat/>
    <w:uiPriority w:val="0"/>
    <w:pPr>
      <w:numPr>
        <w:ilvl w:val="1"/>
        <w:numId w:val="8"/>
      </w:numPr>
      <w:spacing w:before="50" w:beforeLines="50" w:after="50" w:afterLines="50"/>
      <w:ind w:firstLineChars="0"/>
    </w:pPr>
    <w:rPr>
      <w:rFonts w:ascii="黑体" w:eastAsia="黑体"/>
    </w:rPr>
  </w:style>
  <w:style w:type="paragraph" w:customStyle="1" w:styleId="201">
    <w:name w:val="标准文件_引言二级条标题"/>
    <w:basedOn w:val="56"/>
    <w:next w:val="56"/>
    <w:qFormat/>
    <w:uiPriority w:val="0"/>
    <w:pPr>
      <w:numPr>
        <w:ilvl w:val="2"/>
        <w:numId w:val="8"/>
      </w:numPr>
      <w:spacing w:before="50" w:beforeLines="50" w:after="50" w:afterLines="50"/>
      <w:ind w:firstLineChars="0"/>
    </w:pPr>
    <w:rPr>
      <w:rFonts w:ascii="黑体" w:eastAsia="黑体"/>
    </w:rPr>
  </w:style>
  <w:style w:type="paragraph" w:customStyle="1" w:styleId="202">
    <w:name w:val="标准文件_引言三级条标题"/>
    <w:basedOn w:val="56"/>
    <w:next w:val="56"/>
    <w:qFormat/>
    <w:uiPriority w:val="0"/>
    <w:pPr>
      <w:numPr>
        <w:ilvl w:val="3"/>
        <w:numId w:val="8"/>
      </w:numPr>
      <w:spacing w:before="50" w:beforeLines="50" w:after="50" w:afterLines="50"/>
      <w:ind w:firstLineChars="0"/>
    </w:pPr>
    <w:rPr>
      <w:rFonts w:ascii="黑体" w:eastAsia="黑体"/>
    </w:rPr>
  </w:style>
  <w:style w:type="paragraph" w:customStyle="1" w:styleId="203">
    <w:name w:val="标准文件_引言四级条标题"/>
    <w:basedOn w:val="56"/>
    <w:next w:val="56"/>
    <w:qFormat/>
    <w:uiPriority w:val="0"/>
    <w:pPr>
      <w:numPr>
        <w:ilvl w:val="4"/>
        <w:numId w:val="8"/>
      </w:numPr>
      <w:spacing w:before="50" w:beforeLines="50" w:after="50" w:afterLines="50"/>
      <w:ind w:firstLineChars="0"/>
    </w:pPr>
    <w:rPr>
      <w:rFonts w:ascii="黑体" w:eastAsia="黑体"/>
    </w:rPr>
  </w:style>
  <w:style w:type="paragraph" w:customStyle="1" w:styleId="204">
    <w:name w:val="标准文件_引言五级条标题"/>
    <w:basedOn w:val="56"/>
    <w:next w:val="56"/>
    <w:qFormat/>
    <w:uiPriority w:val="0"/>
    <w:pPr>
      <w:numPr>
        <w:ilvl w:val="5"/>
        <w:numId w:val="8"/>
      </w:numPr>
      <w:spacing w:before="50" w:beforeLines="50" w:after="50" w:afterLines="50"/>
      <w:ind w:firstLineChars="0"/>
    </w:pPr>
    <w:rPr>
      <w:rFonts w:ascii="黑体" w:eastAsia="黑体"/>
    </w:rPr>
  </w:style>
  <w:style w:type="paragraph" w:customStyle="1" w:styleId="205">
    <w:name w:val="标准文件_注后"/>
    <w:basedOn w:val="56"/>
    <w:qFormat/>
    <w:uiPriority w:val="0"/>
    <w:pPr>
      <w:ind w:left="811" w:firstLine="0" w:firstLineChars="0"/>
    </w:pPr>
    <w:rPr>
      <w:sz w:val="18"/>
    </w:rPr>
  </w:style>
  <w:style w:type="paragraph" w:customStyle="1" w:styleId="206">
    <w:name w:val="标准文件_注X后"/>
    <w:basedOn w:val="56"/>
    <w:qFormat/>
    <w:uiPriority w:val="0"/>
    <w:pPr>
      <w:ind w:left="811" w:firstLine="0" w:firstLineChars="0"/>
    </w:pPr>
    <w:rPr>
      <w:sz w:val="18"/>
    </w:rPr>
  </w:style>
  <w:style w:type="paragraph" w:customStyle="1" w:styleId="207">
    <w:name w:val="标准文件_示例后"/>
    <w:basedOn w:val="56"/>
    <w:qFormat/>
    <w:uiPriority w:val="0"/>
    <w:pPr>
      <w:ind w:left="964" w:firstLine="0" w:firstLineChars="0"/>
    </w:pPr>
    <w:rPr>
      <w:sz w:val="18"/>
    </w:rPr>
  </w:style>
  <w:style w:type="paragraph" w:customStyle="1" w:styleId="208">
    <w:name w:val="标准文件_示例X后"/>
    <w:basedOn w:val="56"/>
    <w:link w:val="209"/>
    <w:qFormat/>
    <w:uiPriority w:val="0"/>
    <w:pPr>
      <w:ind w:left="1049" w:firstLine="0" w:firstLineChars="0"/>
    </w:pPr>
    <w:rPr>
      <w:sz w:val="18"/>
    </w:rPr>
  </w:style>
  <w:style w:type="character" w:customStyle="1" w:styleId="209">
    <w:name w:val="标准文件_示例X后 字符"/>
    <w:basedOn w:val="184"/>
    <w:link w:val="208"/>
    <w:qFormat/>
    <w:uiPriority w:val="0"/>
    <w:rPr>
      <w:rFonts w:ascii="宋体" w:hAnsi="Times New Roman"/>
      <w:sz w:val="18"/>
    </w:rPr>
  </w:style>
  <w:style w:type="paragraph" w:customStyle="1" w:styleId="210">
    <w:name w:val="标准文件_索引项"/>
    <w:basedOn w:val="56"/>
    <w:next w:val="56"/>
    <w:qFormat/>
    <w:uiPriority w:val="0"/>
    <w:pPr>
      <w:tabs>
        <w:tab w:val="right" w:leader="dot" w:pos="9356"/>
      </w:tabs>
      <w:ind w:left="210" w:hanging="210" w:firstLineChars="0"/>
      <w:jc w:val="left"/>
    </w:pPr>
  </w:style>
  <w:style w:type="paragraph" w:customStyle="1" w:styleId="211">
    <w:name w:val="标准文件_附录一级无标题"/>
    <w:basedOn w:val="78"/>
    <w:qFormat/>
    <w:uiPriority w:val="0"/>
    <w:pPr>
      <w:spacing w:before="0" w:beforeLines="0" w:after="0" w:afterLines="0" w:line="276" w:lineRule="auto"/>
      <w:outlineLvl w:val="9"/>
    </w:pPr>
    <w:rPr>
      <w:rFonts w:ascii="宋体" w:eastAsia="宋体"/>
    </w:rPr>
  </w:style>
  <w:style w:type="paragraph" w:customStyle="1" w:styleId="212">
    <w:name w:val="标准文件_附录二级无标题"/>
    <w:basedOn w:val="79"/>
    <w:qFormat/>
    <w:uiPriority w:val="0"/>
    <w:pPr>
      <w:spacing w:before="0" w:beforeLines="0" w:after="0" w:afterLines="0" w:line="276" w:lineRule="auto"/>
      <w:outlineLvl w:val="9"/>
    </w:pPr>
    <w:rPr>
      <w:rFonts w:ascii="宋体" w:eastAsia="宋体"/>
    </w:rPr>
  </w:style>
  <w:style w:type="paragraph" w:customStyle="1" w:styleId="213">
    <w:name w:val="标准文件_附录三级无标题"/>
    <w:basedOn w:val="81"/>
    <w:qFormat/>
    <w:uiPriority w:val="0"/>
    <w:pPr>
      <w:spacing w:before="0" w:beforeLines="0" w:after="0" w:afterLines="0" w:line="276" w:lineRule="auto"/>
      <w:outlineLvl w:val="9"/>
    </w:pPr>
    <w:rPr>
      <w:rFonts w:ascii="宋体" w:eastAsia="宋体"/>
    </w:rPr>
  </w:style>
  <w:style w:type="paragraph" w:customStyle="1" w:styleId="214">
    <w:name w:val="标准文件_附录四级无标题"/>
    <w:basedOn w:val="82"/>
    <w:qFormat/>
    <w:uiPriority w:val="0"/>
    <w:pPr>
      <w:spacing w:before="0" w:beforeLines="0" w:after="0" w:afterLines="0" w:line="276" w:lineRule="auto"/>
      <w:outlineLvl w:val="9"/>
    </w:pPr>
    <w:rPr>
      <w:rFonts w:ascii="宋体" w:eastAsia="宋体"/>
    </w:rPr>
  </w:style>
  <w:style w:type="paragraph" w:customStyle="1" w:styleId="215">
    <w:name w:val="标准文件_附录五级无标题"/>
    <w:basedOn w:val="84"/>
    <w:qFormat/>
    <w:uiPriority w:val="0"/>
    <w:pPr>
      <w:spacing w:before="0" w:beforeLines="0" w:after="0" w:afterLines="0" w:line="276" w:lineRule="auto"/>
      <w:outlineLvl w:val="9"/>
    </w:pPr>
    <w:rPr>
      <w:rFonts w:ascii="宋体" w:eastAsia="宋体"/>
    </w:rPr>
  </w:style>
  <w:style w:type="paragraph" w:customStyle="1" w:styleId="216">
    <w:name w:val="标准文件_引言一级无标题"/>
    <w:basedOn w:val="200"/>
    <w:next w:val="56"/>
    <w:qFormat/>
    <w:uiPriority w:val="0"/>
    <w:pPr>
      <w:spacing w:before="0" w:beforeLines="0" w:after="0" w:afterLines="0" w:line="276" w:lineRule="auto"/>
    </w:pPr>
    <w:rPr>
      <w:rFonts w:ascii="宋体" w:eastAsia="宋体"/>
    </w:rPr>
  </w:style>
  <w:style w:type="paragraph" w:customStyle="1" w:styleId="217">
    <w:name w:val="标准文件_引言二级无标题"/>
    <w:basedOn w:val="201"/>
    <w:next w:val="56"/>
    <w:qFormat/>
    <w:uiPriority w:val="0"/>
    <w:pPr>
      <w:spacing w:before="0" w:beforeLines="0" w:after="0" w:afterLines="0" w:line="276" w:lineRule="auto"/>
    </w:pPr>
    <w:rPr>
      <w:rFonts w:ascii="宋体" w:eastAsia="宋体"/>
    </w:rPr>
  </w:style>
  <w:style w:type="paragraph" w:customStyle="1" w:styleId="218">
    <w:name w:val="标准文件_引言三级无标题"/>
    <w:basedOn w:val="202"/>
    <w:qFormat/>
    <w:uiPriority w:val="0"/>
    <w:pPr>
      <w:spacing w:before="0" w:beforeLines="0" w:after="0" w:afterLines="0" w:line="276" w:lineRule="auto"/>
    </w:pPr>
    <w:rPr>
      <w:rFonts w:ascii="宋体" w:eastAsia="宋体"/>
    </w:rPr>
  </w:style>
  <w:style w:type="paragraph" w:customStyle="1" w:styleId="219">
    <w:name w:val="标准文件_引言四级无标题"/>
    <w:basedOn w:val="203"/>
    <w:next w:val="56"/>
    <w:qFormat/>
    <w:uiPriority w:val="0"/>
    <w:pPr>
      <w:spacing w:before="0" w:beforeLines="0" w:after="0" w:afterLines="0" w:line="276" w:lineRule="auto"/>
    </w:pPr>
    <w:rPr>
      <w:rFonts w:ascii="宋体" w:eastAsia="宋体"/>
    </w:rPr>
  </w:style>
  <w:style w:type="paragraph" w:customStyle="1" w:styleId="220">
    <w:name w:val="标准文件_引言五级无标题"/>
    <w:basedOn w:val="204"/>
    <w:next w:val="56"/>
    <w:qFormat/>
    <w:uiPriority w:val="0"/>
    <w:pPr>
      <w:spacing w:before="0" w:beforeLines="0" w:after="0" w:afterLines="0" w:line="276" w:lineRule="auto"/>
    </w:pPr>
    <w:rPr>
      <w:rFonts w:ascii="宋体" w:eastAsia="宋体"/>
    </w:rPr>
  </w:style>
  <w:style w:type="paragraph" w:customStyle="1" w:styleId="221">
    <w:name w:val="标准文件_索引标题"/>
    <w:basedOn w:val="63"/>
    <w:next w:val="56"/>
    <w:qFormat/>
    <w:uiPriority w:val="0"/>
    <w:rPr>
      <w:rFonts w:hAnsi="黑体"/>
    </w:rPr>
  </w:style>
  <w:style w:type="paragraph" w:customStyle="1" w:styleId="222">
    <w:name w:val="标准文件_脚注内容"/>
    <w:basedOn w:val="56"/>
    <w:qFormat/>
    <w:uiPriority w:val="0"/>
    <w:pPr>
      <w:ind w:left="400" w:leftChars="200" w:hanging="200" w:hangingChars="200"/>
    </w:pPr>
    <w:rPr>
      <w:sz w:val="15"/>
    </w:rPr>
  </w:style>
  <w:style w:type="paragraph" w:customStyle="1" w:styleId="223">
    <w:name w:val="标准文件_术语条一"/>
    <w:basedOn w:val="162"/>
    <w:next w:val="56"/>
    <w:qFormat/>
    <w:uiPriority w:val="0"/>
  </w:style>
  <w:style w:type="paragraph" w:customStyle="1" w:styleId="224">
    <w:name w:val="标准文件_术语条二"/>
    <w:basedOn w:val="165"/>
    <w:next w:val="56"/>
    <w:qFormat/>
    <w:uiPriority w:val="0"/>
  </w:style>
  <w:style w:type="paragraph" w:customStyle="1" w:styleId="225">
    <w:name w:val="标准文件_术语条三"/>
    <w:basedOn w:val="164"/>
    <w:next w:val="56"/>
    <w:qFormat/>
    <w:uiPriority w:val="0"/>
  </w:style>
  <w:style w:type="paragraph" w:customStyle="1" w:styleId="226">
    <w:name w:val="标准文件_术语条四"/>
    <w:basedOn w:val="167"/>
    <w:next w:val="56"/>
    <w:qFormat/>
    <w:uiPriority w:val="0"/>
  </w:style>
  <w:style w:type="paragraph" w:customStyle="1" w:styleId="227">
    <w:name w:val="标准文件_术语条五"/>
    <w:basedOn w:val="163"/>
    <w:next w:val="56"/>
    <w:qFormat/>
    <w:uiPriority w:val="0"/>
  </w:style>
  <w:style w:type="paragraph" w:customStyle="1" w:styleId="228">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229">
    <w:name w:val="发布"/>
    <w:basedOn w:val="26"/>
    <w:qFormat/>
    <w:uiPriority w:val="0"/>
    <w:rPr>
      <w:rFonts w:ascii="黑体" w:eastAsia="黑体"/>
      <w:spacing w:val="85"/>
      <w:w w:val="100"/>
      <w:position w:val="3"/>
      <w:sz w:val="28"/>
      <w:szCs w:val="28"/>
    </w:rPr>
  </w:style>
  <w:style w:type="paragraph" w:customStyle="1" w:styleId="230">
    <w:name w:val="段"/>
    <w:uiPriority w:val="0"/>
    <w:pPr>
      <w:tabs>
        <w:tab w:val="center" w:pos="4201"/>
        <w:tab w:val="right" w:leader="dot" w:pos="9298"/>
      </w:tabs>
      <w:autoSpaceDE w:val="0"/>
      <w:autoSpaceDN w:val="0"/>
      <w:ind w:firstLine="420" w:firstLineChars="200"/>
      <w:jc w:val="both"/>
    </w:pPr>
    <w:rPr>
      <w:rFonts w:ascii="Times New Roman" w:hAnsi="Times New Roman" w:eastAsia="Times New Roman" w:cs="Times New Roman"/>
      <w:sz w:val="21"/>
      <w:lang w:val="en-US" w:eastAsia="zh-CN" w:bidi="ar-SA"/>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glossaryDocument" Target="glossary/document.xml"/><Relationship Id="rId22" Type="http://schemas.openxmlformats.org/officeDocument/2006/relationships/fontTable" Target="fontTable.xml"/><Relationship Id="rId21" Type="http://schemas.microsoft.com/office/2006/relationships/keyMapCustomizations" Target="customizations.xml"/><Relationship Id="rId20" Type="http://schemas.openxmlformats.org/officeDocument/2006/relationships/customXml" Target="../customXml/item2.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jpeg"/><Relationship Id="rId16" Type="http://schemas.openxmlformats.org/officeDocument/2006/relationships/image" Target="media/image1.tiff"/><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header" Target="header6.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StandardEditor\template\&#22320;&#26041;&#26631;&#20934;.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A90BE4AC84BD4038939C1BBFB8812628"/>
        <w:style w:val=""/>
        <w:category>
          <w:name w:val="常规"/>
          <w:gallery w:val="placeholder"/>
        </w:category>
        <w:types>
          <w:type w:val="bbPlcHdr"/>
        </w:types>
        <w:behaviors>
          <w:behavior w:val="content"/>
        </w:behaviors>
        <w:description w:val=""/>
        <w:guid w:val="{57942024-CC78-492D-B6E6-CAA9204AC1A8}"/>
      </w:docPartPr>
      <w:docPartBody>
        <w:p>
          <w:pPr>
            <w:pStyle w:val="5"/>
          </w:pPr>
          <w:r>
            <w:rPr>
              <w:rStyle w:val="4"/>
              <w:rFonts w:hint="eastAsia"/>
            </w:rPr>
            <w:t>单击或点击此处输入文字。</w:t>
          </w:r>
        </w:p>
      </w:docPartBody>
    </w:docPart>
    <w:docPart>
      <w:docPartPr>
        <w:name w:val="77C8C2E436944E04954C3BCE4EE32365"/>
        <w:style w:val=""/>
        <w:category>
          <w:name w:val="常规"/>
          <w:gallery w:val="placeholder"/>
        </w:category>
        <w:types>
          <w:type w:val="bbPlcHdr"/>
        </w:types>
        <w:behaviors>
          <w:behavior w:val="content"/>
        </w:behaviors>
        <w:description w:val=""/>
        <w:guid w:val="{74040863-D374-44F1-92D5-9C39968E5BC8}"/>
      </w:docPartPr>
      <w:docPartBody>
        <w:p>
          <w:pPr>
            <w:pStyle w:val="6"/>
          </w:pPr>
          <w:r>
            <w:rPr>
              <w:rStyle w:val="4"/>
              <w:rFonts w:hint="eastAsia"/>
            </w:rPr>
            <w:t>选择一项。</w:t>
          </w:r>
        </w:p>
      </w:docPartBody>
    </w:docPart>
    <w:docPart>
      <w:docPartPr>
        <w:name w:val="4BCEFF72FF3E40DD828B0B6D14A5CAA9"/>
        <w:style w:val=""/>
        <w:category>
          <w:name w:val="常规"/>
          <w:gallery w:val="placeholder"/>
        </w:category>
        <w:types>
          <w:type w:val="bbPlcHdr"/>
        </w:types>
        <w:behaviors>
          <w:behavior w:val="content"/>
        </w:behaviors>
        <w:description w:val=""/>
        <w:guid w:val="{E0B08F8B-8C02-4E54-B307-AD359AA31F88}"/>
      </w:docPartPr>
      <w:docPartBody>
        <w:p>
          <w:pPr>
            <w:pStyle w:val="7"/>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等线">
    <w:altName w:val="宋体"/>
    <w:panose1 w:val="00000000000000000000"/>
    <w:charset w:val="86"/>
    <w:family w:val="auto"/>
    <w:pitch w:val="default"/>
    <w:sig w:usb0="00000000" w:usb1="00000000" w:usb2="00000000" w:usb3="00000000" w:csb0="00000000" w:csb1="00000000"/>
  </w:font>
  <w:font w:name="等线">
    <w:altName w:val="宋体"/>
    <w:panose1 w:val="00000000000000000000"/>
    <w:charset w:val="86"/>
    <w:family w:val="auto"/>
    <w:pitch w:val="default"/>
    <w:sig w:usb0="00000000" w:usb1="00000000" w:usb2="00000000" w:usb3="00000000" w:csb0="00000000" w:csb1="00000000"/>
  </w:font>
  <w:font w:name="Arial Unicode MS">
    <w:altName w:val="宋体"/>
    <w:panose1 w:val="020B0604020202020204"/>
    <w:charset w:val="86"/>
    <w:family w:val="auto"/>
    <w:pitch w:val="default"/>
    <w:sig w:usb0="00000000" w:usb1="00000000" w:usb2="0000003F" w:usb3="00000000" w:csb0="603F01FF" w:csb1="FFFF0000"/>
  </w:font>
  <w:font w:name="等线">
    <w:altName w:val="Segoe Print"/>
    <w:panose1 w:val="00000000000000000000"/>
    <w:charset w:val="00"/>
    <w:family w:val="auto"/>
    <w:pitch w:val="default"/>
    <w:sig w:usb0="00000000" w:usb1="00000000" w:usb2="00000000" w:usb3="00000000" w:csb0="00000000"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doNotDisplayPageBoundaries w:val="1"/>
  <w:bordersDoNotSurroundHeader w:val="1"/>
  <w:bordersDoNotSurroundFooter w:val="1"/>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DA6"/>
    <w:rsid w:val="001653A9"/>
    <w:rsid w:val="002A12BA"/>
    <w:rsid w:val="004F472F"/>
    <w:rsid w:val="00683B69"/>
    <w:rsid w:val="00DA6DA6"/>
    <w:rsid w:val="00F021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uiPriority="1" w:name="Default Paragraph Font"/>
    <w:lsdException w:qFormat="1" w:uiPriority="99" w:name="Normal Table"/>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unhideWhenUsed/>
    <w:uiPriority w:val="1"/>
  </w:style>
  <w:style w:type="table" w:default="1" w:styleId="3">
    <w:name w:val="Normal Table"/>
    <w:unhideWhenUsed/>
    <w:qFormat/>
    <w:uiPriority w:val="99"/>
    <w:tblPr>
      <w:tblLayout w:type="fixed"/>
      <w:tblCellMar>
        <w:top w:w="0" w:type="dxa"/>
        <w:left w:w="108" w:type="dxa"/>
        <w:bottom w:w="0" w:type="dxa"/>
        <w:right w:w="108" w:type="dxa"/>
      </w:tblCellMar>
    </w:tblPr>
  </w:style>
  <w:style w:type="character" w:customStyle="1" w:styleId="4">
    <w:name w:val="Placeholder Text"/>
    <w:basedOn w:val="2"/>
    <w:semiHidden/>
    <w:qFormat/>
    <w:uiPriority w:val="99"/>
    <w:rPr>
      <w:color w:val="808080"/>
    </w:rPr>
  </w:style>
  <w:style w:type="paragraph" w:customStyle="1" w:styleId="5">
    <w:name w:val="A90BE4AC84BD4038939C1BBFB881262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77C8C2E436944E04954C3BCE4EE32365"/>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4BCEFF72FF3E40DD828B0B6D14A5CAA9"/>
    <w:uiPriority w:val="0"/>
    <w:pPr>
      <w:widowControl w:val="0"/>
      <w:jc w:val="both"/>
    </w:pPr>
    <w:rPr>
      <w:rFonts w:asciiTheme="minorHAnsi" w:hAnsiTheme="minorHAnsi" w:eastAsiaTheme="minorEastAsia" w:cstheme="minorBidi"/>
      <w:kern w:val="2"/>
      <w:sz w:val="21"/>
      <w:szCs w:val="22"/>
      <w:lang w:val="en-US" w:eastAsia="zh-CN" w:bidi="ar-SA"/>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bwMode="auto">
        <a:noFill/>
        <a:ln w="9525">
          <a:solidFill>
            <a:srgbClr val="000000"/>
          </a:solidFill>
          <a:round/>
        </a:ln>
      </a:spPr>
      <a:bodyPr/>
      <a:lst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BE57754-5B57-40DA-BCC6-48C7292E121F}">
  <ds:schemaRefs/>
</ds:datastoreItem>
</file>

<file path=docProps/app.xml><?xml version="1.0" encoding="utf-8"?>
<Properties xmlns="http://schemas.openxmlformats.org/officeDocument/2006/extended-properties" xmlns:vt="http://schemas.openxmlformats.org/officeDocument/2006/docPropsVTypes">
  <Template>地方标准.dotx</Template>
  <Company>PCMI</Company>
  <Pages>14</Pages>
  <Words>7450</Words>
  <Characters>7795</Characters>
  <Lines>65</Lines>
  <Paragraphs>18</Paragraphs>
  <TotalTime>0</TotalTime>
  <ScaleCrop>false</ScaleCrop>
  <LinksUpToDate>false</LinksUpToDate>
  <CharactersWithSpaces>7925</CharactersWithSpaces>
  <Application>WPS Office_10.8.0.6423_F1E327BC-269C-435d-A152-05C5408002CA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2024-09-06T13:19:00Z</dcterms:created>
  <dc:creator>huanglijie168</dc:creator>
  <dc:description>&lt;config cover="true" show_menu="true" version="1.0.0" doctype="SDKXY"&gt;_x000d_
&lt;/config&gt;</dc:description>
  <cp:lastModifiedBy>admin</cp:lastModifiedBy>
  <cp:lastPrinted>2020-08-30T10:00:00Z</cp:lastPrinted>
  <dcterms:modified xsi:type="dcterms:W3CDTF">2026-09-28T01:38:48Z</dcterms:modified>
  <dc:title>地方标准</dc:title>
  <cp:revision>34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ype">
    <vt:lpwstr>SDKXY</vt:lpwstr>
  </property>
  <property fmtid="{D5CDD505-2E9C-101B-9397-08002B2CF9AE}" pid="3" name="cover">
    <vt:lpwstr>true</vt:lpwstr>
  </property>
  <property fmtid="{D5CDD505-2E9C-101B-9397-08002B2CF9AE}" pid="4" name="show_menu">
    <vt:lpwstr>true</vt:lpwstr>
  </property>
  <property fmtid="{D5CDD505-2E9C-101B-9397-08002B2CF9AE}" pid="5" name="version">
    <vt:lpwstr>1.0.0</vt:lpwstr>
  </property>
  <property fmtid="{D5CDD505-2E9C-101B-9397-08002B2CF9AE}" pid="6" name="xmlname">
    <vt:lpwstr>地方标准</vt:lpwstr>
  </property>
  <property fmtid="{D5CDD505-2E9C-101B-9397-08002B2CF9AE}" pid="7" name="NSTD_CODE">
    <vt:lpwstr>GB/T-</vt:lpwstr>
  </property>
  <property fmtid="{D5CDD505-2E9C-101B-9397-08002B2CF9AE}" pid="8" name="OSTD_CODE">
    <vt:lpwstr>代替 GB/T-</vt:lpwstr>
  </property>
  <property fmtid="{D5CDD505-2E9C-101B-9397-08002B2CF9AE}" pid="9" name="flag_zhengwen">
    <vt:lpwstr>0</vt:lpwstr>
  </property>
  <property fmtid="{D5CDD505-2E9C-101B-9397-08002B2CF9AE}" pid="10" name="flag_fulu">
    <vt:lpwstr>0</vt:lpwstr>
  </property>
  <property fmtid="{D5CDD505-2E9C-101B-9397-08002B2CF9AE}" pid="11" name="flag_pic">
    <vt:lpwstr>false</vt:lpwstr>
  </property>
  <property fmtid="{D5CDD505-2E9C-101B-9397-08002B2CF9AE}" pid="12" name="flag_tab">
    <vt:lpwstr>false</vt:lpwstr>
  </property>
  <property fmtid="{D5CDD505-2E9C-101B-9397-08002B2CF9AE}" pid="13" name="NumList">
    <vt:lpwstr>false</vt:lpwstr>
  </property>
  <property fmtid="{D5CDD505-2E9C-101B-9397-08002B2CF9AE}" pid="14" name="DoublePage">
    <vt:lpwstr>true</vt:lpwstr>
  </property>
  <property fmtid="{D5CDD505-2E9C-101B-9397-08002B2CF9AE}" pid="15" name="KSOTemplateDocerSaveRecord">
    <vt:lpwstr>eyJoZGlkIjoiNjNlYWM1ZWQyNmZlY2QxZWVkZTY4YWE1MzU2ZTk1MWEiLCJ1c2VySWQiOiI0NjE0NTMyMTAifQ==</vt:lpwstr>
  </property>
  <property fmtid="{D5CDD505-2E9C-101B-9397-08002B2CF9AE}" pid="16" name="KSOProductBuildVer">
    <vt:lpwstr>2052-10.8.0.6423</vt:lpwstr>
  </property>
  <property fmtid="{D5CDD505-2E9C-101B-9397-08002B2CF9AE}" pid="17" name="ICV">
    <vt:lpwstr>F1AB78CAB3854FD7BDF6194B4C45AE24_12</vt:lpwstr>
  </property>
</Properties>
</file>