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20"/>
              <w:framePr w:wrap="notBeside" w:vAnchor="page" w:hAnchor="page" w:x="1372" w:y="568"/>
              <w:tabs>
                <w:tab w:val="clear" w:pos="4153"/>
                <w:tab w:val="clear" w:pos="8306"/>
              </w:tabs>
              <w:spacing w:line="240" w:lineRule="auto"/>
              <w:jc w:val="left"/>
              <w:rPr>
                <w:rFonts w:hint="eastAsia" w:ascii="黑体" w:hAnsi="黑体" w:eastAsia="黑体"/>
                <w:color w:val="auto"/>
                <w:sz w:val="21"/>
                <w:szCs w:val="21"/>
              </w:rPr>
            </w:pPr>
            <w:bookmarkStart w:id="268" w:name="_GoBack"/>
            <w:bookmarkEnd w:id="268"/>
            <w:r>
              <w:rPr>
                <w:rFonts w:ascii="Times New Roman" w:hAnsi="Times New Roman" w:eastAsia="黑体"/>
                <w:color w:val="auto"/>
                <w:sz w:val="21"/>
                <w:szCs w:val="21"/>
              </w:rPr>
              <w:t>ICS</w:t>
            </w:r>
            <w:r>
              <w:rPr>
                <w:rFonts w:ascii="黑体" w:hAnsi="黑体" w:eastAsia="黑体"/>
                <w:color w:val="auto"/>
                <w:sz w:val="21"/>
                <w:szCs w:val="21"/>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hint="eastAsia" w:ascii="黑体" w:hAnsi="黑体" w:eastAsia="黑体"/>
                <w:color w:val="auto"/>
                <w:sz w:val="21"/>
                <w:szCs w:val="21"/>
              </w:rPr>
            </w:pPr>
            <w:r>
              <w:rPr>
                <w:rFonts w:hint="eastAsia" w:ascii="黑体" w:hAnsi="黑体" w:eastAsia="黑体"/>
                <w:color w:val="auto"/>
                <w:sz w:val="21"/>
                <w:szCs w:val="21"/>
              </w:rPr>
              <w:t>03.180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before="40" w:line="240" w:lineRule="auto"/>
              <w:jc w:val="left"/>
              <w:rPr>
                <w:rFonts w:hint="eastAsia" w:ascii="黑体" w:hAnsi="黑体" w:eastAsia="黑体"/>
                <w:color w:val="auto"/>
                <w:sz w:val="21"/>
                <w:szCs w:val="21"/>
              </w:rPr>
            </w:pPr>
            <w:r>
              <w:rPr>
                <w:rFonts w:ascii="Times New Roman" w:hAnsi="Times New Roman" w:eastAsia="黑体"/>
                <w:color w:val="auto"/>
                <w:sz w:val="21"/>
                <w:szCs w:val="21"/>
              </w:rPr>
              <w:t xml:space="preserve">CCS </w:t>
            </w:r>
            <w:r>
              <w:rPr>
                <w:rFonts w:ascii="黑体" w:hAnsi="黑体" w:eastAsia="黑体"/>
                <w:color w:val="auto"/>
                <w:sz w:val="21"/>
                <w:szCs w:val="21"/>
              </w:rPr>
              <w:t xml:space="preserve"> </w:t>
            </w:r>
          </w:p>
        </w:tc>
        <w:tc>
          <w:tcPr>
            <w:tcW w:w="8855" w:type="dxa"/>
          </w:tcPr>
          <w:p>
            <w:pPr>
              <w:pStyle w:val="20"/>
              <w:framePr w:wrap="notBeside" w:vAnchor="page" w:hAnchor="page" w:x="1372" w:y="568"/>
              <w:tabs>
                <w:tab w:val="clear" w:pos="4153"/>
                <w:tab w:val="clear" w:pos="8306"/>
              </w:tabs>
              <w:spacing w:before="40" w:line="240" w:lineRule="auto"/>
              <w:jc w:val="left"/>
              <w:rPr>
                <w:rFonts w:hint="eastAsia" w:ascii="黑体" w:hAnsi="黑体" w:eastAsia="黑体"/>
                <w:color w:val="auto"/>
                <w:sz w:val="21"/>
                <w:szCs w:val="21"/>
              </w:rPr>
            </w:pPr>
            <w:r>
              <w:rPr>
                <w:rFonts w:hint="eastAsia" w:ascii="黑体" w:hAnsi="黑体" w:eastAsia="黑体"/>
                <w:color w:val="auto"/>
                <w:sz w:val="21"/>
                <w:szCs w:val="21"/>
              </w:rPr>
              <w:t>A18</w:t>
            </w:r>
          </w:p>
        </w:tc>
      </w:tr>
    </w:tbl>
    <w:tbl>
      <w:tblPr>
        <w:tblStyle w:val="37"/>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53"/>
              <w:framePr w:w="0" w:hRule="auto" w:wrap="auto" w:vAnchor="margin" w:hAnchor="text" w:xAlign="left" w:yAlign="inline"/>
              <w:rPr>
                <w:rFonts w:hint="eastAsia" w:ascii="宋体" w:hAnsi="宋体"/>
                <w:color w:val="auto"/>
                <w:sz w:val="28"/>
                <w:szCs w:val="28"/>
              </w:rPr>
            </w:pPr>
            <w:bookmarkStart w:id="0" w:name="_Hlk26473981"/>
            <w:r>
              <w:rPr>
                <w:color w:val="auto"/>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color w:val="auto"/>
                <w:sz w:val="21"/>
                <w:szCs w:val="21"/>
              </w:rPr>
              <w:t xml:space="preserve"> </w:t>
            </w:r>
            <w:r>
              <w:rPr>
                <w:color w:val="auto"/>
              </w:rPr>
              <w:fldChar w:fldCharType="begin">
                <w:ffData>
                  <w:name w:val="c1"/>
                  <w:enabled/>
                  <w:calcOnExit w:val="0"/>
                  <w:textInput>
                    <w:maxLength w:val="8"/>
                  </w:textInput>
                </w:ffData>
              </w:fldChar>
            </w:r>
            <w:bookmarkStart w:id="1" w:name="c1"/>
            <w:r>
              <w:rPr>
                <w:color w:val="auto"/>
              </w:rPr>
              <w:instrText xml:space="preserve"> FORMTEXT </w:instrText>
            </w:r>
            <w:r>
              <w:rPr>
                <w:color w:val="auto"/>
              </w:rPr>
              <w:fldChar w:fldCharType="separate"/>
            </w:r>
            <w:r>
              <w:rPr>
                <w:rFonts w:hint="eastAsia"/>
                <w:color w:val="auto"/>
              </w:rPr>
              <w:t>43</w:t>
            </w:r>
            <w:r>
              <w:rPr>
                <w:color w:val="auto"/>
              </w:rPr>
              <w:fldChar w:fldCharType="end"/>
            </w:r>
            <w:bookmarkEnd w:id="1"/>
          </w:p>
        </w:tc>
      </w:tr>
    </w:tbl>
    <w:p>
      <w:pPr>
        <w:pStyle w:val="54"/>
        <w:framePr w:w="9639" w:h="624" w:hRule="exact" w:hSpace="181" w:vSpace="181" w:hAnchor="page" w:x="1305" w:y="2269"/>
        <w:rPr>
          <w:rFonts w:hint="eastAsia" w:ascii="黑体" w:hAnsi="黑体" w:eastAsia="黑体"/>
          <w:b w:val="0"/>
          <w:bCs w:val="0"/>
          <w:color w:val="auto"/>
          <w:w w:val="100"/>
          <w:sz w:val="48"/>
          <w:szCs w:val="48"/>
        </w:rPr>
      </w:pPr>
      <w:r>
        <w:rPr>
          <w:rFonts w:ascii="黑体" w:eastAsia="黑体"/>
          <w:b w:val="0"/>
          <w:color w:val="auto"/>
          <w:w w:val="100"/>
          <w:sz w:val="48"/>
        </w:rPr>
        <w:fldChar w:fldCharType="begin">
          <w:ffData>
            <w:name w:val="c2"/>
            <w:enabled/>
            <w:calcOnExit w:val="0"/>
            <w:textInput/>
          </w:ffData>
        </w:fldChar>
      </w:r>
      <w:bookmarkStart w:id="2" w:name="c2"/>
      <w:r>
        <w:rPr>
          <w:rFonts w:ascii="黑体" w:eastAsia="黑体"/>
          <w:b w:val="0"/>
          <w:color w:val="auto"/>
          <w:w w:val="100"/>
          <w:sz w:val="48"/>
        </w:rPr>
        <w:instrText xml:space="preserve"> FORMTEXT </w:instrText>
      </w:r>
      <w:r>
        <w:rPr>
          <w:rFonts w:ascii="黑体" w:eastAsia="黑体"/>
          <w:b w:val="0"/>
          <w:color w:val="auto"/>
          <w:w w:val="100"/>
          <w:sz w:val="48"/>
        </w:rPr>
        <w:fldChar w:fldCharType="separate"/>
      </w:r>
      <w:r>
        <w:rPr>
          <w:rFonts w:hint="eastAsia" w:ascii="黑体" w:eastAsia="黑体"/>
          <w:b w:val="0"/>
          <w:color w:val="auto"/>
          <w:w w:val="100"/>
          <w:sz w:val="48"/>
        </w:rPr>
        <w:t>湖南省</w:t>
      </w:r>
      <w:r>
        <w:rPr>
          <w:rFonts w:ascii="黑体" w:eastAsia="黑体"/>
          <w:b w:val="0"/>
          <w:color w:val="auto"/>
          <w:w w:val="100"/>
          <w:sz w:val="48"/>
        </w:rPr>
        <w:fldChar w:fldCharType="end"/>
      </w:r>
      <w:bookmarkEnd w:id="2"/>
      <w:r>
        <w:rPr>
          <w:rFonts w:hint="eastAsia" w:ascii="黑体" w:hAnsi="黑体" w:eastAsia="黑体"/>
          <w:b w:val="0"/>
          <w:bCs w:val="0"/>
          <w:color w:val="auto"/>
          <w:w w:val="100"/>
          <w:sz w:val="48"/>
          <w:szCs w:val="48"/>
        </w:rPr>
        <w:t>地方标准</w:t>
      </w:r>
    </w:p>
    <w:bookmarkEnd w:id="0"/>
    <w:p>
      <w:pPr>
        <w:pStyle w:val="199"/>
        <w:rPr>
          <w:color w:val="auto"/>
          <w:lang w:val="fr-FR"/>
        </w:rPr>
      </w:pPr>
      <w:r>
        <w:rPr>
          <w:color w:val="auto"/>
          <w:lang w:val="fr-FR"/>
        </w:rPr>
        <w:t>DB</w:t>
      </w:r>
      <w:r>
        <w:rPr>
          <w:color w:val="auto"/>
          <w:sz w:val="15"/>
          <w:szCs w:val="15"/>
          <w:lang w:val="fr-FR"/>
        </w:rPr>
        <w:t xml:space="preserve"> </w:t>
      </w:r>
      <w:r>
        <w:rPr>
          <w:color w:val="auto"/>
        </w:rPr>
        <w:fldChar w:fldCharType="begin">
          <w:ffData>
            <w:name w:val="文字1"/>
            <w:enabled/>
            <w:calcOnExit w:val="0"/>
            <w:textInput>
              <w:default w:val="XX/T"/>
            </w:textInput>
          </w:ffData>
        </w:fldChar>
      </w:r>
      <w:bookmarkStart w:id="3" w:name="文字1"/>
      <w:r>
        <w:rPr>
          <w:color w:val="auto"/>
          <w:lang w:val="fr-FR"/>
        </w:rPr>
        <w:instrText xml:space="preserve"> FORMTEXT </w:instrText>
      </w:r>
      <w:r>
        <w:rPr>
          <w:color w:val="auto"/>
        </w:rPr>
        <w:fldChar w:fldCharType="separate"/>
      </w:r>
      <w:r>
        <w:rPr>
          <w:rFonts w:hint="eastAsia"/>
          <w:color w:val="auto"/>
          <w:lang w:val="fr-FR"/>
        </w:rPr>
        <w:t>43</w:t>
      </w:r>
      <w:r>
        <w:rPr>
          <w:color w:val="auto"/>
          <w:lang w:val="fr-FR"/>
        </w:rPr>
        <w:t>/T</w:t>
      </w:r>
      <w:r>
        <w:rPr>
          <w:color w:val="auto"/>
        </w:rPr>
        <w:fldChar w:fldCharType="end"/>
      </w:r>
      <w:bookmarkEnd w:id="3"/>
      <w:r>
        <w:rPr>
          <w:color w:val="auto"/>
          <w:lang w:val="fr-FR"/>
        </w:rPr>
        <w:t xml:space="preserve"> </w:t>
      </w:r>
      <w:r>
        <w:rPr>
          <w:color w:val="auto"/>
        </w:rPr>
        <w:fldChar w:fldCharType="begin">
          <w:ffData>
            <w:name w:val="NSTD_CODE_F"/>
            <w:enabled/>
            <w:calcOnExit w:val="0"/>
            <w:textInput>
              <w:default w:val="XXXX"/>
            </w:textInput>
          </w:ffData>
        </w:fldChar>
      </w:r>
      <w:bookmarkStart w:id="4" w:name="NSTD_CODE_F"/>
      <w:r>
        <w:rPr>
          <w:color w:val="auto"/>
          <w:lang w:val="fr-FR"/>
        </w:rPr>
        <w:instrText xml:space="preserve"> FORMTEXT </w:instrText>
      </w:r>
      <w:r>
        <w:rPr>
          <w:color w:val="auto"/>
        </w:rPr>
        <w:fldChar w:fldCharType="separate"/>
      </w:r>
      <w:r>
        <w:rPr>
          <w:color w:val="auto"/>
          <w:lang w:val="fr-FR"/>
        </w:rPr>
        <w:t>XXXX</w:t>
      </w:r>
      <w:r>
        <w:rPr>
          <w:color w:val="auto"/>
        </w:rPr>
        <w:fldChar w:fldCharType="end"/>
      </w:r>
      <w:bookmarkEnd w:id="4"/>
      <w:r>
        <w:rPr>
          <w:rFonts w:hAnsi="黑体"/>
          <w:color w:val="auto"/>
          <w:lang w:val="fr-FR"/>
        </w:rPr>
        <w:t>—</w:t>
      </w:r>
      <w:r>
        <w:rPr>
          <w:color w:val="auto"/>
        </w:rPr>
        <w:fldChar w:fldCharType="begin">
          <w:ffData>
            <w:name w:val="NSTD_CODE_B"/>
            <w:enabled/>
            <w:calcOnExit w:val="0"/>
            <w:textInput>
              <w:default w:val="XXXX"/>
            </w:textInput>
          </w:ffData>
        </w:fldChar>
      </w:r>
      <w:bookmarkStart w:id="5" w:name="NSTD_CODE_B"/>
      <w:r>
        <w:rPr>
          <w:color w:val="auto"/>
          <w:lang w:val="fr-FR"/>
        </w:rPr>
        <w:instrText xml:space="preserve"> FORMTEXT </w:instrText>
      </w:r>
      <w:r>
        <w:rPr>
          <w:color w:val="auto"/>
        </w:rPr>
        <w:fldChar w:fldCharType="separate"/>
      </w:r>
      <w:r>
        <w:rPr>
          <w:color w:val="auto"/>
          <w:lang w:val="fr-FR"/>
        </w:rPr>
        <w:t>XXXX</w:t>
      </w:r>
      <w:r>
        <w:rPr>
          <w:color w:val="auto"/>
        </w:rPr>
        <w:fldChar w:fldCharType="end"/>
      </w:r>
      <w:bookmarkEnd w:id="5"/>
    </w:p>
    <w:p>
      <w:pPr>
        <w:pStyle w:val="200"/>
        <w:rPr>
          <w:rFonts w:hint="eastAsia" w:hAnsi="黑体"/>
          <w:color w:val="auto"/>
        </w:rPr>
      </w:pPr>
      <w:r>
        <w:rPr>
          <w:rFonts w:hAnsi="黑体"/>
          <w:color w:val="auto"/>
        </w:rPr>
        <w:fldChar w:fldCharType="begin">
          <w:ffData>
            <w:name w:val="OSTD_CODE"/>
            <w:enabled/>
            <w:calcOnExit w:val="0"/>
            <w:textInput/>
          </w:ffData>
        </w:fldChar>
      </w:r>
      <w:bookmarkStart w:id="6"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6"/>
    </w:p>
    <w:p>
      <w:pPr>
        <w:spacing w:line="240" w:lineRule="auto"/>
        <w:rPr>
          <w:rFonts w:hint="eastAsia"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4"/>
        <w:framePr w:w="9639" w:h="6976" w:hRule="exact" w:hSpace="0" w:vSpace="0" w:hAnchor="page" w:y="6408"/>
        <w:jc w:val="center"/>
        <w:rPr>
          <w:rFonts w:hint="eastAsia" w:ascii="黑体" w:hAnsi="黑体" w:eastAsia="黑体"/>
          <w:b w:val="0"/>
          <w:bCs w:val="0"/>
          <w:color w:val="auto"/>
          <w:w w:val="100"/>
        </w:rPr>
      </w:pPr>
    </w:p>
    <w:p>
      <w:pPr>
        <w:pStyle w:val="201"/>
        <w:framePr w:h="6974" w:hRule="exact" w:x="1419" w:anchorLock="1"/>
        <w:rPr>
          <w:rFonts w:hint="eastAsia"/>
          <w:color w:val="auto"/>
        </w:rPr>
      </w:pPr>
      <w:r>
        <w:rPr>
          <w:color w:val="auto"/>
        </w:rPr>
        <w:fldChar w:fldCharType="begin">
          <w:ffData>
            <w:name w:val="CSTD_NAME"/>
            <w:enabled/>
            <w:calcOnExit w:val="0"/>
            <w:textInput>
              <w:default w:val="点击此处添加标准名称"/>
            </w:textInput>
          </w:ffData>
        </w:fldChar>
      </w:r>
      <w:bookmarkStart w:id="7" w:name="CSTD_NAME"/>
      <w:r>
        <w:rPr>
          <w:color w:val="auto"/>
        </w:rPr>
        <w:instrText xml:space="preserve"> FORMTEXT </w:instrText>
      </w:r>
      <w:r>
        <w:rPr>
          <w:color w:val="auto"/>
        </w:rPr>
        <w:fldChar w:fldCharType="separate"/>
      </w:r>
      <w:r>
        <w:rPr>
          <w:color w:val="auto"/>
        </w:rPr>
        <w:t>数据标注产教融合实训</w:t>
      </w:r>
      <w:r>
        <w:rPr>
          <w:rFonts w:hint="eastAsia"/>
          <w:color w:val="auto"/>
        </w:rPr>
        <w:t>规范</w:t>
      </w:r>
      <w:r>
        <w:rPr>
          <w:color w:val="auto"/>
        </w:rPr>
        <w:fldChar w:fldCharType="end"/>
      </w:r>
      <w:bookmarkEnd w:id="7"/>
    </w:p>
    <w:p>
      <w:pPr>
        <w:framePr w:w="9639" w:h="6974" w:hRule="exact" w:wrap="around" w:vAnchor="page" w:hAnchor="page" w:x="1419" w:y="6408" w:anchorLock="1"/>
        <w:ind w:left="-1418"/>
        <w:rPr>
          <w:color w:val="auto"/>
        </w:rPr>
      </w:pPr>
    </w:p>
    <w:p>
      <w:pPr>
        <w:pStyle w:val="129"/>
        <w:framePr w:w="9639" w:h="6974" w:hRule="exact" w:wrap="around" w:vAnchor="page" w:hAnchor="page" w:x="1419" w:y="6408" w:anchorLock="1"/>
        <w:textAlignment w:val="bottom"/>
        <w:rPr>
          <w:rFonts w:hint="eastAsia" w:ascii="黑体" w:hAnsi="黑体" w:eastAsia="黑体"/>
          <w:color w:val="auto"/>
          <w:szCs w:val="28"/>
        </w:rPr>
      </w:pPr>
      <w:r>
        <w:rPr>
          <w:rFonts w:hint="eastAsia" w:ascii="黑体" w:hAnsi="黑体" w:eastAsia="黑体"/>
          <w:color w:val="auto"/>
          <w:szCs w:val="28"/>
        </w:rPr>
        <w:t>Specification for Industry-Education Integration Practical Training in Data Labeling</w:t>
      </w:r>
    </w:p>
    <w:p>
      <w:pPr>
        <w:framePr w:w="9639" w:h="6974" w:hRule="exact" w:wrap="around" w:vAnchor="page" w:hAnchor="page" w:x="1419" w:y="6408" w:anchorLock="1"/>
        <w:spacing w:line="760" w:lineRule="exact"/>
        <w:ind w:left="-1418"/>
        <w:rPr>
          <w:color w:val="auto"/>
        </w:rPr>
      </w:pPr>
    </w:p>
    <w:p>
      <w:pPr>
        <w:pStyle w:val="129"/>
        <w:framePr w:w="9639" w:h="6974" w:hRule="exact" w:wrap="around" w:vAnchor="page" w:hAnchor="page" w:x="1419" w:y="6408" w:anchorLock="1"/>
        <w:textAlignment w:val="bottom"/>
        <w:rPr>
          <w:rFonts w:eastAsia="黑体"/>
          <w:color w:val="auto"/>
          <w:szCs w:val="28"/>
        </w:rPr>
      </w:pPr>
    </w:p>
    <w:p>
      <w:pPr>
        <w:pStyle w:val="129"/>
        <w:framePr w:w="9639" w:h="6974" w:hRule="exact" w:wrap="around" w:vAnchor="page" w:hAnchor="page" w:x="1419" w:y="6408" w:anchorLock="1"/>
        <w:spacing w:before="440" w:after="160"/>
        <w:textAlignment w:val="bottom"/>
        <w:rPr>
          <w:color w:val="auto"/>
          <w:sz w:val="24"/>
          <w:szCs w:val="28"/>
        </w:rPr>
      </w:pPr>
      <w:bookmarkStart w:id="8" w:name="下拉1"/>
      <w:r>
        <w:rPr>
          <w:color w:val="auto"/>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listEntry w:val="（草案）"/>
            </w:ddList>
          </w:ffData>
        </w:fldChar>
      </w:r>
      <w:r>
        <w:rPr>
          <w:color w:val="auto"/>
          <w:sz w:val="24"/>
          <w:szCs w:val="28"/>
        </w:rPr>
        <w:instrText xml:space="preserve">FORMDROPDOWN</w:instrText>
      </w:r>
      <w:r>
        <w:rPr>
          <w:color w:val="auto"/>
          <w:sz w:val="24"/>
          <w:szCs w:val="28"/>
        </w:rPr>
        <w:fldChar w:fldCharType="separate"/>
      </w:r>
      <w:r>
        <w:rPr>
          <w:color w:val="auto"/>
          <w:sz w:val="24"/>
          <w:szCs w:val="28"/>
        </w:rPr>
        <w:fldChar w:fldCharType="end"/>
      </w:r>
      <w:bookmarkEnd w:id="8"/>
    </w:p>
    <w:p>
      <w:pPr>
        <w:pStyle w:val="129"/>
        <w:framePr w:w="9639" w:h="6974" w:hRule="exact" w:wrap="around" w:vAnchor="page" w:hAnchor="page" w:x="1419" w:y="6408" w:anchorLock="1"/>
        <w:spacing w:before="180" w:line="240" w:lineRule="atLeast"/>
        <w:textAlignment w:val="bottom"/>
        <w:rPr>
          <w:color w:val="auto"/>
          <w:sz w:val="21"/>
          <w:szCs w:val="28"/>
        </w:rPr>
      </w:pPr>
      <w:r>
        <w:rPr>
          <w:color w:val="auto"/>
          <w:sz w:val="21"/>
          <w:szCs w:val="28"/>
        </w:rPr>
        <w:fldChar w:fldCharType="begin">
          <w:ffData>
            <w:name w:val="CMPLSH_DATE"/>
            <w:enabled/>
            <w:calcOnExit w:val="0"/>
            <w:textInput/>
          </w:ffData>
        </w:fldChar>
      </w:r>
      <w:bookmarkStart w:id="9" w:name="CMPLSH_DATE"/>
      <w:r>
        <w:rPr>
          <w:color w:val="auto"/>
          <w:sz w:val="21"/>
          <w:szCs w:val="28"/>
        </w:rPr>
        <w:instrText xml:space="preserve"> FORMTEXT </w:instrText>
      </w:r>
      <w:r>
        <w:rPr>
          <w:color w:val="auto"/>
          <w:sz w:val="21"/>
          <w:szCs w:val="28"/>
        </w:rPr>
        <w:fldChar w:fldCharType="separate"/>
      </w:r>
      <w:r>
        <w:rPr>
          <w:color w:val="auto"/>
          <w:sz w:val="21"/>
          <w:szCs w:val="28"/>
        </w:rPr>
        <w:t>     </w:t>
      </w:r>
      <w:r>
        <w:rPr>
          <w:color w:val="auto"/>
          <w:sz w:val="21"/>
          <w:szCs w:val="28"/>
        </w:rPr>
        <w:fldChar w:fldCharType="end"/>
      </w:r>
      <w:bookmarkEnd w:id="9"/>
    </w:p>
    <w:p>
      <w:pPr>
        <w:pStyle w:val="129"/>
        <w:framePr w:w="9639" w:h="6974" w:hRule="exact" w:wrap="around" w:vAnchor="page" w:hAnchor="page" w:x="1419" w:y="6408" w:anchorLock="1"/>
        <w:spacing w:before="720" w:beforeLines="300" w:after="72" w:afterLines="30" w:line="240" w:lineRule="auto"/>
        <w:textAlignment w:val="bottom"/>
        <w:rPr>
          <w:b/>
          <w:color w:val="auto"/>
          <w:sz w:val="21"/>
          <w:szCs w:val="28"/>
        </w:rPr>
      </w:pPr>
      <w:r>
        <w:rPr>
          <w:b/>
          <w:color w:val="auto"/>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Pr>
          <w:b/>
          <w:color w:val="auto"/>
          <w:sz w:val="21"/>
          <w:szCs w:val="28"/>
        </w:rPr>
        <w:instrText xml:space="preserve"> FORMDROPDOWN </w:instrText>
      </w:r>
      <w:r>
        <w:rPr>
          <w:b/>
          <w:color w:val="auto"/>
          <w:sz w:val="21"/>
          <w:szCs w:val="28"/>
        </w:rPr>
        <w:fldChar w:fldCharType="separate"/>
      </w:r>
      <w:r>
        <w:rPr>
          <w:b/>
          <w:color w:val="auto"/>
          <w:sz w:val="21"/>
          <w:szCs w:val="28"/>
        </w:rPr>
        <w:fldChar w:fldCharType="end"/>
      </w:r>
      <w:bookmarkEnd w:id="10"/>
    </w:p>
    <w:p>
      <w:pPr>
        <w:pStyle w:val="197"/>
        <w:framePr w:y="14176"/>
        <w:rPr>
          <w:color w:val="auto"/>
        </w:rPr>
      </w:pPr>
      <w:r>
        <w:rPr>
          <w:rFonts w:ascii="黑体"/>
          <w:color w:val="auto"/>
        </w:rPr>
        <w:fldChar w:fldCharType="begin">
          <w:ffData>
            <w:name w:val="PLSH_DATE_Y"/>
            <w:enabled/>
            <w:calcOnExit w:val="0"/>
            <w:textInput>
              <w:default w:val="XXXX"/>
              <w:maxLength w:val="4"/>
            </w:textInput>
          </w:ffData>
        </w:fldChar>
      </w:r>
      <w:bookmarkStart w:id="11" w:name="PLSH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11"/>
      <w:r>
        <w:rPr>
          <w:color w:val="auto"/>
        </w:rPr>
        <w:t xml:space="preserve"> </w:t>
      </w:r>
      <w:r>
        <w:rPr>
          <w:rFonts w:ascii="黑体"/>
          <w:color w:val="auto"/>
        </w:rPr>
        <w:t>-</w:t>
      </w:r>
      <w:r>
        <w:rPr>
          <w:color w:val="auto"/>
        </w:rPr>
        <w:t xml:space="preserve"> </w:t>
      </w:r>
      <w:r>
        <w:rPr>
          <w:rFonts w:ascii="黑体"/>
          <w:color w:val="auto"/>
        </w:rPr>
        <w:fldChar w:fldCharType="begin">
          <w:ffData>
            <w:name w:val="PLSH_DATE_M"/>
            <w:enabled/>
            <w:calcOnExit w:val="0"/>
            <w:textInput>
              <w:default w:val="XX"/>
              <w:maxLength w:val="2"/>
            </w:textInput>
          </w:ffData>
        </w:fldChar>
      </w:r>
      <w:bookmarkStart w:id="12"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2"/>
      <w:r>
        <w:rPr>
          <w:color w:val="auto"/>
        </w:rPr>
        <w:t xml:space="preserve"> </w:t>
      </w:r>
      <w:r>
        <w:rPr>
          <w:rFonts w:ascii="黑体"/>
          <w:color w:val="auto"/>
        </w:rPr>
        <w:t>-</w:t>
      </w:r>
      <w:r>
        <w:rPr>
          <w:color w:val="auto"/>
        </w:rPr>
        <w:t xml:space="preserve"> </w:t>
      </w:r>
      <w:r>
        <w:rPr>
          <w:rFonts w:ascii="黑体"/>
          <w:color w:val="auto"/>
        </w:rPr>
        <w:fldChar w:fldCharType="begin">
          <w:ffData>
            <w:name w:val="PLSH_DATE_D"/>
            <w:enabled/>
            <w:calcOnExit w:val="0"/>
            <w:textInput>
              <w:default w:val="XX"/>
              <w:maxLength w:val="2"/>
            </w:textInput>
          </w:ffData>
        </w:fldChar>
      </w:r>
      <w:bookmarkStart w:id="13"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3"/>
      <w:r>
        <w:rPr>
          <w:rFonts w:hint="eastAsia"/>
          <w:color w:val="auto"/>
        </w:rPr>
        <w:t>发布</w:t>
      </w:r>
    </w:p>
    <w:p>
      <w:pPr>
        <w:pStyle w:val="198"/>
        <w:framePr w:y="14176"/>
        <w:rPr>
          <w:color w:val="auto"/>
        </w:rPr>
      </w:pPr>
      <w:r>
        <w:rPr>
          <w:rFonts w:ascii="黑体"/>
          <w:color w:val="auto"/>
        </w:rPr>
        <w:fldChar w:fldCharType="begin">
          <w:ffData>
            <w:name w:val="CROT_DATE_Y"/>
            <w:enabled/>
            <w:calcOnExit w:val="0"/>
            <w:textInput>
              <w:default w:val="XXXX"/>
              <w:maxLength w:val="4"/>
            </w:textInput>
          </w:ffData>
        </w:fldChar>
      </w:r>
      <w:bookmarkStart w:id="14"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14"/>
      <w:r>
        <w:rPr>
          <w:color w:val="auto"/>
        </w:rPr>
        <w:t xml:space="preserve"> </w:t>
      </w:r>
      <w:r>
        <w:rPr>
          <w:rFonts w:ascii="黑体"/>
          <w:color w:val="auto"/>
        </w:rPr>
        <w:t>-</w:t>
      </w:r>
      <w:r>
        <w:rPr>
          <w:color w:val="auto"/>
        </w:rPr>
        <w:t xml:space="preserve"> </w:t>
      </w:r>
      <w:r>
        <w:rPr>
          <w:rFonts w:ascii="黑体"/>
          <w:color w:val="auto"/>
        </w:rPr>
        <w:fldChar w:fldCharType="begin">
          <w:ffData>
            <w:name w:val="CROT_DATE_M"/>
            <w:enabled/>
            <w:calcOnExit w:val="0"/>
            <w:textInput>
              <w:default w:val="XX"/>
              <w:maxLength w:val="2"/>
            </w:textInput>
          </w:ffData>
        </w:fldChar>
      </w:r>
      <w:bookmarkStart w:id="15"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5"/>
      <w:r>
        <w:rPr>
          <w:color w:val="auto"/>
        </w:rPr>
        <w:t xml:space="preserve"> </w:t>
      </w:r>
      <w:r>
        <w:rPr>
          <w:rFonts w:ascii="黑体"/>
          <w:color w:val="auto"/>
        </w:rPr>
        <w:t>-</w:t>
      </w:r>
      <w:r>
        <w:rPr>
          <w:color w:val="auto"/>
        </w:rPr>
        <w:t xml:space="preserve"> </w:t>
      </w:r>
      <w:r>
        <w:rPr>
          <w:rFonts w:ascii="黑体"/>
          <w:color w:val="auto"/>
        </w:rPr>
        <w:fldChar w:fldCharType="begin">
          <w:ffData>
            <w:name w:val="CROT_DATE_D"/>
            <w:enabled/>
            <w:calcOnExit w:val="0"/>
            <w:textInput>
              <w:default w:val="XX"/>
              <w:maxLength w:val="2"/>
            </w:textInput>
          </w:ffData>
        </w:fldChar>
      </w:r>
      <w:bookmarkStart w:id="16"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6"/>
      <w:r>
        <w:rPr>
          <w:rFonts w:hint="eastAsia"/>
          <w:color w:val="auto"/>
        </w:rPr>
        <w:t>实施</w:t>
      </w:r>
    </w:p>
    <w:p>
      <w:pPr>
        <w:pStyle w:val="155"/>
        <w:framePr w:h="584" w:hRule="exact" w:hSpace="181" w:vSpace="181" w:y="15027"/>
        <w:rPr>
          <w:rFonts w:hint="eastAsia" w:hAnsi="黑体"/>
          <w:color w:val="auto"/>
        </w:rPr>
      </w:pPr>
      <w:r>
        <w:rPr>
          <w:rFonts w:hAnsi="黑体"/>
          <w:color w:val="auto"/>
          <w:w w:val="100"/>
          <w:sz w:val="28"/>
        </w:rPr>
        <w:fldChar w:fldCharType="begin">
          <w:ffData>
            <w:name w:val="fm"/>
            <w:enabled/>
            <w:calcOnExit w:val="0"/>
            <w:textInput/>
          </w:ffData>
        </w:fldChar>
      </w:r>
      <w:bookmarkStart w:id="17" w:name="fm"/>
      <w:r>
        <w:rPr>
          <w:rFonts w:hAnsi="黑体"/>
          <w:color w:val="auto"/>
          <w:w w:val="100"/>
          <w:sz w:val="28"/>
        </w:rPr>
        <w:instrText xml:space="preserve"> FORMTEXT </w:instrText>
      </w:r>
      <w:r>
        <w:rPr>
          <w:rFonts w:hAnsi="黑体"/>
          <w:color w:val="auto"/>
          <w:w w:val="100"/>
          <w:sz w:val="28"/>
        </w:rPr>
        <w:fldChar w:fldCharType="separate"/>
      </w:r>
      <w:r>
        <w:rPr>
          <w:rFonts w:hint="eastAsia" w:hAnsi="黑体"/>
          <w:color w:val="auto"/>
          <w:w w:val="100"/>
          <w:sz w:val="28"/>
        </w:rPr>
        <w:t>湖南省市场监督管理局</w:t>
      </w:r>
      <w:r>
        <w:rPr>
          <w:rFonts w:hAnsi="黑体"/>
          <w:color w:val="auto"/>
          <w:w w:val="100"/>
          <w:sz w:val="28"/>
        </w:rPr>
        <w:fldChar w:fldCharType="end"/>
      </w:r>
      <w:bookmarkEnd w:id="17"/>
      <w:r>
        <w:rPr>
          <w:rFonts w:ascii="Times New Roman"/>
          <w:color w:val="auto"/>
          <w:w w:val="100"/>
          <w:sz w:val="28"/>
        </w:rPr>
        <w:t>  </w:t>
      </w:r>
      <w:r>
        <w:rPr>
          <w:rStyle w:val="233"/>
          <w:rFonts w:hint="eastAsia" w:hAnsi="黑体"/>
          <w:color w:val="auto"/>
          <w:position w:val="0"/>
        </w:rPr>
        <w:t>发</w:t>
      </w:r>
      <w:r>
        <w:rPr>
          <w:rStyle w:val="233"/>
          <w:rFonts w:hint="eastAsia" w:hAnsi="黑体"/>
          <w:color w:val="auto"/>
          <w:spacing w:val="0"/>
          <w:position w:val="0"/>
        </w:rPr>
        <w:t>布</w:t>
      </w:r>
    </w:p>
    <w:p>
      <w:pPr>
        <w:rPr>
          <w:rFonts w:hint="eastAsia" w:ascii="宋体" w:hAnsi="宋体"/>
          <w:color w:val="auto"/>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5"/>
        <w:spacing w:after="468"/>
        <w:rPr>
          <w:rFonts w:hint="eastAsia"/>
          <w:color w:val="auto"/>
        </w:rPr>
      </w:pPr>
      <w:bookmarkStart w:id="18" w:name="BookMark1"/>
      <w:bookmarkStart w:id="19" w:name="_Toc239347213"/>
      <w:bookmarkStart w:id="20" w:name="_Toc233725680"/>
      <w:bookmarkStart w:id="21" w:name="_Toc233724304"/>
      <w:bookmarkStart w:id="22" w:name="_Toc233793745"/>
      <w:r>
        <w:rPr>
          <w:rFonts w:hint="eastAsia"/>
          <w:color w:val="auto"/>
          <w:spacing w:val="320"/>
        </w:rPr>
        <w:t>目</w:t>
      </w:r>
      <w:r>
        <w:rPr>
          <w:rFonts w:hint="eastAsia"/>
          <w:color w:val="auto"/>
        </w:rPr>
        <w:t>次</w:t>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color w:val="auto"/>
        </w:rPr>
        <w:fldChar w:fldCharType="begin"/>
      </w:r>
      <w:r>
        <w:rPr>
          <w:color w:val="auto"/>
        </w:rPr>
        <w:instrText xml:space="preserve"> TOC \o "1-1" \h \t "标准文件_一级条标题,2,标准文件_附录一级条标题,2," </w:instrText>
      </w:r>
      <w:r>
        <w:rPr>
          <w:color w:val="auto"/>
        </w:rPr>
        <w:fldChar w:fldCharType="separate"/>
      </w:r>
      <w:r>
        <w:rPr>
          <w:rStyle w:val="33"/>
        </w:rPr>
        <w:fldChar w:fldCharType="begin"/>
      </w:r>
      <w:r>
        <w:rPr>
          <w:rStyle w:val="33"/>
        </w:rPr>
        <w:instrText xml:space="preserve"> </w:instrText>
      </w:r>
      <w:r>
        <w:rPr>
          <w:rFonts w:hint="eastAsia"/>
          <w:color w:val="auto"/>
        </w:rPr>
        <w:instrText xml:space="preserve">HYPERLINK \l "_Toc239409890"</w:instrText>
      </w:r>
      <w:r>
        <w:rPr>
          <w:rStyle w:val="33"/>
        </w:rPr>
        <w:instrText xml:space="preserve"> </w:instrText>
      </w:r>
      <w:r>
        <w:rPr>
          <w:rStyle w:val="33"/>
        </w:rPr>
        <w:fldChar w:fldCharType="separate"/>
      </w:r>
      <w:r>
        <w:rPr>
          <w:rStyle w:val="33"/>
          <w:spacing w:val="0"/>
        </w:rPr>
        <w:t>前</w:t>
      </w:r>
      <w:r>
        <w:rPr>
          <w:rStyle w:val="33"/>
        </w:rPr>
        <w:t>言</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_Toc239409890 \h</w:instrText>
      </w:r>
      <w:r>
        <w:rPr>
          <w:rFonts w:hint="eastAsia"/>
          <w:color w:val="auto"/>
        </w:rPr>
        <w:instrText xml:space="preserve"> </w:instrText>
      </w:r>
      <w:r>
        <w:rPr>
          <w:rFonts w:hint="eastAsia"/>
          <w:color w:val="auto"/>
        </w:rPr>
        <w:fldChar w:fldCharType="separate"/>
      </w:r>
      <w:r>
        <w:rPr>
          <w:color w:val="auto"/>
        </w:rPr>
        <w:t>III</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"_Toc239409891"</w:instrText>
      </w:r>
      <w:r>
        <w:rPr>
          <w:rStyle w:val="33"/>
        </w:rPr>
        <w:instrText xml:space="preserve"> </w:instrText>
      </w:r>
      <w:r>
        <w:rPr>
          <w:rStyle w:val="33"/>
        </w:rPr>
        <w:fldChar w:fldCharType="separate"/>
      </w:r>
      <w:r>
        <w:rPr>
          <w:rStyle w:val="33"/>
        </w:rPr>
        <w:t>1  范围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_Toc239409891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"_Toc239409892"</w:instrText>
      </w:r>
      <w:r>
        <w:rPr>
          <w:rStyle w:val="33"/>
        </w:rPr>
        <w:instrText xml:space="preserve"> </w:instrText>
      </w:r>
      <w:r>
        <w:rPr>
          <w:rStyle w:val="33"/>
        </w:rPr>
        <w:fldChar w:fldCharType="separate"/>
      </w:r>
      <w:r>
        <w:rPr>
          <w:rStyle w:val="33"/>
        </w:rPr>
        <w:t>2  规范性引用文件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_Toc239409892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"_Toc239409893"</w:instrText>
      </w:r>
      <w:r>
        <w:rPr>
          <w:rStyle w:val="33"/>
        </w:rPr>
        <w:instrText xml:space="preserve"> </w:instrText>
      </w:r>
      <w:r>
        <w:rPr>
          <w:rStyle w:val="33"/>
        </w:rPr>
        <w:fldChar w:fldCharType="separate"/>
      </w:r>
      <w:r>
        <w:rPr>
          <w:rStyle w:val="33"/>
        </w:rPr>
        <w:t>3  术语和定义</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_Toc239409893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"_Toc239409894"</w:instrText>
      </w:r>
      <w:r>
        <w:rPr>
          <w:rStyle w:val="33"/>
        </w:rPr>
        <w:instrText xml:space="preserve"> </w:instrText>
      </w:r>
      <w:r>
        <w:rPr>
          <w:rStyle w:val="33"/>
        </w:rPr>
        <w:fldChar w:fldCharType="separate"/>
      </w:r>
      <w:r>
        <w:rPr>
          <w:rStyle w:val="33"/>
        </w:rPr>
        <w:t>4  总则</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_Toc239409894 \h</w:instrText>
      </w:r>
      <w:r>
        <w:rPr>
          <w:rFonts w:hint="eastAsia"/>
          <w:color w:val="auto"/>
        </w:rPr>
        <w:instrText xml:space="preserve"> </w:instrText>
      </w:r>
      <w:r>
        <w:rPr>
          <w:rFonts w:hint="eastAsia"/>
          <w:color w:val="auto"/>
        </w:rPr>
        <w:fldChar w:fldCharType="separate"/>
      </w:r>
      <w:r>
        <w:rPr>
          <w:color w:val="auto"/>
        </w:rPr>
        <w:t>5</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"_Toc239409895"</w:instrText>
      </w:r>
      <w:r>
        <w:rPr>
          <w:rStyle w:val="33"/>
        </w:rPr>
        <w:instrText xml:space="preserve"> </w:instrText>
      </w:r>
      <w:r>
        <w:rPr>
          <w:rStyle w:val="33"/>
        </w:rPr>
        <w:fldChar w:fldCharType="separate"/>
      </w:r>
      <w:r>
        <w:rPr>
          <w:rStyle w:val="33"/>
        </w:rPr>
        <w:t>5  基本条件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_Toc239409895 \h</w:instrText>
      </w:r>
      <w:r>
        <w:rPr>
          <w:rFonts w:hint="eastAsia"/>
          <w:color w:val="auto"/>
        </w:rPr>
        <w:instrText xml:space="preserve"> </w:instrText>
      </w:r>
      <w:r>
        <w:rPr>
          <w:rFonts w:hint="eastAsia"/>
          <w:color w:val="auto"/>
        </w:rPr>
        <w:fldChar w:fldCharType="separate"/>
      </w:r>
      <w:r>
        <w:rPr>
          <w:color w:val="auto"/>
        </w:rPr>
        <w:t>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"_Toc239409896"</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5.1 </w:t>
      </w:r>
      <w:r>
        <w:rPr>
          <w:rStyle w:val="33"/>
        </w:rPr>
        <w:t xml:space="preserve"> 实训主体</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_Toc239409896 \h</w:instrText>
      </w:r>
      <w:r>
        <w:rPr>
          <w:rFonts w:hint="eastAsia"/>
          <w:color w:val="auto"/>
        </w:rPr>
        <w:instrText xml:space="preserve"> </w:instrText>
      </w:r>
      <w:r>
        <w:rPr>
          <w:rFonts w:hint="eastAsia"/>
          <w:color w:val="auto"/>
        </w:rPr>
        <w:fldChar w:fldCharType="separate"/>
      </w:r>
      <w:r>
        <w:rPr>
          <w:color w:val="auto"/>
        </w:rPr>
        <w:t>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"_Toc239409897"</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5.2 </w:t>
      </w:r>
      <w:r>
        <w:rPr>
          <w:rStyle w:val="33"/>
        </w:rPr>
        <w:t xml:space="preserve"> 合作要求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_Toc239409897 \h</w:instrText>
      </w:r>
      <w:r>
        <w:rPr>
          <w:rFonts w:hint="eastAsia"/>
          <w:color w:val="auto"/>
        </w:rPr>
        <w:instrText xml:space="preserve"> </w:instrText>
      </w:r>
      <w:r>
        <w:rPr>
          <w:rFonts w:hint="eastAsia"/>
          <w:color w:val="auto"/>
        </w:rPr>
        <w:fldChar w:fldCharType="separate"/>
      </w:r>
      <w:r>
        <w:rPr>
          <w:color w:val="auto"/>
        </w:rPr>
        <w:t>6</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"_Toc239409898"</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5.3 </w:t>
      </w:r>
      <w:r>
        <w:rPr>
          <w:rStyle w:val="33"/>
        </w:rPr>
        <w:t xml:space="preserve"> 职责分工</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_Toc239409898 \h</w:instrText>
      </w:r>
      <w:r>
        <w:rPr>
          <w:rFonts w:hint="eastAsia"/>
          <w:color w:val="auto"/>
        </w:rPr>
        <w:instrText xml:space="preserve"> </w:instrText>
      </w:r>
      <w:r>
        <w:rPr>
          <w:rFonts w:hint="eastAsia"/>
          <w:color w:val="auto"/>
        </w:rPr>
        <w:fldChar w:fldCharType="separate"/>
      </w:r>
      <w:r>
        <w:rPr>
          <w:color w:val="auto"/>
        </w:rPr>
        <w:t>6</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"_Toc239409899"</w:instrText>
      </w:r>
      <w:r>
        <w:rPr>
          <w:rStyle w:val="33"/>
        </w:rPr>
        <w:instrText xml:space="preserve"> </w:instrText>
      </w:r>
      <w:r>
        <w:rPr>
          <w:rStyle w:val="33"/>
        </w:rPr>
        <w:fldChar w:fldCharType="separate"/>
      </w:r>
      <w:r>
        <w:rPr>
          <w:rStyle w:val="33"/>
        </w:rPr>
        <w:t>6  实训基础条件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_Toc239409899 \h</w:instrText>
      </w:r>
      <w:r>
        <w:rPr>
          <w:rFonts w:hint="eastAsia"/>
          <w:color w:val="auto"/>
        </w:rPr>
        <w:instrText xml:space="preserve"> </w:instrText>
      </w:r>
      <w:r>
        <w:rPr>
          <w:rFonts w:hint="eastAsia"/>
          <w:color w:val="auto"/>
        </w:rPr>
        <w:fldChar w:fldCharType="separate"/>
      </w:r>
      <w:r>
        <w:rPr>
          <w:color w:val="auto"/>
        </w:rPr>
        <w:t>7</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"_Toc239409900"</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6.1 </w:t>
      </w:r>
      <w:r>
        <w:rPr>
          <w:rStyle w:val="33"/>
        </w:rPr>
        <w:t xml:space="preserve"> 场地建设</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_Toc239409900 \h</w:instrText>
      </w:r>
      <w:r>
        <w:rPr>
          <w:rFonts w:hint="eastAsia"/>
          <w:color w:val="auto"/>
        </w:rPr>
        <w:instrText xml:space="preserve"> </w:instrText>
      </w:r>
      <w:r>
        <w:rPr>
          <w:rFonts w:hint="eastAsia"/>
          <w:color w:val="auto"/>
        </w:rPr>
        <w:fldChar w:fldCharType="separate"/>
      </w:r>
      <w:r>
        <w:rPr>
          <w:color w:val="auto"/>
        </w:rPr>
        <w:t>7</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"_Toc239409901"</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6.2 </w:t>
      </w:r>
      <w:r>
        <w:rPr>
          <w:rStyle w:val="33"/>
        </w:rPr>
        <w:t xml:space="preserve"> 软硬件资源配置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_Toc239409901 \h</w:instrText>
      </w:r>
      <w:r>
        <w:rPr>
          <w:rFonts w:hint="eastAsia"/>
          <w:color w:val="auto"/>
        </w:rPr>
        <w:instrText xml:space="preserve"> </w:instrText>
      </w:r>
      <w:r>
        <w:rPr>
          <w:rFonts w:hint="eastAsia"/>
          <w:color w:val="auto"/>
        </w:rPr>
        <w:fldChar w:fldCharType="separate"/>
      </w:r>
      <w:r>
        <w:rPr>
          <w:color w:val="auto"/>
        </w:rPr>
        <w:t>8</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"_Toc239409902"</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6.3 </w:t>
      </w:r>
      <w:r>
        <w:rPr>
          <w:rStyle w:val="33"/>
        </w:rPr>
        <w:t xml:space="preserve"> 人员配置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_Toc239409902 \h</w:instrText>
      </w:r>
      <w:r>
        <w:rPr>
          <w:rFonts w:hint="eastAsia"/>
          <w:color w:val="auto"/>
        </w:rPr>
        <w:instrText xml:space="preserve"> </w:instrText>
      </w:r>
      <w:r>
        <w:rPr>
          <w:rFonts w:hint="eastAsia"/>
          <w:color w:val="auto"/>
        </w:rPr>
        <w:fldChar w:fldCharType="separate"/>
      </w:r>
      <w:r>
        <w:rPr>
          <w:color w:val="auto"/>
        </w:rPr>
        <w:t>9</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"_Toc239409903"</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6.4 </w:t>
      </w:r>
      <w:r>
        <w:rPr>
          <w:rStyle w:val="33"/>
        </w:rPr>
        <w:t xml:space="preserve"> 制度建设</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_Toc239409903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"_Toc239409905"</w:instrText>
      </w:r>
      <w:r>
        <w:rPr>
          <w:rStyle w:val="33"/>
        </w:rPr>
        <w:instrText xml:space="preserve"> </w:instrText>
      </w:r>
      <w:r>
        <w:rPr>
          <w:rStyle w:val="33"/>
        </w:rPr>
        <w:fldChar w:fldCharType="separate"/>
      </w:r>
      <w:r>
        <w:rPr>
          <w:rStyle w:val="33"/>
        </w:rPr>
        <w:t>7  实训内容与课程体系</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_Toc239409905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"_Toc239409906"</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7.1 </w:t>
      </w:r>
      <w:r>
        <w:rPr>
          <w:rStyle w:val="33"/>
        </w:rPr>
        <w:t xml:space="preserve"> 实训内容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_Toc239409906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"_Toc239409907"</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7.2 </w:t>
      </w:r>
      <w:r>
        <w:rPr>
          <w:rStyle w:val="33"/>
        </w:rPr>
        <w:t xml:space="preserve"> 课程体系</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_Toc239409907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"_Toc239409908"</w:instrText>
      </w:r>
      <w:r>
        <w:rPr>
          <w:rStyle w:val="33"/>
        </w:rPr>
        <w:instrText xml:space="preserve"> </w:instrText>
      </w:r>
      <w:r>
        <w:rPr>
          <w:rStyle w:val="33"/>
        </w:rPr>
        <w:fldChar w:fldCharType="separate"/>
      </w:r>
      <w:r>
        <w:rPr>
          <w:rStyle w:val="33"/>
        </w:rPr>
        <w:t>8  实施管理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_Toc239409908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"_Toc239409909"</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8.1 </w:t>
      </w:r>
      <w:r>
        <w:rPr>
          <w:rStyle w:val="33"/>
        </w:rPr>
        <w:t xml:space="preserve"> 实训流程及要求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_Toc239409909 \h</w:instrText>
      </w:r>
      <w:r>
        <w:rPr>
          <w:rFonts w:hint="eastAsia"/>
          <w:color w:val="auto"/>
        </w:rPr>
        <w:instrText xml:space="preserve"> </w:instrText>
      </w:r>
      <w:r>
        <w:rPr>
          <w:rFonts w:hint="eastAsia"/>
          <w:color w:val="auto"/>
        </w:rPr>
        <w:fldChar w:fldCharType="separate"/>
      </w:r>
      <w:r>
        <w:rPr>
          <w:color w:val="auto"/>
        </w:rPr>
        <w:t>10</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"_Toc239409910"</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8.2 </w:t>
      </w:r>
      <w:r>
        <w:rPr>
          <w:rStyle w:val="33"/>
        </w:rPr>
        <w:t xml:space="preserve"> 人机协同标注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_Toc239409910 \h</w:instrText>
      </w:r>
      <w:r>
        <w:rPr>
          <w:rFonts w:hint="eastAsia"/>
          <w:color w:val="auto"/>
        </w:rPr>
        <w:instrText xml:space="preserve"> </w:instrText>
      </w:r>
      <w:r>
        <w:rPr>
          <w:rFonts w:hint="eastAsia"/>
          <w:color w:val="auto"/>
        </w:rPr>
        <w:fldChar w:fldCharType="separate"/>
      </w:r>
      <w:r>
        <w:rPr>
          <w:color w:val="auto"/>
        </w:rPr>
        <w:t>12</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"_Toc239409911"</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8.3 </w:t>
      </w:r>
      <w:r>
        <w:rPr>
          <w:rStyle w:val="33"/>
        </w:rPr>
        <w:t xml:space="preserve"> 档案管理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_Toc239409911 \h</w:instrText>
      </w:r>
      <w:r>
        <w:rPr>
          <w:rFonts w:hint="eastAsia"/>
          <w:color w:val="auto"/>
        </w:rPr>
        <w:instrText xml:space="preserve"> </w:instrText>
      </w:r>
      <w:r>
        <w:rPr>
          <w:rFonts w:hint="eastAsia"/>
          <w:color w:val="auto"/>
        </w:rPr>
        <w:fldChar w:fldCharType="separate"/>
      </w:r>
      <w:r>
        <w:rPr>
          <w:color w:val="auto"/>
        </w:rPr>
        <w:t>12</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"_Toc239409912"</w:instrText>
      </w:r>
      <w:r>
        <w:rPr>
          <w:rStyle w:val="33"/>
        </w:rPr>
        <w:instrText xml:space="preserve"> </w:instrText>
      </w:r>
      <w:r>
        <w:rPr>
          <w:rStyle w:val="33"/>
        </w:rPr>
        <w:fldChar w:fldCharType="separate"/>
      </w:r>
      <w:r>
        <w:rPr>
          <w:rStyle w:val="33"/>
        </w:rPr>
        <w:t>9  数据安全与质量管理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_Toc239409912 \h</w:instrText>
      </w:r>
      <w:r>
        <w:rPr>
          <w:rFonts w:hint="eastAsia"/>
          <w:color w:val="auto"/>
        </w:rPr>
        <w:instrText xml:space="preserve"> </w:instrText>
      </w:r>
      <w:r>
        <w:rPr>
          <w:rFonts w:hint="eastAsia"/>
          <w:color w:val="auto"/>
        </w:rPr>
        <w:fldChar w:fldCharType="separate"/>
      </w:r>
      <w:r>
        <w:rPr>
          <w:color w:val="auto"/>
        </w:rPr>
        <w:t>13</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"_Toc239409913"</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9.1 </w:t>
      </w:r>
      <w:r>
        <w:rPr>
          <w:rStyle w:val="33"/>
        </w:rPr>
        <w:t xml:space="preserve"> 数据安全管理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_Toc239409913 \h</w:instrText>
      </w:r>
      <w:r>
        <w:rPr>
          <w:rFonts w:hint="eastAsia"/>
          <w:color w:val="auto"/>
        </w:rPr>
        <w:instrText xml:space="preserve"> </w:instrText>
      </w:r>
      <w:r>
        <w:rPr>
          <w:rFonts w:hint="eastAsia"/>
          <w:color w:val="auto"/>
        </w:rPr>
        <w:fldChar w:fldCharType="separate"/>
      </w:r>
      <w:r>
        <w:rPr>
          <w:color w:val="auto"/>
        </w:rPr>
        <w:t>13</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"_Toc239409914"</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9.2 </w:t>
      </w:r>
      <w:r>
        <w:rPr>
          <w:rStyle w:val="33"/>
        </w:rPr>
        <w:t xml:space="preserve"> 知识产权保护</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_Toc239409914 \h</w:instrText>
      </w:r>
      <w:r>
        <w:rPr>
          <w:rFonts w:hint="eastAsia"/>
          <w:color w:val="auto"/>
        </w:rPr>
        <w:instrText xml:space="preserve"> </w:instrText>
      </w:r>
      <w:r>
        <w:rPr>
          <w:rFonts w:hint="eastAsia"/>
          <w:color w:val="auto"/>
        </w:rPr>
        <w:fldChar w:fldCharType="separate"/>
      </w:r>
      <w:r>
        <w:rPr>
          <w:color w:val="auto"/>
        </w:rPr>
        <w:t>13</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"_Toc239409915"</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9.3 </w:t>
      </w:r>
      <w:r>
        <w:rPr>
          <w:rStyle w:val="33"/>
        </w:rPr>
        <w:t xml:space="preserve"> 实训质量监控</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_Toc239409915 \h</w:instrText>
      </w:r>
      <w:r>
        <w:rPr>
          <w:rFonts w:hint="eastAsia"/>
          <w:color w:val="auto"/>
        </w:rPr>
        <w:instrText xml:space="preserve"> </w:instrText>
      </w:r>
      <w:r>
        <w:rPr>
          <w:rFonts w:hint="eastAsia"/>
          <w:color w:val="auto"/>
        </w:rPr>
        <w:fldChar w:fldCharType="separate"/>
      </w:r>
      <w:r>
        <w:rPr>
          <w:color w:val="auto"/>
        </w:rPr>
        <w:t>13</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"_Toc239409916"</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9.4 </w:t>
      </w:r>
      <w:r>
        <w:rPr>
          <w:rStyle w:val="33"/>
        </w:rPr>
        <w:t xml:space="preserve"> 项目交付与验收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_Toc239409916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"_Toc239409917"</w:instrText>
      </w:r>
      <w:r>
        <w:rPr>
          <w:rStyle w:val="33"/>
        </w:rPr>
        <w:instrText xml:space="preserve"> </w:instrText>
      </w:r>
      <w:r>
        <w:rPr>
          <w:rStyle w:val="33"/>
        </w:rPr>
        <w:fldChar w:fldCharType="separate"/>
      </w:r>
      <w:r>
        <w:rPr>
          <w:rStyle w:val="33"/>
        </w:rPr>
        <w:t>10  成绩考核</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_Toc239409917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"_Toc239409918"</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10.1 </w:t>
      </w:r>
      <w:r>
        <w:rPr>
          <w:rStyle w:val="33"/>
        </w:rPr>
        <w:t xml:space="preserve"> 考核方式</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_Toc239409918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"_Toc239409919"</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10.2 </w:t>
      </w:r>
      <w:r>
        <w:rPr>
          <w:rStyle w:val="33"/>
        </w:rPr>
        <w:t xml:space="preserve"> 考核主体与权重</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_Toc239409919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"_Toc239409920"</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10.3 </w:t>
      </w:r>
      <w:r>
        <w:rPr>
          <w:rStyle w:val="33"/>
        </w:rPr>
        <w:t xml:space="preserve"> 评价标准与等级</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_Toc239409920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"_Toc239409921"</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10.4 </w:t>
      </w:r>
      <w:r>
        <w:rPr>
          <w:rStyle w:val="33"/>
        </w:rPr>
        <w:t xml:space="preserve"> 证书衔接与学分认定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_Toc239409921 \h</w:instrText>
      </w:r>
      <w:r>
        <w:rPr>
          <w:rFonts w:hint="eastAsia"/>
          <w:color w:val="auto"/>
        </w:rPr>
        <w:instrText xml:space="preserve"> </w:instrText>
      </w:r>
      <w:r>
        <w:rPr>
          <w:rFonts w:hint="eastAsia"/>
          <w:color w:val="auto"/>
        </w:rPr>
        <w:fldChar w:fldCharType="separate"/>
      </w:r>
      <w:r>
        <w:rPr>
          <w:color w:val="auto"/>
        </w:rPr>
        <w:t>14</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"_Toc239409922"</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10.5 </w:t>
      </w:r>
      <w:r>
        <w:rPr>
          <w:rStyle w:val="33"/>
        </w:rPr>
        <w:t xml:space="preserve"> 质量反馈与整改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_Toc239409922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"_Toc239409923"</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10.6 </w:t>
      </w:r>
      <w:r>
        <w:rPr>
          <w:rStyle w:val="33"/>
        </w:rPr>
        <w:t xml:space="preserve"> 成绩反馈与申诉</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_Toc239409923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"_Toc239409924"</w:instrText>
      </w:r>
      <w:r>
        <w:rPr>
          <w:rStyle w:val="33"/>
        </w:rPr>
        <w:instrText xml:space="preserve"> </w:instrText>
      </w:r>
      <w:r>
        <w:rPr>
          <w:rStyle w:val="33"/>
        </w:rPr>
        <w:fldChar w:fldCharType="separate"/>
      </w:r>
      <w:r>
        <w:rPr>
          <w:rStyle w:val="33"/>
        </w:rPr>
        <w:t>11  评价与改进</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_Toc239409924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"_Toc239409925"</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11.1 </w:t>
      </w:r>
      <w:r>
        <w:rPr>
          <w:rStyle w:val="33"/>
        </w:rPr>
        <w:t xml:space="preserve"> 年度自评</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_Toc239409925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"_Toc239409926"</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11.2 </w:t>
      </w:r>
      <w:r>
        <w:rPr>
          <w:rStyle w:val="33"/>
        </w:rPr>
        <w:t xml:space="preserve"> 周期性全面评估</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_Toc239409926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"_Toc239409927"</w:instrText>
      </w:r>
      <w:r>
        <w:rPr>
          <w:rStyle w:val="33"/>
        </w:rPr>
        <w:instrText xml:space="preserve"> </w:instrText>
      </w:r>
      <w:r>
        <w:rPr>
          <w:rStyle w:val="33"/>
        </w:rPr>
        <w:fldChar w:fldCharType="separate"/>
      </w:r>
      <w:r>
        <w:rPr>
          <w:rStyle w:val="33"/>
          <w14:scene3d>
            <w14:lightRig w14:rig="threePt" w14:dir="t">
              <w14:rot w14:lat="0" w14:lon="0" w14:rev="0"/>
            </w14:lightRig>
          </w14:scene3d>
        </w:rPr>
        <w:t xml:space="preserve">11.3 </w:t>
      </w:r>
      <w:r>
        <w:rPr>
          <w:rStyle w:val="33"/>
        </w:rPr>
        <w:t xml:space="preserve"> 持续改进</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_Toc239409927 \h</w:instrText>
      </w:r>
      <w:r>
        <w:rPr>
          <w:rFonts w:hint="eastAsia"/>
          <w:color w:val="auto"/>
        </w:rPr>
        <w:instrText xml:space="preserve"> </w:instrText>
      </w:r>
      <w:r>
        <w:rPr>
          <w:rFonts w:hint="eastAsia"/>
          <w:color w:val="auto"/>
        </w:rPr>
        <w:fldChar w:fldCharType="separate"/>
      </w:r>
      <w:r>
        <w:rPr>
          <w:color w:val="auto"/>
        </w:rPr>
        <w:t>15</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"_Toc239409928"</w:instrText>
      </w:r>
      <w:r>
        <w:rPr>
          <w:rStyle w:val="33"/>
        </w:rPr>
        <w:instrText xml:space="preserve"> </w:instrText>
      </w:r>
      <w:r>
        <w:rPr>
          <w:rStyle w:val="33"/>
        </w:rPr>
        <w:fldChar w:fldCharType="separate"/>
      </w:r>
      <w:r>
        <w:rPr>
          <w:rStyle w:val="33"/>
          <w:spacing w:val="0"/>
        </w:rPr>
        <w:t>附录A</w:t>
      </w:r>
      <w:r>
        <w:rPr>
          <w:rStyle w:val="33"/>
        </w:rPr>
        <w:t>（资料性）  “双师型”教师、“双导师”任职要求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_Toc239409928 \h</w:instrText>
      </w:r>
      <w:r>
        <w:rPr>
          <w:rFonts w:hint="eastAsia"/>
          <w:color w:val="auto"/>
        </w:rPr>
        <w:instrText xml:space="preserve"> </w:instrText>
      </w:r>
      <w:r>
        <w:rPr>
          <w:rFonts w:hint="eastAsia"/>
          <w:color w:val="auto"/>
        </w:rPr>
        <w:fldChar w:fldCharType="separate"/>
      </w:r>
      <w:r>
        <w:rPr>
          <w:color w:val="auto"/>
        </w:rPr>
        <w:t>17</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"_Toc239409929"</w:instrText>
      </w:r>
      <w:r>
        <w:rPr>
          <w:rStyle w:val="33"/>
        </w:rPr>
        <w:instrText xml:space="preserve"> </w:instrText>
      </w:r>
      <w:r>
        <w:rPr>
          <w:rStyle w:val="33"/>
        </w:rPr>
        <w:fldChar w:fldCharType="separate"/>
      </w:r>
      <w:r>
        <w:rPr>
          <w:rStyle w:val="33"/>
        </w:rPr>
        <w:t>A.1  “双师型”教师</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_Toc239409929 \h</w:instrText>
      </w:r>
      <w:r>
        <w:rPr>
          <w:rFonts w:hint="eastAsia"/>
          <w:color w:val="auto"/>
        </w:rPr>
        <w:instrText xml:space="preserve"> </w:instrText>
      </w:r>
      <w:r>
        <w:rPr>
          <w:rFonts w:hint="eastAsia"/>
          <w:color w:val="auto"/>
        </w:rPr>
        <w:fldChar w:fldCharType="separate"/>
      </w:r>
      <w:r>
        <w:rPr>
          <w:color w:val="auto"/>
        </w:rPr>
        <w:t>17</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"_Toc239409930"</w:instrText>
      </w:r>
      <w:r>
        <w:rPr>
          <w:rStyle w:val="33"/>
        </w:rPr>
        <w:instrText xml:space="preserve"> </w:instrText>
      </w:r>
      <w:r>
        <w:rPr>
          <w:rStyle w:val="33"/>
        </w:rPr>
        <w:fldChar w:fldCharType="separate"/>
      </w:r>
      <w:r>
        <w:rPr>
          <w:rStyle w:val="33"/>
        </w:rPr>
        <w:t>A.2  院校指导教师</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_Toc239409930 \h</w:instrText>
      </w:r>
      <w:r>
        <w:rPr>
          <w:rFonts w:hint="eastAsia"/>
          <w:color w:val="auto"/>
        </w:rPr>
        <w:instrText xml:space="preserve"> </w:instrText>
      </w:r>
      <w:r>
        <w:rPr>
          <w:rFonts w:hint="eastAsia"/>
          <w:color w:val="auto"/>
        </w:rPr>
        <w:fldChar w:fldCharType="separate"/>
      </w:r>
      <w:r>
        <w:rPr>
          <w:color w:val="auto"/>
        </w:rPr>
        <w:t>17</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"_Toc239409931"</w:instrText>
      </w:r>
      <w:r>
        <w:rPr>
          <w:rStyle w:val="33"/>
        </w:rPr>
        <w:instrText xml:space="preserve"> </w:instrText>
      </w:r>
      <w:r>
        <w:rPr>
          <w:rStyle w:val="33"/>
        </w:rPr>
        <w:fldChar w:fldCharType="separate"/>
      </w:r>
      <w:r>
        <w:rPr>
          <w:rStyle w:val="33"/>
        </w:rPr>
        <w:t>A.3  企业指导教师</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_Toc239409931 \h</w:instrText>
      </w:r>
      <w:r>
        <w:rPr>
          <w:rFonts w:hint="eastAsia"/>
          <w:color w:val="auto"/>
        </w:rPr>
        <w:instrText xml:space="preserve"> </w:instrText>
      </w:r>
      <w:r>
        <w:rPr>
          <w:rFonts w:hint="eastAsia"/>
          <w:color w:val="auto"/>
        </w:rPr>
        <w:fldChar w:fldCharType="separate"/>
      </w:r>
      <w:r>
        <w:rPr>
          <w:color w:val="auto"/>
        </w:rPr>
        <w:t>17</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"_Toc239409936"</w:instrText>
      </w:r>
      <w:r>
        <w:rPr>
          <w:rStyle w:val="33"/>
        </w:rPr>
        <w:instrText xml:space="preserve"> </w:instrText>
      </w:r>
      <w:r>
        <w:rPr>
          <w:rStyle w:val="33"/>
        </w:rPr>
        <w:fldChar w:fldCharType="separate"/>
      </w:r>
      <w:r>
        <w:rPr>
          <w:rStyle w:val="33"/>
          <w:spacing w:val="0"/>
        </w:rPr>
        <w:t>附录B</w:t>
      </w:r>
      <w:r>
        <w:rPr>
          <w:rStyle w:val="33"/>
        </w:rPr>
        <w:t>（资料性）  各数据类型实训内容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_Toc239409936 \h</w:instrText>
      </w:r>
      <w:r>
        <w:rPr>
          <w:rFonts w:hint="eastAsia"/>
          <w:color w:val="auto"/>
        </w:rPr>
        <w:instrText xml:space="preserve"> </w:instrText>
      </w:r>
      <w:r>
        <w:rPr>
          <w:rFonts w:hint="eastAsia"/>
          <w:color w:val="auto"/>
        </w:rPr>
        <w:fldChar w:fldCharType="separate"/>
      </w:r>
      <w:r>
        <w:rPr>
          <w:color w:val="auto"/>
        </w:rPr>
        <w:t>20</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"_Toc239409937"</w:instrText>
      </w:r>
      <w:r>
        <w:rPr>
          <w:rStyle w:val="33"/>
        </w:rPr>
        <w:instrText xml:space="preserve"> </w:instrText>
      </w:r>
      <w:r>
        <w:rPr>
          <w:rStyle w:val="33"/>
        </w:rPr>
        <w:fldChar w:fldCharType="separate"/>
      </w:r>
      <w:r>
        <w:rPr>
          <w:rStyle w:val="33"/>
          <w:spacing w:val="0"/>
        </w:rPr>
        <w:t>附录C</w:t>
      </w:r>
      <w:r>
        <w:rPr>
          <w:rStyle w:val="33"/>
        </w:rPr>
        <w:t>（资料性）  课程内容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_Toc239409937 \h</w:instrText>
      </w:r>
      <w:r>
        <w:rPr>
          <w:rFonts w:hint="eastAsia"/>
          <w:color w:val="auto"/>
        </w:rPr>
        <w:instrText xml:space="preserve"> </w:instrText>
      </w:r>
      <w:r>
        <w:rPr>
          <w:rFonts w:hint="eastAsia"/>
          <w:color w:val="auto"/>
        </w:rPr>
        <w:fldChar w:fldCharType="separate"/>
      </w:r>
      <w:r>
        <w:rPr>
          <w:color w:val="auto"/>
        </w:rPr>
        <w:t>21</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"_Toc239409938"</w:instrText>
      </w:r>
      <w:r>
        <w:rPr>
          <w:rStyle w:val="33"/>
        </w:rPr>
        <w:instrText xml:space="preserve"> </w:instrText>
      </w:r>
      <w:r>
        <w:rPr>
          <w:rStyle w:val="33"/>
        </w:rPr>
        <w:fldChar w:fldCharType="separate"/>
      </w:r>
      <w:r>
        <w:rPr>
          <w:rStyle w:val="33"/>
        </w:rPr>
        <w:t>C.1  公共基础课程</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_Toc239409938 \h</w:instrText>
      </w:r>
      <w:r>
        <w:rPr>
          <w:rFonts w:hint="eastAsia"/>
          <w:color w:val="auto"/>
        </w:rPr>
        <w:instrText xml:space="preserve"> </w:instrText>
      </w:r>
      <w:r>
        <w:rPr>
          <w:rFonts w:hint="eastAsia"/>
          <w:color w:val="auto"/>
        </w:rPr>
        <w:fldChar w:fldCharType="separate"/>
      </w:r>
      <w:r>
        <w:rPr>
          <w:color w:val="auto"/>
        </w:rPr>
        <w:t>21</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"_Toc239409939"</w:instrText>
      </w:r>
      <w:r>
        <w:rPr>
          <w:rStyle w:val="33"/>
        </w:rPr>
        <w:instrText xml:space="preserve"> </w:instrText>
      </w:r>
      <w:r>
        <w:rPr>
          <w:rStyle w:val="33"/>
        </w:rPr>
        <w:fldChar w:fldCharType="separate"/>
      </w:r>
      <w:r>
        <w:rPr>
          <w:rStyle w:val="33"/>
        </w:rPr>
        <w:t>C.2  专业核心课程</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_Toc239409939 \h</w:instrText>
      </w:r>
      <w:r>
        <w:rPr>
          <w:rFonts w:hint="eastAsia"/>
          <w:color w:val="auto"/>
        </w:rPr>
        <w:instrText xml:space="preserve"> </w:instrText>
      </w:r>
      <w:r>
        <w:rPr>
          <w:rFonts w:hint="eastAsia"/>
          <w:color w:val="auto"/>
        </w:rPr>
        <w:fldChar w:fldCharType="separate"/>
      </w:r>
      <w:r>
        <w:rPr>
          <w:color w:val="auto"/>
        </w:rPr>
        <w:t>21</w:t>
      </w:r>
      <w:r>
        <w:rPr>
          <w:rFonts w:hint="eastAsia"/>
          <w:color w:val="auto"/>
        </w:rPr>
        <w:fldChar w:fldCharType="end"/>
      </w:r>
      <w:r>
        <w:rPr>
          <w:rStyle w:val="33"/>
        </w:rPr>
        <w:fldChar w:fldCharType="end"/>
      </w:r>
    </w:p>
    <w:p>
      <w:pPr>
        <w:pStyle w:val="26"/>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"_Toc239409940"</w:instrText>
      </w:r>
      <w:r>
        <w:rPr>
          <w:rStyle w:val="33"/>
        </w:rPr>
        <w:instrText xml:space="preserve"> </w:instrText>
      </w:r>
      <w:r>
        <w:rPr>
          <w:rStyle w:val="33"/>
        </w:rPr>
        <w:fldChar w:fldCharType="separate"/>
      </w:r>
      <w:r>
        <w:rPr>
          <w:rStyle w:val="33"/>
        </w:rPr>
        <w:t>C.3  实训实践课程</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_Toc239409940 \h</w:instrText>
      </w:r>
      <w:r>
        <w:rPr>
          <w:rFonts w:hint="eastAsia"/>
          <w:color w:val="auto"/>
        </w:rPr>
        <w:instrText xml:space="preserve"> </w:instrText>
      </w:r>
      <w:r>
        <w:rPr>
          <w:rFonts w:hint="eastAsia"/>
          <w:color w:val="auto"/>
        </w:rPr>
        <w:fldChar w:fldCharType="separate"/>
      </w:r>
      <w:r>
        <w:rPr>
          <w:color w:val="auto"/>
        </w:rPr>
        <w:t>21</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"_Toc239409941"</w:instrText>
      </w:r>
      <w:r>
        <w:rPr>
          <w:rStyle w:val="33"/>
        </w:rPr>
        <w:instrText xml:space="preserve"> </w:instrText>
      </w:r>
      <w:r>
        <w:rPr>
          <w:rStyle w:val="33"/>
        </w:rPr>
        <w:fldChar w:fldCharType="separate"/>
      </w:r>
      <w:r>
        <w:rPr>
          <w:rStyle w:val="33"/>
          <w:spacing w:val="0"/>
        </w:rPr>
        <w:t>附录D</w:t>
      </w:r>
      <w:r>
        <w:rPr>
          <w:rStyle w:val="33"/>
        </w:rPr>
        <w:t>（资料性）  “三阶递进”模式任务安排</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_Toc239409941 \h</w:instrText>
      </w:r>
      <w:r>
        <w:rPr>
          <w:rFonts w:hint="eastAsia"/>
          <w:color w:val="auto"/>
        </w:rPr>
        <w:instrText xml:space="preserve"> </w:instrText>
      </w:r>
      <w:r>
        <w:rPr>
          <w:rFonts w:hint="eastAsia"/>
          <w:color w:val="auto"/>
        </w:rPr>
        <w:fldChar w:fldCharType="separate"/>
      </w:r>
      <w:r>
        <w:rPr>
          <w:color w:val="auto"/>
        </w:rPr>
        <w:t>22</w:t>
      </w:r>
      <w:r>
        <w:rPr>
          <w:rFonts w:hint="eastAsia"/>
          <w:color w:val="auto"/>
        </w:rPr>
        <w:fldChar w:fldCharType="end"/>
      </w:r>
      <w:r>
        <w:rPr>
          <w:rStyle w:val="33"/>
        </w:rPr>
        <w:fldChar w:fldCharType="end"/>
      </w:r>
    </w:p>
    <w:p>
      <w:pPr>
        <w:pStyle w:val="21"/>
        <w:tabs>
          <w:tab w:val="right" w:leader="dot" w:pos="9344"/>
        </w:tabs>
        <w:rPr>
          <w:rFonts w:hint="eastAsia" w:asciiTheme="minorHAnsi" w:hAnsiTheme="minorHAnsi" w:eastAsiaTheme="minorEastAsia" w:cstheme="minorBidi"/>
          <w:color w:val="auto"/>
          <w:sz w:val="22"/>
          <w:szCs w:val="24"/>
          <w14:ligatures w14:val="standardContextual"/>
        </w:rPr>
      </w:pPr>
      <w:r>
        <w:rPr>
          <w:rStyle w:val="33"/>
        </w:rPr>
        <w:fldChar w:fldCharType="begin"/>
      </w:r>
      <w:r>
        <w:rPr>
          <w:rStyle w:val="33"/>
        </w:rPr>
        <w:instrText xml:space="preserve"> </w:instrText>
      </w:r>
      <w:r>
        <w:rPr>
          <w:rFonts w:hint="eastAsia"/>
          <w:color w:val="auto"/>
        </w:rPr>
        <w:instrText xml:space="preserve">HYPERLINK \l "_Toc239409942"</w:instrText>
      </w:r>
      <w:r>
        <w:rPr>
          <w:rStyle w:val="33"/>
        </w:rPr>
        <w:instrText xml:space="preserve"> </w:instrText>
      </w:r>
      <w:r>
        <w:rPr>
          <w:rStyle w:val="33"/>
        </w:rPr>
        <w:fldChar w:fldCharType="separate"/>
      </w:r>
      <w:r>
        <w:rPr>
          <w:rStyle w:val="33"/>
          <w:spacing w:val="0"/>
        </w:rPr>
        <w:t>参考文</w:t>
      </w:r>
      <w:r>
        <w:rPr>
          <w:rStyle w:val="33"/>
        </w:rPr>
        <w:t>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_Toc239409942 \h</w:instrText>
      </w:r>
      <w:r>
        <w:rPr>
          <w:rFonts w:hint="eastAsia"/>
          <w:color w:val="auto"/>
        </w:rPr>
        <w:instrText xml:space="preserve"> </w:instrText>
      </w:r>
      <w:r>
        <w:rPr>
          <w:rFonts w:hint="eastAsia"/>
          <w:color w:val="auto"/>
        </w:rPr>
        <w:fldChar w:fldCharType="separate"/>
      </w:r>
      <w:r>
        <w:rPr>
          <w:color w:val="auto"/>
        </w:rPr>
        <w:t>23</w:t>
      </w:r>
      <w:r>
        <w:rPr>
          <w:rFonts w:hint="eastAsia"/>
          <w:color w:val="auto"/>
        </w:rPr>
        <w:fldChar w:fldCharType="end"/>
      </w:r>
      <w:r>
        <w:rPr>
          <w:rStyle w:val="33"/>
        </w:rPr>
        <w:fldChar w:fldCharType="end"/>
      </w:r>
    </w:p>
    <w:p>
      <w:pPr>
        <w:pStyle w:val="95"/>
        <w:spacing w:after="468"/>
        <w:rPr>
          <w:color w:val="auto"/>
        </w:rPr>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rPr>
          <w:color w:val="auto"/>
        </w:rPr>
        <w:fldChar w:fldCharType="end"/>
      </w:r>
    </w:p>
    <w:bookmarkEnd w:id="18"/>
    <w:p>
      <w:pPr>
        <w:pStyle w:val="93"/>
        <w:spacing w:before="900" w:after="468"/>
        <w:rPr>
          <w:color w:val="auto"/>
        </w:rPr>
      </w:pPr>
      <w:bookmarkStart w:id="23" w:name="_Toc239409890"/>
      <w:bookmarkStart w:id="24" w:name="BookMark2"/>
      <w:r>
        <w:rPr>
          <w:rFonts w:hint="eastAsia"/>
          <w:color w:val="auto"/>
          <w:spacing w:val="320"/>
        </w:rPr>
        <w:t>前</w:t>
      </w:r>
      <w:r>
        <w:rPr>
          <w:rFonts w:hint="eastAsia"/>
          <w:color w:val="auto"/>
        </w:rPr>
        <w:t>言</w:t>
      </w:r>
      <w:bookmarkEnd w:id="19"/>
      <w:bookmarkEnd w:id="20"/>
      <w:bookmarkEnd w:id="21"/>
      <w:bookmarkEnd w:id="22"/>
      <w:bookmarkEnd w:id="23"/>
    </w:p>
    <w:p>
      <w:pPr>
        <w:pStyle w:val="60"/>
        <w:ind w:firstLine="420"/>
        <w:rPr>
          <w:color w:val="auto"/>
        </w:rPr>
      </w:pPr>
      <w:r>
        <w:rPr>
          <w:rFonts w:hint="eastAsia"/>
          <w:color w:val="auto"/>
        </w:rPr>
        <w:t>本文件按照GB/T 1.1—2020《标准化工作导则  第1部分：标准化文件的结构和起草规则》的规定起草。</w:t>
      </w:r>
    </w:p>
    <w:p>
      <w:pPr>
        <w:pStyle w:val="60"/>
        <w:ind w:firstLine="420"/>
        <w:rPr>
          <w:color w:val="auto"/>
        </w:rPr>
      </w:pPr>
      <w:r>
        <w:rPr>
          <w:rFonts w:hint="eastAsia"/>
          <w:color w:val="auto"/>
        </w:rPr>
        <w:t>请注意本文件的某些内容可能涉及专利。本文件的发布机构不承担识别专利的责任。</w:t>
      </w:r>
    </w:p>
    <w:p>
      <w:pPr>
        <w:pStyle w:val="60"/>
        <w:ind w:firstLine="420"/>
        <w:rPr>
          <w:color w:val="auto"/>
        </w:rPr>
      </w:pPr>
      <w:r>
        <w:rPr>
          <w:rFonts w:hint="eastAsia"/>
          <w:color w:val="auto"/>
        </w:rPr>
        <w:t>本文件由</w:t>
      </w:r>
      <w:r>
        <w:rPr>
          <w:rFonts w:hint="eastAsia" w:cs="Times New Roman"/>
          <w:i w:val="0"/>
          <w:iCs w:val="0"/>
          <w:caps w:val="0"/>
          <w:color w:val="auto"/>
          <w:spacing w:val="0"/>
          <w:sz w:val="21"/>
          <w:szCs w:val="20"/>
          <w:shd w:val="clear" w:fill="auto"/>
          <w:lang w:val="en-US" w:eastAsia="zh-CN"/>
        </w:rPr>
        <w:t>湖南省数据局</w:t>
      </w:r>
      <w:r>
        <w:rPr>
          <w:rFonts w:hint="eastAsia"/>
          <w:color w:val="auto"/>
        </w:rPr>
        <w:t>提出。</w:t>
      </w:r>
    </w:p>
    <w:p>
      <w:pPr>
        <w:pStyle w:val="60"/>
        <w:ind w:firstLine="420"/>
        <w:rPr>
          <w:color w:val="auto"/>
        </w:rPr>
      </w:pPr>
      <w:r>
        <w:rPr>
          <w:rFonts w:hint="eastAsia"/>
          <w:color w:val="auto"/>
        </w:rPr>
        <w:t>本文件由湖南省数据标准化技术委员会归口。</w:t>
      </w:r>
    </w:p>
    <w:p>
      <w:pPr>
        <w:pStyle w:val="60"/>
        <w:ind w:firstLine="420"/>
        <w:rPr>
          <w:rFonts w:hint="eastAsia"/>
          <w:color w:val="auto"/>
        </w:rPr>
      </w:pPr>
      <w:r>
        <w:rPr>
          <w:rFonts w:hint="eastAsia"/>
          <w:color w:val="auto"/>
        </w:rPr>
        <w:t>本文件起草单位：长沙市天心经济开发区管理委员会、长沙市数据局、长沙市教育局、长沙市人力资源和社会保障局、中南大学、湖南省天湘和信息科技有限公司、湖南琪耀科技有限公司</w:t>
      </w:r>
      <w:r>
        <w:rPr>
          <w:rFonts w:hint="eastAsia"/>
          <w:color w:val="auto"/>
          <w:lang w:eastAsia="zh-CN"/>
        </w:rPr>
        <w:t>。</w:t>
      </w:r>
    </w:p>
    <w:p>
      <w:pPr>
        <w:pStyle w:val="60"/>
        <w:ind w:firstLine="420"/>
        <w:rPr>
          <w:color w:val="auto"/>
        </w:rPr>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r>
        <w:rPr>
          <w:rFonts w:hint="eastAsia"/>
          <w:color w:val="auto"/>
        </w:rPr>
        <w:t>本文件主要起草人：陈宇、黎旺、龙承一、刘晓旖</w:t>
      </w:r>
      <w:r>
        <w:rPr>
          <w:rFonts w:hint="eastAsia"/>
          <w:color w:val="auto"/>
          <w:lang w:eastAsia="zh-CN"/>
        </w:rPr>
        <w:t>、</w:t>
      </w:r>
      <w:r>
        <w:rPr>
          <w:rFonts w:hint="eastAsia"/>
          <w:color w:val="auto"/>
        </w:rPr>
        <w:t>周霞林、</w:t>
      </w:r>
      <w:r>
        <w:rPr>
          <w:rFonts w:hint="eastAsia" w:ascii="宋体" w:hAnsi="Times New Roman" w:eastAsia="宋体" w:cs="Times New Roman"/>
          <w:color w:val="auto"/>
          <w:lang w:eastAsia="zh-CN"/>
        </w:rPr>
        <w:t>简朵良、李滔、邹滨</w:t>
      </w:r>
      <w:r>
        <w:rPr>
          <w:rFonts w:hint="eastAsia" w:cs="Times New Roman"/>
          <w:color w:val="auto"/>
          <w:lang w:eastAsia="zh-CN"/>
        </w:rPr>
        <w:t>、</w:t>
      </w:r>
      <w:r>
        <w:rPr>
          <w:rFonts w:hint="eastAsia" w:ascii="宋体" w:hAnsi="Times New Roman" w:eastAsia="宋体" w:cs="Times New Roman"/>
          <w:color w:val="auto"/>
          <w:lang w:eastAsia="zh-CN"/>
        </w:rPr>
        <w:t>李沈鑫</w:t>
      </w:r>
      <w:r>
        <w:rPr>
          <w:rFonts w:hint="eastAsia" w:cs="Times New Roman"/>
          <w:color w:val="auto"/>
          <w:lang w:eastAsia="zh-CN"/>
        </w:rPr>
        <w:t>、</w:t>
      </w:r>
      <w:r>
        <w:rPr>
          <w:rFonts w:hint="eastAsia" w:cs="Times New Roman"/>
          <w:color w:val="auto"/>
          <w:lang w:val="en-US" w:eastAsia="zh-CN"/>
        </w:rPr>
        <w:t>张慧、</w:t>
      </w:r>
      <w:r>
        <w:rPr>
          <w:rFonts w:hint="eastAsia"/>
          <w:color w:val="auto"/>
        </w:rPr>
        <w:t>姚湘军、龙水良</w:t>
      </w:r>
      <w:r>
        <w:rPr>
          <w:rFonts w:hint="eastAsia"/>
          <w:color w:val="auto"/>
          <w:lang w:eastAsia="zh-CN"/>
        </w:rPr>
        <w:t>、阳雄伟、</w:t>
      </w:r>
      <w:r>
        <w:rPr>
          <w:rFonts w:hint="eastAsia"/>
          <w:color w:val="auto"/>
        </w:rPr>
        <w:t>曹丽冰</w:t>
      </w:r>
      <w:r>
        <w:rPr>
          <w:rFonts w:hint="eastAsia"/>
          <w:color w:val="auto"/>
          <w:lang w:eastAsia="zh-CN"/>
        </w:rPr>
        <w:t>、向梦黎、梁三连、马有璐、</w:t>
      </w:r>
      <w:r>
        <w:rPr>
          <w:rFonts w:hint="eastAsia"/>
          <w:color w:val="auto"/>
          <w:lang w:val="en-US" w:eastAsia="zh-CN"/>
        </w:rPr>
        <w:t>黄凯、赵子骏</w:t>
      </w:r>
      <w:r>
        <w:rPr>
          <w:rFonts w:hint="eastAsia"/>
          <w:color w:val="auto"/>
          <w:lang w:eastAsia="zh-CN"/>
        </w:rPr>
        <w:t>。</w:t>
      </w:r>
    </w:p>
    <w:bookmarkEnd w:id="24"/>
    <w:p>
      <w:pPr>
        <w:spacing w:line="20" w:lineRule="exact"/>
        <w:jc w:val="center"/>
        <w:rPr>
          <w:rFonts w:hint="eastAsia" w:ascii="黑体" w:hAnsi="黑体" w:eastAsia="黑体"/>
          <w:color w:val="auto"/>
          <w:sz w:val="32"/>
          <w:szCs w:val="32"/>
        </w:rPr>
      </w:pPr>
      <w:bookmarkStart w:id="25" w:name="BookMark4"/>
    </w:p>
    <w:p>
      <w:pPr>
        <w:spacing w:line="20" w:lineRule="exact"/>
        <w:jc w:val="center"/>
        <w:rPr>
          <w:rFonts w:hint="eastAsia" w:ascii="黑体" w:hAnsi="黑体" w:eastAsia="黑体"/>
          <w:color w:val="auto"/>
          <w:sz w:val="32"/>
          <w:szCs w:val="32"/>
        </w:rPr>
      </w:pPr>
    </w:p>
    <w:sdt>
      <w:sdtPr>
        <w:rPr>
          <w:color w:val="auto"/>
        </w:rPr>
        <w:tag w:val="NEW_STAND_NAME"/>
        <w:id w:val="595910757"/>
        <w:lock w:val="sdtLocked"/>
        <w:placeholder>
          <w:docPart w:val="F0A1D9AD07D341AF81CC88793023F97F"/>
        </w:placeholder>
      </w:sdtPr>
      <w:sdtEndPr>
        <w:rPr>
          <w:color w:val="auto"/>
        </w:rPr>
      </w:sdtEndPr>
      <w:sdtContent>
        <w:p>
          <w:pPr>
            <w:pStyle w:val="181"/>
            <w:spacing w:before="3" w:beforeLines="1" w:after="686" w:afterLines="220"/>
            <w:rPr>
              <w:rFonts w:hint="eastAsia"/>
              <w:color w:val="auto"/>
            </w:rPr>
          </w:pPr>
          <w:bookmarkStart w:id="26" w:name="NEW_STAND_NAME"/>
          <w:r>
            <w:rPr>
              <w:rFonts w:hint="eastAsia"/>
              <w:color w:val="auto"/>
            </w:rPr>
            <w:t>数据标注产教融合实训规范</w:t>
          </w:r>
        </w:p>
      </w:sdtContent>
    </w:sdt>
    <w:bookmarkEnd w:id="26"/>
    <w:p>
      <w:pPr>
        <w:pStyle w:val="108"/>
        <w:spacing w:before="312" w:after="312"/>
        <w:rPr>
          <w:color w:val="auto"/>
        </w:rPr>
      </w:pPr>
      <w:bookmarkStart w:id="27" w:name="_Toc97191423"/>
      <w:bookmarkStart w:id="28" w:name="_Toc26648465"/>
      <w:bookmarkStart w:id="29" w:name="_Toc233793746"/>
      <w:bookmarkStart w:id="30" w:name="_Toc24884218"/>
      <w:bookmarkStart w:id="31" w:name="_Toc17233325"/>
      <w:bookmarkStart w:id="32" w:name="_Toc233724305"/>
      <w:bookmarkStart w:id="33" w:name="_Toc239409891"/>
      <w:bookmarkStart w:id="34" w:name="_Toc26986771"/>
      <w:bookmarkStart w:id="35" w:name="_Toc26986530"/>
      <w:bookmarkStart w:id="36" w:name="_Toc26718930"/>
      <w:bookmarkStart w:id="37" w:name="_Toc24884211"/>
      <w:bookmarkStart w:id="38" w:name="_Toc239347214"/>
      <w:bookmarkStart w:id="39" w:name="_Toc233725681"/>
      <w:bookmarkStart w:id="40" w:name="_Toc17233333"/>
      <w:r>
        <w:rPr>
          <w:rFonts w:hint="eastAsia"/>
          <w:color w:val="auto"/>
        </w:rPr>
        <w:t>范围</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60"/>
        <w:ind w:firstLine="420"/>
        <w:rPr>
          <w:color w:val="auto"/>
        </w:rPr>
      </w:pPr>
      <w:bookmarkStart w:id="41" w:name="_Toc17233334"/>
      <w:bookmarkStart w:id="42" w:name="_Toc17233326"/>
      <w:bookmarkStart w:id="43" w:name="_Toc24884219"/>
      <w:bookmarkStart w:id="44" w:name="_Toc26648466"/>
      <w:bookmarkStart w:id="45" w:name="_Toc24884212"/>
      <w:r>
        <w:rPr>
          <w:color w:val="auto"/>
        </w:rPr>
        <w:t>本文件规定了数据标注产教融合实训的</w:t>
      </w:r>
      <w:r>
        <w:rPr>
          <w:rFonts w:hint="eastAsia"/>
          <w:color w:val="auto"/>
        </w:rPr>
        <w:t>总则</w:t>
      </w:r>
      <w:r>
        <w:rPr>
          <w:color w:val="auto"/>
        </w:rPr>
        <w:t>、</w:t>
      </w:r>
      <w:r>
        <w:rPr>
          <w:rFonts w:hint="eastAsia"/>
          <w:color w:val="auto"/>
        </w:rPr>
        <w:t>基本条件、实训基础条件、实训内容与课程体系</w:t>
      </w:r>
      <w:r>
        <w:rPr>
          <w:color w:val="auto"/>
        </w:rPr>
        <w:t>、实施管理、</w:t>
      </w:r>
      <w:r>
        <w:rPr>
          <w:rFonts w:hint="eastAsia"/>
          <w:color w:val="auto"/>
        </w:rPr>
        <w:t>数据安全与质量管理、成绩</w:t>
      </w:r>
      <w:r>
        <w:rPr>
          <w:color w:val="auto"/>
        </w:rPr>
        <w:t>考核</w:t>
      </w:r>
      <w:r>
        <w:rPr>
          <w:rFonts w:hint="eastAsia"/>
          <w:color w:val="auto"/>
        </w:rPr>
        <w:t>及</w:t>
      </w:r>
      <w:r>
        <w:rPr>
          <w:color w:val="auto"/>
        </w:rPr>
        <w:t>评价</w:t>
      </w:r>
      <w:r>
        <w:rPr>
          <w:rFonts w:hint="eastAsia"/>
          <w:color w:val="auto"/>
        </w:rPr>
        <w:t>与</w:t>
      </w:r>
      <w:r>
        <w:rPr>
          <w:color w:val="auto"/>
        </w:rPr>
        <w:t>改进的要求</w:t>
      </w:r>
      <w:r>
        <w:rPr>
          <w:rFonts w:hint="eastAsia"/>
          <w:color w:val="auto"/>
        </w:rPr>
        <w:t>。</w:t>
      </w:r>
    </w:p>
    <w:p>
      <w:pPr>
        <w:pStyle w:val="60"/>
        <w:ind w:firstLine="420"/>
        <w:rPr>
          <w:color w:val="auto"/>
        </w:rPr>
      </w:pPr>
      <w:r>
        <w:rPr>
          <w:rFonts w:hint="eastAsia"/>
          <w:color w:val="auto"/>
        </w:rPr>
        <w:t>本文件适用于职业院校、应用型本科高校（以下简称“院校”）与企业合作开展的数据标注产教融合实训活动。其他类型的数据标注人才培养实训可参照执行。</w:t>
      </w:r>
    </w:p>
    <w:p>
      <w:pPr>
        <w:pStyle w:val="108"/>
        <w:spacing w:before="312" w:after="312"/>
        <w:rPr>
          <w:color w:val="auto"/>
        </w:rPr>
      </w:pPr>
      <w:bookmarkStart w:id="46" w:name="_Toc233793747"/>
      <w:bookmarkStart w:id="47" w:name="_Toc26718931"/>
      <w:bookmarkStart w:id="48" w:name="_Toc233724306"/>
      <w:bookmarkStart w:id="49" w:name="_Toc233725682"/>
      <w:bookmarkStart w:id="50" w:name="_Toc239347215"/>
      <w:bookmarkStart w:id="51" w:name="_Toc26986772"/>
      <w:bookmarkStart w:id="52" w:name="_Toc239409892"/>
      <w:bookmarkStart w:id="53" w:name="_Toc97191424"/>
      <w:bookmarkStart w:id="54" w:name="_Toc26986531"/>
      <w:r>
        <w:rPr>
          <w:rFonts w:hint="eastAsia"/>
          <w:color w:val="auto"/>
        </w:rPr>
        <w:t>规范性引用文件</w:t>
      </w:r>
      <w:bookmarkEnd w:id="41"/>
      <w:bookmarkEnd w:id="42"/>
      <w:bookmarkEnd w:id="43"/>
      <w:bookmarkEnd w:id="44"/>
      <w:bookmarkEnd w:id="45"/>
      <w:bookmarkEnd w:id="46"/>
      <w:bookmarkEnd w:id="47"/>
      <w:bookmarkEnd w:id="48"/>
      <w:bookmarkEnd w:id="49"/>
      <w:bookmarkEnd w:id="50"/>
      <w:bookmarkEnd w:id="51"/>
      <w:bookmarkEnd w:id="52"/>
      <w:bookmarkEnd w:id="53"/>
      <w:bookmarkEnd w:id="54"/>
    </w:p>
    <w:sdt>
      <w:sdtPr>
        <w:rPr>
          <w:rFonts w:hint="eastAsia"/>
          <w:color w:val="auto"/>
        </w:rPr>
        <w:id w:val="715848253"/>
        <w:placeholder>
          <w:docPart w:val="7CB696FA5BA7425197F6AB5E95F543A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rPr>
      </w:sdtEndPr>
      <w:sdtContent>
        <w:p>
          <w:pPr>
            <w:pStyle w:val="60"/>
            <w:ind w:firstLine="420"/>
            <w:rPr>
              <w:color w:val="auto"/>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0"/>
        <w:ind w:firstLine="420"/>
        <w:rPr>
          <w:color w:val="auto"/>
        </w:rPr>
      </w:pPr>
      <w:bookmarkStart w:id="55" w:name="_Toc97191425"/>
      <w:r>
        <w:rPr>
          <w:rFonts w:hint="eastAsia"/>
          <w:color w:val="auto"/>
        </w:rPr>
        <w:t>GBZ 1  工业企业设计卫生标准</w:t>
      </w:r>
    </w:p>
    <w:p>
      <w:pPr>
        <w:pStyle w:val="60"/>
        <w:ind w:firstLine="420"/>
        <w:rPr>
          <w:color w:val="auto"/>
        </w:rPr>
      </w:pPr>
      <w:r>
        <w:rPr>
          <w:rFonts w:hint="eastAsia"/>
          <w:color w:val="auto"/>
        </w:rPr>
        <w:t>GB/T 2893.1  图形符号 安全色和安全标志 第1部分：安全标志和安全标记的设计原则</w:t>
      </w:r>
    </w:p>
    <w:p>
      <w:pPr>
        <w:pStyle w:val="60"/>
        <w:ind w:firstLine="420"/>
        <w:rPr>
          <w:color w:val="auto"/>
        </w:rPr>
      </w:pPr>
      <w:r>
        <w:rPr>
          <w:rFonts w:hint="eastAsia"/>
          <w:color w:val="auto"/>
        </w:rPr>
        <w:t>GB 2894  安全色和安全标志</w:t>
      </w:r>
    </w:p>
    <w:p>
      <w:pPr>
        <w:pStyle w:val="60"/>
        <w:ind w:firstLine="420"/>
        <w:rPr>
          <w:color w:val="auto"/>
        </w:rPr>
      </w:pPr>
      <w:r>
        <w:rPr>
          <w:rFonts w:hint="eastAsia"/>
          <w:color w:val="auto"/>
        </w:rPr>
        <w:t>GB/T 12801  生产过程安全卫生要求总则（修订中）</w:t>
      </w:r>
    </w:p>
    <w:p>
      <w:pPr>
        <w:pStyle w:val="60"/>
        <w:ind w:firstLine="420"/>
        <w:rPr>
          <w:color w:val="auto"/>
        </w:rPr>
      </w:pPr>
      <w:r>
        <w:rPr>
          <w:rFonts w:hint="eastAsia"/>
          <w:color w:val="auto"/>
        </w:rPr>
        <w:t>GB/T 16895.33  低压电气装置第5-56部分：电气设备的选择和安装 安全设施</w:t>
      </w:r>
    </w:p>
    <w:p>
      <w:pPr>
        <w:pStyle w:val="60"/>
        <w:ind w:firstLine="420"/>
        <w:rPr>
          <w:color w:val="auto"/>
        </w:rPr>
      </w:pPr>
      <w:r>
        <w:rPr>
          <w:rFonts w:hint="eastAsia"/>
          <w:color w:val="auto"/>
        </w:rPr>
        <w:t>GB/T 35273  信息安全技术 个人信息安全规范（修订中）</w:t>
      </w:r>
    </w:p>
    <w:p>
      <w:pPr>
        <w:pStyle w:val="60"/>
        <w:ind w:firstLine="420"/>
        <w:rPr>
          <w:color w:val="auto"/>
        </w:rPr>
      </w:pPr>
      <w:r>
        <w:rPr>
          <w:rFonts w:hint="eastAsia"/>
          <w:color w:val="auto"/>
        </w:rPr>
        <w:t>GB/T 36344  信息技术 数据质量评价指标（修订中）</w:t>
      </w:r>
    </w:p>
    <w:p>
      <w:pPr>
        <w:pStyle w:val="60"/>
        <w:ind w:firstLine="420"/>
        <w:rPr>
          <w:color w:val="auto"/>
        </w:rPr>
      </w:pPr>
      <w:r>
        <w:rPr>
          <w:rFonts w:hint="eastAsia"/>
          <w:color w:val="auto"/>
        </w:rPr>
        <w:t>GB/T 37964  信息安全技术 个人信息去标识化指南</w:t>
      </w:r>
    </w:p>
    <w:p>
      <w:pPr>
        <w:pStyle w:val="60"/>
        <w:ind w:firstLine="420"/>
        <w:rPr>
          <w:color w:val="auto"/>
        </w:rPr>
      </w:pPr>
      <w:r>
        <w:rPr>
          <w:rFonts w:hint="eastAsia"/>
          <w:color w:val="auto"/>
        </w:rPr>
        <w:t>GB/T 42755-2023  人工智能 面向机器学习的数据标注规程</w:t>
      </w:r>
    </w:p>
    <w:p>
      <w:pPr>
        <w:pStyle w:val="60"/>
        <w:ind w:firstLine="420"/>
        <w:rPr>
          <w:color w:val="auto"/>
        </w:rPr>
      </w:pPr>
      <w:r>
        <w:rPr>
          <w:rFonts w:hint="eastAsia"/>
          <w:color w:val="auto"/>
        </w:rPr>
        <w:t xml:space="preserve">GB 50033  建筑采光设计标准 </w:t>
      </w:r>
    </w:p>
    <w:p>
      <w:pPr>
        <w:pStyle w:val="60"/>
        <w:ind w:firstLine="420"/>
        <w:rPr>
          <w:color w:val="auto"/>
        </w:rPr>
      </w:pPr>
      <w:r>
        <w:rPr>
          <w:rFonts w:hint="eastAsia"/>
          <w:color w:val="auto"/>
        </w:rPr>
        <w:t>GB/T 50034  建筑照明设计标准</w:t>
      </w:r>
    </w:p>
    <w:p>
      <w:pPr>
        <w:pStyle w:val="60"/>
        <w:ind w:firstLine="420"/>
        <w:rPr>
          <w:color w:val="auto"/>
        </w:rPr>
      </w:pPr>
      <w:r>
        <w:rPr>
          <w:rFonts w:hint="eastAsia"/>
          <w:color w:val="auto"/>
        </w:rPr>
        <w:t>GB 50736 民用建筑供暖通风与空气调节设计规范</w:t>
      </w:r>
    </w:p>
    <w:p>
      <w:pPr>
        <w:pStyle w:val="60"/>
        <w:ind w:firstLine="420"/>
        <w:rPr>
          <w:color w:val="auto"/>
        </w:rPr>
      </w:pPr>
      <w:r>
        <w:rPr>
          <w:rFonts w:hint="eastAsia"/>
          <w:color w:val="auto"/>
        </w:rPr>
        <w:t>GB 55037  建筑防火通用规范</w:t>
      </w:r>
    </w:p>
    <w:p>
      <w:pPr>
        <w:pStyle w:val="108"/>
        <w:spacing w:before="312" w:after="312"/>
        <w:rPr>
          <w:color w:val="auto"/>
        </w:rPr>
      </w:pPr>
      <w:bookmarkStart w:id="56" w:name="_Toc239409893"/>
      <w:bookmarkStart w:id="57" w:name="_Toc233793748"/>
      <w:bookmarkStart w:id="58" w:name="_Toc233725683"/>
      <w:bookmarkStart w:id="59" w:name="_Toc239347216"/>
      <w:bookmarkStart w:id="60" w:name="_Toc233724307"/>
      <w:r>
        <w:rPr>
          <w:rFonts w:hint="eastAsia"/>
          <w:color w:val="auto"/>
          <w:szCs w:val="21"/>
        </w:rPr>
        <w:t>术语和定义</w:t>
      </w:r>
      <w:bookmarkEnd w:id="55"/>
      <w:bookmarkEnd w:id="56"/>
      <w:bookmarkEnd w:id="57"/>
      <w:bookmarkEnd w:id="58"/>
      <w:bookmarkEnd w:id="59"/>
      <w:bookmarkEnd w:id="60"/>
    </w:p>
    <w:sdt>
      <w:sdtPr>
        <w:rPr>
          <w:color w:val="auto"/>
        </w:rPr>
        <w:id w:val="-1"/>
        <w:placeholder>
          <w:docPart w:val="D6E6F5DD915C45A1BD36522031F6A75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rPr>
      </w:sdtEndPr>
      <w:sdtContent>
        <w:p>
          <w:pPr>
            <w:pStyle w:val="60"/>
            <w:ind w:firstLine="420"/>
            <w:rPr>
              <w:color w:val="auto"/>
            </w:rPr>
          </w:pPr>
          <w:bookmarkStart w:id="61" w:name="_Toc26986532"/>
          <w:bookmarkEnd w:id="61"/>
          <w:r>
            <w:rPr>
              <w:rFonts w:hint="eastAsia"/>
              <w:color w:val="auto"/>
            </w:rPr>
            <w:t>GB/T 42755-2023</w:t>
          </w:r>
          <w:r>
            <w:rPr>
              <w:color w:val="auto"/>
            </w:rPr>
            <w:t>界定的以及下列术语和定义适用于本文件。</w:t>
          </w:r>
        </w:p>
      </w:sdtContent>
    </w:sdt>
    <w:p>
      <w:pPr>
        <w:pStyle w:val="227"/>
        <w:ind w:left="420" w:hanging="420" w:hangingChars="200"/>
        <w:rPr>
          <w:rFonts w:hint="eastAsia" w:ascii="黑体" w:hAnsi="黑体" w:eastAsia="黑体"/>
          <w:color w:val="auto"/>
        </w:rPr>
      </w:pPr>
      <w:r>
        <w:rPr>
          <w:rFonts w:hint="eastAsia" w:ascii="黑体" w:hAnsi="黑体" w:eastAsia="黑体"/>
          <w:color w:val="auto"/>
        </w:rPr>
        <w:t>产教融合 i</w:t>
      </w:r>
      <w:r>
        <w:rPr>
          <w:rFonts w:hint="eastAsia" w:ascii="黑体" w:hAnsi="黑体" w:eastAsia="黑体"/>
          <w:color w:val="auto"/>
          <w:szCs w:val="28"/>
        </w:rPr>
        <w:t>ndustry-education integration</w:t>
      </w:r>
    </w:p>
    <w:p>
      <w:pPr>
        <w:pStyle w:val="60"/>
        <w:ind w:firstLine="420"/>
        <w:rPr>
          <w:color w:val="auto"/>
        </w:rPr>
      </w:pPr>
      <w:r>
        <w:rPr>
          <w:rFonts w:hint="eastAsia" w:hAnsi="宋体"/>
          <w:color w:val="auto"/>
        </w:rPr>
        <w:t>相关行业产业主体与教育主体依托各自优势，为培养人才、服务社会而形成的资源、信息、技术、文化等方面的高度协同与深度融合关系。</w:t>
      </w:r>
    </w:p>
    <w:p>
      <w:pPr>
        <w:pStyle w:val="227"/>
        <w:ind w:left="420" w:hanging="420" w:hangingChars="200"/>
        <w:rPr>
          <w:rFonts w:hint="eastAsia" w:ascii="黑体" w:hAnsi="黑体" w:eastAsia="黑体"/>
          <w:color w:val="auto"/>
        </w:rPr>
      </w:pPr>
      <w:r>
        <w:rPr>
          <w:rFonts w:hint="eastAsia" w:ascii="黑体" w:hAnsi="黑体" w:eastAsia="黑体"/>
          <w:color w:val="auto"/>
        </w:rPr>
        <w:t>实训 practical training</w:t>
      </w:r>
    </w:p>
    <w:p>
      <w:pPr>
        <w:pStyle w:val="60"/>
        <w:ind w:firstLine="420"/>
        <w:rPr>
          <w:rFonts w:hint="eastAsia" w:hAnsi="宋体"/>
          <w:color w:val="auto"/>
        </w:rPr>
      </w:pPr>
      <w:r>
        <w:rPr>
          <w:rFonts w:hint="eastAsia" w:hAnsi="宋体"/>
          <w:color w:val="auto"/>
        </w:rPr>
        <w:t>院校开展的以职业能力培养为核心实用性技术教学和实践技能培训活动。</w:t>
      </w:r>
    </w:p>
    <w:p>
      <w:pPr>
        <w:pStyle w:val="227"/>
        <w:ind w:left="420" w:hanging="420" w:hangingChars="200"/>
        <w:rPr>
          <w:rFonts w:hint="eastAsia" w:ascii="黑体" w:hAnsi="黑体" w:eastAsia="黑体"/>
          <w:color w:val="auto"/>
        </w:rPr>
      </w:pPr>
      <w:r>
        <w:rPr>
          <w:rFonts w:hint="eastAsia" w:ascii="黑体" w:hAnsi="黑体" w:eastAsia="黑体"/>
          <w:color w:val="auto"/>
        </w:rPr>
        <w:t>“双师型”教师dual-qualified teacher</w:t>
      </w:r>
    </w:p>
    <w:p>
      <w:pPr>
        <w:pStyle w:val="60"/>
        <w:ind w:firstLine="420"/>
        <w:rPr>
          <w:rFonts w:hint="eastAsia" w:hAnsi="宋体"/>
          <w:color w:val="auto"/>
        </w:rPr>
      </w:pPr>
      <w:r>
        <w:rPr>
          <w:rFonts w:hint="eastAsia" w:hAnsi="宋体"/>
          <w:color w:val="auto"/>
        </w:rPr>
        <w:t>同时具备理论教学能力和实践教学能力，拥有教师资格证书和相关职业资格证书或企业实践经历的专兼职教师。</w:t>
      </w:r>
    </w:p>
    <w:p>
      <w:pPr>
        <w:pStyle w:val="227"/>
        <w:ind w:left="420" w:hanging="420" w:hangingChars="200"/>
        <w:rPr>
          <w:rFonts w:hint="eastAsia" w:ascii="黑体" w:hAnsi="黑体" w:eastAsia="黑体"/>
          <w:color w:val="auto"/>
        </w:rPr>
      </w:pPr>
      <w:r>
        <w:rPr>
          <w:rFonts w:hint="eastAsia" w:ascii="黑体" w:hAnsi="黑体" w:eastAsia="黑体"/>
          <w:color w:val="auto"/>
        </w:rPr>
        <w:t>“双导师”制度 dual-mentor system</w:t>
      </w:r>
    </w:p>
    <w:p>
      <w:pPr>
        <w:pStyle w:val="60"/>
        <w:ind w:firstLine="420"/>
        <w:rPr>
          <w:rFonts w:hint="eastAsia" w:hAnsi="宋体"/>
          <w:color w:val="auto"/>
        </w:rPr>
      </w:pPr>
      <w:r>
        <w:rPr>
          <w:rFonts w:hAnsi="宋体"/>
          <w:color w:val="auto"/>
        </w:rPr>
        <w:t>由院校指导教师和企业指导教师共同对学生进行指导的产教融合实训制度。</w:t>
      </w:r>
    </w:p>
    <w:p>
      <w:pPr>
        <w:pStyle w:val="227"/>
        <w:ind w:left="420" w:hanging="420" w:hangingChars="200"/>
        <w:rPr>
          <w:rFonts w:hint="eastAsia" w:ascii="黑体" w:hAnsi="黑体" w:eastAsia="黑体"/>
          <w:color w:val="auto"/>
        </w:rPr>
      </w:pPr>
      <w:r>
        <w:rPr>
          <w:rFonts w:ascii="黑体" w:hAnsi="黑体" w:eastAsia="黑体"/>
          <w:color w:val="auto"/>
        </w:rPr>
        <w:t>人机协同标注</w:t>
      </w:r>
      <w:r>
        <w:rPr>
          <w:rFonts w:hint="eastAsia" w:ascii="黑体" w:hAnsi="黑体" w:eastAsia="黑体"/>
          <w:color w:val="auto"/>
        </w:rPr>
        <w:t xml:space="preserve"> human-machine collaboration </w:t>
      </w:r>
      <w:r>
        <w:rPr>
          <w:rFonts w:ascii="黑体" w:hAnsi="黑体" w:eastAsia="黑体"/>
          <w:color w:val="auto"/>
        </w:rPr>
        <w:t>annotation</w:t>
      </w:r>
    </w:p>
    <w:p>
      <w:pPr>
        <w:pStyle w:val="60"/>
        <w:ind w:firstLine="420"/>
        <w:rPr>
          <w:rFonts w:hint="eastAsia" w:hAnsi="宋体"/>
          <w:color w:val="auto"/>
        </w:rPr>
      </w:pPr>
      <w:r>
        <w:rPr>
          <w:rFonts w:hAnsi="宋体"/>
          <w:color w:val="auto"/>
        </w:rPr>
        <w:t>利用人工智能模型进行预标注，由人工进行复核与修正的标注模式。</w:t>
      </w:r>
    </w:p>
    <w:p>
      <w:pPr>
        <w:pStyle w:val="108"/>
        <w:spacing w:before="312" w:after="312"/>
        <w:rPr>
          <w:color w:val="auto"/>
        </w:rPr>
      </w:pPr>
      <w:bookmarkStart w:id="62" w:name="_Toc233724308"/>
      <w:bookmarkStart w:id="63" w:name="_Toc233725684"/>
      <w:bookmarkStart w:id="64" w:name="_Toc239409894"/>
      <w:bookmarkStart w:id="65" w:name="_Toc233793749"/>
      <w:bookmarkStart w:id="66" w:name="_Toc239347217"/>
      <w:r>
        <w:rPr>
          <w:rFonts w:hint="eastAsia"/>
          <w:color w:val="auto"/>
        </w:rPr>
        <w:t>总则</w:t>
      </w:r>
      <w:bookmarkEnd w:id="62"/>
      <w:bookmarkEnd w:id="63"/>
      <w:bookmarkEnd w:id="64"/>
      <w:bookmarkEnd w:id="65"/>
      <w:bookmarkEnd w:id="66"/>
    </w:p>
    <w:p>
      <w:pPr>
        <w:pStyle w:val="60"/>
        <w:ind w:firstLine="420"/>
        <w:rPr>
          <w:rFonts w:hint="eastAsia"/>
          <w:color w:val="auto"/>
          <w:lang w:eastAsia="zh-CN"/>
        </w:rPr>
      </w:pPr>
      <w:r>
        <w:rPr>
          <w:rFonts w:hint="eastAsia"/>
          <w:color w:val="auto"/>
        </w:rPr>
        <w:t>参与产教融合实训的学校、企业校企合作双方在平等自愿的基础上，共享各自技术、设备、人员、课程等方面的资源，促进产教融合，促进高素质、高层次技术技能型人才的精准培养，服务国家战略和区域经济社会发展。</w:t>
      </w:r>
    </w:p>
    <w:p>
      <w:pPr>
        <w:pStyle w:val="108"/>
        <w:spacing w:before="312" w:after="312"/>
        <w:rPr>
          <w:color w:val="auto"/>
        </w:rPr>
      </w:pPr>
      <w:bookmarkStart w:id="67" w:name="_Toc233724309"/>
      <w:bookmarkStart w:id="68" w:name="_Toc233725685"/>
      <w:bookmarkStart w:id="69" w:name="_Toc239347218"/>
      <w:bookmarkStart w:id="70" w:name="_Toc239409895"/>
      <w:bookmarkStart w:id="71" w:name="_Toc233793750"/>
      <w:r>
        <w:rPr>
          <w:rFonts w:hint="eastAsia"/>
          <w:color w:val="auto"/>
        </w:rPr>
        <w:t>基本条件</w:t>
      </w:r>
      <w:bookmarkEnd w:id="67"/>
      <w:bookmarkEnd w:id="68"/>
      <w:bookmarkEnd w:id="69"/>
      <w:bookmarkEnd w:id="70"/>
      <w:bookmarkEnd w:id="71"/>
    </w:p>
    <w:p>
      <w:pPr>
        <w:pStyle w:val="109"/>
        <w:spacing w:before="156" w:after="156"/>
        <w:rPr>
          <w:color w:val="auto"/>
        </w:rPr>
      </w:pPr>
      <w:bookmarkStart w:id="72" w:name="_Toc233725686"/>
      <w:bookmarkStart w:id="73" w:name="_Toc239347219"/>
      <w:bookmarkStart w:id="74" w:name="_Toc239409896"/>
      <w:bookmarkStart w:id="75" w:name="_Toc233724310"/>
      <w:bookmarkStart w:id="76" w:name="_Toc233793751"/>
      <w:r>
        <w:rPr>
          <w:rFonts w:hint="eastAsia"/>
          <w:color w:val="auto"/>
        </w:rPr>
        <w:t>实训主体</w:t>
      </w:r>
      <w:bookmarkEnd w:id="72"/>
      <w:bookmarkEnd w:id="73"/>
      <w:bookmarkEnd w:id="74"/>
      <w:bookmarkEnd w:id="75"/>
      <w:bookmarkEnd w:id="76"/>
    </w:p>
    <w:p>
      <w:pPr>
        <w:pStyle w:val="69"/>
        <w:spacing w:before="156" w:after="156"/>
        <w:rPr>
          <w:color w:val="auto"/>
        </w:rPr>
      </w:pPr>
      <w:r>
        <w:rPr>
          <w:rFonts w:hint="eastAsia"/>
          <w:color w:val="auto"/>
        </w:rPr>
        <w:t>院校</w:t>
      </w:r>
    </w:p>
    <w:p>
      <w:pPr>
        <w:pStyle w:val="60"/>
        <w:ind w:firstLine="420"/>
        <w:rPr>
          <w:color w:val="auto"/>
        </w:rPr>
      </w:pPr>
      <w:r>
        <w:rPr>
          <w:rFonts w:hint="eastAsia"/>
          <w:color w:val="auto"/>
        </w:rPr>
        <w:t>应具有人工智能、大数据技术等相关专业办学资质，纳入湖南省院校专业目录或普通高等学校本科专业目录，且近3年相关专业招生规模稳定。</w:t>
      </w:r>
    </w:p>
    <w:p>
      <w:pPr>
        <w:pStyle w:val="69"/>
        <w:spacing w:before="156" w:after="156"/>
        <w:rPr>
          <w:color w:val="auto"/>
        </w:rPr>
      </w:pPr>
      <w:r>
        <w:rPr>
          <w:rFonts w:hint="eastAsia"/>
          <w:color w:val="auto"/>
        </w:rPr>
        <w:t>企业</w:t>
      </w:r>
    </w:p>
    <w:p>
      <w:pPr>
        <w:pStyle w:val="60"/>
        <w:ind w:firstLine="420"/>
        <w:rPr>
          <w:color w:val="auto"/>
        </w:rPr>
      </w:pPr>
      <w:r>
        <w:rPr>
          <w:rFonts w:hint="eastAsia"/>
          <w:color w:val="auto"/>
        </w:rPr>
        <w:t>应在湖南省注册或在湖南存在经营活动，具有数据标注相关业务资质，近3年无重大数据安全事件和劳动用工违法记录，具备稳定的项目来源和质量管理体系。</w:t>
      </w:r>
    </w:p>
    <w:p>
      <w:pPr>
        <w:pStyle w:val="69"/>
        <w:spacing w:before="156" w:after="156"/>
        <w:rPr>
          <w:rFonts w:eastAsia="宋体"/>
          <w:color w:val="auto"/>
        </w:rPr>
      </w:pPr>
      <w:r>
        <w:rPr>
          <w:rFonts w:hint="eastAsia"/>
          <w:color w:val="auto"/>
        </w:rPr>
        <w:t>实训学生</w:t>
      </w:r>
    </w:p>
    <w:p>
      <w:pPr>
        <w:pStyle w:val="60"/>
        <w:ind w:firstLine="420"/>
        <w:rPr>
          <w:rFonts w:hint="eastAsia" w:hAnsi="宋体"/>
          <w:color w:val="auto"/>
        </w:rPr>
      </w:pPr>
      <w:r>
        <w:rPr>
          <w:rFonts w:hint="eastAsia" w:hAnsi="宋体"/>
          <w:color w:val="auto"/>
        </w:rPr>
        <w:t>参训学生应具备基本的计算机操作能力，熟练掌握主流操作系统及常用办公软件，具备良好的信息理解与逻辑判断能力，能准确理解并执行复杂的标注指南、标签定义及边界条件。</w:t>
      </w:r>
    </w:p>
    <w:p>
      <w:pPr>
        <w:pStyle w:val="109"/>
        <w:spacing w:before="156" w:after="156"/>
        <w:rPr>
          <w:color w:val="auto"/>
        </w:rPr>
      </w:pPr>
      <w:bookmarkStart w:id="77" w:name="_Toc233725687"/>
      <w:bookmarkStart w:id="78" w:name="_Toc239409897"/>
      <w:bookmarkStart w:id="79" w:name="_Toc233724311"/>
      <w:bookmarkStart w:id="80" w:name="_Toc239347220"/>
      <w:bookmarkStart w:id="81" w:name="_Toc233793752"/>
      <w:r>
        <w:rPr>
          <w:rFonts w:hint="eastAsia"/>
          <w:color w:val="auto"/>
        </w:rPr>
        <w:t>合作要求</w:t>
      </w:r>
      <w:bookmarkEnd w:id="77"/>
      <w:bookmarkEnd w:id="78"/>
      <w:bookmarkEnd w:id="79"/>
      <w:bookmarkEnd w:id="80"/>
      <w:bookmarkEnd w:id="81"/>
    </w:p>
    <w:p>
      <w:pPr>
        <w:pStyle w:val="69"/>
        <w:spacing w:before="156" w:after="156"/>
        <w:rPr>
          <w:color w:val="auto"/>
        </w:rPr>
      </w:pPr>
      <w:r>
        <w:rPr>
          <w:rFonts w:hint="eastAsia"/>
          <w:color w:val="auto"/>
        </w:rPr>
        <w:t>协议签订</w:t>
      </w:r>
    </w:p>
    <w:p>
      <w:pPr>
        <w:pStyle w:val="60"/>
        <w:ind w:firstLine="420"/>
        <w:rPr>
          <w:rFonts w:hint="eastAsia" w:hAnsi="宋体"/>
          <w:color w:val="auto"/>
        </w:rPr>
      </w:pPr>
      <w:r>
        <w:rPr>
          <w:rFonts w:hint="eastAsia" w:hAnsi="宋体"/>
          <w:color w:val="auto"/>
        </w:rPr>
        <w:t>校企合作双方应在合作前签署协议，明确双方的职责分工、权利、运行机制</w:t>
      </w:r>
      <w:r>
        <w:rPr>
          <w:rFonts w:hint="eastAsia"/>
          <w:color w:val="auto"/>
        </w:rPr>
        <w:t>、收益分配方式</w:t>
      </w:r>
      <w:r>
        <w:rPr>
          <w:rFonts w:hint="eastAsia" w:hAnsi="宋体"/>
          <w:color w:val="auto"/>
        </w:rPr>
        <w:t>以及合作过程中产生成果的归属权等内容。</w:t>
      </w:r>
    </w:p>
    <w:p>
      <w:pPr>
        <w:pStyle w:val="69"/>
        <w:spacing w:before="156" w:after="156"/>
        <w:rPr>
          <w:rFonts w:hint="eastAsia"/>
          <w:color w:val="auto"/>
        </w:rPr>
      </w:pPr>
      <w:r>
        <w:rPr>
          <w:rFonts w:hint="eastAsia"/>
          <w:color w:val="auto"/>
        </w:rPr>
        <w:t>管理机构设置</w:t>
      </w:r>
    </w:p>
    <w:p>
      <w:pPr>
        <w:pStyle w:val="60"/>
        <w:ind w:firstLine="420"/>
        <w:rPr>
          <w:rFonts w:hint="eastAsia" w:hAnsi="宋体"/>
          <w:color w:val="auto"/>
        </w:rPr>
      </w:pPr>
      <w:r>
        <w:rPr>
          <w:rFonts w:hint="eastAsia" w:hAnsi="宋体"/>
          <w:color w:val="auto"/>
        </w:rPr>
        <w:t>校企合作双方可采取校企联合组建或委托专业第三方机构等方式，设立实训管理机构。该机构应由校企双方代表共同组成，明确权责分工。</w:t>
      </w:r>
    </w:p>
    <w:p>
      <w:pPr>
        <w:pStyle w:val="69"/>
        <w:spacing w:before="156" w:after="156"/>
        <w:rPr>
          <w:color w:val="auto"/>
        </w:rPr>
      </w:pPr>
      <w:r>
        <w:rPr>
          <w:rFonts w:hint="eastAsia"/>
          <w:color w:val="auto"/>
        </w:rPr>
        <w:t>联系机制</w:t>
      </w:r>
    </w:p>
    <w:p>
      <w:pPr>
        <w:pStyle w:val="168"/>
        <w:rPr>
          <w:color w:val="auto"/>
        </w:rPr>
      </w:pPr>
      <w:r>
        <w:rPr>
          <w:rFonts w:hint="eastAsia"/>
          <w:color w:val="auto"/>
        </w:rPr>
        <w:t>校企合作双方应建立常态化沟通机制，定期召开校企联席会议，通报实训进展，协调解决实训过程中的问题。</w:t>
      </w:r>
    </w:p>
    <w:p>
      <w:pPr>
        <w:pStyle w:val="168"/>
        <w:rPr>
          <w:color w:val="auto"/>
        </w:rPr>
      </w:pPr>
      <w:r>
        <w:rPr>
          <w:rFonts w:hint="eastAsia"/>
          <w:color w:val="auto"/>
        </w:rPr>
        <w:t>校企合作双方应建立动态调整机制，紧密结合数据标注行业特征与本地区产业发展特点，动态调整、不断更新实训内容，促进学生数据标注技能提升。</w:t>
      </w:r>
    </w:p>
    <w:p>
      <w:pPr>
        <w:pStyle w:val="109"/>
        <w:spacing w:before="156" w:after="156"/>
        <w:rPr>
          <w:color w:val="auto"/>
        </w:rPr>
      </w:pPr>
      <w:bookmarkStart w:id="82" w:name="_Toc233793753"/>
      <w:bookmarkStart w:id="83" w:name="_Toc233725688"/>
      <w:bookmarkStart w:id="84" w:name="_Toc239347221"/>
      <w:bookmarkStart w:id="85" w:name="_Toc233724312"/>
      <w:bookmarkStart w:id="86" w:name="_Toc239409898"/>
      <w:r>
        <w:rPr>
          <w:rFonts w:hint="eastAsia"/>
          <w:color w:val="auto"/>
        </w:rPr>
        <w:t>职责分工</w:t>
      </w:r>
      <w:bookmarkEnd w:id="82"/>
      <w:bookmarkEnd w:id="83"/>
      <w:bookmarkEnd w:id="84"/>
      <w:bookmarkEnd w:id="85"/>
      <w:bookmarkEnd w:id="86"/>
    </w:p>
    <w:p>
      <w:pPr>
        <w:pStyle w:val="69"/>
        <w:spacing w:before="156" w:after="156"/>
        <w:rPr>
          <w:color w:val="auto"/>
        </w:rPr>
      </w:pPr>
      <w:r>
        <w:rPr>
          <w:rFonts w:hint="eastAsia"/>
          <w:color w:val="auto"/>
        </w:rPr>
        <w:t>院校</w:t>
      </w:r>
    </w:p>
    <w:p>
      <w:pPr>
        <w:pStyle w:val="60"/>
        <w:ind w:firstLine="420"/>
        <w:rPr>
          <w:rFonts w:hint="eastAsia" w:hAnsi="宋体"/>
          <w:color w:val="auto"/>
        </w:rPr>
      </w:pPr>
      <w:r>
        <w:rPr>
          <w:rFonts w:hint="eastAsia" w:hAnsi="宋体"/>
          <w:color w:val="auto"/>
        </w:rPr>
        <w:t>院校应发挥教育主体作用，负责制定实训教学计划与人才培养方案，推动课程内容与职业标准对接；选派专职指导教师，协同企业开展教学组织、过程指导与成绩评定；负责学生的日常思想教育与纪律管理；保障实训教学经费投入，依法维护学生在实训期间的合法权益。</w:t>
      </w:r>
    </w:p>
    <w:p>
      <w:pPr>
        <w:pStyle w:val="69"/>
        <w:spacing w:before="156" w:after="156"/>
        <w:rPr>
          <w:color w:val="auto"/>
        </w:rPr>
      </w:pPr>
      <w:r>
        <w:rPr>
          <w:rFonts w:hint="eastAsia"/>
          <w:color w:val="auto"/>
        </w:rPr>
        <w:t>企业</w:t>
      </w:r>
    </w:p>
    <w:p>
      <w:pPr>
        <w:pStyle w:val="60"/>
        <w:ind w:firstLine="420"/>
        <w:rPr>
          <w:rFonts w:hint="eastAsia" w:hAnsi="宋体"/>
          <w:color w:val="auto"/>
        </w:rPr>
      </w:pPr>
      <w:r>
        <w:rPr>
          <w:rFonts w:hint="eastAsia" w:hAnsi="宋体"/>
          <w:color w:val="auto"/>
        </w:rPr>
        <w:t>企业应发挥产业主体作用，负责提供真实生产项目、实训环境及所需的技术平台与工具；选派具备丰富实践经验的企业导师，负责岗位技能培训、项目质量验收与交付管理；开展实训前安全培训，落实实训期间的安全保障措施，依法保障学生的实习报酬与劳动权益；建立健全数据安全管理制度，保障实训过程中的数据合规与安全。</w:t>
      </w:r>
    </w:p>
    <w:p>
      <w:pPr>
        <w:pStyle w:val="69"/>
        <w:spacing w:before="156" w:after="156"/>
        <w:rPr>
          <w:color w:val="auto"/>
        </w:rPr>
      </w:pPr>
      <w:r>
        <w:rPr>
          <w:rFonts w:hint="eastAsia"/>
          <w:color w:val="auto"/>
        </w:rPr>
        <w:t>实训</w:t>
      </w:r>
      <w:r>
        <w:rPr>
          <w:color w:val="auto"/>
        </w:rPr>
        <w:t>管理</w:t>
      </w:r>
      <w:r>
        <w:rPr>
          <w:rFonts w:hint="eastAsia"/>
          <w:color w:val="auto"/>
        </w:rPr>
        <w:t>机构</w:t>
      </w:r>
    </w:p>
    <w:p>
      <w:pPr>
        <w:pStyle w:val="60"/>
        <w:ind w:firstLine="420"/>
        <w:rPr>
          <w:rFonts w:hint="eastAsia" w:hAnsi="宋体"/>
          <w:color w:val="auto"/>
          <w:shd w:val="clear" w:color="auto" w:fill="FFFFFF"/>
        </w:rPr>
      </w:pPr>
      <w:r>
        <w:rPr>
          <w:rFonts w:hint="eastAsia" w:hAnsi="宋体"/>
          <w:color w:val="auto"/>
          <w:shd w:val="clear" w:color="auto" w:fill="FFFFFF"/>
        </w:rPr>
        <w:t>实训管理机构应发挥统筹协调作用，主要负责实训的日常运行统筹、教学组织实施、实训安全保障、质量监控与考核评价等综合管理工作。具体包括：</w:t>
      </w:r>
    </w:p>
    <w:p>
      <w:pPr>
        <w:pStyle w:val="136"/>
        <w:rPr>
          <w:color w:val="auto"/>
        </w:rPr>
      </w:pPr>
      <w:r>
        <w:rPr>
          <w:color w:val="auto"/>
        </w:rPr>
        <w:t>统筹协调校企双方资源与沟通机制；</w:t>
      </w:r>
    </w:p>
    <w:p>
      <w:pPr>
        <w:pStyle w:val="136"/>
        <w:rPr>
          <w:color w:val="auto"/>
        </w:rPr>
      </w:pPr>
      <w:r>
        <w:rPr>
          <w:color w:val="auto"/>
        </w:rPr>
        <w:t>评估实训项目（如数据标注任务）的可行性与技术难度；</w:t>
      </w:r>
    </w:p>
    <w:p>
      <w:pPr>
        <w:pStyle w:val="136"/>
        <w:rPr>
          <w:color w:val="auto"/>
        </w:rPr>
      </w:pPr>
      <w:r>
        <w:rPr>
          <w:color w:val="auto"/>
        </w:rPr>
        <w:t>监督实训流程并组织开展质量抽检；</w:t>
      </w:r>
    </w:p>
    <w:p>
      <w:pPr>
        <w:pStyle w:val="136"/>
        <w:rPr>
          <w:color w:val="auto"/>
        </w:rPr>
      </w:pPr>
      <w:r>
        <w:rPr>
          <w:color w:val="auto"/>
        </w:rPr>
        <w:t>协调处理实训过程中的业务争议与突发问题，确保实训项目平稳高效运行。</w:t>
      </w:r>
    </w:p>
    <w:p>
      <w:pPr>
        <w:pStyle w:val="69"/>
        <w:spacing w:before="156" w:after="156"/>
        <w:rPr>
          <w:color w:val="auto"/>
        </w:rPr>
      </w:pPr>
      <w:r>
        <w:rPr>
          <w:rFonts w:hint="eastAsia"/>
          <w:color w:val="auto"/>
        </w:rPr>
        <w:t>实训学生</w:t>
      </w:r>
    </w:p>
    <w:p>
      <w:pPr>
        <w:pStyle w:val="60"/>
        <w:ind w:firstLine="420"/>
        <w:rPr>
          <w:rFonts w:hint="eastAsia" w:hAnsi="宋体"/>
          <w:color w:val="auto"/>
          <w:shd w:val="clear" w:color="auto" w:fill="FFFFFF"/>
        </w:rPr>
      </w:pPr>
      <w:r>
        <w:rPr>
          <w:rFonts w:hint="eastAsia" w:hAnsi="宋体"/>
          <w:color w:val="auto"/>
          <w:shd w:val="clear" w:color="auto" w:fill="FFFFFF"/>
        </w:rPr>
        <w:t>实训学生应发挥学习与实践主体作用，遵守实训纪律与各项规章制度，完成实训任务并主动提升职业技能。具体包括：</w:t>
      </w:r>
    </w:p>
    <w:p>
      <w:pPr>
        <w:pStyle w:val="136"/>
        <w:rPr>
          <w:color w:val="auto"/>
        </w:rPr>
      </w:pPr>
      <w:r>
        <w:rPr>
          <w:rFonts w:hint="eastAsia"/>
          <w:color w:val="auto"/>
        </w:rPr>
        <w:t>遵守实训规章制度、安全操作规程及数据安全保密协议，服从校企双方指导教师的教学管理；</w:t>
      </w:r>
    </w:p>
    <w:p>
      <w:pPr>
        <w:pStyle w:val="136"/>
        <w:rPr>
          <w:color w:val="auto"/>
        </w:rPr>
      </w:pPr>
      <w:r>
        <w:rPr>
          <w:rFonts w:hint="eastAsia"/>
          <w:color w:val="auto"/>
        </w:rPr>
        <w:t>按照标注任务说明文档、GB/T 42755及本文件要求完成标注作业，执行质量自检与组内互检；</w:t>
      </w:r>
    </w:p>
    <w:p>
      <w:pPr>
        <w:pStyle w:val="136"/>
        <w:rPr>
          <w:color w:val="auto"/>
        </w:rPr>
      </w:pPr>
      <w:r>
        <w:rPr>
          <w:rFonts w:hint="eastAsia"/>
          <w:color w:val="auto"/>
        </w:rPr>
        <w:t>主动学习数据标注专业技能、工具操作及相关法律法规，积极参与岗前培训与专项辅导；</w:t>
      </w:r>
    </w:p>
    <w:p>
      <w:pPr>
        <w:pStyle w:val="136"/>
        <w:rPr>
          <w:color w:val="auto"/>
        </w:rPr>
      </w:pPr>
      <w:r>
        <w:rPr>
          <w:rFonts w:hint="eastAsia"/>
          <w:color w:val="auto"/>
        </w:rPr>
        <w:t>严格保护实训数据安全，不得复制、传播、泄露标注数据，不得将数据用于实训以外的任何目的；</w:t>
      </w:r>
    </w:p>
    <w:p>
      <w:pPr>
        <w:pStyle w:val="136"/>
        <w:rPr>
          <w:color w:val="auto"/>
        </w:rPr>
      </w:pPr>
      <w:r>
        <w:rPr>
          <w:rFonts w:hint="eastAsia"/>
          <w:color w:val="auto"/>
        </w:rPr>
        <w:t>如实记录和反馈实训过程中的问题，积极参与团队协作与轮岗实践；</w:t>
      </w:r>
    </w:p>
    <w:p>
      <w:pPr>
        <w:pStyle w:val="136"/>
        <w:rPr>
          <w:rFonts w:hint="eastAsia" w:hAnsi="宋体"/>
          <w:color w:val="auto"/>
          <w:shd w:val="clear" w:color="auto" w:fill="FFFFFF"/>
        </w:rPr>
      </w:pPr>
      <w:r>
        <w:rPr>
          <w:rFonts w:hint="eastAsia"/>
          <w:color w:val="auto"/>
        </w:rPr>
        <w:t>依法维护自身合法权益，客观反映实训情况，对评定结果有异议时按程序提出申诉。</w:t>
      </w:r>
    </w:p>
    <w:p>
      <w:pPr>
        <w:pStyle w:val="108"/>
        <w:spacing w:before="312" w:after="312"/>
        <w:rPr>
          <w:color w:val="auto"/>
        </w:rPr>
      </w:pPr>
      <w:bookmarkStart w:id="87" w:name="_Toc239347222"/>
      <w:bookmarkStart w:id="88" w:name="_Toc239409899"/>
      <w:r>
        <w:rPr>
          <w:rFonts w:hint="eastAsia"/>
          <w:color w:val="auto"/>
        </w:rPr>
        <w:t>实训基础条件</w:t>
      </w:r>
      <w:bookmarkEnd w:id="87"/>
      <w:bookmarkEnd w:id="88"/>
    </w:p>
    <w:p>
      <w:pPr>
        <w:pStyle w:val="109"/>
        <w:spacing w:before="156" w:after="156"/>
        <w:rPr>
          <w:color w:val="auto"/>
        </w:rPr>
      </w:pPr>
      <w:bookmarkStart w:id="89" w:name="_Toc233793755"/>
      <w:bookmarkStart w:id="90" w:name="_Toc239409900"/>
      <w:bookmarkStart w:id="91" w:name="_Toc239347223"/>
      <w:bookmarkStart w:id="92" w:name="_Toc233724314"/>
      <w:bookmarkStart w:id="93" w:name="_Toc233725690"/>
      <w:r>
        <w:rPr>
          <w:color w:val="auto"/>
        </w:rPr>
        <w:t>场地建设</w:t>
      </w:r>
      <w:bookmarkEnd w:id="89"/>
      <w:bookmarkEnd w:id="90"/>
      <w:bookmarkEnd w:id="91"/>
      <w:bookmarkEnd w:id="92"/>
      <w:bookmarkEnd w:id="93"/>
    </w:p>
    <w:p>
      <w:pPr>
        <w:pStyle w:val="69"/>
        <w:spacing w:before="156" w:after="156"/>
        <w:rPr>
          <w:color w:val="auto"/>
        </w:rPr>
      </w:pPr>
      <w:r>
        <w:rPr>
          <w:color w:val="auto"/>
        </w:rPr>
        <w:t>选址</w:t>
      </w:r>
    </w:p>
    <w:p>
      <w:pPr>
        <w:pStyle w:val="168"/>
        <w:numPr>
          <w:ilvl w:val="4"/>
          <w:numId w:val="0"/>
        </w:numPr>
        <w:ind w:firstLine="420" w:firstLineChars="200"/>
        <w:rPr>
          <w:color w:val="auto"/>
        </w:rPr>
      </w:pPr>
      <w:r>
        <w:rPr>
          <w:rFonts w:hint="eastAsia"/>
          <w:color w:val="auto"/>
        </w:rPr>
        <w:t>实训场地选址应满足以下要求：</w:t>
      </w:r>
    </w:p>
    <w:p>
      <w:pPr>
        <w:pStyle w:val="136"/>
        <w:rPr>
          <w:color w:val="auto"/>
        </w:rPr>
      </w:pPr>
      <w:r>
        <w:rPr>
          <w:color w:val="auto"/>
        </w:rPr>
        <w:t>交通便利，便于学生和教职工到达；</w:t>
      </w:r>
    </w:p>
    <w:p>
      <w:pPr>
        <w:pStyle w:val="136"/>
        <w:rPr>
          <w:color w:val="auto"/>
        </w:rPr>
      </w:pPr>
      <w:r>
        <w:rPr>
          <w:color w:val="auto"/>
        </w:rPr>
        <w:t>远离强噪声源、强振动源和污染源；</w:t>
      </w:r>
    </w:p>
    <w:p>
      <w:pPr>
        <w:pStyle w:val="136"/>
        <w:rPr>
          <w:color w:val="auto"/>
        </w:rPr>
      </w:pPr>
      <w:r>
        <w:rPr>
          <w:color w:val="auto"/>
        </w:rPr>
        <w:t>具备完善的基础设施配套条件</w:t>
      </w:r>
      <w:r>
        <w:rPr>
          <w:rFonts w:hint="eastAsia"/>
          <w:color w:val="auto"/>
        </w:rPr>
        <w:t>；</w:t>
      </w:r>
    </w:p>
    <w:p>
      <w:pPr>
        <w:pStyle w:val="136"/>
        <w:rPr>
          <w:color w:val="auto"/>
        </w:rPr>
      </w:pPr>
      <w:r>
        <w:rPr>
          <w:rFonts w:hint="eastAsia"/>
          <w:color w:val="auto"/>
        </w:rPr>
        <w:t>宜优先利用高校现有教学场地资源。</w:t>
      </w:r>
    </w:p>
    <w:p>
      <w:pPr>
        <w:pStyle w:val="69"/>
        <w:spacing w:before="156" w:after="156"/>
        <w:rPr>
          <w:color w:val="auto"/>
        </w:rPr>
      </w:pPr>
      <w:r>
        <w:rPr>
          <w:rFonts w:hint="eastAsia"/>
          <w:color w:val="auto"/>
        </w:rPr>
        <w:t>环境</w:t>
      </w:r>
    </w:p>
    <w:p>
      <w:pPr>
        <w:pStyle w:val="168"/>
        <w:numPr>
          <w:ilvl w:val="4"/>
          <w:numId w:val="0"/>
        </w:numPr>
        <w:ind w:firstLine="420" w:firstLineChars="200"/>
        <w:rPr>
          <w:color w:val="auto"/>
        </w:rPr>
      </w:pPr>
      <w:r>
        <w:rPr>
          <w:rFonts w:hint="eastAsia"/>
          <w:color w:val="auto"/>
        </w:rPr>
        <w:t>实训场地基本建设环境应满足以下要求：</w:t>
      </w:r>
    </w:p>
    <w:p>
      <w:pPr>
        <w:pStyle w:val="136"/>
        <w:rPr>
          <w:color w:val="auto"/>
        </w:rPr>
      </w:pPr>
      <w:r>
        <w:rPr>
          <w:rFonts w:hint="eastAsia"/>
          <w:color w:val="auto"/>
        </w:rPr>
        <w:t>采光应符合GB 50033的规定；</w:t>
      </w:r>
    </w:p>
    <w:p>
      <w:pPr>
        <w:pStyle w:val="136"/>
        <w:rPr>
          <w:color w:val="auto"/>
        </w:rPr>
      </w:pPr>
      <w:r>
        <w:rPr>
          <w:rFonts w:hint="eastAsia"/>
          <w:color w:val="auto"/>
        </w:rPr>
        <w:t>照明应符合GB/T 50034的规定；</w:t>
      </w:r>
    </w:p>
    <w:p>
      <w:pPr>
        <w:pStyle w:val="136"/>
        <w:rPr>
          <w:color w:val="auto"/>
        </w:rPr>
      </w:pPr>
      <w:r>
        <w:rPr>
          <w:rFonts w:hint="eastAsia"/>
          <w:color w:val="auto"/>
        </w:rPr>
        <w:t>通风应符合GB 50736的规定；</w:t>
      </w:r>
    </w:p>
    <w:p>
      <w:pPr>
        <w:pStyle w:val="136"/>
        <w:rPr>
          <w:color w:val="auto"/>
        </w:rPr>
      </w:pPr>
      <w:r>
        <w:rPr>
          <w:rFonts w:hint="eastAsia"/>
          <w:color w:val="auto"/>
        </w:rPr>
        <w:t>电气安装应符合GB/T 16895.33的规定；</w:t>
      </w:r>
    </w:p>
    <w:p>
      <w:pPr>
        <w:pStyle w:val="136"/>
        <w:rPr>
          <w:color w:val="auto"/>
        </w:rPr>
      </w:pPr>
      <w:r>
        <w:rPr>
          <w:rFonts w:hint="eastAsia"/>
          <w:color w:val="auto"/>
        </w:rPr>
        <w:t>消防应符合GB 55037的规定；</w:t>
      </w:r>
    </w:p>
    <w:p>
      <w:pPr>
        <w:pStyle w:val="136"/>
        <w:rPr>
          <w:color w:val="auto"/>
        </w:rPr>
      </w:pPr>
      <w:r>
        <w:rPr>
          <w:rFonts w:hint="eastAsia"/>
          <w:color w:val="auto"/>
        </w:rPr>
        <w:t>安全标志应符合GB/T 2893.1和GB 2894的要求；</w:t>
      </w:r>
    </w:p>
    <w:p>
      <w:pPr>
        <w:pStyle w:val="136"/>
        <w:rPr>
          <w:color w:val="auto"/>
        </w:rPr>
      </w:pPr>
      <w:r>
        <w:rPr>
          <w:rFonts w:hint="eastAsia"/>
          <w:color w:val="auto"/>
        </w:rPr>
        <w:t>安全与卫生应符合GBZ 1和GB/T 12801的要求。</w:t>
      </w:r>
    </w:p>
    <w:p>
      <w:pPr>
        <w:pStyle w:val="69"/>
        <w:spacing w:before="156" w:after="156"/>
        <w:rPr>
          <w:color w:val="auto"/>
        </w:rPr>
      </w:pPr>
      <w:r>
        <w:rPr>
          <w:rFonts w:hint="eastAsia"/>
          <w:color w:val="auto"/>
        </w:rPr>
        <w:t>布局</w:t>
      </w:r>
    </w:p>
    <w:p>
      <w:pPr>
        <w:pStyle w:val="168"/>
        <w:rPr>
          <w:color w:val="auto"/>
        </w:rPr>
      </w:pPr>
      <w:r>
        <w:rPr>
          <w:rFonts w:hint="eastAsia"/>
          <w:color w:val="auto"/>
        </w:rPr>
        <w:t>实训场地应根据教学实训、创新研发、产业服务等不同功能，合理划分功能区，包括但不限于：</w:t>
      </w:r>
    </w:p>
    <w:p>
      <w:pPr>
        <w:pStyle w:val="136"/>
        <w:rPr>
          <w:color w:val="auto"/>
        </w:rPr>
      </w:pPr>
      <w:r>
        <w:rPr>
          <w:rFonts w:hint="eastAsia"/>
          <w:color w:val="auto"/>
        </w:rPr>
        <w:t>教学区与实训区：用于理论教学、技能训练和岗位实操，满足技能培训、技能评价等需求；</w:t>
      </w:r>
    </w:p>
    <w:p>
      <w:pPr>
        <w:pStyle w:val="136"/>
        <w:rPr>
          <w:color w:val="auto"/>
        </w:rPr>
      </w:pPr>
      <w:r>
        <w:rPr>
          <w:rFonts w:hint="eastAsia"/>
          <w:color w:val="auto"/>
        </w:rPr>
        <w:t>创新与研发区：用于技术创新、成果转化、产品孵化，满足教学研究、项目研发、成果推广等需求；</w:t>
      </w:r>
    </w:p>
    <w:p>
      <w:pPr>
        <w:pStyle w:val="136"/>
        <w:rPr>
          <w:color w:val="auto"/>
        </w:rPr>
      </w:pPr>
      <w:r>
        <w:rPr>
          <w:rFonts w:hint="eastAsia"/>
          <w:color w:val="auto"/>
        </w:rPr>
        <w:t>管理与服务区：用于教学管理、综合服务、安全保障，满足日常办公。</w:t>
      </w:r>
    </w:p>
    <w:p>
      <w:pPr>
        <w:pStyle w:val="168"/>
        <w:rPr>
          <w:color w:val="auto"/>
        </w:rPr>
      </w:pPr>
      <w:r>
        <w:rPr>
          <w:rFonts w:hint="eastAsia"/>
          <w:color w:val="auto"/>
        </w:rPr>
        <w:t>场地人均使用面积满足实训工作需要，通道宽度满足安全疏散和物料运输要求。</w:t>
      </w:r>
    </w:p>
    <w:p>
      <w:pPr>
        <w:pStyle w:val="69"/>
        <w:spacing w:before="156" w:after="156"/>
        <w:rPr>
          <w:color w:val="auto"/>
        </w:rPr>
      </w:pPr>
      <w:r>
        <w:rPr>
          <w:rFonts w:hint="eastAsia"/>
          <w:color w:val="auto"/>
        </w:rPr>
        <w:t>安防</w:t>
      </w:r>
    </w:p>
    <w:p>
      <w:pPr>
        <w:pStyle w:val="168"/>
        <w:rPr>
          <w:color w:val="auto"/>
        </w:rPr>
      </w:pPr>
      <w:r>
        <w:rPr>
          <w:rFonts w:hint="eastAsia"/>
          <w:color w:val="auto"/>
        </w:rPr>
        <w:t>应设置出入口控制装置，限制未经授权人员进入，采用刷卡、指纹或人脸识别等方式进行身份验证，记录人员进出信息，日志保存期限应符合相关法律法规要求。</w:t>
      </w:r>
    </w:p>
    <w:p>
      <w:pPr>
        <w:pStyle w:val="168"/>
        <w:rPr>
          <w:color w:val="auto"/>
        </w:rPr>
      </w:pPr>
      <w:r>
        <w:rPr>
          <w:rFonts w:hint="eastAsia"/>
          <w:color w:val="auto"/>
        </w:rPr>
        <w:t>视频监控应覆盖出入口、通道、作业区等关键区域，监控图像清晰度应满足人员识别需求，监控录像应保存30日以上。</w:t>
      </w:r>
    </w:p>
    <w:p>
      <w:pPr>
        <w:pStyle w:val="168"/>
        <w:rPr>
          <w:color w:val="auto"/>
        </w:rPr>
      </w:pPr>
      <w:r>
        <w:rPr>
          <w:rFonts w:hint="eastAsia"/>
          <w:color w:val="auto"/>
        </w:rPr>
        <w:t>应配置自动灭火系统和手动灭火器材，设置火灾自动报警系统，并按照消防要求定期检查其安全性与有效性。</w:t>
      </w:r>
    </w:p>
    <w:p>
      <w:pPr>
        <w:pStyle w:val="109"/>
        <w:spacing w:before="156" w:after="156"/>
        <w:rPr>
          <w:color w:val="auto"/>
        </w:rPr>
      </w:pPr>
      <w:bookmarkStart w:id="94" w:name="_Toc233793756"/>
      <w:bookmarkStart w:id="95" w:name="_Toc233725691"/>
      <w:bookmarkStart w:id="96" w:name="_Toc239347224"/>
      <w:bookmarkStart w:id="97" w:name="_Toc233724315"/>
      <w:bookmarkStart w:id="98" w:name="_Toc239409901"/>
      <w:r>
        <w:rPr>
          <w:color w:val="auto"/>
        </w:rPr>
        <w:t>软硬件资源配置</w:t>
      </w:r>
      <w:bookmarkEnd w:id="94"/>
      <w:bookmarkEnd w:id="95"/>
      <w:bookmarkEnd w:id="96"/>
      <w:bookmarkEnd w:id="97"/>
      <w:bookmarkEnd w:id="98"/>
    </w:p>
    <w:p>
      <w:pPr>
        <w:pStyle w:val="69"/>
        <w:spacing w:before="156" w:after="156"/>
        <w:rPr>
          <w:color w:val="auto"/>
        </w:rPr>
      </w:pPr>
      <w:r>
        <w:rPr>
          <w:rFonts w:hint="eastAsia"/>
          <w:color w:val="auto"/>
        </w:rPr>
        <w:t>硬件</w:t>
      </w:r>
      <w:r>
        <w:rPr>
          <w:color w:val="auto"/>
        </w:rPr>
        <w:t>设备</w:t>
      </w:r>
    </w:p>
    <w:p>
      <w:pPr>
        <w:pStyle w:val="168"/>
        <w:rPr>
          <w:color w:val="auto"/>
        </w:rPr>
      </w:pPr>
      <w:r>
        <w:rPr>
          <w:rFonts w:hint="eastAsia"/>
          <w:color w:val="auto"/>
        </w:rPr>
        <w:t>计算机设备应满足以下要求：</w:t>
      </w:r>
    </w:p>
    <w:p>
      <w:pPr>
        <w:pStyle w:val="136"/>
        <w:rPr>
          <w:color w:val="auto"/>
        </w:rPr>
      </w:pPr>
      <w:r>
        <w:rPr>
          <w:color w:val="auto"/>
        </w:rPr>
        <w:t>每人配备1台计算机，配置应满足数据标注软件运行要求；</w:t>
      </w:r>
    </w:p>
    <w:p>
      <w:pPr>
        <w:pStyle w:val="136"/>
        <w:rPr>
          <w:color w:val="auto"/>
        </w:rPr>
      </w:pPr>
      <w:r>
        <w:rPr>
          <w:color w:val="auto"/>
        </w:rPr>
        <w:t>显示器尺寸不</w:t>
      </w:r>
      <w:r>
        <w:rPr>
          <w:rFonts w:hint="eastAsia"/>
          <w:color w:val="auto"/>
        </w:rPr>
        <w:t>应</w:t>
      </w:r>
      <w:r>
        <w:rPr>
          <w:color w:val="auto"/>
        </w:rPr>
        <w:t>小于23英寸</w:t>
      </w:r>
      <w:r>
        <w:rPr>
          <w:rFonts w:hint="eastAsia"/>
          <w:color w:val="auto"/>
        </w:rPr>
        <w:t>，宜配置柔光屏</w:t>
      </w:r>
      <w:r>
        <w:rPr>
          <w:color w:val="auto"/>
        </w:rPr>
        <w:t>；</w:t>
      </w:r>
    </w:p>
    <w:p>
      <w:pPr>
        <w:pStyle w:val="136"/>
        <w:rPr>
          <w:color w:val="auto"/>
        </w:rPr>
      </w:pPr>
      <w:r>
        <w:rPr>
          <w:color w:val="auto"/>
        </w:rPr>
        <w:t>关键</w:t>
      </w:r>
      <w:r>
        <w:rPr>
          <w:rFonts w:hint="eastAsia"/>
          <w:color w:val="auto"/>
        </w:rPr>
        <w:t>主机</w:t>
      </w:r>
      <w:r>
        <w:rPr>
          <w:color w:val="auto"/>
        </w:rPr>
        <w:t>设备</w:t>
      </w:r>
      <w:r>
        <w:rPr>
          <w:rFonts w:hint="eastAsia"/>
          <w:color w:val="auto"/>
        </w:rPr>
        <w:t>与关键部件</w:t>
      </w:r>
      <w:r>
        <w:rPr>
          <w:color w:val="auto"/>
        </w:rPr>
        <w:t>应有冗余或备用方案</w:t>
      </w:r>
      <w:r>
        <w:rPr>
          <w:rFonts w:hint="eastAsia"/>
          <w:color w:val="auto"/>
        </w:rPr>
        <w:t>。</w:t>
      </w:r>
    </w:p>
    <w:p>
      <w:pPr>
        <w:pStyle w:val="168"/>
        <w:rPr>
          <w:color w:val="auto"/>
        </w:rPr>
      </w:pPr>
      <w:r>
        <w:rPr>
          <w:rFonts w:hint="eastAsia"/>
          <w:color w:val="auto"/>
        </w:rPr>
        <w:t>辅助设备应满足以下要求：</w:t>
      </w:r>
    </w:p>
    <w:p>
      <w:pPr>
        <w:pStyle w:val="136"/>
        <w:rPr>
          <w:color w:val="auto"/>
        </w:rPr>
      </w:pPr>
      <w:r>
        <w:rPr>
          <w:color w:val="auto"/>
        </w:rPr>
        <w:t>图像标注</w:t>
      </w:r>
      <w:r>
        <w:rPr>
          <w:rFonts w:hint="eastAsia"/>
          <w:color w:val="auto"/>
        </w:rPr>
        <w:t>：</w:t>
      </w:r>
      <w:r>
        <w:rPr>
          <w:color w:val="auto"/>
        </w:rPr>
        <w:t>配备数位板或触控屏；</w:t>
      </w:r>
    </w:p>
    <w:p>
      <w:pPr>
        <w:pStyle w:val="136"/>
        <w:rPr>
          <w:color w:val="auto"/>
        </w:rPr>
      </w:pPr>
      <w:r>
        <w:rPr>
          <w:color w:val="auto"/>
        </w:rPr>
        <w:t>语音标注</w:t>
      </w:r>
      <w:r>
        <w:rPr>
          <w:rFonts w:hint="eastAsia"/>
          <w:color w:val="auto"/>
        </w:rPr>
        <w:t>：</w:t>
      </w:r>
      <w:r>
        <w:rPr>
          <w:color w:val="auto"/>
        </w:rPr>
        <w:t>配备监听耳机和降噪设备；</w:t>
      </w:r>
    </w:p>
    <w:p>
      <w:pPr>
        <w:pStyle w:val="136"/>
        <w:rPr>
          <w:color w:val="auto"/>
        </w:rPr>
      </w:pPr>
      <w:r>
        <w:rPr>
          <w:color w:val="auto"/>
        </w:rPr>
        <w:t>视频标注</w:t>
      </w:r>
      <w:r>
        <w:rPr>
          <w:rFonts w:hint="eastAsia"/>
          <w:color w:val="auto"/>
        </w:rPr>
        <w:t>：</w:t>
      </w:r>
      <w:r>
        <w:rPr>
          <w:color w:val="auto"/>
        </w:rPr>
        <w:t>配备高分辨率显示设备；</w:t>
      </w:r>
    </w:p>
    <w:p>
      <w:pPr>
        <w:pStyle w:val="136"/>
        <w:rPr>
          <w:color w:val="auto"/>
        </w:rPr>
      </w:pPr>
      <w:r>
        <w:rPr>
          <w:color w:val="auto"/>
        </w:rPr>
        <w:t>三维点云标注</w:t>
      </w:r>
      <w:r>
        <w:rPr>
          <w:rFonts w:hint="eastAsia"/>
          <w:color w:val="auto"/>
        </w:rPr>
        <w:t>：</w:t>
      </w:r>
      <w:r>
        <w:rPr>
          <w:color w:val="auto"/>
        </w:rPr>
        <w:t>配备专业图形工作站</w:t>
      </w:r>
      <w:r>
        <w:rPr>
          <w:rFonts w:hint="eastAsia"/>
          <w:color w:val="auto"/>
        </w:rPr>
        <w:t>。</w:t>
      </w:r>
    </w:p>
    <w:p>
      <w:pPr>
        <w:pStyle w:val="168"/>
        <w:rPr>
          <w:color w:val="auto"/>
        </w:rPr>
      </w:pPr>
      <w:r>
        <w:rPr>
          <w:rFonts w:hint="eastAsia"/>
          <w:color w:val="auto"/>
        </w:rPr>
        <w:t>数据存储设备应满足以下要求：</w:t>
      </w:r>
    </w:p>
    <w:p>
      <w:pPr>
        <w:pStyle w:val="136"/>
        <w:rPr>
          <w:color w:val="auto"/>
        </w:rPr>
      </w:pPr>
      <w:r>
        <w:rPr>
          <w:color w:val="auto"/>
        </w:rPr>
        <w:t>配备数据备份存储设备，容量应满足实训数据存储需求；</w:t>
      </w:r>
    </w:p>
    <w:p>
      <w:pPr>
        <w:pStyle w:val="136"/>
        <w:rPr>
          <w:color w:val="auto"/>
        </w:rPr>
      </w:pPr>
      <w:r>
        <w:rPr>
          <w:color w:val="auto"/>
        </w:rPr>
        <w:t>采用冗余存储架构，保障数据可靠性；</w:t>
      </w:r>
    </w:p>
    <w:p>
      <w:pPr>
        <w:pStyle w:val="136"/>
        <w:rPr>
          <w:color w:val="auto"/>
        </w:rPr>
      </w:pPr>
      <w:r>
        <w:rPr>
          <w:color w:val="auto"/>
        </w:rPr>
        <w:t>具备数据加密存储能力。</w:t>
      </w:r>
    </w:p>
    <w:p>
      <w:pPr>
        <w:pStyle w:val="168"/>
        <w:rPr>
          <w:color w:val="auto"/>
        </w:rPr>
      </w:pPr>
      <w:r>
        <w:rPr>
          <w:rFonts w:hint="eastAsia"/>
          <w:color w:val="auto"/>
        </w:rPr>
        <w:t>配备符合人体工学的座椅和可调节高度的工作台。</w:t>
      </w:r>
    </w:p>
    <w:p>
      <w:pPr>
        <w:pStyle w:val="69"/>
        <w:spacing w:before="156" w:after="156"/>
        <w:rPr>
          <w:color w:val="auto"/>
        </w:rPr>
      </w:pPr>
      <w:r>
        <w:rPr>
          <w:color w:val="auto"/>
        </w:rPr>
        <w:t>软件环境</w:t>
      </w:r>
    </w:p>
    <w:p>
      <w:pPr>
        <w:pStyle w:val="168"/>
        <w:rPr>
          <w:color w:val="auto"/>
        </w:rPr>
      </w:pPr>
      <w:r>
        <w:rPr>
          <w:rFonts w:hint="eastAsia"/>
          <w:color w:val="auto"/>
        </w:rPr>
        <w:t>应配备以下类型的软件：</w:t>
      </w:r>
    </w:p>
    <w:p>
      <w:pPr>
        <w:pStyle w:val="136"/>
        <w:rPr>
          <w:color w:val="auto"/>
        </w:rPr>
      </w:pPr>
      <w:r>
        <w:rPr>
          <w:color w:val="auto"/>
        </w:rPr>
        <w:t>数据标注工具：支持文本、图像、语音、视频等至少2种数据类型的标注；</w:t>
      </w:r>
    </w:p>
    <w:p>
      <w:pPr>
        <w:pStyle w:val="136"/>
        <w:rPr>
          <w:color w:val="auto"/>
        </w:rPr>
      </w:pPr>
      <w:r>
        <w:rPr>
          <w:color w:val="auto"/>
        </w:rPr>
        <w:t>项目管理工具：支持任务分配、进度跟踪、质量统计；</w:t>
      </w:r>
    </w:p>
    <w:p>
      <w:pPr>
        <w:pStyle w:val="136"/>
        <w:rPr>
          <w:color w:val="auto"/>
        </w:rPr>
      </w:pPr>
      <w:r>
        <w:rPr>
          <w:color w:val="auto"/>
        </w:rPr>
        <w:t>安全防护软件：防病毒、数据加密等。</w:t>
      </w:r>
    </w:p>
    <w:p>
      <w:pPr>
        <w:pStyle w:val="168"/>
        <w:rPr>
          <w:color w:val="auto"/>
        </w:rPr>
      </w:pPr>
      <w:r>
        <w:rPr>
          <w:rFonts w:hint="eastAsia"/>
          <w:color w:val="auto"/>
        </w:rPr>
        <w:t>软件应优先选用正版授权软件。使用开源软件应评估安全性和社区活跃度，及时更新安全补丁。</w:t>
      </w:r>
    </w:p>
    <w:p>
      <w:pPr>
        <w:pStyle w:val="69"/>
        <w:spacing w:before="156" w:after="156"/>
        <w:rPr>
          <w:color w:val="auto"/>
        </w:rPr>
      </w:pPr>
      <w:r>
        <w:rPr>
          <w:color w:val="auto"/>
        </w:rPr>
        <w:t>网络环境</w:t>
      </w:r>
    </w:p>
    <w:p>
      <w:pPr>
        <w:pStyle w:val="168"/>
        <w:rPr>
          <w:color w:val="auto"/>
        </w:rPr>
      </w:pPr>
      <w:r>
        <w:rPr>
          <w:rFonts w:hint="eastAsia"/>
          <w:color w:val="auto"/>
        </w:rPr>
        <w:t>实训网络应满足以下条件：</w:t>
      </w:r>
    </w:p>
    <w:p>
      <w:pPr>
        <w:pStyle w:val="136"/>
        <w:rPr>
          <w:color w:val="auto"/>
        </w:rPr>
      </w:pPr>
      <w:r>
        <w:rPr>
          <w:color w:val="auto"/>
        </w:rPr>
        <w:t>接入带宽满足多人同时在线标注和文件传输需求；</w:t>
      </w:r>
    </w:p>
    <w:p>
      <w:pPr>
        <w:pStyle w:val="136"/>
        <w:rPr>
          <w:color w:val="auto"/>
        </w:rPr>
      </w:pPr>
      <w:r>
        <w:rPr>
          <w:color w:val="auto"/>
        </w:rPr>
        <w:t>与企业生产网络有效隔离；</w:t>
      </w:r>
    </w:p>
    <w:p>
      <w:pPr>
        <w:pStyle w:val="136"/>
        <w:rPr>
          <w:color w:val="auto"/>
        </w:rPr>
      </w:pPr>
      <w:r>
        <w:rPr>
          <w:color w:val="auto"/>
        </w:rPr>
        <w:t>部署网络访问控制措施；</w:t>
      </w:r>
    </w:p>
    <w:p>
      <w:pPr>
        <w:pStyle w:val="136"/>
        <w:rPr>
          <w:color w:val="auto"/>
        </w:rPr>
      </w:pPr>
      <w:r>
        <w:rPr>
          <w:color w:val="auto"/>
        </w:rPr>
        <w:t>部署网络行为审计系统，留存数据访问和操作日志。</w:t>
      </w:r>
    </w:p>
    <w:p>
      <w:pPr>
        <w:pStyle w:val="168"/>
        <w:rPr>
          <w:color w:val="auto"/>
        </w:rPr>
      </w:pPr>
      <w:r>
        <w:rPr>
          <w:rFonts w:hint="eastAsia"/>
          <w:color w:val="auto"/>
        </w:rPr>
        <w:t>涉及敏感数据的实训，应采用离线或专网模式。</w:t>
      </w:r>
    </w:p>
    <w:p>
      <w:pPr>
        <w:pStyle w:val="69"/>
        <w:spacing w:before="156" w:after="156"/>
        <w:rPr>
          <w:color w:val="auto"/>
        </w:rPr>
      </w:pPr>
      <w:r>
        <w:rPr>
          <w:color w:val="auto"/>
        </w:rPr>
        <w:t>信息化平台</w:t>
      </w:r>
    </w:p>
    <w:p>
      <w:pPr>
        <w:pStyle w:val="168"/>
        <w:rPr>
          <w:color w:val="auto"/>
        </w:rPr>
      </w:pPr>
      <w:r>
        <w:rPr>
          <w:rFonts w:hint="eastAsia"/>
          <w:color w:val="auto"/>
        </w:rPr>
        <w:t>应建设或选用具备以下功能的信息化平台：</w:t>
      </w:r>
    </w:p>
    <w:p>
      <w:pPr>
        <w:pStyle w:val="136"/>
        <w:rPr>
          <w:color w:val="auto"/>
        </w:rPr>
      </w:pPr>
      <w:r>
        <w:rPr>
          <w:color w:val="auto"/>
        </w:rPr>
        <w:t>实训项目管理：项目发布、任务拆解、进度看板；</w:t>
      </w:r>
    </w:p>
    <w:p>
      <w:pPr>
        <w:pStyle w:val="136"/>
        <w:rPr>
          <w:color w:val="auto"/>
        </w:rPr>
      </w:pPr>
      <w:r>
        <w:rPr>
          <w:color w:val="auto"/>
        </w:rPr>
        <w:t>教学资源管理：标注规范、操作手册、案例库；</w:t>
      </w:r>
    </w:p>
    <w:p>
      <w:pPr>
        <w:pStyle w:val="136"/>
        <w:rPr>
          <w:color w:val="auto"/>
        </w:rPr>
      </w:pPr>
      <w:r>
        <w:rPr>
          <w:color w:val="auto"/>
        </w:rPr>
        <w:t>过程数据采集：标注时长、任务完成量、准确率趋势；</w:t>
      </w:r>
    </w:p>
    <w:p>
      <w:pPr>
        <w:pStyle w:val="136"/>
        <w:rPr>
          <w:color w:val="auto"/>
        </w:rPr>
      </w:pPr>
      <w:r>
        <w:rPr>
          <w:color w:val="auto"/>
        </w:rPr>
        <w:t>评价管理：技能测评、成绩管理。</w:t>
      </w:r>
    </w:p>
    <w:p>
      <w:pPr>
        <w:pStyle w:val="168"/>
        <w:rPr>
          <w:color w:val="auto"/>
        </w:rPr>
      </w:pPr>
      <w:r>
        <w:rPr>
          <w:rFonts w:hint="eastAsia"/>
          <w:color w:val="auto"/>
        </w:rPr>
        <w:t>平台应支持数据导出，便于与院校教务系统对接。</w:t>
      </w:r>
    </w:p>
    <w:p>
      <w:pPr>
        <w:pStyle w:val="69"/>
        <w:spacing w:before="156" w:after="156"/>
        <w:rPr>
          <w:color w:val="auto"/>
        </w:rPr>
      </w:pPr>
      <w:r>
        <w:rPr>
          <w:color w:val="auto"/>
        </w:rPr>
        <w:t>数据资源与项目库</w:t>
      </w:r>
    </w:p>
    <w:p>
      <w:pPr>
        <w:pStyle w:val="168"/>
        <w:rPr>
          <w:color w:val="auto"/>
        </w:rPr>
      </w:pPr>
      <w:r>
        <w:rPr>
          <w:rFonts w:hint="eastAsia"/>
          <w:color w:val="auto"/>
        </w:rPr>
        <w:t>校企双方应共建实训项目库，项目库应满足：</w:t>
      </w:r>
    </w:p>
    <w:p>
      <w:pPr>
        <w:pStyle w:val="136"/>
        <w:rPr>
          <w:color w:val="auto"/>
        </w:rPr>
      </w:pPr>
      <w:r>
        <w:rPr>
          <w:color w:val="auto"/>
        </w:rPr>
        <w:t>项目数量满足多轮次实训需求；</w:t>
      </w:r>
    </w:p>
    <w:p>
      <w:pPr>
        <w:pStyle w:val="136"/>
        <w:rPr>
          <w:color w:val="auto"/>
        </w:rPr>
      </w:pPr>
      <w:r>
        <w:rPr>
          <w:color w:val="auto"/>
        </w:rPr>
        <w:t>项目难度分级明确，覆盖不同能力等级要求；</w:t>
      </w:r>
    </w:p>
    <w:p>
      <w:pPr>
        <w:pStyle w:val="136"/>
        <w:rPr>
          <w:color w:val="auto"/>
        </w:rPr>
      </w:pPr>
      <w:r>
        <w:rPr>
          <w:color w:val="auto"/>
        </w:rPr>
        <w:t>每个项目配套完整的标注规范、验收标准和评价量规；</w:t>
      </w:r>
    </w:p>
    <w:p>
      <w:pPr>
        <w:pStyle w:val="136"/>
        <w:rPr>
          <w:color w:val="auto"/>
        </w:rPr>
      </w:pPr>
      <w:r>
        <w:rPr>
          <w:color w:val="auto"/>
        </w:rPr>
        <w:t>项目库定期更新；</w:t>
      </w:r>
    </w:p>
    <w:p>
      <w:pPr>
        <w:pStyle w:val="136"/>
        <w:rPr>
          <w:color w:val="auto"/>
        </w:rPr>
      </w:pPr>
      <w:r>
        <w:rPr>
          <w:color w:val="auto"/>
        </w:rPr>
        <w:t>项目库宜保持一定的项目多样性，满足学生技能拓展需求。</w:t>
      </w:r>
    </w:p>
    <w:p>
      <w:pPr>
        <w:pStyle w:val="168"/>
        <w:rPr>
          <w:color w:val="auto"/>
        </w:rPr>
      </w:pPr>
      <w:r>
        <w:rPr>
          <w:rFonts w:hint="eastAsia"/>
          <w:color w:val="auto"/>
        </w:rPr>
        <w:t>项目来源应满足：</w:t>
      </w:r>
    </w:p>
    <w:p>
      <w:pPr>
        <w:pStyle w:val="136"/>
        <w:rPr>
          <w:color w:val="auto"/>
        </w:rPr>
      </w:pPr>
      <w:r>
        <w:rPr>
          <w:color w:val="auto"/>
        </w:rPr>
        <w:t>优先使用企业真实业务项目；</w:t>
      </w:r>
    </w:p>
    <w:p>
      <w:pPr>
        <w:pStyle w:val="136"/>
        <w:rPr>
          <w:color w:val="auto"/>
        </w:rPr>
      </w:pPr>
      <w:r>
        <w:rPr>
          <w:color w:val="auto"/>
        </w:rPr>
        <w:t>模拟项目应基于真实业务场景开发；</w:t>
      </w:r>
    </w:p>
    <w:p>
      <w:pPr>
        <w:pStyle w:val="136"/>
        <w:rPr>
          <w:color w:val="auto"/>
        </w:rPr>
      </w:pPr>
      <w:r>
        <w:rPr>
          <w:color w:val="auto"/>
        </w:rPr>
        <w:t>项目变更应经校企双方确认，并同步调整实训方案。</w:t>
      </w:r>
    </w:p>
    <w:p>
      <w:pPr>
        <w:pStyle w:val="109"/>
        <w:spacing w:before="156" w:after="156"/>
        <w:rPr>
          <w:color w:val="auto"/>
        </w:rPr>
      </w:pPr>
      <w:bookmarkStart w:id="99" w:name="_Toc239409902"/>
      <w:bookmarkStart w:id="100" w:name="_Toc239347225"/>
      <w:bookmarkStart w:id="101" w:name="_Toc233725692"/>
      <w:bookmarkStart w:id="102" w:name="_Toc233793757"/>
      <w:bookmarkStart w:id="103" w:name="_Toc233724316"/>
      <w:r>
        <w:rPr>
          <w:rFonts w:hint="eastAsia"/>
          <w:color w:val="auto"/>
        </w:rPr>
        <w:t>人员配置</w:t>
      </w:r>
      <w:bookmarkEnd w:id="99"/>
      <w:bookmarkEnd w:id="100"/>
      <w:bookmarkEnd w:id="101"/>
      <w:bookmarkEnd w:id="102"/>
      <w:bookmarkEnd w:id="103"/>
    </w:p>
    <w:p>
      <w:pPr>
        <w:pStyle w:val="169"/>
        <w:rPr>
          <w:color w:val="auto"/>
        </w:rPr>
      </w:pPr>
      <w:r>
        <w:rPr>
          <w:rFonts w:hint="eastAsia"/>
          <w:color w:val="auto"/>
        </w:rPr>
        <w:t>应配备熟悉职业教育规律和数据标注行业特点，具备实训组织管理经验，接受过数据安全管理培训，满足实训需要的实训管理人员，配备数量应根据实训规模确定，每50名实训学生</w:t>
      </w:r>
      <w:r>
        <w:rPr>
          <w:rFonts w:hint="eastAsia"/>
          <w:color w:val="auto"/>
          <w:lang w:val="en-US" w:eastAsia="zh-CN"/>
        </w:rPr>
        <w:t>宜</w:t>
      </w:r>
      <w:r>
        <w:rPr>
          <w:rFonts w:hint="eastAsia"/>
          <w:color w:val="auto"/>
        </w:rPr>
        <w:t>配备1名实训管理人员。</w:t>
      </w:r>
    </w:p>
    <w:p>
      <w:pPr>
        <w:pStyle w:val="169"/>
        <w:rPr>
          <w:color w:val="auto"/>
        </w:rPr>
      </w:pPr>
      <w:r>
        <w:rPr>
          <w:rFonts w:hint="eastAsia"/>
          <w:color w:val="auto"/>
        </w:rPr>
        <w:t>应配备满足实训需要的“双师型”教师，建立由院校指导教师、企业指导教师组成的“双导师”队伍，任职要求参见附录A。师资队伍配置要求如下：</w:t>
      </w:r>
    </w:p>
    <w:p>
      <w:pPr>
        <w:pStyle w:val="136"/>
        <w:rPr>
          <w:color w:val="auto"/>
        </w:rPr>
      </w:pPr>
      <w:r>
        <w:rPr>
          <w:rFonts w:hint="eastAsia"/>
          <w:color w:val="auto"/>
        </w:rPr>
        <w:t>“双师型”教师比例</w:t>
      </w:r>
      <w:r>
        <w:rPr>
          <w:rFonts w:hint="eastAsia"/>
          <w:color w:val="auto"/>
          <w:lang w:val="en-US" w:eastAsia="zh-CN"/>
        </w:rPr>
        <w:t>宜不</w:t>
      </w:r>
      <w:r>
        <w:rPr>
          <w:rFonts w:hint="eastAsia"/>
          <w:color w:val="auto"/>
        </w:rPr>
        <w:t>低于专业</w:t>
      </w:r>
      <w:r>
        <w:rPr>
          <w:rFonts w:hint="eastAsia"/>
          <w:color w:val="auto"/>
          <w:lang w:val="en-US" w:eastAsia="zh-CN"/>
        </w:rPr>
        <w:t>课</w:t>
      </w:r>
      <w:r>
        <w:rPr>
          <w:rFonts w:hint="eastAsia"/>
          <w:color w:val="auto"/>
        </w:rPr>
        <w:t>教师的60%，且</w:t>
      </w:r>
      <w:r>
        <w:rPr>
          <w:rFonts w:hint="eastAsia"/>
          <w:color w:val="auto"/>
          <w:lang w:val="en-US" w:eastAsia="zh-CN"/>
        </w:rPr>
        <w:t>应</w:t>
      </w:r>
      <w:r>
        <w:rPr>
          <w:rFonts w:hint="eastAsia"/>
          <w:color w:val="auto"/>
        </w:rPr>
        <w:t>定期参与企业真实项目，保持技术能力与时俱进；</w:t>
      </w:r>
    </w:p>
    <w:p>
      <w:pPr>
        <w:pStyle w:val="136"/>
        <w:rPr>
          <w:color w:val="auto"/>
        </w:rPr>
      </w:pPr>
      <w:r>
        <w:rPr>
          <w:rFonts w:hint="eastAsia"/>
          <w:color w:val="auto"/>
        </w:rPr>
        <w:t>“双导师”队伍至少配置院校指导教师和企业指导教师各1名，且企业指导教师承担实训教学课时比例</w:t>
      </w:r>
      <w:r>
        <w:rPr>
          <w:rFonts w:hint="eastAsia"/>
          <w:color w:val="auto"/>
          <w:lang w:val="en-US" w:eastAsia="zh-CN"/>
        </w:rPr>
        <w:t>宜不</w:t>
      </w:r>
      <w:r>
        <w:rPr>
          <w:rFonts w:hint="eastAsia"/>
          <w:color w:val="auto"/>
        </w:rPr>
        <w:t>低于30%。</w:t>
      </w:r>
    </w:p>
    <w:p>
      <w:pPr>
        <w:pStyle w:val="109"/>
        <w:spacing w:before="156" w:after="156"/>
        <w:rPr>
          <w:color w:val="auto"/>
        </w:rPr>
      </w:pPr>
      <w:bookmarkStart w:id="104" w:name="_Toc233793758"/>
      <w:bookmarkStart w:id="105" w:name="_Toc239409903"/>
      <w:bookmarkStart w:id="106" w:name="_Toc233724317"/>
      <w:bookmarkStart w:id="107" w:name="_Toc233725693"/>
      <w:bookmarkStart w:id="108" w:name="_Toc239347226"/>
      <w:r>
        <w:rPr>
          <w:color w:val="auto"/>
        </w:rPr>
        <w:t>制度建设</w:t>
      </w:r>
      <w:bookmarkEnd w:id="104"/>
      <w:bookmarkEnd w:id="105"/>
      <w:bookmarkEnd w:id="106"/>
      <w:bookmarkEnd w:id="107"/>
      <w:bookmarkEnd w:id="108"/>
    </w:p>
    <w:p>
      <w:pPr>
        <w:pStyle w:val="169"/>
        <w:numPr>
          <w:ilvl w:val="3"/>
          <w:numId w:val="0"/>
        </w:numPr>
        <w:ind w:firstLine="420" w:firstLineChars="200"/>
        <w:rPr>
          <w:color w:val="auto"/>
        </w:rPr>
      </w:pPr>
      <w:r>
        <w:rPr>
          <w:color w:val="auto"/>
        </w:rPr>
        <w:t>应建立产教融合实训内部管理制度，包括但不限于：</w:t>
      </w:r>
    </w:p>
    <w:p>
      <w:pPr>
        <w:pStyle w:val="136"/>
        <w:rPr>
          <w:color w:val="auto"/>
        </w:rPr>
      </w:pPr>
      <w:r>
        <w:rPr>
          <w:color w:val="auto"/>
        </w:rPr>
        <w:t>实训师资管理制度；</w:t>
      </w:r>
    </w:p>
    <w:p>
      <w:pPr>
        <w:pStyle w:val="136"/>
        <w:rPr>
          <w:color w:val="auto"/>
        </w:rPr>
      </w:pPr>
      <w:r>
        <w:rPr>
          <w:color w:val="auto"/>
        </w:rPr>
        <w:t>学生管理制度；</w:t>
      </w:r>
    </w:p>
    <w:p>
      <w:pPr>
        <w:pStyle w:val="136"/>
        <w:rPr>
          <w:color w:val="auto"/>
        </w:rPr>
      </w:pPr>
      <w:r>
        <w:rPr>
          <w:color w:val="auto"/>
        </w:rPr>
        <w:t>实训项目与质量控制制度；</w:t>
      </w:r>
    </w:p>
    <w:p>
      <w:pPr>
        <w:pStyle w:val="136"/>
        <w:rPr>
          <w:color w:val="auto"/>
        </w:rPr>
      </w:pPr>
      <w:r>
        <w:rPr>
          <w:color w:val="auto"/>
        </w:rPr>
        <w:t>经费管理与使用制度；</w:t>
      </w:r>
    </w:p>
    <w:p>
      <w:pPr>
        <w:pStyle w:val="136"/>
        <w:rPr>
          <w:color w:val="auto"/>
        </w:rPr>
      </w:pPr>
      <w:r>
        <w:rPr>
          <w:color w:val="auto"/>
        </w:rPr>
        <w:t>场地设施设备安全管理制度；</w:t>
      </w:r>
    </w:p>
    <w:p>
      <w:pPr>
        <w:pStyle w:val="136"/>
        <w:rPr>
          <w:color w:val="auto"/>
        </w:rPr>
      </w:pPr>
      <w:r>
        <w:rPr>
          <w:color w:val="auto"/>
        </w:rPr>
        <w:t>数据安全与保密管理制度；</w:t>
      </w:r>
    </w:p>
    <w:p>
      <w:pPr>
        <w:pStyle w:val="136"/>
        <w:rPr>
          <w:color w:val="auto"/>
        </w:rPr>
      </w:pPr>
      <w:r>
        <w:rPr>
          <w:color w:val="auto"/>
        </w:rPr>
        <w:t>校企沟通与响应机制；</w:t>
      </w:r>
    </w:p>
    <w:p>
      <w:pPr>
        <w:pStyle w:val="136"/>
        <w:rPr>
          <w:rFonts w:hint="eastAsia" w:hAnsi="宋体"/>
          <w:color w:val="auto"/>
        </w:rPr>
      </w:pPr>
      <w:r>
        <w:rPr>
          <w:color w:val="auto"/>
        </w:rPr>
        <w:t>应急预案制度。</w:t>
      </w:r>
    </w:p>
    <w:p>
      <w:pPr>
        <w:pStyle w:val="108"/>
        <w:spacing w:before="312" w:after="312"/>
        <w:rPr>
          <w:color w:val="auto"/>
        </w:rPr>
      </w:pPr>
      <w:bookmarkStart w:id="109" w:name="_Toc233724319"/>
      <w:bookmarkStart w:id="110" w:name="_Toc233725695"/>
      <w:bookmarkStart w:id="111" w:name="_Toc239347228"/>
      <w:bookmarkStart w:id="112" w:name="_Toc239409905"/>
      <w:bookmarkStart w:id="113" w:name="_Toc233793760"/>
      <w:r>
        <w:rPr>
          <w:rFonts w:hint="eastAsia"/>
          <w:color w:val="auto"/>
        </w:rPr>
        <w:t>实训内容与</w:t>
      </w:r>
      <w:bookmarkEnd w:id="109"/>
      <w:bookmarkEnd w:id="110"/>
      <w:r>
        <w:rPr>
          <w:rFonts w:hint="eastAsia"/>
          <w:color w:val="auto"/>
        </w:rPr>
        <w:t>课程体系</w:t>
      </w:r>
      <w:bookmarkEnd w:id="111"/>
      <w:bookmarkEnd w:id="112"/>
      <w:bookmarkEnd w:id="113"/>
    </w:p>
    <w:p>
      <w:pPr>
        <w:pStyle w:val="109"/>
        <w:spacing w:before="156" w:after="156"/>
        <w:rPr>
          <w:color w:val="auto"/>
        </w:rPr>
      </w:pPr>
      <w:bookmarkStart w:id="114" w:name="_Toc233793761"/>
      <w:bookmarkStart w:id="115" w:name="_Toc239347229"/>
      <w:bookmarkStart w:id="116" w:name="_Toc239409906"/>
      <w:bookmarkStart w:id="117" w:name="_Toc233725697"/>
      <w:bookmarkStart w:id="118" w:name="_Toc233724321"/>
      <w:bookmarkStart w:id="119" w:name="_Toc233724320"/>
      <w:bookmarkStart w:id="120" w:name="_Toc233725696"/>
      <w:r>
        <w:rPr>
          <w:rFonts w:hint="eastAsia"/>
          <w:color w:val="auto"/>
        </w:rPr>
        <w:t>实训内容</w:t>
      </w:r>
      <w:bookmarkEnd w:id="114"/>
      <w:bookmarkEnd w:id="115"/>
      <w:bookmarkEnd w:id="116"/>
    </w:p>
    <w:p>
      <w:pPr>
        <w:pStyle w:val="169"/>
        <w:rPr>
          <w:color w:val="auto"/>
        </w:rPr>
      </w:pPr>
      <w:r>
        <w:rPr>
          <w:rFonts w:hint="eastAsia"/>
          <w:color w:val="auto"/>
        </w:rPr>
        <w:t>实训内容应以产业真实需求为导向，覆盖数据标注全流程的核心环节，包括数据采集、数据清洗、数据标注、质量管控、数据交付等</w:t>
      </w:r>
      <w:r>
        <w:rPr>
          <w:color w:val="auto"/>
        </w:rPr>
        <w:fldChar w:fldCharType="begin"/>
      </w:r>
      <w:r>
        <w:rPr>
          <w:color w:val="auto"/>
        </w:rPr>
        <w:instrText xml:space="preserve"> HYPERLINK "http://txjkq.changsha.gov.cn/cxfz/tscy/dsj/cyxx/202602/t20260212_12312849.html" \t "https://chat.deepseek.com/a/chat/s/_blank" </w:instrText>
      </w:r>
      <w:r>
        <w:rPr>
          <w:color w:val="auto"/>
        </w:rPr>
        <w:fldChar w:fldCharType="separate"/>
      </w:r>
      <w:r>
        <w:rPr>
          <w:color w:val="auto"/>
        </w:rPr>
        <w:fldChar w:fldCharType="end"/>
      </w:r>
      <w:r>
        <w:rPr>
          <w:rFonts w:hint="eastAsia"/>
          <w:color w:val="auto"/>
        </w:rPr>
        <w:t>。</w:t>
      </w:r>
    </w:p>
    <w:p>
      <w:pPr>
        <w:pStyle w:val="169"/>
        <w:rPr>
          <w:color w:val="auto"/>
        </w:rPr>
      </w:pPr>
      <w:r>
        <w:rPr>
          <w:rFonts w:hint="eastAsia"/>
          <w:color w:val="auto"/>
        </w:rPr>
        <w:t>实训项目应以产业真实订单为主，其占比指标适用于生产性实训阶段，</w:t>
      </w:r>
      <w:r>
        <w:rPr>
          <w:rFonts w:hint="eastAsia"/>
          <w:color w:val="auto"/>
          <w:lang w:val="en-US" w:eastAsia="zh-CN"/>
        </w:rPr>
        <w:t>不应</w:t>
      </w:r>
      <w:r>
        <w:rPr>
          <w:rFonts w:hint="eastAsia"/>
          <w:color w:val="auto"/>
        </w:rPr>
        <w:t>低于</w:t>
      </w:r>
      <w:r>
        <w:rPr>
          <w:rFonts w:hint="eastAsia"/>
          <w:color w:val="auto"/>
          <w:lang w:val="en-US" w:eastAsia="zh-CN"/>
        </w:rPr>
        <w:t>30</w:t>
      </w:r>
      <w:r>
        <w:rPr>
          <w:rFonts w:hint="eastAsia"/>
          <w:color w:val="auto"/>
        </w:rPr>
        <w:t>%；低年级入门教学实训、模拟训练阶段可使用教学模拟数据集。</w:t>
      </w:r>
    </w:p>
    <w:p>
      <w:pPr>
        <w:pStyle w:val="169"/>
        <w:rPr>
          <w:color w:val="auto"/>
        </w:rPr>
      </w:pPr>
      <w:r>
        <w:rPr>
          <w:rFonts w:hint="eastAsia"/>
          <w:color w:val="auto"/>
        </w:rPr>
        <w:t>实训内容应涵盖图像标注、文本标注、语音标注、视频标注、3D点云标注等多种数据类型，各数据类型实训内容参见附录B。</w:t>
      </w:r>
    </w:p>
    <w:p>
      <w:pPr>
        <w:pStyle w:val="109"/>
        <w:spacing w:before="156" w:after="156"/>
        <w:rPr>
          <w:color w:val="auto"/>
        </w:rPr>
      </w:pPr>
      <w:bookmarkStart w:id="121" w:name="_Toc239409907"/>
      <w:bookmarkStart w:id="122" w:name="_Toc239347230"/>
      <w:bookmarkStart w:id="123" w:name="_Toc233793762"/>
      <w:r>
        <w:rPr>
          <w:rFonts w:hint="eastAsia"/>
          <w:color w:val="auto"/>
        </w:rPr>
        <w:t>课程体系</w:t>
      </w:r>
      <w:bookmarkEnd w:id="117"/>
      <w:bookmarkEnd w:id="118"/>
      <w:bookmarkEnd w:id="121"/>
      <w:bookmarkEnd w:id="122"/>
      <w:bookmarkEnd w:id="123"/>
    </w:p>
    <w:p>
      <w:pPr>
        <w:pStyle w:val="169"/>
        <w:rPr>
          <w:color w:val="auto"/>
        </w:rPr>
      </w:pPr>
      <w:r>
        <w:rPr>
          <w:rFonts w:hint="eastAsia"/>
          <w:color w:val="auto"/>
        </w:rPr>
        <w:t>课程体系应由公共基础课程、专业核心课程、实训实践课程三大模块构成。职业院校实践性教学学时原则上应占总学时数的50%以上，应用型本科高校可参照执行。课程内容应每年更新，年度更新比例</w:t>
      </w:r>
      <w:r>
        <w:rPr>
          <w:rFonts w:hint="eastAsia"/>
          <w:color w:val="auto"/>
          <w:lang w:val="en-US" w:eastAsia="zh-CN"/>
        </w:rPr>
        <w:t>宜不</w:t>
      </w:r>
      <w:r>
        <w:rPr>
          <w:rFonts w:hint="eastAsia"/>
          <w:color w:val="auto"/>
        </w:rPr>
        <w:t>低于15%。校企双方联合开发课程比例</w:t>
      </w:r>
      <w:r>
        <w:rPr>
          <w:rFonts w:hint="eastAsia"/>
          <w:color w:val="auto"/>
          <w:lang w:val="en-US" w:eastAsia="zh-CN"/>
        </w:rPr>
        <w:t>宜不</w:t>
      </w:r>
      <w:r>
        <w:rPr>
          <w:rFonts w:hint="eastAsia"/>
          <w:color w:val="auto"/>
        </w:rPr>
        <w:t>低于50%，课程内容参见附录C。</w:t>
      </w:r>
    </w:p>
    <w:p>
      <w:pPr>
        <w:pStyle w:val="169"/>
        <w:rPr>
          <w:color w:val="auto"/>
        </w:rPr>
      </w:pPr>
      <w:r>
        <w:rPr>
          <w:rFonts w:hint="eastAsia"/>
          <w:color w:val="auto"/>
        </w:rPr>
        <w:t>课程应配套完善的教学资源，包括但不限于电子教案、实训案例库、实训指导书、实训素材库、标注规范文档等。</w:t>
      </w:r>
    </w:p>
    <w:p>
      <w:pPr>
        <w:pStyle w:val="169"/>
        <w:rPr>
          <w:color w:val="auto"/>
        </w:rPr>
      </w:pPr>
      <w:r>
        <w:rPr>
          <w:rFonts w:hint="eastAsia"/>
          <w:color w:val="auto"/>
        </w:rPr>
        <w:t> 课程应有效衔接课程学习与职业资格认证，通过“课证融通”，将职业技能等级证书要求融入课程内容。</w:t>
      </w:r>
    </w:p>
    <w:bookmarkEnd w:id="119"/>
    <w:bookmarkEnd w:id="120"/>
    <w:p>
      <w:pPr>
        <w:pStyle w:val="108"/>
        <w:spacing w:before="312" w:after="312"/>
        <w:rPr>
          <w:color w:val="auto"/>
        </w:rPr>
      </w:pPr>
      <w:bookmarkStart w:id="124" w:name="_Toc233725699"/>
      <w:bookmarkStart w:id="125" w:name="_Toc233793763"/>
      <w:bookmarkStart w:id="126" w:name="_Toc233724323"/>
      <w:bookmarkStart w:id="127" w:name="_Toc239409908"/>
      <w:bookmarkStart w:id="128" w:name="_Toc239347231"/>
      <w:r>
        <w:rPr>
          <w:rFonts w:hint="eastAsia"/>
          <w:color w:val="auto"/>
        </w:rPr>
        <w:t>实施管理</w:t>
      </w:r>
      <w:bookmarkEnd w:id="124"/>
      <w:bookmarkEnd w:id="125"/>
      <w:bookmarkEnd w:id="126"/>
      <w:bookmarkEnd w:id="127"/>
      <w:bookmarkEnd w:id="128"/>
    </w:p>
    <w:p>
      <w:pPr>
        <w:pStyle w:val="109"/>
        <w:spacing w:before="156" w:after="156"/>
        <w:rPr>
          <w:color w:val="auto"/>
        </w:rPr>
      </w:pPr>
      <w:bookmarkStart w:id="129" w:name="_Toc233725700"/>
      <w:bookmarkStart w:id="130" w:name="_Toc233724324"/>
      <w:bookmarkStart w:id="131" w:name="_Toc239409909"/>
      <w:bookmarkStart w:id="132" w:name="_Toc239347232"/>
      <w:bookmarkStart w:id="133" w:name="_Toc233793764"/>
      <w:r>
        <w:rPr>
          <w:rFonts w:hint="eastAsia"/>
          <w:color w:val="auto"/>
        </w:rPr>
        <w:t>实训流程</w:t>
      </w:r>
      <w:bookmarkEnd w:id="129"/>
      <w:bookmarkEnd w:id="130"/>
      <w:r>
        <w:rPr>
          <w:rFonts w:hint="eastAsia"/>
          <w:color w:val="auto"/>
        </w:rPr>
        <w:t>及要求</w:t>
      </w:r>
      <w:bookmarkEnd w:id="131"/>
      <w:bookmarkEnd w:id="132"/>
      <w:bookmarkEnd w:id="133"/>
    </w:p>
    <w:p>
      <w:pPr>
        <w:pStyle w:val="69"/>
        <w:spacing w:before="156" w:after="156"/>
        <w:rPr>
          <w:color w:val="auto"/>
        </w:rPr>
      </w:pPr>
      <w:r>
        <w:rPr>
          <w:rFonts w:hint="eastAsia"/>
          <w:color w:val="auto"/>
        </w:rPr>
        <w:t>实训准备阶段</w:t>
      </w:r>
    </w:p>
    <w:p>
      <w:pPr>
        <w:pStyle w:val="168"/>
        <w:rPr>
          <w:color w:val="auto"/>
        </w:rPr>
      </w:pPr>
      <w:r>
        <w:rPr>
          <w:rFonts w:hint="eastAsia"/>
          <w:color w:val="auto"/>
        </w:rPr>
        <w:t>校企双方应在实训启动前共同制定实训方案，内容包括：实训目标、能力单元对接计划、项目来源与任务量、双导师安排、学生名单、实训周期与进度安排、质量指标基准值、考核方案、安全保障措施等。</w:t>
      </w:r>
    </w:p>
    <w:p>
      <w:pPr>
        <w:pStyle w:val="168"/>
        <w:rPr>
          <w:color w:val="auto"/>
        </w:rPr>
      </w:pPr>
      <w:r>
        <w:rPr>
          <w:rFonts w:hint="eastAsia"/>
          <w:color w:val="auto"/>
        </w:rPr>
        <w:t>实训管理机构应在实训启动前完成以下工作：</w:t>
      </w:r>
    </w:p>
    <w:p>
      <w:pPr>
        <w:pStyle w:val="136"/>
        <w:rPr>
          <w:color w:val="auto"/>
        </w:rPr>
      </w:pPr>
      <w:r>
        <w:rPr>
          <w:rFonts w:hint="eastAsia"/>
          <w:color w:val="auto"/>
        </w:rPr>
        <w:t>与企业方确认项目需求、标注规范、质量要求和交付标准，编制标注任务说明文档；</w:t>
      </w:r>
    </w:p>
    <w:p>
      <w:pPr>
        <w:pStyle w:val="136"/>
        <w:rPr>
          <w:color w:val="auto"/>
        </w:rPr>
      </w:pPr>
      <w:r>
        <w:rPr>
          <w:rFonts w:hint="eastAsia"/>
          <w:color w:val="auto"/>
        </w:rPr>
        <w:t>与院校方确认学生基本信息、专业背景及前期课程完成情况；</w:t>
      </w:r>
    </w:p>
    <w:p>
      <w:pPr>
        <w:pStyle w:val="136"/>
        <w:rPr>
          <w:color w:val="auto"/>
        </w:rPr>
      </w:pPr>
      <w:r>
        <w:rPr>
          <w:rFonts w:hint="eastAsia"/>
          <w:color w:val="auto"/>
        </w:rPr>
        <w:t>完成实训场地环境部署、软硬件安装调试、数据准备与脱敏处理；</w:t>
      </w:r>
    </w:p>
    <w:p>
      <w:pPr>
        <w:pStyle w:val="136"/>
        <w:rPr>
          <w:color w:val="auto"/>
        </w:rPr>
      </w:pPr>
      <w:r>
        <w:rPr>
          <w:rFonts w:hint="eastAsia"/>
          <w:color w:val="auto"/>
        </w:rPr>
        <w:t>组织校企双方签署合作协议，组织学生签署实训协议及数据安全保密协议；</w:t>
      </w:r>
    </w:p>
    <w:p>
      <w:pPr>
        <w:pStyle w:val="136"/>
        <w:rPr>
          <w:color w:val="auto"/>
        </w:rPr>
      </w:pPr>
      <w:r>
        <w:rPr>
          <w:rFonts w:hint="eastAsia"/>
          <w:color w:val="auto"/>
        </w:rPr>
        <w:t>组织院校指导教师开展学情分析，完成项目任务的教学化转化，明确与企业指导教师的分工协作方式。</w:t>
      </w:r>
    </w:p>
    <w:p>
      <w:pPr>
        <w:pStyle w:val="69"/>
        <w:spacing w:before="156" w:after="156"/>
        <w:rPr>
          <w:color w:val="auto"/>
        </w:rPr>
      </w:pPr>
      <w:r>
        <w:rPr>
          <w:rFonts w:hint="eastAsia"/>
          <w:color w:val="auto"/>
        </w:rPr>
        <w:t>岗前启动阶段</w:t>
      </w:r>
    </w:p>
    <w:p>
      <w:pPr>
        <w:pStyle w:val="168"/>
        <w:rPr>
          <w:color w:val="auto"/>
        </w:rPr>
      </w:pPr>
      <w:r>
        <w:rPr>
          <w:rFonts w:hint="eastAsia"/>
          <w:color w:val="auto"/>
        </w:rPr>
        <w:t>实训管理机构应组织岗前培训，由院校指导教师负责理论教学，企业指导教师负责实践教学，实训管理机构负责政策法规教学。培训内容包括但不限于：</w:t>
      </w:r>
    </w:p>
    <w:p>
      <w:pPr>
        <w:pStyle w:val="136"/>
        <w:rPr>
          <w:color w:val="auto"/>
        </w:rPr>
      </w:pPr>
      <w:r>
        <w:rPr>
          <w:rFonts w:hint="eastAsia"/>
          <w:color w:val="auto"/>
        </w:rPr>
        <w:t>数据安全法规与保密制度；</w:t>
      </w:r>
    </w:p>
    <w:p>
      <w:pPr>
        <w:pStyle w:val="136"/>
        <w:rPr>
          <w:color w:val="auto"/>
        </w:rPr>
      </w:pPr>
      <w:r>
        <w:rPr>
          <w:rFonts w:hint="eastAsia"/>
          <w:color w:val="auto"/>
        </w:rPr>
        <w:t>标注规范与质量标准；</w:t>
      </w:r>
    </w:p>
    <w:p>
      <w:pPr>
        <w:pStyle w:val="136"/>
        <w:rPr>
          <w:color w:val="auto"/>
        </w:rPr>
      </w:pPr>
      <w:r>
        <w:rPr>
          <w:rFonts w:hint="eastAsia"/>
          <w:color w:val="auto"/>
        </w:rPr>
        <w:t>标注工具平台操作；</w:t>
      </w:r>
    </w:p>
    <w:p>
      <w:pPr>
        <w:pStyle w:val="136"/>
        <w:rPr>
          <w:color w:val="auto"/>
        </w:rPr>
      </w:pPr>
      <w:r>
        <w:rPr>
          <w:rFonts w:hint="eastAsia"/>
          <w:color w:val="auto"/>
        </w:rPr>
        <w:t>职业道德与职业素养。</w:t>
      </w:r>
    </w:p>
    <w:p>
      <w:pPr>
        <w:pStyle w:val="168"/>
        <w:rPr>
          <w:color w:val="auto"/>
        </w:rPr>
      </w:pPr>
      <w:r>
        <w:rPr>
          <w:rFonts w:hint="eastAsia"/>
          <w:color w:val="auto"/>
        </w:rPr>
        <w:t>岗前培训结束后，应对学生进行考核。考核形式可包括理论测试和实操测试。考核合格者方可进入实训实施阶段；考核不合格者应给予一次补培补考机会，补考仍不合格者不应进入实训实施阶段。</w:t>
      </w:r>
    </w:p>
    <w:p>
      <w:pPr>
        <w:pStyle w:val="69"/>
        <w:spacing w:before="156" w:after="156"/>
        <w:rPr>
          <w:color w:val="auto"/>
        </w:rPr>
      </w:pPr>
      <w:r>
        <w:rPr>
          <w:rFonts w:hint="eastAsia"/>
          <w:color w:val="auto"/>
        </w:rPr>
        <w:t>任务实施阶段</w:t>
      </w:r>
    </w:p>
    <w:p>
      <w:pPr>
        <w:pStyle w:val="168"/>
        <w:rPr>
          <w:color w:val="auto"/>
        </w:rPr>
      </w:pPr>
      <w:r>
        <w:rPr>
          <w:rFonts w:hint="eastAsia"/>
          <w:color w:val="auto"/>
        </w:rPr>
        <w:t>实训管理机构应根据学生能力水平和项目难度，合理分配标注任务。任务分配应采用“三阶递进”模式（参见附录D），逐步增加任务难度。</w:t>
      </w:r>
      <w:r>
        <w:rPr>
          <w:color w:val="auto"/>
        </w:rPr>
        <w:t>实训管理机构可遴选标注效率高、质量稳定的学生组建项目制实训小组，承担相对完整的项目任务。院校指导教师宜根据学生基础差异实施分层教学</w:t>
      </w:r>
      <w:r>
        <w:rPr>
          <w:rFonts w:hint="eastAsia"/>
          <w:color w:val="auto"/>
          <w:lang w:eastAsia="zh-CN"/>
        </w:rPr>
        <w:t>。</w:t>
      </w:r>
    </w:p>
    <w:p>
      <w:pPr>
        <w:pStyle w:val="168"/>
        <w:rPr>
          <w:color w:val="auto"/>
        </w:rPr>
      </w:pPr>
      <w:r>
        <w:rPr>
          <w:rFonts w:hint="eastAsia"/>
          <w:color w:val="auto"/>
        </w:rPr>
        <w:t>将学生分组实施标注任务，每组人数</w:t>
      </w:r>
      <w:r>
        <w:rPr>
          <w:rFonts w:hint="eastAsia"/>
          <w:color w:val="auto"/>
          <w:lang w:val="en-US" w:eastAsia="zh-CN"/>
        </w:rPr>
        <w:t>宜为</w:t>
      </w:r>
      <w:r>
        <w:rPr>
          <w:rFonts w:hint="eastAsia"/>
          <w:color w:val="auto"/>
        </w:rPr>
        <w:t>3</w:t>
      </w:r>
      <w:r>
        <w:rPr>
          <w:rFonts w:ascii="Segoe UI" w:hAnsi="Segoe UI" w:eastAsia="Segoe UI" w:cs="Segoe UI"/>
          <w:i w:val="0"/>
          <w:iCs w:val="0"/>
          <w:caps w:val="0"/>
          <w:color w:val="auto"/>
          <w:spacing w:val="0"/>
          <w:sz w:val="24"/>
          <w:szCs w:val="24"/>
          <w:shd w:val="clear" w:fill="FFFFFF"/>
        </w:rPr>
        <w:t>～</w:t>
      </w:r>
      <w:r>
        <w:rPr>
          <w:rFonts w:hint="eastAsia"/>
          <w:color w:val="auto"/>
        </w:rPr>
        <w:t>5人。</w:t>
      </w:r>
      <w:r>
        <w:rPr>
          <w:rFonts w:hint="eastAsia"/>
          <w:color w:val="auto"/>
          <w:lang w:val="en-US" w:eastAsia="zh-CN"/>
        </w:rPr>
        <w:t>可实行</w:t>
      </w:r>
      <w:r>
        <w:rPr>
          <w:rFonts w:hint="eastAsia"/>
          <w:color w:val="auto"/>
        </w:rPr>
        <w:t>轮岗机制，使学生在同一项目周期内轮流承担标注员、质检员、数据清洗员等不同角色，实现岗位能力均衡发展。</w:t>
      </w:r>
    </w:p>
    <w:p>
      <w:pPr>
        <w:pStyle w:val="168"/>
        <w:rPr>
          <w:color w:val="auto"/>
        </w:rPr>
      </w:pPr>
      <w:r>
        <w:rPr>
          <w:rFonts w:hint="eastAsia"/>
          <w:color w:val="auto"/>
        </w:rPr>
        <w:t>学生按照标注任务说明文档和GB/T 42755的要求开展标注作业。标注过程中，学生应按照本文件9.3的要求，在每完成一批次标注后执行质量自检。</w:t>
      </w:r>
    </w:p>
    <w:p>
      <w:pPr>
        <w:pStyle w:val="168"/>
        <w:rPr>
          <w:color w:val="auto"/>
        </w:rPr>
      </w:pPr>
      <w:r>
        <w:rPr>
          <w:rFonts w:hint="eastAsia"/>
          <w:color w:val="auto"/>
        </w:rPr>
        <w:t>组内成员之间应按照本文件9.3的要求开展交叉检查，对同组成员的标注结果进行复核，发现问题及时沟通纠正。互检结果应记录备查。</w:t>
      </w:r>
    </w:p>
    <w:p>
      <w:pPr>
        <w:pStyle w:val="168"/>
        <w:rPr>
          <w:color w:val="auto"/>
        </w:rPr>
      </w:pPr>
      <w:r>
        <w:rPr>
          <w:rFonts w:hint="eastAsia"/>
          <w:color w:val="auto"/>
        </w:rPr>
        <w:t>院校指导教师应定期巡查学生标注操作规范性和进度，及时发现学生操作误区并予以纠正，做好指导记录；企业指导教师应定期审核标注质量，对典型错误进行集中讲解，将企业质量标准和项目管理方法传授给学生；“双导师”应建立日常沟通机制，互通学生表现和项目进展信息，协商解决实训过程中的教与学问题。</w:t>
      </w:r>
    </w:p>
    <w:p>
      <w:pPr>
        <w:pStyle w:val="168"/>
        <w:rPr>
          <w:color w:val="auto"/>
        </w:rPr>
      </w:pPr>
      <w:r>
        <w:rPr>
          <w:rFonts w:hint="eastAsia"/>
          <w:color w:val="auto"/>
        </w:rPr>
        <w:t>如实训项目采用人机协同标注模式，应在任务实施阶段将以下内容纳入教学：</w:t>
      </w:r>
    </w:p>
    <w:p>
      <w:pPr>
        <w:pStyle w:val="136"/>
        <w:rPr>
          <w:color w:val="auto"/>
        </w:rPr>
      </w:pPr>
      <w:r>
        <w:rPr>
          <w:rFonts w:hint="eastAsia"/>
          <w:color w:val="auto"/>
        </w:rPr>
        <w:t>指导学生理解AI预标注的原理、适用范围和局限性；</w:t>
      </w:r>
    </w:p>
    <w:p>
      <w:pPr>
        <w:pStyle w:val="136"/>
        <w:rPr>
          <w:color w:val="auto"/>
        </w:rPr>
      </w:pPr>
      <w:r>
        <w:rPr>
          <w:rFonts w:hint="eastAsia"/>
          <w:color w:val="auto"/>
        </w:rPr>
        <w:t>指导学生掌握人工复核AI预标注结果的方法和要点；</w:t>
      </w:r>
    </w:p>
    <w:p>
      <w:pPr>
        <w:pStyle w:val="136"/>
        <w:rPr>
          <w:color w:val="auto"/>
        </w:rPr>
      </w:pPr>
      <w:r>
        <w:rPr>
          <w:rFonts w:hint="eastAsia"/>
          <w:color w:val="auto"/>
        </w:rPr>
        <w:t>指导学生参与偏差评估，分析AI预测与人工标注的差异及其原因。</w:t>
      </w:r>
    </w:p>
    <w:p>
      <w:pPr>
        <w:pStyle w:val="69"/>
        <w:spacing w:before="156" w:after="156"/>
        <w:rPr>
          <w:color w:val="auto"/>
        </w:rPr>
      </w:pPr>
      <w:r>
        <w:rPr>
          <w:rFonts w:hint="eastAsia"/>
          <w:color w:val="auto"/>
        </w:rPr>
        <w:t>过程监控与指导阶段</w:t>
      </w:r>
    </w:p>
    <w:p>
      <w:pPr>
        <w:pStyle w:val="168"/>
        <w:rPr>
          <w:color w:val="auto"/>
        </w:rPr>
      </w:pPr>
      <w:r>
        <w:rPr>
          <w:rFonts w:hint="eastAsia"/>
          <w:color w:val="auto"/>
        </w:rPr>
        <w:t>实训管理机构应每日记录学生出勤和任务完成量，每周汇总进度数据，与计划进度对比。当周完成进度低于计划进度15%时，院校指导教师应分析原因并采取针对性教学干预措施；连续两周低于计划进度25%时，应启动校企会商，必要时调整任务分配或延长实训周期。</w:t>
      </w:r>
    </w:p>
    <w:p>
      <w:pPr>
        <w:pStyle w:val="168"/>
        <w:rPr>
          <w:color w:val="auto"/>
        </w:rPr>
      </w:pPr>
      <w:r>
        <w:rPr>
          <w:rFonts w:hint="eastAsia"/>
          <w:color w:val="auto"/>
        </w:rPr>
        <w:t>实训管理机构应按照本文件9.3的要求定期组织质量抽检，抽检比例由各方根据项目类型约定。质量抽检结果应反馈给指导教师和学生，作为过程性评价的依据。抽检中发现的质量问题应分类记录，并针对高频错误组织专项辅导。</w:t>
      </w:r>
    </w:p>
    <w:p>
      <w:pPr>
        <w:pStyle w:val="168"/>
        <w:rPr>
          <w:color w:val="auto"/>
        </w:rPr>
      </w:pPr>
      <w:r>
        <w:rPr>
          <w:rFonts w:hint="eastAsia"/>
          <w:color w:val="auto"/>
        </w:rPr>
        <w:t>实训进行至中期，应开展中期评审。中期评审由实训管理机构组织，校企双方指导教师共同参与，形成中期评审报告。根据评审结果，必要时调整实训安排和后期执行方向。评审内容包括：</w:t>
      </w:r>
    </w:p>
    <w:p>
      <w:pPr>
        <w:pStyle w:val="136"/>
        <w:rPr>
          <w:color w:val="auto"/>
        </w:rPr>
      </w:pPr>
      <w:r>
        <w:rPr>
          <w:rFonts w:hint="eastAsia"/>
          <w:color w:val="auto"/>
        </w:rPr>
        <w:t>学生标注准确率、一致性等质量指标达标情况；</w:t>
      </w:r>
    </w:p>
    <w:p>
      <w:pPr>
        <w:pStyle w:val="136"/>
        <w:rPr>
          <w:color w:val="auto"/>
        </w:rPr>
      </w:pPr>
      <w:r>
        <w:rPr>
          <w:rFonts w:hint="eastAsia"/>
          <w:color w:val="auto"/>
        </w:rPr>
        <w:t>任务完成进度与计划进度的匹配度；</w:t>
      </w:r>
    </w:p>
    <w:p>
      <w:pPr>
        <w:pStyle w:val="136"/>
        <w:rPr>
          <w:color w:val="auto"/>
        </w:rPr>
      </w:pPr>
      <w:r>
        <w:rPr>
          <w:rFonts w:hint="eastAsia"/>
          <w:color w:val="auto"/>
        </w:rPr>
        <w:t>学生个体学习状态（出勤率、参与度、技能掌握情况）；</w:t>
      </w:r>
    </w:p>
    <w:p>
      <w:pPr>
        <w:pStyle w:val="136"/>
        <w:rPr>
          <w:color w:val="auto"/>
        </w:rPr>
      </w:pPr>
      <w:r>
        <w:rPr>
          <w:rFonts w:hint="eastAsia"/>
          <w:color w:val="auto"/>
        </w:rPr>
        <w:t>实训方案与考核方案的执行情况；存在的问题与风险及改进措施。</w:t>
      </w:r>
    </w:p>
    <w:p>
      <w:pPr>
        <w:pStyle w:val="168"/>
        <w:rPr>
          <w:color w:val="auto"/>
        </w:rPr>
      </w:pPr>
      <w:r>
        <w:rPr>
          <w:rFonts w:hint="eastAsia"/>
          <w:color w:val="auto"/>
        </w:rPr>
        <w:t>变更应由实训管理机构组织各方确认后方可执行。涉及学生权益重大变更的，应征得学生同意。实训过程中发生以下情形时，应启动变更程序：</w:t>
      </w:r>
    </w:p>
    <w:p>
      <w:pPr>
        <w:pStyle w:val="136"/>
        <w:rPr>
          <w:color w:val="auto"/>
        </w:rPr>
      </w:pPr>
      <w:r>
        <w:rPr>
          <w:rFonts w:hint="eastAsia"/>
          <w:color w:val="auto"/>
        </w:rPr>
        <w:t>企业项目需求变更，如标注规范调整、交付时间变更等；</w:t>
      </w:r>
    </w:p>
    <w:p>
      <w:pPr>
        <w:pStyle w:val="136"/>
        <w:rPr>
          <w:color w:val="auto"/>
        </w:rPr>
      </w:pPr>
      <w:r>
        <w:rPr>
          <w:rFonts w:hint="eastAsia"/>
          <w:color w:val="auto"/>
        </w:rPr>
        <w:t>学生人员变动，如请假、退出、增补等；</w:t>
      </w:r>
    </w:p>
    <w:p>
      <w:pPr>
        <w:pStyle w:val="136"/>
        <w:rPr>
          <w:color w:val="auto"/>
        </w:rPr>
      </w:pPr>
      <w:r>
        <w:rPr>
          <w:rFonts w:hint="eastAsia"/>
          <w:color w:val="auto"/>
        </w:rPr>
        <w:t>技术环境变更，如软件升级、数据迁移等；</w:t>
      </w:r>
    </w:p>
    <w:p>
      <w:pPr>
        <w:pStyle w:val="136"/>
        <w:rPr>
          <w:color w:val="auto"/>
        </w:rPr>
      </w:pPr>
      <w:r>
        <w:rPr>
          <w:rFonts w:hint="eastAsia"/>
          <w:color w:val="auto"/>
        </w:rPr>
        <w:t>不可抗力导致实训中断。</w:t>
      </w:r>
    </w:p>
    <w:p>
      <w:pPr>
        <w:pStyle w:val="69"/>
        <w:spacing w:before="156" w:after="156"/>
        <w:rPr>
          <w:color w:val="auto"/>
        </w:rPr>
      </w:pPr>
      <w:r>
        <w:rPr>
          <w:rFonts w:hint="eastAsia"/>
          <w:color w:val="auto"/>
        </w:rPr>
        <w:t>结业考核与总结阶段</w:t>
      </w:r>
    </w:p>
    <w:p>
      <w:pPr>
        <w:pStyle w:val="168"/>
        <w:rPr>
          <w:color w:val="auto"/>
        </w:rPr>
      </w:pPr>
      <w:r>
        <w:rPr>
          <w:rFonts w:hint="eastAsia"/>
          <w:color w:val="auto"/>
        </w:rPr>
        <w:t>实训任务完成后，学生应在规定时间内提交标注成果。实训管理机构应组织专检人员进行验收抽检，抽检合格方可计入学生完成量；抽检不合格的标注成果应退回返工，返工后重新验收。验收结果纳入结果性考核成绩。</w:t>
      </w:r>
    </w:p>
    <w:p>
      <w:pPr>
        <w:pStyle w:val="168"/>
        <w:rPr>
          <w:color w:val="auto"/>
        </w:rPr>
      </w:pPr>
      <w:r>
        <w:rPr>
          <w:rFonts w:hint="eastAsia"/>
          <w:color w:val="auto"/>
        </w:rPr>
        <w:t>校企双方指导教师应根据实训考核方案，共同完成学生成绩综合评定。成绩评定应由校企双方指导教师共同会签，形成书面成绩评定表，经学生本人确认后归档。评定依据包括：</w:t>
      </w:r>
    </w:p>
    <w:p>
      <w:pPr>
        <w:pStyle w:val="136"/>
        <w:rPr>
          <w:color w:val="auto"/>
        </w:rPr>
      </w:pPr>
      <w:r>
        <w:rPr>
          <w:rFonts w:hint="eastAsia"/>
          <w:color w:val="auto"/>
        </w:rPr>
        <w:t>过程性评价数据：考勤记录、日常表现、任务完成进度、互检记录、安全合规执行情况、学习态度；</w:t>
      </w:r>
    </w:p>
    <w:p>
      <w:pPr>
        <w:pStyle w:val="136"/>
        <w:rPr>
          <w:color w:val="auto"/>
        </w:rPr>
      </w:pPr>
      <w:r>
        <w:rPr>
          <w:rFonts w:hint="eastAsia"/>
          <w:color w:val="auto"/>
        </w:rPr>
        <w:t>结果性评价数据：标注质量指标如准确率和一致性、项目交付物完整性、技能测试成绩；</w:t>
      </w:r>
    </w:p>
    <w:p>
      <w:pPr>
        <w:pStyle w:val="136"/>
        <w:rPr>
          <w:color w:val="auto"/>
        </w:rPr>
      </w:pPr>
      <w:r>
        <w:rPr>
          <w:rFonts w:hint="eastAsia"/>
          <w:color w:val="auto"/>
        </w:rPr>
        <w:t>发展性评价：技能等级提升情况、学习态度改进、职业素养成长。</w:t>
      </w:r>
    </w:p>
    <w:p>
      <w:pPr>
        <w:pStyle w:val="168"/>
        <w:rPr>
          <w:color w:val="auto"/>
        </w:rPr>
      </w:pPr>
      <w:r>
        <w:rPr>
          <w:rFonts w:hint="eastAsia"/>
          <w:color w:val="auto"/>
        </w:rPr>
        <w:t>实训管理机构应在实训结束后组织校企双方召开实训总结会，内容包括任务完成量、质量达标率、实训目标达成度；学生综合表现点评与典型成长案例；实训过程中存在的问题分析及改进建议；校企双方对实训方案、师资配备、条件保障等方面的反馈意见，最终形成实训总结报告，作为持续改进依据。</w:t>
      </w:r>
    </w:p>
    <w:p>
      <w:pPr>
        <w:pStyle w:val="168"/>
        <w:rPr>
          <w:color w:val="auto"/>
        </w:rPr>
      </w:pPr>
      <w:r>
        <w:rPr>
          <w:rFonts w:hint="eastAsia"/>
          <w:color w:val="auto"/>
        </w:rPr>
        <w:t>实训管理机构应按本文件8.3的要求完成实训档案归档，并按规定期限保存。</w:t>
      </w:r>
    </w:p>
    <w:p>
      <w:pPr>
        <w:pStyle w:val="168"/>
        <w:rPr>
          <w:color w:val="auto"/>
        </w:rPr>
      </w:pPr>
      <w:r>
        <w:rPr>
          <w:rFonts w:hint="eastAsia"/>
          <w:color w:val="auto"/>
        </w:rPr>
        <w:t>实训结束后，宜根据学生实训成绩对接以下工作：</w:t>
      </w:r>
    </w:p>
    <w:p>
      <w:pPr>
        <w:pStyle w:val="136"/>
        <w:rPr>
          <w:color w:val="auto"/>
        </w:rPr>
      </w:pPr>
      <w:r>
        <w:rPr>
          <w:rFonts w:hint="eastAsia"/>
          <w:color w:val="auto"/>
        </w:rPr>
        <w:t>院校按本校学分管理规定认定实训学分；</w:t>
      </w:r>
    </w:p>
    <w:p>
      <w:pPr>
        <w:pStyle w:val="136"/>
        <w:rPr>
          <w:color w:val="auto"/>
        </w:rPr>
      </w:pPr>
      <w:r>
        <w:rPr>
          <w:rFonts w:hint="eastAsia"/>
          <w:color w:val="auto"/>
        </w:rPr>
        <w:t>实训成绩与人工智能训练师职业技能等级证书考核结果宜互通互认。</w:t>
      </w:r>
    </w:p>
    <w:p>
      <w:pPr>
        <w:pStyle w:val="109"/>
        <w:spacing w:before="156" w:after="156"/>
        <w:rPr>
          <w:color w:val="auto"/>
        </w:rPr>
      </w:pPr>
      <w:bookmarkStart w:id="134" w:name="_Toc239347233"/>
      <w:bookmarkStart w:id="135" w:name="_Toc233793765"/>
      <w:bookmarkStart w:id="136" w:name="_Toc233725701"/>
      <w:bookmarkStart w:id="137" w:name="_Toc239409910"/>
      <w:bookmarkStart w:id="138" w:name="_Toc233724325"/>
      <w:r>
        <w:rPr>
          <w:color w:val="auto"/>
        </w:rPr>
        <w:t>人机协同标注</w:t>
      </w:r>
      <w:bookmarkEnd w:id="134"/>
      <w:bookmarkEnd w:id="135"/>
      <w:bookmarkEnd w:id="136"/>
      <w:bookmarkEnd w:id="137"/>
      <w:bookmarkEnd w:id="138"/>
    </w:p>
    <w:p>
      <w:pPr>
        <w:pStyle w:val="169"/>
        <w:numPr>
          <w:ilvl w:val="3"/>
          <w:numId w:val="0"/>
        </w:numPr>
        <w:ind w:firstLine="420" w:firstLineChars="200"/>
        <w:rPr>
          <w:color w:val="auto"/>
        </w:rPr>
      </w:pPr>
      <w:r>
        <w:rPr>
          <w:color w:val="auto"/>
        </w:rPr>
        <w:t>宜引入人机协同标注模式，</w:t>
      </w:r>
      <w:r>
        <w:rPr>
          <w:rFonts w:hint="eastAsia"/>
          <w:color w:val="auto"/>
        </w:rPr>
        <w:t>开展</w:t>
      </w:r>
      <w:r>
        <w:rPr>
          <w:color w:val="auto"/>
        </w:rPr>
        <w:t>AI预标注</w:t>
      </w:r>
      <w:r>
        <w:rPr>
          <w:rFonts w:hint="eastAsia"/>
          <w:color w:val="auto"/>
        </w:rPr>
        <w:t>与偏差评估，</w:t>
      </w:r>
      <w:r>
        <w:rPr>
          <w:color w:val="auto"/>
        </w:rPr>
        <w:t>人机协同标注应满足以下要求：</w:t>
      </w:r>
    </w:p>
    <w:p>
      <w:pPr>
        <w:pStyle w:val="136"/>
        <w:rPr>
          <w:color w:val="auto"/>
        </w:rPr>
      </w:pPr>
      <w:r>
        <w:rPr>
          <w:color w:val="auto"/>
        </w:rPr>
        <w:t>AI预标注准确率应达到约定基准值后方可进入人工复核环节；</w:t>
      </w:r>
    </w:p>
    <w:p>
      <w:pPr>
        <w:pStyle w:val="136"/>
        <w:rPr>
          <w:color w:val="auto"/>
        </w:rPr>
      </w:pPr>
      <w:r>
        <w:rPr>
          <w:color w:val="auto"/>
        </w:rPr>
        <w:t>人工复核应对AI预标注结果进行全面检查，不得降低质量标准；</w:t>
      </w:r>
    </w:p>
    <w:p>
      <w:pPr>
        <w:pStyle w:val="136"/>
        <w:rPr>
          <w:color w:val="auto"/>
        </w:rPr>
      </w:pPr>
      <w:r>
        <w:rPr>
          <w:color w:val="auto"/>
        </w:rPr>
        <w:t>应建立AI模型迭代优化机制，根据人工复核反馈持续改进预标注效果。</w:t>
      </w:r>
    </w:p>
    <w:p>
      <w:pPr>
        <w:pStyle w:val="109"/>
        <w:spacing w:before="156" w:after="156"/>
        <w:rPr>
          <w:color w:val="auto"/>
        </w:rPr>
      </w:pPr>
      <w:bookmarkStart w:id="139" w:name="_Toc233725702"/>
      <w:bookmarkStart w:id="140" w:name="_Toc239409911"/>
      <w:bookmarkStart w:id="141" w:name="_Toc239347234"/>
      <w:bookmarkStart w:id="142" w:name="_Toc233793766"/>
      <w:bookmarkStart w:id="143" w:name="_Toc233724326"/>
      <w:r>
        <w:rPr>
          <w:rFonts w:hint="eastAsia"/>
          <w:color w:val="auto"/>
        </w:rPr>
        <w:t>档案管理</w:t>
      </w:r>
      <w:bookmarkEnd w:id="139"/>
      <w:bookmarkEnd w:id="140"/>
      <w:bookmarkEnd w:id="141"/>
      <w:bookmarkEnd w:id="142"/>
      <w:bookmarkEnd w:id="143"/>
    </w:p>
    <w:p>
      <w:pPr>
        <w:pStyle w:val="169"/>
        <w:rPr>
          <w:color w:val="auto"/>
        </w:rPr>
      </w:pPr>
      <w:r>
        <w:rPr>
          <w:rFonts w:hint="eastAsia"/>
          <w:color w:val="auto"/>
        </w:rPr>
        <w:t>实训管理机构应建立学员培训档案与就业跟踪机制，及时记录培训过程、评估结果及实习就业去向。</w:t>
      </w:r>
    </w:p>
    <w:p>
      <w:pPr>
        <w:pStyle w:val="169"/>
        <w:rPr>
          <w:color w:val="auto"/>
        </w:rPr>
      </w:pPr>
      <w:r>
        <w:rPr>
          <w:rFonts w:hint="eastAsia"/>
          <w:color w:val="auto"/>
        </w:rPr>
        <w:t>实训档案宜包括：</w:t>
      </w:r>
    </w:p>
    <w:p>
      <w:pPr>
        <w:pStyle w:val="136"/>
        <w:rPr>
          <w:color w:val="auto"/>
        </w:rPr>
      </w:pPr>
      <w:r>
        <w:rPr>
          <w:rFonts w:hint="eastAsia"/>
          <w:color w:val="auto"/>
        </w:rPr>
        <w:t>管理类档案：合作协议、实训方案、变更记录、质量报告；</w:t>
      </w:r>
    </w:p>
    <w:p>
      <w:pPr>
        <w:pStyle w:val="136"/>
        <w:rPr>
          <w:color w:val="auto"/>
        </w:rPr>
      </w:pPr>
      <w:r>
        <w:rPr>
          <w:rFonts w:hint="eastAsia"/>
          <w:color w:val="auto"/>
        </w:rPr>
        <w:t>教学类档案：授课计划、教案、学生作业；</w:t>
      </w:r>
    </w:p>
    <w:p>
      <w:pPr>
        <w:pStyle w:val="136"/>
        <w:rPr>
          <w:color w:val="auto"/>
        </w:rPr>
      </w:pPr>
      <w:r>
        <w:rPr>
          <w:rFonts w:hint="eastAsia"/>
          <w:color w:val="auto"/>
        </w:rPr>
        <w:t>项目类档案：标注规范、标注成果、验收报告；</w:t>
      </w:r>
    </w:p>
    <w:p>
      <w:pPr>
        <w:pStyle w:val="136"/>
        <w:rPr>
          <w:color w:val="auto"/>
        </w:rPr>
      </w:pPr>
      <w:r>
        <w:rPr>
          <w:rFonts w:hint="eastAsia"/>
          <w:color w:val="auto"/>
        </w:rPr>
        <w:t>学生类档案：实训协议、考勤记录、成绩评定表。</w:t>
      </w:r>
    </w:p>
    <w:p>
      <w:pPr>
        <w:pStyle w:val="169"/>
        <w:rPr>
          <w:color w:val="auto"/>
        </w:rPr>
      </w:pPr>
      <w:r>
        <w:rPr>
          <w:rFonts w:hint="eastAsia"/>
          <w:color w:val="auto"/>
        </w:rPr>
        <w:t>档案保存期限：</w:t>
      </w:r>
    </w:p>
    <w:p>
      <w:pPr>
        <w:pStyle w:val="136"/>
        <w:rPr>
          <w:color w:val="auto"/>
        </w:rPr>
      </w:pPr>
      <w:r>
        <w:rPr>
          <w:rFonts w:hint="eastAsia"/>
          <w:color w:val="auto"/>
        </w:rPr>
        <w:t>管理类档案和教学类档案保存不少于5年；</w:t>
      </w:r>
    </w:p>
    <w:p>
      <w:pPr>
        <w:pStyle w:val="136"/>
        <w:rPr>
          <w:color w:val="auto"/>
        </w:rPr>
      </w:pPr>
      <w:r>
        <w:rPr>
          <w:rFonts w:hint="eastAsia"/>
          <w:color w:val="auto"/>
        </w:rPr>
        <w:t>项目类档案中涉及企业商业秘密的，按约定期限保存；</w:t>
      </w:r>
    </w:p>
    <w:p>
      <w:pPr>
        <w:pStyle w:val="136"/>
        <w:rPr>
          <w:color w:val="auto"/>
        </w:rPr>
      </w:pPr>
      <w:r>
        <w:rPr>
          <w:rFonts w:hint="eastAsia"/>
          <w:color w:val="auto"/>
        </w:rPr>
        <w:t>学生类档案保存期限自学生毕业之日起不少于3年。</w:t>
      </w:r>
    </w:p>
    <w:p>
      <w:pPr>
        <w:pStyle w:val="169"/>
        <w:rPr>
          <w:color w:val="auto"/>
        </w:rPr>
      </w:pPr>
      <w:r>
        <w:rPr>
          <w:rFonts w:hint="eastAsia"/>
          <w:color w:val="auto"/>
        </w:rPr>
        <w:t>电子档案应定期备份。涉及敏感数据的档案应加密存储。</w:t>
      </w:r>
    </w:p>
    <w:p>
      <w:pPr>
        <w:pStyle w:val="108"/>
        <w:spacing w:before="312" w:after="312"/>
        <w:rPr>
          <w:color w:val="auto"/>
        </w:rPr>
      </w:pPr>
      <w:bookmarkStart w:id="144" w:name="_Toc233724327"/>
      <w:bookmarkStart w:id="145" w:name="_Toc239347235"/>
      <w:bookmarkStart w:id="146" w:name="_Toc239409912"/>
      <w:bookmarkStart w:id="147" w:name="_Toc233793767"/>
      <w:bookmarkStart w:id="148" w:name="_Toc233725703"/>
      <w:r>
        <w:rPr>
          <w:rFonts w:hint="eastAsia"/>
          <w:color w:val="auto"/>
        </w:rPr>
        <w:t>数据安全与质量管理</w:t>
      </w:r>
      <w:bookmarkEnd w:id="144"/>
      <w:bookmarkEnd w:id="145"/>
      <w:bookmarkEnd w:id="146"/>
      <w:bookmarkEnd w:id="147"/>
      <w:bookmarkEnd w:id="148"/>
    </w:p>
    <w:p>
      <w:pPr>
        <w:pStyle w:val="109"/>
        <w:spacing w:before="156" w:after="156"/>
        <w:rPr>
          <w:color w:val="auto"/>
        </w:rPr>
      </w:pPr>
      <w:bookmarkStart w:id="149" w:name="_Toc233724328"/>
      <w:bookmarkStart w:id="150" w:name="_Toc233793768"/>
      <w:bookmarkStart w:id="151" w:name="_Toc239409913"/>
      <w:bookmarkStart w:id="152" w:name="_Toc233725704"/>
      <w:bookmarkStart w:id="153" w:name="_Toc239347236"/>
      <w:r>
        <w:rPr>
          <w:rFonts w:hint="eastAsia"/>
          <w:color w:val="auto"/>
        </w:rPr>
        <w:t>数据安全管理</w:t>
      </w:r>
      <w:bookmarkEnd w:id="149"/>
      <w:bookmarkEnd w:id="150"/>
      <w:bookmarkEnd w:id="151"/>
      <w:bookmarkEnd w:id="152"/>
      <w:bookmarkEnd w:id="153"/>
    </w:p>
    <w:p>
      <w:pPr>
        <w:pStyle w:val="169"/>
        <w:rPr>
          <w:color w:val="auto"/>
        </w:rPr>
      </w:pPr>
      <w:r>
        <w:rPr>
          <w:rFonts w:hint="eastAsia"/>
          <w:color w:val="auto"/>
        </w:rPr>
        <w:t>标注数据应采用加密存储和传输措施，防止数据泄露。</w:t>
      </w:r>
    </w:p>
    <w:p>
      <w:pPr>
        <w:pStyle w:val="169"/>
        <w:rPr>
          <w:color w:val="auto"/>
        </w:rPr>
      </w:pPr>
      <w:r>
        <w:rPr>
          <w:rFonts w:hint="eastAsia"/>
          <w:color w:val="auto"/>
        </w:rPr>
        <w:t>应严格控制数据的访问权限，只有授权人员才能接触和处理标注数据。</w:t>
      </w:r>
    </w:p>
    <w:p>
      <w:pPr>
        <w:pStyle w:val="169"/>
        <w:rPr>
          <w:color w:val="auto"/>
        </w:rPr>
      </w:pPr>
      <w:r>
        <w:rPr>
          <w:rFonts w:hint="eastAsia"/>
          <w:color w:val="auto"/>
        </w:rPr>
        <w:t>标注过程中不得将数据复制、传播或用于其他目的，标注任务完成后，应按照规定对数据进行处理。</w:t>
      </w:r>
    </w:p>
    <w:p>
      <w:pPr>
        <w:pStyle w:val="169"/>
        <w:rPr>
          <w:color w:val="auto"/>
        </w:rPr>
      </w:pPr>
      <w:r>
        <w:rPr>
          <w:rFonts w:hint="eastAsia"/>
          <w:color w:val="auto"/>
        </w:rPr>
        <w:t>对于涉及个人信息的标注数据，应符合GB/T 35273的要求，采用匿名化或标识化处理等措施，保护个人隐私。</w:t>
      </w:r>
    </w:p>
    <w:p>
      <w:pPr>
        <w:pStyle w:val="169"/>
        <w:rPr>
          <w:color w:val="auto"/>
        </w:rPr>
      </w:pPr>
      <w:r>
        <w:rPr>
          <w:rFonts w:hint="eastAsia"/>
          <w:color w:val="auto"/>
        </w:rPr>
        <w:t>涉及地理信息数据的标注，应符合《中华人民共和国测绘法》和测绘地理信息保密管理规定，不得采集、标注、存储、传输涉密地理信息数据；用于实训的遥感影像等地理信息数据，应依法经脱密处理后方可使用。</w:t>
      </w:r>
    </w:p>
    <w:p>
      <w:pPr>
        <w:pStyle w:val="169"/>
        <w:rPr>
          <w:color w:val="auto"/>
        </w:rPr>
      </w:pPr>
      <w:r>
        <w:rPr>
          <w:color w:val="auto"/>
        </w:rPr>
        <w:t>人脸、声纹等生物识别数据的标注应遵循以下特别要求：</w:t>
      </w:r>
    </w:p>
    <w:p>
      <w:pPr>
        <w:pStyle w:val="136"/>
        <w:rPr>
          <w:color w:val="auto"/>
        </w:rPr>
      </w:pPr>
      <w:r>
        <w:rPr>
          <w:color w:val="auto"/>
        </w:rPr>
        <w:t>取得个人的单独同意，明确告知使用目的和范围；</w:t>
      </w:r>
    </w:p>
    <w:p>
      <w:pPr>
        <w:pStyle w:val="136"/>
        <w:rPr>
          <w:color w:val="auto"/>
        </w:rPr>
      </w:pPr>
      <w:r>
        <w:rPr>
          <w:color w:val="auto"/>
        </w:rPr>
        <w:t>标注过程中不得采集、存储原始生物特征模板；</w:t>
      </w:r>
    </w:p>
    <w:p>
      <w:pPr>
        <w:pStyle w:val="136"/>
        <w:rPr>
          <w:color w:val="auto"/>
        </w:rPr>
      </w:pPr>
      <w:r>
        <w:rPr>
          <w:color w:val="auto"/>
        </w:rPr>
        <w:t>标注完成后应及时删除原始图像/音频，仅保留标注结果；</w:t>
      </w:r>
    </w:p>
    <w:p>
      <w:pPr>
        <w:pStyle w:val="136"/>
        <w:rPr>
          <w:color w:val="auto"/>
        </w:rPr>
      </w:pPr>
      <w:r>
        <w:rPr>
          <w:color w:val="auto"/>
        </w:rPr>
        <w:t>生物识别数据不得用于实训以外的任何目的。</w:t>
      </w:r>
    </w:p>
    <w:p>
      <w:pPr>
        <w:pStyle w:val="109"/>
        <w:spacing w:before="156" w:after="156"/>
        <w:rPr>
          <w:color w:val="auto"/>
        </w:rPr>
      </w:pPr>
      <w:bookmarkStart w:id="154" w:name="_Toc233793769"/>
      <w:bookmarkStart w:id="155" w:name="_Toc233725705"/>
      <w:bookmarkStart w:id="156" w:name="_Toc239347237"/>
      <w:bookmarkStart w:id="157" w:name="_Toc233724329"/>
      <w:bookmarkStart w:id="158" w:name="_Toc239409914"/>
      <w:r>
        <w:rPr>
          <w:rFonts w:hint="eastAsia"/>
          <w:color w:val="auto"/>
        </w:rPr>
        <w:t>知识产权保护</w:t>
      </w:r>
      <w:bookmarkEnd w:id="154"/>
      <w:bookmarkEnd w:id="155"/>
      <w:bookmarkEnd w:id="156"/>
      <w:bookmarkEnd w:id="157"/>
      <w:bookmarkEnd w:id="158"/>
    </w:p>
    <w:p>
      <w:pPr>
        <w:pStyle w:val="169"/>
        <w:rPr>
          <w:color w:val="auto"/>
        </w:rPr>
      </w:pPr>
      <w:r>
        <w:rPr>
          <w:rFonts w:hint="eastAsia"/>
          <w:color w:val="auto"/>
        </w:rPr>
        <w:t>校企双方应建立知识产权与成果管理制度，规范教学、研发、项目合作等活动中的知识产权归属与使用。</w:t>
      </w:r>
    </w:p>
    <w:p>
      <w:pPr>
        <w:pStyle w:val="169"/>
        <w:rPr>
          <w:color w:val="auto"/>
        </w:rPr>
      </w:pPr>
      <w:r>
        <w:rPr>
          <w:rFonts w:hint="eastAsia"/>
          <w:color w:val="auto"/>
        </w:rPr>
        <w:t>宜建立成果转化与激励机制，校企合作项目成果</w:t>
      </w:r>
      <w:r>
        <w:rPr>
          <w:rFonts w:hint="eastAsia"/>
          <w:color w:val="auto"/>
          <w:lang w:val="en-US" w:eastAsia="zh-CN"/>
        </w:rPr>
        <w:t>可</w:t>
      </w:r>
      <w:r>
        <w:rPr>
          <w:rFonts w:hint="eastAsia"/>
          <w:color w:val="auto"/>
        </w:rPr>
        <w:t>登记备案，促进科研与教学成果有效转化为社会和经济效益。</w:t>
      </w:r>
    </w:p>
    <w:p>
      <w:pPr>
        <w:pStyle w:val="109"/>
        <w:spacing w:before="156" w:after="156"/>
        <w:rPr>
          <w:color w:val="auto"/>
        </w:rPr>
      </w:pPr>
      <w:bookmarkStart w:id="159" w:name="_Toc233793770"/>
      <w:bookmarkStart w:id="160" w:name="_Toc233725706"/>
      <w:bookmarkStart w:id="161" w:name="_Toc233724330"/>
      <w:bookmarkStart w:id="162" w:name="_Toc239347238"/>
      <w:bookmarkStart w:id="163" w:name="_Toc239409915"/>
      <w:r>
        <w:rPr>
          <w:rFonts w:hint="eastAsia"/>
          <w:color w:val="auto"/>
        </w:rPr>
        <w:t>实训质量监控</w:t>
      </w:r>
      <w:bookmarkEnd w:id="159"/>
      <w:bookmarkEnd w:id="160"/>
      <w:bookmarkEnd w:id="161"/>
      <w:bookmarkEnd w:id="162"/>
      <w:bookmarkEnd w:id="163"/>
    </w:p>
    <w:p>
      <w:pPr>
        <w:pStyle w:val="169"/>
        <w:rPr>
          <w:color w:val="auto"/>
        </w:rPr>
      </w:pPr>
      <w:r>
        <w:rPr>
          <w:rFonts w:hint="eastAsia"/>
          <w:color w:val="auto"/>
        </w:rPr>
        <w:t>应建立质量监控体系，包括：</w:t>
      </w:r>
    </w:p>
    <w:p>
      <w:pPr>
        <w:pStyle w:val="136"/>
        <w:rPr>
          <w:color w:val="auto"/>
        </w:rPr>
      </w:pPr>
      <w:r>
        <w:rPr>
          <w:rFonts w:hint="eastAsia"/>
          <w:color w:val="auto"/>
        </w:rPr>
        <w:t>一级自检：标注人员完成标注后自行检查；</w:t>
      </w:r>
    </w:p>
    <w:p>
      <w:pPr>
        <w:pStyle w:val="136"/>
        <w:rPr>
          <w:color w:val="auto"/>
        </w:rPr>
      </w:pPr>
      <w:r>
        <w:rPr>
          <w:rFonts w:hint="eastAsia"/>
          <w:color w:val="auto"/>
        </w:rPr>
        <w:t>二级互检：组内成员交叉检查；</w:t>
      </w:r>
    </w:p>
    <w:p>
      <w:pPr>
        <w:pStyle w:val="136"/>
        <w:rPr>
          <w:color w:val="auto"/>
        </w:rPr>
      </w:pPr>
      <w:r>
        <w:rPr>
          <w:rFonts w:hint="eastAsia"/>
          <w:color w:val="auto"/>
        </w:rPr>
        <w:t>三级专检：质量管理员或指导教师抽检。</w:t>
      </w:r>
    </w:p>
    <w:p>
      <w:pPr>
        <w:pStyle w:val="169"/>
        <w:rPr>
          <w:color w:val="auto"/>
        </w:rPr>
      </w:pPr>
      <w:r>
        <w:rPr>
          <w:rFonts w:hint="eastAsia"/>
          <w:color w:val="auto"/>
        </w:rPr>
        <w:t>应按照实训启动前各方协商确定的质量指标基准值进行质量监控，包括但不限于如下指标：</w:t>
      </w:r>
    </w:p>
    <w:p>
      <w:pPr>
        <w:pStyle w:val="136"/>
        <w:rPr>
          <w:color w:val="auto"/>
        </w:rPr>
      </w:pPr>
      <w:r>
        <w:rPr>
          <w:rFonts w:hint="eastAsia"/>
          <w:color w:val="auto"/>
        </w:rPr>
        <w:t>准确率：正确标注数占总标注数的比例；</w:t>
      </w:r>
    </w:p>
    <w:p>
      <w:pPr>
        <w:pStyle w:val="136"/>
        <w:rPr>
          <w:color w:val="auto"/>
        </w:rPr>
      </w:pPr>
      <w:r>
        <w:rPr>
          <w:rFonts w:hint="eastAsia"/>
          <w:color w:val="auto"/>
        </w:rPr>
        <w:t>一致性：同一标注对象在不同标注人员之间的一致程度；</w:t>
      </w:r>
    </w:p>
    <w:p>
      <w:pPr>
        <w:pStyle w:val="136"/>
        <w:rPr>
          <w:color w:val="auto"/>
        </w:rPr>
      </w:pPr>
      <w:r>
        <w:rPr>
          <w:rFonts w:hint="eastAsia"/>
          <w:color w:val="auto"/>
        </w:rPr>
        <w:t>完成率：计划任务量与实际完成量的比例；</w:t>
      </w:r>
    </w:p>
    <w:p>
      <w:pPr>
        <w:pStyle w:val="136"/>
        <w:rPr>
          <w:color w:val="auto"/>
        </w:rPr>
      </w:pPr>
      <w:r>
        <w:rPr>
          <w:rFonts w:hint="eastAsia"/>
          <w:color w:val="auto"/>
        </w:rPr>
        <w:t>返工率：因质量问题退回重新标注的比例；</w:t>
      </w:r>
    </w:p>
    <w:p>
      <w:pPr>
        <w:pStyle w:val="136"/>
        <w:rPr>
          <w:color w:val="auto"/>
        </w:rPr>
      </w:pPr>
      <w:r>
        <w:rPr>
          <w:rFonts w:hint="eastAsia"/>
          <w:color w:val="auto"/>
        </w:rPr>
        <w:t>AI预标注与人工复核偏差率：人机协同标注模式下的专项指标。</w:t>
      </w:r>
    </w:p>
    <w:p>
      <w:pPr>
        <w:pStyle w:val="169"/>
        <w:rPr>
          <w:color w:val="auto"/>
        </w:rPr>
      </w:pPr>
      <w:r>
        <w:rPr>
          <w:rFonts w:hint="eastAsia"/>
          <w:color w:val="auto"/>
        </w:rPr>
        <w:t>应定期进行埋题验证和标注人员状态验证，确保标注质量稳定。</w:t>
      </w:r>
    </w:p>
    <w:p>
      <w:pPr>
        <w:pStyle w:val="109"/>
        <w:spacing w:before="156" w:after="156"/>
        <w:rPr>
          <w:color w:val="auto"/>
        </w:rPr>
      </w:pPr>
      <w:bookmarkStart w:id="164" w:name="_Toc233724331"/>
      <w:bookmarkStart w:id="165" w:name="_Toc239347239"/>
      <w:bookmarkStart w:id="166" w:name="_Toc239409916"/>
      <w:bookmarkStart w:id="167" w:name="_Toc233793771"/>
      <w:bookmarkStart w:id="168" w:name="_Toc233725707"/>
      <w:r>
        <w:rPr>
          <w:rFonts w:hint="eastAsia"/>
          <w:color w:val="auto"/>
        </w:rPr>
        <w:t>项目交付与验收</w:t>
      </w:r>
      <w:bookmarkEnd w:id="164"/>
      <w:bookmarkEnd w:id="165"/>
      <w:bookmarkEnd w:id="166"/>
      <w:bookmarkEnd w:id="167"/>
      <w:bookmarkEnd w:id="168"/>
    </w:p>
    <w:p>
      <w:pPr>
        <w:pStyle w:val="169"/>
        <w:rPr>
          <w:color w:val="auto"/>
        </w:rPr>
      </w:pPr>
      <w:r>
        <w:rPr>
          <w:rFonts w:hint="eastAsia"/>
          <w:color w:val="auto"/>
        </w:rPr>
        <w:t>项目交付前所有标注数据应通过质量监控，完成数据说明文档，将数据格式转换为项目约定格式，并通过安全渠道移交。</w:t>
      </w:r>
    </w:p>
    <w:p>
      <w:pPr>
        <w:pStyle w:val="169"/>
        <w:rPr>
          <w:color w:val="auto"/>
        </w:rPr>
      </w:pPr>
      <w:r>
        <w:rPr>
          <w:rFonts w:hint="eastAsia"/>
          <w:color w:val="auto"/>
        </w:rPr>
        <w:t>验收应由企业方或实训管理机构组织，各方参与，验收内容包括但不限于：</w:t>
      </w:r>
    </w:p>
    <w:p>
      <w:pPr>
        <w:pStyle w:val="136"/>
        <w:rPr>
          <w:color w:val="auto"/>
        </w:rPr>
      </w:pPr>
      <w:r>
        <w:rPr>
          <w:rFonts w:hint="eastAsia"/>
          <w:color w:val="auto"/>
        </w:rPr>
        <w:t>抽检标注数据；</w:t>
      </w:r>
    </w:p>
    <w:p>
      <w:pPr>
        <w:pStyle w:val="136"/>
        <w:rPr>
          <w:color w:val="auto"/>
        </w:rPr>
      </w:pPr>
      <w:r>
        <w:rPr>
          <w:rFonts w:hint="eastAsia"/>
          <w:color w:val="auto"/>
        </w:rPr>
        <w:t>核对数据格式、规模与合同一致性；</w:t>
      </w:r>
    </w:p>
    <w:p>
      <w:pPr>
        <w:pStyle w:val="136"/>
        <w:rPr>
          <w:color w:val="auto"/>
        </w:rPr>
      </w:pPr>
      <w:r>
        <w:rPr>
          <w:rFonts w:hint="eastAsia"/>
          <w:color w:val="auto"/>
        </w:rPr>
        <w:t>审查质量报告和文档完整性；</w:t>
      </w:r>
    </w:p>
    <w:p>
      <w:pPr>
        <w:pStyle w:val="136"/>
        <w:rPr>
          <w:color w:val="auto"/>
        </w:rPr>
      </w:pPr>
      <w:r>
        <w:rPr>
          <w:rFonts w:hint="eastAsia"/>
          <w:color w:val="auto"/>
        </w:rPr>
        <w:t>出具验收结论。</w:t>
      </w:r>
    </w:p>
    <w:p>
      <w:pPr>
        <w:pStyle w:val="169"/>
        <w:rPr>
          <w:color w:val="auto"/>
        </w:rPr>
      </w:pPr>
      <w:r>
        <w:rPr>
          <w:rFonts w:hint="eastAsia"/>
          <w:color w:val="auto"/>
        </w:rPr>
        <w:t>验收不通过时，应明确返工范围、期限和标准，返工后重新验收。</w:t>
      </w:r>
    </w:p>
    <w:p>
      <w:pPr>
        <w:pStyle w:val="108"/>
        <w:spacing w:before="312" w:after="312"/>
        <w:rPr>
          <w:color w:val="auto"/>
        </w:rPr>
      </w:pPr>
      <w:bookmarkStart w:id="169" w:name="_Toc233725708"/>
      <w:bookmarkStart w:id="170" w:name="_Toc233724332"/>
      <w:bookmarkStart w:id="171" w:name="_Toc239347240"/>
      <w:bookmarkStart w:id="172" w:name="_Toc239409917"/>
      <w:bookmarkStart w:id="173" w:name="_Toc233793772"/>
      <w:r>
        <w:rPr>
          <w:rFonts w:hint="eastAsia"/>
          <w:color w:val="auto"/>
        </w:rPr>
        <w:t>成绩考</w:t>
      </w:r>
      <w:bookmarkEnd w:id="169"/>
      <w:bookmarkEnd w:id="170"/>
      <w:r>
        <w:rPr>
          <w:rFonts w:hint="eastAsia"/>
          <w:color w:val="auto"/>
        </w:rPr>
        <w:t>核</w:t>
      </w:r>
      <w:bookmarkEnd w:id="171"/>
      <w:bookmarkEnd w:id="172"/>
      <w:bookmarkEnd w:id="173"/>
    </w:p>
    <w:p>
      <w:pPr>
        <w:pStyle w:val="109"/>
        <w:spacing w:before="156" w:after="156"/>
        <w:rPr>
          <w:color w:val="auto"/>
        </w:rPr>
      </w:pPr>
      <w:bookmarkStart w:id="174" w:name="_Toc239347241"/>
      <w:bookmarkStart w:id="175" w:name="_Toc239409918"/>
      <w:bookmarkStart w:id="176" w:name="_Toc233724333"/>
      <w:bookmarkStart w:id="177" w:name="_Toc233725709"/>
      <w:bookmarkStart w:id="178" w:name="_Toc233793773"/>
      <w:r>
        <w:rPr>
          <w:rFonts w:hint="eastAsia"/>
          <w:color w:val="auto"/>
        </w:rPr>
        <w:t>考核方式</w:t>
      </w:r>
      <w:bookmarkEnd w:id="174"/>
      <w:bookmarkEnd w:id="175"/>
      <w:bookmarkEnd w:id="176"/>
      <w:bookmarkEnd w:id="177"/>
      <w:bookmarkEnd w:id="178"/>
    </w:p>
    <w:p>
      <w:pPr>
        <w:pStyle w:val="169"/>
        <w:rPr>
          <w:color w:val="auto"/>
        </w:rPr>
      </w:pPr>
      <w:r>
        <w:rPr>
          <w:rFonts w:hint="eastAsia"/>
          <w:color w:val="auto"/>
        </w:rPr>
        <w:t>校企双方应共同制定基于过程性考核与结果性考核相结合的实训考核方案。考核方案应在实训启动前一周内完成会签，并告知全体实训学生。考核方案如需变更，应经校企双方协商一致，并提前3个工作日通知学生。</w:t>
      </w:r>
    </w:p>
    <w:p>
      <w:pPr>
        <w:pStyle w:val="169"/>
        <w:rPr>
          <w:color w:val="auto"/>
        </w:rPr>
      </w:pPr>
      <w:r>
        <w:rPr>
          <w:rFonts w:hint="eastAsia"/>
          <w:color w:val="auto"/>
        </w:rPr>
        <w:t>考核方式的具体实施及评定依据，应按照本文件8.1.5.2的规定执行。</w:t>
      </w:r>
    </w:p>
    <w:p>
      <w:pPr>
        <w:pStyle w:val="109"/>
        <w:spacing w:before="156" w:after="156"/>
        <w:rPr>
          <w:color w:val="auto"/>
        </w:rPr>
      </w:pPr>
      <w:bookmarkStart w:id="179" w:name="_Toc239347242"/>
      <w:bookmarkStart w:id="180" w:name="_Toc233724334"/>
      <w:bookmarkStart w:id="181" w:name="_Toc239409919"/>
      <w:bookmarkStart w:id="182" w:name="_Toc233793774"/>
      <w:bookmarkStart w:id="183" w:name="_Toc233725710"/>
      <w:r>
        <w:rPr>
          <w:rFonts w:hint="eastAsia"/>
          <w:color w:val="auto"/>
        </w:rPr>
        <w:t>考核主体与权重</w:t>
      </w:r>
      <w:bookmarkEnd w:id="179"/>
      <w:bookmarkEnd w:id="180"/>
      <w:bookmarkEnd w:id="181"/>
      <w:bookmarkEnd w:id="182"/>
      <w:bookmarkEnd w:id="183"/>
    </w:p>
    <w:p>
      <w:pPr>
        <w:pStyle w:val="169"/>
        <w:rPr>
          <w:color w:val="auto"/>
        </w:rPr>
      </w:pPr>
      <w:r>
        <w:rPr>
          <w:rFonts w:hint="eastAsia"/>
          <w:color w:val="auto"/>
        </w:rPr>
        <w:t>考核应由院校指导教师、企业指导教师、实训管理机构、学生等多方主体参与。考核维度应涵盖以下方面：</w:t>
      </w:r>
    </w:p>
    <w:p>
      <w:pPr>
        <w:pStyle w:val="136"/>
        <w:rPr>
          <w:color w:val="auto"/>
        </w:rPr>
      </w:pPr>
      <w:r>
        <w:rPr>
          <w:rFonts w:hint="eastAsia"/>
          <w:color w:val="auto"/>
        </w:rPr>
        <w:t>知识掌握情况：标注规范、数据安全法规、工具操作；</w:t>
      </w:r>
    </w:p>
    <w:p>
      <w:pPr>
        <w:pStyle w:val="136"/>
        <w:rPr>
          <w:color w:val="auto"/>
        </w:rPr>
      </w:pPr>
      <w:r>
        <w:rPr>
          <w:rFonts w:hint="eastAsia"/>
          <w:color w:val="auto"/>
        </w:rPr>
        <w:t>技能达标情况：标注准确率、一致性、完成率；</w:t>
      </w:r>
    </w:p>
    <w:p>
      <w:pPr>
        <w:pStyle w:val="136"/>
        <w:rPr>
          <w:color w:val="auto"/>
        </w:rPr>
      </w:pPr>
      <w:r>
        <w:rPr>
          <w:rFonts w:hint="eastAsia"/>
          <w:color w:val="auto"/>
        </w:rPr>
        <w:t>职业素养表现：协作能力、安全合规意识、学习态度。</w:t>
      </w:r>
    </w:p>
    <w:p>
      <w:pPr>
        <w:pStyle w:val="169"/>
        <w:rPr>
          <w:color w:val="auto"/>
        </w:rPr>
      </w:pPr>
      <w:r>
        <w:rPr>
          <w:rFonts w:hint="eastAsia"/>
          <w:color w:val="auto"/>
        </w:rPr>
        <w:t>宜建立督导评价和学生评教机制，形成教师评价学生、学生评价教师、督导评价教学的多维评价闭环，评价结果用于教学模式调整和课程持续改进。</w:t>
      </w:r>
    </w:p>
    <w:p>
      <w:pPr>
        <w:pStyle w:val="169"/>
        <w:rPr>
          <w:color w:val="auto"/>
        </w:rPr>
      </w:pPr>
      <w:r>
        <w:rPr>
          <w:rFonts w:hint="eastAsia"/>
          <w:color w:val="auto"/>
        </w:rPr>
        <w:t>考核权重由各方协商确定，企业指导教师评价权重不宜过低，实训管理机构评价权重宜根据项目复杂程度确定。</w:t>
      </w:r>
    </w:p>
    <w:p>
      <w:pPr>
        <w:pStyle w:val="109"/>
        <w:spacing w:before="156" w:after="156"/>
        <w:rPr>
          <w:color w:val="auto"/>
        </w:rPr>
      </w:pPr>
      <w:bookmarkStart w:id="184" w:name="_Toc233724335"/>
      <w:bookmarkStart w:id="185" w:name="_Toc233725711"/>
      <w:bookmarkStart w:id="186" w:name="_Toc239347243"/>
      <w:bookmarkStart w:id="187" w:name="_Toc233793775"/>
      <w:bookmarkStart w:id="188" w:name="_Toc239409920"/>
      <w:r>
        <w:rPr>
          <w:rFonts w:hint="eastAsia"/>
          <w:color w:val="auto"/>
        </w:rPr>
        <w:t>评价标准与等级</w:t>
      </w:r>
      <w:bookmarkEnd w:id="184"/>
      <w:bookmarkEnd w:id="185"/>
      <w:bookmarkEnd w:id="186"/>
      <w:bookmarkEnd w:id="187"/>
      <w:bookmarkEnd w:id="188"/>
    </w:p>
    <w:p>
      <w:pPr>
        <w:pStyle w:val="169"/>
        <w:rPr>
          <w:color w:val="auto"/>
        </w:rPr>
      </w:pPr>
      <w:r>
        <w:rPr>
          <w:rFonts w:hint="eastAsia"/>
          <w:color w:val="auto"/>
        </w:rPr>
        <w:t>实训成绩可采用五级制：优秀、良好、中等、及格、不及格。</w:t>
      </w:r>
    </w:p>
    <w:p>
      <w:pPr>
        <w:pStyle w:val="169"/>
        <w:rPr>
          <w:color w:val="auto"/>
        </w:rPr>
      </w:pPr>
      <w:r>
        <w:rPr>
          <w:rFonts w:hint="eastAsia"/>
          <w:color w:val="auto"/>
        </w:rPr>
        <w:t>各等级参考标准如下：</w:t>
      </w:r>
    </w:p>
    <w:p>
      <w:pPr>
        <w:pStyle w:val="136"/>
        <w:rPr>
          <w:color w:val="auto"/>
        </w:rPr>
      </w:pPr>
      <w:r>
        <w:rPr>
          <w:rFonts w:hint="eastAsia"/>
          <w:color w:val="auto"/>
        </w:rPr>
        <w:t>优秀：各项指标表现突出，获得企业方书面优秀评价；</w:t>
      </w:r>
    </w:p>
    <w:p>
      <w:pPr>
        <w:pStyle w:val="136"/>
        <w:rPr>
          <w:color w:val="auto"/>
        </w:rPr>
      </w:pPr>
      <w:r>
        <w:rPr>
          <w:rFonts w:hint="eastAsia"/>
          <w:color w:val="auto"/>
        </w:rPr>
        <w:t>良好：各项指标表现良好；</w:t>
      </w:r>
    </w:p>
    <w:p>
      <w:pPr>
        <w:pStyle w:val="136"/>
        <w:rPr>
          <w:color w:val="auto"/>
        </w:rPr>
      </w:pPr>
      <w:r>
        <w:rPr>
          <w:rFonts w:hint="eastAsia"/>
          <w:color w:val="auto"/>
        </w:rPr>
        <w:t>中等：各项指标达到基本要求；</w:t>
      </w:r>
    </w:p>
    <w:p>
      <w:pPr>
        <w:pStyle w:val="136"/>
        <w:rPr>
          <w:color w:val="auto"/>
        </w:rPr>
      </w:pPr>
      <w:r>
        <w:rPr>
          <w:rFonts w:hint="eastAsia"/>
          <w:color w:val="auto"/>
        </w:rPr>
        <w:t>及格：主要指标合格，关键安全合规指标无不合格项；</w:t>
      </w:r>
    </w:p>
    <w:p>
      <w:pPr>
        <w:pStyle w:val="136"/>
        <w:rPr>
          <w:color w:val="auto"/>
        </w:rPr>
      </w:pPr>
      <w:r>
        <w:rPr>
          <w:rFonts w:hint="eastAsia"/>
          <w:color w:val="auto"/>
        </w:rPr>
        <w:t>不及格：核心指标未达标，或发生严重违规（数据泄露、学术不端等）。</w:t>
      </w:r>
    </w:p>
    <w:p>
      <w:pPr>
        <w:pStyle w:val="109"/>
        <w:spacing w:before="156" w:after="156"/>
        <w:rPr>
          <w:color w:val="auto"/>
        </w:rPr>
      </w:pPr>
      <w:bookmarkStart w:id="189" w:name="_Toc233725712"/>
      <w:bookmarkStart w:id="190" w:name="_Toc233793776"/>
      <w:bookmarkStart w:id="191" w:name="_Toc233724336"/>
      <w:bookmarkStart w:id="192" w:name="_Toc239347244"/>
      <w:bookmarkStart w:id="193" w:name="_Toc239409921"/>
      <w:r>
        <w:rPr>
          <w:rFonts w:hint="eastAsia"/>
          <w:color w:val="auto"/>
        </w:rPr>
        <w:t>证书衔接与学分认定</w:t>
      </w:r>
      <w:bookmarkEnd w:id="189"/>
      <w:bookmarkEnd w:id="190"/>
      <w:bookmarkEnd w:id="191"/>
      <w:bookmarkEnd w:id="192"/>
      <w:bookmarkEnd w:id="193"/>
    </w:p>
    <w:p>
      <w:pPr>
        <w:pStyle w:val="169"/>
        <w:rPr>
          <w:color w:val="auto"/>
        </w:rPr>
      </w:pPr>
      <w:r>
        <w:rPr>
          <w:rFonts w:hint="eastAsia"/>
          <w:color w:val="auto"/>
        </w:rPr>
        <w:t>实训成绩宜与人工智能训练师职业技能等级证书考核结果互通。实训成绩优秀或良好者，可在申报相应等级认定时作为参考依据。</w:t>
      </w:r>
    </w:p>
    <w:p>
      <w:pPr>
        <w:pStyle w:val="169"/>
        <w:rPr>
          <w:color w:val="auto"/>
        </w:rPr>
      </w:pPr>
      <w:r>
        <w:rPr>
          <w:rFonts w:hint="eastAsia"/>
          <w:color w:val="auto"/>
        </w:rPr>
        <w:t>实训学分认定由院校按照本校学分管理规定执行。</w:t>
      </w:r>
    </w:p>
    <w:p>
      <w:pPr>
        <w:pStyle w:val="109"/>
        <w:spacing w:before="156" w:after="156"/>
        <w:rPr>
          <w:color w:val="auto"/>
        </w:rPr>
      </w:pPr>
      <w:bookmarkStart w:id="194" w:name="_Toc233724338"/>
      <w:bookmarkStart w:id="195" w:name="_Toc233725714"/>
      <w:bookmarkStart w:id="196" w:name="_Toc239409922"/>
      <w:bookmarkStart w:id="197" w:name="_Toc233793777"/>
      <w:bookmarkStart w:id="198" w:name="_Toc239347245"/>
      <w:bookmarkStart w:id="199" w:name="_Toc233724337"/>
      <w:bookmarkStart w:id="200" w:name="_Toc233725713"/>
      <w:r>
        <w:rPr>
          <w:rFonts w:hint="eastAsia"/>
          <w:color w:val="auto"/>
        </w:rPr>
        <w:t>质量反馈</w:t>
      </w:r>
      <w:bookmarkEnd w:id="194"/>
      <w:bookmarkEnd w:id="195"/>
      <w:r>
        <w:rPr>
          <w:rFonts w:hint="eastAsia"/>
          <w:color w:val="auto"/>
        </w:rPr>
        <w:t>与整改</w:t>
      </w:r>
      <w:bookmarkEnd w:id="196"/>
      <w:bookmarkEnd w:id="197"/>
      <w:bookmarkEnd w:id="198"/>
    </w:p>
    <w:p>
      <w:pPr>
        <w:pStyle w:val="169"/>
        <w:rPr>
          <w:color w:val="auto"/>
        </w:rPr>
      </w:pPr>
      <w:r>
        <w:rPr>
          <w:rFonts w:hint="eastAsia"/>
          <w:color w:val="auto"/>
        </w:rPr>
        <w:t>对于检查中发现的质量问题，应及时反馈给相关学生，相关学生应在规定时间内进行修改和重新提交。</w:t>
      </w:r>
    </w:p>
    <w:p>
      <w:pPr>
        <w:pStyle w:val="169"/>
        <w:rPr>
          <w:color w:val="auto"/>
        </w:rPr>
      </w:pPr>
      <w:r>
        <w:rPr>
          <w:rFonts w:hint="eastAsia"/>
          <w:color w:val="auto"/>
        </w:rPr>
        <w:t>对于多次出现质量问题的学生，应进行再次培训或调整其标注任务。</w:t>
      </w:r>
    </w:p>
    <w:p>
      <w:pPr>
        <w:pStyle w:val="169"/>
        <w:rPr>
          <w:color w:val="auto"/>
        </w:rPr>
      </w:pPr>
      <w:r>
        <w:rPr>
          <w:rFonts w:hint="eastAsia"/>
          <w:color w:val="auto"/>
        </w:rPr>
        <w:t>定期对标注质量进行统计和分析，总结质量问题的类型和原因，采取相应的改进措施，不断提高标注质量。</w:t>
      </w:r>
    </w:p>
    <w:p>
      <w:pPr>
        <w:pStyle w:val="109"/>
        <w:spacing w:before="156" w:after="156"/>
        <w:rPr>
          <w:color w:val="auto"/>
        </w:rPr>
      </w:pPr>
      <w:bookmarkStart w:id="201" w:name="_Toc233793778"/>
      <w:bookmarkStart w:id="202" w:name="_Toc239409923"/>
      <w:bookmarkStart w:id="203" w:name="_Toc239347246"/>
      <w:r>
        <w:rPr>
          <w:rFonts w:hint="eastAsia"/>
          <w:color w:val="auto"/>
        </w:rPr>
        <w:t>成绩反馈与申诉</w:t>
      </w:r>
      <w:bookmarkEnd w:id="199"/>
      <w:bookmarkEnd w:id="200"/>
      <w:bookmarkEnd w:id="201"/>
      <w:bookmarkEnd w:id="202"/>
      <w:bookmarkEnd w:id="203"/>
    </w:p>
    <w:p>
      <w:pPr>
        <w:pStyle w:val="169"/>
        <w:rPr>
          <w:color w:val="auto"/>
        </w:rPr>
      </w:pPr>
      <w:r>
        <w:rPr>
          <w:rFonts w:hint="eastAsia"/>
          <w:color w:val="auto"/>
        </w:rPr>
        <w:t>实训结束后宜向学生提供成绩反馈单，包括各项评价指标的得分或等级、改进建议。</w:t>
      </w:r>
    </w:p>
    <w:p>
      <w:pPr>
        <w:pStyle w:val="169"/>
        <w:rPr>
          <w:color w:val="auto"/>
        </w:rPr>
      </w:pPr>
      <w:r>
        <w:rPr>
          <w:rFonts w:hint="eastAsia"/>
          <w:color w:val="auto"/>
        </w:rPr>
        <w:t>学生对评价结果有异议的，可按院校规定的程序提出申诉。</w:t>
      </w:r>
    </w:p>
    <w:p>
      <w:pPr>
        <w:pStyle w:val="108"/>
        <w:spacing w:before="312" w:after="312"/>
        <w:rPr>
          <w:color w:val="auto"/>
        </w:rPr>
      </w:pPr>
      <w:bookmarkStart w:id="204" w:name="_Toc233793779"/>
      <w:bookmarkStart w:id="205" w:name="_Toc239409924"/>
      <w:bookmarkStart w:id="206" w:name="_Toc239347247"/>
      <w:r>
        <w:rPr>
          <w:rFonts w:hint="eastAsia"/>
          <w:color w:val="auto"/>
        </w:rPr>
        <w:t>评价与改进</w:t>
      </w:r>
      <w:bookmarkEnd w:id="204"/>
      <w:bookmarkEnd w:id="205"/>
      <w:bookmarkEnd w:id="206"/>
    </w:p>
    <w:p>
      <w:pPr>
        <w:pStyle w:val="109"/>
        <w:spacing w:before="156" w:after="156"/>
        <w:rPr>
          <w:color w:val="auto"/>
        </w:rPr>
      </w:pPr>
      <w:bookmarkStart w:id="207" w:name="_Toc233793780"/>
      <w:bookmarkStart w:id="208" w:name="_Toc233725716"/>
      <w:bookmarkStart w:id="209" w:name="_Toc239409925"/>
      <w:bookmarkStart w:id="210" w:name="_Toc239347248"/>
      <w:bookmarkStart w:id="211" w:name="_Toc233724340"/>
      <w:r>
        <w:rPr>
          <w:rFonts w:hint="eastAsia"/>
          <w:color w:val="auto"/>
        </w:rPr>
        <w:t>年度自评</w:t>
      </w:r>
      <w:bookmarkEnd w:id="207"/>
      <w:bookmarkEnd w:id="208"/>
      <w:bookmarkEnd w:id="209"/>
      <w:bookmarkEnd w:id="210"/>
      <w:bookmarkEnd w:id="211"/>
    </w:p>
    <w:p>
      <w:pPr>
        <w:pStyle w:val="169"/>
        <w:rPr>
          <w:color w:val="auto"/>
        </w:rPr>
      </w:pPr>
      <w:r>
        <w:rPr>
          <w:rFonts w:hint="eastAsia"/>
          <w:color w:val="auto"/>
        </w:rPr>
        <w:t>校企双方应每年开展一次实训工作自评，内容包括但不限于：</w:t>
      </w:r>
    </w:p>
    <w:p>
      <w:pPr>
        <w:pStyle w:val="136"/>
        <w:rPr>
          <w:color w:val="auto"/>
        </w:rPr>
      </w:pPr>
      <w:r>
        <w:rPr>
          <w:rFonts w:hint="eastAsia"/>
          <w:color w:val="auto"/>
        </w:rPr>
        <w:t>制度建设完备性和执行情况；</w:t>
      </w:r>
    </w:p>
    <w:p>
      <w:pPr>
        <w:pStyle w:val="136"/>
        <w:rPr>
          <w:color w:val="auto"/>
        </w:rPr>
      </w:pPr>
      <w:r>
        <w:rPr>
          <w:rFonts w:hint="eastAsia"/>
          <w:color w:val="auto"/>
        </w:rPr>
        <w:t>培训开展情况（含实训项目完成率和质量达标率）；</w:t>
      </w:r>
    </w:p>
    <w:p>
      <w:pPr>
        <w:pStyle w:val="136"/>
        <w:rPr>
          <w:color w:val="auto"/>
        </w:rPr>
      </w:pPr>
      <w:r>
        <w:rPr>
          <w:rFonts w:hint="eastAsia"/>
          <w:color w:val="auto"/>
        </w:rPr>
        <w:t>校企合作情况；</w:t>
      </w:r>
    </w:p>
    <w:p>
      <w:pPr>
        <w:pStyle w:val="136"/>
        <w:rPr>
          <w:color w:val="auto"/>
        </w:rPr>
      </w:pPr>
      <w:r>
        <w:rPr>
          <w:rFonts w:hint="eastAsia"/>
          <w:color w:val="auto"/>
        </w:rPr>
        <w:t>人才输送与就业情况；</w:t>
      </w:r>
    </w:p>
    <w:p>
      <w:pPr>
        <w:pStyle w:val="136"/>
        <w:rPr>
          <w:color w:val="auto"/>
        </w:rPr>
      </w:pPr>
      <w:r>
        <w:rPr>
          <w:rFonts w:hint="eastAsia"/>
          <w:color w:val="auto"/>
        </w:rPr>
        <w:t>学生满意度；</w:t>
      </w:r>
    </w:p>
    <w:p>
      <w:pPr>
        <w:pStyle w:val="136"/>
        <w:rPr>
          <w:color w:val="auto"/>
        </w:rPr>
      </w:pPr>
      <w:r>
        <w:rPr>
          <w:rFonts w:hint="eastAsia"/>
          <w:color w:val="auto"/>
        </w:rPr>
        <w:t>师资队伍建设情况；</w:t>
      </w:r>
    </w:p>
    <w:p>
      <w:pPr>
        <w:pStyle w:val="136"/>
        <w:rPr>
          <w:color w:val="auto"/>
        </w:rPr>
      </w:pPr>
      <w:r>
        <w:rPr>
          <w:rFonts w:hint="eastAsia"/>
          <w:color w:val="auto"/>
        </w:rPr>
        <w:t>数据安全事件和整改情况；</w:t>
      </w:r>
    </w:p>
    <w:p>
      <w:pPr>
        <w:pStyle w:val="136"/>
        <w:rPr>
          <w:color w:val="auto"/>
        </w:rPr>
      </w:pPr>
      <w:r>
        <w:rPr>
          <w:rFonts w:hint="eastAsia"/>
          <w:color w:val="auto"/>
        </w:rPr>
        <w:t>人机协同标注效果评估；</w:t>
      </w:r>
    </w:p>
    <w:p>
      <w:pPr>
        <w:pStyle w:val="136"/>
        <w:rPr>
          <w:color w:val="auto"/>
        </w:rPr>
      </w:pPr>
      <w:r>
        <w:rPr>
          <w:rFonts w:hint="eastAsia"/>
          <w:color w:val="auto"/>
        </w:rPr>
        <w:t>服务成效与社会效益。</w:t>
      </w:r>
    </w:p>
    <w:p>
      <w:pPr>
        <w:pStyle w:val="169"/>
        <w:rPr>
          <w:color w:val="auto"/>
        </w:rPr>
      </w:pPr>
      <w:r>
        <w:rPr>
          <w:rFonts w:hint="eastAsia"/>
          <w:color w:val="auto"/>
        </w:rPr>
        <w:t>应形成书面自评报告，并附下年度工作计划。</w:t>
      </w:r>
    </w:p>
    <w:p>
      <w:pPr>
        <w:pStyle w:val="109"/>
        <w:spacing w:before="156" w:after="156"/>
        <w:rPr>
          <w:color w:val="auto"/>
        </w:rPr>
      </w:pPr>
      <w:bookmarkStart w:id="212" w:name="_Toc239409926"/>
      <w:bookmarkStart w:id="213" w:name="_Toc233724341"/>
      <w:bookmarkStart w:id="214" w:name="_Toc233725717"/>
      <w:bookmarkStart w:id="215" w:name="_Toc233793781"/>
      <w:bookmarkStart w:id="216" w:name="_Toc239347249"/>
      <w:r>
        <w:rPr>
          <w:rFonts w:hint="eastAsia"/>
          <w:color w:val="auto"/>
        </w:rPr>
        <w:t>周期性全面评估</w:t>
      </w:r>
      <w:bookmarkEnd w:id="212"/>
      <w:bookmarkEnd w:id="213"/>
      <w:bookmarkEnd w:id="214"/>
      <w:bookmarkEnd w:id="215"/>
      <w:bookmarkEnd w:id="216"/>
    </w:p>
    <w:p>
      <w:pPr>
        <w:pStyle w:val="169"/>
        <w:rPr>
          <w:color w:val="auto"/>
        </w:rPr>
      </w:pPr>
      <w:r>
        <w:rPr>
          <w:rFonts w:hint="eastAsia"/>
          <w:color w:val="auto"/>
        </w:rPr>
        <w:t>校企双方宜每3年开展一次由第三方机构参与的全面评估，评估内容包括但不限于：</w:t>
      </w:r>
    </w:p>
    <w:p>
      <w:pPr>
        <w:pStyle w:val="136"/>
        <w:rPr>
          <w:color w:val="auto"/>
        </w:rPr>
      </w:pPr>
      <w:r>
        <w:rPr>
          <w:rFonts w:hint="eastAsia"/>
          <w:color w:val="auto"/>
        </w:rPr>
        <w:t>实训体系与产业需求的匹配度；</w:t>
      </w:r>
    </w:p>
    <w:p>
      <w:pPr>
        <w:pStyle w:val="136"/>
        <w:rPr>
          <w:color w:val="auto"/>
        </w:rPr>
      </w:pPr>
      <w:r>
        <w:rPr>
          <w:rFonts w:hint="eastAsia"/>
          <w:color w:val="auto"/>
        </w:rPr>
        <w:t>人才培养质量（就业率、对口率、雇主满意度）；</w:t>
      </w:r>
    </w:p>
    <w:p>
      <w:pPr>
        <w:pStyle w:val="136"/>
        <w:rPr>
          <w:color w:val="auto"/>
        </w:rPr>
      </w:pPr>
      <w:r>
        <w:rPr>
          <w:rFonts w:hint="eastAsia"/>
          <w:color w:val="auto"/>
        </w:rPr>
        <w:t>产教融合深度（真实项目占比、企业投入强度、“双师型”教师比例）；</w:t>
      </w:r>
    </w:p>
    <w:p>
      <w:pPr>
        <w:pStyle w:val="136"/>
        <w:rPr>
          <w:color w:val="auto"/>
        </w:rPr>
      </w:pPr>
      <w:r>
        <w:rPr>
          <w:rFonts w:hint="eastAsia"/>
          <w:color w:val="auto"/>
        </w:rPr>
        <w:t>社会服务能力；</w:t>
      </w:r>
    </w:p>
    <w:p>
      <w:pPr>
        <w:pStyle w:val="136"/>
        <w:rPr>
          <w:color w:val="auto"/>
        </w:rPr>
      </w:pPr>
      <w:r>
        <w:rPr>
          <w:rFonts w:hint="eastAsia"/>
          <w:color w:val="auto"/>
        </w:rPr>
        <w:t>人机协同标注技术应用水平。</w:t>
      </w:r>
    </w:p>
    <w:p>
      <w:pPr>
        <w:pStyle w:val="169"/>
        <w:rPr>
          <w:color w:val="auto"/>
        </w:rPr>
      </w:pPr>
      <w:r>
        <w:rPr>
          <w:rFonts w:hint="eastAsia"/>
          <w:color w:val="auto"/>
        </w:rPr>
        <w:t>第三方评估机构宜具备职业教育评估相关经验，与各方无利益关联。</w:t>
      </w:r>
    </w:p>
    <w:p>
      <w:pPr>
        <w:pStyle w:val="109"/>
        <w:spacing w:before="156" w:after="156"/>
        <w:rPr>
          <w:color w:val="auto"/>
        </w:rPr>
      </w:pPr>
      <w:bookmarkStart w:id="217" w:name="_Toc239409927"/>
      <w:bookmarkStart w:id="218" w:name="_Toc233725719"/>
      <w:bookmarkStart w:id="219" w:name="_Toc239347250"/>
      <w:bookmarkStart w:id="220" w:name="_Toc233793782"/>
      <w:bookmarkStart w:id="221" w:name="_Toc233724343"/>
      <w:r>
        <w:rPr>
          <w:rFonts w:hint="eastAsia"/>
          <w:color w:val="auto"/>
        </w:rPr>
        <w:t>持续改进</w:t>
      </w:r>
      <w:bookmarkEnd w:id="217"/>
      <w:bookmarkEnd w:id="218"/>
      <w:bookmarkEnd w:id="219"/>
      <w:bookmarkEnd w:id="220"/>
      <w:bookmarkEnd w:id="221"/>
    </w:p>
    <w:p>
      <w:pPr>
        <w:pStyle w:val="169"/>
        <w:rPr>
          <w:color w:val="auto"/>
        </w:rPr>
      </w:pPr>
      <w:r>
        <w:rPr>
          <w:rFonts w:hint="eastAsia"/>
          <w:color w:val="auto"/>
        </w:rPr>
        <w:t>应建立常态化的改进机制，将评价结果与实训管理、服务、资源配置及人才培养等环节有效衔接。针对问题，可召开专题会议分析原因，及时制定整改措施，明确责任人及完成时限。</w:t>
      </w:r>
    </w:p>
    <w:p>
      <w:pPr>
        <w:pStyle w:val="169"/>
        <w:rPr>
          <w:color w:val="auto"/>
        </w:rPr>
      </w:pPr>
      <w:r>
        <w:rPr>
          <w:rFonts w:hint="eastAsia"/>
          <w:color w:val="auto"/>
        </w:rPr>
        <w:t>由实训管理机构负责组织检查改进进度，及时督促。改进后通过复查、再评估等方式验证效果；将有效措施纳入制度，形成长效机制。</w:t>
      </w: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p>
      <w:pPr>
        <w:pStyle w:val="169"/>
        <w:numPr>
          <w:ilvl w:val="3"/>
          <w:numId w:val="0"/>
        </w:numPr>
        <w:ind w:firstLine="420" w:firstLineChars="200"/>
        <w:rPr>
          <w:color w:val="auto"/>
        </w:rPr>
      </w:pPr>
    </w:p>
    <w:bookmarkEnd w:id="25"/>
    <w:p>
      <w:pPr>
        <w:pStyle w:val="169"/>
        <w:numPr>
          <w:ilvl w:val="3"/>
          <w:numId w:val="0"/>
        </w:numPr>
        <w:ind w:firstLine="420" w:firstLineChars="200"/>
        <w:rPr>
          <w:color w:val="auto"/>
        </w:rPr>
      </w:pPr>
    </w:p>
    <w:p>
      <w:pPr>
        <w:pStyle w:val="80"/>
        <w:spacing w:after="156"/>
        <w:rPr>
          <w:color w:val="auto"/>
        </w:rPr>
        <w:sectPr>
          <w:headerReference r:id="rId17" w:type="default"/>
          <w:footerReference r:id="rId19" w:type="default"/>
          <w:headerReference r:id="rId18" w:type="even"/>
          <w:footerReference r:id="rId20" w:type="even"/>
          <w:pgSz w:w="11906" w:h="16838"/>
          <w:pgMar w:top="1928" w:right="1134" w:bottom="1134" w:left="1134" w:header="1418" w:footer="1134" w:gutter="284"/>
          <w:cols w:space="425" w:num="1"/>
          <w:formProt w:val="0"/>
          <w:docGrid w:type="lines" w:linePitch="312" w:charSpace="0"/>
        </w:sectPr>
      </w:pPr>
      <w:bookmarkStart w:id="222" w:name="BookMark5"/>
    </w:p>
    <w:p>
      <w:pPr>
        <w:pStyle w:val="80"/>
        <w:spacing w:after="156"/>
        <w:rPr>
          <w:color w:val="auto"/>
        </w:rPr>
      </w:pPr>
      <w:r>
        <w:rPr>
          <w:color w:val="auto"/>
        </w:rPr>
        <w:br w:type="textWrapping"/>
      </w:r>
      <w:bookmarkStart w:id="223" w:name="_Toc233725720"/>
      <w:bookmarkStart w:id="224" w:name="_Toc239409928"/>
      <w:bookmarkStart w:id="225" w:name="_Toc233793783"/>
      <w:bookmarkStart w:id="226" w:name="_Toc239347251"/>
      <w:r>
        <w:rPr>
          <w:rFonts w:hint="eastAsia"/>
          <w:color w:val="auto"/>
        </w:rPr>
        <w:t>（资料性）</w:t>
      </w:r>
      <w:r>
        <w:rPr>
          <w:color w:val="auto"/>
        </w:rPr>
        <w:br w:type="textWrapping"/>
      </w:r>
      <w:r>
        <w:rPr>
          <w:rFonts w:hint="eastAsia"/>
          <w:color w:val="auto"/>
        </w:rPr>
        <w:t>“双师型”教师、“双导师”任职要求</w:t>
      </w:r>
      <w:bookmarkEnd w:id="223"/>
      <w:bookmarkEnd w:id="224"/>
      <w:bookmarkEnd w:id="225"/>
      <w:bookmarkEnd w:id="226"/>
    </w:p>
    <w:p>
      <w:pPr>
        <w:pStyle w:val="82"/>
        <w:spacing w:before="156" w:after="156"/>
        <w:rPr>
          <w:color w:val="auto"/>
        </w:rPr>
      </w:pPr>
      <w:bookmarkStart w:id="227" w:name="_Toc239409929"/>
      <w:bookmarkStart w:id="228" w:name="_Toc233793784"/>
      <w:bookmarkStart w:id="229" w:name="_Toc239347252"/>
      <w:bookmarkStart w:id="230" w:name="_Toc233724345"/>
      <w:bookmarkStart w:id="231" w:name="_Toc233725721"/>
      <w:r>
        <w:rPr>
          <w:rFonts w:hint="eastAsia"/>
          <w:color w:val="auto"/>
        </w:rPr>
        <w:t>“双师型”教师</w:t>
      </w:r>
      <w:bookmarkEnd w:id="227"/>
      <w:bookmarkEnd w:id="228"/>
      <w:bookmarkEnd w:id="229"/>
      <w:bookmarkEnd w:id="230"/>
      <w:bookmarkEnd w:id="231"/>
    </w:p>
    <w:p>
      <w:pPr>
        <w:pStyle w:val="83"/>
        <w:spacing w:before="156" w:after="156"/>
        <w:rPr>
          <w:color w:val="auto"/>
        </w:rPr>
      </w:pPr>
      <w:r>
        <w:rPr>
          <w:rFonts w:hint="eastAsia"/>
          <w:color w:val="auto"/>
        </w:rPr>
        <w:t>资质</w:t>
      </w:r>
    </w:p>
    <w:p>
      <w:pPr>
        <w:pStyle w:val="60"/>
        <w:ind w:firstLine="420"/>
        <w:rPr>
          <w:color w:val="auto"/>
        </w:rPr>
      </w:pPr>
      <w:r>
        <w:rPr>
          <w:rFonts w:hint="eastAsia"/>
          <w:color w:val="auto"/>
        </w:rPr>
        <w:t>“双师型”教师应同时具备以下条件：</w:t>
      </w:r>
    </w:p>
    <w:p>
      <w:pPr>
        <w:pStyle w:val="136"/>
        <w:rPr>
          <w:color w:val="auto"/>
        </w:rPr>
      </w:pPr>
      <w:r>
        <w:rPr>
          <w:rFonts w:hint="eastAsia"/>
          <w:color w:val="auto"/>
        </w:rPr>
        <w:t>持有职业教育教师资格证书或高等学校教师资格证书；</w:t>
      </w:r>
    </w:p>
    <w:p>
      <w:pPr>
        <w:pStyle w:val="136"/>
        <w:rPr>
          <w:color w:val="auto"/>
        </w:rPr>
      </w:pPr>
      <w:r>
        <w:rPr>
          <w:rFonts w:hint="eastAsia"/>
          <w:color w:val="auto"/>
        </w:rPr>
        <w:t>具备人工智能训练师四级/中级工及以上职业技能等级证书，或数据标注相关专业中级及以上技术职称，或具有累计2年以上数据标注企业全职工作经历。</w:t>
      </w:r>
    </w:p>
    <w:p>
      <w:pPr>
        <w:pStyle w:val="83"/>
        <w:spacing w:before="156" w:after="156"/>
        <w:rPr>
          <w:color w:val="auto"/>
        </w:rPr>
      </w:pPr>
      <w:r>
        <w:rPr>
          <w:rFonts w:hint="eastAsia"/>
          <w:color w:val="auto"/>
        </w:rPr>
        <w:t>要求</w:t>
      </w:r>
    </w:p>
    <w:p>
      <w:pPr>
        <w:pStyle w:val="60"/>
        <w:ind w:firstLine="420"/>
        <w:rPr>
          <w:color w:val="auto"/>
        </w:rPr>
      </w:pPr>
      <w:r>
        <w:rPr>
          <w:rFonts w:hint="eastAsia"/>
          <w:color w:val="auto"/>
        </w:rPr>
        <w:t>“双师型”教师应满足以下要求：</w:t>
      </w:r>
    </w:p>
    <w:p>
      <w:pPr>
        <w:pStyle w:val="136"/>
        <w:rPr>
          <w:color w:val="auto"/>
        </w:rPr>
      </w:pPr>
      <w:r>
        <w:rPr>
          <w:rFonts w:hint="eastAsia"/>
          <w:color w:val="auto"/>
        </w:rPr>
        <w:t>近3年内累计参加企业实践不少于2个月，或主持（参与）企业真实数据标注项目不少于2项；</w:t>
      </w:r>
    </w:p>
    <w:p>
      <w:pPr>
        <w:pStyle w:val="136"/>
        <w:rPr>
          <w:color w:val="auto"/>
        </w:rPr>
      </w:pPr>
      <w:r>
        <w:rPr>
          <w:rFonts w:hint="eastAsia"/>
          <w:color w:val="auto"/>
        </w:rPr>
        <w:t>每年参加数据标注新技术、新规范专项培训不少于40学时。</w:t>
      </w:r>
    </w:p>
    <w:p>
      <w:pPr>
        <w:pStyle w:val="82"/>
        <w:spacing w:before="156" w:after="156"/>
        <w:rPr>
          <w:rFonts w:eastAsia="宋体"/>
          <w:color w:val="auto"/>
        </w:rPr>
      </w:pPr>
      <w:bookmarkStart w:id="232" w:name="_Toc239409930"/>
      <w:bookmarkStart w:id="233" w:name="_Toc233793785"/>
      <w:bookmarkStart w:id="234" w:name="_Toc233724346"/>
      <w:bookmarkStart w:id="235" w:name="_Toc239347253"/>
      <w:bookmarkStart w:id="236" w:name="_Toc233725722"/>
      <w:r>
        <w:rPr>
          <w:rFonts w:hint="eastAsia"/>
          <w:color w:val="auto"/>
        </w:rPr>
        <w:t>院校指导教师</w:t>
      </w:r>
      <w:bookmarkEnd w:id="232"/>
      <w:bookmarkEnd w:id="233"/>
      <w:bookmarkEnd w:id="234"/>
      <w:bookmarkEnd w:id="235"/>
      <w:bookmarkEnd w:id="236"/>
    </w:p>
    <w:p>
      <w:pPr>
        <w:pStyle w:val="83"/>
        <w:spacing w:before="156" w:after="156"/>
        <w:rPr>
          <w:color w:val="auto"/>
        </w:rPr>
      </w:pPr>
      <w:r>
        <w:rPr>
          <w:rFonts w:hint="eastAsia"/>
          <w:color w:val="auto"/>
        </w:rPr>
        <w:t>资质</w:t>
      </w:r>
    </w:p>
    <w:p>
      <w:pPr>
        <w:pStyle w:val="169"/>
        <w:numPr>
          <w:ilvl w:val="3"/>
          <w:numId w:val="0"/>
        </w:numPr>
        <w:ind w:firstLine="420" w:firstLineChars="200"/>
        <w:rPr>
          <w:color w:val="auto"/>
        </w:rPr>
      </w:pPr>
      <w:r>
        <w:rPr>
          <w:rFonts w:hint="eastAsia"/>
          <w:color w:val="auto"/>
        </w:rPr>
        <w:t>院校指导教师应在“双师型”教师中择优选拔，并同时具备以下条件：</w:t>
      </w:r>
    </w:p>
    <w:p>
      <w:pPr>
        <w:pStyle w:val="136"/>
        <w:rPr>
          <w:color w:val="auto"/>
        </w:rPr>
      </w:pPr>
      <w:r>
        <w:rPr>
          <w:rFonts w:hint="eastAsia"/>
          <w:color w:val="auto"/>
        </w:rPr>
        <w:t>具有人工智能训练师三级/高级工及以上职业资格，或具有数据标注相关中级及以上职称，或具有2年以上数据标注企业实践经验；</w:t>
      </w:r>
    </w:p>
    <w:p>
      <w:pPr>
        <w:pStyle w:val="136"/>
        <w:rPr>
          <w:color w:val="auto"/>
        </w:rPr>
      </w:pPr>
      <w:r>
        <w:rPr>
          <w:rFonts w:hint="eastAsia"/>
          <w:color w:val="auto"/>
        </w:rPr>
        <w:t>应具备职业教育教师资格，熟悉项目化教学方法，了解数据标注技术规范和行业应用；</w:t>
      </w:r>
    </w:p>
    <w:p>
      <w:pPr>
        <w:pStyle w:val="136"/>
        <w:rPr>
          <w:color w:val="auto"/>
        </w:rPr>
      </w:pPr>
      <w:r>
        <w:rPr>
          <w:rFonts w:hint="eastAsia"/>
          <w:color w:val="auto"/>
        </w:rPr>
        <w:t>无违法犯罪记录，无严重失信行为。</w:t>
      </w:r>
    </w:p>
    <w:p>
      <w:pPr>
        <w:pStyle w:val="83"/>
        <w:spacing w:before="156" w:after="156"/>
        <w:rPr>
          <w:color w:val="auto"/>
        </w:rPr>
      </w:pPr>
      <w:r>
        <w:rPr>
          <w:rFonts w:hint="eastAsia"/>
          <w:color w:val="auto"/>
        </w:rPr>
        <w:t>要求</w:t>
      </w:r>
    </w:p>
    <w:p>
      <w:pPr>
        <w:pStyle w:val="136"/>
        <w:numPr>
          <w:ilvl w:val="0"/>
          <w:numId w:val="0"/>
        </w:numPr>
        <w:ind w:left="425"/>
        <w:rPr>
          <w:color w:val="auto"/>
        </w:rPr>
      </w:pPr>
      <w:r>
        <w:rPr>
          <w:rFonts w:hint="eastAsia"/>
          <w:color w:val="auto"/>
        </w:rPr>
        <w:t>院校指导教师应履行以下职责并满足以下要求：</w:t>
      </w:r>
    </w:p>
    <w:p>
      <w:pPr>
        <w:pStyle w:val="136"/>
        <w:rPr>
          <w:color w:val="auto"/>
        </w:rPr>
      </w:pPr>
      <w:r>
        <w:rPr>
          <w:rFonts w:hint="eastAsia"/>
          <w:color w:val="auto"/>
        </w:rPr>
        <w:t>每年参加企业实践（或企业顶岗锻炼）不少于1个月，参加行业培训不少于40学时；</w:t>
      </w:r>
    </w:p>
    <w:p>
      <w:pPr>
        <w:pStyle w:val="136"/>
        <w:rPr>
          <w:color w:val="auto"/>
        </w:rPr>
      </w:pPr>
      <w:r>
        <w:rPr>
          <w:rFonts w:hint="eastAsia"/>
          <w:color w:val="auto"/>
        </w:rPr>
        <w:t>定期参与企业真实标注项目，熟悉数据采集、清洗、标注、质检、交付全流程；</w:t>
      </w:r>
    </w:p>
    <w:p>
      <w:pPr>
        <w:pStyle w:val="136"/>
        <w:rPr>
          <w:color w:val="auto"/>
        </w:rPr>
      </w:pPr>
      <w:r>
        <w:rPr>
          <w:rFonts w:hint="eastAsia"/>
          <w:color w:val="auto"/>
        </w:rPr>
        <w:t>学习并掌握企业的项目管理方法、质量控制标准和数据安全规范；</w:t>
      </w:r>
    </w:p>
    <w:p>
      <w:pPr>
        <w:pStyle w:val="136"/>
        <w:rPr>
          <w:color w:val="auto"/>
        </w:rPr>
      </w:pPr>
      <w:r>
        <w:rPr>
          <w:rFonts w:hint="eastAsia"/>
          <w:color w:val="auto"/>
        </w:rPr>
        <w:t>了解企业使用的标注工具平台和新技术应用；</w:t>
      </w:r>
    </w:p>
    <w:p>
      <w:pPr>
        <w:pStyle w:val="136"/>
        <w:rPr>
          <w:color w:val="auto"/>
        </w:rPr>
      </w:pPr>
      <w:r>
        <w:rPr>
          <w:rFonts w:hint="eastAsia"/>
          <w:color w:val="auto"/>
        </w:rPr>
        <w:t>负责实训过程中学生的理论指导、日常管理和成绩评定。</w:t>
      </w:r>
    </w:p>
    <w:p>
      <w:pPr>
        <w:pStyle w:val="82"/>
        <w:spacing w:before="156" w:after="156"/>
        <w:rPr>
          <w:color w:val="auto"/>
        </w:rPr>
      </w:pPr>
      <w:bookmarkStart w:id="237" w:name="_Toc233725723"/>
      <w:bookmarkStart w:id="238" w:name="_Toc239409931"/>
      <w:bookmarkStart w:id="239" w:name="_Toc233793786"/>
      <w:bookmarkStart w:id="240" w:name="_Toc233724347"/>
      <w:bookmarkStart w:id="241" w:name="_Toc239347254"/>
      <w:r>
        <w:rPr>
          <w:rFonts w:hint="eastAsia"/>
          <w:color w:val="auto"/>
        </w:rPr>
        <w:t>企业指导教师</w:t>
      </w:r>
      <w:bookmarkEnd w:id="237"/>
      <w:bookmarkEnd w:id="238"/>
      <w:bookmarkEnd w:id="239"/>
      <w:bookmarkEnd w:id="240"/>
      <w:bookmarkEnd w:id="241"/>
    </w:p>
    <w:p>
      <w:pPr>
        <w:pStyle w:val="83"/>
        <w:spacing w:before="156" w:after="156"/>
        <w:rPr>
          <w:color w:val="auto"/>
        </w:rPr>
      </w:pPr>
      <w:r>
        <w:rPr>
          <w:rFonts w:hint="eastAsia"/>
          <w:color w:val="auto"/>
        </w:rPr>
        <w:t>资质</w:t>
      </w:r>
    </w:p>
    <w:p>
      <w:pPr>
        <w:pStyle w:val="60"/>
        <w:ind w:firstLine="420"/>
        <w:rPr>
          <w:color w:val="auto"/>
        </w:rPr>
      </w:pPr>
      <w:r>
        <w:rPr>
          <w:color w:val="auto"/>
        </w:rPr>
        <w:t>企业指导教师应同时具备以下条件：</w:t>
      </w:r>
    </w:p>
    <w:p>
      <w:pPr>
        <w:pStyle w:val="136"/>
        <w:rPr>
          <w:color w:val="auto"/>
        </w:rPr>
      </w:pPr>
      <w:r>
        <w:rPr>
          <w:rFonts w:hint="eastAsia"/>
          <w:color w:val="auto"/>
        </w:rPr>
        <w:t>具有人工智能训练师三级/高级工及以上职业资格，或具有2年以上数据标注项目管理经验，或具有算法工程师等相关资质；</w:t>
      </w:r>
    </w:p>
    <w:p>
      <w:pPr>
        <w:pStyle w:val="136"/>
        <w:rPr>
          <w:color w:val="auto"/>
        </w:rPr>
      </w:pPr>
      <w:r>
        <w:rPr>
          <w:rFonts w:hint="eastAsia"/>
          <w:color w:val="auto"/>
        </w:rPr>
        <w:t>具备良好的沟通表达能力和基本的教学组织能力；</w:t>
      </w:r>
    </w:p>
    <w:p>
      <w:pPr>
        <w:pStyle w:val="136"/>
        <w:rPr>
          <w:color w:val="auto"/>
        </w:rPr>
      </w:pPr>
      <w:r>
        <w:rPr>
          <w:rFonts w:hint="eastAsia"/>
          <w:color w:val="auto"/>
        </w:rPr>
        <w:t>无违法犯罪记录，无严重失信行为。</w:t>
      </w:r>
    </w:p>
    <w:p>
      <w:pPr>
        <w:pStyle w:val="83"/>
        <w:spacing w:before="156" w:after="156"/>
        <w:rPr>
          <w:color w:val="auto"/>
        </w:rPr>
      </w:pPr>
      <w:r>
        <w:rPr>
          <w:rFonts w:hint="eastAsia"/>
          <w:color w:val="auto"/>
        </w:rPr>
        <w:t>要求</w:t>
      </w:r>
    </w:p>
    <w:p>
      <w:pPr>
        <w:pStyle w:val="136"/>
        <w:numPr>
          <w:ilvl w:val="0"/>
          <w:numId w:val="0"/>
        </w:numPr>
        <w:ind w:left="425"/>
        <w:rPr>
          <w:color w:val="auto"/>
        </w:rPr>
      </w:pPr>
      <w:r>
        <w:rPr>
          <w:rFonts w:hint="eastAsia"/>
          <w:color w:val="auto"/>
        </w:rPr>
        <w:t>企业指导教师应履行以下职责并满足以下要求：</w:t>
      </w:r>
    </w:p>
    <w:p>
      <w:pPr>
        <w:pStyle w:val="136"/>
        <w:rPr>
          <w:color w:val="auto"/>
        </w:rPr>
      </w:pPr>
      <w:r>
        <w:rPr>
          <w:rFonts w:hint="eastAsia"/>
          <w:color w:val="auto"/>
        </w:rPr>
        <w:t>接受过教学法培训，每年参加教学能力培训不少于16学时；</w:t>
      </w:r>
    </w:p>
    <w:p>
      <w:pPr>
        <w:pStyle w:val="136"/>
        <w:rPr>
          <w:color w:val="auto"/>
        </w:rPr>
      </w:pPr>
      <w:r>
        <w:rPr>
          <w:rFonts w:hint="eastAsia"/>
          <w:color w:val="auto"/>
        </w:rPr>
        <w:t>负责提供真实项目作为实训载体，指导学生完成标注任务；</w:t>
      </w:r>
    </w:p>
    <w:p>
      <w:pPr>
        <w:pStyle w:val="136"/>
        <w:rPr>
          <w:color w:val="auto"/>
        </w:rPr>
      </w:pPr>
      <w:r>
        <w:rPr>
          <w:rFonts w:hint="eastAsia"/>
          <w:color w:val="auto"/>
        </w:rPr>
        <w:t>负责实训项目的质量验收和交付管理；</w:t>
      </w:r>
    </w:p>
    <w:p>
      <w:pPr>
        <w:pStyle w:val="136"/>
        <w:rPr>
          <w:color w:val="auto"/>
        </w:rPr>
      </w:pPr>
      <w:r>
        <w:rPr>
          <w:rFonts w:hint="eastAsia"/>
          <w:color w:val="auto"/>
        </w:rPr>
        <w:t>负责向学生传授企业项目管理方法、质量标准和数据安全操作规范；</w:t>
      </w:r>
    </w:p>
    <w:p>
      <w:pPr>
        <w:pStyle w:val="136"/>
        <w:rPr>
          <w:color w:val="auto"/>
        </w:rPr>
      </w:pPr>
      <w:r>
        <w:rPr>
          <w:rFonts w:hint="eastAsia"/>
          <w:color w:val="auto"/>
        </w:rPr>
        <w:t>参与实训成绩评定，承担实训教学课时比例不应低于实训总课时的30%。</w:t>
      </w:r>
    </w:p>
    <w:p>
      <w:pPr>
        <w:pStyle w:val="60"/>
        <w:ind w:firstLine="420"/>
        <w:rPr>
          <w:color w:val="auto"/>
        </w:rPr>
      </w:pPr>
    </w:p>
    <w:p>
      <w:pPr>
        <w:pStyle w:val="60"/>
        <w:ind w:firstLine="420"/>
        <w:rPr>
          <w:color w:val="auto"/>
        </w:rPr>
      </w:pPr>
    </w:p>
    <w:p>
      <w:pPr>
        <w:pStyle w:val="60"/>
        <w:ind w:firstLine="420"/>
        <w:rPr>
          <w:color w:val="auto"/>
        </w:rPr>
        <w:sectPr>
          <w:headerReference r:id="rId21" w:type="default"/>
          <w:footerReference r:id="rId23" w:type="default"/>
          <w:headerReference r:id="rId22" w:type="even"/>
          <w:footerReference r:id="rId24" w:type="even"/>
          <w:pgSz w:w="11906" w:h="16838"/>
          <w:pgMar w:top="1928" w:right="1134" w:bottom="1134" w:left="1134" w:header="1418" w:footer="1134" w:gutter="284"/>
          <w:cols w:space="425" w:num="1"/>
          <w:formProt w:val="0"/>
          <w:docGrid w:type="lines" w:linePitch="312" w:charSpace="0"/>
        </w:sectPr>
      </w:pPr>
    </w:p>
    <w:p>
      <w:pPr>
        <w:pStyle w:val="202"/>
        <w:rPr>
          <w:rFonts w:hint="eastAsia"/>
          <w:vanish w:val="0"/>
          <w:color w:val="auto"/>
        </w:rPr>
      </w:pPr>
    </w:p>
    <w:p>
      <w:pPr>
        <w:pStyle w:val="203"/>
        <w:numPr>
          <w:ilvl w:val="255"/>
          <w:numId w:val="0"/>
        </w:numPr>
        <w:ind w:left="425"/>
        <w:jc w:val="both"/>
        <w:rPr>
          <w:vanish w:val="0"/>
          <w:color w:val="auto"/>
        </w:rPr>
      </w:pPr>
    </w:p>
    <w:p>
      <w:pPr>
        <w:pStyle w:val="202"/>
        <w:rPr>
          <w:rFonts w:hint="eastAsia"/>
          <w:vanish w:val="0"/>
          <w:color w:val="auto"/>
        </w:rPr>
      </w:pPr>
    </w:p>
    <w:p>
      <w:pPr>
        <w:pStyle w:val="203"/>
        <w:rPr>
          <w:vanish w:val="0"/>
          <w:color w:val="auto"/>
        </w:rPr>
      </w:pPr>
    </w:p>
    <w:p>
      <w:pPr>
        <w:pStyle w:val="80"/>
        <w:spacing w:after="156"/>
        <w:rPr>
          <w:color w:val="auto"/>
        </w:rPr>
      </w:pPr>
      <w:r>
        <w:rPr>
          <w:color w:val="auto"/>
        </w:rPr>
        <w:br w:type="textWrapping"/>
      </w:r>
      <w:bookmarkStart w:id="242" w:name="_Toc239409936"/>
      <w:bookmarkStart w:id="243" w:name="_Toc233725728"/>
      <w:bookmarkStart w:id="244" w:name="_Toc233793791"/>
      <w:bookmarkStart w:id="245" w:name="_Toc239347259"/>
      <w:r>
        <w:rPr>
          <w:rFonts w:hint="eastAsia"/>
          <w:color w:val="auto"/>
        </w:rPr>
        <w:t>（资料性）</w:t>
      </w:r>
      <w:r>
        <w:rPr>
          <w:color w:val="auto"/>
        </w:rPr>
        <w:br w:type="textWrapping"/>
      </w:r>
      <w:r>
        <w:rPr>
          <w:rFonts w:hint="eastAsia"/>
          <w:color w:val="auto"/>
        </w:rPr>
        <w:t>各数据类型实训内容</w:t>
      </w:r>
      <w:bookmarkEnd w:id="242"/>
      <w:bookmarkEnd w:id="243"/>
      <w:bookmarkEnd w:id="244"/>
      <w:bookmarkEnd w:id="245"/>
    </w:p>
    <w:p>
      <w:pPr>
        <w:pStyle w:val="215"/>
        <w:rPr>
          <w:color w:val="auto"/>
        </w:rPr>
      </w:pPr>
      <w:r>
        <w:rPr>
          <w:rFonts w:hint="eastAsia"/>
          <w:color w:val="auto"/>
        </w:rPr>
        <w:t>文本数据标注实训可包括但不限于以下内容：</w:t>
      </w:r>
    </w:p>
    <w:p>
      <w:pPr>
        <w:pStyle w:val="136"/>
        <w:rPr>
          <w:color w:val="auto"/>
        </w:rPr>
      </w:pPr>
      <w:r>
        <w:rPr>
          <w:rFonts w:hint="eastAsia"/>
          <w:color w:val="auto"/>
        </w:rPr>
        <w:t>文本分类，如情感分析、主题分类、意图识别；</w:t>
      </w:r>
    </w:p>
    <w:p>
      <w:pPr>
        <w:pStyle w:val="136"/>
        <w:rPr>
          <w:color w:val="auto"/>
        </w:rPr>
      </w:pPr>
      <w:r>
        <w:rPr>
          <w:rFonts w:hint="eastAsia"/>
          <w:color w:val="auto"/>
        </w:rPr>
        <w:t>命名实体识别，如人名、地名、机构名、时间、专有名词；</w:t>
      </w:r>
    </w:p>
    <w:p>
      <w:pPr>
        <w:pStyle w:val="136"/>
        <w:rPr>
          <w:color w:val="auto"/>
        </w:rPr>
      </w:pPr>
      <w:r>
        <w:rPr>
          <w:rFonts w:hint="eastAsia"/>
          <w:color w:val="auto"/>
        </w:rPr>
        <w:t>关系抽取，如实体间语义关系标注；</w:t>
      </w:r>
    </w:p>
    <w:p>
      <w:pPr>
        <w:pStyle w:val="136"/>
        <w:rPr>
          <w:color w:val="auto"/>
        </w:rPr>
      </w:pPr>
      <w:r>
        <w:rPr>
          <w:rFonts w:hint="eastAsia"/>
          <w:color w:val="auto"/>
        </w:rPr>
        <w:t>文本摘要与关键词提取；</w:t>
      </w:r>
    </w:p>
    <w:p>
      <w:pPr>
        <w:pStyle w:val="136"/>
        <w:rPr>
          <w:color w:val="auto"/>
        </w:rPr>
      </w:pPr>
      <w:r>
        <w:rPr>
          <w:rFonts w:hint="eastAsia"/>
          <w:color w:val="auto"/>
        </w:rPr>
        <w:t>对话数据标注，如多轮对话意图、槽位填充。</w:t>
      </w:r>
    </w:p>
    <w:p>
      <w:pPr>
        <w:pStyle w:val="215"/>
        <w:rPr>
          <w:color w:val="auto"/>
        </w:rPr>
      </w:pPr>
      <w:r>
        <w:rPr>
          <w:rFonts w:hint="eastAsia"/>
          <w:color w:val="auto"/>
        </w:rPr>
        <w:t>图像数据标注实训可包括但不限于以下内容：</w:t>
      </w:r>
    </w:p>
    <w:p>
      <w:pPr>
        <w:pStyle w:val="136"/>
        <w:rPr>
          <w:color w:val="auto"/>
        </w:rPr>
      </w:pPr>
      <w:r>
        <w:rPr>
          <w:rFonts w:hint="eastAsia"/>
          <w:color w:val="auto"/>
        </w:rPr>
        <w:t>图像分类，如单标签、多标签分类；</w:t>
      </w:r>
    </w:p>
    <w:p>
      <w:pPr>
        <w:pStyle w:val="136"/>
        <w:rPr>
          <w:color w:val="auto"/>
        </w:rPr>
      </w:pPr>
      <w:r>
        <w:rPr>
          <w:rFonts w:hint="eastAsia"/>
          <w:color w:val="auto"/>
        </w:rPr>
        <w:t>目标检测，如边界框标注、多目标标注；</w:t>
      </w:r>
    </w:p>
    <w:p>
      <w:pPr>
        <w:pStyle w:val="136"/>
        <w:rPr>
          <w:color w:val="auto"/>
        </w:rPr>
      </w:pPr>
      <w:r>
        <w:rPr>
          <w:rFonts w:hint="eastAsia"/>
          <w:color w:val="auto"/>
        </w:rPr>
        <w:t>图像分割，如语义分割、实例分割；</w:t>
      </w:r>
    </w:p>
    <w:p>
      <w:pPr>
        <w:pStyle w:val="136"/>
        <w:rPr>
          <w:color w:val="auto"/>
        </w:rPr>
      </w:pPr>
      <w:r>
        <w:rPr>
          <w:rFonts w:hint="eastAsia"/>
          <w:color w:val="auto"/>
        </w:rPr>
        <w:t>关键点标注，如人体关键点、面部关键点；</w:t>
      </w:r>
    </w:p>
    <w:p>
      <w:pPr>
        <w:pStyle w:val="136"/>
        <w:rPr>
          <w:color w:val="auto"/>
        </w:rPr>
      </w:pPr>
      <w:r>
        <w:rPr>
          <w:rFonts w:hint="eastAsia"/>
          <w:color w:val="auto"/>
        </w:rPr>
        <w:t>光学字符识别（OCR），如文字检测与识别。</w:t>
      </w:r>
    </w:p>
    <w:p>
      <w:pPr>
        <w:pStyle w:val="215"/>
        <w:rPr>
          <w:color w:val="auto"/>
        </w:rPr>
      </w:pPr>
      <w:r>
        <w:rPr>
          <w:rFonts w:hint="eastAsia"/>
          <w:color w:val="auto"/>
        </w:rPr>
        <w:t>语音数据标注实训可包括但不限于以下内容：</w:t>
      </w:r>
    </w:p>
    <w:p>
      <w:pPr>
        <w:pStyle w:val="136"/>
        <w:rPr>
          <w:color w:val="auto"/>
        </w:rPr>
      </w:pPr>
      <w:r>
        <w:rPr>
          <w:rFonts w:hint="eastAsia"/>
          <w:color w:val="auto"/>
        </w:rPr>
        <w:t>语音转写，如将语音转换为文字，标注说话人、时间戳；</w:t>
      </w:r>
    </w:p>
    <w:p>
      <w:pPr>
        <w:pStyle w:val="136"/>
        <w:rPr>
          <w:color w:val="auto"/>
        </w:rPr>
      </w:pPr>
      <w:r>
        <w:rPr>
          <w:rFonts w:hint="eastAsia"/>
          <w:color w:val="auto"/>
        </w:rPr>
        <w:t>语音切分，如按语义单元切分语音片段；</w:t>
      </w:r>
    </w:p>
    <w:p>
      <w:pPr>
        <w:pStyle w:val="136"/>
        <w:rPr>
          <w:color w:val="auto"/>
        </w:rPr>
      </w:pPr>
      <w:r>
        <w:rPr>
          <w:rFonts w:hint="eastAsia"/>
          <w:color w:val="auto"/>
        </w:rPr>
        <w:t>语音属性标注，如性别、年龄、口音、情感标注；</w:t>
      </w:r>
    </w:p>
    <w:p>
      <w:pPr>
        <w:pStyle w:val="136"/>
        <w:rPr>
          <w:color w:val="auto"/>
        </w:rPr>
      </w:pPr>
      <w:r>
        <w:rPr>
          <w:rFonts w:hint="eastAsia"/>
          <w:color w:val="auto"/>
        </w:rPr>
        <w:t>唤醒词与命令词标注。</w:t>
      </w:r>
    </w:p>
    <w:p>
      <w:pPr>
        <w:pStyle w:val="215"/>
        <w:rPr>
          <w:color w:val="auto"/>
        </w:rPr>
      </w:pPr>
      <w:r>
        <w:rPr>
          <w:rFonts w:hint="eastAsia"/>
          <w:color w:val="auto"/>
        </w:rPr>
        <w:t>视频数据标注实训可包括但不限于以下内容：</w:t>
      </w:r>
    </w:p>
    <w:p>
      <w:pPr>
        <w:pStyle w:val="136"/>
        <w:rPr>
          <w:color w:val="auto"/>
        </w:rPr>
      </w:pPr>
      <w:r>
        <w:rPr>
          <w:rFonts w:hint="eastAsia"/>
          <w:color w:val="auto"/>
        </w:rPr>
        <w:t>视频分类，如动作识别、场景分类；</w:t>
      </w:r>
    </w:p>
    <w:p>
      <w:pPr>
        <w:pStyle w:val="136"/>
        <w:rPr>
          <w:color w:val="auto"/>
        </w:rPr>
      </w:pPr>
      <w:r>
        <w:rPr>
          <w:rFonts w:hint="eastAsia"/>
          <w:color w:val="auto"/>
        </w:rPr>
        <w:t>时序目标检测，如跟踪目标在视频序列中的位置变化；</w:t>
      </w:r>
    </w:p>
    <w:p>
      <w:pPr>
        <w:pStyle w:val="136"/>
        <w:rPr>
          <w:color w:val="auto"/>
        </w:rPr>
      </w:pPr>
      <w:r>
        <w:rPr>
          <w:rFonts w:hint="eastAsia"/>
          <w:color w:val="auto"/>
        </w:rPr>
        <w:t>行为标注，如人体动作、交互行为、异常行为；</w:t>
      </w:r>
    </w:p>
    <w:p>
      <w:pPr>
        <w:pStyle w:val="136"/>
        <w:rPr>
          <w:color w:val="auto"/>
        </w:rPr>
      </w:pPr>
      <w:r>
        <w:rPr>
          <w:rFonts w:hint="eastAsia"/>
          <w:color w:val="auto"/>
        </w:rPr>
        <w:t>视频摘要与关键帧提取。</w:t>
      </w:r>
    </w:p>
    <w:p>
      <w:pPr>
        <w:pStyle w:val="215"/>
        <w:rPr>
          <w:color w:val="auto"/>
        </w:rPr>
      </w:pPr>
      <w:r>
        <w:rPr>
          <w:rFonts w:hint="eastAsia"/>
          <w:color w:val="auto"/>
        </w:rPr>
        <w:t>三维点云数据标注实训可包括但不限于以下内容：</w:t>
      </w:r>
    </w:p>
    <w:p>
      <w:pPr>
        <w:pStyle w:val="136"/>
        <w:rPr>
          <w:color w:val="auto"/>
        </w:rPr>
      </w:pPr>
      <w:r>
        <w:rPr>
          <w:rFonts w:hint="eastAsia"/>
          <w:color w:val="auto"/>
        </w:rPr>
        <w:t>点云分割，如地面、建筑、植被、车辆等类别分割；</w:t>
      </w:r>
    </w:p>
    <w:p>
      <w:pPr>
        <w:pStyle w:val="136"/>
        <w:rPr>
          <w:color w:val="auto"/>
        </w:rPr>
      </w:pPr>
      <w:r>
        <w:rPr>
          <w:rFonts w:hint="eastAsia"/>
          <w:color w:val="auto"/>
        </w:rPr>
        <w:t>3D目标检测，如边界框标注、朝向标注；</w:t>
      </w:r>
    </w:p>
    <w:p>
      <w:pPr>
        <w:pStyle w:val="136"/>
        <w:rPr>
          <w:color w:val="auto"/>
        </w:rPr>
      </w:pPr>
      <w:r>
        <w:rPr>
          <w:rFonts w:hint="eastAsia"/>
          <w:color w:val="auto"/>
        </w:rPr>
        <w:t>点云配准与语义标注。</w:t>
      </w:r>
    </w:p>
    <w:p>
      <w:pPr>
        <w:pStyle w:val="215"/>
        <w:rPr>
          <w:color w:val="auto"/>
        </w:rPr>
      </w:pPr>
      <w:r>
        <w:rPr>
          <w:rFonts w:hint="eastAsia"/>
          <w:color w:val="auto"/>
        </w:rPr>
        <w:t>跨模态数据标注实训可包括但不限于以下内容：</w:t>
      </w:r>
    </w:p>
    <w:p>
      <w:pPr>
        <w:pStyle w:val="136"/>
        <w:rPr>
          <w:color w:val="auto"/>
        </w:rPr>
      </w:pPr>
      <w:r>
        <w:rPr>
          <w:rFonts w:hint="eastAsia"/>
          <w:color w:val="auto"/>
        </w:rPr>
        <w:t>图文匹配，如图像与文本描述的对应关系标注；</w:t>
      </w:r>
    </w:p>
    <w:p>
      <w:pPr>
        <w:pStyle w:val="136"/>
        <w:rPr>
          <w:color w:val="auto"/>
        </w:rPr>
      </w:pPr>
      <w:r>
        <w:rPr>
          <w:rFonts w:hint="eastAsia"/>
          <w:color w:val="auto"/>
        </w:rPr>
        <w:t>视频－文本对齐，如视频内容与字幕、解说的时序对齐；</w:t>
      </w:r>
    </w:p>
    <w:p>
      <w:pPr>
        <w:pStyle w:val="136"/>
        <w:rPr>
          <w:color w:val="auto"/>
        </w:rPr>
      </w:pPr>
      <w:r>
        <w:rPr>
          <w:rFonts w:hint="eastAsia"/>
          <w:color w:val="auto"/>
        </w:rPr>
        <w:t>多模态情感分析，如融合文本、语音、图像的情感标注。</w:t>
      </w:r>
    </w:p>
    <w:p>
      <w:pPr>
        <w:pStyle w:val="215"/>
        <w:rPr>
          <w:rFonts w:hint="eastAsia"/>
          <w:color w:val="auto"/>
        </w:rPr>
      </w:pPr>
      <w:r>
        <w:rPr>
          <w:rFonts w:hint="eastAsia"/>
          <w:color w:val="auto"/>
        </w:rPr>
        <w:t>遥感与地理信息数据标注实训可包括但不限于以下内容：</w:t>
      </w:r>
    </w:p>
    <w:p>
      <w:pPr>
        <w:pStyle w:val="136"/>
        <w:rPr>
          <w:rFonts w:hint="eastAsia"/>
          <w:color w:val="auto"/>
        </w:rPr>
      </w:pPr>
      <w:r>
        <w:rPr>
          <w:rFonts w:hint="eastAsia"/>
          <w:color w:val="auto"/>
        </w:rPr>
        <w:t>遥感影像分类，如土地利用类型、植被覆盖、地物类型分类；</w:t>
      </w:r>
    </w:p>
    <w:p>
      <w:pPr>
        <w:pStyle w:val="136"/>
        <w:rPr>
          <w:rFonts w:hint="eastAsia"/>
          <w:color w:val="auto"/>
        </w:rPr>
      </w:pPr>
      <w:r>
        <w:rPr>
          <w:rFonts w:hint="eastAsia"/>
          <w:color w:val="auto"/>
        </w:rPr>
        <w:t>地物要素提取与目标检测，如建筑物、道路、水体等要素标注；</w:t>
      </w:r>
    </w:p>
    <w:p>
      <w:pPr>
        <w:pStyle w:val="136"/>
        <w:rPr>
          <w:rFonts w:hint="eastAsia"/>
          <w:color w:val="auto"/>
        </w:rPr>
      </w:pPr>
      <w:r>
        <w:rPr>
          <w:rFonts w:hint="eastAsia"/>
          <w:color w:val="auto"/>
        </w:rPr>
        <w:t>变化检测，如基于多时相遥感影像的变化区域标注；</w:t>
      </w:r>
    </w:p>
    <w:p>
      <w:pPr>
        <w:pStyle w:val="136"/>
        <w:rPr>
          <w:rFonts w:hint="eastAsia"/>
          <w:color w:val="auto"/>
        </w:rPr>
      </w:pPr>
      <w:r>
        <w:rPr>
          <w:rFonts w:hint="eastAsia"/>
          <w:color w:val="auto"/>
        </w:rPr>
        <w:t>地理实体与兴趣点标注，如地名地址、POI数据标注。</w:t>
      </w:r>
    </w:p>
    <w:p>
      <w:pPr>
        <w:pStyle w:val="136"/>
        <w:numPr>
          <w:ilvl w:val="-1"/>
          <w:numId w:val="0"/>
        </w:numPr>
        <w:ind w:left="425" w:firstLine="0"/>
        <w:rPr>
          <w:color w:val="auto"/>
        </w:rPr>
      </w:pPr>
    </w:p>
    <w:p>
      <w:pPr>
        <w:pStyle w:val="202"/>
        <w:rPr>
          <w:rFonts w:hint="eastAsia"/>
          <w:vanish w:val="0"/>
          <w:color w:val="auto"/>
        </w:rPr>
      </w:pPr>
    </w:p>
    <w:p>
      <w:pPr>
        <w:pStyle w:val="203"/>
        <w:rPr>
          <w:vanish w:val="0"/>
          <w:color w:val="auto"/>
        </w:rPr>
      </w:pPr>
    </w:p>
    <w:p>
      <w:pPr>
        <w:pStyle w:val="80"/>
        <w:spacing w:after="156"/>
        <w:rPr>
          <w:color w:val="auto"/>
        </w:rPr>
      </w:pPr>
      <w:r>
        <w:rPr>
          <w:color w:val="auto"/>
        </w:rPr>
        <w:br w:type="textWrapping"/>
      </w:r>
      <w:bookmarkStart w:id="246" w:name="_Toc233725729"/>
      <w:bookmarkStart w:id="247" w:name="_Toc239409937"/>
      <w:bookmarkStart w:id="248" w:name="_Toc233793792"/>
      <w:bookmarkStart w:id="249" w:name="_Toc239347260"/>
      <w:r>
        <w:rPr>
          <w:rFonts w:hint="eastAsia"/>
          <w:color w:val="auto"/>
        </w:rPr>
        <w:t>（资料性）</w:t>
      </w:r>
      <w:r>
        <w:rPr>
          <w:color w:val="auto"/>
        </w:rPr>
        <w:br w:type="textWrapping"/>
      </w:r>
      <w:bookmarkEnd w:id="246"/>
      <w:r>
        <w:rPr>
          <w:rFonts w:hint="eastAsia"/>
          <w:color w:val="auto"/>
        </w:rPr>
        <w:t>课程内容</w:t>
      </w:r>
      <w:bookmarkEnd w:id="247"/>
      <w:bookmarkEnd w:id="248"/>
      <w:bookmarkEnd w:id="249"/>
    </w:p>
    <w:p>
      <w:pPr>
        <w:pStyle w:val="82"/>
        <w:spacing w:before="156" w:after="156"/>
        <w:rPr>
          <w:color w:val="auto"/>
        </w:rPr>
      </w:pPr>
      <w:bookmarkStart w:id="250" w:name="_Toc239409938"/>
      <w:bookmarkStart w:id="251" w:name="_Toc233793793"/>
      <w:bookmarkStart w:id="252" w:name="_Toc239347261"/>
      <w:r>
        <w:rPr>
          <w:rFonts w:hint="eastAsia"/>
          <w:color w:val="auto"/>
        </w:rPr>
        <w:t>公共基础课程</w:t>
      </w:r>
      <w:bookmarkEnd w:id="250"/>
      <w:bookmarkEnd w:id="251"/>
      <w:bookmarkEnd w:id="252"/>
    </w:p>
    <w:p>
      <w:pPr>
        <w:pStyle w:val="60"/>
        <w:ind w:firstLine="420"/>
        <w:rPr>
          <w:color w:val="auto"/>
        </w:rPr>
      </w:pPr>
      <w:bookmarkStart w:id="253" w:name="_Toc233793794"/>
      <w:r>
        <w:rPr>
          <w:rFonts w:hint="eastAsia"/>
          <w:color w:val="auto"/>
        </w:rPr>
        <w:t>公共基础课程应包括但不限于以下内容：</w:t>
      </w:r>
    </w:p>
    <w:p>
      <w:pPr>
        <w:pStyle w:val="136"/>
        <w:rPr>
          <w:color w:val="auto"/>
        </w:rPr>
      </w:pPr>
      <w:r>
        <w:rPr>
          <w:rFonts w:hint="eastAsia"/>
          <w:color w:val="auto"/>
        </w:rPr>
        <w:t>人工智能导论（人工智能发展概况、基本概念、应用场景等）；</w:t>
      </w:r>
    </w:p>
    <w:p>
      <w:pPr>
        <w:pStyle w:val="136"/>
        <w:rPr>
          <w:color w:val="auto"/>
        </w:rPr>
      </w:pPr>
      <w:r>
        <w:rPr>
          <w:rFonts w:hint="eastAsia"/>
          <w:color w:val="auto"/>
        </w:rPr>
        <w:t>数据要素与数据安全（《数据安全法》《网络数据安全管理条例》等法规、数据隐私保护等）；</w:t>
      </w:r>
    </w:p>
    <w:p>
      <w:pPr>
        <w:pStyle w:val="136"/>
        <w:rPr>
          <w:color w:val="auto"/>
        </w:rPr>
      </w:pPr>
      <w:r>
        <w:rPr>
          <w:rFonts w:hint="eastAsia"/>
          <w:color w:val="auto"/>
        </w:rPr>
        <w:t>职业道德与职业素养（数据标注行业伦理、职业规范等）。</w:t>
      </w:r>
    </w:p>
    <w:p>
      <w:pPr>
        <w:pStyle w:val="82"/>
        <w:spacing w:before="156" w:after="156"/>
        <w:rPr>
          <w:color w:val="auto"/>
        </w:rPr>
      </w:pPr>
      <w:bookmarkStart w:id="254" w:name="_Toc239409939"/>
      <w:bookmarkStart w:id="255" w:name="_Toc239347262"/>
      <w:r>
        <w:rPr>
          <w:rFonts w:hint="eastAsia"/>
          <w:color w:val="auto"/>
        </w:rPr>
        <w:t>专业核心课程</w:t>
      </w:r>
      <w:bookmarkEnd w:id="253"/>
      <w:bookmarkEnd w:id="254"/>
      <w:bookmarkEnd w:id="255"/>
    </w:p>
    <w:p>
      <w:pPr>
        <w:pStyle w:val="60"/>
        <w:ind w:firstLine="420"/>
        <w:rPr>
          <w:color w:val="auto"/>
        </w:rPr>
      </w:pPr>
      <w:r>
        <w:rPr>
          <w:rFonts w:hint="eastAsia"/>
          <w:color w:val="auto"/>
        </w:rPr>
        <w:t>专业核心课程应包括但不限于以下内容：</w:t>
      </w:r>
    </w:p>
    <w:p>
      <w:pPr>
        <w:pStyle w:val="136"/>
        <w:rPr>
          <w:color w:val="auto"/>
        </w:rPr>
      </w:pPr>
      <w:r>
        <w:rPr>
          <w:rFonts w:hint="eastAsia"/>
          <w:color w:val="auto"/>
        </w:rPr>
        <w:t>数据采集与处理：数据采集方法、数据清洗技术、数据格式转换等；</w:t>
      </w:r>
    </w:p>
    <w:p>
      <w:pPr>
        <w:pStyle w:val="136"/>
        <w:rPr>
          <w:color w:val="auto"/>
        </w:rPr>
      </w:pPr>
      <w:r>
        <w:rPr>
          <w:rFonts w:hint="eastAsia"/>
          <w:color w:val="auto"/>
        </w:rPr>
        <w:t>各类数据标注技术：图像、文本、语音、视频标注技术等；</w:t>
      </w:r>
    </w:p>
    <w:p>
      <w:pPr>
        <w:pStyle w:val="136"/>
        <w:rPr>
          <w:color w:val="auto"/>
        </w:rPr>
      </w:pPr>
      <w:r>
        <w:rPr>
          <w:rFonts w:hint="eastAsia"/>
          <w:color w:val="auto"/>
        </w:rPr>
        <w:t>标注规则与标准：标注规范制定、标注规则文档编写等；</w:t>
      </w:r>
    </w:p>
    <w:p>
      <w:pPr>
        <w:pStyle w:val="136"/>
        <w:rPr>
          <w:color w:val="auto"/>
        </w:rPr>
      </w:pPr>
      <w:r>
        <w:rPr>
          <w:rFonts w:hint="eastAsia"/>
          <w:color w:val="auto"/>
        </w:rPr>
        <w:t>数据质量管理：标注质量评估方法、质检流程、标注一致性管理等；</w:t>
      </w:r>
    </w:p>
    <w:p>
      <w:pPr>
        <w:pStyle w:val="136"/>
        <w:rPr>
          <w:color w:val="auto"/>
        </w:rPr>
      </w:pPr>
      <w:r>
        <w:rPr>
          <w:rFonts w:hint="eastAsia"/>
          <w:color w:val="auto"/>
        </w:rPr>
        <w:t>数据标注项目管理：项目流程管理、团队协作、进度管控等。</w:t>
      </w:r>
    </w:p>
    <w:p>
      <w:pPr>
        <w:pStyle w:val="82"/>
        <w:spacing w:before="156" w:after="156"/>
        <w:rPr>
          <w:color w:val="auto"/>
        </w:rPr>
      </w:pPr>
      <w:bookmarkStart w:id="256" w:name="_Toc239409940"/>
      <w:bookmarkStart w:id="257" w:name="_Toc233793795"/>
      <w:bookmarkStart w:id="258" w:name="_Toc239347263"/>
      <w:r>
        <w:rPr>
          <w:rFonts w:hint="eastAsia"/>
          <w:color w:val="auto"/>
        </w:rPr>
        <w:t>实训实践课程</w:t>
      </w:r>
      <w:bookmarkEnd w:id="256"/>
      <w:bookmarkEnd w:id="257"/>
      <w:bookmarkEnd w:id="258"/>
    </w:p>
    <w:p>
      <w:pPr>
        <w:pStyle w:val="60"/>
        <w:ind w:firstLine="420"/>
        <w:rPr>
          <w:color w:val="auto"/>
        </w:rPr>
      </w:pPr>
      <w:r>
        <w:rPr>
          <w:rFonts w:hint="eastAsia"/>
          <w:color w:val="auto"/>
        </w:rPr>
        <w:t>实训实践课程应包含以下核心训练项目：</w:t>
      </w:r>
    </w:p>
    <w:p>
      <w:pPr>
        <w:pStyle w:val="136"/>
        <w:rPr>
          <w:color w:val="auto"/>
        </w:rPr>
      </w:pPr>
      <w:r>
        <w:rPr>
          <w:rFonts w:hint="eastAsia"/>
          <w:color w:val="auto"/>
        </w:rPr>
        <w:t>标注工具操作训练（使用LabelImg、LabelMe、点云标注工具等主流标注软件）；</w:t>
      </w:r>
    </w:p>
    <w:p>
      <w:pPr>
        <w:pStyle w:val="136"/>
        <w:rPr>
          <w:color w:val="auto"/>
        </w:rPr>
      </w:pPr>
      <w:r>
        <w:rPr>
          <w:rFonts w:hint="eastAsia"/>
          <w:color w:val="auto"/>
        </w:rPr>
        <w:t>真实项目实战训练（生产性实训阶段产业真实订单占比不应低于30%）；</w:t>
      </w:r>
    </w:p>
    <w:p>
      <w:pPr>
        <w:pStyle w:val="136"/>
        <w:rPr>
          <w:color w:val="auto"/>
        </w:rPr>
      </w:pPr>
      <w:r>
        <w:rPr>
          <w:rFonts w:hint="eastAsia"/>
          <w:color w:val="auto"/>
        </w:rPr>
        <w:t>质量自检与互检训练；</w:t>
      </w:r>
    </w:p>
    <w:p>
      <w:pPr>
        <w:pStyle w:val="136"/>
        <w:rPr>
          <w:color w:val="auto"/>
        </w:rPr>
      </w:pPr>
      <w:r>
        <w:rPr>
          <w:rFonts w:hint="eastAsia"/>
          <w:color w:val="auto"/>
        </w:rPr>
        <w:t>标注规则理解与执行训练；</w:t>
      </w:r>
    </w:p>
    <w:p>
      <w:pPr>
        <w:pStyle w:val="136"/>
        <w:rPr>
          <w:color w:val="auto"/>
        </w:rPr>
      </w:pPr>
      <w:r>
        <w:rPr>
          <w:rFonts w:hint="eastAsia"/>
          <w:color w:val="auto"/>
        </w:rPr>
        <w:t>项目交付全流程演练。</w:t>
      </w: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pPr>
    </w:p>
    <w:p>
      <w:pPr>
        <w:pStyle w:val="60"/>
        <w:ind w:firstLine="0" w:firstLineChars="0"/>
        <w:rPr>
          <w:color w:val="auto"/>
        </w:rPr>
        <w:sectPr>
          <w:headerReference r:id="rId25" w:type="default"/>
          <w:footerReference r:id="rId27" w:type="default"/>
          <w:headerReference r:id="rId26" w:type="even"/>
          <w:footerReference r:id="rId28" w:type="even"/>
          <w:pgSz w:w="11906" w:h="16838"/>
          <w:pgMar w:top="1928" w:right="1134" w:bottom="1134" w:left="1134" w:header="1418" w:footer="1134" w:gutter="284"/>
          <w:cols w:space="425" w:num="1"/>
          <w:formProt w:val="0"/>
          <w:docGrid w:type="lines" w:linePitch="312" w:charSpace="0"/>
        </w:sectPr>
      </w:pPr>
    </w:p>
    <w:p>
      <w:pPr>
        <w:pStyle w:val="202"/>
        <w:rPr>
          <w:rFonts w:hint="eastAsia"/>
          <w:vanish w:val="0"/>
          <w:color w:val="auto"/>
        </w:rPr>
      </w:pPr>
    </w:p>
    <w:p>
      <w:pPr>
        <w:pStyle w:val="203"/>
        <w:rPr>
          <w:vanish w:val="0"/>
          <w:color w:val="auto"/>
        </w:rPr>
      </w:pPr>
    </w:p>
    <w:p>
      <w:pPr>
        <w:pStyle w:val="80"/>
        <w:spacing w:after="156"/>
        <w:rPr>
          <w:color w:val="auto"/>
        </w:rPr>
      </w:pPr>
      <w:r>
        <w:rPr>
          <w:color w:val="auto"/>
        </w:rPr>
        <w:br w:type="textWrapping"/>
      </w:r>
      <w:bookmarkStart w:id="259" w:name="_Toc239409941"/>
      <w:bookmarkStart w:id="260" w:name="_Toc239347264"/>
      <w:bookmarkStart w:id="261" w:name="_Toc233793796"/>
      <w:r>
        <w:rPr>
          <w:rFonts w:hint="eastAsia"/>
          <w:color w:val="auto"/>
        </w:rPr>
        <w:t>（资料性）</w:t>
      </w:r>
      <w:r>
        <w:rPr>
          <w:color w:val="auto"/>
        </w:rPr>
        <w:br w:type="textWrapping"/>
      </w:r>
      <w:r>
        <w:rPr>
          <w:rFonts w:hint="eastAsia"/>
          <w:color w:val="auto"/>
        </w:rPr>
        <w:t>“三阶递进”模式任务安排</w:t>
      </w:r>
      <w:bookmarkEnd w:id="259"/>
      <w:bookmarkEnd w:id="260"/>
      <w:bookmarkEnd w:id="261"/>
    </w:p>
    <w:p>
      <w:pPr>
        <w:pStyle w:val="60"/>
        <w:ind w:firstLine="420"/>
        <w:rPr>
          <w:color w:val="auto"/>
        </w:rPr>
      </w:pPr>
      <w:r>
        <w:rPr>
          <w:color w:val="auto"/>
        </w:rPr>
        <w:t>“三阶递进”模式任务安排</w:t>
      </w:r>
      <w:r>
        <w:rPr>
          <w:rFonts w:hint="eastAsia"/>
          <w:color w:val="auto"/>
        </w:rPr>
        <w:t>详见表D.1。</w:t>
      </w:r>
    </w:p>
    <w:p>
      <w:pPr>
        <w:pStyle w:val="81"/>
        <w:numPr>
          <w:ilvl w:val="0"/>
          <w:numId w:val="0"/>
        </w:numPr>
        <w:spacing w:before="156" w:after="156"/>
        <w:rPr>
          <w:color w:val="auto"/>
        </w:rPr>
      </w:pPr>
      <w:r>
        <w:rPr>
          <w:rFonts w:hint="eastAsia"/>
          <w:color w:val="auto"/>
        </w:rPr>
        <w:t xml:space="preserve">表D.1 </w:t>
      </w:r>
      <w:r>
        <w:rPr>
          <w:color w:val="auto"/>
        </w:rPr>
        <w:t>“三阶递进”模式任务安排</w:t>
      </w:r>
      <w:r>
        <w:rPr>
          <w:rFonts w:hint="eastAsia"/>
          <w:color w:val="auto"/>
        </w:rPr>
        <w:t>表</w:t>
      </w:r>
    </w:p>
    <w:tbl>
      <w:tblPr>
        <w:tblStyle w:val="37"/>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08"/>
        <w:gridCol w:w="1559"/>
        <w:gridCol w:w="1134"/>
        <w:gridCol w:w="52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blHeader/>
          <w:jc w:val="center"/>
        </w:trPr>
        <w:tc>
          <w:tcPr>
            <w:tcW w:w="1408" w:type="dxa"/>
            <w:tcBorders>
              <w:top w:val="single" w:color="auto" w:sz="8" w:space="0"/>
              <w:bottom w:val="single" w:color="auto" w:sz="8" w:space="0"/>
            </w:tcBorders>
            <w:vAlign w:val="center"/>
          </w:tcPr>
          <w:p>
            <w:pPr>
              <w:pStyle w:val="182"/>
              <w:rPr>
                <w:color w:val="auto"/>
              </w:rPr>
            </w:pPr>
            <w:r>
              <w:rPr>
                <w:rFonts w:hint="eastAsia"/>
                <w:color w:val="auto"/>
              </w:rPr>
              <w:t>阶段</w:t>
            </w:r>
          </w:p>
        </w:tc>
        <w:tc>
          <w:tcPr>
            <w:tcW w:w="1559" w:type="dxa"/>
            <w:tcBorders>
              <w:top w:val="single" w:color="auto" w:sz="8" w:space="0"/>
              <w:bottom w:val="single" w:color="auto" w:sz="8" w:space="0"/>
            </w:tcBorders>
            <w:vAlign w:val="center"/>
          </w:tcPr>
          <w:p>
            <w:pPr>
              <w:pStyle w:val="182"/>
              <w:rPr>
                <w:color w:val="auto"/>
              </w:rPr>
            </w:pPr>
            <w:r>
              <w:rPr>
                <w:rFonts w:hint="eastAsia"/>
                <w:color w:val="auto"/>
              </w:rPr>
              <w:t>任务类型</w:t>
            </w:r>
          </w:p>
        </w:tc>
        <w:tc>
          <w:tcPr>
            <w:tcW w:w="1134" w:type="dxa"/>
            <w:tcBorders>
              <w:top w:val="single" w:color="auto" w:sz="8" w:space="0"/>
              <w:bottom w:val="single" w:color="auto" w:sz="8" w:space="0"/>
            </w:tcBorders>
            <w:vAlign w:val="center"/>
          </w:tcPr>
          <w:p>
            <w:pPr>
              <w:pStyle w:val="182"/>
              <w:rPr>
                <w:color w:val="auto"/>
              </w:rPr>
            </w:pPr>
            <w:r>
              <w:rPr>
                <w:rFonts w:hint="eastAsia"/>
                <w:color w:val="auto"/>
              </w:rPr>
              <w:t>时长</w:t>
            </w:r>
          </w:p>
        </w:tc>
        <w:tc>
          <w:tcPr>
            <w:tcW w:w="5233" w:type="dxa"/>
            <w:tcBorders>
              <w:top w:val="single" w:color="auto" w:sz="8" w:space="0"/>
              <w:bottom w:val="single" w:color="auto" w:sz="8" w:space="0"/>
            </w:tcBorders>
            <w:vAlign w:val="center"/>
          </w:tcPr>
          <w:p>
            <w:pPr>
              <w:pStyle w:val="182"/>
              <w:rPr>
                <w:color w:val="auto"/>
              </w:rPr>
            </w:pPr>
            <w:r>
              <w:rPr>
                <w:rFonts w:hint="eastAsia"/>
                <w:color w:val="auto"/>
              </w:rPr>
              <w:t>具体内容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8" w:type="dxa"/>
            <w:tcBorders>
              <w:top w:val="single" w:color="auto" w:sz="8" w:space="0"/>
            </w:tcBorders>
            <w:vAlign w:val="center"/>
          </w:tcPr>
          <w:p>
            <w:pPr>
              <w:pStyle w:val="182"/>
              <w:rPr>
                <w:color w:val="auto"/>
              </w:rPr>
            </w:pPr>
            <w:r>
              <w:rPr>
                <w:rFonts w:hint="eastAsia"/>
                <w:color w:val="auto"/>
              </w:rPr>
              <w:t>第一阶段</w:t>
            </w:r>
          </w:p>
        </w:tc>
        <w:tc>
          <w:tcPr>
            <w:tcW w:w="1559" w:type="dxa"/>
            <w:tcBorders>
              <w:top w:val="single" w:color="auto" w:sz="8" w:space="0"/>
            </w:tcBorders>
            <w:vAlign w:val="center"/>
          </w:tcPr>
          <w:p>
            <w:pPr>
              <w:pStyle w:val="182"/>
              <w:rPr>
                <w:color w:val="auto"/>
              </w:rPr>
            </w:pPr>
            <w:r>
              <w:rPr>
                <w:rFonts w:hint="eastAsia"/>
                <w:color w:val="auto"/>
              </w:rPr>
              <w:t>基础实训</w:t>
            </w:r>
          </w:p>
        </w:tc>
        <w:tc>
          <w:tcPr>
            <w:tcW w:w="1134" w:type="dxa"/>
            <w:tcBorders>
              <w:top w:val="single" w:color="auto" w:sz="8" w:space="0"/>
            </w:tcBorders>
            <w:vAlign w:val="center"/>
          </w:tcPr>
          <w:p>
            <w:pPr>
              <w:pStyle w:val="182"/>
              <w:rPr>
                <w:color w:val="auto"/>
              </w:rPr>
            </w:pPr>
            <w:r>
              <w:rPr>
                <w:rFonts w:hint="eastAsia"/>
                <w:color w:val="auto"/>
              </w:rPr>
              <w:t>21天</w:t>
            </w:r>
          </w:p>
        </w:tc>
        <w:tc>
          <w:tcPr>
            <w:tcW w:w="5233" w:type="dxa"/>
            <w:tcBorders>
              <w:top w:val="single" w:color="auto" w:sz="8" w:space="0"/>
            </w:tcBorders>
            <w:vAlign w:val="center"/>
          </w:tcPr>
          <w:p>
            <w:pPr>
              <w:pStyle w:val="182"/>
              <w:jc w:val="left"/>
              <w:rPr>
                <w:color w:val="auto"/>
              </w:rPr>
            </w:pPr>
            <w:r>
              <w:rPr>
                <w:color w:val="auto"/>
              </w:rPr>
              <w:t>以标准化标注任务为主，掌握基本标注技能和工具使用，实现基础标注技能达标</w:t>
            </w:r>
            <w:r>
              <w:rPr>
                <w:rFonts w:hint="eastAsia"/>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8" w:type="dxa"/>
            <w:vAlign w:val="center"/>
          </w:tcPr>
          <w:p>
            <w:pPr>
              <w:pStyle w:val="182"/>
              <w:rPr>
                <w:color w:val="auto"/>
              </w:rPr>
            </w:pPr>
            <w:r>
              <w:rPr>
                <w:rFonts w:hint="eastAsia"/>
                <w:color w:val="auto"/>
              </w:rPr>
              <w:t>第二阶段</w:t>
            </w:r>
          </w:p>
        </w:tc>
        <w:tc>
          <w:tcPr>
            <w:tcW w:w="1559" w:type="dxa"/>
            <w:vAlign w:val="center"/>
          </w:tcPr>
          <w:p>
            <w:pPr>
              <w:pStyle w:val="182"/>
              <w:rPr>
                <w:color w:val="auto"/>
              </w:rPr>
            </w:pPr>
            <w:r>
              <w:rPr>
                <w:color w:val="auto"/>
              </w:rPr>
              <w:t>项目实训</w:t>
            </w:r>
          </w:p>
        </w:tc>
        <w:tc>
          <w:tcPr>
            <w:tcW w:w="1134" w:type="dxa"/>
            <w:vAlign w:val="center"/>
          </w:tcPr>
          <w:p>
            <w:pPr>
              <w:pStyle w:val="182"/>
              <w:rPr>
                <w:color w:val="auto"/>
              </w:rPr>
            </w:pPr>
            <w:r>
              <w:rPr>
                <w:color w:val="auto"/>
              </w:rPr>
              <w:t>3—6个月</w:t>
            </w:r>
          </w:p>
        </w:tc>
        <w:tc>
          <w:tcPr>
            <w:tcW w:w="5233" w:type="dxa"/>
            <w:vAlign w:val="center"/>
          </w:tcPr>
          <w:p>
            <w:pPr>
              <w:pStyle w:val="182"/>
              <w:jc w:val="left"/>
              <w:rPr>
                <w:color w:val="auto"/>
              </w:rPr>
            </w:pPr>
            <w:r>
              <w:rPr>
                <w:color w:val="auto"/>
              </w:rPr>
              <w:t>参与企业真实项目，完成多模态、复杂场景的标注任务，提升综合实操能力</w:t>
            </w:r>
            <w:r>
              <w:rPr>
                <w:rFonts w:hint="eastAsia"/>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8" w:type="dxa"/>
            <w:vAlign w:val="center"/>
          </w:tcPr>
          <w:p>
            <w:pPr>
              <w:pStyle w:val="182"/>
              <w:rPr>
                <w:color w:val="auto"/>
              </w:rPr>
            </w:pPr>
            <w:r>
              <w:rPr>
                <w:rFonts w:hint="eastAsia"/>
                <w:color w:val="auto"/>
              </w:rPr>
              <w:t>第三阶段</w:t>
            </w:r>
          </w:p>
        </w:tc>
        <w:tc>
          <w:tcPr>
            <w:tcW w:w="1559" w:type="dxa"/>
            <w:vAlign w:val="center"/>
          </w:tcPr>
          <w:p>
            <w:pPr>
              <w:pStyle w:val="182"/>
              <w:rPr>
                <w:color w:val="auto"/>
              </w:rPr>
            </w:pPr>
            <w:r>
              <w:rPr>
                <w:color w:val="auto"/>
              </w:rPr>
              <w:t>顶岗实习</w:t>
            </w:r>
          </w:p>
        </w:tc>
        <w:tc>
          <w:tcPr>
            <w:tcW w:w="1134" w:type="dxa"/>
            <w:vAlign w:val="center"/>
          </w:tcPr>
          <w:p>
            <w:pPr>
              <w:pStyle w:val="182"/>
              <w:rPr>
                <w:color w:val="auto"/>
              </w:rPr>
            </w:pPr>
            <w:r>
              <w:rPr>
                <w:color w:val="auto"/>
              </w:rPr>
              <w:t>6—9个月</w:t>
            </w:r>
          </w:p>
        </w:tc>
        <w:tc>
          <w:tcPr>
            <w:tcW w:w="5233" w:type="dxa"/>
            <w:vAlign w:val="center"/>
          </w:tcPr>
          <w:p>
            <w:pPr>
              <w:pStyle w:val="182"/>
              <w:jc w:val="left"/>
              <w:rPr>
                <w:color w:val="auto"/>
              </w:rPr>
            </w:pPr>
            <w:r>
              <w:rPr>
                <w:color w:val="auto"/>
              </w:rPr>
              <w:t>进入企业真实生产环境，按照企业标准完成生产任务，实现从学员到产业工程师的转化</w:t>
            </w:r>
            <w:r>
              <w:rPr>
                <w:rFonts w:hint="eastAsia"/>
                <w:color w:val="auto"/>
              </w:rPr>
              <w:t>。</w:t>
            </w:r>
          </w:p>
        </w:tc>
      </w:tr>
    </w:tbl>
    <w:p>
      <w:pPr>
        <w:pStyle w:val="60"/>
        <w:ind w:firstLine="420"/>
        <w:rPr>
          <w:color w:val="auto"/>
        </w:rPr>
      </w:pPr>
    </w:p>
    <w:p>
      <w:pPr>
        <w:pStyle w:val="27"/>
        <w:widowControl/>
        <w:shd w:val="clear" w:color="auto" w:fill="FFFFFF"/>
        <w:spacing w:before="120" w:after="120"/>
        <w:ind w:firstLine="480" w:firstLineChars="200"/>
        <w:rPr>
          <w:rFonts w:ascii="宋体" w:hAnsi="Times New Roman"/>
          <w:color w:val="auto"/>
          <w:sz w:val="21"/>
        </w:rPr>
      </w:pPr>
      <w:r>
        <w:rPr>
          <w:color w:val="auto"/>
        </w:rPr>
        <w:fldChar w:fldCharType="begin"/>
      </w:r>
      <w:r>
        <w:rPr>
          <w:color w:val="auto"/>
        </w:rPr>
        <w:instrText xml:space="preserve"> HYPERLINK "http://szjj.zwfwhdsj.jingzhou.gov.cn:58080/pc/information/detail/368" \t "https://chat.deepseek.com/a/chat/s/_blank" </w:instrText>
      </w:r>
      <w:r>
        <w:rPr>
          <w:color w:val="auto"/>
        </w:rPr>
        <w:fldChar w:fldCharType="separate"/>
      </w:r>
      <w:r>
        <w:rPr>
          <w:color w:val="auto"/>
        </w:rPr>
        <w:fldChar w:fldCharType="end"/>
      </w:r>
    </w:p>
    <w:p>
      <w:pPr>
        <w:pStyle w:val="60"/>
        <w:ind w:firstLine="0" w:firstLineChars="0"/>
        <w:rPr>
          <w:color w:val="auto"/>
        </w:rPr>
        <w:sectPr>
          <w:headerReference r:id="rId29" w:type="default"/>
          <w:footerReference r:id="rId31" w:type="default"/>
          <w:headerReference r:id="rId30" w:type="even"/>
          <w:footerReference r:id="rId32" w:type="even"/>
          <w:pgSz w:w="11906" w:h="16838"/>
          <w:pgMar w:top="1928" w:right="1134" w:bottom="1134" w:left="1134" w:header="1418" w:footer="1134" w:gutter="284"/>
          <w:cols w:space="425" w:num="1"/>
          <w:formProt w:val="0"/>
          <w:docGrid w:type="lines" w:linePitch="312" w:charSpace="0"/>
        </w:sectPr>
      </w:pPr>
    </w:p>
    <w:bookmarkEnd w:id="222"/>
    <w:p>
      <w:pPr>
        <w:pStyle w:val="67"/>
        <w:spacing w:after="156"/>
        <w:rPr>
          <w:color w:val="auto"/>
        </w:rPr>
      </w:pPr>
      <w:bookmarkStart w:id="262" w:name="_Toc239409942"/>
      <w:bookmarkStart w:id="263" w:name="_Toc239347265"/>
      <w:bookmarkStart w:id="264" w:name="_Toc233725734"/>
      <w:bookmarkStart w:id="265" w:name="_Toc233793797"/>
      <w:bookmarkStart w:id="266" w:name="BookMark6"/>
      <w:r>
        <w:rPr>
          <w:rFonts w:hint="eastAsia"/>
          <w:color w:val="auto"/>
          <w:spacing w:val="105"/>
        </w:rPr>
        <w:t>参考文</w:t>
      </w:r>
      <w:r>
        <w:rPr>
          <w:rFonts w:hint="eastAsia"/>
          <w:color w:val="auto"/>
        </w:rPr>
        <w:t>献</w:t>
      </w:r>
      <w:bookmarkEnd w:id="262"/>
      <w:bookmarkEnd w:id="263"/>
      <w:bookmarkEnd w:id="264"/>
      <w:bookmarkEnd w:id="265"/>
    </w:p>
    <w:p>
      <w:pPr>
        <w:pStyle w:val="60"/>
        <w:numPr>
          <w:ilvl w:val="0"/>
          <w:numId w:val="0"/>
        </w:numPr>
        <w:ind w:firstLine="420"/>
        <w:rPr>
          <w:rFonts w:hint="eastAsia"/>
          <w:color w:val="auto"/>
        </w:rPr>
      </w:pPr>
      <w:r>
        <w:rPr>
          <w:rFonts w:hint="eastAsia" w:ascii="宋体" w:hAnsi="Times New Roman" w:eastAsia="宋体" w:cs="Times New Roman"/>
          <w:color w:val="auto"/>
          <w:sz w:val="21"/>
          <w:lang w:val="en-US" w:eastAsia="zh-CN" w:bidi="ar-SA"/>
        </w:rPr>
        <w:t>[1]</w:t>
      </w:r>
      <w:r>
        <w:rPr>
          <w:rFonts w:hint="eastAsia"/>
          <w:color w:val="auto"/>
        </w:rPr>
        <w:t>《中华人民共和国测绘法》</w:t>
      </w:r>
      <w:r>
        <w:rPr>
          <w:rFonts w:hint="eastAsia"/>
          <w:color w:val="auto"/>
          <w:lang w:eastAsia="zh-CN"/>
        </w:rPr>
        <w:t>（</w:t>
      </w:r>
      <w:r>
        <w:rPr>
          <w:rFonts w:hint="eastAsia"/>
          <w:color w:val="auto"/>
          <w:lang w:val="en-US" w:eastAsia="zh-CN"/>
        </w:rPr>
        <w:t>2017年修订）</w:t>
      </w:r>
    </w:p>
    <w:p>
      <w:pPr>
        <w:pStyle w:val="60"/>
        <w:numPr>
          <w:ilvl w:val="0"/>
          <w:numId w:val="0"/>
        </w:numPr>
        <w:ind w:firstLine="420"/>
        <w:rPr>
          <w:rFonts w:hint="eastAsia"/>
          <w:color w:val="auto"/>
        </w:rPr>
      </w:pPr>
      <w:r>
        <w:rPr>
          <w:rFonts w:hint="eastAsia" w:ascii="宋体" w:hAnsi="Times New Roman" w:eastAsia="宋体" w:cs="Times New Roman"/>
          <w:color w:val="auto"/>
          <w:sz w:val="21"/>
          <w:lang w:val="en-US" w:eastAsia="zh-CN" w:bidi="ar-SA"/>
        </w:rPr>
        <w:t>[2]</w:t>
      </w:r>
      <w:r>
        <w:rPr>
          <w:rFonts w:hint="eastAsia"/>
          <w:color w:val="auto"/>
        </w:rPr>
        <w:t>《中华人民共和国劳动法》（2018年修正）</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[3]</w:t>
      </w:r>
      <w:r>
        <w:rPr>
          <w:rFonts w:hint="eastAsia"/>
          <w:color w:val="auto"/>
        </w:rPr>
        <w:t>《中华人民共和国数据安全法》（2021年）</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[4]</w:t>
      </w:r>
      <w:r>
        <w:rPr>
          <w:rFonts w:hint="eastAsia"/>
          <w:color w:val="auto"/>
        </w:rPr>
        <w:t>《中华人民共和国个人信息保护法》（2021年）</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[5]</w:t>
      </w:r>
      <w:r>
        <w:rPr>
          <w:rFonts w:hint="eastAsia"/>
          <w:color w:val="auto"/>
        </w:rPr>
        <w:t>《中华人民共和国职业教育法》（2022年修订）</w:t>
      </w:r>
    </w:p>
    <w:p>
      <w:pPr>
        <w:pStyle w:val="60"/>
        <w:numPr>
          <w:ilvl w:val="0"/>
          <w:numId w:val="0"/>
        </w:numPr>
        <w:ind w:firstLine="420"/>
        <w:rPr>
          <w:rFonts w:hint="eastAsia" w:eastAsia="宋体"/>
          <w:color w:val="auto"/>
          <w:lang w:eastAsia="zh-CN"/>
        </w:rPr>
      </w:pPr>
      <w:r>
        <w:rPr>
          <w:rFonts w:hint="eastAsia" w:ascii="宋体" w:hAnsi="Times New Roman" w:eastAsia="宋体" w:cs="Times New Roman"/>
          <w:color w:val="auto"/>
          <w:sz w:val="21"/>
          <w:lang w:val="en-US" w:eastAsia="zh-CN" w:bidi="ar-SA"/>
        </w:rPr>
        <w:t>[6]</w:t>
      </w:r>
      <w:r>
        <w:rPr>
          <w:rFonts w:hint="eastAsia"/>
          <w:color w:val="auto"/>
        </w:rPr>
        <w:t>《教育部关于职业院校专业人才培养方案制订与实施工作的指导意见》（教职成〔2019〕13号</w:t>
      </w:r>
      <w:r>
        <w:rPr>
          <w:rFonts w:hint="eastAsia"/>
          <w:color w:val="auto"/>
          <w:lang w:eastAsia="zh-CN"/>
        </w:rPr>
        <w:t>）</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[7]</w:t>
      </w:r>
      <w:r>
        <w:rPr>
          <w:rFonts w:hint="eastAsia"/>
          <w:color w:val="auto"/>
        </w:rPr>
        <w:t>关于深化现代职业教育体系建设改革的意见（中共中央办公厅、国务院办公厅）</w:t>
      </w:r>
    </w:p>
    <w:p>
      <w:pPr>
        <w:pStyle w:val="60"/>
        <w:numPr>
          <w:ilvl w:val="0"/>
          <w:numId w:val="0"/>
        </w:numPr>
        <w:ind w:firstLine="420"/>
        <w:rPr>
          <w:rFonts w:hint="eastAsia"/>
          <w:color w:val="auto"/>
        </w:rPr>
      </w:pPr>
      <w:r>
        <w:rPr>
          <w:rFonts w:hint="eastAsia" w:ascii="宋体" w:hAnsi="Times New Roman" w:eastAsia="宋体" w:cs="Times New Roman"/>
          <w:color w:val="auto"/>
          <w:sz w:val="21"/>
          <w:lang w:val="en-US" w:eastAsia="zh-CN" w:bidi="ar-SA"/>
        </w:rPr>
        <w:t>[8]</w:t>
      </w:r>
      <w:r>
        <w:rPr>
          <w:rFonts w:hint="eastAsia"/>
          <w:color w:val="auto"/>
        </w:rPr>
        <w:t>教育部等八部门.职业学校学生实习管理规定（教职成〔2021〕4号）</w:t>
      </w:r>
    </w:p>
    <w:p>
      <w:pPr>
        <w:pStyle w:val="60"/>
        <w:numPr>
          <w:ilvl w:val="0"/>
          <w:numId w:val="0"/>
        </w:numPr>
        <w:ind w:firstLine="420"/>
        <w:rPr>
          <w:rFonts w:hint="eastAsia"/>
          <w:color w:val="auto"/>
        </w:rPr>
      </w:pPr>
      <w:r>
        <w:rPr>
          <w:rFonts w:hint="eastAsia" w:ascii="宋体" w:hAnsi="Times New Roman" w:eastAsia="宋体" w:cs="Times New Roman"/>
          <w:color w:val="auto"/>
          <w:sz w:val="21"/>
          <w:lang w:val="en-US" w:eastAsia="zh-CN" w:bidi="ar-SA"/>
        </w:rPr>
        <w:t>[9]</w:t>
      </w:r>
      <w:r>
        <w:rPr>
          <w:rFonts w:hint="eastAsia"/>
          <w:color w:val="auto"/>
        </w:rPr>
        <w:t>人力资源社会保障部.人工智能训练师国家职业技能标准（人社厅发〔2021〕81号）</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[10]</w:t>
      </w:r>
      <w:r>
        <w:rPr>
          <w:rFonts w:hint="eastAsia"/>
          <w:color w:val="auto"/>
        </w:rPr>
        <w:t>国家发展改革委等八部门.职业教育产教融合赋能提升行动实施方案（2023—2025年）（发改社会〔2023〕699号）</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[11]</w:t>
      </w:r>
      <w:r>
        <w:rPr>
          <w:rFonts w:hint="eastAsia"/>
          <w:color w:val="auto"/>
        </w:rPr>
        <w:t>GB 50033-2013 建筑采光设计标准</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[12]</w:t>
      </w:r>
      <w:r>
        <w:rPr>
          <w:rFonts w:hint="eastAsia"/>
          <w:color w:val="auto"/>
        </w:rPr>
        <w:t>GB/T 36344-2018 信息技术 数据质量评价指标</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[13]</w:t>
      </w:r>
      <w:r>
        <w:rPr>
          <w:rFonts w:hint="eastAsia"/>
          <w:color w:val="auto"/>
        </w:rPr>
        <w:t>GB/T 37988—2019 信息安全技术 数据安全能力成熟度模型</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[14]</w:t>
      </w:r>
      <w:r>
        <w:rPr>
          <w:rFonts w:hint="eastAsia"/>
          <w:color w:val="auto"/>
        </w:rPr>
        <w:t>GB/T 41867—2022 信息技术 人工智能 术语</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[15]</w:t>
      </w:r>
      <w:r>
        <w:rPr>
          <w:rFonts w:hint="eastAsia"/>
          <w:color w:val="auto"/>
        </w:rPr>
        <w:t>GB/T 42755—2023 人工智能 面向机器学习的数据标注规程</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[16]</w:t>
      </w:r>
      <w:r>
        <w:rPr>
          <w:rFonts w:hint="eastAsia"/>
          <w:color w:val="auto"/>
        </w:rPr>
        <w:t>GB/T 45574—2025 数据安全技术 敏感个人信息处理安全要求</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[17]</w:t>
      </w:r>
      <w:r>
        <w:rPr>
          <w:rFonts w:hint="eastAsia"/>
          <w:color w:val="auto"/>
        </w:rPr>
        <w:t>GB/T 45654-2025  网络安全技术 生成式人工智能服务 安全基本要求</w:t>
      </w:r>
    </w:p>
    <w:p>
      <w:pPr>
        <w:pStyle w:val="60"/>
        <w:numPr>
          <w:ilvl w:val="0"/>
          <w:numId w:val="0"/>
        </w:numPr>
        <w:ind w:firstLine="420"/>
        <w:rPr>
          <w:color w:val="auto"/>
        </w:rPr>
      </w:pPr>
      <w:r>
        <w:rPr>
          <w:rFonts w:ascii="宋体" w:hAnsi="Times New Roman" w:eastAsia="宋体" w:cs="Times New Roman"/>
          <w:color w:val="auto"/>
          <w:sz w:val="21"/>
          <w:lang w:val="en-US" w:eastAsia="zh-CN" w:bidi="ar-SA"/>
        </w:rPr>
        <w:t>[18]</w:t>
      </w:r>
      <w:r>
        <w:rPr>
          <w:rFonts w:hint="eastAsia"/>
          <w:color w:val="auto"/>
        </w:rPr>
        <w:t>GB/T 45674—2025 网络安全技术 生成式人工智能数据标注安全规范</w:t>
      </w:r>
    </w:p>
    <w:p>
      <w:pPr>
        <w:pStyle w:val="60"/>
        <w:ind w:firstLine="420"/>
        <w:rPr>
          <w:color w:val="auto"/>
        </w:rPr>
      </w:pPr>
    </w:p>
    <w:p>
      <w:pPr>
        <w:pStyle w:val="60"/>
        <w:ind w:firstLine="0" w:firstLineChars="0"/>
        <w:rPr>
          <w:color w:val="auto"/>
        </w:rPr>
      </w:pPr>
    </w:p>
    <w:bookmarkEnd w:id="266"/>
    <w:p>
      <w:pPr>
        <w:pStyle w:val="60"/>
        <w:ind w:firstLine="0" w:firstLineChars="0"/>
        <w:jc w:val="center"/>
        <w:rPr>
          <w:color w:val="auto"/>
        </w:rPr>
      </w:pPr>
      <w:bookmarkStart w:id="267" w:name="BookMark8"/>
      <w:r>
        <w:rPr>
          <w:rFonts w:hint="eastAsia"/>
          <w:color w:val="auto"/>
        </w:rPr>
        <w:drawing>
          <wp:inline distT="0" distB="0" distL="0" distR="0">
            <wp:extent cx="1485900" cy="317500"/>
            <wp:effectExtent l="0" t="0" r="0" b="6350"/>
            <wp:docPr id="2125955738" name="图片 3"/>
            <wp:cNvGraphicFramePr/>
            <a:graphic xmlns:a="http://schemas.openxmlformats.org/drawingml/2006/main">
              <a:graphicData uri="http://schemas.openxmlformats.org/drawingml/2006/picture">
                <pic:pic xmlns:pic="http://schemas.openxmlformats.org/drawingml/2006/picture">
                  <pic:nvPicPr>
                    <pic:cNvPr id="2125955738" name="图片 3"/>
                    <pic:cNvPicPr/>
                  </pic:nvPicPr>
                  <pic:blipFill>
                    <a:blip r:embed="rId3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67"/>
    </w:p>
    <w:sectPr>
      <w:headerReference r:id="rId33" w:type="default"/>
      <w:footerReference r:id="rId35" w:type="default"/>
      <w:headerReference r:id="rId34" w:type="even"/>
      <w:footerReference r:id="rId36" w:type="even"/>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auto"/>
    <w:pitch w:val="default"/>
    <w:sig w:usb0="E10022FF" w:usb1="C000E47F" w:usb2="00000029" w:usb3="00000000" w:csb0="200001DF" w:csb1="2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Helvetica Neue">
    <w:altName w:val="Corbel"/>
    <w:panose1 w:val="02000503000000020004"/>
    <w:charset w:val="00"/>
    <w:family w:val="auto"/>
    <w:pitch w:val="default"/>
    <w:sig w:usb0="00000000" w:usb1="00000000" w:usb2="0000001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等线">
    <w:altName w:val="Segoe Print"/>
    <w:panose1 w:val="00000000000000000000"/>
    <w:charset w:val="00"/>
    <w:family w:val="auto"/>
    <w:pitch w:val="default"/>
    <w:sig w:usb0="00000000" w:usb1="00000000" w:usb2="00000000" w:usb3="00000000" w:csb0="00000000" w:csb1="00000000"/>
  </w:font>
  <w:font w:name="汉仪中等线KW">
    <w:altName w:val="宋体"/>
    <w:panose1 w:val="01010104010101010101"/>
    <w:charset w:val="86"/>
    <w:family w:val="auto"/>
    <w:pitch w:val="default"/>
    <w:sig w:usb0="00000000" w:usb1="00000000" w:usb2="00000000" w:usb3="00000000" w:csb0="00040001" w:csb1="00000000"/>
  </w:font>
  <w:font w:name="冬青黑体简体中文">
    <w:altName w:val="黑体"/>
    <w:panose1 w:val="020B0300000000000000"/>
    <w:charset w:val="86"/>
    <w:family w:val="auto"/>
    <w:pitch w:val="default"/>
    <w:sig w:usb0="00000000" w:usb1="00000000" w:usb2="00000016" w:usb3="00000000" w:csb0="00060007" w:csb1="00000000"/>
  </w:font>
  <w:font w:name="苹方-简">
    <w:altName w:val="宋体"/>
    <w:panose1 w:val="020B0400000000000000"/>
    <w:charset w:val="86"/>
    <w:family w:val="auto"/>
    <w:pitch w:val="default"/>
    <w:sig w:usb0="00000000" w:usb1="00000000" w:usb2="00000017" w:usb3="00000000" w:csb0="00040001"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4</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5</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5</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5</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r>
      <w:fldChar w:fldCharType="begin"/>
    </w:r>
    <w:r>
      <w:instrText xml:space="preserve"> STYLEREF  标准文件_文件编号  \* MERGEFORMAT </w:instrText>
    </w:r>
    <w:r>
      <w:fldChar w:fldCharType="separate"/>
    </w:r>
    <w:r>
      <w:t>DB 43/T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 43/T XXXX—XXXX</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0ZTFmNWUwNDIxMDc4YWI0NjZmMzVjN2Y5MjU3MjYifQ=="/>
  </w:docVars>
  <w:rsids>
    <w:rsidRoot w:val="001953F7"/>
    <w:rsid w:val="0000040A"/>
    <w:rsid w:val="00000A94"/>
    <w:rsid w:val="00001972"/>
    <w:rsid w:val="00001D9A"/>
    <w:rsid w:val="0000770B"/>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417F"/>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5B08"/>
    <w:rsid w:val="000B6A0B"/>
    <w:rsid w:val="000B7CA7"/>
    <w:rsid w:val="000C0F6C"/>
    <w:rsid w:val="000C11DB"/>
    <w:rsid w:val="000C1492"/>
    <w:rsid w:val="000C2FBD"/>
    <w:rsid w:val="000C3DC9"/>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123A"/>
    <w:rsid w:val="00104926"/>
    <w:rsid w:val="00110F74"/>
    <w:rsid w:val="00113B1E"/>
    <w:rsid w:val="0011711C"/>
    <w:rsid w:val="0012059C"/>
    <w:rsid w:val="00124E4F"/>
    <w:rsid w:val="001260B7"/>
    <w:rsid w:val="001265CB"/>
    <w:rsid w:val="001321C6"/>
    <w:rsid w:val="001325C4"/>
    <w:rsid w:val="00133010"/>
    <w:rsid w:val="001338EE"/>
    <w:rsid w:val="00133AAE"/>
    <w:rsid w:val="0013441E"/>
    <w:rsid w:val="00135323"/>
    <w:rsid w:val="001356C4"/>
    <w:rsid w:val="001402E6"/>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3F7"/>
    <w:rsid w:val="00195C34"/>
    <w:rsid w:val="00196EF5"/>
    <w:rsid w:val="001A1A53"/>
    <w:rsid w:val="001A234A"/>
    <w:rsid w:val="001A4CF3"/>
    <w:rsid w:val="001B06E8"/>
    <w:rsid w:val="001B43C9"/>
    <w:rsid w:val="001B4BAD"/>
    <w:rsid w:val="001B612B"/>
    <w:rsid w:val="001B71D0"/>
    <w:rsid w:val="001B71EE"/>
    <w:rsid w:val="001C04A8"/>
    <w:rsid w:val="001C1E2A"/>
    <w:rsid w:val="001C2C03"/>
    <w:rsid w:val="001C42F7"/>
    <w:rsid w:val="001C49E5"/>
    <w:rsid w:val="001C680C"/>
    <w:rsid w:val="001C6942"/>
    <w:rsid w:val="001C798A"/>
    <w:rsid w:val="001C7FEA"/>
    <w:rsid w:val="001D0499"/>
    <w:rsid w:val="001D0BBE"/>
    <w:rsid w:val="001D0ED4"/>
    <w:rsid w:val="001D212F"/>
    <w:rsid w:val="001D29D7"/>
    <w:rsid w:val="001D2DE7"/>
    <w:rsid w:val="001D411C"/>
    <w:rsid w:val="001E1B6A"/>
    <w:rsid w:val="001E2484"/>
    <w:rsid w:val="001E3CC4"/>
    <w:rsid w:val="001E4882"/>
    <w:rsid w:val="001E5441"/>
    <w:rsid w:val="001E73AB"/>
    <w:rsid w:val="001F092D"/>
    <w:rsid w:val="001F143A"/>
    <w:rsid w:val="001F1605"/>
    <w:rsid w:val="001F2508"/>
    <w:rsid w:val="001F4816"/>
    <w:rsid w:val="001F4EE9"/>
    <w:rsid w:val="001F535F"/>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5F27"/>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6C1D"/>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067BD"/>
    <w:rsid w:val="00310949"/>
    <w:rsid w:val="00312F1E"/>
    <w:rsid w:val="00313B85"/>
    <w:rsid w:val="00317988"/>
    <w:rsid w:val="003221B4"/>
    <w:rsid w:val="0032258D"/>
    <w:rsid w:val="00322E62"/>
    <w:rsid w:val="00324D13"/>
    <w:rsid w:val="00324D2A"/>
    <w:rsid w:val="00324EDD"/>
    <w:rsid w:val="003331E4"/>
    <w:rsid w:val="00335B1A"/>
    <w:rsid w:val="00336C64"/>
    <w:rsid w:val="00337162"/>
    <w:rsid w:val="0034194F"/>
    <w:rsid w:val="00344605"/>
    <w:rsid w:val="003474AA"/>
    <w:rsid w:val="00347D13"/>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25E8"/>
    <w:rsid w:val="003A4077"/>
    <w:rsid w:val="003B09AD"/>
    <w:rsid w:val="003B1F18"/>
    <w:rsid w:val="003B5BF0"/>
    <w:rsid w:val="003B60BF"/>
    <w:rsid w:val="003B6BE3"/>
    <w:rsid w:val="003C010C"/>
    <w:rsid w:val="003C0A6C"/>
    <w:rsid w:val="003C14F8"/>
    <w:rsid w:val="003C5A43"/>
    <w:rsid w:val="003D0519"/>
    <w:rsid w:val="003D0AC7"/>
    <w:rsid w:val="003D0FF6"/>
    <w:rsid w:val="003D262C"/>
    <w:rsid w:val="003D6D61"/>
    <w:rsid w:val="003D79C6"/>
    <w:rsid w:val="003E091D"/>
    <w:rsid w:val="003E16BF"/>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62AB"/>
    <w:rsid w:val="0044083F"/>
    <w:rsid w:val="00441AE7"/>
    <w:rsid w:val="00445574"/>
    <w:rsid w:val="004467FB"/>
    <w:rsid w:val="00452D6B"/>
    <w:rsid w:val="00454484"/>
    <w:rsid w:val="0045517B"/>
    <w:rsid w:val="004606B1"/>
    <w:rsid w:val="00463B77"/>
    <w:rsid w:val="00463C7B"/>
    <w:rsid w:val="004644A6"/>
    <w:rsid w:val="004659BD"/>
    <w:rsid w:val="0046629E"/>
    <w:rsid w:val="00470775"/>
    <w:rsid w:val="004746B1"/>
    <w:rsid w:val="0047583F"/>
    <w:rsid w:val="00475BAD"/>
    <w:rsid w:val="00475DE8"/>
    <w:rsid w:val="00481C44"/>
    <w:rsid w:val="004827CE"/>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0025"/>
    <w:rsid w:val="004C1FBC"/>
    <w:rsid w:val="004C3F1D"/>
    <w:rsid w:val="004C458D"/>
    <w:rsid w:val="004C7556"/>
    <w:rsid w:val="004C7E8B"/>
    <w:rsid w:val="004C7E9D"/>
    <w:rsid w:val="004C7F67"/>
    <w:rsid w:val="004D076D"/>
    <w:rsid w:val="004D0EF1"/>
    <w:rsid w:val="004D2253"/>
    <w:rsid w:val="004D3EE5"/>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22"/>
    <w:rsid w:val="00505767"/>
    <w:rsid w:val="005073F0"/>
    <w:rsid w:val="00510A7B"/>
    <w:rsid w:val="00512F6E"/>
    <w:rsid w:val="00513038"/>
    <w:rsid w:val="00514174"/>
    <w:rsid w:val="00516088"/>
    <w:rsid w:val="00516B0B"/>
    <w:rsid w:val="00521E36"/>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64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09D9"/>
    <w:rsid w:val="005A0F47"/>
    <w:rsid w:val="005A11B7"/>
    <w:rsid w:val="005A260B"/>
    <w:rsid w:val="005A4A1B"/>
    <w:rsid w:val="005A7830"/>
    <w:rsid w:val="005A7FCE"/>
    <w:rsid w:val="005B0F3F"/>
    <w:rsid w:val="005B4903"/>
    <w:rsid w:val="005B51CE"/>
    <w:rsid w:val="005B5885"/>
    <w:rsid w:val="005B5CD7"/>
    <w:rsid w:val="005B6CF6"/>
    <w:rsid w:val="005B7422"/>
    <w:rsid w:val="005C29B8"/>
    <w:rsid w:val="005C4773"/>
    <w:rsid w:val="005C5F21"/>
    <w:rsid w:val="005C7156"/>
    <w:rsid w:val="005D0C75"/>
    <w:rsid w:val="005D4171"/>
    <w:rsid w:val="005D6A95"/>
    <w:rsid w:val="005D6B2C"/>
    <w:rsid w:val="005D6D9C"/>
    <w:rsid w:val="005E2335"/>
    <w:rsid w:val="005E34CA"/>
    <w:rsid w:val="005E3C18"/>
    <w:rsid w:val="005E4956"/>
    <w:rsid w:val="005E6812"/>
    <w:rsid w:val="005E7881"/>
    <w:rsid w:val="005E78E0"/>
    <w:rsid w:val="005F0D9C"/>
    <w:rsid w:val="005F284E"/>
    <w:rsid w:val="005F4712"/>
    <w:rsid w:val="0060086F"/>
    <w:rsid w:val="006011DB"/>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295"/>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AE8"/>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35DB"/>
    <w:rsid w:val="00704387"/>
    <w:rsid w:val="00707669"/>
    <w:rsid w:val="00711B99"/>
    <w:rsid w:val="00711CBA"/>
    <w:rsid w:val="00711FB5"/>
    <w:rsid w:val="00711FF5"/>
    <w:rsid w:val="00712A01"/>
    <w:rsid w:val="00714F58"/>
    <w:rsid w:val="00722FBF"/>
    <w:rsid w:val="00722FC2"/>
    <w:rsid w:val="00724879"/>
    <w:rsid w:val="00724E1B"/>
    <w:rsid w:val="00725949"/>
    <w:rsid w:val="00727FA2"/>
    <w:rsid w:val="007322D9"/>
    <w:rsid w:val="007324DF"/>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04FA"/>
    <w:rsid w:val="00762EC1"/>
    <w:rsid w:val="00763241"/>
    <w:rsid w:val="00765C43"/>
    <w:rsid w:val="00765EFB"/>
    <w:rsid w:val="007671CA"/>
    <w:rsid w:val="00767C61"/>
    <w:rsid w:val="0077008A"/>
    <w:rsid w:val="00773C1F"/>
    <w:rsid w:val="00774DA4"/>
    <w:rsid w:val="00776599"/>
    <w:rsid w:val="00780B35"/>
    <w:rsid w:val="0078114B"/>
    <w:rsid w:val="00781DD2"/>
    <w:rsid w:val="00783ECF"/>
    <w:rsid w:val="0078413A"/>
    <w:rsid w:val="007959E8"/>
    <w:rsid w:val="00795E9C"/>
    <w:rsid w:val="007A0521"/>
    <w:rsid w:val="007A0C16"/>
    <w:rsid w:val="007A2E12"/>
    <w:rsid w:val="007A3475"/>
    <w:rsid w:val="007A3C2F"/>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05A90"/>
    <w:rsid w:val="00810257"/>
    <w:rsid w:val="008104F5"/>
    <w:rsid w:val="00811072"/>
    <w:rsid w:val="00811369"/>
    <w:rsid w:val="00813830"/>
    <w:rsid w:val="00815419"/>
    <w:rsid w:val="008163C8"/>
    <w:rsid w:val="008164A1"/>
    <w:rsid w:val="00817325"/>
    <w:rsid w:val="008209E6"/>
    <w:rsid w:val="00820E5E"/>
    <w:rsid w:val="00823303"/>
    <w:rsid w:val="008233B2"/>
    <w:rsid w:val="00823A9F"/>
    <w:rsid w:val="00823C85"/>
    <w:rsid w:val="00825138"/>
    <w:rsid w:val="008269DD"/>
    <w:rsid w:val="00827FE5"/>
    <w:rsid w:val="00830621"/>
    <w:rsid w:val="00831C32"/>
    <w:rsid w:val="0083348C"/>
    <w:rsid w:val="008373D3"/>
    <w:rsid w:val="00840617"/>
    <w:rsid w:val="00840F84"/>
    <w:rsid w:val="00842A47"/>
    <w:rsid w:val="00843C13"/>
    <w:rsid w:val="008454F8"/>
    <w:rsid w:val="0085173A"/>
    <w:rsid w:val="00856316"/>
    <w:rsid w:val="008603CE"/>
    <w:rsid w:val="008620FC"/>
    <w:rsid w:val="008627A5"/>
    <w:rsid w:val="00863E05"/>
    <w:rsid w:val="00864E23"/>
    <w:rsid w:val="00865ACA"/>
    <w:rsid w:val="00865D28"/>
    <w:rsid w:val="00865F85"/>
    <w:rsid w:val="00867C10"/>
    <w:rsid w:val="00870439"/>
    <w:rsid w:val="00870DA1"/>
    <w:rsid w:val="00883F93"/>
    <w:rsid w:val="00884DB3"/>
    <w:rsid w:val="00885A9D"/>
    <w:rsid w:val="008864F6"/>
    <w:rsid w:val="0089049D"/>
    <w:rsid w:val="00891800"/>
    <w:rsid w:val="008928C9"/>
    <w:rsid w:val="008930CB"/>
    <w:rsid w:val="008938DC"/>
    <w:rsid w:val="00893BA7"/>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3C7A"/>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317"/>
    <w:rsid w:val="00902722"/>
    <w:rsid w:val="009027BC"/>
    <w:rsid w:val="009062E6"/>
    <w:rsid w:val="00906306"/>
    <w:rsid w:val="00906BD5"/>
    <w:rsid w:val="009110D9"/>
    <w:rsid w:val="00911BE5"/>
    <w:rsid w:val="00913CA9"/>
    <w:rsid w:val="009145AE"/>
    <w:rsid w:val="009146CE"/>
    <w:rsid w:val="00914CA7"/>
    <w:rsid w:val="00915C3E"/>
    <w:rsid w:val="009161A8"/>
    <w:rsid w:val="00917FB8"/>
    <w:rsid w:val="00923B9E"/>
    <w:rsid w:val="009245F5"/>
    <w:rsid w:val="009249EC"/>
    <w:rsid w:val="009273B3"/>
    <w:rsid w:val="009305B5"/>
    <w:rsid w:val="009429D5"/>
    <w:rsid w:val="00942BF1"/>
    <w:rsid w:val="00945180"/>
    <w:rsid w:val="00945428"/>
    <w:rsid w:val="0094607B"/>
    <w:rsid w:val="00952F71"/>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2E8D"/>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277D"/>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3D2D"/>
    <w:rsid w:val="00A55BD6"/>
    <w:rsid w:val="00A55D50"/>
    <w:rsid w:val="00A57142"/>
    <w:rsid w:val="00A648CD"/>
    <w:rsid w:val="00A6537A"/>
    <w:rsid w:val="00A67866"/>
    <w:rsid w:val="00A70B07"/>
    <w:rsid w:val="00A71B79"/>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C64"/>
    <w:rsid w:val="00AE5EB4"/>
    <w:rsid w:val="00AF0C18"/>
    <w:rsid w:val="00AF47C5"/>
    <w:rsid w:val="00AF4B9F"/>
    <w:rsid w:val="00AF5398"/>
    <w:rsid w:val="00B049AF"/>
    <w:rsid w:val="00B07242"/>
    <w:rsid w:val="00B10534"/>
    <w:rsid w:val="00B10E18"/>
    <w:rsid w:val="00B113DB"/>
    <w:rsid w:val="00B118DD"/>
    <w:rsid w:val="00B11D8A"/>
    <w:rsid w:val="00B12981"/>
    <w:rsid w:val="00B144D7"/>
    <w:rsid w:val="00B147DD"/>
    <w:rsid w:val="00B156FD"/>
    <w:rsid w:val="00B21F61"/>
    <w:rsid w:val="00B261F1"/>
    <w:rsid w:val="00B265BC"/>
    <w:rsid w:val="00B31FB1"/>
    <w:rsid w:val="00B33952"/>
    <w:rsid w:val="00B33C5E"/>
    <w:rsid w:val="00B342F4"/>
    <w:rsid w:val="00B34369"/>
    <w:rsid w:val="00B34DC2"/>
    <w:rsid w:val="00B378E5"/>
    <w:rsid w:val="00B41E0E"/>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31A9"/>
    <w:rsid w:val="00B758BF"/>
    <w:rsid w:val="00B77EC8"/>
    <w:rsid w:val="00B8172F"/>
    <w:rsid w:val="00B827A6"/>
    <w:rsid w:val="00B831CE"/>
    <w:rsid w:val="00B86677"/>
    <w:rsid w:val="00B87131"/>
    <w:rsid w:val="00B939B1"/>
    <w:rsid w:val="00B96D40"/>
    <w:rsid w:val="00B97386"/>
    <w:rsid w:val="00BA263B"/>
    <w:rsid w:val="00BA42B2"/>
    <w:rsid w:val="00BA58D4"/>
    <w:rsid w:val="00BA5B9E"/>
    <w:rsid w:val="00BA7C9A"/>
    <w:rsid w:val="00BB203B"/>
    <w:rsid w:val="00BB265D"/>
    <w:rsid w:val="00BB4F01"/>
    <w:rsid w:val="00BB5F8F"/>
    <w:rsid w:val="00BB657A"/>
    <w:rsid w:val="00BC1A4E"/>
    <w:rsid w:val="00BC4790"/>
    <w:rsid w:val="00BC5DC7"/>
    <w:rsid w:val="00BC6B8B"/>
    <w:rsid w:val="00BC73D8"/>
    <w:rsid w:val="00BD52D7"/>
    <w:rsid w:val="00BD5AD2"/>
    <w:rsid w:val="00BE1166"/>
    <w:rsid w:val="00BE22F3"/>
    <w:rsid w:val="00BE5B52"/>
    <w:rsid w:val="00BE7B8D"/>
    <w:rsid w:val="00BF0993"/>
    <w:rsid w:val="00BF10A9"/>
    <w:rsid w:val="00BF1703"/>
    <w:rsid w:val="00BF231C"/>
    <w:rsid w:val="00BF51E5"/>
    <w:rsid w:val="00BF5ECA"/>
    <w:rsid w:val="00BF74A6"/>
    <w:rsid w:val="00C013AD"/>
    <w:rsid w:val="00C04904"/>
    <w:rsid w:val="00C056B3"/>
    <w:rsid w:val="00C103E5"/>
    <w:rsid w:val="00C1317E"/>
    <w:rsid w:val="00C13319"/>
    <w:rsid w:val="00C13EE9"/>
    <w:rsid w:val="00C21540"/>
    <w:rsid w:val="00C21906"/>
    <w:rsid w:val="00C21BFA"/>
    <w:rsid w:val="00C22148"/>
    <w:rsid w:val="00C24C8D"/>
    <w:rsid w:val="00C25FE2"/>
    <w:rsid w:val="00C26B53"/>
    <w:rsid w:val="00C279B2"/>
    <w:rsid w:val="00C33E50"/>
    <w:rsid w:val="00C34C20"/>
    <w:rsid w:val="00C35A3E"/>
    <w:rsid w:val="00C419C1"/>
    <w:rsid w:val="00C42130"/>
    <w:rsid w:val="00C423A4"/>
    <w:rsid w:val="00C44BF5"/>
    <w:rsid w:val="00C521D6"/>
    <w:rsid w:val="00C54117"/>
    <w:rsid w:val="00C55232"/>
    <w:rsid w:val="00C553A4"/>
    <w:rsid w:val="00C55A06"/>
    <w:rsid w:val="00C55D03"/>
    <w:rsid w:val="00C601BC"/>
    <w:rsid w:val="00C6329F"/>
    <w:rsid w:val="00C63340"/>
    <w:rsid w:val="00C643F9"/>
    <w:rsid w:val="00C64E95"/>
    <w:rsid w:val="00C67274"/>
    <w:rsid w:val="00C71372"/>
    <w:rsid w:val="00C72410"/>
    <w:rsid w:val="00C7287F"/>
    <w:rsid w:val="00C80982"/>
    <w:rsid w:val="00C80CB8"/>
    <w:rsid w:val="00C819F8"/>
    <w:rsid w:val="00C8248C"/>
    <w:rsid w:val="00C84E33"/>
    <w:rsid w:val="00C861F7"/>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2F38"/>
    <w:rsid w:val="00D1489E"/>
    <w:rsid w:val="00D20737"/>
    <w:rsid w:val="00D21E81"/>
    <w:rsid w:val="00D223DE"/>
    <w:rsid w:val="00D25E37"/>
    <w:rsid w:val="00D2661A"/>
    <w:rsid w:val="00D273FE"/>
    <w:rsid w:val="00D27582"/>
    <w:rsid w:val="00D27EC4"/>
    <w:rsid w:val="00D32719"/>
    <w:rsid w:val="00D33333"/>
    <w:rsid w:val="00D33457"/>
    <w:rsid w:val="00D352A2"/>
    <w:rsid w:val="00D3660F"/>
    <w:rsid w:val="00D414B8"/>
    <w:rsid w:val="00D4162B"/>
    <w:rsid w:val="00D434E1"/>
    <w:rsid w:val="00D4514F"/>
    <w:rsid w:val="00D451E2"/>
    <w:rsid w:val="00D45DCD"/>
    <w:rsid w:val="00D45E89"/>
    <w:rsid w:val="00D45E8D"/>
    <w:rsid w:val="00D466AE"/>
    <w:rsid w:val="00D4734F"/>
    <w:rsid w:val="00D51BF3"/>
    <w:rsid w:val="00D66846"/>
    <w:rsid w:val="00D675FB"/>
    <w:rsid w:val="00D71F25"/>
    <w:rsid w:val="00D72A9C"/>
    <w:rsid w:val="00D762C6"/>
    <w:rsid w:val="00D77031"/>
    <w:rsid w:val="00D84941"/>
    <w:rsid w:val="00D84FA1"/>
    <w:rsid w:val="00D851F0"/>
    <w:rsid w:val="00D86DB7"/>
    <w:rsid w:val="00D926D0"/>
    <w:rsid w:val="00D93030"/>
    <w:rsid w:val="00D950E1"/>
    <w:rsid w:val="00D952A6"/>
    <w:rsid w:val="00D97F99"/>
    <w:rsid w:val="00DA10D4"/>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5CEE"/>
    <w:rsid w:val="00DE6E81"/>
    <w:rsid w:val="00DE703F"/>
    <w:rsid w:val="00DE7595"/>
    <w:rsid w:val="00DF1961"/>
    <w:rsid w:val="00DF44DE"/>
    <w:rsid w:val="00DF5F11"/>
    <w:rsid w:val="00E01138"/>
    <w:rsid w:val="00E02DFB"/>
    <w:rsid w:val="00E030F9"/>
    <w:rsid w:val="00E0311A"/>
    <w:rsid w:val="00E03138"/>
    <w:rsid w:val="00E06404"/>
    <w:rsid w:val="00E065D2"/>
    <w:rsid w:val="00E077D5"/>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0302"/>
    <w:rsid w:val="00E44A83"/>
    <w:rsid w:val="00E502C1"/>
    <w:rsid w:val="00E502DD"/>
    <w:rsid w:val="00E50D3A"/>
    <w:rsid w:val="00E51387"/>
    <w:rsid w:val="00E51516"/>
    <w:rsid w:val="00E51E68"/>
    <w:rsid w:val="00E52EFD"/>
    <w:rsid w:val="00E5408A"/>
    <w:rsid w:val="00E56800"/>
    <w:rsid w:val="00E56878"/>
    <w:rsid w:val="00E60C63"/>
    <w:rsid w:val="00E62FF9"/>
    <w:rsid w:val="00E635D6"/>
    <w:rsid w:val="00E639BC"/>
    <w:rsid w:val="00E65F88"/>
    <w:rsid w:val="00E664CC"/>
    <w:rsid w:val="00E70388"/>
    <w:rsid w:val="00E70F92"/>
    <w:rsid w:val="00E74C54"/>
    <w:rsid w:val="00E77A03"/>
    <w:rsid w:val="00E80A6D"/>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0367"/>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31DC"/>
    <w:rsid w:val="00F237E9"/>
    <w:rsid w:val="00F25BB6"/>
    <w:rsid w:val="00F260A8"/>
    <w:rsid w:val="00F26B7E"/>
    <w:rsid w:val="00F27A3B"/>
    <w:rsid w:val="00F33494"/>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3E0B"/>
    <w:rsid w:val="00FB45F1"/>
    <w:rsid w:val="00FB4A72"/>
    <w:rsid w:val="00FB54E8"/>
    <w:rsid w:val="00FB7054"/>
    <w:rsid w:val="00FC17B7"/>
    <w:rsid w:val="00FC2CB7"/>
    <w:rsid w:val="00FC4090"/>
    <w:rsid w:val="00FC55B4"/>
    <w:rsid w:val="00FD00E6"/>
    <w:rsid w:val="00FD0803"/>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2D42FD"/>
    <w:rsid w:val="01453A14"/>
    <w:rsid w:val="01536D95"/>
    <w:rsid w:val="01680C5E"/>
    <w:rsid w:val="01980129"/>
    <w:rsid w:val="01B97764"/>
    <w:rsid w:val="01D574F3"/>
    <w:rsid w:val="01E11822"/>
    <w:rsid w:val="01FF06FF"/>
    <w:rsid w:val="02054F52"/>
    <w:rsid w:val="020660F6"/>
    <w:rsid w:val="02165EA1"/>
    <w:rsid w:val="02D81C87"/>
    <w:rsid w:val="03557185"/>
    <w:rsid w:val="03655934"/>
    <w:rsid w:val="03855756"/>
    <w:rsid w:val="039D2DB9"/>
    <w:rsid w:val="03BF7510"/>
    <w:rsid w:val="03DF0AE6"/>
    <w:rsid w:val="03F65640"/>
    <w:rsid w:val="03FD21DD"/>
    <w:rsid w:val="043B2184"/>
    <w:rsid w:val="045502FA"/>
    <w:rsid w:val="04BE2ED4"/>
    <w:rsid w:val="050627BA"/>
    <w:rsid w:val="05192390"/>
    <w:rsid w:val="054E4D41"/>
    <w:rsid w:val="05904CEA"/>
    <w:rsid w:val="05985810"/>
    <w:rsid w:val="066F24B8"/>
    <w:rsid w:val="0673692E"/>
    <w:rsid w:val="069049DC"/>
    <w:rsid w:val="06A53D46"/>
    <w:rsid w:val="06AA3B8C"/>
    <w:rsid w:val="06F55739"/>
    <w:rsid w:val="07273BEE"/>
    <w:rsid w:val="07500B52"/>
    <w:rsid w:val="075F6D8D"/>
    <w:rsid w:val="07705CC0"/>
    <w:rsid w:val="079C3570"/>
    <w:rsid w:val="07B92C3C"/>
    <w:rsid w:val="07BC76AD"/>
    <w:rsid w:val="07FA2A2F"/>
    <w:rsid w:val="083B791F"/>
    <w:rsid w:val="084F6F27"/>
    <w:rsid w:val="086B306E"/>
    <w:rsid w:val="08726929"/>
    <w:rsid w:val="08D0187C"/>
    <w:rsid w:val="08F35E3C"/>
    <w:rsid w:val="092B63E5"/>
    <w:rsid w:val="09706F3C"/>
    <w:rsid w:val="09815FC1"/>
    <w:rsid w:val="09B16437"/>
    <w:rsid w:val="09BB0D94"/>
    <w:rsid w:val="09BB7E03"/>
    <w:rsid w:val="09C60821"/>
    <w:rsid w:val="09F66964"/>
    <w:rsid w:val="09F95CF3"/>
    <w:rsid w:val="0A0B30E5"/>
    <w:rsid w:val="0A2638DB"/>
    <w:rsid w:val="0A4F2875"/>
    <w:rsid w:val="0A981059"/>
    <w:rsid w:val="0B255FB2"/>
    <w:rsid w:val="0B9D1F96"/>
    <w:rsid w:val="0BB04180"/>
    <w:rsid w:val="0BCE5505"/>
    <w:rsid w:val="0BD709D6"/>
    <w:rsid w:val="0BF01FA1"/>
    <w:rsid w:val="0C58167E"/>
    <w:rsid w:val="0C621C7F"/>
    <w:rsid w:val="0C630C88"/>
    <w:rsid w:val="0CF0217F"/>
    <w:rsid w:val="0CF20312"/>
    <w:rsid w:val="0D380E40"/>
    <w:rsid w:val="0D4A1F8F"/>
    <w:rsid w:val="0D723A6B"/>
    <w:rsid w:val="0DB638CD"/>
    <w:rsid w:val="0DCB75F9"/>
    <w:rsid w:val="0DD01F33"/>
    <w:rsid w:val="0DF83FD2"/>
    <w:rsid w:val="0E552FD0"/>
    <w:rsid w:val="0E792E8C"/>
    <w:rsid w:val="0E904690"/>
    <w:rsid w:val="0ECF1FA1"/>
    <w:rsid w:val="0EF13C13"/>
    <w:rsid w:val="0F0F4A0A"/>
    <w:rsid w:val="0F40581B"/>
    <w:rsid w:val="0F580DB7"/>
    <w:rsid w:val="0F752B68"/>
    <w:rsid w:val="0FB82FF9"/>
    <w:rsid w:val="0FEB5255"/>
    <w:rsid w:val="0FEE5EBF"/>
    <w:rsid w:val="100D7298"/>
    <w:rsid w:val="102B13EE"/>
    <w:rsid w:val="10623011"/>
    <w:rsid w:val="10DA69D9"/>
    <w:rsid w:val="10F62606"/>
    <w:rsid w:val="1131403D"/>
    <w:rsid w:val="11393421"/>
    <w:rsid w:val="1160140E"/>
    <w:rsid w:val="11627BB4"/>
    <w:rsid w:val="117741FA"/>
    <w:rsid w:val="11930964"/>
    <w:rsid w:val="11BB10BD"/>
    <w:rsid w:val="11BB73DB"/>
    <w:rsid w:val="11D70154"/>
    <w:rsid w:val="11E34251"/>
    <w:rsid w:val="11F272A1"/>
    <w:rsid w:val="11F52EC4"/>
    <w:rsid w:val="12137F71"/>
    <w:rsid w:val="12435D4E"/>
    <w:rsid w:val="128A7E1B"/>
    <w:rsid w:val="12B4185D"/>
    <w:rsid w:val="12F30E97"/>
    <w:rsid w:val="12F56474"/>
    <w:rsid w:val="13223BB5"/>
    <w:rsid w:val="132F1184"/>
    <w:rsid w:val="133E7092"/>
    <w:rsid w:val="134E49AB"/>
    <w:rsid w:val="13877509"/>
    <w:rsid w:val="138F74A5"/>
    <w:rsid w:val="13C45BBC"/>
    <w:rsid w:val="13C7366A"/>
    <w:rsid w:val="13D50442"/>
    <w:rsid w:val="140040F4"/>
    <w:rsid w:val="14355D16"/>
    <w:rsid w:val="14442A50"/>
    <w:rsid w:val="14A306C5"/>
    <w:rsid w:val="14A3156B"/>
    <w:rsid w:val="14EF1322"/>
    <w:rsid w:val="156303B0"/>
    <w:rsid w:val="157A4F19"/>
    <w:rsid w:val="15C0272C"/>
    <w:rsid w:val="15E00F73"/>
    <w:rsid w:val="15E169F5"/>
    <w:rsid w:val="15EE7E34"/>
    <w:rsid w:val="161C2D7D"/>
    <w:rsid w:val="16597938"/>
    <w:rsid w:val="16801529"/>
    <w:rsid w:val="168C7D15"/>
    <w:rsid w:val="16B90C56"/>
    <w:rsid w:val="17301B9A"/>
    <w:rsid w:val="17746893"/>
    <w:rsid w:val="17A71273"/>
    <w:rsid w:val="17DA0D5E"/>
    <w:rsid w:val="183470EE"/>
    <w:rsid w:val="183701D9"/>
    <w:rsid w:val="185716A9"/>
    <w:rsid w:val="18651A8B"/>
    <w:rsid w:val="188A6953"/>
    <w:rsid w:val="18923D5F"/>
    <w:rsid w:val="189E1D70"/>
    <w:rsid w:val="18C2400A"/>
    <w:rsid w:val="193950D6"/>
    <w:rsid w:val="19922F14"/>
    <w:rsid w:val="19E36374"/>
    <w:rsid w:val="1A920163"/>
    <w:rsid w:val="1AB00F03"/>
    <w:rsid w:val="1ADD3E4A"/>
    <w:rsid w:val="1AF112C0"/>
    <w:rsid w:val="1AF225C5"/>
    <w:rsid w:val="1B023DA5"/>
    <w:rsid w:val="1B447857"/>
    <w:rsid w:val="1B991F60"/>
    <w:rsid w:val="1BC06F9C"/>
    <w:rsid w:val="1BF1114A"/>
    <w:rsid w:val="1C064525"/>
    <w:rsid w:val="1C3154D0"/>
    <w:rsid w:val="1C4912EF"/>
    <w:rsid w:val="1C4E0B38"/>
    <w:rsid w:val="1C503005"/>
    <w:rsid w:val="1C8B48E5"/>
    <w:rsid w:val="1C92426F"/>
    <w:rsid w:val="1CAE0362"/>
    <w:rsid w:val="1CB0706F"/>
    <w:rsid w:val="1CD32068"/>
    <w:rsid w:val="1D0454A8"/>
    <w:rsid w:val="1D191097"/>
    <w:rsid w:val="1D2B3667"/>
    <w:rsid w:val="1D465B65"/>
    <w:rsid w:val="1D653989"/>
    <w:rsid w:val="1D752FDD"/>
    <w:rsid w:val="1DDF12F2"/>
    <w:rsid w:val="1DE5480D"/>
    <w:rsid w:val="1E79668E"/>
    <w:rsid w:val="1EA01A8C"/>
    <w:rsid w:val="1EA51D2D"/>
    <w:rsid w:val="1EBF56C0"/>
    <w:rsid w:val="1F0813F5"/>
    <w:rsid w:val="1F0A017C"/>
    <w:rsid w:val="1F1C0096"/>
    <w:rsid w:val="1F436F19"/>
    <w:rsid w:val="1F5A6FB2"/>
    <w:rsid w:val="1F8B3EF6"/>
    <w:rsid w:val="1FDB3373"/>
    <w:rsid w:val="1FEC6D90"/>
    <w:rsid w:val="1FF044EA"/>
    <w:rsid w:val="200419D1"/>
    <w:rsid w:val="202347EE"/>
    <w:rsid w:val="20306BAA"/>
    <w:rsid w:val="203F2777"/>
    <w:rsid w:val="20D91494"/>
    <w:rsid w:val="20F3136E"/>
    <w:rsid w:val="212F7E0C"/>
    <w:rsid w:val="21804F12"/>
    <w:rsid w:val="21B82027"/>
    <w:rsid w:val="22291E3E"/>
    <w:rsid w:val="22302F27"/>
    <w:rsid w:val="223615FD"/>
    <w:rsid w:val="22420B98"/>
    <w:rsid w:val="22432E10"/>
    <w:rsid w:val="2244616F"/>
    <w:rsid w:val="2266366D"/>
    <w:rsid w:val="22853819"/>
    <w:rsid w:val="22BE600E"/>
    <w:rsid w:val="22D402FC"/>
    <w:rsid w:val="23061C85"/>
    <w:rsid w:val="23085188"/>
    <w:rsid w:val="23095379"/>
    <w:rsid w:val="230E380E"/>
    <w:rsid w:val="23224D36"/>
    <w:rsid w:val="234A635F"/>
    <w:rsid w:val="235D69C1"/>
    <w:rsid w:val="23600585"/>
    <w:rsid w:val="23603FF5"/>
    <w:rsid w:val="237154C8"/>
    <w:rsid w:val="237544B8"/>
    <w:rsid w:val="23F30BAC"/>
    <w:rsid w:val="24470093"/>
    <w:rsid w:val="246E35A2"/>
    <w:rsid w:val="2474008B"/>
    <w:rsid w:val="2496085A"/>
    <w:rsid w:val="24A14CFB"/>
    <w:rsid w:val="24F86656"/>
    <w:rsid w:val="252427C9"/>
    <w:rsid w:val="252A23ED"/>
    <w:rsid w:val="25B65CEB"/>
    <w:rsid w:val="25EB4B24"/>
    <w:rsid w:val="25EC6D10"/>
    <w:rsid w:val="25ED50B4"/>
    <w:rsid w:val="26241155"/>
    <w:rsid w:val="262B3477"/>
    <w:rsid w:val="264D6FD5"/>
    <w:rsid w:val="26962AD0"/>
    <w:rsid w:val="26BC3ED8"/>
    <w:rsid w:val="273644A3"/>
    <w:rsid w:val="27421E6C"/>
    <w:rsid w:val="275C4B98"/>
    <w:rsid w:val="275E26B8"/>
    <w:rsid w:val="276E29D8"/>
    <w:rsid w:val="277C56BE"/>
    <w:rsid w:val="27C15984"/>
    <w:rsid w:val="27C16A75"/>
    <w:rsid w:val="280E7144"/>
    <w:rsid w:val="28271977"/>
    <w:rsid w:val="284550A0"/>
    <w:rsid w:val="28594428"/>
    <w:rsid w:val="28673056"/>
    <w:rsid w:val="28F20B9A"/>
    <w:rsid w:val="2901558B"/>
    <w:rsid w:val="292B27BB"/>
    <w:rsid w:val="29532554"/>
    <w:rsid w:val="296F5A87"/>
    <w:rsid w:val="2A2643D8"/>
    <w:rsid w:val="2A5A1A2F"/>
    <w:rsid w:val="2B131725"/>
    <w:rsid w:val="2B90154D"/>
    <w:rsid w:val="2BB91586"/>
    <w:rsid w:val="2BDB564D"/>
    <w:rsid w:val="2C1527E6"/>
    <w:rsid w:val="2C173AFE"/>
    <w:rsid w:val="2C1C26F1"/>
    <w:rsid w:val="2C4071A7"/>
    <w:rsid w:val="2C5D75C1"/>
    <w:rsid w:val="2C725028"/>
    <w:rsid w:val="2C8249B4"/>
    <w:rsid w:val="2CC41401"/>
    <w:rsid w:val="2CCB328B"/>
    <w:rsid w:val="2CD63D6C"/>
    <w:rsid w:val="2CD91310"/>
    <w:rsid w:val="2CF03707"/>
    <w:rsid w:val="2CF369CD"/>
    <w:rsid w:val="2CF97B28"/>
    <w:rsid w:val="2D105F7D"/>
    <w:rsid w:val="2D3E7D46"/>
    <w:rsid w:val="2D8F3594"/>
    <w:rsid w:val="2DD74526"/>
    <w:rsid w:val="2E293DD5"/>
    <w:rsid w:val="2E2E50D0"/>
    <w:rsid w:val="2E2F42CE"/>
    <w:rsid w:val="2E5D1AEE"/>
    <w:rsid w:val="2EA119DB"/>
    <w:rsid w:val="2EC9746A"/>
    <w:rsid w:val="2EE25E79"/>
    <w:rsid w:val="2EF66A99"/>
    <w:rsid w:val="2F013082"/>
    <w:rsid w:val="2F39690C"/>
    <w:rsid w:val="2F645DD4"/>
    <w:rsid w:val="2FAD5AC1"/>
    <w:rsid w:val="2FC074E6"/>
    <w:rsid w:val="2FE621C5"/>
    <w:rsid w:val="2FF12F99"/>
    <w:rsid w:val="300F023C"/>
    <w:rsid w:val="301472B6"/>
    <w:rsid w:val="302D4B96"/>
    <w:rsid w:val="30343B3C"/>
    <w:rsid w:val="306B5D00"/>
    <w:rsid w:val="3073385A"/>
    <w:rsid w:val="30B14BE8"/>
    <w:rsid w:val="310060F6"/>
    <w:rsid w:val="31065352"/>
    <w:rsid w:val="310B7447"/>
    <w:rsid w:val="314045E7"/>
    <w:rsid w:val="31454F1C"/>
    <w:rsid w:val="31522895"/>
    <w:rsid w:val="31532FD9"/>
    <w:rsid w:val="3174292F"/>
    <w:rsid w:val="318956D7"/>
    <w:rsid w:val="318B1E34"/>
    <w:rsid w:val="31AE180F"/>
    <w:rsid w:val="31B825D3"/>
    <w:rsid w:val="31CD3BC8"/>
    <w:rsid w:val="31E71DFA"/>
    <w:rsid w:val="31FC7995"/>
    <w:rsid w:val="32012A0C"/>
    <w:rsid w:val="32194741"/>
    <w:rsid w:val="32433D76"/>
    <w:rsid w:val="326D7CE5"/>
    <w:rsid w:val="327F43CB"/>
    <w:rsid w:val="32823067"/>
    <w:rsid w:val="32A4602F"/>
    <w:rsid w:val="32AE71B3"/>
    <w:rsid w:val="32BC7BC3"/>
    <w:rsid w:val="32C26F97"/>
    <w:rsid w:val="32CA1513"/>
    <w:rsid w:val="32F16EB2"/>
    <w:rsid w:val="32FB467E"/>
    <w:rsid w:val="33042538"/>
    <w:rsid w:val="33405F7E"/>
    <w:rsid w:val="33535743"/>
    <w:rsid w:val="33851415"/>
    <w:rsid w:val="339508B7"/>
    <w:rsid w:val="33C20A95"/>
    <w:rsid w:val="34136591"/>
    <w:rsid w:val="341C2D24"/>
    <w:rsid w:val="345F512C"/>
    <w:rsid w:val="34650C7E"/>
    <w:rsid w:val="34A002BF"/>
    <w:rsid w:val="34D73340"/>
    <w:rsid w:val="34E81C26"/>
    <w:rsid w:val="350417E9"/>
    <w:rsid w:val="353B3415"/>
    <w:rsid w:val="355748A5"/>
    <w:rsid w:val="356E638F"/>
    <w:rsid w:val="35702107"/>
    <w:rsid w:val="358878E1"/>
    <w:rsid w:val="35964678"/>
    <w:rsid w:val="35AF77A0"/>
    <w:rsid w:val="35C828C9"/>
    <w:rsid w:val="35DC0250"/>
    <w:rsid w:val="35F249FD"/>
    <w:rsid w:val="3618174E"/>
    <w:rsid w:val="362A1602"/>
    <w:rsid w:val="367D2D2D"/>
    <w:rsid w:val="368D7D10"/>
    <w:rsid w:val="36970A0E"/>
    <w:rsid w:val="36DF7544"/>
    <w:rsid w:val="36ED4BFB"/>
    <w:rsid w:val="36F82FBB"/>
    <w:rsid w:val="372A370D"/>
    <w:rsid w:val="375B2943"/>
    <w:rsid w:val="37753CAD"/>
    <w:rsid w:val="37940DC6"/>
    <w:rsid w:val="37AB1B65"/>
    <w:rsid w:val="37D92540"/>
    <w:rsid w:val="37F627D6"/>
    <w:rsid w:val="3806412E"/>
    <w:rsid w:val="3810730B"/>
    <w:rsid w:val="38527BFF"/>
    <w:rsid w:val="386E18A2"/>
    <w:rsid w:val="389B4F29"/>
    <w:rsid w:val="38AF194E"/>
    <w:rsid w:val="38B777C4"/>
    <w:rsid w:val="38CF2BC1"/>
    <w:rsid w:val="38D45CB2"/>
    <w:rsid w:val="38F442DB"/>
    <w:rsid w:val="39287DA4"/>
    <w:rsid w:val="393206E7"/>
    <w:rsid w:val="398433A6"/>
    <w:rsid w:val="39861EF9"/>
    <w:rsid w:val="39D54578"/>
    <w:rsid w:val="39D73FB5"/>
    <w:rsid w:val="39DB1561"/>
    <w:rsid w:val="3A0719C4"/>
    <w:rsid w:val="3A1A0893"/>
    <w:rsid w:val="3A2C594A"/>
    <w:rsid w:val="3A5C364C"/>
    <w:rsid w:val="3AEE715C"/>
    <w:rsid w:val="3AF52133"/>
    <w:rsid w:val="3AFD25BE"/>
    <w:rsid w:val="3B1A0DCD"/>
    <w:rsid w:val="3B3B4DF0"/>
    <w:rsid w:val="3B491430"/>
    <w:rsid w:val="3B6D0F0B"/>
    <w:rsid w:val="3B7B7865"/>
    <w:rsid w:val="3B7E4A28"/>
    <w:rsid w:val="3B9117A2"/>
    <w:rsid w:val="3BBF7BC2"/>
    <w:rsid w:val="3BF072E6"/>
    <w:rsid w:val="3C337263"/>
    <w:rsid w:val="3C4B742A"/>
    <w:rsid w:val="3C653224"/>
    <w:rsid w:val="3C92251C"/>
    <w:rsid w:val="3CF5550F"/>
    <w:rsid w:val="3D37175C"/>
    <w:rsid w:val="3D5457A5"/>
    <w:rsid w:val="3DB159B2"/>
    <w:rsid w:val="3DE23EE4"/>
    <w:rsid w:val="3E0028BE"/>
    <w:rsid w:val="3E0169AF"/>
    <w:rsid w:val="3E0D2BA2"/>
    <w:rsid w:val="3E23065E"/>
    <w:rsid w:val="3E277DFD"/>
    <w:rsid w:val="3E6C6A4F"/>
    <w:rsid w:val="3E743757"/>
    <w:rsid w:val="3E7474A4"/>
    <w:rsid w:val="3E942E57"/>
    <w:rsid w:val="3E9F78F7"/>
    <w:rsid w:val="3EC33654"/>
    <w:rsid w:val="3F1C33C6"/>
    <w:rsid w:val="3F497D84"/>
    <w:rsid w:val="3F9D4347"/>
    <w:rsid w:val="3F9D51EE"/>
    <w:rsid w:val="3FEA36A0"/>
    <w:rsid w:val="406E67BB"/>
    <w:rsid w:val="40AF27D0"/>
    <w:rsid w:val="40E92BE7"/>
    <w:rsid w:val="41195DF8"/>
    <w:rsid w:val="412D2874"/>
    <w:rsid w:val="4132224E"/>
    <w:rsid w:val="41864183"/>
    <w:rsid w:val="418B5019"/>
    <w:rsid w:val="42750D70"/>
    <w:rsid w:val="42F3649D"/>
    <w:rsid w:val="42FC5558"/>
    <w:rsid w:val="431E1BAC"/>
    <w:rsid w:val="432431A4"/>
    <w:rsid w:val="43B36469"/>
    <w:rsid w:val="43BF5066"/>
    <w:rsid w:val="43F6747D"/>
    <w:rsid w:val="440B6331"/>
    <w:rsid w:val="442A283A"/>
    <w:rsid w:val="44390965"/>
    <w:rsid w:val="44447FB6"/>
    <w:rsid w:val="44472913"/>
    <w:rsid w:val="445D0158"/>
    <w:rsid w:val="447C2876"/>
    <w:rsid w:val="44C201D4"/>
    <w:rsid w:val="44F14EA8"/>
    <w:rsid w:val="45271F81"/>
    <w:rsid w:val="45321617"/>
    <w:rsid w:val="454E1E40"/>
    <w:rsid w:val="45543D4A"/>
    <w:rsid w:val="456A23B9"/>
    <w:rsid w:val="458E64AD"/>
    <w:rsid w:val="459B57C3"/>
    <w:rsid w:val="45BF1EEA"/>
    <w:rsid w:val="4655056F"/>
    <w:rsid w:val="46A132A4"/>
    <w:rsid w:val="46B651A1"/>
    <w:rsid w:val="46B81B60"/>
    <w:rsid w:val="46DC0239"/>
    <w:rsid w:val="46EC5F09"/>
    <w:rsid w:val="46F30EE7"/>
    <w:rsid w:val="470248DE"/>
    <w:rsid w:val="47567EAE"/>
    <w:rsid w:val="47B16FF3"/>
    <w:rsid w:val="47BC65C8"/>
    <w:rsid w:val="47F06F8A"/>
    <w:rsid w:val="482D1F14"/>
    <w:rsid w:val="484D14FE"/>
    <w:rsid w:val="48684EBF"/>
    <w:rsid w:val="48927A1F"/>
    <w:rsid w:val="48C32870"/>
    <w:rsid w:val="48D524F2"/>
    <w:rsid w:val="49092EE1"/>
    <w:rsid w:val="49352B21"/>
    <w:rsid w:val="49562FE0"/>
    <w:rsid w:val="49AB775A"/>
    <w:rsid w:val="49D20DF8"/>
    <w:rsid w:val="49D21754"/>
    <w:rsid w:val="49EB3DD2"/>
    <w:rsid w:val="49ED225A"/>
    <w:rsid w:val="49FA089F"/>
    <w:rsid w:val="4A2A75AB"/>
    <w:rsid w:val="4A621B5A"/>
    <w:rsid w:val="4A7D4C52"/>
    <w:rsid w:val="4A8561FD"/>
    <w:rsid w:val="4AB66AD9"/>
    <w:rsid w:val="4AC27C60"/>
    <w:rsid w:val="4B1F5FFC"/>
    <w:rsid w:val="4B544E62"/>
    <w:rsid w:val="4B956C94"/>
    <w:rsid w:val="4BA86CAC"/>
    <w:rsid w:val="4BC12EF1"/>
    <w:rsid w:val="4BD5105B"/>
    <w:rsid w:val="4BE33D71"/>
    <w:rsid w:val="4BEB0A1B"/>
    <w:rsid w:val="4C7E5638"/>
    <w:rsid w:val="4C9E2145"/>
    <w:rsid w:val="4CA76CCA"/>
    <w:rsid w:val="4D3968BD"/>
    <w:rsid w:val="4D4F2873"/>
    <w:rsid w:val="4D8E78CF"/>
    <w:rsid w:val="4D98024B"/>
    <w:rsid w:val="4DEB39E3"/>
    <w:rsid w:val="4E0D31BE"/>
    <w:rsid w:val="4E1F107E"/>
    <w:rsid w:val="4E2F5E13"/>
    <w:rsid w:val="4E5D29D2"/>
    <w:rsid w:val="4E7514D9"/>
    <w:rsid w:val="4EBB0839"/>
    <w:rsid w:val="4ED2501F"/>
    <w:rsid w:val="4F855C16"/>
    <w:rsid w:val="4F9B7C1D"/>
    <w:rsid w:val="4FA82B06"/>
    <w:rsid w:val="4FBE038C"/>
    <w:rsid w:val="4FC81BF6"/>
    <w:rsid w:val="4FF4763C"/>
    <w:rsid w:val="500C0359"/>
    <w:rsid w:val="502E6463"/>
    <w:rsid w:val="509E4801"/>
    <w:rsid w:val="50B136A5"/>
    <w:rsid w:val="50CB7C64"/>
    <w:rsid w:val="50DF1E02"/>
    <w:rsid w:val="50EB4F43"/>
    <w:rsid w:val="511D55F2"/>
    <w:rsid w:val="51467C0D"/>
    <w:rsid w:val="514A166F"/>
    <w:rsid w:val="51651AFA"/>
    <w:rsid w:val="521C7F46"/>
    <w:rsid w:val="525C5A95"/>
    <w:rsid w:val="52A81882"/>
    <w:rsid w:val="52B07B8F"/>
    <w:rsid w:val="532F074A"/>
    <w:rsid w:val="5330458B"/>
    <w:rsid w:val="5334431C"/>
    <w:rsid w:val="534E0E94"/>
    <w:rsid w:val="5366499C"/>
    <w:rsid w:val="53795381"/>
    <w:rsid w:val="53B67B2A"/>
    <w:rsid w:val="549902D9"/>
    <w:rsid w:val="54D33936"/>
    <w:rsid w:val="550F2977"/>
    <w:rsid w:val="5510379B"/>
    <w:rsid w:val="553F133C"/>
    <w:rsid w:val="554C3B9F"/>
    <w:rsid w:val="559A75FC"/>
    <w:rsid w:val="559E7B87"/>
    <w:rsid w:val="55C4232C"/>
    <w:rsid w:val="55D25D03"/>
    <w:rsid w:val="55E5729C"/>
    <w:rsid w:val="560705AC"/>
    <w:rsid w:val="565A588A"/>
    <w:rsid w:val="567E79BE"/>
    <w:rsid w:val="56951B14"/>
    <w:rsid w:val="56B7122E"/>
    <w:rsid w:val="56C836F9"/>
    <w:rsid w:val="57233025"/>
    <w:rsid w:val="57431626"/>
    <w:rsid w:val="577661F6"/>
    <w:rsid w:val="57856723"/>
    <w:rsid w:val="579147A8"/>
    <w:rsid w:val="579900C6"/>
    <w:rsid w:val="57B12A6A"/>
    <w:rsid w:val="57C64CEA"/>
    <w:rsid w:val="57DA61EE"/>
    <w:rsid w:val="57E06965"/>
    <w:rsid w:val="583D7215"/>
    <w:rsid w:val="5853232C"/>
    <w:rsid w:val="586D6B10"/>
    <w:rsid w:val="5889224B"/>
    <w:rsid w:val="596A75AC"/>
    <w:rsid w:val="597C5CCB"/>
    <w:rsid w:val="597D27E9"/>
    <w:rsid w:val="598C5A03"/>
    <w:rsid w:val="59BB12F3"/>
    <w:rsid w:val="5A0A4993"/>
    <w:rsid w:val="5A305967"/>
    <w:rsid w:val="5A363A8E"/>
    <w:rsid w:val="5A7A2372"/>
    <w:rsid w:val="5A812888"/>
    <w:rsid w:val="5AB72D62"/>
    <w:rsid w:val="5AC70954"/>
    <w:rsid w:val="5B113E9E"/>
    <w:rsid w:val="5B2D2AF0"/>
    <w:rsid w:val="5B7A3180"/>
    <w:rsid w:val="5B8930BB"/>
    <w:rsid w:val="5BA86D0C"/>
    <w:rsid w:val="5BBA64AB"/>
    <w:rsid w:val="5BBC23A9"/>
    <w:rsid w:val="5BEC600D"/>
    <w:rsid w:val="5C002C68"/>
    <w:rsid w:val="5C055E2E"/>
    <w:rsid w:val="5C321025"/>
    <w:rsid w:val="5C3A1DC0"/>
    <w:rsid w:val="5C813653"/>
    <w:rsid w:val="5C9F0481"/>
    <w:rsid w:val="5CBA122E"/>
    <w:rsid w:val="5CC00B84"/>
    <w:rsid w:val="5CD4565B"/>
    <w:rsid w:val="5D186A5C"/>
    <w:rsid w:val="5D4149B7"/>
    <w:rsid w:val="5D47329A"/>
    <w:rsid w:val="5D634FB2"/>
    <w:rsid w:val="5D8E2419"/>
    <w:rsid w:val="5DA530EC"/>
    <w:rsid w:val="5DA768D4"/>
    <w:rsid w:val="5DB44CC9"/>
    <w:rsid w:val="5DB67BA8"/>
    <w:rsid w:val="5E380F92"/>
    <w:rsid w:val="5EEA5E68"/>
    <w:rsid w:val="5F040F2C"/>
    <w:rsid w:val="5F105AE3"/>
    <w:rsid w:val="5F3669A0"/>
    <w:rsid w:val="5F4C5CE4"/>
    <w:rsid w:val="5F8055E9"/>
    <w:rsid w:val="5F8374C3"/>
    <w:rsid w:val="5FA62EFB"/>
    <w:rsid w:val="5FB35BF9"/>
    <w:rsid w:val="5FC06413"/>
    <w:rsid w:val="5FF42C7A"/>
    <w:rsid w:val="60261BC5"/>
    <w:rsid w:val="605C13A4"/>
    <w:rsid w:val="60714495"/>
    <w:rsid w:val="607F6663"/>
    <w:rsid w:val="60AF2B0B"/>
    <w:rsid w:val="60AF2C89"/>
    <w:rsid w:val="60BC4C41"/>
    <w:rsid w:val="60BE4CCB"/>
    <w:rsid w:val="60CD1726"/>
    <w:rsid w:val="60DC1428"/>
    <w:rsid w:val="60EA448B"/>
    <w:rsid w:val="60FB291D"/>
    <w:rsid w:val="61060192"/>
    <w:rsid w:val="613066C4"/>
    <w:rsid w:val="614668E5"/>
    <w:rsid w:val="615573BE"/>
    <w:rsid w:val="61A72C76"/>
    <w:rsid w:val="61B208DA"/>
    <w:rsid w:val="61BB4AC5"/>
    <w:rsid w:val="61BC3AF2"/>
    <w:rsid w:val="622F474D"/>
    <w:rsid w:val="623A1223"/>
    <w:rsid w:val="62410026"/>
    <w:rsid w:val="62502FB6"/>
    <w:rsid w:val="625473BB"/>
    <w:rsid w:val="625E6B24"/>
    <w:rsid w:val="62875E5A"/>
    <w:rsid w:val="629533B0"/>
    <w:rsid w:val="62C95953"/>
    <w:rsid w:val="631B52B1"/>
    <w:rsid w:val="63241F3B"/>
    <w:rsid w:val="633D32C9"/>
    <w:rsid w:val="634F2CC2"/>
    <w:rsid w:val="636813A7"/>
    <w:rsid w:val="63696C2D"/>
    <w:rsid w:val="637A221F"/>
    <w:rsid w:val="63AB5314"/>
    <w:rsid w:val="63B32720"/>
    <w:rsid w:val="63F4182F"/>
    <w:rsid w:val="64102BE4"/>
    <w:rsid w:val="641A7B46"/>
    <w:rsid w:val="6456548C"/>
    <w:rsid w:val="645C14A6"/>
    <w:rsid w:val="646D3B32"/>
    <w:rsid w:val="65051FBC"/>
    <w:rsid w:val="654F78F7"/>
    <w:rsid w:val="655D4CDA"/>
    <w:rsid w:val="658A1B2B"/>
    <w:rsid w:val="65CC178E"/>
    <w:rsid w:val="6652252B"/>
    <w:rsid w:val="6660053C"/>
    <w:rsid w:val="6686576C"/>
    <w:rsid w:val="668C2539"/>
    <w:rsid w:val="66A15D14"/>
    <w:rsid w:val="66AC731E"/>
    <w:rsid w:val="66C73302"/>
    <w:rsid w:val="66C83F0F"/>
    <w:rsid w:val="672F6F46"/>
    <w:rsid w:val="675C5930"/>
    <w:rsid w:val="67924C7A"/>
    <w:rsid w:val="679B4771"/>
    <w:rsid w:val="679C300B"/>
    <w:rsid w:val="67D121E0"/>
    <w:rsid w:val="67F51E74"/>
    <w:rsid w:val="68316D14"/>
    <w:rsid w:val="683E0616"/>
    <w:rsid w:val="68914881"/>
    <w:rsid w:val="6893210F"/>
    <w:rsid w:val="68B01AF4"/>
    <w:rsid w:val="68C51471"/>
    <w:rsid w:val="694F0B69"/>
    <w:rsid w:val="6991693E"/>
    <w:rsid w:val="69A00868"/>
    <w:rsid w:val="69AA52EA"/>
    <w:rsid w:val="69C75E11"/>
    <w:rsid w:val="69D211D5"/>
    <w:rsid w:val="69F96C3D"/>
    <w:rsid w:val="6A005FBF"/>
    <w:rsid w:val="6A1B68A2"/>
    <w:rsid w:val="6A2856D7"/>
    <w:rsid w:val="6A650922"/>
    <w:rsid w:val="6A731F22"/>
    <w:rsid w:val="6AD27A6A"/>
    <w:rsid w:val="6B2A6CEA"/>
    <w:rsid w:val="6B7F6169"/>
    <w:rsid w:val="6BA14406"/>
    <w:rsid w:val="6BE02E3B"/>
    <w:rsid w:val="6C1914AC"/>
    <w:rsid w:val="6C976C1F"/>
    <w:rsid w:val="6CB16327"/>
    <w:rsid w:val="6CCF2FDD"/>
    <w:rsid w:val="6CDB282B"/>
    <w:rsid w:val="6D455E49"/>
    <w:rsid w:val="6D534B3A"/>
    <w:rsid w:val="6D610128"/>
    <w:rsid w:val="6D640908"/>
    <w:rsid w:val="6D6B4986"/>
    <w:rsid w:val="6DB26C1E"/>
    <w:rsid w:val="6DB95CF3"/>
    <w:rsid w:val="6DE02450"/>
    <w:rsid w:val="6DEE6C91"/>
    <w:rsid w:val="6DF26FC2"/>
    <w:rsid w:val="6E11210D"/>
    <w:rsid w:val="6E6E273B"/>
    <w:rsid w:val="6E8D4C2A"/>
    <w:rsid w:val="6F727364"/>
    <w:rsid w:val="6F7F31F2"/>
    <w:rsid w:val="6F93311C"/>
    <w:rsid w:val="6F985A71"/>
    <w:rsid w:val="6F9F7CBF"/>
    <w:rsid w:val="6FE92C5E"/>
    <w:rsid w:val="70324EB7"/>
    <w:rsid w:val="70340726"/>
    <w:rsid w:val="70A259FD"/>
    <w:rsid w:val="70B23573"/>
    <w:rsid w:val="70C955EC"/>
    <w:rsid w:val="71183A45"/>
    <w:rsid w:val="7166670A"/>
    <w:rsid w:val="7178316E"/>
    <w:rsid w:val="71A878F5"/>
    <w:rsid w:val="71B85357"/>
    <w:rsid w:val="71E73D84"/>
    <w:rsid w:val="71FD64F5"/>
    <w:rsid w:val="72B62078"/>
    <w:rsid w:val="72DE4444"/>
    <w:rsid w:val="732A1B34"/>
    <w:rsid w:val="732B0C1D"/>
    <w:rsid w:val="73337CF4"/>
    <w:rsid w:val="733D07FE"/>
    <w:rsid w:val="73995769"/>
    <w:rsid w:val="73AC3858"/>
    <w:rsid w:val="73C7661F"/>
    <w:rsid w:val="73CE2E0B"/>
    <w:rsid w:val="73D616A1"/>
    <w:rsid w:val="73DF07F9"/>
    <w:rsid w:val="74E13391"/>
    <w:rsid w:val="75450A73"/>
    <w:rsid w:val="758F6FBE"/>
    <w:rsid w:val="75A2314E"/>
    <w:rsid w:val="75A826CA"/>
    <w:rsid w:val="75B807EA"/>
    <w:rsid w:val="75F0579E"/>
    <w:rsid w:val="76224BDE"/>
    <w:rsid w:val="765A4D38"/>
    <w:rsid w:val="76870EAD"/>
    <w:rsid w:val="76957CF6"/>
    <w:rsid w:val="770B1E2E"/>
    <w:rsid w:val="77163798"/>
    <w:rsid w:val="771B45CB"/>
    <w:rsid w:val="777D2007"/>
    <w:rsid w:val="77C3210C"/>
    <w:rsid w:val="77E72055"/>
    <w:rsid w:val="77E75706"/>
    <w:rsid w:val="77EF2BD0"/>
    <w:rsid w:val="782D5F38"/>
    <w:rsid w:val="78385CF0"/>
    <w:rsid w:val="784016D6"/>
    <w:rsid w:val="784A63DE"/>
    <w:rsid w:val="785B7D01"/>
    <w:rsid w:val="7861548E"/>
    <w:rsid w:val="78AA4261"/>
    <w:rsid w:val="78D43A95"/>
    <w:rsid w:val="790B3EE3"/>
    <w:rsid w:val="791B1956"/>
    <w:rsid w:val="79474E0E"/>
    <w:rsid w:val="795055FF"/>
    <w:rsid w:val="796079CC"/>
    <w:rsid w:val="79627585"/>
    <w:rsid w:val="796A276D"/>
    <w:rsid w:val="79785CF9"/>
    <w:rsid w:val="79835D1A"/>
    <w:rsid w:val="798474E4"/>
    <w:rsid w:val="79D96796"/>
    <w:rsid w:val="79DD5076"/>
    <w:rsid w:val="79F67A7D"/>
    <w:rsid w:val="7A064282"/>
    <w:rsid w:val="7A17265F"/>
    <w:rsid w:val="7A8378C9"/>
    <w:rsid w:val="7A8B129B"/>
    <w:rsid w:val="7AC83A41"/>
    <w:rsid w:val="7AE86D50"/>
    <w:rsid w:val="7AF947B7"/>
    <w:rsid w:val="7B1C0345"/>
    <w:rsid w:val="7B2A3852"/>
    <w:rsid w:val="7B2B4440"/>
    <w:rsid w:val="7B336D52"/>
    <w:rsid w:val="7B3D6298"/>
    <w:rsid w:val="7B5D1DB2"/>
    <w:rsid w:val="7B843ED6"/>
    <w:rsid w:val="7B9D116D"/>
    <w:rsid w:val="7BC20030"/>
    <w:rsid w:val="7BE7030B"/>
    <w:rsid w:val="7C48441E"/>
    <w:rsid w:val="7C653614"/>
    <w:rsid w:val="7C7559C8"/>
    <w:rsid w:val="7C8E31B6"/>
    <w:rsid w:val="7CD73D04"/>
    <w:rsid w:val="7D5E0448"/>
    <w:rsid w:val="7D8E26F7"/>
    <w:rsid w:val="7E02125E"/>
    <w:rsid w:val="7E0A7517"/>
    <w:rsid w:val="7E1B136C"/>
    <w:rsid w:val="7E3510C4"/>
    <w:rsid w:val="7E714E34"/>
    <w:rsid w:val="7E7F3A29"/>
    <w:rsid w:val="7ECE5A25"/>
    <w:rsid w:val="7EF03CDD"/>
    <w:rsid w:val="7F0832F0"/>
    <w:rsid w:val="7F1A58FA"/>
    <w:rsid w:val="7F3F158A"/>
    <w:rsid w:val="7F4E0F53"/>
    <w:rsid w:val="7F85713C"/>
    <w:rsid w:val="7F9505BB"/>
    <w:rsid w:val="7FB05D91"/>
    <w:rsid w:val="7FBBA71C"/>
    <w:rsid w:val="7FBC5C32"/>
    <w:rsid w:val="7FC468A4"/>
    <w:rsid w:val="7FD26FB0"/>
    <w:rsid w:val="7FDFAFCB"/>
    <w:rsid w:val="7FF45631"/>
    <w:rsid w:val="A7DF816F"/>
    <w:rsid w:val="ED9F0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qFormat/>
    <w:uiPriority w:val="1"/>
  </w:style>
  <w:style w:type="table" w:default="1" w:styleId="36">
    <w:name w:val="Normal Table"/>
    <w:unhideWhenUsed/>
    <w:qFormat/>
    <w:uiPriority w:val="99"/>
    <w:tblPr>
      <w:tblLayout w:type="fixed"/>
      <w:tblCellMar>
        <w:top w:w="0" w:type="dxa"/>
        <w:left w:w="108" w:type="dxa"/>
        <w:bottom w:w="0" w:type="dxa"/>
        <w:right w:w="108" w:type="dxa"/>
      </w:tblCellMar>
    </w:tblPr>
  </w:style>
  <w:style w:type="paragraph" w:customStyle="1" w:styleId="2">
    <w:name w:val="BodyText1I2"/>
    <w:basedOn w:val="1"/>
    <w:qFormat/>
    <w:uiPriority w:val="0"/>
    <w:pPr>
      <w:ind w:firstLine="420" w:firstLineChars="200"/>
    </w:pPr>
    <w:rPr>
      <w:rFonts w:eastAsia="仿宋"/>
      <w:kern w:val="0"/>
      <w:sz w:val="20"/>
      <w:szCs w:val="24"/>
    </w:r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annotation text"/>
    <w:basedOn w:val="1"/>
    <w:unhideWhenUsed/>
    <w:qFormat/>
    <w:uiPriority w:val="99"/>
    <w:pPr>
      <w:jc w:val="left"/>
    </w:pPr>
  </w:style>
  <w:style w:type="paragraph" w:styleId="15">
    <w:name w:val="Body Text"/>
    <w:basedOn w:val="1"/>
    <w:link w:val="90"/>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49"/>
    <w:unhideWhenUsed/>
    <w:qFormat/>
    <w:uiPriority w:val="99"/>
    <w:rPr>
      <w:sz w:val="18"/>
      <w:szCs w:val="18"/>
    </w:rPr>
  </w:style>
  <w:style w:type="paragraph" w:styleId="19">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7"/>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Normal (Web)"/>
    <w:basedOn w:val="1"/>
    <w:unhideWhenUsed/>
    <w:qFormat/>
    <w:uiPriority w:val="99"/>
    <w:rPr>
      <w:sz w:val="24"/>
    </w:rPr>
  </w:style>
  <w:style w:type="paragraph" w:styleId="28">
    <w:name w:val="Title"/>
    <w:basedOn w:val="1"/>
    <w:link w:val="52"/>
    <w:qFormat/>
    <w:uiPriority w:val="0"/>
    <w:pPr>
      <w:spacing w:before="240" w:after="60"/>
      <w:jc w:val="center"/>
      <w:outlineLvl w:val="0"/>
    </w:pPr>
    <w:rPr>
      <w:rFonts w:ascii="Arial" w:hAnsi="Arial" w:cs="Arial"/>
      <w:b/>
      <w:bCs/>
      <w:sz w:val="32"/>
      <w:szCs w:val="32"/>
    </w:r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annotation reference"/>
    <w:basedOn w:val="29"/>
    <w:unhideWhenUsed/>
    <w:qFormat/>
    <w:uiPriority w:val="99"/>
    <w:rPr>
      <w:sz w:val="21"/>
      <w:szCs w:val="21"/>
    </w:rPr>
  </w:style>
  <w:style w:type="character" w:styleId="35">
    <w:name w:val="footnote reference"/>
    <w:semiHidden/>
    <w:qFormat/>
    <w:uiPriority w:val="0"/>
    <w:rPr>
      <w:rFonts w:ascii="宋体" w:hAnsi="宋体" w:eastAsia="宋体" w:cs="Times New Roman"/>
      <w:spacing w:val="0"/>
      <w:sz w:val="18"/>
      <w:vertAlign w:val="superscript"/>
    </w:rPr>
  </w:style>
  <w:style w:type="table" w:styleId="37">
    <w:name w:val="Table Grid"/>
    <w:basedOn w:val="3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8">
    <w:name w:val="标题 1 字符"/>
    <w:link w:val="3"/>
    <w:qFormat/>
    <w:uiPriority w:val="0"/>
    <w:rPr>
      <w:b/>
      <w:bCs/>
      <w:kern w:val="44"/>
      <w:sz w:val="44"/>
      <w:szCs w:val="44"/>
    </w:rPr>
  </w:style>
  <w:style w:type="character" w:customStyle="1" w:styleId="39">
    <w:name w:val="标题 2 字符"/>
    <w:link w:val="4"/>
    <w:qFormat/>
    <w:uiPriority w:val="0"/>
    <w:rPr>
      <w:rFonts w:ascii="Arial" w:hAnsi="Arial" w:eastAsia="黑体"/>
      <w:b/>
      <w:bCs/>
      <w:kern w:val="2"/>
      <w:sz w:val="32"/>
      <w:szCs w:val="32"/>
    </w:rPr>
  </w:style>
  <w:style w:type="character" w:customStyle="1" w:styleId="40">
    <w:name w:val="标题 3 字符"/>
    <w:link w:val="5"/>
    <w:qFormat/>
    <w:uiPriority w:val="0"/>
    <w:rPr>
      <w:b/>
      <w:bCs/>
      <w:kern w:val="2"/>
      <w:sz w:val="32"/>
      <w:szCs w:val="32"/>
    </w:rPr>
  </w:style>
  <w:style w:type="character" w:customStyle="1" w:styleId="41">
    <w:name w:val="标题 4 字符"/>
    <w:link w:val="6"/>
    <w:qFormat/>
    <w:uiPriority w:val="0"/>
    <w:rPr>
      <w:rFonts w:ascii="Arial" w:hAnsi="Arial" w:eastAsia="黑体"/>
      <w:b/>
      <w:bCs/>
      <w:kern w:val="2"/>
      <w:sz w:val="28"/>
      <w:szCs w:val="28"/>
    </w:rPr>
  </w:style>
  <w:style w:type="character" w:customStyle="1" w:styleId="42">
    <w:name w:val="标题 5 字符"/>
    <w:link w:val="7"/>
    <w:qFormat/>
    <w:uiPriority w:val="0"/>
    <w:rPr>
      <w:b/>
      <w:bCs/>
      <w:kern w:val="2"/>
      <w:sz w:val="28"/>
      <w:szCs w:val="28"/>
    </w:rPr>
  </w:style>
  <w:style w:type="character" w:customStyle="1" w:styleId="43">
    <w:name w:val="标题 6 字符"/>
    <w:link w:val="8"/>
    <w:qFormat/>
    <w:uiPriority w:val="0"/>
    <w:rPr>
      <w:rFonts w:ascii="Arial" w:hAnsi="Arial" w:eastAsia="黑体"/>
      <w:b/>
      <w:bCs/>
      <w:kern w:val="2"/>
      <w:sz w:val="24"/>
      <w:szCs w:val="24"/>
    </w:rPr>
  </w:style>
  <w:style w:type="character" w:customStyle="1" w:styleId="44">
    <w:name w:val="标题 7 字符"/>
    <w:link w:val="9"/>
    <w:qFormat/>
    <w:uiPriority w:val="0"/>
    <w:rPr>
      <w:b/>
      <w:bCs/>
      <w:kern w:val="2"/>
      <w:sz w:val="24"/>
      <w:szCs w:val="24"/>
    </w:rPr>
  </w:style>
  <w:style w:type="character" w:customStyle="1" w:styleId="45">
    <w:name w:val="标题 8 字符"/>
    <w:link w:val="10"/>
    <w:qFormat/>
    <w:uiPriority w:val="0"/>
    <w:rPr>
      <w:rFonts w:ascii="Arial" w:hAnsi="Arial" w:eastAsia="黑体"/>
      <w:kern w:val="2"/>
      <w:sz w:val="24"/>
      <w:szCs w:val="24"/>
    </w:rPr>
  </w:style>
  <w:style w:type="character" w:customStyle="1" w:styleId="46">
    <w:name w:val="标题 9 字符"/>
    <w:link w:val="11"/>
    <w:qFormat/>
    <w:uiPriority w:val="0"/>
    <w:rPr>
      <w:rFonts w:ascii="Arial" w:hAnsi="Arial" w:eastAsia="黑体"/>
      <w:kern w:val="2"/>
      <w:sz w:val="21"/>
      <w:szCs w:val="21"/>
    </w:rPr>
  </w:style>
  <w:style w:type="character" w:customStyle="1" w:styleId="47">
    <w:name w:val="页眉 字符"/>
    <w:link w:val="20"/>
    <w:qFormat/>
    <w:uiPriority w:val="99"/>
    <w:rPr>
      <w:kern w:val="2"/>
      <w:sz w:val="18"/>
      <w:szCs w:val="18"/>
    </w:rPr>
  </w:style>
  <w:style w:type="character" w:customStyle="1" w:styleId="48">
    <w:name w:val="页脚 字符"/>
    <w:link w:val="19"/>
    <w:qFormat/>
    <w:uiPriority w:val="99"/>
    <w:rPr>
      <w:rFonts w:ascii="宋体"/>
      <w:kern w:val="2"/>
      <w:sz w:val="18"/>
      <w:szCs w:val="18"/>
    </w:rPr>
  </w:style>
  <w:style w:type="character" w:customStyle="1" w:styleId="49">
    <w:name w:val="批注框文本 字符"/>
    <w:link w:val="18"/>
    <w:semiHidden/>
    <w:qFormat/>
    <w:uiPriority w:val="99"/>
    <w:rPr>
      <w:kern w:val="2"/>
      <w:sz w:val="18"/>
      <w:szCs w:val="18"/>
    </w:rPr>
  </w:style>
  <w:style w:type="paragraph" w:customStyle="1"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8"/>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5"/>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3"/>
    <w:semiHidden/>
    <w:qFormat/>
    <w:uiPriority w:val="0"/>
    <w:rPr>
      <w:rFonts w:ascii="宋体"/>
      <w:kern w:val="2"/>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customStyle="1" w:styleId="190">
    <w:name w:val="Placeholder Text"/>
    <w:basedOn w:val="29"/>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29"/>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vAnchor="page" w:hAnchor="page" w:x="1419" w:y="14097"/>
    </w:pPr>
  </w:style>
  <w:style w:type="paragraph" w:customStyle="1" w:styleId="198">
    <w:name w:val="其他实施日期"/>
    <w:basedOn w:val="158"/>
    <w:qFormat/>
    <w:uiPriority w:val="0"/>
    <w:pPr>
      <w:framePr w:w="3997" w:h="471" w:hRule="exact" w:vSpace="181" w:vAnchor="page" w:hAnchor="page" w:x="7089" w:y="14097"/>
    </w:pPr>
  </w:style>
  <w:style w:type="paragraph" w:customStyle="1" w:styleId="199">
    <w:name w:val="标准文件_文件编号"/>
    <w:basedOn w:val="60"/>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29"/>
    <w:qFormat/>
    <w:uiPriority w:val="0"/>
    <w:rPr>
      <w:rFonts w:ascii="黑体" w:eastAsia="黑体"/>
      <w:spacing w:val="85"/>
      <w:w w:val="100"/>
      <w:position w:val="3"/>
      <w:sz w:val="28"/>
      <w:szCs w:val="28"/>
    </w:rPr>
  </w:style>
  <w:style w:type="paragraph" w:customStyle="1" w:styleId="234">
    <w:name w:val="修订1"/>
    <w:hidden/>
    <w:unhideWhenUsed/>
    <w:qFormat/>
    <w:uiPriority w:val="99"/>
    <w:rPr>
      <w:rFonts w:ascii="Calibri" w:hAnsi="Calibri" w:eastAsia="宋体" w:cs="Times New Roman"/>
      <w:kern w:val="2"/>
      <w:sz w:val="21"/>
      <w:szCs w:val="21"/>
      <w:lang w:val="en-US" w:eastAsia="zh-CN" w:bidi="ar-SA"/>
    </w:rPr>
  </w:style>
  <w:style w:type="paragraph" w:customStyle="1" w:styleId="235">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glossaryDocument" Target="glossary/document.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1.jpeg"/><Relationship Id="rId38" Type="http://schemas.openxmlformats.org/officeDocument/2006/relationships/image" Target="media/image1.tiff"/><Relationship Id="rId37" Type="http://schemas.openxmlformats.org/officeDocument/2006/relationships/theme" Target="theme/theme1.xml"/><Relationship Id="rId36" Type="http://schemas.openxmlformats.org/officeDocument/2006/relationships/footer" Target="footer17.xml"/><Relationship Id="rId35" Type="http://schemas.openxmlformats.org/officeDocument/2006/relationships/footer" Target="footer16.xml"/><Relationship Id="rId34" Type="http://schemas.openxmlformats.org/officeDocument/2006/relationships/header" Target="header17.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footer" Target="footer14.xml"/><Relationship Id="rId30" Type="http://schemas.openxmlformats.org/officeDocument/2006/relationships/header" Target="header15.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footer" Target="footer12.xml"/><Relationship Id="rId26" Type="http://schemas.openxmlformats.org/officeDocument/2006/relationships/header" Target="header13.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s\long\Library\Containers\com.kingsoft.wpsoffice.mac\Data\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0A1D9AD07D341AF81CC88793023F97F"/>
        <w:style w:val=""/>
        <w:category>
          <w:name w:val="常规"/>
          <w:gallery w:val="placeholder"/>
        </w:category>
        <w:types>
          <w:type w:val="bbPlcHdr"/>
        </w:types>
        <w:behaviors>
          <w:behavior w:val="content"/>
        </w:behaviors>
        <w:description w:val=""/>
        <w:guid w:val="{38DBF688-1A8F-4B24-9922-FFB99C344E59}"/>
      </w:docPartPr>
      <w:docPartBody>
        <w:p>
          <w:pPr>
            <w:pStyle w:val="5"/>
            <w:rPr>
              <w:rFonts w:hint="eastAsia"/>
            </w:rPr>
          </w:pPr>
          <w:r>
            <w:rPr>
              <w:rStyle w:val="4"/>
              <w:rFonts w:hint="eastAsia"/>
            </w:rPr>
            <w:t>单击或点击此处输入文字。</w:t>
          </w:r>
        </w:p>
      </w:docPartBody>
    </w:docPart>
    <w:docPart>
      <w:docPartPr>
        <w:name w:val="7CB696FA5BA7425197F6AB5E95F543AA"/>
        <w:style w:val=""/>
        <w:category>
          <w:name w:val="常规"/>
          <w:gallery w:val="placeholder"/>
        </w:category>
        <w:types>
          <w:type w:val="bbPlcHdr"/>
        </w:types>
        <w:behaviors>
          <w:behavior w:val="content"/>
        </w:behaviors>
        <w:description w:val=""/>
        <w:guid w:val="{71AB27F7-98F2-46EF-BB0B-88514D5F8855}"/>
      </w:docPartPr>
      <w:docPartBody>
        <w:p>
          <w:pPr>
            <w:pStyle w:val="6"/>
            <w:rPr>
              <w:rFonts w:hint="eastAsia"/>
            </w:rPr>
          </w:pPr>
          <w:r>
            <w:rPr>
              <w:rStyle w:val="4"/>
              <w:rFonts w:hint="eastAsia"/>
            </w:rPr>
            <w:t>选择一项。</w:t>
          </w:r>
        </w:p>
      </w:docPartBody>
    </w:docPart>
    <w:docPart>
      <w:docPartPr>
        <w:name w:val="D6E6F5DD915C45A1BD36522031F6A756"/>
        <w:style w:val=""/>
        <w:category>
          <w:name w:val="常规"/>
          <w:gallery w:val="placeholder"/>
        </w:category>
        <w:types>
          <w:type w:val="bbPlcHdr"/>
        </w:types>
        <w:behaviors>
          <w:behavior w:val="content"/>
        </w:behaviors>
        <w:description w:val=""/>
        <w:guid w:val="{AE933825-5865-4D3C-B719-80FF57EDC621}"/>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5B5"/>
    <w:rsid w:val="0007417F"/>
    <w:rsid w:val="000936B6"/>
    <w:rsid w:val="000E25B5"/>
    <w:rsid w:val="00116CAC"/>
    <w:rsid w:val="001F535F"/>
    <w:rsid w:val="0028043F"/>
    <w:rsid w:val="00395E8B"/>
    <w:rsid w:val="003A3291"/>
    <w:rsid w:val="00402918"/>
    <w:rsid w:val="004362AB"/>
    <w:rsid w:val="0046629E"/>
    <w:rsid w:val="0058374F"/>
    <w:rsid w:val="00693AE8"/>
    <w:rsid w:val="008E58BF"/>
    <w:rsid w:val="009105DB"/>
    <w:rsid w:val="00A13033"/>
    <w:rsid w:val="00A32CF0"/>
    <w:rsid w:val="00AB201B"/>
    <w:rsid w:val="00B8172F"/>
    <w:rsid w:val="00C53A62"/>
    <w:rsid w:val="00C67274"/>
    <w:rsid w:val="00C9518C"/>
    <w:rsid w:val="00D345A3"/>
    <w:rsid w:val="00E077D5"/>
    <w:rsid w:val="00E81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F0A1D9AD07D341AF81CC88793023F97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CB696FA5BA7425197F6AB5E95F543A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6E6F5DD915C45A1BD36522031F6A75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23</Pages>
  <Words>764</Words>
  <Characters>990</Characters>
  <Lines>159</Lines>
  <Paragraphs>44</Paragraphs>
  <TotalTime>0</TotalTime>
  <ScaleCrop>false</ScaleCrop>
  <LinksUpToDate>false</LinksUpToDate>
  <CharactersWithSpaces>1156</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2025-12-17T04:58:00Z</dcterms:created>
  <dc:creator>more</dc:creator>
  <dc:description>&lt;config cover="true" show_menu="true" version="1.0.0" doctype="SDKXY"&gt;_x000d_
&lt;/config&gt;</dc:description>
  <cp:lastModifiedBy>admin</cp:lastModifiedBy>
  <cp:lastPrinted>2020-08-31T10:00:00Z</cp:lastPrinted>
  <dcterms:modified xsi:type="dcterms:W3CDTF">2026-09-29T08:19:33Z</dcterms:modified>
  <dc:title>地方标准</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eyJoZGlkIjoiY2Q0YTI4M2VjMzA1NjhiYjZkYzMzZTQxOTk5OTJkNzUiLCJ1c2VySWQiOiIyNTU0MDYxODAifQ==</vt:lpwstr>
  </property>
  <property fmtid="{D5CDD505-2E9C-101B-9397-08002B2CF9AE}" pid="15" name="KSOProductBuildVer">
    <vt:lpwstr>2052-10.8.0.6423</vt:lpwstr>
  </property>
  <property fmtid="{D5CDD505-2E9C-101B-9397-08002B2CF9AE}" pid="16" name="ICV">
    <vt:lpwstr>ABA3616D6CB941EE950A3716CBCE1C6C_13</vt:lpwstr>
  </property>
  <property fmtid="{D5CDD505-2E9C-101B-9397-08002B2CF9AE}" pid="17" name="DoublePage">
    <vt:lpwstr>true</vt:lpwstr>
  </property>
</Properties>
</file>