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35.240.60；03.220.20</w:t>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R 07</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0"/>
        <w:framePr w:w="9639" w:h="624" w:hRule="exact" w:hSpace="181" w:vSpace="181"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hint="eastAsia" w:ascii="黑体" w:hAnsi="黑体" w:eastAsia="黑体"/>
          <w:b w:val="0"/>
          <w:bCs w:val="0"/>
          <w:w w:val="100"/>
        </w:rPr>
      </w:pPr>
    </w:p>
    <w:p>
      <w:pPr>
        <w:pStyle w:val="197"/>
        <w:framePr w:h="6974" w:hRule="exact"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高速公路路网运行应急指挥智能调度系统技术指南</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Technical guidelines for intelligent dispatch system of emergency command for operation of expressway road network</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bookmarkStart w:id="378" w:name="_GoBack"/>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378"/>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hint="eastAsia"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spacing w:after="468"/>
      </w:pPr>
      <w:bookmarkStart w:id="21" w:name="BookMark1"/>
      <w:bookmarkStart w:id="22" w:name="_Toc229322103"/>
      <w:bookmarkStart w:id="23" w:name="_Toc229305489"/>
      <w:bookmarkStart w:id="24" w:name="_Toc228399071"/>
      <w:bookmarkStart w:id="25" w:name="_Toc234255940"/>
      <w:bookmarkStart w:id="26" w:name="_Toc228006891"/>
      <w:r>
        <w:rPr>
          <w:rFonts w:hint="eastAsia"/>
          <w:spacing w:val="320"/>
        </w:rPr>
        <w:t>目</w:t>
      </w:r>
      <w:r>
        <w:rPr>
          <w:rFonts w:hint="eastAsia"/>
        </w:rPr>
        <w:t>次</w:t>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"_Toc241416835" </w:instrText>
      </w:r>
      <w:r>
        <w:fldChar w:fldCharType="separate"/>
      </w:r>
      <w:r>
        <w:rPr>
          <w:rStyle w:val="30"/>
        </w:rPr>
        <w:t>前言</w:t>
      </w:r>
      <w:r>
        <w:rPr>
          <w:rFonts w:hint="eastAsia"/>
        </w:rPr>
        <w:tab/>
      </w:r>
      <w:r>
        <w:rPr>
          <w:rFonts w:hint="eastAsia"/>
        </w:rPr>
        <w:fldChar w:fldCharType="begin"/>
      </w:r>
      <w:r>
        <w:rPr>
          <w:rFonts w:hint="eastAsia"/>
        </w:rPr>
        <w:instrText xml:space="preserve"> </w:instrText>
      </w:r>
      <w:r>
        <w:instrText xml:space="preserve">PAGEREF _Toc241416835 \h</w:instrText>
      </w:r>
      <w:r>
        <w:rPr>
          <w:rFonts w:hint="eastAsia"/>
        </w:rPr>
        <w:instrText xml:space="preserve"> </w:instrText>
      </w:r>
      <w:r>
        <w:rPr>
          <w:rFonts w:hint="eastAsia"/>
        </w:rPr>
        <w:fldChar w:fldCharType="separate"/>
      </w:r>
      <w:r>
        <w:t>III</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"_Toc241416836" </w:instrText>
      </w:r>
      <w:r>
        <w:fldChar w:fldCharType="separate"/>
      </w:r>
      <w:r>
        <w:rPr>
          <w:rStyle w:val="30"/>
        </w:rPr>
        <w:t>引言</w:t>
      </w:r>
      <w:r>
        <w:rPr>
          <w:rFonts w:hint="eastAsia"/>
        </w:rPr>
        <w:tab/>
      </w:r>
      <w:r>
        <w:rPr>
          <w:rFonts w:hint="eastAsia"/>
        </w:rPr>
        <w:fldChar w:fldCharType="begin"/>
      </w:r>
      <w:r>
        <w:rPr>
          <w:rFonts w:hint="eastAsia"/>
        </w:rPr>
        <w:instrText xml:space="preserve"> </w:instrText>
      </w:r>
      <w:r>
        <w:instrText xml:space="preserve">PAGEREF _Toc241416836 \h</w:instrText>
      </w:r>
      <w:r>
        <w:rPr>
          <w:rFonts w:hint="eastAsia"/>
        </w:rPr>
        <w:instrText xml:space="preserve"> </w:instrText>
      </w:r>
      <w:r>
        <w:rPr>
          <w:rFonts w:hint="eastAsia"/>
        </w:rPr>
        <w:fldChar w:fldCharType="separate"/>
      </w:r>
      <w:r>
        <w:t>IV</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"_Toc241416837" </w:instrText>
      </w:r>
      <w:r>
        <w:fldChar w:fldCharType="separate"/>
      </w:r>
      <w:r>
        <w:rPr>
          <w:rStyle w:val="30"/>
        </w:rPr>
        <w:t>1  范围</w:t>
      </w:r>
      <w:r>
        <w:rPr>
          <w:rFonts w:hint="eastAsia"/>
        </w:rPr>
        <w:tab/>
      </w:r>
      <w:r>
        <w:rPr>
          <w:rFonts w:hint="eastAsia"/>
        </w:rPr>
        <w:fldChar w:fldCharType="begin"/>
      </w:r>
      <w:r>
        <w:rPr>
          <w:rFonts w:hint="eastAsia"/>
        </w:rPr>
        <w:instrText xml:space="preserve"> </w:instrText>
      </w:r>
      <w:r>
        <w:instrText xml:space="preserve">PAGEREF _Toc241416837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"_Toc241416838" </w:instrText>
      </w:r>
      <w:r>
        <w:fldChar w:fldCharType="separate"/>
      </w:r>
      <w:r>
        <w:rPr>
          <w:rStyle w:val="30"/>
        </w:rPr>
        <w:t>2  规范性引用文件</w:t>
      </w:r>
      <w:r>
        <w:rPr>
          <w:rFonts w:hint="eastAsia"/>
        </w:rPr>
        <w:tab/>
      </w:r>
      <w:r>
        <w:rPr>
          <w:rFonts w:hint="eastAsia"/>
        </w:rPr>
        <w:fldChar w:fldCharType="begin"/>
      </w:r>
      <w:r>
        <w:rPr>
          <w:rFonts w:hint="eastAsia"/>
        </w:rPr>
        <w:instrText xml:space="preserve"> </w:instrText>
      </w:r>
      <w:r>
        <w:instrText xml:space="preserve">PAGEREF _Toc241416838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"_Toc241416839" </w:instrText>
      </w:r>
      <w:r>
        <w:fldChar w:fldCharType="separate"/>
      </w:r>
      <w:r>
        <w:rPr>
          <w:rStyle w:val="30"/>
        </w:rPr>
        <w:t>3  术语和定义</w:t>
      </w:r>
      <w:r>
        <w:rPr>
          <w:rFonts w:hint="eastAsia"/>
        </w:rPr>
        <w:tab/>
      </w:r>
      <w:r>
        <w:rPr>
          <w:rFonts w:hint="eastAsia"/>
        </w:rPr>
        <w:fldChar w:fldCharType="begin"/>
      </w:r>
      <w:r>
        <w:rPr>
          <w:rFonts w:hint="eastAsia"/>
        </w:rPr>
        <w:instrText xml:space="preserve"> </w:instrText>
      </w:r>
      <w:r>
        <w:instrText xml:space="preserve">PAGEREF _Toc241416839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"_Toc241416840" </w:instrText>
      </w:r>
      <w:r>
        <w:fldChar w:fldCharType="separate"/>
      </w:r>
      <w:r>
        <w:rPr>
          <w:rStyle w:val="30"/>
        </w:rPr>
        <w:t>4  缩略语</w:t>
      </w:r>
      <w:r>
        <w:rPr>
          <w:rFonts w:hint="eastAsia"/>
        </w:rPr>
        <w:tab/>
      </w:r>
      <w:r>
        <w:rPr>
          <w:rFonts w:hint="eastAsia"/>
        </w:rPr>
        <w:fldChar w:fldCharType="begin"/>
      </w:r>
      <w:r>
        <w:rPr>
          <w:rFonts w:hint="eastAsia"/>
        </w:rPr>
        <w:instrText xml:space="preserve"> </w:instrText>
      </w:r>
      <w:r>
        <w:instrText xml:space="preserve">PAGEREF _Toc241416840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"_Toc241416841" </w:instrText>
      </w:r>
      <w:r>
        <w:fldChar w:fldCharType="separate"/>
      </w:r>
      <w:r>
        <w:rPr>
          <w:rStyle w:val="30"/>
        </w:rPr>
        <w:t>5  总则</w:t>
      </w:r>
      <w:r>
        <w:rPr>
          <w:rFonts w:hint="eastAsia"/>
        </w:rPr>
        <w:tab/>
      </w:r>
      <w:r>
        <w:rPr>
          <w:rFonts w:hint="eastAsia"/>
        </w:rPr>
        <w:fldChar w:fldCharType="begin"/>
      </w:r>
      <w:r>
        <w:rPr>
          <w:rFonts w:hint="eastAsia"/>
        </w:rPr>
        <w:instrText xml:space="preserve"> </w:instrText>
      </w:r>
      <w:r>
        <w:instrText xml:space="preserve">PAGEREF _Toc241416841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"_Toc241416842" </w:instrText>
      </w:r>
      <w:r>
        <w:fldChar w:fldCharType="separate"/>
      </w:r>
      <w:r>
        <w:rPr>
          <w:rStyle w:val="30"/>
          <w14:scene3d>
            <w14:lightRig w14:rig="threePt" w14:dir="t">
              <w14:rot w14:lat="0" w14:lon="0" w14:rev="0"/>
            </w14:lightRig>
          </w14:scene3d>
        </w:rPr>
        <w:t xml:space="preserve">5.1 </w:t>
      </w:r>
      <w:r>
        <w:rPr>
          <w:rStyle w:val="30"/>
        </w:rPr>
        <w:t xml:space="preserve"> 协同共享原则</w:t>
      </w:r>
      <w:r>
        <w:rPr>
          <w:rFonts w:hint="eastAsia"/>
        </w:rPr>
        <w:tab/>
      </w:r>
      <w:r>
        <w:rPr>
          <w:rFonts w:hint="eastAsia"/>
        </w:rPr>
        <w:fldChar w:fldCharType="begin"/>
      </w:r>
      <w:r>
        <w:rPr>
          <w:rFonts w:hint="eastAsia"/>
        </w:rPr>
        <w:instrText xml:space="preserve"> </w:instrText>
      </w:r>
      <w:r>
        <w:instrText xml:space="preserve">PAGEREF _Toc241416842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"_Toc241416843" </w:instrText>
      </w:r>
      <w:r>
        <w:fldChar w:fldCharType="separate"/>
      </w:r>
      <w:r>
        <w:rPr>
          <w:rStyle w:val="30"/>
          <w14:scene3d>
            <w14:lightRig w14:rig="threePt" w14:dir="t">
              <w14:rot w14:lat="0" w14:lon="0" w14:rev="0"/>
            </w14:lightRig>
          </w14:scene3d>
        </w:rPr>
        <w:t xml:space="preserve">5.2 </w:t>
      </w:r>
      <w:r>
        <w:rPr>
          <w:rStyle w:val="30"/>
        </w:rPr>
        <w:t xml:space="preserve"> 智慧高效原则</w:t>
      </w:r>
      <w:r>
        <w:rPr>
          <w:rFonts w:hint="eastAsia"/>
        </w:rPr>
        <w:tab/>
      </w:r>
      <w:r>
        <w:rPr>
          <w:rFonts w:hint="eastAsia"/>
        </w:rPr>
        <w:fldChar w:fldCharType="begin"/>
      </w:r>
      <w:r>
        <w:rPr>
          <w:rFonts w:hint="eastAsia"/>
        </w:rPr>
        <w:instrText xml:space="preserve"> </w:instrText>
      </w:r>
      <w:r>
        <w:instrText xml:space="preserve">PAGEREF _Toc241416843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"_Toc241416844" </w:instrText>
      </w:r>
      <w:r>
        <w:fldChar w:fldCharType="separate"/>
      </w:r>
      <w:r>
        <w:rPr>
          <w:rStyle w:val="30"/>
          <w14:scene3d>
            <w14:lightRig w14:rig="threePt" w14:dir="t">
              <w14:rot w14:lat="0" w14:lon="0" w14:rev="0"/>
            </w14:lightRig>
          </w14:scene3d>
        </w:rPr>
        <w:t xml:space="preserve">5.3 </w:t>
      </w:r>
      <w:r>
        <w:rPr>
          <w:rStyle w:val="30"/>
        </w:rPr>
        <w:t xml:space="preserve"> 分级管控原则</w:t>
      </w:r>
      <w:r>
        <w:rPr>
          <w:rFonts w:hint="eastAsia"/>
        </w:rPr>
        <w:tab/>
      </w:r>
      <w:r>
        <w:rPr>
          <w:rFonts w:hint="eastAsia"/>
        </w:rPr>
        <w:fldChar w:fldCharType="begin"/>
      </w:r>
      <w:r>
        <w:rPr>
          <w:rFonts w:hint="eastAsia"/>
        </w:rPr>
        <w:instrText xml:space="preserve"> </w:instrText>
      </w:r>
      <w:r>
        <w:instrText xml:space="preserve">PAGEREF _Toc241416844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"_Toc241416845" </w:instrText>
      </w:r>
      <w:r>
        <w:fldChar w:fldCharType="separate"/>
      </w:r>
      <w:r>
        <w:rPr>
          <w:rStyle w:val="30"/>
          <w14:scene3d>
            <w14:lightRig w14:rig="threePt" w14:dir="t">
              <w14:rot w14:lat="0" w14:lon="0" w14:rev="0"/>
            </w14:lightRig>
          </w14:scene3d>
        </w:rPr>
        <w:t xml:space="preserve">5.4 </w:t>
      </w:r>
      <w:r>
        <w:rPr>
          <w:rStyle w:val="30"/>
        </w:rPr>
        <w:t xml:space="preserve"> 现场联动原则</w:t>
      </w:r>
      <w:r>
        <w:rPr>
          <w:rFonts w:hint="eastAsia"/>
        </w:rPr>
        <w:tab/>
      </w:r>
      <w:r>
        <w:rPr>
          <w:rFonts w:hint="eastAsia"/>
        </w:rPr>
        <w:fldChar w:fldCharType="begin"/>
      </w:r>
      <w:r>
        <w:rPr>
          <w:rFonts w:hint="eastAsia"/>
        </w:rPr>
        <w:instrText xml:space="preserve"> </w:instrText>
      </w:r>
      <w:r>
        <w:instrText xml:space="preserve">PAGEREF _Toc241416845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"_Toc241416846" </w:instrText>
      </w:r>
      <w:r>
        <w:fldChar w:fldCharType="separate"/>
      </w:r>
      <w:r>
        <w:rPr>
          <w:rStyle w:val="30"/>
        </w:rPr>
        <w:t>6  系统构成</w:t>
      </w:r>
      <w:r>
        <w:rPr>
          <w:rFonts w:hint="eastAsia"/>
        </w:rPr>
        <w:tab/>
      </w:r>
      <w:r>
        <w:rPr>
          <w:rFonts w:hint="eastAsia"/>
        </w:rPr>
        <w:fldChar w:fldCharType="begin"/>
      </w:r>
      <w:r>
        <w:rPr>
          <w:rFonts w:hint="eastAsia"/>
        </w:rPr>
        <w:instrText xml:space="preserve"> </w:instrText>
      </w:r>
      <w:r>
        <w:instrText xml:space="preserve">PAGEREF _Toc241416846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"_Toc241416847" </w:instrText>
      </w:r>
      <w:r>
        <w:fldChar w:fldCharType="separate"/>
      </w:r>
      <w:r>
        <w:rPr>
          <w:rStyle w:val="30"/>
          <w14:scene3d>
            <w14:lightRig w14:rig="threePt" w14:dir="t">
              <w14:rot w14:lat="0" w14:lon="0" w14:rev="0"/>
            </w14:lightRig>
          </w14:scene3d>
        </w:rPr>
        <w:t xml:space="preserve">6.1 </w:t>
      </w:r>
      <w:r>
        <w:rPr>
          <w:rStyle w:val="30"/>
        </w:rPr>
        <w:t xml:space="preserve"> 总体架构</w:t>
      </w:r>
      <w:r>
        <w:rPr>
          <w:rFonts w:hint="eastAsia"/>
        </w:rPr>
        <w:tab/>
      </w:r>
      <w:r>
        <w:rPr>
          <w:rFonts w:hint="eastAsia"/>
        </w:rPr>
        <w:fldChar w:fldCharType="begin"/>
      </w:r>
      <w:r>
        <w:rPr>
          <w:rFonts w:hint="eastAsia"/>
        </w:rPr>
        <w:instrText xml:space="preserve"> </w:instrText>
      </w:r>
      <w:r>
        <w:instrText xml:space="preserve">PAGEREF _Toc241416847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"_Toc241416848" </w:instrText>
      </w:r>
      <w:r>
        <w:fldChar w:fldCharType="separate"/>
      </w:r>
      <w:r>
        <w:rPr>
          <w:rStyle w:val="30"/>
          <w14:scene3d>
            <w14:lightRig w14:rig="threePt" w14:dir="t">
              <w14:rot w14:lat="0" w14:lon="0" w14:rev="0"/>
            </w14:lightRig>
          </w14:scene3d>
        </w:rPr>
        <w:t xml:space="preserve">6.2 </w:t>
      </w:r>
      <w:r>
        <w:rPr>
          <w:rStyle w:val="30"/>
        </w:rPr>
        <w:t xml:space="preserve"> 应用架构</w:t>
      </w:r>
      <w:r>
        <w:rPr>
          <w:rFonts w:hint="eastAsia"/>
        </w:rPr>
        <w:tab/>
      </w:r>
      <w:r>
        <w:rPr>
          <w:rFonts w:hint="eastAsia"/>
        </w:rPr>
        <w:fldChar w:fldCharType="begin"/>
      </w:r>
      <w:r>
        <w:rPr>
          <w:rFonts w:hint="eastAsia"/>
        </w:rPr>
        <w:instrText xml:space="preserve"> </w:instrText>
      </w:r>
      <w:r>
        <w:instrText xml:space="preserve">PAGEREF _Toc241416848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"_Toc241416849" </w:instrText>
      </w:r>
      <w:r>
        <w:fldChar w:fldCharType="separate"/>
      </w:r>
      <w:r>
        <w:rPr>
          <w:rStyle w:val="30"/>
        </w:rPr>
        <w:t>7  系统应用功能</w:t>
      </w:r>
      <w:r>
        <w:rPr>
          <w:rFonts w:hint="eastAsia"/>
        </w:rPr>
        <w:tab/>
      </w:r>
      <w:r>
        <w:rPr>
          <w:rFonts w:hint="eastAsia"/>
        </w:rPr>
        <w:fldChar w:fldCharType="begin"/>
      </w:r>
      <w:r>
        <w:rPr>
          <w:rFonts w:hint="eastAsia"/>
        </w:rPr>
        <w:instrText xml:space="preserve"> </w:instrText>
      </w:r>
      <w:r>
        <w:instrText xml:space="preserve">PAGEREF _Toc241416849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"_Toc241416850" </w:instrText>
      </w:r>
      <w:r>
        <w:fldChar w:fldCharType="separate"/>
      </w:r>
      <w:r>
        <w:rPr>
          <w:rStyle w:val="30"/>
          <w14:scene3d>
            <w14:lightRig w14:rig="threePt" w14:dir="t">
              <w14:rot w14:lat="0" w14:lon="0" w14:rev="0"/>
            </w14:lightRig>
          </w14:scene3d>
        </w:rPr>
        <w:t xml:space="preserve">7.1 </w:t>
      </w:r>
      <w:r>
        <w:rPr>
          <w:rStyle w:val="30"/>
        </w:rPr>
        <w:t xml:space="preserve"> 路网运行全息感知监测预警</w:t>
      </w:r>
      <w:r>
        <w:rPr>
          <w:rFonts w:hint="eastAsia"/>
        </w:rPr>
        <w:tab/>
      </w:r>
      <w:r>
        <w:rPr>
          <w:rFonts w:hint="eastAsia"/>
        </w:rPr>
        <w:fldChar w:fldCharType="begin"/>
      </w:r>
      <w:r>
        <w:rPr>
          <w:rFonts w:hint="eastAsia"/>
        </w:rPr>
        <w:instrText xml:space="preserve"> </w:instrText>
      </w:r>
      <w:r>
        <w:instrText xml:space="preserve">PAGEREF _Toc241416850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"_Toc241416851" </w:instrText>
      </w:r>
      <w:r>
        <w:fldChar w:fldCharType="separate"/>
      </w:r>
      <w:r>
        <w:rPr>
          <w:rStyle w:val="30"/>
          <w14:scene3d>
            <w14:lightRig w14:rig="threePt" w14:dir="t">
              <w14:rot w14:lat="0" w14:lon="0" w14:rev="0"/>
            </w14:lightRig>
          </w14:scene3d>
        </w:rPr>
        <w:t xml:space="preserve">7.2 </w:t>
      </w:r>
      <w:r>
        <w:rPr>
          <w:rStyle w:val="30"/>
        </w:rPr>
        <w:t xml:space="preserve"> 事件快速协同指挥调度</w:t>
      </w:r>
      <w:r>
        <w:rPr>
          <w:rFonts w:hint="eastAsia"/>
        </w:rPr>
        <w:tab/>
      </w:r>
      <w:r>
        <w:rPr>
          <w:rFonts w:hint="eastAsia"/>
        </w:rPr>
        <w:fldChar w:fldCharType="begin"/>
      </w:r>
      <w:r>
        <w:rPr>
          <w:rFonts w:hint="eastAsia"/>
        </w:rPr>
        <w:instrText xml:space="preserve"> </w:instrText>
      </w:r>
      <w:r>
        <w:instrText xml:space="preserve">PAGEREF _Toc241416851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"_Toc241416852" </w:instrText>
      </w:r>
      <w:r>
        <w:fldChar w:fldCharType="separate"/>
      </w:r>
      <w:r>
        <w:rPr>
          <w:rStyle w:val="30"/>
          <w14:scene3d>
            <w14:lightRig w14:rig="threePt" w14:dir="t">
              <w14:rot w14:lat="0" w14:lon="0" w14:rev="0"/>
            </w14:lightRig>
          </w14:scene3d>
        </w:rPr>
        <w:t xml:space="preserve">7.3 </w:t>
      </w:r>
      <w:r>
        <w:rPr>
          <w:rStyle w:val="30"/>
        </w:rPr>
        <w:t xml:space="preserve"> 路况信息管理与救援服务</w:t>
      </w:r>
      <w:r>
        <w:rPr>
          <w:rFonts w:hint="eastAsia"/>
        </w:rPr>
        <w:tab/>
      </w:r>
      <w:r>
        <w:rPr>
          <w:rFonts w:hint="eastAsia"/>
        </w:rPr>
        <w:fldChar w:fldCharType="begin"/>
      </w:r>
      <w:r>
        <w:rPr>
          <w:rFonts w:hint="eastAsia"/>
        </w:rPr>
        <w:instrText xml:space="preserve"> </w:instrText>
      </w:r>
      <w:r>
        <w:instrText xml:space="preserve">PAGEREF _Toc241416852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"_Toc241416853" </w:instrText>
      </w:r>
      <w:r>
        <w:fldChar w:fldCharType="separate"/>
      </w:r>
      <w:r>
        <w:rPr>
          <w:rStyle w:val="30"/>
          <w14:scene3d>
            <w14:lightRig w14:rig="threePt" w14:dir="t">
              <w14:rot w14:lat="0" w14:lon="0" w14:rev="0"/>
            </w14:lightRig>
          </w14:scene3d>
        </w:rPr>
        <w:t xml:space="preserve">7.4 </w:t>
      </w:r>
      <w:r>
        <w:rPr>
          <w:rStyle w:val="30"/>
        </w:rPr>
        <w:t xml:space="preserve"> 跨省一体化智能协同</w:t>
      </w:r>
      <w:r>
        <w:rPr>
          <w:rFonts w:hint="eastAsia"/>
        </w:rPr>
        <w:tab/>
      </w:r>
      <w:r>
        <w:rPr>
          <w:rFonts w:hint="eastAsia"/>
        </w:rPr>
        <w:fldChar w:fldCharType="begin"/>
      </w:r>
      <w:r>
        <w:rPr>
          <w:rFonts w:hint="eastAsia"/>
        </w:rPr>
        <w:instrText xml:space="preserve"> </w:instrText>
      </w:r>
      <w:r>
        <w:instrText xml:space="preserve">PAGEREF _Toc241416853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"_Toc241416854" </w:instrText>
      </w:r>
      <w:r>
        <w:fldChar w:fldCharType="separate"/>
      </w:r>
      <w:r>
        <w:rPr>
          <w:rStyle w:val="30"/>
          <w14:scene3d>
            <w14:lightRig w14:rig="threePt" w14:dir="t">
              <w14:rot w14:lat="0" w14:lon="0" w14:rev="0"/>
            </w14:lightRig>
          </w14:scene3d>
        </w:rPr>
        <w:t xml:space="preserve">7.5 </w:t>
      </w:r>
      <w:r>
        <w:rPr>
          <w:rStyle w:val="30"/>
        </w:rPr>
        <w:t xml:space="preserve"> 应急处置智能辅助管理</w:t>
      </w:r>
      <w:r>
        <w:rPr>
          <w:rFonts w:hint="eastAsia"/>
        </w:rPr>
        <w:tab/>
      </w:r>
      <w:r>
        <w:rPr>
          <w:rFonts w:hint="eastAsia"/>
        </w:rPr>
        <w:fldChar w:fldCharType="begin"/>
      </w:r>
      <w:r>
        <w:rPr>
          <w:rFonts w:hint="eastAsia"/>
        </w:rPr>
        <w:instrText xml:space="preserve"> </w:instrText>
      </w:r>
      <w:r>
        <w:instrText xml:space="preserve">PAGEREF _Toc241416854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"_Toc241416855" </w:instrText>
      </w:r>
      <w:r>
        <w:fldChar w:fldCharType="separate"/>
      </w:r>
      <w:r>
        <w:rPr>
          <w:rStyle w:val="30"/>
        </w:rPr>
        <w:t>8  系统技术需考虑的因素</w:t>
      </w:r>
      <w:r>
        <w:rPr>
          <w:rFonts w:hint="eastAsia"/>
        </w:rPr>
        <w:tab/>
      </w:r>
      <w:r>
        <w:rPr>
          <w:rFonts w:hint="eastAsia"/>
        </w:rPr>
        <w:fldChar w:fldCharType="begin"/>
      </w:r>
      <w:r>
        <w:rPr>
          <w:rFonts w:hint="eastAsia"/>
        </w:rPr>
        <w:instrText xml:space="preserve"> </w:instrText>
      </w:r>
      <w:r>
        <w:instrText xml:space="preserve">PAGEREF _Toc241416855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"_Toc241416856" </w:instrText>
      </w:r>
      <w:r>
        <w:fldChar w:fldCharType="separate"/>
      </w:r>
      <w:r>
        <w:rPr>
          <w:rStyle w:val="30"/>
          <w14:scene3d>
            <w14:lightRig w14:rig="threePt" w14:dir="t">
              <w14:rot w14:lat="0" w14:lon="0" w14:rev="0"/>
            </w14:lightRig>
          </w14:scene3d>
        </w:rPr>
        <w:t xml:space="preserve">8.1 </w:t>
      </w:r>
      <w:r>
        <w:rPr>
          <w:rStyle w:val="30"/>
        </w:rPr>
        <w:t xml:space="preserve"> 路网运行全息感知监测预警</w:t>
      </w:r>
      <w:r>
        <w:rPr>
          <w:rFonts w:hint="eastAsia"/>
        </w:rPr>
        <w:tab/>
      </w:r>
      <w:r>
        <w:rPr>
          <w:rFonts w:hint="eastAsia"/>
        </w:rPr>
        <w:fldChar w:fldCharType="begin"/>
      </w:r>
      <w:r>
        <w:rPr>
          <w:rFonts w:hint="eastAsia"/>
        </w:rPr>
        <w:instrText xml:space="preserve"> </w:instrText>
      </w:r>
      <w:r>
        <w:instrText xml:space="preserve">PAGEREF _Toc241416856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"_Toc241416857" </w:instrText>
      </w:r>
      <w:r>
        <w:fldChar w:fldCharType="separate"/>
      </w:r>
      <w:r>
        <w:rPr>
          <w:rStyle w:val="30"/>
          <w14:scene3d>
            <w14:lightRig w14:rig="threePt" w14:dir="t">
              <w14:rot w14:lat="0" w14:lon="0" w14:rev="0"/>
            </w14:lightRig>
          </w14:scene3d>
        </w:rPr>
        <w:t xml:space="preserve">8.2 </w:t>
      </w:r>
      <w:r>
        <w:rPr>
          <w:rStyle w:val="30"/>
        </w:rPr>
        <w:t xml:space="preserve"> 智能调度与协同处置</w:t>
      </w:r>
      <w:r>
        <w:rPr>
          <w:rFonts w:hint="eastAsia"/>
        </w:rPr>
        <w:tab/>
      </w:r>
      <w:r>
        <w:rPr>
          <w:rFonts w:hint="eastAsia"/>
        </w:rPr>
        <w:fldChar w:fldCharType="begin"/>
      </w:r>
      <w:r>
        <w:rPr>
          <w:rFonts w:hint="eastAsia"/>
        </w:rPr>
        <w:instrText xml:space="preserve"> </w:instrText>
      </w:r>
      <w:r>
        <w:instrText xml:space="preserve">PAGEREF _Toc241416857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"_Toc241416858" </w:instrText>
      </w:r>
      <w:r>
        <w:fldChar w:fldCharType="separate"/>
      </w:r>
      <w:r>
        <w:rPr>
          <w:rStyle w:val="30"/>
          <w14:scene3d>
            <w14:lightRig w14:rig="threePt" w14:dir="t">
              <w14:rot w14:lat="0" w14:lon="0" w14:rev="0"/>
            </w14:lightRig>
          </w14:scene3d>
        </w:rPr>
        <w:t xml:space="preserve">8.3 </w:t>
      </w:r>
      <w:r>
        <w:rPr>
          <w:rStyle w:val="30"/>
        </w:rPr>
        <w:t xml:space="preserve"> 路况信息管理与救援服务</w:t>
      </w:r>
      <w:r>
        <w:rPr>
          <w:rFonts w:hint="eastAsia"/>
        </w:rPr>
        <w:tab/>
      </w:r>
      <w:r>
        <w:rPr>
          <w:rFonts w:hint="eastAsia"/>
        </w:rPr>
        <w:fldChar w:fldCharType="begin"/>
      </w:r>
      <w:r>
        <w:rPr>
          <w:rFonts w:hint="eastAsia"/>
        </w:rPr>
        <w:instrText xml:space="preserve"> </w:instrText>
      </w:r>
      <w:r>
        <w:instrText xml:space="preserve">PAGEREF _Toc241416858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"_Toc241416859" </w:instrText>
      </w:r>
      <w:r>
        <w:fldChar w:fldCharType="separate"/>
      </w:r>
      <w:r>
        <w:rPr>
          <w:rStyle w:val="30"/>
          <w14:scene3d>
            <w14:lightRig w14:rig="threePt" w14:dir="t">
              <w14:rot w14:lat="0" w14:lon="0" w14:rev="0"/>
            </w14:lightRig>
          </w14:scene3d>
        </w:rPr>
        <w:t xml:space="preserve">8.4 </w:t>
      </w:r>
      <w:r>
        <w:rPr>
          <w:rStyle w:val="30"/>
        </w:rPr>
        <w:t xml:space="preserve"> 跨省一体化智能协同</w:t>
      </w:r>
      <w:r>
        <w:rPr>
          <w:rFonts w:hint="eastAsia"/>
        </w:rPr>
        <w:tab/>
      </w:r>
      <w:r>
        <w:rPr>
          <w:rFonts w:hint="eastAsia"/>
        </w:rPr>
        <w:fldChar w:fldCharType="begin"/>
      </w:r>
      <w:r>
        <w:rPr>
          <w:rFonts w:hint="eastAsia"/>
        </w:rPr>
        <w:instrText xml:space="preserve"> </w:instrText>
      </w:r>
      <w:r>
        <w:instrText xml:space="preserve">PAGEREF _Toc241416859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"_Toc241416860" </w:instrText>
      </w:r>
      <w:r>
        <w:fldChar w:fldCharType="separate"/>
      </w:r>
      <w:r>
        <w:rPr>
          <w:rStyle w:val="30"/>
          <w14:scene3d>
            <w14:lightRig w14:rig="threePt" w14:dir="t">
              <w14:rot w14:lat="0" w14:lon="0" w14:rev="0"/>
            </w14:lightRig>
          </w14:scene3d>
        </w:rPr>
        <w:t xml:space="preserve">8.5 </w:t>
      </w:r>
      <w:r>
        <w:rPr>
          <w:rStyle w:val="30"/>
        </w:rPr>
        <w:t xml:space="preserve"> 应急处置智能辅助管理</w:t>
      </w:r>
      <w:r>
        <w:rPr>
          <w:rFonts w:hint="eastAsia"/>
        </w:rPr>
        <w:tab/>
      </w:r>
      <w:r>
        <w:rPr>
          <w:rFonts w:hint="eastAsia"/>
        </w:rPr>
        <w:fldChar w:fldCharType="begin"/>
      </w:r>
      <w:r>
        <w:rPr>
          <w:rFonts w:hint="eastAsia"/>
        </w:rPr>
        <w:instrText xml:space="preserve"> </w:instrText>
      </w:r>
      <w:r>
        <w:instrText xml:space="preserve">PAGEREF _Toc241416860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"_Toc241416861" </w:instrText>
      </w:r>
      <w:r>
        <w:fldChar w:fldCharType="separate"/>
      </w:r>
      <w:r>
        <w:rPr>
          <w:rStyle w:val="30"/>
        </w:rPr>
        <w:t>9  系统安全需考虑的因素</w:t>
      </w:r>
      <w:r>
        <w:rPr>
          <w:rFonts w:hint="eastAsia"/>
        </w:rPr>
        <w:tab/>
      </w:r>
      <w:r>
        <w:rPr>
          <w:rFonts w:hint="eastAsia"/>
        </w:rPr>
        <w:fldChar w:fldCharType="begin"/>
      </w:r>
      <w:r>
        <w:rPr>
          <w:rFonts w:hint="eastAsia"/>
        </w:rPr>
        <w:instrText xml:space="preserve"> </w:instrText>
      </w:r>
      <w:r>
        <w:instrText xml:space="preserve">PAGEREF _Toc241416861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"_Toc241416862" </w:instrText>
      </w:r>
      <w:r>
        <w:fldChar w:fldCharType="separate"/>
      </w:r>
      <w:r>
        <w:rPr>
          <w:rStyle w:val="30"/>
          <w14:scene3d>
            <w14:lightRig w14:rig="threePt" w14:dir="t">
              <w14:rot w14:lat="0" w14:lon="0" w14:rev="0"/>
            </w14:lightRig>
          </w14:scene3d>
        </w:rPr>
        <w:t xml:space="preserve">9.1 </w:t>
      </w:r>
      <w:r>
        <w:rPr>
          <w:rStyle w:val="30"/>
        </w:rPr>
        <w:t xml:space="preserve"> 网络安全</w:t>
      </w:r>
      <w:r>
        <w:rPr>
          <w:rFonts w:hint="eastAsia"/>
        </w:rPr>
        <w:tab/>
      </w:r>
      <w:r>
        <w:rPr>
          <w:rFonts w:hint="eastAsia"/>
        </w:rPr>
        <w:fldChar w:fldCharType="begin"/>
      </w:r>
      <w:r>
        <w:rPr>
          <w:rFonts w:hint="eastAsia"/>
        </w:rPr>
        <w:instrText xml:space="preserve"> </w:instrText>
      </w:r>
      <w:r>
        <w:instrText xml:space="preserve">PAGEREF _Toc241416862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"_Toc241416863" </w:instrText>
      </w:r>
      <w:r>
        <w:fldChar w:fldCharType="separate"/>
      </w:r>
      <w:r>
        <w:rPr>
          <w:rStyle w:val="30"/>
          <w14:scene3d>
            <w14:lightRig w14:rig="threePt" w14:dir="t">
              <w14:rot w14:lat="0" w14:lon="0" w14:rev="0"/>
            </w14:lightRig>
          </w14:scene3d>
        </w:rPr>
        <w:t xml:space="preserve">9.2 </w:t>
      </w:r>
      <w:r>
        <w:rPr>
          <w:rStyle w:val="30"/>
        </w:rPr>
        <w:t xml:space="preserve"> 数据传输安全</w:t>
      </w:r>
      <w:r>
        <w:rPr>
          <w:rFonts w:hint="eastAsia"/>
        </w:rPr>
        <w:tab/>
      </w:r>
      <w:r>
        <w:rPr>
          <w:rFonts w:hint="eastAsia"/>
        </w:rPr>
        <w:fldChar w:fldCharType="begin"/>
      </w:r>
      <w:r>
        <w:rPr>
          <w:rFonts w:hint="eastAsia"/>
        </w:rPr>
        <w:instrText xml:space="preserve"> </w:instrText>
      </w:r>
      <w:r>
        <w:instrText xml:space="preserve">PAGEREF _Toc241416863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"_Toc241416864" </w:instrText>
      </w:r>
      <w:r>
        <w:fldChar w:fldCharType="separate"/>
      </w:r>
      <w:r>
        <w:rPr>
          <w:rStyle w:val="30"/>
          <w14:scene3d>
            <w14:lightRig w14:rig="threePt" w14:dir="t">
              <w14:rot w14:lat="0" w14:lon="0" w14:rev="0"/>
            </w14:lightRig>
          </w14:scene3d>
        </w:rPr>
        <w:t xml:space="preserve">9.3 </w:t>
      </w:r>
      <w:r>
        <w:rPr>
          <w:rStyle w:val="30"/>
        </w:rPr>
        <w:t xml:space="preserve"> 数据存储安全</w:t>
      </w:r>
      <w:r>
        <w:rPr>
          <w:rFonts w:hint="eastAsia"/>
        </w:rPr>
        <w:tab/>
      </w:r>
      <w:r>
        <w:rPr>
          <w:rFonts w:hint="eastAsia"/>
        </w:rPr>
        <w:fldChar w:fldCharType="begin"/>
      </w:r>
      <w:r>
        <w:rPr>
          <w:rFonts w:hint="eastAsia"/>
        </w:rPr>
        <w:instrText xml:space="preserve"> </w:instrText>
      </w:r>
      <w:r>
        <w:instrText xml:space="preserve">PAGEREF _Toc241416864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"_Toc241416865" </w:instrText>
      </w:r>
      <w:r>
        <w:fldChar w:fldCharType="separate"/>
      </w:r>
      <w:r>
        <w:rPr>
          <w:rStyle w:val="30"/>
        </w:rPr>
        <w:t>附录A（资料性）  采集数据项</w:t>
      </w:r>
      <w:r>
        <w:rPr>
          <w:rFonts w:hint="eastAsia"/>
        </w:rPr>
        <w:tab/>
      </w:r>
      <w:r>
        <w:rPr>
          <w:rFonts w:hint="eastAsia"/>
        </w:rPr>
        <w:fldChar w:fldCharType="begin"/>
      </w:r>
      <w:r>
        <w:rPr>
          <w:rFonts w:hint="eastAsia"/>
        </w:rPr>
        <w:instrText xml:space="preserve"> </w:instrText>
      </w:r>
      <w:r>
        <w:instrText xml:space="preserve">PAGEREF _Toc241416865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"_Toc241416866" </w:instrText>
      </w:r>
      <w:r>
        <w:fldChar w:fldCharType="separate"/>
      </w:r>
      <w:r>
        <w:rPr>
          <w:rStyle w:val="30"/>
        </w:rPr>
        <w:t>A.1  运行监测基础信息</w:t>
      </w:r>
      <w:r>
        <w:rPr>
          <w:rFonts w:hint="eastAsia"/>
        </w:rPr>
        <w:tab/>
      </w:r>
      <w:r>
        <w:rPr>
          <w:rFonts w:hint="eastAsia"/>
        </w:rPr>
        <w:fldChar w:fldCharType="begin"/>
      </w:r>
      <w:r>
        <w:rPr>
          <w:rFonts w:hint="eastAsia"/>
        </w:rPr>
        <w:instrText xml:space="preserve"> </w:instrText>
      </w:r>
      <w:r>
        <w:instrText xml:space="preserve">PAGEREF _Toc241416866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"_Toc241416867" </w:instrText>
      </w:r>
      <w:r>
        <w:fldChar w:fldCharType="separate"/>
      </w:r>
      <w:r>
        <w:rPr>
          <w:rStyle w:val="30"/>
        </w:rPr>
        <w:t>A.2  运行监测动态信息</w:t>
      </w:r>
      <w:r>
        <w:rPr>
          <w:rFonts w:hint="eastAsia"/>
        </w:rPr>
        <w:tab/>
      </w:r>
      <w:r>
        <w:rPr>
          <w:rFonts w:hint="eastAsia"/>
        </w:rPr>
        <w:fldChar w:fldCharType="begin"/>
      </w:r>
      <w:r>
        <w:rPr>
          <w:rFonts w:hint="eastAsia"/>
        </w:rPr>
        <w:instrText xml:space="preserve"> </w:instrText>
      </w:r>
      <w:r>
        <w:instrText xml:space="preserve">PAGEREF _Toc241416867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"_Toc241416868" </w:instrText>
      </w:r>
      <w:r>
        <w:fldChar w:fldCharType="separate"/>
      </w:r>
      <w:r>
        <w:rPr>
          <w:rStyle w:val="30"/>
        </w:rPr>
        <w:t>A.3  协调调度信息</w:t>
      </w:r>
      <w:r>
        <w:rPr>
          <w:rFonts w:hint="eastAsia"/>
        </w:rPr>
        <w:tab/>
      </w:r>
      <w:r>
        <w:rPr>
          <w:rFonts w:hint="eastAsia"/>
        </w:rPr>
        <w:fldChar w:fldCharType="begin"/>
      </w:r>
      <w:r>
        <w:rPr>
          <w:rFonts w:hint="eastAsia"/>
        </w:rPr>
        <w:instrText xml:space="preserve"> </w:instrText>
      </w:r>
      <w:r>
        <w:instrText xml:space="preserve">PAGEREF _Toc241416868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"_Toc241416869" </w:instrText>
      </w:r>
      <w:r>
        <w:fldChar w:fldCharType="separate"/>
      </w:r>
      <w:r>
        <w:rPr>
          <w:rStyle w:val="30"/>
        </w:rPr>
        <w:t>附录B（资料性）  事件处置评价指标</w:t>
      </w:r>
      <w:r>
        <w:rPr>
          <w:rFonts w:hint="eastAsia"/>
        </w:rPr>
        <w:tab/>
      </w:r>
      <w:r>
        <w:rPr>
          <w:rFonts w:hint="eastAsia"/>
        </w:rPr>
        <w:fldChar w:fldCharType="begin"/>
      </w:r>
      <w:r>
        <w:rPr>
          <w:rFonts w:hint="eastAsia"/>
        </w:rPr>
        <w:instrText xml:space="preserve"> </w:instrText>
      </w:r>
      <w:r>
        <w:instrText xml:space="preserve">PAGEREF _Toc241416869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"_Toc241416870" </w:instrText>
      </w:r>
      <w:r>
        <w:fldChar w:fldCharType="separate"/>
      </w:r>
      <w:r>
        <w:rPr>
          <w:rStyle w:val="30"/>
        </w:rPr>
        <w:t>附录C（资料性）  应急预案评价指标</w:t>
      </w:r>
      <w:r>
        <w:rPr>
          <w:rFonts w:hint="eastAsia"/>
        </w:rPr>
        <w:tab/>
      </w:r>
      <w:r>
        <w:rPr>
          <w:rFonts w:hint="eastAsia"/>
        </w:rPr>
        <w:fldChar w:fldCharType="begin"/>
      </w:r>
      <w:r>
        <w:rPr>
          <w:rFonts w:hint="eastAsia"/>
        </w:rPr>
        <w:instrText xml:space="preserve"> </w:instrText>
      </w:r>
      <w:r>
        <w:instrText xml:space="preserve">PAGEREF _Toc241416870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"_Toc241416871" </w:instrText>
      </w:r>
      <w:r>
        <w:fldChar w:fldCharType="separate"/>
      </w:r>
      <w:r>
        <w:rPr>
          <w:rStyle w:val="30"/>
        </w:rPr>
        <w:t>参考文献</w:t>
      </w:r>
      <w:r>
        <w:rPr>
          <w:rFonts w:hint="eastAsia"/>
        </w:rPr>
        <w:tab/>
      </w:r>
      <w:r>
        <w:rPr>
          <w:rFonts w:hint="eastAsia"/>
        </w:rPr>
        <w:fldChar w:fldCharType="begin"/>
      </w:r>
      <w:r>
        <w:rPr>
          <w:rFonts w:hint="eastAsia"/>
        </w:rPr>
        <w:instrText xml:space="preserve"> </w:instrText>
      </w:r>
      <w:r>
        <w:instrText xml:space="preserve">PAGEREF _Toc241416871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pPr>
        <w:pStyle w:val="91"/>
        <w:spacing w:after="468"/>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89"/>
        <w:spacing w:before="900" w:after="468"/>
      </w:pPr>
      <w:bookmarkStart w:id="27" w:name="_Toc241416835"/>
      <w:bookmarkStart w:id="28" w:name="BookMark2"/>
      <w:r>
        <w:rPr>
          <w:rFonts w:hint="eastAsia"/>
          <w:spacing w:val="320"/>
        </w:rPr>
        <w:t>前</w:t>
      </w:r>
      <w:r>
        <w:rPr>
          <w:rFonts w:hint="eastAsia"/>
        </w:rPr>
        <w:t>言</w:t>
      </w:r>
      <w:bookmarkEnd w:id="22"/>
      <w:bookmarkEnd w:id="23"/>
      <w:bookmarkEnd w:id="24"/>
      <w:bookmarkEnd w:id="25"/>
      <w:bookmarkEnd w:id="26"/>
      <w:bookmarkEnd w:id="27"/>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pPr>
      <w:r>
        <w:rPr>
          <w:rFonts w:hint="eastAsia"/>
        </w:rPr>
        <w:t>本文件由湖南省交通运输厅提出并归口。</w:t>
      </w:r>
    </w:p>
    <w:p>
      <w:pPr>
        <w:pStyle w:val="56"/>
        <w:ind w:firstLine="420"/>
      </w:pPr>
      <w:r>
        <w:rPr>
          <w:rFonts w:hint="eastAsia"/>
        </w:rPr>
        <w:t>本文件起草单位：湖南省高速公路联网收费管理有限公司、南京感动科技股份有限公司。</w:t>
      </w:r>
    </w:p>
    <w:p>
      <w:pPr>
        <w:pStyle w:val="56"/>
        <w:ind w:firstLine="420"/>
      </w:pPr>
      <w:r>
        <w:rPr>
          <w:rFonts w:hint="eastAsia"/>
        </w:rPr>
        <w:t>本文件主要起草人：</w:t>
      </w:r>
      <w:r>
        <w:t>龚啸</w:t>
      </w:r>
      <w:r>
        <w:rPr>
          <w:rFonts w:hint="eastAsia"/>
        </w:rPr>
        <w:t>、</w:t>
      </w:r>
      <w:r>
        <w:t>邵泽峰</w:t>
      </w:r>
      <w:r>
        <w:rPr>
          <w:rFonts w:hint="eastAsia"/>
        </w:rPr>
        <w:t>、</w:t>
      </w:r>
      <w:r>
        <w:t>钟琨</w:t>
      </w:r>
      <w:r>
        <w:rPr>
          <w:rFonts w:hint="eastAsia"/>
        </w:rPr>
        <w:t>、</w:t>
      </w:r>
      <w:r>
        <w:t>罗武平</w:t>
      </w:r>
      <w:r>
        <w:rPr>
          <w:rFonts w:hint="eastAsia"/>
        </w:rPr>
        <w:t>、</w:t>
      </w:r>
      <w:r>
        <w:t>罗陵</w:t>
      </w:r>
      <w:r>
        <w:rPr>
          <w:rFonts w:hint="eastAsia"/>
        </w:rPr>
        <w:t>、</w:t>
      </w:r>
      <w:r>
        <w:t>吴巍</w:t>
      </w:r>
      <w:r>
        <w:rPr>
          <w:rFonts w:hint="eastAsia"/>
        </w:rPr>
        <w:t>、</w:t>
      </w:r>
      <w:r>
        <w:t>刘春成</w:t>
      </w:r>
      <w:r>
        <w:rPr>
          <w:rFonts w:hint="eastAsia"/>
        </w:rPr>
        <w:t>、</w:t>
      </w:r>
      <w:r>
        <w:t>汤识</w:t>
      </w:r>
      <w:r>
        <w:rPr>
          <w:rFonts w:hint="eastAsia"/>
        </w:rPr>
        <w:t>、</w:t>
      </w:r>
      <w:r>
        <w:t>梁天乐</w:t>
      </w:r>
      <w:r>
        <w:rPr>
          <w:rFonts w:hint="eastAsia"/>
        </w:rPr>
        <w:t>、</w:t>
      </w:r>
      <w:r>
        <w:t>王凌冈</w:t>
      </w:r>
      <w:r>
        <w:rPr>
          <w:rFonts w:hint="eastAsia"/>
        </w:rPr>
        <w:t>、</w:t>
      </w:r>
      <w:r>
        <w:t>陈嘉范</w:t>
      </w:r>
      <w:r>
        <w:rPr>
          <w:rFonts w:hint="eastAsia"/>
        </w:rPr>
        <w:t>、</w:t>
      </w:r>
      <w:r>
        <w:t>吴畏</w:t>
      </w:r>
      <w:r>
        <w:rPr>
          <w:rFonts w:hint="eastAsia"/>
        </w:rPr>
        <w:t>、</w:t>
      </w:r>
      <w:r>
        <w:t>周杰英</w:t>
      </w:r>
      <w:r>
        <w:rPr>
          <w:rFonts w:hint="eastAsia"/>
        </w:rPr>
        <w:t>、任旭、颜志欣、毛恒彬。</w:t>
      </w:r>
    </w:p>
    <w:p>
      <w:pPr>
        <w:pStyle w:val="56"/>
        <w:ind w:firstLine="420"/>
      </w:pPr>
    </w:p>
    <w:p>
      <w:pPr>
        <w:pStyle w:val="56"/>
        <w:ind w:firstLine="420"/>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p>
    <w:bookmarkEnd w:id="28"/>
    <w:p>
      <w:pPr>
        <w:pStyle w:val="89"/>
        <w:spacing w:after="468"/>
      </w:pPr>
      <w:bookmarkStart w:id="29" w:name="_Toc228399072"/>
      <w:bookmarkStart w:id="30" w:name="_Toc229305490"/>
      <w:bookmarkStart w:id="31" w:name="_Toc229322104"/>
      <w:bookmarkStart w:id="32" w:name="_Toc228006892"/>
      <w:bookmarkStart w:id="33" w:name="_Toc241416836"/>
      <w:bookmarkStart w:id="34" w:name="_Toc234255941"/>
      <w:bookmarkStart w:id="35" w:name="BookMark3"/>
      <w:r>
        <w:rPr>
          <w:rFonts w:hint="eastAsia"/>
          <w:spacing w:val="320"/>
        </w:rPr>
        <w:t>引</w:t>
      </w:r>
      <w:r>
        <w:rPr>
          <w:rFonts w:hint="eastAsia"/>
        </w:rPr>
        <w:t>言</w:t>
      </w:r>
      <w:bookmarkEnd w:id="29"/>
      <w:bookmarkEnd w:id="30"/>
      <w:bookmarkEnd w:id="31"/>
      <w:bookmarkEnd w:id="32"/>
      <w:bookmarkEnd w:id="33"/>
      <w:bookmarkEnd w:id="34"/>
    </w:p>
    <w:p>
      <w:pPr>
        <w:pStyle w:val="56"/>
        <w:ind w:firstLine="420"/>
        <w:rPr>
          <w:color w:val="000000" w:themeColor="text1"/>
          <w14:textFill>
            <w14:solidFill>
              <w14:schemeClr w14:val="tx1"/>
            </w14:solidFill>
          </w14:textFill>
        </w:rPr>
      </w:pPr>
      <w:bookmarkStart w:id="36" w:name="OLE_LINK10"/>
      <w:r>
        <w:rPr>
          <w:color w:val="000000" w:themeColor="text1"/>
          <w14:textFill>
            <w14:solidFill>
              <w14:schemeClr w14:val="tx1"/>
            </w14:solidFill>
          </w14:textFill>
        </w:rPr>
        <w:t>本文件聚焦应急指挥智能调度系统的架构设计、应用部署及关键技术要素，以提升高速公路应急处置效能为核心目标，着力提高“监测预警—决策支持—资源调度—评估反馈”全链条管理的标准化水平。</w:t>
      </w:r>
    </w:p>
    <w:p>
      <w:pPr>
        <w:pStyle w:val="56"/>
        <w:ind w:firstLine="420"/>
        <w:rPr>
          <w:color w:val="000000" w:themeColor="text1"/>
          <w14:textFill>
            <w14:solidFill>
              <w14:schemeClr w14:val="tx1"/>
            </w14:solidFill>
          </w14:textFill>
        </w:rPr>
        <w:sectPr>
          <w:headerReference r:id="rId17" w:type="default"/>
          <w:footerReference r:id="rId19" w:type="default"/>
          <w:headerReference r:id="rId18" w:type="even"/>
          <w:footerReference r:id="rId20" w:type="even"/>
          <w:pgSz w:w="11906" w:h="16838"/>
          <w:pgMar w:top="1928" w:right="1134" w:bottom="1134" w:left="1134" w:header="1418" w:footer="1134" w:gutter="284"/>
          <w:pgNumType w:fmt="upperRoman"/>
          <w:cols w:space="425" w:num="1"/>
          <w:formProt w:val="0"/>
          <w:docGrid w:type="lines" w:linePitch="312" w:charSpace="0"/>
        </w:sectPr>
      </w:pPr>
    </w:p>
    <w:bookmarkEnd w:id="35"/>
    <w:bookmarkEnd w:id="36"/>
    <w:p>
      <w:pPr>
        <w:spacing w:line="20" w:lineRule="exact"/>
        <w:jc w:val="center"/>
        <w:rPr>
          <w:rFonts w:hint="eastAsia" w:ascii="黑体" w:hAnsi="黑体" w:eastAsia="黑体"/>
          <w:color w:val="000000" w:themeColor="text1"/>
          <w:sz w:val="32"/>
          <w:szCs w:val="32"/>
          <w14:textFill>
            <w14:solidFill>
              <w14:schemeClr w14:val="tx1"/>
            </w14:solidFill>
          </w14:textFill>
        </w:rPr>
      </w:pPr>
      <w:bookmarkStart w:id="37" w:name="BookMark4"/>
    </w:p>
    <w:p>
      <w:pPr>
        <w:spacing w:line="20" w:lineRule="exact"/>
        <w:jc w:val="center"/>
        <w:rPr>
          <w:rFonts w:hint="eastAsia" w:ascii="黑体" w:hAnsi="黑体" w:eastAsia="黑体"/>
          <w:color w:val="000000" w:themeColor="text1"/>
          <w:sz w:val="32"/>
          <w:szCs w:val="32"/>
          <w14:textFill>
            <w14:solidFill>
              <w14:schemeClr w14:val="tx1"/>
            </w14:solidFill>
          </w14:textFill>
        </w:rPr>
      </w:pPr>
    </w:p>
    <w:sdt>
      <w:sdtPr>
        <w:rPr>
          <w:color w:val="000000" w:themeColor="text1"/>
          <w14:textFill>
            <w14:solidFill>
              <w14:schemeClr w14:val="tx1"/>
            </w14:solidFill>
          </w14:textFill>
        </w:rPr>
        <w:tag w:val="NEW_STAND_NAME"/>
        <w:id w:val="595910757"/>
        <w:lock w:val="sdtLocked"/>
        <w:placeholder>
          <w:docPart w:val="333A2C162AF14E48973604806D2F9ADF"/>
        </w:placeholder>
      </w:sdtPr>
      <w:sdtEndPr>
        <w:rPr>
          <w:color w:val="000000" w:themeColor="text1"/>
          <w14:textFill>
            <w14:solidFill>
              <w14:schemeClr w14:val="tx1"/>
            </w14:solidFill>
          </w14:textFill>
        </w:rPr>
      </w:sdtEndPr>
      <w:sdtContent>
        <w:p>
          <w:pPr>
            <w:pStyle w:val="177"/>
            <w:spacing w:before="3" w:beforeLines="1" w:after="686" w:afterLines="220"/>
            <w:rPr>
              <w:rFonts w:hint="eastAsia"/>
              <w:color w:val="000000" w:themeColor="text1"/>
              <w14:textFill>
                <w14:solidFill>
                  <w14:schemeClr w14:val="tx1"/>
                </w14:solidFill>
              </w14:textFill>
            </w:rPr>
          </w:pPr>
          <w:bookmarkStart w:id="38" w:name="NEW_STAND_NAME"/>
          <w:r>
            <w:rPr>
              <w:rFonts w:hint="eastAsia"/>
              <w:color w:val="000000" w:themeColor="text1"/>
              <w14:textFill>
                <w14:solidFill>
                  <w14:schemeClr w14:val="tx1"/>
                </w14:solidFill>
              </w14:textFill>
            </w:rPr>
            <w:t>高速公路路网运行应急指挥智能调度系统技术指南</w:t>
          </w:r>
        </w:p>
      </w:sdtContent>
    </w:sdt>
    <w:bookmarkEnd w:id="38"/>
    <w:p>
      <w:pPr>
        <w:pStyle w:val="104"/>
        <w:spacing w:before="312" w:after="312"/>
        <w:rPr>
          <w:color w:val="000000" w:themeColor="text1"/>
          <w14:textFill>
            <w14:solidFill>
              <w14:schemeClr w14:val="tx1"/>
            </w14:solidFill>
          </w14:textFill>
        </w:rPr>
      </w:pPr>
      <w:bookmarkStart w:id="39" w:name="_Toc97191423"/>
      <w:bookmarkStart w:id="40" w:name="_Toc229305491"/>
      <w:bookmarkStart w:id="41" w:name="_Toc24884218"/>
      <w:bookmarkStart w:id="42" w:name="_Toc26718930"/>
      <w:bookmarkStart w:id="43" w:name="_Toc234255942"/>
      <w:bookmarkStart w:id="44" w:name="_Toc229322105"/>
      <w:bookmarkStart w:id="45" w:name="_Toc228006893"/>
      <w:bookmarkStart w:id="46" w:name="_Toc17233325"/>
      <w:bookmarkStart w:id="47" w:name="_Toc228399073"/>
      <w:bookmarkStart w:id="48" w:name="_Toc241416837"/>
      <w:bookmarkStart w:id="49" w:name="_Toc17233333"/>
      <w:bookmarkStart w:id="50" w:name="_Toc26648465"/>
      <w:bookmarkStart w:id="51" w:name="_Toc24884211"/>
      <w:bookmarkStart w:id="52" w:name="_Toc26986771"/>
      <w:bookmarkStart w:id="53" w:name="_Toc26986530"/>
      <w:r>
        <w:rPr>
          <w:rFonts w:hint="eastAsia"/>
          <w:color w:val="000000" w:themeColor="text1"/>
          <w14:textFill>
            <w14:solidFill>
              <w14:schemeClr w14:val="tx1"/>
            </w14:solidFill>
          </w14:textFill>
        </w:rPr>
        <w:t>范围</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56"/>
        <w:ind w:firstLine="420"/>
        <w:rPr>
          <w:color w:val="000000" w:themeColor="text1"/>
          <w14:textFill>
            <w14:solidFill>
              <w14:schemeClr w14:val="tx1"/>
            </w14:solidFill>
          </w14:textFill>
        </w:rPr>
      </w:pPr>
      <w:bookmarkStart w:id="54" w:name="_Toc24884212"/>
      <w:bookmarkStart w:id="55" w:name="_Toc24884219"/>
      <w:bookmarkStart w:id="56" w:name="_Toc26648466"/>
      <w:bookmarkStart w:id="57" w:name="_Toc17233334"/>
      <w:bookmarkStart w:id="58" w:name="_Toc17233326"/>
      <w:r>
        <w:rPr>
          <w:rFonts w:hint="eastAsia"/>
          <w:color w:val="000000" w:themeColor="text1"/>
          <w14:textFill>
            <w14:solidFill>
              <w14:schemeClr w14:val="tx1"/>
            </w14:solidFill>
          </w14:textFill>
        </w:rPr>
        <w:t>本文件确立了高速公路路网运行应急指挥智能调度系统（以下简称“系统”）的总则，给出了系统构成、系统应用功能、系统技术和系统安全需要考虑的因素等方面的建议。</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本文件适用于</w:t>
      </w:r>
      <w:r>
        <w:rPr>
          <w:color w:val="000000" w:themeColor="text1"/>
          <w14:textFill>
            <w14:solidFill>
              <w14:schemeClr w14:val="tx1"/>
            </w14:solidFill>
          </w14:textFill>
        </w:rPr>
        <w:t>高速公路</w:t>
      </w:r>
      <w:r>
        <w:rPr>
          <w:rFonts w:hint="eastAsia"/>
          <w:color w:val="000000" w:themeColor="text1"/>
          <w14:textFill>
            <w14:solidFill>
              <w14:schemeClr w14:val="tx1"/>
            </w14:solidFill>
          </w14:textFill>
        </w:rPr>
        <w:t>路网运行</w:t>
      </w:r>
      <w:r>
        <w:rPr>
          <w:color w:val="000000" w:themeColor="text1"/>
          <w14:textFill>
            <w14:solidFill>
              <w14:schemeClr w14:val="tx1"/>
            </w14:solidFill>
          </w14:textFill>
        </w:rPr>
        <w:t>应急指挥调度系统的设计、建设</w:t>
      </w:r>
      <w:r>
        <w:rPr>
          <w:rFonts w:hint="eastAsia"/>
          <w:color w:val="000000" w:themeColor="text1"/>
          <w14:textFill>
            <w14:solidFill>
              <w14:schemeClr w14:val="tx1"/>
            </w14:solidFill>
          </w14:textFill>
        </w:rPr>
        <w:t>与运营</w:t>
      </w:r>
      <w:r>
        <w:rPr>
          <w:color w:val="000000" w:themeColor="text1"/>
          <w14:textFill>
            <w14:solidFill>
              <w14:schemeClr w14:val="tx1"/>
            </w14:solidFill>
          </w14:textFill>
        </w:rPr>
        <w:t>，升级改造项目参</w:t>
      </w:r>
      <w:r>
        <w:rPr>
          <w:rFonts w:hint="eastAsia"/>
          <w:color w:val="000000" w:themeColor="text1"/>
          <w14:textFill>
            <w14:solidFill>
              <w14:schemeClr w14:val="tx1"/>
            </w14:solidFill>
          </w14:textFill>
        </w:rPr>
        <w:t>照使用。</w:t>
      </w:r>
    </w:p>
    <w:p>
      <w:pPr>
        <w:pStyle w:val="104"/>
        <w:spacing w:before="312" w:after="312"/>
        <w:rPr>
          <w:color w:val="000000" w:themeColor="text1"/>
          <w14:textFill>
            <w14:solidFill>
              <w14:schemeClr w14:val="tx1"/>
            </w14:solidFill>
          </w14:textFill>
        </w:rPr>
      </w:pPr>
      <w:bookmarkStart w:id="59" w:name="_Toc229305492"/>
      <w:bookmarkStart w:id="60" w:name="_Toc228399074"/>
      <w:bookmarkStart w:id="61" w:name="_Toc26718931"/>
      <w:bookmarkStart w:id="62" w:name="_Toc234255943"/>
      <w:bookmarkStart w:id="63" w:name="_Toc26986772"/>
      <w:bookmarkStart w:id="64" w:name="_Toc97191424"/>
      <w:bookmarkStart w:id="65" w:name="_Toc229322106"/>
      <w:bookmarkStart w:id="66" w:name="_Toc228006894"/>
      <w:bookmarkStart w:id="67" w:name="_Toc26986531"/>
      <w:bookmarkStart w:id="68" w:name="_Toc241416838"/>
      <w:r>
        <w:rPr>
          <w:rFonts w:hint="eastAsia"/>
          <w:color w:val="000000" w:themeColor="text1"/>
          <w14:textFill>
            <w14:solidFill>
              <w14:schemeClr w14:val="tx1"/>
            </w14:solidFill>
          </w14:textFill>
        </w:rPr>
        <w:t>规范性引用文件</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sdt>
      <w:sdtPr>
        <w:rPr>
          <w:rFonts w:hint="eastAsia"/>
          <w:color w:val="000000" w:themeColor="text1"/>
          <w14:textFill>
            <w14:solidFill>
              <w14:schemeClr w14:val="tx1"/>
            </w14:solidFill>
          </w14:textFill>
        </w:rPr>
        <w:id w:val="715848253"/>
        <w:placeholder>
          <w:docPart w:val="2E9C7B8F32AC48A4A66676C49B259D7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000000" w:themeColor="text1"/>
          <w14:textFill>
            <w14:solidFill>
              <w14:schemeClr w14:val="tx1"/>
            </w14:solidFill>
          </w14:textFill>
        </w:rPr>
      </w:sdtEndPr>
      <w:sdtContent>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GB/T 22239  信息安全技术 网络安全等级保护基本要求</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GB/T 28181  公共安全视频监控联网系统信息传输、交换、控制技术要求</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GB/T 43697  数据安全技术 数据分类分级规则</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GM/T 0024  SSL VPN技术规范</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697.1 交通信息基础数据元 第1部分：总则</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697.2 交通信息基础数据元 第2部分：公路信息基础数据元</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JT/T 808</w:t>
      </w:r>
      <w:r>
        <w:rPr>
          <w:rFonts w:hint="eastAsia"/>
          <w:color w:val="000000" w:themeColor="text1"/>
          <w14:textFill>
            <w14:solidFill>
              <w14:schemeClr w14:val="tx1"/>
            </w14:solidFill>
          </w14:textFill>
        </w:rPr>
        <w:t xml:space="preserve">  道路运输车辆卫星定位系统 终端通信协议及数据格式</w:t>
      </w:r>
    </w:p>
    <w:p>
      <w:pPr>
        <w:pStyle w:val="56"/>
        <w:ind w:firstLine="420"/>
        <w:rPr>
          <w:color w:val="000000" w:themeColor="text1"/>
          <w14:textFill>
            <w14:solidFill>
              <w14:schemeClr w14:val="tx1"/>
            </w14:solidFill>
          </w14:textFill>
        </w:rPr>
      </w:pPr>
      <w:bookmarkStart w:id="69" w:name="OLE_LINK6"/>
      <w:r>
        <w:rPr>
          <w:rFonts w:hint="eastAsia"/>
          <w:color w:val="000000" w:themeColor="text1"/>
          <w14:textFill>
            <w14:solidFill>
              <w14:schemeClr w14:val="tx1"/>
            </w14:solidFill>
          </w14:textFill>
        </w:rPr>
        <w:t>JT/T 1078</w:t>
      </w:r>
      <w:bookmarkEnd w:id="69"/>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道路运输车辆卫星定位系统 视频通讯协议</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1140.1 交通运输安全应急资源数据元 第1部分：公路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1141 交通运输安全应急平台技术要求</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1415（所有部分）  交通运输数据资源交换与共享</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1419  公路水路安全应急处置交换信息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JT/T 1420  公路水路安全应急资源分类与代码</w:t>
      </w:r>
    </w:p>
    <w:p>
      <w:pPr>
        <w:pStyle w:val="56"/>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JT/T 1570  公路灾害预警与应急信息管理要求</w:t>
      </w:r>
    </w:p>
    <w:p>
      <w:pPr>
        <w:pStyle w:val="104"/>
        <w:spacing w:before="312" w:after="312"/>
        <w:rPr>
          <w:color w:val="000000" w:themeColor="text1"/>
          <w14:textFill>
            <w14:solidFill>
              <w14:schemeClr w14:val="tx1"/>
            </w14:solidFill>
          </w14:textFill>
        </w:rPr>
      </w:pPr>
      <w:bookmarkStart w:id="70" w:name="_Toc97191425"/>
      <w:bookmarkStart w:id="71" w:name="_Toc229322107"/>
      <w:bookmarkStart w:id="72" w:name="_Toc234255944"/>
      <w:bookmarkStart w:id="73" w:name="_Toc228006895"/>
      <w:bookmarkStart w:id="74" w:name="_Toc228399075"/>
      <w:bookmarkStart w:id="75" w:name="_Toc241416839"/>
      <w:bookmarkStart w:id="76" w:name="_Toc229305493"/>
      <w:r>
        <w:rPr>
          <w:rFonts w:hint="eastAsia"/>
          <w:color w:val="000000" w:themeColor="text1"/>
          <w:szCs w:val="21"/>
          <w14:textFill>
            <w14:solidFill>
              <w14:schemeClr w14:val="tx1"/>
            </w14:solidFill>
          </w14:textFill>
        </w:rPr>
        <w:t>术语和定义</w:t>
      </w:r>
      <w:bookmarkEnd w:id="70"/>
      <w:bookmarkEnd w:id="71"/>
      <w:bookmarkEnd w:id="72"/>
      <w:bookmarkEnd w:id="73"/>
      <w:bookmarkEnd w:id="74"/>
      <w:bookmarkEnd w:id="75"/>
      <w:bookmarkEnd w:id="76"/>
    </w:p>
    <w:sdt>
      <w:sdtPr>
        <w:rPr>
          <w:color w:val="000000" w:themeColor="text1"/>
          <w14:textFill>
            <w14:solidFill>
              <w14:schemeClr w14:val="tx1"/>
            </w14:solidFill>
          </w14:textFill>
        </w:rPr>
        <w:id w:val="-1909835108"/>
        <w:placeholder>
          <w:docPart w:val="3CEB7E26F3964F83B4C7E8714C45E64F"/>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000000" w:themeColor="text1"/>
          <w14:textFill>
            <w14:solidFill>
              <w14:schemeClr w14:val="tx1"/>
            </w14:solidFill>
          </w14:textFill>
        </w:rPr>
      </w:sdtEndPr>
      <w:sdtContent>
        <w:p>
          <w:pPr>
            <w:pStyle w:val="56"/>
            <w:ind w:firstLine="420"/>
            <w:rPr>
              <w:color w:val="000000" w:themeColor="text1"/>
              <w14:textFill>
                <w14:solidFill>
                  <w14:schemeClr w14:val="tx1"/>
                </w14:solidFill>
              </w14:textFill>
            </w:rPr>
          </w:pPr>
          <w:bookmarkStart w:id="77" w:name="_Toc26986532"/>
          <w:bookmarkEnd w:id="77"/>
          <w:r>
            <w:rPr>
              <w:color w:val="000000" w:themeColor="text1"/>
              <w14:textFill>
                <w14:solidFill>
                  <w14:schemeClr w14:val="tx1"/>
                </w14:solidFill>
              </w14:textFill>
            </w:rPr>
            <w:t>下列术语和定义适用于本文件。</w:t>
          </w:r>
        </w:p>
      </w:sdtContent>
    </w:sdt>
    <w:p>
      <w:pPr>
        <w:pStyle w:val="223"/>
        <w:ind w:left="420" w:hanging="420"/>
        <w:rPr>
          <w:rFonts w:hint="eastAsia"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ascii="黑体" w:hAnsi="黑体" w:eastAsia="黑体"/>
          <w:color w:val="000000" w:themeColor="text1"/>
          <w14:textFill>
            <w14:solidFill>
              <w14:schemeClr w14:val="tx1"/>
            </w14:solidFill>
          </w14:textFill>
        </w:rPr>
        <w:t>感知节点设备 sensor node</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对物或环境进行信息采集和/或执行操作，并能联网进行通信的装置。</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[来源：GB/T 22239—2019，3.16]</w:t>
      </w:r>
    </w:p>
    <w:p>
      <w:pPr>
        <w:pStyle w:val="223"/>
        <w:ind w:left="420" w:hanging="420" w:hangingChars="200"/>
        <w:rPr>
          <w:rFonts w:hint="eastAsia"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ascii="黑体" w:hAnsi="黑体" w:eastAsia="黑体"/>
          <w:color w:val="000000" w:themeColor="text1"/>
          <w14:textFill>
            <w14:solidFill>
              <w14:schemeClr w14:val="tx1"/>
            </w14:solidFill>
          </w14:textFill>
        </w:rPr>
        <w:t>感知网关节点设备 sensor layer gateway</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将感知节点所采集的数据进行汇总、适当处理或数据融合，并进行转发的装置。</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[来源：GB/T 22239—2019，3.17]</w:t>
      </w:r>
    </w:p>
    <w:p>
      <w:pPr>
        <w:pStyle w:val="223"/>
        <w:ind w:left="420" w:hanging="420" w:hangingChars="200"/>
        <w:rPr>
          <w:rFonts w:hint="eastAsia" w:ascii="黑体" w:hAnsi="黑体" w:eastAsia="黑体"/>
          <w:color w:val="000000" w:themeColor="text1"/>
          <w14:textFill>
            <w14:solidFill>
              <w14:schemeClr w14:val="tx1"/>
            </w14:solidFill>
          </w14:textFill>
        </w:rPr>
      </w:pPr>
    </w:p>
    <w:p>
      <w:pPr>
        <w:pStyle w:val="223"/>
        <w:numPr>
          <w:ilvl w:val="0"/>
          <w:numId w:val="0"/>
        </w:numPr>
        <w:ind w:left="42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 xml:space="preserve">基础数据 </w:t>
      </w:r>
      <w:r>
        <w:rPr>
          <w:rFonts w:ascii="黑体" w:hAnsi="黑体" w:eastAsia="黑体"/>
          <w:color w:val="000000" w:themeColor="text1"/>
          <w14:textFill>
            <w14:solidFill>
              <w14:schemeClr w14:val="tx1"/>
            </w14:solidFill>
          </w14:textFill>
        </w:rPr>
        <w:t>basic data</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从交通设施、交通流、气象环境、交通事件及设施设备运行等方面，反映高速公路基础状态与运行情况的最基本数据集合。</w:t>
      </w:r>
    </w:p>
    <w:p>
      <w:pPr>
        <w:pStyle w:val="223"/>
        <w:ind w:left="420" w:hanging="420" w:hangingChars="200"/>
        <w:rPr>
          <w:rFonts w:hint="eastAsia"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数字底座 </w:t>
      </w:r>
      <w:r>
        <w:rPr>
          <w:rFonts w:ascii="黑体" w:hAnsi="黑体" w:eastAsia="黑体"/>
          <w:color w:val="000000" w:themeColor="text1"/>
          <w14:textFill>
            <w14:solidFill>
              <w14:schemeClr w14:val="tx1"/>
            </w14:solidFill>
          </w14:textFill>
        </w:rPr>
        <w:t xml:space="preserve">digital </w:t>
      </w:r>
      <w:r>
        <w:rPr>
          <w:rFonts w:hint="eastAsia" w:ascii="黑体" w:hAnsi="黑体" w:eastAsia="黑体"/>
          <w:color w:val="000000" w:themeColor="text1"/>
          <w14:textFill>
            <w14:solidFill>
              <w14:schemeClr w14:val="tx1"/>
            </w14:solidFill>
          </w14:textFill>
        </w:rPr>
        <w:t>b</w:t>
      </w:r>
      <w:r>
        <w:rPr>
          <w:rFonts w:ascii="黑体" w:hAnsi="黑体" w:eastAsia="黑体"/>
          <w:color w:val="000000" w:themeColor="text1"/>
          <w14:textFill>
            <w14:solidFill>
              <w14:schemeClr w14:val="tx1"/>
            </w14:solidFill>
          </w14:textFill>
        </w:rPr>
        <w:t>ase</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为高速公路指挥调度系统构建的架构分层解耦、数据时空关联、共性模型支撑与基础技术赋能的公共性、基础性数字平台</w:t>
      </w:r>
      <w:r>
        <w:rPr>
          <w:color w:val="000000" w:themeColor="text1"/>
          <w14:textFill>
            <w14:solidFill>
              <w14:schemeClr w14:val="tx1"/>
            </w14:solidFill>
          </w14:textFill>
        </w:rPr>
        <w:t>。</w:t>
      </w:r>
    </w:p>
    <w:p>
      <w:pPr>
        <w:pStyle w:val="104"/>
        <w:spacing w:before="312" w:after="312"/>
        <w:rPr>
          <w:color w:val="000000" w:themeColor="text1"/>
          <w14:textFill>
            <w14:solidFill>
              <w14:schemeClr w14:val="tx1"/>
            </w14:solidFill>
          </w14:textFill>
        </w:rPr>
      </w:pPr>
      <w:bookmarkStart w:id="78" w:name="_Toc229322108"/>
      <w:bookmarkStart w:id="79" w:name="_Toc229305494"/>
      <w:bookmarkStart w:id="80" w:name="_Toc228006896"/>
      <w:bookmarkStart w:id="81" w:name="_Toc228399076"/>
      <w:bookmarkStart w:id="82" w:name="_Toc234255945"/>
      <w:bookmarkStart w:id="83" w:name="_Toc241416840"/>
      <w:r>
        <w:rPr>
          <w:rFonts w:hint="eastAsia"/>
          <w:color w:val="000000" w:themeColor="text1"/>
          <w14:textFill>
            <w14:solidFill>
              <w14:schemeClr w14:val="tx1"/>
            </w14:solidFill>
          </w14:textFill>
        </w:rPr>
        <w:t>缩略语</w:t>
      </w:r>
      <w:bookmarkEnd w:id="78"/>
      <w:bookmarkEnd w:id="79"/>
      <w:bookmarkEnd w:id="80"/>
      <w:bookmarkEnd w:id="81"/>
      <w:bookmarkEnd w:id="82"/>
      <w:bookmarkEnd w:id="83"/>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下列缩略语适用于本文件。</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AHP：层次分析法（Analytic Hierarchy Process）</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AI</w:t>
      </w:r>
      <w:r>
        <w:rPr>
          <w:color w:val="000000" w:themeColor="text1"/>
          <w14:textFill>
            <w14:solidFill>
              <w14:schemeClr w14:val="tx1"/>
            </w14:solidFill>
          </w14:textFill>
        </w:rPr>
        <w:t>：人工智能（Artificial Intelligence）</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API ：应用程序编程接口（ Application Programming Interface ）</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GIS：地理信息系统（Geographic Information System）</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IM：即时通讯（Instant </w:t>
      </w:r>
      <w:r>
        <w:rPr>
          <w:rFonts w:hint="eastAsia"/>
          <w:color w:val="000000" w:themeColor="text1"/>
          <w14:textFill>
            <w14:solidFill>
              <w14:schemeClr w14:val="tx1"/>
            </w14:solidFill>
          </w14:textFill>
        </w:rPr>
        <w:t>M</w:t>
      </w:r>
      <w:r>
        <w:rPr>
          <w:color w:val="000000" w:themeColor="text1"/>
          <w14:textFill>
            <w14:solidFill>
              <w14:schemeClr w14:val="tx1"/>
            </w14:solidFill>
          </w14:textFill>
        </w:rPr>
        <w:t>essaging）</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IoT：物联网（Internet of Things）</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IPSec：互联网安全协议（Internet Protocol Security）</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KPI：关键绩效指标（Key Performance Indicator）</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MILP：混合整数线性规划（Mixed Integer Linear Programming）</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PC：个人计算机（Personal Computer）</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SD-WAN：软件定义广域网（Software Defined Wide Area Network）</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SSL：安全套接字层（Secure Sockets Layer）</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VPN：虚拟专用网络（Virtual Private Network）</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WAF：Web应用防护系统（Web Application Firewall）</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WebRTC</w:t>
      </w:r>
      <w:r>
        <w:rPr>
          <w:rFonts w:hint="eastAsia"/>
          <w:color w:val="000000" w:themeColor="text1"/>
          <w14:textFill>
            <w14:solidFill>
              <w14:schemeClr w14:val="tx1"/>
            </w14:solidFill>
          </w14:textFill>
        </w:rPr>
        <w:t>:</w:t>
      </w:r>
      <w:r>
        <w:rPr>
          <w:rFonts w:ascii="PingFang SC" w:hAnsi="PingFang SC"/>
          <w:color w:val="000000" w:themeColor="text1"/>
          <w:kern w:val="2"/>
          <w:szCs w:val="21"/>
          <w:shd w:val="clear" w:color="auto" w:fill="FFFFFF"/>
          <w14:textFill>
            <w14:solidFill>
              <w14:schemeClr w14:val="tx1"/>
            </w14:solidFill>
          </w14:textFill>
        </w:rPr>
        <w:t xml:space="preserve"> </w:t>
      </w:r>
      <w:r>
        <w:rPr>
          <w:rFonts w:hint="eastAsia" w:ascii="PingFang SC" w:hAnsi="PingFang SC"/>
          <w:color w:val="000000" w:themeColor="text1"/>
          <w:kern w:val="2"/>
          <w:szCs w:val="21"/>
          <w:shd w:val="clear" w:color="auto" w:fill="FFFFFF"/>
          <w14:textFill>
            <w14:solidFill>
              <w14:schemeClr w14:val="tx1"/>
            </w14:solidFill>
          </w14:textFill>
        </w:rPr>
        <w:t>网页</w:t>
      </w:r>
      <w:r>
        <w:rPr>
          <w:color w:val="000000" w:themeColor="text1"/>
          <w14:textFill>
            <w14:solidFill>
              <w14:schemeClr w14:val="tx1"/>
            </w14:solidFill>
          </w14:textFill>
        </w:rPr>
        <w:t>实时通讯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Web Real-Time Communications)</w:t>
      </w:r>
    </w:p>
    <w:p>
      <w:pPr>
        <w:pStyle w:val="104"/>
        <w:spacing w:before="312" w:after="312"/>
        <w:rPr>
          <w:color w:val="000000" w:themeColor="text1"/>
          <w14:textFill>
            <w14:solidFill>
              <w14:schemeClr w14:val="tx1"/>
            </w14:solidFill>
          </w14:textFill>
        </w:rPr>
      </w:pPr>
      <w:bookmarkStart w:id="84" w:name="_Toc228006897"/>
      <w:bookmarkStart w:id="85" w:name="_Toc228399077"/>
      <w:bookmarkStart w:id="86" w:name="_Toc234255946"/>
      <w:bookmarkStart w:id="87" w:name="_Toc229322109"/>
      <w:bookmarkStart w:id="88" w:name="_Toc241416841"/>
      <w:bookmarkStart w:id="89" w:name="_Toc229305495"/>
      <w:bookmarkStart w:id="90" w:name="OLE_LINK7"/>
      <w:r>
        <w:rPr>
          <w:rFonts w:hint="eastAsia"/>
          <w:color w:val="000000" w:themeColor="text1"/>
          <w14:textFill>
            <w14:solidFill>
              <w14:schemeClr w14:val="tx1"/>
            </w14:solidFill>
          </w14:textFill>
        </w:rPr>
        <w:t>总则</w:t>
      </w:r>
      <w:bookmarkEnd w:id="84"/>
      <w:bookmarkEnd w:id="85"/>
      <w:bookmarkEnd w:id="86"/>
      <w:bookmarkEnd w:id="87"/>
      <w:bookmarkEnd w:id="88"/>
      <w:bookmarkEnd w:id="89"/>
    </w:p>
    <w:p>
      <w:pPr>
        <w:pStyle w:val="105"/>
        <w:spacing w:before="156" w:after="156"/>
        <w:rPr>
          <w:color w:val="000000" w:themeColor="text1"/>
          <w14:textFill>
            <w14:solidFill>
              <w14:schemeClr w14:val="tx1"/>
            </w14:solidFill>
          </w14:textFill>
        </w:rPr>
      </w:pPr>
      <w:bookmarkStart w:id="91" w:name="_Toc234255947"/>
      <w:bookmarkStart w:id="92" w:name="_Toc241416842"/>
      <w:r>
        <w:rPr>
          <w:rFonts w:hint="eastAsia"/>
          <w:color w:val="000000" w:themeColor="text1"/>
          <w14:textFill>
            <w14:solidFill>
              <w14:schemeClr w14:val="tx1"/>
            </w14:solidFill>
          </w14:textFill>
        </w:rPr>
        <w:t>协同共享原则</w:t>
      </w:r>
      <w:bookmarkEnd w:id="91"/>
      <w:bookmarkEnd w:id="92"/>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宜遵循协同共享原则，在省域内搭建统一的系统；建立“预报/接报－研判－调度－处置－反馈”闭环流程，强化多方、跨省域协同；支持省、市和经营单位三级应急指挥体系；系统路网事件处置进展情况能与省级平台实现数据交互。</w:t>
      </w:r>
    </w:p>
    <w:p>
      <w:pPr>
        <w:pStyle w:val="105"/>
        <w:spacing w:before="156" w:after="156"/>
        <w:rPr>
          <w:color w:val="000000" w:themeColor="text1"/>
          <w14:textFill>
            <w14:solidFill>
              <w14:schemeClr w14:val="tx1"/>
            </w14:solidFill>
          </w14:textFill>
        </w:rPr>
      </w:pPr>
      <w:bookmarkStart w:id="93" w:name="_Toc234255948"/>
      <w:bookmarkStart w:id="94" w:name="_Toc241416843"/>
      <w:r>
        <w:rPr>
          <w:rFonts w:hint="eastAsia"/>
          <w:color w:val="000000" w:themeColor="text1"/>
          <w14:textFill>
            <w14:solidFill>
              <w14:schemeClr w14:val="tx1"/>
            </w14:solidFill>
          </w14:textFill>
        </w:rPr>
        <w:t>智慧高效原则</w:t>
      </w:r>
      <w:bookmarkEnd w:id="93"/>
      <w:bookmarkEnd w:id="94"/>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宜遵循智慧高效原则，采用智能感知、数据分析与AI大模型等技术，提升调度精准性与效率；在道路沿线、桥梁、隧道采用边缘协同架构，实现数据本地化处理、低时延响应，中心与边缘资源的互补。</w:t>
      </w:r>
    </w:p>
    <w:p>
      <w:pPr>
        <w:pStyle w:val="105"/>
        <w:spacing w:before="156" w:after="156"/>
        <w:rPr>
          <w:color w:val="000000" w:themeColor="text1"/>
          <w14:textFill>
            <w14:solidFill>
              <w14:schemeClr w14:val="tx1"/>
            </w14:solidFill>
          </w14:textFill>
        </w:rPr>
      </w:pPr>
      <w:bookmarkStart w:id="95" w:name="_Toc241416844"/>
      <w:bookmarkStart w:id="96" w:name="_Toc234255949"/>
      <w:r>
        <w:rPr>
          <w:rFonts w:hint="eastAsia"/>
          <w:color w:val="000000" w:themeColor="text1"/>
          <w14:textFill>
            <w14:solidFill>
              <w14:schemeClr w14:val="tx1"/>
            </w14:solidFill>
          </w14:textFill>
        </w:rPr>
        <w:t>分级管控原则</w:t>
      </w:r>
      <w:bookmarkEnd w:id="95"/>
      <w:bookmarkEnd w:id="96"/>
    </w:p>
    <w:p>
      <w:pPr>
        <w:pStyle w:val="56"/>
        <w:ind w:firstLine="420"/>
        <w:rPr>
          <w:color w:val="000000" w:themeColor="text1"/>
          <w14:textFill>
            <w14:solidFill>
              <w14:schemeClr w14:val="tx1"/>
            </w14:solidFill>
          </w14:textFill>
        </w:rPr>
      </w:pPr>
      <w:bookmarkStart w:id="97" w:name="OLE_LINK1"/>
      <w:r>
        <w:rPr>
          <w:rFonts w:hint="eastAsia"/>
          <w:color w:val="000000" w:themeColor="text1"/>
          <w14:textFill>
            <w14:solidFill>
              <w14:schemeClr w14:val="tx1"/>
            </w14:solidFill>
          </w14:textFill>
        </w:rPr>
        <w:t>宜遵循分级管控原则</w:t>
      </w:r>
      <w:bookmarkEnd w:id="97"/>
      <w:r>
        <w:rPr>
          <w:rFonts w:hint="eastAsia"/>
          <w:color w:val="000000" w:themeColor="text1"/>
          <w14:textFill>
            <w14:solidFill>
              <w14:schemeClr w14:val="tx1"/>
            </w14:solidFill>
          </w14:textFill>
        </w:rPr>
        <w:t>，根据事件分类和等级，匹配差异化响应方案/策略；支持对多方的相关人员进行角色和权限的自定义，按账号进行功能和操作授权。</w:t>
      </w:r>
    </w:p>
    <w:p>
      <w:pPr>
        <w:pStyle w:val="105"/>
        <w:spacing w:before="156" w:after="156"/>
        <w:rPr>
          <w:color w:val="000000" w:themeColor="text1"/>
          <w14:textFill>
            <w14:solidFill>
              <w14:schemeClr w14:val="tx1"/>
            </w14:solidFill>
          </w14:textFill>
        </w:rPr>
      </w:pPr>
      <w:bookmarkStart w:id="98" w:name="_Toc241416845"/>
      <w:bookmarkStart w:id="99" w:name="_Toc234255950"/>
      <w:r>
        <w:rPr>
          <w:color w:val="000000" w:themeColor="text1"/>
          <w14:textFill>
            <w14:solidFill>
              <w14:schemeClr w14:val="tx1"/>
            </w14:solidFill>
          </w14:textFill>
        </w:rPr>
        <w:t>现场联动原则</w:t>
      </w:r>
      <w:bookmarkEnd w:id="98"/>
      <w:bookmarkEnd w:id="99"/>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宜遵循现场联动原则，在现场处置过程中，宜基于4G/5G，发挥车载设备、移动端设备的优势，实时采集现场数据，灵活交互沟通方式。</w:t>
      </w:r>
    </w:p>
    <w:p>
      <w:pPr>
        <w:pStyle w:val="104"/>
        <w:spacing w:before="312" w:after="312"/>
        <w:rPr>
          <w:color w:val="000000" w:themeColor="text1"/>
          <w14:textFill>
            <w14:solidFill>
              <w14:schemeClr w14:val="tx1"/>
            </w14:solidFill>
          </w14:textFill>
        </w:rPr>
      </w:pPr>
      <w:bookmarkStart w:id="100" w:name="_Toc229322110"/>
      <w:bookmarkStart w:id="101" w:name="_Toc229305496"/>
      <w:bookmarkStart w:id="102" w:name="_Toc228006898"/>
      <w:bookmarkStart w:id="103" w:name="_Toc228399078"/>
      <w:bookmarkStart w:id="104" w:name="_Toc241416846"/>
      <w:bookmarkStart w:id="105" w:name="_Toc234255951"/>
      <w:r>
        <w:rPr>
          <w:rFonts w:hint="eastAsia"/>
          <w:color w:val="000000" w:themeColor="text1"/>
          <w14:textFill>
            <w14:solidFill>
              <w14:schemeClr w14:val="tx1"/>
            </w14:solidFill>
          </w14:textFill>
        </w:rPr>
        <w:t>系统构成</w:t>
      </w:r>
      <w:bookmarkEnd w:id="100"/>
      <w:bookmarkEnd w:id="101"/>
      <w:bookmarkEnd w:id="102"/>
      <w:bookmarkEnd w:id="103"/>
      <w:bookmarkEnd w:id="104"/>
      <w:bookmarkEnd w:id="105"/>
    </w:p>
    <w:p>
      <w:pPr>
        <w:pStyle w:val="105"/>
        <w:spacing w:before="156" w:after="156"/>
        <w:rPr>
          <w:color w:val="000000" w:themeColor="text1"/>
          <w14:textFill>
            <w14:solidFill>
              <w14:schemeClr w14:val="tx1"/>
            </w14:solidFill>
          </w14:textFill>
        </w:rPr>
      </w:pPr>
      <w:bookmarkStart w:id="106" w:name="_Toc234255952"/>
      <w:bookmarkStart w:id="107" w:name="_Toc228006899"/>
      <w:bookmarkStart w:id="108" w:name="_Toc228399079"/>
      <w:bookmarkStart w:id="109" w:name="_Toc241416847"/>
      <w:r>
        <w:rPr>
          <w:rFonts w:hint="eastAsia"/>
          <w:color w:val="000000" w:themeColor="text1"/>
          <w14:textFill>
            <w14:solidFill>
              <w14:schemeClr w14:val="tx1"/>
            </w14:solidFill>
          </w14:textFill>
        </w:rPr>
        <w:t>总体架构</w:t>
      </w:r>
      <w:bookmarkEnd w:id="106"/>
      <w:bookmarkEnd w:id="107"/>
      <w:bookmarkEnd w:id="108"/>
      <w:bookmarkEnd w:id="109"/>
    </w:p>
    <w:bookmarkEnd w:id="90"/>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宜采用“云、网、边、端”分布式系统架构</w:t>
      </w:r>
      <w:r>
        <w:rPr>
          <w:rFonts w:ascii="Times New Roman"/>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，具体内容如下，总体架构如图</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所示。</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云：系统基础数据部署在私有云内，其他数据可部署在公有云或私有云，公有云与私有云之间拉物理专线或虚拟专线（VPN/SD-WAN）连接。</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网：移动终端设备可通过移动互联网接入平台，感知网关节点设备可通过高速公路光纤网接入；感知节点设备可通过高速公路专网（主）和SD-WAN（备）与平台实现数据交互。</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边：部署的视频云网关、情报板网关、语音网关、AI分析服务器等边缘侧设备，处理实时数据和局部AI分析及决策。</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端：部署在高速公路侧、路面、桥梁、隧道内的设备，及路上救援、清障、养护人员操作的车载设备、单兵设备、无人机等设备。</w:t>
      </w:r>
    </w:p>
    <w:p>
      <w:pPr>
        <w:pStyle w:val="174"/>
        <w:numPr>
          <w:ilvl w:val="0"/>
          <w:numId w:val="0"/>
        </w:numPr>
        <w:ind w:left="851"/>
        <w:rPr>
          <w:color w:val="000000" w:themeColor="text1"/>
          <w14:textFill>
            <w14:solidFill>
              <w14:schemeClr w14:val="tx1"/>
            </w14:solidFill>
          </w14:textFill>
        </w:rPr>
      </w:pPr>
    </w:p>
    <w:p>
      <w:pPr>
        <w:pStyle w:val="174"/>
        <w:numPr>
          <w:ilvl w:val="0"/>
          <w:numId w:val="0"/>
        </w:numPr>
        <w:ind w:left="851"/>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300345" cy="3343275"/>
            <wp:effectExtent l="0" t="0" r="0" b="0"/>
            <wp:docPr id="5072322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32251" name="图片 3"/>
                    <pic:cNvPicPr>
                      <a:picLocks noChangeAspect="1" noChangeArrowheads="1"/>
                    </pic:cNvPicPr>
                  </pic:nvPicPr>
                  <pic:blipFill>
                    <a:blip r:embed="rId43" cstate="print">
                      <a:extLst>
                        <a:ext uri="{28A0092B-C50C-407E-A947-70E740481C1C}">
                          <a14:useLocalDpi xmlns:a14="http://schemas.microsoft.com/office/drawing/2010/main" val="0"/>
                        </a:ext>
                      </a:extLst>
                    </a:blip>
                    <a:srcRect l="8777" r="20847" b="37186"/>
                    <a:stretch>
                      <a:fillRect/>
                    </a:stretch>
                  </pic:blipFill>
                  <pic:spPr>
                    <a:xfrm>
                      <a:off x="0" y="0"/>
                      <a:ext cx="5329320" cy="3361285"/>
                    </a:xfrm>
                    <a:prstGeom prst="rect">
                      <a:avLst/>
                    </a:prstGeom>
                    <a:noFill/>
                    <a:ln>
                      <a:noFill/>
                    </a:ln>
                  </pic:spPr>
                </pic:pic>
              </a:graphicData>
            </a:graphic>
          </wp:inline>
        </w:drawing>
      </w:r>
    </w:p>
    <w:p>
      <w:pPr>
        <w:pStyle w:val="114"/>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系统总体架构</w:t>
      </w:r>
    </w:p>
    <w:p>
      <w:pPr>
        <w:pStyle w:val="105"/>
        <w:spacing w:before="156" w:after="156"/>
        <w:rPr>
          <w:color w:val="000000" w:themeColor="text1"/>
          <w14:textFill>
            <w14:solidFill>
              <w14:schemeClr w14:val="tx1"/>
            </w14:solidFill>
          </w14:textFill>
        </w:rPr>
      </w:pPr>
      <w:bookmarkStart w:id="110" w:name="_Toc241416848"/>
      <w:bookmarkStart w:id="111" w:name="_Toc228006900"/>
      <w:bookmarkStart w:id="112" w:name="_Toc228399080"/>
      <w:bookmarkStart w:id="113" w:name="_Toc234255953"/>
      <w:r>
        <w:rPr>
          <w:rFonts w:hint="eastAsia"/>
          <w:color w:val="000000" w:themeColor="text1"/>
          <w14:textFill>
            <w14:solidFill>
              <w14:schemeClr w14:val="tx1"/>
            </w14:solidFill>
          </w14:textFill>
        </w:rPr>
        <w:t>应用架构</w:t>
      </w:r>
      <w:bookmarkEnd w:id="110"/>
      <w:bookmarkEnd w:id="111"/>
      <w:bookmarkEnd w:id="112"/>
      <w:bookmarkEnd w:id="113"/>
    </w:p>
    <w:p>
      <w:pPr>
        <w:pStyle w:val="165"/>
        <w:rPr>
          <w:color w:val="000000" w:themeColor="text1"/>
          <w14:textFill>
            <w14:solidFill>
              <w14:schemeClr w14:val="tx1"/>
            </w14:solidFill>
          </w14:textFill>
        </w:rPr>
      </w:pPr>
      <w:r>
        <w:rPr>
          <w:color w:val="000000" w:themeColor="text1"/>
          <w14:textFill>
            <w14:solidFill>
              <w14:schemeClr w14:val="tx1"/>
            </w14:solidFill>
          </w14:textFill>
        </w:rPr>
        <w:t>应用架构包括感知层、网络层、</w:t>
      </w:r>
      <w:bookmarkStart w:id="114" w:name="OLE_LINK3"/>
      <w:r>
        <w:rPr>
          <w:color w:val="000000" w:themeColor="text1"/>
          <w14:textFill>
            <w14:solidFill>
              <w14:schemeClr w14:val="tx1"/>
            </w14:solidFill>
          </w14:textFill>
        </w:rPr>
        <w:t>数字底座、</w:t>
      </w:r>
      <w:bookmarkEnd w:id="114"/>
      <w:r>
        <w:rPr>
          <w:color w:val="000000" w:themeColor="text1"/>
          <w14:textFill>
            <w14:solidFill>
              <w14:schemeClr w14:val="tx1"/>
            </w14:solidFill>
          </w14:textFill>
        </w:rPr>
        <w:t>应用层、展现层，具体内容如下，</w:t>
      </w:r>
      <w:r>
        <w:rPr>
          <w:rFonts w:hint="eastAsia"/>
          <w:color w:val="000000" w:themeColor="text1"/>
          <w14:textFill>
            <w14:solidFill>
              <w14:schemeClr w14:val="tx1"/>
            </w14:solidFill>
          </w14:textFill>
        </w:rPr>
        <w:t>应用</w:t>
      </w:r>
      <w:r>
        <w:rPr>
          <w:color w:val="000000" w:themeColor="text1"/>
          <w14:textFill>
            <w14:solidFill>
              <w14:schemeClr w14:val="tx1"/>
            </w14:solidFill>
          </w14:textFill>
        </w:rPr>
        <w:t>架构</w:t>
      </w:r>
      <w:r>
        <w:rPr>
          <w:rFonts w:hint="eastAsia"/>
          <w:color w:val="000000" w:themeColor="text1"/>
          <w14:textFill>
            <w14:solidFill>
              <w14:schemeClr w14:val="tx1"/>
            </w14:solidFill>
          </w14:textFill>
        </w:rPr>
        <w:t>如</w:t>
      </w:r>
      <w:r>
        <w:rPr>
          <w:color w:val="000000" w:themeColor="text1"/>
          <w14:textFill>
            <w14:solidFill>
              <w14:schemeClr w14:val="tx1"/>
            </w14:solidFill>
          </w14:textFill>
        </w:rPr>
        <w:t>图2</w:t>
      </w:r>
      <w:r>
        <w:rPr>
          <w:rFonts w:hint="eastAsia"/>
          <w:color w:val="000000" w:themeColor="text1"/>
          <w14:textFill>
            <w14:solidFill>
              <w14:schemeClr w14:val="tx1"/>
            </w14:solidFill>
          </w14:textFill>
        </w:rPr>
        <w:t>所示。</w:t>
      </w:r>
    </w:p>
    <w:p>
      <w:pPr>
        <w:pStyle w:val="174"/>
        <w:numPr>
          <w:ilvl w:val="0"/>
          <w:numId w:val="32"/>
        </w:numPr>
        <w:rPr>
          <w:color w:val="000000" w:themeColor="text1"/>
          <w14:textFill>
            <w14:solidFill>
              <w14:schemeClr w14:val="tx1"/>
            </w14:solidFill>
          </w14:textFill>
        </w:rPr>
      </w:pPr>
      <w:r>
        <w:rPr>
          <w:rFonts w:hint="eastAsia"/>
          <w:color w:val="000000" w:themeColor="text1"/>
          <w14:textFill>
            <w14:solidFill>
              <w14:schemeClr w14:val="tx1"/>
            </w14:solidFill>
          </w14:textFill>
        </w:rPr>
        <w:t>感知层实现信息采集，实现对各类路网运行信息资源的接入，支撑路网运行监测预警、协调处置、辅助决策等应用。</w:t>
      </w:r>
    </w:p>
    <w:p>
      <w:pPr>
        <w:pStyle w:val="174"/>
        <w:numPr>
          <w:ilvl w:val="0"/>
          <w:numId w:val="32"/>
        </w:numPr>
        <w:rPr>
          <w:color w:val="000000" w:themeColor="text1"/>
          <w14:textFill>
            <w14:solidFill>
              <w14:schemeClr w14:val="tx1"/>
            </w14:solidFill>
          </w14:textFill>
        </w:rPr>
      </w:pPr>
      <w:r>
        <w:rPr>
          <w:rFonts w:hint="eastAsia"/>
          <w:color w:val="000000" w:themeColor="text1"/>
          <w14:textFill>
            <w14:solidFill>
              <w14:schemeClr w14:val="tx1"/>
            </w14:solidFill>
          </w14:textFill>
        </w:rPr>
        <w:t>网络层提供系统运行所需的广域网络链路，包括高速公路骨干通信网、接入通信网、移动网、互联网等。</w:t>
      </w:r>
    </w:p>
    <w:p>
      <w:pPr>
        <w:pStyle w:val="174"/>
        <w:numPr>
          <w:ilvl w:val="0"/>
          <w:numId w:val="32"/>
        </w:numPr>
        <w:rPr>
          <w:color w:val="000000" w:themeColor="text1"/>
          <w14:textFill>
            <w14:solidFill>
              <w14:schemeClr w14:val="tx1"/>
            </w14:solidFill>
          </w14:textFill>
        </w:rPr>
      </w:pPr>
      <w:r>
        <w:rPr>
          <w:rFonts w:hint="eastAsia"/>
          <w:color w:val="000000" w:themeColor="text1"/>
          <w14:textFill>
            <w14:solidFill>
              <w14:schemeClr w14:val="tx1"/>
            </w14:solidFill>
          </w14:textFill>
        </w:rPr>
        <w:t>数字底座为系统运行提供IT基础资源。</w:t>
      </w:r>
    </w:p>
    <w:p>
      <w:pPr>
        <w:pStyle w:val="174"/>
        <w:numPr>
          <w:ilvl w:val="0"/>
          <w:numId w:val="32"/>
        </w:numPr>
        <w:rPr>
          <w:color w:val="000000" w:themeColor="text1"/>
          <w14:textFill>
            <w14:solidFill>
              <w14:schemeClr w14:val="tx1"/>
            </w14:solidFill>
          </w14:textFill>
        </w:rPr>
      </w:pPr>
      <w:r>
        <w:rPr>
          <w:rFonts w:hint="eastAsia"/>
          <w:color w:val="000000" w:themeColor="text1"/>
          <w14:textFill>
            <w14:solidFill>
              <w14:schemeClr w14:val="tx1"/>
            </w14:solidFill>
          </w14:textFill>
        </w:rPr>
        <w:t>应用层宜遵循JT/T 1141的规定，在与相关系统集成对接的基础上，实现路网运行全息感知监测、交通事件快速协同指挥调度、路况信息管理与救援服务、跨省一体化智能协同、应急处置智能辅助管理。</w:t>
      </w:r>
    </w:p>
    <w:p>
      <w:pPr>
        <w:pStyle w:val="174"/>
        <w:numPr>
          <w:ilvl w:val="0"/>
          <w:numId w:val="32"/>
        </w:numPr>
        <w:rPr>
          <w:color w:val="000000" w:themeColor="text1"/>
          <w14:textFill>
            <w14:solidFill>
              <w14:schemeClr w14:val="tx1"/>
            </w14:solidFill>
          </w14:textFill>
        </w:rPr>
      </w:pPr>
      <w:r>
        <w:rPr>
          <w:rFonts w:hint="eastAsia"/>
          <w:color w:val="000000" w:themeColor="text1"/>
          <w14:textFill>
            <w14:solidFill>
              <w14:schemeClr w14:val="tx1"/>
            </w14:solidFill>
          </w14:textFill>
        </w:rPr>
        <w:t>展现层为用户提供多种方式访问服务，包括大屏、PC端、移动终端、小程序等。</w:t>
      </w:r>
    </w:p>
    <w:p>
      <w:pPr>
        <w:pStyle w:val="174"/>
        <w:numPr>
          <w:ilvl w:val="0"/>
          <w:numId w:val="0"/>
        </w:num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458460" cy="2667635"/>
            <wp:effectExtent l="0" t="0" r="8890" b="8890"/>
            <wp:docPr id="2" name="图片 2" descr="d79eebc2290b0014b094eb0edea1f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79eebc2290b0014b094eb0edea1f133"/>
                    <pic:cNvPicPr>
                      <a:picLocks noChangeAspect="1"/>
                    </pic:cNvPicPr>
                  </pic:nvPicPr>
                  <pic:blipFill>
                    <a:blip r:embed="rId44"/>
                    <a:stretch>
                      <a:fillRect/>
                    </a:stretch>
                  </pic:blipFill>
                  <pic:spPr>
                    <a:xfrm>
                      <a:off x="0" y="0"/>
                      <a:ext cx="5458460" cy="2667635"/>
                    </a:xfrm>
                    <a:prstGeom prst="rect">
                      <a:avLst/>
                    </a:prstGeom>
                  </pic:spPr>
                </pic:pic>
              </a:graphicData>
            </a:graphic>
          </wp:inline>
        </w:drawing>
      </w:r>
    </w:p>
    <w:p>
      <w:pPr>
        <w:pStyle w:val="114"/>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系统应用架构</w:t>
      </w:r>
    </w:p>
    <w:p>
      <w:pPr>
        <w:pStyle w:val="165"/>
        <w:rPr>
          <w:color w:val="000000" w:themeColor="text1"/>
          <w14:textFill>
            <w14:solidFill>
              <w14:schemeClr w14:val="tx1"/>
            </w14:solidFill>
          </w14:textFill>
        </w:rPr>
      </w:pPr>
      <w:r>
        <w:rPr>
          <w:color w:val="000000" w:themeColor="text1"/>
          <w14:textFill>
            <w14:solidFill>
              <w14:schemeClr w14:val="tx1"/>
            </w14:solidFill>
          </w14:textFill>
        </w:rPr>
        <w:t>各层间交换的数据和接口宜遵循JT/T 1415（所有部分）的规定，与视频、车载终端设备的通信和数据采集还宜遵循GB/T 28181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JT/T 808</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JT/T 1078的规定</w:t>
      </w:r>
      <w:r>
        <w:rPr>
          <w:rFonts w:hint="eastAsia"/>
          <w:color w:val="000000" w:themeColor="text1"/>
          <w14:textFill>
            <w14:solidFill>
              <w14:schemeClr w14:val="tx1"/>
            </w14:solidFill>
          </w14:textFill>
        </w:rPr>
        <w:t>。</w:t>
      </w:r>
    </w:p>
    <w:p>
      <w:pPr>
        <w:pStyle w:val="104"/>
        <w:spacing w:before="312" w:after="312"/>
        <w:rPr>
          <w:color w:val="000000" w:themeColor="text1"/>
          <w14:textFill>
            <w14:solidFill>
              <w14:schemeClr w14:val="tx1"/>
            </w14:solidFill>
          </w14:textFill>
        </w:rPr>
      </w:pPr>
      <w:bookmarkStart w:id="115" w:name="_Toc228399081"/>
      <w:bookmarkStart w:id="116" w:name="_Toc229322111"/>
      <w:bookmarkStart w:id="117" w:name="_Toc229305497"/>
      <w:bookmarkStart w:id="118" w:name="_Toc228006901"/>
      <w:bookmarkStart w:id="119" w:name="_Toc241416849"/>
      <w:bookmarkStart w:id="120" w:name="_Toc234255954"/>
      <w:r>
        <w:rPr>
          <w:rFonts w:hint="eastAsia"/>
          <w:color w:val="000000" w:themeColor="text1"/>
          <w14:textFill>
            <w14:solidFill>
              <w14:schemeClr w14:val="tx1"/>
            </w14:solidFill>
          </w14:textFill>
        </w:rPr>
        <w:t>系统应用功能</w:t>
      </w:r>
      <w:bookmarkEnd w:id="115"/>
      <w:bookmarkEnd w:id="116"/>
      <w:bookmarkEnd w:id="117"/>
      <w:bookmarkEnd w:id="118"/>
      <w:bookmarkEnd w:id="119"/>
      <w:bookmarkEnd w:id="120"/>
    </w:p>
    <w:p>
      <w:pPr>
        <w:pStyle w:val="105"/>
        <w:spacing w:before="156" w:after="156"/>
        <w:rPr>
          <w:color w:val="000000" w:themeColor="text1"/>
          <w14:textFill>
            <w14:solidFill>
              <w14:schemeClr w14:val="tx1"/>
            </w14:solidFill>
          </w14:textFill>
        </w:rPr>
      </w:pPr>
      <w:bookmarkStart w:id="121" w:name="_Toc234255955"/>
      <w:bookmarkStart w:id="122" w:name="_Toc241416850"/>
      <w:bookmarkStart w:id="123" w:name="_Toc228006902"/>
      <w:bookmarkStart w:id="124" w:name="_Toc228399082"/>
      <w:r>
        <w:rPr>
          <w:rFonts w:hint="eastAsia"/>
          <w:color w:val="000000" w:themeColor="text1"/>
          <w14:textFill>
            <w14:solidFill>
              <w14:schemeClr w14:val="tx1"/>
            </w14:solidFill>
          </w14:textFill>
        </w:rPr>
        <w:t>路网运行全息感知监测预警</w:t>
      </w:r>
      <w:bookmarkEnd w:id="121"/>
      <w:bookmarkEnd w:id="122"/>
      <w:bookmarkEnd w:id="123"/>
      <w:bookmarkEnd w:id="124"/>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路网运行全息感知监测预警功能宜包括但不限于以下方面。</w:t>
      </w:r>
    </w:p>
    <w:p>
      <w:pPr>
        <w:pStyle w:val="174"/>
        <w:numPr>
          <w:ilvl w:val="0"/>
          <w:numId w:val="33"/>
        </w:numPr>
        <w:rPr>
          <w:color w:val="000000" w:themeColor="text1"/>
          <w14:textFill>
            <w14:solidFill>
              <w14:schemeClr w14:val="tx1"/>
            </w14:solidFill>
          </w14:textFill>
        </w:rPr>
      </w:pPr>
      <w:r>
        <w:rPr>
          <w:color w:val="000000" w:themeColor="text1"/>
          <w14:textFill>
            <w14:solidFill>
              <w14:schemeClr w14:val="tx1"/>
            </w14:solidFill>
          </w14:textFill>
        </w:rPr>
        <w:t>路网运行状态融合监测：整合交通流量、雷视车检、视频分析、设备状态、气象信息和收费等综合数据及车载终端、车路协同等新型感知数据，实现以下功能</w:t>
      </w:r>
      <w:r>
        <w:rPr>
          <w:rFonts w:hint="eastAsia"/>
          <w:color w:val="000000" w:themeColor="text1"/>
          <w14:textFill>
            <w14:solidFill>
              <w14:schemeClr w14:val="tx1"/>
            </w14:solidFill>
          </w14:textFill>
        </w:rPr>
        <w:t>：</w:t>
      </w:r>
    </w:p>
    <w:p>
      <w:pPr>
        <w:pStyle w:val="109"/>
        <w:rPr>
          <w:color w:val="000000" w:themeColor="text1"/>
          <w14:textFill>
            <w14:solidFill>
              <w14:schemeClr w14:val="tx1"/>
            </w14:solidFill>
          </w14:textFill>
        </w:rPr>
      </w:pPr>
      <w:r>
        <w:rPr>
          <w:rFonts w:hint="eastAsia"/>
          <w:color w:val="000000" w:themeColor="text1"/>
          <w14:textFill>
            <w14:solidFill>
              <w14:schemeClr w14:val="tx1"/>
            </w14:solidFill>
          </w14:textFill>
        </w:rPr>
        <w:t>突发</w:t>
      </w:r>
      <w:r>
        <w:rPr>
          <w:color w:val="000000" w:themeColor="text1"/>
          <w14:textFill>
            <w14:solidFill>
              <w14:schemeClr w14:val="tx1"/>
            </w14:solidFill>
          </w14:textFill>
        </w:rPr>
        <w:t>事</w:t>
      </w:r>
      <w:r>
        <w:rPr>
          <w:rFonts w:hint="eastAsia"/>
          <w:color w:val="000000" w:themeColor="text1"/>
          <w14:textFill>
            <w14:solidFill>
              <w14:schemeClr w14:val="tx1"/>
            </w14:solidFill>
          </w14:textFill>
        </w:rPr>
        <w:t>件</w:t>
      </w:r>
      <w:r>
        <w:rPr>
          <w:color w:val="000000" w:themeColor="text1"/>
          <w14:textFill>
            <w14:solidFill>
              <w14:schemeClr w14:val="tx1"/>
            </w14:solidFill>
          </w14:textFill>
        </w:rPr>
        <w:t>监测功能‌：自动采集和识别高速公路</w:t>
      </w:r>
      <w:r>
        <w:rPr>
          <w:rFonts w:hint="eastAsia"/>
          <w:color w:val="000000" w:themeColor="text1"/>
          <w14:textFill>
            <w14:solidFill>
              <w14:schemeClr w14:val="tx1"/>
            </w14:solidFill>
          </w14:textFill>
        </w:rPr>
        <w:t>交通事故、车辆拥堵、异常停车、行人闯入、抛洒物、逆行等突发事件</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具备</w:t>
      </w:r>
      <w:r>
        <w:rPr>
          <w:color w:val="000000" w:themeColor="text1"/>
          <w14:textFill>
            <w14:solidFill>
              <w14:schemeClr w14:val="tx1"/>
            </w14:solidFill>
          </w14:textFill>
        </w:rPr>
        <w:t>事</w:t>
      </w:r>
      <w:r>
        <w:rPr>
          <w:rFonts w:hint="eastAsia"/>
          <w:color w:val="000000" w:themeColor="text1"/>
          <w14:textFill>
            <w14:solidFill>
              <w14:schemeClr w14:val="tx1"/>
            </w14:solidFill>
          </w14:textFill>
        </w:rPr>
        <w:t>件</w:t>
      </w:r>
      <w:r>
        <w:rPr>
          <w:color w:val="000000" w:themeColor="text1"/>
          <w14:textFill>
            <w14:solidFill>
              <w14:schemeClr w14:val="tx1"/>
            </w14:solidFill>
          </w14:textFill>
        </w:rPr>
        <w:t>类型</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等级等基础信息的自动记录与上报</w:t>
      </w:r>
      <w:r>
        <w:rPr>
          <w:rFonts w:hint="eastAsia"/>
          <w:color w:val="000000" w:themeColor="text1"/>
          <w14:textFill>
            <w14:solidFill>
              <w14:schemeClr w14:val="tx1"/>
            </w14:solidFill>
          </w14:textFill>
        </w:rPr>
        <w:t>、突发事件</w:t>
      </w:r>
      <w:r>
        <w:rPr>
          <w:color w:val="000000" w:themeColor="text1"/>
          <w14:textFill>
            <w14:solidFill>
              <w14:schemeClr w14:val="tx1"/>
            </w14:solidFill>
          </w14:textFill>
        </w:rPr>
        <w:t>自动核验与误报过滤</w:t>
      </w:r>
      <w:r>
        <w:rPr>
          <w:rFonts w:hint="eastAsia"/>
          <w:color w:val="000000" w:themeColor="text1"/>
          <w14:textFill>
            <w14:solidFill>
              <w14:schemeClr w14:val="tx1"/>
            </w14:solidFill>
          </w14:textFill>
        </w:rPr>
        <w:t>、突发事件场景再现与训练等能力，支持路网事件影响范围预估和传播态势预判；</w:t>
      </w:r>
    </w:p>
    <w:p>
      <w:pPr>
        <w:pStyle w:val="109"/>
        <w:rPr>
          <w:color w:val="000000" w:themeColor="text1"/>
          <w14:textFill>
            <w14:solidFill>
              <w14:schemeClr w14:val="tx1"/>
            </w14:solidFill>
          </w14:textFill>
        </w:rPr>
      </w:pPr>
      <w:r>
        <w:rPr>
          <w:rFonts w:hint="eastAsia"/>
          <w:color w:val="000000" w:themeColor="text1"/>
          <w14:textFill>
            <w14:solidFill>
              <w14:schemeClr w14:val="tx1"/>
            </w14:solidFill>
          </w14:textFill>
        </w:rPr>
        <w:t>路网流量监测功能</w:t>
      </w:r>
      <w:r>
        <w:rPr>
          <w:rFonts w:ascii="Times New Roman"/>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：实时采集和识别路网流量数据，具备按小时、日、月、年等多维度统计分析、统计和评估等能力；</w:t>
      </w:r>
    </w:p>
    <w:p>
      <w:pPr>
        <w:pStyle w:val="109"/>
        <w:rPr>
          <w:color w:val="000000" w:themeColor="text1"/>
          <w14:textFill>
            <w14:solidFill>
              <w14:schemeClr w14:val="tx1"/>
            </w14:solidFill>
          </w14:textFill>
        </w:rPr>
      </w:pPr>
      <w:r>
        <w:rPr>
          <w:rFonts w:hint="eastAsia"/>
          <w:color w:val="000000" w:themeColor="text1"/>
          <w14:textFill>
            <w14:solidFill>
              <w14:schemeClr w14:val="tx1"/>
            </w14:solidFill>
          </w14:textFill>
        </w:rPr>
        <w:t>气象环境监测功能：实时采集和识别路网沿线气象环境数据，具备恶劣气象预警信息的自动生成与分级推送、</w:t>
      </w:r>
      <w:r>
        <w:rPr>
          <w:rFonts w:hint="eastAsia" w:hAnsi="宋体" w:cs="宋体"/>
          <w:color w:val="000000" w:themeColor="text1"/>
          <w14:textFill>
            <w14:solidFill>
              <w14:schemeClr w14:val="tx1"/>
            </w14:solidFill>
          </w14:textFill>
        </w:rPr>
        <w:t>气象与交通联动分析等能力；</w:t>
      </w:r>
    </w:p>
    <w:p>
      <w:pPr>
        <w:pStyle w:val="109"/>
        <w:rPr>
          <w:color w:val="000000" w:themeColor="text1"/>
          <w14:textFill>
            <w14:solidFill>
              <w14:schemeClr w14:val="tx1"/>
            </w14:solidFill>
          </w14:textFill>
        </w:rPr>
      </w:pPr>
      <w:r>
        <w:rPr>
          <w:rFonts w:hint="eastAsia"/>
          <w:color w:val="000000" w:themeColor="text1"/>
          <w14:textFill>
            <w14:solidFill>
              <w14:schemeClr w14:val="tx1"/>
            </w14:solidFill>
          </w14:textFill>
        </w:rPr>
        <w:t>养护施工监测功能</w:t>
      </w:r>
      <w:r>
        <w:rPr>
          <w:rFonts w:ascii="Times New Roman"/>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：对养护施工路段的施工位置、施工时段、施工类型、占道情况、交通组织方案等信息进行统一登记管理，具备施工区域的实时视频监控和施工进度跟踪、施工信息与路网运行监测数据的联动展示等能力；</w:t>
      </w:r>
    </w:p>
    <w:p>
      <w:pPr>
        <w:pStyle w:val="109"/>
        <w:rPr>
          <w:color w:val="000000" w:themeColor="text1"/>
          <w14:textFill>
            <w14:solidFill>
              <w14:schemeClr w14:val="tx1"/>
            </w14:solidFill>
          </w14:textFill>
        </w:rPr>
      </w:pPr>
      <w:r>
        <w:rPr>
          <w:rFonts w:hint="eastAsia"/>
          <w:color w:val="000000" w:themeColor="text1"/>
          <w14:textFill>
            <w14:solidFill>
              <w14:schemeClr w14:val="tx1"/>
            </w14:solidFill>
          </w14:textFill>
        </w:rPr>
        <w:t>重点车辆监测功能</w:t>
      </w:r>
      <w:r>
        <w:rPr>
          <w:rFonts w:ascii="Times New Roman"/>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：对“两客一危”等重点车辆在路网内的行驶轨迹、速度、位置进行实时监测，具备重点车辆异常行为的自动识别与预警等能力。</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路网运行态势预测预警：在路网运行融合监测的基础上，结合历史监测数据进行交通流量短时预测，包括常见的周期性流量变化预测和突发事件导致的局部区域流量增长预测，并触发报警，实时动态监控；具备多时间跨度、分类型数据结果预测，对预测信息进行分类管理等能力。</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路网运行监测专题分析：依托路网运行监测和相关业务部门上报的数据，测算各类交通运行指标，实现路网运行状况和发展态势的综合评价和分析；具备统计分析、自动生成报告或报表、专题文档管理</w:t>
      </w:r>
      <w:r>
        <w:rPr>
          <w:rFonts w:hint="eastAsia" w:hAnsi="宋体" w:cs="宋体"/>
          <w:color w:val="000000" w:themeColor="text1"/>
          <w14:textFill>
            <w14:solidFill>
              <w14:schemeClr w14:val="tx1"/>
            </w14:solidFill>
          </w14:textFill>
        </w:rPr>
        <w:t>等能力。</w:t>
      </w:r>
    </w:p>
    <w:p>
      <w:pPr>
        <w:pStyle w:val="105"/>
        <w:spacing w:before="156" w:after="156"/>
        <w:rPr>
          <w:color w:val="000000" w:themeColor="text1"/>
          <w14:textFill>
            <w14:solidFill>
              <w14:schemeClr w14:val="tx1"/>
            </w14:solidFill>
          </w14:textFill>
        </w:rPr>
      </w:pPr>
      <w:bookmarkStart w:id="125" w:name="_Toc241416851"/>
      <w:bookmarkStart w:id="126" w:name="_Toc234255956"/>
      <w:bookmarkStart w:id="127" w:name="_Toc228006903"/>
      <w:bookmarkStart w:id="128" w:name="_Toc228399083"/>
      <w:r>
        <w:rPr>
          <w:rFonts w:hint="eastAsia"/>
          <w:color w:val="000000" w:themeColor="text1"/>
          <w14:textFill>
            <w14:solidFill>
              <w14:schemeClr w14:val="tx1"/>
            </w14:solidFill>
          </w14:textFill>
        </w:rPr>
        <w:t>事件快速协同指挥调度</w:t>
      </w:r>
      <w:bookmarkEnd w:id="125"/>
      <w:bookmarkEnd w:id="126"/>
      <w:bookmarkEnd w:id="127"/>
      <w:bookmarkEnd w:id="128"/>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事件快速协同指挥调度功能宜包括但不限于以下方面。</w:t>
      </w:r>
    </w:p>
    <w:p>
      <w:pPr>
        <w:pStyle w:val="174"/>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事件智能甄别与上报：通过预警关联事件信息，经人工确认后，支持自动上报事件信息；或接报后人工填写事件信息上报，支持授权用户对上报事件进行审核；事件上报成功后，根据事件的具体情况进行初步的评估与应对，如进行现场勘查、采取临时的安全保障措施等，并在系统中记录相关的处理情况与意见。</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事件智能同步：实时监测不同人员上报或路网运行全息感知监测预警生成的事件；在设定的一定时间范围内，针对上报事件的关键字段进行分析比对，判定这些事件的关联性，进行事件合并或拆分。</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一路多方协同调度：依据事件信息，自动化创建调度群，利用视频会议、即时通信、北斗短报文、卫星电话等技术，实现远程会商，对事件进行研判和协同调度；支持与交通移动应急通信指挥系统等平台的协同配合。</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智能定位与可视调度：整合高精地图定位事件并自动生成调度方案；支持无人机/智能车辆传回现场视频，增强远程指挥可视化。</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事件处置办结与审核：系统跟踪处置进度并记录处置效果，按事先设定指标自动计算、效率评估，生成优化建议。</w:t>
      </w:r>
    </w:p>
    <w:p>
      <w:pPr>
        <w:pStyle w:val="105"/>
        <w:spacing w:before="156" w:after="156"/>
        <w:rPr>
          <w:color w:val="000000" w:themeColor="text1"/>
          <w14:textFill>
            <w14:solidFill>
              <w14:schemeClr w14:val="tx1"/>
            </w14:solidFill>
          </w14:textFill>
        </w:rPr>
      </w:pPr>
      <w:bookmarkStart w:id="129" w:name="_Toc241416852"/>
      <w:bookmarkStart w:id="130" w:name="_Toc228006904"/>
      <w:bookmarkStart w:id="131" w:name="_Toc228399084"/>
      <w:bookmarkStart w:id="132" w:name="_Toc234255957"/>
      <w:r>
        <w:rPr>
          <w:rFonts w:hint="eastAsia"/>
          <w:color w:val="000000" w:themeColor="text1"/>
          <w14:textFill>
            <w14:solidFill>
              <w14:schemeClr w14:val="tx1"/>
            </w14:solidFill>
          </w14:textFill>
        </w:rPr>
        <w:t>路况信息管理与救援服务</w:t>
      </w:r>
      <w:bookmarkEnd w:id="129"/>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路况信息管理与救援服务功能宜包括但不限于以下方面。</w:t>
      </w:r>
    </w:p>
    <w:p>
      <w:pPr>
        <w:pStyle w:val="174"/>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路况信息管理：对路况信息进行实时展示与监控，具备路况信息采集、路况信息报送、路况信息发布、路况综述发布、数据报表统计分析的闭环管理能力，与第三方地图服务商、</w:t>
      </w:r>
      <w:r>
        <w:rPr>
          <w:color w:val="000000" w:themeColor="text1"/>
          <w14:textFill>
            <w14:solidFill>
              <w14:schemeClr w14:val="tx1"/>
            </w14:solidFill>
          </w14:textFill>
        </w:rPr>
        <w:t>智能网联汽车平台</w:t>
      </w:r>
      <w:r>
        <w:rPr>
          <w:rFonts w:hint="eastAsia"/>
          <w:color w:val="000000" w:themeColor="text1"/>
          <w14:textFill>
            <w14:solidFill>
              <w14:schemeClr w14:val="tx1"/>
            </w14:solidFill>
          </w14:textFill>
        </w:rPr>
        <w:t>和其他出行服务平台信息协同能力。</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情报板发布管理：对接路侧可变情报板设备，支持路况信息、管制通告、预警提示等内容的远程发布与撤回，具备发布内容审核管理、定时发布与即时插播、发布记录可追溯等能力。</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车辆救援服务：具备救援工单管理、救援过程管理、信息公开及服务、救援评价管理、统计分析等能力，支持救援全流程跟踪与信息公开，支持与部级平台数据交互与信息共享。</w:t>
      </w:r>
    </w:p>
    <w:p>
      <w:pPr>
        <w:pStyle w:val="105"/>
        <w:spacing w:before="156" w:after="156"/>
        <w:rPr>
          <w:color w:val="000000" w:themeColor="text1"/>
          <w14:textFill>
            <w14:solidFill>
              <w14:schemeClr w14:val="tx1"/>
            </w14:solidFill>
          </w14:textFill>
        </w:rPr>
      </w:pPr>
      <w:bookmarkStart w:id="133" w:name="_Toc241416853"/>
      <w:r>
        <w:rPr>
          <w:rFonts w:hint="eastAsia"/>
          <w:color w:val="000000" w:themeColor="text1"/>
          <w14:textFill>
            <w14:solidFill>
              <w14:schemeClr w14:val="tx1"/>
            </w14:solidFill>
          </w14:textFill>
        </w:rPr>
        <w:t>跨省一体化智能协同</w:t>
      </w:r>
      <w:bookmarkEnd w:id="130"/>
      <w:bookmarkEnd w:id="131"/>
      <w:bookmarkEnd w:id="132"/>
      <w:bookmarkEnd w:id="133"/>
    </w:p>
    <w:p>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跨省一体化智能协同功能宜包括但不限于以下方面。</w:t>
      </w:r>
    </w:p>
    <w:p>
      <w:pPr>
        <w:pStyle w:val="174"/>
        <w:numPr>
          <w:ilvl w:val="0"/>
          <w:numId w:val="36"/>
        </w:numPr>
        <w:rPr>
          <w:color w:val="000000" w:themeColor="text1"/>
          <w14:textFill>
            <w14:solidFill>
              <w14:schemeClr w14:val="tx1"/>
            </w14:solidFill>
          </w14:textFill>
        </w:rPr>
      </w:pPr>
      <w:r>
        <w:rPr>
          <w:rFonts w:hint="eastAsia"/>
          <w:color w:val="000000" w:themeColor="text1"/>
          <w14:textFill>
            <w14:solidFill>
              <w14:schemeClr w14:val="tx1"/>
            </w14:solidFill>
          </w14:textFill>
        </w:rPr>
        <w:t>省际协同数据交换共享：利用省际交界处的硬件设施，采集通行、路况、视频数据，经专用数据传输网络。</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跨省通道运行状态监测预警与管控：建立交通流量、车速、交通事件、车辆异常行为等预警指标，实时采集预警指标相关数据，利用人工智能算法或人工对指标数据进行实时分析，修正预警等级及响应措施。</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跨省事件协同处置：经人工智能分析、公众上报、司乘人员紧急求助等方式形成的事件，按事先定义的省际联动流程，算法自动匹配最优资源组合，生成包含路线规划、到达时间的调度方案，各单位可通过移动端实时反馈任务进展。</w:t>
      </w:r>
    </w:p>
    <w:p>
      <w:pPr>
        <w:pStyle w:val="165"/>
        <w:rPr>
          <w:color w:val="000000" w:themeColor="text1"/>
          <w14:textFill>
            <w14:solidFill>
              <w14:schemeClr w14:val="tx1"/>
            </w14:solidFill>
          </w14:textFill>
        </w:rPr>
      </w:pPr>
      <w:r>
        <w:rPr>
          <w:color w:val="000000" w:themeColor="text1"/>
          <w14:textFill>
            <w14:solidFill>
              <w14:schemeClr w14:val="tx1"/>
            </w14:solidFill>
          </w14:textFill>
        </w:rPr>
        <w:t>在监测预警与管控、事件协同处置中，经人工智能算法分析和使用的多源数据，可作为训练数据集/测试数据集/验证数据集，供人工智能算法的进一步优化，管理人员可对人工智能算法的参数调整。</w:t>
      </w:r>
    </w:p>
    <w:p>
      <w:pPr>
        <w:pStyle w:val="105"/>
        <w:spacing w:before="156" w:after="156"/>
        <w:rPr>
          <w:color w:val="000000" w:themeColor="text1"/>
          <w14:textFill>
            <w14:solidFill>
              <w14:schemeClr w14:val="tx1"/>
            </w14:solidFill>
          </w14:textFill>
        </w:rPr>
      </w:pPr>
      <w:bookmarkStart w:id="134" w:name="_Toc234255958"/>
      <w:bookmarkStart w:id="135" w:name="_Toc241416854"/>
      <w:bookmarkStart w:id="136" w:name="_Toc228006905"/>
      <w:bookmarkStart w:id="137" w:name="_Toc228399085"/>
      <w:r>
        <w:rPr>
          <w:rFonts w:hint="eastAsia"/>
          <w:color w:val="000000" w:themeColor="text1"/>
          <w14:textFill>
            <w14:solidFill>
              <w14:schemeClr w14:val="tx1"/>
            </w14:solidFill>
          </w14:textFill>
        </w:rPr>
        <w:t>应急处置智能辅助管理</w:t>
      </w:r>
      <w:bookmarkEnd w:id="134"/>
      <w:bookmarkEnd w:id="135"/>
      <w:bookmarkEnd w:id="136"/>
      <w:bookmarkEnd w:id="137"/>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应急处置智能辅助管理功能宜包括但不限于以下内容。</w:t>
      </w:r>
    </w:p>
    <w:p>
      <w:pPr>
        <w:pStyle w:val="174"/>
        <w:numPr>
          <w:ilvl w:val="0"/>
          <w:numId w:val="37"/>
        </w:numPr>
        <w:rPr>
          <w:color w:val="000000" w:themeColor="text1"/>
          <w14:textFill>
            <w14:solidFill>
              <w14:schemeClr w14:val="tx1"/>
            </w14:solidFill>
          </w14:textFill>
        </w:rPr>
      </w:pPr>
      <w:r>
        <w:rPr>
          <w:rFonts w:hint="eastAsia"/>
          <w:color w:val="000000" w:themeColor="text1"/>
          <w14:textFill>
            <w14:solidFill>
              <w14:schemeClr w14:val="tx1"/>
            </w14:solidFill>
          </w14:textFill>
        </w:rPr>
        <w:t>应急资源全周期管理：对</w:t>
      </w:r>
      <w:bookmarkStart w:id="138" w:name="OLE_LINK44"/>
      <w:r>
        <w:rPr>
          <w:rFonts w:hint="eastAsia"/>
          <w:color w:val="000000" w:themeColor="text1"/>
          <w14:textFill>
            <w14:solidFill>
              <w14:schemeClr w14:val="tx1"/>
            </w14:solidFill>
          </w14:textFill>
        </w:rPr>
        <w:t>应急资源</w:t>
      </w:r>
      <w:bookmarkEnd w:id="138"/>
      <w:r>
        <w:rPr>
          <w:rFonts w:hint="eastAsia"/>
          <w:color w:val="000000" w:themeColor="text1"/>
          <w14:textFill>
            <w14:solidFill>
              <w14:schemeClr w14:val="tx1"/>
            </w14:solidFill>
          </w14:textFill>
        </w:rPr>
        <w:t>分类、标识和登记，结合GIS地图，了解应急资源的分布情况、应急装备和物资的库存情况，进行实时调度。</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管理：制定突发事件总体应急预案，对某一类型或某几种类型突发事件制定专项应急预案；当有突发事件上报后，系统支持根据事件的发生地点、发生类型、初步的影响程度自动匹配应急预案模板库，每项应急预案处置过程可回溯。</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应急评估：通过应急处置过程信息记录，对组织过程、处置效果、灾害损失进行分析和评估。</w:t>
      </w:r>
    </w:p>
    <w:p>
      <w:pPr>
        <w:pStyle w:val="104"/>
        <w:spacing w:before="312" w:after="312"/>
        <w:rPr>
          <w:color w:val="000000" w:themeColor="text1"/>
          <w14:textFill>
            <w14:solidFill>
              <w14:schemeClr w14:val="tx1"/>
            </w14:solidFill>
          </w14:textFill>
        </w:rPr>
      </w:pPr>
      <w:bookmarkStart w:id="139" w:name="_Toc234255959"/>
      <w:bookmarkStart w:id="140" w:name="_Toc229322112"/>
      <w:bookmarkStart w:id="141" w:name="_Toc229305498"/>
      <w:bookmarkStart w:id="142" w:name="_Toc241416855"/>
      <w:r>
        <w:rPr>
          <w:color w:val="000000" w:themeColor="text1"/>
          <w14:textFill>
            <w14:solidFill>
              <w14:schemeClr w14:val="tx1"/>
            </w14:solidFill>
          </w14:textFill>
        </w:rPr>
        <w:t>系统技术需考虑的因素</w:t>
      </w:r>
      <w:bookmarkEnd w:id="139"/>
      <w:bookmarkEnd w:id="140"/>
      <w:bookmarkEnd w:id="141"/>
      <w:bookmarkEnd w:id="142"/>
    </w:p>
    <w:p>
      <w:pPr>
        <w:pStyle w:val="105"/>
        <w:spacing w:before="156" w:after="156"/>
        <w:rPr>
          <w:color w:val="000000" w:themeColor="text1"/>
          <w14:textFill>
            <w14:solidFill>
              <w14:schemeClr w14:val="tx1"/>
            </w14:solidFill>
          </w14:textFill>
        </w:rPr>
      </w:pPr>
      <w:bookmarkStart w:id="143" w:name="_Toc241416856"/>
      <w:r>
        <w:rPr>
          <w:rFonts w:hint="eastAsia"/>
          <w:color w:val="000000" w:themeColor="text1"/>
          <w14:textFill>
            <w14:solidFill>
              <w14:schemeClr w14:val="tx1"/>
            </w14:solidFill>
          </w14:textFill>
        </w:rPr>
        <w:t>路网运行全息感知监测预警</w:t>
      </w:r>
      <w:bookmarkEnd w:id="143"/>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路网运行全息感知监测预警需考虑的因素宜包括但不限于以下内容。</w:t>
      </w:r>
    </w:p>
    <w:p>
      <w:pPr>
        <w:pStyle w:val="174"/>
        <w:numPr>
          <w:ilvl w:val="0"/>
          <w:numId w:val="38"/>
        </w:numPr>
        <w:rPr>
          <w:color w:val="000000" w:themeColor="text1"/>
          <w14:textFill>
            <w14:solidFill>
              <w14:schemeClr w14:val="tx1"/>
            </w14:solidFill>
          </w14:textFill>
        </w:rPr>
      </w:pPr>
      <w:r>
        <w:rPr>
          <w:color w:val="000000" w:themeColor="text1"/>
          <w14:textFill>
            <w14:solidFill>
              <w14:schemeClr w14:val="tx1"/>
            </w14:solidFill>
          </w14:textFill>
        </w:rPr>
        <w:t>采用统一的时空基准，即时间基准采用公历纪元和北京时间，地理基准采用2000国家大地坐标系</w:t>
      </w:r>
      <w:r>
        <w:rPr>
          <w:rFonts w:hint="eastAsia"/>
          <w:color w:val="000000" w:themeColor="text1"/>
          <w14:textFill>
            <w14:solidFill>
              <w14:schemeClr w14:val="tx1"/>
            </w14:solidFill>
          </w14:textFill>
        </w:rPr>
        <w:t>统</w:t>
      </w:r>
      <w:r>
        <w:rPr>
          <w:color w:val="000000" w:themeColor="text1"/>
          <w14:textFill>
            <w14:solidFill>
              <w14:schemeClr w14:val="tx1"/>
            </w14:solidFill>
          </w14:textFill>
        </w:rPr>
        <w:t>（CGCS2000）</w:t>
      </w:r>
      <w:r>
        <w:rPr>
          <w:rFonts w:hint="eastAsia"/>
          <w:color w:val="000000" w:themeColor="text1"/>
          <w14:textFill>
            <w14:solidFill>
              <w14:schemeClr w14:val="tx1"/>
            </w14:solidFill>
          </w14:textFill>
        </w:rPr>
        <w:t>。</w:t>
      </w:r>
    </w:p>
    <w:p>
      <w:pPr>
        <w:pStyle w:val="174"/>
        <w:numPr>
          <w:ilvl w:val="0"/>
          <w:numId w:val="38"/>
        </w:numPr>
        <w:rPr>
          <w:color w:val="000000" w:themeColor="text1"/>
          <w14:textFill>
            <w14:solidFill>
              <w14:schemeClr w14:val="tx1"/>
            </w14:solidFill>
          </w14:textFill>
        </w:rPr>
      </w:pPr>
      <w:r>
        <w:rPr>
          <w:rFonts w:hint="eastAsia"/>
          <w:color w:val="000000" w:themeColor="text1"/>
          <w14:textFill>
            <w14:solidFill>
              <w14:schemeClr w14:val="tx1"/>
            </w14:solidFill>
          </w14:textFill>
        </w:rPr>
        <w:t>在区域层级采用感知节点设备，在道路沿线、桥梁、隧道采用感知网关节点设备，提高数据采集的实时性。</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对感知类设备通过IoT平台采集数据，数据宜遵循JT/T 697.1和JT/T 697.2的规定，具体采集数据项参考附录A；对部分不支持物联网协议的特殊设备通过部署专用的网关设备进行对接，并支持RESTful或WebService接口形式；对系统对接的数据，用RESTful或WebService接口对接。</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采集的数据进行预处理，对空值、偏差过大值和无效数据做数据清洗。</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采集的数据通过时间戳匹配、空间坐标映射进行数据对齐。</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在事件检测、应急响应、拥堵预测与疏导、恶劣天气协同管控等场景下，基于数据的时空特征、属性特征、实体识别的关联关系，通过数学模型、机器学习算法、AI大模型进行数据融合。</w:t>
      </w:r>
    </w:p>
    <w:p>
      <w:pPr>
        <w:pStyle w:val="174"/>
        <w:rPr>
          <w:color w:val="000000" w:themeColor="text1"/>
          <w14:textFill>
            <w14:solidFill>
              <w14:schemeClr w14:val="tx1"/>
            </w14:solidFill>
          </w14:textFill>
        </w:rPr>
      </w:pPr>
      <w:r>
        <w:rPr>
          <w:color w:val="000000" w:themeColor="text1"/>
          <w14:textFill>
            <w14:solidFill>
              <w14:schemeClr w14:val="tx1"/>
            </w14:solidFill>
          </w14:textFill>
        </w:rPr>
        <w:t>宜结合多源感知数据（路侧摄像头、无人机巡检等）交叉验证提升</w:t>
      </w:r>
      <w:r>
        <w:rPr>
          <w:rFonts w:hint="eastAsia"/>
          <w:color w:val="000000" w:themeColor="text1"/>
          <w14:textFill>
            <w14:solidFill>
              <w14:schemeClr w14:val="tx1"/>
            </w14:solidFill>
          </w14:textFill>
        </w:rPr>
        <w:t>突发</w:t>
      </w:r>
      <w:r>
        <w:rPr>
          <w:color w:val="000000" w:themeColor="text1"/>
          <w14:textFill>
            <w14:solidFill>
              <w14:schemeClr w14:val="tx1"/>
            </w14:solidFill>
          </w14:textFill>
        </w:rPr>
        <w:t>事件</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识别准确率</w:t>
      </w:r>
      <w:r>
        <w:rPr>
          <w:rFonts w:hint="eastAsia"/>
          <w:color w:val="000000" w:themeColor="text1"/>
          <w14:textFill>
            <w14:solidFill>
              <w14:schemeClr w14:val="tx1"/>
            </w14:solidFill>
          </w14:textFill>
        </w:rPr>
        <w:t>。</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信息管理宜遵循JT/T 1570的规定。</w:t>
      </w:r>
    </w:p>
    <w:p>
      <w:pPr>
        <w:pStyle w:val="105"/>
        <w:spacing w:before="156" w:after="156"/>
        <w:rPr>
          <w:color w:val="000000" w:themeColor="text1"/>
          <w14:textFill>
            <w14:solidFill>
              <w14:schemeClr w14:val="tx1"/>
            </w14:solidFill>
          </w14:textFill>
        </w:rPr>
      </w:pPr>
      <w:bookmarkStart w:id="144" w:name="_Toc228399088"/>
      <w:bookmarkStart w:id="145" w:name="_Toc228006908"/>
      <w:bookmarkStart w:id="146" w:name="_Toc241416857"/>
      <w:bookmarkStart w:id="147" w:name="_Toc234255961"/>
      <w:r>
        <w:rPr>
          <w:rFonts w:hint="eastAsia"/>
          <w:color w:val="000000" w:themeColor="text1"/>
          <w14:textFill>
            <w14:solidFill>
              <w14:schemeClr w14:val="tx1"/>
            </w14:solidFill>
          </w14:textFill>
        </w:rPr>
        <w:t>智能调度与协同处置</w:t>
      </w:r>
      <w:bookmarkEnd w:id="144"/>
      <w:bookmarkEnd w:id="145"/>
      <w:bookmarkEnd w:id="146"/>
      <w:bookmarkEnd w:id="147"/>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智能调度与协同处置</w:t>
      </w:r>
      <w:bookmarkStart w:id="148" w:name="OLE_LINK2"/>
      <w:r>
        <w:rPr>
          <w:rFonts w:hint="eastAsia"/>
          <w:color w:val="000000" w:themeColor="text1"/>
          <w14:textFill>
            <w14:solidFill>
              <w14:schemeClr w14:val="tx1"/>
            </w14:solidFill>
          </w14:textFill>
        </w:rPr>
        <w:t>需考虑的因素宜包括但不限于以下内容。</w:t>
      </w:r>
      <w:bookmarkEnd w:id="148"/>
    </w:p>
    <w:p>
      <w:pPr>
        <w:pStyle w:val="174"/>
        <w:numPr>
          <w:ilvl w:val="0"/>
          <w:numId w:val="39"/>
        </w:numPr>
        <w:rPr>
          <w:color w:val="000000" w:themeColor="text1"/>
          <w14:textFill>
            <w14:solidFill>
              <w14:schemeClr w14:val="tx1"/>
            </w14:solidFill>
          </w14:textFill>
        </w:rPr>
      </w:pPr>
      <w:r>
        <w:rPr>
          <w:rFonts w:hint="eastAsia"/>
          <w:color w:val="000000" w:themeColor="text1"/>
          <w14:textFill>
            <w14:solidFill>
              <w14:schemeClr w14:val="tx1"/>
            </w14:solidFill>
          </w14:textFill>
        </w:rPr>
        <w:t>采用计算机视觉算法技术，实时分析摄像头视频流，识别交通事件。</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通过多模态的数据关联分析，将视频事件与雷达检测数据、车辆轨迹数据等融合，提升事件判定的准确性。</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事件上报接口符合RESTful API技术要求。</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基于时空聚类算法和关键字段（时间、地点、事件类型等）相似度计算，实现规定时间内同类/重复事件自动合并。 </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支持动态阈值调整功能，允许管理员根据历史数据优化时空聚类参数，适应不同路段特征。</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基于规则引擎、AI大模型，依据事件特征，自动匹配应急预案。</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基于规则引擎，根据应急资源分布、库存，按应急预案自动生成工单并分配至相关执行对象。</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采用高精度地图，支持事件与救援资源的精准空间定位，地图精度按宏观路网分析、事件定位和特定精细化管控等不同业务场景可分别设定为标准级、亚米级和厘米级；通过车载终端/北斗定位数据，实时在高精度地图标注事件坐标。</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利用WebRTC、IM技术，实现工作空间/群组内人员的视频及语音远程会商，对事件进行研判和协同调度。</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基于规则引擎，按预设规则自动触发处置流程的督办、催办，PC端采用声音提示，移动端采用信息提醒。</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采用数据分析模型（如AHP模型、多目标规划法）进行效果评估，评估指标参考附录B。</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应急处置交换信息宜遵循JT/T 1419的规定。</w:t>
      </w:r>
    </w:p>
    <w:p>
      <w:pPr>
        <w:pStyle w:val="105"/>
        <w:spacing w:before="156" w:after="156"/>
        <w:rPr>
          <w:color w:val="000000" w:themeColor="text1"/>
          <w14:textFill>
            <w14:solidFill>
              <w14:schemeClr w14:val="tx1"/>
            </w14:solidFill>
          </w14:textFill>
        </w:rPr>
      </w:pPr>
      <w:bookmarkStart w:id="149" w:name="_Toc241416858"/>
      <w:bookmarkStart w:id="150" w:name="_Toc234255962"/>
      <w:bookmarkStart w:id="151" w:name="_Toc228006909"/>
      <w:bookmarkStart w:id="152" w:name="_Toc228399089"/>
      <w:r>
        <w:rPr>
          <w:rFonts w:hint="eastAsia"/>
          <w:color w:val="000000" w:themeColor="text1"/>
          <w14:textFill>
            <w14:solidFill>
              <w14:schemeClr w14:val="tx1"/>
            </w14:solidFill>
          </w14:textFill>
        </w:rPr>
        <w:t>路况信息管理与救援服务</w:t>
      </w:r>
      <w:bookmarkEnd w:id="149"/>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路况信息管理与救援服务需考虑的因素宜包括但不限于以下内容。</w:t>
      </w:r>
    </w:p>
    <w:p>
      <w:pPr>
        <w:pStyle w:val="174"/>
        <w:numPr>
          <w:ilvl w:val="0"/>
          <w:numId w:val="40"/>
        </w:numPr>
        <w:rPr>
          <w:color w:val="000000" w:themeColor="text1"/>
          <w14:textFill>
            <w14:solidFill>
              <w14:schemeClr w14:val="tx1"/>
            </w14:solidFill>
          </w14:textFill>
        </w:rPr>
      </w:pPr>
      <w:r>
        <w:rPr>
          <w:rFonts w:hint="eastAsia"/>
          <w:color w:val="000000" w:themeColor="text1"/>
          <w14:textFill>
            <w14:solidFill>
              <w14:schemeClr w14:val="tx1"/>
            </w14:solidFill>
          </w14:textFill>
        </w:rPr>
        <w:t>路况信息发布宜支持短信、社交媒体平台、移动端、路侧情报板及省级出行服务平台等多渠道，发布内容格式宜遵循JT/T 1419的规定。</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路侧可变情报板设备宜通过专用情报板网关统一接入，支持不同协议设备的标准化适配，设备控制接口符合RESTful API技术要求。</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情报板发布宜建立分级审核机制，发布内容采用模板化管理，支持模板的自定义配置与版本管理。</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车辆救援服务宜基于GIS地图实现救援资源可视化调度，结合救援车辆实时位置、事件类型、路况信息，通过智能算法自动匹配最优救援力量。</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救援过程宜通过车载终端、单兵设备实现视频回传与语音调度，救援车辆轨迹数据宜遵循JT/T 808的规定，视频数据宜遵循JT/T 1078的规定。</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救援处置考虑山区、隧道等弱网或无网场景的通信约束，移动操作端宜支持离线处置能力，保障现场作业在网络中断情况下仍可正常开展。</w:t>
      </w:r>
    </w:p>
    <w:p>
      <w:pPr>
        <w:pStyle w:val="105"/>
        <w:spacing w:before="156" w:after="156"/>
        <w:rPr>
          <w:color w:val="000000" w:themeColor="text1"/>
          <w14:textFill>
            <w14:solidFill>
              <w14:schemeClr w14:val="tx1"/>
            </w14:solidFill>
          </w14:textFill>
        </w:rPr>
      </w:pPr>
      <w:bookmarkStart w:id="153" w:name="_Toc241416859"/>
      <w:r>
        <w:rPr>
          <w:rFonts w:hint="eastAsia"/>
          <w:color w:val="000000" w:themeColor="text1"/>
          <w14:textFill>
            <w14:solidFill>
              <w14:schemeClr w14:val="tx1"/>
            </w14:solidFill>
          </w14:textFill>
        </w:rPr>
        <w:t>跨省一体化智能协同</w:t>
      </w:r>
      <w:bookmarkEnd w:id="150"/>
      <w:bookmarkEnd w:id="151"/>
      <w:bookmarkEnd w:id="152"/>
      <w:bookmarkEnd w:id="153"/>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跨省一体化智能协同</w:t>
      </w:r>
      <w:r>
        <w:rPr>
          <w:color w:val="000000" w:themeColor="text1"/>
          <w14:textFill>
            <w14:solidFill>
              <w14:schemeClr w14:val="tx1"/>
            </w14:solidFill>
          </w14:textFill>
        </w:rPr>
        <w:t>需考虑的因素</w:t>
      </w:r>
      <w:r>
        <w:rPr>
          <w:rFonts w:hint="eastAsia"/>
          <w:color w:val="000000" w:themeColor="text1"/>
          <w14:textFill>
            <w14:solidFill>
              <w14:schemeClr w14:val="tx1"/>
            </w14:solidFill>
          </w14:textFill>
        </w:rPr>
        <w:t>宜</w:t>
      </w:r>
      <w:r>
        <w:rPr>
          <w:color w:val="000000" w:themeColor="text1"/>
          <w14:textFill>
            <w14:solidFill>
              <w14:schemeClr w14:val="tx1"/>
            </w14:solidFill>
          </w14:textFill>
        </w:rPr>
        <w:t>包括但不限于以下内容</w:t>
      </w:r>
      <w:r>
        <w:rPr>
          <w:rFonts w:hint="eastAsia"/>
          <w:color w:val="000000" w:themeColor="text1"/>
          <w14:textFill>
            <w14:solidFill>
              <w14:schemeClr w14:val="tx1"/>
            </w14:solidFill>
          </w14:textFill>
        </w:rPr>
        <w:t>。</w:t>
      </w:r>
    </w:p>
    <w:p>
      <w:pPr>
        <w:pStyle w:val="174"/>
        <w:numPr>
          <w:ilvl w:val="0"/>
          <w:numId w:val="41"/>
        </w:numPr>
        <w:rPr>
          <w:color w:val="000000" w:themeColor="text1"/>
          <w14:textFill>
            <w14:solidFill>
              <w14:schemeClr w14:val="tx1"/>
            </w14:solidFill>
          </w14:textFill>
        </w:rPr>
      </w:pPr>
      <w:r>
        <w:rPr>
          <w:rFonts w:hint="eastAsia"/>
          <w:color w:val="000000" w:themeColor="text1"/>
          <w14:textFill>
            <w14:solidFill>
              <w14:schemeClr w14:val="tx1"/>
            </w14:solidFill>
          </w14:textFill>
        </w:rPr>
        <w:t>数据采集覆盖通行、路况、视频等关键信息，采集设备部署于省际交界处，传输优先选用5G网络，实时采集预警/报警事件数据；数据宜遵循JT/T 697.1和JT/T 697.2的规定，具体数据采集项参考附录A。</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省际协同数据在省级数据中心宜按JT/T 1415.3的规定进行分类存储。</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跨省数据交换采用带认证且符合RESTful API技术要求的接口。</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依据跨省协商的预警指标和等级，基于规则引擎或AI大模型实时分析。</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人工复核确认的事件，在200 ms内自动推送预警信息与管控指令至相关应急主体。</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依据省际协商的处置流程，采用MILP模型算法自动匹配最优资源组合（如相邻省份救援力量、清障设备）。</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生成的调度方案包含路线规划、预计到达时间，并通过移动端实时反馈任务进展。</w:t>
      </w:r>
    </w:p>
    <w:p>
      <w:pPr>
        <w:pStyle w:val="105"/>
        <w:spacing w:before="156" w:after="156"/>
        <w:rPr>
          <w:color w:val="000000" w:themeColor="text1"/>
          <w14:textFill>
            <w14:solidFill>
              <w14:schemeClr w14:val="tx1"/>
            </w14:solidFill>
          </w14:textFill>
        </w:rPr>
      </w:pPr>
      <w:bookmarkStart w:id="154" w:name="_Toc234255963"/>
      <w:bookmarkStart w:id="155" w:name="_Toc228399090"/>
      <w:bookmarkStart w:id="156" w:name="_Toc228006910"/>
      <w:bookmarkStart w:id="157" w:name="_Toc241416860"/>
      <w:r>
        <w:rPr>
          <w:rFonts w:hint="eastAsia"/>
          <w:color w:val="000000" w:themeColor="text1"/>
          <w14:textFill>
            <w14:solidFill>
              <w14:schemeClr w14:val="tx1"/>
            </w14:solidFill>
          </w14:textFill>
        </w:rPr>
        <w:t>应急处置智能辅助管理</w:t>
      </w:r>
      <w:bookmarkEnd w:id="154"/>
      <w:bookmarkEnd w:id="155"/>
      <w:bookmarkEnd w:id="156"/>
      <w:bookmarkEnd w:id="157"/>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应急处置智能辅助管理</w:t>
      </w:r>
      <w:r>
        <w:rPr>
          <w:color w:val="000000" w:themeColor="text1"/>
          <w14:textFill>
            <w14:solidFill>
              <w14:schemeClr w14:val="tx1"/>
            </w14:solidFill>
          </w14:textFill>
        </w:rPr>
        <w:t>需考虑的因素</w:t>
      </w:r>
      <w:r>
        <w:rPr>
          <w:rFonts w:hint="eastAsia"/>
          <w:color w:val="000000" w:themeColor="text1"/>
          <w14:textFill>
            <w14:solidFill>
              <w14:schemeClr w14:val="tx1"/>
            </w14:solidFill>
          </w14:textFill>
        </w:rPr>
        <w:t>宜</w:t>
      </w:r>
      <w:r>
        <w:rPr>
          <w:color w:val="000000" w:themeColor="text1"/>
          <w14:textFill>
            <w14:solidFill>
              <w14:schemeClr w14:val="tx1"/>
            </w14:solidFill>
          </w14:textFill>
        </w:rPr>
        <w:t>包括但不限于以下内容</w:t>
      </w:r>
      <w:r>
        <w:rPr>
          <w:rFonts w:hint="eastAsia"/>
          <w:color w:val="000000" w:themeColor="text1"/>
          <w14:textFill>
            <w14:solidFill>
              <w14:schemeClr w14:val="tx1"/>
            </w14:solidFill>
          </w14:textFill>
        </w:rPr>
        <w:t>。</w:t>
      </w:r>
    </w:p>
    <w:p>
      <w:pPr>
        <w:pStyle w:val="174"/>
        <w:numPr>
          <w:ilvl w:val="0"/>
          <w:numId w:val="42"/>
        </w:numPr>
        <w:rPr>
          <w:color w:val="000000" w:themeColor="text1"/>
          <w14:textFill>
            <w14:solidFill>
              <w14:schemeClr w14:val="tx1"/>
            </w14:solidFill>
          </w14:textFill>
        </w:rPr>
      </w:pPr>
      <w:r>
        <w:rPr>
          <w:rFonts w:hint="eastAsia"/>
          <w:color w:val="000000" w:themeColor="text1"/>
          <w14:textFill>
            <w14:solidFill>
              <w14:schemeClr w14:val="tx1"/>
            </w14:solidFill>
          </w14:textFill>
        </w:rPr>
        <w:t>采用RFID或传感器等设施设备实时感知应急物资库存状况。</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应急资源分类宜遵循JT/T 1420的规定，数据宜遵循JT/T 1140.1的规定。</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应急预案以结构化存储，总体预案与专项预案分类存储，预案要素包括适用范围、处置流程、责任主体、资源需求等。</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基于规则引擎或算法模型，实现突发事件上报信息（如地点、类型、影响程度）与应急预案模板库的自动、快速匹配与推荐。</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基于数据分析模型（如AHP模型、KPI模型），对每次预案的应用进行评估，评估指标参考附录C。</w:t>
      </w:r>
    </w:p>
    <w:p>
      <w:pPr>
        <w:pStyle w:val="104"/>
        <w:spacing w:before="312" w:after="312"/>
        <w:rPr>
          <w:color w:val="000000" w:themeColor="text1"/>
          <w14:textFill>
            <w14:solidFill>
              <w14:schemeClr w14:val="tx1"/>
            </w14:solidFill>
          </w14:textFill>
        </w:rPr>
      </w:pPr>
      <w:bookmarkStart w:id="158" w:name="_Toc228399091"/>
      <w:bookmarkStart w:id="159" w:name="_Toc228006911"/>
      <w:bookmarkStart w:id="160" w:name="_Toc229305499"/>
      <w:bookmarkStart w:id="161" w:name="_Toc234255964"/>
      <w:bookmarkStart w:id="162" w:name="_Toc241416861"/>
      <w:bookmarkStart w:id="163" w:name="_Toc229322113"/>
      <w:r>
        <w:rPr>
          <w:rFonts w:hint="eastAsia"/>
          <w:color w:val="000000" w:themeColor="text1"/>
          <w14:textFill>
            <w14:solidFill>
              <w14:schemeClr w14:val="tx1"/>
            </w14:solidFill>
          </w14:textFill>
        </w:rPr>
        <w:t>系统安全</w:t>
      </w:r>
      <w:bookmarkEnd w:id="158"/>
      <w:bookmarkEnd w:id="159"/>
      <w:bookmarkEnd w:id="160"/>
      <w:r>
        <w:rPr>
          <w:rFonts w:hint="eastAsia"/>
          <w:color w:val="000000" w:themeColor="text1"/>
          <w14:textFill>
            <w14:solidFill>
              <w14:schemeClr w14:val="tx1"/>
            </w14:solidFill>
          </w14:textFill>
        </w:rPr>
        <w:t>需考虑的因素</w:t>
      </w:r>
      <w:bookmarkEnd w:id="161"/>
      <w:bookmarkEnd w:id="162"/>
      <w:bookmarkEnd w:id="163"/>
    </w:p>
    <w:p>
      <w:pPr>
        <w:pStyle w:val="105"/>
        <w:spacing w:before="156" w:after="156"/>
        <w:rPr>
          <w:color w:val="000000" w:themeColor="text1"/>
          <w14:textFill>
            <w14:solidFill>
              <w14:schemeClr w14:val="tx1"/>
            </w14:solidFill>
          </w14:textFill>
        </w:rPr>
      </w:pPr>
      <w:bookmarkStart w:id="164" w:name="_Toc228006912"/>
      <w:bookmarkStart w:id="165" w:name="_Toc234255965"/>
      <w:bookmarkStart w:id="166" w:name="_Toc228399092"/>
      <w:bookmarkStart w:id="167" w:name="_Toc241416862"/>
      <w:r>
        <w:rPr>
          <w:rFonts w:hint="eastAsia"/>
          <w:color w:val="000000" w:themeColor="text1"/>
          <w14:textFill>
            <w14:solidFill>
              <w14:schemeClr w14:val="tx1"/>
            </w14:solidFill>
          </w14:textFill>
        </w:rPr>
        <w:t>网络安全</w:t>
      </w:r>
      <w:bookmarkEnd w:id="164"/>
      <w:bookmarkEnd w:id="165"/>
      <w:bookmarkEnd w:id="166"/>
      <w:bookmarkEnd w:id="167"/>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网络安全需考虑的因素宜包括但不限于以下内容。</w:t>
      </w:r>
    </w:p>
    <w:p>
      <w:pPr>
        <w:pStyle w:val="174"/>
        <w:numPr>
          <w:ilvl w:val="0"/>
          <w:numId w:val="43"/>
        </w:numPr>
        <w:rPr>
          <w:color w:val="000000" w:themeColor="text1"/>
          <w14:textFill>
            <w14:solidFill>
              <w14:schemeClr w14:val="tx1"/>
            </w14:solidFill>
          </w14:textFill>
        </w:rPr>
      </w:pPr>
      <w:r>
        <w:rPr>
          <w:rFonts w:hint="eastAsia"/>
          <w:color w:val="000000" w:themeColor="text1"/>
          <w14:textFill>
            <w14:solidFill>
              <w14:schemeClr w14:val="tx1"/>
            </w14:solidFill>
          </w14:textFill>
        </w:rPr>
        <w:t>部署在私有云时，宜符合GB/T 22239规定的第三级安全要求，网络入侵满足边界入侵防范、计算机环境入侵防范要求。</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部署在公有云时做WAF防护。</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对边和端部署的设备宜做GB/T 22239规定的第二级安全保护。</w:t>
      </w:r>
    </w:p>
    <w:p>
      <w:pPr>
        <w:pStyle w:val="105"/>
        <w:spacing w:before="156" w:after="156"/>
        <w:rPr>
          <w:color w:val="000000" w:themeColor="text1"/>
          <w14:textFill>
            <w14:solidFill>
              <w14:schemeClr w14:val="tx1"/>
            </w14:solidFill>
          </w14:textFill>
        </w:rPr>
      </w:pPr>
      <w:bookmarkStart w:id="168" w:name="_Toc228006913"/>
      <w:bookmarkStart w:id="169" w:name="_Toc241416863"/>
      <w:bookmarkStart w:id="170" w:name="_Toc228399093"/>
      <w:bookmarkStart w:id="171" w:name="_Toc234255966"/>
      <w:r>
        <w:rPr>
          <w:rFonts w:hint="eastAsia"/>
          <w:color w:val="000000" w:themeColor="text1"/>
          <w14:textFill>
            <w14:solidFill>
              <w14:schemeClr w14:val="tx1"/>
            </w14:solidFill>
          </w14:textFill>
        </w:rPr>
        <w:t>数据传输</w:t>
      </w:r>
      <w:bookmarkEnd w:id="168"/>
      <w:r>
        <w:rPr>
          <w:rFonts w:hint="eastAsia"/>
          <w:color w:val="000000" w:themeColor="text1"/>
          <w14:textFill>
            <w14:solidFill>
              <w14:schemeClr w14:val="tx1"/>
            </w14:solidFill>
          </w14:textFill>
        </w:rPr>
        <w:t>安全</w:t>
      </w:r>
      <w:bookmarkEnd w:id="169"/>
      <w:bookmarkEnd w:id="170"/>
      <w:bookmarkEnd w:id="171"/>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数据传输安全需考虑的因素宜包括但不限于以下内容。</w:t>
      </w:r>
    </w:p>
    <w:p>
      <w:pPr>
        <w:pStyle w:val="174"/>
        <w:numPr>
          <w:ilvl w:val="0"/>
          <w:numId w:val="44"/>
        </w:numPr>
        <w:rPr>
          <w:color w:val="000000" w:themeColor="text1"/>
          <w14:textFill>
            <w14:solidFill>
              <w14:schemeClr w14:val="tx1"/>
            </w14:solidFill>
          </w14:textFill>
        </w:rPr>
      </w:pPr>
      <w:r>
        <w:rPr>
          <w:rFonts w:hint="eastAsia"/>
          <w:color w:val="000000" w:themeColor="text1"/>
          <w14:textFill>
            <w14:solidFill>
              <w14:schemeClr w14:val="tx1"/>
            </w14:solidFill>
          </w14:textFill>
        </w:rPr>
        <w:t>可支持5G网络，采用SSL VPN或IPsec VPN协议实现对传输过程的安全保护，SSL VPN协议宜遵循</w:t>
      </w:r>
      <w:bookmarkStart w:id="172" w:name="OLE_LINK4"/>
      <w:r>
        <w:rPr>
          <w:rFonts w:hint="eastAsia"/>
          <w:color w:val="000000" w:themeColor="text1"/>
          <w14:textFill>
            <w14:solidFill>
              <w14:schemeClr w14:val="tx1"/>
            </w14:solidFill>
          </w14:textFill>
        </w:rPr>
        <w:t>GM/T 0024</w:t>
      </w:r>
      <w:bookmarkEnd w:id="172"/>
      <w:r>
        <w:rPr>
          <w:rFonts w:hint="eastAsia"/>
          <w:color w:val="000000" w:themeColor="text1"/>
          <w14:textFill>
            <w14:solidFill>
              <w14:schemeClr w14:val="tx1"/>
            </w14:solidFill>
          </w14:textFill>
        </w:rPr>
        <w:t>的规定。</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数据内容加解密、数字签名和验证、消息认证、接口授权、通信握手等情况下优先采用国密算法（</w:t>
      </w:r>
      <w:bookmarkStart w:id="173" w:name="OLE_LINK31"/>
      <w:r>
        <w:rPr>
          <w:rFonts w:hint="eastAsia"/>
          <w:color w:val="000000" w:themeColor="text1"/>
          <w14:textFill>
            <w14:solidFill>
              <w14:schemeClr w14:val="tx1"/>
            </w14:solidFill>
          </w14:textFill>
        </w:rPr>
        <w:t>SM2</w:t>
      </w:r>
      <w:bookmarkEnd w:id="173"/>
      <w:r>
        <w:rPr>
          <w:rFonts w:hint="eastAsia"/>
          <w:color w:val="000000" w:themeColor="text1"/>
          <w14:textFill>
            <w14:solidFill>
              <w14:schemeClr w14:val="tx1"/>
            </w14:solidFill>
          </w14:textFill>
        </w:rPr>
        <w:t>/ SM3/ SM4），握手阶段使用的数字证书由统一的证书发行机构颁发。</w:t>
      </w:r>
    </w:p>
    <w:p>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跨省数据交换要求参考9.2a)执行。</w:t>
      </w:r>
    </w:p>
    <w:p>
      <w:pPr>
        <w:pStyle w:val="105"/>
        <w:spacing w:before="156" w:after="156"/>
        <w:rPr>
          <w:color w:val="000000" w:themeColor="text1"/>
          <w14:textFill>
            <w14:solidFill>
              <w14:schemeClr w14:val="tx1"/>
            </w14:solidFill>
          </w14:textFill>
        </w:rPr>
      </w:pPr>
      <w:bookmarkStart w:id="174" w:name="_Toc228006914"/>
      <w:bookmarkStart w:id="175" w:name="_Toc228399094"/>
      <w:bookmarkStart w:id="176" w:name="_Toc234255967"/>
      <w:bookmarkStart w:id="177" w:name="_Toc241416864"/>
      <w:r>
        <w:rPr>
          <w:rFonts w:hint="eastAsia"/>
          <w:color w:val="000000" w:themeColor="text1"/>
          <w14:textFill>
            <w14:solidFill>
              <w14:schemeClr w14:val="tx1"/>
            </w14:solidFill>
          </w14:textFill>
        </w:rPr>
        <w:t>数据存储</w:t>
      </w:r>
      <w:bookmarkEnd w:id="174"/>
      <w:r>
        <w:rPr>
          <w:rFonts w:hint="eastAsia"/>
          <w:color w:val="000000" w:themeColor="text1"/>
          <w14:textFill>
            <w14:solidFill>
              <w14:schemeClr w14:val="tx1"/>
            </w14:solidFill>
          </w14:textFill>
        </w:rPr>
        <w:t>安全</w:t>
      </w:r>
      <w:bookmarkEnd w:id="175"/>
      <w:bookmarkEnd w:id="176"/>
      <w:bookmarkEnd w:id="177"/>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数据存储安全需考虑的因素宜包括但不限于以下内容。</w:t>
      </w:r>
    </w:p>
    <w:p>
      <w:pPr>
        <w:pStyle w:val="174"/>
        <w:numPr>
          <w:ilvl w:val="0"/>
          <w:numId w:val="45"/>
        </w:numPr>
        <w:rPr>
          <w:color w:val="000000" w:themeColor="text1"/>
          <w14:textFill>
            <w14:solidFill>
              <w14:schemeClr w14:val="tx1"/>
            </w14:solidFill>
          </w14:textFill>
        </w:rPr>
      </w:pPr>
      <w:r>
        <w:rPr>
          <w:rFonts w:hint="eastAsia"/>
          <w:color w:val="000000" w:themeColor="text1"/>
          <w14:textFill>
            <w14:solidFill>
              <w14:schemeClr w14:val="tx1"/>
            </w14:solidFill>
          </w14:textFill>
        </w:rPr>
        <w:t>存储的事件数据、感知数据、录像文件、监控图片等数据，宜遵循GB/T 43697的规定按核心数据、重要数据及一般数据的级别对数据进行分级，数据存储在经认证的数据中心。</w:t>
      </w:r>
    </w:p>
    <w:p>
      <w:pPr>
        <w:pStyle w:val="174"/>
        <w:rPr>
          <w:color w:val="000000" w:themeColor="text1"/>
          <w14:textFill>
            <w14:solidFill>
              <w14:schemeClr w14:val="tx1"/>
            </w14:solidFill>
          </w14:textFill>
        </w:rPr>
      </w:pPr>
      <w:r>
        <w:rPr>
          <w:color w:val="000000" w:themeColor="text1"/>
          <w14:textFill>
            <w14:solidFill>
              <w14:schemeClr w14:val="tx1"/>
            </w14:solidFill>
          </w14:textFill>
        </w:rPr>
        <w:t>对数据访问采取访问控制、身份验证等措施，进行日志审计</w:t>
      </w:r>
      <w:r>
        <w:rPr>
          <w:rFonts w:hint="eastAsia"/>
          <w:color w:val="000000" w:themeColor="text1"/>
          <w14:textFill>
            <w14:solidFill>
              <w14:schemeClr w14:val="tx1"/>
            </w14:solidFill>
          </w14:textFill>
        </w:rPr>
        <w:t>。</w:t>
      </w: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pPr>
    </w:p>
    <w:p>
      <w:pPr>
        <w:pStyle w:val="174"/>
        <w:numPr>
          <w:ilvl w:val="0"/>
          <w:numId w:val="0"/>
        </w:numPr>
        <w:ind w:left="851" w:hanging="426"/>
        <w:rPr>
          <w:color w:val="000000" w:themeColor="text1"/>
          <w14:textFill>
            <w14:solidFill>
              <w14:schemeClr w14:val="tx1"/>
            </w14:solidFill>
          </w14:textFill>
        </w:rPr>
        <w:sectPr>
          <w:headerReference r:id="rId21" w:type="default"/>
          <w:footerReference r:id="rId23" w:type="default"/>
          <w:headerReference r:id="rId22" w:type="even"/>
          <w:footerReference r:id="rId24" w:type="even"/>
          <w:pgSz w:w="11906" w:h="16838"/>
          <w:pgMar w:top="1928" w:right="1134" w:bottom="1134" w:left="1134" w:header="1418" w:footer="1134" w:gutter="284"/>
          <w:pgNumType w:start="1"/>
          <w:cols w:space="425" w:num="1"/>
          <w:formProt w:val="0"/>
          <w:docGrid w:type="lines" w:linePitch="312" w:charSpace="0"/>
        </w:sectPr>
      </w:pPr>
    </w:p>
    <w:bookmarkEnd w:id="37"/>
    <w:p>
      <w:pPr>
        <w:pStyle w:val="198"/>
        <w:rPr>
          <w:rFonts w:hint="eastAsia"/>
          <w:vanish w:val="0"/>
          <w:color w:val="000000" w:themeColor="text1"/>
          <w14:textFill>
            <w14:solidFill>
              <w14:schemeClr w14:val="tx1"/>
            </w14:solidFill>
          </w14:textFill>
        </w:rPr>
      </w:pPr>
      <w:bookmarkStart w:id="178" w:name="BookMark5"/>
    </w:p>
    <w:p>
      <w:pPr>
        <w:pStyle w:val="199"/>
        <w:rPr>
          <w:vanish w:val="0"/>
          <w:color w:val="000000" w:themeColor="text1"/>
          <w14:textFill>
            <w14:solidFill>
              <w14:schemeClr w14:val="tx1"/>
            </w14:solidFill>
          </w14:textFill>
        </w:rPr>
      </w:pPr>
    </w:p>
    <w:p>
      <w:pPr>
        <w:pStyle w:val="76"/>
        <w:spacing w:after="156"/>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179" w:name="_Toc228399095"/>
      <w:bookmarkStart w:id="180" w:name="_Toc229305500"/>
      <w:bookmarkStart w:id="181" w:name="_Toc228006915"/>
      <w:bookmarkStart w:id="182" w:name="_Toc229322114"/>
      <w:bookmarkStart w:id="183" w:name="_Toc234255968"/>
      <w:bookmarkStart w:id="184" w:name="_Toc241416865"/>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采集数据项</w:t>
      </w:r>
      <w:bookmarkEnd w:id="179"/>
      <w:bookmarkEnd w:id="180"/>
      <w:bookmarkEnd w:id="181"/>
      <w:bookmarkEnd w:id="182"/>
      <w:bookmarkEnd w:id="183"/>
      <w:bookmarkEnd w:id="184"/>
    </w:p>
    <w:p>
      <w:pPr>
        <w:pStyle w:val="78"/>
        <w:spacing w:before="156" w:after="156"/>
        <w:rPr>
          <w:color w:val="000000" w:themeColor="text1"/>
          <w14:textFill>
            <w14:solidFill>
              <w14:schemeClr w14:val="tx1"/>
            </w14:solidFill>
          </w14:textFill>
        </w:rPr>
      </w:pPr>
      <w:bookmarkStart w:id="185" w:name="_Toc241416866"/>
      <w:bookmarkStart w:id="186" w:name="_Toc228399096"/>
      <w:bookmarkStart w:id="187" w:name="_Toc234255969"/>
      <w:r>
        <w:rPr>
          <w:rFonts w:hint="eastAsia"/>
          <w:color w:val="000000" w:themeColor="text1"/>
          <w14:textFill>
            <w14:solidFill>
              <w14:schemeClr w14:val="tx1"/>
            </w14:solidFill>
          </w14:textFill>
        </w:rPr>
        <w:t>运行监测基础信息</w:t>
      </w:r>
      <w:bookmarkEnd w:id="185"/>
      <w:bookmarkEnd w:id="186"/>
      <w:bookmarkEnd w:id="187"/>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路段信息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路段信息</w:t>
      </w:r>
      <w:bookmarkStart w:id="188" w:name="OLE_LINK12"/>
      <w:r>
        <w:rPr>
          <w:rFonts w:hint="eastAsia"/>
          <w:color w:val="000000" w:themeColor="text1"/>
          <w14:textFill>
            <w14:solidFill>
              <w14:schemeClr w14:val="tx1"/>
            </w14:solidFill>
          </w14:textFill>
        </w:rPr>
        <w:t>采集数据项见表A.1。</w:t>
      </w:r>
      <w:bookmarkEnd w:id="188"/>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路段信息采集数据项</w:t>
      </w:r>
    </w:p>
    <w:tbl>
      <w:tblPr>
        <w:tblStyle w:val="33"/>
        <w:tblW w:w="920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985"/>
        <w:gridCol w:w="850"/>
        <w:gridCol w:w="58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985"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0"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581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tcPr>
          <w:p>
            <w:pPr>
              <w:pStyle w:val="178"/>
              <w:rPr>
                <w:color w:val="000000" w:themeColor="text1"/>
                <w14:textFill>
                  <w14:solidFill>
                    <w14:schemeClr w14:val="tx1"/>
                  </w14:solidFill>
                </w14:textFill>
              </w:rPr>
            </w:pPr>
            <w:bookmarkStart w:id="189" w:name="_Hlk232085521"/>
            <w:r>
              <w:rPr>
                <w:rFonts w:hint="eastAsia"/>
                <w:color w:val="000000" w:themeColor="text1"/>
                <w14:textFill>
                  <w14:solidFill>
                    <w14:schemeClr w14:val="tx1"/>
                  </w14:solidFill>
                </w14:textFill>
              </w:rPr>
              <w:t>1</w:t>
            </w:r>
          </w:p>
        </w:tc>
        <w:tc>
          <w:tcPr>
            <w:tcW w:w="1985"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50"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如“G4”，编号具体见</w:t>
            </w:r>
            <w:bookmarkStart w:id="190" w:name="OLE_LINK9"/>
            <w:r>
              <w:rPr>
                <w:rFonts w:hint="eastAsia"/>
                <w:color w:val="000000" w:themeColor="text1"/>
                <w14:textFill>
                  <w14:solidFill>
                    <w14:schemeClr w14:val="tx1"/>
                  </w14:solidFill>
                </w14:textFill>
              </w:rPr>
              <w:t>GB/T 917</w:t>
            </w:r>
            <w:bookmarkEnd w:id="19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路线简称</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如“京港澳高速”，简称具体见GB/T 917</w:t>
            </w:r>
          </w:p>
        </w:tc>
      </w:tr>
      <w:bookmarkEnd w:id="189"/>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路段编号</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区分同路线不同路段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路段简称</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w:t>
            </w:r>
            <w:bookmarkStart w:id="191" w:name="OLE_LINK52"/>
            <w:r>
              <w:rPr>
                <w:rFonts w:hint="eastAsia"/>
                <w:color w:val="000000" w:themeColor="text1"/>
                <w14:textFill>
                  <w14:solidFill>
                    <w14:schemeClr w14:val="tx1"/>
                  </w14:solidFill>
                </w14:textFill>
              </w:rPr>
              <w:t>京港澳高速临长段</w:t>
            </w:r>
            <w:bookmarkEnd w:id="191"/>
            <w:r>
              <w:rPr>
                <w:rFonts w:hint="eastAsia"/>
                <w:color w:val="000000" w:themeColor="text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关联到县市区级,代码具体见GB/T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985"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路段起点名称</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如“临湘”，明确路段起始位置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985"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路段止点名称</w:t>
            </w:r>
          </w:p>
        </w:tc>
        <w:tc>
          <w:tcPr>
            <w:tcW w:w="850" w:type="dxa"/>
          </w:tcPr>
          <w:p>
            <w:pPr>
              <w:pStyle w:val="178"/>
              <w:jc w:val="left"/>
              <w:rPr>
                <w:color w:val="000000" w:themeColor="text1"/>
                <w14:textFill>
                  <w14:solidFill>
                    <w14:schemeClr w14:val="tx1"/>
                  </w14:solidFill>
                </w14:textFill>
              </w:rPr>
            </w:pPr>
            <w:bookmarkStart w:id="192" w:name="OLE_LINK47"/>
            <w:r>
              <w:rPr>
                <w:rFonts w:hint="eastAsia"/>
                <w:color w:val="000000" w:themeColor="text1"/>
                <w14:textFill>
                  <w14:solidFill>
                    <w14:schemeClr w14:val="tx1"/>
                  </w14:solidFill>
                </w14:textFill>
              </w:rPr>
              <w:t>字符型</w:t>
            </w:r>
            <w:bookmarkEnd w:id="192"/>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如“长沙，明确路段结束位置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bookmarkStart w:id="193" w:name="_Hlk232085856"/>
            <w:r>
              <w:rPr>
                <w:rFonts w:hint="eastAsia"/>
                <w:color w:val="000000" w:themeColor="text1"/>
                <w14:textFill>
                  <w14:solidFill>
                    <w14:schemeClr w14:val="tx1"/>
                  </w14:solidFill>
                </w14:textFill>
              </w:rPr>
              <w:t>8</w:t>
            </w:r>
          </w:p>
        </w:tc>
        <w:tc>
          <w:tcPr>
            <w:tcW w:w="1985"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路段起点桩号</w:t>
            </w:r>
          </w:p>
        </w:tc>
        <w:tc>
          <w:tcPr>
            <w:tcW w:w="850" w:type="dxa"/>
          </w:tcPr>
          <w:p>
            <w:pPr>
              <w:pStyle w:val="178"/>
              <w:jc w:val="left"/>
              <w:rPr>
                <w:color w:val="000000" w:themeColor="text1"/>
                <w14:textFill>
                  <w14:solidFill>
                    <w14:schemeClr w14:val="tx1"/>
                  </w14:solidFill>
                </w14:textFill>
              </w:rPr>
            </w:pPr>
            <w:bookmarkStart w:id="194" w:name="OLE_LINK61"/>
            <w:r>
              <w:rPr>
                <w:rFonts w:hint="eastAsia"/>
                <w:color w:val="000000" w:themeColor="text1"/>
                <w14:textFill>
                  <w14:solidFill>
                    <w14:schemeClr w14:val="tx1"/>
                  </w14:solidFill>
                </w14:textFill>
              </w:rPr>
              <w:t>数字</w:t>
            </w:r>
            <w:bookmarkEnd w:id="194"/>
            <w:r>
              <w:rPr>
                <w:rFonts w:hint="eastAsia"/>
                <w:color w:val="000000" w:themeColor="text1"/>
                <w14:textFill>
                  <w14:solidFill>
                    <w14:schemeClr w14:val="tx1"/>
                  </w14:solidFill>
                </w14:textFill>
              </w:rPr>
              <w:t>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单位：千米（km），标记路段起始位置的里程桩号</w:t>
            </w:r>
          </w:p>
        </w:tc>
      </w:tr>
      <w:bookmarkEnd w:id="193"/>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985"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路段止点桩号</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单位：千米（km），标记路段止点位置的里程桩号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路段起点经度</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保留6位小数，用于GIS地图定位起点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路段起点纬度</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保留6位小数，用于GIS地图定位起点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路段止点经度</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保留6位小数，用于GIS地图定位止点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路段止点纬度</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保留6位小数，用于GIS地图定位止点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里程</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单位：千米（km），保留3位小数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上行方向</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如“北京→澳门方向”，</w:t>
            </w:r>
            <w:bookmarkStart w:id="195" w:name="OLE_LINK68"/>
            <w:r>
              <w:rPr>
                <w:rFonts w:hint="eastAsia"/>
                <w:color w:val="000000" w:themeColor="text1"/>
                <w14:textFill>
                  <w14:solidFill>
                    <w14:schemeClr w14:val="tx1"/>
                  </w14:solidFill>
                </w14:textFill>
              </w:rPr>
              <w:t>明确车流方向，</w:t>
            </w:r>
            <w:r>
              <w:rPr>
                <w:color w:val="000000" w:themeColor="text1"/>
                <w14:textFill>
                  <w14:solidFill>
                    <w14:schemeClr w14:val="tx1"/>
                  </w14:solidFill>
                </w14:textFill>
              </w:rPr>
              <w:t>避免方向混淆导致的调度错误</w:t>
            </w:r>
            <w:bookmarkEnd w:id="195"/>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下行方向</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如“澳门→北京方向”，明确车流方向，</w:t>
            </w:r>
            <w:r>
              <w:rPr>
                <w:color w:val="000000" w:themeColor="text1"/>
                <w14:textFill>
                  <w14:solidFill>
                    <w14:schemeClr w14:val="tx1"/>
                  </w14:solidFill>
                </w14:textFill>
              </w:rPr>
              <w:t>避免方向混淆导致的调度错误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使用行车道数 </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单位：条，交通管理部门规定普通车辆可以实际使用的行车道数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经营单位</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路段经营单位的全称，明确路段运营主体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98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管养单位</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581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路段管养单位的全称，明确养护责任方</w:t>
            </w:r>
          </w:p>
        </w:tc>
      </w:tr>
    </w:tbl>
    <w:p>
      <w:pPr>
        <w:pStyle w:val="79"/>
        <w:spacing w:before="156" w:after="156"/>
        <w:rPr>
          <w:b/>
          <w:bCs/>
          <w:color w:val="000000" w:themeColor="text1"/>
          <w14:textFill>
            <w14:solidFill>
              <w14:schemeClr w14:val="tx1"/>
            </w14:solidFill>
          </w14:textFill>
        </w:rPr>
      </w:pPr>
      <w:r>
        <w:rPr>
          <w:b/>
          <w:bCs/>
          <w:color w:val="000000" w:themeColor="text1"/>
          <w14:textFill>
            <w14:solidFill>
              <w14:schemeClr w14:val="tx1"/>
            </w14:solidFill>
          </w14:textFill>
        </w:rPr>
        <w:t>公里桩号信息（百米桩）</w:t>
      </w:r>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公里桩号信息（百米桩）</w:t>
      </w:r>
      <w:r>
        <w:rPr>
          <w:rFonts w:hint="eastAsia"/>
          <w:color w:val="000000" w:themeColor="text1"/>
          <w14:textFill>
            <w14:solidFill>
              <w14:schemeClr w14:val="tx1"/>
            </w14:solidFill>
          </w14:textFill>
        </w:rPr>
        <w:t>采集数据项见表A.2。</w:t>
      </w:r>
    </w:p>
    <w:p>
      <w:pPr>
        <w:pStyle w:val="77"/>
        <w:spacing w:before="156" w:after="156"/>
        <w:rPr>
          <w:color w:val="000000" w:themeColor="text1"/>
          <w14:textFill>
            <w14:solidFill>
              <w14:schemeClr w14:val="tx1"/>
            </w14:solidFill>
          </w14:textFill>
        </w:rPr>
      </w:pPr>
      <w:r>
        <w:rPr>
          <w:color w:val="000000" w:themeColor="text1"/>
          <w14:textFill>
            <w14:solidFill>
              <w14:schemeClr w14:val="tx1"/>
            </w14:solidFill>
          </w14:textFill>
        </w:rPr>
        <w:t>公里桩号信息（百米桩）</w:t>
      </w:r>
      <w:r>
        <w:rPr>
          <w:rFonts w:hint="eastAsia"/>
          <w:color w:val="000000" w:themeColor="text1"/>
          <w14:textFill>
            <w14:solidFill>
              <w14:schemeClr w14:val="tx1"/>
            </w14:solidFill>
          </w14:textFill>
        </w:rPr>
        <w:t>采集数据项</w:t>
      </w:r>
    </w:p>
    <w:tbl>
      <w:tblPr>
        <w:tblStyle w:val="33"/>
        <w:tblW w:w="921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08"/>
        <w:gridCol w:w="1134"/>
        <w:gridCol w:w="851"/>
        <w:gridCol w:w="65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70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2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51"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1"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如“G4”，关联桩号所属路线，编号具体见G</w:t>
            </w:r>
            <w:bookmarkStart w:id="196" w:name="OLE_LINK71"/>
            <w:r>
              <w:rPr>
                <w:rFonts w:hint="eastAsia"/>
                <w:color w:val="000000" w:themeColor="text1"/>
                <w14:textFill>
                  <w14:solidFill>
                    <w14:schemeClr w14:val="tx1"/>
                  </w14:solidFill>
                </w14:textFill>
              </w:rPr>
              <w:t>B/T 917</w:t>
            </w:r>
            <w:bookmarkEnd w:id="19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路线简称</w:t>
            </w:r>
          </w:p>
        </w:tc>
        <w:tc>
          <w:tcPr>
            <w:tcW w:w="851" w:type="dxa"/>
          </w:tcPr>
          <w:p>
            <w:pPr>
              <w:pStyle w:val="178"/>
              <w:jc w:val="left"/>
              <w:rPr>
                <w:color w:val="000000" w:themeColor="text1"/>
                <w14:textFill>
                  <w14:solidFill>
                    <w14:schemeClr w14:val="tx1"/>
                  </w14:solidFill>
                </w14:textFill>
              </w:rPr>
            </w:pPr>
            <w:bookmarkStart w:id="197" w:name="OLE_LINK74"/>
            <w:r>
              <w:rPr>
                <w:rFonts w:hint="eastAsia"/>
                <w:color w:val="000000" w:themeColor="text1"/>
                <w14:textFill>
                  <w14:solidFill>
                    <w14:schemeClr w14:val="tx1"/>
                  </w14:solidFill>
                </w14:textFill>
              </w:rPr>
              <w:t>字符型</w:t>
            </w:r>
            <w:bookmarkEnd w:id="197"/>
          </w:p>
        </w:tc>
        <w:tc>
          <w:tcPr>
            <w:tcW w:w="652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如“京港澳高速”，关联桩号所属路线，简称具体见GB/T 917</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w:t>
            </w:r>
          </w:p>
        </w:tc>
        <w:tc>
          <w:tcPr>
            <w:tcW w:w="851" w:type="dxa"/>
          </w:tcPr>
          <w:p>
            <w:pPr>
              <w:pStyle w:val="178"/>
              <w:jc w:val="left"/>
              <w:rPr>
                <w:color w:val="000000" w:themeColor="text1"/>
                <w14:textFill>
                  <w14:solidFill>
                    <w14:schemeClr w14:val="tx1"/>
                  </w14:solidFill>
                </w14:textFill>
              </w:rPr>
            </w:pPr>
            <w:bookmarkStart w:id="198" w:name="OLE_LINK75"/>
            <w:r>
              <w:rPr>
                <w:rFonts w:hint="eastAsia"/>
                <w:color w:val="000000" w:themeColor="text1"/>
                <w14:textFill>
                  <w14:solidFill>
                    <w14:schemeClr w14:val="tx1"/>
                  </w14:solidFill>
                </w14:textFill>
              </w:rPr>
              <w:t>数字型</w:t>
            </w:r>
            <w:bookmarkEnd w:id="198"/>
          </w:p>
        </w:tc>
        <w:tc>
          <w:tcPr>
            <w:tcW w:w="6521" w:type="dxa"/>
          </w:tcPr>
          <w:p>
            <w:pPr>
              <w:pStyle w:val="178"/>
              <w:jc w:val="left"/>
              <w:rPr>
                <w:color w:val="000000" w:themeColor="text1"/>
                <w14:textFill>
                  <w14:solidFill>
                    <w14:schemeClr w14:val="tx1"/>
                  </w14:solidFill>
                </w14:textFill>
              </w:rPr>
            </w:pPr>
            <w:bookmarkStart w:id="199" w:name="OLE_LINK60"/>
            <w:r>
              <w:rPr>
                <w:rFonts w:hint="eastAsia"/>
                <w:color w:val="000000" w:themeColor="text1"/>
                <w14:textFill>
                  <w14:solidFill>
                    <w14:schemeClr w14:val="tx1"/>
                  </w14:solidFill>
                </w14:textFill>
              </w:rPr>
              <w:t>单位：千米（km），标记里程桩号，</w:t>
            </w:r>
            <w:bookmarkEnd w:id="199"/>
            <w:r>
              <w:rPr>
                <w:rFonts w:hint="eastAsia"/>
                <w:color w:val="000000" w:themeColor="text1"/>
                <w14:textFill>
                  <w14:solidFill>
                    <w14:schemeClr w14:val="tx1"/>
                  </w14:solidFill>
                </w14:textFill>
              </w:rPr>
              <w:t>作为路网定位的核心基准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保留6位小数，定位桩号在地图上的位置，与纬度配合实现GIS地图标注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保留6位小数，定位桩号在地图上的位置，与经度配合实现GIS地图标注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路线方向</w:t>
            </w:r>
          </w:p>
        </w:tc>
        <w:tc>
          <w:tcPr>
            <w:tcW w:w="851" w:type="dxa"/>
            <w:vAlign w:val="center"/>
          </w:tcPr>
          <w:p>
            <w:pPr>
              <w:pStyle w:val="178"/>
              <w:jc w:val="left"/>
              <w:rPr>
                <w:color w:val="000000" w:themeColor="text1"/>
                <w14:textFill>
                  <w14:solidFill>
                    <w14:schemeClr w14:val="tx1"/>
                  </w14:solidFill>
                </w14:textFill>
              </w:rPr>
            </w:pPr>
            <w:bookmarkStart w:id="200" w:name="OLE_LINK76"/>
            <w:r>
              <w:rPr>
                <w:rFonts w:hint="eastAsia"/>
                <w:color w:val="000000" w:themeColor="text1"/>
                <w14:textFill>
                  <w14:solidFill>
                    <w14:schemeClr w14:val="tx1"/>
                  </w14:solidFill>
                </w14:textFill>
              </w:rPr>
              <w:t>字符型</w:t>
            </w:r>
            <w:bookmarkEnd w:id="200"/>
          </w:p>
        </w:tc>
        <w:tc>
          <w:tcPr>
            <w:tcW w:w="65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1-上行，2-下行；区分同一桩号不同方向的位置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管理单位名称</w:t>
            </w:r>
          </w:p>
        </w:tc>
        <w:tc>
          <w:tcPr>
            <w:tcW w:w="85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字符型</w:t>
            </w:r>
          </w:p>
        </w:tc>
        <w:tc>
          <w:tcPr>
            <w:tcW w:w="65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桩号管辖单位的全称</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边坡基础信息</w:t>
      </w:r>
    </w:p>
    <w:p>
      <w:pPr>
        <w:pStyle w:val="56"/>
        <w:ind w:firstLine="420"/>
        <w:rPr>
          <w:color w:val="000000" w:themeColor="text1"/>
          <w14:textFill>
            <w14:solidFill>
              <w14:schemeClr w14:val="tx1"/>
            </w14:solidFill>
          </w14:textFill>
        </w:rPr>
      </w:pPr>
      <w:bookmarkStart w:id="201" w:name="OLE_LINK15"/>
      <w:r>
        <w:rPr>
          <w:rFonts w:hint="eastAsia"/>
          <w:color w:val="000000" w:themeColor="text1"/>
          <w14:textFill>
            <w14:solidFill>
              <w14:schemeClr w14:val="tx1"/>
            </w14:solidFill>
          </w14:textFill>
        </w:rPr>
        <w:t>边坡基础信息采集项</w:t>
      </w:r>
      <w:bookmarkEnd w:id="201"/>
      <w:r>
        <w:rPr>
          <w:rFonts w:hint="eastAsia"/>
          <w:color w:val="000000" w:themeColor="text1"/>
          <w14:textFill>
            <w14:solidFill>
              <w14:schemeClr w14:val="tx1"/>
            </w14:solidFill>
          </w14:textFill>
        </w:rPr>
        <w:t>见表A.3。</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边坡基础信息数据采集项</w:t>
      </w:r>
    </w:p>
    <w:tbl>
      <w:tblPr>
        <w:tblStyle w:val="33"/>
        <w:tblW w:w="9071"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78"/>
        <w:gridCol w:w="1524"/>
        <w:gridCol w:w="801"/>
        <w:gridCol w:w="62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7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524"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0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26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tcBorders>
              <w:top w:val="single" w:color="auto" w:sz="8" w:space="0"/>
            </w:tcBorders>
            <w:vAlign w:val="center"/>
          </w:tcPr>
          <w:p>
            <w:pPr>
              <w:pStyle w:val="178"/>
              <w:rPr>
                <w:color w:val="000000" w:themeColor="text1"/>
                <w14:textFill>
                  <w14:solidFill>
                    <w14:schemeClr w14:val="tx1"/>
                  </w14:solidFill>
                </w14:textFill>
              </w:rPr>
            </w:pPr>
            <w:bookmarkStart w:id="202" w:name="OLE_LINK91"/>
            <w:r>
              <w:rPr>
                <w:rFonts w:hint="eastAsia"/>
                <w:color w:val="000000" w:themeColor="text1"/>
                <w14:textFill>
                  <w14:solidFill>
                    <w14:schemeClr w14:val="tx1"/>
                  </w14:solidFill>
                </w14:textFill>
              </w:rPr>
              <w:t>1</w:t>
            </w:r>
          </w:p>
        </w:tc>
        <w:tc>
          <w:tcPr>
            <w:tcW w:w="1524"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01"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如“G4”，关联边坡所属路线，编号具体见GB/T 917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52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路线简称</w:t>
            </w:r>
          </w:p>
        </w:tc>
        <w:tc>
          <w:tcPr>
            <w:tcW w:w="80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如“京港澳高速”，简称具体见GB/T 917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524"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行政区划代码</w:t>
            </w:r>
          </w:p>
        </w:tc>
        <w:tc>
          <w:tcPr>
            <w:tcW w:w="801"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字符型</w:t>
            </w:r>
          </w:p>
        </w:tc>
        <w:tc>
          <w:tcPr>
            <w:tcW w:w="6268"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关联到县市区级,代码具体见GB/T 2260</w:t>
            </w:r>
          </w:p>
        </w:tc>
      </w:tr>
      <w:bookmarkEnd w:id="202"/>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边坡编码</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bookmarkStart w:id="203" w:name="OLE_LINK8"/>
            <w:r>
              <w:rPr>
                <w:rFonts w:hint="eastAsia"/>
                <w:color w:val="000000" w:themeColor="text1"/>
                <w14:textFill>
                  <w14:solidFill>
                    <w14:schemeClr w14:val="tx1"/>
                  </w14:solidFill>
                </w14:textFill>
              </w:rPr>
              <w:t>标识边坡唯一性的代码</w:t>
            </w:r>
            <w:bookmarkEnd w:id="203"/>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边坡名称</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名称包含“路线名称+桩号区间+边坡位置特征”</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524"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起点桩号</w:t>
            </w:r>
          </w:p>
        </w:tc>
        <w:tc>
          <w:tcPr>
            <w:tcW w:w="801" w:type="dxa"/>
          </w:tcPr>
          <w:p>
            <w:pPr>
              <w:pStyle w:val="178"/>
              <w:jc w:val="left"/>
              <w:rPr>
                <w:color w:val="000000" w:themeColor="text1"/>
                <w14:textFill>
                  <w14:solidFill>
                    <w14:schemeClr w14:val="tx1"/>
                  </w14:solidFill>
                </w14:textFill>
              </w:rPr>
            </w:pPr>
            <w:bookmarkStart w:id="204" w:name="OLE_LINK94"/>
            <w:r>
              <w:rPr>
                <w:rFonts w:hint="eastAsia" w:hAnsi="宋体"/>
                <w:color w:val="000000" w:themeColor="text1"/>
                <w:szCs w:val="18"/>
                <w14:textFill>
                  <w14:solidFill>
                    <w14:schemeClr w14:val="tx1"/>
                  </w14:solidFill>
                </w14:textFill>
              </w:rPr>
              <w:t>数字型</w:t>
            </w:r>
            <w:bookmarkEnd w:id="204"/>
          </w:p>
        </w:tc>
        <w:tc>
          <w:tcPr>
            <w:tcW w:w="6268"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单位：千米（km），标记边坡起始位置的里程桩号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524"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止点桩号</w:t>
            </w:r>
          </w:p>
        </w:tc>
        <w:tc>
          <w:tcPr>
            <w:tcW w:w="801"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数字型</w:t>
            </w:r>
          </w:p>
        </w:tc>
        <w:tc>
          <w:tcPr>
            <w:tcW w:w="6268"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单位：千米（km），标记边坡止点位置的里程桩号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524"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起点经度</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保留6位小数，定位边坡起点在地图上的位置，与纬度配合实现GIS地图标注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524" w:type="dxa"/>
          </w:tcPr>
          <w:p>
            <w:pPr>
              <w:pStyle w:val="178"/>
              <w:jc w:val="left"/>
              <w:rPr>
                <w:rFonts w:hint="eastAsia" w:hAnsi="宋体"/>
                <w:color w:val="000000" w:themeColor="text1"/>
                <w:szCs w:val="18"/>
                <w14:textFill>
                  <w14:solidFill>
                    <w14:schemeClr w14:val="tx1"/>
                  </w14:solidFill>
                </w14:textFill>
              </w:rPr>
            </w:pPr>
            <w:r>
              <w:rPr>
                <w:rFonts w:hint="eastAsia" w:hAnsi="宋体"/>
                <w:color w:val="000000" w:themeColor="text1"/>
                <w:szCs w:val="18"/>
                <w14:textFill>
                  <w14:solidFill>
                    <w14:schemeClr w14:val="tx1"/>
                  </w14:solidFill>
                </w14:textFill>
              </w:rPr>
              <w:t>起点纬度</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保留6位小数，定位边坡起点在地图上的位置，与经度配合实现GIS地图标注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524"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止点经度</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保留6位小数，定位边坡</w:t>
            </w:r>
            <w:r>
              <w:rPr>
                <w:rFonts w:hint="eastAsia" w:hAnsi="宋体"/>
                <w:color w:val="000000" w:themeColor="text1"/>
                <w:szCs w:val="18"/>
                <w14:textFill>
                  <w14:solidFill>
                    <w14:schemeClr w14:val="tx1"/>
                  </w14:solidFill>
                </w14:textFill>
              </w:rPr>
              <w:t>止点</w:t>
            </w:r>
            <w:r>
              <w:rPr>
                <w:rFonts w:hint="eastAsia"/>
                <w:color w:val="000000" w:themeColor="text1"/>
                <w14:textFill>
                  <w14:solidFill>
                    <w14:schemeClr w14:val="tx1"/>
                  </w14:solidFill>
                </w14:textFill>
              </w:rPr>
              <w:t>在地图上的位置，与纬度配合实现GIS地图标注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524" w:type="dxa"/>
          </w:tcPr>
          <w:p>
            <w:pPr>
              <w:pStyle w:val="178"/>
              <w:jc w:val="left"/>
              <w:rPr>
                <w:rFonts w:hint="eastAsia" w:hAnsi="宋体"/>
                <w:color w:val="000000" w:themeColor="text1"/>
                <w:szCs w:val="18"/>
                <w14:textFill>
                  <w14:solidFill>
                    <w14:schemeClr w14:val="tx1"/>
                  </w14:solidFill>
                </w14:textFill>
              </w:rPr>
            </w:pPr>
            <w:r>
              <w:rPr>
                <w:rFonts w:hint="eastAsia" w:hAnsi="宋体"/>
                <w:color w:val="000000" w:themeColor="text1"/>
                <w:szCs w:val="18"/>
                <w14:textFill>
                  <w14:solidFill>
                    <w14:schemeClr w14:val="tx1"/>
                  </w14:solidFill>
                </w14:textFill>
              </w:rPr>
              <w:t>止点纬度</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保留6位小数，定位边坡</w:t>
            </w:r>
            <w:r>
              <w:rPr>
                <w:rFonts w:hint="eastAsia" w:hAnsi="宋体"/>
                <w:color w:val="000000" w:themeColor="text1"/>
                <w:szCs w:val="18"/>
                <w14:textFill>
                  <w14:solidFill>
                    <w14:schemeClr w14:val="tx1"/>
                  </w14:solidFill>
                </w14:textFill>
              </w:rPr>
              <w:t>止点</w:t>
            </w:r>
            <w:r>
              <w:rPr>
                <w:rFonts w:hint="eastAsia"/>
                <w:color w:val="000000" w:themeColor="text1"/>
                <w14:textFill>
                  <w14:solidFill>
                    <w14:schemeClr w14:val="tx1"/>
                  </w14:solidFill>
                </w14:textFill>
              </w:rPr>
              <w:t>在地图上的位置，与经度配合实现GIS地图标注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边坡成因类型</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bookmarkStart w:id="205" w:name="OLE_LINK93"/>
            <w:r>
              <w:rPr>
                <w:rFonts w:hint="eastAsia"/>
                <w:color w:val="000000" w:themeColor="text1"/>
                <w14:textFill>
                  <w14:solidFill>
                    <w14:schemeClr w14:val="tx1"/>
                  </w14:solidFill>
                </w14:textFill>
              </w:rPr>
              <w:t>类型包括“1-路堑边坡”（开挖形成）、“2-路堤边坡”（填筑形成）、“3-自然边坡”（利用原有山体）等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边坡岩土结构类型</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bookmarkEnd w:id="205"/>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类型包括“1-黏性土边坡”“2-碎石土边坡”“3-岩质边坡”“4-混合岩土边坡”等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边坡长度</w:t>
            </w:r>
          </w:p>
        </w:tc>
        <w:tc>
          <w:tcPr>
            <w:tcW w:w="801"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数字型</w:t>
            </w:r>
          </w:p>
        </w:tc>
        <w:tc>
          <w:tcPr>
            <w:tcW w:w="6268" w:type="dxa"/>
            <w:vAlign w:val="center"/>
          </w:tcPr>
          <w:p>
            <w:pPr>
              <w:pStyle w:val="178"/>
              <w:jc w:val="left"/>
              <w:rPr>
                <w:color w:val="000000" w:themeColor="text1"/>
                <w14:textFill>
                  <w14:solidFill>
                    <w14:schemeClr w14:val="tx1"/>
                  </w14:solidFill>
                </w14:textFill>
              </w:rPr>
            </w:pPr>
            <w:bookmarkStart w:id="206" w:name="OLE_LINK95"/>
            <w:r>
              <w:rPr>
                <w:rFonts w:hint="eastAsia"/>
                <w:color w:val="000000" w:themeColor="text1"/>
                <w14:textFill>
                  <w14:solidFill>
                    <w14:schemeClr w14:val="tx1"/>
                  </w14:solidFill>
                </w14:textFill>
              </w:rPr>
              <w:t>单位：米（m），</w:t>
            </w:r>
            <w:bookmarkEnd w:id="206"/>
            <w:r>
              <w:rPr>
                <w:rFonts w:hint="eastAsia"/>
                <w:color w:val="000000" w:themeColor="text1"/>
                <w14:textFill>
                  <w14:solidFill>
                    <w14:schemeClr w14:val="tx1"/>
                  </w14:solidFill>
                </w14:textFill>
              </w:rPr>
              <w:t>指边坡沿路线走向的水平长度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边坡高度</w:t>
            </w:r>
          </w:p>
        </w:tc>
        <w:tc>
          <w:tcPr>
            <w:tcW w:w="80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单位：米（m），指边坡顶部（或坡顶平台）至底部（或坡脚平台）的垂直高度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是否为高边坡</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布尔型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0-否，1-是，</w:t>
            </w:r>
            <w:bookmarkStart w:id="207" w:name="OLE_LINK96"/>
            <w:r>
              <w:rPr>
                <w:rFonts w:hint="eastAsia"/>
                <w:color w:val="000000" w:themeColor="text1"/>
                <w14:textFill>
                  <w14:solidFill>
                    <w14:schemeClr w14:val="tx1"/>
                  </w14:solidFill>
                </w14:textFill>
              </w:rPr>
              <w:t>判断规则见《</w:t>
            </w:r>
            <w:r>
              <w:rPr>
                <w:color w:val="000000" w:themeColor="text1"/>
                <w14:textFill>
                  <w14:solidFill>
                    <w14:schemeClr w14:val="tx1"/>
                  </w14:solidFill>
                </w14:textFill>
              </w:rPr>
              <w:t>高速公路路堑高边坡工程施工安全风险评估指南</w:t>
            </w:r>
            <w:r>
              <w:rPr>
                <w:rFonts w:hint="eastAsia"/>
                <w:color w:val="000000" w:themeColor="text1"/>
                <w14:textFill>
                  <w14:solidFill>
                    <w14:schemeClr w14:val="tx1"/>
                  </w14:solidFill>
                </w14:textFill>
              </w:rPr>
              <w:t>》</w:t>
            </w:r>
            <w:bookmarkEnd w:id="207"/>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是否为高风险</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布尔型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0-否，1-是，判断规则见《</w:t>
            </w:r>
            <w:r>
              <w:rPr>
                <w:color w:val="000000" w:themeColor="text1"/>
                <w14:textFill>
                  <w14:solidFill>
                    <w14:schemeClr w14:val="tx1"/>
                  </w14:solidFill>
                </w14:textFill>
              </w:rPr>
              <w:t>高速公路路堑高边坡工程施工安全风险评估指南</w:t>
            </w:r>
            <w:r>
              <w:rPr>
                <w:rFonts w:hint="eastAsia"/>
                <w:color w:val="000000" w:themeColor="text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建设单位</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边坡工程的建设单位全称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设计</w:t>
            </w:r>
            <w:bookmarkStart w:id="208" w:name="OLE_LINK97"/>
            <w:r>
              <w:rPr>
                <w:rFonts w:hint="eastAsia"/>
                <w:color w:val="000000" w:themeColor="text1"/>
                <w14:textFill>
                  <w14:solidFill>
                    <w14:schemeClr w14:val="tx1"/>
                  </w14:solidFill>
                </w14:textFill>
              </w:rPr>
              <w:t>单位</w:t>
            </w:r>
            <w:bookmarkEnd w:id="208"/>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边坡工程的设计</w:t>
            </w:r>
            <w:bookmarkStart w:id="209" w:name="OLE_LINK98"/>
            <w:r>
              <w:rPr>
                <w:rFonts w:hint="eastAsia"/>
                <w:color w:val="000000" w:themeColor="text1"/>
                <w14:textFill>
                  <w14:solidFill>
                    <w14:schemeClr w14:val="tx1"/>
                  </w14:solidFill>
                </w14:textFill>
              </w:rPr>
              <w:t>单位全称</w:t>
            </w:r>
            <w:bookmarkEnd w:id="20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施工单位</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边坡工程的施工</w:t>
            </w:r>
            <w:r>
              <w:rPr>
                <w:color w:val="000000" w:themeColor="text1"/>
                <w14:textFill>
                  <w14:solidFill>
                    <w14:schemeClr w14:val="tx1"/>
                  </w14:solidFill>
                </w14:textFill>
              </w:rPr>
              <w:t>单位全称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21</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监理单位</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边坡工程的监理</w:t>
            </w:r>
            <w:r>
              <w:rPr>
                <w:color w:val="000000" w:themeColor="text1"/>
                <w14:textFill>
                  <w14:solidFill>
                    <w14:schemeClr w14:val="tx1"/>
                  </w14:solidFill>
                </w14:textFill>
              </w:rPr>
              <w:t>单位全称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22</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维护单位</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边坡日常维护与监测数据管理的</w:t>
            </w:r>
            <w:r>
              <w:rPr>
                <w:color w:val="000000" w:themeColor="text1"/>
                <w14:textFill>
                  <w14:solidFill>
                    <w14:schemeClr w14:val="tx1"/>
                  </w14:solidFill>
                </w14:textFill>
              </w:rPr>
              <w:t>单位全称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23</w:t>
            </w:r>
          </w:p>
        </w:tc>
        <w:tc>
          <w:tcPr>
            <w:tcW w:w="15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基础信息补充</w:t>
            </w:r>
          </w:p>
        </w:tc>
        <w:tc>
          <w:tcPr>
            <w:tcW w:w="80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6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补充特殊属性</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桥梁基础信息</w:t>
      </w:r>
    </w:p>
    <w:p>
      <w:pPr>
        <w:pStyle w:val="56"/>
        <w:ind w:firstLine="420"/>
        <w:rPr>
          <w:color w:val="000000" w:themeColor="text1"/>
          <w14:textFill>
            <w14:solidFill>
              <w14:schemeClr w14:val="tx1"/>
            </w14:solidFill>
          </w14:textFill>
        </w:rPr>
      </w:pPr>
      <w:bookmarkStart w:id="210" w:name="OLE_LINK14"/>
      <w:r>
        <w:rPr>
          <w:rFonts w:hint="eastAsia"/>
          <w:color w:val="000000" w:themeColor="text1"/>
          <w14:textFill>
            <w14:solidFill>
              <w14:schemeClr w14:val="tx1"/>
            </w14:solidFill>
          </w14:textFill>
        </w:rPr>
        <w:t>桥梁基础信息采集</w:t>
      </w:r>
      <w:bookmarkEnd w:id="210"/>
      <w:r>
        <w:rPr>
          <w:rFonts w:hint="eastAsia"/>
          <w:color w:val="000000" w:themeColor="text1"/>
          <w14:textFill>
            <w14:solidFill>
              <w14:schemeClr w14:val="tx1"/>
            </w14:solidFill>
          </w14:textFill>
        </w:rPr>
        <w:t>数据项见表A.4。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桥梁基础信息采集数据项</w:t>
      </w:r>
    </w:p>
    <w:tbl>
      <w:tblPr>
        <w:tblStyle w:val="33"/>
        <w:tblW w:w="9061"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76"/>
        <w:gridCol w:w="851"/>
        <w:gridCol w:w="63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bookmarkStart w:id="211" w:name="OLE_LINK163"/>
            <w:r>
              <w:rPr>
                <w:rFonts w:hint="eastAsia"/>
                <w:color w:val="000000" w:themeColor="text1"/>
                <w14:textFill>
                  <w14:solidFill>
                    <w14:schemeClr w14:val="tx1"/>
                  </w14:solidFill>
                </w14:textFill>
              </w:rPr>
              <w:t>序号</w:t>
            </w:r>
          </w:p>
        </w:tc>
        <w:tc>
          <w:tcPr>
            <w:tcW w:w="127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37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tcPr>
          <w:p>
            <w:pPr>
              <w:pStyle w:val="178"/>
              <w:rPr>
                <w:color w:val="000000" w:themeColor="text1"/>
                <w14:textFill>
                  <w14:solidFill>
                    <w14:schemeClr w14:val="tx1"/>
                  </w14:solidFill>
                </w14:textFill>
              </w:rPr>
            </w:pPr>
            <w:bookmarkStart w:id="212" w:name="OLE_LINK85"/>
            <w:r>
              <w:rPr>
                <w:rFonts w:hint="eastAsia"/>
                <w:color w:val="000000" w:themeColor="text1"/>
                <w14:textFill>
                  <w14:solidFill>
                    <w14:schemeClr w14:val="tx1"/>
                  </w14:solidFill>
                </w14:textFill>
              </w:rPr>
              <w:t>1</w:t>
            </w:r>
          </w:p>
        </w:tc>
        <w:tc>
          <w:tcPr>
            <w:tcW w:w="127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5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如“G60”，关联桥梁所属路线，编号具体见GB/T 917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桥梁编号</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标识桥梁唯一性的代码，编号规则具体见JT/T </w:t>
            </w:r>
            <w:bookmarkEnd w:id="212"/>
            <w:r>
              <w:rPr>
                <w:rFonts w:hint="eastAsia"/>
                <w:color w:val="000000" w:themeColor="text1"/>
                <w14:textFill>
                  <w14:solidFill>
                    <w14:schemeClr w14:val="tx1"/>
                  </w14:solidFill>
                </w14:textFill>
              </w:rPr>
              <w:t>132—2014，5.4.1.2.2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桥梁名称</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桥梁规范的全称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中心桩号</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单位：千米（km），桥梁中心点的里程桩号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起点桩号</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单位：千米（km），桥梁起点的里程桩号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止点桩号</w:t>
            </w:r>
          </w:p>
        </w:tc>
        <w:tc>
          <w:tcPr>
            <w:tcW w:w="851" w:type="dxa"/>
          </w:tcPr>
          <w:p>
            <w:pPr>
              <w:pStyle w:val="178"/>
              <w:jc w:val="left"/>
              <w:rPr>
                <w:color w:val="000000" w:themeColor="text1"/>
                <w14:textFill>
                  <w14:solidFill>
                    <w14:schemeClr w14:val="tx1"/>
                  </w14:solidFill>
                </w14:textFill>
              </w:rPr>
            </w:pPr>
            <w:bookmarkStart w:id="213" w:name="OLE_LINK35"/>
            <w:r>
              <w:rPr>
                <w:rFonts w:hint="eastAsia"/>
                <w:color w:val="000000" w:themeColor="text1"/>
                <w14:textFill>
                  <w14:solidFill>
                    <w14:schemeClr w14:val="tx1"/>
                  </w14:solidFill>
                </w14:textFill>
              </w:rPr>
              <w:t>数字型</w:t>
            </w:r>
            <w:bookmarkEnd w:id="213"/>
          </w:p>
        </w:tc>
        <w:tc>
          <w:tcPr>
            <w:tcW w:w="6377" w:type="dxa"/>
          </w:tcPr>
          <w:p>
            <w:pPr>
              <w:pStyle w:val="178"/>
              <w:jc w:val="left"/>
              <w:rPr>
                <w:color w:val="000000" w:themeColor="text1"/>
                <w14:textFill>
                  <w14:solidFill>
                    <w14:schemeClr w14:val="tx1"/>
                  </w14:solidFill>
                </w14:textFill>
              </w:rPr>
            </w:pPr>
            <w:bookmarkStart w:id="214" w:name="OLE_LINK73"/>
            <w:r>
              <w:rPr>
                <w:rFonts w:hint="eastAsia"/>
                <w:color w:val="000000" w:themeColor="text1"/>
                <w14:textFill>
                  <w14:solidFill>
                    <w14:schemeClr w14:val="tx1"/>
                  </w14:solidFill>
                </w14:textFill>
              </w:rPr>
              <w:t>单位：千米（km）</w:t>
            </w:r>
            <w:bookmarkEnd w:id="214"/>
            <w:r>
              <w:rPr>
                <w:rFonts w:hint="eastAsia"/>
                <w:color w:val="000000" w:themeColor="text1"/>
                <w14:textFill>
                  <w14:solidFill>
                    <w14:schemeClr w14:val="tx1"/>
                  </w14:solidFill>
                </w14:textFill>
              </w:rPr>
              <w:t>，桥梁止点的里程桩号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行车方向</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1-上行，2-下行，3-双向，明确桥梁车流方向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上行方向</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如“北京→澳门方向”；对应上行车道方向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下行方向</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如“北京→上海方向”；对应下行车道方向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桥梁全长</w:t>
            </w:r>
          </w:p>
        </w:tc>
        <w:tc>
          <w:tcPr>
            <w:tcW w:w="851" w:type="dxa"/>
            <w:vAlign w:val="center"/>
          </w:tcPr>
          <w:p>
            <w:pPr>
              <w:pStyle w:val="178"/>
              <w:jc w:val="left"/>
              <w:rPr>
                <w:color w:val="000000" w:themeColor="text1"/>
                <w14:textFill>
                  <w14:solidFill>
                    <w14:schemeClr w14:val="tx1"/>
                  </w14:solidFill>
                </w14:textFill>
              </w:rPr>
            </w:pPr>
            <w:bookmarkStart w:id="215" w:name="OLE_LINK82"/>
            <w:r>
              <w:rPr>
                <w:color w:val="000000" w:themeColor="text1"/>
                <w14:textFill>
                  <w14:solidFill>
                    <w14:schemeClr w14:val="tx1"/>
                  </w14:solidFill>
                </w14:textFill>
              </w:rPr>
              <w:t>数字型</w:t>
            </w:r>
            <w:bookmarkEnd w:id="215"/>
          </w:p>
        </w:tc>
        <w:tc>
          <w:tcPr>
            <w:tcW w:w="6377" w:type="dxa"/>
          </w:tcPr>
          <w:p>
            <w:pPr>
              <w:pStyle w:val="178"/>
              <w:jc w:val="left"/>
              <w:rPr>
                <w:color w:val="000000" w:themeColor="text1"/>
                <w14:textFill>
                  <w14:solidFill>
                    <w14:schemeClr w14:val="tx1"/>
                  </w14:solidFill>
                </w14:textFill>
              </w:rPr>
            </w:pPr>
            <w:bookmarkStart w:id="216" w:name="OLE_LINK83"/>
            <w:r>
              <w:rPr>
                <w:rFonts w:hint="eastAsia"/>
                <w:color w:val="000000" w:themeColor="text1"/>
                <w14:textFill>
                  <w14:solidFill>
                    <w14:schemeClr w14:val="tx1"/>
                  </w14:solidFill>
                </w14:textFill>
              </w:rPr>
              <w:t>单位：米（m），具体见JTG B01规定的桥梁总长</w:t>
            </w:r>
            <w:bookmarkEnd w:id="21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桥面全宽</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单位：米（m），桥梁内外沿之间的宽度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单孔最大跨径</w:t>
            </w:r>
          </w:p>
        </w:tc>
        <w:tc>
          <w:tcPr>
            <w:tcW w:w="85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377" w:type="dxa"/>
          </w:tcPr>
          <w:p>
            <w:pPr>
              <w:pStyle w:val="178"/>
              <w:jc w:val="left"/>
              <w:rPr>
                <w:color w:val="000000" w:themeColor="text1"/>
                <w14:textFill>
                  <w14:solidFill>
                    <w14:schemeClr w14:val="tx1"/>
                  </w14:solidFill>
                </w14:textFill>
              </w:rPr>
            </w:pPr>
            <w:bookmarkStart w:id="217" w:name="OLE_LINK84"/>
            <w:r>
              <w:rPr>
                <w:rFonts w:hint="eastAsia"/>
                <w:color w:val="000000" w:themeColor="text1"/>
                <w14:textFill>
                  <w14:solidFill>
                    <w14:schemeClr w14:val="tx1"/>
                  </w14:solidFill>
                </w14:textFill>
              </w:rPr>
              <w:t>单位：米（m），</w:t>
            </w:r>
            <w:bookmarkEnd w:id="217"/>
            <w:r>
              <w:rPr>
                <w:rFonts w:hint="eastAsia"/>
                <w:color w:val="000000" w:themeColor="text1"/>
                <w14:textFill>
                  <w14:solidFill>
                    <w14:schemeClr w14:val="tx1"/>
                  </w14:solidFill>
                </w14:textFill>
              </w:rPr>
              <w:t>主桥单孔最大跨径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跨径组合</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单位：米（m），如“20+40+20“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是否通航</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布尔型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0-否，1-是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桥梁竣工日期</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管理单位</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7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承担桥梁管理的单位名称</w:t>
            </w:r>
          </w:p>
        </w:tc>
      </w:tr>
      <w:bookmarkEnd w:id="211"/>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隧道基础信息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隧道基础信息采集数据项见表A.5。</w:t>
      </w:r>
    </w:p>
    <w:p>
      <w:pPr>
        <w:pStyle w:val="77"/>
        <w:spacing w:before="156" w:after="1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隧道基础信息采集数据项</w:t>
      </w:r>
    </w:p>
    <w:tbl>
      <w:tblPr>
        <w:tblStyle w:val="33"/>
        <w:tblW w:w="931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99"/>
        <w:gridCol w:w="1276"/>
        <w:gridCol w:w="992"/>
        <w:gridCol w:w="63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7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3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Borders>
              <w:top w:val="single" w:color="auto" w:sz="8" w:space="0"/>
            </w:tcBorders>
            <w:vAlign w:val="center"/>
          </w:tcPr>
          <w:p>
            <w:pPr>
              <w:pStyle w:val="178"/>
              <w:rPr>
                <w:color w:val="000000" w:themeColor="text1"/>
                <w14:textFill>
                  <w14:solidFill>
                    <w14:schemeClr w14:val="tx1"/>
                  </w14:solidFill>
                </w14:textFill>
              </w:rPr>
            </w:pPr>
            <w:bookmarkStart w:id="218" w:name="_Hlk232496106"/>
            <w:r>
              <w:rPr>
                <w:rFonts w:hint="eastAsia"/>
                <w:color w:val="000000" w:themeColor="text1"/>
                <w14:textFill>
                  <w14:solidFill>
                    <w14:schemeClr w14:val="tx1"/>
                  </w14:solidFill>
                </w14:textFill>
              </w:rPr>
              <w:t>1</w:t>
            </w:r>
          </w:p>
        </w:tc>
        <w:tc>
          <w:tcPr>
            <w:tcW w:w="127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99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如“G4”，编号具体见GB/T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bookmarkEnd w:id="21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隧道编号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标识隧道唯一性的代码，具体规则见JT/T 132—2014的5.4.3.1.1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隧道名称</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隧道的具体名称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起点桩号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数字型 </w:t>
            </w:r>
          </w:p>
        </w:tc>
        <w:tc>
          <w:tcPr>
            <w:tcW w:w="6350" w:type="dxa"/>
            <w:vAlign w:val="center"/>
          </w:tcPr>
          <w:p>
            <w:pPr>
              <w:pStyle w:val="178"/>
              <w:jc w:val="left"/>
              <w:rPr>
                <w:color w:val="000000" w:themeColor="text1"/>
                <w14:textFill>
                  <w14:solidFill>
                    <w14:schemeClr w14:val="tx1"/>
                  </w14:solidFill>
                </w14:textFill>
              </w:rPr>
            </w:pPr>
            <w:bookmarkStart w:id="219" w:name="OLE_LINK51"/>
            <w:r>
              <w:rPr>
                <w:rFonts w:hint="eastAsia" w:hAnsi="宋体"/>
                <w:color w:val="000000" w:themeColor="text1"/>
                <w:szCs w:val="18"/>
                <w14:textFill>
                  <w14:solidFill>
                    <w14:schemeClr w14:val="tx1"/>
                  </w14:solidFill>
                </w14:textFill>
              </w:rPr>
              <w:t>单位千米（km），标记</w:t>
            </w:r>
            <w:r>
              <w:rPr>
                <w:rFonts w:hint="eastAsia"/>
                <w:color w:val="000000" w:themeColor="text1"/>
                <w14:textFill>
                  <w14:solidFill>
                    <w14:schemeClr w14:val="tx1"/>
                  </w14:solidFill>
                </w14:textFill>
              </w:rPr>
              <w:t>隧道</w:t>
            </w:r>
            <w:r>
              <w:rPr>
                <w:rFonts w:hint="eastAsia" w:hAnsi="宋体"/>
                <w:color w:val="000000" w:themeColor="text1"/>
                <w:szCs w:val="18"/>
                <w14:textFill>
                  <w14:solidFill>
                    <w14:schemeClr w14:val="tx1"/>
                  </w14:solidFill>
                </w14:textFill>
              </w:rPr>
              <w:t>起始位置的里程桩号</w:t>
            </w:r>
            <w:bookmarkEnd w:id="21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止点桩号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0"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w:t>
            </w:r>
            <w:bookmarkStart w:id="220" w:name="OLE_LINK139"/>
            <w:r>
              <w:rPr>
                <w:rFonts w:hint="eastAsia"/>
                <w:color w:val="000000" w:themeColor="text1"/>
                <w14:textFill>
                  <w14:solidFill>
                    <w14:schemeClr w14:val="tx1"/>
                  </w14:solidFill>
                </w14:textFill>
              </w:rPr>
              <w:t>隧道止点</w:t>
            </w:r>
            <w:bookmarkEnd w:id="220"/>
            <w:r>
              <w:rPr>
                <w:rFonts w:hint="eastAsia" w:hAnsi="宋体"/>
                <w:color w:val="000000" w:themeColor="text1"/>
                <w:szCs w:val="18"/>
                <w14:textFill>
                  <w14:solidFill>
                    <w14:schemeClr w14:val="tx1"/>
                  </w14:solidFill>
                </w14:textFill>
              </w:rPr>
              <w:t>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中心桩号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数字型 </w:t>
            </w:r>
          </w:p>
        </w:tc>
        <w:tc>
          <w:tcPr>
            <w:tcW w:w="6350"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w:t>
            </w:r>
            <w:r>
              <w:rPr>
                <w:rFonts w:hint="eastAsia"/>
                <w:color w:val="000000" w:themeColor="text1"/>
                <w14:textFill>
                  <w14:solidFill>
                    <w14:schemeClr w14:val="tx1"/>
                  </w14:solidFill>
                </w14:textFill>
              </w:rPr>
              <w:t>隧道中心</w:t>
            </w:r>
            <w:r>
              <w:rPr>
                <w:rFonts w:hint="eastAsia" w:hAnsi="宋体"/>
                <w:color w:val="000000" w:themeColor="text1"/>
                <w:szCs w:val="18"/>
                <w14:textFill>
                  <w14:solidFill>
                    <w14:schemeClr w14:val="tx1"/>
                  </w14:solidFill>
                </w14:textFill>
              </w:rPr>
              <w:t>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隧道分类代码</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bookmarkStart w:id="221" w:name="OLE_LINK140"/>
            <w:r>
              <w:rPr>
                <w:rFonts w:hint="eastAsia"/>
                <w:color w:val="000000" w:themeColor="text1"/>
                <w14:textFill>
                  <w14:solidFill>
                    <w14:schemeClr w14:val="tx1"/>
                  </w14:solidFill>
                </w14:textFill>
              </w:rPr>
              <w:t>隧道按长度的分类，分类规则见JT/T 132的5.4.3.2</w:t>
            </w:r>
          </w:p>
        </w:tc>
      </w:tr>
      <w:bookmarkEnd w:id="221"/>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隧道长度</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隧道净宽</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隧道净高</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行车道宽度</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人行道宽度</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行驶方向编号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隧道车辆通行方向的代码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行驶方向</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bookmarkStart w:id="222" w:name="OLE_LINK54"/>
            <w:r>
              <w:rPr>
                <w:rFonts w:hint="eastAsia"/>
                <w:color w:val="000000" w:themeColor="text1"/>
                <w14:textFill>
                  <w14:solidFill>
                    <w14:schemeClr w14:val="tx1"/>
                  </w14:solidFill>
                </w14:textFill>
              </w:rPr>
              <w:t>1-上行、2-下行</w:t>
            </w:r>
            <w:bookmarkEnd w:id="222"/>
            <w:r>
              <w:rPr>
                <w:rFonts w:hint="eastAsia"/>
                <w:color w:val="000000" w:themeColor="text1"/>
                <w14:textFill>
                  <w14:solidFill>
                    <w14:schemeClr w14:val="tx1"/>
                  </w14:solidFill>
                </w14:textFill>
              </w:rPr>
              <w:t>、3-双向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是否水下隧道</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布</w:t>
            </w:r>
            <w:bookmarkStart w:id="223" w:name="OLE_LINK142"/>
            <w:r>
              <w:rPr>
                <w:rFonts w:hint="eastAsia"/>
                <w:color w:val="000000" w:themeColor="text1"/>
                <w14:textFill>
                  <w14:solidFill>
                    <w14:schemeClr w14:val="tx1"/>
                  </w14:solidFill>
                </w14:textFill>
              </w:rPr>
              <w:t xml:space="preserve">尔型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0-否，1-是</w:t>
            </w:r>
          </w:p>
        </w:tc>
      </w:tr>
      <w:bookmarkEnd w:id="223"/>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建设日期</w:t>
            </w:r>
          </w:p>
        </w:tc>
        <w:tc>
          <w:tcPr>
            <w:tcW w:w="992" w:type="dxa"/>
            <w:vAlign w:val="center"/>
          </w:tcPr>
          <w:p>
            <w:pPr>
              <w:pStyle w:val="178"/>
              <w:jc w:val="left"/>
              <w:rPr>
                <w:color w:val="000000" w:themeColor="text1"/>
                <w14:textFill>
                  <w14:solidFill>
                    <w14:schemeClr w14:val="tx1"/>
                  </w14:solidFill>
                </w14:textFill>
              </w:rPr>
            </w:pPr>
            <w:bookmarkStart w:id="224" w:name="OLE_LINK143"/>
            <w:r>
              <w:rPr>
                <w:rFonts w:hint="eastAsia"/>
                <w:color w:val="000000" w:themeColor="text1"/>
                <w14:textFill>
                  <w14:solidFill>
                    <w14:schemeClr w14:val="tx1"/>
                  </w14:solidFill>
                </w14:textFill>
              </w:rPr>
              <w:t>日期型</w:t>
            </w:r>
            <w:bookmarkEnd w:id="224"/>
            <w:r>
              <w:rPr>
                <w:rFonts w:hint="eastAsia"/>
                <w:color w:val="000000" w:themeColor="text1"/>
                <w14:textFill>
                  <w14:solidFill>
                    <w14:schemeClr w14:val="tx1"/>
                  </w14:solidFill>
                </w14:textFill>
              </w:rPr>
              <w:t xml:space="preserve">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YYYYMMDD，隧道开工建设年份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通车日期</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YYYYMMDD，隧道竣工正式通车日期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变更日期</w:t>
            </w:r>
          </w:p>
        </w:tc>
        <w:tc>
          <w:tcPr>
            <w:tcW w:w="992"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日期型</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YYYYMMDD，隧道信息或工程变更登记日期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管理单位名称</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隧道管理单位的全称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21</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养护单位名称</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3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隧道养护单位的全称</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枢纽基础信息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枢纽基础采集数据项见表A.6。</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枢纽基础信息采集数据项</w:t>
      </w:r>
    </w:p>
    <w:tbl>
      <w:tblPr>
        <w:tblStyle w:val="33"/>
        <w:tblW w:w="973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5"/>
        <w:gridCol w:w="1318"/>
        <w:gridCol w:w="945"/>
        <w:gridCol w:w="70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1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4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5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5"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18" w:type="dxa"/>
            <w:tcBorders>
              <w:top w:val="single" w:color="auto" w:sz="8" w:space="0"/>
            </w:tcBorders>
            <w:vAlign w:val="center"/>
          </w:tcPr>
          <w:p>
            <w:pPr>
              <w:pStyle w:val="178"/>
              <w:jc w:val="left"/>
              <w:rPr>
                <w:color w:val="000000" w:themeColor="text1"/>
                <w14:textFill>
                  <w14:solidFill>
                    <w14:schemeClr w14:val="tx1"/>
                  </w14:solidFill>
                </w14:textFill>
              </w:rPr>
            </w:pPr>
            <w:bookmarkStart w:id="225" w:name="OLE_LINK127"/>
            <w:r>
              <w:rPr>
                <w:rFonts w:hint="eastAsia"/>
                <w:color w:val="000000" w:themeColor="text1"/>
                <w14:textFill>
                  <w14:solidFill>
                    <w14:schemeClr w14:val="tx1"/>
                  </w14:solidFill>
                </w14:textFill>
              </w:rPr>
              <w:t>枢纽</w:t>
            </w:r>
            <w:bookmarkEnd w:id="225"/>
            <w:r>
              <w:rPr>
                <w:color w:val="000000" w:themeColor="text1"/>
                <w14:textFill>
                  <w14:solidFill>
                    <w14:schemeClr w14:val="tx1"/>
                  </w14:solidFill>
                </w14:textFill>
              </w:rPr>
              <w:t>编号</w:t>
            </w:r>
          </w:p>
        </w:tc>
        <w:tc>
          <w:tcPr>
            <w:tcW w:w="94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5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标识枢纽唯一性的代码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枢纽名称</w:t>
            </w:r>
          </w:p>
        </w:tc>
        <w:tc>
          <w:tcPr>
            <w:tcW w:w="9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枢纽的具体名称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9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9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保留6位小数，定位枢纽在地图上的位置，与纬度配合用于导航搜索与地图标注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9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保留6位小数，定位枢纽在地图上的位置，与经度配合用于导航搜索与地图标注</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枢纽方向信息</w:t>
      </w:r>
    </w:p>
    <w:p>
      <w:pPr>
        <w:pStyle w:val="56"/>
        <w:ind w:firstLine="420"/>
        <w:rPr>
          <w:color w:val="000000" w:themeColor="text1"/>
          <w14:textFill>
            <w14:solidFill>
              <w14:schemeClr w14:val="tx1"/>
            </w14:solidFill>
          </w14:textFill>
        </w:rPr>
      </w:pPr>
      <w:bookmarkStart w:id="226" w:name="OLE_LINK135"/>
      <w:r>
        <w:rPr>
          <w:rFonts w:hint="eastAsia"/>
          <w:color w:val="000000" w:themeColor="text1"/>
          <w14:textFill>
            <w14:solidFill>
              <w14:schemeClr w14:val="tx1"/>
            </w14:solidFill>
          </w14:textFill>
        </w:rPr>
        <w:t>枢纽</w:t>
      </w:r>
      <w:bookmarkEnd w:id="226"/>
      <w:r>
        <w:rPr>
          <w:rFonts w:hint="eastAsia"/>
          <w:color w:val="000000" w:themeColor="text1"/>
          <w14:textFill>
            <w14:solidFill>
              <w14:schemeClr w14:val="tx1"/>
            </w14:solidFill>
          </w14:textFill>
        </w:rPr>
        <w:t>方向信息采集数据项见表A.7。</w:t>
      </w:r>
    </w:p>
    <w:p>
      <w:pPr>
        <w:pStyle w:val="77"/>
        <w:spacing w:before="156" w:after="156"/>
        <w:rPr>
          <w:color w:val="000000" w:themeColor="text1"/>
          <w14:textFill>
            <w14:solidFill>
              <w14:schemeClr w14:val="tx1"/>
            </w14:solidFill>
          </w14:textFill>
        </w:rPr>
      </w:pPr>
      <w:bookmarkStart w:id="227" w:name="OLE_LINK133"/>
      <w:r>
        <w:rPr>
          <w:rFonts w:hint="eastAsia"/>
          <w:color w:val="000000" w:themeColor="text1"/>
          <w14:textFill>
            <w14:solidFill>
              <w14:schemeClr w14:val="tx1"/>
            </w14:solidFill>
          </w14:textFill>
        </w:rPr>
        <w:t>枢纽</w:t>
      </w:r>
      <w:bookmarkEnd w:id="227"/>
      <w:r>
        <w:rPr>
          <w:rFonts w:hint="eastAsia"/>
          <w:color w:val="000000" w:themeColor="text1"/>
          <w14:textFill>
            <w14:solidFill>
              <w14:schemeClr w14:val="tx1"/>
            </w14:solidFill>
          </w14:textFill>
        </w:rPr>
        <w:t>方向信息采集数据项</w:t>
      </w:r>
    </w:p>
    <w:tbl>
      <w:tblPr>
        <w:tblStyle w:val="33"/>
        <w:tblW w:w="936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68"/>
        <w:gridCol w:w="1291"/>
        <w:gridCol w:w="895"/>
        <w:gridCol w:w="66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6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9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9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9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所属枢纽</w:t>
            </w:r>
            <w:r>
              <w:rPr>
                <w:color w:val="000000" w:themeColor="text1"/>
                <w14:textFill>
                  <w14:solidFill>
                    <w14:schemeClr w14:val="tx1"/>
                  </w14:solidFill>
                </w14:textFill>
              </w:rPr>
              <w:t>编号</w:t>
            </w:r>
          </w:p>
        </w:tc>
        <w:tc>
          <w:tcPr>
            <w:tcW w:w="89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标识所属枢纽唯一性的代码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起点路线编号</w:t>
            </w:r>
          </w:p>
        </w:tc>
        <w:tc>
          <w:tcPr>
            <w:tcW w:w="8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如“G4”，编号具体见GB/T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止点路线编号</w:t>
            </w:r>
          </w:p>
        </w:tc>
        <w:tc>
          <w:tcPr>
            <w:tcW w:w="8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如“S10”，编号具体见GB/T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91"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起点桩号</w:t>
            </w:r>
          </w:p>
        </w:tc>
        <w:tc>
          <w:tcPr>
            <w:tcW w:w="895"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数字型</w:t>
            </w:r>
          </w:p>
        </w:tc>
        <w:tc>
          <w:tcPr>
            <w:tcW w:w="6609"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w:t>
            </w:r>
            <w:r>
              <w:rPr>
                <w:rFonts w:hint="eastAsia"/>
                <w:color w:val="000000" w:themeColor="text1"/>
                <w14:textFill>
                  <w14:solidFill>
                    <w14:schemeClr w14:val="tx1"/>
                  </w14:solidFill>
                </w14:textFill>
              </w:rPr>
              <w:t>枢纽</w:t>
            </w:r>
            <w:r>
              <w:rPr>
                <w:rFonts w:hint="eastAsia" w:hAnsi="宋体"/>
                <w:color w:val="000000" w:themeColor="text1"/>
                <w:szCs w:val="18"/>
                <w14:textFill>
                  <w14:solidFill>
                    <w14:schemeClr w14:val="tx1"/>
                  </w14:solidFill>
                </w14:textFill>
              </w:rPr>
              <w:t>起始位置的里程桩号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91"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止点桩号</w:t>
            </w:r>
          </w:p>
        </w:tc>
        <w:tc>
          <w:tcPr>
            <w:tcW w:w="895"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数字型</w:t>
            </w:r>
          </w:p>
        </w:tc>
        <w:tc>
          <w:tcPr>
            <w:tcW w:w="6609" w:type="dxa"/>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w:t>
            </w:r>
            <w:r>
              <w:rPr>
                <w:rFonts w:hint="eastAsia"/>
                <w:color w:val="000000" w:themeColor="text1"/>
                <w14:textFill>
                  <w14:solidFill>
                    <w14:schemeClr w14:val="tx1"/>
                  </w14:solidFill>
                </w14:textFill>
              </w:rPr>
              <w:t>枢纽</w:t>
            </w:r>
            <w:r>
              <w:rPr>
                <w:rFonts w:hint="eastAsia" w:hAnsi="宋体"/>
                <w:color w:val="000000" w:themeColor="text1"/>
                <w:szCs w:val="18"/>
                <w14:textFill>
                  <w14:solidFill>
                    <w14:schemeClr w14:val="tx1"/>
                  </w14:solidFill>
                </w14:textFill>
              </w:rPr>
              <w:t>止点位置的里程桩号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91" w:type="dxa"/>
          </w:tcPr>
          <w:p>
            <w:pPr>
              <w:pStyle w:val="178"/>
              <w:jc w:val="left"/>
              <w:rPr>
                <w:rFonts w:hint="eastAsia" w:hAnsi="宋体"/>
                <w:color w:val="000000" w:themeColor="text1"/>
                <w:szCs w:val="18"/>
                <w14:textFill>
                  <w14:solidFill>
                    <w14:schemeClr w14:val="tx1"/>
                  </w14:solidFill>
                </w14:textFill>
              </w:rPr>
            </w:pPr>
            <w:r>
              <w:rPr>
                <w:rFonts w:hint="eastAsia" w:hAnsi="宋体"/>
                <w:color w:val="000000" w:themeColor="text1"/>
                <w:szCs w:val="18"/>
                <w14:textFill>
                  <w14:solidFill>
                    <w14:schemeClr w14:val="tx1"/>
                  </w14:solidFill>
                </w14:textFill>
              </w:rPr>
              <w:t>起点方向</w:t>
            </w:r>
          </w:p>
        </w:tc>
        <w:tc>
          <w:tcPr>
            <w:tcW w:w="895" w:type="dxa"/>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1-上行、2-下行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91" w:type="dxa"/>
          </w:tcPr>
          <w:p>
            <w:pPr>
              <w:pStyle w:val="178"/>
              <w:jc w:val="left"/>
              <w:rPr>
                <w:rFonts w:hint="eastAsia" w:hAnsi="宋体"/>
                <w:color w:val="000000" w:themeColor="text1"/>
                <w:szCs w:val="18"/>
                <w14:textFill>
                  <w14:solidFill>
                    <w14:schemeClr w14:val="tx1"/>
                  </w14:solidFill>
                </w14:textFill>
              </w:rPr>
            </w:pPr>
            <w:r>
              <w:rPr>
                <w:rFonts w:hint="eastAsia" w:hAnsi="宋体"/>
                <w:color w:val="000000" w:themeColor="text1"/>
                <w:szCs w:val="18"/>
                <w14:textFill>
                  <w14:solidFill>
                    <w14:schemeClr w14:val="tx1"/>
                  </w14:solidFill>
                </w14:textFill>
              </w:rPr>
              <w:t>止点方向</w:t>
            </w:r>
          </w:p>
        </w:tc>
        <w:tc>
          <w:tcPr>
            <w:tcW w:w="895" w:type="dxa"/>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1-上行、2-下行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方向</w:t>
            </w:r>
            <w:r>
              <w:rPr>
                <w:color w:val="000000" w:themeColor="text1"/>
                <w14:textFill>
                  <w14:solidFill>
                    <w14:schemeClr w14:val="tx1"/>
                  </w14:solidFill>
                </w14:textFill>
              </w:rPr>
              <w:t>编号</w:t>
            </w:r>
          </w:p>
        </w:tc>
        <w:tc>
          <w:tcPr>
            <w:tcW w:w="8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标识枢纽方向唯一性的代码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8"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方向名称</w:t>
            </w:r>
          </w:p>
        </w:tc>
        <w:tc>
          <w:tcPr>
            <w:tcW w:w="8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如“长沙-岳阳方向”</w:t>
            </w:r>
          </w:p>
        </w:tc>
      </w:tr>
    </w:tbl>
    <w:p>
      <w:pPr>
        <w:pStyle w:val="79"/>
        <w:spacing w:before="156" w:after="156"/>
        <w:rPr>
          <w:color w:val="000000" w:themeColor="text1"/>
          <w14:textFill>
            <w14:solidFill>
              <w14:schemeClr w14:val="tx1"/>
            </w14:solidFill>
          </w14:textFill>
        </w:rPr>
      </w:pPr>
      <w:bookmarkStart w:id="228" w:name="OLE_LINK49"/>
      <w:r>
        <w:rPr>
          <w:rFonts w:hint="eastAsia"/>
          <w:color w:val="000000" w:themeColor="text1"/>
          <w14:textFill>
            <w14:solidFill>
              <w14:schemeClr w14:val="tx1"/>
            </w14:solidFill>
          </w14:textFill>
        </w:rPr>
        <w:t>门架基础信息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门架基础信息采集数据项见表A.8。</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门架基础信息采集数据项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76"/>
        <w:gridCol w:w="851"/>
        <w:gridCol w:w="66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7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bookmarkEnd w:id="22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bookmarkStart w:id="229" w:name="_Hlk232497398"/>
            <w:r>
              <w:rPr>
                <w:rFonts w:hint="eastAsia"/>
                <w:color w:val="000000" w:themeColor="text1"/>
                <w14:textFill>
                  <w14:solidFill>
                    <w14:schemeClr w14:val="tx1"/>
                  </w14:solidFill>
                </w14:textFill>
              </w:rPr>
              <w:t>1</w:t>
            </w:r>
          </w:p>
        </w:tc>
        <w:tc>
          <w:tcPr>
            <w:tcW w:w="1276"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51"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50"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如“G4”，编号具体见GB/T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7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85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bookmarkEnd w:id="229"/>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门架编号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标识门架唯一性的代码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门架名称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门架的具体名称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数字型 </w:t>
            </w:r>
          </w:p>
        </w:tc>
        <w:tc>
          <w:tcPr>
            <w:tcW w:w="6650"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w:t>
            </w:r>
            <w:r>
              <w:rPr>
                <w:rFonts w:hint="eastAsia"/>
                <w:color w:val="000000" w:themeColor="text1"/>
                <w14:textFill>
                  <w14:solidFill>
                    <w14:schemeClr w14:val="tx1"/>
                  </w14:solidFill>
                </w14:textFill>
              </w:rPr>
              <w:t>门架所在位置对应的</w:t>
            </w:r>
            <w:r>
              <w:rPr>
                <w:rFonts w:hint="eastAsia" w:hAnsi="宋体"/>
                <w:color w:val="000000" w:themeColor="text1"/>
                <w:szCs w:val="18"/>
                <w14:textFill>
                  <w14:solidFill>
                    <w14:schemeClr w14:val="tx1"/>
                  </w14:solidFill>
                </w14:textFill>
              </w:rPr>
              <w:t>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保留6位小数；用于导航搜索与地图标注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保留6位小数；与经度配合实现精准导航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bookmarkStart w:id="230" w:name="_Hlk232497481"/>
            <w:r>
              <w:rPr>
                <w:rFonts w:hint="eastAsia"/>
                <w:color w:val="000000" w:themeColor="text1"/>
                <w14:textFill>
                  <w14:solidFill>
                    <w14:schemeClr w14:val="tx1"/>
                  </w14:solidFill>
                </w14:textFill>
              </w:rPr>
              <w:t>8</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是否省界门架</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布尔型</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0-否，1-是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门架方向</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门架类型编码</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门架类型分类编码</w:t>
            </w:r>
          </w:p>
        </w:tc>
      </w:tr>
      <w:bookmarkEnd w:id="230"/>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标识ETC门架唯一性的代码，编号规则见JTG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收费单元编号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关联收费单元唯一标识</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收费站基础信息采集数据项见表A.9。</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收费站基础信息采集数据项</w:t>
      </w:r>
    </w:p>
    <w:tbl>
      <w:tblPr>
        <w:tblStyle w:val="33"/>
        <w:tblpPr w:leftFromText="180" w:rightFromText="180" w:vertAnchor="text" w:horzAnchor="page" w:tblpX="1438" w:tblpY="416"/>
        <w:tblOverlap w:val="never"/>
        <w:tblW w:w="933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1"/>
        <w:gridCol w:w="1217"/>
        <w:gridCol w:w="744"/>
        <w:gridCol w:w="682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trPr>
        <w:tc>
          <w:tcPr>
            <w:tcW w:w="55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1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74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2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tcBorders>
              <w:top w:val="single" w:color="auto" w:sz="8" w:space="0"/>
            </w:tcBorders>
            <w:vAlign w:val="center"/>
          </w:tcPr>
          <w:p>
            <w:pPr>
              <w:pStyle w:val="178"/>
              <w:rPr>
                <w:color w:val="000000" w:themeColor="text1"/>
                <w14:textFill>
                  <w14:solidFill>
                    <w14:schemeClr w14:val="tx1"/>
                  </w14:solidFill>
                </w14:textFill>
              </w:rPr>
            </w:pPr>
            <w:bookmarkStart w:id="231" w:name="_Hlk232433500"/>
            <w:r>
              <w:rPr>
                <w:rFonts w:hint="eastAsia"/>
                <w:color w:val="000000" w:themeColor="text1"/>
                <w14:textFill>
                  <w14:solidFill>
                    <w14:schemeClr w14:val="tx1"/>
                  </w14:solidFill>
                </w14:textFill>
              </w:rPr>
              <w:t>1</w:t>
            </w:r>
          </w:p>
        </w:tc>
        <w:tc>
          <w:tcPr>
            <w:tcW w:w="121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744" w:type="dxa"/>
            <w:tcBorders>
              <w:top w:val="single" w:color="auto" w:sz="8" w:space="0"/>
            </w:tcBorders>
            <w:vAlign w:val="center"/>
          </w:tcPr>
          <w:p>
            <w:pPr>
              <w:pStyle w:val="178"/>
              <w:jc w:val="left"/>
              <w:rPr>
                <w:color w:val="000000" w:themeColor="text1"/>
                <w14:textFill>
                  <w14:solidFill>
                    <w14:schemeClr w14:val="tx1"/>
                  </w14:solidFill>
                </w14:textFill>
              </w:rPr>
            </w:pPr>
            <w:bookmarkStart w:id="232" w:name="OLE_LINK104"/>
            <w:r>
              <w:rPr>
                <w:rFonts w:hint="eastAsia"/>
                <w:color w:val="000000" w:themeColor="text1"/>
                <w14:textFill>
                  <w14:solidFill>
                    <w14:schemeClr w14:val="tx1"/>
                  </w14:solidFill>
                </w14:textFill>
              </w:rPr>
              <w:t>字符型</w:t>
            </w:r>
            <w:bookmarkEnd w:id="232"/>
          </w:p>
        </w:tc>
        <w:tc>
          <w:tcPr>
            <w:tcW w:w="682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如“G4”，关联</w:t>
            </w:r>
            <w:bookmarkStart w:id="233" w:name="OLE_LINK103"/>
            <w:r>
              <w:rPr>
                <w:rFonts w:hint="eastAsia"/>
                <w:color w:val="000000" w:themeColor="text1"/>
                <w14:textFill>
                  <w14:solidFill>
                    <w14:schemeClr w14:val="tx1"/>
                  </w14:solidFill>
                </w14:textFill>
              </w:rPr>
              <w:t>收费站</w:t>
            </w:r>
            <w:bookmarkEnd w:id="233"/>
            <w:r>
              <w:rPr>
                <w:rFonts w:hint="eastAsia"/>
                <w:color w:val="000000" w:themeColor="text1"/>
                <w14:textFill>
                  <w14:solidFill>
                    <w14:schemeClr w14:val="tx1"/>
                  </w14:solidFill>
                </w14:textFill>
              </w:rPr>
              <w:t>所属路线，编号具体见GB/T 917</w:t>
            </w:r>
            <w:r>
              <w:rPr>
                <w:color w:val="000000" w:themeColor="text1"/>
                <w14:textFill>
                  <w14:solidFill>
                    <w14:schemeClr w14:val="tx1"/>
                  </w14:solidFill>
                </w14:textFill>
              </w:rPr>
              <w:t xml:space="preserve"> </w:t>
            </w:r>
          </w:p>
        </w:tc>
      </w:tr>
      <w:bookmarkEnd w:id="231"/>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bookmarkStart w:id="234" w:name="_Hlk232603793"/>
            <w:r>
              <w:rPr>
                <w:rFonts w:hint="eastAsia"/>
                <w:color w:val="000000" w:themeColor="text1"/>
                <w14:textFill>
                  <w14:solidFill>
                    <w14:schemeClr w14:val="tx1"/>
                  </w14:solidFill>
                </w14:textFill>
              </w:rPr>
              <w:t>3</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省份编号</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区分跨省收费站，便于全国收费系统联网管理；编号见GB/T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收费站编号</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标识</w:t>
            </w:r>
            <w:r>
              <w:rPr>
                <w:rFonts w:hint="eastAsia"/>
                <w:color w:val="000000" w:themeColor="text1"/>
                <w14:textFill>
                  <w14:solidFill>
                    <w14:schemeClr w14:val="tx1"/>
                  </w14:solidFill>
                </w14:textFill>
              </w:rPr>
              <w:t>收费站</w:t>
            </w:r>
            <w:bookmarkStart w:id="235" w:name="OLE_LINK112"/>
            <w:r>
              <w:rPr>
                <w:color w:val="000000" w:themeColor="text1"/>
                <w14:textFill>
                  <w14:solidFill>
                    <w14:schemeClr w14:val="tx1"/>
                  </w14:solidFill>
                </w14:textFill>
              </w:rPr>
              <w:t>唯一性的</w:t>
            </w:r>
            <w:bookmarkEnd w:id="235"/>
            <w:r>
              <w:rPr>
                <w:rFonts w:hint="eastAsia"/>
                <w:color w:val="000000" w:themeColor="text1"/>
                <w14:textFill>
                  <w14:solidFill>
                    <w14:schemeClr w14:val="tx1"/>
                  </w14:solidFill>
                </w14:textFill>
              </w:rPr>
              <w:t>编码，具体规则见JT/T 132—2014的5.5.8.1，关联收费系统账号</w:t>
            </w:r>
          </w:p>
        </w:tc>
      </w:tr>
      <w:bookmarkEnd w:id="234"/>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收费站名称</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包含行政区划</w:t>
            </w:r>
            <w:bookmarkStart w:id="236" w:name="OLE_LINK105"/>
            <w:r>
              <w:rPr>
                <w:rFonts w:hint="eastAsia"/>
                <w:color w:val="000000" w:themeColor="text1"/>
                <w14:textFill>
                  <w14:solidFill>
                    <w14:schemeClr w14:val="tx1"/>
                  </w14:solidFill>
                </w14:textFill>
              </w:rPr>
              <w:t>和地理标识</w:t>
            </w:r>
            <w:bookmarkEnd w:id="23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收费站简称</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包含地理标识，如“临湘站”“岳塘站”，用于收费票据打印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收费站桩号</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22"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千米（km）</w:t>
            </w:r>
            <w:r>
              <w:rPr>
                <w:rFonts w:hint="eastAsia"/>
                <w:color w:val="000000" w:themeColor="text1"/>
                <w14:textFill>
                  <w14:solidFill>
                    <w14:schemeClr w14:val="tx1"/>
                  </w14:solidFill>
                </w14:textFill>
              </w:rPr>
              <w:t>，收费站所在位置对应的里程桩号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保留6位小数，定位收费站主楼中心位置，与纬度配合实现GIS地图标注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保留6位小数，定位收费站主楼中心位置，与经度配合实现GIS地图标注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MTC车道数</w:t>
            </w:r>
          </w:p>
        </w:tc>
        <w:tc>
          <w:tcPr>
            <w:tcW w:w="744" w:type="dxa"/>
            <w:vAlign w:val="center"/>
          </w:tcPr>
          <w:p>
            <w:pPr>
              <w:pStyle w:val="178"/>
              <w:jc w:val="left"/>
              <w:rPr>
                <w:color w:val="000000" w:themeColor="text1"/>
                <w14:textFill>
                  <w14:solidFill>
                    <w14:schemeClr w14:val="tx1"/>
                  </w14:solidFill>
                </w14:textFill>
              </w:rPr>
            </w:pPr>
            <w:bookmarkStart w:id="237" w:name="OLE_LINK106"/>
            <w:r>
              <w:rPr>
                <w:rFonts w:hint="eastAsia"/>
                <w:color w:val="000000" w:themeColor="text1"/>
                <w14:textFill>
                  <w14:solidFill>
                    <w14:schemeClr w14:val="tx1"/>
                  </w14:solidFill>
                </w14:textFill>
              </w:rPr>
              <w:t>数字型</w:t>
            </w:r>
            <w:bookmarkEnd w:id="237"/>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人工收费（MTC）的车道数量，用于评估人工收费能力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ETC车道数</w:t>
            </w:r>
          </w:p>
        </w:tc>
        <w:tc>
          <w:tcPr>
            <w:tcW w:w="744" w:type="dxa"/>
            <w:vAlign w:val="center"/>
          </w:tcPr>
          <w:p>
            <w:pPr>
              <w:pStyle w:val="178"/>
              <w:jc w:val="left"/>
              <w:rPr>
                <w:color w:val="000000" w:themeColor="text1"/>
                <w14:textFill>
                  <w14:solidFill>
                    <w14:schemeClr w14:val="tx1"/>
                  </w14:solidFill>
                </w14:textFill>
              </w:rPr>
            </w:pPr>
            <w:bookmarkStart w:id="238" w:name="OLE_LINK107"/>
            <w:r>
              <w:rPr>
                <w:rFonts w:hint="eastAsia"/>
                <w:color w:val="000000" w:themeColor="text1"/>
                <w14:textFill>
                  <w14:solidFill>
                    <w14:schemeClr w14:val="tx1"/>
                  </w14:solidFill>
                </w14:textFill>
              </w:rPr>
              <w:t>数字型</w:t>
            </w:r>
            <w:bookmarkEnd w:id="238"/>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电子不停车收费（ETC）的车道数量，用于评估快速通行能力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混合车道数</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同时支持 ETC与MTC的车道数量，用于灵活调配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下行入口朝向</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如“宁波→娄底方向”；与上行入口朝向对应，避免车流交汇冲突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上行入口朝向</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如“娄底→宁波方向”；与下行入口朝向对应，避免车流交汇冲突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bookmarkStart w:id="239" w:name="_Hlk232434014"/>
            <w:r>
              <w:rPr>
                <w:rFonts w:hint="eastAsia"/>
                <w:color w:val="000000" w:themeColor="text1"/>
                <w14:textFill>
                  <w14:solidFill>
                    <w14:schemeClr w14:val="tx1"/>
                  </w14:solidFill>
                </w14:textFill>
              </w:rPr>
              <w:t>15</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照片存储地址</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记录存储图片的访问地址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c>
          <w:tcPr>
            <w:tcW w:w="55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管理单位名称</w:t>
            </w:r>
          </w:p>
        </w:tc>
        <w:tc>
          <w:tcPr>
            <w:tcW w:w="7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收费站日常管理责任单位的全称</w:t>
            </w:r>
          </w:p>
        </w:tc>
      </w:tr>
      <w:bookmarkEnd w:id="239"/>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收费站车道信息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收费站车道信息采集数据项见表A.10。</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收费站车道信息采集数据项</w:t>
      </w:r>
    </w:p>
    <w:tbl>
      <w:tblPr>
        <w:tblStyle w:val="33"/>
        <w:tblW w:w="954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99"/>
        <w:gridCol w:w="1167"/>
        <w:gridCol w:w="846"/>
        <w:gridCol w:w="68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6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4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3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67" w:type="dxa"/>
            <w:tcBorders>
              <w:top w:val="single" w:color="auto" w:sz="8" w:space="0"/>
            </w:tcBorders>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收费站编号</w:t>
            </w:r>
          </w:p>
        </w:tc>
        <w:tc>
          <w:tcPr>
            <w:tcW w:w="846" w:type="dxa"/>
            <w:tcBorders>
              <w:top w:val="single" w:color="auto" w:sz="8" w:space="0"/>
            </w:tcBorders>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字符型</w:t>
            </w:r>
          </w:p>
        </w:tc>
        <w:tc>
          <w:tcPr>
            <w:tcW w:w="6833" w:type="dxa"/>
            <w:tcBorders>
              <w:top w:val="single" w:color="auto" w:sz="8" w:space="0"/>
            </w:tcBorders>
            <w:vAlign w:val="center"/>
          </w:tcPr>
          <w:p>
            <w:pPr>
              <w:pStyle w:val="178"/>
              <w:jc w:val="left"/>
              <w:rPr>
                <w:color w:val="000000" w:themeColor="text1"/>
                <w:highlight w:val="yellow"/>
                <w14:textFill>
                  <w14:solidFill>
                    <w14:schemeClr w14:val="tx1"/>
                  </w14:solidFill>
                </w14:textFill>
              </w:rPr>
            </w:pPr>
            <w:r>
              <w:rPr>
                <w:color w:val="000000" w:themeColor="text1"/>
                <w14:textFill>
                  <w14:solidFill>
                    <w14:schemeClr w14:val="tx1"/>
                  </w14:solidFill>
                </w14:textFill>
              </w:rPr>
              <w:t>标识</w:t>
            </w:r>
            <w:r>
              <w:rPr>
                <w:rFonts w:hint="eastAsia"/>
                <w:color w:val="000000" w:themeColor="text1"/>
                <w14:textFill>
                  <w14:solidFill>
                    <w14:schemeClr w14:val="tx1"/>
                  </w14:solidFill>
                </w14:textFill>
              </w:rPr>
              <w:t>收费站</w:t>
            </w:r>
            <w:r>
              <w:rPr>
                <w:color w:val="000000" w:themeColor="text1"/>
                <w14:textFill>
                  <w14:solidFill>
                    <w14:schemeClr w14:val="tx1"/>
                  </w14:solidFill>
                </w14:textFill>
              </w:rPr>
              <w:t>唯一性的</w:t>
            </w:r>
            <w:r>
              <w:rPr>
                <w:rFonts w:hint="eastAsia"/>
                <w:color w:val="000000" w:themeColor="text1"/>
                <w14:textFill>
                  <w14:solidFill>
                    <w14:schemeClr w14:val="tx1"/>
                  </w14:solidFill>
                </w14:textFill>
              </w:rPr>
              <w:t>编码，具体规则见JT/T 132—2014的5.5.8.1，关联收费系统账号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67"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收费站名称</w:t>
            </w:r>
          </w:p>
        </w:tc>
        <w:tc>
          <w:tcPr>
            <w:tcW w:w="846"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字符型</w:t>
            </w:r>
          </w:p>
        </w:tc>
        <w:tc>
          <w:tcPr>
            <w:tcW w:w="6833"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包含行政区划和地理标识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6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车道编号</w:t>
            </w:r>
          </w:p>
        </w:tc>
        <w:tc>
          <w:tcPr>
            <w:tcW w:w="84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标识单条车道唯一性的代码，关联收费设备（如 ETC 天线、收费终端）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6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车道名称</w:t>
            </w:r>
          </w:p>
        </w:tc>
        <w:tc>
          <w:tcPr>
            <w:tcW w:w="84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包含车道所属收费站、类型与序号，如“G4临湘收费站 ETC入口01车道”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6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车道类型</w:t>
            </w:r>
          </w:p>
        </w:tc>
        <w:tc>
          <w:tcPr>
            <w:tcW w:w="84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类型包括“ETC入口”“ETC出口”“MTC入口”“MTC出口”“ETC/MTC混合入口”“ETC/MTC混合出口”等；明确车道功能，用于收费模式切换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6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车道位置描述</w:t>
            </w:r>
          </w:p>
        </w:tc>
        <w:tc>
          <w:tcPr>
            <w:tcW w:w="84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 “收费站东侧从左数第1条”；精准描述车道在收费站内的物理位置，便于设备维修定位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6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车道启用日期</w:t>
            </w:r>
          </w:p>
        </w:tc>
        <w:tc>
          <w:tcPr>
            <w:tcW w:w="84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8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YYYYMMDD；用于计算车道使用年限，关联设备维保周期</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服务区基础信息采集数据项见表A.11。</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服务区基础信息采集数据项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76"/>
        <w:gridCol w:w="992"/>
        <w:gridCol w:w="6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7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bookmarkStart w:id="240" w:name="_Hlk232435126"/>
            <w:r>
              <w:rPr>
                <w:rFonts w:hint="eastAsia"/>
                <w:color w:val="000000" w:themeColor="text1"/>
                <w14:textFill>
                  <w14:solidFill>
                    <w14:schemeClr w14:val="tx1"/>
                  </w14:solidFill>
                </w14:textFill>
              </w:rPr>
              <w:t>1</w:t>
            </w:r>
          </w:p>
        </w:tc>
        <w:tc>
          <w:tcPr>
            <w:tcW w:w="127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99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如“G4”，关联收费站所属路线，编号具体见GB/T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bookmarkStart w:id="241" w:name="_Hlk232435714"/>
            <w:r>
              <w:rPr>
                <w:rFonts w:hint="eastAsia"/>
                <w:color w:val="000000" w:themeColor="text1"/>
                <w14:textFill>
                  <w14:solidFill>
                    <w14:schemeClr w14:val="tx1"/>
                  </w14:solidFill>
                </w14:textFill>
              </w:rPr>
              <w:t>2</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bookmarkEnd w:id="240"/>
      <w:bookmarkEnd w:id="241"/>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服务区编号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标识服务区</w:t>
            </w:r>
            <w:bookmarkStart w:id="242" w:name="OLE_LINK125"/>
            <w:r>
              <w:rPr>
                <w:color w:val="000000" w:themeColor="text1"/>
                <w14:textFill>
                  <w14:solidFill>
                    <w14:schemeClr w14:val="tx1"/>
                  </w14:solidFill>
                </w14:textFill>
              </w:rPr>
              <w:t>唯一性的代码</w:t>
            </w:r>
            <w:bookmarkEnd w:id="242"/>
            <w:r>
              <w:rPr>
                <w:rFonts w:hint="eastAsia"/>
                <w:color w:val="000000" w:themeColor="text1"/>
                <w14:textFill>
                  <w14:solidFill>
                    <w14:schemeClr w14:val="tx1"/>
                  </w14:solidFill>
                </w14:textFill>
              </w:rPr>
              <w:t>，关联服务质量考核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服务区名称</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包含地理标识，如“宜章服务区”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服务区桩号</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千米（km）</w:t>
            </w:r>
            <w:r>
              <w:rPr>
                <w:rFonts w:hint="eastAsia"/>
                <w:color w:val="000000" w:themeColor="text1"/>
                <w14:textFill>
                  <w14:solidFill>
                    <w14:schemeClr w14:val="tx1"/>
                  </w14:solidFill>
                </w14:textFill>
              </w:rPr>
              <w:t>，服务区所在位置对应的里程桩号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保留6位小数，定位服务区主楼中心位置，与纬度配合实现GIS地图标注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保留6位小数，定位服务区主楼中心位置，与经度配合实现GIS地图标注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服务区方向</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路线方向</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如“北京→澳门方向”；明确服务区所在路线的车流走向，与服务区方向属性配合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提供服务类型</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如“加油（XXX / XXX）、餐饮（西点/ 中式快餐）、超市、卫生间、充电桩、汽车修理、停车”；明确服务区功能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图片存储地址</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存储服务区图片的访问地址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管理单位名称</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服务区日常运营管理单位的全称</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应急仓库基础信息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应急仓库基础信息采集数据项见表A.12。</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应急仓库基础信息采集数据项</w:t>
      </w:r>
    </w:p>
    <w:tbl>
      <w:tblPr>
        <w:tblStyle w:val="33"/>
        <w:tblW w:w="937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34"/>
        <w:gridCol w:w="1333"/>
        <w:gridCol w:w="865"/>
        <w:gridCol w:w="66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3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6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3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33"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65"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38"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如“G4”，编号具体见GB/T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3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86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3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33" w:type="dxa"/>
            <w:vAlign w:val="center"/>
          </w:tcPr>
          <w:p>
            <w:pPr>
              <w:pStyle w:val="178"/>
              <w:jc w:val="left"/>
              <w:rPr>
                <w:color w:val="000000" w:themeColor="text1"/>
                <w14:textFill>
                  <w14:solidFill>
                    <w14:schemeClr w14:val="tx1"/>
                  </w14:solidFill>
                </w14:textFill>
              </w:rPr>
            </w:pPr>
            <w:bookmarkStart w:id="243" w:name="OLE_LINK230"/>
            <w:r>
              <w:rPr>
                <w:rFonts w:hint="eastAsia"/>
                <w:color w:val="000000" w:themeColor="text1"/>
                <w14:textFill>
                  <w14:solidFill>
                    <w14:schemeClr w14:val="tx1"/>
                  </w14:solidFill>
                </w14:textFill>
              </w:rPr>
              <w:t>仓库编号</w:t>
            </w:r>
            <w:bookmarkEnd w:id="243"/>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标识仓库唯一性的代码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仓库名称</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仓库的具体名称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38"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单位千米（km），标记应急仓库</w:t>
            </w:r>
            <w:r>
              <w:rPr>
                <w:rFonts w:hint="eastAsia"/>
                <w:color w:val="000000" w:themeColor="text1"/>
                <w14:textFill>
                  <w14:solidFill>
                    <w14:schemeClr w14:val="tx1"/>
                  </w14:solidFill>
                </w14:textFill>
              </w:rPr>
              <w:t>所在位置对应的</w:t>
            </w:r>
            <w:r>
              <w:rPr>
                <w:rFonts w:hint="eastAsia" w:hAnsi="宋体"/>
                <w:color w:val="000000" w:themeColor="text1"/>
                <w:szCs w:val="18"/>
                <w14:textFill>
                  <w14:solidFill>
                    <w14:schemeClr w14:val="tx1"/>
                  </w14:solidFill>
                </w14:textFill>
              </w:rPr>
              <w:t>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保留6位小数，定位应急仓库在地图上的位置，与纬度配合用于导航搜索与地图标注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保留6位小数，定位应急仓库在地图上的位置，与经度配合用于导航搜索与地图标注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仓库方向</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仓库摄像机编号</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仓库有摄像机时用于标识仓库摄像机的唯一代码，多个用“，”分割，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33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负责人信息</w:t>
            </w:r>
          </w:p>
        </w:tc>
        <w:tc>
          <w:tcPr>
            <w:tcW w:w="86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记录“仓库负责人姓名+联系方式”</w:t>
            </w:r>
          </w:p>
        </w:tc>
      </w:tr>
    </w:tbl>
    <w:p>
      <w:pPr>
        <w:pStyle w:val="56"/>
        <w:ind w:firstLine="0" w:firstLineChars="0"/>
        <w:rPr>
          <w:rFonts w:eastAsia="黑体"/>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物资分类基础信息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物资分类基础信息数据项见表A.13。</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物资分类基础信息数据项</w:t>
      </w:r>
    </w:p>
    <w:tbl>
      <w:tblPr>
        <w:tblStyle w:val="33"/>
        <w:tblW w:w="961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2"/>
        <w:gridCol w:w="1495"/>
        <w:gridCol w:w="756"/>
        <w:gridCol w:w="69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95"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75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91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9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物资一级分类编号</w:t>
            </w:r>
          </w:p>
        </w:tc>
        <w:tc>
          <w:tcPr>
            <w:tcW w:w="75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标识物资一级分类唯一性的代码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物资一级分类名称</w:t>
            </w:r>
          </w:p>
        </w:tc>
        <w:tc>
          <w:tcPr>
            <w:tcW w:w="7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如：“融雪除冰物资、消防应急器材、道路清障设备、医疗急救物资、安全防护装备”等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物资二级分类编号</w:t>
            </w:r>
          </w:p>
        </w:tc>
        <w:tc>
          <w:tcPr>
            <w:tcW w:w="7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标识物资二级分类唯一性的代码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物资二级分类名称</w:t>
            </w:r>
          </w:p>
        </w:tc>
        <w:tc>
          <w:tcPr>
            <w:tcW w:w="7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物资一级分类的细分，如：“防护装备下分反光背心、安全锥、防滑链等”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计量单位</w:t>
            </w:r>
          </w:p>
        </w:tc>
        <w:tc>
          <w:tcPr>
            <w:tcW w:w="7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物资计量单位的名称，如：“件、套、吨、台、箱等”，用于库存数量统计计算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存放库区规范</w:t>
            </w:r>
          </w:p>
        </w:tc>
        <w:tc>
          <w:tcPr>
            <w:tcW w:w="7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区分普通仓储、危化品隔离仓、恒温存储区等不同仓库的存放要求</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无人机基础信息采集数据项见表A.14。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无人机基础信息采集数据项</w:t>
      </w:r>
    </w:p>
    <w:tbl>
      <w:tblPr>
        <w:tblStyle w:val="33"/>
        <w:tblW w:w="920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87"/>
        <w:gridCol w:w="850"/>
        <w:gridCol w:w="6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8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8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无人机</w:t>
            </w:r>
            <w:bookmarkStart w:id="244" w:name="OLE_LINK126"/>
            <w:r>
              <w:rPr>
                <w:rFonts w:hint="eastAsia"/>
                <w:color w:val="000000" w:themeColor="text1"/>
                <w14:textFill>
                  <w14:solidFill>
                    <w14:schemeClr w14:val="tx1"/>
                  </w14:solidFill>
                </w14:textFill>
              </w:rPr>
              <w:t>编号</w:t>
            </w:r>
            <w:bookmarkEnd w:id="244"/>
          </w:p>
        </w:tc>
        <w:tc>
          <w:tcPr>
            <w:tcW w:w="85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标识无人机唯一性的代码，如“UAV-G60-001，UAV代表无人机”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无人机型号</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明确设备性能参数基准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机巢编号</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标识机巢唯一性的代码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荷载类型</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按监测功能分类，如“光学摄像+红外热成像”、“激光雷达+多光谱相机”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续航时间</w:t>
            </w:r>
          </w:p>
        </w:tc>
        <w:tc>
          <w:tcPr>
            <w:tcW w:w="850" w:type="dxa"/>
            <w:vAlign w:val="center"/>
          </w:tcPr>
          <w:p>
            <w:pPr>
              <w:pStyle w:val="178"/>
              <w:jc w:val="left"/>
              <w:rPr>
                <w:color w:val="000000" w:themeColor="text1"/>
                <w14:textFill>
                  <w14:solidFill>
                    <w14:schemeClr w14:val="tx1"/>
                  </w14:solidFill>
                </w14:textFill>
              </w:rPr>
            </w:pPr>
            <w:bookmarkStart w:id="245" w:name="OLE_LINK99"/>
            <w:r>
              <w:rPr>
                <w:rFonts w:hint="eastAsia"/>
                <w:color w:val="000000" w:themeColor="text1"/>
                <w14:textFill>
                  <w14:solidFill>
                    <w14:schemeClr w14:val="tx1"/>
                  </w14:solidFill>
                </w14:textFill>
              </w:rPr>
              <w:t>数字型</w:t>
            </w:r>
            <w:bookmarkEnd w:id="245"/>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单位：分钟（min）,满载工况下续航，用于规划单次飞行任务时长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最大飞行半径</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单位：千米（km）,结合基站位置确定监测覆盖范围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作业高度范围</w:t>
            </w:r>
          </w:p>
        </w:tc>
        <w:tc>
          <w:tcPr>
            <w:tcW w:w="850"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单位：米（m），限制飞行高度，避免干扰民航或触及限高区域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注册编号</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注册编号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购置日期</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YYYYMMDD，用于计算设备折旧与维护周期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归属单位</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管理单位全称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责任人信息</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记录“责任人姓名+联系方式”</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无人机机巢基础信息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无人机机巢基础信息采集数据项见表A.15。</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无人机巢基础信息采集数据项</w:t>
      </w:r>
    </w:p>
    <w:tbl>
      <w:tblPr>
        <w:tblStyle w:val="33"/>
        <w:tblW w:w="920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87"/>
        <w:gridCol w:w="850"/>
        <w:gridCol w:w="6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8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8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机巢编号</w:t>
            </w:r>
          </w:p>
        </w:tc>
        <w:tc>
          <w:tcPr>
            <w:tcW w:w="85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标识机巢唯一性的代码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机巢名称</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行政区划代码</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保留6位小数，定位无人机巢位置，与纬度配合实现GIS地图标注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保留6位小数，定位无人机巢位置，与经度配合实现GIS地图标注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海拔高度</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单位：米（m），保留2位小数，定位无人机巢安装海拔高度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网络类型</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1-移动通信网络，2-以太网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机巢运维单位</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设备长期管护责任单位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运维对接人信息</w:t>
            </w:r>
          </w:p>
        </w:tc>
        <w:tc>
          <w:tcPr>
            <w:tcW w:w="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记录“运维单位固定对接负责人+固定联系号码”</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摄像头信息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摄像头信息采集数据项见表A.16。</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摄像头信息采集数据项</w:t>
      </w:r>
    </w:p>
    <w:tbl>
      <w:tblPr>
        <w:tblStyle w:val="33"/>
        <w:tblW w:w="921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09"/>
        <w:gridCol w:w="1134"/>
        <w:gridCol w:w="851"/>
        <w:gridCol w:w="65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7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2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5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如“G60”，关联摄像头所属路线，</w:t>
            </w:r>
            <w:bookmarkStart w:id="246" w:name="OLE_LINK72"/>
            <w:r>
              <w:rPr>
                <w:rFonts w:hint="eastAsia"/>
                <w:color w:val="000000" w:themeColor="text1"/>
                <w14:textFill>
                  <w14:solidFill>
                    <w14:schemeClr w14:val="tx1"/>
                  </w14:solidFill>
                </w14:textFill>
              </w:rPr>
              <w:t>编号具体见GB/T 917</w:t>
            </w:r>
            <w:bookmarkEnd w:id="24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4"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行政区划代码</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关联到县市区级,代码具体见GB/T 2260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摄像机编号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标识摄像头唯一性的代码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摄像机名称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名称包含“路线编号+桩号+位置+路线方向”，直观标识摄像头位置与方向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0" w:type="dxa"/>
            <w:vAlign w:val="center"/>
          </w:tcPr>
          <w:p>
            <w:pPr>
              <w:pStyle w:val="178"/>
              <w:jc w:val="left"/>
              <w:rPr>
                <w:color w:val="000000" w:themeColor="text1"/>
                <w14:textFill>
                  <w14:solidFill>
                    <w14:schemeClr w14:val="tx1"/>
                  </w14:solidFill>
                </w14:textFill>
              </w:rPr>
            </w:pPr>
            <w:bookmarkStart w:id="247" w:name="OLE_LINK79"/>
            <w:r>
              <w:rPr>
                <w:rFonts w:hint="eastAsia"/>
                <w:color w:val="000000" w:themeColor="text1"/>
                <w14:textFill>
                  <w14:solidFill>
                    <w14:schemeClr w14:val="tx1"/>
                  </w14:solidFill>
                </w14:textFill>
              </w:rPr>
              <w:t>单位：千米（km），</w:t>
            </w:r>
            <w:bookmarkEnd w:id="247"/>
            <w:r>
              <w:rPr>
                <w:rFonts w:hint="eastAsia"/>
                <w:color w:val="000000" w:themeColor="text1"/>
                <w14:textFill>
                  <w14:solidFill>
                    <w14:schemeClr w14:val="tx1"/>
                  </w14:solidFill>
                </w14:textFill>
              </w:rPr>
              <w:t>摄像头安装位置所对应的里程桩号，便于事件定位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bookmarkStart w:id="248" w:name="_Hlk232087346"/>
            <w:r>
              <w:rPr>
                <w:rFonts w:hint="eastAsia"/>
                <w:color w:val="000000" w:themeColor="text1"/>
                <w14:textFill>
                  <w14:solidFill>
                    <w14:schemeClr w14:val="tx1"/>
                  </w14:solidFill>
                </w14:textFill>
              </w:rPr>
              <w:t>6</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保留6位小数，定位摄像头安装位置，与纬度配合实现GIS地图标注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保留6位小数，定位摄像头安装位置，与经度配合实现GIS地图标注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路线方向</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w:t>
            </w:r>
          </w:p>
        </w:tc>
      </w:tr>
      <w:bookmarkEnd w:id="24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摄像机类别</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如“固定枪机”“球机”“全景摄像机”,区分摄像头类型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是否云台控制</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布尔型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0-否，1-是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地图开始级别</w:t>
            </w:r>
          </w:p>
        </w:tc>
        <w:tc>
          <w:tcPr>
            <w:tcW w:w="851" w:type="dxa"/>
            <w:vAlign w:val="center"/>
          </w:tcPr>
          <w:p>
            <w:pPr>
              <w:pStyle w:val="178"/>
              <w:jc w:val="left"/>
              <w:rPr>
                <w:color w:val="000000" w:themeColor="text1"/>
                <w14:textFill>
                  <w14:solidFill>
                    <w14:schemeClr w14:val="tx1"/>
                  </w14:solidFill>
                </w14:textFill>
              </w:rPr>
            </w:pPr>
            <w:bookmarkStart w:id="249" w:name="OLE_LINK70"/>
            <w:r>
              <w:rPr>
                <w:rFonts w:hint="eastAsia"/>
                <w:color w:val="000000" w:themeColor="text1"/>
                <w14:textFill>
                  <w14:solidFill>
                    <w14:schemeClr w14:val="tx1"/>
                  </w14:solidFill>
                </w14:textFill>
              </w:rPr>
              <w:t>数字型</w:t>
            </w:r>
            <w:bookmarkEnd w:id="249"/>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GIS地图缩放级别，级别越高越精细；控制地图加载摄像头图标的最小缩放比例，超出范围隐藏图标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地图结束级别</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GIS地图缩放级别，级别越高越精细；控制地图加载摄像头图标的最大缩放比例，超出范围隐藏图标</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情报板信息</w:t>
      </w:r>
    </w:p>
    <w:p>
      <w:pPr>
        <w:pStyle w:val="56"/>
        <w:ind w:firstLine="420"/>
        <w:rPr>
          <w:color w:val="000000" w:themeColor="text1"/>
          <w14:textFill>
            <w14:solidFill>
              <w14:schemeClr w14:val="tx1"/>
            </w14:solidFill>
          </w14:textFill>
        </w:rPr>
      </w:pPr>
      <w:bookmarkStart w:id="250" w:name="OLE_LINK13"/>
      <w:r>
        <w:rPr>
          <w:rFonts w:hint="eastAsia"/>
          <w:color w:val="000000" w:themeColor="text1"/>
          <w14:textFill>
            <w14:solidFill>
              <w14:schemeClr w14:val="tx1"/>
            </w14:solidFill>
          </w14:textFill>
        </w:rPr>
        <w:t>情报板信息采集数据项</w:t>
      </w:r>
      <w:bookmarkEnd w:id="250"/>
      <w:r>
        <w:rPr>
          <w:rFonts w:hint="eastAsia"/>
          <w:color w:val="000000" w:themeColor="text1"/>
          <w14:textFill>
            <w14:solidFill>
              <w14:schemeClr w14:val="tx1"/>
            </w14:solidFill>
          </w14:textFill>
        </w:rPr>
        <w:t>见表A.17。</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情报板信息采集数据项</w:t>
      </w:r>
    </w:p>
    <w:tbl>
      <w:tblPr>
        <w:tblStyle w:val="33"/>
        <w:tblW w:w="929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81"/>
        <w:gridCol w:w="1085"/>
        <w:gridCol w:w="773"/>
        <w:gridCol w:w="69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8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08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77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95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tcBorders>
              <w:top w:val="single" w:color="auto" w:sz="8" w:space="0"/>
            </w:tcBorders>
            <w:vAlign w:val="center"/>
          </w:tcPr>
          <w:p>
            <w:pPr>
              <w:pStyle w:val="178"/>
              <w:rPr>
                <w:color w:val="000000" w:themeColor="text1"/>
                <w14:textFill>
                  <w14:solidFill>
                    <w14:schemeClr w14:val="tx1"/>
                  </w14:solidFill>
                </w14:textFill>
              </w:rPr>
            </w:pPr>
            <w:bookmarkStart w:id="251" w:name="_Hlk232427442"/>
            <w:r>
              <w:rPr>
                <w:rFonts w:hint="eastAsia"/>
                <w:color w:val="000000" w:themeColor="text1"/>
                <w14:textFill>
                  <w14:solidFill>
                    <w14:schemeClr w14:val="tx1"/>
                  </w14:solidFill>
                </w14:textFill>
              </w:rPr>
              <w:t>1</w:t>
            </w:r>
          </w:p>
        </w:tc>
        <w:tc>
          <w:tcPr>
            <w:tcW w:w="108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77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5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如“G60”，关联情报板所属路线，编号具体见GB/T 917</w:t>
            </w:r>
          </w:p>
        </w:tc>
      </w:tr>
      <w:bookmarkEnd w:id="251"/>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情报板编码</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标识情报板唯一性的代码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情报板名称</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名称包含路线编号+桩号+路线方向+设备类型；直观标识位置与类型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单位：千米（km），情报板安装位置所对应的里程桩号，便于定向发布路段信息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保留6位小数，定位情报板位置，与纬度配合实现GIS地图标注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保留6位小数，定位情报板位置，与经度配合实现GIS地图标注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085"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路线方向</w:t>
            </w:r>
          </w:p>
        </w:tc>
        <w:tc>
          <w:tcPr>
            <w:tcW w:w="773"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字符型</w:t>
            </w:r>
          </w:p>
        </w:tc>
        <w:tc>
          <w:tcPr>
            <w:tcW w:w="6956" w:type="dxa"/>
            <w:vAlign w:val="center"/>
          </w:tcPr>
          <w:p>
            <w:pPr>
              <w:pStyle w:val="178"/>
              <w:jc w:val="left"/>
              <w:rPr>
                <w:color w:val="000000" w:themeColor="text1"/>
                <w14:textFill>
                  <w14:solidFill>
                    <w14:schemeClr w14:val="tx1"/>
                  </w14:solidFill>
                </w14:textFill>
              </w:rPr>
            </w:pPr>
            <w:r>
              <w:rPr>
                <w:rFonts w:hint="eastAsia" w:hAnsi="宋体"/>
                <w:color w:val="000000" w:themeColor="text1"/>
                <w:szCs w:val="18"/>
                <w14:textFill>
                  <w14:solidFill>
                    <w14:schemeClr w14:val="tx1"/>
                  </w14:solidFill>
                </w14:textFill>
              </w:rPr>
              <w:t>1-上行，2-下行，3-双向，</w:t>
            </w:r>
            <w:r>
              <w:rPr>
                <w:rFonts w:hint="eastAsia"/>
                <w:color w:val="000000" w:themeColor="text1"/>
                <w14:textFill>
                  <w14:solidFill>
                    <w14:schemeClr w14:val="tx1"/>
                  </w14:solidFill>
                </w14:textFill>
              </w:rPr>
              <w:t>明确情报板面向的车流方向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设备类型</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按JT/T 132，类型包括门架式、悬臂式、立柱式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情报板分类</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按应用场景分类，如“服务区情报板、收费车道情报板”，应用场景具体见JT/T 1389.2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情报板宽度</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单位：米（m），情报板横向尺寸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情报板高度</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单位：米（m），情报板纵向尺寸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08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支持字号</w:t>
            </w:r>
          </w:p>
        </w:tc>
        <w:tc>
          <w:tcPr>
            <w:tcW w:w="7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5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如“24号～48号”；明确可显示的字体大小范围</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温湿度基础信息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温湿度仪基础信息采集数据项见表A.18。</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温湿度仪基础信息采集数据项</w:t>
      </w:r>
    </w:p>
    <w:p>
      <w:pPr>
        <w:pStyle w:val="56"/>
        <w:ind w:firstLine="420"/>
        <w:rPr>
          <w:color w:val="000000" w:themeColor="text1"/>
          <w14:textFill>
            <w14:solidFill>
              <w14:schemeClr w14:val="tx1"/>
            </w14:solidFill>
          </w14:textFill>
        </w:rPr>
      </w:pPr>
    </w:p>
    <w:tbl>
      <w:tblPr>
        <w:tblStyle w:val="33"/>
        <w:tblW w:w="966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99"/>
        <w:gridCol w:w="1559"/>
        <w:gridCol w:w="851"/>
        <w:gridCol w:w="655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55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5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路线编号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如“G4”，关联</w:t>
            </w:r>
            <w:bookmarkStart w:id="252" w:name="OLE_LINK122"/>
            <w:r>
              <w:rPr>
                <w:rFonts w:hint="eastAsia"/>
                <w:color w:val="000000" w:themeColor="text1"/>
                <w14:textFill>
                  <w14:solidFill>
                    <w14:schemeClr w14:val="tx1"/>
                  </w14:solidFill>
                </w14:textFill>
              </w:rPr>
              <w:t>温湿度仪</w:t>
            </w:r>
            <w:bookmarkEnd w:id="252"/>
            <w:r>
              <w:rPr>
                <w:rFonts w:hint="eastAsia"/>
                <w:color w:val="000000" w:themeColor="text1"/>
                <w14:textFill>
                  <w14:solidFill>
                    <w14:schemeClr w14:val="tx1"/>
                  </w14:solidFill>
                </w14:textFill>
              </w:rPr>
              <w:t xml:space="preserve">所属路线，编号具体见GB/T 917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设备编码</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标识设备</w:t>
            </w:r>
            <w:r>
              <w:rPr>
                <w:color w:val="000000" w:themeColor="text1"/>
                <w14:textFill>
                  <w14:solidFill>
                    <w14:schemeClr w14:val="tx1"/>
                  </w14:solidFill>
                </w14:textFill>
              </w:rPr>
              <w:t>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bookmarkStart w:id="253" w:name="_Hlk232435614"/>
            <w:r>
              <w:rPr>
                <w:rFonts w:hint="eastAsia"/>
                <w:color w:val="000000" w:themeColor="text1"/>
                <w14:textFill>
                  <w14:solidFill>
                    <w14:schemeClr w14:val="tx1"/>
                  </w14:solidFill>
                </w14:textFill>
              </w:rPr>
              <w:t>3</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设备名称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设备的具体名称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桩号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单位：千米（km），温湿度仪所在位置对应的里程桩号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58" w:type="dxa"/>
            <w:vAlign w:val="center"/>
          </w:tcPr>
          <w:p>
            <w:pPr>
              <w:pStyle w:val="178"/>
              <w:jc w:val="left"/>
              <w:rPr>
                <w:color w:val="000000" w:themeColor="text1"/>
                <w14:textFill>
                  <w14:solidFill>
                    <w14:schemeClr w14:val="tx1"/>
                  </w14:solidFill>
                </w14:textFill>
              </w:rPr>
            </w:pPr>
            <w:bookmarkStart w:id="254" w:name="OLE_LINK130"/>
            <w:r>
              <w:rPr>
                <w:rFonts w:hint="eastAsia"/>
                <w:color w:val="000000" w:themeColor="text1"/>
                <w14:textFill>
                  <w14:solidFill>
                    <w14:schemeClr w14:val="tx1"/>
                  </w14:solidFill>
                </w14:textFill>
              </w:rPr>
              <w:t>保留6位小数</w:t>
            </w:r>
            <w:bookmarkEnd w:id="254"/>
            <w:bookmarkStart w:id="255" w:name="OLE_LINK124"/>
            <w:r>
              <w:rPr>
                <w:rFonts w:hint="eastAsia"/>
                <w:color w:val="000000" w:themeColor="text1"/>
                <w14:textFill>
                  <w14:solidFill>
                    <w14:schemeClr w14:val="tx1"/>
                  </w14:solidFill>
                </w14:textFill>
              </w:rPr>
              <w:t>，与纬度配合定位温湿度仪位置</w:t>
            </w:r>
            <w:bookmarkEnd w:id="255"/>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保留6位小数，与经度配合定位温湿度仪位置</w:t>
            </w:r>
          </w:p>
        </w:tc>
      </w:tr>
      <w:bookmarkEnd w:id="253"/>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设备型号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记录设备型号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5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安装方向</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1-上行、2-下行</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气象监测设备基础信息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气象监测设备基础信息数据项见表A.19。</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气象监测设备基础信息数据项</w:t>
      </w:r>
    </w:p>
    <w:tbl>
      <w:tblPr>
        <w:tblStyle w:val="33"/>
        <w:tblW w:w="961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2"/>
        <w:gridCol w:w="1239"/>
        <w:gridCol w:w="851"/>
        <w:gridCol w:w="70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3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7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3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85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标识气象监测终端唯一性的代码，关联气象报警全流程数据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设备类型</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如：能见度仪、风速风向仪、温湿度传感器、路面结冰监测仪、雨量计等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设备名称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包含位置、设备具体名称，如：G60 湘乡东服务区大雾监测终端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39"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经度</w:t>
            </w:r>
          </w:p>
        </w:tc>
        <w:tc>
          <w:tcPr>
            <w:tcW w:w="851"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数字型</w:t>
            </w:r>
          </w:p>
        </w:tc>
        <w:tc>
          <w:tcPr>
            <w:tcW w:w="7077"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保留6位小数，与纬度配合定位监测设备位置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39"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纬度</w:t>
            </w:r>
          </w:p>
        </w:tc>
        <w:tc>
          <w:tcPr>
            <w:tcW w:w="851"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数字型</w:t>
            </w:r>
          </w:p>
        </w:tc>
        <w:tc>
          <w:tcPr>
            <w:tcW w:w="7077" w:type="dxa"/>
            <w:vAlign w:val="center"/>
          </w:tcPr>
          <w:p>
            <w:pPr>
              <w:pStyle w:val="178"/>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保留6位小数，与经度配合定位监测设备位置</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车辆信息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车辆信息采集数据项见表A.20。</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车辆信息（救援/应急/养护/路产）采集数据项</w:t>
      </w:r>
    </w:p>
    <w:tbl>
      <w:tblPr>
        <w:tblStyle w:val="33"/>
        <w:tblW w:w="920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70"/>
        <w:gridCol w:w="1713"/>
        <w:gridCol w:w="825"/>
        <w:gridCol w:w="61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70" w:type="dxa"/>
            <w:tcBorders>
              <w:top w:val="single" w:color="auto" w:sz="8" w:space="0"/>
              <w:bottom w:val="single" w:color="auto" w:sz="8" w:space="0"/>
            </w:tcBorders>
          </w:tcPr>
          <w:p>
            <w:pPr>
              <w:pStyle w:val="178"/>
              <w:rPr>
                <w:color w:val="000000" w:themeColor="text1"/>
                <w14:textFill>
                  <w14:solidFill>
                    <w14:schemeClr w14:val="tx1"/>
                  </w14:solidFill>
                </w14:textFill>
              </w:rPr>
            </w:pPr>
            <w:bookmarkStart w:id="256" w:name="OLE_LINK117"/>
            <w:r>
              <w:rPr>
                <w:rFonts w:hint="eastAsia"/>
                <w:color w:val="000000" w:themeColor="text1"/>
                <w14:textFill>
                  <w14:solidFill>
                    <w14:schemeClr w14:val="tx1"/>
                  </w14:solidFill>
                </w14:textFill>
              </w:rPr>
              <w:t>序号</w:t>
            </w:r>
          </w:p>
        </w:tc>
        <w:tc>
          <w:tcPr>
            <w:tcW w:w="171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2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19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类型包括救援车（拖车/抢修车）、应急车（指挥车/救护车）、养护车（工程车/清扫车）、路产车（巡查车/执法车）等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车辆编号</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标识车辆唯一性的内部代码，规则为“CL-车辆类型-路线编号-序号”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车牌的牌照号码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登记证书编号</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车辆产权唯一编号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行驶证照片存储地址</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存储行驶证照片的访问地址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车辆照片存储地址</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存储车辆照片的访问地址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强制报废日期</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YYYYMMDD，提前6个月触发报废预警，避免超期使用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所属单位</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车辆所属单位全称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所属救援站</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明确车辆归属，避免跨区域调度混乱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7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7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车辆责任人信息</w:t>
            </w:r>
          </w:p>
        </w:tc>
        <w:tc>
          <w:tcPr>
            <w:tcW w:w="8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1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记录“车辆责任人姓名+联系方式”，明确日常管理责任</w:t>
            </w:r>
          </w:p>
        </w:tc>
      </w:tr>
      <w:bookmarkEnd w:id="256"/>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两客一危车辆基础信息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两客一危车辆基础信息采集数据项见表A.21。</w:t>
      </w:r>
    </w:p>
    <w:p>
      <w:pPr>
        <w:pStyle w:val="56"/>
        <w:ind w:firstLine="420"/>
        <w:rPr>
          <w:color w:val="000000" w:themeColor="text1"/>
          <w14:textFill>
            <w14:solidFill>
              <w14:schemeClr w14:val="tx1"/>
            </w14:solidFill>
          </w14:textFill>
        </w:rPr>
      </w:pP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两客一危车辆基础信息采集数据项</w:t>
      </w:r>
    </w:p>
    <w:tbl>
      <w:tblPr>
        <w:tblStyle w:val="33"/>
        <w:tblW w:w="957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46"/>
        <w:gridCol w:w="1771"/>
        <w:gridCol w:w="808"/>
        <w:gridCol w:w="655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4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77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0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5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类型包括“旅游客车”“公路客车”“危险化学品运输车”“烟花爆竹运输车”等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w:t>
            </w:r>
            <w:r>
              <w:rPr>
                <w:color w:val="000000" w:themeColor="text1"/>
                <w14:textFill>
                  <w14:solidFill>
                    <w14:schemeClr w14:val="tx1"/>
                  </w14:solidFill>
                </w14:textFill>
              </w:rPr>
              <w:t>编号</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标识车辆唯一性的代码，关联车辆全生命周期信息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车辆识别VIN码</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17位车辆指定的识别码，用于溯源车辆生产信息（品牌、型号、出厂日期）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卫星定位装置编号</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bookmarkStart w:id="257" w:name="OLE_LINK118"/>
            <w:r>
              <w:rPr>
                <w:rFonts w:hint="eastAsia"/>
                <w:color w:val="000000" w:themeColor="text1"/>
                <w14:textFill>
                  <w14:solidFill>
                    <w14:schemeClr w14:val="tx1"/>
                  </w14:solidFill>
                </w14:textFill>
              </w:rPr>
              <w:t>如“BD-2025XXXX，BD代表北斗定位”，关联轨迹数据采集设备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bookmarkStart w:id="258" w:name="OLE_LINK119"/>
            <w:r>
              <w:rPr>
                <w:rFonts w:hint="eastAsia"/>
                <w:color w:val="000000" w:themeColor="text1"/>
                <w14:textFill>
                  <w14:solidFill>
                    <w14:schemeClr w14:val="tx1"/>
                  </w14:solidFill>
                </w14:textFill>
              </w:rPr>
              <w:t>7</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核定载人数 / 载重量</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超限运输时触发预警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车辆年检有效期</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YYYYMMDD，过期未年检标记 “禁止上路”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所属运输企业</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如“XX 旅游汽车有限公司”“XX 危化品运输集团”，关联企业资质信息</w:t>
            </w:r>
          </w:p>
        </w:tc>
      </w:tr>
      <w:bookmarkEnd w:id="25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驾驶员信息</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记录“驾驶员姓名+驾驶证号”，绑定驾驶资质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7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应急联系人信息</w:t>
            </w:r>
          </w:p>
        </w:tc>
        <w:tc>
          <w:tcPr>
            <w:tcW w:w="8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记录“应急联系人</w:t>
            </w:r>
            <w:r>
              <w:rPr>
                <w:color w:val="000000" w:themeColor="text1"/>
                <w14:textFill>
                  <w14:solidFill>
                    <w14:schemeClr w14:val="tx1"/>
                  </w14:solidFill>
                </w14:textFill>
              </w:rPr>
              <w:t>姓名+联系方式</w:t>
            </w:r>
            <w:r>
              <w:rPr>
                <w:rFonts w:hint="eastAsia"/>
                <w:color w:val="000000" w:themeColor="text1"/>
                <w14:textFill>
                  <w14:solidFill>
                    <w14:schemeClr w14:val="tx1"/>
                  </w14:solidFill>
                </w14:textFill>
              </w:rPr>
              <w:t>”，用于突发情况联络</w:t>
            </w:r>
          </w:p>
        </w:tc>
      </w:tr>
      <w:bookmarkEnd w:id="25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9579" w:type="dxa"/>
            <w:gridSpan w:val="4"/>
            <w:tcBorders>
              <w:top w:val="single" w:color="auto" w:sz="8" w:space="0"/>
              <w:bottom w:val="single" w:color="auto" w:sz="8" w:space="0"/>
            </w:tcBorders>
            <w:vAlign w:val="center"/>
          </w:tcPr>
          <w:p>
            <w:pPr>
              <w:pStyle w:val="179"/>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w:t>
            </w:r>
            <w:r>
              <w:rPr>
                <w:color w:val="000000" w:themeColor="text1"/>
                <w14:textFill>
                  <w14:solidFill>
                    <w14:schemeClr w14:val="tx1"/>
                  </w14:solidFill>
                </w14:textFill>
              </w:rPr>
              <w:t>即三类以上班线客车、旅游包车和危险货物运输车辆</w:t>
            </w:r>
            <w:r>
              <w:rPr>
                <w:rFonts w:hint="eastAsia"/>
                <w:color w:val="000000" w:themeColor="text1"/>
                <w14:textFill>
                  <w14:solidFill>
                    <w14:schemeClr w14:val="tx1"/>
                  </w14:solidFill>
                </w14:textFill>
              </w:rPr>
              <w:t>。</w:t>
            </w:r>
          </w:p>
        </w:tc>
      </w:tr>
    </w:tbl>
    <w:p>
      <w:pPr>
        <w:pStyle w:val="56"/>
        <w:ind w:firstLine="420"/>
        <w:rPr>
          <w:color w:val="000000" w:themeColor="text1"/>
          <w14:textFill>
            <w14:solidFill>
              <w14:schemeClr w14:val="tx1"/>
            </w14:solidFill>
          </w14:textFill>
        </w:rPr>
      </w:pPr>
      <w:bookmarkStart w:id="259" w:name="_Toc228399097"/>
    </w:p>
    <w:p>
      <w:pPr>
        <w:pStyle w:val="78"/>
        <w:spacing w:before="156" w:after="156"/>
        <w:rPr>
          <w:color w:val="000000" w:themeColor="text1"/>
          <w14:textFill>
            <w14:solidFill>
              <w14:schemeClr w14:val="tx1"/>
            </w14:solidFill>
          </w14:textFill>
        </w:rPr>
      </w:pPr>
      <w:bookmarkStart w:id="260" w:name="_Toc234255970"/>
      <w:bookmarkStart w:id="261" w:name="_Toc241416867"/>
      <w:r>
        <w:rPr>
          <w:rFonts w:hint="eastAsia"/>
          <w:color w:val="000000" w:themeColor="text1"/>
          <w14:textFill>
            <w14:solidFill>
              <w14:schemeClr w14:val="tx1"/>
            </w14:solidFill>
          </w14:textFill>
        </w:rPr>
        <w:t>运行监测动态信息</w:t>
      </w:r>
      <w:bookmarkEnd w:id="259"/>
      <w:bookmarkEnd w:id="260"/>
      <w:bookmarkEnd w:id="261"/>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边坡多维度监测</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边坡多维度监测采集数据项见表A.22。</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边坡多维度监测采集数据项</w:t>
      </w:r>
    </w:p>
    <w:tbl>
      <w:tblPr>
        <w:tblStyle w:val="33"/>
        <w:tblW w:w="9591"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67"/>
        <w:gridCol w:w="1298"/>
        <w:gridCol w:w="957"/>
        <w:gridCol w:w="68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6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9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6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9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边坡编码</w:t>
            </w:r>
          </w:p>
        </w:tc>
        <w:tc>
          <w:tcPr>
            <w:tcW w:w="95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6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标识边坡唯一性的代码，关联边坡基础信息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5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YYYYMMDDhhmmss，记录数据采集时间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预警级别</w:t>
            </w:r>
          </w:p>
        </w:tc>
        <w:tc>
          <w:tcPr>
            <w:tcW w:w="95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如“0-无预警，1-蓝色（关注），2-黄色（预警），3-橙色（紧急），4-红色（危急）”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表面位移量</w:t>
            </w:r>
          </w:p>
        </w:tc>
        <w:tc>
          <w:tcPr>
            <w:tcW w:w="95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单位：毫米（mm），水平/竖向位移，精度±0.5，设定触发预警条件（如“单日位移大于等于3.0 mm或累计大于等于10.0mm时，触发滑坡预警”）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深部位移量</w:t>
            </w:r>
          </w:p>
        </w:tc>
        <w:tc>
          <w:tcPr>
            <w:tcW w:w="95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单位：毫米（mm），通过测斜管测量（如“埋深 5 m处位移2 mm”），反映深层土体稳定性（如“位移大于等于5 mm 标记风险”）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地下水位</w:t>
            </w:r>
          </w:p>
        </w:tc>
        <w:tc>
          <w:tcPr>
            <w:tcW w:w="95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单位：米（m），记录水位埋深（如“埋深 2.5 m”），设定触发预警条件（如“水位上升至坡脚以上1 m时需警惕渗流破坏“）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裂缝宽度</w:t>
            </w:r>
          </w:p>
        </w:tc>
        <w:tc>
          <w:tcPr>
            <w:tcW w:w="95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单位：毫米（mm），测量坡体表面裂缝（如“K122+100 处裂缝宽 0.8 mm”），设定触发预警条件（如宽度大于等于1 mm且持续扩展触发预警）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孔隙水压力</w:t>
            </w:r>
          </w:p>
        </w:tc>
        <w:tc>
          <w:tcPr>
            <w:tcW w:w="95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8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千帕</w:t>
            </w:r>
            <w:r>
              <w:rPr>
                <w:rFonts w:hint="eastAsia"/>
                <w:color w:val="000000" w:themeColor="text1"/>
                <w14:textFill>
                  <w14:solidFill>
                    <w14:schemeClr w14:val="tx1"/>
                  </w14:solidFill>
                </w14:textFill>
              </w:rPr>
              <w:t>（kPa），反映土体渗透压力，设定触发预警条件（如“超过设计值80％需排水降压”）</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桥梁实时监测</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桥梁实时监测采集数据项见表A.23。</w:t>
      </w: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桥梁实时监测采集数据项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16"/>
        <w:gridCol w:w="1075"/>
        <w:gridCol w:w="961"/>
        <w:gridCol w:w="66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6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07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6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8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07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桥梁编号</w:t>
            </w:r>
          </w:p>
        </w:tc>
        <w:tc>
          <w:tcPr>
            <w:tcW w:w="96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标识桥梁唯一性的代码，关联桥梁基础信息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YYYYMMDDhhmmss，记录数据采集时间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应变值</w:t>
            </w:r>
          </w:p>
        </w:tc>
        <w:tc>
          <w:tcPr>
            <w:tcW w:w="96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单位符号：με，测量主梁、支座等关键部位应力（如“主梁跨中应变80με”），设定触发预警条件（如“超过设计值90％触发预警”）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位移量</w:t>
            </w:r>
          </w:p>
        </w:tc>
        <w:tc>
          <w:tcPr>
            <w:tcW w:w="96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单位：毫米（mm），水平/竖向位移（如“支座竖向位移 2 mm”），设定异常条件（如“单次变化大于等于3 mm需核查是否存在沉降”）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振动频率</w:t>
            </w:r>
          </w:p>
        </w:tc>
        <w:tc>
          <w:tcPr>
            <w:tcW w:w="96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赫兹</w:t>
            </w:r>
            <w:r>
              <w:rPr>
                <w:rFonts w:hint="eastAsia"/>
                <w:color w:val="000000" w:themeColor="text1"/>
                <w14:textFill>
                  <w14:solidFill>
                    <w14:schemeClr w14:val="tx1"/>
                  </w14:solidFill>
                </w14:textFill>
              </w:rPr>
              <w:t>（Hz），反映桥梁整体刚度，设定异常条件（如“频率变化±5％，排查结构损伤）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裂缝长度</w:t>
            </w:r>
          </w:p>
        </w:tc>
        <w:tc>
          <w:tcPr>
            <w:tcW w:w="9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单位：米（m），记录梁体、墩柱裂缝延展长度；需搭配裂缝宽度联合判定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裂缝宽度</w:t>
            </w:r>
          </w:p>
        </w:tc>
        <w:tc>
          <w:tcPr>
            <w:tcW w:w="9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单位：毫米（mm），设定异常条件（如“长度大于等于2 m 且宽度大于等于0.3 mm需维修”）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支座变形</w:t>
            </w:r>
          </w:p>
        </w:tc>
        <w:tc>
          <w:tcPr>
            <w:tcW w:w="96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单位：毫米（mm），橡胶支座压缩量，设定异常条件（如“变形超设计30％需更换支座）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0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车辆荷载</w:t>
            </w:r>
          </w:p>
        </w:tc>
        <w:tc>
          <w:tcPr>
            <w:tcW w:w="96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千牛顿</w:t>
            </w:r>
            <w:r>
              <w:rPr>
                <w:rFonts w:hint="eastAsia"/>
                <w:color w:val="000000" w:themeColor="text1"/>
                <w14:textFill>
                  <w14:solidFill>
                    <w14:schemeClr w14:val="tx1"/>
                  </w14:solidFill>
                </w14:textFill>
              </w:rPr>
              <w:t>（kN），记录超限车辆荷载（如“550 kN”），超过设计荷载120％时，需记录车牌并追溯</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ETC门架车辆牌照识别</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ETC门架车辆牌照识别采集数据项见表A.24。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ETC门架车辆牌照识别采集数据项</w:t>
      </w:r>
    </w:p>
    <w:tbl>
      <w:tblPr>
        <w:tblStyle w:val="33"/>
        <w:tblW w:w="948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141"/>
        <w:gridCol w:w="996"/>
        <w:gridCol w:w="678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4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78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4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99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78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标识牌照识别的ETC门架唯一性代码，编号规则见JTG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41" w:type="dxa"/>
            <w:vAlign w:val="center"/>
          </w:tcPr>
          <w:p>
            <w:pPr>
              <w:pStyle w:val="178"/>
              <w:jc w:val="left"/>
              <w:rPr>
                <w:color w:val="000000" w:themeColor="text1"/>
                <w14:textFill>
                  <w14:solidFill>
                    <w14:schemeClr w14:val="tx1"/>
                  </w14:solidFill>
                </w14:textFill>
              </w:rPr>
            </w:pPr>
            <w:bookmarkStart w:id="262" w:name="OLE_LINK169"/>
            <w:r>
              <w:rPr>
                <w:rFonts w:hint="eastAsia"/>
                <w:color w:val="000000" w:themeColor="text1"/>
                <w14:textFill>
                  <w14:solidFill>
                    <w14:schemeClr w14:val="tx1"/>
                  </w14:solidFill>
                </w14:textFill>
              </w:rPr>
              <w:t>车辆号牌</w:t>
            </w:r>
            <w:bookmarkEnd w:id="262"/>
          </w:p>
        </w:tc>
        <w:tc>
          <w:tcPr>
            <w:tcW w:w="99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车辆的牌照号码，识别准确率要求见GA/T 833，ETC门架抓拍识别的车牌信息与ETC卡绑定信息比对，校验车辆身份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99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697.7—2022的6.6，识别准确率要求见GA/T 833，辅助车牌信息校验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车辆品牌</w:t>
            </w:r>
          </w:p>
        </w:tc>
        <w:tc>
          <w:tcPr>
            <w:tcW w:w="99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车辆品牌识别，丰富车辆特征数据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过车时间</w:t>
            </w:r>
          </w:p>
        </w:tc>
        <w:tc>
          <w:tcPr>
            <w:tcW w:w="996" w:type="dxa"/>
            <w:vAlign w:val="center"/>
          </w:tcPr>
          <w:p>
            <w:pPr>
              <w:pStyle w:val="178"/>
              <w:jc w:val="left"/>
              <w:rPr>
                <w:color w:val="000000" w:themeColor="text1"/>
                <w14:textFill>
                  <w14:solidFill>
                    <w14:schemeClr w14:val="tx1"/>
                  </w14:solidFill>
                </w14:textFill>
              </w:rPr>
            </w:pPr>
            <w:bookmarkStart w:id="263" w:name="OLE_LINK170"/>
            <w:r>
              <w:rPr>
                <w:rFonts w:hint="eastAsia"/>
                <w:color w:val="000000" w:themeColor="text1"/>
                <w14:textFill>
                  <w14:solidFill>
                    <w14:schemeClr w14:val="tx1"/>
                  </w14:solidFill>
                </w14:textFill>
              </w:rPr>
              <w:t>日期时间型</w:t>
            </w:r>
            <w:bookmarkEnd w:id="263"/>
          </w:p>
        </w:tc>
        <w:tc>
          <w:tcPr>
            <w:tcW w:w="6786" w:type="dxa"/>
            <w:vAlign w:val="center"/>
          </w:tcPr>
          <w:p>
            <w:pPr>
              <w:pStyle w:val="178"/>
              <w:jc w:val="left"/>
              <w:rPr>
                <w:color w:val="000000" w:themeColor="text1"/>
                <w14:textFill>
                  <w14:solidFill>
                    <w14:schemeClr w14:val="tx1"/>
                  </w14:solidFill>
                </w14:textFill>
              </w:rPr>
            </w:pPr>
            <w:bookmarkStart w:id="264" w:name="OLE_LINK171"/>
            <w:r>
              <w:rPr>
                <w:rFonts w:hint="eastAsia"/>
                <w:color w:val="000000" w:themeColor="text1"/>
                <w14:textFill>
                  <w14:solidFill>
                    <w14:schemeClr w14:val="tx1"/>
                  </w14:solidFill>
                </w14:textFill>
              </w:rPr>
              <w:t>YYYYMMDDhhmmss</w:t>
            </w:r>
            <w:bookmarkEnd w:id="264"/>
            <w:r>
              <w:rPr>
                <w:rFonts w:hint="eastAsia"/>
                <w:color w:val="000000" w:themeColor="text1"/>
                <w14:textFill>
                  <w14:solidFill>
                    <w14:schemeClr w14:val="tx1"/>
                  </w14:solidFill>
                </w14:textFill>
              </w:rPr>
              <w:t>，车辆通过门架的精确时间（精确到毫秒）</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门架过车瞬时车速</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门架过车瞬时车速采集数据项见表A.25。</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门架过车瞬时车速采集数据项</w:t>
      </w:r>
    </w:p>
    <w:tbl>
      <w:tblPr>
        <w:tblStyle w:val="33"/>
        <w:tblW w:w="952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28"/>
        <w:gridCol w:w="1457"/>
        <w:gridCol w:w="850"/>
        <w:gridCol w:w="66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2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9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28" w:type="dxa"/>
            <w:tcBorders>
              <w:top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5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85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92"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标识车速识别的ETC门架唯一性的代码，编号规则见JTG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28"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5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车道编号</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标识车辆对应车道的编号，如 “门架1车道”，区分车道车速分布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28"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5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车辆的牌照号码，识别准确率要求见GA/T 833，关联车辆身份，用于单辆车跨门架车速对比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28"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5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697.7—2022的6.6，识别准确率要求见GA/T 833，辅助车牌唯一性确认，避免同号不同色车辆混淆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28"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5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过车时间</w:t>
            </w:r>
          </w:p>
        </w:tc>
        <w:tc>
          <w:tcPr>
            <w:tcW w:w="8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92" w:type="dxa"/>
          </w:tcPr>
          <w:p>
            <w:pPr>
              <w:pStyle w:val="178"/>
              <w:jc w:val="left"/>
              <w:rPr>
                <w:color w:val="000000" w:themeColor="text1"/>
                <w14:textFill>
                  <w14:solidFill>
                    <w14:schemeClr w14:val="tx1"/>
                  </w14:solidFill>
                </w14:textFill>
              </w:rPr>
            </w:pPr>
            <w:bookmarkStart w:id="265" w:name="OLE_LINK172"/>
            <w:r>
              <w:rPr>
                <w:rFonts w:hint="eastAsia"/>
                <w:color w:val="000000" w:themeColor="text1"/>
                <w14:textFill>
                  <w14:solidFill>
                    <w14:schemeClr w14:val="tx1"/>
                  </w14:solidFill>
                </w14:textFill>
              </w:rPr>
              <w:t>YYYYMMDDhhmmss</w:t>
            </w:r>
            <w:bookmarkEnd w:id="265"/>
            <w:r>
              <w:rPr>
                <w:rFonts w:hint="eastAsia"/>
                <w:color w:val="000000" w:themeColor="text1"/>
                <w14:textFill>
                  <w14:solidFill>
                    <w14:schemeClr w14:val="tx1"/>
                  </w14:solidFill>
                </w14:textFill>
              </w:rPr>
              <w:t>，精确到毫秒，用于计算跨门架平均车速</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过车流水信息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过车流水信息采集数据项见表A.26。</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过车流水信息采集数据项</w:t>
      </w:r>
    </w:p>
    <w:tbl>
      <w:tblPr>
        <w:tblStyle w:val="33"/>
        <w:tblW w:w="9516"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46"/>
        <w:gridCol w:w="1495"/>
        <w:gridCol w:w="934"/>
        <w:gridCol w:w="66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46" w:type="dxa"/>
            <w:tcBorders>
              <w:top w:val="single" w:color="auto" w:sz="8" w:space="0"/>
              <w:bottom w:val="single" w:color="auto" w:sz="8" w:space="0"/>
            </w:tcBorders>
          </w:tcPr>
          <w:p>
            <w:pPr>
              <w:pStyle w:val="178"/>
              <w:rPr>
                <w:color w:val="000000" w:themeColor="text1"/>
                <w14:textFill>
                  <w14:solidFill>
                    <w14:schemeClr w14:val="tx1"/>
                  </w14:solidFill>
                </w14:textFill>
              </w:rPr>
            </w:pPr>
            <w:bookmarkStart w:id="266" w:name="OLE_LINK19"/>
            <w:r>
              <w:rPr>
                <w:rFonts w:hint="eastAsia"/>
                <w:color w:val="000000" w:themeColor="text1"/>
                <w14:textFill>
                  <w14:solidFill>
                    <w14:schemeClr w14:val="tx1"/>
                  </w14:solidFill>
                </w14:textFill>
              </w:rPr>
              <w:t>序号</w:t>
            </w:r>
          </w:p>
        </w:tc>
        <w:tc>
          <w:tcPr>
            <w:tcW w:w="149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4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标识ETC门架唯一性的代码，编号规则见JTG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bookmarkStart w:id="267" w:name="_Hlk232501628"/>
            <w:r>
              <w:rPr>
                <w:rFonts w:hint="eastAsia"/>
                <w:color w:val="000000" w:themeColor="text1"/>
                <w14:textFill>
                  <w14:solidFill>
                    <w14:schemeClr w14:val="tx1"/>
                  </w14:solidFill>
                </w14:textFill>
              </w:rPr>
              <w:t>2</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车辆的牌照号码，识别准确率要求见GA/T 833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697.7—2022的6.6，识别准确率要求见GA/T 833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95" w:type="dxa"/>
            <w:vAlign w:val="center"/>
          </w:tcPr>
          <w:p>
            <w:pPr>
              <w:pStyle w:val="178"/>
              <w:jc w:val="left"/>
              <w:rPr>
                <w:color w:val="000000" w:themeColor="text1"/>
                <w14:textFill>
                  <w14:solidFill>
                    <w14:schemeClr w14:val="tx1"/>
                  </w14:solidFill>
                </w14:textFill>
              </w:rPr>
            </w:pPr>
            <w:bookmarkStart w:id="268" w:name="OLE_LINK78"/>
            <w:r>
              <w:rPr>
                <w:rFonts w:hint="eastAsia"/>
                <w:color w:val="000000" w:themeColor="text1"/>
                <w14:textFill>
                  <w14:solidFill>
                    <w14:schemeClr w14:val="tx1"/>
                  </w14:solidFill>
                </w14:textFill>
              </w:rPr>
              <w:t>车辆类型</w:t>
            </w:r>
            <w:bookmarkEnd w:id="268"/>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41" w:type="dxa"/>
            <w:vAlign w:val="center"/>
          </w:tcPr>
          <w:p>
            <w:pPr>
              <w:pStyle w:val="178"/>
              <w:jc w:val="left"/>
              <w:rPr>
                <w:color w:val="000000" w:themeColor="text1"/>
                <w14:textFill>
                  <w14:solidFill>
                    <w14:schemeClr w14:val="tx1"/>
                  </w14:solidFill>
                </w14:textFill>
              </w:rPr>
            </w:pPr>
            <w:bookmarkStart w:id="269" w:name="OLE_LINK110"/>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bookmarkEnd w:id="269"/>
            <w:r>
              <w:rPr>
                <w:rFonts w:hint="eastAsia"/>
                <w:color w:val="000000" w:themeColor="text1"/>
                <w14:textFill>
                  <w14:solidFill>
                    <w14:schemeClr w14:val="tx1"/>
                  </w14:solidFill>
                </w14:textFill>
              </w:rPr>
              <w:t>，识别误差≤10％</w:t>
            </w:r>
          </w:p>
        </w:tc>
      </w:tr>
      <w:bookmarkEnd w:id="26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过车时间</w:t>
            </w:r>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YYYYMMDDhhmmss，车辆通过检测断面的精确时间，精确到毫秒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车道编号</w:t>
            </w:r>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标识车辆通行车道，如“上行1车道”“下行3车道”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4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车速</w:t>
            </w:r>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车辆通过时的瞬时速度，测量误差小于等于±4 km/h，支持超速阈值判断（如大于120km/h）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495" w:type="dxa"/>
            <w:vAlign w:val="center"/>
          </w:tcPr>
          <w:p>
            <w:pPr>
              <w:pStyle w:val="178"/>
              <w:jc w:val="left"/>
              <w:rPr>
                <w:color w:val="000000" w:themeColor="text1"/>
                <w14:textFill>
                  <w14:solidFill>
                    <w14:schemeClr w14:val="tx1"/>
                  </w14:solidFill>
                </w14:textFill>
              </w:rPr>
            </w:pPr>
            <w:bookmarkStart w:id="270" w:name="OLE_LINK111"/>
            <w:r>
              <w:rPr>
                <w:rFonts w:hint="eastAsia"/>
                <w:color w:val="000000" w:themeColor="text1"/>
                <w14:textFill>
                  <w14:solidFill>
                    <w14:schemeClr w14:val="tx1"/>
                  </w14:solidFill>
                </w14:textFill>
              </w:rPr>
              <w:t>抓拍图片储存地址</w:t>
            </w:r>
            <w:bookmarkEnd w:id="270"/>
          </w:p>
        </w:tc>
        <w:tc>
          <w:tcPr>
            <w:tcW w:w="9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记录存储图片的访问地址</w:t>
            </w:r>
          </w:p>
        </w:tc>
      </w:tr>
      <w:bookmarkEnd w:id="266"/>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6" w:type="dxa"/>
            <w:vAlign w:val="center"/>
          </w:tcPr>
          <w:p>
            <w:pPr>
              <w:pStyle w:val="178"/>
              <w:rPr>
                <w:color w:val="000000" w:themeColor="text1"/>
                <w14:textFill>
                  <w14:solidFill>
                    <w14:schemeClr w14:val="tx1"/>
                  </w14:solidFill>
                </w14:textFill>
              </w:rPr>
            </w:pPr>
            <w:bookmarkStart w:id="271" w:name="_Hlk232501745"/>
            <w:r>
              <w:rPr>
                <w:rFonts w:hint="eastAsia"/>
                <w:color w:val="000000" w:themeColor="text1"/>
                <w14:textFill>
                  <w14:solidFill>
                    <w14:schemeClr w14:val="tx1"/>
                  </w14:solidFill>
                </w14:textFill>
              </w:rPr>
              <w:t>9</w:t>
            </w:r>
          </w:p>
        </w:tc>
        <w:tc>
          <w:tcPr>
            <w:tcW w:w="1495"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3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4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w:t>
            </w:r>
          </w:p>
        </w:tc>
      </w:tr>
      <w:bookmarkEnd w:id="271"/>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车型分类信息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车型分类信息采集数据项见表A.27。</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车型分类信息采集数据项</w:t>
      </w:r>
    </w:p>
    <w:tbl>
      <w:tblPr>
        <w:tblStyle w:val="33"/>
        <w:tblW w:w="964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36"/>
        <w:gridCol w:w="1500"/>
        <w:gridCol w:w="982"/>
        <w:gridCol w:w="67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3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500"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8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72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6" w:type="dxa"/>
          </w:tcPr>
          <w:p>
            <w:pPr>
              <w:pStyle w:val="178"/>
              <w:rPr>
                <w:rFonts w:hint="eastAsia" w:hAnsi="宋体"/>
                <w:color w:val="000000" w:themeColor="text1"/>
                <w:sz w:val="20"/>
                <w14:textFill>
                  <w14:solidFill>
                    <w14:schemeClr w14:val="tx1"/>
                  </w14:solidFill>
                </w14:textFill>
              </w:rPr>
            </w:pPr>
            <w:r>
              <w:rPr>
                <w:rFonts w:hint="eastAsia"/>
                <w:color w:val="000000" w:themeColor="text1"/>
                <w14:textFill>
                  <w14:solidFill>
                    <w14:schemeClr w14:val="tx1"/>
                  </w14:solidFill>
                </w14:textFill>
              </w:rPr>
              <w:t>1</w:t>
            </w:r>
          </w:p>
        </w:tc>
        <w:tc>
          <w:tcPr>
            <w:tcW w:w="15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9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72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标识ETC门架唯一性的代码，编号规则见JTG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6" w:type="dxa"/>
            <w:vAlign w:val="center"/>
          </w:tcPr>
          <w:p>
            <w:pPr>
              <w:pStyle w:val="178"/>
              <w:rPr>
                <w:rFonts w:hint="eastAsia" w:hAnsi="宋体"/>
                <w:color w:val="000000" w:themeColor="text1"/>
                <w:sz w:val="20"/>
                <w14:textFill>
                  <w14:solidFill>
                    <w14:schemeClr w14:val="tx1"/>
                  </w14:solidFill>
                </w14:textFill>
              </w:rPr>
            </w:pPr>
            <w:r>
              <w:rPr>
                <w:rFonts w:hint="eastAsia" w:hAnsi="宋体"/>
                <w:color w:val="000000" w:themeColor="text1"/>
                <w:sz w:val="20"/>
                <w14:textFill>
                  <w14:solidFill>
                    <w14:schemeClr w14:val="tx1"/>
                  </w14:solidFill>
                </w14:textFill>
              </w:rPr>
              <w:t>2</w:t>
            </w:r>
          </w:p>
        </w:tc>
        <w:tc>
          <w:tcPr>
            <w:tcW w:w="15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9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2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w:t>
            </w:r>
            <w:r>
              <w:rPr>
                <w:color w:val="000000" w:themeColor="text1"/>
                <w14:textFill>
                  <w14:solidFill>
                    <w14:schemeClr w14:val="tx1"/>
                  </w14:solidFill>
                </w14:textFill>
              </w:rPr>
              <w:t xml:space="preserve">与 </w:t>
            </w:r>
            <w:r>
              <w:rPr>
                <w:rFonts w:hint="eastAsia"/>
                <w:color w:val="000000" w:themeColor="text1"/>
                <w14:textFill>
                  <w14:solidFill>
                    <w14:schemeClr w14:val="tx1"/>
                  </w14:solidFill>
                </w14:textFill>
              </w:rPr>
              <w:t>过车流水信息</w:t>
            </w:r>
            <w:r>
              <w:rPr>
                <w:color w:val="000000" w:themeColor="text1"/>
                <w14:textFill>
                  <w14:solidFill>
                    <w14:schemeClr w14:val="tx1"/>
                  </w14:solidFill>
                </w14:textFill>
              </w:rPr>
              <w:t>” 中</w:t>
            </w:r>
            <w:r>
              <w:rPr>
                <w:rFonts w:hint="eastAsia"/>
                <w:color w:val="000000" w:themeColor="text1"/>
                <w14:textFill>
                  <w14:solidFill>
                    <w14:schemeClr w14:val="tx1"/>
                  </w14:solidFill>
                </w14:textFill>
              </w:rPr>
              <w:t>车辆号牌</w:t>
            </w:r>
            <w:r>
              <w:rPr>
                <w:color w:val="000000" w:themeColor="text1"/>
                <w14:textFill>
                  <w14:solidFill>
                    <w14:schemeClr w14:val="tx1"/>
                  </w14:solidFill>
                </w14:textFill>
              </w:rPr>
              <w:t>关联，确保车辆身份一致性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6" w:type="dxa"/>
            <w:vAlign w:val="center"/>
          </w:tcPr>
          <w:p>
            <w:pPr>
              <w:pStyle w:val="178"/>
              <w:rPr>
                <w:rFonts w:hint="eastAsia" w:hAnsi="宋体"/>
                <w:color w:val="000000" w:themeColor="text1"/>
                <w:sz w:val="20"/>
                <w14:textFill>
                  <w14:solidFill>
                    <w14:schemeClr w14:val="tx1"/>
                  </w14:solidFill>
                </w14:textFill>
              </w:rPr>
            </w:pPr>
            <w:r>
              <w:rPr>
                <w:rFonts w:hint="eastAsia" w:hAnsi="宋体"/>
                <w:color w:val="000000" w:themeColor="text1"/>
                <w:sz w:val="20"/>
                <w14:textFill>
                  <w14:solidFill>
                    <w14:schemeClr w14:val="tx1"/>
                  </w14:solidFill>
                </w14:textFill>
              </w:rPr>
              <w:t>3</w:t>
            </w:r>
          </w:p>
        </w:tc>
        <w:tc>
          <w:tcPr>
            <w:tcW w:w="1500"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车牌颜色</w:t>
            </w:r>
          </w:p>
        </w:tc>
        <w:tc>
          <w:tcPr>
            <w:tcW w:w="9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2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w:t>
            </w:r>
            <w:r>
              <w:rPr>
                <w:color w:val="000000" w:themeColor="text1"/>
                <w14:textFill>
                  <w14:solidFill>
                    <w14:schemeClr w14:val="tx1"/>
                  </w14:solidFill>
                </w14:textFill>
              </w:rPr>
              <w:t>辅助车型校验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6" w:type="dxa"/>
            <w:vAlign w:val="center"/>
          </w:tcPr>
          <w:p>
            <w:pPr>
              <w:pStyle w:val="178"/>
              <w:rPr>
                <w:color w:val="000000" w:themeColor="text1"/>
                <w14:textFill>
                  <w14:solidFill>
                    <w14:schemeClr w14:val="tx1"/>
                  </w14:solidFill>
                </w14:textFill>
              </w:rPr>
            </w:pPr>
            <w:r>
              <w:rPr>
                <w:rFonts w:hint="eastAsia" w:hAnsi="宋体"/>
                <w:color w:val="000000" w:themeColor="text1"/>
                <w:sz w:val="20"/>
                <w14:textFill>
                  <w14:solidFill>
                    <w14:schemeClr w14:val="tx1"/>
                  </w14:solidFill>
                </w14:textFill>
              </w:rPr>
              <w:t>4</w:t>
            </w:r>
          </w:p>
        </w:tc>
        <w:tc>
          <w:tcPr>
            <w:tcW w:w="15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9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2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5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抓拍图片储存地址</w:t>
            </w:r>
          </w:p>
        </w:tc>
        <w:tc>
          <w:tcPr>
            <w:tcW w:w="9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2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记录存储图片的访问地址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50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8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72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车速分布信息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车速分布信息采集数据项见表A.28。</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车速分布信息采集数据项</w:t>
      </w:r>
    </w:p>
    <w:tbl>
      <w:tblPr>
        <w:tblStyle w:val="33"/>
        <w:tblW w:w="965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62"/>
        <w:gridCol w:w="1137"/>
        <w:gridCol w:w="943"/>
        <w:gridCol w:w="710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6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4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10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2" w:type="dxa"/>
          </w:tcPr>
          <w:p>
            <w:pPr>
              <w:pStyle w:val="178"/>
              <w:rPr>
                <w:color w:val="000000" w:themeColor="text1"/>
                <w14:textFill>
                  <w14:solidFill>
                    <w14:schemeClr w14:val="tx1"/>
                  </w14:solidFill>
                </w14:textFill>
              </w:rPr>
            </w:pPr>
            <w:bookmarkStart w:id="272" w:name="OLE_LINK24"/>
            <w:r>
              <w:rPr>
                <w:rFonts w:hint="eastAsia"/>
                <w:color w:val="000000" w:themeColor="text1"/>
                <w14:textFill>
                  <w14:solidFill>
                    <w14:schemeClr w14:val="tx1"/>
                  </w14:solidFill>
                </w14:textFill>
              </w:rPr>
              <w:t>1</w:t>
            </w:r>
          </w:p>
        </w:tc>
        <w:tc>
          <w:tcPr>
            <w:tcW w:w="113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94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71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标识ETC门架唯一性的代码，编号规则见JTG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车道编号</w:t>
            </w:r>
          </w:p>
        </w:tc>
        <w:tc>
          <w:tcPr>
            <w:tcW w:w="94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按车道单独统计车速分布，如“下行2车道”，避免不同车道数据混淆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车速区间</w:t>
            </w:r>
          </w:p>
        </w:tc>
        <w:tc>
          <w:tcPr>
            <w:tcW w:w="94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单位：千米每小时（km/h），设定车速区间，如“0～20”“20～60”“60～100”“＞100”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车辆数量</w:t>
            </w:r>
          </w:p>
        </w:tc>
        <w:tc>
          <w:tcPr>
            <w:tcW w:w="94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1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单位：辆，统计周期内对应车速区间的车辆数量，用于流量占比计算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62" w:type="dxa"/>
            <w:vAlign w:val="center"/>
          </w:tcPr>
          <w:p>
            <w:pPr>
              <w:pStyle w:val="178"/>
              <w:rPr>
                <w:color w:val="000000" w:themeColor="text1"/>
                <w14:textFill>
                  <w14:solidFill>
                    <w14:schemeClr w14:val="tx1"/>
                  </w14:solidFill>
                </w14:textFill>
              </w:rPr>
            </w:pPr>
            <w:bookmarkStart w:id="273" w:name="_Hlk232502383"/>
            <w:r>
              <w:rPr>
                <w:rFonts w:hint="eastAsia"/>
                <w:color w:val="000000" w:themeColor="text1"/>
                <w14:textFill>
                  <w14:solidFill>
                    <w14:schemeClr w14:val="tx1"/>
                  </w14:solidFill>
                </w14:textFill>
              </w:rPr>
              <w:t>5</w:t>
            </w:r>
          </w:p>
        </w:tc>
        <w:tc>
          <w:tcPr>
            <w:tcW w:w="113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4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710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YYYYMMDDhhmmss,车速分布统计周期的结束时间，标记数据归属周期</w:t>
            </w:r>
          </w:p>
        </w:tc>
      </w:tr>
      <w:bookmarkEnd w:id="272"/>
      <w:bookmarkEnd w:id="273"/>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车道占有率</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车道占有率采集数据项见表A.29。</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车道占有率采集数据项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67"/>
        <w:gridCol w:w="1124"/>
        <w:gridCol w:w="993"/>
        <w:gridCol w:w="66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6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2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7" w:type="dxa"/>
          </w:tcPr>
          <w:p>
            <w:pPr>
              <w:pStyle w:val="178"/>
              <w:rPr>
                <w:color w:val="000000" w:themeColor="text1"/>
                <w14:textFill>
                  <w14:solidFill>
                    <w14:schemeClr w14:val="tx1"/>
                  </w14:solidFill>
                </w14:textFill>
              </w:rPr>
            </w:pPr>
            <w:bookmarkStart w:id="274" w:name="_Hlk232502739"/>
            <w:r>
              <w:rPr>
                <w:rFonts w:hint="eastAsia"/>
                <w:color w:val="000000" w:themeColor="text1"/>
                <w14:textFill>
                  <w14:solidFill>
                    <w14:schemeClr w14:val="tx1"/>
                  </w14:solidFill>
                </w14:textFill>
              </w:rPr>
              <w:t>1</w:t>
            </w:r>
          </w:p>
        </w:tc>
        <w:tc>
          <w:tcPr>
            <w:tcW w:w="112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ETC门架编号</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字符型 </w:t>
            </w:r>
          </w:p>
        </w:tc>
        <w:tc>
          <w:tcPr>
            <w:tcW w:w="66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标识ETC门架唯一性的代码，编号规则见JTG 6310-2022的8.7.1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2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车道编号</w:t>
            </w:r>
          </w:p>
        </w:tc>
        <w:tc>
          <w:tcPr>
            <w:tcW w:w="99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明确具体车道，如“上行4车道”，确保占有率数据与车道一一对应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2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占有率值</w:t>
            </w:r>
          </w:p>
        </w:tc>
        <w:tc>
          <w:tcPr>
            <w:tcW w:w="99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时间占有率（车辆占用检测器时间占比），精度大于90％，用于拥堵判断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6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2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9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5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YYYYMMDDhhmmss，占有率数据采集时间，便于时序分析</w:t>
            </w:r>
          </w:p>
        </w:tc>
      </w:tr>
      <w:bookmarkEnd w:id="274"/>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分车型收费站入口流量</w:t>
      </w:r>
    </w:p>
    <w:p>
      <w:pPr>
        <w:pStyle w:val="56"/>
        <w:ind w:firstLine="420"/>
        <w:rPr>
          <w:color w:val="000000" w:themeColor="text1"/>
          <w14:textFill>
            <w14:solidFill>
              <w14:schemeClr w14:val="tx1"/>
            </w14:solidFill>
          </w14:textFill>
        </w:rPr>
      </w:pPr>
      <w:bookmarkStart w:id="275" w:name="OLE_LINK16"/>
      <w:r>
        <w:rPr>
          <w:rFonts w:hint="eastAsia"/>
          <w:color w:val="000000" w:themeColor="text1"/>
          <w14:textFill>
            <w14:solidFill>
              <w14:schemeClr w14:val="tx1"/>
            </w14:solidFill>
          </w14:textFill>
        </w:rPr>
        <w:t>分车型收费站入口流量采集数据项</w:t>
      </w:r>
      <w:bookmarkEnd w:id="275"/>
      <w:r>
        <w:rPr>
          <w:rFonts w:hint="eastAsia"/>
          <w:color w:val="000000" w:themeColor="text1"/>
          <w14:textFill>
            <w14:solidFill>
              <w14:schemeClr w14:val="tx1"/>
            </w14:solidFill>
          </w14:textFill>
        </w:rPr>
        <w:t>见表A.30。</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分车型收费站入口流量采集数据项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426"/>
        <w:gridCol w:w="991"/>
        <w:gridCol w:w="63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2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36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tcPr>
          <w:p>
            <w:pPr>
              <w:pStyle w:val="178"/>
              <w:rPr>
                <w:color w:val="000000" w:themeColor="text1"/>
                <w14:textFill>
                  <w14:solidFill>
                    <w14:schemeClr w14:val="tx1"/>
                  </w14:solidFill>
                </w14:textFill>
              </w:rPr>
            </w:pPr>
            <w:bookmarkStart w:id="276" w:name="_Hlk232502841"/>
            <w:r>
              <w:rPr>
                <w:rFonts w:hint="eastAsia"/>
                <w:color w:val="000000" w:themeColor="text1"/>
                <w14:textFill>
                  <w14:solidFill>
                    <w14:schemeClr w14:val="tx1"/>
                  </w14:solidFill>
                </w14:textFill>
              </w:rPr>
              <w:t>1</w:t>
            </w:r>
          </w:p>
        </w:tc>
        <w:tc>
          <w:tcPr>
            <w:tcW w:w="142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收费站编号</w:t>
            </w:r>
          </w:p>
        </w:tc>
        <w:tc>
          <w:tcPr>
            <w:tcW w:w="99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60" w:type="dxa"/>
            <w:tcBorders>
              <w:top w:val="single" w:color="auto" w:sz="8" w:space="0"/>
            </w:tcBorders>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标识</w:t>
            </w:r>
            <w:r>
              <w:rPr>
                <w:rFonts w:hint="eastAsia"/>
                <w:color w:val="000000" w:themeColor="text1"/>
                <w14:textFill>
                  <w14:solidFill>
                    <w14:schemeClr w14:val="tx1"/>
                  </w14:solidFill>
                </w14:textFill>
              </w:rPr>
              <w:t>收费站</w:t>
            </w:r>
            <w:r>
              <w:rPr>
                <w:color w:val="000000" w:themeColor="text1"/>
                <w14:textFill>
                  <w14:solidFill>
                    <w14:schemeClr w14:val="tx1"/>
                  </w14:solidFill>
                </w14:textFill>
              </w:rPr>
              <w:t>唯一性的</w:t>
            </w:r>
            <w:r>
              <w:rPr>
                <w:rFonts w:hint="eastAsia"/>
                <w:color w:val="000000" w:themeColor="text1"/>
                <w14:textFill>
                  <w14:solidFill>
                    <w14:schemeClr w14:val="tx1"/>
                  </w14:solidFill>
                </w14:textFill>
              </w:rPr>
              <w:t>编码，具体规则见JT/T 132—2014的5.5.8.1，关联收费站基础信息</w:t>
            </w:r>
          </w:p>
        </w:tc>
      </w:tr>
      <w:bookmarkEnd w:id="276"/>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2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入口车道编号</w:t>
            </w:r>
          </w:p>
        </w:tc>
        <w:tc>
          <w:tcPr>
            <w:tcW w:w="99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6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如“入口 ETC01”“入口 MTC03”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bookmarkStart w:id="277" w:name="_Hlk232502867"/>
            <w:r>
              <w:rPr>
                <w:rFonts w:hint="eastAsia"/>
                <w:color w:val="000000" w:themeColor="text1"/>
                <w14:textFill>
                  <w14:solidFill>
                    <w14:schemeClr w14:val="tx1"/>
                  </w14:solidFill>
                </w14:textFill>
              </w:rPr>
              <w:t>3</w:t>
            </w:r>
          </w:p>
        </w:tc>
        <w:tc>
          <w:tcPr>
            <w:tcW w:w="1426" w:type="dxa"/>
          </w:tcPr>
          <w:p>
            <w:pPr>
              <w:pStyle w:val="178"/>
              <w:jc w:val="left"/>
              <w:rPr>
                <w:color w:val="000000" w:themeColor="text1"/>
                <w14:textFill>
                  <w14:solidFill>
                    <w14:schemeClr w14:val="tx1"/>
                  </w14:solidFill>
                </w14:textFill>
              </w:rPr>
            </w:pPr>
            <w:bookmarkStart w:id="278" w:name="OLE_LINK158"/>
            <w:r>
              <w:rPr>
                <w:rFonts w:hint="eastAsia"/>
                <w:color w:val="000000" w:themeColor="text1"/>
                <w14:textFill>
                  <w14:solidFill>
                    <w14:schemeClr w14:val="tx1"/>
                  </w14:solidFill>
                </w14:textFill>
              </w:rPr>
              <w:t>车辆类型</w:t>
            </w:r>
            <w:bookmarkEnd w:id="278"/>
          </w:p>
        </w:tc>
        <w:tc>
          <w:tcPr>
            <w:tcW w:w="99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6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r>
              <w:rPr>
                <w:rFonts w:hint="eastAsia"/>
                <w:color w:val="000000" w:themeColor="text1"/>
                <w14:textFill>
                  <w14:solidFill>
                    <w14:schemeClr w14:val="tx1"/>
                  </w14:solidFill>
                </w14:textFill>
              </w:rPr>
              <w:t>，用于流量统计</w:t>
            </w:r>
          </w:p>
        </w:tc>
      </w:tr>
      <w:bookmarkEnd w:id="27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2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车流量</w:t>
            </w:r>
          </w:p>
        </w:tc>
        <w:tc>
          <w:tcPr>
            <w:tcW w:w="991" w:type="dxa"/>
          </w:tcPr>
          <w:p>
            <w:pPr>
              <w:pStyle w:val="178"/>
              <w:jc w:val="left"/>
              <w:rPr>
                <w:color w:val="000000" w:themeColor="text1"/>
                <w14:textFill>
                  <w14:solidFill>
                    <w14:schemeClr w14:val="tx1"/>
                  </w14:solidFill>
                </w14:textFill>
              </w:rPr>
            </w:pPr>
            <w:bookmarkStart w:id="279" w:name="OLE_LINK159"/>
            <w:r>
              <w:rPr>
                <w:rFonts w:hint="eastAsia"/>
                <w:color w:val="000000" w:themeColor="text1"/>
                <w14:textFill>
                  <w14:solidFill>
                    <w14:schemeClr w14:val="tx1"/>
                  </w14:solidFill>
                </w14:textFill>
              </w:rPr>
              <w:t>数字型</w:t>
            </w:r>
            <w:bookmarkEnd w:id="279"/>
          </w:p>
        </w:tc>
        <w:tc>
          <w:tcPr>
            <w:tcW w:w="636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单位：辆，统计周期内对应车型的入口通行数量，支持时段对比分析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bookmarkStart w:id="280" w:name="_Hlk232502908"/>
            <w:r>
              <w:rPr>
                <w:rFonts w:hint="eastAsia"/>
                <w:color w:val="000000" w:themeColor="text1"/>
                <w14:textFill>
                  <w14:solidFill>
                    <w14:schemeClr w14:val="tx1"/>
                  </w14:solidFill>
                </w14:textFill>
              </w:rPr>
              <w:t>5</w:t>
            </w:r>
          </w:p>
        </w:tc>
        <w:tc>
          <w:tcPr>
            <w:tcW w:w="142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9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36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YYYYMMDDhhmmss，占有率数据采集时间，便于时序分析</w:t>
            </w:r>
          </w:p>
        </w:tc>
      </w:tr>
      <w:bookmarkEnd w:id="280"/>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分车型收费站出口流量</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分车型收费站出口流量采集数据项见表A.31。</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分车型收费站出口流量采集数据项</w:t>
      </w:r>
    </w:p>
    <w:tbl>
      <w:tblPr>
        <w:tblStyle w:val="33"/>
        <w:tblW w:w="954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87"/>
        <w:gridCol w:w="992"/>
        <w:gridCol w:w="67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8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71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8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收费站编号</w:t>
            </w:r>
          </w:p>
        </w:tc>
        <w:tc>
          <w:tcPr>
            <w:tcW w:w="99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13" w:type="dxa"/>
            <w:tcBorders>
              <w:top w:val="single" w:color="auto" w:sz="8" w:space="0"/>
            </w:tcBorders>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标识</w:t>
            </w:r>
            <w:r>
              <w:rPr>
                <w:rFonts w:hint="eastAsia"/>
                <w:color w:val="000000" w:themeColor="text1"/>
                <w14:textFill>
                  <w14:solidFill>
                    <w14:schemeClr w14:val="tx1"/>
                  </w14:solidFill>
                </w14:textFill>
              </w:rPr>
              <w:t>收费站</w:t>
            </w:r>
            <w:r>
              <w:rPr>
                <w:color w:val="000000" w:themeColor="text1"/>
                <w14:textFill>
                  <w14:solidFill>
                    <w14:schemeClr w14:val="tx1"/>
                  </w14:solidFill>
                </w14:textFill>
              </w:rPr>
              <w:t>唯一性的</w:t>
            </w:r>
            <w:r>
              <w:rPr>
                <w:rFonts w:hint="eastAsia"/>
                <w:color w:val="000000" w:themeColor="text1"/>
                <w14:textFill>
                  <w14:solidFill>
                    <w14:schemeClr w14:val="tx1"/>
                  </w14:solidFill>
                </w14:textFill>
              </w:rPr>
              <w:t>编码，具体规则见JT/T 132—2014的5.5.8.1，关联跨站数据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8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出口车道编号</w:t>
            </w:r>
          </w:p>
        </w:tc>
        <w:tc>
          <w:tcPr>
            <w:tcW w:w="9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1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如“出口 ETC02”“出口 MTC05”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87" w:type="dxa"/>
          </w:tcPr>
          <w:p>
            <w:pPr>
              <w:pStyle w:val="178"/>
              <w:jc w:val="left"/>
              <w:rPr>
                <w:color w:val="000000" w:themeColor="text1"/>
                <w14:textFill>
                  <w14:solidFill>
                    <w14:schemeClr w14:val="tx1"/>
                  </w14:solidFill>
                </w14:textFill>
              </w:rPr>
            </w:pPr>
            <w:bookmarkStart w:id="281" w:name="OLE_LINK164"/>
            <w:r>
              <w:rPr>
                <w:rFonts w:hint="eastAsia"/>
                <w:color w:val="000000" w:themeColor="text1"/>
                <w14:textFill>
                  <w14:solidFill>
                    <w14:schemeClr w14:val="tx1"/>
                  </w14:solidFill>
                </w14:textFill>
              </w:rPr>
              <w:t>车辆类型</w:t>
            </w:r>
            <w:bookmarkEnd w:id="281"/>
          </w:p>
        </w:tc>
        <w:tc>
          <w:tcPr>
            <w:tcW w:w="9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1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r>
              <w:rPr>
                <w:rFonts w:hint="eastAsia"/>
                <w:color w:val="000000" w:themeColor="text1"/>
                <w14:textFill>
                  <w14:solidFill>
                    <w14:schemeClr w14:val="tx1"/>
                  </w14:solidFill>
                </w14:textFill>
              </w:rPr>
              <w:t>，用于出入口流量差额分析（判断路段滞留情况）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8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车流量</w:t>
            </w:r>
          </w:p>
        </w:tc>
        <w:tc>
          <w:tcPr>
            <w:tcW w:w="9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71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单位：辆，统计周期内对应车型的出口通行数量，含超限修正后车型数量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bookmarkStart w:id="282" w:name="_Hlk232512897"/>
            <w:r>
              <w:rPr>
                <w:rFonts w:hint="eastAsia"/>
                <w:color w:val="000000" w:themeColor="text1"/>
                <w14:textFill>
                  <w14:solidFill>
                    <w14:schemeClr w14:val="tx1"/>
                  </w14:solidFill>
                </w14:textFill>
              </w:rPr>
              <w:t>5</w:t>
            </w:r>
          </w:p>
        </w:tc>
        <w:tc>
          <w:tcPr>
            <w:tcW w:w="128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9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71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YYYYMMDDhhmmss，与入口统计周期同步，确保数据可比性</w:t>
            </w:r>
          </w:p>
        </w:tc>
      </w:tr>
      <w:bookmarkEnd w:id="282"/>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收费站开关闭状态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收费站开关闭状态采集数据项见表A.32。</w:t>
      </w:r>
    </w:p>
    <w:p>
      <w:pPr>
        <w:pStyle w:val="56"/>
        <w:ind w:firstLine="420"/>
        <w:rPr>
          <w:color w:val="000000" w:themeColor="text1"/>
          <w14:textFill>
            <w14:solidFill>
              <w14:schemeClr w14:val="tx1"/>
            </w14:solidFill>
          </w14:textFill>
        </w:rPr>
      </w:pP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收费站开关闭状态采集数据项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339"/>
        <w:gridCol w:w="1125"/>
        <w:gridCol w:w="63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3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125"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31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3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收费站编号</w:t>
            </w:r>
          </w:p>
        </w:tc>
        <w:tc>
          <w:tcPr>
            <w:tcW w:w="112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tcBorders>
              <w:top w:val="single" w:color="auto" w:sz="8" w:space="0"/>
            </w:tcBorders>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标识</w:t>
            </w:r>
            <w:r>
              <w:rPr>
                <w:rFonts w:hint="eastAsia"/>
                <w:color w:val="000000" w:themeColor="text1"/>
                <w14:textFill>
                  <w14:solidFill>
                    <w14:schemeClr w14:val="tx1"/>
                  </w14:solidFill>
                </w14:textFill>
              </w:rPr>
              <w:t>收费站</w:t>
            </w:r>
            <w:r>
              <w:rPr>
                <w:color w:val="000000" w:themeColor="text1"/>
                <w14:textFill>
                  <w14:solidFill>
                    <w14:schemeClr w14:val="tx1"/>
                  </w14:solidFill>
                </w14:textFill>
              </w:rPr>
              <w:t>唯一性的</w:t>
            </w:r>
            <w:r>
              <w:rPr>
                <w:rFonts w:hint="eastAsia"/>
                <w:color w:val="000000" w:themeColor="text1"/>
                <w14:textFill>
                  <w14:solidFill>
                    <w14:schemeClr w14:val="tx1"/>
                  </w14:solidFill>
                </w14:textFill>
              </w:rPr>
              <w:t>编码，关联收费站基础信息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收费站名称</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包含行政区划和地理标识，关联收费站基础信息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整体开关闭状态</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如“1-正常开启”“2-临时关闭”“3-永久关闭”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关闭原因</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记录关闭原因，如“设备检修（收费系统升级）”“车流管控（高速主线拥堵）”“恶劣天气（暴雪封路）”“政策管制（重大活动分流）”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管控指令编号</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若因管控关闭，填写管控指令编号，关联管控文件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bookmarkStart w:id="283" w:name="_Hlk232519009"/>
            <w:r>
              <w:rPr>
                <w:rFonts w:hint="eastAsia"/>
                <w:color w:val="000000" w:themeColor="text1"/>
                <w14:textFill>
                  <w14:solidFill>
                    <w14:schemeClr w14:val="tx1"/>
                  </w14:solidFill>
                </w14:textFill>
              </w:rPr>
              <w:t>6</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预计恢复时间</w:t>
            </w:r>
          </w:p>
        </w:tc>
        <w:tc>
          <w:tcPr>
            <w:tcW w:w="1125" w:type="dxa"/>
            <w:vAlign w:val="center"/>
          </w:tcPr>
          <w:p>
            <w:pPr>
              <w:pStyle w:val="178"/>
              <w:jc w:val="left"/>
              <w:rPr>
                <w:color w:val="000000" w:themeColor="text1"/>
                <w14:textFill>
                  <w14:solidFill>
                    <w14:schemeClr w14:val="tx1"/>
                  </w14:solidFill>
                </w14:textFill>
              </w:rPr>
            </w:pPr>
            <w:bookmarkStart w:id="284" w:name="OLE_LINK182"/>
            <w:r>
              <w:rPr>
                <w:rFonts w:hint="eastAsia"/>
                <w:color w:val="000000" w:themeColor="text1"/>
                <w14:textFill>
                  <w14:solidFill>
                    <w14:schemeClr w14:val="tx1"/>
                  </w14:solidFill>
                </w14:textFill>
              </w:rPr>
              <w:t>日期时间型</w:t>
            </w:r>
            <w:bookmarkEnd w:id="284"/>
          </w:p>
        </w:tc>
        <w:tc>
          <w:tcPr>
            <w:tcW w:w="6313" w:type="dxa"/>
            <w:vAlign w:val="center"/>
          </w:tcPr>
          <w:p>
            <w:pPr>
              <w:pStyle w:val="178"/>
              <w:jc w:val="left"/>
              <w:rPr>
                <w:color w:val="000000" w:themeColor="text1"/>
                <w14:textFill>
                  <w14:solidFill>
                    <w14:schemeClr w14:val="tx1"/>
                  </w14:solidFill>
                </w14:textFill>
              </w:rPr>
            </w:pPr>
            <w:bookmarkStart w:id="285" w:name="OLE_LINK183"/>
            <w:r>
              <w:rPr>
                <w:rFonts w:hint="eastAsia"/>
                <w:color w:val="000000" w:themeColor="text1"/>
                <w14:textFill>
                  <w14:solidFill>
                    <w14:schemeClr w14:val="tx1"/>
                  </w14:solidFill>
                </w14:textFill>
              </w:rPr>
              <w:t>YYYYMMDDhhmmss，</w:t>
            </w:r>
            <w:bookmarkEnd w:id="285"/>
            <w:r>
              <w:rPr>
                <w:rFonts w:hint="eastAsia"/>
                <w:color w:val="000000" w:themeColor="text1"/>
                <w14:textFill>
                  <w14:solidFill>
                    <w14:schemeClr w14:val="tx1"/>
                  </w14:solidFill>
                </w14:textFill>
              </w:rPr>
              <w:t>“永久关闭”不需填预计恢复时间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状态变更时间</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3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YYYYMMDDhhmmss，记录开关状态切换的时间</w:t>
            </w:r>
          </w:p>
        </w:tc>
      </w:tr>
      <w:bookmarkEnd w:id="283"/>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通知渠道</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记录状态通知方式（如“收费站入口提示牌”“高速APP推送”“导航软件标注”“广播电台播报”）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3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13" w:type="dxa"/>
            <w:vAlign w:val="center"/>
          </w:tcPr>
          <w:p>
            <w:pPr>
              <w:pStyle w:val="178"/>
              <w:jc w:val="left"/>
              <w:rPr>
                <w:color w:val="000000" w:themeColor="text1"/>
                <w14:textFill>
                  <w14:solidFill>
                    <w14:schemeClr w14:val="tx1"/>
                  </w14:solidFill>
                </w14:textFill>
              </w:rPr>
            </w:pPr>
            <w:bookmarkStart w:id="286" w:name="OLE_LINK45"/>
            <w:r>
              <w:rPr>
                <w:rFonts w:hint="eastAsia"/>
                <w:color w:val="000000" w:themeColor="text1"/>
                <w14:textFill>
                  <w14:solidFill>
                    <w14:schemeClr w14:val="tx1"/>
                  </w14:solidFill>
                </w14:textFill>
              </w:rPr>
              <w:t>补充说明</w:t>
            </w:r>
            <w:bookmarkEnd w:id="286"/>
            <w:r>
              <w:rPr>
                <w:rFonts w:hint="eastAsia"/>
                <w:color w:val="000000" w:themeColor="text1"/>
                <w14:textFill>
                  <w14:solidFill>
                    <w14:schemeClr w14:val="tx1"/>
                  </w14:solidFill>
                </w14:textFill>
              </w:rPr>
              <w:t>（如“临时关闭期间，建议绕行怀化北收费站”“永久关闭后，车流合并至怀化南收费站”）</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收费站车道开关闭状态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收费站车道开关闭状态采集数据项见表A.33。</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收费站车道开关闭状态采集数据项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318"/>
        <w:gridCol w:w="981"/>
        <w:gridCol w:w="66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1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8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1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bookmarkStart w:id="287" w:name="_Hlk232519340"/>
            <w:r>
              <w:rPr>
                <w:rFonts w:hint="eastAsia"/>
                <w:color w:val="000000" w:themeColor="text1"/>
                <w14:textFill>
                  <w14:solidFill>
                    <w14:schemeClr w14:val="tx1"/>
                  </w14:solidFill>
                </w14:textFill>
              </w:rPr>
              <w:t>1</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w:t>
            </w:r>
            <w:r>
              <w:rPr>
                <w:color w:val="000000" w:themeColor="text1"/>
                <w14:textFill>
                  <w14:solidFill>
                    <w14:schemeClr w14:val="tx1"/>
                  </w14:solidFill>
                </w14:textFill>
              </w:rPr>
              <w:t>收费站</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关联收费站基础信息中的收费站编号与名称，明确车道归属</w:t>
            </w:r>
          </w:p>
        </w:tc>
      </w:tr>
      <w:bookmarkEnd w:id="28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车道编号</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标识单条车道唯一性的代码，关联收费站车道信息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车道类型</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bookmarkStart w:id="288" w:name="OLE_LINK194"/>
            <w:r>
              <w:rPr>
                <w:rFonts w:hint="eastAsia"/>
                <w:color w:val="000000" w:themeColor="text1"/>
                <w14:textFill>
                  <w14:solidFill>
                    <w14:schemeClr w14:val="tx1"/>
                  </w14:solidFill>
                </w14:textFill>
              </w:rPr>
              <w:t>类型包括“ETC入口”“ETC出口”“MTC入口”“MTC出口”“ETC/MTC 混合入口”“ETC/MTC 混合出口”等</w:t>
            </w:r>
            <w:bookmarkEnd w:id="288"/>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车道开关闭状态</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如“1-正常开启”“2-临时关闭”“3-故障关闭”“4-计划关闭（养护）”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关闭原因</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记录关闭原因，如“设备故障（ETC 天线损坏）”“车流不足（平峰期精简车道）道）”“养护施工（车道地面标线刷新）”“安全隐患（车道栏杆故障）”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故障工单编号</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适用于“故障关闭”状态，如 “GZ-GD-20251101-001，GZ代表故障，GD代表工单”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bookmarkStart w:id="289" w:name="_Hlk232520297"/>
            <w:r>
              <w:rPr>
                <w:rFonts w:hint="eastAsia"/>
                <w:color w:val="000000" w:themeColor="text1"/>
                <w14:textFill>
                  <w14:solidFill>
                    <w14:schemeClr w14:val="tx1"/>
                  </w14:solidFill>
                </w14:textFill>
              </w:rPr>
              <w:t>7</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预计恢复时间</w:t>
            </w:r>
          </w:p>
        </w:tc>
        <w:tc>
          <w:tcPr>
            <w:tcW w:w="981" w:type="dxa"/>
            <w:vAlign w:val="center"/>
          </w:tcPr>
          <w:p>
            <w:pPr>
              <w:pStyle w:val="178"/>
              <w:jc w:val="left"/>
              <w:rPr>
                <w:color w:val="000000" w:themeColor="text1"/>
                <w14:textFill>
                  <w14:solidFill>
                    <w14:schemeClr w14:val="tx1"/>
                  </w14:solidFill>
                </w14:textFill>
              </w:rPr>
            </w:pPr>
            <w:bookmarkStart w:id="290" w:name="OLE_LINK192"/>
            <w:r>
              <w:rPr>
                <w:rFonts w:hint="eastAsia"/>
                <w:color w:val="000000" w:themeColor="text1"/>
                <w14:textFill>
                  <w14:solidFill>
                    <w14:schemeClr w14:val="tx1"/>
                  </w14:solidFill>
                </w14:textFill>
              </w:rPr>
              <w:t>日期时间型</w:t>
            </w:r>
            <w:bookmarkEnd w:id="290"/>
          </w:p>
        </w:tc>
        <w:tc>
          <w:tcPr>
            <w:tcW w:w="6619" w:type="dxa"/>
            <w:vAlign w:val="center"/>
          </w:tcPr>
          <w:p>
            <w:pPr>
              <w:pStyle w:val="178"/>
              <w:jc w:val="left"/>
              <w:rPr>
                <w:color w:val="000000" w:themeColor="text1"/>
                <w14:textFill>
                  <w14:solidFill>
                    <w14:schemeClr w14:val="tx1"/>
                  </w14:solidFill>
                </w14:textFill>
              </w:rPr>
            </w:pPr>
            <w:bookmarkStart w:id="291" w:name="OLE_LINK193"/>
            <w:r>
              <w:rPr>
                <w:rFonts w:hint="eastAsia"/>
                <w:color w:val="000000" w:themeColor="text1"/>
                <w14:textFill>
                  <w14:solidFill>
                    <w14:schemeClr w14:val="tx1"/>
                  </w14:solidFill>
                </w14:textFill>
              </w:rPr>
              <w:t>YYYYMMDDhhmm</w:t>
            </w:r>
            <w:bookmarkEnd w:id="291"/>
            <w:r>
              <w:rPr>
                <w:rFonts w:hint="eastAsia"/>
                <w:color w:val="000000" w:themeColor="text1"/>
                <w14:textFill>
                  <w14:solidFill>
                    <w14:schemeClr w14:val="tx1"/>
                  </w14:solidFill>
                </w14:textFill>
              </w:rPr>
              <w:t xml:space="preserve">ss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状态变更时间</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，记录开关状态切换的时间</w:t>
            </w:r>
          </w:p>
        </w:tc>
      </w:tr>
      <w:bookmarkEnd w:id="289"/>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3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引导标识状态</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1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记录车道引导标识情况，如“正常显示（开启/关闭状态同步）”“标识故障（显示与实际状态不符）”</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收费站排队状态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收费站排队状态采集数据项见表A.34。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收费站排队状态采集数据项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276"/>
        <w:gridCol w:w="992"/>
        <w:gridCol w:w="6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7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7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w:t>
            </w:r>
            <w:r>
              <w:rPr>
                <w:color w:val="000000" w:themeColor="text1"/>
                <w14:textFill>
                  <w14:solidFill>
                    <w14:schemeClr w14:val="tx1"/>
                  </w14:solidFill>
                </w14:textFill>
              </w:rPr>
              <w:t>收费站</w:t>
            </w:r>
          </w:p>
        </w:tc>
        <w:tc>
          <w:tcPr>
            <w:tcW w:w="99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关联收费站基础信息中的收费站编号与名称，明确监测对象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监测编号</w:t>
            </w:r>
            <w:bookmarkStart w:id="292" w:name="OLE_LINK189"/>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标识单次排队监测记录唯一性的代码，如“PD-20251101-001，PD代表排队”</w:t>
            </w:r>
          </w:p>
        </w:tc>
      </w:tr>
      <w:bookmarkEnd w:id="292"/>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bookmarkStart w:id="293" w:name="_Hlk232521150"/>
            <w:r>
              <w:rPr>
                <w:rFonts w:hint="eastAsia"/>
                <w:color w:val="000000" w:themeColor="text1"/>
                <w14:textFill>
                  <w14:solidFill>
                    <w14:schemeClr w14:val="tx1"/>
                  </w14:solidFill>
                </w14:textFill>
              </w:rPr>
              <w:t>3</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监测时间</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YYYYMMDDhhmmss，每10分钟监测1次，高峰</w:t>
            </w:r>
            <w:bookmarkStart w:id="294" w:name="OLE_LINK190"/>
            <w:r>
              <w:rPr>
                <w:rFonts w:hint="eastAsia"/>
                <w:color w:val="000000" w:themeColor="text1"/>
                <w14:textFill>
                  <w14:solidFill>
                    <w14:schemeClr w14:val="tx1"/>
                  </w14:solidFill>
                </w14:textFill>
              </w:rPr>
              <w:t>时段每5分钟监测1次</w:t>
            </w:r>
          </w:p>
        </w:tc>
        <w:bookmarkStart w:id="295" w:name="OLE_LINK191"/>
      </w:tr>
      <w:bookmarkEnd w:id="293"/>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车道类型</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类型包括“ETC入口”“ETC出口”“MTC入口”“MTC出口”“ETC/MTC 混合入口”“ETC/MTC 混合出口”等，按类型统计排队情况</w:t>
            </w:r>
          </w:p>
        </w:tc>
      </w:tr>
      <w:bookmarkEnd w:id="294"/>
      <w:bookmarkEnd w:id="295"/>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排队车辆数</w:t>
            </w:r>
          </w:p>
        </w:tc>
        <w:tc>
          <w:tcPr>
            <w:tcW w:w="992" w:type="dxa"/>
            <w:vAlign w:val="center"/>
          </w:tcPr>
          <w:p>
            <w:pPr>
              <w:pStyle w:val="178"/>
              <w:jc w:val="left"/>
              <w:rPr>
                <w:color w:val="000000" w:themeColor="text1"/>
                <w14:textFill>
                  <w14:solidFill>
                    <w14:schemeClr w14:val="tx1"/>
                  </w14:solidFill>
                </w14:textFill>
              </w:rPr>
            </w:pPr>
            <w:bookmarkStart w:id="296" w:name="OLE_LINK195"/>
            <w:r>
              <w:rPr>
                <w:rFonts w:hint="eastAsia"/>
                <w:color w:val="000000" w:themeColor="text1"/>
                <w14:textFill>
                  <w14:solidFill>
                    <w14:schemeClr w14:val="tx1"/>
                  </w14:solidFill>
                </w14:textFill>
              </w:rPr>
              <w:t>数字型</w:t>
            </w:r>
            <w:bookmarkEnd w:id="296"/>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单位：辆，某类型车道当前排队的车辆总数（如“ETC 入口车道排队15辆”）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排队长度</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单位：米（m），排队车流的实际长度，通过视频识别或地感线圈测算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平均等待时间</w:t>
            </w:r>
          </w:p>
        </w:tc>
        <w:tc>
          <w:tcPr>
            <w:tcW w:w="992"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单位：秒（s），排队车辆的平均等待时长，通过车辆通行时间差计算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排队预警等级</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设定排队预警等级条件，如“无预警（排队小于5辆，等待小于60秒）”“黄色预警（排队5辆</w:t>
            </w:r>
            <w:bookmarkStart w:id="297" w:name="OLE_LINK48"/>
            <w:r>
              <w:rPr>
                <w:rFonts w:hint="eastAsia"/>
                <w:color w:val="000000" w:themeColor="text1"/>
                <w14:textFill>
                  <w14:solidFill>
                    <w14:schemeClr w14:val="tx1"/>
                  </w14:solidFill>
                </w14:textFill>
              </w:rPr>
              <w:t>～</w:t>
            </w:r>
            <w:bookmarkEnd w:id="297"/>
            <w:r>
              <w:rPr>
                <w:rFonts w:hint="eastAsia"/>
                <w:color w:val="000000" w:themeColor="text1"/>
                <w14:textFill>
                  <w14:solidFill>
                    <w14:schemeClr w14:val="tx1"/>
                  </w14:solidFill>
                </w14:textFill>
              </w:rPr>
              <w:t>15辆，等待60～180秒）”“红色预警（排队大于15辆，等待大于180秒）”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疏导措施</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记录触发预警时采取的措施，如“开启备用车道（如怀化东-ETC入口-04车道）”“安排人员引导车流（优先ETC车辆）”“通过情报板提示绕行”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7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后续监测结果</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记录疏导后的变化，如“10分钟后（08:40），MTC入口排队降至12辆，平均等待 120秒”</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分车型服务区入口流量</w:t>
      </w:r>
    </w:p>
    <w:p>
      <w:pPr>
        <w:pStyle w:val="56"/>
        <w:ind w:firstLine="420"/>
        <w:rPr>
          <w:color w:val="000000" w:themeColor="text1"/>
          <w14:textFill>
            <w14:solidFill>
              <w14:schemeClr w14:val="tx1"/>
            </w14:solidFill>
          </w14:textFill>
        </w:rPr>
      </w:pPr>
      <w:bookmarkStart w:id="298" w:name="OLE_LINK17"/>
      <w:r>
        <w:rPr>
          <w:rFonts w:hint="eastAsia"/>
          <w:color w:val="000000" w:themeColor="text1"/>
          <w14:textFill>
            <w14:solidFill>
              <w14:schemeClr w14:val="tx1"/>
            </w14:solidFill>
          </w14:textFill>
        </w:rPr>
        <w:t>分车型服务区入口流量采集数据项</w:t>
      </w:r>
      <w:bookmarkEnd w:id="298"/>
      <w:r>
        <w:rPr>
          <w:rFonts w:hint="eastAsia"/>
          <w:color w:val="000000" w:themeColor="text1"/>
          <w14:textFill>
            <w14:solidFill>
              <w14:schemeClr w14:val="tx1"/>
            </w14:solidFill>
          </w14:textFill>
        </w:rPr>
        <w:t>见表A.35。</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分车型服务区入口流量采集数据项</w:t>
      </w:r>
    </w:p>
    <w:tbl>
      <w:tblPr>
        <w:tblStyle w:val="33"/>
        <w:tblW w:w="971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95"/>
        <w:gridCol w:w="1183"/>
        <w:gridCol w:w="1016"/>
        <w:gridCol w:w="70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9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8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0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2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5" w:type="dxa"/>
            <w:tcBorders>
              <w:top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83"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服务区编号</w:t>
            </w:r>
          </w:p>
        </w:tc>
        <w:tc>
          <w:tcPr>
            <w:tcW w:w="1016"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21" w:type="dxa"/>
            <w:tcBorders>
              <w:top w:val="single" w:color="auto" w:sz="8" w:space="0"/>
            </w:tcBorders>
          </w:tcPr>
          <w:p>
            <w:pPr>
              <w:pStyle w:val="178"/>
              <w:jc w:val="left"/>
              <w:rPr>
                <w:color w:val="000000" w:themeColor="text1"/>
                <w14:textFill>
                  <w14:solidFill>
                    <w14:schemeClr w14:val="tx1"/>
                  </w14:solidFill>
                </w14:textFill>
              </w:rPr>
            </w:pPr>
            <w:bookmarkStart w:id="299" w:name="OLE_LINK56"/>
            <w:r>
              <w:rPr>
                <w:rFonts w:hint="eastAsia"/>
                <w:color w:val="000000" w:themeColor="text1"/>
                <w14:textFill>
                  <w14:solidFill>
                    <w14:schemeClr w14:val="tx1"/>
                  </w14:solidFill>
                </w14:textFill>
              </w:rPr>
              <w:t>标识服务区唯一性的代码</w:t>
            </w:r>
            <w:bookmarkEnd w:id="299"/>
            <w:r>
              <w:rPr>
                <w:rFonts w:hint="eastAsia"/>
                <w:color w:val="000000" w:themeColor="text1"/>
                <w14:textFill>
                  <w14:solidFill>
                    <w14:schemeClr w14:val="tx1"/>
                  </w14:solidFill>
                </w14:textFill>
              </w:rPr>
              <w:t>，如“G60 娄底湾服务区”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5"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8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入口时间</w:t>
            </w:r>
          </w:p>
        </w:tc>
        <w:tc>
          <w:tcPr>
            <w:tcW w:w="1016" w:type="dxa"/>
          </w:tcPr>
          <w:p>
            <w:pPr>
              <w:pStyle w:val="178"/>
              <w:jc w:val="left"/>
              <w:rPr>
                <w:color w:val="000000" w:themeColor="text1"/>
                <w14:textFill>
                  <w14:solidFill>
                    <w14:schemeClr w14:val="tx1"/>
                  </w14:solidFill>
                </w14:textFill>
              </w:rPr>
            </w:pPr>
            <w:bookmarkStart w:id="300" w:name="OLE_LINK176"/>
            <w:r>
              <w:rPr>
                <w:rFonts w:hint="eastAsia"/>
                <w:color w:val="000000" w:themeColor="text1"/>
                <w14:textFill>
                  <w14:solidFill>
                    <w14:schemeClr w14:val="tx1"/>
                  </w14:solidFill>
                </w14:textFill>
              </w:rPr>
              <w:t>日期时间型</w:t>
            </w:r>
            <w:bookmarkEnd w:id="300"/>
          </w:p>
        </w:tc>
        <w:tc>
          <w:tcPr>
            <w:tcW w:w="7021" w:type="dxa"/>
          </w:tcPr>
          <w:p>
            <w:pPr>
              <w:pStyle w:val="178"/>
              <w:jc w:val="left"/>
              <w:rPr>
                <w:color w:val="000000" w:themeColor="text1"/>
                <w14:textFill>
                  <w14:solidFill>
                    <w14:schemeClr w14:val="tx1"/>
                  </w14:solidFill>
                </w14:textFill>
              </w:rPr>
            </w:pPr>
            <w:bookmarkStart w:id="301" w:name="OLE_LINK173"/>
            <w:r>
              <w:rPr>
                <w:rFonts w:hint="eastAsia"/>
                <w:color w:val="000000" w:themeColor="text1"/>
                <w14:textFill>
                  <w14:solidFill>
                    <w14:schemeClr w14:val="tx1"/>
                  </w14:solidFill>
                </w14:textFill>
              </w:rPr>
              <w:t>YYYYMMDD</w:t>
            </w:r>
            <w:bookmarkEnd w:id="301"/>
            <w:r>
              <w:rPr>
                <w:rFonts w:hint="eastAsia"/>
                <w:color w:val="000000" w:themeColor="text1"/>
                <w14:textFill>
                  <w14:solidFill>
                    <w14:schemeClr w14:val="tx1"/>
                  </w14:solidFill>
                </w14:textFill>
              </w:rPr>
              <w:t>hhmmss，统计周期结束时间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5"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8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101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2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r>
              <w:rPr>
                <w:rFonts w:hint="eastAsia"/>
                <w:color w:val="000000" w:themeColor="text1"/>
                <w14:textFill>
                  <w14:solidFill>
                    <w14:schemeClr w14:val="tx1"/>
                  </w14:solidFill>
                </w14:textFill>
              </w:rPr>
              <w:t>，用于不同车型服务区停留需求分析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5"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83"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车流量</w:t>
            </w:r>
          </w:p>
        </w:tc>
        <w:tc>
          <w:tcPr>
            <w:tcW w:w="1016"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2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单位：辆，统计周期内进入服务区的对应车型数量，支持高峰时段预警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5" w:type="dxa"/>
            <w:vAlign w:val="center"/>
          </w:tcPr>
          <w:p>
            <w:pPr>
              <w:pStyle w:val="178"/>
              <w:rPr>
                <w:color w:val="000000" w:themeColor="text1"/>
                <w14:textFill>
                  <w14:solidFill>
                    <w14:schemeClr w14:val="tx1"/>
                  </w14:solidFill>
                </w14:textFill>
              </w:rPr>
            </w:pPr>
            <w:bookmarkStart w:id="302" w:name="OLE_LINK178"/>
            <w:r>
              <w:rPr>
                <w:rFonts w:hint="eastAsia"/>
                <w:color w:val="000000" w:themeColor="text1"/>
                <w14:textFill>
                  <w14:solidFill>
                    <w14:schemeClr w14:val="tx1"/>
                  </w14:solidFill>
                </w14:textFill>
              </w:rPr>
              <w:t>5</w:t>
            </w:r>
          </w:p>
        </w:tc>
        <w:tc>
          <w:tcPr>
            <w:tcW w:w="11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采集日期</w:t>
            </w:r>
          </w:p>
        </w:tc>
        <w:tc>
          <w:tcPr>
            <w:tcW w:w="10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70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w:t>
            </w:r>
          </w:p>
        </w:tc>
        <w:tc>
          <w:tcPr>
            <w:tcW w:w="101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采集小时，范围0～23，比如6 ，18</w:t>
            </w:r>
          </w:p>
        </w:tc>
      </w:tr>
      <w:bookmarkEnd w:id="302"/>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分车型服务区出口流量</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分车型服务区出口流量采集数据项见表A.36。</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分车型服务区出口流量采集数据项</w:t>
      </w:r>
    </w:p>
    <w:tbl>
      <w:tblPr>
        <w:tblStyle w:val="33"/>
        <w:tblW w:w="964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82"/>
        <w:gridCol w:w="1200"/>
        <w:gridCol w:w="1157"/>
        <w:gridCol w:w="680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8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0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1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0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2" w:type="dxa"/>
            <w:tcBorders>
              <w:top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00"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服务区编号</w:t>
            </w:r>
          </w:p>
        </w:tc>
        <w:tc>
          <w:tcPr>
            <w:tcW w:w="1157"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04"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标识服务区唯一性的代码，如“G60 娄底湾服务区”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2"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0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出口时间</w:t>
            </w:r>
          </w:p>
        </w:tc>
        <w:tc>
          <w:tcPr>
            <w:tcW w:w="1157" w:type="dxa"/>
          </w:tcPr>
          <w:p>
            <w:pPr>
              <w:pStyle w:val="178"/>
              <w:jc w:val="left"/>
              <w:rPr>
                <w:color w:val="000000" w:themeColor="text1"/>
                <w14:textFill>
                  <w14:solidFill>
                    <w14:schemeClr w14:val="tx1"/>
                  </w14:solidFill>
                </w14:textFill>
              </w:rPr>
            </w:pPr>
            <w:bookmarkStart w:id="303" w:name="OLE_LINK179"/>
            <w:r>
              <w:rPr>
                <w:rFonts w:hint="eastAsia"/>
                <w:color w:val="000000" w:themeColor="text1"/>
                <w14:textFill>
                  <w14:solidFill>
                    <w14:schemeClr w14:val="tx1"/>
                  </w14:solidFill>
                </w14:textFill>
              </w:rPr>
              <w:t>日期时间型</w:t>
            </w:r>
            <w:bookmarkEnd w:id="303"/>
          </w:p>
        </w:tc>
        <w:tc>
          <w:tcPr>
            <w:tcW w:w="6804" w:type="dxa"/>
          </w:tcPr>
          <w:p>
            <w:pPr>
              <w:pStyle w:val="178"/>
              <w:jc w:val="left"/>
              <w:rPr>
                <w:color w:val="000000" w:themeColor="text1"/>
                <w14:textFill>
                  <w14:solidFill>
                    <w14:schemeClr w14:val="tx1"/>
                  </w14:solidFill>
                </w14:textFill>
              </w:rPr>
            </w:pPr>
            <w:bookmarkStart w:id="304" w:name="OLE_LINK180"/>
            <w:r>
              <w:rPr>
                <w:rFonts w:hint="eastAsia"/>
                <w:color w:val="000000" w:themeColor="text1"/>
                <w14:textFill>
                  <w14:solidFill>
                    <w14:schemeClr w14:val="tx1"/>
                  </w14:solidFill>
                </w14:textFill>
              </w:rPr>
              <w:t>YYYYMMDDhhmmss，</w:t>
            </w:r>
            <w:bookmarkEnd w:id="304"/>
            <w:r>
              <w:rPr>
                <w:rFonts w:hint="eastAsia"/>
                <w:color w:val="000000" w:themeColor="text1"/>
                <w14:textFill>
                  <w14:solidFill>
                    <w14:schemeClr w14:val="tx1"/>
                  </w14:solidFill>
                </w14:textFill>
              </w:rPr>
              <w:t>与入口统计周期同步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2"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0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115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0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r>
              <w:rPr>
                <w:rFonts w:hint="eastAsia"/>
                <w:color w:val="000000" w:themeColor="text1"/>
                <w14:textFill>
                  <w14:solidFill>
                    <w14:schemeClr w14:val="tx1"/>
                  </w14:solidFill>
                </w14:textFill>
              </w:rPr>
              <w:t>，用于不同车型服务区停留需求分析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2"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00"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车流量</w:t>
            </w:r>
          </w:p>
        </w:tc>
        <w:tc>
          <w:tcPr>
            <w:tcW w:w="115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04"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单位：辆，统计周期内离开服务区的对应车型数量，反映服务区周转效率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2" w:type="dxa"/>
          </w:tcPr>
          <w:p>
            <w:pPr>
              <w:pStyle w:val="178"/>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5</w:t>
            </w:r>
          </w:p>
        </w:tc>
        <w:tc>
          <w:tcPr>
            <w:tcW w:w="1200"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采集日期</w:t>
            </w:r>
          </w:p>
        </w:tc>
        <w:tc>
          <w:tcPr>
            <w:tcW w:w="1157"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日期型</w:t>
            </w:r>
          </w:p>
        </w:tc>
        <w:tc>
          <w:tcPr>
            <w:tcW w:w="6804"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YYYYMMDD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2" w:type="dxa"/>
          </w:tcPr>
          <w:p>
            <w:pPr>
              <w:pStyle w:val="178"/>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6</w:t>
            </w:r>
          </w:p>
        </w:tc>
        <w:tc>
          <w:tcPr>
            <w:tcW w:w="1200"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采集时间</w:t>
            </w:r>
          </w:p>
        </w:tc>
        <w:tc>
          <w:tcPr>
            <w:tcW w:w="1157"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数字型</w:t>
            </w:r>
          </w:p>
        </w:tc>
        <w:tc>
          <w:tcPr>
            <w:tcW w:w="6804" w:type="dxa"/>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采集小时，范围0～23，比如6 ，18</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服务区停留时长</w:t>
      </w:r>
    </w:p>
    <w:p>
      <w:pPr>
        <w:pStyle w:val="56"/>
        <w:ind w:firstLine="420"/>
        <w:rPr>
          <w:color w:val="000000" w:themeColor="text1"/>
          <w14:textFill>
            <w14:solidFill>
              <w14:schemeClr w14:val="tx1"/>
            </w14:solidFill>
          </w14:textFill>
        </w:rPr>
      </w:pPr>
      <w:bookmarkStart w:id="305" w:name="OLE_LINK18"/>
      <w:r>
        <w:rPr>
          <w:rFonts w:hint="eastAsia"/>
          <w:color w:val="000000" w:themeColor="text1"/>
          <w14:textFill>
            <w14:solidFill>
              <w14:schemeClr w14:val="tx1"/>
            </w14:solidFill>
          </w14:textFill>
        </w:rPr>
        <w:t>服务区停留时长采集数据项</w:t>
      </w:r>
      <w:bookmarkEnd w:id="305"/>
      <w:r>
        <w:rPr>
          <w:rFonts w:hint="eastAsia"/>
          <w:color w:val="000000" w:themeColor="text1"/>
          <w14:textFill>
            <w14:solidFill>
              <w14:schemeClr w14:val="tx1"/>
            </w14:solidFill>
          </w14:textFill>
        </w:rPr>
        <w:t>见表A.37。</w:t>
      </w: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服务区停留时长采集数据项</w:t>
      </w:r>
    </w:p>
    <w:tbl>
      <w:tblPr>
        <w:tblStyle w:val="33"/>
        <w:tblW w:w="972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90"/>
        <w:gridCol w:w="1217"/>
        <w:gridCol w:w="1171"/>
        <w:gridCol w:w="68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9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1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17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4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0"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1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服务区编号</w:t>
            </w:r>
          </w:p>
        </w:tc>
        <w:tc>
          <w:tcPr>
            <w:tcW w:w="117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标识服务区唯一性的代码，如“G60 娄底湾服务区”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车辆的牌照号码，识别准确率要求见GA/T 833，关联进出服务区记录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697.7—2022的6.6，识别准确率要求见GA/T 833，辅助车牌唯一性确认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17"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117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分类见</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r>
              <w:rPr>
                <w:rFonts w:hint="eastAsia"/>
                <w:color w:val="000000" w:themeColor="text1"/>
                <w14:textFill>
                  <w14:solidFill>
                    <w14:schemeClr w14:val="tx1"/>
                  </w14:solidFill>
                </w14:textFill>
              </w:rPr>
              <w:t>，用于不同车型停留时长差异分析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进入时间</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YYYYMMDDhhmmss，车辆进入服务区的精确时间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9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离开时间</w:t>
            </w:r>
          </w:p>
        </w:tc>
        <w:tc>
          <w:tcPr>
            <w:tcW w:w="117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日期时间型</w:t>
            </w:r>
          </w:p>
        </w:tc>
        <w:tc>
          <w:tcPr>
            <w:tcW w:w="6842"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YYYYMMDDhhmmss，</w:t>
            </w:r>
            <w:r>
              <w:rPr>
                <w:rFonts w:hint="eastAsia"/>
                <w:color w:val="000000" w:themeColor="text1"/>
                <w14:textFill>
                  <w14:solidFill>
                    <w14:schemeClr w14:val="tx1"/>
                  </w14:solidFill>
                </w14:textFill>
              </w:rPr>
              <w:t>车辆离开服务区的精确时间</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服务区停车管理</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服务区停车管理采集数据项见表A.38。</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服务区停车管理采集数据项</w:t>
      </w:r>
    </w:p>
    <w:tbl>
      <w:tblPr>
        <w:tblStyle w:val="33"/>
        <w:tblW w:w="947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134"/>
        <w:gridCol w:w="952"/>
        <w:gridCol w:w="69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5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97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所属服务区</w:t>
            </w:r>
          </w:p>
        </w:tc>
        <w:tc>
          <w:tcPr>
            <w:tcW w:w="95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7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关联服务区基础信息中的服务区编号与名称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监测时间</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YYYYMMDDhhmmss，宜每15分钟更新1次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停车场类型</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记录停车场类型，类型包括“小型车停车场”“货车停车场”“新能源车专用停车场”“无障碍停车场”等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车位数量</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单位：个，停车场的总车位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剩余车位数量</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当前可用车位（如“小型车剩余35个，货车剩余12个，新能源车专用剩余 8个”）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车位使用率</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计算公式：（1</w:t>
            </w:r>
            <w:r>
              <w:rPr>
                <w:rFonts w:hint="eastAsia" w:hAnsi="宋体"/>
                <w:color w:val="000000" w:themeColor="text1"/>
                <w14:textFill>
                  <w14:solidFill>
                    <w14:schemeClr w14:val="tx1"/>
                  </w14:solidFill>
                </w14:textFill>
              </w:rPr>
              <w:t>-</w:t>
            </w:r>
            <w:r>
              <w:rPr>
                <w:rFonts w:hint="eastAsia"/>
                <w:color w:val="000000" w:themeColor="text1"/>
                <w14:textFill>
                  <w14:solidFill>
                    <w14:schemeClr w14:val="tx1"/>
                  </w14:solidFill>
                </w14:textFill>
              </w:rPr>
              <w:t>剩余车位数量/总车位数量）×100％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限流措施</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记录采取的限流措施，如“启用临时限流，引导小型车前往下一服务区（G60-绍兴服务区）”“安排人员疏导货车，避免占道停车”；设定触发条件（如使用率大于等于90％时触发）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异常停车记录</w:t>
            </w:r>
          </w:p>
        </w:tc>
        <w:tc>
          <w:tcPr>
            <w:tcW w:w="95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记录异常停车情况，如“小型车占用货车车位（车牌湘A XXXXX，已劝导驶离）”</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服务区整体运营状态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服务区整体运营状态采集数据项见表A.39。</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服务区整体运营状态采集数据项</w:t>
      </w:r>
    </w:p>
    <w:tbl>
      <w:tblPr>
        <w:tblStyle w:val="33"/>
        <w:tblW w:w="946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34"/>
        <w:gridCol w:w="1200"/>
        <w:gridCol w:w="981"/>
        <w:gridCol w:w="68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0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8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5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0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服务区编号</w:t>
            </w:r>
          </w:p>
        </w:tc>
        <w:tc>
          <w:tcPr>
            <w:tcW w:w="98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50" w:type="dxa"/>
            <w:tcBorders>
              <w:top w:val="single" w:color="auto" w:sz="8" w:space="0"/>
            </w:tcBorders>
            <w:vAlign w:val="center"/>
          </w:tcPr>
          <w:p>
            <w:pPr>
              <w:pStyle w:val="178"/>
              <w:jc w:val="left"/>
              <w:rPr>
                <w:color w:val="000000" w:themeColor="text1"/>
                <w14:textFill>
                  <w14:solidFill>
                    <w14:schemeClr w14:val="tx1"/>
                  </w14:solidFill>
                </w14:textFill>
              </w:rPr>
            </w:pPr>
            <w:bookmarkStart w:id="306" w:name="OLE_LINK196"/>
            <w:r>
              <w:rPr>
                <w:rFonts w:hint="eastAsia"/>
                <w:color w:val="000000" w:themeColor="text1"/>
                <w14:textFill>
                  <w14:solidFill>
                    <w14:schemeClr w14:val="tx1"/>
                  </w14:solidFill>
                </w14:textFill>
              </w:rPr>
              <w:t>标识服务区</w:t>
            </w:r>
            <w:r>
              <w:rPr>
                <w:color w:val="000000" w:themeColor="text1"/>
                <w14:textFill>
                  <w14:solidFill>
                    <w14:schemeClr w14:val="tx1"/>
                  </w14:solidFill>
                </w14:textFill>
              </w:rPr>
              <w:t>唯一性的代码</w:t>
            </w:r>
            <w:r>
              <w:rPr>
                <w:rFonts w:hint="eastAsia"/>
                <w:color w:val="000000" w:themeColor="text1"/>
                <w14:textFill>
                  <w14:solidFill>
                    <w14:schemeClr w14:val="tx1"/>
                  </w14:solidFill>
                </w14:textFill>
              </w:rPr>
              <w:t>，关联服务区基础信息</w:t>
            </w:r>
            <w:bookmarkEnd w:id="30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服务区名称</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包含地理标识，，关联服务区基础信息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整体运营状态</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50" w:type="dxa"/>
            <w:vAlign w:val="center"/>
          </w:tcPr>
          <w:p>
            <w:pPr>
              <w:pStyle w:val="178"/>
              <w:jc w:val="left"/>
              <w:rPr>
                <w:color w:val="000000" w:themeColor="text1"/>
                <w14:textFill>
                  <w14:solidFill>
                    <w14:schemeClr w14:val="tx1"/>
                  </w14:solidFill>
                </w14:textFill>
              </w:rPr>
            </w:pPr>
            <w:bookmarkStart w:id="307" w:name="OLE_LINK202"/>
            <w:r>
              <w:rPr>
                <w:rFonts w:hint="eastAsia"/>
                <w:color w:val="000000" w:themeColor="text1"/>
                <w14:textFill>
                  <w14:solidFill>
                    <w14:schemeClr w14:val="tx1"/>
                  </w14:solidFill>
                </w14:textFill>
              </w:rPr>
              <w:t>记录整体运营状态，</w:t>
            </w:r>
            <w:bookmarkEnd w:id="307"/>
            <w:r>
              <w:rPr>
                <w:rFonts w:hint="eastAsia"/>
                <w:color w:val="000000" w:themeColor="text1"/>
                <w14:textFill>
                  <w14:solidFill>
                    <w14:schemeClr w14:val="tx1"/>
                  </w14:solidFill>
                </w14:textFill>
              </w:rPr>
              <w:t>如“正常运营”“部分功能关闭”“临时停业”“升级改造中”等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功能关闭详情</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记录关闭功能，如“餐饮区（仅快餐档口开放，小吃档口关闭）”“购物区（超市正常，特产店关闭）”“卫生间（1号卫生间维修，2号正常）”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00" w:type="dxa"/>
            <w:vAlign w:val="center"/>
          </w:tcPr>
          <w:p>
            <w:pPr>
              <w:pStyle w:val="178"/>
              <w:jc w:val="left"/>
              <w:rPr>
                <w:color w:val="000000" w:themeColor="text1"/>
                <w14:textFill>
                  <w14:solidFill>
                    <w14:schemeClr w14:val="tx1"/>
                  </w14:solidFill>
                </w14:textFill>
              </w:rPr>
            </w:pPr>
            <w:bookmarkStart w:id="308" w:name="OLE_LINK197"/>
            <w:r>
              <w:rPr>
                <w:rFonts w:hint="eastAsia"/>
                <w:color w:val="000000" w:themeColor="text1"/>
                <w14:textFill>
                  <w14:solidFill>
                    <w14:schemeClr w14:val="tx1"/>
                  </w14:solidFill>
                </w14:textFill>
              </w:rPr>
              <w:t>关闭/改造</w:t>
            </w:r>
            <w:bookmarkEnd w:id="308"/>
            <w:r>
              <w:rPr>
                <w:rFonts w:hint="eastAsia"/>
                <w:color w:val="000000" w:themeColor="text1"/>
                <w14:textFill>
                  <w14:solidFill>
                    <w14:schemeClr w14:val="tx1"/>
                  </w14:solidFill>
                </w14:textFill>
              </w:rPr>
              <w:t>原因</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记录关闭/改造原因，如“水电检修（临时停业4小时）”“客流饱和（停车场限流）”“升级改造（提升餐饮容量）”“疫情防控（限流50％）”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bookmarkStart w:id="309" w:name="_Hlk232520631"/>
            <w:r>
              <w:rPr>
                <w:rFonts w:hint="eastAsia"/>
                <w:color w:val="000000" w:themeColor="text1"/>
                <w14:textFill>
                  <w14:solidFill>
                    <w14:schemeClr w14:val="tx1"/>
                  </w14:solidFill>
                </w14:textFill>
              </w:rPr>
              <w:t>6</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预计恢复时间</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状态变更时间</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YYYYMMDDhhmmss，记录开关状态切换的时间</w:t>
            </w:r>
          </w:p>
        </w:tc>
      </w:tr>
      <w:bookmarkEnd w:id="309"/>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实时客流人数</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单位：人，定期统计（如每30分钟统计1次），设定饱和预警条件（如“客流大于等于设计容量80％时”）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4"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0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信息发布渠道</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记录状态通知方式，如“服务区入口情报板”“高速APP”“导航软件”“服务区公众号”</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服务区能源补给设施营业状态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服务区能源补给设施营业状态采集数据项见表A.40。</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服务区能源补给设施营业状态采集数据项</w:t>
      </w:r>
    </w:p>
    <w:tbl>
      <w:tblPr>
        <w:tblStyle w:val="33"/>
        <w:tblW w:w="951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330"/>
        <w:gridCol w:w="929"/>
        <w:gridCol w:w="68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3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2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4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3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所属服务区</w:t>
            </w:r>
          </w:p>
        </w:tc>
        <w:tc>
          <w:tcPr>
            <w:tcW w:w="92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关联服务区基础信息中的服务区编号与名称，明确设施归属</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能源设施类型</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类型包括“加油站”“加气站”“加氢站”“充电站”“电池更换站”等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可供应能源规格</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字符型数组</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如“加油站：92#/95#/98# 汽油，0# 柴油”“加气站：LNG（液化天然气）”“加氢站：35MPa 高压氢”“充电站：直流快充（60kW/120kW）”</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整体营业状态</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记录整体运营状态，如“正常营业”“临时关闭”“部分设备故障”“计划性检修”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关闭/故障原因</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记录关闭/故障原因，如：“加油站：油罐车未到（无95#汽油）”“充电站：2个充电桩故障，3个正常”“电池更换站：电池库存不足（仅剩5块满电电池）”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预计恢复时间</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状态变更时间</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YYYYMMDDhhmmss，记录开关状态切换的时间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排队情况</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记录当前排队车辆情况，如“加油站排队5辆（汽油车3辆，柴油车2辆）”“充电站无排队，可直接充电”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33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服务人员信息</w:t>
            </w:r>
          </w:p>
        </w:tc>
        <w:tc>
          <w:tcPr>
            <w:tcW w:w="92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4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记录“服务人员姓名+联系方式+在岗状态”</w:t>
            </w:r>
            <w:r>
              <w:rPr>
                <w:color w:val="000000" w:themeColor="text1"/>
                <w14:textFill>
                  <w14:solidFill>
                    <w14:schemeClr w14:val="tx1"/>
                  </w14:solidFill>
                </w14:textFill>
              </w:rPr>
              <w:t xml:space="preserve"> </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可变信息标志信息发布</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可变信息标志信息发布采集数据项见表A.41。</w:t>
      </w:r>
    </w:p>
    <w:p>
      <w:pPr>
        <w:pStyle w:val="77"/>
        <w:spacing w:before="156" w:after="156"/>
        <w:rPr>
          <w:color w:val="000000" w:themeColor="text1"/>
          <w14:textFill>
            <w14:solidFill>
              <w14:schemeClr w14:val="tx1"/>
            </w14:solidFill>
          </w14:textFill>
        </w:rPr>
      </w:pPr>
      <w:bookmarkStart w:id="310" w:name="OLE_LINK53"/>
      <w:r>
        <w:rPr>
          <w:rFonts w:hint="eastAsia"/>
          <w:color w:val="000000" w:themeColor="text1"/>
          <w14:textFill>
            <w14:solidFill>
              <w14:schemeClr w14:val="tx1"/>
            </w14:solidFill>
          </w14:textFill>
        </w:rPr>
        <w:t>可变信息标志</w:t>
      </w:r>
      <w:bookmarkEnd w:id="310"/>
      <w:r>
        <w:rPr>
          <w:rFonts w:hint="eastAsia"/>
          <w:color w:val="000000" w:themeColor="text1"/>
          <w14:textFill>
            <w14:solidFill>
              <w14:schemeClr w14:val="tx1"/>
            </w14:solidFill>
          </w14:textFill>
        </w:rPr>
        <w:t>信息发布采集数据项</w:t>
      </w:r>
    </w:p>
    <w:tbl>
      <w:tblPr>
        <w:tblStyle w:val="33"/>
        <w:tblW w:w="947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371"/>
        <w:gridCol w:w="993"/>
        <w:gridCol w:w="65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7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4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7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99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标识信息发布设备唯一性的代码，如“KB-G60-K120-01，KB代表可变信息标志”，明确发布设备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设备位置</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bookmarkStart w:id="311" w:name="OLE_LINK121"/>
            <w:r>
              <w:rPr>
                <w:rFonts w:hint="eastAsia"/>
                <w:color w:val="000000" w:themeColor="text1"/>
                <w14:textFill>
                  <w14:solidFill>
                    <w14:schemeClr w14:val="tx1"/>
                  </w14:solidFill>
                </w14:textFill>
              </w:rPr>
              <w:t>如“G60 K120+300 上行，距离XX站XX公里”；明确标志安装位置</w:t>
            </w:r>
            <w:bookmarkEnd w:id="311"/>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71" w:type="dxa"/>
            <w:vAlign w:val="center"/>
          </w:tcPr>
          <w:p>
            <w:pPr>
              <w:pStyle w:val="178"/>
              <w:jc w:val="left"/>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信息发布编号</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标识单次信息发布唯一性的代码，如“KB-XX-20251101-001”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信息发布时间</w:t>
            </w:r>
          </w:p>
        </w:tc>
        <w:tc>
          <w:tcPr>
            <w:tcW w:w="993" w:type="dxa"/>
            <w:vAlign w:val="center"/>
          </w:tcPr>
          <w:p>
            <w:pPr>
              <w:pStyle w:val="178"/>
              <w:jc w:val="left"/>
              <w:rPr>
                <w:color w:val="000000" w:themeColor="text1"/>
                <w14:textFill>
                  <w14:solidFill>
                    <w14:schemeClr w14:val="tx1"/>
                  </w14:solidFill>
                </w14:textFill>
              </w:rPr>
            </w:pPr>
            <w:bookmarkStart w:id="312" w:name="OLE_LINK62"/>
            <w:r>
              <w:rPr>
                <w:rFonts w:hint="eastAsia"/>
                <w:color w:val="000000" w:themeColor="text1"/>
                <w14:textFill>
                  <w14:solidFill>
                    <w14:schemeClr w14:val="tx1"/>
                  </w14:solidFill>
                </w14:textFill>
              </w:rPr>
              <w:t>日期时间型</w:t>
            </w:r>
            <w:bookmarkEnd w:id="312"/>
          </w:p>
        </w:tc>
        <w:tc>
          <w:tcPr>
            <w:tcW w:w="6549" w:type="dxa"/>
            <w:vAlign w:val="center"/>
          </w:tcPr>
          <w:p>
            <w:pPr>
              <w:pStyle w:val="178"/>
              <w:jc w:val="left"/>
              <w:rPr>
                <w:color w:val="000000" w:themeColor="text1"/>
                <w14:textFill>
                  <w14:solidFill>
                    <w14:schemeClr w14:val="tx1"/>
                  </w14:solidFill>
                </w14:textFill>
              </w:rPr>
            </w:pPr>
            <w:bookmarkStart w:id="313" w:name="OLE_LINK64"/>
            <w:bookmarkStart w:id="314" w:name="OLE_LINK63"/>
            <w:r>
              <w:rPr>
                <w:rFonts w:hint="eastAsia"/>
                <w:color w:val="000000" w:themeColor="text1"/>
                <w14:textFill>
                  <w14:solidFill>
                    <w14:schemeClr w14:val="tx1"/>
                  </w14:solidFill>
                </w14:textFill>
              </w:rPr>
              <w:t>YYYYMMDDhh</w:t>
            </w:r>
            <w:bookmarkEnd w:id="313"/>
            <w:r>
              <w:rPr>
                <w:rFonts w:hint="eastAsia"/>
                <w:color w:val="000000" w:themeColor="text1"/>
                <w14:textFill>
                  <w14:solidFill>
                    <w14:schemeClr w14:val="tx1"/>
                  </w14:solidFill>
                </w14:textFill>
              </w:rPr>
              <w:t>mmss</w:t>
            </w:r>
            <w:bookmarkEnd w:id="314"/>
            <w:r>
              <w:rPr>
                <w:rFonts w:hint="eastAsia"/>
                <w:color w:val="000000" w:themeColor="text1"/>
                <w14:textFill>
                  <w14:solidFill>
                    <w14:schemeClr w14:val="tx1"/>
                  </w14:solidFill>
                </w14:textFill>
              </w:rPr>
              <w:t>，记录信息发布时间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信息有效期</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549" w:type="dxa"/>
            <w:vAlign w:val="center"/>
          </w:tcPr>
          <w:p>
            <w:pPr>
              <w:pStyle w:val="178"/>
              <w:jc w:val="left"/>
              <w:rPr>
                <w:color w:val="000000" w:themeColor="text1"/>
                <w14:textFill>
                  <w14:solidFill>
                    <w14:schemeClr w14:val="tx1"/>
                  </w14:solidFill>
                </w14:textFill>
              </w:rPr>
            </w:pPr>
            <w:bookmarkStart w:id="315" w:name="OLE_LINK131"/>
            <w:r>
              <w:rPr>
                <w:rFonts w:hint="eastAsia"/>
                <w:color w:val="000000" w:themeColor="text1"/>
                <w14:textFill>
                  <w14:solidFill>
                    <w14:schemeClr w14:val="tx1"/>
                  </w14:solidFill>
                </w14:textFill>
              </w:rPr>
              <w:t>YYYYMMDDhhmm</w:t>
            </w:r>
            <w:bookmarkEnd w:id="315"/>
            <w:r>
              <w:rPr>
                <w:rFonts w:hint="eastAsia"/>
                <w:color w:val="000000" w:themeColor="text1"/>
                <w14:textFill>
                  <w14:solidFill>
                    <w14:schemeClr w14:val="tx1"/>
                  </w14:solidFill>
                </w14:textFill>
              </w:rPr>
              <w:t>ss，到期自动切换或清除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信息类型</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信息类型包括“1-路况预警”“2-收费站提示”“3-天气预警”“4-施工提示”“5-政策通知”等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发布内容</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w:t>
            </w:r>
            <w:bookmarkStart w:id="316" w:name="OLE_LINK114"/>
            <w:r>
              <w:rPr>
                <w:rFonts w:hint="eastAsia"/>
                <w:color w:val="000000" w:themeColor="text1"/>
                <w14:textFill>
                  <w14:solidFill>
                    <w14:schemeClr w14:val="tx1"/>
                  </w14:solidFill>
                </w14:textFill>
              </w:rPr>
              <w:t>录发布</w:t>
            </w:r>
            <w:bookmarkEnd w:id="316"/>
            <w:r>
              <w:rPr>
                <w:rFonts w:hint="eastAsia"/>
                <w:color w:val="000000" w:themeColor="text1"/>
                <w14:textFill>
                  <w14:solidFill>
                    <w14:schemeClr w14:val="tx1"/>
                  </w14:solidFill>
                </w14:textFill>
              </w:rPr>
              <w:t>内容，如“前方K125段事故，车道缩减，建议减速慢行（限速 60 km/h）” “暴雨预警，注意行车安全”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显示格式</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格式包括字体、颜色、滚动方式，如“字体：宋体24号，颜色：红底白字，滚动方式：静态显示（重要预警）”“黄底黑字，滚动显示（常规提示）”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更新 / 撤销记录</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记录后续操作，如“12:30 更新内容为‘前方事故已处理，恢复正常通行’”“13:30 撤销该信息，显示默认路况”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3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发布责任人信息</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4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记录“发布责任人姓名+部门”，明确发布责任主体</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可变信息标志设备状态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可变信息标志设备状态采集数据项见表A.42。</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可变信息标志设备状态采集数据项</w:t>
      </w:r>
    </w:p>
    <w:tbl>
      <w:tblPr>
        <w:tblStyle w:val="33"/>
        <w:tblW w:w="949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171"/>
        <w:gridCol w:w="970"/>
        <w:gridCol w:w="67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7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7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79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7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97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标识信息发布设备唯一性的代码，如“KB-G60-K120-01，KB代表可变信息标志”，明确发布设备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设备位置</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 K120+300 上行，距离XX站XX公里”；明确标志安装位置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设备型号</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记录设备型号规格（如“P16户外全彩LED 屏，尺寸3 m×1.5 m”），关联设备参数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状态监测时间</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YYYYMMDDhhmm，每30分钟自动监测1次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设备监测参数</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记录关键参数，如“亮度：800 cd/㎡（符合户外标准）”“温度：35 ℃（正常范围 0 ℃～50 ℃）”“供电电压：220 V（稳定）”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实时运行状态</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状态包括“正常运行”“显示异常”“无显示”“控制模块故障”“网络离线”等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故障详情</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如“显示异常：右侧1/4 区域黑屏（LED 灯珠损坏）”“网络离线：无法接收调度中心指令（SIM 卡无信号）”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故障工单编号</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 “GZ-KB-20251101-001，GZ代表故障，KB代表可变信息标志”，关联设备维修记录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上次维护时间</w:t>
            </w:r>
          </w:p>
        </w:tc>
        <w:tc>
          <w:tcPr>
            <w:tcW w:w="970" w:type="dxa"/>
            <w:vAlign w:val="center"/>
          </w:tcPr>
          <w:p>
            <w:pPr>
              <w:pStyle w:val="178"/>
              <w:jc w:val="left"/>
              <w:rPr>
                <w:color w:val="000000" w:themeColor="text1"/>
                <w14:textFill>
                  <w14:solidFill>
                    <w14:schemeClr w14:val="tx1"/>
                  </w14:solidFill>
                </w14:textFill>
              </w:rPr>
            </w:pPr>
            <w:bookmarkStart w:id="317" w:name="OLE_LINK132"/>
            <w:r>
              <w:rPr>
                <w:rFonts w:hint="eastAsia"/>
                <w:color w:val="000000" w:themeColor="text1"/>
                <w14:textFill>
                  <w14:solidFill>
                    <w14:schemeClr w14:val="tx1"/>
                  </w14:solidFill>
                </w14:textFill>
              </w:rPr>
              <w:t>日期型</w:t>
            </w:r>
            <w:bookmarkEnd w:id="317"/>
          </w:p>
        </w:tc>
        <w:tc>
          <w:tcPr>
            <w:tcW w:w="6795" w:type="dxa"/>
            <w:vAlign w:val="center"/>
          </w:tcPr>
          <w:p>
            <w:pPr>
              <w:pStyle w:val="178"/>
              <w:jc w:val="left"/>
              <w:rPr>
                <w:color w:val="000000" w:themeColor="text1"/>
                <w14:textFill>
                  <w14:solidFill>
                    <w14:schemeClr w14:val="tx1"/>
                  </w14:solidFill>
                </w14:textFill>
              </w:rPr>
            </w:pPr>
            <w:bookmarkStart w:id="318" w:name="OLE_LINK146"/>
            <w:r>
              <w:rPr>
                <w:rFonts w:hint="eastAsia"/>
                <w:color w:val="000000" w:themeColor="text1"/>
                <w14:textFill>
                  <w14:solidFill>
                    <w14:schemeClr w14:val="tx1"/>
                  </w14:solidFill>
                </w14:textFill>
              </w:rPr>
              <w:t>YYYYMMDD</w:t>
            </w:r>
            <w:bookmarkEnd w:id="318"/>
            <w:r>
              <w:rPr>
                <w:rFonts w:hint="eastAsia"/>
                <w:color w:val="000000" w:themeColor="text1"/>
                <w14:textFill>
                  <w14:solidFill>
                    <w14:schemeClr w14:val="tx1"/>
                  </w14:solidFill>
                </w14:textFill>
              </w:rPr>
              <w:t>，记录最近一次维护保养时间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下次维护时间</w:t>
            </w:r>
          </w:p>
        </w:tc>
        <w:tc>
          <w:tcPr>
            <w:tcW w:w="97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79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YYYYMMDD，支持到期提醒</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无人机飞行轨迹</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无人机飞行轨迹采集数据项见表A.43。</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无人机飞行轨迹采集数据项</w:t>
      </w:r>
    </w:p>
    <w:tbl>
      <w:tblPr>
        <w:tblStyle w:val="33"/>
        <w:tblW w:w="956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6"/>
        <w:gridCol w:w="1131"/>
        <w:gridCol w:w="963"/>
        <w:gridCol w:w="70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6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1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轨迹记录编号</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标识无人机飞行轨迹记录唯一性的代码，如“UAV-TR-20251102-001，UAV代表无人机，TR代表轨迹”，关联单次飞行任务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无人机编号</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与无人机基础数据的无人机编号一致，绑定设备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飞行任务类型</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如“1-日常路况巡查”“2-边坡隐患排查”“3-事故现场航拍”“4-灾后损毁评估”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飞行状态</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如“1-巡航中”“2-悬停拍照”“3-返航中”“4-紧急迫降”，记录飞行阶段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对应监测路段</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 K120-K130段”“G60 K80-K90边坡区域”，明确轨迹覆盖范围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7010" w:type="dxa"/>
            <w:vAlign w:val="center"/>
          </w:tcPr>
          <w:p>
            <w:pPr>
              <w:pStyle w:val="178"/>
              <w:jc w:val="left"/>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YYYYMMDDhhmmss,</w:t>
            </w:r>
            <w:r>
              <w:rPr>
                <w:rFonts w:hint="eastAsia"/>
                <w:color w:val="000000" w:themeColor="text1"/>
                <w14:textFill>
                  <w14:solidFill>
                    <w14:schemeClr w14:val="tx1"/>
                  </w14:solidFill>
                </w14:textFill>
              </w:rPr>
              <w:t>确保轨迹连续性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保留6位小数，用于GIS地图绘制飞行路径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保留6位小数，用于GIS地图绘制飞行路径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飞行高度</w:t>
            </w:r>
          </w:p>
        </w:tc>
        <w:tc>
          <w:tcPr>
            <w:tcW w:w="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单位：米（m），相对于地面高度，与作业高度范围比对是否合规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垂直速度</w:t>
            </w:r>
          </w:p>
        </w:tc>
        <w:tc>
          <w:tcPr>
            <w:tcW w:w="963"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单位：千米每小时（km/h），超出安全速度时标记异常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13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水平速度</w:t>
            </w:r>
          </w:p>
        </w:tc>
        <w:tc>
          <w:tcPr>
            <w:tcW w:w="963"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70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单位：千米每小时（km/h），超出安全速度时标记异常</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无人机机巢监测</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无人机机巢监测数据项见表A.44。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无人机机巢监测数据项</w:t>
      </w:r>
    </w:p>
    <w:tbl>
      <w:tblPr>
        <w:tblStyle w:val="33"/>
        <w:tblW w:w="961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2"/>
        <w:gridCol w:w="1239"/>
        <w:gridCol w:w="851"/>
        <w:gridCol w:w="70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3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7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3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机巢编号</w:t>
            </w:r>
          </w:p>
        </w:tc>
        <w:tc>
          <w:tcPr>
            <w:tcW w:w="85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标识机巢唯一性的代码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机巢名称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机巢状态</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1-空闲中，2-现场调试，3-远程调试，4-固件升级中，5-作业中，6-故障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网络质量</w:t>
            </w:r>
          </w:p>
        </w:tc>
        <w:tc>
          <w:tcPr>
            <w:tcW w:w="85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1-差，2-中，3-好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故障告警信息</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记录舱门故障、通讯中断、温控异常等设备告警内容</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气象六要素</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气象六要素采集数据项见表A.45。</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气象六要素采集数据项</w:t>
      </w:r>
    </w:p>
    <w:tbl>
      <w:tblPr>
        <w:tblStyle w:val="33"/>
        <w:tblW w:w="979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35"/>
        <w:gridCol w:w="1061"/>
        <w:gridCol w:w="987"/>
        <w:gridCol w:w="73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3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06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8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31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395" w:hRule="atLeast"/>
          <w:jc w:val="center"/>
        </w:trPr>
        <w:tc>
          <w:tcPr>
            <w:tcW w:w="435" w:type="dxa"/>
            <w:tcBorders>
              <w:top w:val="single" w:color="auto" w:sz="8" w:space="0"/>
            </w:tcBorders>
            <w:vAlign w:val="center"/>
          </w:tcPr>
          <w:p>
            <w:pPr>
              <w:pStyle w:val="178"/>
              <w:rPr>
                <w:color w:val="000000" w:themeColor="text1"/>
                <w14:textFill>
                  <w14:solidFill>
                    <w14:schemeClr w14:val="tx1"/>
                  </w14:solidFill>
                </w14:textFill>
              </w:rPr>
            </w:pPr>
            <w:bookmarkStart w:id="319" w:name="_Hlk232513996"/>
            <w:r>
              <w:rPr>
                <w:rFonts w:hint="eastAsia"/>
                <w:color w:val="000000" w:themeColor="text1"/>
                <w14:textFill>
                  <w14:solidFill>
                    <w14:schemeClr w14:val="tx1"/>
                  </w14:solidFill>
                </w14:textFill>
              </w:rPr>
              <w:t>1</w:t>
            </w:r>
          </w:p>
        </w:tc>
        <w:tc>
          <w:tcPr>
            <w:tcW w:w="106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98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31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标识设备唯一性的代码</w:t>
            </w:r>
          </w:p>
        </w:tc>
      </w:tr>
      <w:bookmarkEnd w:id="319"/>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监测点编号</w:t>
            </w:r>
          </w:p>
        </w:tc>
        <w:tc>
          <w:tcPr>
            <w:tcW w:w="9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包含路线编号、桩号和序号，如“QX-G60-K120-01，QX代表气象”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YYYYMMDDhhmmss,与路面温度采集时间戳同步，保所有气象数据及路面数据可关联比对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气温值</w:t>
            </w:r>
          </w:p>
        </w:tc>
        <w:tc>
          <w:tcPr>
            <w:tcW w:w="987" w:type="dxa"/>
            <w:vAlign w:val="center"/>
          </w:tcPr>
          <w:p>
            <w:pPr>
              <w:pStyle w:val="178"/>
              <w:jc w:val="left"/>
              <w:rPr>
                <w:color w:val="000000" w:themeColor="text1"/>
                <w14:textFill>
                  <w14:solidFill>
                    <w14:schemeClr w14:val="tx1"/>
                  </w14:solidFill>
                </w14:textFill>
              </w:rPr>
            </w:pPr>
            <w:bookmarkStart w:id="320" w:name="OLE_LINK58"/>
            <w:r>
              <w:rPr>
                <w:rFonts w:hint="eastAsia"/>
                <w:color w:val="000000" w:themeColor="text1"/>
                <w14:textFill>
                  <w14:solidFill>
                    <w14:schemeClr w14:val="tx1"/>
                  </w14:solidFill>
                </w14:textFill>
              </w:rPr>
              <w:t>数字型</w:t>
            </w:r>
            <w:bookmarkEnd w:id="320"/>
          </w:p>
        </w:tc>
        <w:tc>
          <w:tcPr>
            <w:tcW w:w="7310" w:type="dxa"/>
            <w:vAlign w:val="center"/>
          </w:tcPr>
          <w:p>
            <w:pPr>
              <w:pStyle w:val="178"/>
              <w:jc w:val="left"/>
              <w:rPr>
                <w:color w:val="000000" w:themeColor="text1"/>
                <w14:textFill>
                  <w14:solidFill>
                    <w14:schemeClr w14:val="tx1"/>
                  </w14:solidFill>
                </w14:textFill>
              </w:rPr>
            </w:pPr>
            <w:bookmarkStart w:id="321" w:name="OLE_LINK145"/>
            <w:r>
              <w:rPr>
                <w:rFonts w:hint="eastAsia"/>
                <w:color w:val="000000" w:themeColor="text1"/>
                <w14:textFill>
                  <w14:solidFill>
                    <w14:schemeClr w14:val="tx1"/>
                  </w14:solidFill>
                </w14:textFill>
              </w:rPr>
              <w:t>单位：摄氏度（℃），</w:t>
            </w:r>
            <w:bookmarkEnd w:id="321"/>
            <w:r>
              <w:rPr>
                <w:rFonts w:hint="eastAsia"/>
                <w:color w:val="000000" w:themeColor="text1"/>
                <w14:textFill>
                  <w14:solidFill>
                    <w14:schemeClr w14:val="tx1"/>
                  </w14:solidFill>
                </w14:textFill>
              </w:rPr>
              <w:t>测量范围-40.0～80.0，精度±0.1，</w:t>
            </w:r>
            <w:bookmarkStart w:id="322" w:name="OLE_LINK34"/>
            <w:r>
              <w:rPr>
                <w:rFonts w:hint="eastAsia"/>
                <w:color w:val="000000" w:themeColor="text1"/>
                <w14:textFill>
                  <w14:solidFill>
                    <w14:schemeClr w14:val="tx1"/>
                  </w14:solidFill>
                </w14:textFill>
              </w:rPr>
              <w:t>与路面温度同步更新，</w:t>
            </w:r>
            <w:bookmarkEnd w:id="322"/>
            <w:r>
              <w:rPr>
                <w:rFonts w:hint="eastAsia"/>
                <w:color w:val="000000" w:themeColor="text1"/>
                <w14:textFill>
                  <w14:solidFill>
                    <w14:schemeClr w14:val="tx1"/>
                  </w14:solidFill>
                </w14:textFill>
              </w:rPr>
              <w:t>支持与湿度、降水数据联动分析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气压值</w:t>
            </w:r>
          </w:p>
        </w:tc>
        <w:tc>
          <w:tcPr>
            <w:tcW w:w="98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单位：百帕（hPa），测量范围800～1100，精度±1，每10分钟更新1次数据，与风向风速数据关联，辅助判断天气变化趋势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相对湿度值</w:t>
            </w:r>
          </w:p>
        </w:tc>
        <w:tc>
          <w:tcPr>
            <w:tcW w:w="98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以百分数（％）表示，测量范围0</w:t>
            </w:r>
            <w:bookmarkStart w:id="323" w:name="OLE_LINK120"/>
            <w:r>
              <w:rPr>
                <w:rFonts w:hint="eastAsia"/>
                <w:color w:val="000000" w:themeColor="text1"/>
                <w14:textFill>
                  <w14:solidFill>
                    <w14:schemeClr w14:val="tx1"/>
                  </w14:solidFill>
                </w14:textFill>
              </w:rPr>
              <w:t>％</w:t>
            </w:r>
            <w:bookmarkEnd w:id="323"/>
            <w:r>
              <w:rPr>
                <w:rFonts w:hint="eastAsia"/>
                <w:color w:val="000000" w:themeColor="text1"/>
                <w14:textFill>
                  <w14:solidFill>
                    <w14:schemeClr w14:val="tx1"/>
                  </w14:solidFill>
                </w14:textFill>
              </w:rPr>
              <w:t>～100％，精度±2％，每10分钟更新1次，</w:t>
            </w:r>
            <w:bookmarkStart w:id="324" w:name="OLE_LINK59"/>
            <w:r>
              <w:rPr>
                <w:rFonts w:hint="eastAsia"/>
                <w:color w:val="000000" w:themeColor="text1"/>
                <w14:textFill>
                  <w14:solidFill>
                    <w14:schemeClr w14:val="tx1"/>
                  </w14:solidFill>
                </w14:textFill>
              </w:rPr>
              <w:t>设定触发预警条件</w:t>
            </w:r>
            <w:bookmarkEnd w:id="324"/>
            <w:r>
              <w:rPr>
                <w:rFonts w:hint="eastAsia"/>
                <w:color w:val="000000" w:themeColor="text1"/>
                <w14:textFill>
                  <w14:solidFill>
                    <w14:schemeClr w14:val="tx1"/>
                  </w14:solidFill>
                </w14:textFill>
              </w:rPr>
              <w:t>（如湿度大于80％且气温小于等于0 ℃时，触发路面结冰风险预警）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风向</w:t>
            </w:r>
          </w:p>
        </w:tc>
        <w:tc>
          <w:tcPr>
            <w:tcW w:w="987" w:type="dxa"/>
            <w:vAlign w:val="center"/>
          </w:tcPr>
          <w:p>
            <w:pPr>
              <w:pStyle w:val="178"/>
              <w:jc w:val="left"/>
              <w:rPr>
                <w:color w:val="000000" w:themeColor="text1"/>
                <w14:textFill>
                  <w14:solidFill>
                    <w14:schemeClr w14:val="tx1"/>
                  </w14:solidFill>
                </w14:textFill>
              </w:rPr>
            </w:pPr>
            <w:bookmarkStart w:id="325" w:name="OLE_LINK128"/>
            <w:r>
              <w:rPr>
                <w:rFonts w:hint="eastAsia"/>
                <w:color w:val="000000" w:themeColor="text1"/>
                <w14:textFill>
                  <w14:solidFill>
                    <w14:schemeClr w14:val="tx1"/>
                  </w14:solidFill>
                </w14:textFill>
              </w:rPr>
              <w:t>字符型</w:t>
            </w:r>
            <w:bookmarkEnd w:id="325"/>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测量范围0°～360°（或用方位表示，</w:t>
            </w:r>
            <w:bookmarkStart w:id="326" w:name="OLE_LINK129"/>
            <w:r>
              <w:rPr>
                <w:rFonts w:hint="eastAsia"/>
                <w:color w:val="000000" w:themeColor="text1"/>
                <w14:textFill>
                  <w14:solidFill>
                    <w14:schemeClr w14:val="tx1"/>
                  </w14:solidFill>
                </w14:textFill>
              </w:rPr>
              <w:t>具体见GB/T 21984</w:t>
            </w:r>
            <w:bookmarkEnd w:id="326"/>
            <w:r>
              <w:rPr>
                <w:rFonts w:hint="eastAsia"/>
                <w:color w:val="000000" w:themeColor="text1"/>
                <w14:textFill>
                  <w14:solidFill>
                    <w14:schemeClr w14:val="tx1"/>
                  </w14:solidFill>
                </w14:textFill>
              </w:rPr>
              <w:t>），精度±10°，每10分钟更新1次，与风速同步采集，记录瞬时风向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风速</w:t>
            </w:r>
          </w:p>
        </w:tc>
        <w:tc>
          <w:tcPr>
            <w:tcW w:w="98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单位：米每秒（m/s），测量范围0～60.0，精度±0.1，每10分钟更新1次，设定触发预警条件（具体见GB/T 21984）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降水量</w:t>
            </w:r>
          </w:p>
        </w:tc>
        <w:tc>
          <w:tcPr>
            <w:tcW w:w="987"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数字型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单位：毫米（mm），测量范围0～999.9，精度±0.1，每10分钟更新1次，区分雨、雪、冰雹等降水类型（具体见GB/T 21984），同步关联气温数据判断冻雨风险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3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06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云量</w:t>
            </w:r>
          </w:p>
        </w:tc>
        <w:tc>
          <w:tcPr>
            <w:tcW w:w="98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3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测量范围0～10（或用晴、少云、多云、阴天表示，具体见GB/T 21984），每30分钟更新1次，辅助判断日照强度及降水概率</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路面温度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路面温度采集数据项见表A.46。</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路面温度采集数据项</w:t>
      </w:r>
    </w:p>
    <w:tbl>
      <w:tblPr>
        <w:tblStyle w:val="33"/>
        <w:tblW w:w="950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31"/>
        <w:gridCol w:w="1125"/>
        <w:gridCol w:w="938"/>
        <w:gridCol w:w="68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63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2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3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1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31" w:type="dxa"/>
            <w:tcBorders>
              <w:top w:val="single" w:color="auto" w:sz="8" w:space="0"/>
            </w:tcBorders>
            <w:vAlign w:val="center"/>
          </w:tcPr>
          <w:p>
            <w:pPr>
              <w:pStyle w:val="178"/>
              <w:rPr>
                <w:color w:val="000000" w:themeColor="text1"/>
                <w14:textFill>
                  <w14:solidFill>
                    <w14:schemeClr w14:val="tx1"/>
                  </w14:solidFill>
                </w14:textFill>
              </w:rPr>
            </w:pPr>
            <w:bookmarkStart w:id="327" w:name="_Hlk232514241"/>
            <w:r>
              <w:rPr>
                <w:rFonts w:hint="eastAsia"/>
                <w:color w:val="000000" w:themeColor="text1"/>
                <w14:textFill>
                  <w14:solidFill>
                    <w14:schemeClr w14:val="tx1"/>
                  </w14:solidFill>
                </w14:textFill>
              </w:rPr>
              <w:t>1</w:t>
            </w:r>
          </w:p>
        </w:tc>
        <w:tc>
          <w:tcPr>
            <w:tcW w:w="112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93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标识设备唯一性的代码</w:t>
            </w:r>
          </w:p>
        </w:tc>
      </w:tr>
      <w:bookmarkEnd w:id="32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3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监测点编号</w:t>
            </w:r>
          </w:p>
        </w:tc>
        <w:tc>
          <w:tcPr>
            <w:tcW w:w="9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与气象监测点编号一致，确保同点位气象与路面数据联动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31" w:type="dxa"/>
            <w:vAlign w:val="center"/>
          </w:tcPr>
          <w:p>
            <w:pPr>
              <w:pStyle w:val="178"/>
              <w:rPr>
                <w:color w:val="000000" w:themeColor="text1"/>
                <w14:textFill>
                  <w14:solidFill>
                    <w14:schemeClr w14:val="tx1"/>
                  </w14:solidFill>
                </w14:textFill>
              </w:rPr>
            </w:pPr>
            <w:bookmarkStart w:id="328" w:name="_Hlk232514307"/>
            <w:r>
              <w:rPr>
                <w:rFonts w:hint="eastAsia"/>
                <w:color w:val="000000" w:themeColor="text1"/>
                <w14:textFill>
                  <w14:solidFill>
                    <w14:schemeClr w14:val="tx1"/>
                  </w14:solidFill>
                </w14:textFill>
              </w:rPr>
              <w:t>3</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9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YYYMMDDhhmmss,与气象六要素时间戳同步，支持路面温度与环境温度关联分析</w:t>
            </w:r>
          </w:p>
        </w:tc>
      </w:tr>
      <w:bookmarkEnd w:id="32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3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路面温度值</w:t>
            </w:r>
          </w:p>
        </w:tc>
        <w:tc>
          <w:tcPr>
            <w:tcW w:w="93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1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单位：摄氏度（℃），测量范围-30.0～70.0，</w:t>
            </w:r>
            <w:bookmarkStart w:id="329" w:name="OLE_LINK151"/>
            <w:r>
              <w:rPr>
                <w:rFonts w:hint="eastAsia"/>
                <w:color w:val="000000" w:themeColor="text1"/>
                <w14:textFill>
                  <w14:solidFill>
                    <w14:schemeClr w14:val="tx1"/>
                  </w14:solidFill>
                </w14:textFill>
              </w:rPr>
              <w:t>精度</w:t>
            </w:r>
            <w:bookmarkEnd w:id="329"/>
            <w:r>
              <w:rPr>
                <w:rFonts w:hint="eastAsia"/>
                <w:color w:val="000000" w:themeColor="text1"/>
                <w14:textFill>
                  <w14:solidFill>
                    <w14:schemeClr w14:val="tx1"/>
                  </w14:solidFill>
                </w14:textFill>
              </w:rPr>
              <w:t>±0.5，每10分钟更新1次，设定触发预警条件（如温度小于等于0 ℃且湿度大于80％时，触发路面结冰风险预警）</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路面结冰监测</w:t>
      </w:r>
    </w:p>
    <w:p>
      <w:pPr>
        <w:pStyle w:val="56"/>
        <w:ind w:firstLine="420"/>
        <w:rPr>
          <w:color w:val="000000" w:themeColor="text1"/>
          <w14:textFill>
            <w14:solidFill>
              <w14:schemeClr w14:val="tx1"/>
            </w14:solidFill>
          </w14:textFill>
        </w:rPr>
      </w:pPr>
      <w:bookmarkStart w:id="330" w:name="OLE_LINK38"/>
      <w:r>
        <w:rPr>
          <w:rFonts w:hint="eastAsia"/>
          <w:color w:val="000000" w:themeColor="text1"/>
          <w14:textFill>
            <w14:solidFill>
              <w14:schemeClr w14:val="tx1"/>
            </w14:solidFill>
          </w14:textFill>
        </w:rPr>
        <w:t>路面结冰监测采集数据项见表A.47。</w:t>
      </w:r>
      <w:bookmarkEnd w:id="330"/>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路面结冰监测采集数据项</w:t>
      </w:r>
    </w:p>
    <w:tbl>
      <w:tblPr>
        <w:tblStyle w:val="33"/>
        <w:tblW w:w="9641"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00"/>
        <w:gridCol w:w="1298"/>
        <w:gridCol w:w="1118"/>
        <w:gridCol w:w="65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70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9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11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2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0"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9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111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标识设备唯一性的代码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监测点编号</w:t>
            </w:r>
          </w:p>
        </w:tc>
        <w:tc>
          <w:tcPr>
            <w:tcW w:w="11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绑定高风险路段（如桥梁、隧道出入口、背阴路段）监测点，优先推送预警信息，减少事故风险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采集时间戳</w:t>
            </w:r>
          </w:p>
        </w:tc>
        <w:tc>
          <w:tcPr>
            <w:tcW w:w="11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5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YYYMMDDhhmmss,每5分钟采集1次，设定触发预警级别升级条件（如结冰厚度持续大于等于3 mm 且无下降趋势时，预警级别从 “黄色”升为“橙色”）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70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9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结冰厚度</w:t>
            </w:r>
          </w:p>
        </w:tc>
        <w:tc>
          <w:tcPr>
            <w:tcW w:w="11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52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单位：毫米（mm），测量范围0</w:t>
            </w:r>
            <w:bookmarkStart w:id="331" w:name="OLE_LINK27"/>
            <w:r>
              <w:rPr>
                <w:rFonts w:hint="eastAsia"/>
                <w:color w:val="000000" w:themeColor="text1"/>
                <w14:textFill>
                  <w14:solidFill>
                    <w14:schemeClr w14:val="tx1"/>
                  </w14:solidFill>
                </w14:textFill>
              </w:rPr>
              <w:t>～</w:t>
            </w:r>
            <w:bookmarkEnd w:id="331"/>
            <w:r>
              <w:rPr>
                <w:rFonts w:hint="eastAsia"/>
                <w:color w:val="000000" w:themeColor="text1"/>
                <w14:textFill>
                  <w14:solidFill>
                    <w14:schemeClr w14:val="tx1"/>
                  </w14:solidFill>
                </w14:textFill>
              </w:rPr>
              <w:t>50.0，精度0.1.设定触发处置条件（如厚度大于等于1.O mm时触发结冰预警；厚度大于等于5.0 mm 时启动除冰作业指令，通知养护部门）</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气象局数据</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气象局采集数据项见表A.48。</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气象局采集数据项</w:t>
      </w:r>
    </w:p>
    <w:tbl>
      <w:tblPr>
        <w:tblStyle w:val="33"/>
        <w:tblW w:w="972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25"/>
        <w:gridCol w:w="1434"/>
        <w:gridCol w:w="1044"/>
        <w:gridCol w:w="68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2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04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1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3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气象类型</w:t>
            </w:r>
          </w:p>
        </w:tc>
        <w:tc>
          <w:tcPr>
            <w:tcW w:w="104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字符型</w:t>
            </w:r>
          </w:p>
        </w:tc>
        <w:tc>
          <w:tcPr>
            <w:tcW w:w="681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气象类型字段（如“温度”“降雨”“雷达”），用于区分不同类型的气象报文数据，便于数据筛选与关联分析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34" w:type="dxa"/>
            <w:vAlign w:val="center"/>
          </w:tcPr>
          <w:p>
            <w:pPr>
              <w:pStyle w:val="178"/>
              <w:jc w:val="left"/>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起报时间</w:t>
            </w:r>
          </w:p>
        </w:tc>
        <w:tc>
          <w:tcPr>
            <w:tcW w:w="1044" w:type="dxa"/>
            <w:vAlign w:val="center"/>
          </w:tcPr>
          <w:p>
            <w:pPr>
              <w:pStyle w:val="178"/>
              <w:jc w:val="left"/>
              <w:rPr>
                <w:color w:val="000000" w:themeColor="text1"/>
                <w14:textFill>
                  <w14:solidFill>
                    <w14:schemeClr w14:val="tx1"/>
                  </w14:solidFill>
                </w14:textFill>
              </w:rPr>
            </w:pPr>
            <w:bookmarkStart w:id="332" w:name="OLE_LINK152"/>
            <w:r>
              <w:rPr>
                <w:rFonts w:hint="eastAsia"/>
                <w:color w:val="000000" w:themeColor="text1"/>
                <w14:textFill>
                  <w14:solidFill>
                    <w14:schemeClr w14:val="tx1"/>
                  </w14:solidFill>
                </w14:textFill>
              </w:rPr>
              <w:t>日期时间型</w:t>
            </w:r>
            <w:bookmarkEnd w:id="332"/>
          </w:p>
        </w:tc>
        <w:tc>
          <w:tcPr>
            <w:tcW w:w="6817" w:type="dxa"/>
            <w:vAlign w:val="center"/>
          </w:tcPr>
          <w:p>
            <w:pPr>
              <w:pStyle w:val="178"/>
              <w:jc w:val="left"/>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YYYYMMDDhhmmss,气象报文起报时间,与后续预报时间、</w:t>
            </w:r>
            <w:r>
              <w:rPr>
                <w:rFonts w:hint="eastAsia"/>
                <w:color w:val="000000" w:themeColor="text1"/>
                <w14:textFill>
                  <w14:solidFill>
                    <w14:schemeClr w14:val="tx1"/>
                  </w14:solidFill>
                </w14:textFill>
              </w:rPr>
              <w:t>预报时间分辨率</w:t>
            </w:r>
            <w:r>
              <w:rPr>
                <w:rFonts w:hint="eastAsia" w:hAnsi="宋体"/>
                <w:color w:val="000000" w:themeColor="text1"/>
                <w14:textFill>
                  <w14:solidFill>
                    <w14:schemeClr w14:val="tx1"/>
                  </w14:solidFill>
                </w14:textFill>
              </w:rPr>
              <w:t>关联，确保报文时间逻辑一致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34" w:type="dxa"/>
            <w:vAlign w:val="center"/>
          </w:tcPr>
          <w:p>
            <w:pPr>
              <w:pStyle w:val="178"/>
              <w:jc w:val="left"/>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预报时间</w:t>
            </w:r>
          </w:p>
        </w:tc>
        <w:tc>
          <w:tcPr>
            <w:tcW w:w="1044" w:type="dxa"/>
            <w:vAlign w:val="center"/>
          </w:tcPr>
          <w:p>
            <w:pPr>
              <w:pStyle w:val="178"/>
              <w:jc w:val="left"/>
              <w:rPr>
                <w:color w:val="000000" w:themeColor="text1"/>
                <w14:textFill>
                  <w14:solidFill>
                    <w14:schemeClr w14:val="tx1"/>
                  </w14:solidFill>
                </w14:textFill>
              </w:rPr>
            </w:pPr>
            <w:bookmarkStart w:id="333" w:name="OLE_LINK156"/>
            <w:r>
              <w:rPr>
                <w:rFonts w:hint="eastAsia"/>
                <w:color w:val="000000" w:themeColor="text1"/>
                <w14:textFill>
                  <w14:solidFill>
                    <w14:schemeClr w14:val="tx1"/>
                  </w14:solidFill>
                </w14:textFill>
              </w:rPr>
              <w:t>日期时间型</w:t>
            </w:r>
            <w:bookmarkEnd w:id="333"/>
          </w:p>
        </w:tc>
        <w:tc>
          <w:tcPr>
            <w:tcW w:w="6817" w:type="dxa"/>
            <w:vAlign w:val="center"/>
          </w:tcPr>
          <w:p>
            <w:pPr>
              <w:pStyle w:val="178"/>
              <w:jc w:val="left"/>
              <w:rPr>
                <w:color w:val="000000" w:themeColor="text1"/>
                <w14:textFill>
                  <w14:solidFill>
                    <w14:schemeClr w14:val="tx1"/>
                  </w14:solidFill>
                </w14:textFill>
              </w:rPr>
            </w:pPr>
            <w:bookmarkStart w:id="334" w:name="OLE_LINK157"/>
            <w:r>
              <w:rPr>
                <w:rFonts w:hint="eastAsia" w:hAnsi="宋体"/>
                <w:color w:val="000000" w:themeColor="text1"/>
                <w14:textFill>
                  <w14:solidFill>
                    <w14:schemeClr w14:val="tx1"/>
                  </w14:solidFill>
                </w14:textFill>
              </w:rPr>
              <w:t>YYYYMMDDhhmmss,</w:t>
            </w:r>
            <w:bookmarkEnd w:id="334"/>
            <w:r>
              <w:rPr>
                <w:rFonts w:hint="eastAsia" w:hAnsi="宋体"/>
                <w:color w:val="000000" w:themeColor="text1"/>
                <w14:textFill>
                  <w14:solidFill>
                    <w14:schemeClr w14:val="tx1"/>
                  </w14:solidFill>
                </w14:textFill>
              </w:rPr>
              <w:t>气象预报具体时间，与起报时间、</w:t>
            </w:r>
            <w:r>
              <w:rPr>
                <w:rFonts w:hint="eastAsia"/>
                <w:color w:val="000000" w:themeColor="text1"/>
                <w14:textFill>
                  <w14:solidFill>
                    <w14:schemeClr w14:val="tx1"/>
                  </w14:solidFill>
                </w14:textFill>
              </w:rPr>
              <w:t>预报时间分辨率</w:t>
            </w:r>
            <w:r>
              <w:rPr>
                <w:rFonts w:hint="eastAsia" w:hAnsi="宋体"/>
                <w:color w:val="000000" w:themeColor="text1"/>
                <w14:textFill>
                  <w14:solidFill>
                    <w14:schemeClr w14:val="tx1"/>
                  </w14:solidFill>
                </w14:textFill>
              </w:rPr>
              <w:t>匹配，精准对应预报数据所属的时间节点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预报时间分辨率</w:t>
            </w:r>
          </w:p>
        </w:tc>
        <w:tc>
          <w:tcPr>
            <w:tcW w:w="1044" w:type="dxa"/>
            <w:vAlign w:val="center"/>
          </w:tcPr>
          <w:p>
            <w:pPr>
              <w:pStyle w:val="178"/>
              <w:jc w:val="left"/>
              <w:rPr>
                <w:color w:val="000000" w:themeColor="text1"/>
                <w14:textFill>
                  <w14:solidFill>
                    <w14:schemeClr w14:val="tx1"/>
                  </w14:solidFill>
                </w14:textFill>
              </w:rPr>
            </w:pPr>
            <w:bookmarkStart w:id="335" w:name="OLE_LINK153"/>
            <w:r>
              <w:rPr>
                <w:rFonts w:hint="eastAsia"/>
                <w:color w:val="000000" w:themeColor="text1"/>
                <w14:textFill>
                  <w14:solidFill>
                    <w14:schemeClr w14:val="tx1"/>
                  </w14:solidFill>
                </w14:textFill>
              </w:rPr>
              <w:t>数字型</w:t>
            </w:r>
            <w:bookmarkEnd w:id="335"/>
          </w:p>
        </w:tc>
        <w:tc>
          <w:tcPr>
            <w:tcW w:w="68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单位：小时（h），标注</w:t>
            </w:r>
            <w:r>
              <w:rPr>
                <w:color w:val="000000" w:themeColor="text1"/>
                <w14:textFill>
                  <w14:solidFill>
                    <w14:schemeClr w14:val="tx1"/>
                  </w14:solidFill>
                </w14:textFill>
              </w:rPr>
              <w:t>预报</w:t>
            </w:r>
            <w:r>
              <w:rPr>
                <w:rFonts w:hint="eastAsia"/>
                <w:color w:val="000000" w:themeColor="text1"/>
                <w14:textFill>
                  <w14:solidFill>
                    <w14:schemeClr w14:val="tx1"/>
                  </w14:solidFill>
                </w14:textFill>
              </w:rPr>
              <w:t>内容的时间间隔，用于区分不同时段的预报数据，如“1 h、3 h、6 h”，与预报时效、预报时间对应，便于数据分类归档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预报时效</w:t>
            </w:r>
          </w:p>
        </w:tc>
        <w:tc>
          <w:tcPr>
            <w:tcW w:w="10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单位：小时（h），</w:t>
            </w:r>
            <w:r>
              <w:rPr>
                <w:color w:val="000000" w:themeColor="text1"/>
                <w14:textFill>
                  <w14:solidFill>
                    <w14:schemeClr w14:val="tx1"/>
                  </w14:solidFill>
                </w14:textFill>
              </w:rPr>
              <w:t>标注预报</w:t>
            </w:r>
            <w:r>
              <w:rPr>
                <w:rFonts w:hint="eastAsia"/>
                <w:color w:val="000000" w:themeColor="text1"/>
                <w14:textFill>
                  <w14:solidFill>
                    <w14:schemeClr w14:val="tx1"/>
                  </w14:solidFill>
                </w14:textFill>
              </w:rPr>
              <w:t>内容所覆盖的</w:t>
            </w:r>
            <w:r>
              <w:rPr>
                <w:color w:val="000000" w:themeColor="text1"/>
                <w14:textFill>
                  <w14:solidFill>
                    <w14:schemeClr w14:val="tx1"/>
                  </w14:solidFill>
                </w14:textFill>
              </w:rPr>
              <w:t>时</w:t>
            </w:r>
            <w:r>
              <w:rPr>
                <w:rFonts w:hint="eastAsia"/>
                <w:color w:val="000000" w:themeColor="text1"/>
                <w14:textFill>
                  <w14:solidFill>
                    <w14:schemeClr w14:val="tx1"/>
                  </w14:solidFill>
                </w14:textFill>
              </w:rPr>
              <w:t>间</w:t>
            </w:r>
            <w:r>
              <w:rPr>
                <w:color w:val="000000" w:themeColor="text1"/>
                <w14:textFill>
                  <w14:solidFill>
                    <w14:schemeClr w14:val="tx1"/>
                  </w14:solidFill>
                </w14:textFill>
              </w:rPr>
              <w:t>长</w:t>
            </w:r>
            <w:r>
              <w:rPr>
                <w:rFonts w:hint="eastAsia"/>
                <w:color w:val="000000" w:themeColor="text1"/>
                <w14:textFill>
                  <w14:solidFill>
                    <w14:schemeClr w14:val="tx1"/>
                  </w14:solidFill>
                </w14:textFill>
              </w:rPr>
              <w:t>度</w:t>
            </w:r>
            <w:r>
              <w:rPr>
                <w:color w:val="000000" w:themeColor="text1"/>
                <w14:textFill>
                  <w14:solidFill>
                    <w14:schemeClr w14:val="tx1"/>
                  </w14:solidFill>
                </w14:textFill>
              </w:rPr>
              <w:t>，明确预报数据的有效范围</w:t>
            </w:r>
            <w:r>
              <w:rPr>
                <w:rFonts w:hint="eastAsia"/>
                <w:color w:val="000000" w:themeColor="text1"/>
                <w14:textFill>
                  <w14:solidFill>
                    <w14:schemeClr w14:val="tx1"/>
                  </w14:solidFill>
                </w14:textFill>
              </w:rPr>
              <w:t>，如“0 h～72 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文件名称</w:t>
            </w:r>
          </w:p>
        </w:tc>
        <w:tc>
          <w:tcPr>
            <w:tcW w:w="10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气象报文相关文件名称，宜包含气象类型、时间等关键信息，便于快速识别文件内容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2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4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文件路径</w:t>
            </w:r>
          </w:p>
        </w:tc>
        <w:tc>
          <w:tcPr>
            <w:tcW w:w="10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气象报文文件存储路径，明确文件所在位置（本地路径或网络路径），确保文件可正常调取</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两客一危车辆轨迹</w:t>
      </w:r>
    </w:p>
    <w:p>
      <w:pPr>
        <w:pStyle w:val="56"/>
        <w:ind w:firstLine="420"/>
        <w:rPr>
          <w:color w:val="000000" w:themeColor="text1"/>
          <w14:textFill>
            <w14:solidFill>
              <w14:schemeClr w14:val="tx1"/>
            </w14:solidFill>
          </w14:textFill>
        </w:rPr>
      </w:pPr>
      <w:bookmarkStart w:id="336" w:name="OLE_LINK21"/>
      <w:r>
        <w:rPr>
          <w:rFonts w:hint="eastAsia"/>
          <w:color w:val="000000" w:themeColor="text1"/>
          <w14:textFill>
            <w14:solidFill>
              <w14:schemeClr w14:val="tx1"/>
            </w14:solidFill>
          </w14:textFill>
        </w:rPr>
        <w:t>两客一危车辆轨迹采集数据项</w:t>
      </w:r>
      <w:bookmarkEnd w:id="336"/>
      <w:r>
        <w:rPr>
          <w:rFonts w:hint="eastAsia"/>
          <w:color w:val="000000" w:themeColor="text1"/>
          <w14:textFill>
            <w14:solidFill>
              <w14:schemeClr w14:val="tx1"/>
            </w14:solidFill>
          </w14:textFill>
        </w:rPr>
        <w:t>见表A.49。</w:t>
      </w: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两客一危车辆轨迹采集数据项</w:t>
      </w:r>
    </w:p>
    <w:tbl>
      <w:tblPr>
        <w:tblStyle w:val="33"/>
        <w:tblW w:w="953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169"/>
        <w:gridCol w:w="836"/>
        <w:gridCol w:w="71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6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3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1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69" w:type="dxa"/>
            <w:vAlign w:val="center"/>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轨迹编号</w:t>
            </w:r>
          </w:p>
        </w:tc>
        <w:tc>
          <w:tcPr>
            <w:tcW w:w="836" w:type="dxa"/>
            <w:vAlign w:val="center"/>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标识单辆车的单次轨迹记录唯一性的代码，如“LK-GJ-20251101-001，LK代表两客一危车辆，GJ代表轨迹”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车辆类型</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类型包括“旅游客车”“公路客车”“危险化学品运输车”“烟花爆竹运输车”等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车辆号牌</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车辆的牌照号码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车牌颜色的名称，具体见JT/T 697.7—2022的6.6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69" w:type="dxa"/>
            <w:vAlign w:val="center"/>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轨迹监测时段</w:t>
            </w:r>
          </w:p>
        </w:tc>
        <w:tc>
          <w:tcPr>
            <w:tcW w:w="836" w:type="dxa"/>
            <w:vAlign w:val="center"/>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rFonts w:hint="eastAsia" w:hAnsi="宋体"/>
                <w:color w:val="000000" w:themeColor="text1"/>
                <w:szCs w:val="18"/>
                <w14:textFill>
                  <w14:solidFill>
                    <w14:schemeClr w14:val="tx1"/>
                  </w14:solidFill>
                </w14:textFill>
              </w:rPr>
            </w:pPr>
            <w:r>
              <w:rPr>
                <w:rFonts w:hint="eastAsia"/>
                <w:color w:val="000000" w:themeColor="text1"/>
                <w14:textFill>
                  <w14:solidFill>
                    <w14:schemeClr w14:val="tx1"/>
                  </w14:solidFill>
                </w14:textFill>
              </w:rPr>
              <w:t>如“2025-11-01 08:00:00 至 2025-11-01 18:00:00”，记录完整监测周期（至少覆盖单次高速通行全程）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保留6位小数，与纬度配合定位车辆轨迹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保留6位小数，与经度配合定位车辆轨迹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异常轨迹行为</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记录偏离正常的行为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停留记录</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记录车辆在高速公路内停留点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轨迹完整性</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包括“1-完整”“2-部分缺失”等，缺失时段标注原因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16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数据来源</w:t>
            </w:r>
          </w:p>
        </w:tc>
        <w:tc>
          <w:tcPr>
            <w:tcW w:w="83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来包括“1-车辆GPS终端上传”“2-高速路网视频监控追踪”“3-ETC 门架定位匹配”等</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两客一危车辆运单</w:t>
      </w:r>
    </w:p>
    <w:p>
      <w:pPr>
        <w:pStyle w:val="56"/>
        <w:ind w:firstLine="420"/>
        <w:rPr>
          <w:color w:val="000000" w:themeColor="text1"/>
          <w14:textFill>
            <w14:solidFill>
              <w14:schemeClr w14:val="tx1"/>
            </w14:solidFill>
          </w14:textFill>
        </w:rPr>
      </w:pPr>
      <w:bookmarkStart w:id="337" w:name="OLE_LINK22"/>
      <w:r>
        <w:rPr>
          <w:rFonts w:hint="eastAsia"/>
          <w:color w:val="000000" w:themeColor="text1"/>
          <w14:textFill>
            <w14:solidFill>
              <w14:schemeClr w14:val="tx1"/>
            </w14:solidFill>
          </w14:textFill>
        </w:rPr>
        <w:t>两客一危车辆运单采集数据项</w:t>
      </w:r>
      <w:bookmarkEnd w:id="337"/>
      <w:r>
        <w:rPr>
          <w:rFonts w:hint="eastAsia"/>
          <w:color w:val="000000" w:themeColor="text1"/>
          <w14:textFill>
            <w14:solidFill>
              <w14:schemeClr w14:val="tx1"/>
            </w14:solidFill>
          </w14:textFill>
        </w:rPr>
        <w:t>见表A.50。</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两客一危车辆运单采集数据项</w:t>
      </w:r>
    </w:p>
    <w:tbl>
      <w:tblPr>
        <w:tblStyle w:val="33"/>
        <w:tblW w:w="961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134"/>
        <w:gridCol w:w="858"/>
        <w:gridCol w:w="72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2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运单编号</w:t>
            </w:r>
          </w:p>
        </w:tc>
        <w:tc>
          <w:tcPr>
            <w:tcW w:w="85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标识单次运输任务记录唯一性的代码，如“LK-YD-20251101-001，LK代表两客一危车辆，YD代表运单”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运单类型</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类型包括“旅游运单（团体出行）”“公路客运班线运单（固定线路）”“危险货物运输运单”等，按运输性质区分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运单基础信息</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按类型补充详情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关联车辆信息</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绑定车辆基础信息（如“车牌：湘 AXXXXX，车辆类型：公路客车，所属企业：XX 客运公司”），与轨迹数据关联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运输路线规划</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与许可路线一致，标注途经服务区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安全措施</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如“客运：安全带检查合格，应急锤、灭火器齐全，已播放安全须知”“危货：罐体检漏合格，防静电接地装置正常，随车携带应急处置预案编号：AY-2025-045”）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运单状态</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包括“1-待执行（未发车）”“2-执行中（已发车，未到达）”“3-已完成（正常到达）”“4-异常终止（如车辆故障、道路封闭）”等，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异常情况记录</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发生异常情况时记录，如“2025-11-01 10:00，G60 K150 段车辆爆胎，无法继续行驶，已联系救援，救援单号：JY-20251101-002，乘客已转运至备用车辆，车牌湘AXXXXX”</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驾驶员</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记录驾驶员</w:t>
            </w:r>
            <w:bookmarkStart w:id="338" w:name="OLE_LINK150"/>
            <w:r>
              <w:rPr>
                <w:rFonts w:hint="eastAsia"/>
                <w:color w:val="000000" w:themeColor="text1"/>
                <w14:textFill>
                  <w14:solidFill>
                    <w14:schemeClr w14:val="tx1"/>
                  </w14:solidFill>
                </w14:textFill>
              </w:rPr>
              <w:t>姓名</w:t>
            </w:r>
            <w:bookmarkEnd w:id="338"/>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押运员</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危货运输时记录押运员姓名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运单归档信息</w:t>
            </w:r>
          </w:p>
        </w:tc>
        <w:tc>
          <w:tcPr>
            <w:tcW w:w="8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2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信息包括归档时间、归档文件、归档责任人等</w:t>
            </w:r>
          </w:p>
        </w:tc>
      </w:tr>
    </w:tbl>
    <w:p>
      <w:pPr>
        <w:pStyle w:val="78"/>
        <w:spacing w:before="156" w:after="156"/>
        <w:rPr>
          <w:color w:val="000000" w:themeColor="text1"/>
          <w14:textFill>
            <w14:solidFill>
              <w14:schemeClr w14:val="tx1"/>
            </w14:solidFill>
          </w14:textFill>
        </w:rPr>
      </w:pPr>
      <w:bookmarkStart w:id="339" w:name="_Toc234255971"/>
      <w:bookmarkStart w:id="340" w:name="_Toc228399098"/>
      <w:bookmarkStart w:id="341" w:name="_Toc241416868"/>
      <w:r>
        <w:rPr>
          <w:rFonts w:hint="eastAsia"/>
          <w:color w:val="000000" w:themeColor="text1"/>
          <w14:textFill>
            <w14:solidFill>
              <w14:schemeClr w14:val="tx1"/>
            </w14:solidFill>
          </w14:textFill>
        </w:rPr>
        <w:t>协调调度信息</w:t>
      </w:r>
      <w:bookmarkEnd w:id="339"/>
      <w:bookmarkEnd w:id="340"/>
      <w:bookmarkEnd w:id="341"/>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设施结构报警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设施结构报警采集数据项见表A.51。</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设施结构报警采集数据项</w:t>
      </w:r>
    </w:p>
    <w:tbl>
      <w:tblPr>
        <w:tblStyle w:val="33"/>
        <w:tblW w:w="957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7"/>
        <w:gridCol w:w="1293"/>
        <w:gridCol w:w="1009"/>
        <w:gridCol w:w="681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9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0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81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9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报警编号</w:t>
            </w:r>
          </w:p>
        </w:tc>
        <w:tc>
          <w:tcPr>
            <w:tcW w:w="100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标识单次设施结构报警事件唯一性的代码，如 “SJ-BJ-20251101-001，SJ代表设施结构，BJ代表报警”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设施类型与编号</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关联设施基础信息，明确报警设施身份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设施所在路段</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记录设施所在路段编号和简称，明确设施关联路网位置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报警触发时间</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YYYYMMDDhhmmss，记录结构监测设备触发报警的时间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报警监测数据</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记录超标指标，如“桥梁振动：竖向振动加速度 0.15g（报警阈值 0.1g），持续 10 秒（疑似重型车辆超载通行）”</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报警等级</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风险程度划分，如“一级报警（紧急，需立即处置，如隧道裂缝超标）”“二级报警（重要，24小时内处置，如边坡位移超标）”“三级报警（一般，72小时内核查，如桥梁振动短期超标）”；对应不同响应优先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监测设备类型</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类型如“振动传感器”“位移监测仪（GNSS）”“应力传感器”“裂缝监测仪”“渗压计（隧道 / 边坡防水）”</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临时管控措施</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报警等级采取相应措施，如“一级报警：封闭隧道，引导车辆绕行地方道路”“二级报警：限制边坡路段货车通行（仅允许小型车通行），设置警示标志”“三级报警：安排桥梁检测人员现场核查，暂不限制通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专业检测与处置</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记录检测与处置情况，如检测工单编号、检测结果和处置完成时间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报警解除条件</w:t>
            </w:r>
          </w:p>
        </w:tc>
        <w:tc>
          <w:tcPr>
            <w:tcW w:w="100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1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包括检测确认无安全风险后解除和处置完成并验收合格后解除等；解除后需更新设施状态</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隧道环境报警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隧道环境报警采集数据项见表A.52。</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隧道环境报警采集数据项</w:t>
      </w:r>
    </w:p>
    <w:tbl>
      <w:tblPr>
        <w:tblStyle w:val="33"/>
        <w:tblW w:w="963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40"/>
        <w:gridCol w:w="1128"/>
        <w:gridCol w:w="894"/>
        <w:gridCol w:w="717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40"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2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94"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17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2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报警编号</w:t>
            </w:r>
          </w:p>
        </w:tc>
        <w:tc>
          <w:tcPr>
            <w:tcW w:w="89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标识单次隧道环境报警事件唯一性的代码，如“SD-HJ-BJ-20251101-001，SD代表隧道，HJ代表环境，BJ代表报警”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隧道信息</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关联隧道基础信息（包括隧道名称、隧道编号、隧道位置和隧道长度等）和报警位置等，明确报警隧道身份与位置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报警设备分布</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记录触发报警的传感器位置，如“CO 传感器：SD-G60-002-CO-012，隧道中部 K162+500”确保故障定位精准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报警触发时间</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YYYYMMDDhhmmss，记录隧道环境监测设备超标时间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环境监测类型</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如“CO 浓度超标”“能见度降低”“烟雾浓度超标”“温度异常（过高/过低）”“湿度异常（过高导致凝露）”“风速异常（通风不良）”，明确报警对应的环境指标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监测数据详情</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记录超标数值，如“</w:t>
            </w:r>
            <w:r>
              <w:rPr>
                <w:color w:val="000000" w:themeColor="text1"/>
                <w14:textFill>
                  <w14:solidFill>
                    <w14:schemeClr w14:val="tx1"/>
                  </w14:solidFill>
                </w14:textFill>
              </w:rPr>
              <w:t xml:space="preserve">CO </w:t>
            </w:r>
            <w:r>
              <w:rPr>
                <w:rFonts w:hint="eastAsia"/>
                <w:color w:val="000000" w:themeColor="text1"/>
                <w14:textFill>
                  <w14:solidFill>
                    <w14:schemeClr w14:val="tx1"/>
                  </w14:solidFill>
                </w14:textFill>
              </w:rPr>
              <w:t>浓度：</w:t>
            </w:r>
            <w:r>
              <w:rPr>
                <w:color w:val="000000" w:themeColor="text1"/>
                <w14:textFill>
                  <w14:solidFill>
                    <w14:schemeClr w14:val="tx1"/>
                  </w14:solidFill>
                </w14:textFill>
              </w:rPr>
              <w:t>150</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ppm</w:t>
            </w:r>
            <w:r>
              <w:rPr>
                <w:rFonts w:hint="eastAsia"/>
                <w:color w:val="000000" w:themeColor="text1"/>
                <w14:textFill>
                  <w14:solidFill>
                    <w14:schemeClr w14:val="tx1"/>
                  </w14:solidFill>
                </w14:textFill>
              </w:rPr>
              <w:t>（报警阈值</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ppm</w:t>
            </w:r>
            <w:r>
              <w:rPr>
                <w:rFonts w:hint="eastAsia"/>
                <w:color w:val="000000" w:themeColor="text1"/>
                <w14:textFill>
                  <w14:solidFill>
                    <w14:schemeClr w14:val="tx1"/>
                  </w14:solidFill>
                </w14:textFill>
              </w:rPr>
              <w:t>），持续</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分钟”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联动设备响应</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自动触发的设备动作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人工处置响应</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调度中心联动动作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报警解除时间</w:t>
            </w:r>
          </w:p>
        </w:tc>
        <w:tc>
          <w:tcPr>
            <w:tcW w:w="894" w:type="dxa"/>
            <w:vAlign w:val="center"/>
          </w:tcPr>
          <w:p>
            <w:pPr>
              <w:pStyle w:val="178"/>
              <w:jc w:val="left"/>
              <w:rPr>
                <w:color w:val="000000" w:themeColor="text1"/>
                <w14:textFill>
                  <w14:solidFill>
                    <w14:schemeClr w14:val="tx1"/>
                  </w14:solidFill>
                </w14:textFill>
              </w:rPr>
            </w:pPr>
            <w:bookmarkStart w:id="342" w:name="OLE_LINK213"/>
            <w:r>
              <w:rPr>
                <w:rFonts w:hint="eastAsia"/>
                <w:color w:val="000000" w:themeColor="text1"/>
                <w14:textFill>
                  <w14:solidFill>
                    <w14:schemeClr w14:val="tx1"/>
                  </w14:solidFill>
                </w14:textFill>
              </w:rPr>
              <w:t>日期时间型</w:t>
            </w:r>
            <w:bookmarkEnd w:id="342"/>
          </w:p>
        </w:tc>
        <w:tc>
          <w:tcPr>
            <w:tcW w:w="7171" w:type="dxa"/>
            <w:vAlign w:val="center"/>
          </w:tcPr>
          <w:p>
            <w:pPr>
              <w:pStyle w:val="178"/>
              <w:jc w:val="left"/>
              <w:rPr>
                <w:color w:val="000000" w:themeColor="text1"/>
                <w14:textFill>
                  <w14:solidFill>
                    <w14:schemeClr w14:val="tx1"/>
                  </w14:solidFill>
                </w14:textFill>
              </w:rPr>
            </w:pPr>
            <w:bookmarkStart w:id="343" w:name="OLE_LINK214"/>
            <w:r>
              <w:rPr>
                <w:rFonts w:hint="eastAsia"/>
                <w:color w:val="000000" w:themeColor="text1"/>
                <w14:textFill>
                  <w14:solidFill>
                    <w14:schemeClr w14:val="tx1"/>
                  </w14:solidFill>
                </w14:textFill>
              </w:rPr>
              <w:t>YYYYMMDDhhmmss，</w:t>
            </w:r>
            <w:bookmarkEnd w:id="343"/>
            <w:r>
              <w:rPr>
                <w:rFonts w:hint="eastAsia"/>
                <w:color w:val="000000" w:themeColor="text1"/>
                <w14:textFill>
                  <w14:solidFill>
                    <w14:schemeClr w14:val="tx1"/>
                  </w14:solidFill>
                </w14:textFill>
              </w:rPr>
              <w:t>记录环境指标降至安全阈值且设备恢复正常后的具体时间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处置结果记录</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记录处置情况，如“</w:t>
            </w:r>
            <w:r>
              <w:rPr>
                <w:color w:val="000000" w:themeColor="text1"/>
                <w14:textFill>
                  <w14:solidFill>
                    <w14:schemeClr w14:val="tx1"/>
                  </w14:solidFill>
                </w14:textFill>
              </w:rPr>
              <w:t xml:space="preserve">CO </w:t>
            </w:r>
            <w:r>
              <w:rPr>
                <w:rFonts w:hint="eastAsia"/>
                <w:color w:val="000000" w:themeColor="text1"/>
                <w14:textFill>
                  <w14:solidFill>
                    <w14:schemeClr w14:val="tx1"/>
                  </w14:solidFill>
                </w14:textFill>
              </w:rPr>
              <w:t>浓度超标：</w:t>
            </w:r>
            <w:r>
              <w:rPr>
                <w:color w:val="000000" w:themeColor="text1"/>
                <w14:textFill>
                  <w14:solidFill>
                    <w14:schemeClr w14:val="tx1"/>
                  </w14:solidFill>
                </w14:textFill>
              </w:rPr>
              <w:t xml:space="preserve">12:00 </w:t>
            </w:r>
            <w:r>
              <w:rPr>
                <w:rFonts w:hint="eastAsia"/>
                <w:color w:val="000000" w:themeColor="text1"/>
                <w14:textFill>
                  <w14:solidFill>
                    <w14:schemeClr w14:val="tx1"/>
                  </w14:solidFill>
                </w14:textFill>
              </w:rPr>
              <w:t>通风系统加大风速后，</w:t>
            </w:r>
            <w:r>
              <w:rPr>
                <w:color w:val="000000" w:themeColor="text1"/>
                <w14:textFill>
                  <w14:solidFill>
                    <w14:schemeClr w14:val="tx1"/>
                  </w14:solidFill>
                </w14:textFill>
              </w:rPr>
              <w:t>CO</w:t>
            </w:r>
            <w:r>
              <w:rPr>
                <w:rFonts w:hint="eastAsia"/>
                <w:color w:val="000000" w:themeColor="text1"/>
                <w14:textFill>
                  <w14:solidFill>
                    <w14:schemeClr w14:val="tx1"/>
                  </w14:solidFill>
                </w14:textFill>
              </w:rPr>
              <w:t>浓度降至</w:t>
            </w:r>
            <w:r>
              <w:rPr>
                <w:color w:val="000000" w:themeColor="text1"/>
                <w14:textFill>
                  <w14:solidFill>
                    <w14:schemeClr w14:val="tx1"/>
                  </w14:solidFill>
                </w14:textFill>
              </w:rPr>
              <w:t xml:space="preserve"> 80ppm</w:t>
            </w:r>
            <w:r>
              <w:rPr>
                <w:rFonts w:hint="eastAsia"/>
                <w:color w:val="000000" w:themeColor="text1"/>
                <w14:textFill>
                  <w14:solidFill>
                    <w14:schemeClr w14:val="tx1"/>
                  </w14:solidFill>
                </w14:textFill>
              </w:rPr>
              <w:t>（安全阈值内），恢复正常车道通行”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0"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1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后续监测计划</w:t>
            </w:r>
          </w:p>
        </w:tc>
        <w:tc>
          <w:tcPr>
            <w:tcW w:w="89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7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记录后续措施，如“未来 24 小时每小时监测隧道 CO 浓度与通风状态（记录至监测表：SD-JC-20251101-001）”“每周检查隧道消防与通风设备，避免同类故障（维护计划编号：WH-SD-202511）”</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气象报警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气象报警采集数据项见表A.53。</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气象报警采集数据项</w:t>
      </w:r>
    </w:p>
    <w:tbl>
      <w:tblPr>
        <w:tblStyle w:val="33"/>
        <w:tblW w:w="964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1418"/>
        <w:gridCol w:w="1373"/>
        <w:gridCol w:w="62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1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37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29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1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报警编号</w:t>
            </w:r>
          </w:p>
        </w:tc>
        <w:tc>
          <w:tcPr>
            <w:tcW w:w="137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标识单次气象报警事件唯一性的代码，如“QX-BJ-20251101-001，QX代表气象，BJ代表报警”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设备编号</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标识气象监测终端唯一编码,关联气象监测设备基础信息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报警气象类型</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类型包括“暴雨”“暴雪”“大雾”“大风”“高温”“低温”“冰雹”“雷电”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报警触发时间</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YYYYMMDDhhmmss，记录气象数据达到报警阈值的时间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保留6位小数，与纬度配合定位报警位置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保留6位小数，与经度配合定位报警位置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监测数据详情</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记录触发报警的具体指标，如“暴雨：1小时降雨量55 mm（报警阈值 50mm），累计降雨量80 mm”</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，具体报警阈值见</w:t>
            </w:r>
            <w:r>
              <w:rPr>
                <w:color w:val="000000" w:themeColor="text1"/>
                <w14:textFill>
                  <w14:solidFill>
                    <w14:schemeClr w14:val="tx1"/>
                  </w14:solidFill>
                </w14:textFill>
              </w:rPr>
              <w:t>QX/T 414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报警等级</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等级包括“蓝色（</w:t>
            </w:r>
            <w:r>
              <w:rPr>
                <w:rFonts w:hint="eastAsia" w:hAnsi="宋体"/>
                <w:color w:val="000000" w:themeColor="text1"/>
                <w14:textFill>
                  <w14:solidFill>
                    <w14:schemeClr w14:val="tx1"/>
                  </w14:solidFill>
                </w14:textFill>
              </w:rPr>
              <w:t>Ⅳ</w:t>
            </w:r>
            <w:r>
              <w:rPr>
                <w:rFonts w:hint="eastAsia"/>
                <w:color w:val="000000" w:themeColor="text1"/>
                <w14:textFill>
                  <w14:solidFill>
                    <w14:schemeClr w14:val="tx1"/>
                  </w14:solidFill>
                </w14:textFill>
              </w:rPr>
              <w:t>级）预警”“黄色（</w:t>
            </w:r>
            <w:r>
              <w:rPr>
                <w:rFonts w:hint="eastAsia" w:hAnsi="宋体"/>
                <w:color w:val="000000" w:themeColor="text1"/>
                <w14:textFill>
                  <w14:solidFill>
                    <w14:schemeClr w14:val="tx1"/>
                  </w14:solidFill>
                </w14:textFill>
              </w:rPr>
              <w:t>Ⅲ</w:t>
            </w:r>
            <w:r>
              <w:rPr>
                <w:rFonts w:hint="eastAsia"/>
                <w:color w:val="000000" w:themeColor="text1"/>
                <w14:textFill>
                  <w14:solidFill>
                    <w14:schemeClr w14:val="tx1"/>
                  </w14:solidFill>
                </w14:textFill>
              </w:rPr>
              <w:t>级）预警”“橙色（</w:t>
            </w:r>
            <w:r>
              <w:rPr>
                <w:rFonts w:hint="eastAsia" w:hAnsi="宋体"/>
                <w:color w:val="000000" w:themeColor="text1"/>
                <w14:textFill>
                  <w14:solidFill>
                    <w14:schemeClr w14:val="tx1"/>
                  </w14:solidFill>
                </w14:textFill>
              </w:rPr>
              <w:t>Ⅱ级）</w:t>
            </w:r>
            <w:r>
              <w:rPr>
                <w:rFonts w:hint="eastAsia"/>
                <w:color w:val="000000" w:themeColor="text1"/>
                <w14:textFill>
                  <w14:solidFill>
                    <w14:schemeClr w14:val="tx1"/>
                  </w14:solidFill>
                </w14:textFill>
              </w:rPr>
              <w:t>预警”“红色（</w:t>
            </w:r>
            <w:r>
              <w:rPr>
                <w:rFonts w:hint="eastAsia" w:hAnsi="宋体"/>
                <w:color w:val="000000" w:themeColor="text1"/>
                <w14:textFill>
                  <w14:solidFill>
                    <w14:schemeClr w14:val="tx1"/>
                  </w14:solidFill>
                </w14:textFill>
              </w:rPr>
              <w:t>Ι</w:t>
            </w:r>
            <w:r>
              <w:rPr>
                <w:rFonts w:hint="eastAsia"/>
                <w:color w:val="000000" w:themeColor="text1"/>
                <w14:textFill>
                  <w14:solidFill>
                    <w14:schemeClr w14:val="tx1"/>
                  </w14:solidFill>
                </w14:textFill>
              </w:rPr>
              <w:t>级）预警”，具体等级划分见</w:t>
            </w:r>
            <w:r>
              <w:rPr>
                <w:color w:val="000000" w:themeColor="text1"/>
                <w14:textFill>
                  <w14:solidFill>
                    <w14:schemeClr w14:val="tx1"/>
                  </w14:solidFill>
                </w14:textFill>
              </w:rPr>
              <w:t>QX/T 414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预警信息来源</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来源包括“路网自建气象站实时监测”“市气象局推送预警”“省级交通气象平台联动”等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预计影响时长</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基于气象模型预测，为应急准备提供时间参考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影响路网范围</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明确需重点关注的路网区域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联动处置措施</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按报警等级匹配措施，如“推送预警至调度中心、路段管养单位、收费站”“情报板发布警示信息：大雾预警，能见度低，限速60 km/h，保持车距’”“安排路巡人员加密巡查，每30分钟1次”“红色预警时封闭易受影响路段，引导车辆绕行”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报警解除时间</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YYYYMMDDhhmmss，气象数据降至安全阈值后记录；解除后需发布“预警解除通知”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41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处置效果评估</w:t>
            </w:r>
          </w:p>
        </w:tc>
        <w:tc>
          <w:tcPr>
            <w:tcW w:w="137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2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记录预警处置效果,如“大雾预警及时，处置期间 G60 K120-K130 段未发生追尾事故”“暴雨预警后提前清理排水口，未出现路面积水阻断交通”</w:t>
            </w:r>
          </w:p>
        </w:tc>
      </w:tr>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视频检测报警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视频检测报警采集数据项见表A.54。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视频检测报警采集数据项</w:t>
      </w:r>
    </w:p>
    <w:tbl>
      <w:tblPr>
        <w:tblStyle w:val="33"/>
        <w:tblW w:w="955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134"/>
        <w:gridCol w:w="959"/>
        <w:gridCol w:w="70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5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4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报警编号</w:t>
            </w:r>
          </w:p>
        </w:tc>
        <w:tc>
          <w:tcPr>
            <w:tcW w:w="95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标识单次视频检测报警事件唯一性的代码，如“SP-BJ-20251101-001，SP代表视频监测，BJ代表报警”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报警事件类型</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类型包括：停止事件、逆行事件、侵入事件、抛洒物事件、拥堵事件、特速车事件、机动车驶离事件、烟火事件，</w:t>
            </w:r>
            <w:r>
              <w:rPr>
                <w:color w:val="000000" w:themeColor="text1"/>
                <w14:textFill>
                  <w14:solidFill>
                    <w14:schemeClr w14:val="tx1"/>
                  </w14:solidFill>
                </w14:textFill>
              </w:rPr>
              <w:t>降雨、降雪、大雾、沙尘、路面坍塌、桥梁垮塌和边坡滑坡造成堵塞等特殊事件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报警触发时间</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YYYYMMDDhhmmss，记录视频识别异常的时间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检测设备信息</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信息包括设备编号、设备类型和安装位置等，设备类型见GB/T 28789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事件详细描述</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记录细节，如“交通事故：两辆小型车（车牌湘AXXXXX、湘BXXXXX）在G60 K125+300上行第2车道发生追尾，无人员下车，车辆未占用其他车道”“路面障碍物：K126+100 下行车道有疑似轮胎碎片，约1 m×0.5 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事件画面证据存储路径</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明确可视化证据存储位置，可视化证据包括实时截图、事件视频片段、画面标注等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报警推送对象</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按事件类型推送，确保责任单位及时接收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报警确认状态</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如“待人工确认”“已确认（事件属实）”“已确认（误报，原因：XX）”</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误报原因分析</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出现误报时记录，如 “09:10 ‘车辆违停’报警，实际为车辆正常减速排队，车流拥堵导致车速过低，触发违停算法”）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事件处置跟踪</w:t>
            </w:r>
          </w:p>
        </w:tc>
        <w:tc>
          <w:tcPr>
            <w:tcW w:w="95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4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确认属实后记录事件处置结果</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互联网路况报警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互联网路况报警采集数据项见表A.55。</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互联网路况报警采集数据项</w:t>
      </w:r>
    </w:p>
    <w:tbl>
      <w:tblPr>
        <w:tblStyle w:val="33"/>
        <w:tblW w:w="955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1"/>
        <w:gridCol w:w="1454"/>
        <w:gridCol w:w="1004"/>
        <w:gridCol w:w="669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5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00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90"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5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报警编号</w:t>
            </w:r>
          </w:p>
        </w:tc>
        <w:tc>
          <w:tcPr>
            <w:tcW w:w="100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标识单次互联网路况报警事件唯一性的代码，如“HLW-BJ-20251101-001，HLW代表互联网路况，BJ代表报警”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报警提交时间</w:t>
            </w:r>
          </w:p>
        </w:tc>
        <w:tc>
          <w:tcPr>
            <w:tcW w:w="1004" w:type="dxa"/>
            <w:vAlign w:val="center"/>
          </w:tcPr>
          <w:p>
            <w:pPr>
              <w:pStyle w:val="178"/>
              <w:jc w:val="left"/>
              <w:rPr>
                <w:color w:val="000000" w:themeColor="text1"/>
                <w14:textFill>
                  <w14:solidFill>
                    <w14:schemeClr w14:val="tx1"/>
                  </w14:solidFill>
                </w14:textFill>
              </w:rPr>
            </w:pPr>
            <w:bookmarkStart w:id="344" w:name="OLE_LINK203"/>
            <w:r>
              <w:rPr>
                <w:rFonts w:hint="eastAsia"/>
                <w:color w:val="000000" w:themeColor="text1"/>
                <w14:textFill>
                  <w14:solidFill>
                    <w14:schemeClr w14:val="tx1"/>
                  </w14:solidFill>
                </w14:textFill>
              </w:rPr>
              <w:t>日期时间型</w:t>
            </w:r>
            <w:bookmarkEnd w:id="344"/>
          </w:p>
        </w:tc>
        <w:tc>
          <w:tcPr>
            <w:tcW w:w="6690" w:type="dxa"/>
            <w:vAlign w:val="center"/>
          </w:tcPr>
          <w:p>
            <w:pPr>
              <w:pStyle w:val="178"/>
              <w:jc w:val="left"/>
              <w:rPr>
                <w:color w:val="000000" w:themeColor="text1"/>
                <w14:textFill>
                  <w14:solidFill>
                    <w14:schemeClr w14:val="tx1"/>
                  </w14:solidFill>
                </w14:textFill>
              </w:rPr>
            </w:pPr>
            <w:bookmarkStart w:id="345" w:name="OLE_LINK204"/>
            <w:r>
              <w:rPr>
                <w:rFonts w:hint="eastAsia"/>
                <w:color w:val="000000" w:themeColor="text1"/>
                <w14:textFill>
                  <w14:solidFill>
                    <w14:schemeClr w14:val="tx1"/>
                  </w14:solidFill>
                </w14:textFill>
              </w:rPr>
              <w:t>YYYYMMDDhhmmss</w:t>
            </w:r>
            <w:bookmarkEnd w:id="345"/>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保留6位小数，与纬度配合实现GIS地图标注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保留6位小数，与经度配合实现GIS地图标注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事件定位信息</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记录报警人提供的位置（如G60 K130 上行）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报警事件描述</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记录报警人提交内容，如“G60 K130 上行段有一辆黑色SUV车牌未看清）在应急车道停车，未开双闪，存在安全隐患”</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报警来源渠道</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来源渠道包括“高速通APP ”“导航软件反馈”“一键救援”等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报警人信息</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记录“报警人姓名（可匿名）+联系方式”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报警附件存储路径</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明确报警人上传材料存储位置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报警核实结果</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记录“是否核实+核实内容”，如“已核实（交通事故）”“已核实（障碍物）”“未核实（位置模糊，路巡未发现异常）”“误报（用户误报，无对应事件）”</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1"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4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处置措施与反馈</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9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记录核实属实后处置和反馈，记录如“安排路巡人员前往 G60 K1130 段，09:50 发现违停车辆，劝导驶离” 反馈如“事件已处置，感谢举报”</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路网事件信息</w:t>
      </w:r>
    </w:p>
    <w:p>
      <w:pPr>
        <w:pStyle w:val="56"/>
        <w:ind w:firstLine="420"/>
        <w:rPr>
          <w:color w:val="000000" w:themeColor="text1"/>
          <w14:textFill>
            <w14:solidFill>
              <w14:schemeClr w14:val="tx1"/>
            </w14:solidFill>
          </w14:textFill>
        </w:rPr>
      </w:pPr>
      <w:bookmarkStart w:id="346" w:name="OLE_LINK5"/>
      <w:r>
        <w:rPr>
          <w:rFonts w:hint="eastAsia"/>
          <w:color w:val="000000" w:themeColor="text1"/>
          <w14:textFill>
            <w14:solidFill>
              <w14:schemeClr w14:val="tx1"/>
            </w14:solidFill>
          </w14:textFill>
        </w:rPr>
        <w:t>路网事件</w:t>
      </w:r>
      <w:bookmarkEnd w:id="346"/>
      <w:r>
        <w:rPr>
          <w:rFonts w:hint="eastAsia"/>
          <w:color w:val="000000" w:themeColor="text1"/>
          <w14:textFill>
            <w14:solidFill>
              <w14:schemeClr w14:val="tx1"/>
            </w14:solidFill>
          </w14:textFill>
        </w:rPr>
        <w:t>信息采集数据项见表A.56。</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路网事件信息采集数据项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43"/>
        <w:gridCol w:w="1281"/>
        <w:gridCol w:w="928"/>
        <w:gridCol w:w="66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4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8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2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68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8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事件编号</w:t>
            </w:r>
          </w:p>
        </w:tc>
        <w:tc>
          <w:tcPr>
            <w:tcW w:w="92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标识路网事件唯一性的代码，如“GS-20251102-0001，GS代表高速”，贯穿事件处置全流程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阻断位置</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 K121+300 上行应急车道，临近隧道入口”，便于现场定位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阻断发生时间</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YYYYMMDDhhmmss，记录阻断发生时间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阻断原因类型</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 “地质灾害”“恶劣气象”“交通事故”“车辆故障”“大流量”等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阻断原因</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如“暴雨冲毁路基”“货车侧翻”，描述事件具体状态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阻断情况</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如“完全阻断（双向无法通行）”“部分阻断（上行 1-2 车道关闭）”，说明影响范围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8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涉事车辆</w:t>
            </w:r>
          </w:p>
        </w:tc>
        <w:tc>
          <w:tcPr>
            <w:tcW w:w="92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由交通事故导致阻断时，记录涉事车辆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现场情况</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如“无人员伤亡，货物散落占用2车道”，记录现场细节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28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受伤人数</w:t>
            </w:r>
          </w:p>
        </w:tc>
        <w:tc>
          <w:tcPr>
            <w:tcW w:w="92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8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记录人员受伤总数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28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死亡人数</w:t>
            </w:r>
          </w:p>
        </w:tc>
        <w:tc>
          <w:tcPr>
            <w:tcW w:w="92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8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记录人员死亡总数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281"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路产损失</w:t>
            </w:r>
          </w:p>
        </w:tc>
        <w:tc>
          <w:tcPr>
            <w:tcW w:w="92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682"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估算损失金额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处置措施</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如“封闭上行 K120-K122 段，车辆从 K120互通分流”</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处置情况</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如“救援车已到达，正在清理货物”，更新处置进度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预计恢复时间</w:t>
            </w:r>
          </w:p>
        </w:tc>
        <w:tc>
          <w:tcPr>
            <w:tcW w:w="928"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日期时间型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YYYYMMDDhhmm，未确定记录“待定”，及时更新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事件描述</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完整记录事件关键信息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处置负责人信息</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记录“处置负责人姓名 + 电话”，明确责任对接人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登记人信息</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记录“登记人员姓名+部门”，明确登记责任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登记时间</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YYYYMMDDhhmmss，记录事件处置节点时间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2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c>
          <w:tcPr>
            <w:tcW w:w="92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68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补充特殊信息，完善事件记录</w:t>
            </w:r>
          </w:p>
        </w:tc>
      </w:tr>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养护计划</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养护计划采集数据项见表A.57。</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养护计划采集数据项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9"/>
        <w:gridCol w:w="1344"/>
        <w:gridCol w:w="981"/>
        <w:gridCol w:w="65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44"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8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550"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4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事件编号</w:t>
            </w:r>
          </w:p>
        </w:tc>
        <w:tc>
          <w:tcPr>
            <w:tcW w:w="98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标识养护计划唯一性的代码，如“GS-20251102-0001，GS代表高速”，贯穿事件处置全流程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养护类型</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类型包括“日常养护”“专项养护”“应急养护”等，明确养护性质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养护对象</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如“G60 K120-K130路面”“SD-G60-K125隧道照明设备”，确定养护目标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养护内容</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如“路面裂缝灌缝”“隧道CO传感器校准”“桥梁支座清洁”，详细说明养护工作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计划开始时间</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550" w:type="dxa"/>
            <w:vAlign w:val="center"/>
          </w:tcPr>
          <w:p>
            <w:pPr>
              <w:pStyle w:val="178"/>
              <w:jc w:val="lef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YYYYMMDDhhmmss，</w:t>
            </w:r>
            <w:r>
              <w:rPr>
                <w:rFonts w:hint="eastAsia" w:hAnsi="宋体" w:cs="宋体"/>
                <w:snapToGrid w:val="0"/>
                <w:color w:val="000000" w:themeColor="text1"/>
                <w:szCs w:val="18"/>
                <w:lang w:bidi="ar"/>
                <w14:textFill>
                  <w14:solidFill>
                    <w14:schemeClr w14:val="tx1"/>
                  </w14:solidFill>
                </w14:textFill>
              </w:rPr>
              <w:t>结合交通流量低谷时间段（如22:00</w:t>
            </w:r>
            <w:r>
              <w:rPr>
                <w:rFonts w:hint="eastAsia"/>
                <w:color w:val="000000" w:themeColor="text1"/>
                <w:szCs w:val="18"/>
                <w14:textFill>
                  <w14:solidFill>
                    <w14:schemeClr w14:val="tx1"/>
                  </w14:solidFill>
                </w14:textFill>
              </w:rPr>
              <w:t>～</w:t>
            </w:r>
            <w:r>
              <w:rPr>
                <w:rFonts w:hint="eastAsia" w:hAnsi="宋体" w:cs="宋体"/>
                <w:snapToGrid w:val="0"/>
                <w:color w:val="000000" w:themeColor="text1"/>
                <w:szCs w:val="18"/>
                <w:lang w:bidi="ar"/>
                <w14:textFill>
                  <w14:solidFill>
                    <w14:schemeClr w14:val="tx1"/>
                  </w14:solidFill>
                </w14:textFill>
              </w:rPr>
              <w:t>次日6:00）制定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计划完成时间</w:t>
            </w:r>
          </w:p>
        </w:tc>
        <w:tc>
          <w:tcPr>
            <w:tcW w:w="981"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日期时间型</w:t>
            </w:r>
          </w:p>
        </w:tc>
        <w:tc>
          <w:tcPr>
            <w:tcW w:w="6550" w:type="dxa"/>
            <w:vAlign w:val="center"/>
          </w:tcPr>
          <w:p>
            <w:pPr>
              <w:pStyle w:val="178"/>
              <w:jc w:val="lef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YYYYMMDDhhmmss，</w:t>
            </w:r>
            <w:r>
              <w:rPr>
                <w:rFonts w:hint="eastAsia" w:hAnsi="宋体" w:cs="宋体"/>
                <w:snapToGrid w:val="0"/>
                <w:color w:val="000000" w:themeColor="text1"/>
                <w:szCs w:val="18"/>
                <w:lang w:bidi="ar"/>
                <w14:textFill>
                  <w14:solidFill>
                    <w14:schemeClr w14:val="tx1"/>
                  </w14:solidFill>
                </w14:textFill>
              </w:rPr>
              <w:t>确保养护周期合理，不影响正常通行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养护单位</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明确养护实施主体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施工负责人信息</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记录“现场施工负责人姓名 + 电话”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登记人信息</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记录“登记人员姓名+部门”，明确登记责任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登记时间</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YYYYMMDDhhmmss，记录事件处置节点时间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9"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34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c>
          <w:tcPr>
            <w:tcW w:w="98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55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补充特殊信息，完善事件记录</w:t>
            </w:r>
          </w:p>
        </w:tc>
      </w:tr>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设备维护</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设备维护采集数据项见表A.58。</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设备维护采集数据项</w:t>
      </w:r>
    </w:p>
    <w:tbl>
      <w:tblPr>
        <w:tblStyle w:val="33"/>
        <w:tblW w:w="948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03"/>
        <w:gridCol w:w="1188"/>
        <w:gridCol w:w="978"/>
        <w:gridCol w:w="68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0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8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7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w:t>
            </w:r>
          </w:p>
        </w:tc>
        <w:tc>
          <w:tcPr>
            <w:tcW w:w="6820"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8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维护编号</w:t>
            </w:r>
          </w:p>
        </w:tc>
        <w:tc>
          <w:tcPr>
            <w:tcW w:w="97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0"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标识设备维护唯一性的代码，如“WH-20251102-001，WH代表维护”，关联设备编号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维护类型</w:t>
            </w:r>
          </w:p>
        </w:tc>
        <w:tc>
          <w:tcPr>
            <w:tcW w:w="97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如“日常维护”“故障维修”“定期校准”“设备更换”，明确维护性质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维护时间</w:t>
            </w:r>
          </w:p>
        </w:tc>
        <w:tc>
          <w:tcPr>
            <w:tcW w:w="978"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日期时间型</w:t>
            </w:r>
          </w:p>
        </w:tc>
        <w:tc>
          <w:tcPr>
            <w:tcW w:w="68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YYYYMMDDhhmmss，记录维护实施节点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维护原因</w:t>
            </w:r>
          </w:p>
        </w:tc>
        <w:tc>
          <w:tcPr>
            <w:tcW w:w="97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说明维护触发条件，如 “传感器数据异常（温度值偏差超2 ℃）”</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维护内容</w:t>
            </w:r>
          </w:p>
        </w:tc>
        <w:tc>
          <w:tcPr>
            <w:tcW w:w="97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记录维护操作，如 “更换传感器主板，重新调试参数”</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维护结果</w:t>
            </w:r>
          </w:p>
        </w:tc>
        <w:tc>
          <w:tcPr>
            <w:tcW w:w="97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如“0-维护中，1-维护完成（正常），2-维护完成（仍异常，需进一步处理）”，反馈维护效果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维护费用</w:t>
            </w:r>
          </w:p>
        </w:tc>
        <w:tc>
          <w:tcPr>
            <w:tcW w:w="97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820"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单位：元，记录维护成本</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0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18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维护人员</w:t>
            </w:r>
          </w:p>
        </w:tc>
        <w:tc>
          <w:tcPr>
            <w:tcW w:w="97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820" w:type="dxa"/>
            <w:vAlign w:val="center"/>
          </w:tcPr>
          <w:p>
            <w:pPr>
              <w:pStyle w:val="178"/>
              <w:jc w:val="left"/>
              <w:rPr>
                <w:color w:val="000000" w:themeColor="text1"/>
                <w14:textFill>
                  <w14:solidFill>
                    <w14:schemeClr w14:val="tx1"/>
                  </w14:solidFill>
                </w14:textFill>
              </w:rPr>
            </w:pPr>
            <w:bookmarkStart w:id="347" w:name="OLE_LINK229"/>
            <w:r>
              <w:rPr>
                <w:rFonts w:hint="eastAsia"/>
                <w:color w:val="000000" w:themeColor="text1"/>
                <w14:textFill>
                  <w14:solidFill>
                    <w14:schemeClr w14:val="tx1"/>
                  </w14:solidFill>
                </w14:textFill>
              </w:rPr>
              <w:t>记录维护人员姓名</w:t>
            </w:r>
            <w:bookmarkEnd w:id="347"/>
            <w:r>
              <w:rPr>
                <w:rFonts w:hint="eastAsia"/>
                <w:color w:val="000000" w:themeColor="text1"/>
                <w14:textFill>
                  <w14:solidFill>
                    <w14:schemeClr w14:val="tx1"/>
                  </w14:solidFill>
                </w14:textFill>
              </w:rPr>
              <w:t>，明确维护责任</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人员排班调度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人员排班调度采集数据项见表A.59。</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人员排班调度采集数据项</w:t>
      </w:r>
    </w:p>
    <w:tbl>
      <w:tblPr>
        <w:tblStyle w:val="33"/>
        <w:tblW w:w="948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43"/>
        <w:gridCol w:w="1321"/>
        <w:gridCol w:w="802"/>
        <w:gridCol w:w="69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blHeader/>
          <w:jc w:val="center"/>
        </w:trPr>
        <w:tc>
          <w:tcPr>
            <w:tcW w:w="44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32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0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91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32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排班周期</w:t>
            </w:r>
          </w:p>
        </w:tc>
        <w:tc>
          <w:tcPr>
            <w:tcW w:w="80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如“2025年11月第1周（11月1日-</w:t>
            </w:r>
            <w:bookmarkStart w:id="348" w:name="OLE_LINK226"/>
            <w:r>
              <w:rPr>
                <w:rFonts w:hint="eastAsia"/>
                <w:color w:val="000000" w:themeColor="text1"/>
                <w14:textFill>
                  <w14:solidFill>
                    <w14:schemeClr w14:val="tx1"/>
                  </w14:solidFill>
                </w14:textFill>
              </w:rPr>
              <w:t>11月7日）”</w:t>
            </w:r>
            <w:bookmarkEnd w:id="348"/>
            <w:r>
              <w:rPr>
                <w:rFonts w:hint="eastAsia"/>
                <w:color w:val="000000" w:themeColor="text1"/>
                <w14:textFill>
                  <w14:solidFill>
                    <w14:schemeClr w14:val="tx1"/>
                  </w14:solidFill>
                </w14:textFill>
              </w:rPr>
              <w:t>，明确排班时间范围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3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涉及部门与岗位</w:t>
            </w:r>
          </w:p>
        </w:tc>
        <w:tc>
          <w:tcPr>
            <w:tcW w:w="80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按部门分类，明确覆盖岗位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43"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32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排班规则</w:t>
            </w:r>
          </w:p>
        </w:tc>
        <w:tc>
          <w:tcPr>
            <w:tcW w:w="80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说明排班逻辑，如“调度中心：24小时轮班制，早班8:00-16:00，中班16:00-24:00，晚班0:00-8:00），每人每周休息2天，避免连续夜班”</w:t>
            </w:r>
            <w:r>
              <w:rPr>
                <w:color w:val="000000" w:themeColor="text1"/>
                <w14:textFill>
                  <w14:solidFill>
                    <w14:schemeClr w14:val="tx1"/>
                  </w14:solidFill>
                </w14:textFill>
              </w:rPr>
              <w:t xml:space="preserve"> </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物资入库</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物资入库采集数据项见表A.60。</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物资入库采集数据项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85"/>
        <w:gridCol w:w="1491"/>
        <w:gridCol w:w="1004"/>
        <w:gridCol w:w="635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blHeader/>
          <w:jc w:val="center"/>
        </w:trPr>
        <w:tc>
          <w:tcPr>
            <w:tcW w:w="485"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91"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00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35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296" w:hRule="atLeast"/>
          <w:jc w:val="center"/>
        </w:trPr>
        <w:tc>
          <w:tcPr>
            <w:tcW w:w="485"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49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仓库编号</w:t>
            </w:r>
          </w:p>
        </w:tc>
        <w:tc>
          <w:tcPr>
            <w:tcW w:w="100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标识仓库唯一性的代码，关联应急仓库基础信息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物资一级分类编号</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标识物资一级分类唯一性的代码，关联物资分类基础信息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物资二级分类编号</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标识物资二级分类唯一性的代码，关联物资分类基础信息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物资名称</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物资二级分类名称称，备注物资型号、规格，如：“防滑链-货车专用、干粉灭火器- 4kg”</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入库编号</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标识入库唯一性的代码，如 “RK-20251102-001，RK代表入库”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入库时间</w:t>
            </w:r>
          </w:p>
        </w:tc>
        <w:tc>
          <w:tcPr>
            <w:tcW w:w="1004"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日期时间型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YYYYMMDDhhmmss，记录入库节点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入库数量</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记录某物资入库的数量，及时更新库存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90" w:hRule="atLeast"/>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供应商</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记录物资供应商，明确物资来源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验收情况</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如“0-待验收，1-验收合格（准予入库），2-验收不合格”，不合格需说明原因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485"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49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入库经办人</w:t>
            </w:r>
          </w:p>
        </w:tc>
        <w:tc>
          <w:tcPr>
            <w:tcW w:w="100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5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记录入库经办人姓名，明确入库责任</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物资出库</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物资出库采集数据项见表A.61。</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物资出库采集数据项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87"/>
        <w:gridCol w:w="1458"/>
        <w:gridCol w:w="1003"/>
        <w:gridCol w:w="638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8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45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100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38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tcBorders>
              <w:top w:val="single" w:color="auto" w:sz="8" w:space="0"/>
            </w:tcBorders>
            <w:vAlign w:val="center"/>
          </w:tcPr>
          <w:p>
            <w:pPr>
              <w:pStyle w:val="178"/>
              <w:rPr>
                <w:color w:val="000000" w:themeColor="text1"/>
                <w14:textFill>
                  <w14:solidFill>
                    <w14:schemeClr w14:val="tx1"/>
                  </w14:solidFill>
                </w14:textFill>
              </w:rPr>
            </w:pPr>
            <w:bookmarkStart w:id="349" w:name="OLE_LINK37"/>
            <w:r>
              <w:rPr>
                <w:rFonts w:hint="eastAsia"/>
                <w:color w:val="000000" w:themeColor="text1"/>
                <w14:textFill>
                  <w14:solidFill>
                    <w14:schemeClr w14:val="tx1"/>
                  </w14:solidFill>
                </w14:textFill>
              </w:rPr>
              <w:t>1</w:t>
            </w:r>
          </w:p>
        </w:tc>
        <w:tc>
          <w:tcPr>
            <w:tcW w:w="145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仓库编号</w:t>
            </w:r>
          </w:p>
        </w:tc>
        <w:tc>
          <w:tcPr>
            <w:tcW w:w="100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标识仓库唯一性的代码，关联应急仓库基础信息</w:t>
            </w:r>
          </w:p>
        </w:tc>
      </w:tr>
      <w:bookmarkEnd w:id="349"/>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物资一级分类编号</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标识物资一级分类唯一性的代码，关联物资分类基础信息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物资二级分类编号</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标识物资二级分类唯一性的代码，关联物资分类基础信息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物资名称</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物资二级分类名称称，备注物资型号、规格，如：“防滑链-货车专用、干粉灭火器- 4kg”</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出库编号</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标识出库唯一性的代码，如 “CK-20251102-001，CK代表出库”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出库时间</w:t>
            </w:r>
          </w:p>
        </w:tc>
        <w:tc>
          <w:tcPr>
            <w:tcW w:w="1003"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日期时间型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YYYYMMDDhhmmss，记录出库节点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出库数量</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记录某物资出库的数量，及时更新库存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出库用途</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明确物资去向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领用部门/人员</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记录“领用部门名称+领用人员姓名”，明确领用主体，便于追溯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87"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4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出库经办人</w:t>
            </w:r>
          </w:p>
        </w:tc>
        <w:tc>
          <w:tcPr>
            <w:tcW w:w="100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386"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与入库经办人一致，确保物资流转责任清晰</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应急预案采集数据项见表A.62。</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应急预案采集数据项</w:t>
      </w:r>
    </w:p>
    <w:tbl>
      <w:tblPr>
        <w:tblStyle w:val="33"/>
        <w:tblW w:w="948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517"/>
        <w:gridCol w:w="772"/>
        <w:gridCol w:w="67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51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772"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783"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51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应急预案编号</w:t>
            </w:r>
          </w:p>
        </w:tc>
        <w:tc>
          <w:tcPr>
            <w:tcW w:w="77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标识应急预案唯一性的代码，如“ADP-2025-001，ADP代表应急预案”，关联应急预案全生命周期管理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517" w:type="dxa"/>
            <w:vAlign w:val="center"/>
          </w:tcPr>
          <w:p>
            <w:pPr>
              <w:pStyle w:val="178"/>
              <w:jc w:val="left"/>
              <w:rPr>
                <w:color w:val="000000" w:themeColor="text1"/>
                <w14:textFill>
                  <w14:solidFill>
                    <w14:schemeClr w14:val="tx1"/>
                  </w14:solidFill>
                </w14:textFill>
              </w:rPr>
            </w:pPr>
            <w:bookmarkStart w:id="350" w:name="OLE_LINK241"/>
            <w:r>
              <w:rPr>
                <w:rFonts w:hint="eastAsia"/>
                <w:color w:val="000000" w:themeColor="text1"/>
                <w14:textFill>
                  <w14:solidFill>
                    <w14:schemeClr w14:val="tx1"/>
                  </w14:solidFill>
                </w14:textFill>
              </w:rPr>
              <w:t>应急</w:t>
            </w:r>
            <w:bookmarkEnd w:id="350"/>
            <w:r>
              <w:rPr>
                <w:rFonts w:hint="eastAsia"/>
                <w:color w:val="000000" w:themeColor="text1"/>
                <w14:textFill>
                  <w14:solidFill>
                    <w14:schemeClr w14:val="tx1"/>
                  </w14:solidFill>
                </w14:textFill>
              </w:rPr>
              <w:t>预案名称</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如“高速公路暴雨积水应急处置预案”“两客一危车辆交通事故救援预案”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应急预案类型</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1-总体预案，2-专项预案，具体见JT/T 1140.1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适用事件类型</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如“自然灾害（暴雨、暴雪）”“交通事故（多车追尾、危化品泄漏）”“设施故障（桥梁坍塌、隧道火灾）”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应急预案分级</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按事件严重程度分级，1-特别重大,2-重大,3-较大,4一般，具体见JT/T 1140.1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应急预案状态</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如“在用”“待更新”“已废止”，废止预案需标注替代预案编号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启动条件</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设定预案触发条件</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责任部门</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责任部门名称，明确分工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517" w:type="dxa"/>
            <w:vAlign w:val="center"/>
          </w:tcPr>
          <w:p>
            <w:pPr>
              <w:pStyle w:val="178"/>
              <w:jc w:val="left"/>
              <w:rPr>
                <w:color w:val="000000" w:themeColor="text1"/>
                <w14:textFill>
                  <w14:solidFill>
                    <w14:schemeClr w14:val="tx1"/>
                  </w14:solidFill>
                </w14:textFill>
              </w:rPr>
            </w:pPr>
            <w:bookmarkStart w:id="351" w:name="OLE_LINK244"/>
            <w:r>
              <w:rPr>
                <w:rFonts w:hint="eastAsia"/>
                <w:color w:val="000000" w:themeColor="text1"/>
                <w14:textFill>
                  <w14:solidFill>
                    <w14:schemeClr w14:val="tx1"/>
                  </w14:solidFill>
                </w14:textFill>
              </w:rPr>
              <w:t>外部协作单位</w:t>
            </w:r>
            <w:bookmarkEnd w:id="351"/>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外部协作单位名称，明确外部联动对象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所需资源清单</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按类型列出，如“按机构、人员、装备、物资”，明确资源配置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预警信息发布渠道</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如“情报板（路段实时提示）、导航 APP（推送绕行信息）、官方公众号（文字通知）、应急广播（语音播报）”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处置流程步骤</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分阶段描述，如“1.接警响应；2.资源调度；3.现场处置；4.恢复通行”</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处置时限要求</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分环节设定，如“按接警到启动预案、资源到达现场、一般事件处置和重大事件处置设定”</w:t>
            </w:r>
            <w:r>
              <w:rPr>
                <w:color w:val="000000" w:themeColor="text1"/>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后期评估要求</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如“事件结束后24小时内提交处置报告，7天内完成复盘分析，1个月内更新预案优化措施”，形成闭环管理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应急预案编制时间</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YYYYMMDD，记录预案初始版本时间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应急预案更新时间</w:t>
            </w:r>
          </w:p>
        </w:tc>
        <w:tc>
          <w:tcPr>
            <w:tcW w:w="772"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日期型</w:t>
            </w:r>
          </w:p>
        </w:tc>
        <w:tc>
          <w:tcPr>
            <w:tcW w:w="6783"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YYYYMMDD</w:t>
            </w:r>
            <w:r>
              <w:rPr>
                <w:rFonts w:hint="eastAsia"/>
                <w:color w:val="000000" w:themeColor="text1"/>
                <w14:textFill>
                  <w14:solidFill>
                    <w14:schemeClr w14:val="tx1"/>
                  </w14:solidFill>
                </w14:textFill>
              </w:rPr>
              <w:t>，每半年至少更新1次，或重大事件后及时修订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应急预案编制人员</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记录“编制人员姓名+部门”，</w:t>
            </w:r>
            <w:bookmarkStart w:id="352" w:name="OLE_LINK247"/>
            <w:r>
              <w:rPr>
                <w:rFonts w:hint="eastAsia"/>
                <w:color w:val="000000" w:themeColor="text1"/>
                <w14:textFill>
                  <w14:solidFill>
                    <w14:schemeClr w14:val="tx1"/>
                  </w14:solidFill>
                </w14:textFill>
              </w:rPr>
              <w:t>明确编制责任</w:t>
            </w:r>
            <w:bookmarkEnd w:id="352"/>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应急预案审批人员</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记录“审批人员姓名+职务” ，明确审批责任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51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c>
          <w:tcPr>
            <w:tcW w:w="77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78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补充特殊说明</w:t>
            </w:r>
          </w:p>
        </w:tc>
      </w:tr>
    </w:tbl>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应急资源调度</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应急资源调度采集数据项见表A.63。</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应急资源调度采集数据项</w:t>
      </w:r>
    </w:p>
    <w:tbl>
      <w:tblPr>
        <w:tblStyle w:val="33"/>
        <w:tblW w:w="948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939"/>
        <w:gridCol w:w="975"/>
        <w:gridCol w:w="715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93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75"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158"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93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调度编号</w:t>
            </w:r>
          </w:p>
        </w:tc>
        <w:tc>
          <w:tcPr>
            <w:tcW w:w="975"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标识应急资源调度唯一性的代码，如“YJ-DD-20251102-001，YJ代表应急，DD代表调度”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事件编号</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关联路网事件信息，与路网事件编号一致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资源类型</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类型包括“装备资源”“物资资源”等，明确调度对象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资源名称</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资源的具体名称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调度数量</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数字型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根据事件规模调配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调出地点</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记录资源初始位置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调入地点</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关联路网事件信息，与路网事件阻断位置一致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调度时间</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7158"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YYYYMMDD</w:t>
            </w:r>
            <w:r>
              <w:rPr>
                <w:rFonts w:hint="eastAsia"/>
                <w:color w:val="000000" w:themeColor="text1"/>
                <w14:textFill>
                  <w14:solidFill>
                    <w14:schemeClr w14:val="tx1"/>
                  </w14:solidFill>
                </w14:textFill>
              </w:rPr>
              <w:t>hhmmss，记录资源出发时间，用于计算调度耗时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9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调度负责人</w:t>
            </w:r>
          </w:p>
        </w:tc>
        <w:tc>
          <w:tcPr>
            <w:tcW w:w="975"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158"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记录“调度负责人姓名+电话”，明确调度责任</w:t>
            </w:r>
          </w:p>
        </w:tc>
      </w:tr>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应急处置</w:t>
      </w:r>
    </w:p>
    <w:p>
      <w:pPr>
        <w:pStyle w:val="56"/>
        <w:ind w:firstLine="420"/>
        <w:rPr>
          <w:color w:val="000000" w:themeColor="text1"/>
          <w14:textFill>
            <w14:solidFill>
              <w14:schemeClr w14:val="tx1"/>
            </w14:solidFill>
          </w14:textFill>
        </w:rPr>
      </w:pPr>
      <w:bookmarkStart w:id="353" w:name="OLE_LINK23"/>
      <w:r>
        <w:rPr>
          <w:rFonts w:hint="eastAsia"/>
          <w:color w:val="000000" w:themeColor="text1"/>
          <w14:textFill>
            <w14:solidFill>
              <w14:schemeClr w14:val="tx1"/>
            </w14:solidFill>
          </w14:textFill>
        </w:rPr>
        <w:t>应急处置采集数据项</w:t>
      </w:r>
      <w:bookmarkEnd w:id="353"/>
      <w:r>
        <w:rPr>
          <w:rFonts w:hint="eastAsia"/>
          <w:color w:val="000000" w:themeColor="text1"/>
          <w14:textFill>
            <w14:solidFill>
              <w14:schemeClr w14:val="tx1"/>
            </w14:solidFill>
          </w14:textFill>
        </w:rPr>
        <w:t>见表A.64。</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应急处置采集数据项</w:t>
      </w:r>
    </w:p>
    <w:tbl>
      <w:tblPr>
        <w:tblStyle w:val="33"/>
        <w:tblW w:w="950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134"/>
        <w:gridCol w:w="992"/>
        <w:gridCol w:w="69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16"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134"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99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696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事件编号</w:t>
            </w:r>
          </w:p>
        </w:tc>
        <w:tc>
          <w:tcPr>
            <w:tcW w:w="992"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63"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关联路网事件信息，与路网事件编号一致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处置内容</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记录具体操作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处置状态</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1-未处置，2-处置中，3-处置完成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处置开始时间</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963"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YYYYMMDD</w:t>
            </w:r>
            <w:r>
              <w:rPr>
                <w:rFonts w:hint="eastAsia"/>
                <w:color w:val="000000" w:themeColor="text1"/>
                <w14:textFill>
                  <w14:solidFill>
                    <w14:schemeClr w14:val="tx1"/>
                  </w14:solidFill>
                </w14:textFill>
              </w:rPr>
              <w:t>hhmmss，资源到达后启动处置的时间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处置完成时间</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日期时间型</w:t>
            </w:r>
          </w:p>
        </w:tc>
        <w:tc>
          <w:tcPr>
            <w:tcW w:w="6963" w:type="dxa"/>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YYYYMMDD</w:t>
            </w:r>
            <w:r>
              <w:rPr>
                <w:rFonts w:hint="eastAsia"/>
                <w:color w:val="000000" w:themeColor="text1"/>
                <w14:textFill>
                  <w14:solidFill>
                    <w14:schemeClr w14:val="tx1"/>
                  </w14:solidFill>
                </w14:textFill>
              </w:rPr>
              <w:t>hhmmss，用于计算处置时长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13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处置结果</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记录处置效果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16"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134" w:type="dxa"/>
            <w:vAlign w:val="center"/>
          </w:tcPr>
          <w:p>
            <w:pPr>
              <w:pStyle w:val="178"/>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处置人员</w:t>
            </w:r>
          </w:p>
        </w:tc>
        <w:tc>
          <w:tcPr>
            <w:tcW w:w="992"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696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记录处置人员姓名，明确处置参与方</w:t>
            </w:r>
          </w:p>
        </w:tc>
      </w:tr>
    </w:tbl>
    <w:p>
      <w:pPr>
        <w:pStyle w:val="56"/>
        <w:ind w:firstLine="420"/>
        <w:rPr>
          <w:color w:val="000000" w:themeColor="text1"/>
          <w14:textFill>
            <w14:solidFill>
              <w14:schemeClr w14:val="tx1"/>
            </w14:solidFill>
          </w14:textFill>
        </w:rPr>
      </w:pPr>
    </w:p>
    <w:p>
      <w:pPr>
        <w:pStyle w:val="79"/>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应急评估</w:t>
      </w:r>
    </w:p>
    <w:p>
      <w:pPr>
        <w:pStyle w:val="56"/>
        <w:ind w:firstLine="420"/>
        <w:rPr>
          <w:color w:val="000000" w:themeColor="text1"/>
          <w14:textFill>
            <w14:solidFill>
              <w14:schemeClr w14:val="tx1"/>
            </w14:solidFill>
          </w14:textFill>
        </w:rPr>
      </w:pPr>
      <w:bookmarkStart w:id="354" w:name="OLE_LINK25"/>
      <w:r>
        <w:rPr>
          <w:rFonts w:hint="eastAsia"/>
          <w:color w:val="000000" w:themeColor="text1"/>
          <w14:textFill>
            <w14:solidFill>
              <w14:schemeClr w14:val="tx1"/>
            </w14:solidFill>
          </w14:textFill>
        </w:rPr>
        <w:t>应急评估采集数据项</w:t>
      </w:r>
      <w:bookmarkEnd w:id="354"/>
      <w:r>
        <w:rPr>
          <w:rFonts w:hint="eastAsia"/>
          <w:color w:val="000000" w:themeColor="text1"/>
          <w14:textFill>
            <w14:solidFill>
              <w14:schemeClr w14:val="tx1"/>
            </w14:solidFill>
          </w14:textFill>
        </w:rPr>
        <w:t>见表A.65。</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应急评估采集数据项</w:t>
      </w:r>
    </w:p>
    <w:tbl>
      <w:tblPr>
        <w:tblStyle w:val="33"/>
        <w:tblW w:w="961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2"/>
        <w:gridCol w:w="1239"/>
        <w:gridCol w:w="851"/>
        <w:gridCol w:w="70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452"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bookmarkStart w:id="355" w:name="_Hlk228398975"/>
            <w:r>
              <w:rPr>
                <w:rFonts w:hint="eastAsia"/>
                <w:color w:val="000000" w:themeColor="text1"/>
                <w14:textFill>
                  <w14:solidFill>
                    <w14:schemeClr w14:val="tx1"/>
                  </w14:solidFill>
                </w14:textFill>
              </w:rPr>
              <w:t>序号</w:t>
            </w:r>
          </w:p>
        </w:tc>
        <w:tc>
          <w:tcPr>
            <w:tcW w:w="1239"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采集数据项</w:t>
            </w:r>
          </w:p>
        </w:tc>
        <w:tc>
          <w:tcPr>
            <w:tcW w:w="851"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数据类型</w:t>
            </w:r>
          </w:p>
        </w:tc>
        <w:tc>
          <w:tcPr>
            <w:tcW w:w="7077"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单位/值域/说明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39"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评估编号</w:t>
            </w:r>
          </w:p>
        </w:tc>
        <w:tc>
          <w:tcPr>
            <w:tcW w:w="851"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tcBorders>
              <w:top w:val="single" w:color="auto" w:sz="8" w:space="0"/>
            </w:tcBorders>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标识应急唯一性的代码，如“YJ-PG-20251102-001，YJ代表应急，PG代表评估”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事件编号</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关联路网事件信息，与路网事件编号一致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处置效率评估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如“高效（3.5小时完成暴雨积水处置，低于平均处置时长4小时）”，结合历史数据评价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应急预案评估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记录按附录C对每次预案的应用进行评估的结果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资源投入评估</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结合物资调度情况统计应急消耗资源数量，计算应急成本</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改进建议</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根据评估结果提出改进建议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452" w:type="dxa"/>
            <w:vAlign w:val="center"/>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239"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评估人员</w:t>
            </w:r>
          </w:p>
        </w:tc>
        <w:tc>
          <w:tcPr>
            <w:tcW w:w="851"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字符型</w:t>
            </w:r>
          </w:p>
        </w:tc>
        <w:tc>
          <w:tcPr>
            <w:tcW w:w="7077"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记录评估人员姓名</w:t>
            </w:r>
          </w:p>
        </w:tc>
      </w:tr>
      <w:bookmarkEnd w:id="355"/>
    </w:tbl>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sectPr>
          <w:headerReference r:id="rId25" w:type="default"/>
          <w:footerReference r:id="rId27" w:type="default"/>
          <w:headerReference r:id="rId26" w:type="even"/>
          <w:footerReference r:id="rId28" w:type="even"/>
          <w:pgSz w:w="11906" w:h="16838"/>
          <w:pgMar w:top="1928" w:right="1134" w:bottom="1134" w:left="1134" w:header="1418" w:footer="1134" w:gutter="284"/>
          <w:pgNumType w:start="1"/>
          <w:cols w:space="425" w:num="1"/>
          <w:formProt w:val="0"/>
          <w:docGrid w:type="lines" w:linePitch="312" w:charSpace="0"/>
        </w:sectPr>
      </w:pPr>
    </w:p>
    <w:p>
      <w:pPr>
        <w:pStyle w:val="198"/>
        <w:rPr>
          <w:rFonts w:hint="eastAsia"/>
          <w:vanish w:val="0"/>
          <w:color w:val="000000" w:themeColor="text1"/>
          <w14:textFill>
            <w14:solidFill>
              <w14:schemeClr w14:val="tx1"/>
            </w14:solidFill>
          </w14:textFill>
        </w:rPr>
      </w:pPr>
    </w:p>
    <w:p>
      <w:pPr>
        <w:pStyle w:val="199"/>
        <w:rPr>
          <w:vanish w:val="0"/>
          <w:color w:val="000000" w:themeColor="text1"/>
          <w14:textFill>
            <w14:solidFill>
              <w14:schemeClr w14:val="tx1"/>
            </w14:solidFill>
          </w14:textFill>
        </w:rPr>
      </w:pPr>
    </w:p>
    <w:p>
      <w:pPr>
        <w:pStyle w:val="76"/>
        <w:spacing w:after="156"/>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356" w:name="_Toc241416869"/>
      <w:bookmarkStart w:id="357" w:name="_Toc234255972"/>
      <w:bookmarkStart w:id="358" w:name="_Toc229322115"/>
      <w:bookmarkStart w:id="359" w:name="_Toc229305501"/>
      <w:bookmarkStart w:id="360" w:name="_Toc228399100"/>
      <w:bookmarkStart w:id="361" w:name="_Toc228006917"/>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事件处置评价指标</w:t>
      </w:r>
      <w:bookmarkEnd w:id="356"/>
      <w:bookmarkEnd w:id="357"/>
      <w:bookmarkEnd w:id="358"/>
      <w:bookmarkEnd w:id="359"/>
      <w:bookmarkEnd w:id="360"/>
      <w:bookmarkEnd w:id="361"/>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表B.1给出了事件处置评价指标相关信息。</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事件处置评价指标</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993"/>
        <w:gridCol w:w="77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spacing w:val="7"/>
                <w14:textFill>
                  <w14:solidFill>
                    <w14:schemeClr w14:val="tx1"/>
                  </w14:solidFill>
                </w14:textFill>
              </w:rPr>
              <w:t>序号</w:t>
            </w:r>
          </w:p>
        </w:tc>
        <w:tc>
          <w:tcPr>
            <w:tcW w:w="993" w:type="dxa"/>
            <w:tcBorders>
              <w:top w:val="single" w:color="auto" w:sz="8" w:space="0"/>
              <w:bottom w:val="single" w:color="auto" w:sz="8" w:space="0"/>
            </w:tcBorders>
            <w:vAlign w:val="center"/>
          </w:tcPr>
          <w:p>
            <w:pPr>
              <w:pStyle w:val="178"/>
              <w:rPr>
                <w:color w:val="000000" w:themeColor="text1"/>
                <w14:textFill>
                  <w14:solidFill>
                    <w14:schemeClr w14:val="tx1"/>
                  </w14:solidFill>
                </w14:textFill>
              </w:rPr>
            </w:pPr>
            <w:r>
              <w:rPr>
                <w:color w:val="000000" w:themeColor="text1"/>
                <w14:textFill>
                  <w14:solidFill>
                    <w14:schemeClr w14:val="tx1"/>
                  </w14:solidFill>
                </w14:textFill>
              </w:rPr>
              <w:t>指标</w:t>
            </w:r>
            <w:r>
              <w:rPr>
                <w:rFonts w:hint="eastAsia"/>
                <w:color w:val="000000" w:themeColor="text1"/>
                <w14:textFill>
                  <w14:solidFill>
                    <w14:schemeClr w14:val="tx1"/>
                  </w14:solidFill>
                </w14:textFill>
              </w:rPr>
              <w:t>维度</w:t>
            </w:r>
          </w:p>
        </w:tc>
        <w:tc>
          <w:tcPr>
            <w:tcW w:w="7784"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指标子项可考虑的因素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557" w:type="dxa"/>
            <w:tcBorders>
              <w:top w:val="single" w:color="auto" w:sz="8" w:space="0"/>
            </w:tcBorders>
            <w:vAlign w:val="center"/>
          </w:tcPr>
          <w:p>
            <w:pPr>
              <w:pStyle w:val="178"/>
              <w:rPr>
                <w:color w:val="000000" w:themeColor="text1"/>
                <w14:textFill>
                  <w14:solidFill>
                    <w14:schemeClr w14:val="tx1"/>
                  </w14:solidFill>
                </w14:textFill>
              </w:rPr>
            </w:pPr>
            <w:r>
              <w:rPr>
                <w:rFonts w:hint="eastAsia"/>
                <w:color w:val="000000" w:themeColor="text1"/>
                <w:spacing w:val="7"/>
                <w14:textFill>
                  <w14:solidFill>
                    <w14:schemeClr w14:val="tx1"/>
                  </w14:solidFill>
                </w14:textFill>
              </w:rPr>
              <w:t>1</w:t>
            </w:r>
          </w:p>
        </w:tc>
        <w:tc>
          <w:tcPr>
            <w:tcW w:w="993" w:type="dxa"/>
            <w:tcBorders>
              <w:top w:val="single" w:color="auto" w:sz="8" w:space="0"/>
            </w:tcBorders>
            <w:vAlign w:val="center"/>
          </w:tcPr>
          <w:p>
            <w:pPr>
              <w:pStyle w:val="178"/>
              <w:jc w:val="left"/>
              <w:rPr>
                <w:color w:val="000000" w:themeColor="text1"/>
                <w14:textFill>
                  <w14:solidFill>
                    <w14:schemeClr w14:val="tx1"/>
                  </w14:solidFill>
                </w14:textFill>
              </w:rPr>
            </w:pPr>
            <w:r>
              <w:rPr>
                <w:color w:val="000000" w:themeColor="text1"/>
                <w14:textFill>
                  <w14:solidFill>
                    <w14:schemeClr w14:val="tx1"/>
                  </w14:solidFill>
                </w14:textFill>
              </w:rPr>
              <w:t>事件信息</w:t>
            </w:r>
          </w:p>
        </w:tc>
        <w:tc>
          <w:tcPr>
            <w:tcW w:w="7784" w:type="dxa"/>
            <w:tcBorders>
              <w:top w:val="single" w:color="auto" w:sz="8" w:space="0"/>
            </w:tcBorders>
            <w:vAlign w:val="center"/>
          </w:tcPr>
          <w:p>
            <w:pPr>
              <w:pStyle w:val="178"/>
              <w:jc w:val="left"/>
              <w:rPr>
                <w:color w:val="000000" w:themeColor="text1"/>
                <w14:textFill>
                  <w14:solidFill>
                    <w14:schemeClr w14:val="tx1"/>
                  </w14:solidFill>
                </w14:textFill>
              </w:rPr>
            </w:pPr>
            <w:bookmarkStart w:id="362" w:name="OLE_LINK26"/>
            <w:r>
              <w:rPr>
                <w:rFonts w:hint="eastAsia"/>
                <w:color w:val="000000" w:themeColor="text1"/>
                <w14:textFill>
                  <w14:solidFill>
                    <w14:schemeClr w14:val="tx1"/>
                  </w14:solidFill>
                </w14:textFill>
              </w:rPr>
              <w:t>可虑的因素包括但不限于：</w:t>
            </w:r>
            <w:bookmarkEnd w:id="362"/>
            <w:r>
              <w:rPr>
                <w:rFonts w:hint="eastAsia"/>
                <w:color w:val="000000" w:themeColor="text1"/>
                <w14:textFill>
                  <w14:solidFill>
                    <w14:schemeClr w14:val="tx1"/>
                  </w14:solidFill>
                </w14:textFill>
              </w:rPr>
              <w:t>当事人/上报人电话填写情况、绑定语音通话记录情况、损失记录情况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spacing w:val="7"/>
                <w14:textFill>
                  <w14:solidFill>
                    <w14:schemeClr w14:val="tx1"/>
                  </w14:solidFill>
                </w14:textFill>
              </w:rPr>
              <w:t>2</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信息报送</w:t>
            </w:r>
          </w:p>
        </w:tc>
        <w:tc>
          <w:tcPr>
            <w:tcW w:w="778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可虑的因素包括但不限于：首报时效性、终报时效性、信息报送准确性、事件闭合及时性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557" w:type="dxa"/>
            <w:vAlign w:val="center"/>
          </w:tcPr>
          <w:p>
            <w:pPr>
              <w:pStyle w:val="178"/>
              <w:rPr>
                <w:color w:val="000000" w:themeColor="text1"/>
                <w14:textFill>
                  <w14:solidFill>
                    <w14:schemeClr w14:val="tx1"/>
                  </w14:solidFill>
                </w14:textFill>
              </w:rPr>
            </w:pPr>
            <w:r>
              <w:rPr>
                <w:rFonts w:hint="eastAsia"/>
                <w:color w:val="000000" w:themeColor="text1"/>
                <w:spacing w:val="7"/>
                <w14:textFill>
                  <w14:solidFill>
                    <w14:schemeClr w14:val="tx1"/>
                  </w14:solidFill>
                </w14:textFill>
              </w:rPr>
              <w:t>3</w:t>
            </w:r>
          </w:p>
        </w:tc>
        <w:tc>
          <w:tcPr>
            <w:tcW w:w="993"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救援处置</w:t>
            </w:r>
          </w:p>
        </w:tc>
        <w:tc>
          <w:tcPr>
            <w:tcW w:w="7784" w:type="dxa"/>
            <w:vAlign w:val="center"/>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可虑的因素包括但不限于：清障出发效率、到达时效性、现场救援耗时</w:t>
            </w:r>
          </w:p>
        </w:tc>
      </w:tr>
    </w:tbl>
    <w:p>
      <w:pPr>
        <w:pStyle w:val="56"/>
        <w:ind w:firstLine="420"/>
        <w:rPr>
          <w:color w:val="000000" w:themeColor="text1"/>
          <w14:textFill>
            <w14:solidFill>
              <w14:schemeClr w14:val="tx1"/>
            </w14:solidFill>
          </w14:textFill>
        </w:rPr>
      </w:pPr>
    </w:p>
    <w:p>
      <w:pPr>
        <w:pStyle w:val="56"/>
        <w:ind w:firstLine="0" w:firstLineChars="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sectPr>
          <w:headerReference r:id="rId29" w:type="default"/>
          <w:footerReference r:id="rId31" w:type="default"/>
          <w:headerReference r:id="rId30" w:type="even"/>
          <w:footerReference r:id="rId32" w:type="even"/>
          <w:pgSz w:w="11906" w:h="16838"/>
          <w:pgMar w:top="1928" w:right="1134" w:bottom="1134" w:left="1134" w:header="1418" w:footer="1134" w:gutter="284"/>
          <w:cols w:space="425" w:num="1"/>
          <w:formProt w:val="0"/>
          <w:docGrid w:type="lines" w:linePitch="312" w:charSpace="0"/>
        </w:sectPr>
      </w:pPr>
    </w:p>
    <w:p>
      <w:pPr>
        <w:pStyle w:val="198"/>
        <w:rPr>
          <w:rFonts w:hint="eastAsia"/>
          <w:vanish w:val="0"/>
          <w:color w:val="000000" w:themeColor="text1"/>
          <w14:textFill>
            <w14:solidFill>
              <w14:schemeClr w14:val="tx1"/>
            </w14:solidFill>
          </w14:textFill>
        </w:rPr>
      </w:pPr>
    </w:p>
    <w:p>
      <w:pPr>
        <w:pStyle w:val="199"/>
        <w:rPr>
          <w:vanish w:val="0"/>
          <w:color w:val="000000" w:themeColor="text1"/>
          <w14:textFill>
            <w14:solidFill>
              <w14:schemeClr w14:val="tx1"/>
            </w14:solidFill>
          </w14:textFill>
        </w:rPr>
      </w:pPr>
    </w:p>
    <w:p>
      <w:pPr>
        <w:pStyle w:val="76"/>
        <w:spacing w:after="156"/>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363" w:name="_Toc234255973"/>
      <w:bookmarkStart w:id="364" w:name="_Toc241416870"/>
      <w:bookmarkStart w:id="365" w:name="_Toc229322116"/>
      <w:bookmarkStart w:id="366" w:name="_Toc229305502"/>
      <w:bookmarkStart w:id="367" w:name="_Toc228399101"/>
      <w:bookmarkStart w:id="368" w:name="_Toc228006918"/>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应急预案评价指标</w:t>
      </w:r>
      <w:bookmarkEnd w:id="363"/>
      <w:bookmarkEnd w:id="364"/>
      <w:bookmarkEnd w:id="365"/>
      <w:bookmarkEnd w:id="366"/>
      <w:bookmarkEnd w:id="367"/>
      <w:bookmarkEnd w:id="368"/>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表C.1给出了应急预案评价指标相关信息。</w:t>
      </w:r>
    </w:p>
    <w:p>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应急预案评价指标</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7"/>
        <w:gridCol w:w="2268"/>
        <w:gridCol w:w="6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2268"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指标项</w:t>
            </w:r>
          </w:p>
        </w:tc>
        <w:tc>
          <w:tcPr>
            <w:tcW w:w="6509" w:type="dxa"/>
            <w:tcBorders>
              <w:top w:val="single" w:color="auto" w:sz="8" w:space="0"/>
              <w:bottom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Borders>
              <w:top w:val="single" w:color="auto" w:sz="8" w:space="0"/>
            </w:tcBorders>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268"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类型匹配度</w:t>
            </w:r>
          </w:p>
        </w:tc>
        <w:tc>
          <w:tcPr>
            <w:tcW w:w="6509" w:type="dxa"/>
            <w:tcBorders>
              <w:top w:val="single" w:color="auto" w:sz="8" w:space="0"/>
            </w:tcBorders>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预案类型与事件类型的吻合度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226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流程可行性</w:t>
            </w:r>
          </w:p>
        </w:tc>
        <w:tc>
          <w:tcPr>
            <w:tcW w:w="6509"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预案流程在实战中的被修改频次与原因；指挥指令与现场执行的冲突点数量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226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措施有效性</w:t>
            </w:r>
          </w:p>
        </w:tc>
        <w:tc>
          <w:tcPr>
            <w:tcW w:w="6509"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预案核心处置措施的执行成功率；措施对控制事态扩大的贡献度。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226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资源适配性</w:t>
            </w:r>
          </w:p>
        </w:tc>
        <w:tc>
          <w:tcPr>
            <w:tcW w:w="6509"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预案要求的资源（人员、设备、物资）与实际可用、已调度资源的匹配率。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557" w:type="dxa"/>
          </w:tcPr>
          <w:p>
            <w:pPr>
              <w:pStyle w:val="178"/>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2268"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响应时效性</w:t>
            </w:r>
          </w:p>
        </w:tc>
        <w:tc>
          <w:tcPr>
            <w:tcW w:w="6509" w:type="dxa"/>
          </w:tcPr>
          <w:p>
            <w:pPr>
              <w:pStyle w:val="178"/>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预案中关键应急措施的规定时长与实际执行时长的偏差。</w:t>
            </w:r>
          </w:p>
        </w:tc>
      </w:tr>
    </w:tbl>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bookmarkEnd w:id="178"/>
    <w:p>
      <w:pPr>
        <w:pStyle w:val="56"/>
        <w:ind w:firstLine="420"/>
        <w:rPr>
          <w:color w:val="000000" w:themeColor="text1"/>
          <w14:textFill>
            <w14:solidFill>
              <w14:schemeClr w14:val="tx1"/>
            </w14:solidFill>
          </w14:textFill>
        </w:rPr>
        <w:sectPr>
          <w:headerReference r:id="rId33" w:type="default"/>
          <w:footerReference r:id="rId35" w:type="default"/>
          <w:headerReference r:id="rId34" w:type="even"/>
          <w:footerReference r:id="rId36" w:type="even"/>
          <w:pgSz w:w="11906" w:h="16838"/>
          <w:pgMar w:top="1928" w:right="1134" w:bottom="1134" w:left="1134" w:header="1418" w:footer="1134" w:gutter="284"/>
          <w:cols w:space="425" w:num="1"/>
          <w:formProt w:val="0"/>
          <w:docGrid w:type="lines" w:linePitch="312" w:charSpace="0"/>
        </w:sectPr>
      </w:pPr>
      <w:bookmarkStart w:id="369" w:name="BookMark6"/>
    </w:p>
    <w:p>
      <w:pPr>
        <w:pStyle w:val="63"/>
        <w:spacing w:after="156"/>
        <w:rPr>
          <w:color w:val="000000" w:themeColor="text1"/>
          <w14:textFill>
            <w14:solidFill>
              <w14:schemeClr w14:val="tx1"/>
            </w14:solidFill>
          </w14:textFill>
        </w:rPr>
      </w:pPr>
      <w:bookmarkStart w:id="370" w:name="_Toc229305503"/>
      <w:bookmarkStart w:id="371" w:name="_Toc228006919"/>
      <w:bookmarkStart w:id="372" w:name="_Toc229322117"/>
      <w:bookmarkStart w:id="373" w:name="_Toc241416871"/>
      <w:bookmarkStart w:id="374" w:name="_Toc234255974"/>
      <w:bookmarkStart w:id="375" w:name="_Toc228399102"/>
      <w:r>
        <w:rPr>
          <w:rFonts w:hint="eastAsia"/>
          <w:color w:val="000000" w:themeColor="text1"/>
          <w:spacing w:val="105"/>
          <w14:textFill>
            <w14:solidFill>
              <w14:schemeClr w14:val="tx1"/>
            </w14:solidFill>
          </w14:textFill>
        </w:rPr>
        <w:t>参考文</w:t>
      </w:r>
      <w:r>
        <w:rPr>
          <w:rFonts w:hint="eastAsia"/>
          <w:color w:val="000000" w:themeColor="text1"/>
          <w14:textFill>
            <w14:solidFill>
              <w14:schemeClr w14:val="tx1"/>
            </w14:solidFill>
          </w14:textFill>
        </w:rPr>
        <w:t>献</w:t>
      </w:r>
      <w:bookmarkEnd w:id="370"/>
      <w:bookmarkEnd w:id="371"/>
      <w:bookmarkEnd w:id="372"/>
      <w:bookmarkEnd w:id="373"/>
      <w:bookmarkEnd w:id="374"/>
      <w:bookmarkEnd w:id="375"/>
    </w:p>
    <w:p>
      <w:pPr>
        <w:pStyle w:val="56"/>
        <w:ind w:firstLine="420"/>
        <w:rPr>
          <w:color w:val="000000" w:themeColor="text1"/>
          <w14:textFill>
            <w14:solidFill>
              <w14:schemeClr w14:val="tx1"/>
            </w14:solidFill>
          </w14:textFill>
        </w:rPr>
      </w:pPr>
      <w:bookmarkStart w:id="376" w:name="OLE_LINK36"/>
      <w:r>
        <w:rPr>
          <w:rFonts w:hint="eastAsia"/>
          <w:color w:val="000000" w:themeColor="text1"/>
          <w14:textFill>
            <w14:solidFill>
              <w14:schemeClr w14:val="tx1"/>
            </w14:solidFill>
          </w14:textFill>
        </w:rPr>
        <w:t>[1]</w:t>
      </w:r>
      <w:bookmarkEnd w:id="376"/>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GB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T</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917</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公路路线标识规则和国道编号</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 </w:t>
      </w:r>
      <w:r>
        <w:rPr>
          <w:color w:val="000000" w:themeColor="text1"/>
          <w14:textFill>
            <w14:solidFill>
              <w14:schemeClr w14:val="tx1"/>
            </w14:solidFill>
          </w14:textFill>
        </w:rPr>
        <w:t>GB/T 2260  中华人民共和国行政区划代码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[3] GB/T 21984  短期天气预报</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[4] GB/T 27966  灾害性天气预报警报指南</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[5] GB/T 28059.1 公路网图像信息管理系统平台互联技术规范</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[6] GB/T 28789  视频交通事件检测器</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[7] GB/T 29100  道路交通信息服务 交通事件分类与编码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[8] GB/T 30699  道路交通标志和标线编码</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[9] GB/T 33697  公路交通气象监测设施技术要求</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[10] GB 50156  汽车加油加气加氢站技术标准</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[11] </w:t>
      </w:r>
      <w:r>
        <w:rPr>
          <w:color w:val="000000" w:themeColor="text1"/>
          <w14:textFill>
            <w14:solidFill>
              <w14:schemeClr w14:val="tx1"/>
            </w14:solidFill>
          </w14:textFill>
        </w:rPr>
        <w:t>GA</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802</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道路交通管理</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机动车类型</w:t>
      </w:r>
    </w:p>
    <w:p>
      <w:pPr>
        <w:pStyle w:val="56"/>
        <w:ind w:left="420" w:leftChars="20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[12] </w:t>
      </w:r>
      <w:r>
        <w:rPr>
          <w:color w:val="000000" w:themeColor="text1"/>
          <w14:textFill>
            <w14:solidFill>
              <w14:schemeClr w14:val="tx1"/>
            </w14:solidFill>
          </w14:textFill>
        </w:rPr>
        <w:t>GA/T 833</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机动车号牌图像自动识别技术规范</w:t>
      </w:r>
    </w:p>
    <w:p>
      <w:pPr>
        <w:pStyle w:val="56"/>
        <w:ind w:left="420" w:leftChars="20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[13] JT/T 132—2014  公路数据库编目编码规则</w:t>
      </w:r>
    </w:p>
    <w:p>
      <w:pPr>
        <w:pStyle w:val="56"/>
        <w:ind w:left="420" w:leftChars="20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[14] JT/T 489  </w:t>
      </w:r>
      <w:r>
        <w:rPr>
          <w:color w:val="000000" w:themeColor="text1"/>
          <w14:textFill>
            <w14:solidFill>
              <w14:schemeClr w14:val="tx1"/>
            </w14:solidFill>
          </w14:textFill>
        </w:rPr>
        <w:t>收费公路车辆通行费车型分类</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[15] JT/T 697.7—2022  交通信息基础数据元 第7部分：道路运输信息基础数据元</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[16] JT/T 1389.2  交通运输视频图像文字信息标注规范 第2部分：高速公路</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[17] JTG B01  公路工程技术标准</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[18] JTG F90  </w:t>
      </w:r>
      <w:r>
        <w:rPr>
          <w:color w:val="000000" w:themeColor="text1"/>
          <w14:textFill>
            <w14:solidFill>
              <w14:schemeClr w14:val="tx1"/>
            </w14:solidFill>
          </w14:textFill>
        </w:rPr>
        <w:t>公路工程施工安全技术规范</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[19] JTG/T 2430   公路工程设施支持自动驾驶技术指南</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[20] JTG 6310-2022  收费公路联网收费技术标准</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[21] QX/T 414  公路交通高影响天气预警等级</w:t>
      </w:r>
    </w:p>
    <w:p>
      <w:pPr>
        <w:pStyle w:val="56"/>
        <w:ind w:firstLine="42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[22] 交通运输部关于发布《高速公路路堑高边坡工程施工安全风险评估指南（试行）》的通知，交安监发〔2014〕266号</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[23] 交通运输部办公厅关于印发《全国高速公路视频检测优化提升实施方案》的通知，交办公路函〔2023〕1334号）</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[24] 交通运输部公安部文化和旅游部应急管理部关于印发《“两客一危”车辆安全监管能力提升行动方案》的通知，交运发〔2026〕2号</w:t>
      </w:r>
    </w:p>
    <w:p>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[25] 交通运输部关于印发《交通运输综合应急预案》等5项突发事件应急预案的通知。交应急发〔2026〕5号</w:t>
      </w: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p>
      <w:pPr>
        <w:pStyle w:val="56"/>
        <w:ind w:firstLine="420"/>
        <w:rPr>
          <w:color w:val="000000" w:themeColor="text1"/>
          <w14:textFill>
            <w14:solidFill>
              <w14:schemeClr w14:val="tx1"/>
            </w14:solidFill>
          </w14:textFill>
        </w:rPr>
      </w:pPr>
    </w:p>
    <w:bookmarkEnd w:id="369"/>
    <w:p>
      <w:pPr>
        <w:pStyle w:val="56"/>
        <w:ind w:firstLine="0" w:firstLineChars="0"/>
        <w:jc w:val="center"/>
      </w:pPr>
      <w:bookmarkStart w:id="377" w:name="BookMark8"/>
      <w:r>
        <w:drawing>
          <wp:inline distT="0" distB="0" distL="0" distR="0">
            <wp:extent cx="1485900" cy="317500"/>
            <wp:effectExtent l="0" t="0" r="0" b="6350"/>
            <wp:docPr id="1087106298" name="图片 3"/>
            <wp:cNvGraphicFramePr/>
            <a:graphic xmlns:a="http://schemas.openxmlformats.org/drawingml/2006/main">
              <a:graphicData uri="http://schemas.openxmlformats.org/drawingml/2006/picture">
                <pic:pic xmlns:pic="http://schemas.openxmlformats.org/drawingml/2006/picture">
                  <pic:nvPicPr>
                    <pic:cNvPr id="1087106298" name="图片 3"/>
                    <pic:cNvPicPr/>
                  </pic:nvPicPr>
                  <pic:blipFill>
                    <a:blip r:embed="rId4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77"/>
    </w:p>
    <w:sectPr>
      <w:headerReference r:id="rId37" w:type="default"/>
      <w:footerReference r:id="rId39" w:type="default"/>
      <w:headerReference r:id="rId38" w:type="even"/>
      <w:footerReference r:id="rId40" w:type="even"/>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PingFang SC">
    <w:altName w:val="Cambria"/>
    <w:panose1 w:val="00000000000000000000"/>
    <w:charset w:val="00"/>
    <w:family w:val="roman"/>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III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IV</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8</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28</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30</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31</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32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attachedTemplate r:id="rId1"/>
  <w:documentProtection w:edit="forms" w:enforcement="1" w:cryptProviderType="rsaAES" w:cryptAlgorithmClass="hash" w:cryptAlgorithmType="typeAny" w:cryptAlgorithmSid="14" w:cryptSpinCount="100000" w:hash="nRaMdZku8BdhfsJ0W1ksQuB8tPAw7V14ESuuzo/0IAcSG/x9BmBJtOjvbqe/wWAk8AwuO0/OlHF8Q7/Ro18PEw==" w:salt="eBu/vYLVQx+QC4vkw3y8xw=="/>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933"/>
    <w:rsid w:val="0000040A"/>
    <w:rsid w:val="00000A94"/>
    <w:rsid w:val="00001972"/>
    <w:rsid w:val="00001D9A"/>
    <w:rsid w:val="000053BE"/>
    <w:rsid w:val="00007B3A"/>
    <w:rsid w:val="000107E0"/>
    <w:rsid w:val="00011FDE"/>
    <w:rsid w:val="00012FFD"/>
    <w:rsid w:val="000132C5"/>
    <w:rsid w:val="00014162"/>
    <w:rsid w:val="00014340"/>
    <w:rsid w:val="00016A9C"/>
    <w:rsid w:val="00022184"/>
    <w:rsid w:val="000222BE"/>
    <w:rsid w:val="00022762"/>
    <w:rsid w:val="0002372F"/>
    <w:rsid w:val="000238E0"/>
    <w:rsid w:val="000249DB"/>
    <w:rsid w:val="0002595E"/>
    <w:rsid w:val="000303C3"/>
    <w:rsid w:val="000315F2"/>
    <w:rsid w:val="000331D3"/>
    <w:rsid w:val="000346A5"/>
    <w:rsid w:val="000359C3"/>
    <w:rsid w:val="00035A7D"/>
    <w:rsid w:val="000365ED"/>
    <w:rsid w:val="000415AC"/>
    <w:rsid w:val="0004249A"/>
    <w:rsid w:val="00043282"/>
    <w:rsid w:val="0004395B"/>
    <w:rsid w:val="00044286"/>
    <w:rsid w:val="00047F28"/>
    <w:rsid w:val="000503AA"/>
    <w:rsid w:val="000506A1"/>
    <w:rsid w:val="0005082C"/>
    <w:rsid w:val="000515DD"/>
    <w:rsid w:val="0005265A"/>
    <w:rsid w:val="000539DD"/>
    <w:rsid w:val="00053BD3"/>
    <w:rsid w:val="00054534"/>
    <w:rsid w:val="000556ED"/>
    <w:rsid w:val="00055E2B"/>
    <w:rsid w:val="00055FE2"/>
    <w:rsid w:val="0005616F"/>
    <w:rsid w:val="00060C2E"/>
    <w:rsid w:val="00061033"/>
    <w:rsid w:val="000619E9"/>
    <w:rsid w:val="000622D4"/>
    <w:rsid w:val="0006357D"/>
    <w:rsid w:val="0006558A"/>
    <w:rsid w:val="0006709F"/>
    <w:rsid w:val="00067F1E"/>
    <w:rsid w:val="00070965"/>
    <w:rsid w:val="00071CC0"/>
    <w:rsid w:val="00073C8C"/>
    <w:rsid w:val="00077B64"/>
    <w:rsid w:val="00080A1C"/>
    <w:rsid w:val="00082317"/>
    <w:rsid w:val="00083D2C"/>
    <w:rsid w:val="00086AA1"/>
    <w:rsid w:val="00087A77"/>
    <w:rsid w:val="00090CA6"/>
    <w:rsid w:val="00092B8A"/>
    <w:rsid w:val="00092E4E"/>
    <w:rsid w:val="00092FB0"/>
    <w:rsid w:val="000934C5"/>
    <w:rsid w:val="00093D25"/>
    <w:rsid w:val="00093DAB"/>
    <w:rsid w:val="00094D73"/>
    <w:rsid w:val="00096D63"/>
    <w:rsid w:val="000A0B60"/>
    <w:rsid w:val="000A0EB8"/>
    <w:rsid w:val="000A19FC"/>
    <w:rsid w:val="000A296B"/>
    <w:rsid w:val="000A64EE"/>
    <w:rsid w:val="000A7311"/>
    <w:rsid w:val="000B060F"/>
    <w:rsid w:val="000B1097"/>
    <w:rsid w:val="000B1592"/>
    <w:rsid w:val="000B1FF2"/>
    <w:rsid w:val="000B3CDA"/>
    <w:rsid w:val="000B6A0B"/>
    <w:rsid w:val="000C0F0F"/>
    <w:rsid w:val="000C0F6C"/>
    <w:rsid w:val="000C11DB"/>
    <w:rsid w:val="000C1492"/>
    <w:rsid w:val="000C2FBD"/>
    <w:rsid w:val="000C4B41"/>
    <w:rsid w:val="000C57D6"/>
    <w:rsid w:val="000C6362"/>
    <w:rsid w:val="000C66D6"/>
    <w:rsid w:val="000C7666"/>
    <w:rsid w:val="000D0A9C"/>
    <w:rsid w:val="000D1795"/>
    <w:rsid w:val="000D3033"/>
    <w:rsid w:val="000D329A"/>
    <w:rsid w:val="000D4B9C"/>
    <w:rsid w:val="000D4EB6"/>
    <w:rsid w:val="000D753B"/>
    <w:rsid w:val="000E3619"/>
    <w:rsid w:val="000E4C9E"/>
    <w:rsid w:val="000E6FD7"/>
    <w:rsid w:val="000F015C"/>
    <w:rsid w:val="000F06E1"/>
    <w:rsid w:val="000F0E3C"/>
    <w:rsid w:val="000F19D5"/>
    <w:rsid w:val="000F4AEA"/>
    <w:rsid w:val="000F633F"/>
    <w:rsid w:val="000F67E9"/>
    <w:rsid w:val="00104926"/>
    <w:rsid w:val="00112EE4"/>
    <w:rsid w:val="00112EFC"/>
    <w:rsid w:val="00113B1E"/>
    <w:rsid w:val="001159E2"/>
    <w:rsid w:val="0011711C"/>
    <w:rsid w:val="0012059C"/>
    <w:rsid w:val="00124248"/>
    <w:rsid w:val="00124E4F"/>
    <w:rsid w:val="001260B7"/>
    <w:rsid w:val="0012646E"/>
    <w:rsid w:val="001265CB"/>
    <w:rsid w:val="00131E9F"/>
    <w:rsid w:val="001321C6"/>
    <w:rsid w:val="001325C4"/>
    <w:rsid w:val="00133010"/>
    <w:rsid w:val="001338EE"/>
    <w:rsid w:val="00133AAE"/>
    <w:rsid w:val="00135323"/>
    <w:rsid w:val="001356C4"/>
    <w:rsid w:val="00141114"/>
    <w:rsid w:val="00142969"/>
    <w:rsid w:val="001446C2"/>
    <w:rsid w:val="00145549"/>
    <w:rsid w:val="001457E7"/>
    <w:rsid w:val="00145D9D"/>
    <w:rsid w:val="00146388"/>
    <w:rsid w:val="00150C70"/>
    <w:rsid w:val="00151082"/>
    <w:rsid w:val="001529E5"/>
    <w:rsid w:val="00153C7E"/>
    <w:rsid w:val="0015564A"/>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414A"/>
    <w:rsid w:val="0017431B"/>
    <w:rsid w:val="00176894"/>
    <w:rsid w:val="00176DFD"/>
    <w:rsid w:val="001803FC"/>
    <w:rsid w:val="0018207E"/>
    <w:rsid w:val="0018277B"/>
    <w:rsid w:val="001852C9"/>
    <w:rsid w:val="0018683C"/>
    <w:rsid w:val="00190087"/>
    <w:rsid w:val="001913C4"/>
    <w:rsid w:val="0019348F"/>
    <w:rsid w:val="00193A07"/>
    <w:rsid w:val="00194C95"/>
    <w:rsid w:val="00195B09"/>
    <w:rsid w:val="00195C34"/>
    <w:rsid w:val="00196155"/>
    <w:rsid w:val="001964DB"/>
    <w:rsid w:val="00196EF5"/>
    <w:rsid w:val="001A154D"/>
    <w:rsid w:val="001A1A53"/>
    <w:rsid w:val="001A234A"/>
    <w:rsid w:val="001A4CF3"/>
    <w:rsid w:val="001A5E35"/>
    <w:rsid w:val="001A76DE"/>
    <w:rsid w:val="001B06E8"/>
    <w:rsid w:val="001B1CFF"/>
    <w:rsid w:val="001B4A14"/>
    <w:rsid w:val="001B71D0"/>
    <w:rsid w:val="001B71EE"/>
    <w:rsid w:val="001C048F"/>
    <w:rsid w:val="001C04A8"/>
    <w:rsid w:val="001C2C03"/>
    <w:rsid w:val="001C38B3"/>
    <w:rsid w:val="001C42F7"/>
    <w:rsid w:val="001C49E5"/>
    <w:rsid w:val="001C680C"/>
    <w:rsid w:val="001C6A3A"/>
    <w:rsid w:val="001C7FEA"/>
    <w:rsid w:val="001D0499"/>
    <w:rsid w:val="001D0BBE"/>
    <w:rsid w:val="001D0ED4"/>
    <w:rsid w:val="001D212F"/>
    <w:rsid w:val="001D29D7"/>
    <w:rsid w:val="001D2DE7"/>
    <w:rsid w:val="001D4112"/>
    <w:rsid w:val="001D411C"/>
    <w:rsid w:val="001D4ED9"/>
    <w:rsid w:val="001E03CA"/>
    <w:rsid w:val="001E1B6A"/>
    <w:rsid w:val="001E2484"/>
    <w:rsid w:val="001E3CC4"/>
    <w:rsid w:val="001E3DB1"/>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148B9"/>
    <w:rsid w:val="002204BB"/>
    <w:rsid w:val="00220F7B"/>
    <w:rsid w:val="00221B79"/>
    <w:rsid w:val="00221C6B"/>
    <w:rsid w:val="002253A1"/>
    <w:rsid w:val="00225CF8"/>
    <w:rsid w:val="00225DF8"/>
    <w:rsid w:val="0022794E"/>
    <w:rsid w:val="002308B5"/>
    <w:rsid w:val="00230C6F"/>
    <w:rsid w:val="00233D64"/>
    <w:rsid w:val="0023482A"/>
    <w:rsid w:val="002359CB"/>
    <w:rsid w:val="00237986"/>
    <w:rsid w:val="00243540"/>
    <w:rsid w:val="0024497B"/>
    <w:rsid w:val="0024515B"/>
    <w:rsid w:val="00246021"/>
    <w:rsid w:val="0024666E"/>
    <w:rsid w:val="00247C1E"/>
    <w:rsid w:val="00247F52"/>
    <w:rsid w:val="00250B25"/>
    <w:rsid w:val="00250BBE"/>
    <w:rsid w:val="002515C2"/>
    <w:rsid w:val="0025194F"/>
    <w:rsid w:val="0026148A"/>
    <w:rsid w:val="00261C01"/>
    <w:rsid w:val="00262696"/>
    <w:rsid w:val="00262D7B"/>
    <w:rsid w:val="00263D25"/>
    <w:rsid w:val="002643C3"/>
    <w:rsid w:val="00264A0C"/>
    <w:rsid w:val="00266EEB"/>
    <w:rsid w:val="00267EF4"/>
    <w:rsid w:val="00270CB8"/>
    <w:rsid w:val="00272B08"/>
    <w:rsid w:val="00272DC9"/>
    <w:rsid w:val="002771AC"/>
    <w:rsid w:val="00281BB8"/>
    <w:rsid w:val="00281E9E"/>
    <w:rsid w:val="00282405"/>
    <w:rsid w:val="00285170"/>
    <w:rsid w:val="00285361"/>
    <w:rsid w:val="002859AC"/>
    <w:rsid w:val="00287FF4"/>
    <w:rsid w:val="00292D60"/>
    <w:rsid w:val="00293B30"/>
    <w:rsid w:val="00294D34"/>
    <w:rsid w:val="00294E3B"/>
    <w:rsid w:val="002959DC"/>
    <w:rsid w:val="00296193"/>
    <w:rsid w:val="00296C66"/>
    <w:rsid w:val="00296EBE"/>
    <w:rsid w:val="002974E3"/>
    <w:rsid w:val="002A084B"/>
    <w:rsid w:val="002A1260"/>
    <w:rsid w:val="002A1589"/>
    <w:rsid w:val="002A1608"/>
    <w:rsid w:val="002A1C17"/>
    <w:rsid w:val="002A25DC"/>
    <w:rsid w:val="002A3AAB"/>
    <w:rsid w:val="002A4CEA"/>
    <w:rsid w:val="002A5977"/>
    <w:rsid w:val="002A5A13"/>
    <w:rsid w:val="002A6D45"/>
    <w:rsid w:val="002A757F"/>
    <w:rsid w:val="002A76EA"/>
    <w:rsid w:val="002A7F44"/>
    <w:rsid w:val="002B0C40"/>
    <w:rsid w:val="002B1966"/>
    <w:rsid w:val="002B1DF2"/>
    <w:rsid w:val="002B2E59"/>
    <w:rsid w:val="002B4508"/>
    <w:rsid w:val="002B5779"/>
    <w:rsid w:val="002B7332"/>
    <w:rsid w:val="002B7F51"/>
    <w:rsid w:val="002C09E7"/>
    <w:rsid w:val="002C1E06"/>
    <w:rsid w:val="002C1E1C"/>
    <w:rsid w:val="002C2D12"/>
    <w:rsid w:val="002C3F07"/>
    <w:rsid w:val="002C4E65"/>
    <w:rsid w:val="002C5278"/>
    <w:rsid w:val="002C7EBB"/>
    <w:rsid w:val="002D06C1"/>
    <w:rsid w:val="002D42B5"/>
    <w:rsid w:val="002D4F1A"/>
    <w:rsid w:val="002D6EC6"/>
    <w:rsid w:val="002D715D"/>
    <w:rsid w:val="002D79AC"/>
    <w:rsid w:val="002E039D"/>
    <w:rsid w:val="002E0A18"/>
    <w:rsid w:val="002E0C58"/>
    <w:rsid w:val="002E255A"/>
    <w:rsid w:val="002E4D5A"/>
    <w:rsid w:val="002E6326"/>
    <w:rsid w:val="002E6C20"/>
    <w:rsid w:val="002F30E0"/>
    <w:rsid w:val="002F35E4"/>
    <w:rsid w:val="002F3730"/>
    <w:rsid w:val="002F38E1"/>
    <w:rsid w:val="002F7A53"/>
    <w:rsid w:val="002F7AF6"/>
    <w:rsid w:val="00300206"/>
    <w:rsid w:val="00300E63"/>
    <w:rsid w:val="00302210"/>
    <w:rsid w:val="00302F5F"/>
    <w:rsid w:val="0030441D"/>
    <w:rsid w:val="00306063"/>
    <w:rsid w:val="00313B85"/>
    <w:rsid w:val="00317988"/>
    <w:rsid w:val="003221B4"/>
    <w:rsid w:val="0032258D"/>
    <w:rsid w:val="00322E62"/>
    <w:rsid w:val="00324D13"/>
    <w:rsid w:val="00324D2A"/>
    <w:rsid w:val="00324EDD"/>
    <w:rsid w:val="00325826"/>
    <w:rsid w:val="00330DB3"/>
    <w:rsid w:val="003331E4"/>
    <w:rsid w:val="00336C64"/>
    <w:rsid w:val="00337162"/>
    <w:rsid w:val="0034194F"/>
    <w:rsid w:val="0034320B"/>
    <w:rsid w:val="00344605"/>
    <w:rsid w:val="00345437"/>
    <w:rsid w:val="003474AA"/>
    <w:rsid w:val="00350D1D"/>
    <w:rsid w:val="00352C83"/>
    <w:rsid w:val="00355117"/>
    <w:rsid w:val="003615D2"/>
    <w:rsid w:val="00362432"/>
    <w:rsid w:val="00362D02"/>
    <w:rsid w:val="0036429C"/>
    <w:rsid w:val="003649E9"/>
    <w:rsid w:val="00364A53"/>
    <w:rsid w:val="00364F4C"/>
    <w:rsid w:val="003654CB"/>
    <w:rsid w:val="00365AA9"/>
    <w:rsid w:val="00365F86"/>
    <w:rsid w:val="00365F87"/>
    <w:rsid w:val="00366E89"/>
    <w:rsid w:val="003705F4"/>
    <w:rsid w:val="00370D58"/>
    <w:rsid w:val="00371316"/>
    <w:rsid w:val="00372443"/>
    <w:rsid w:val="0037286C"/>
    <w:rsid w:val="00376713"/>
    <w:rsid w:val="0037744C"/>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97F2C"/>
    <w:rsid w:val="003A1582"/>
    <w:rsid w:val="003A4077"/>
    <w:rsid w:val="003B09AD"/>
    <w:rsid w:val="003B1F18"/>
    <w:rsid w:val="003B2B4F"/>
    <w:rsid w:val="003B536B"/>
    <w:rsid w:val="003B5BF0"/>
    <w:rsid w:val="003B60BF"/>
    <w:rsid w:val="003B652E"/>
    <w:rsid w:val="003B6BE3"/>
    <w:rsid w:val="003B7212"/>
    <w:rsid w:val="003C010C"/>
    <w:rsid w:val="003C0A6C"/>
    <w:rsid w:val="003C14F8"/>
    <w:rsid w:val="003C594E"/>
    <w:rsid w:val="003C5A43"/>
    <w:rsid w:val="003D0519"/>
    <w:rsid w:val="003D0FF6"/>
    <w:rsid w:val="003D262C"/>
    <w:rsid w:val="003D2C80"/>
    <w:rsid w:val="003D6D61"/>
    <w:rsid w:val="003D79C6"/>
    <w:rsid w:val="003E091D"/>
    <w:rsid w:val="003E1C53"/>
    <w:rsid w:val="003E2A69"/>
    <w:rsid w:val="003E2D49"/>
    <w:rsid w:val="003E2FD4"/>
    <w:rsid w:val="003E49DE"/>
    <w:rsid w:val="003E49F6"/>
    <w:rsid w:val="003E660F"/>
    <w:rsid w:val="003F0841"/>
    <w:rsid w:val="003F23D3"/>
    <w:rsid w:val="003F3EDA"/>
    <w:rsid w:val="003F3F08"/>
    <w:rsid w:val="003F40DB"/>
    <w:rsid w:val="003F4436"/>
    <w:rsid w:val="003F49F1"/>
    <w:rsid w:val="003F6272"/>
    <w:rsid w:val="003F6A84"/>
    <w:rsid w:val="0040017C"/>
    <w:rsid w:val="00400695"/>
    <w:rsid w:val="00400E72"/>
    <w:rsid w:val="00401400"/>
    <w:rsid w:val="00404869"/>
    <w:rsid w:val="00405884"/>
    <w:rsid w:val="00407D39"/>
    <w:rsid w:val="004111F4"/>
    <w:rsid w:val="00412ABF"/>
    <w:rsid w:val="0041477A"/>
    <w:rsid w:val="004148A3"/>
    <w:rsid w:val="00415930"/>
    <w:rsid w:val="004167A3"/>
    <w:rsid w:val="00432A00"/>
    <w:rsid w:val="00432DAA"/>
    <w:rsid w:val="00434305"/>
    <w:rsid w:val="00435DF7"/>
    <w:rsid w:val="0044083F"/>
    <w:rsid w:val="00441AE7"/>
    <w:rsid w:val="00445574"/>
    <w:rsid w:val="004467FB"/>
    <w:rsid w:val="00446AAD"/>
    <w:rsid w:val="00451558"/>
    <w:rsid w:val="00452D6B"/>
    <w:rsid w:val="00454484"/>
    <w:rsid w:val="0045517B"/>
    <w:rsid w:val="0045765B"/>
    <w:rsid w:val="00463B77"/>
    <w:rsid w:val="00463C7B"/>
    <w:rsid w:val="004644A6"/>
    <w:rsid w:val="0046549B"/>
    <w:rsid w:val="004659BD"/>
    <w:rsid w:val="00467B06"/>
    <w:rsid w:val="00470775"/>
    <w:rsid w:val="004746B1"/>
    <w:rsid w:val="0047583F"/>
    <w:rsid w:val="00475DE8"/>
    <w:rsid w:val="00480CD8"/>
    <w:rsid w:val="00481C44"/>
    <w:rsid w:val="00484936"/>
    <w:rsid w:val="00484AA8"/>
    <w:rsid w:val="004850A8"/>
    <w:rsid w:val="00485C89"/>
    <w:rsid w:val="00486BE3"/>
    <w:rsid w:val="004905E4"/>
    <w:rsid w:val="004908D7"/>
    <w:rsid w:val="00490A89"/>
    <w:rsid w:val="00490AB4"/>
    <w:rsid w:val="00491D13"/>
    <w:rsid w:val="00492F02"/>
    <w:rsid w:val="004939AE"/>
    <w:rsid w:val="00497A2D"/>
    <w:rsid w:val="004A12DF"/>
    <w:rsid w:val="004A17E6"/>
    <w:rsid w:val="004A1BA8"/>
    <w:rsid w:val="004A206D"/>
    <w:rsid w:val="004A4B57"/>
    <w:rsid w:val="004A63FA"/>
    <w:rsid w:val="004B0272"/>
    <w:rsid w:val="004B0676"/>
    <w:rsid w:val="004B0E73"/>
    <w:rsid w:val="004B2701"/>
    <w:rsid w:val="004B2E1B"/>
    <w:rsid w:val="004B3AA8"/>
    <w:rsid w:val="004B3E93"/>
    <w:rsid w:val="004C1FBC"/>
    <w:rsid w:val="004C3F1D"/>
    <w:rsid w:val="004C458D"/>
    <w:rsid w:val="004C667A"/>
    <w:rsid w:val="004C7556"/>
    <w:rsid w:val="004C7E8B"/>
    <w:rsid w:val="004C7E9D"/>
    <w:rsid w:val="004C7F67"/>
    <w:rsid w:val="004D076D"/>
    <w:rsid w:val="004D0873"/>
    <w:rsid w:val="004D0EF1"/>
    <w:rsid w:val="004D2253"/>
    <w:rsid w:val="004D25F6"/>
    <w:rsid w:val="004D40EF"/>
    <w:rsid w:val="004D4406"/>
    <w:rsid w:val="004D7C42"/>
    <w:rsid w:val="004E0465"/>
    <w:rsid w:val="004E127B"/>
    <w:rsid w:val="004E1C0A"/>
    <w:rsid w:val="004E2B06"/>
    <w:rsid w:val="004E2F45"/>
    <w:rsid w:val="004E30C5"/>
    <w:rsid w:val="004E4AA5"/>
    <w:rsid w:val="004E4AEE"/>
    <w:rsid w:val="004E59E3"/>
    <w:rsid w:val="004E5BA1"/>
    <w:rsid w:val="004E5D1A"/>
    <w:rsid w:val="004E67C0"/>
    <w:rsid w:val="004F18DF"/>
    <w:rsid w:val="004F391A"/>
    <w:rsid w:val="004F3CFB"/>
    <w:rsid w:val="004F6456"/>
    <w:rsid w:val="004F696E"/>
    <w:rsid w:val="004F6C71"/>
    <w:rsid w:val="00500152"/>
    <w:rsid w:val="00501139"/>
    <w:rsid w:val="0050363E"/>
    <w:rsid w:val="005039BC"/>
    <w:rsid w:val="005043BB"/>
    <w:rsid w:val="00504A3D"/>
    <w:rsid w:val="00505767"/>
    <w:rsid w:val="005073F0"/>
    <w:rsid w:val="00510A7B"/>
    <w:rsid w:val="00511329"/>
    <w:rsid w:val="00511E88"/>
    <w:rsid w:val="00512F6E"/>
    <w:rsid w:val="00513038"/>
    <w:rsid w:val="005130E8"/>
    <w:rsid w:val="00514174"/>
    <w:rsid w:val="00516088"/>
    <w:rsid w:val="00516B0B"/>
    <w:rsid w:val="005220EC"/>
    <w:rsid w:val="00523950"/>
    <w:rsid w:val="00523F95"/>
    <w:rsid w:val="00524D65"/>
    <w:rsid w:val="00525B16"/>
    <w:rsid w:val="00527829"/>
    <w:rsid w:val="00533D04"/>
    <w:rsid w:val="00534804"/>
    <w:rsid w:val="00534BDF"/>
    <w:rsid w:val="005354EA"/>
    <w:rsid w:val="0053585F"/>
    <w:rsid w:val="00535EC4"/>
    <w:rsid w:val="00535ED9"/>
    <w:rsid w:val="0053692B"/>
    <w:rsid w:val="00541853"/>
    <w:rsid w:val="00542292"/>
    <w:rsid w:val="00543BDA"/>
    <w:rsid w:val="005441CC"/>
    <w:rsid w:val="005479DA"/>
    <w:rsid w:val="00547BCC"/>
    <w:rsid w:val="0055013B"/>
    <w:rsid w:val="00551F6F"/>
    <w:rsid w:val="00555044"/>
    <w:rsid w:val="005565C6"/>
    <w:rsid w:val="00561475"/>
    <w:rsid w:val="00561DF6"/>
    <w:rsid w:val="0056487B"/>
    <w:rsid w:val="00564FB9"/>
    <w:rsid w:val="005656AA"/>
    <w:rsid w:val="00573D9E"/>
    <w:rsid w:val="005775BB"/>
    <w:rsid w:val="005801E3"/>
    <w:rsid w:val="00581802"/>
    <w:rsid w:val="00582CFB"/>
    <w:rsid w:val="005836A8"/>
    <w:rsid w:val="00583E4D"/>
    <w:rsid w:val="0058409C"/>
    <w:rsid w:val="00584262"/>
    <w:rsid w:val="00584734"/>
    <w:rsid w:val="00584C50"/>
    <w:rsid w:val="0058523E"/>
    <w:rsid w:val="00586630"/>
    <w:rsid w:val="00587ADD"/>
    <w:rsid w:val="00591E27"/>
    <w:rsid w:val="005934D1"/>
    <w:rsid w:val="00596160"/>
    <w:rsid w:val="005966E2"/>
    <w:rsid w:val="00597007"/>
    <w:rsid w:val="005A0966"/>
    <w:rsid w:val="005A11B7"/>
    <w:rsid w:val="005A1232"/>
    <w:rsid w:val="005A260B"/>
    <w:rsid w:val="005A4A1B"/>
    <w:rsid w:val="005A7830"/>
    <w:rsid w:val="005A7FCE"/>
    <w:rsid w:val="005B0B0C"/>
    <w:rsid w:val="005B0F3F"/>
    <w:rsid w:val="005B4903"/>
    <w:rsid w:val="005B51CE"/>
    <w:rsid w:val="005B5885"/>
    <w:rsid w:val="005B5CD7"/>
    <w:rsid w:val="005B5CFC"/>
    <w:rsid w:val="005B6CF6"/>
    <w:rsid w:val="005B7422"/>
    <w:rsid w:val="005C29B8"/>
    <w:rsid w:val="005C3961"/>
    <w:rsid w:val="005C5172"/>
    <w:rsid w:val="005C5F21"/>
    <w:rsid w:val="005C7156"/>
    <w:rsid w:val="005D0C75"/>
    <w:rsid w:val="005D4171"/>
    <w:rsid w:val="005D505B"/>
    <w:rsid w:val="005D5AF8"/>
    <w:rsid w:val="005D6A95"/>
    <w:rsid w:val="005D6B2C"/>
    <w:rsid w:val="005D6D9C"/>
    <w:rsid w:val="005E21C6"/>
    <w:rsid w:val="005E2335"/>
    <w:rsid w:val="005E34CA"/>
    <w:rsid w:val="005E3C18"/>
    <w:rsid w:val="005E6812"/>
    <w:rsid w:val="005E7881"/>
    <w:rsid w:val="005E78E0"/>
    <w:rsid w:val="005F0D9C"/>
    <w:rsid w:val="005F284E"/>
    <w:rsid w:val="005F4712"/>
    <w:rsid w:val="006015CE"/>
    <w:rsid w:val="00603933"/>
    <w:rsid w:val="00604784"/>
    <w:rsid w:val="00606419"/>
    <w:rsid w:val="00607D29"/>
    <w:rsid w:val="00612952"/>
    <w:rsid w:val="00614406"/>
    <w:rsid w:val="00614CC1"/>
    <w:rsid w:val="00615A9D"/>
    <w:rsid w:val="00617387"/>
    <w:rsid w:val="006205D6"/>
    <w:rsid w:val="006242F3"/>
    <w:rsid w:val="006252D8"/>
    <w:rsid w:val="006259BC"/>
    <w:rsid w:val="0062636B"/>
    <w:rsid w:val="0062739A"/>
    <w:rsid w:val="00632182"/>
    <w:rsid w:val="006323FC"/>
    <w:rsid w:val="00632AE0"/>
    <w:rsid w:val="00633C17"/>
    <w:rsid w:val="00634D9E"/>
    <w:rsid w:val="0063617C"/>
    <w:rsid w:val="00636E3E"/>
    <w:rsid w:val="0063775C"/>
    <w:rsid w:val="006379F7"/>
    <w:rsid w:val="00637E4D"/>
    <w:rsid w:val="00640620"/>
    <w:rsid w:val="00640F9A"/>
    <w:rsid w:val="0064187D"/>
    <w:rsid w:val="00641A1F"/>
    <w:rsid w:val="00645752"/>
    <w:rsid w:val="00645904"/>
    <w:rsid w:val="006479C8"/>
    <w:rsid w:val="00651ACB"/>
    <w:rsid w:val="00651C47"/>
    <w:rsid w:val="00652AB2"/>
    <w:rsid w:val="00653FED"/>
    <w:rsid w:val="00654EC0"/>
    <w:rsid w:val="0065525B"/>
    <w:rsid w:val="00655D4F"/>
    <w:rsid w:val="00656D29"/>
    <w:rsid w:val="006578ED"/>
    <w:rsid w:val="006640E5"/>
    <w:rsid w:val="006646F1"/>
    <w:rsid w:val="00664929"/>
    <w:rsid w:val="006649B8"/>
    <w:rsid w:val="00664F62"/>
    <w:rsid w:val="006655E1"/>
    <w:rsid w:val="00672060"/>
    <w:rsid w:val="00672A20"/>
    <w:rsid w:val="00672BFD"/>
    <w:rsid w:val="00676CDC"/>
    <w:rsid w:val="006770F4"/>
    <w:rsid w:val="00677A84"/>
    <w:rsid w:val="00677EAF"/>
    <w:rsid w:val="0068026D"/>
    <w:rsid w:val="00680A27"/>
    <w:rsid w:val="00680E44"/>
    <w:rsid w:val="006816A4"/>
    <w:rsid w:val="006819B8"/>
    <w:rsid w:val="006840A6"/>
    <w:rsid w:val="0068438E"/>
    <w:rsid w:val="006850CD"/>
    <w:rsid w:val="00685AAB"/>
    <w:rsid w:val="00686C22"/>
    <w:rsid w:val="00690717"/>
    <w:rsid w:val="00694361"/>
    <w:rsid w:val="00695D22"/>
    <w:rsid w:val="006A07AA"/>
    <w:rsid w:val="006A25E5"/>
    <w:rsid w:val="006A2B46"/>
    <w:rsid w:val="006A2C5C"/>
    <w:rsid w:val="006A336D"/>
    <w:rsid w:val="006A37B9"/>
    <w:rsid w:val="006A3A0E"/>
    <w:rsid w:val="006A523E"/>
    <w:rsid w:val="006B2672"/>
    <w:rsid w:val="006B54BF"/>
    <w:rsid w:val="006B5F44"/>
    <w:rsid w:val="006B5F90"/>
    <w:rsid w:val="006B62E4"/>
    <w:rsid w:val="006B7048"/>
    <w:rsid w:val="006C1BBA"/>
    <w:rsid w:val="006C2079"/>
    <w:rsid w:val="006C32CA"/>
    <w:rsid w:val="006C5421"/>
    <w:rsid w:val="006C5A62"/>
    <w:rsid w:val="006C5D68"/>
    <w:rsid w:val="006C648F"/>
    <w:rsid w:val="006C6976"/>
    <w:rsid w:val="006C6DD0"/>
    <w:rsid w:val="006D04EA"/>
    <w:rsid w:val="006D0AB7"/>
    <w:rsid w:val="006D110F"/>
    <w:rsid w:val="006D16C4"/>
    <w:rsid w:val="006D2598"/>
    <w:rsid w:val="006D3E96"/>
    <w:rsid w:val="006D4515"/>
    <w:rsid w:val="006D4BB1"/>
    <w:rsid w:val="006D6593"/>
    <w:rsid w:val="006D7A4E"/>
    <w:rsid w:val="006E23EA"/>
    <w:rsid w:val="006E418D"/>
    <w:rsid w:val="006F03A8"/>
    <w:rsid w:val="006F274F"/>
    <w:rsid w:val="006F2ACA"/>
    <w:rsid w:val="006F2ADC"/>
    <w:rsid w:val="006F2BFE"/>
    <w:rsid w:val="006F31E9"/>
    <w:rsid w:val="006F5507"/>
    <w:rsid w:val="006F6284"/>
    <w:rsid w:val="007002C5"/>
    <w:rsid w:val="00700DC4"/>
    <w:rsid w:val="00702EF0"/>
    <w:rsid w:val="00704387"/>
    <w:rsid w:val="00707669"/>
    <w:rsid w:val="00711CBA"/>
    <w:rsid w:val="00711FB5"/>
    <w:rsid w:val="00712A01"/>
    <w:rsid w:val="00714F58"/>
    <w:rsid w:val="00720C06"/>
    <w:rsid w:val="00721CFB"/>
    <w:rsid w:val="00722FBF"/>
    <w:rsid w:val="00722FC2"/>
    <w:rsid w:val="00724879"/>
    <w:rsid w:val="00724E1B"/>
    <w:rsid w:val="00725949"/>
    <w:rsid w:val="00726488"/>
    <w:rsid w:val="00727FA2"/>
    <w:rsid w:val="007322D9"/>
    <w:rsid w:val="00732BC0"/>
    <w:rsid w:val="00732E66"/>
    <w:rsid w:val="00733898"/>
    <w:rsid w:val="0073720F"/>
    <w:rsid w:val="00737796"/>
    <w:rsid w:val="0074165C"/>
    <w:rsid w:val="00742C35"/>
    <w:rsid w:val="007432CA"/>
    <w:rsid w:val="007439EB"/>
    <w:rsid w:val="00743CB4"/>
    <w:rsid w:val="00743F0A"/>
    <w:rsid w:val="007444E8"/>
    <w:rsid w:val="0074548E"/>
    <w:rsid w:val="00745773"/>
    <w:rsid w:val="00746800"/>
    <w:rsid w:val="00746817"/>
    <w:rsid w:val="00747309"/>
    <w:rsid w:val="007501A8"/>
    <w:rsid w:val="00750327"/>
    <w:rsid w:val="00750D61"/>
    <w:rsid w:val="00750EE1"/>
    <w:rsid w:val="00752B4D"/>
    <w:rsid w:val="0075472A"/>
    <w:rsid w:val="00755402"/>
    <w:rsid w:val="00755C8E"/>
    <w:rsid w:val="00756B26"/>
    <w:rsid w:val="00756EDF"/>
    <w:rsid w:val="007600E3"/>
    <w:rsid w:val="00763798"/>
    <w:rsid w:val="00763E2A"/>
    <w:rsid w:val="00765C43"/>
    <w:rsid w:val="00765EFB"/>
    <w:rsid w:val="007671CA"/>
    <w:rsid w:val="00767C61"/>
    <w:rsid w:val="0077008A"/>
    <w:rsid w:val="007703EE"/>
    <w:rsid w:val="00773C1F"/>
    <w:rsid w:val="00774DA4"/>
    <w:rsid w:val="00776599"/>
    <w:rsid w:val="0078114B"/>
    <w:rsid w:val="00781DD2"/>
    <w:rsid w:val="00783ECF"/>
    <w:rsid w:val="0078413A"/>
    <w:rsid w:val="00790857"/>
    <w:rsid w:val="00792C9D"/>
    <w:rsid w:val="007945D6"/>
    <w:rsid w:val="00794D11"/>
    <w:rsid w:val="0079544C"/>
    <w:rsid w:val="0079555B"/>
    <w:rsid w:val="007959E8"/>
    <w:rsid w:val="00795E9C"/>
    <w:rsid w:val="00797248"/>
    <w:rsid w:val="007A0521"/>
    <w:rsid w:val="007A2E12"/>
    <w:rsid w:val="007A3475"/>
    <w:rsid w:val="007A41C8"/>
    <w:rsid w:val="007A54CE"/>
    <w:rsid w:val="007A6FD9"/>
    <w:rsid w:val="007A7FFA"/>
    <w:rsid w:val="007B04EB"/>
    <w:rsid w:val="007B0D4F"/>
    <w:rsid w:val="007B36C9"/>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6CD7"/>
    <w:rsid w:val="007D76BD"/>
    <w:rsid w:val="007E0BF1"/>
    <w:rsid w:val="007E4115"/>
    <w:rsid w:val="007F0ED8"/>
    <w:rsid w:val="007F0F63"/>
    <w:rsid w:val="007F75CE"/>
    <w:rsid w:val="008013A4"/>
    <w:rsid w:val="008027CE"/>
    <w:rsid w:val="00802F42"/>
    <w:rsid w:val="008032AB"/>
    <w:rsid w:val="00804383"/>
    <w:rsid w:val="00804BB7"/>
    <w:rsid w:val="00804D41"/>
    <w:rsid w:val="00810257"/>
    <w:rsid w:val="008104F5"/>
    <w:rsid w:val="00811072"/>
    <w:rsid w:val="00811369"/>
    <w:rsid w:val="00815419"/>
    <w:rsid w:val="008163C8"/>
    <w:rsid w:val="008164A1"/>
    <w:rsid w:val="00817325"/>
    <w:rsid w:val="008209E6"/>
    <w:rsid w:val="008219B2"/>
    <w:rsid w:val="00823303"/>
    <w:rsid w:val="008233B2"/>
    <w:rsid w:val="00823A9F"/>
    <w:rsid w:val="00823C85"/>
    <w:rsid w:val="00825138"/>
    <w:rsid w:val="00825F7B"/>
    <w:rsid w:val="008269DD"/>
    <w:rsid w:val="00830490"/>
    <w:rsid w:val="00830621"/>
    <w:rsid w:val="0083348C"/>
    <w:rsid w:val="008349C1"/>
    <w:rsid w:val="008373D3"/>
    <w:rsid w:val="00840617"/>
    <w:rsid w:val="00840F84"/>
    <w:rsid w:val="00841F7E"/>
    <w:rsid w:val="00842A47"/>
    <w:rsid w:val="00843C13"/>
    <w:rsid w:val="008454F8"/>
    <w:rsid w:val="0084643F"/>
    <w:rsid w:val="0085173A"/>
    <w:rsid w:val="00852485"/>
    <w:rsid w:val="00856316"/>
    <w:rsid w:val="008603CE"/>
    <w:rsid w:val="00861151"/>
    <w:rsid w:val="008620FC"/>
    <w:rsid w:val="008627A5"/>
    <w:rsid w:val="0086345F"/>
    <w:rsid w:val="00863E05"/>
    <w:rsid w:val="00865ACA"/>
    <w:rsid w:val="00865D28"/>
    <w:rsid w:val="00865F85"/>
    <w:rsid w:val="00867C10"/>
    <w:rsid w:val="00870439"/>
    <w:rsid w:val="00870DA1"/>
    <w:rsid w:val="0087781D"/>
    <w:rsid w:val="00881AC3"/>
    <w:rsid w:val="00883F93"/>
    <w:rsid w:val="00884DB3"/>
    <w:rsid w:val="00885A9D"/>
    <w:rsid w:val="008864F6"/>
    <w:rsid w:val="0089049D"/>
    <w:rsid w:val="0089273A"/>
    <w:rsid w:val="008928C9"/>
    <w:rsid w:val="008930CB"/>
    <w:rsid w:val="008938DC"/>
    <w:rsid w:val="00893FD1"/>
    <w:rsid w:val="00894836"/>
    <w:rsid w:val="00895172"/>
    <w:rsid w:val="00895680"/>
    <w:rsid w:val="00896DFF"/>
    <w:rsid w:val="0089762C"/>
    <w:rsid w:val="00897F72"/>
    <w:rsid w:val="008A1238"/>
    <w:rsid w:val="008A1893"/>
    <w:rsid w:val="008A3215"/>
    <w:rsid w:val="008A57E6"/>
    <w:rsid w:val="008A6F81"/>
    <w:rsid w:val="008A769A"/>
    <w:rsid w:val="008B0C9C"/>
    <w:rsid w:val="008B166D"/>
    <w:rsid w:val="008B17F4"/>
    <w:rsid w:val="008B3615"/>
    <w:rsid w:val="008B4AC4"/>
    <w:rsid w:val="008B50C8"/>
    <w:rsid w:val="008B5281"/>
    <w:rsid w:val="008B56A6"/>
    <w:rsid w:val="008B6650"/>
    <w:rsid w:val="008B7E05"/>
    <w:rsid w:val="008C1797"/>
    <w:rsid w:val="008C219C"/>
    <w:rsid w:val="008C4482"/>
    <w:rsid w:val="008C475E"/>
    <w:rsid w:val="008C619A"/>
    <w:rsid w:val="008D0CE8"/>
    <w:rsid w:val="008D2D1D"/>
    <w:rsid w:val="008D3930"/>
    <w:rsid w:val="008D453D"/>
    <w:rsid w:val="008D53AD"/>
    <w:rsid w:val="008D562B"/>
    <w:rsid w:val="008D5733"/>
    <w:rsid w:val="008D6022"/>
    <w:rsid w:val="008D622B"/>
    <w:rsid w:val="008D666C"/>
    <w:rsid w:val="008D7B54"/>
    <w:rsid w:val="008E0C9D"/>
    <w:rsid w:val="008E1648"/>
    <w:rsid w:val="008E1B3E"/>
    <w:rsid w:val="008E2319"/>
    <w:rsid w:val="008E2C54"/>
    <w:rsid w:val="008E4BB6"/>
    <w:rsid w:val="008E4E5B"/>
    <w:rsid w:val="008E5518"/>
    <w:rsid w:val="008E655B"/>
    <w:rsid w:val="008E6A84"/>
    <w:rsid w:val="008E7D46"/>
    <w:rsid w:val="008F01CA"/>
    <w:rsid w:val="008F0CDC"/>
    <w:rsid w:val="008F17A3"/>
    <w:rsid w:val="008F1ED3"/>
    <w:rsid w:val="008F23A5"/>
    <w:rsid w:val="008F4C29"/>
    <w:rsid w:val="008F70BD"/>
    <w:rsid w:val="008F788F"/>
    <w:rsid w:val="008F7EA2"/>
    <w:rsid w:val="00902722"/>
    <w:rsid w:val="009027BC"/>
    <w:rsid w:val="00904CDE"/>
    <w:rsid w:val="009062E6"/>
    <w:rsid w:val="00906AF0"/>
    <w:rsid w:val="00907935"/>
    <w:rsid w:val="0091035A"/>
    <w:rsid w:val="00911BE5"/>
    <w:rsid w:val="00912C39"/>
    <w:rsid w:val="00913CA9"/>
    <w:rsid w:val="009145AE"/>
    <w:rsid w:val="009146CE"/>
    <w:rsid w:val="00914CA7"/>
    <w:rsid w:val="00915C3E"/>
    <w:rsid w:val="009161A8"/>
    <w:rsid w:val="009201B9"/>
    <w:rsid w:val="009245F5"/>
    <w:rsid w:val="009249EC"/>
    <w:rsid w:val="009271CE"/>
    <w:rsid w:val="009273B3"/>
    <w:rsid w:val="009305B5"/>
    <w:rsid w:val="009311D6"/>
    <w:rsid w:val="00931AF3"/>
    <w:rsid w:val="00933F3F"/>
    <w:rsid w:val="00937C42"/>
    <w:rsid w:val="00940020"/>
    <w:rsid w:val="009429D5"/>
    <w:rsid w:val="00942BF1"/>
    <w:rsid w:val="00945180"/>
    <w:rsid w:val="00945428"/>
    <w:rsid w:val="0094607B"/>
    <w:rsid w:val="00953604"/>
    <w:rsid w:val="00953D9D"/>
    <w:rsid w:val="0095496B"/>
    <w:rsid w:val="009610DC"/>
    <w:rsid w:val="00961490"/>
    <w:rsid w:val="0096381A"/>
    <w:rsid w:val="00965E04"/>
    <w:rsid w:val="009663E9"/>
    <w:rsid w:val="009674AD"/>
    <w:rsid w:val="00970CDC"/>
    <w:rsid w:val="00972DEC"/>
    <w:rsid w:val="00977010"/>
    <w:rsid w:val="00977D02"/>
    <w:rsid w:val="009809BB"/>
    <w:rsid w:val="0098364B"/>
    <w:rsid w:val="009911AF"/>
    <w:rsid w:val="00991875"/>
    <w:rsid w:val="00991F92"/>
    <w:rsid w:val="00992985"/>
    <w:rsid w:val="00993889"/>
    <w:rsid w:val="0099551B"/>
    <w:rsid w:val="00995AB7"/>
    <w:rsid w:val="00997BF1"/>
    <w:rsid w:val="009A089C"/>
    <w:rsid w:val="009A118E"/>
    <w:rsid w:val="009A21CD"/>
    <w:rsid w:val="009A278C"/>
    <w:rsid w:val="009A2BC2"/>
    <w:rsid w:val="009A42C1"/>
    <w:rsid w:val="009A5429"/>
    <w:rsid w:val="009A72AD"/>
    <w:rsid w:val="009B083A"/>
    <w:rsid w:val="009B09E0"/>
    <w:rsid w:val="009B0BC5"/>
    <w:rsid w:val="009B1247"/>
    <w:rsid w:val="009B46F9"/>
    <w:rsid w:val="009B4FC9"/>
    <w:rsid w:val="009B6029"/>
    <w:rsid w:val="009B6971"/>
    <w:rsid w:val="009C27F1"/>
    <w:rsid w:val="009C3152"/>
    <w:rsid w:val="009C4CFA"/>
    <w:rsid w:val="009C5070"/>
    <w:rsid w:val="009C6888"/>
    <w:rsid w:val="009D0A4B"/>
    <w:rsid w:val="009D112C"/>
    <w:rsid w:val="009D4322"/>
    <w:rsid w:val="009D47FA"/>
    <w:rsid w:val="009D4C5B"/>
    <w:rsid w:val="009D50D2"/>
    <w:rsid w:val="009D6BCA"/>
    <w:rsid w:val="009D712C"/>
    <w:rsid w:val="009E0306"/>
    <w:rsid w:val="009E0F62"/>
    <w:rsid w:val="009E3435"/>
    <w:rsid w:val="009E4A58"/>
    <w:rsid w:val="009E57A6"/>
    <w:rsid w:val="009E5A2D"/>
    <w:rsid w:val="009E5AB2"/>
    <w:rsid w:val="009E6219"/>
    <w:rsid w:val="009F03B3"/>
    <w:rsid w:val="009F558C"/>
    <w:rsid w:val="009F57B0"/>
    <w:rsid w:val="00A0096C"/>
    <w:rsid w:val="00A01757"/>
    <w:rsid w:val="00A028C0"/>
    <w:rsid w:val="00A02BAE"/>
    <w:rsid w:val="00A03261"/>
    <w:rsid w:val="00A054E1"/>
    <w:rsid w:val="00A06057"/>
    <w:rsid w:val="00A066DD"/>
    <w:rsid w:val="00A06A6B"/>
    <w:rsid w:val="00A06EC2"/>
    <w:rsid w:val="00A07E47"/>
    <w:rsid w:val="00A129D0"/>
    <w:rsid w:val="00A12C33"/>
    <w:rsid w:val="00A138BA"/>
    <w:rsid w:val="00A14B5D"/>
    <w:rsid w:val="00A14C8E"/>
    <w:rsid w:val="00A14F5E"/>
    <w:rsid w:val="00A153D9"/>
    <w:rsid w:val="00A15F09"/>
    <w:rsid w:val="00A169B6"/>
    <w:rsid w:val="00A1740B"/>
    <w:rsid w:val="00A2271D"/>
    <w:rsid w:val="00A237D5"/>
    <w:rsid w:val="00A30EFC"/>
    <w:rsid w:val="00A3102B"/>
    <w:rsid w:val="00A31984"/>
    <w:rsid w:val="00A32D73"/>
    <w:rsid w:val="00A3367B"/>
    <w:rsid w:val="00A3597D"/>
    <w:rsid w:val="00A361F2"/>
    <w:rsid w:val="00A36CF4"/>
    <w:rsid w:val="00A36DD1"/>
    <w:rsid w:val="00A375C8"/>
    <w:rsid w:val="00A4006C"/>
    <w:rsid w:val="00A40091"/>
    <w:rsid w:val="00A4030F"/>
    <w:rsid w:val="00A41C79"/>
    <w:rsid w:val="00A41CB5"/>
    <w:rsid w:val="00A42CDF"/>
    <w:rsid w:val="00A431D3"/>
    <w:rsid w:val="00A4452E"/>
    <w:rsid w:val="00A4472C"/>
    <w:rsid w:val="00A44E69"/>
    <w:rsid w:val="00A46281"/>
    <w:rsid w:val="00A4661E"/>
    <w:rsid w:val="00A52150"/>
    <w:rsid w:val="00A5354B"/>
    <w:rsid w:val="00A548DE"/>
    <w:rsid w:val="00A54C38"/>
    <w:rsid w:val="00A55BD6"/>
    <w:rsid w:val="00A55D50"/>
    <w:rsid w:val="00A57142"/>
    <w:rsid w:val="00A60580"/>
    <w:rsid w:val="00A648CD"/>
    <w:rsid w:val="00A64F80"/>
    <w:rsid w:val="00A6537A"/>
    <w:rsid w:val="00A67866"/>
    <w:rsid w:val="00A70B07"/>
    <w:rsid w:val="00A723F8"/>
    <w:rsid w:val="00A73E38"/>
    <w:rsid w:val="00A776F0"/>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43C"/>
    <w:rsid w:val="00AA672E"/>
    <w:rsid w:val="00AA6EC9"/>
    <w:rsid w:val="00AA74F1"/>
    <w:rsid w:val="00AB1542"/>
    <w:rsid w:val="00AB41D5"/>
    <w:rsid w:val="00AB6309"/>
    <w:rsid w:val="00AB6C5F"/>
    <w:rsid w:val="00AB7129"/>
    <w:rsid w:val="00AB728E"/>
    <w:rsid w:val="00AC27A6"/>
    <w:rsid w:val="00AC30F7"/>
    <w:rsid w:val="00AC389F"/>
    <w:rsid w:val="00AC3A5A"/>
    <w:rsid w:val="00AC4D95"/>
    <w:rsid w:val="00AC57C7"/>
    <w:rsid w:val="00AC5DF4"/>
    <w:rsid w:val="00AD0AEF"/>
    <w:rsid w:val="00AD0DD7"/>
    <w:rsid w:val="00AD11B7"/>
    <w:rsid w:val="00AD1A94"/>
    <w:rsid w:val="00AD1C05"/>
    <w:rsid w:val="00AD4126"/>
    <w:rsid w:val="00AD421C"/>
    <w:rsid w:val="00AD44FA"/>
    <w:rsid w:val="00AE070A"/>
    <w:rsid w:val="00AE101C"/>
    <w:rsid w:val="00AE37E5"/>
    <w:rsid w:val="00AE5EB4"/>
    <w:rsid w:val="00AF0C18"/>
    <w:rsid w:val="00AF3B95"/>
    <w:rsid w:val="00AF47C5"/>
    <w:rsid w:val="00AF5398"/>
    <w:rsid w:val="00B009EB"/>
    <w:rsid w:val="00B049AF"/>
    <w:rsid w:val="00B06229"/>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4A12"/>
    <w:rsid w:val="00B4654C"/>
    <w:rsid w:val="00B46AF0"/>
    <w:rsid w:val="00B47293"/>
    <w:rsid w:val="00B50E50"/>
    <w:rsid w:val="00B52120"/>
    <w:rsid w:val="00B54ABC"/>
    <w:rsid w:val="00B54DDE"/>
    <w:rsid w:val="00B56FBE"/>
    <w:rsid w:val="00B60ACF"/>
    <w:rsid w:val="00B619F1"/>
    <w:rsid w:val="00B62B58"/>
    <w:rsid w:val="00B65149"/>
    <w:rsid w:val="00B66567"/>
    <w:rsid w:val="00B66F52"/>
    <w:rsid w:val="00B66FE5"/>
    <w:rsid w:val="00B700FD"/>
    <w:rsid w:val="00B70E33"/>
    <w:rsid w:val="00B72880"/>
    <w:rsid w:val="00B758BF"/>
    <w:rsid w:val="00B77EC8"/>
    <w:rsid w:val="00B810DE"/>
    <w:rsid w:val="00B827A6"/>
    <w:rsid w:val="00B831CE"/>
    <w:rsid w:val="00B86677"/>
    <w:rsid w:val="00B87131"/>
    <w:rsid w:val="00B939B1"/>
    <w:rsid w:val="00B96D40"/>
    <w:rsid w:val="00B97386"/>
    <w:rsid w:val="00BA263B"/>
    <w:rsid w:val="00BA42B2"/>
    <w:rsid w:val="00BA58D4"/>
    <w:rsid w:val="00BA5B9E"/>
    <w:rsid w:val="00BA7C9A"/>
    <w:rsid w:val="00BB203B"/>
    <w:rsid w:val="00BB3045"/>
    <w:rsid w:val="00BB5F8F"/>
    <w:rsid w:val="00BB657A"/>
    <w:rsid w:val="00BC1A4E"/>
    <w:rsid w:val="00BC4790"/>
    <w:rsid w:val="00BC5DC7"/>
    <w:rsid w:val="00BC6B8B"/>
    <w:rsid w:val="00BC73D8"/>
    <w:rsid w:val="00BD0AD2"/>
    <w:rsid w:val="00BD52D7"/>
    <w:rsid w:val="00BD5AD2"/>
    <w:rsid w:val="00BD7BE7"/>
    <w:rsid w:val="00BE22F3"/>
    <w:rsid w:val="00BE32F3"/>
    <w:rsid w:val="00BE4226"/>
    <w:rsid w:val="00BE4755"/>
    <w:rsid w:val="00BE5B52"/>
    <w:rsid w:val="00BE7B8D"/>
    <w:rsid w:val="00BF0993"/>
    <w:rsid w:val="00BF10A9"/>
    <w:rsid w:val="00BF1703"/>
    <w:rsid w:val="00BF231C"/>
    <w:rsid w:val="00BF51E5"/>
    <w:rsid w:val="00BF74A6"/>
    <w:rsid w:val="00C013AD"/>
    <w:rsid w:val="00C04904"/>
    <w:rsid w:val="00C056B3"/>
    <w:rsid w:val="00C103E5"/>
    <w:rsid w:val="00C11864"/>
    <w:rsid w:val="00C13319"/>
    <w:rsid w:val="00C13EE9"/>
    <w:rsid w:val="00C21540"/>
    <w:rsid w:val="00C21906"/>
    <w:rsid w:val="00C21BFA"/>
    <w:rsid w:val="00C22148"/>
    <w:rsid w:val="00C24C8D"/>
    <w:rsid w:val="00C25FE2"/>
    <w:rsid w:val="00C26B53"/>
    <w:rsid w:val="00C279B2"/>
    <w:rsid w:val="00C33E50"/>
    <w:rsid w:val="00C34C20"/>
    <w:rsid w:val="00C35A3E"/>
    <w:rsid w:val="00C36CBC"/>
    <w:rsid w:val="00C42130"/>
    <w:rsid w:val="00C423A4"/>
    <w:rsid w:val="00C426AE"/>
    <w:rsid w:val="00C44BF5"/>
    <w:rsid w:val="00C4728D"/>
    <w:rsid w:val="00C521D6"/>
    <w:rsid w:val="00C522EB"/>
    <w:rsid w:val="00C55232"/>
    <w:rsid w:val="00C553A4"/>
    <w:rsid w:val="00C55A06"/>
    <w:rsid w:val="00C55D03"/>
    <w:rsid w:val="00C601BC"/>
    <w:rsid w:val="00C6329F"/>
    <w:rsid w:val="00C63340"/>
    <w:rsid w:val="00C643F9"/>
    <w:rsid w:val="00C64E95"/>
    <w:rsid w:val="00C71372"/>
    <w:rsid w:val="00C72410"/>
    <w:rsid w:val="00C7287F"/>
    <w:rsid w:val="00C756FE"/>
    <w:rsid w:val="00C80982"/>
    <w:rsid w:val="00C80CB8"/>
    <w:rsid w:val="00C819F8"/>
    <w:rsid w:val="00C8248C"/>
    <w:rsid w:val="00C84E33"/>
    <w:rsid w:val="00C85D58"/>
    <w:rsid w:val="00C86D6F"/>
    <w:rsid w:val="00C905FC"/>
    <w:rsid w:val="00C90C95"/>
    <w:rsid w:val="00C92D03"/>
    <w:rsid w:val="00C9319C"/>
    <w:rsid w:val="00C9435D"/>
    <w:rsid w:val="00C94DF2"/>
    <w:rsid w:val="00C96741"/>
    <w:rsid w:val="00CA2D1B"/>
    <w:rsid w:val="00CA375D"/>
    <w:rsid w:val="00CA662A"/>
    <w:rsid w:val="00CA72EE"/>
    <w:rsid w:val="00CA7AFD"/>
    <w:rsid w:val="00CA7C3C"/>
    <w:rsid w:val="00CB0189"/>
    <w:rsid w:val="00CB0BA2"/>
    <w:rsid w:val="00CB1A42"/>
    <w:rsid w:val="00CB1B0C"/>
    <w:rsid w:val="00CB2C0B"/>
    <w:rsid w:val="00CB517D"/>
    <w:rsid w:val="00CB5697"/>
    <w:rsid w:val="00CB6E5D"/>
    <w:rsid w:val="00CB6FE1"/>
    <w:rsid w:val="00CC038D"/>
    <w:rsid w:val="00CC08DB"/>
    <w:rsid w:val="00CC39FF"/>
    <w:rsid w:val="00CC3C2F"/>
    <w:rsid w:val="00CC4AC8"/>
    <w:rsid w:val="00CC5233"/>
    <w:rsid w:val="00CC5DE6"/>
    <w:rsid w:val="00CC6E4E"/>
    <w:rsid w:val="00CC6FE8"/>
    <w:rsid w:val="00CC7202"/>
    <w:rsid w:val="00CC75D4"/>
    <w:rsid w:val="00CC76FB"/>
    <w:rsid w:val="00CD2808"/>
    <w:rsid w:val="00CD28BF"/>
    <w:rsid w:val="00CD4092"/>
    <w:rsid w:val="00CD4A20"/>
    <w:rsid w:val="00CD50A1"/>
    <w:rsid w:val="00CD519E"/>
    <w:rsid w:val="00CD5509"/>
    <w:rsid w:val="00CD561D"/>
    <w:rsid w:val="00CE0C4F"/>
    <w:rsid w:val="00CE30EA"/>
    <w:rsid w:val="00CE47F6"/>
    <w:rsid w:val="00CF048A"/>
    <w:rsid w:val="00CF155A"/>
    <w:rsid w:val="00CF2947"/>
    <w:rsid w:val="00CF686F"/>
    <w:rsid w:val="00CF6E60"/>
    <w:rsid w:val="00CF6F62"/>
    <w:rsid w:val="00CF7BCA"/>
    <w:rsid w:val="00D008FD"/>
    <w:rsid w:val="00D01D29"/>
    <w:rsid w:val="00D0321C"/>
    <w:rsid w:val="00D035EC"/>
    <w:rsid w:val="00D06AB1"/>
    <w:rsid w:val="00D072ED"/>
    <w:rsid w:val="00D07A16"/>
    <w:rsid w:val="00D1067E"/>
    <w:rsid w:val="00D10F50"/>
    <w:rsid w:val="00D11272"/>
    <w:rsid w:val="00D126F5"/>
    <w:rsid w:val="00D12B64"/>
    <w:rsid w:val="00D1489E"/>
    <w:rsid w:val="00D20737"/>
    <w:rsid w:val="00D21E81"/>
    <w:rsid w:val="00D223DE"/>
    <w:rsid w:val="00D25A2A"/>
    <w:rsid w:val="00D25E37"/>
    <w:rsid w:val="00D2661A"/>
    <w:rsid w:val="00D27582"/>
    <w:rsid w:val="00D27EC4"/>
    <w:rsid w:val="00D32719"/>
    <w:rsid w:val="00D32D05"/>
    <w:rsid w:val="00D33333"/>
    <w:rsid w:val="00D33457"/>
    <w:rsid w:val="00D352A2"/>
    <w:rsid w:val="00D3660F"/>
    <w:rsid w:val="00D36C52"/>
    <w:rsid w:val="00D37763"/>
    <w:rsid w:val="00D402C6"/>
    <w:rsid w:val="00D4162B"/>
    <w:rsid w:val="00D4208C"/>
    <w:rsid w:val="00D4514F"/>
    <w:rsid w:val="00D451E2"/>
    <w:rsid w:val="00D45E89"/>
    <w:rsid w:val="00D45E8D"/>
    <w:rsid w:val="00D466AE"/>
    <w:rsid w:val="00D4734F"/>
    <w:rsid w:val="00D5006F"/>
    <w:rsid w:val="00D51B9F"/>
    <w:rsid w:val="00D51BF3"/>
    <w:rsid w:val="00D544DF"/>
    <w:rsid w:val="00D57CDF"/>
    <w:rsid w:val="00D646EC"/>
    <w:rsid w:val="00D64BDB"/>
    <w:rsid w:val="00D66846"/>
    <w:rsid w:val="00D675FB"/>
    <w:rsid w:val="00D71F25"/>
    <w:rsid w:val="00D72A9C"/>
    <w:rsid w:val="00D73299"/>
    <w:rsid w:val="00D77031"/>
    <w:rsid w:val="00D84941"/>
    <w:rsid w:val="00D84EAE"/>
    <w:rsid w:val="00D84FA1"/>
    <w:rsid w:val="00D851F0"/>
    <w:rsid w:val="00D86DB7"/>
    <w:rsid w:val="00D86F69"/>
    <w:rsid w:val="00D87A2D"/>
    <w:rsid w:val="00D926D0"/>
    <w:rsid w:val="00D93030"/>
    <w:rsid w:val="00D950E1"/>
    <w:rsid w:val="00D952A6"/>
    <w:rsid w:val="00D97C7A"/>
    <w:rsid w:val="00D97F99"/>
    <w:rsid w:val="00DA10DF"/>
    <w:rsid w:val="00DA1E08"/>
    <w:rsid w:val="00DA24F8"/>
    <w:rsid w:val="00DA28E8"/>
    <w:rsid w:val="00DA38D3"/>
    <w:rsid w:val="00DA3932"/>
    <w:rsid w:val="00DA3AFC"/>
    <w:rsid w:val="00DA5191"/>
    <w:rsid w:val="00DA64F8"/>
    <w:rsid w:val="00DA6C15"/>
    <w:rsid w:val="00DB0258"/>
    <w:rsid w:val="00DB1782"/>
    <w:rsid w:val="00DB3461"/>
    <w:rsid w:val="00DB38EE"/>
    <w:rsid w:val="00DB498B"/>
    <w:rsid w:val="00DB66CA"/>
    <w:rsid w:val="00DB6BCA"/>
    <w:rsid w:val="00DB73F7"/>
    <w:rsid w:val="00DC0321"/>
    <w:rsid w:val="00DC2412"/>
    <w:rsid w:val="00DC3067"/>
    <w:rsid w:val="00DC370B"/>
    <w:rsid w:val="00DC5B90"/>
    <w:rsid w:val="00DD00FF"/>
    <w:rsid w:val="00DD0619"/>
    <w:rsid w:val="00DD07FB"/>
    <w:rsid w:val="00DD25C6"/>
    <w:rsid w:val="00DD4855"/>
    <w:rsid w:val="00DD4FE5"/>
    <w:rsid w:val="00DD54B0"/>
    <w:rsid w:val="00DD57EE"/>
    <w:rsid w:val="00DD6BCC"/>
    <w:rsid w:val="00DE0A4B"/>
    <w:rsid w:val="00DE2410"/>
    <w:rsid w:val="00DE268F"/>
    <w:rsid w:val="00DE2939"/>
    <w:rsid w:val="00DE6E81"/>
    <w:rsid w:val="00DE703F"/>
    <w:rsid w:val="00DE7595"/>
    <w:rsid w:val="00DF149E"/>
    <w:rsid w:val="00DF1961"/>
    <w:rsid w:val="00DF44DE"/>
    <w:rsid w:val="00DF5F11"/>
    <w:rsid w:val="00DF61A7"/>
    <w:rsid w:val="00DF6D23"/>
    <w:rsid w:val="00E00D32"/>
    <w:rsid w:val="00E01138"/>
    <w:rsid w:val="00E02DFB"/>
    <w:rsid w:val="00E030F9"/>
    <w:rsid w:val="00E0311A"/>
    <w:rsid w:val="00E03138"/>
    <w:rsid w:val="00E06404"/>
    <w:rsid w:val="00E065D2"/>
    <w:rsid w:val="00E07453"/>
    <w:rsid w:val="00E07A5F"/>
    <w:rsid w:val="00E10117"/>
    <w:rsid w:val="00E11A85"/>
    <w:rsid w:val="00E12495"/>
    <w:rsid w:val="00E15CCD"/>
    <w:rsid w:val="00E202EF"/>
    <w:rsid w:val="00E210B5"/>
    <w:rsid w:val="00E233B6"/>
    <w:rsid w:val="00E23D99"/>
    <w:rsid w:val="00E241DF"/>
    <w:rsid w:val="00E24646"/>
    <w:rsid w:val="00E2552F"/>
    <w:rsid w:val="00E3137A"/>
    <w:rsid w:val="00E31E94"/>
    <w:rsid w:val="00E32CCF"/>
    <w:rsid w:val="00E34A98"/>
    <w:rsid w:val="00E35D1E"/>
    <w:rsid w:val="00E364F9"/>
    <w:rsid w:val="00E365FA"/>
    <w:rsid w:val="00E36789"/>
    <w:rsid w:val="00E377A7"/>
    <w:rsid w:val="00E42C66"/>
    <w:rsid w:val="00E44A83"/>
    <w:rsid w:val="00E502C1"/>
    <w:rsid w:val="00E502DD"/>
    <w:rsid w:val="00E50D3A"/>
    <w:rsid w:val="00E51387"/>
    <w:rsid w:val="00E51E68"/>
    <w:rsid w:val="00E52CC0"/>
    <w:rsid w:val="00E52EFD"/>
    <w:rsid w:val="00E5408A"/>
    <w:rsid w:val="00E55DCC"/>
    <w:rsid w:val="00E56800"/>
    <w:rsid w:val="00E60C63"/>
    <w:rsid w:val="00E62FF9"/>
    <w:rsid w:val="00E635D6"/>
    <w:rsid w:val="00E639BC"/>
    <w:rsid w:val="00E664CC"/>
    <w:rsid w:val="00E70388"/>
    <w:rsid w:val="00E70F92"/>
    <w:rsid w:val="00E74C54"/>
    <w:rsid w:val="00E77A03"/>
    <w:rsid w:val="00E822E8"/>
    <w:rsid w:val="00E82554"/>
    <w:rsid w:val="00E82606"/>
    <w:rsid w:val="00E837BF"/>
    <w:rsid w:val="00E846C8"/>
    <w:rsid w:val="00E84957"/>
    <w:rsid w:val="00E84A55"/>
    <w:rsid w:val="00E85BFF"/>
    <w:rsid w:val="00E90391"/>
    <w:rsid w:val="00E906C2"/>
    <w:rsid w:val="00E9311F"/>
    <w:rsid w:val="00E934D1"/>
    <w:rsid w:val="00E93A5A"/>
    <w:rsid w:val="00E9400F"/>
    <w:rsid w:val="00E94AF0"/>
    <w:rsid w:val="00E95D13"/>
    <w:rsid w:val="00E95DD3"/>
    <w:rsid w:val="00E9636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759"/>
    <w:rsid w:val="00ED5FD8"/>
    <w:rsid w:val="00EE0350"/>
    <w:rsid w:val="00EE0719"/>
    <w:rsid w:val="00EE0E80"/>
    <w:rsid w:val="00EE46FA"/>
    <w:rsid w:val="00EE54A6"/>
    <w:rsid w:val="00EE613F"/>
    <w:rsid w:val="00EE7295"/>
    <w:rsid w:val="00EE7869"/>
    <w:rsid w:val="00EF054A"/>
    <w:rsid w:val="00EF1891"/>
    <w:rsid w:val="00EF3235"/>
    <w:rsid w:val="00EF7E72"/>
    <w:rsid w:val="00F00AC5"/>
    <w:rsid w:val="00F00D2F"/>
    <w:rsid w:val="00F01E98"/>
    <w:rsid w:val="00F04BCB"/>
    <w:rsid w:val="00F06C42"/>
    <w:rsid w:val="00F06D37"/>
    <w:rsid w:val="00F07B9D"/>
    <w:rsid w:val="00F11586"/>
    <w:rsid w:val="00F1183B"/>
    <w:rsid w:val="00F11C9F"/>
    <w:rsid w:val="00F12263"/>
    <w:rsid w:val="00F1409D"/>
    <w:rsid w:val="00F14214"/>
    <w:rsid w:val="00F14EAF"/>
    <w:rsid w:val="00F157A9"/>
    <w:rsid w:val="00F25BB6"/>
    <w:rsid w:val="00F26B7E"/>
    <w:rsid w:val="00F27A3B"/>
    <w:rsid w:val="00F33817"/>
    <w:rsid w:val="00F41DAD"/>
    <w:rsid w:val="00F420D5"/>
    <w:rsid w:val="00F43BE6"/>
    <w:rsid w:val="00F451EA"/>
    <w:rsid w:val="00F45447"/>
    <w:rsid w:val="00F456C6"/>
    <w:rsid w:val="00F4577B"/>
    <w:rsid w:val="00F46496"/>
    <w:rsid w:val="00F474D0"/>
    <w:rsid w:val="00F50179"/>
    <w:rsid w:val="00F50C13"/>
    <w:rsid w:val="00F515EE"/>
    <w:rsid w:val="00F55874"/>
    <w:rsid w:val="00F56511"/>
    <w:rsid w:val="00F6194E"/>
    <w:rsid w:val="00F623AC"/>
    <w:rsid w:val="00F6412A"/>
    <w:rsid w:val="00F65893"/>
    <w:rsid w:val="00F66A4A"/>
    <w:rsid w:val="00F71E22"/>
    <w:rsid w:val="00F72142"/>
    <w:rsid w:val="00F72AE7"/>
    <w:rsid w:val="00F75BCC"/>
    <w:rsid w:val="00F771E1"/>
    <w:rsid w:val="00F77B32"/>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0D69"/>
    <w:rsid w:val="00FE1666"/>
    <w:rsid w:val="00FE1FBE"/>
    <w:rsid w:val="00FE3901"/>
    <w:rsid w:val="00FE39D3"/>
    <w:rsid w:val="00FE4BCE"/>
    <w:rsid w:val="00FE54AE"/>
    <w:rsid w:val="00FE576A"/>
    <w:rsid w:val="00FE7E79"/>
    <w:rsid w:val="00FF3E7D"/>
    <w:rsid w:val="00FF5B99"/>
    <w:rsid w:val="00FF730C"/>
    <w:rsid w:val="00FF73F4"/>
    <w:rsid w:val="00FF7CE4"/>
    <w:rsid w:val="00FF7E39"/>
    <w:rsid w:val="01592EDB"/>
    <w:rsid w:val="016868C6"/>
    <w:rsid w:val="020B22C2"/>
    <w:rsid w:val="022B0E5C"/>
    <w:rsid w:val="02403484"/>
    <w:rsid w:val="02531AA8"/>
    <w:rsid w:val="02B8628E"/>
    <w:rsid w:val="04581053"/>
    <w:rsid w:val="04A247E6"/>
    <w:rsid w:val="04D21A41"/>
    <w:rsid w:val="04DD4A72"/>
    <w:rsid w:val="051B4630"/>
    <w:rsid w:val="057F3DAA"/>
    <w:rsid w:val="062507FE"/>
    <w:rsid w:val="06BE07CF"/>
    <w:rsid w:val="0702105D"/>
    <w:rsid w:val="07395EC4"/>
    <w:rsid w:val="07E777CC"/>
    <w:rsid w:val="08F308CA"/>
    <w:rsid w:val="09497E1A"/>
    <w:rsid w:val="0A3604C6"/>
    <w:rsid w:val="0A54372E"/>
    <w:rsid w:val="0B896E89"/>
    <w:rsid w:val="0BF1599D"/>
    <w:rsid w:val="0C50326D"/>
    <w:rsid w:val="0CD118A2"/>
    <w:rsid w:val="0CEC74C9"/>
    <w:rsid w:val="0D092926"/>
    <w:rsid w:val="0DB8556E"/>
    <w:rsid w:val="0E010CC3"/>
    <w:rsid w:val="0E1511C6"/>
    <w:rsid w:val="0E4B0190"/>
    <w:rsid w:val="0E660CA9"/>
    <w:rsid w:val="0F8817FE"/>
    <w:rsid w:val="0FF30ADF"/>
    <w:rsid w:val="10C3779F"/>
    <w:rsid w:val="11D10EB5"/>
    <w:rsid w:val="12927DDE"/>
    <w:rsid w:val="12940358"/>
    <w:rsid w:val="135A02D0"/>
    <w:rsid w:val="13655850"/>
    <w:rsid w:val="143E1595"/>
    <w:rsid w:val="1485778D"/>
    <w:rsid w:val="14CA13EB"/>
    <w:rsid w:val="16121F8F"/>
    <w:rsid w:val="16D8458B"/>
    <w:rsid w:val="18736C61"/>
    <w:rsid w:val="18DF7E53"/>
    <w:rsid w:val="18F338FE"/>
    <w:rsid w:val="19F618F8"/>
    <w:rsid w:val="1A2662DB"/>
    <w:rsid w:val="1B1E4D15"/>
    <w:rsid w:val="1B833308"/>
    <w:rsid w:val="1BC709D8"/>
    <w:rsid w:val="1BEC6B0F"/>
    <w:rsid w:val="1BF14125"/>
    <w:rsid w:val="1C33298F"/>
    <w:rsid w:val="1C802EF9"/>
    <w:rsid w:val="1D99460E"/>
    <w:rsid w:val="1DE34442"/>
    <w:rsid w:val="1E984D2C"/>
    <w:rsid w:val="209B49B1"/>
    <w:rsid w:val="209D2ACD"/>
    <w:rsid w:val="20F8521E"/>
    <w:rsid w:val="21661111"/>
    <w:rsid w:val="21964935"/>
    <w:rsid w:val="22984034"/>
    <w:rsid w:val="23425A69"/>
    <w:rsid w:val="236A0F1A"/>
    <w:rsid w:val="23A57342"/>
    <w:rsid w:val="246F29D3"/>
    <w:rsid w:val="24715D06"/>
    <w:rsid w:val="253A0AAB"/>
    <w:rsid w:val="25837217"/>
    <w:rsid w:val="259A5C6C"/>
    <w:rsid w:val="25A60389"/>
    <w:rsid w:val="26772E86"/>
    <w:rsid w:val="26A93240"/>
    <w:rsid w:val="26FD42C6"/>
    <w:rsid w:val="27511B78"/>
    <w:rsid w:val="275C0D6B"/>
    <w:rsid w:val="27864D40"/>
    <w:rsid w:val="2A0826AE"/>
    <w:rsid w:val="2ACC49B7"/>
    <w:rsid w:val="2C0C4739"/>
    <w:rsid w:val="2C0E7607"/>
    <w:rsid w:val="2CD07D87"/>
    <w:rsid w:val="2D4374E8"/>
    <w:rsid w:val="2DB61363"/>
    <w:rsid w:val="2DE0091C"/>
    <w:rsid w:val="2E5205CD"/>
    <w:rsid w:val="2F770227"/>
    <w:rsid w:val="2F974B8C"/>
    <w:rsid w:val="2F976745"/>
    <w:rsid w:val="2FEA2FC5"/>
    <w:rsid w:val="2FF95D19"/>
    <w:rsid w:val="307975D4"/>
    <w:rsid w:val="30AE23F1"/>
    <w:rsid w:val="30BA1F7C"/>
    <w:rsid w:val="30E2248B"/>
    <w:rsid w:val="30EC1F28"/>
    <w:rsid w:val="31BC6215"/>
    <w:rsid w:val="31CA731E"/>
    <w:rsid w:val="32976F18"/>
    <w:rsid w:val="332350B4"/>
    <w:rsid w:val="333944FC"/>
    <w:rsid w:val="33C35026"/>
    <w:rsid w:val="33CA6BDA"/>
    <w:rsid w:val="340551E6"/>
    <w:rsid w:val="34B753EB"/>
    <w:rsid w:val="352073D1"/>
    <w:rsid w:val="357E2415"/>
    <w:rsid w:val="358A2085"/>
    <w:rsid w:val="36230C55"/>
    <w:rsid w:val="368A5C96"/>
    <w:rsid w:val="37433851"/>
    <w:rsid w:val="39632053"/>
    <w:rsid w:val="3A3304AD"/>
    <w:rsid w:val="3AAC6E98"/>
    <w:rsid w:val="3AC32CD9"/>
    <w:rsid w:val="3BDA7D3C"/>
    <w:rsid w:val="3C575DCE"/>
    <w:rsid w:val="3D1A4E18"/>
    <w:rsid w:val="3DFF1557"/>
    <w:rsid w:val="3E9E1A93"/>
    <w:rsid w:val="3EA6303D"/>
    <w:rsid w:val="3F710F55"/>
    <w:rsid w:val="40131B59"/>
    <w:rsid w:val="41604A98"/>
    <w:rsid w:val="41617DCD"/>
    <w:rsid w:val="41ED2102"/>
    <w:rsid w:val="42366486"/>
    <w:rsid w:val="427D1E09"/>
    <w:rsid w:val="427D5E63"/>
    <w:rsid w:val="42DF7E5E"/>
    <w:rsid w:val="42E40C00"/>
    <w:rsid w:val="43AA0EDA"/>
    <w:rsid w:val="43C15011"/>
    <w:rsid w:val="43E32994"/>
    <w:rsid w:val="43E3658D"/>
    <w:rsid w:val="44132515"/>
    <w:rsid w:val="4476700E"/>
    <w:rsid w:val="44804860"/>
    <w:rsid w:val="448B0D0B"/>
    <w:rsid w:val="4513485D"/>
    <w:rsid w:val="45302A8A"/>
    <w:rsid w:val="45833790"/>
    <w:rsid w:val="46BA7686"/>
    <w:rsid w:val="46CF1CF2"/>
    <w:rsid w:val="47C86213"/>
    <w:rsid w:val="49FE1F7F"/>
    <w:rsid w:val="4A6A3171"/>
    <w:rsid w:val="4AB143A2"/>
    <w:rsid w:val="4B072155"/>
    <w:rsid w:val="4C2F3FE9"/>
    <w:rsid w:val="4C9C0D27"/>
    <w:rsid w:val="4CEF7B29"/>
    <w:rsid w:val="4D0D566C"/>
    <w:rsid w:val="4D371FED"/>
    <w:rsid w:val="4DD80905"/>
    <w:rsid w:val="4E053BD2"/>
    <w:rsid w:val="4E841120"/>
    <w:rsid w:val="4E8C64F7"/>
    <w:rsid w:val="4F2D5B57"/>
    <w:rsid w:val="4F6878C2"/>
    <w:rsid w:val="5116751E"/>
    <w:rsid w:val="517A013D"/>
    <w:rsid w:val="51A72EFC"/>
    <w:rsid w:val="5342124F"/>
    <w:rsid w:val="534944E4"/>
    <w:rsid w:val="53DF37CD"/>
    <w:rsid w:val="5452549B"/>
    <w:rsid w:val="54905BE0"/>
    <w:rsid w:val="557355CF"/>
    <w:rsid w:val="55B36B78"/>
    <w:rsid w:val="56220DA3"/>
    <w:rsid w:val="563653FD"/>
    <w:rsid w:val="568A7075"/>
    <w:rsid w:val="56C33F01"/>
    <w:rsid w:val="56C821CD"/>
    <w:rsid w:val="56D61DC7"/>
    <w:rsid w:val="56D660FF"/>
    <w:rsid w:val="56D95906"/>
    <w:rsid w:val="57C57C38"/>
    <w:rsid w:val="5891733B"/>
    <w:rsid w:val="58AC6CEB"/>
    <w:rsid w:val="593B28A8"/>
    <w:rsid w:val="59F8263E"/>
    <w:rsid w:val="59FA3B27"/>
    <w:rsid w:val="5A68536B"/>
    <w:rsid w:val="5A6D61ED"/>
    <w:rsid w:val="5B5E63DA"/>
    <w:rsid w:val="5B81670D"/>
    <w:rsid w:val="5CF47DAF"/>
    <w:rsid w:val="5D20238F"/>
    <w:rsid w:val="5FD3010F"/>
    <w:rsid w:val="6138147B"/>
    <w:rsid w:val="614C3178"/>
    <w:rsid w:val="617A1F0C"/>
    <w:rsid w:val="619A0532"/>
    <w:rsid w:val="625A7787"/>
    <w:rsid w:val="633B16F7"/>
    <w:rsid w:val="6372336A"/>
    <w:rsid w:val="64DA65D2"/>
    <w:rsid w:val="65D26342"/>
    <w:rsid w:val="65FF6A0B"/>
    <w:rsid w:val="677E01D8"/>
    <w:rsid w:val="6836320A"/>
    <w:rsid w:val="68DA4423"/>
    <w:rsid w:val="691A5E80"/>
    <w:rsid w:val="695B5579"/>
    <w:rsid w:val="69787200"/>
    <w:rsid w:val="69E22280"/>
    <w:rsid w:val="69EF230C"/>
    <w:rsid w:val="6A402C68"/>
    <w:rsid w:val="6AD13942"/>
    <w:rsid w:val="6B2437FD"/>
    <w:rsid w:val="6B8729AC"/>
    <w:rsid w:val="6BF6440D"/>
    <w:rsid w:val="6D921ECA"/>
    <w:rsid w:val="6D9C504D"/>
    <w:rsid w:val="6DE22CEE"/>
    <w:rsid w:val="6E623B08"/>
    <w:rsid w:val="6EFA4214"/>
    <w:rsid w:val="6F2D0D33"/>
    <w:rsid w:val="6F467475"/>
    <w:rsid w:val="6FAB7484"/>
    <w:rsid w:val="6FAD043A"/>
    <w:rsid w:val="70117A67"/>
    <w:rsid w:val="71B61A8C"/>
    <w:rsid w:val="727B566C"/>
    <w:rsid w:val="73357955"/>
    <w:rsid w:val="736C218B"/>
    <w:rsid w:val="737722D7"/>
    <w:rsid w:val="737F6070"/>
    <w:rsid w:val="746E141C"/>
    <w:rsid w:val="74B833E4"/>
    <w:rsid w:val="74B84886"/>
    <w:rsid w:val="74FD49AB"/>
    <w:rsid w:val="752E4DF0"/>
    <w:rsid w:val="75396517"/>
    <w:rsid w:val="75925086"/>
    <w:rsid w:val="75D82963"/>
    <w:rsid w:val="76041082"/>
    <w:rsid w:val="771D4F43"/>
    <w:rsid w:val="771F6F0D"/>
    <w:rsid w:val="7750356B"/>
    <w:rsid w:val="7831514A"/>
    <w:rsid w:val="78613FEE"/>
    <w:rsid w:val="78B3169D"/>
    <w:rsid w:val="795D3D1D"/>
    <w:rsid w:val="79A623D6"/>
    <w:rsid w:val="79B871A5"/>
    <w:rsid w:val="7BE21DB7"/>
    <w:rsid w:val="7CA57FC5"/>
    <w:rsid w:val="7CC05E3B"/>
    <w:rsid w:val="7CF86002"/>
    <w:rsid w:val="7DB665F5"/>
    <w:rsid w:val="7E075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qFormat/>
    <w:uiPriority w:val="0"/>
    <w:rPr>
      <w:rFonts w:ascii="黑体" w:eastAsia="黑体"/>
      <w:spacing w:val="85"/>
      <w:w w:val="100"/>
      <w:position w:val="3"/>
      <w:sz w:val="28"/>
      <w:szCs w:val="28"/>
    </w:rPr>
  </w:style>
  <w:style w:type="character" w:customStyle="1" w:styleId="230">
    <w:name w:val="未处理的提及1"/>
    <w:basedOn w:val="26"/>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glossaryDocument" Target="glossary/document.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jpeg"/><Relationship Id="rId44" Type="http://schemas.openxmlformats.org/officeDocument/2006/relationships/image" Target="media/image2.png"/><Relationship Id="rId43" Type="http://schemas.openxmlformats.org/officeDocument/2006/relationships/image" Target="media/image1.png"/><Relationship Id="rId42" Type="http://schemas.openxmlformats.org/officeDocument/2006/relationships/image" Target="media/image1.tiff"/><Relationship Id="rId41" Type="http://schemas.openxmlformats.org/officeDocument/2006/relationships/theme" Target="theme/theme1.xml"/><Relationship Id="rId40" Type="http://schemas.openxmlformats.org/officeDocument/2006/relationships/footer" Target="footer19.xml"/><Relationship Id="rId4" Type="http://schemas.openxmlformats.org/officeDocument/2006/relationships/header" Target="header2.xml"/><Relationship Id="rId39" Type="http://schemas.openxmlformats.org/officeDocument/2006/relationships/footer" Target="footer18.xml"/><Relationship Id="rId38" Type="http://schemas.openxmlformats.org/officeDocument/2006/relationships/header" Target="header19.xml"/><Relationship Id="rId37" Type="http://schemas.openxmlformats.org/officeDocument/2006/relationships/header" Target="header18.xml"/><Relationship Id="rId36" Type="http://schemas.openxmlformats.org/officeDocument/2006/relationships/footer" Target="footer17.xml"/><Relationship Id="rId35" Type="http://schemas.openxmlformats.org/officeDocument/2006/relationships/footer" Target="footer16.xml"/><Relationship Id="rId34" Type="http://schemas.openxmlformats.org/officeDocument/2006/relationships/header" Target="header17.xml"/><Relationship Id="rId33" Type="http://schemas.openxmlformats.org/officeDocument/2006/relationships/header" Target="header16.xml"/><Relationship Id="rId32" Type="http://schemas.openxmlformats.org/officeDocument/2006/relationships/footer" Target="footer15.xml"/><Relationship Id="rId31" Type="http://schemas.openxmlformats.org/officeDocument/2006/relationships/footer" Target="footer14.xml"/><Relationship Id="rId30" Type="http://schemas.openxmlformats.org/officeDocument/2006/relationships/header" Target="header15.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footer" Target="footer13.xml"/><Relationship Id="rId27" Type="http://schemas.openxmlformats.org/officeDocument/2006/relationships/footer" Target="footer12.xml"/><Relationship Id="rId26" Type="http://schemas.openxmlformats.org/officeDocument/2006/relationships/header" Target="header13.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33A2C162AF14E48973604806D2F9ADF"/>
        <w:style w:val=""/>
        <w:category>
          <w:name w:val="常规"/>
          <w:gallery w:val="placeholder"/>
        </w:category>
        <w:types>
          <w:type w:val="bbPlcHdr"/>
        </w:types>
        <w:behaviors>
          <w:behavior w:val="content"/>
        </w:behaviors>
        <w:description w:val=""/>
        <w:guid w:val="{A7E3D975-1FC2-4985-A230-DEB88BF0DF3C}"/>
      </w:docPartPr>
      <w:docPartBody>
        <w:p>
          <w:pPr>
            <w:pStyle w:val="5"/>
            <w:rPr>
              <w:rFonts w:hint="eastAsia"/>
            </w:rPr>
          </w:pPr>
          <w:r>
            <w:rPr>
              <w:rStyle w:val="4"/>
              <w:rFonts w:hint="eastAsia"/>
            </w:rPr>
            <w:t>单击或点击此处输入文字。</w:t>
          </w:r>
        </w:p>
      </w:docPartBody>
    </w:docPart>
    <w:docPart>
      <w:docPartPr>
        <w:name w:val="2E9C7B8F32AC48A4A66676C49B259D7B"/>
        <w:style w:val=""/>
        <w:category>
          <w:name w:val="常规"/>
          <w:gallery w:val="placeholder"/>
        </w:category>
        <w:types>
          <w:type w:val="bbPlcHdr"/>
        </w:types>
        <w:behaviors>
          <w:behavior w:val="content"/>
        </w:behaviors>
        <w:description w:val=""/>
        <w:guid w:val="{855A14A6-B4A6-41D3-B21B-58182A4FA3B1}"/>
      </w:docPartPr>
      <w:docPartBody>
        <w:p>
          <w:pPr>
            <w:pStyle w:val="6"/>
            <w:rPr>
              <w:rFonts w:hint="eastAsia"/>
            </w:rPr>
          </w:pPr>
          <w:r>
            <w:rPr>
              <w:rStyle w:val="4"/>
              <w:rFonts w:hint="eastAsia"/>
            </w:rPr>
            <w:t>选择一项。</w:t>
          </w:r>
        </w:p>
      </w:docPartBody>
    </w:docPart>
    <w:docPart>
      <w:docPartPr>
        <w:name w:val="3CEB7E26F3964F83B4C7E8714C45E64F"/>
        <w:style w:val=""/>
        <w:category>
          <w:name w:val="常规"/>
          <w:gallery w:val="placeholder"/>
        </w:category>
        <w:types>
          <w:type w:val="bbPlcHdr"/>
        </w:types>
        <w:behaviors>
          <w:behavior w:val="content"/>
        </w:behaviors>
        <w:description w:val=""/>
        <w:guid w:val="{D0059282-C3B3-42DF-9487-DAE9E41E7046}"/>
      </w:docPartPr>
      <w:docPartBody>
        <w:p>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98C"/>
    <w:rsid w:val="00004B89"/>
    <w:rsid w:val="00006C98"/>
    <w:rsid w:val="0002692D"/>
    <w:rsid w:val="001159AF"/>
    <w:rsid w:val="00147CD8"/>
    <w:rsid w:val="00170BBA"/>
    <w:rsid w:val="001803FC"/>
    <w:rsid w:val="0018207E"/>
    <w:rsid w:val="001A154D"/>
    <w:rsid w:val="001B4A14"/>
    <w:rsid w:val="001E3AEE"/>
    <w:rsid w:val="001E43F0"/>
    <w:rsid w:val="001F2E8E"/>
    <w:rsid w:val="00225DF8"/>
    <w:rsid w:val="0025638C"/>
    <w:rsid w:val="002A57D8"/>
    <w:rsid w:val="002B2E59"/>
    <w:rsid w:val="002B30AD"/>
    <w:rsid w:val="002D74AB"/>
    <w:rsid w:val="002D7DF8"/>
    <w:rsid w:val="00324C0D"/>
    <w:rsid w:val="00330DB3"/>
    <w:rsid w:val="00343E14"/>
    <w:rsid w:val="00395ECD"/>
    <w:rsid w:val="00397F2C"/>
    <w:rsid w:val="003B145D"/>
    <w:rsid w:val="003B536B"/>
    <w:rsid w:val="003B7212"/>
    <w:rsid w:val="003D2C80"/>
    <w:rsid w:val="003E7459"/>
    <w:rsid w:val="00426C17"/>
    <w:rsid w:val="00430C51"/>
    <w:rsid w:val="004C2BE3"/>
    <w:rsid w:val="005130E8"/>
    <w:rsid w:val="005228B3"/>
    <w:rsid w:val="00542292"/>
    <w:rsid w:val="00584734"/>
    <w:rsid w:val="00590103"/>
    <w:rsid w:val="00640F9A"/>
    <w:rsid w:val="006534CB"/>
    <w:rsid w:val="006A3A0E"/>
    <w:rsid w:val="006B02C4"/>
    <w:rsid w:val="006E56D3"/>
    <w:rsid w:val="006F274F"/>
    <w:rsid w:val="00706AE9"/>
    <w:rsid w:val="00721CFB"/>
    <w:rsid w:val="0072535B"/>
    <w:rsid w:val="00734DA1"/>
    <w:rsid w:val="007D7A70"/>
    <w:rsid w:val="007F1AD3"/>
    <w:rsid w:val="00891ECA"/>
    <w:rsid w:val="008B56A6"/>
    <w:rsid w:val="008B6650"/>
    <w:rsid w:val="008C00CC"/>
    <w:rsid w:val="008F1E8F"/>
    <w:rsid w:val="00940020"/>
    <w:rsid w:val="0099307C"/>
    <w:rsid w:val="009A4812"/>
    <w:rsid w:val="009C6888"/>
    <w:rsid w:val="009E45D9"/>
    <w:rsid w:val="00A03261"/>
    <w:rsid w:val="00A50E10"/>
    <w:rsid w:val="00A53B67"/>
    <w:rsid w:val="00A548DE"/>
    <w:rsid w:val="00A55908"/>
    <w:rsid w:val="00AA643C"/>
    <w:rsid w:val="00AF14F9"/>
    <w:rsid w:val="00B44A12"/>
    <w:rsid w:val="00B7198C"/>
    <w:rsid w:val="00B83B8B"/>
    <w:rsid w:val="00BD7BE7"/>
    <w:rsid w:val="00C44BD6"/>
    <w:rsid w:val="00C4728D"/>
    <w:rsid w:val="00C522EB"/>
    <w:rsid w:val="00CA3CBA"/>
    <w:rsid w:val="00CC408E"/>
    <w:rsid w:val="00CD3453"/>
    <w:rsid w:val="00CE09BB"/>
    <w:rsid w:val="00D12B64"/>
    <w:rsid w:val="00D57CDF"/>
    <w:rsid w:val="00D73299"/>
    <w:rsid w:val="00D86F69"/>
    <w:rsid w:val="00D87A2D"/>
    <w:rsid w:val="00DE372F"/>
    <w:rsid w:val="00E21110"/>
    <w:rsid w:val="00E31E94"/>
    <w:rsid w:val="00E461F5"/>
    <w:rsid w:val="00E725D3"/>
    <w:rsid w:val="00E97ECD"/>
    <w:rsid w:val="00F934E7"/>
    <w:rsid w:val="00FD2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333A2C162AF14E48973604806D2F9AD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2E9C7B8F32AC48A4A66676C49B259D7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3CEB7E26F3964F83B4C7E8714C45E64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46</Pages>
  <Words>32680</Words>
  <Characters>37004</Characters>
  <Lines>2370</Lines>
  <Paragraphs>3693</Paragraphs>
  <TotalTime>47</TotalTime>
  <ScaleCrop>false</ScaleCrop>
  <LinksUpToDate>false</LinksUpToDate>
  <CharactersWithSpaces>37669</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2026-04-14T08:12:00Z</dcterms:created>
  <dc:creator>经纬标准</dc:creator>
  <cp:lastModifiedBy>admin</cp:lastModifiedBy>
  <cp:lastPrinted>2020-08-30T10:00:00Z</cp:lastPrinted>
  <dcterms:modified xsi:type="dcterms:W3CDTF">2026-09-29T07:50:41Z</dcterms:modified>
  <dc:title>地方标准</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eyJoZGlkIjoiNmNjMWQ2OWYyZjFkM2E1YzEwZTU5YWFiNTdhYzM3ZTQiLCJ1c2VySWQiOiIyOTYyMzA2NTMifQ==</vt:lpwstr>
  </property>
  <property fmtid="{D5CDD505-2E9C-101B-9397-08002B2CF9AE}" pid="15" name="KSOProductBuildVer">
    <vt:lpwstr>2052-10.8.0.6423</vt:lpwstr>
  </property>
  <property fmtid="{D5CDD505-2E9C-101B-9397-08002B2CF9AE}" pid="16" name="ICV">
    <vt:lpwstr>C707CD0D8264497682A95F4093528B72_13</vt:lpwstr>
  </property>
  <property fmtid="{D5CDD505-2E9C-101B-9397-08002B2CF9AE}" pid="17" name="DoublePage">
    <vt:lpwstr>true</vt:lpwstr>
  </property>
</Properties>
</file>