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14970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8296" w:type="dxa"/>
          </w:tcPr>
          <w:p w14:paraId="6245C6B3">
            <w:pPr>
              <w:pStyle w:val="39"/>
              <w:framePr w:hSpace="0" w:vSpace="0" w:wrap="auto" w:vAnchor="margin" w:hAnchor="text" w:yAlign="inline"/>
              <w:overflowPunct w:val="0"/>
              <w:rPr>
                <w:rFonts w:ascii="Times New Roman"/>
                <w:color w:val="auto"/>
              </w:rPr>
            </w:pPr>
            <w:bookmarkStart w:id="0" w:name="_Hlk97302667"/>
            <w:bookmarkEnd w:id="0"/>
            <w:bookmarkStart w:id="1" w:name="_Hlk162599269"/>
            <w:r>
              <w:rPr>
                <w:rFonts w:ascii="Times New Roman"/>
                <w:color w:val="auto"/>
              </w:rPr>
              <w:t>ICS  27.010</w:t>
            </w:r>
          </w:p>
          <w:p w14:paraId="29E4BEE9">
            <w:pPr>
              <w:overflowPunct w:val="0"/>
              <w:rPr>
                <w:rFonts w:ascii="Times New Roman" w:hAnsi="Times New Roman" w:cs="Times New Roman"/>
                <w:color w:val="auto"/>
              </w:rPr>
            </w:pPr>
            <w:r>
              <w:rPr>
                <w:rFonts w:ascii="Times New Roman" w:hAnsi="Times New Roman" w:cs="Times New Roman"/>
                <w:color w:val="auto"/>
              </w:rPr>
              <w:t xml:space="preserve">CCS  </w:t>
            </w:r>
            <w:r>
              <w:rPr>
                <w:rFonts w:ascii="Times New Roman" w:hAnsi="Times New Roman" w:eastAsia="黑体" w:cs="Times New Roman"/>
                <w:color w:val="auto"/>
              </w:rPr>
              <w:t>Z 00</w:t>
            </w:r>
          </w:p>
          <w:p w14:paraId="477CAA1D">
            <w:pPr>
              <w:overflowPunct w:val="0"/>
              <w:jc w:val="right"/>
              <w:rPr>
                <w:rFonts w:ascii="Times New Roman" w:hAnsi="Times New Roman" w:eastAsia="微软雅黑" w:cs="Times New Roman"/>
                <w:sz w:val="84"/>
                <w:szCs w:val="84"/>
              </w:rPr>
            </w:pPr>
            <w:r>
              <w:rPr>
                <w:rFonts w:ascii="Times New Roman" w:hAnsi="Times New Roman" w:eastAsia="微软雅黑" w:cs="Times New Roman"/>
                <w:color w:val="auto"/>
                <w:sz w:val="84"/>
                <w:szCs w:val="84"/>
              </w:rPr>
              <w:t>DB43</w:t>
            </w:r>
          </w:p>
        </w:tc>
      </w:tr>
      <w:tr w14:paraId="5D3AB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8" w:hRule="atLeast"/>
        </w:trPr>
        <w:tc>
          <w:tcPr>
            <w:tcW w:w="8296" w:type="dxa"/>
            <w:vAlign w:val="center"/>
          </w:tcPr>
          <w:p w14:paraId="7FFE6377">
            <w:pPr>
              <w:overflowPunct w:val="0"/>
              <w:jc w:val="center"/>
              <w:rPr>
                <w:rFonts w:ascii="Times New Roman" w:hAnsi="Times New Roman" w:eastAsia="黑体" w:cs="Times New Roman"/>
                <w:sz w:val="52"/>
                <w:szCs w:val="52"/>
              </w:rPr>
            </w:pPr>
            <w:r>
              <w:rPr>
                <w:rFonts w:ascii="Times New Roman" w:hAnsi="Times New Roman" w:eastAsia="黑体" w:cs="Times New Roman"/>
                <w:spacing w:val="1"/>
                <w:w w:val="96"/>
                <w:kern w:val="0"/>
                <w:sz w:val="52"/>
                <w:szCs w:val="52"/>
                <w:fitText w:val="8060" w:id="-923609088"/>
              </w:rPr>
              <w:t xml:space="preserve">湖   南   省   地   方   标   </w:t>
            </w:r>
            <w:r>
              <w:rPr>
                <w:rFonts w:ascii="Times New Roman" w:hAnsi="Times New Roman" w:eastAsia="黑体" w:cs="Times New Roman"/>
                <w:spacing w:val="25"/>
                <w:w w:val="96"/>
                <w:kern w:val="0"/>
                <w:sz w:val="52"/>
                <w:szCs w:val="52"/>
                <w:fitText w:val="8060" w:id="-923609088"/>
              </w:rPr>
              <w:t>准</w:t>
            </w:r>
          </w:p>
        </w:tc>
      </w:tr>
      <w:tr w14:paraId="204D9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 w:hRule="atLeast"/>
        </w:trPr>
        <w:tc>
          <w:tcPr>
            <w:tcW w:w="8296" w:type="dxa"/>
            <w:tcBorders>
              <w:bottom w:val="single" w:color="auto" w:sz="12" w:space="0"/>
            </w:tcBorders>
            <w:vAlign w:val="bottom"/>
          </w:tcPr>
          <w:p w14:paraId="30C21287">
            <w:pPr>
              <w:overflowPunct w:val="0"/>
              <w:spacing w:after="286" w:afterLines="100"/>
              <w:jc w:val="right"/>
              <w:rPr>
                <w:rFonts w:hint="eastAsia" w:ascii="Times New Roman" w:hAnsi="Times New Roman" w:eastAsia="黑体" w:cs="Times New Roman"/>
                <w:sz w:val="48"/>
                <w:szCs w:val="48"/>
                <w:lang w:eastAsia="zh-CN"/>
              </w:rPr>
            </w:pPr>
            <w:r>
              <w:rPr>
                <w:rFonts w:ascii="Times New Roman" w:hAnsi="Times New Roman" w:eastAsia="黑体" w:cs="Times New Roman"/>
                <w:sz w:val="28"/>
                <w:szCs w:val="28"/>
              </w:rPr>
              <w:t>DB43/T ××××‒202</w:t>
            </w:r>
            <w:r>
              <w:rPr>
                <w:rFonts w:hint="eastAsia" w:ascii="Times New Roman" w:hAnsi="Times New Roman" w:eastAsia="黑体" w:cs="Times New Roman"/>
                <w:sz w:val="28"/>
                <w:szCs w:val="28"/>
                <w:lang w:val="en-US" w:eastAsia="zh-CN"/>
              </w:rPr>
              <w:t>6</w:t>
            </w:r>
          </w:p>
        </w:tc>
      </w:tr>
      <w:bookmarkEnd w:id="1"/>
      <w:tr w14:paraId="59FFD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8" w:hRule="atLeast"/>
        </w:trPr>
        <w:tc>
          <w:tcPr>
            <w:tcW w:w="8296" w:type="dxa"/>
            <w:tcBorders>
              <w:top w:val="single" w:color="auto" w:sz="12" w:space="0"/>
            </w:tcBorders>
            <w:vAlign w:val="bottom"/>
          </w:tcPr>
          <w:p w14:paraId="5AEF4BA1">
            <w:pPr>
              <w:overflowPunct w:val="0"/>
              <w:jc w:val="center"/>
              <w:rPr>
                <w:rFonts w:ascii="Times New Roman" w:hAnsi="Times New Roman" w:eastAsia="黑体" w:cs="Times New Roman"/>
                <w:sz w:val="52"/>
                <w:szCs w:val="52"/>
              </w:rPr>
            </w:pPr>
            <w:r>
              <w:rPr>
                <w:rFonts w:ascii="Times New Roman" w:hAnsi="Times New Roman" w:eastAsia="黑体" w:cs="Times New Roman"/>
                <w:sz w:val="52"/>
                <w:szCs w:val="52"/>
              </w:rPr>
              <w:t>工业企业碳管理体系实施指南</w:t>
            </w:r>
          </w:p>
          <w:p w14:paraId="29353ECC">
            <w:pPr>
              <w:overflowPunct w:val="0"/>
              <w:jc w:val="center"/>
              <w:rPr>
                <w:rFonts w:ascii="Times New Roman" w:hAnsi="Times New Roman" w:eastAsia="黑体" w:cs="Times New Roman"/>
                <w:sz w:val="28"/>
                <w:szCs w:val="28"/>
              </w:rPr>
            </w:pPr>
            <w:r>
              <w:rPr>
                <w:rFonts w:ascii="Times New Roman" w:hAnsi="Times New Roman" w:eastAsia="黑体" w:cs="Times New Roman"/>
                <w:sz w:val="28"/>
                <w:szCs w:val="28"/>
              </w:rPr>
              <w:t xml:space="preserve">Implementation guidelines for carbon management systems </w:t>
            </w:r>
          </w:p>
          <w:p w14:paraId="7AB6F3BE">
            <w:pPr>
              <w:overflowPunct w:val="0"/>
              <w:jc w:val="center"/>
              <w:rPr>
                <w:rFonts w:ascii="Times New Roman" w:hAnsi="Times New Roman" w:eastAsia="黑体" w:cs="Times New Roman"/>
                <w:sz w:val="28"/>
                <w:szCs w:val="28"/>
              </w:rPr>
            </w:pPr>
            <w:r>
              <w:rPr>
                <w:rFonts w:ascii="Times New Roman" w:hAnsi="Times New Roman" w:eastAsia="黑体" w:cs="Times New Roman"/>
                <w:sz w:val="28"/>
                <w:szCs w:val="28"/>
              </w:rPr>
              <w:t>in industrial enterprises</w:t>
            </w:r>
          </w:p>
          <w:p w14:paraId="57B1C5D8">
            <w:pPr>
              <w:overflowPunct w:val="0"/>
              <w:jc w:val="center"/>
              <w:rPr>
                <w:rFonts w:ascii="Times New Roman" w:hAnsi="Times New Roman" w:eastAsia="黑体" w:cs="Times New Roman"/>
                <w:sz w:val="28"/>
                <w:szCs w:val="28"/>
              </w:rPr>
            </w:pPr>
            <w:r>
              <w:rPr>
                <w:rFonts w:ascii="Times New Roman" w:hAnsi="Times New Roman" w:eastAsia="黑体" w:cs="Times New Roman"/>
                <w:sz w:val="28"/>
                <w:szCs w:val="28"/>
              </w:rPr>
              <w:t>（征求意见稿）</w:t>
            </w:r>
          </w:p>
        </w:tc>
      </w:tr>
      <w:tr w14:paraId="6A34D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4" w:hRule="atLeast"/>
        </w:trPr>
        <w:tc>
          <w:tcPr>
            <w:tcW w:w="8296" w:type="dxa"/>
            <w:vAlign w:val="center"/>
          </w:tcPr>
          <w:p w14:paraId="473C11F4">
            <w:pPr>
              <w:overflowPunct w:val="0"/>
              <w:rPr>
                <w:rFonts w:ascii="Times New Roman" w:hAnsi="Times New Roman" w:eastAsia="黑体" w:cs="Times New Roman"/>
                <w:sz w:val="30"/>
                <w:szCs w:val="30"/>
                <w:highlight w:val="yellow"/>
              </w:rPr>
            </w:pPr>
          </w:p>
          <w:p w14:paraId="66899FB8">
            <w:pPr>
              <w:overflowPunct w:val="0"/>
              <w:rPr>
                <w:rFonts w:ascii="Times New Roman" w:hAnsi="Times New Roman" w:eastAsia="黑体" w:cs="Times New Roman"/>
                <w:sz w:val="30"/>
                <w:szCs w:val="30"/>
                <w:highlight w:val="yellow"/>
              </w:rPr>
            </w:pPr>
          </w:p>
          <w:p w14:paraId="48C14D21">
            <w:pPr>
              <w:overflowPunct w:val="0"/>
              <w:rPr>
                <w:rFonts w:ascii="Times New Roman" w:hAnsi="Times New Roman" w:eastAsia="黑体" w:cs="Times New Roman"/>
                <w:sz w:val="30"/>
                <w:szCs w:val="30"/>
                <w:highlight w:val="yellow"/>
              </w:rPr>
            </w:pPr>
          </w:p>
          <w:p w14:paraId="3AB8CB6C">
            <w:pPr>
              <w:overflowPunct w:val="0"/>
              <w:rPr>
                <w:rFonts w:ascii="Times New Roman" w:hAnsi="Times New Roman" w:eastAsia="黑体" w:cs="Times New Roman"/>
                <w:sz w:val="30"/>
                <w:szCs w:val="30"/>
                <w:highlight w:val="yellow"/>
              </w:rPr>
            </w:pPr>
          </w:p>
          <w:p w14:paraId="4027178C">
            <w:pPr>
              <w:overflowPunct w:val="0"/>
              <w:rPr>
                <w:rFonts w:ascii="Times New Roman" w:hAnsi="Times New Roman" w:eastAsia="黑体" w:cs="Times New Roman"/>
                <w:sz w:val="30"/>
                <w:szCs w:val="30"/>
                <w:highlight w:val="yellow"/>
              </w:rPr>
            </w:pPr>
          </w:p>
          <w:p w14:paraId="328769DC">
            <w:pPr>
              <w:overflowPunct w:val="0"/>
              <w:rPr>
                <w:rFonts w:ascii="Times New Roman" w:hAnsi="Times New Roman" w:eastAsia="黑体" w:cs="Times New Roman"/>
                <w:sz w:val="30"/>
                <w:szCs w:val="30"/>
                <w:highlight w:val="yellow"/>
              </w:rPr>
            </w:pPr>
          </w:p>
          <w:p w14:paraId="5E60BF4E">
            <w:pPr>
              <w:overflowPunct w:val="0"/>
              <w:rPr>
                <w:rFonts w:ascii="Times New Roman" w:hAnsi="Times New Roman" w:eastAsia="黑体" w:cs="Times New Roman"/>
                <w:sz w:val="30"/>
                <w:szCs w:val="30"/>
                <w:highlight w:val="yellow"/>
              </w:rPr>
            </w:pPr>
          </w:p>
          <w:p w14:paraId="409801B5">
            <w:pPr>
              <w:widowControl/>
              <w:overflowPunct w:val="0"/>
              <w:ind w:left="142"/>
              <w:jc w:val="left"/>
              <w:rPr>
                <w:rFonts w:ascii="Times New Roman" w:hAnsi="Times New Roman" w:eastAsia="黑体" w:cs="Times New Roman"/>
                <w:kern w:val="0"/>
                <w:sz w:val="28"/>
                <w:szCs w:val="20"/>
              </w:rPr>
            </w:pPr>
            <w:r>
              <w:rPr>
                <w:rFonts w:ascii="Times New Roman" w:hAnsi="Times New Roman" w:eastAsia="黑体" w:cs="Times New Roman"/>
                <w:kern w:val="0"/>
                <w:sz w:val="28"/>
                <w:szCs w:val="20"/>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8890635</wp:posOffset>
                      </wp:positionV>
                      <wp:extent cx="6120130" cy="0"/>
                      <wp:effectExtent l="0" t="0" r="0" b="0"/>
                      <wp:wrapNone/>
                      <wp:docPr id="12"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直接连接符 1" o:spid="_x0000_s1026" o:spt="20" style="position:absolute;left:0pt;margin-left:0pt;margin-top:700.05pt;height:0pt;width:481.9pt;z-index:251660288;mso-width-relative:page;mso-height-relative:page;" filled="f" stroked="t" coordsize="21600,21600" o:gfxdata="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3VAUc1QAAAAoBAAAP&#10;AAAAAAAAAAEAIAAAACIAAABkcnMvZG93bnJldi54bWxQSwECFAAUAAAACACHTuJA98xYh+IBAACr&#10;AwAADgAAAAAAAAABACAAAAAkAQAAZHJzL2Uyb0RvYy54bWxQSwUGAAAAAAYABgBZAQAAeAUAAAAA&#10;">
                      <v:fill on="f" focussize="0,0"/>
                      <v:stroke color="#000000" joinstyle="round"/>
                      <v:imagedata o:title=""/>
                      <o:lock v:ext="edit" aspectratio="f"/>
                    </v:line>
                  </w:pict>
                </mc:Fallback>
              </mc:AlternateContent>
            </w:r>
          </w:p>
          <w:p w14:paraId="22864596">
            <w:pPr>
              <w:overflowPunct w:val="0"/>
              <w:jc w:val="left"/>
              <w:rPr>
                <w:rFonts w:ascii="Times New Roman" w:hAnsi="Times New Roman" w:eastAsia="黑体" w:cs="Times New Roman"/>
                <w:kern w:val="0"/>
                <w:sz w:val="28"/>
                <w:szCs w:val="20"/>
              </w:rPr>
            </w:pPr>
            <w:r>
              <w:rPr>
                <w:rFonts w:ascii="Times New Roman" w:hAnsi="Times New Roman" w:cs="Times New Roman"/>
              </w:rPr>
              <mc:AlternateContent>
                <mc:Choice Requires="wps">
                  <w:drawing>
                    <wp:anchor distT="0" distB="0" distL="114300" distR="114300" simplePos="0" relativeHeight="251659264" behindDoc="0" locked="0" layoutInCell="1" allowOverlap="1">
                      <wp:simplePos x="0" y="0"/>
                      <wp:positionH relativeFrom="column">
                        <wp:posOffset>-102235</wp:posOffset>
                      </wp:positionH>
                      <wp:positionV relativeFrom="paragraph">
                        <wp:posOffset>349885</wp:posOffset>
                      </wp:positionV>
                      <wp:extent cx="5339080" cy="0"/>
                      <wp:effectExtent l="0" t="0" r="0" b="0"/>
                      <wp:wrapNone/>
                      <wp:docPr id="9"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339080" cy="0"/>
                              </a:xfrm>
                              <a:prstGeom prst="line">
                                <a:avLst/>
                              </a:prstGeom>
                              <a:noFill/>
                              <a:ln w="9525">
                                <a:solidFill>
                                  <a:srgbClr val="000000"/>
                                </a:solidFill>
                                <a:round/>
                              </a:ln>
                            </wps:spPr>
                            <wps:bodyPr/>
                          </wps:wsp>
                        </a:graphicData>
                      </a:graphic>
                    </wp:anchor>
                  </w:drawing>
                </mc:Choice>
                <mc:Fallback>
                  <w:pict>
                    <v:line id="直接连接符 3" o:spid="_x0000_s1026" o:spt="20" style="position:absolute;left:0pt;margin-left:-8.05pt;margin-top:27.55pt;height:0pt;width:420.4pt;z-index:251659264;mso-width-relative:page;mso-height-relative:page;" filled="f" stroked="t" coordsize="21600,21600" o:gfxdata="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iSmBd1wAAAAkB&#10;AAAPAAAAAAAAAAEAIAAAACIAAABkcnMvZG93bnJldi54bWxQSwECFAAUAAAACACHTuJAeAyMkeMB&#10;AACqAwAADgAAAAAAAAABACAAAAAmAQAAZHJzL2Uyb0RvYy54bWxQSwUGAAAAAAYABgBZAQAAewUA&#10;AAAA&#10;">
                      <v:fill on="f" focussize="0,0"/>
                      <v:stroke color="#000000" joinstyle="round"/>
                      <v:imagedata o:title=""/>
                      <o:lock v:ext="edit" aspectratio="f"/>
                    </v:line>
                  </w:pict>
                </mc:Fallback>
              </mc:AlternateContent>
            </w:r>
            <w:r>
              <w:rPr>
                <w:rFonts w:ascii="Times New Roman" w:hAnsi="Times New Roman" w:eastAsia="黑体" w:cs="Times New Roman"/>
                <w:kern w:val="0"/>
                <w:sz w:val="28"/>
                <w:szCs w:val="20"/>
              </w:rPr>
              <w:t>20</w:t>
            </w:r>
            <w:r>
              <w:rPr>
                <w:rFonts w:hint="eastAsia" w:ascii="Times New Roman" w:hAnsi="Times New Roman" w:eastAsia="黑体" w:cs="Times New Roman"/>
                <w:kern w:val="0"/>
                <w:sz w:val="28"/>
                <w:szCs w:val="20"/>
                <w:lang w:val="en-US" w:eastAsia="zh-CN"/>
              </w:rPr>
              <w:t>26</w:t>
            </w:r>
            <w:r>
              <w:rPr>
                <w:rFonts w:ascii="Times New Roman" w:hAnsi="Times New Roman" w:eastAsia="黑体" w:cs="Times New Roman"/>
                <w:kern w:val="0"/>
                <w:sz w:val="28"/>
                <w:szCs w:val="20"/>
              </w:rPr>
              <w:t>–XX-XX发布                        20</w:t>
            </w:r>
            <w:r>
              <w:rPr>
                <w:rFonts w:hint="eastAsia" w:ascii="Times New Roman" w:hAnsi="Times New Roman" w:eastAsia="黑体" w:cs="Times New Roman"/>
                <w:kern w:val="0"/>
                <w:sz w:val="28"/>
                <w:szCs w:val="20"/>
                <w:lang w:val="en-US" w:eastAsia="zh-CN"/>
              </w:rPr>
              <w:t>26</w:t>
            </w:r>
            <w:r>
              <w:rPr>
                <w:rFonts w:ascii="Times New Roman" w:hAnsi="Times New Roman" w:eastAsia="黑体" w:cs="Times New Roman"/>
                <w:kern w:val="0"/>
                <w:sz w:val="28"/>
                <w:szCs w:val="20"/>
              </w:rPr>
              <w:t>–XX-XX实施</w:t>
            </w:r>
          </w:p>
          <w:p w14:paraId="14285440">
            <w:pPr>
              <w:overflowPunct w:val="0"/>
              <w:spacing w:before="286" w:beforeLines="100"/>
              <w:jc w:val="center"/>
              <w:rPr>
                <w:rFonts w:ascii="Times New Roman" w:hAnsi="Times New Roman" w:eastAsia="黑体" w:cs="Times New Roman"/>
                <w:sz w:val="30"/>
                <w:szCs w:val="30"/>
                <w:highlight w:val="yellow"/>
              </w:rPr>
            </w:pPr>
            <w:r>
              <w:rPr>
                <w:rFonts w:ascii="Times New Roman" w:hAnsi="Times New Roman" w:eastAsia="黑体" w:cs="Times New Roman"/>
                <w:sz w:val="30"/>
                <w:szCs w:val="30"/>
              </w:rPr>
              <w:t>湖南省市场监督管理局   发 布</w:t>
            </w:r>
          </w:p>
        </w:tc>
      </w:tr>
    </w:tbl>
    <w:p w14:paraId="09108E8B">
      <w:pPr>
        <w:tabs>
          <w:tab w:val="center" w:pos="4153"/>
        </w:tabs>
        <w:overflowPunct w:val="0"/>
        <w:jc w:val="left"/>
        <w:rPr>
          <w:rFonts w:ascii="Times New Roman" w:hAnsi="Times New Roman" w:eastAsia="黑体" w:cs="Times New Roman"/>
          <w:sz w:val="32"/>
          <w:szCs w:val="32"/>
        </w:rPr>
        <w:sectPr>
          <w:headerReference r:id="rId3" w:type="default"/>
          <w:footerReference r:id="rId5" w:type="default"/>
          <w:headerReference r:id="rId4" w:type="even"/>
          <w:pgSz w:w="11906" w:h="16838"/>
          <w:pgMar w:top="1440" w:right="1800" w:bottom="1440" w:left="1800" w:header="851" w:footer="992" w:gutter="0"/>
          <w:cols w:space="425" w:num="1"/>
          <w:docGrid w:type="lines" w:linePitch="286" w:charSpace="0"/>
        </w:sectPr>
      </w:pPr>
    </w:p>
    <w:p w14:paraId="5B393007">
      <w:pPr>
        <w:spacing w:before="143" w:beforeLines="50" w:after="286" w:afterLines="100" w:line="400" w:lineRule="exact"/>
        <w:jc w:val="center"/>
        <w:rPr>
          <w:rFonts w:ascii="Times New Roman" w:hAnsi="Times New Roman" w:eastAsia="宋体" w:cs="Times New Roman"/>
          <w:szCs w:val="21"/>
        </w:rPr>
      </w:pPr>
      <w:bookmarkStart w:id="2" w:name="_Toc109725634"/>
      <w:bookmarkStart w:id="3" w:name="_Toc162335839"/>
      <w:bookmarkStart w:id="4" w:name="_Toc187932669"/>
      <w:bookmarkStart w:id="5" w:name="_Toc187933096"/>
      <w:bookmarkStart w:id="6" w:name="_Toc110437164"/>
      <w:bookmarkStart w:id="7" w:name="_Toc104549666"/>
      <w:bookmarkStart w:id="8" w:name="_Toc118302539"/>
      <w:bookmarkStart w:id="9" w:name="_Toc109741930"/>
      <w:bookmarkStart w:id="10" w:name="_Toc29748"/>
      <w:bookmarkStart w:id="11" w:name="_Toc101541800"/>
      <w:bookmarkStart w:id="12" w:name="_Toc101528045"/>
      <w:bookmarkStart w:id="13" w:name="_Toc101786429"/>
      <w:r>
        <w:rPr>
          <w:rFonts w:ascii="Times New Roman" w:hAnsi="Times New Roman" w:eastAsia="黑体" w:cs="Times New Roman"/>
          <w:sz w:val="32"/>
          <w:szCs w:val="32"/>
        </w:rPr>
        <w:t>目　次</w:t>
      </w:r>
      <w:bookmarkEnd w:id="2"/>
      <w:bookmarkEnd w:id="3"/>
      <w:bookmarkEnd w:id="4"/>
      <w:bookmarkEnd w:id="5"/>
      <w:bookmarkEnd w:id="6"/>
      <w:bookmarkEnd w:id="7"/>
      <w:bookmarkEnd w:id="8"/>
      <w:bookmarkEnd w:id="9"/>
      <w:bookmarkEnd w:id="10"/>
    </w:p>
    <w:p w14:paraId="51C4AE14">
      <w:pPr>
        <w:pStyle w:val="19"/>
        <w:tabs>
          <w:tab w:val="right" w:leader="dot" w:pos="8296"/>
        </w:tabs>
        <w:spacing w:line="400" w:lineRule="exact"/>
        <w:rPr>
          <w:rFonts w:hint="default" w:ascii="Times New Roman" w:hAnsi="Times New Roman" w:eastAsia="宋体" w:cs="Times New Roman"/>
          <w:sz w:val="21"/>
          <w:szCs w:val="21"/>
          <w14:ligatures w14:val="standardContextual"/>
        </w:rPr>
      </w:pP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TOC \o "1-2" \h \z \u </w:instrText>
      </w:r>
      <w:r>
        <w:rPr>
          <w:rFonts w:ascii="Times New Roman" w:hAnsi="Times New Roman" w:eastAsia="宋体" w:cs="Times New Roman"/>
          <w:szCs w:val="21"/>
        </w:rPr>
        <w:fldChar w:fldCharType="separate"/>
      </w: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"_Toc220422352"</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前　言</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_Toc220422352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III</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01572164">
      <w:pPr>
        <w:pStyle w:val="19"/>
        <w:tabs>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"_Toc220422353"</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引　言</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_Toc220422353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IV</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06A8B0EE">
      <w:pPr>
        <w:pStyle w:val="19"/>
        <w:tabs>
          <w:tab w:val="left" w:pos="420"/>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"_Toc220422354"</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1</w:t>
      </w:r>
      <w:r>
        <w:rPr>
          <w:rFonts w:hint="default" w:ascii="Times New Roman" w:hAnsi="Times New Roman" w:eastAsia="宋体" w:cs="Times New Roman"/>
          <w:sz w:val="21"/>
          <w:szCs w:val="21"/>
          <w14:ligatures w14:val="standardContextual"/>
        </w:rPr>
        <w:tab/>
      </w:r>
      <w:r>
        <w:rPr>
          <w:rStyle w:val="29"/>
          <w:rFonts w:ascii="Times New Roman" w:hAnsi="Times New Roman" w:eastAsia="宋体" w:cs="Times New Roman"/>
          <w:szCs w:val="21"/>
        </w:rPr>
        <w:t>范围</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_Toc220422354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10984566">
      <w:pPr>
        <w:pStyle w:val="19"/>
        <w:tabs>
          <w:tab w:val="left" w:pos="420"/>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"_Toc220422355"</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2</w:t>
      </w:r>
      <w:r>
        <w:rPr>
          <w:rFonts w:hint="default" w:ascii="Times New Roman" w:hAnsi="Times New Roman" w:eastAsia="宋体" w:cs="Times New Roman"/>
          <w:sz w:val="21"/>
          <w:szCs w:val="21"/>
          <w14:ligatures w14:val="standardContextual"/>
        </w:rPr>
        <w:tab/>
      </w:r>
      <w:r>
        <w:rPr>
          <w:rStyle w:val="29"/>
          <w:rFonts w:ascii="Times New Roman" w:hAnsi="Times New Roman" w:eastAsia="宋体" w:cs="Times New Roman"/>
          <w:szCs w:val="21"/>
        </w:rPr>
        <w:t>规范性引用文件</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_Toc220422355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3CAB1C1A">
      <w:pPr>
        <w:pStyle w:val="19"/>
        <w:tabs>
          <w:tab w:val="left" w:pos="420"/>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"_Toc220422356"</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3</w:t>
      </w:r>
      <w:r>
        <w:rPr>
          <w:rFonts w:hint="default" w:ascii="Times New Roman" w:hAnsi="Times New Roman" w:eastAsia="宋体" w:cs="Times New Roman"/>
          <w:sz w:val="21"/>
          <w:szCs w:val="21"/>
          <w14:ligatures w14:val="standardContextual"/>
        </w:rPr>
        <w:tab/>
      </w:r>
      <w:r>
        <w:rPr>
          <w:rStyle w:val="29"/>
          <w:rFonts w:ascii="Times New Roman" w:hAnsi="Times New Roman" w:eastAsia="宋体" w:cs="Times New Roman"/>
          <w:szCs w:val="21"/>
        </w:rPr>
        <w:t>术语和定义</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_Toc220422356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0B61D4F1">
      <w:pPr>
        <w:pStyle w:val="19"/>
        <w:tabs>
          <w:tab w:val="left" w:pos="420"/>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"_Toc220422357"</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4</w:t>
      </w:r>
      <w:r>
        <w:rPr>
          <w:rFonts w:hint="default" w:ascii="Times New Roman" w:hAnsi="Times New Roman" w:eastAsia="宋体" w:cs="Times New Roman"/>
          <w:sz w:val="21"/>
          <w:szCs w:val="21"/>
          <w14:ligatures w14:val="standardContextual"/>
        </w:rPr>
        <w:tab/>
      </w:r>
      <w:r>
        <w:rPr>
          <w:rStyle w:val="29"/>
          <w:rFonts w:ascii="Times New Roman" w:hAnsi="Times New Roman" w:eastAsia="宋体" w:cs="Times New Roman"/>
          <w:szCs w:val="21"/>
        </w:rPr>
        <w:t>组织环境</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_Toc220422357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3</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4332CFC8">
      <w:pPr>
        <w:pStyle w:val="22"/>
        <w:tabs>
          <w:tab w:val="left" w:pos="2100"/>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"_Toc220422358"</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4.1</w:t>
      </w:r>
      <w:r>
        <w:rPr>
          <w:rStyle w:val="29"/>
          <w:rFonts w:hint="eastAsia" w:ascii="Times New Roman" w:hAnsi="Times New Roman" w:eastAsia="宋体" w:cs="Times New Roman"/>
          <w:szCs w:val="21"/>
        </w:rPr>
        <w:t xml:space="preserve"> </w:t>
      </w:r>
      <w:r>
        <w:rPr>
          <w:rStyle w:val="29"/>
          <w:rFonts w:ascii="Times New Roman" w:hAnsi="Times New Roman" w:eastAsia="宋体" w:cs="Times New Roman"/>
          <w:szCs w:val="21"/>
        </w:rPr>
        <w:t>理解组织及其环境</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_Toc220422358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3</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0F5A0845">
      <w:pPr>
        <w:pStyle w:val="22"/>
        <w:tabs>
          <w:tab w:val="left" w:pos="2100"/>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"_Toc220422359"</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4.2</w:t>
      </w:r>
      <w:r>
        <w:rPr>
          <w:rStyle w:val="29"/>
          <w:rFonts w:hint="eastAsia" w:ascii="Times New Roman" w:hAnsi="Times New Roman" w:eastAsia="宋体" w:cs="Times New Roman"/>
          <w:szCs w:val="21"/>
        </w:rPr>
        <w:t xml:space="preserve"> </w:t>
      </w:r>
      <w:r>
        <w:rPr>
          <w:rStyle w:val="29"/>
          <w:rFonts w:ascii="Times New Roman" w:hAnsi="Times New Roman" w:eastAsia="宋体" w:cs="Times New Roman"/>
          <w:szCs w:val="21"/>
        </w:rPr>
        <w:t>理解相关方的需求和期望</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_Toc220422359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4</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0BFC0607">
      <w:pPr>
        <w:pStyle w:val="22"/>
        <w:tabs>
          <w:tab w:val="left" w:pos="2100"/>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"_Toc220422360"</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4.3</w:t>
      </w:r>
      <w:r>
        <w:rPr>
          <w:rStyle w:val="29"/>
          <w:rFonts w:hint="eastAsia" w:ascii="Times New Roman" w:hAnsi="Times New Roman" w:eastAsia="宋体" w:cs="Times New Roman"/>
          <w:szCs w:val="21"/>
        </w:rPr>
        <w:t xml:space="preserve"> </w:t>
      </w:r>
      <w:r>
        <w:rPr>
          <w:rStyle w:val="29"/>
          <w:rFonts w:ascii="Times New Roman" w:hAnsi="Times New Roman" w:eastAsia="宋体" w:cs="Times New Roman"/>
          <w:szCs w:val="21"/>
        </w:rPr>
        <w:t>确定碳管理体系的范围</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_Toc220422360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4</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5E7FEE8B">
      <w:pPr>
        <w:pStyle w:val="22"/>
        <w:tabs>
          <w:tab w:val="left" w:pos="1261"/>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"_Toc220422361"</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4.4</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碳管理体系</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_Toc220422361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5</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6CEF2695">
      <w:pPr>
        <w:pStyle w:val="19"/>
        <w:tabs>
          <w:tab w:val="left" w:pos="420"/>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"_Toc220422362"</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5</w:t>
      </w:r>
      <w:r>
        <w:rPr>
          <w:rFonts w:hint="default" w:ascii="Times New Roman" w:hAnsi="Times New Roman" w:eastAsia="宋体" w:cs="Times New Roman"/>
          <w:sz w:val="21"/>
          <w:szCs w:val="21"/>
          <w14:ligatures w14:val="standardContextual"/>
        </w:rPr>
        <w:tab/>
      </w:r>
      <w:r>
        <w:rPr>
          <w:rStyle w:val="29"/>
          <w:rFonts w:ascii="Times New Roman" w:hAnsi="Times New Roman" w:eastAsia="宋体" w:cs="Times New Roman"/>
          <w:szCs w:val="21"/>
        </w:rPr>
        <w:t>领导作用</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_Toc220422362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5</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2DA80509">
      <w:pPr>
        <w:pStyle w:val="22"/>
        <w:tabs>
          <w:tab w:val="left" w:pos="2100"/>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"_Toc220422363"</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5.1</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领导作用与承诺</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_Toc220422363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5</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21D5FB1F">
      <w:pPr>
        <w:pStyle w:val="22"/>
        <w:tabs>
          <w:tab w:val="left" w:pos="1261"/>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"_Toc220422364"</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5.2</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碳方针</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_Toc220422364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5</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290F875D">
      <w:pPr>
        <w:pStyle w:val="22"/>
        <w:tabs>
          <w:tab w:val="left" w:pos="2100"/>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"_Toc220422365"</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5.3</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岗位、职责和权限</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_Toc220422365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5</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53C8CFFA">
      <w:pPr>
        <w:pStyle w:val="19"/>
        <w:tabs>
          <w:tab w:val="left" w:pos="420"/>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"_Toc220422366"</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6</w:t>
      </w:r>
      <w:r>
        <w:rPr>
          <w:rFonts w:hint="default" w:ascii="Times New Roman" w:hAnsi="Times New Roman" w:eastAsia="宋体" w:cs="Times New Roman"/>
          <w:sz w:val="21"/>
          <w:szCs w:val="21"/>
          <w14:ligatures w14:val="standardContextual"/>
        </w:rPr>
        <w:tab/>
      </w:r>
      <w:r>
        <w:rPr>
          <w:rStyle w:val="29"/>
          <w:rFonts w:ascii="Times New Roman" w:hAnsi="Times New Roman" w:eastAsia="宋体" w:cs="Times New Roman"/>
          <w:szCs w:val="21"/>
        </w:rPr>
        <w:t>策划</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_Toc220422366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6</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59DF97D0">
      <w:pPr>
        <w:pStyle w:val="22"/>
        <w:tabs>
          <w:tab w:val="left" w:pos="1261"/>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"_Toc220422367"</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6.1</w:t>
      </w:r>
      <w:r>
        <w:rPr>
          <w:rStyle w:val="29"/>
          <w:rFonts w:hint="eastAsia" w:ascii="Times New Roman" w:hAnsi="Times New Roman" w:eastAsia="宋体" w:cs="Times New Roman"/>
          <w:szCs w:val="21"/>
        </w:rPr>
        <w:t xml:space="preserve"> </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总则</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_Toc220422367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6</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71CFF946">
      <w:pPr>
        <w:pStyle w:val="22"/>
        <w:tabs>
          <w:tab w:val="left" w:pos="1261"/>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"_Toc220422368"</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6.2</w:t>
      </w:r>
      <w:r>
        <w:rPr>
          <w:rFonts w:hint="eastAsia" w:ascii="Times New Roman" w:hAnsi="Times New Roman" w:eastAsia="宋体" w:cs="Times New Roman"/>
          <w:sz w:val="21"/>
          <w:szCs w:val="21"/>
          <w:lang w:val="en-US" w:eastAsia="zh-CN"/>
          <w14:ligatures w14:val="standardContextual"/>
        </w:rPr>
        <w:t xml:space="preserve"> </w:t>
      </w:r>
      <w:r>
        <w:rPr>
          <w:rStyle w:val="29"/>
          <w:rFonts w:ascii="Times New Roman" w:hAnsi="Times New Roman" w:eastAsia="宋体" w:cs="Times New Roman"/>
          <w:szCs w:val="21"/>
        </w:rPr>
        <w:t>策划的输入</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_Toc220422368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6</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529AF627">
      <w:pPr>
        <w:pStyle w:val="22"/>
        <w:tabs>
          <w:tab w:val="left" w:pos="1261"/>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"_Toc220422369"</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6.3</w:t>
      </w:r>
      <w:r>
        <w:rPr>
          <w:rFonts w:hint="eastAsia" w:ascii="Times New Roman" w:hAnsi="Times New Roman" w:eastAsia="宋体" w:cs="Times New Roman"/>
          <w:sz w:val="21"/>
          <w:szCs w:val="21"/>
          <w:lang w:val="en-US" w:eastAsia="zh-CN"/>
          <w14:ligatures w14:val="standardContextual"/>
        </w:rPr>
        <w:t xml:space="preserve"> </w:t>
      </w:r>
      <w:r>
        <w:rPr>
          <w:rStyle w:val="29"/>
          <w:rFonts w:ascii="Times New Roman" w:hAnsi="Times New Roman" w:eastAsia="宋体" w:cs="Times New Roman"/>
          <w:szCs w:val="21"/>
        </w:rPr>
        <w:t>策划的输出</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_Toc220422369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9</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1DE21C99">
      <w:pPr>
        <w:pStyle w:val="22"/>
        <w:tabs>
          <w:tab w:val="left" w:pos="1261"/>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"_Toc220422370"</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6.4</w:t>
      </w:r>
      <w:r>
        <w:rPr>
          <w:rFonts w:hint="eastAsia" w:ascii="Times New Roman" w:hAnsi="Times New Roman" w:eastAsia="宋体" w:cs="Times New Roman"/>
          <w:sz w:val="21"/>
          <w:szCs w:val="21"/>
          <w:lang w:val="en-US" w:eastAsia="zh-CN"/>
          <w14:ligatures w14:val="standardContextual"/>
        </w:rPr>
        <w:t xml:space="preserve"> </w:t>
      </w:r>
      <w:r>
        <w:rPr>
          <w:rStyle w:val="29"/>
          <w:rFonts w:ascii="Times New Roman" w:hAnsi="Times New Roman" w:eastAsia="宋体" w:cs="Times New Roman"/>
          <w:szCs w:val="21"/>
        </w:rPr>
        <w:t>变更的策划</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_Toc220422370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11</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066FD8AD">
      <w:pPr>
        <w:pStyle w:val="19"/>
        <w:tabs>
          <w:tab w:val="left" w:pos="420"/>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"_Toc220422371"</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7</w:t>
      </w:r>
      <w:r>
        <w:rPr>
          <w:rFonts w:hint="default" w:ascii="Times New Roman" w:hAnsi="Times New Roman" w:eastAsia="宋体" w:cs="Times New Roman"/>
          <w:sz w:val="21"/>
          <w:szCs w:val="21"/>
          <w14:ligatures w14:val="standardContextual"/>
        </w:rPr>
        <w:tab/>
      </w:r>
      <w:r>
        <w:rPr>
          <w:rStyle w:val="29"/>
          <w:rFonts w:ascii="Times New Roman" w:hAnsi="Times New Roman" w:eastAsia="宋体" w:cs="Times New Roman"/>
          <w:szCs w:val="21"/>
        </w:rPr>
        <w:t>支持</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_Toc220422371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11</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0BD81614">
      <w:pPr>
        <w:pStyle w:val="22"/>
        <w:tabs>
          <w:tab w:val="left" w:pos="1261"/>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"_Toc220422372"</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7.1</w:t>
      </w:r>
      <w:r>
        <w:rPr>
          <w:rFonts w:hint="eastAsia" w:ascii="Times New Roman" w:hAnsi="Times New Roman" w:eastAsia="宋体" w:cs="Times New Roman"/>
          <w:sz w:val="21"/>
          <w:szCs w:val="21"/>
          <w:lang w:val="en-US" w:eastAsia="zh-CN"/>
          <w14:ligatures w14:val="standardContextual"/>
        </w:rPr>
        <w:t xml:space="preserve">  </w:t>
      </w:r>
      <w:r>
        <w:rPr>
          <w:rStyle w:val="29"/>
          <w:rFonts w:ascii="Times New Roman" w:hAnsi="Times New Roman" w:eastAsia="宋体" w:cs="Times New Roman"/>
          <w:szCs w:val="21"/>
        </w:rPr>
        <w:t>资源</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_Toc220422372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11</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7BD3BDB3">
      <w:pPr>
        <w:pStyle w:val="22"/>
        <w:tabs>
          <w:tab w:val="left" w:pos="1261"/>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"_Toc220422373"</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7.2</w:t>
      </w:r>
      <w:r>
        <w:rPr>
          <w:rFonts w:hint="eastAsia" w:ascii="Times New Roman" w:hAnsi="Times New Roman" w:eastAsia="宋体" w:cs="Times New Roman"/>
          <w:sz w:val="21"/>
          <w:szCs w:val="21"/>
          <w:lang w:val="en-US" w:eastAsia="zh-CN"/>
          <w14:ligatures w14:val="standardContextual"/>
        </w:rPr>
        <w:t xml:space="preserve">  </w:t>
      </w:r>
      <w:r>
        <w:rPr>
          <w:rStyle w:val="29"/>
          <w:rFonts w:ascii="Times New Roman" w:hAnsi="Times New Roman" w:eastAsia="宋体" w:cs="Times New Roman"/>
          <w:szCs w:val="21"/>
        </w:rPr>
        <w:t>能力</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_Toc220422373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12</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05218453">
      <w:pPr>
        <w:pStyle w:val="22"/>
        <w:tabs>
          <w:tab w:val="left" w:pos="1261"/>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"_Toc220422374"</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7.3</w:t>
      </w:r>
      <w:r>
        <w:rPr>
          <w:rFonts w:hint="eastAsia" w:ascii="Times New Roman" w:hAnsi="Times New Roman" w:eastAsia="宋体" w:cs="Times New Roman"/>
          <w:sz w:val="21"/>
          <w:szCs w:val="21"/>
          <w:lang w:val="en-US" w:eastAsia="zh-CN"/>
          <w14:ligatures w14:val="standardContextual"/>
        </w:rPr>
        <w:t xml:space="preserve">  </w:t>
      </w:r>
      <w:r>
        <w:rPr>
          <w:rStyle w:val="29"/>
          <w:rFonts w:ascii="Times New Roman" w:hAnsi="Times New Roman" w:eastAsia="宋体" w:cs="Times New Roman"/>
          <w:szCs w:val="21"/>
        </w:rPr>
        <w:t>意识</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_Toc220422374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12</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71DE2736">
      <w:pPr>
        <w:pStyle w:val="22"/>
        <w:tabs>
          <w:tab w:val="left" w:pos="1261"/>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"_Toc220422375"</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7.4</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信息交流</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_Toc220422375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12</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72933242">
      <w:pPr>
        <w:pStyle w:val="22"/>
        <w:tabs>
          <w:tab w:val="left" w:pos="1261"/>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"_Toc220422376"</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7.5</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文件化信息</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_Toc220422376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13</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13FC00B2">
      <w:pPr>
        <w:pStyle w:val="19"/>
        <w:tabs>
          <w:tab w:val="left" w:pos="420"/>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"_Toc220422377"</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8</w:t>
      </w:r>
      <w:r>
        <w:rPr>
          <w:rFonts w:hint="default" w:ascii="Times New Roman" w:hAnsi="Times New Roman" w:eastAsia="宋体" w:cs="Times New Roman"/>
          <w:sz w:val="21"/>
          <w:szCs w:val="21"/>
          <w14:ligatures w14:val="standardContextual"/>
        </w:rPr>
        <w:tab/>
      </w:r>
      <w:r>
        <w:rPr>
          <w:rStyle w:val="29"/>
          <w:rFonts w:ascii="Times New Roman" w:hAnsi="Times New Roman" w:eastAsia="宋体" w:cs="Times New Roman"/>
          <w:szCs w:val="21"/>
        </w:rPr>
        <w:t>运行</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_Toc220422377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14</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45B363BD">
      <w:pPr>
        <w:pStyle w:val="22"/>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"_Toc220422378"</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8.1</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总则</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_Toc220422378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14</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0E06108C">
      <w:pPr>
        <w:pStyle w:val="22"/>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"_Toc220422379"</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8.2</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设计控制</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_Toc220422379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14</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19B577E5">
      <w:pPr>
        <w:pStyle w:val="22"/>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"_Toc220422380"</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8.3</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采购控制</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_Toc220422380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14</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61C54609">
      <w:pPr>
        <w:pStyle w:val="22"/>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"_Toc220422381"</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8.4</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运行控制</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_Toc220422381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15</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681CA9CC">
      <w:pPr>
        <w:pStyle w:val="22"/>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"_Toc220422382"</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8.5</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仓储与运输控制</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_Toc220422382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15</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2EAAF1D8">
      <w:pPr>
        <w:pStyle w:val="22"/>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"_Toc220422383"</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8.6</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碳数据质量控制</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_Toc220422383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16</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6F0CB32C">
      <w:pPr>
        <w:pStyle w:val="22"/>
        <w:tabs>
          <w:tab w:val="left" w:pos="2100"/>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"_Toc220422384"</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8.7</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碳资产管理控制</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_Toc220422384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16</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554298AB">
      <w:pPr>
        <w:pStyle w:val="19"/>
        <w:tabs>
          <w:tab w:val="left" w:pos="420"/>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"_Toc220422385"</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9</w:t>
      </w:r>
      <w:r>
        <w:rPr>
          <w:rFonts w:hint="default" w:ascii="Times New Roman" w:hAnsi="Times New Roman" w:eastAsia="宋体" w:cs="Times New Roman"/>
          <w:sz w:val="21"/>
          <w:szCs w:val="21"/>
          <w14:ligatures w14:val="standardContextual"/>
        </w:rPr>
        <w:tab/>
      </w:r>
      <w:r>
        <w:rPr>
          <w:rStyle w:val="29"/>
          <w:rFonts w:ascii="Times New Roman" w:hAnsi="Times New Roman" w:eastAsia="宋体" w:cs="Times New Roman"/>
          <w:szCs w:val="21"/>
        </w:rPr>
        <w:t>绩效评价</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_Toc220422385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16</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76E7B15C">
      <w:pPr>
        <w:pStyle w:val="22"/>
        <w:tabs>
          <w:tab w:val="left" w:pos="2100"/>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"_Toc220422386"</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9.1</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监视、测量、分析和评价</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_Toc220422386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16</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318BFD13">
      <w:pPr>
        <w:pStyle w:val="22"/>
        <w:tabs>
          <w:tab w:val="left" w:pos="1261"/>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"_Toc220422387"</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9.2</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内部审核</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_Toc220422387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17</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6278960C">
      <w:pPr>
        <w:pStyle w:val="22"/>
        <w:tabs>
          <w:tab w:val="left" w:pos="1261"/>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"_Toc220422388"</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9.3</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管理评审</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_Toc220422388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18</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47212386">
      <w:pPr>
        <w:pStyle w:val="19"/>
        <w:tabs>
          <w:tab w:val="left" w:pos="420"/>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"_Toc220422389"</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10</w:t>
      </w:r>
      <w:r>
        <w:rPr>
          <w:rFonts w:hint="default" w:ascii="Times New Roman" w:hAnsi="Times New Roman" w:eastAsia="宋体" w:cs="Times New Roman"/>
          <w:sz w:val="21"/>
          <w:szCs w:val="21"/>
          <w14:ligatures w14:val="standardContextual"/>
        </w:rPr>
        <w:tab/>
      </w:r>
      <w:r>
        <w:rPr>
          <w:rStyle w:val="29"/>
          <w:rFonts w:ascii="Times New Roman" w:hAnsi="Times New Roman" w:eastAsia="宋体" w:cs="Times New Roman"/>
          <w:szCs w:val="21"/>
        </w:rPr>
        <w:t>改进</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_Toc220422389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18</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5D5CAB5D">
      <w:pPr>
        <w:pStyle w:val="22"/>
        <w:tabs>
          <w:tab w:val="left" w:pos="1051"/>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"_Toc220422390"</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10.1</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不符合和纠正措施</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_Toc220422390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18</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4726E6E7">
      <w:pPr>
        <w:pStyle w:val="22"/>
        <w:tabs>
          <w:tab w:val="left" w:pos="1051"/>
        </w:tabs>
        <w:spacing w:line="400" w:lineRule="exact"/>
        <w:ind w:left="420" w:right="210"/>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"_Toc220422391"</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10.2</w:t>
      </w:r>
      <w:r>
        <w:rPr>
          <w:rFonts w:hint="eastAsia" w:ascii="Times New Roman" w:hAnsi="Times New Roman" w:eastAsia="宋体" w:cs="Times New Roman"/>
          <w:szCs w:val="21"/>
          <w14:ligatures w14:val="standardContextual"/>
        </w:rPr>
        <w:t xml:space="preserve"> </w:t>
      </w:r>
      <w:r>
        <w:rPr>
          <w:rStyle w:val="29"/>
          <w:rFonts w:ascii="Times New Roman" w:hAnsi="Times New Roman" w:eastAsia="宋体" w:cs="Times New Roman"/>
          <w:szCs w:val="21"/>
        </w:rPr>
        <w:t>持续改进</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_Toc220422391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19</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3A74F6C6">
      <w:pPr>
        <w:pStyle w:val="19"/>
        <w:tabs>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"_Toc220422392"</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附　录　A（资料性） 工业企业碳管理职责示例</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_Toc220422392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20</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342BCF04">
      <w:pPr>
        <w:pStyle w:val="19"/>
        <w:tabs>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"_Toc220422393"</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附　录　B（资料性） 工业企业碳风险和机遇识别表</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_Toc220422393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22</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0FB19211">
      <w:pPr>
        <w:pStyle w:val="19"/>
        <w:tabs>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"_Toc220422394"</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附</w:t>
      </w:r>
      <w:bookmarkStart w:id="14" w:name="OLE_LINK46"/>
      <w:r>
        <w:rPr>
          <w:rStyle w:val="29"/>
          <w:rFonts w:ascii="Times New Roman" w:hAnsi="Times New Roman" w:eastAsia="宋体" w:cs="Times New Roman"/>
          <w:szCs w:val="21"/>
        </w:rPr>
        <w:t>　</w:t>
      </w:r>
      <w:bookmarkEnd w:id="14"/>
      <w:r>
        <w:rPr>
          <w:rStyle w:val="29"/>
          <w:rFonts w:ascii="Times New Roman" w:hAnsi="Times New Roman" w:eastAsia="宋体" w:cs="Times New Roman"/>
          <w:szCs w:val="21"/>
        </w:rPr>
        <w:t>录　C（资料性） 碳排放源识别示例</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_Toc220422394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23</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2A3D3FD6">
      <w:pPr>
        <w:pStyle w:val="19"/>
        <w:tabs>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"_Toc220422395"</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附　录　D（资料性） 碳排放核算方法</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_Toc220422395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25</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0AC6CE49">
      <w:pPr>
        <w:pStyle w:val="19"/>
        <w:tabs>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"_Toc220422396"</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附　录　E（资料性） 碳评审报告示例</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_Toc220422396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28</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07E47C52">
      <w:pPr>
        <w:pStyle w:val="19"/>
        <w:tabs>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"_Toc220422397"</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szCs w:val="21"/>
        </w:rPr>
        <w:t>附　录　F（资料性） 碳绩效参数示例</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_Toc220422397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30</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6382194C">
      <w:pPr>
        <w:pStyle w:val="19"/>
        <w:tabs>
          <w:tab w:val="right" w:leader="dot" w:pos="8296"/>
        </w:tabs>
        <w:spacing w:line="400" w:lineRule="exact"/>
        <w:rPr>
          <w:rFonts w:hint="default" w:ascii="Times New Roman" w:hAnsi="Times New Roman" w:eastAsia="宋体" w:cs="Times New Roman"/>
          <w:sz w:val="21"/>
          <w:szCs w:val="21"/>
          <w14:ligatures w14:val="standardContextual"/>
        </w:rPr>
      </w:pPr>
      <w:r>
        <w:rPr>
          <w:rStyle w:val="29"/>
          <w:rFonts w:ascii="Times New Roman" w:hAnsi="Times New Roman" w:eastAsia="宋体" w:cs="Times New Roman"/>
          <w:szCs w:val="21"/>
        </w:rPr>
        <w:fldChar w:fldCharType="begin"/>
      </w:r>
      <w:r>
        <w:rPr>
          <w:rStyle w:val="29"/>
          <w:rFonts w:ascii="Times New Roman" w:hAnsi="Times New Roman" w:eastAsia="宋体" w:cs="Times New Roman"/>
          <w:szCs w:val="21"/>
        </w:rPr>
        <w:instrText xml:space="preserve"> </w:instrText>
      </w:r>
      <w:r>
        <w:rPr>
          <w:rFonts w:hint="default" w:ascii="Times New Roman" w:hAnsi="Times New Roman" w:eastAsia="宋体" w:cs="Times New Roman"/>
          <w:szCs w:val="21"/>
        </w:rPr>
        <w:instrText xml:space="preserve">HYPERLINK \l "_Toc220422398"</w:instrText>
      </w:r>
      <w:r>
        <w:rPr>
          <w:rStyle w:val="29"/>
          <w:rFonts w:ascii="Times New Roman" w:hAnsi="Times New Roman" w:eastAsia="宋体" w:cs="Times New Roman"/>
          <w:szCs w:val="21"/>
        </w:rPr>
        <w:instrText xml:space="preserve"> </w:instrText>
      </w:r>
      <w:r>
        <w:rPr>
          <w:rStyle w:val="29"/>
          <w:rFonts w:ascii="Times New Roman" w:hAnsi="Times New Roman" w:eastAsia="宋体" w:cs="Times New Roman"/>
          <w:szCs w:val="21"/>
        </w:rPr>
        <w:fldChar w:fldCharType="separate"/>
      </w:r>
      <w:r>
        <w:rPr>
          <w:rStyle w:val="29"/>
          <w:rFonts w:ascii="Times New Roman" w:hAnsi="Times New Roman" w:eastAsia="宋体" w:cs="Times New Roman"/>
          <w:b/>
          <w:szCs w:val="21"/>
        </w:rPr>
        <w:t>参考文献</w:t>
      </w:r>
      <w:r>
        <w:rPr>
          <w:rFonts w:hint="default" w:ascii="Times New Roman" w:hAnsi="Times New Roman" w:eastAsia="宋体" w:cs="Times New Roman"/>
          <w:szCs w:val="21"/>
        </w:rPr>
        <w:tab/>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w:instrText>
      </w:r>
      <w:r>
        <w:rPr>
          <w:rFonts w:ascii="Times New Roman" w:hAnsi="Times New Roman" w:eastAsia="宋体" w:cs="Times New Roman"/>
          <w:szCs w:val="21"/>
        </w:rPr>
        <w:instrText xml:space="preserve">PAGEREF _Toc220422398 \h</w:instrText>
      </w:r>
      <w:r>
        <w:rPr>
          <w:rFonts w:hint="default" w:ascii="Times New Roman" w:hAnsi="Times New Roman" w:eastAsia="宋体" w:cs="Times New Roman"/>
          <w:szCs w:val="21"/>
        </w:rPr>
        <w:instrText xml:space="preserve">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31</w:t>
      </w:r>
      <w:r>
        <w:rPr>
          <w:rFonts w:hint="default" w:ascii="Times New Roman" w:hAnsi="Times New Roman" w:eastAsia="宋体" w:cs="Times New Roman"/>
          <w:szCs w:val="21"/>
        </w:rPr>
        <w:fldChar w:fldCharType="end"/>
      </w:r>
      <w:r>
        <w:rPr>
          <w:rStyle w:val="29"/>
          <w:rFonts w:ascii="Times New Roman" w:hAnsi="Times New Roman" w:eastAsia="宋体" w:cs="Times New Roman"/>
          <w:szCs w:val="21"/>
        </w:rPr>
        <w:fldChar w:fldCharType="end"/>
      </w:r>
    </w:p>
    <w:p w14:paraId="348DC861">
      <w:pPr>
        <w:overflowPunct w:val="0"/>
        <w:spacing w:line="400" w:lineRule="exact"/>
        <w:rPr>
          <w:rFonts w:ascii="Times New Roman" w:hAnsi="Times New Roman" w:eastAsia="宋体" w:cs="Times New Roman"/>
          <w:szCs w:val="21"/>
        </w:rPr>
      </w:pPr>
      <w:r>
        <w:rPr>
          <w:rFonts w:ascii="Times New Roman" w:hAnsi="Times New Roman" w:eastAsia="宋体" w:cs="Times New Roman"/>
          <w:szCs w:val="21"/>
        </w:rPr>
        <w:fldChar w:fldCharType="end"/>
      </w:r>
    </w:p>
    <w:p w14:paraId="3E4D02FC">
      <w:pPr>
        <w:overflowPunct w:val="0"/>
        <w:rPr>
          <w:rFonts w:ascii="Times New Roman" w:hAnsi="Times New Roman" w:eastAsia="宋体" w:cs="Times New Roman"/>
          <w:szCs w:val="21"/>
        </w:rPr>
      </w:pPr>
    </w:p>
    <w:p w14:paraId="2B785DE8">
      <w:pPr>
        <w:overflowPunct w:val="0"/>
        <w:rPr>
          <w:rFonts w:ascii="Times New Roman" w:hAnsi="Times New Roman" w:eastAsia="宋体" w:cs="Times New Roman"/>
          <w:szCs w:val="21"/>
        </w:rPr>
      </w:pPr>
    </w:p>
    <w:p w14:paraId="43B75763">
      <w:pPr>
        <w:overflowPunct w:val="0"/>
        <w:rPr>
          <w:rFonts w:ascii="Times New Roman" w:hAnsi="Times New Roman" w:eastAsia="宋体" w:cs="Times New Roman"/>
          <w:szCs w:val="21"/>
        </w:rPr>
      </w:pPr>
    </w:p>
    <w:p w14:paraId="6BA03D17">
      <w:pPr>
        <w:overflowPunct w:val="0"/>
        <w:rPr>
          <w:rFonts w:ascii="Times New Roman" w:hAnsi="Times New Roman" w:eastAsia="宋体" w:cs="Times New Roman"/>
          <w:szCs w:val="21"/>
        </w:rPr>
      </w:pPr>
    </w:p>
    <w:p w14:paraId="7D548A2C">
      <w:pPr>
        <w:overflowPunct w:val="0"/>
        <w:rPr>
          <w:rFonts w:ascii="Times New Roman" w:hAnsi="Times New Roman" w:eastAsia="宋体" w:cs="Times New Roman"/>
          <w:szCs w:val="21"/>
        </w:rPr>
      </w:pPr>
    </w:p>
    <w:p w14:paraId="2F45ACB3">
      <w:pPr>
        <w:overflowPunct w:val="0"/>
        <w:rPr>
          <w:rFonts w:ascii="Times New Roman" w:hAnsi="Times New Roman" w:eastAsia="宋体" w:cs="Times New Roman"/>
          <w:szCs w:val="21"/>
        </w:rPr>
      </w:pPr>
    </w:p>
    <w:p w14:paraId="1EFF2C77">
      <w:pPr>
        <w:overflowPunct w:val="0"/>
        <w:rPr>
          <w:rFonts w:ascii="Times New Roman" w:hAnsi="Times New Roman" w:eastAsia="宋体" w:cs="Times New Roman"/>
          <w:szCs w:val="21"/>
        </w:rPr>
      </w:pPr>
    </w:p>
    <w:p w14:paraId="3E59981D">
      <w:pPr>
        <w:overflowPunct w:val="0"/>
        <w:rPr>
          <w:rFonts w:ascii="Times New Roman" w:hAnsi="Times New Roman" w:eastAsia="宋体" w:cs="Times New Roman"/>
          <w:szCs w:val="21"/>
        </w:rPr>
      </w:pPr>
    </w:p>
    <w:p w14:paraId="0E2D63EF">
      <w:pPr>
        <w:overflowPunct w:val="0"/>
        <w:rPr>
          <w:rFonts w:ascii="Times New Roman" w:hAnsi="Times New Roman" w:eastAsia="宋体" w:cs="Times New Roman"/>
          <w:szCs w:val="21"/>
        </w:rPr>
      </w:pPr>
    </w:p>
    <w:p w14:paraId="7E5F81AA">
      <w:pPr>
        <w:overflowPunct w:val="0"/>
        <w:rPr>
          <w:rFonts w:ascii="Times New Roman" w:hAnsi="Times New Roman" w:eastAsia="宋体" w:cs="Times New Roman"/>
          <w:szCs w:val="21"/>
        </w:rPr>
      </w:pPr>
    </w:p>
    <w:p w14:paraId="30FE5FA7">
      <w:pPr>
        <w:overflowPunct w:val="0"/>
        <w:rPr>
          <w:rFonts w:ascii="Times New Roman" w:hAnsi="Times New Roman" w:eastAsia="宋体" w:cs="Times New Roman"/>
          <w:szCs w:val="21"/>
        </w:rPr>
      </w:pPr>
    </w:p>
    <w:p w14:paraId="29A85E1D">
      <w:pPr>
        <w:tabs>
          <w:tab w:val="left" w:pos="1740"/>
        </w:tabs>
        <w:overflowPunct w:val="0"/>
        <w:rPr>
          <w:rFonts w:ascii="Times New Roman" w:hAnsi="Times New Roman" w:cs="Times New Roman"/>
        </w:rPr>
        <w:sectPr>
          <w:headerReference r:id="rId6" w:type="default"/>
          <w:footerReference r:id="rId7" w:type="default"/>
          <w:footerReference r:id="rId8" w:type="even"/>
          <w:pgSz w:w="11906" w:h="16838"/>
          <w:pgMar w:top="1440" w:right="1800" w:bottom="1440" w:left="1800" w:header="851" w:footer="992" w:gutter="0"/>
          <w:pgNumType w:fmt="upperRoman" w:start="1"/>
          <w:cols w:space="425" w:num="1"/>
          <w:docGrid w:type="lines" w:linePitch="286" w:charSpace="0"/>
        </w:sectPr>
      </w:pPr>
    </w:p>
    <w:p w14:paraId="3B2F4D36">
      <w:pPr>
        <w:overflowPunct w:val="0"/>
        <w:spacing w:before="143" w:beforeLines="50" w:after="286" w:afterLines="100"/>
        <w:jc w:val="center"/>
        <w:rPr>
          <w:rFonts w:ascii="Times New Roman" w:hAnsi="Times New Roman" w:eastAsia="黑体" w:cs="Times New Roman"/>
          <w:sz w:val="32"/>
          <w:szCs w:val="32"/>
        </w:rPr>
      </w:pPr>
    </w:p>
    <w:p w14:paraId="20B1DFD2">
      <w:pPr>
        <w:overflowPunct w:val="0"/>
        <w:spacing w:before="143" w:beforeLines="50" w:after="286" w:afterLines="100"/>
        <w:jc w:val="center"/>
        <w:outlineLvl w:val="0"/>
        <w:rPr>
          <w:rFonts w:ascii="Times New Roman" w:hAnsi="Times New Roman" w:eastAsia="黑体" w:cs="Times New Roman"/>
          <w:sz w:val="32"/>
          <w:szCs w:val="32"/>
        </w:rPr>
      </w:pPr>
      <w:bookmarkStart w:id="15" w:name="_Toc220422352"/>
      <w:bookmarkStart w:id="16" w:name="_Toc187932670"/>
      <w:r>
        <w:rPr>
          <w:rFonts w:ascii="Times New Roman" w:hAnsi="Times New Roman" w:eastAsia="黑体" w:cs="Times New Roman"/>
          <w:sz w:val="32"/>
          <w:szCs w:val="32"/>
        </w:rPr>
        <w:t>前　言</w:t>
      </w:r>
      <w:bookmarkEnd w:id="11"/>
      <w:bookmarkEnd w:id="12"/>
      <w:bookmarkEnd w:id="13"/>
      <w:bookmarkEnd w:id="15"/>
      <w:bookmarkEnd w:id="16"/>
    </w:p>
    <w:p w14:paraId="62E42E8A">
      <w:pPr>
        <w:pStyle w:val="40"/>
        <w:overflowPunct w:val="0"/>
        <w:rPr>
          <w:rFonts w:ascii="Times New Roman"/>
        </w:rPr>
      </w:pPr>
      <w:r>
        <w:rPr>
          <w:rFonts w:ascii="Times New Roman"/>
        </w:rPr>
        <w:t>本文件按照GB/T 1.1</w:t>
      </w:r>
      <w:r>
        <w:rPr>
          <w:rFonts w:ascii="Times New Roman"/>
          <w:szCs w:val="21"/>
        </w:rPr>
        <w:t>—</w:t>
      </w:r>
      <w:r>
        <w:rPr>
          <w:rFonts w:ascii="Times New Roman"/>
        </w:rPr>
        <w:t>2020《标准化工作导则  第1部分：标准化文件的结构和起草规则》的规定起草。</w:t>
      </w:r>
    </w:p>
    <w:p w14:paraId="66DA4743">
      <w:pPr>
        <w:pStyle w:val="40"/>
        <w:overflowPunct w:val="0"/>
        <w:rPr>
          <w:rFonts w:ascii="Times New Roman"/>
        </w:rPr>
      </w:pPr>
      <w:r>
        <w:rPr>
          <w:rFonts w:ascii="Times New Roman"/>
        </w:rPr>
        <w:t>请注意本文件的某些内容可能涉及专利。本文件的发布机构不承担识别专利的责任。</w:t>
      </w:r>
    </w:p>
    <w:p w14:paraId="5EECBB17">
      <w:pPr>
        <w:pStyle w:val="40"/>
        <w:overflowPunct w:val="0"/>
        <w:rPr>
          <w:rFonts w:ascii="Times New Roman"/>
        </w:rPr>
      </w:pPr>
      <w:r>
        <w:rPr>
          <w:rFonts w:ascii="Times New Roman"/>
        </w:rPr>
        <w:t>本文件由湖南省工业和信息化厅提出。</w:t>
      </w:r>
    </w:p>
    <w:p w14:paraId="514206E2">
      <w:pPr>
        <w:pStyle w:val="74"/>
        <w:rPr>
          <w:rFonts w:ascii="Times New Roman"/>
        </w:rPr>
      </w:pPr>
      <w:r>
        <w:rPr>
          <w:rFonts w:hint="eastAsia"/>
        </w:rPr>
        <w:t>本文件由湖南省循环经济标准化技术委员会归口。</w:t>
      </w:r>
    </w:p>
    <w:p w14:paraId="228E1D65">
      <w:pPr>
        <w:overflowPunct w:val="0"/>
        <w:ind w:firstLine="420" w:firstLineChars="200"/>
        <w:rPr>
          <w:rFonts w:hint="eastAsia" w:ascii="Times New Roman" w:hAnsi="Times New Roman" w:eastAsia="宋体" w:cs="Times New Roman"/>
          <w:color w:val="000000" w:themeColor="text1"/>
          <w:lang w:val="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本文件起草单位：</w:t>
      </w:r>
      <w:r>
        <w:rPr>
          <w:rFonts w:hint="eastAsia" w:ascii="Times New Roman" w:hAnsi="Times New Roman" w:eastAsia="宋体" w:cs="Times New Roman"/>
          <w:color w:val="000000" w:themeColor="text1"/>
          <w:lang w:val="zh-CN"/>
          <w14:textFill>
            <w14:solidFill>
              <w14:schemeClr w14:val="tx1"/>
            </w14:solidFill>
          </w14:textFill>
        </w:rPr>
        <w:t>湖南省循环经济研究会、中国建筑第五工程局有限公司、中环联合（北京）认证有限公司、湖南仁和环境股份有限公司、长沙市再生资源回收利用协会、湖南省绿色生态职业技能培训中心。</w:t>
      </w:r>
    </w:p>
    <w:p w14:paraId="3C83F7E2">
      <w:pPr>
        <w:overflowPunct w:val="0"/>
        <w:ind w:firstLine="420" w:firstLineChars="200"/>
        <w:rPr>
          <w:rFonts w:ascii="Times New Roman" w:hAnsi="Times New Roman" w:eastAsia="宋体" w:cs="Times New Roman"/>
          <w:color w:val="000000" w:themeColor="text1"/>
          <w:lang w:val="zh-CN"/>
          <w14:textFill>
            <w14:solidFill>
              <w14:schemeClr w14:val="tx1"/>
            </w14:solidFill>
          </w14:textFill>
        </w:rPr>
      </w:pPr>
      <w:r>
        <w:rPr>
          <w:rFonts w:hint="eastAsia" w:ascii="Times New Roman" w:hAnsi="Times New Roman" w:eastAsia="宋体" w:cs="Times New Roman"/>
          <w:color w:val="000000" w:themeColor="text1"/>
          <w:lang w:val="en-US"/>
          <w14:textFill>
            <w14:solidFill>
              <w14:schemeClr w14:val="tx1"/>
            </w14:solidFill>
          </w14:textFill>
        </w:rPr>
        <w:t>编制</w:t>
      </w:r>
      <w:r>
        <w:rPr>
          <w:rFonts w:ascii="Times New Roman" w:hAnsi="Times New Roman" w:eastAsia="宋体" w:cs="Times New Roman"/>
          <w:color w:val="000000" w:themeColor="text1"/>
          <w:lang w:val="zh-CN"/>
          <w14:textFill>
            <w14:solidFill>
              <w14:schemeClr w14:val="tx1"/>
            </w14:solidFill>
          </w14:textFill>
        </w:rPr>
        <w:t>组主要成员：</w:t>
      </w:r>
      <w:r>
        <w:rPr>
          <w:rFonts w:hint="eastAsia" w:ascii="Times New Roman" w:hAnsi="Times New Roman" w:eastAsia="宋体" w:cs="Times New Roman"/>
          <w:color w:val="000000" w:themeColor="text1"/>
          <w:lang w:val="zh-CN"/>
          <w14:textFill>
            <w14:solidFill>
              <w14:schemeClr w14:val="tx1"/>
            </w14:solidFill>
          </w14:textFill>
        </w:rPr>
        <w:t>贺丽菱、雷亚平、杨璐、周儆、李杜、易志刚、王俊莹、马彦先、崔晓冬、邓秋玮、欧阳君、李佳、蔡圣煜、朱霞林、潘宇轩、陈之炜</w:t>
      </w:r>
      <w:r>
        <w:rPr>
          <w:rFonts w:hint="eastAsia" w:ascii="Times New Roman" w:hAnsi="Times New Roman" w:eastAsia="宋体" w:cs="Times New Roman"/>
          <w:color w:val="000000" w:themeColor="text1"/>
          <w:lang w:val="zh-CN" w:eastAsia="zh-CN"/>
          <w14:textFill>
            <w14:solidFill>
              <w14:schemeClr w14:val="tx1"/>
            </w14:solidFill>
          </w14:textFill>
        </w:rPr>
        <w:t>、</w:t>
      </w:r>
      <w:r>
        <w:rPr>
          <w:rFonts w:hint="eastAsia" w:ascii="Times New Roman" w:hAnsi="Times New Roman" w:eastAsia="宋体" w:cs="Times New Roman"/>
          <w:color w:val="000000" w:themeColor="text1"/>
          <w:lang w:val="zh-CN"/>
          <w14:textFill>
            <w14:solidFill>
              <w14:schemeClr w14:val="tx1"/>
            </w14:solidFill>
          </w14:textFill>
        </w:rPr>
        <w:t>汤丽君。</w:t>
      </w:r>
    </w:p>
    <w:p w14:paraId="2FD4CD7E">
      <w:pPr>
        <w:overflowPunct w:val="0"/>
        <w:ind w:firstLine="420" w:firstLineChars="200"/>
        <w:rPr>
          <w:rFonts w:ascii="Times New Roman" w:hAnsi="Times New Roman" w:eastAsia="宋体" w:cs="Times New Roman"/>
          <w:color w:val="000000" w:themeColor="text1"/>
          <w:lang w:val="zh-CN"/>
          <w14:textFill>
            <w14:solidFill>
              <w14:schemeClr w14:val="tx1"/>
            </w14:solidFill>
          </w14:textFill>
        </w:rPr>
      </w:pPr>
    </w:p>
    <w:p w14:paraId="2AAB233A">
      <w:pPr>
        <w:overflowPunct w:val="0"/>
        <w:ind w:firstLine="420" w:firstLineChars="200"/>
        <w:rPr>
          <w:rFonts w:ascii="Times New Roman" w:hAnsi="Times New Roman" w:eastAsia="宋体" w:cs="Times New Roman"/>
        </w:rPr>
      </w:pPr>
    </w:p>
    <w:p w14:paraId="45E778B7">
      <w:pPr>
        <w:overflowPunct w:val="0"/>
        <w:ind w:firstLine="420" w:firstLineChars="200"/>
        <w:rPr>
          <w:rFonts w:ascii="Times New Roman" w:hAnsi="Times New Roman" w:eastAsia="宋体" w:cs="Times New Roman"/>
          <w:strike/>
        </w:rPr>
        <w:sectPr>
          <w:headerReference r:id="rId9" w:type="even"/>
          <w:pgSz w:w="11906" w:h="16838"/>
          <w:pgMar w:top="1440" w:right="1800" w:bottom="1440" w:left="1800" w:header="851" w:footer="992" w:gutter="0"/>
          <w:pgNumType w:fmt="upperRoman"/>
          <w:cols w:space="425" w:num="1"/>
          <w:docGrid w:type="lines" w:linePitch="286" w:charSpace="0"/>
        </w:sectPr>
      </w:pPr>
      <w:bookmarkStart w:id="179" w:name="_GoBack"/>
      <w:bookmarkEnd w:id="179"/>
    </w:p>
    <w:p w14:paraId="5C0EDC4C">
      <w:pPr>
        <w:overflowPunct w:val="0"/>
        <w:spacing w:before="143" w:beforeLines="50" w:after="286" w:afterLines="100"/>
        <w:jc w:val="center"/>
        <w:outlineLvl w:val="0"/>
        <w:rPr>
          <w:rFonts w:ascii="Times New Roman" w:hAnsi="Times New Roman" w:eastAsia="宋体" w:cs="Times New Roman"/>
          <w:strike/>
        </w:rPr>
      </w:pPr>
      <w:bookmarkStart w:id="17" w:name="_Toc220422353"/>
      <w:bookmarkStart w:id="18" w:name="_Toc187932671"/>
      <w:bookmarkStart w:id="19" w:name="_Toc162335841"/>
      <w:r>
        <w:rPr>
          <w:rFonts w:ascii="Times New Roman" w:hAnsi="Times New Roman" w:eastAsia="黑体" w:cs="Times New Roman"/>
          <w:sz w:val="32"/>
          <w:szCs w:val="32"/>
        </w:rPr>
        <w:t>引　言</w:t>
      </w:r>
      <w:bookmarkEnd w:id="17"/>
      <w:bookmarkEnd w:id="18"/>
      <w:bookmarkEnd w:id="19"/>
    </w:p>
    <w:p w14:paraId="412624F4">
      <w:pPr>
        <w:overflowPunct w:val="0"/>
        <w:ind w:firstLine="420" w:firstLineChars="200"/>
        <w:rPr>
          <w:rFonts w:ascii="Times New Roman" w:hAnsi="Times New Roman" w:eastAsia="宋体" w:cs="Times New Roman"/>
        </w:rPr>
      </w:pPr>
      <w:r>
        <w:rPr>
          <w:rFonts w:ascii="Times New Roman" w:hAnsi="Times New Roman" w:eastAsia="宋体" w:cs="Times New Roman"/>
        </w:rPr>
        <w:t xml:space="preserve">  </w:t>
      </w:r>
    </w:p>
    <w:p w14:paraId="6F647A35">
      <w:pPr>
        <w:overflowPunct w:val="0"/>
        <w:ind w:firstLine="420" w:firstLineChars="200"/>
        <w:rPr>
          <w:rFonts w:ascii="Times New Roman" w:hAnsi="Times New Roman" w:eastAsia="宋体" w:cs="Times New Roman"/>
          <w:szCs w:val="21"/>
        </w:rPr>
      </w:pPr>
      <w:r>
        <w:rPr>
          <w:rFonts w:ascii="Times New Roman" w:hAnsi="Times New Roman" w:eastAsia="宋体" w:cs="Times New Roman"/>
          <w:szCs w:val="21"/>
        </w:rPr>
        <w:t>为贯彻《湖南省工业领域碳达峰实施方案》等文件要求，加快推进全省工业绿色低碳转型，切实做好工业领域碳达峰碳中和工作，</w:t>
      </w:r>
      <w:r>
        <w:rPr>
          <w:rFonts w:ascii="Times New Roman" w:hAnsi="Times New Roman" w:eastAsia="宋体" w:cs="Times New Roman"/>
          <w:szCs w:val="24"/>
        </w:rPr>
        <w:t>指导当地工业企业建立碳管理体系，降低企业碳排放量或碳排放强度，提升企业碳相关管理绩效，促进企业可持续发展，</w:t>
      </w:r>
      <w:r>
        <w:rPr>
          <w:rFonts w:ascii="Times New Roman" w:hAnsi="Times New Roman" w:eastAsia="宋体" w:cs="Times New Roman"/>
          <w:szCs w:val="21"/>
        </w:rPr>
        <w:t>结合湖南省工业企业碳排放特点及其实际面临的碳风险和机遇，制定本文件。</w:t>
      </w:r>
    </w:p>
    <w:p w14:paraId="7CB12DB9">
      <w:pPr>
        <w:overflowPunct w:val="0"/>
        <w:ind w:firstLine="420" w:firstLineChars="200"/>
        <w:rPr>
          <w:rFonts w:ascii="Times New Roman" w:hAnsi="Times New Roman" w:eastAsia="宋体" w:cs="Times New Roman"/>
          <w:szCs w:val="21"/>
        </w:rPr>
      </w:pPr>
      <w:r>
        <w:rPr>
          <w:rFonts w:ascii="Times New Roman" w:hAnsi="Times New Roman" w:eastAsia="宋体" w:cs="Times New Roman"/>
          <w:szCs w:val="21"/>
        </w:rPr>
        <w:t>本文件采用生命周期理念和风险思维，运用PDCA（即Plan-策划、Do-实施、Check-检查、Action-改进）持续改进模式，使碳管理融入企业的日常运行中。</w:t>
      </w:r>
    </w:p>
    <w:p w14:paraId="343416C2">
      <w:pPr>
        <w:overflowPunct w:val="0"/>
        <w:ind w:firstLine="420" w:firstLineChars="200"/>
        <w:rPr>
          <w:rFonts w:ascii="Times New Roman" w:hAnsi="Times New Roman" w:eastAsia="宋体" w:cs="Times New Roman"/>
          <w:szCs w:val="21"/>
        </w:rPr>
      </w:pPr>
      <w:r>
        <w:rPr>
          <w:rFonts w:ascii="Times New Roman" w:hAnsi="Times New Roman" w:eastAsia="宋体" w:cs="Times New Roman"/>
          <w:szCs w:val="21"/>
        </w:rPr>
        <w:t>本文件规定了湖南省工业企业碳管理体系组织环境、领导作用、策划、支持、运行、绩效评价和改进等内容。</w:t>
      </w:r>
    </w:p>
    <w:p w14:paraId="4D59D064">
      <w:pPr>
        <w:overflowPunct w:val="0"/>
        <w:ind w:firstLine="420" w:firstLineChars="200"/>
        <w:rPr>
          <w:rFonts w:ascii="Times New Roman" w:hAnsi="Times New Roman" w:eastAsia="宋体" w:cs="Times New Roman"/>
        </w:rPr>
      </w:pPr>
    </w:p>
    <w:p w14:paraId="099C63D9">
      <w:pPr>
        <w:overflowPunct w:val="0"/>
        <w:ind w:firstLine="420" w:firstLineChars="200"/>
        <w:rPr>
          <w:rFonts w:ascii="Times New Roman" w:hAnsi="Times New Roman" w:eastAsia="宋体" w:cs="Times New Roman"/>
        </w:rPr>
      </w:pPr>
    </w:p>
    <w:p w14:paraId="4FAF354D">
      <w:pPr>
        <w:overflowPunct w:val="0"/>
        <w:ind w:firstLine="420" w:firstLineChars="200"/>
        <w:rPr>
          <w:rFonts w:ascii="Times New Roman" w:hAnsi="Times New Roman" w:eastAsia="宋体" w:cs="Times New Roman"/>
        </w:rPr>
      </w:pPr>
    </w:p>
    <w:p w14:paraId="0F9CB107">
      <w:pPr>
        <w:overflowPunct w:val="0"/>
        <w:ind w:firstLine="420" w:firstLineChars="200"/>
        <w:rPr>
          <w:rFonts w:ascii="Times New Roman" w:hAnsi="Times New Roman" w:eastAsia="宋体" w:cs="Times New Roman"/>
        </w:rPr>
      </w:pPr>
    </w:p>
    <w:p w14:paraId="09401C28">
      <w:pPr>
        <w:overflowPunct w:val="0"/>
        <w:ind w:firstLine="420" w:firstLineChars="200"/>
        <w:rPr>
          <w:rFonts w:ascii="Times New Roman" w:hAnsi="Times New Roman" w:eastAsia="宋体" w:cs="Times New Roman"/>
        </w:rPr>
      </w:pPr>
    </w:p>
    <w:p w14:paraId="7B84F05C">
      <w:pPr>
        <w:overflowPunct w:val="0"/>
        <w:ind w:firstLine="420" w:firstLineChars="200"/>
        <w:rPr>
          <w:rFonts w:ascii="Times New Roman" w:hAnsi="Times New Roman" w:eastAsia="宋体" w:cs="Times New Roman"/>
        </w:rPr>
      </w:pPr>
    </w:p>
    <w:p w14:paraId="360604B7">
      <w:pPr>
        <w:overflowPunct w:val="0"/>
        <w:ind w:firstLine="420" w:firstLineChars="200"/>
        <w:rPr>
          <w:rFonts w:ascii="Times New Roman" w:hAnsi="Times New Roman" w:eastAsia="宋体" w:cs="Times New Roman"/>
        </w:rPr>
      </w:pPr>
    </w:p>
    <w:p w14:paraId="1FEFADBC">
      <w:pPr>
        <w:overflowPunct w:val="0"/>
        <w:ind w:firstLine="420" w:firstLineChars="200"/>
        <w:rPr>
          <w:rFonts w:ascii="Times New Roman" w:hAnsi="Times New Roman" w:eastAsia="宋体" w:cs="Times New Roman"/>
        </w:rPr>
      </w:pPr>
    </w:p>
    <w:p w14:paraId="48E8C330">
      <w:pPr>
        <w:overflowPunct w:val="0"/>
        <w:ind w:firstLine="420" w:firstLineChars="200"/>
        <w:rPr>
          <w:rFonts w:ascii="Times New Roman" w:hAnsi="Times New Roman" w:eastAsia="宋体" w:cs="Times New Roman"/>
        </w:rPr>
      </w:pPr>
    </w:p>
    <w:p w14:paraId="2494E3A1">
      <w:pPr>
        <w:overflowPunct w:val="0"/>
        <w:ind w:firstLine="420" w:firstLineChars="200"/>
        <w:rPr>
          <w:rFonts w:ascii="Times New Roman" w:hAnsi="Times New Roman" w:eastAsia="宋体" w:cs="Times New Roman"/>
        </w:rPr>
      </w:pPr>
    </w:p>
    <w:p w14:paraId="7EED4D22">
      <w:pPr>
        <w:overflowPunct w:val="0"/>
        <w:ind w:firstLine="420" w:firstLineChars="200"/>
        <w:rPr>
          <w:rFonts w:ascii="Times New Roman" w:hAnsi="Times New Roman" w:eastAsia="宋体" w:cs="Times New Roman"/>
        </w:rPr>
      </w:pPr>
    </w:p>
    <w:p w14:paraId="70B513A6">
      <w:pPr>
        <w:overflowPunct w:val="0"/>
        <w:ind w:firstLine="420" w:firstLineChars="200"/>
        <w:rPr>
          <w:rFonts w:ascii="Times New Roman" w:hAnsi="Times New Roman" w:eastAsia="宋体" w:cs="Times New Roman"/>
        </w:rPr>
      </w:pPr>
    </w:p>
    <w:p w14:paraId="6DBFC2B6">
      <w:pPr>
        <w:overflowPunct w:val="0"/>
        <w:ind w:firstLine="420" w:firstLineChars="200"/>
        <w:rPr>
          <w:rFonts w:ascii="Times New Roman" w:hAnsi="Times New Roman" w:eastAsia="宋体" w:cs="Times New Roman"/>
        </w:rPr>
      </w:pPr>
    </w:p>
    <w:p w14:paraId="709DA03F">
      <w:pPr>
        <w:overflowPunct w:val="0"/>
        <w:ind w:firstLine="420" w:firstLineChars="200"/>
        <w:rPr>
          <w:rFonts w:ascii="Times New Roman" w:hAnsi="Times New Roman" w:eastAsia="宋体" w:cs="Times New Roman"/>
        </w:rPr>
      </w:pPr>
    </w:p>
    <w:p w14:paraId="6A1992E3">
      <w:pPr>
        <w:overflowPunct w:val="0"/>
        <w:ind w:firstLine="420" w:firstLineChars="200"/>
        <w:rPr>
          <w:rFonts w:ascii="Times New Roman" w:hAnsi="Times New Roman" w:eastAsia="宋体" w:cs="Times New Roman"/>
        </w:rPr>
      </w:pPr>
    </w:p>
    <w:p w14:paraId="7224EDFF">
      <w:pPr>
        <w:overflowPunct w:val="0"/>
        <w:ind w:firstLine="420" w:firstLineChars="200"/>
        <w:rPr>
          <w:rFonts w:ascii="Times New Roman" w:hAnsi="Times New Roman" w:eastAsia="宋体" w:cs="Times New Roman"/>
        </w:rPr>
      </w:pPr>
    </w:p>
    <w:p w14:paraId="0DCB402F">
      <w:pPr>
        <w:overflowPunct w:val="0"/>
        <w:ind w:firstLine="420" w:firstLineChars="200"/>
        <w:rPr>
          <w:rFonts w:ascii="Times New Roman" w:hAnsi="Times New Roman" w:eastAsia="宋体" w:cs="Times New Roman"/>
        </w:rPr>
      </w:pPr>
    </w:p>
    <w:p w14:paraId="4969F7F5">
      <w:pPr>
        <w:overflowPunct w:val="0"/>
        <w:ind w:firstLine="420" w:firstLineChars="200"/>
        <w:rPr>
          <w:rFonts w:ascii="Times New Roman" w:hAnsi="Times New Roman" w:eastAsia="宋体" w:cs="Times New Roman"/>
        </w:rPr>
      </w:pPr>
    </w:p>
    <w:p w14:paraId="015A4448">
      <w:pPr>
        <w:overflowPunct w:val="0"/>
        <w:ind w:firstLine="420" w:firstLineChars="200"/>
        <w:rPr>
          <w:rFonts w:ascii="Times New Roman" w:hAnsi="Times New Roman" w:eastAsia="宋体" w:cs="Times New Roman"/>
        </w:rPr>
      </w:pPr>
    </w:p>
    <w:p w14:paraId="7EFA1C33">
      <w:pPr>
        <w:overflowPunct w:val="0"/>
        <w:ind w:firstLine="420" w:firstLineChars="200"/>
        <w:rPr>
          <w:rFonts w:ascii="Times New Roman" w:hAnsi="Times New Roman" w:eastAsia="宋体" w:cs="Times New Roman"/>
        </w:rPr>
      </w:pPr>
    </w:p>
    <w:p w14:paraId="5C18CA83">
      <w:pPr>
        <w:overflowPunct w:val="0"/>
        <w:ind w:firstLine="420" w:firstLineChars="200"/>
        <w:rPr>
          <w:rFonts w:ascii="Times New Roman" w:hAnsi="Times New Roman" w:eastAsia="宋体" w:cs="Times New Roman"/>
        </w:rPr>
      </w:pPr>
    </w:p>
    <w:p w14:paraId="3E1DDDE1">
      <w:pPr>
        <w:overflowPunct w:val="0"/>
        <w:ind w:firstLine="420" w:firstLineChars="200"/>
        <w:rPr>
          <w:rFonts w:ascii="Times New Roman" w:hAnsi="Times New Roman" w:eastAsia="宋体" w:cs="Times New Roman"/>
        </w:rPr>
      </w:pPr>
    </w:p>
    <w:p w14:paraId="1AD5D5DC">
      <w:pPr>
        <w:overflowPunct w:val="0"/>
        <w:rPr>
          <w:rFonts w:ascii="Times New Roman" w:hAnsi="Times New Roman" w:eastAsia="宋体" w:cs="Times New Roman"/>
        </w:rPr>
      </w:pPr>
    </w:p>
    <w:p w14:paraId="187A1996">
      <w:pPr>
        <w:overflowPunct w:val="0"/>
        <w:spacing w:line="440" w:lineRule="atLeast"/>
        <w:ind w:firstLine="420" w:firstLineChars="200"/>
        <w:rPr>
          <w:rFonts w:ascii="Times New Roman" w:hAnsi="Times New Roman" w:eastAsia="宋体" w:cs="Times New Roman"/>
        </w:rPr>
      </w:pPr>
    </w:p>
    <w:p w14:paraId="1F345FF8">
      <w:pPr>
        <w:overflowPunct w:val="0"/>
        <w:spacing w:line="440" w:lineRule="atLeast"/>
        <w:ind w:firstLine="420" w:firstLineChars="200"/>
        <w:rPr>
          <w:rFonts w:ascii="Times New Roman" w:hAnsi="Times New Roman" w:eastAsia="宋体" w:cs="Times New Roman"/>
        </w:rPr>
      </w:pPr>
    </w:p>
    <w:p w14:paraId="375263B8">
      <w:pPr>
        <w:overflowPunct w:val="0"/>
        <w:spacing w:line="440" w:lineRule="atLeast"/>
        <w:ind w:firstLine="420" w:firstLineChars="200"/>
        <w:rPr>
          <w:rFonts w:ascii="Times New Roman" w:hAnsi="Times New Roman" w:eastAsia="宋体" w:cs="Times New Roman"/>
        </w:rPr>
      </w:pPr>
    </w:p>
    <w:p w14:paraId="6EC84D47">
      <w:pPr>
        <w:overflowPunct w:val="0"/>
        <w:spacing w:line="440" w:lineRule="atLeast"/>
        <w:ind w:firstLine="420" w:firstLineChars="200"/>
        <w:rPr>
          <w:rFonts w:ascii="Times New Roman" w:hAnsi="Times New Roman" w:eastAsia="宋体" w:cs="Times New Roman"/>
        </w:rPr>
      </w:pPr>
    </w:p>
    <w:p w14:paraId="154988EB">
      <w:pPr>
        <w:overflowPunct w:val="0"/>
        <w:spacing w:line="440" w:lineRule="atLeast"/>
        <w:ind w:firstLine="420" w:firstLineChars="200"/>
        <w:rPr>
          <w:rFonts w:ascii="Times New Roman" w:hAnsi="Times New Roman" w:eastAsia="宋体" w:cs="Times New Roman"/>
        </w:rPr>
      </w:pPr>
    </w:p>
    <w:p w14:paraId="4116570B">
      <w:pPr>
        <w:overflowPunct w:val="0"/>
        <w:spacing w:line="440" w:lineRule="atLeast"/>
        <w:ind w:firstLine="420" w:firstLineChars="200"/>
        <w:rPr>
          <w:rFonts w:ascii="Times New Roman" w:hAnsi="Times New Roman" w:eastAsia="宋体" w:cs="Times New Roman"/>
        </w:rPr>
      </w:pPr>
    </w:p>
    <w:p w14:paraId="11161944">
      <w:pPr>
        <w:overflowPunct w:val="0"/>
        <w:spacing w:line="440" w:lineRule="atLeast"/>
        <w:ind w:firstLine="420" w:firstLineChars="200"/>
        <w:rPr>
          <w:rFonts w:ascii="Times New Roman" w:hAnsi="Times New Roman" w:eastAsia="宋体" w:cs="Times New Roman"/>
        </w:rPr>
        <w:sectPr>
          <w:pgSz w:w="11906" w:h="16838"/>
          <w:pgMar w:top="1440" w:right="1800" w:bottom="1440" w:left="1800" w:header="851" w:footer="992" w:gutter="0"/>
          <w:pgNumType w:fmt="upperRoman"/>
          <w:cols w:space="425" w:num="1"/>
          <w:docGrid w:type="lines" w:linePitch="286" w:charSpace="0"/>
        </w:sectPr>
      </w:pPr>
    </w:p>
    <w:p w14:paraId="17D3F822">
      <w:pPr>
        <w:jc w:val="center"/>
        <w:rPr>
          <w:rFonts w:ascii="Times New Roman" w:hAnsi="Times New Roman" w:eastAsia="黑体" w:cs="Times New Roman"/>
          <w:sz w:val="32"/>
          <w:szCs w:val="32"/>
        </w:rPr>
      </w:pPr>
      <w:bookmarkStart w:id="20" w:name="_Toc187932672"/>
      <w:bookmarkStart w:id="21" w:name="_Toc101786431"/>
      <w:r>
        <w:rPr>
          <w:rFonts w:ascii="Times New Roman" w:hAnsi="Times New Roman" w:eastAsia="黑体" w:cs="Times New Roman"/>
          <w:sz w:val="32"/>
          <w:szCs w:val="32"/>
        </w:rPr>
        <w:t>工业企业碳管理体系实施指南</w:t>
      </w:r>
      <w:bookmarkEnd w:id="20"/>
    </w:p>
    <w:p w14:paraId="39E2ED32">
      <w:pPr>
        <w:pStyle w:val="66"/>
        <w:numPr>
          <w:ilvl w:val="0"/>
          <w:numId w:val="1"/>
        </w:numPr>
        <w:overflowPunct w:val="0"/>
        <w:spacing w:before="286" w:after="286"/>
        <w:ind w:left="0" w:firstLine="0"/>
        <w:outlineLvl w:val="0"/>
        <w:rPr>
          <w:rFonts w:ascii="Times New Roman"/>
        </w:rPr>
      </w:pPr>
      <w:bookmarkStart w:id="22" w:name="_Toc220422354"/>
      <w:bookmarkStart w:id="23" w:name="_Toc187932673"/>
      <w:r>
        <w:rPr>
          <w:rFonts w:ascii="Times New Roman"/>
        </w:rPr>
        <w:t>范围</w:t>
      </w:r>
      <w:bookmarkEnd w:id="21"/>
      <w:bookmarkEnd w:id="22"/>
      <w:bookmarkEnd w:id="23"/>
    </w:p>
    <w:p w14:paraId="51B25D85">
      <w:pPr>
        <w:overflowPunct w:val="0"/>
        <w:ind w:firstLine="420" w:firstLineChars="200"/>
        <w:rPr>
          <w:rFonts w:ascii="Times New Roman" w:hAnsi="Times New Roman" w:eastAsia="宋体" w:cs="Times New Roman"/>
        </w:rPr>
      </w:pPr>
      <w:r>
        <w:rPr>
          <w:rFonts w:ascii="Times New Roman" w:hAnsi="Times New Roman" w:eastAsia="宋体" w:cs="Times New Roman"/>
        </w:rPr>
        <w:t>本标准规定了工业企业建立、实施、保持和改进碳管理体系的通用指南。</w:t>
      </w:r>
    </w:p>
    <w:p w14:paraId="42BAA6A9">
      <w:pPr>
        <w:overflowPunct w:val="0"/>
        <w:ind w:firstLine="420" w:firstLineChars="200"/>
        <w:rPr>
          <w:rFonts w:ascii="Times New Roman" w:hAnsi="Times New Roman" w:eastAsia="宋体" w:cs="Times New Roman"/>
        </w:rPr>
      </w:pPr>
      <w:r>
        <w:rPr>
          <w:rFonts w:ascii="Times New Roman" w:hAnsi="Times New Roman" w:eastAsia="宋体" w:cs="Times New Roman"/>
        </w:rPr>
        <w:t xml:space="preserve">本标准适用于不同类型和规模的工业企业碳管理体系的建立和运行。 </w:t>
      </w:r>
    </w:p>
    <w:p w14:paraId="239010C2">
      <w:pPr>
        <w:overflowPunct w:val="0"/>
        <w:ind w:firstLine="360" w:firstLineChars="200"/>
        <w:rPr>
          <w:rFonts w:ascii="Times New Roman" w:hAnsi="Times New Roman" w:eastAsia="宋体" w:cs="Times New Roman"/>
        </w:rPr>
      </w:pPr>
      <w:r>
        <w:rPr>
          <w:rFonts w:ascii="Times New Roman" w:hAnsi="Times New Roman" w:eastAsia="黑体" w:cs="Times New Roman"/>
          <w:sz w:val="18"/>
          <w:szCs w:val="18"/>
        </w:rPr>
        <w:t>注</w:t>
      </w:r>
      <w:r>
        <w:rPr>
          <w:rFonts w:ascii="Times New Roman" w:hAnsi="Times New Roman" w:eastAsia="宋体" w:cs="Times New Roman"/>
          <w:sz w:val="18"/>
          <w:szCs w:val="18"/>
        </w:rPr>
        <w:t>：工业企业是指 GB/T 4754中行业代码大类为 06~46 的企业。</w:t>
      </w:r>
    </w:p>
    <w:p w14:paraId="0D987817">
      <w:pPr>
        <w:pStyle w:val="66"/>
        <w:numPr>
          <w:ilvl w:val="0"/>
          <w:numId w:val="1"/>
        </w:numPr>
        <w:overflowPunct w:val="0"/>
        <w:spacing w:before="286" w:after="286"/>
        <w:ind w:left="0" w:firstLine="0"/>
        <w:outlineLvl w:val="0"/>
        <w:rPr>
          <w:rFonts w:ascii="Times New Roman"/>
        </w:rPr>
      </w:pPr>
      <w:bookmarkStart w:id="24" w:name="_Toc220422355"/>
      <w:bookmarkStart w:id="25" w:name="_Toc187932674"/>
      <w:r>
        <w:rPr>
          <w:rFonts w:ascii="Times New Roman"/>
        </w:rPr>
        <w:t>规范性引用文件</w:t>
      </w:r>
      <w:bookmarkEnd w:id="24"/>
      <w:bookmarkEnd w:id="25"/>
    </w:p>
    <w:p w14:paraId="2D43C3E7">
      <w:pPr>
        <w:overflowPunct w:val="0"/>
        <w:ind w:firstLine="420" w:firstLineChars="200"/>
        <w:rPr>
          <w:rFonts w:ascii="Times New Roman" w:hAnsi="Times New Roman" w:eastAsia="宋体" w:cs="Times New Roman"/>
        </w:rPr>
      </w:pPr>
      <w:r>
        <w:rPr>
          <w:rFonts w:ascii="Times New Roman" w:hAnsi="Times New Roman" w:eastAsia="宋体" w:cs="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1BBF3B94">
      <w:pPr>
        <w:overflowPunct w:val="0"/>
        <w:ind w:firstLine="420" w:firstLineChars="200"/>
        <w:rPr>
          <w:rFonts w:ascii="Times New Roman" w:hAnsi="Times New Roman" w:eastAsia="宋体" w:cs="Times New Roman"/>
        </w:rPr>
      </w:pPr>
      <w:r>
        <w:rPr>
          <w:rFonts w:ascii="Times New Roman" w:hAnsi="Times New Roman" w:eastAsia="宋体" w:cs="Times New Roman"/>
        </w:rPr>
        <w:t>GB 17167</w:t>
      </w:r>
      <w:r>
        <w:rPr>
          <w:rFonts w:hint="eastAsia" w:ascii="Times New Roman" w:hAnsi="Times New Roman" w:eastAsia="宋体" w:cs="Times New Roman"/>
        </w:rPr>
        <w:t xml:space="preserve"> </w:t>
      </w:r>
      <w:r>
        <w:rPr>
          <w:rFonts w:ascii="Times New Roman" w:hAnsi="Times New Roman" w:eastAsia="宋体" w:cs="Times New Roman"/>
        </w:rPr>
        <w:t xml:space="preserve"> </w:t>
      </w:r>
      <w:r>
        <w:fldChar w:fldCharType="begin"/>
      </w:r>
      <w:r>
        <w:instrText xml:space="preserve"> HYPERLINK "http://www.baidu.com/link?url=qL9DZB5g0jBcjpG0QbiRjsjov5XRce7T-Z3mIoXQDlO_RgULCU_IsBKI9fBmT2MTLf0ojdb-vFmVlxCCKTweCAdxriVkhNplALBpcp1nxBP5cfXuTpuL9hiZWLRPaegbE1smxCHpXUwVfVo2x9Y8Ua" \t "_blank" </w:instrText>
      </w:r>
      <w:r>
        <w:fldChar w:fldCharType="separate"/>
      </w:r>
      <w:r>
        <w:rPr>
          <w:rFonts w:ascii="Times New Roman" w:hAnsi="Times New Roman" w:eastAsia="宋体" w:cs="Times New Roman"/>
        </w:rPr>
        <w:t>用能单位能源计量器具配备和管理通则</w:t>
      </w:r>
      <w:r>
        <w:rPr>
          <w:rFonts w:ascii="Times New Roman" w:hAnsi="Times New Roman" w:eastAsia="宋体" w:cs="Times New Roman"/>
        </w:rPr>
        <w:fldChar w:fldCharType="end"/>
      </w:r>
    </w:p>
    <w:p w14:paraId="125D5B42">
      <w:pPr>
        <w:overflowPunct w:val="0"/>
        <w:ind w:firstLine="420" w:firstLineChars="200"/>
        <w:rPr>
          <w:rFonts w:ascii="Times New Roman" w:hAnsi="Times New Roman" w:eastAsia="宋体" w:cs="Times New Roman"/>
        </w:rPr>
      </w:pPr>
      <w:r>
        <w:rPr>
          <w:rFonts w:ascii="Times New Roman" w:hAnsi="Times New Roman" w:eastAsia="宋体" w:cs="Times New Roman"/>
        </w:rPr>
        <w:t xml:space="preserve">GB/T 24067 </w:t>
      </w:r>
      <w:r>
        <w:rPr>
          <w:rFonts w:hint="eastAsia" w:ascii="Times New Roman" w:hAnsi="Times New Roman" w:eastAsia="宋体" w:cs="Times New Roman"/>
        </w:rPr>
        <w:t xml:space="preserve"> </w:t>
      </w:r>
      <w:r>
        <w:rPr>
          <w:rFonts w:ascii="Times New Roman" w:hAnsi="Times New Roman" w:eastAsia="宋体" w:cs="Times New Roman"/>
        </w:rPr>
        <w:t>温室气体 产品碳足迹 量化要求和指南</w:t>
      </w:r>
    </w:p>
    <w:p w14:paraId="2282B930">
      <w:pPr>
        <w:overflowPunct w:val="0"/>
        <w:ind w:firstLine="420" w:firstLineChars="200"/>
        <w:rPr>
          <w:rFonts w:ascii="Times New Roman" w:hAnsi="Times New Roman" w:eastAsia="宋体" w:cs="Times New Roman"/>
        </w:rPr>
      </w:pPr>
      <w:bookmarkStart w:id="26" w:name="_Hlk216269302"/>
      <w:r>
        <w:rPr>
          <w:rFonts w:ascii="Times New Roman" w:hAnsi="Times New Roman" w:eastAsia="宋体" w:cs="Times New Roman"/>
        </w:rPr>
        <w:t xml:space="preserve">GB/T 26450 </w:t>
      </w:r>
      <w:r>
        <w:rPr>
          <w:rFonts w:hint="eastAsia" w:ascii="Times New Roman" w:hAnsi="Times New Roman" w:eastAsia="宋体" w:cs="Times New Roman"/>
        </w:rPr>
        <w:t xml:space="preserve"> </w:t>
      </w:r>
      <w:r>
        <w:rPr>
          <w:rFonts w:ascii="Times New Roman" w:hAnsi="Times New Roman" w:eastAsia="宋体" w:cs="Times New Roman"/>
        </w:rPr>
        <w:t>环境管理 环境信息交流</w:t>
      </w:r>
      <w:r>
        <w:rPr>
          <w:rFonts w:hint="eastAsia" w:ascii="Times New Roman" w:hAnsi="Times New Roman" w:eastAsia="宋体" w:cs="Times New Roman"/>
        </w:rPr>
        <w:t xml:space="preserve"> </w:t>
      </w:r>
      <w:r>
        <w:rPr>
          <w:rFonts w:ascii="Times New Roman" w:hAnsi="Times New Roman" w:eastAsia="宋体" w:cs="Times New Roman"/>
        </w:rPr>
        <w:t>指南和示例</w:t>
      </w:r>
      <w:bookmarkEnd w:id="26"/>
    </w:p>
    <w:p w14:paraId="0C07217C">
      <w:pPr>
        <w:overflowPunct w:val="0"/>
        <w:ind w:firstLine="420" w:firstLineChars="200"/>
        <w:rPr>
          <w:rFonts w:ascii="Times New Roman" w:hAnsi="Times New Roman" w:eastAsia="宋体" w:cs="Times New Roman"/>
        </w:rPr>
      </w:pPr>
      <w:r>
        <w:rPr>
          <w:rFonts w:ascii="Times New Roman" w:hAnsi="Times New Roman" w:eastAsia="宋体" w:cs="Times New Roman"/>
        </w:rPr>
        <w:t xml:space="preserve">GB/T 32150 </w:t>
      </w:r>
      <w:r>
        <w:rPr>
          <w:rFonts w:hint="eastAsia" w:ascii="Times New Roman" w:hAnsi="Times New Roman" w:eastAsia="宋体" w:cs="Times New Roman"/>
        </w:rPr>
        <w:t xml:space="preserve"> </w:t>
      </w:r>
      <w:r>
        <w:rPr>
          <w:rFonts w:ascii="Times New Roman" w:hAnsi="Times New Roman" w:eastAsia="宋体" w:cs="Times New Roman"/>
        </w:rPr>
        <w:t>工业企业温室气体排放核算和报告通则</w:t>
      </w:r>
    </w:p>
    <w:p w14:paraId="0D429515">
      <w:pPr>
        <w:tabs>
          <w:tab w:val="left" w:pos="2175"/>
        </w:tabs>
        <w:overflowPunct w:val="0"/>
        <w:ind w:firstLine="420" w:firstLineChars="200"/>
        <w:rPr>
          <w:rFonts w:ascii="Times New Roman" w:hAnsi="Times New Roman" w:eastAsia="宋体" w:cs="Times New Roman"/>
          <w:kern w:val="0"/>
        </w:rPr>
      </w:pPr>
      <w:bookmarkStart w:id="27" w:name="OLE_LINK29"/>
      <w:r>
        <w:rPr>
          <w:rFonts w:ascii="Times New Roman" w:hAnsi="Times New Roman" w:eastAsia="宋体" w:cs="Times New Roman"/>
          <w:kern w:val="0"/>
        </w:rPr>
        <w:t xml:space="preserve">ISO 14064-1 </w:t>
      </w:r>
      <w:bookmarkStart w:id="28" w:name="_Hlk216269970"/>
      <w:r>
        <w:rPr>
          <w:rFonts w:hint="eastAsia" w:ascii="Times New Roman" w:hAnsi="Times New Roman" w:eastAsia="宋体" w:cs="Times New Roman"/>
          <w:kern w:val="0"/>
        </w:rPr>
        <w:t xml:space="preserve"> </w:t>
      </w:r>
      <w:r>
        <w:rPr>
          <w:rFonts w:ascii="Times New Roman" w:hAnsi="Times New Roman" w:eastAsia="宋体" w:cs="Times New Roman"/>
          <w:kern w:val="0"/>
        </w:rPr>
        <w:t>温室气体 第1部分：</w:t>
      </w:r>
      <w:bookmarkStart w:id="29" w:name="OLE_LINK36"/>
      <w:r>
        <w:rPr>
          <w:rFonts w:ascii="Times New Roman" w:hAnsi="Times New Roman" w:eastAsia="宋体" w:cs="Times New Roman"/>
          <w:kern w:val="0"/>
        </w:rPr>
        <w:t>组织层次上对温室气体排放和清除的量化与报告的规范及</w:t>
      </w:r>
      <w:bookmarkEnd w:id="28"/>
      <w:r>
        <w:rPr>
          <w:rFonts w:ascii="Times New Roman" w:hAnsi="Times New Roman" w:eastAsia="宋体" w:cs="Times New Roman"/>
          <w:kern w:val="0"/>
        </w:rPr>
        <w:t>指南</w:t>
      </w:r>
      <w:bookmarkEnd w:id="27"/>
      <w:bookmarkEnd w:id="29"/>
      <w:bookmarkStart w:id="30" w:name="OLE_LINK30"/>
      <w:r>
        <w:rPr>
          <w:rFonts w:ascii="Times New Roman" w:hAnsi="Times New Roman" w:eastAsia="宋体" w:cs="Times New Roman"/>
          <w:kern w:val="0"/>
        </w:rPr>
        <w:t>（</w:t>
      </w:r>
      <w:r>
        <w:rPr>
          <w:rFonts w:ascii="Times New Roman" w:hAnsi="Times New Roman" w:eastAsia="宋体" w:cs="Times New Roman"/>
        </w:rPr>
        <w:t>Greenhouse</w:t>
      </w:r>
      <w:r>
        <w:rPr>
          <w:rFonts w:hint="eastAsia" w:ascii="Times New Roman" w:hAnsi="Times New Roman" w:eastAsia="宋体" w:cs="Times New Roman"/>
        </w:rPr>
        <w:t xml:space="preserve"> </w:t>
      </w:r>
      <w:r>
        <w:rPr>
          <w:rFonts w:ascii="Times New Roman" w:hAnsi="Times New Roman" w:eastAsia="宋体" w:cs="Times New Roman"/>
        </w:rPr>
        <w:t>gases Part 1</w:t>
      </w:r>
      <w:r>
        <w:rPr>
          <w:rFonts w:hint="eastAsia" w:ascii="Times New Roman" w:hAnsi="Times New Roman" w:eastAsia="宋体" w:cs="Times New Roman"/>
        </w:rPr>
        <w:t>：</w:t>
      </w:r>
      <w:r>
        <w:rPr>
          <w:rFonts w:ascii="Times New Roman" w:hAnsi="Times New Roman" w:eastAsia="宋体" w:cs="Times New Roman"/>
        </w:rPr>
        <w:t>Specification with guidance at the organization level for quantification and reporting of</w:t>
      </w:r>
      <w:r>
        <w:rPr>
          <w:rFonts w:hint="eastAsia" w:ascii="Times New Roman" w:hAnsi="Times New Roman" w:eastAsia="宋体" w:cs="Times New Roman"/>
        </w:rPr>
        <w:t xml:space="preserve"> </w:t>
      </w:r>
      <w:r>
        <w:rPr>
          <w:rFonts w:ascii="Times New Roman" w:hAnsi="Times New Roman" w:eastAsia="宋体" w:cs="Times New Roman"/>
        </w:rPr>
        <w:t>greenhouse gas emissions and removals）</w:t>
      </w:r>
      <w:bookmarkEnd w:id="30"/>
    </w:p>
    <w:p w14:paraId="4E5E100F">
      <w:pPr>
        <w:tabs>
          <w:tab w:val="left" w:pos="2175"/>
        </w:tabs>
        <w:overflowPunct w:val="0"/>
        <w:ind w:firstLine="420" w:firstLineChars="200"/>
        <w:rPr>
          <w:rFonts w:ascii="Times New Roman" w:hAnsi="Times New Roman" w:eastAsia="宋体" w:cs="Times New Roman"/>
        </w:rPr>
      </w:pPr>
      <w:r>
        <w:rPr>
          <w:rFonts w:ascii="Times New Roman" w:hAnsi="Times New Roman" w:eastAsia="宋体" w:cs="Times New Roman"/>
        </w:rPr>
        <w:t>ISO 14064-2</w:t>
      </w:r>
      <w:r>
        <w:rPr>
          <w:rFonts w:hint="eastAsia" w:ascii="Times New Roman" w:hAnsi="Times New Roman" w:eastAsia="宋体" w:cs="Times New Roman"/>
        </w:rPr>
        <w:t xml:space="preserve"> </w:t>
      </w:r>
      <w:r>
        <w:rPr>
          <w:rFonts w:ascii="Times New Roman" w:hAnsi="Times New Roman" w:eastAsia="宋体" w:cs="Times New Roman"/>
        </w:rPr>
        <w:t xml:space="preserve"> </w:t>
      </w:r>
      <w:bookmarkStart w:id="31" w:name="OLE_LINK35"/>
      <w:r>
        <w:rPr>
          <w:rFonts w:ascii="Times New Roman" w:hAnsi="Times New Roman" w:eastAsia="宋体" w:cs="Times New Roman"/>
        </w:rPr>
        <w:t>温室气体 第2部分：项目层面对温室气体减排或清除增加的量化监测和报告的规范及指南</w:t>
      </w:r>
      <w:bookmarkEnd w:id="31"/>
      <w:bookmarkStart w:id="32" w:name="OLE_LINK32"/>
      <w:r>
        <w:rPr>
          <w:rFonts w:ascii="Times New Roman" w:hAnsi="Times New Roman" w:eastAsia="宋体" w:cs="Times New Roman"/>
        </w:rPr>
        <w:t>（Greenhouse gases Part 2：Specification with guidance at the project level for quantification, monitoring and reporting of greenhouse gas emission reductions or removal enhancements）</w:t>
      </w:r>
      <w:bookmarkEnd w:id="32"/>
    </w:p>
    <w:p w14:paraId="17000D0A">
      <w:pPr>
        <w:tabs>
          <w:tab w:val="left" w:pos="2175"/>
        </w:tabs>
        <w:overflowPunct w:val="0"/>
        <w:ind w:firstLine="420" w:firstLineChars="200"/>
        <w:rPr>
          <w:rFonts w:ascii="Times New Roman" w:hAnsi="Times New Roman" w:eastAsia="宋体" w:cs="Times New Roman"/>
        </w:rPr>
      </w:pPr>
      <w:r>
        <w:rPr>
          <w:rFonts w:ascii="Times New Roman" w:hAnsi="Times New Roman" w:eastAsia="宋体" w:cs="Times New Roman"/>
        </w:rPr>
        <w:t xml:space="preserve">ISO </w:t>
      </w:r>
      <w:bookmarkStart w:id="33" w:name="OLE_LINK39"/>
      <w:r>
        <w:rPr>
          <w:rFonts w:ascii="Times New Roman" w:hAnsi="Times New Roman" w:eastAsia="宋体" w:cs="Times New Roman"/>
        </w:rPr>
        <w:t>14068</w:t>
      </w:r>
      <w:bookmarkEnd w:id="33"/>
      <w:r>
        <w:rPr>
          <w:rFonts w:ascii="Times New Roman" w:hAnsi="Times New Roman" w:eastAsia="宋体" w:cs="Times New Roman"/>
        </w:rPr>
        <w:t xml:space="preserve">-1 </w:t>
      </w:r>
      <w:r>
        <w:rPr>
          <w:rFonts w:hint="eastAsia" w:ascii="Times New Roman" w:hAnsi="Times New Roman" w:eastAsia="宋体" w:cs="Times New Roman"/>
        </w:rPr>
        <w:t xml:space="preserve"> </w:t>
      </w:r>
      <w:r>
        <w:rPr>
          <w:rFonts w:ascii="Times New Roman" w:hAnsi="Times New Roman" w:eastAsia="宋体" w:cs="Times New Roman"/>
        </w:rPr>
        <w:t>气候变化管理</w:t>
      </w:r>
      <w:r>
        <w:rPr>
          <w:rFonts w:hint="eastAsia" w:ascii="Times New Roman" w:hAnsi="Times New Roman" w:eastAsia="宋体" w:cs="Times New Roman"/>
        </w:rPr>
        <w:t xml:space="preserve">  </w:t>
      </w:r>
      <w:r>
        <w:rPr>
          <w:rFonts w:ascii="Times New Roman" w:hAnsi="Times New Roman" w:eastAsia="宋体" w:cs="Times New Roman"/>
        </w:rPr>
        <w:t>向零</w:t>
      </w:r>
      <w:r>
        <w:rPr>
          <w:rFonts w:hint="eastAsia" w:ascii="Times New Roman" w:hAnsi="Times New Roman" w:eastAsia="宋体" w:cs="Times New Roman"/>
        </w:rPr>
        <w:t xml:space="preserve">碳转型  </w:t>
      </w:r>
      <w:r>
        <w:rPr>
          <w:rFonts w:ascii="Times New Roman" w:hAnsi="Times New Roman" w:eastAsia="宋体" w:cs="Times New Roman"/>
        </w:rPr>
        <w:t>第1部分：碳中和</w:t>
      </w:r>
      <w:bookmarkStart w:id="34" w:name="OLE_LINK33"/>
      <w:r>
        <w:rPr>
          <w:rFonts w:ascii="Times New Roman" w:hAnsi="Times New Roman" w:eastAsia="宋体" w:cs="Times New Roman"/>
        </w:rPr>
        <w:t>（Climate change management—Transition to net zero</w:t>
      </w:r>
      <w:r>
        <w:rPr>
          <w:rFonts w:hint="eastAsia" w:ascii="Times New Roman" w:hAnsi="Times New Roman" w:eastAsia="宋体" w:cs="Times New Roman"/>
        </w:rPr>
        <w:t>—</w:t>
      </w:r>
      <w:r>
        <w:rPr>
          <w:rFonts w:ascii="Times New Roman" w:hAnsi="Times New Roman" w:eastAsia="宋体" w:cs="Times New Roman"/>
        </w:rPr>
        <w:t>Part 1</w:t>
      </w:r>
      <w:r>
        <w:rPr>
          <w:rFonts w:hint="eastAsia" w:ascii="宋体" w:hAnsi="宋体" w:eastAsia="宋体" w:cs="Times New Roman"/>
        </w:rPr>
        <w:t>：</w:t>
      </w:r>
      <w:r>
        <w:rPr>
          <w:rFonts w:ascii="Times New Roman" w:hAnsi="Times New Roman" w:eastAsia="宋体" w:cs="Times New Roman"/>
        </w:rPr>
        <w:t>Carbon neutrality）</w:t>
      </w:r>
      <w:bookmarkEnd w:id="34"/>
    </w:p>
    <w:p w14:paraId="78010189">
      <w:pPr>
        <w:pStyle w:val="66"/>
        <w:numPr>
          <w:ilvl w:val="0"/>
          <w:numId w:val="1"/>
        </w:numPr>
        <w:overflowPunct w:val="0"/>
        <w:spacing w:before="286" w:after="286"/>
        <w:ind w:left="0" w:firstLine="0"/>
        <w:outlineLvl w:val="0"/>
        <w:rPr>
          <w:rFonts w:ascii="Times New Roman"/>
        </w:rPr>
      </w:pPr>
      <w:bookmarkStart w:id="35" w:name="_Toc220422356"/>
      <w:bookmarkStart w:id="36" w:name="_Toc187932675"/>
      <w:r>
        <w:rPr>
          <w:rFonts w:ascii="Times New Roman"/>
        </w:rPr>
        <w:t>术语和定义</w:t>
      </w:r>
      <w:bookmarkEnd w:id="35"/>
      <w:bookmarkEnd w:id="36"/>
    </w:p>
    <w:p w14:paraId="6E92B927">
      <w:pPr>
        <w:pStyle w:val="40"/>
        <w:rPr>
          <w:rFonts w:ascii="Times New Roman"/>
          <w:szCs w:val="24"/>
        </w:rPr>
      </w:pPr>
      <w:r>
        <w:rPr>
          <w:rFonts w:ascii="Times New Roman"/>
        </w:rPr>
        <w:t>下列术语和定义适用于本文件。</w:t>
      </w:r>
      <w:r>
        <w:rPr>
          <w:rFonts w:ascii="Times New Roman"/>
          <w:color w:val="0000FF"/>
          <w:szCs w:val="24"/>
        </w:rPr>
        <w:cr/>
      </w:r>
      <w:r>
        <w:rPr>
          <w:rFonts w:ascii="Times New Roman"/>
          <w:szCs w:val="24"/>
        </w:rPr>
        <w:t>3.1</w:t>
      </w:r>
    </w:p>
    <w:p w14:paraId="0DD5F339">
      <w:pPr>
        <w:overflowPunct w:val="0"/>
        <w:ind w:firstLine="420" w:firstLineChars="200"/>
        <w:rPr>
          <w:rFonts w:ascii="Times New Roman" w:hAnsi="Times New Roman" w:eastAsia="黑体" w:cs="Times New Roman"/>
          <w:szCs w:val="24"/>
        </w:rPr>
      </w:pPr>
      <w:r>
        <w:rPr>
          <w:rFonts w:ascii="Times New Roman" w:hAnsi="Times New Roman" w:eastAsia="黑体" w:cs="Times New Roman"/>
          <w:szCs w:val="24"/>
        </w:rPr>
        <w:t xml:space="preserve">碳管理体系  </w:t>
      </w:r>
      <w:r>
        <w:rPr>
          <w:rFonts w:ascii="Times New Roman" w:hAnsi="Times New Roman" w:eastAsia="黑体" w:cs="Times New Roman"/>
          <w:b/>
          <w:bCs/>
          <w:szCs w:val="24"/>
        </w:rPr>
        <w:t>carbon management system</w:t>
      </w:r>
    </w:p>
    <w:p w14:paraId="3F6B26CA">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管理体系的一部分，用于管理碳源、履行合规义务，并应对风险和机遇，用于建立碳方针、目标以及实现这些目标的过程的相互关联或相互作用的一组要素。</w:t>
      </w:r>
    </w:p>
    <w:p w14:paraId="2C9E3379">
      <w:pPr>
        <w:overflowPunct w:val="0"/>
        <w:rPr>
          <w:rFonts w:ascii="Times New Roman" w:hAnsi="Times New Roman" w:eastAsia="宋体" w:cs="Times New Roman"/>
          <w:szCs w:val="24"/>
        </w:rPr>
      </w:pPr>
      <w:r>
        <w:rPr>
          <w:rFonts w:ascii="Times New Roman" w:hAnsi="Times New Roman" w:eastAsia="宋体" w:cs="Times New Roman"/>
          <w:szCs w:val="24"/>
        </w:rPr>
        <w:t>3.2</w:t>
      </w:r>
    </w:p>
    <w:p w14:paraId="4C2976E2">
      <w:pPr>
        <w:overflowPunct w:val="0"/>
        <w:ind w:firstLine="420" w:firstLineChars="200"/>
        <w:rPr>
          <w:rFonts w:ascii="Times New Roman" w:hAnsi="Times New Roman" w:eastAsia="黑体" w:cs="Times New Roman"/>
          <w:szCs w:val="24"/>
        </w:rPr>
      </w:pPr>
      <w:r>
        <w:rPr>
          <w:rFonts w:ascii="Times New Roman" w:hAnsi="Times New Roman" w:eastAsia="黑体" w:cs="Times New Roman"/>
          <w:szCs w:val="24"/>
        </w:rPr>
        <w:t xml:space="preserve">碳源  </w:t>
      </w:r>
      <w:r>
        <w:rPr>
          <w:rFonts w:ascii="Times New Roman" w:hAnsi="Times New Roman" w:eastAsia="黑体" w:cs="Times New Roman"/>
          <w:b/>
          <w:bCs/>
          <w:szCs w:val="24"/>
        </w:rPr>
        <w:t>carbon source</w:t>
      </w:r>
      <w:r>
        <w:rPr>
          <w:rFonts w:ascii="Times New Roman" w:hAnsi="Times New Roman" w:eastAsia="黑体" w:cs="Times New Roman"/>
          <w:szCs w:val="24"/>
        </w:rPr>
        <w:t xml:space="preserve"> </w:t>
      </w:r>
    </w:p>
    <w:p w14:paraId="5C75166E">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 xml:space="preserve">向大气中排放温室气体的物理单元或过程。 </w:t>
      </w:r>
    </w:p>
    <w:p w14:paraId="12EA597F">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[来源：</w:t>
      </w:r>
      <w:r>
        <w:rPr>
          <w:rFonts w:ascii="Times New Roman" w:hAnsi="Times New Roman" w:eastAsia="宋体" w:cs="Times New Roman"/>
        </w:rPr>
        <w:t>GB/T 32150</w:t>
      </w:r>
      <w:r>
        <w:rPr>
          <w:rFonts w:hint="eastAsia" w:ascii="Times New Roman" w:hAnsi="Times New Roman" w:eastAsia="宋体" w:cs="Times New Roman"/>
        </w:rPr>
        <w:t>—</w:t>
      </w:r>
      <w:r>
        <w:rPr>
          <w:rFonts w:ascii="Times New Roman" w:hAnsi="Times New Roman" w:eastAsia="宋体" w:cs="Times New Roman"/>
        </w:rPr>
        <w:t>2015</w:t>
      </w:r>
      <w:r>
        <w:rPr>
          <w:rFonts w:ascii="Times New Roman" w:hAnsi="Times New Roman" w:eastAsia="宋体" w:cs="Times New Roman"/>
          <w:szCs w:val="24"/>
        </w:rPr>
        <w:t>，3.5]</w:t>
      </w:r>
    </w:p>
    <w:p w14:paraId="43782751">
      <w:pPr>
        <w:overflowPunct w:val="0"/>
        <w:rPr>
          <w:rFonts w:ascii="Times New Roman" w:hAnsi="Times New Roman" w:eastAsia="宋体" w:cs="Times New Roman"/>
          <w:szCs w:val="24"/>
        </w:rPr>
      </w:pPr>
      <w:r>
        <w:rPr>
          <w:rFonts w:ascii="Times New Roman" w:hAnsi="Times New Roman" w:eastAsia="宋体" w:cs="Times New Roman"/>
          <w:szCs w:val="24"/>
        </w:rPr>
        <w:t>3.3</w:t>
      </w:r>
    </w:p>
    <w:p w14:paraId="73892185">
      <w:pPr>
        <w:overflowPunct w:val="0"/>
        <w:ind w:firstLine="420" w:firstLineChars="200"/>
        <w:rPr>
          <w:rFonts w:ascii="Times New Roman" w:hAnsi="Times New Roman" w:eastAsia="黑体" w:cs="Times New Roman"/>
          <w:szCs w:val="24"/>
        </w:rPr>
      </w:pPr>
      <w:r>
        <w:rPr>
          <w:rFonts w:ascii="Times New Roman" w:hAnsi="Times New Roman" w:eastAsia="黑体" w:cs="Times New Roman"/>
          <w:szCs w:val="24"/>
        </w:rPr>
        <w:t xml:space="preserve">合规义务  </w:t>
      </w:r>
      <w:r>
        <w:rPr>
          <w:rFonts w:ascii="Times New Roman" w:hAnsi="Times New Roman" w:eastAsia="黑体" w:cs="Times New Roman"/>
          <w:b/>
          <w:bCs/>
          <w:szCs w:val="24"/>
        </w:rPr>
        <w:t xml:space="preserve">compliance obligations </w:t>
      </w:r>
    </w:p>
    <w:p w14:paraId="693A241A">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组织必须遵守的法律法规要求，以及组织必须遵守或选择遵守的其他要求。</w:t>
      </w:r>
    </w:p>
    <w:p w14:paraId="3E49B8EE">
      <w:pPr>
        <w:overflowPunct w:val="0"/>
        <w:ind w:firstLine="360" w:firstLineChars="200"/>
        <w:rPr>
          <w:rFonts w:ascii="Times New Roman" w:hAnsi="Times New Roman" w:eastAsia="宋体" w:cs="Times New Roman"/>
          <w:szCs w:val="24"/>
        </w:rPr>
      </w:pPr>
      <w:r>
        <w:rPr>
          <w:rFonts w:ascii="Times New Roman" w:hAnsi="Times New Roman" w:eastAsia="黑体" w:cs="Times New Roman"/>
          <w:sz w:val="18"/>
          <w:szCs w:val="18"/>
        </w:rPr>
        <w:t>注：</w:t>
      </w:r>
      <w:r>
        <w:rPr>
          <w:rFonts w:ascii="Times New Roman" w:hAnsi="Times New Roman" w:eastAsia="宋体" w:cs="Times New Roman"/>
          <w:sz w:val="18"/>
          <w:szCs w:val="18"/>
        </w:rPr>
        <w:t>合规义务是与碳管理体系相关的。</w:t>
      </w:r>
      <w:r>
        <w:rPr>
          <w:rFonts w:ascii="Times New Roman" w:hAnsi="Times New Roman" w:eastAsia="黑体" w:cs="Times New Roman"/>
          <w:sz w:val="18"/>
          <w:szCs w:val="18"/>
        </w:rPr>
        <w:t xml:space="preserve">  </w:t>
      </w:r>
    </w:p>
    <w:p w14:paraId="2D48570E">
      <w:pPr>
        <w:overflowPunct w:val="0"/>
        <w:rPr>
          <w:rFonts w:ascii="Times New Roman" w:hAnsi="Times New Roman" w:eastAsia="宋体" w:cs="Times New Roman"/>
          <w:szCs w:val="24"/>
        </w:rPr>
      </w:pPr>
      <w:r>
        <w:rPr>
          <w:rFonts w:ascii="Times New Roman" w:hAnsi="Times New Roman" w:eastAsia="宋体" w:cs="Times New Roman"/>
          <w:szCs w:val="24"/>
        </w:rPr>
        <w:t>3.4</w:t>
      </w:r>
    </w:p>
    <w:p w14:paraId="4B4090B2">
      <w:pPr>
        <w:overflowPunct w:val="0"/>
        <w:ind w:firstLine="420" w:firstLineChars="200"/>
        <w:rPr>
          <w:rFonts w:ascii="Times New Roman" w:hAnsi="Times New Roman" w:eastAsia="黑体" w:cs="Times New Roman"/>
          <w:b/>
          <w:bCs/>
          <w:szCs w:val="24"/>
        </w:rPr>
      </w:pPr>
      <w:r>
        <w:rPr>
          <w:rFonts w:ascii="Times New Roman" w:hAnsi="Times New Roman" w:eastAsia="黑体" w:cs="Times New Roman"/>
          <w:szCs w:val="24"/>
        </w:rPr>
        <w:t xml:space="preserve">碳方针  </w:t>
      </w:r>
      <w:r>
        <w:rPr>
          <w:rFonts w:ascii="Times New Roman" w:hAnsi="Times New Roman" w:eastAsia="黑体" w:cs="Times New Roman"/>
          <w:b/>
          <w:bCs/>
          <w:szCs w:val="24"/>
        </w:rPr>
        <w:t>carbon policy</w:t>
      </w:r>
    </w:p>
    <w:p w14:paraId="06FBE9FD">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由最高管理者就碳绩效正式表述的组织意图和方向。</w:t>
      </w:r>
    </w:p>
    <w:p w14:paraId="4DAFC0BB">
      <w:pPr>
        <w:overflowPunct w:val="0"/>
        <w:rPr>
          <w:rFonts w:ascii="Times New Roman" w:hAnsi="Times New Roman" w:eastAsia="宋体" w:cs="Times New Roman"/>
          <w:kern w:val="0"/>
          <w:szCs w:val="20"/>
        </w:rPr>
      </w:pPr>
      <w:bookmarkStart w:id="37" w:name="OLE_LINK41"/>
      <w:r>
        <w:rPr>
          <w:rFonts w:ascii="Times New Roman" w:hAnsi="Times New Roman" w:eastAsia="宋体" w:cs="Times New Roman"/>
          <w:kern w:val="0"/>
          <w:szCs w:val="20"/>
        </w:rPr>
        <w:t>3.5</w:t>
      </w:r>
    </w:p>
    <w:p w14:paraId="6A81A8D6">
      <w:pPr>
        <w:overflowPunct w:val="0"/>
        <w:ind w:firstLine="420" w:firstLineChars="200"/>
        <w:rPr>
          <w:rFonts w:ascii="Times New Roman" w:hAnsi="Times New Roman" w:eastAsia="宋体" w:cs="Times New Roman"/>
          <w:b/>
          <w:bCs/>
          <w:kern w:val="0"/>
          <w:szCs w:val="20"/>
        </w:rPr>
      </w:pPr>
      <w:r>
        <w:rPr>
          <w:rFonts w:ascii="Times New Roman" w:hAnsi="Times New Roman" w:eastAsia="黑体" w:cs="Times New Roman"/>
          <w:kern w:val="0"/>
          <w:szCs w:val="20"/>
        </w:rPr>
        <w:t>碳目标</w:t>
      </w:r>
      <w:r>
        <w:rPr>
          <w:rFonts w:ascii="Times New Roman" w:hAnsi="Times New Roman" w:eastAsia="宋体" w:cs="Times New Roman"/>
          <w:kern w:val="0"/>
          <w:szCs w:val="20"/>
        </w:rPr>
        <w:t xml:space="preserve">  </w:t>
      </w:r>
      <w:r>
        <w:rPr>
          <w:rFonts w:ascii="Times New Roman" w:hAnsi="Times New Roman" w:eastAsia="宋体" w:cs="Times New Roman"/>
          <w:b/>
          <w:bCs/>
          <w:kern w:val="0"/>
          <w:szCs w:val="20"/>
        </w:rPr>
        <w:t>carbon objective</w:t>
      </w:r>
    </w:p>
    <w:p w14:paraId="0B3710F5">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碳管理要实现的结果。</w:t>
      </w:r>
    </w:p>
    <w:p w14:paraId="5A923A1B">
      <w:pPr>
        <w:overflowPunct w:val="0"/>
        <w:ind w:firstLine="360" w:firstLineChars="200"/>
        <w:rPr>
          <w:rFonts w:ascii="Times New Roman" w:hAnsi="Times New Roman" w:eastAsia="宋体" w:cs="Times New Roman"/>
          <w:sz w:val="18"/>
          <w:szCs w:val="18"/>
        </w:rPr>
      </w:pPr>
      <w:bookmarkStart w:id="38" w:name="OLE_LINK38"/>
      <w:r>
        <w:rPr>
          <w:rFonts w:ascii="Times New Roman" w:hAnsi="Times New Roman" w:eastAsia="黑体" w:cs="Times New Roman"/>
          <w:sz w:val="18"/>
          <w:szCs w:val="18"/>
        </w:rPr>
        <w:t>注：</w:t>
      </w:r>
      <w:r>
        <w:rPr>
          <w:rFonts w:ascii="Times New Roman" w:hAnsi="Times New Roman" w:eastAsia="宋体" w:cs="Times New Roman"/>
          <w:sz w:val="18"/>
          <w:szCs w:val="18"/>
        </w:rPr>
        <w:t>碳目标可以是企业中长期碳中和目标，也可以是短期或年度碳管理目标。</w:t>
      </w:r>
    </w:p>
    <w:bookmarkEnd w:id="38"/>
    <w:p w14:paraId="493634FF">
      <w:pPr>
        <w:overflowPunct w:val="0"/>
        <w:rPr>
          <w:rFonts w:ascii="Times New Roman" w:hAnsi="Times New Roman" w:eastAsia="宋体" w:cs="Times New Roman"/>
          <w:kern w:val="0"/>
          <w:szCs w:val="20"/>
        </w:rPr>
      </w:pPr>
      <w:r>
        <w:rPr>
          <w:rFonts w:ascii="Times New Roman" w:hAnsi="Times New Roman" w:eastAsia="宋体" w:cs="Times New Roman"/>
          <w:kern w:val="0"/>
          <w:szCs w:val="20"/>
        </w:rPr>
        <w:t>3.6</w:t>
      </w:r>
    </w:p>
    <w:p w14:paraId="3F9BE6FD">
      <w:pPr>
        <w:overflowPunct w:val="0"/>
        <w:ind w:firstLine="420" w:firstLineChars="200"/>
        <w:rPr>
          <w:rFonts w:ascii="Times New Roman" w:hAnsi="Times New Roman" w:eastAsia="宋体" w:cs="Times New Roman"/>
          <w:kern w:val="0"/>
          <w:szCs w:val="20"/>
        </w:rPr>
      </w:pPr>
      <w:r>
        <w:rPr>
          <w:rFonts w:ascii="Times New Roman" w:hAnsi="Times New Roman" w:eastAsia="黑体" w:cs="Times New Roman"/>
          <w:kern w:val="0"/>
          <w:szCs w:val="20"/>
        </w:rPr>
        <w:t>碳中和</w:t>
      </w:r>
      <w:r>
        <w:rPr>
          <w:rFonts w:ascii="Times New Roman" w:hAnsi="Times New Roman" w:eastAsia="宋体" w:cs="Times New Roman"/>
          <w:kern w:val="0"/>
          <w:szCs w:val="20"/>
        </w:rPr>
        <w:t xml:space="preserve">  </w:t>
      </w:r>
      <w:r>
        <w:rPr>
          <w:rFonts w:ascii="Times New Roman" w:hAnsi="Times New Roman" w:eastAsia="宋体" w:cs="Times New Roman"/>
          <w:b/>
          <w:bCs/>
          <w:kern w:val="0"/>
          <w:szCs w:val="20"/>
        </w:rPr>
        <w:t>carbon neutrality</w:t>
      </w:r>
    </w:p>
    <w:p w14:paraId="5AF95545">
      <w:pPr>
        <w:overflowPunct w:val="0"/>
        <w:ind w:firstLine="420" w:firstLineChars="200"/>
        <w:rPr>
          <w:rFonts w:ascii="Times New Roman" w:hAnsi="Times New Roman" w:eastAsia="宋体" w:cs="Times New Roman"/>
          <w:color w:val="auto"/>
          <w:szCs w:val="24"/>
        </w:rPr>
      </w:pPr>
      <w:r>
        <w:rPr>
          <w:rFonts w:ascii="Times New Roman" w:hAnsi="Times New Roman" w:eastAsia="宋体" w:cs="Times New Roman"/>
          <w:color w:val="auto"/>
          <w:szCs w:val="24"/>
        </w:rPr>
        <w:t>在特定时期内</w:t>
      </w:r>
      <w:r>
        <w:rPr>
          <w:rFonts w:hint="eastAsia" w:ascii="Times New Roman" w:hAnsi="Times New Roman" w:eastAsia="宋体" w:cs="Times New Roman"/>
          <w:color w:val="auto"/>
          <w:szCs w:val="24"/>
        </w:rPr>
        <w:t>，工业企业</w:t>
      </w:r>
      <w:r>
        <w:rPr>
          <w:rFonts w:ascii="Times New Roman" w:hAnsi="Times New Roman" w:eastAsia="宋体" w:cs="Times New Roman"/>
          <w:color w:val="auto"/>
          <w:szCs w:val="24"/>
        </w:rPr>
        <w:t>通过实施减排和清除增强活动来减少碳足迹</w:t>
      </w:r>
      <w:r>
        <w:rPr>
          <w:rFonts w:hint="eastAsia" w:ascii="Times New Roman" w:hAnsi="Times New Roman" w:eastAsia="宋体" w:cs="Times New Roman"/>
          <w:color w:val="auto"/>
          <w:szCs w:val="24"/>
        </w:rPr>
        <w:t>，</w:t>
      </w:r>
      <w:r>
        <w:rPr>
          <w:rFonts w:ascii="Times New Roman" w:hAnsi="Times New Roman" w:eastAsia="宋体" w:cs="Times New Roman"/>
          <w:color w:val="auto"/>
          <w:szCs w:val="24"/>
        </w:rPr>
        <w:t>实现</w:t>
      </w:r>
      <w:r>
        <w:rPr>
          <w:rFonts w:hint="eastAsia" w:ascii="Times New Roman" w:hAnsi="Times New Roman" w:eastAsia="宋体" w:cs="Times New Roman"/>
          <w:color w:val="auto"/>
          <w:szCs w:val="24"/>
        </w:rPr>
        <w:t>碳</w:t>
      </w:r>
      <w:r>
        <w:rPr>
          <w:rFonts w:ascii="Times New Roman" w:hAnsi="Times New Roman" w:eastAsia="宋体" w:cs="Times New Roman"/>
          <w:color w:val="auto"/>
          <w:szCs w:val="24"/>
        </w:rPr>
        <w:t>排放量与</w:t>
      </w:r>
      <w:r>
        <w:rPr>
          <w:rFonts w:hint="eastAsia" w:ascii="Times New Roman" w:hAnsi="Times New Roman" w:eastAsia="宋体" w:cs="Times New Roman"/>
          <w:color w:val="auto"/>
          <w:szCs w:val="24"/>
        </w:rPr>
        <w:t>碳</w:t>
      </w:r>
      <w:r>
        <w:rPr>
          <w:rFonts w:ascii="Times New Roman" w:hAnsi="Times New Roman" w:eastAsia="宋体" w:cs="Times New Roman"/>
          <w:color w:val="auto"/>
          <w:szCs w:val="24"/>
        </w:rPr>
        <w:t>清除量之和为零的状态</w:t>
      </w:r>
      <w:r>
        <w:rPr>
          <w:rFonts w:ascii="Times New Roman" w:hAnsi="Times New Roman" w:eastAsia="宋体" w:cs="Times New Roman"/>
          <w:szCs w:val="24"/>
        </w:rPr>
        <w:t>。</w:t>
      </w:r>
    </w:p>
    <w:p w14:paraId="3BEFC9CF">
      <w:pPr>
        <w:overflowPunct w:val="0"/>
        <w:ind w:firstLine="360" w:firstLineChars="200"/>
        <w:rPr>
          <w:rFonts w:ascii="Times New Roman" w:hAnsi="Times New Roman" w:eastAsia="宋体" w:cs="Times New Roman"/>
          <w:sz w:val="18"/>
          <w:szCs w:val="18"/>
        </w:rPr>
      </w:pPr>
      <w:r>
        <w:rPr>
          <w:rFonts w:ascii="Times New Roman" w:hAnsi="Times New Roman" w:eastAsia="黑体" w:cs="Times New Roman"/>
          <w:sz w:val="18"/>
          <w:szCs w:val="18"/>
        </w:rPr>
        <w:t>注</w:t>
      </w:r>
      <w:r>
        <w:rPr>
          <w:rFonts w:hint="eastAsia" w:ascii="Times New Roman" w:hAnsi="Times New Roman" w:eastAsia="黑体" w:cs="Times New Roman"/>
          <w:sz w:val="18"/>
          <w:szCs w:val="18"/>
        </w:rPr>
        <w:t>1</w:t>
      </w:r>
      <w:r>
        <w:rPr>
          <w:rFonts w:ascii="Times New Roman" w:hAnsi="Times New Roman" w:eastAsia="黑体" w:cs="Times New Roman"/>
          <w:sz w:val="18"/>
          <w:szCs w:val="18"/>
        </w:rPr>
        <w:t>：</w:t>
      </w:r>
      <w:r>
        <w:rPr>
          <w:rFonts w:ascii="Times New Roman" w:hAnsi="Times New Roman" w:eastAsia="宋体" w:cs="Times New Roman"/>
          <w:sz w:val="18"/>
          <w:szCs w:val="18"/>
        </w:rPr>
        <w:t>实施减排和清除增强活动的示例包括造林碳汇、土壤碳汇、生物能利用、直接空气捕集</w:t>
      </w:r>
      <w:r>
        <w:rPr>
          <w:rFonts w:hint="eastAsia" w:ascii="Times New Roman" w:hAnsi="Times New Roman" w:eastAsia="宋体" w:cs="Times New Roman"/>
          <w:sz w:val="18"/>
          <w:szCs w:val="18"/>
        </w:rPr>
        <w:t>（</w:t>
      </w:r>
      <w:r>
        <w:rPr>
          <w:rFonts w:ascii="Times New Roman" w:hAnsi="Times New Roman" w:eastAsia="宋体" w:cs="Times New Roman"/>
          <w:sz w:val="18"/>
          <w:szCs w:val="18"/>
        </w:rPr>
        <w:t>DAC</w:t>
      </w:r>
      <w:r>
        <w:rPr>
          <w:rFonts w:hint="eastAsia" w:ascii="Times New Roman" w:hAnsi="Times New Roman" w:eastAsia="宋体" w:cs="Times New Roman"/>
          <w:sz w:val="18"/>
          <w:szCs w:val="18"/>
        </w:rPr>
        <w:t>）</w:t>
      </w:r>
      <w:r>
        <w:rPr>
          <w:rFonts w:ascii="Times New Roman" w:hAnsi="Times New Roman" w:eastAsia="宋体" w:cs="Times New Roman"/>
          <w:sz w:val="18"/>
          <w:szCs w:val="18"/>
        </w:rPr>
        <w:t>、碳捕集、利用与封存</w:t>
      </w:r>
      <w:r>
        <w:rPr>
          <w:rFonts w:hint="eastAsia" w:ascii="Times New Roman" w:hAnsi="Times New Roman" w:eastAsia="宋体" w:cs="Times New Roman"/>
          <w:sz w:val="18"/>
          <w:szCs w:val="18"/>
        </w:rPr>
        <w:t>（</w:t>
      </w:r>
      <w:r>
        <w:rPr>
          <w:rFonts w:ascii="Times New Roman" w:hAnsi="Times New Roman" w:eastAsia="宋体" w:cs="Times New Roman"/>
          <w:sz w:val="18"/>
          <w:szCs w:val="18"/>
        </w:rPr>
        <w:t>CCUS</w:t>
      </w:r>
      <w:r>
        <w:rPr>
          <w:rFonts w:hint="eastAsia" w:ascii="Times New Roman" w:hAnsi="Times New Roman" w:eastAsia="宋体" w:cs="Times New Roman"/>
          <w:sz w:val="18"/>
          <w:szCs w:val="18"/>
        </w:rPr>
        <w:t>）</w:t>
      </w:r>
      <w:r>
        <w:rPr>
          <w:rFonts w:ascii="Times New Roman" w:hAnsi="Times New Roman" w:eastAsia="宋体" w:cs="Times New Roman"/>
          <w:sz w:val="18"/>
          <w:szCs w:val="18"/>
        </w:rPr>
        <w:t>等。</w:t>
      </w:r>
    </w:p>
    <w:p w14:paraId="065699A4">
      <w:pPr>
        <w:overflowPunct w:val="0"/>
        <w:ind w:firstLine="360" w:firstLineChars="200"/>
        <w:rPr>
          <w:rFonts w:ascii="Times New Roman" w:hAnsi="Times New Roman" w:eastAsia="宋体" w:cs="Times New Roman"/>
          <w:sz w:val="18"/>
          <w:szCs w:val="18"/>
        </w:rPr>
      </w:pPr>
      <w:r>
        <w:rPr>
          <w:rFonts w:ascii="Times New Roman" w:hAnsi="Times New Roman" w:eastAsia="黑体" w:cs="Times New Roman"/>
          <w:sz w:val="18"/>
          <w:szCs w:val="18"/>
        </w:rPr>
        <w:t>注</w:t>
      </w:r>
      <w:r>
        <w:rPr>
          <w:rFonts w:hint="eastAsia" w:ascii="Times New Roman" w:hAnsi="Times New Roman" w:eastAsia="黑体" w:cs="Times New Roman"/>
          <w:sz w:val="18"/>
          <w:szCs w:val="18"/>
        </w:rPr>
        <w:t>2</w:t>
      </w:r>
      <w:r>
        <w:rPr>
          <w:rFonts w:ascii="Times New Roman" w:hAnsi="Times New Roman" w:eastAsia="黑体" w:cs="Times New Roman"/>
          <w:sz w:val="18"/>
          <w:szCs w:val="18"/>
        </w:rPr>
        <w:t>：</w:t>
      </w:r>
      <w:r>
        <w:rPr>
          <w:rFonts w:ascii="Times New Roman" w:hAnsi="Times New Roman" w:eastAsia="宋体" w:cs="Times New Roman"/>
          <w:sz w:val="18"/>
          <w:szCs w:val="18"/>
        </w:rPr>
        <w:t>碳汇是指通过植树造林、森林管理、退耕还草和海洋生态修复等措施</w:t>
      </w:r>
      <w:r>
        <w:rPr>
          <w:rFonts w:hint="eastAsia" w:ascii="Times New Roman" w:hAnsi="Times New Roman" w:eastAsia="宋体" w:cs="Times New Roman"/>
          <w:sz w:val="18"/>
          <w:szCs w:val="18"/>
        </w:rPr>
        <w:t>，</w:t>
      </w:r>
      <w:r>
        <w:rPr>
          <w:rFonts w:ascii="Times New Roman" w:hAnsi="Times New Roman" w:eastAsia="宋体" w:cs="Times New Roman"/>
          <w:sz w:val="18"/>
          <w:szCs w:val="18"/>
        </w:rPr>
        <w:t>将二氧化碳固定在植被、土壤或</w:t>
      </w:r>
      <w:r>
        <w:rPr>
          <w:rFonts w:hint="eastAsia" w:ascii="Times New Roman" w:hAnsi="Times New Roman" w:eastAsia="宋体" w:cs="Times New Roman"/>
          <w:sz w:val="18"/>
          <w:szCs w:val="18"/>
        </w:rPr>
        <w:t>（</w:t>
      </w:r>
      <w:r>
        <w:rPr>
          <w:rFonts w:ascii="Times New Roman" w:hAnsi="Times New Roman" w:eastAsia="宋体" w:cs="Times New Roman"/>
          <w:sz w:val="18"/>
          <w:szCs w:val="18"/>
        </w:rPr>
        <w:t>和</w:t>
      </w:r>
      <w:r>
        <w:rPr>
          <w:rFonts w:hint="eastAsia" w:ascii="Times New Roman" w:hAnsi="Times New Roman" w:eastAsia="宋体" w:cs="Times New Roman"/>
          <w:sz w:val="18"/>
          <w:szCs w:val="18"/>
        </w:rPr>
        <w:t>）</w:t>
      </w:r>
      <w:r>
        <w:rPr>
          <w:rFonts w:ascii="Times New Roman" w:hAnsi="Times New Roman" w:eastAsia="宋体" w:cs="Times New Roman"/>
          <w:sz w:val="18"/>
          <w:szCs w:val="18"/>
        </w:rPr>
        <w:t>海洋中</w:t>
      </w:r>
      <w:r>
        <w:rPr>
          <w:rFonts w:hint="eastAsia" w:ascii="Times New Roman" w:hAnsi="Times New Roman" w:eastAsia="宋体" w:cs="Times New Roman"/>
          <w:sz w:val="18"/>
          <w:szCs w:val="18"/>
        </w:rPr>
        <w:t>，</w:t>
      </w:r>
      <w:r>
        <w:rPr>
          <w:rFonts w:ascii="Times New Roman" w:hAnsi="Times New Roman" w:eastAsia="宋体" w:cs="Times New Roman"/>
          <w:sz w:val="18"/>
          <w:szCs w:val="18"/>
        </w:rPr>
        <w:t>从而去除大气中二氧化碳的过程、活动或机制。</w:t>
      </w:r>
    </w:p>
    <w:p w14:paraId="00AD7637">
      <w:pPr>
        <w:overflowPunct w:val="0"/>
        <w:ind w:firstLine="420" w:firstLineChars="200"/>
        <w:rPr>
          <w:rFonts w:hint="eastAsia" w:ascii="Times New Roman" w:hAnsi="Times New Roman" w:eastAsia="黑体" w:cs="Times New Roman"/>
          <w:color w:val="EE0000"/>
          <w:szCs w:val="24"/>
        </w:rPr>
      </w:pPr>
      <w:r>
        <w:rPr>
          <w:rFonts w:ascii="Times New Roman" w:hAnsi="Times New Roman" w:eastAsia="宋体" w:cs="Times New Roman"/>
          <w:szCs w:val="24"/>
        </w:rPr>
        <w:t>[来源：</w:t>
      </w:r>
      <w:r>
        <w:rPr>
          <w:rFonts w:ascii="Times New Roman" w:hAnsi="Times New Roman" w:eastAsia="宋体" w:cs="Times New Roman"/>
        </w:rPr>
        <w:t xml:space="preserve">GB/T </w:t>
      </w:r>
      <w:r>
        <w:rPr>
          <w:rFonts w:hint="eastAsia" w:ascii="Times New Roman" w:hAnsi="Times New Roman" w:eastAsia="宋体" w:cs="Times New Roman"/>
        </w:rPr>
        <w:t>46566—</w:t>
      </w:r>
      <w:r>
        <w:rPr>
          <w:rFonts w:ascii="Times New Roman" w:hAnsi="Times New Roman" w:eastAsia="宋体" w:cs="Times New Roman"/>
        </w:rPr>
        <w:t>20</w:t>
      </w:r>
      <w:r>
        <w:rPr>
          <w:rFonts w:hint="eastAsia" w:ascii="Times New Roman" w:hAnsi="Times New Roman" w:eastAsia="宋体" w:cs="Times New Roman"/>
        </w:rPr>
        <w:t>2</w:t>
      </w:r>
      <w:r>
        <w:rPr>
          <w:rFonts w:ascii="Times New Roman" w:hAnsi="Times New Roman" w:eastAsia="宋体" w:cs="Times New Roman"/>
        </w:rPr>
        <w:t>5</w:t>
      </w:r>
      <w:r>
        <w:rPr>
          <w:rFonts w:ascii="Times New Roman" w:hAnsi="Times New Roman" w:eastAsia="宋体" w:cs="Times New Roman"/>
          <w:szCs w:val="24"/>
        </w:rPr>
        <w:t>，3.</w:t>
      </w:r>
      <w:r>
        <w:rPr>
          <w:rFonts w:hint="eastAsia" w:ascii="Times New Roman" w:hAnsi="Times New Roman" w:eastAsia="宋体" w:cs="Times New Roman"/>
          <w:szCs w:val="24"/>
        </w:rPr>
        <w:t>3.8，有修改</w:t>
      </w:r>
      <w:r>
        <w:rPr>
          <w:rFonts w:ascii="Times New Roman" w:hAnsi="Times New Roman" w:eastAsia="宋体" w:cs="Times New Roman"/>
          <w:szCs w:val="24"/>
        </w:rPr>
        <w:t>]</w:t>
      </w:r>
    </w:p>
    <w:p w14:paraId="521DED7C">
      <w:pPr>
        <w:overflowPunct w:val="0"/>
        <w:rPr>
          <w:rFonts w:ascii="Times New Roman" w:hAnsi="Times New Roman" w:eastAsia="宋体" w:cs="Times New Roman"/>
          <w:kern w:val="0"/>
          <w:szCs w:val="20"/>
        </w:rPr>
      </w:pPr>
      <w:r>
        <w:rPr>
          <w:rFonts w:ascii="Times New Roman" w:hAnsi="Times New Roman" w:eastAsia="宋体" w:cs="Times New Roman"/>
          <w:kern w:val="0"/>
          <w:szCs w:val="20"/>
        </w:rPr>
        <w:t>3.7</w:t>
      </w:r>
    </w:p>
    <w:p w14:paraId="612C8DE1">
      <w:pPr>
        <w:overflowPunct w:val="0"/>
        <w:ind w:firstLine="420" w:firstLineChars="200"/>
        <w:rPr>
          <w:rFonts w:ascii="Times New Roman" w:hAnsi="Times New Roman" w:eastAsia="黑体" w:cs="Times New Roman"/>
          <w:b/>
          <w:bCs/>
          <w:szCs w:val="24"/>
        </w:rPr>
      </w:pPr>
      <w:r>
        <w:rPr>
          <w:rFonts w:ascii="Times New Roman" w:hAnsi="Times New Roman" w:eastAsia="黑体" w:cs="Times New Roman"/>
          <w:szCs w:val="24"/>
        </w:rPr>
        <w:t xml:space="preserve">碳汇  </w:t>
      </w:r>
      <w:r>
        <w:rPr>
          <w:rFonts w:ascii="Times New Roman" w:hAnsi="Times New Roman" w:eastAsia="黑体" w:cs="Times New Roman"/>
          <w:b/>
          <w:bCs/>
          <w:szCs w:val="24"/>
        </w:rPr>
        <w:t xml:space="preserve">carbon sink </w:t>
      </w:r>
    </w:p>
    <w:p w14:paraId="497BEC5B">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 xml:space="preserve">从大气中清除温室气体的过程。 </w:t>
      </w:r>
    </w:p>
    <w:p w14:paraId="287EE18B">
      <w:pPr>
        <w:overflowPunct w:val="0"/>
        <w:rPr>
          <w:rFonts w:ascii="Times New Roman" w:hAnsi="Times New Roman" w:eastAsia="宋体" w:cs="Times New Roman"/>
          <w:szCs w:val="24"/>
        </w:rPr>
      </w:pPr>
      <w:r>
        <w:rPr>
          <w:rFonts w:ascii="Times New Roman" w:hAnsi="Times New Roman" w:eastAsia="宋体" w:cs="Times New Roman"/>
          <w:szCs w:val="24"/>
        </w:rPr>
        <w:t>3.8</w:t>
      </w:r>
    </w:p>
    <w:p w14:paraId="269F5EAD">
      <w:pPr>
        <w:overflowPunct w:val="0"/>
        <w:ind w:firstLine="420" w:firstLineChars="200"/>
        <w:rPr>
          <w:rFonts w:ascii="Times New Roman" w:hAnsi="Times New Roman" w:eastAsia="宋体" w:cs="Times New Roman"/>
          <w:szCs w:val="24"/>
        </w:rPr>
      </w:pPr>
      <w:r>
        <w:rPr>
          <w:rFonts w:ascii="Times New Roman" w:hAnsi="Times New Roman" w:eastAsia="黑体" w:cs="Times New Roman"/>
          <w:szCs w:val="24"/>
        </w:rPr>
        <w:t>碳绩效</w:t>
      </w:r>
      <w:r>
        <w:rPr>
          <w:rFonts w:ascii="Times New Roman" w:hAnsi="Times New Roman" w:eastAsia="宋体" w:cs="Times New Roman"/>
          <w:szCs w:val="24"/>
        </w:rPr>
        <w:t xml:space="preserve">  </w:t>
      </w:r>
      <w:r>
        <w:rPr>
          <w:rFonts w:ascii="Times New Roman" w:hAnsi="Times New Roman" w:eastAsia="宋体" w:cs="Times New Roman"/>
          <w:b/>
          <w:bCs/>
          <w:szCs w:val="24"/>
        </w:rPr>
        <w:t>carbon performance</w:t>
      </w:r>
    </w:p>
    <w:p w14:paraId="4AFFC9C5">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 xml:space="preserve">与碳源管理、碳排放强度和总量有关的、可测量的结果。 </w:t>
      </w:r>
    </w:p>
    <w:p w14:paraId="51EC69E0">
      <w:pPr>
        <w:overflowPunct w:val="0"/>
        <w:ind w:firstLine="360" w:firstLineChars="200"/>
        <w:rPr>
          <w:rFonts w:ascii="Times New Roman" w:hAnsi="Times New Roman" w:eastAsia="宋体" w:cs="Times New Roman"/>
          <w:sz w:val="18"/>
          <w:szCs w:val="18"/>
        </w:rPr>
      </w:pPr>
      <w:r>
        <w:rPr>
          <w:rFonts w:ascii="Times New Roman" w:hAnsi="Times New Roman" w:eastAsia="黑体" w:cs="Times New Roman"/>
          <w:sz w:val="18"/>
          <w:szCs w:val="18"/>
        </w:rPr>
        <w:t>注</w:t>
      </w:r>
      <w:r>
        <w:rPr>
          <w:rFonts w:ascii="Times New Roman" w:hAnsi="Times New Roman" w:eastAsia="宋体" w:cs="Times New Roman"/>
          <w:sz w:val="18"/>
          <w:szCs w:val="18"/>
        </w:rPr>
        <w:t xml:space="preserve">1：可通过企业的目标和其他碳绩效要求测量碳绩效。 </w:t>
      </w:r>
    </w:p>
    <w:p w14:paraId="75A69202">
      <w:pPr>
        <w:overflowPunct w:val="0"/>
        <w:ind w:firstLine="360" w:firstLineChars="200"/>
        <w:rPr>
          <w:rFonts w:ascii="Times New Roman" w:hAnsi="Times New Roman" w:eastAsia="宋体" w:cs="Times New Roman"/>
          <w:sz w:val="18"/>
          <w:szCs w:val="18"/>
        </w:rPr>
      </w:pPr>
      <w:r>
        <w:rPr>
          <w:rFonts w:ascii="Times New Roman" w:hAnsi="Times New Roman" w:eastAsia="黑体" w:cs="Times New Roman"/>
          <w:sz w:val="18"/>
          <w:szCs w:val="18"/>
        </w:rPr>
        <w:t>注</w:t>
      </w:r>
      <w:r>
        <w:rPr>
          <w:rFonts w:ascii="Times New Roman" w:hAnsi="Times New Roman" w:eastAsia="宋体" w:cs="Times New Roman"/>
          <w:sz w:val="18"/>
          <w:szCs w:val="18"/>
        </w:rPr>
        <w:t>2：碳绩效是碳管理体系绩效的组成部分。</w:t>
      </w:r>
      <w:bookmarkEnd w:id="37"/>
    </w:p>
    <w:p w14:paraId="30B75096">
      <w:pPr>
        <w:overflowPunct w:val="0"/>
        <w:rPr>
          <w:rFonts w:ascii="Times New Roman" w:hAnsi="Times New Roman" w:eastAsia="宋体" w:cs="Times New Roman"/>
          <w:szCs w:val="24"/>
        </w:rPr>
      </w:pPr>
      <w:bookmarkStart w:id="39" w:name="OLE_LINK42"/>
      <w:r>
        <w:rPr>
          <w:rFonts w:ascii="Times New Roman" w:hAnsi="Times New Roman" w:eastAsia="宋体" w:cs="Times New Roman"/>
          <w:szCs w:val="24"/>
        </w:rPr>
        <w:t>3.9</w:t>
      </w:r>
    </w:p>
    <w:p w14:paraId="039B4949">
      <w:pPr>
        <w:overflowPunct w:val="0"/>
        <w:ind w:firstLine="420" w:firstLineChars="200"/>
        <w:rPr>
          <w:rFonts w:ascii="Times New Roman" w:hAnsi="Times New Roman" w:eastAsia="宋体" w:cs="Times New Roman"/>
          <w:szCs w:val="24"/>
        </w:rPr>
      </w:pPr>
      <w:r>
        <w:rPr>
          <w:rFonts w:ascii="Times New Roman" w:hAnsi="Times New Roman" w:eastAsia="黑体" w:cs="Times New Roman"/>
          <w:szCs w:val="24"/>
        </w:rPr>
        <w:t>碳绩效参数</w:t>
      </w:r>
      <w:r>
        <w:rPr>
          <w:rFonts w:ascii="Times New Roman" w:hAnsi="Times New Roman" w:eastAsia="宋体" w:cs="Times New Roman"/>
          <w:szCs w:val="24"/>
        </w:rPr>
        <w:t xml:space="preserve">  </w:t>
      </w:r>
      <w:r>
        <w:rPr>
          <w:rFonts w:ascii="Times New Roman" w:hAnsi="Times New Roman" w:eastAsia="宋体" w:cs="Times New Roman"/>
          <w:b/>
          <w:bCs/>
          <w:szCs w:val="24"/>
        </w:rPr>
        <w:t>carbon performance parameter</w:t>
      </w:r>
    </w:p>
    <w:p w14:paraId="7757313C">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用于比较碳管理措施实施前和实施后碳绩效的参数。</w:t>
      </w:r>
    </w:p>
    <w:p w14:paraId="560A8010">
      <w:pPr>
        <w:overflowPunct w:val="0"/>
        <w:rPr>
          <w:rFonts w:ascii="Times New Roman" w:hAnsi="Times New Roman" w:eastAsia="宋体" w:cs="Times New Roman"/>
          <w:szCs w:val="24"/>
        </w:rPr>
      </w:pPr>
      <w:r>
        <w:rPr>
          <w:rFonts w:ascii="Times New Roman" w:hAnsi="Times New Roman" w:eastAsia="宋体" w:cs="Times New Roman"/>
          <w:szCs w:val="24"/>
        </w:rPr>
        <w:t>3.10</w:t>
      </w:r>
    </w:p>
    <w:p w14:paraId="6BDFB6E2">
      <w:pPr>
        <w:overflowPunct w:val="0"/>
        <w:ind w:firstLine="420" w:firstLineChars="200"/>
        <w:rPr>
          <w:rFonts w:ascii="Times New Roman" w:hAnsi="Times New Roman" w:eastAsia="宋体" w:cs="Times New Roman"/>
          <w:szCs w:val="24"/>
        </w:rPr>
      </w:pPr>
      <w:r>
        <w:rPr>
          <w:rFonts w:ascii="Times New Roman" w:hAnsi="Times New Roman" w:eastAsia="黑体" w:cs="Times New Roman"/>
          <w:szCs w:val="24"/>
        </w:rPr>
        <w:t>碳基准</w:t>
      </w:r>
      <w:r>
        <w:rPr>
          <w:rFonts w:ascii="Times New Roman" w:hAnsi="Times New Roman" w:eastAsia="宋体" w:cs="Times New Roman"/>
          <w:szCs w:val="24"/>
        </w:rPr>
        <w:t xml:space="preserve">  </w:t>
      </w:r>
      <w:r>
        <w:rPr>
          <w:rFonts w:ascii="Times New Roman" w:hAnsi="Times New Roman" w:eastAsia="宋体" w:cs="Times New Roman"/>
          <w:b/>
          <w:bCs/>
          <w:szCs w:val="24"/>
        </w:rPr>
        <w:t>carbon baseline</w:t>
      </w:r>
      <w:r>
        <w:rPr>
          <w:rFonts w:ascii="Times New Roman" w:hAnsi="Times New Roman" w:eastAsia="宋体" w:cs="Times New Roman"/>
          <w:szCs w:val="24"/>
        </w:rPr>
        <w:t xml:space="preserve"> </w:t>
      </w:r>
    </w:p>
    <w:p w14:paraId="0077EA7A">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反映特定时间段的碳排放和清除状况，用于比较碳绩效的定量参考依据。</w:t>
      </w:r>
    </w:p>
    <w:p w14:paraId="080DAA04">
      <w:pPr>
        <w:overflowPunct w:val="0"/>
        <w:rPr>
          <w:rFonts w:ascii="Times New Roman" w:hAnsi="Times New Roman" w:eastAsia="宋体" w:cs="Times New Roman"/>
          <w:szCs w:val="24"/>
        </w:rPr>
      </w:pPr>
      <w:r>
        <w:rPr>
          <w:rFonts w:ascii="Times New Roman" w:hAnsi="Times New Roman" w:eastAsia="宋体" w:cs="Times New Roman"/>
          <w:szCs w:val="24"/>
        </w:rPr>
        <w:t>3.11</w:t>
      </w:r>
    </w:p>
    <w:p w14:paraId="0F3FFE43">
      <w:pPr>
        <w:overflowPunct w:val="0"/>
        <w:ind w:firstLine="420" w:firstLineChars="200"/>
        <w:rPr>
          <w:rFonts w:ascii="Times New Roman" w:hAnsi="Times New Roman" w:eastAsia="宋体" w:cs="Times New Roman"/>
          <w:szCs w:val="24"/>
        </w:rPr>
      </w:pPr>
      <w:r>
        <w:rPr>
          <w:rFonts w:ascii="Times New Roman" w:hAnsi="Times New Roman" w:eastAsia="黑体" w:cs="Times New Roman"/>
          <w:szCs w:val="24"/>
        </w:rPr>
        <w:t>碳排放</w:t>
      </w:r>
      <w:r>
        <w:rPr>
          <w:rFonts w:ascii="Times New Roman" w:hAnsi="Times New Roman" w:eastAsia="宋体" w:cs="Times New Roman"/>
          <w:szCs w:val="24"/>
        </w:rPr>
        <w:t xml:space="preserve">  </w:t>
      </w:r>
      <w:r>
        <w:rPr>
          <w:rFonts w:ascii="Times New Roman" w:hAnsi="Times New Roman" w:eastAsia="宋体" w:cs="Times New Roman"/>
          <w:b/>
          <w:bCs/>
          <w:szCs w:val="24"/>
        </w:rPr>
        <w:t>carbon emission</w:t>
      </w:r>
      <w:r>
        <w:rPr>
          <w:rFonts w:ascii="Times New Roman" w:hAnsi="Times New Roman" w:eastAsia="宋体" w:cs="Times New Roman"/>
          <w:szCs w:val="24"/>
        </w:rPr>
        <w:t xml:space="preserve"> </w:t>
      </w:r>
    </w:p>
    <w:p w14:paraId="0B84F312">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 xml:space="preserve">在核算边界内产品、服务和活动过程中各个环节产生的所有温室气体排放量，以二氧化碳当量的形式表示。 </w:t>
      </w:r>
    </w:p>
    <w:p w14:paraId="3B971167">
      <w:pPr>
        <w:overflowPunct w:val="0"/>
        <w:rPr>
          <w:rFonts w:ascii="Times New Roman" w:hAnsi="Times New Roman" w:eastAsia="宋体" w:cs="Times New Roman"/>
          <w:szCs w:val="24"/>
        </w:rPr>
      </w:pPr>
      <w:r>
        <w:rPr>
          <w:rFonts w:ascii="Times New Roman" w:hAnsi="Times New Roman" w:eastAsia="宋体" w:cs="Times New Roman"/>
          <w:szCs w:val="24"/>
        </w:rPr>
        <w:t>3.12</w:t>
      </w:r>
    </w:p>
    <w:p w14:paraId="2D8368A9">
      <w:pPr>
        <w:overflowPunct w:val="0"/>
        <w:ind w:firstLine="420" w:firstLineChars="200"/>
        <w:rPr>
          <w:rFonts w:ascii="Times New Roman" w:hAnsi="Times New Roman" w:eastAsia="宋体" w:cs="Times New Roman"/>
          <w:szCs w:val="24"/>
        </w:rPr>
      </w:pPr>
      <w:r>
        <w:rPr>
          <w:rFonts w:ascii="Times New Roman" w:hAnsi="Times New Roman" w:eastAsia="黑体" w:cs="Times New Roman"/>
          <w:szCs w:val="24"/>
        </w:rPr>
        <w:t>碳排放强度</w:t>
      </w:r>
      <w:r>
        <w:rPr>
          <w:rFonts w:ascii="Times New Roman" w:hAnsi="Times New Roman" w:eastAsia="宋体" w:cs="Times New Roman"/>
          <w:szCs w:val="24"/>
        </w:rPr>
        <w:t xml:space="preserve">  </w:t>
      </w:r>
      <w:r>
        <w:rPr>
          <w:rFonts w:ascii="Times New Roman" w:hAnsi="Times New Roman" w:eastAsia="宋体" w:cs="Times New Roman"/>
          <w:b/>
          <w:bCs/>
          <w:szCs w:val="24"/>
        </w:rPr>
        <w:t>intensity of carbon emission</w:t>
      </w:r>
      <w:r>
        <w:rPr>
          <w:rFonts w:ascii="Times New Roman" w:hAnsi="Times New Roman" w:eastAsia="宋体" w:cs="Times New Roman"/>
          <w:szCs w:val="24"/>
        </w:rPr>
        <w:t xml:space="preserve"> </w:t>
      </w:r>
    </w:p>
    <w:p w14:paraId="2552DB16">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单位产品产量（产值）的碳排放量。</w:t>
      </w:r>
      <w:bookmarkEnd w:id="39"/>
    </w:p>
    <w:p w14:paraId="30CA0925">
      <w:pPr>
        <w:overflowPunct w:val="0"/>
        <w:rPr>
          <w:rFonts w:ascii="Times New Roman" w:hAnsi="Times New Roman" w:eastAsia="宋体" w:cs="Times New Roman"/>
          <w:szCs w:val="24"/>
        </w:rPr>
      </w:pPr>
      <w:bookmarkStart w:id="40" w:name="OLE_LINK43"/>
      <w:bookmarkStart w:id="41" w:name="OLE_LINK44"/>
      <w:r>
        <w:rPr>
          <w:rFonts w:ascii="Times New Roman" w:hAnsi="Times New Roman" w:eastAsia="宋体" w:cs="Times New Roman"/>
          <w:szCs w:val="24"/>
        </w:rPr>
        <w:t>3.13</w:t>
      </w:r>
    </w:p>
    <w:p w14:paraId="51CD8F01">
      <w:pPr>
        <w:overflowPunct w:val="0"/>
        <w:ind w:firstLine="420" w:firstLineChars="200"/>
        <w:rPr>
          <w:rFonts w:ascii="Times New Roman" w:hAnsi="Times New Roman" w:eastAsia="宋体" w:cs="Times New Roman"/>
          <w:szCs w:val="24"/>
        </w:rPr>
      </w:pPr>
      <w:r>
        <w:rPr>
          <w:rFonts w:ascii="Times New Roman" w:hAnsi="Times New Roman" w:eastAsia="黑体" w:cs="Times New Roman"/>
          <w:szCs w:val="24"/>
        </w:rPr>
        <w:t>碳评审</w:t>
      </w:r>
      <w:r>
        <w:rPr>
          <w:rFonts w:ascii="Times New Roman" w:hAnsi="Times New Roman" w:eastAsia="宋体" w:cs="Times New Roman"/>
          <w:szCs w:val="24"/>
        </w:rPr>
        <w:t xml:space="preserve">  </w:t>
      </w:r>
      <w:r>
        <w:rPr>
          <w:rFonts w:ascii="Times New Roman" w:hAnsi="Times New Roman" w:eastAsia="宋体" w:cs="Times New Roman"/>
          <w:b/>
          <w:bCs/>
          <w:szCs w:val="24"/>
        </w:rPr>
        <w:t>carbon review</w:t>
      </w:r>
      <w:r>
        <w:rPr>
          <w:rFonts w:ascii="Times New Roman" w:hAnsi="Times New Roman" w:eastAsia="宋体" w:cs="Times New Roman"/>
          <w:szCs w:val="24"/>
        </w:rPr>
        <w:t xml:space="preserve"> </w:t>
      </w:r>
    </w:p>
    <w:p w14:paraId="55F40CE7">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基于数据和其他信息，分析碳排放、碳基准和碳绩效，以识别主要碳排放和碳绩效改进的机会。</w:t>
      </w:r>
      <w:bookmarkEnd w:id="40"/>
    </w:p>
    <w:p w14:paraId="250FC534">
      <w:pPr>
        <w:overflowPunct w:val="0"/>
        <w:rPr>
          <w:rFonts w:ascii="Times New Roman" w:hAnsi="Times New Roman" w:eastAsia="宋体" w:cs="Times New Roman"/>
          <w:szCs w:val="24"/>
        </w:rPr>
      </w:pPr>
      <w:r>
        <w:rPr>
          <w:rFonts w:ascii="Times New Roman" w:hAnsi="Times New Roman" w:eastAsia="宋体" w:cs="Times New Roman"/>
          <w:szCs w:val="24"/>
        </w:rPr>
        <w:t>3.14</w:t>
      </w:r>
    </w:p>
    <w:p w14:paraId="690D112A">
      <w:pPr>
        <w:overflowPunct w:val="0"/>
        <w:ind w:firstLine="420" w:firstLineChars="200"/>
        <w:rPr>
          <w:rFonts w:ascii="Times New Roman" w:hAnsi="Times New Roman" w:eastAsia="宋体" w:cs="Times New Roman"/>
          <w:szCs w:val="24"/>
        </w:rPr>
      </w:pPr>
      <w:r>
        <w:rPr>
          <w:rFonts w:ascii="Times New Roman" w:hAnsi="Times New Roman" w:eastAsia="黑体" w:cs="Times New Roman"/>
          <w:szCs w:val="24"/>
        </w:rPr>
        <w:t>碳资产</w:t>
      </w:r>
      <w:r>
        <w:rPr>
          <w:rFonts w:ascii="Times New Roman" w:hAnsi="Times New Roman" w:eastAsia="宋体" w:cs="Times New Roman"/>
          <w:szCs w:val="24"/>
        </w:rPr>
        <w:t xml:space="preserve">  </w:t>
      </w:r>
      <w:r>
        <w:rPr>
          <w:rFonts w:ascii="Times New Roman" w:hAnsi="Times New Roman" w:eastAsia="宋体" w:cs="Times New Roman"/>
          <w:b/>
          <w:bCs/>
          <w:szCs w:val="24"/>
        </w:rPr>
        <w:t xml:space="preserve">carbon asset </w:t>
      </w:r>
    </w:p>
    <w:p w14:paraId="355857B8">
      <w:pPr>
        <w:overflowPunct w:val="0"/>
        <w:ind w:firstLine="420" w:firstLineChars="200"/>
        <w:rPr>
          <w:rFonts w:ascii="Times New Roman" w:hAnsi="Times New Roman" w:eastAsia="宋体" w:cs="Times New Roman"/>
          <w:szCs w:val="24"/>
        </w:rPr>
      </w:pPr>
      <w:r>
        <w:rPr>
          <w:rFonts w:hint="eastAsia" w:ascii="Times New Roman" w:hAnsi="Times New Roman" w:eastAsia="宋体" w:cs="Times New Roman"/>
          <w:color w:val="auto"/>
          <w:szCs w:val="24"/>
        </w:rPr>
        <w:t>工业企业</w:t>
      </w:r>
      <w:r>
        <w:rPr>
          <w:rFonts w:ascii="Times New Roman" w:hAnsi="Times New Roman" w:eastAsia="宋体" w:cs="Times New Roman"/>
          <w:color w:val="auto"/>
          <w:szCs w:val="24"/>
        </w:rPr>
        <w:t>拥有或控制的</w:t>
      </w:r>
      <w:r>
        <w:rPr>
          <w:rFonts w:hint="eastAsia" w:ascii="Times New Roman" w:hAnsi="Times New Roman" w:eastAsia="宋体" w:cs="Times New Roman"/>
          <w:color w:val="auto"/>
          <w:szCs w:val="24"/>
        </w:rPr>
        <w:t>，</w:t>
      </w:r>
      <w:r>
        <w:rPr>
          <w:rFonts w:ascii="Times New Roman" w:hAnsi="Times New Roman" w:eastAsia="宋体" w:cs="Times New Roman"/>
          <w:color w:val="auto"/>
          <w:szCs w:val="24"/>
        </w:rPr>
        <w:t>与</w:t>
      </w:r>
      <w:r>
        <w:rPr>
          <w:rFonts w:hint="eastAsia" w:ascii="Times New Roman" w:hAnsi="Times New Roman" w:eastAsia="宋体" w:cs="Times New Roman"/>
          <w:color w:val="auto"/>
          <w:szCs w:val="24"/>
        </w:rPr>
        <w:t>碳</w:t>
      </w:r>
      <w:r>
        <w:rPr>
          <w:rFonts w:ascii="Times New Roman" w:hAnsi="Times New Roman" w:eastAsia="宋体" w:cs="Times New Roman"/>
          <w:color w:val="auto"/>
          <w:szCs w:val="24"/>
        </w:rPr>
        <w:t>减排有关的</w:t>
      </w:r>
      <w:r>
        <w:rPr>
          <w:rFonts w:hint="eastAsia" w:ascii="Times New Roman" w:hAnsi="Times New Roman" w:eastAsia="宋体" w:cs="Times New Roman"/>
          <w:color w:val="auto"/>
          <w:szCs w:val="24"/>
        </w:rPr>
        <w:t>，</w:t>
      </w:r>
      <w:r>
        <w:rPr>
          <w:rFonts w:ascii="Times New Roman" w:hAnsi="Times New Roman" w:eastAsia="宋体" w:cs="Times New Roman"/>
          <w:color w:val="auto"/>
          <w:szCs w:val="24"/>
        </w:rPr>
        <w:t>可适用于碳排放权交易机制下储存、流通或财富转化的各种兼具环境权益和经济效益的资产</w:t>
      </w:r>
      <w:r>
        <w:rPr>
          <w:rFonts w:ascii="Times New Roman" w:hAnsi="Times New Roman" w:eastAsia="宋体" w:cs="Times New Roman"/>
          <w:szCs w:val="24"/>
        </w:rPr>
        <w:t xml:space="preserve">。 </w:t>
      </w:r>
    </w:p>
    <w:p w14:paraId="1929F10F">
      <w:pPr>
        <w:overflowPunct w:val="0"/>
        <w:ind w:firstLine="360" w:firstLineChars="200"/>
        <w:rPr>
          <w:rFonts w:ascii="Times New Roman" w:hAnsi="Times New Roman" w:eastAsia="宋体" w:cs="Times New Roman"/>
          <w:color w:val="auto"/>
          <w:sz w:val="18"/>
          <w:szCs w:val="18"/>
        </w:rPr>
      </w:pPr>
      <w:r>
        <w:rPr>
          <w:rFonts w:ascii="Times New Roman" w:hAnsi="Times New Roman" w:eastAsia="黑体" w:cs="Times New Roman"/>
          <w:sz w:val="18"/>
          <w:szCs w:val="18"/>
        </w:rPr>
        <w:t>注</w:t>
      </w:r>
      <w:r>
        <w:rPr>
          <w:rFonts w:ascii="Times New Roman" w:hAnsi="Times New Roman" w:eastAsia="宋体" w:cs="Times New Roman"/>
          <w:sz w:val="18"/>
          <w:szCs w:val="18"/>
        </w:rPr>
        <w:t>：</w:t>
      </w:r>
      <w:r>
        <w:rPr>
          <w:rFonts w:ascii="Times New Roman" w:hAnsi="Times New Roman" w:eastAsia="宋体" w:cs="Times New Roman"/>
          <w:color w:val="auto"/>
          <w:sz w:val="18"/>
          <w:szCs w:val="18"/>
        </w:rPr>
        <w:t>碳资产一般包括碳排放配额、核证自愿减排量、碳普惠等相关的资产</w:t>
      </w:r>
      <w:r>
        <w:rPr>
          <w:rFonts w:ascii="Times New Roman" w:hAnsi="Times New Roman" w:eastAsia="宋体" w:cs="Times New Roman"/>
          <w:sz w:val="18"/>
          <w:szCs w:val="18"/>
        </w:rPr>
        <w:t>。</w:t>
      </w:r>
    </w:p>
    <w:p w14:paraId="4FE01F84">
      <w:pPr>
        <w:overflowPunct w:val="0"/>
        <w:ind w:firstLine="420" w:firstLineChars="200"/>
        <w:rPr>
          <w:rFonts w:hint="eastAsia" w:ascii="Times New Roman" w:hAnsi="Times New Roman" w:eastAsia="宋体" w:cs="Times New Roman"/>
          <w:sz w:val="18"/>
          <w:szCs w:val="18"/>
        </w:rPr>
      </w:pPr>
      <w:r>
        <w:rPr>
          <w:rFonts w:ascii="Times New Roman" w:hAnsi="Times New Roman" w:eastAsia="宋体" w:cs="Times New Roman"/>
          <w:szCs w:val="24"/>
        </w:rPr>
        <w:t>[来源：</w:t>
      </w:r>
      <w:r>
        <w:rPr>
          <w:rFonts w:ascii="Times New Roman" w:hAnsi="Times New Roman" w:eastAsia="宋体" w:cs="Times New Roman"/>
        </w:rPr>
        <w:t xml:space="preserve">GB/T </w:t>
      </w:r>
      <w:r>
        <w:rPr>
          <w:rFonts w:hint="eastAsia" w:ascii="Times New Roman" w:hAnsi="Times New Roman" w:eastAsia="宋体" w:cs="Times New Roman"/>
        </w:rPr>
        <w:t>46566—</w:t>
      </w:r>
      <w:r>
        <w:rPr>
          <w:rFonts w:ascii="Times New Roman" w:hAnsi="Times New Roman" w:eastAsia="宋体" w:cs="Times New Roman"/>
        </w:rPr>
        <w:t>20</w:t>
      </w:r>
      <w:r>
        <w:rPr>
          <w:rFonts w:hint="eastAsia" w:ascii="Times New Roman" w:hAnsi="Times New Roman" w:eastAsia="宋体" w:cs="Times New Roman"/>
        </w:rPr>
        <w:t>2</w:t>
      </w:r>
      <w:r>
        <w:rPr>
          <w:rFonts w:ascii="Times New Roman" w:hAnsi="Times New Roman" w:eastAsia="宋体" w:cs="Times New Roman"/>
        </w:rPr>
        <w:t>5</w:t>
      </w:r>
      <w:r>
        <w:rPr>
          <w:rFonts w:ascii="Times New Roman" w:hAnsi="Times New Roman" w:eastAsia="宋体" w:cs="Times New Roman"/>
          <w:szCs w:val="24"/>
        </w:rPr>
        <w:t>，3.</w:t>
      </w:r>
      <w:r>
        <w:rPr>
          <w:rFonts w:hint="eastAsia" w:ascii="Times New Roman" w:hAnsi="Times New Roman" w:eastAsia="宋体" w:cs="Times New Roman"/>
          <w:szCs w:val="24"/>
        </w:rPr>
        <w:t>3.7，有修改</w:t>
      </w:r>
      <w:r>
        <w:rPr>
          <w:rFonts w:ascii="Times New Roman" w:hAnsi="Times New Roman" w:eastAsia="宋体" w:cs="Times New Roman"/>
          <w:szCs w:val="24"/>
        </w:rPr>
        <w:t>]</w:t>
      </w:r>
    </w:p>
    <w:p w14:paraId="2F00DD4C">
      <w:pPr>
        <w:overflowPunct w:val="0"/>
        <w:rPr>
          <w:rFonts w:ascii="Times New Roman" w:hAnsi="Times New Roman" w:eastAsia="宋体" w:cs="Times New Roman"/>
          <w:szCs w:val="24"/>
        </w:rPr>
      </w:pPr>
      <w:r>
        <w:rPr>
          <w:rFonts w:ascii="Times New Roman" w:hAnsi="Times New Roman" w:eastAsia="宋体" w:cs="Times New Roman"/>
          <w:szCs w:val="24"/>
        </w:rPr>
        <w:t>3.15</w:t>
      </w:r>
    </w:p>
    <w:p w14:paraId="4F367CDB">
      <w:pPr>
        <w:overflowPunct w:val="0"/>
        <w:ind w:firstLine="420" w:firstLineChars="200"/>
        <w:rPr>
          <w:rFonts w:ascii="Times New Roman" w:hAnsi="Times New Roman" w:eastAsia="宋体" w:cs="Times New Roman"/>
          <w:szCs w:val="24"/>
        </w:rPr>
      </w:pPr>
      <w:r>
        <w:rPr>
          <w:rFonts w:ascii="Times New Roman" w:hAnsi="Times New Roman" w:eastAsia="黑体" w:cs="Times New Roman"/>
          <w:szCs w:val="24"/>
        </w:rPr>
        <w:t>碳交易</w:t>
      </w:r>
      <w:r>
        <w:rPr>
          <w:rFonts w:ascii="Times New Roman" w:hAnsi="Times New Roman" w:eastAsia="宋体" w:cs="Times New Roman"/>
          <w:szCs w:val="24"/>
        </w:rPr>
        <w:t xml:space="preserve">  </w:t>
      </w:r>
      <w:r>
        <w:rPr>
          <w:rFonts w:ascii="Times New Roman" w:hAnsi="Times New Roman" w:eastAsia="宋体" w:cs="Times New Roman"/>
          <w:b/>
          <w:bCs/>
          <w:szCs w:val="24"/>
        </w:rPr>
        <w:t>carbon trading</w:t>
      </w:r>
      <w:r>
        <w:rPr>
          <w:rFonts w:ascii="Times New Roman" w:hAnsi="Times New Roman" w:eastAsia="宋体" w:cs="Times New Roman"/>
          <w:szCs w:val="24"/>
        </w:rPr>
        <w:t xml:space="preserve"> </w:t>
      </w:r>
    </w:p>
    <w:p w14:paraId="7860CC00">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碳排放配额、核证自愿碳减排量等排放权的买卖活动。</w:t>
      </w:r>
    </w:p>
    <w:p w14:paraId="09E899F8">
      <w:pPr>
        <w:overflowPunct w:val="0"/>
        <w:rPr>
          <w:rFonts w:ascii="Times New Roman" w:hAnsi="Times New Roman" w:eastAsia="宋体" w:cs="Times New Roman"/>
          <w:szCs w:val="24"/>
        </w:rPr>
      </w:pPr>
      <w:bookmarkStart w:id="42" w:name="OLE_LINK45"/>
      <w:r>
        <w:rPr>
          <w:rFonts w:ascii="Times New Roman" w:hAnsi="Times New Roman" w:eastAsia="宋体" w:cs="Times New Roman"/>
          <w:szCs w:val="24"/>
        </w:rPr>
        <w:t>3.16</w:t>
      </w:r>
    </w:p>
    <w:p w14:paraId="3B678839">
      <w:pPr>
        <w:overflowPunct w:val="0"/>
        <w:ind w:firstLine="420" w:firstLineChars="200"/>
        <w:rPr>
          <w:rFonts w:ascii="Times New Roman" w:hAnsi="Times New Roman" w:eastAsia="宋体" w:cs="Times New Roman"/>
          <w:szCs w:val="24"/>
        </w:rPr>
      </w:pPr>
      <w:r>
        <w:rPr>
          <w:rFonts w:ascii="Times New Roman" w:hAnsi="Times New Roman" w:eastAsia="黑体" w:cs="Times New Roman"/>
          <w:szCs w:val="24"/>
        </w:rPr>
        <w:t>活动数据</w:t>
      </w:r>
      <w:r>
        <w:rPr>
          <w:rFonts w:ascii="Times New Roman" w:hAnsi="Times New Roman" w:eastAsia="宋体" w:cs="Times New Roman"/>
          <w:szCs w:val="24"/>
        </w:rPr>
        <w:t xml:space="preserve">  </w:t>
      </w:r>
      <w:r>
        <w:rPr>
          <w:rFonts w:ascii="Times New Roman" w:hAnsi="Times New Roman" w:eastAsia="宋体" w:cs="Times New Roman"/>
          <w:b/>
          <w:bCs/>
          <w:szCs w:val="24"/>
        </w:rPr>
        <w:t>activity data</w:t>
      </w:r>
      <w:r>
        <w:rPr>
          <w:rFonts w:ascii="Times New Roman" w:hAnsi="Times New Roman" w:eastAsia="宋体" w:cs="Times New Roman"/>
          <w:szCs w:val="24"/>
        </w:rPr>
        <w:t xml:space="preserve"> </w:t>
      </w:r>
    </w:p>
    <w:p w14:paraId="0DE1D757">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 xml:space="preserve">导致温室气体排放或清除的生产或消费活动量的表征值。 </w:t>
      </w:r>
    </w:p>
    <w:p w14:paraId="4A77A31B">
      <w:pPr>
        <w:overflowPunct w:val="0"/>
        <w:ind w:firstLine="360" w:firstLineChars="200"/>
        <w:rPr>
          <w:rFonts w:ascii="Times New Roman" w:hAnsi="Times New Roman" w:eastAsia="宋体" w:cs="Times New Roman"/>
          <w:sz w:val="18"/>
          <w:szCs w:val="18"/>
        </w:rPr>
      </w:pPr>
      <w:r>
        <w:rPr>
          <w:rFonts w:ascii="Times New Roman" w:hAnsi="Times New Roman" w:eastAsia="黑体" w:cs="Times New Roman"/>
          <w:sz w:val="18"/>
          <w:szCs w:val="18"/>
        </w:rPr>
        <w:t>注</w:t>
      </w:r>
      <w:r>
        <w:rPr>
          <w:rFonts w:ascii="Times New Roman" w:hAnsi="Times New Roman" w:eastAsia="宋体" w:cs="Times New Roman"/>
          <w:sz w:val="18"/>
          <w:szCs w:val="18"/>
        </w:rPr>
        <w:t>：如各种化石燃料的消耗量、原材料的使用量、购入的电量、购入的热量、提供服务的数量或受影响的土地面积</w:t>
      </w:r>
    </w:p>
    <w:p w14:paraId="2C0ED5E9">
      <w:pPr>
        <w:overflowPunct w:val="0"/>
        <w:ind w:firstLine="720" w:firstLineChars="400"/>
        <w:rPr>
          <w:rFonts w:ascii="Times New Roman" w:hAnsi="Times New Roman" w:eastAsia="宋体" w:cs="Times New Roman"/>
          <w:sz w:val="18"/>
          <w:szCs w:val="18"/>
        </w:rPr>
      </w:pPr>
      <w:r>
        <w:rPr>
          <w:rFonts w:ascii="Times New Roman" w:hAnsi="Times New Roman" w:eastAsia="宋体" w:cs="Times New Roman"/>
          <w:sz w:val="18"/>
          <w:szCs w:val="18"/>
        </w:rPr>
        <w:t>等。</w:t>
      </w:r>
      <w:bookmarkEnd w:id="41"/>
    </w:p>
    <w:p w14:paraId="3BD0EAA7">
      <w:pPr>
        <w:overflowPunct w:val="0"/>
        <w:ind w:firstLine="420" w:firstLineChars="200"/>
        <w:rPr>
          <w:rFonts w:hint="eastAsia" w:ascii="Times New Roman" w:hAnsi="Times New Roman" w:eastAsia="宋体" w:cs="Times New Roman"/>
          <w:sz w:val="18"/>
          <w:szCs w:val="18"/>
        </w:rPr>
      </w:pPr>
      <w:bookmarkStart w:id="43" w:name="OLE_LINK14"/>
      <w:r>
        <w:rPr>
          <w:rFonts w:ascii="Times New Roman" w:hAnsi="Times New Roman" w:eastAsia="宋体" w:cs="Times New Roman"/>
          <w:szCs w:val="24"/>
        </w:rPr>
        <w:t>[来源：</w:t>
      </w:r>
      <w:r>
        <w:rPr>
          <w:rFonts w:ascii="Times New Roman" w:hAnsi="Times New Roman" w:eastAsia="宋体" w:cs="Times New Roman"/>
        </w:rPr>
        <w:t>GB/T 32150</w:t>
      </w:r>
      <w:r>
        <w:rPr>
          <w:rFonts w:hint="eastAsia" w:ascii="Times New Roman" w:hAnsi="Times New Roman" w:eastAsia="宋体" w:cs="Times New Roman"/>
        </w:rPr>
        <w:t>—</w:t>
      </w:r>
      <w:r>
        <w:rPr>
          <w:rFonts w:ascii="Times New Roman" w:hAnsi="Times New Roman" w:eastAsia="宋体" w:cs="Times New Roman"/>
        </w:rPr>
        <w:t>2015</w:t>
      </w:r>
      <w:r>
        <w:rPr>
          <w:rFonts w:ascii="Times New Roman" w:hAnsi="Times New Roman" w:eastAsia="宋体" w:cs="Times New Roman"/>
          <w:szCs w:val="24"/>
        </w:rPr>
        <w:t>，3.</w:t>
      </w:r>
      <w:r>
        <w:rPr>
          <w:rFonts w:hint="eastAsia" w:ascii="Times New Roman" w:hAnsi="Times New Roman" w:eastAsia="宋体" w:cs="Times New Roman"/>
          <w:szCs w:val="24"/>
        </w:rPr>
        <w:t>12，有修改</w:t>
      </w:r>
      <w:r>
        <w:rPr>
          <w:rFonts w:ascii="Times New Roman" w:hAnsi="Times New Roman" w:eastAsia="宋体" w:cs="Times New Roman"/>
          <w:szCs w:val="24"/>
        </w:rPr>
        <w:t>]</w:t>
      </w:r>
      <w:bookmarkEnd w:id="43"/>
    </w:p>
    <w:p w14:paraId="05B4B789">
      <w:pPr>
        <w:overflowPunct w:val="0"/>
        <w:rPr>
          <w:rFonts w:ascii="Times New Roman" w:hAnsi="Times New Roman" w:eastAsia="宋体" w:cs="Times New Roman"/>
          <w:szCs w:val="24"/>
        </w:rPr>
      </w:pPr>
      <w:r>
        <w:rPr>
          <w:rFonts w:ascii="Times New Roman" w:hAnsi="Times New Roman" w:eastAsia="宋体" w:cs="Times New Roman"/>
          <w:szCs w:val="24"/>
        </w:rPr>
        <w:t>3.17</w:t>
      </w:r>
    </w:p>
    <w:p w14:paraId="00F1C622">
      <w:pPr>
        <w:overflowPunct w:val="0"/>
        <w:ind w:firstLine="420" w:firstLineChars="200"/>
        <w:rPr>
          <w:rFonts w:ascii="Times New Roman" w:hAnsi="Times New Roman" w:eastAsia="宋体" w:cs="Times New Roman"/>
          <w:szCs w:val="24"/>
        </w:rPr>
      </w:pPr>
      <w:r>
        <w:rPr>
          <w:rFonts w:ascii="Times New Roman" w:hAnsi="Times New Roman" w:eastAsia="黑体" w:cs="Times New Roman"/>
          <w:szCs w:val="24"/>
        </w:rPr>
        <w:t>排放因子</w:t>
      </w:r>
      <w:r>
        <w:rPr>
          <w:rFonts w:ascii="Times New Roman" w:hAnsi="Times New Roman" w:eastAsia="宋体" w:cs="Times New Roman"/>
          <w:szCs w:val="24"/>
        </w:rPr>
        <w:t xml:space="preserve">  </w:t>
      </w:r>
      <w:r>
        <w:rPr>
          <w:rFonts w:ascii="Times New Roman" w:hAnsi="Times New Roman" w:eastAsia="宋体" w:cs="Times New Roman"/>
          <w:b/>
          <w:bCs/>
          <w:szCs w:val="24"/>
        </w:rPr>
        <w:t>emission factor</w:t>
      </w:r>
      <w:r>
        <w:rPr>
          <w:rFonts w:ascii="Times New Roman" w:hAnsi="Times New Roman" w:eastAsia="宋体" w:cs="Times New Roman"/>
          <w:szCs w:val="24"/>
        </w:rPr>
        <w:t xml:space="preserve"> </w:t>
      </w:r>
    </w:p>
    <w:p w14:paraId="620D9434">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表征企业生产或消费活动量的温室气体排放的系数。</w:t>
      </w:r>
    </w:p>
    <w:p w14:paraId="564AC524">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[来源：</w:t>
      </w:r>
      <w:r>
        <w:rPr>
          <w:rFonts w:ascii="Times New Roman" w:hAnsi="Times New Roman" w:eastAsia="宋体" w:cs="Times New Roman"/>
        </w:rPr>
        <w:t>GB/T 32150</w:t>
      </w:r>
      <w:r>
        <w:rPr>
          <w:rFonts w:hint="eastAsia" w:ascii="Times New Roman" w:hAnsi="Times New Roman" w:eastAsia="宋体" w:cs="Times New Roman"/>
        </w:rPr>
        <w:t>—</w:t>
      </w:r>
      <w:r>
        <w:rPr>
          <w:rFonts w:ascii="Times New Roman" w:hAnsi="Times New Roman" w:eastAsia="宋体" w:cs="Times New Roman"/>
        </w:rPr>
        <w:t>2015</w:t>
      </w:r>
      <w:r>
        <w:rPr>
          <w:rFonts w:ascii="Times New Roman" w:hAnsi="Times New Roman" w:eastAsia="宋体" w:cs="Times New Roman"/>
          <w:szCs w:val="24"/>
        </w:rPr>
        <w:t>，3.</w:t>
      </w:r>
      <w:r>
        <w:rPr>
          <w:rFonts w:hint="eastAsia" w:ascii="Times New Roman" w:hAnsi="Times New Roman" w:eastAsia="宋体" w:cs="Times New Roman"/>
          <w:szCs w:val="24"/>
        </w:rPr>
        <w:t>13，有修改</w:t>
      </w:r>
      <w:r>
        <w:rPr>
          <w:rFonts w:ascii="Times New Roman" w:hAnsi="Times New Roman" w:eastAsia="宋体" w:cs="Times New Roman"/>
          <w:szCs w:val="24"/>
        </w:rPr>
        <w:t xml:space="preserve">] </w:t>
      </w:r>
    </w:p>
    <w:p w14:paraId="0D79D82A">
      <w:pPr>
        <w:overflowPunct w:val="0"/>
        <w:rPr>
          <w:rFonts w:ascii="Times New Roman" w:hAnsi="Times New Roman" w:eastAsia="宋体" w:cs="Times New Roman"/>
          <w:szCs w:val="24"/>
        </w:rPr>
      </w:pPr>
      <w:r>
        <w:rPr>
          <w:rFonts w:ascii="Times New Roman" w:hAnsi="Times New Roman" w:eastAsia="宋体" w:cs="Times New Roman"/>
          <w:szCs w:val="24"/>
        </w:rPr>
        <w:t>3.18</w:t>
      </w:r>
    </w:p>
    <w:p w14:paraId="16667949">
      <w:pPr>
        <w:overflowPunct w:val="0"/>
        <w:ind w:firstLine="420" w:firstLineChars="200"/>
        <w:rPr>
          <w:rFonts w:ascii="Times New Roman" w:hAnsi="Times New Roman" w:eastAsia="宋体" w:cs="Times New Roman"/>
          <w:szCs w:val="24"/>
        </w:rPr>
      </w:pPr>
      <w:r>
        <w:rPr>
          <w:rFonts w:ascii="Times New Roman" w:hAnsi="Times New Roman" w:eastAsia="黑体" w:cs="Times New Roman"/>
          <w:szCs w:val="24"/>
        </w:rPr>
        <w:t>静态因素</w:t>
      </w:r>
      <w:r>
        <w:rPr>
          <w:rFonts w:ascii="Times New Roman" w:hAnsi="Times New Roman" w:eastAsia="宋体" w:cs="Times New Roman"/>
          <w:szCs w:val="24"/>
        </w:rPr>
        <w:t xml:space="preserve">  </w:t>
      </w:r>
      <w:r>
        <w:rPr>
          <w:rFonts w:ascii="Times New Roman" w:hAnsi="Times New Roman" w:eastAsia="宋体" w:cs="Times New Roman"/>
          <w:b/>
          <w:bCs/>
          <w:szCs w:val="24"/>
        </w:rPr>
        <w:t xml:space="preserve">static factor </w:t>
      </w:r>
    </w:p>
    <w:p w14:paraId="74479792">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 xml:space="preserve">对碳绩效有显著影响且不经常变化的已知因素。 </w:t>
      </w:r>
    </w:p>
    <w:p w14:paraId="798EA2C3">
      <w:pPr>
        <w:overflowPunct w:val="0"/>
        <w:ind w:firstLine="360" w:firstLineChars="200"/>
        <w:rPr>
          <w:rFonts w:ascii="Times New Roman" w:hAnsi="Times New Roman" w:eastAsia="宋体" w:cs="Times New Roman"/>
          <w:sz w:val="18"/>
          <w:szCs w:val="18"/>
        </w:rPr>
      </w:pPr>
      <w:r>
        <w:rPr>
          <w:rFonts w:ascii="Times New Roman" w:hAnsi="Times New Roman" w:eastAsia="黑体" w:cs="Times New Roman"/>
          <w:sz w:val="18"/>
          <w:szCs w:val="18"/>
        </w:rPr>
        <w:t>注</w:t>
      </w:r>
      <w:r>
        <w:rPr>
          <w:rFonts w:ascii="Times New Roman" w:hAnsi="Times New Roman" w:eastAsia="宋体" w:cs="Times New Roman"/>
          <w:sz w:val="18"/>
          <w:szCs w:val="18"/>
        </w:rPr>
        <w:t>：“显著”的准则由企业确定。</w:t>
      </w:r>
      <w:bookmarkEnd w:id="42"/>
    </w:p>
    <w:p w14:paraId="5AA05CAC">
      <w:pPr>
        <w:pStyle w:val="66"/>
        <w:numPr>
          <w:ilvl w:val="0"/>
          <w:numId w:val="1"/>
        </w:numPr>
        <w:overflowPunct w:val="0"/>
        <w:spacing w:before="286" w:after="286"/>
        <w:ind w:left="0" w:firstLine="0"/>
        <w:outlineLvl w:val="0"/>
        <w:rPr>
          <w:rFonts w:ascii="Times New Roman"/>
        </w:rPr>
      </w:pPr>
      <w:bookmarkStart w:id="44" w:name="_Toc220422357"/>
      <w:bookmarkStart w:id="45" w:name="_Toc187932676"/>
      <w:bookmarkStart w:id="46" w:name="_Ref109650116"/>
      <w:r>
        <w:rPr>
          <w:rFonts w:ascii="Times New Roman"/>
        </w:rPr>
        <w:t>组织环境</w:t>
      </w:r>
      <w:bookmarkEnd w:id="44"/>
      <w:bookmarkEnd w:id="45"/>
      <w:bookmarkEnd w:id="46"/>
    </w:p>
    <w:p w14:paraId="55101DB5">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47" w:name="_Toc220422358"/>
      <w:bookmarkStart w:id="48" w:name="_Ref109650121"/>
      <w:bookmarkStart w:id="49" w:name="_Toc187932677"/>
      <w:r>
        <w:rPr>
          <w:rFonts w:ascii="Times New Roman"/>
          <w:color w:val="000000" w:themeColor="text1"/>
          <w14:textFill>
            <w14:solidFill>
              <w14:schemeClr w14:val="tx1"/>
            </w14:solidFill>
          </w14:textFill>
        </w:rPr>
        <w:t>理解组织及其环境</w:t>
      </w:r>
      <w:bookmarkEnd w:id="47"/>
      <w:bookmarkEnd w:id="48"/>
      <w:bookmarkEnd w:id="49"/>
    </w:p>
    <w:p w14:paraId="66507FD2">
      <w:pPr>
        <w:pStyle w:val="68"/>
        <w:numPr>
          <w:ilvl w:val="2"/>
          <w:numId w:val="1"/>
        </w:numPr>
        <w:overflowPunct w:val="0"/>
        <w:spacing w:before="143" w:after="143"/>
        <w:ind w:left="0" w:firstLine="0"/>
        <w:outlineLvl w:val="2"/>
        <w:rPr>
          <w:rFonts w:ascii="Times New Roman"/>
        </w:rPr>
      </w:pPr>
      <w:r>
        <w:rPr>
          <w:rFonts w:ascii="Times New Roman"/>
        </w:rPr>
        <w:t>总则</w:t>
      </w:r>
    </w:p>
    <w:p w14:paraId="394477AD">
      <w:pPr>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企业在建立碳管理体系时，宜使体系策划、范围和实施与组织目的及实现碳管理体系预期结果有影响的外部和内部环境保持一致。可用“优势、劣势、机会和威胁”（SWOT）分析方法识别组织内外部环境因素。</w:t>
      </w:r>
    </w:p>
    <w:p w14:paraId="12B00044">
      <w:pPr>
        <w:ind w:firstLine="420" w:firstLineChars="200"/>
        <w:rPr>
          <w:rFonts w:ascii="Times New Roman" w:hAnsi="Times New Roman" w:cs="Times New Roman"/>
        </w:rPr>
      </w:pPr>
      <w:r>
        <w:rPr>
          <w:rFonts w:ascii="Times New Roman" w:hAnsi="Times New Roman" w:eastAsia="宋体" w:cs="Times New Roman"/>
          <w:kern w:val="0"/>
          <w:szCs w:val="20"/>
        </w:rPr>
        <w:t>企业宜确定内外部环境因素，并将输出以文件化信息的形式保存，内外部环境因素分析的时机和频次宜形成文件化信息。</w:t>
      </w:r>
      <w:r>
        <w:rPr>
          <w:rFonts w:ascii="Times New Roman" w:hAnsi="Times New Roman" w:cs="Times New Roman"/>
        </w:rPr>
        <w:t xml:space="preserve"> </w:t>
      </w:r>
    </w:p>
    <w:p w14:paraId="0506F112">
      <w:pPr>
        <w:pStyle w:val="68"/>
        <w:numPr>
          <w:ilvl w:val="2"/>
          <w:numId w:val="1"/>
        </w:numPr>
        <w:overflowPunct w:val="0"/>
        <w:spacing w:before="143" w:after="143"/>
        <w:ind w:left="0" w:firstLine="0"/>
        <w:outlineLvl w:val="2"/>
        <w:rPr>
          <w:rFonts w:ascii="Times New Roman"/>
        </w:rPr>
      </w:pPr>
      <w:r>
        <w:rPr>
          <w:rFonts w:ascii="Times New Roman"/>
        </w:rPr>
        <w:t>外部环境</w:t>
      </w:r>
    </w:p>
    <w:p w14:paraId="765AF423">
      <w:pPr>
        <w:pStyle w:val="40"/>
        <w:overflowPunct w:val="0"/>
        <w:rPr>
          <w:rFonts w:ascii="Times New Roman"/>
        </w:rPr>
      </w:pPr>
      <w:r>
        <w:rPr>
          <w:rFonts w:ascii="Times New Roman"/>
        </w:rPr>
        <w:t>外部因素包括但不限于：</w:t>
      </w:r>
    </w:p>
    <w:p w14:paraId="1A54D030">
      <w:pPr>
        <w:pStyle w:val="40"/>
        <w:overflowPunct w:val="0"/>
        <w:ind w:firstLineChars="0"/>
        <w:rPr>
          <w:rFonts w:ascii="Times New Roman"/>
        </w:rPr>
      </w:pPr>
      <w:r>
        <w:rPr>
          <w:rFonts w:ascii="Times New Roman"/>
        </w:rPr>
        <w:t>a）国际碳相关政策法规、管理机制及标准要求：</w:t>
      </w:r>
    </w:p>
    <w:p w14:paraId="42C38373">
      <w:pPr>
        <w:pStyle w:val="46"/>
        <w:overflowPunct w:val="0"/>
        <w:snapToGrid w:val="0"/>
        <w:spacing w:after="0" w:line="340" w:lineRule="exact"/>
        <w:ind w:firstLine="735" w:firstLineChars="350"/>
        <w:jc w:val="both"/>
        <w:rPr>
          <w:rFonts w:hint="default" w:ascii="Times New Roman" w:hAnsi="Times New Roman"/>
          <w:b w:val="0"/>
          <w:kern w:val="0"/>
          <w:sz w:val="21"/>
        </w:rPr>
      </w:pPr>
      <w:r>
        <w:rPr>
          <w:rFonts w:hint="default" w:ascii="Times New Roman" w:hAnsi="Times New Roman"/>
          <w:b w:val="0"/>
          <w:kern w:val="0"/>
          <w:sz w:val="21"/>
        </w:rPr>
        <w:t>·国际绿色贸易规则；</w:t>
      </w:r>
    </w:p>
    <w:p w14:paraId="6196AD97">
      <w:pPr>
        <w:pStyle w:val="46"/>
        <w:overflowPunct w:val="0"/>
        <w:snapToGrid w:val="0"/>
        <w:spacing w:after="0" w:line="340" w:lineRule="exact"/>
        <w:ind w:firstLine="735" w:firstLineChars="350"/>
        <w:jc w:val="both"/>
        <w:rPr>
          <w:rFonts w:hint="default" w:ascii="Times New Roman" w:hAnsi="Times New Roman"/>
          <w:b w:val="0"/>
          <w:kern w:val="0"/>
          <w:sz w:val="21"/>
        </w:rPr>
      </w:pPr>
      <w:r>
        <w:rPr>
          <w:rFonts w:hint="default" w:ascii="Times New Roman" w:hAnsi="Times New Roman"/>
          <w:b w:val="0"/>
          <w:kern w:val="0"/>
          <w:sz w:val="21"/>
        </w:rPr>
        <w:t>·国际产品生态设计和可持续采购要求；</w:t>
      </w:r>
    </w:p>
    <w:p w14:paraId="6C8E5963">
      <w:pPr>
        <w:pStyle w:val="46"/>
        <w:overflowPunct w:val="0"/>
        <w:snapToGrid w:val="0"/>
        <w:spacing w:after="0" w:line="340" w:lineRule="exact"/>
        <w:ind w:firstLine="735" w:firstLineChars="350"/>
        <w:jc w:val="both"/>
        <w:rPr>
          <w:rFonts w:hint="default" w:ascii="Times New Roman" w:hAnsi="Times New Roman"/>
          <w:b w:val="0"/>
          <w:kern w:val="0"/>
          <w:sz w:val="21"/>
        </w:rPr>
      </w:pPr>
      <w:r>
        <w:rPr>
          <w:rFonts w:hint="default" w:ascii="Times New Roman" w:hAnsi="Times New Roman"/>
          <w:b w:val="0"/>
          <w:kern w:val="0"/>
          <w:sz w:val="21"/>
        </w:rPr>
        <w:t>·国际碳信息披露机制要求；</w:t>
      </w:r>
    </w:p>
    <w:p w14:paraId="2C081B82">
      <w:pPr>
        <w:pStyle w:val="46"/>
        <w:overflowPunct w:val="0"/>
        <w:snapToGrid w:val="0"/>
        <w:spacing w:after="0" w:line="340" w:lineRule="exact"/>
        <w:ind w:firstLine="735" w:firstLineChars="350"/>
        <w:jc w:val="both"/>
        <w:rPr>
          <w:rFonts w:hint="default" w:ascii="Times New Roman" w:hAnsi="Times New Roman"/>
          <w:b w:val="0"/>
          <w:kern w:val="0"/>
          <w:sz w:val="21"/>
        </w:rPr>
      </w:pPr>
      <w:bookmarkStart w:id="50" w:name="OLE_LINK1"/>
      <w:r>
        <w:rPr>
          <w:rFonts w:hint="default" w:ascii="Times New Roman" w:hAnsi="Times New Roman"/>
          <w:b w:val="0"/>
          <w:kern w:val="0"/>
          <w:sz w:val="21"/>
        </w:rPr>
        <w:t>·</w:t>
      </w:r>
      <w:bookmarkEnd w:id="50"/>
      <w:r>
        <w:rPr>
          <w:rFonts w:hint="default" w:ascii="Times New Roman" w:hAnsi="Times New Roman"/>
          <w:b w:val="0"/>
          <w:kern w:val="0"/>
          <w:sz w:val="21"/>
        </w:rPr>
        <w:t>适用的国际碳排放核算要求。</w:t>
      </w:r>
    </w:p>
    <w:p w14:paraId="4E141D79">
      <w:pPr>
        <w:pStyle w:val="40"/>
        <w:overflowPunct w:val="0"/>
        <w:ind w:firstLineChars="0"/>
        <w:rPr>
          <w:rFonts w:ascii="Times New Roman"/>
        </w:rPr>
      </w:pPr>
      <w:r>
        <w:rPr>
          <w:rFonts w:ascii="Times New Roman"/>
        </w:rPr>
        <w:t>b）国内双碳政策法规、管理机制及标准要求：</w:t>
      </w:r>
    </w:p>
    <w:p w14:paraId="74BB7D3A">
      <w:pPr>
        <w:pStyle w:val="46"/>
        <w:overflowPunct w:val="0"/>
        <w:snapToGrid w:val="0"/>
        <w:spacing w:after="0" w:line="340" w:lineRule="exact"/>
        <w:ind w:firstLine="735" w:firstLineChars="350"/>
        <w:jc w:val="both"/>
        <w:rPr>
          <w:rFonts w:hint="default" w:ascii="Times New Roman" w:hAnsi="Times New Roman"/>
          <w:b w:val="0"/>
          <w:kern w:val="0"/>
          <w:sz w:val="21"/>
        </w:rPr>
      </w:pPr>
      <w:r>
        <w:rPr>
          <w:rFonts w:hint="default" w:ascii="Times New Roman" w:hAnsi="Times New Roman"/>
          <w:b w:val="0"/>
          <w:kern w:val="0"/>
          <w:sz w:val="21"/>
        </w:rPr>
        <w:t>·国家双碳政策体系及地方双碳政策要求；</w:t>
      </w:r>
    </w:p>
    <w:p w14:paraId="57C004D8">
      <w:pPr>
        <w:pStyle w:val="46"/>
        <w:overflowPunct w:val="0"/>
        <w:snapToGrid w:val="0"/>
        <w:spacing w:after="0" w:line="340" w:lineRule="exact"/>
        <w:ind w:firstLine="735" w:firstLineChars="350"/>
        <w:jc w:val="both"/>
        <w:rPr>
          <w:rFonts w:hint="default" w:ascii="Times New Roman" w:hAnsi="Times New Roman"/>
          <w:b w:val="0"/>
          <w:kern w:val="0"/>
          <w:sz w:val="21"/>
        </w:rPr>
      </w:pPr>
      <w:r>
        <w:rPr>
          <w:rFonts w:hint="default" w:ascii="Times New Roman" w:hAnsi="Times New Roman"/>
          <w:b w:val="0"/>
          <w:kern w:val="0"/>
          <w:sz w:val="21"/>
        </w:rPr>
        <w:t>·国家碳交易和自愿减排交易相关政策要求；</w:t>
      </w:r>
    </w:p>
    <w:p w14:paraId="7C86A629">
      <w:pPr>
        <w:pStyle w:val="46"/>
        <w:overflowPunct w:val="0"/>
        <w:snapToGrid w:val="0"/>
        <w:spacing w:after="0" w:line="340" w:lineRule="exact"/>
        <w:ind w:firstLine="735" w:firstLineChars="350"/>
        <w:jc w:val="both"/>
        <w:rPr>
          <w:rFonts w:hint="default" w:ascii="Times New Roman" w:hAnsi="Times New Roman"/>
          <w:b w:val="0"/>
          <w:kern w:val="0"/>
          <w:sz w:val="21"/>
        </w:rPr>
      </w:pPr>
      <w:r>
        <w:rPr>
          <w:rFonts w:hint="default" w:ascii="Times New Roman" w:hAnsi="Times New Roman"/>
          <w:b w:val="0"/>
          <w:kern w:val="0"/>
          <w:sz w:val="21"/>
        </w:rPr>
        <w:t>·国家产品碳足迹相关政策要求；</w:t>
      </w:r>
    </w:p>
    <w:p w14:paraId="54A16EFA">
      <w:pPr>
        <w:pStyle w:val="46"/>
        <w:overflowPunct w:val="0"/>
        <w:snapToGrid w:val="0"/>
        <w:spacing w:after="0" w:line="340" w:lineRule="exact"/>
        <w:ind w:firstLine="735" w:firstLineChars="350"/>
        <w:jc w:val="both"/>
        <w:rPr>
          <w:rFonts w:hint="default" w:ascii="Times New Roman" w:hAnsi="Times New Roman"/>
          <w:b w:val="0"/>
          <w:kern w:val="0"/>
          <w:sz w:val="21"/>
        </w:rPr>
      </w:pPr>
      <w:r>
        <w:rPr>
          <w:rFonts w:hint="default" w:ascii="Times New Roman" w:hAnsi="Times New Roman"/>
          <w:b w:val="0"/>
          <w:kern w:val="0"/>
          <w:sz w:val="21"/>
        </w:rPr>
        <w:t>·政府绿色低碳采购要求；</w:t>
      </w:r>
    </w:p>
    <w:p w14:paraId="2617A085">
      <w:pPr>
        <w:pStyle w:val="46"/>
        <w:overflowPunct w:val="0"/>
        <w:snapToGrid w:val="0"/>
        <w:spacing w:after="0" w:line="340" w:lineRule="exact"/>
        <w:ind w:firstLine="735" w:firstLineChars="350"/>
        <w:jc w:val="both"/>
        <w:rPr>
          <w:rFonts w:hint="default" w:ascii="Times New Roman" w:hAnsi="Times New Roman"/>
          <w:b w:val="0"/>
          <w:kern w:val="0"/>
          <w:sz w:val="21"/>
        </w:rPr>
      </w:pPr>
      <w:r>
        <w:rPr>
          <w:rFonts w:hint="default" w:ascii="Times New Roman" w:hAnsi="Times New Roman"/>
          <w:b w:val="0"/>
          <w:kern w:val="0"/>
          <w:sz w:val="21"/>
        </w:rPr>
        <w:t>·节能低碳技术的发展；</w:t>
      </w:r>
    </w:p>
    <w:p w14:paraId="7375C7EF">
      <w:pPr>
        <w:pStyle w:val="46"/>
        <w:overflowPunct w:val="0"/>
        <w:snapToGrid w:val="0"/>
        <w:spacing w:after="0" w:line="340" w:lineRule="exact"/>
        <w:ind w:firstLine="735" w:firstLineChars="350"/>
        <w:jc w:val="both"/>
        <w:rPr>
          <w:rFonts w:hint="default" w:ascii="Times New Roman" w:hAnsi="Times New Roman"/>
          <w:b w:val="0"/>
          <w:kern w:val="0"/>
          <w:sz w:val="21"/>
        </w:rPr>
      </w:pPr>
      <w:r>
        <w:rPr>
          <w:rFonts w:hint="default" w:ascii="Times New Roman" w:hAnsi="Times New Roman"/>
          <w:b w:val="0"/>
          <w:kern w:val="0"/>
          <w:sz w:val="21"/>
        </w:rPr>
        <w:t>·适用的国内碳排放核算要求。</w:t>
      </w:r>
    </w:p>
    <w:p w14:paraId="08840FD1">
      <w:pPr>
        <w:pStyle w:val="68"/>
        <w:numPr>
          <w:ilvl w:val="2"/>
          <w:numId w:val="1"/>
        </w:numPr>
        <w:overflowPunct w:val="0"/>
        <w:spacing w:before="143" w:after="143"/>
        <w:ind w:left="0" w:firstLine="0"/>
        <w:outlineLvl w:val="2"/>
        <w:rPr>
          <w:rFonts w:ascii="Times New Roman"/>
        </w:rPr>
      </w:pPr>
      <w:r>
        <w:rPr>
          <w:rFonts w:ascii="Times New Roman"/>
        </w:rPr>
        <w:t>内部环境</w:t>
      </w:r>
    </w:p>
    <w:p w14:paraId="4D5F7F4B">
      <w:pPr>
        <w:pStyle w:val="40"/>
        <w:overflowPunct w:val="0"/>
        <w:ind w:firstLineChars="0"/>
        <w:rPr>
          <w:rFonts w:ascii="Times New Roman"/>
        </w:rPr>
      </w:pPr>
      <w:r>
        <w:rPr>
          <w:rFonts w:ascii="Times New Roman"/>
        </w:rPr>
        <w:t>内部因素包括企业碳管理相关的战略、文化、治理、知识、资源、能力、设施、资产和绩效，包括但不限于：</w:t>
      </w:r>
    </w:p>
    <w:p w14:paraId="63A34D31">
      <w:pPr>
        <w:pStyle w:val="40"/>
        <w:overflowPunct w:val="0"/>
        <w:ind w:firstLineChars="0"/>
        <w:rPr>
          <w:rFonts w:ascii="Times New Roman"/>
          <w:bCs/>
        </w:rPr>
      </w:pPr>
      <w:bookmarkStart w:id="51" w:name="_Ref109650146"/>
      <w:r>
        <w:rPr>
          <w:rFonts w:ascii="Times New Roman"/>
          <w:bCs/>
        </w:rPr>
        <w:t>——企业的碳管理定位；</w:t>
      </w:r>
    </w:p>
    <w:p w14:paraId="0AD52EB1">
      <w:pPr>
        <w:pStyle w:val="40"/>
        <w:overflowPunct w:val="0"/>
        <w:ind w:firstLineChars="0"/>
        <w:rPr>
          <w:rFonts w:ascii="Times New Roman"/>
          <w:bCs/>
        </w:rPr>
      </w:pPr>
      <w:r>
        <w:rPr>
          <w:rFonts w:ascii="Times New Roman"/>
          <w:bCs/>
        </w:rPr>
        <w:t>——企业的碳战略和文化；</w:t>
      </w:r>
    </w:p>
    <w:p w14:paraId="2F6CE045">
      <w:pPr>
        <w:pStyle w:val="40"/>
        <w:overflowPunct w:val="0"/>
        <w:ind w:firstLineChars="0"/>
        <w:rPr>
          <w:rFonts w:ascii="Times New Roman"/>
          <w:bCs/>
        </w:rPr>
      </w:pPr>
      <w:r>
        <w:rPr>
          <w:rFonts w:ascii="Times New Roman"/>
          <w:bCs/>
        </w:rPr>
        <w:t>——企业的碳管理架构和管理机制；</w:t>
      </w:r>
    </w:p>
    <w:p w14:paraId="1CEC1BC1">
      <w:pPr>
        <w:pStyle w:val="40"/>
        <w:overflowPunct w:val="0"/>
        <w:ind w:firstLineChars="0"/>
        <w:rPr>
          <w:rFonts w:ascii="Times New Roman"/>
          <w:bCs/>
        </w:rPr>
      </w:pPr>
      <w:r>
        <w:rPr>
          <w:rFonts w:ascii="Times New Roman"/>
          <w:bCs/>
        </w:rPr>
        <w:t>——企业管理层的碳管理决策能力；</w:t>
      </w:r>
    </w:p>
    <w:p w14:paraId="28F188AA">
      <w:pPr>
        <w:pStyle w:val="40"/>
        <w:overflowPunct w:val="0"/>
        <w:ind w:firstLineChars="0"/>
        <w:rPr>
          <w:rFonts w:ascii="Times New Roman"/>
          <w:bCs/>
        </w:rPr>
      </w:pPr>
      <w:r>
        <w:rPr>
          <w:rFonts w:ascii="Times New Roman"/>
          <w:bCs/>
        </w:rPr>
        <w:t>——企业员工的碳管理能力和意识；</w:t>
      </w:r>
    </w:p>
    <w:p w14:paraId="5514BB85">
      <w:pPr>
        <w:pStyle w:val="40"/>
        <w:overflowPunct w:val="0"/>
        <w:ind w:firstLineChars="0"/>
        <w:rPr>
          <w:rFonts w:ascii="Times New Roman"/>
          <w:bCs/>
        </w:rPr>
      </w:pPr>
      <w:r>
        <w:rPr>
          <w:rFonts w:ascii="Times New Roman"/>
          <w:bCs/>
        </w:rPr>
        <w:t>——企业碳管理资源配置；</w:t>
      </w:r>
    </w:p>
    <w:p w14:paraId="176ACE63">
      <w:pPr>
        <w:pStyle w:val="40"/>
        <w:overflowPunct w:val="0"/>
        <w:ind w:firstLineChars="0"/>
        <w:rPr>
          <w:rFonts w:ascii="Times New Roman"/>
          <w:bCs/>
        </w:rPr>
      </w:pPr>
      <w:r>
        <w:rPr>
          <w:rFonts w:ascii="Times New Roman"/>
          <w:bCs/>
        </w:rPr>
        <w:t>——企业碳排放量化和数据质量管理；</w:t>
      </w:r>
    </w:p>
    <w:p w14:paraId="777C631C">
      <w:pPr>
        <w:pStyle w:val="40"/>
        <w:overflowPunct w:val="0"/>
        <w:ind w:firstLineChars="0"/>
        <w:rPr>
          <w:rFonts w:ascii="Times New Roman"/>
          <w:bCs/>
        </w:rPr>
      </w:pPr>
      <w:r>
        <w:rPr>
          <w:rFonts w:ascii="Times New Roman"/>
          <w:bCs/>
        </w:rPr>
        <w:t>——企业重点排放源及排放设施的识别与管理；</w:t>
      </w:r>
    </w:p>
    <w:p w14:paraId="79F31D62">
      <w:pPr>
        <w:pStyle w:val="40"/>
        <w:overflowPunct w:val="0"/>
        <w:ind w:firstLineChars="0"/>
        <w:rPr>
          <w:rFonts w:ascii="Times New Roman"/>
          <w:bCs/>
        </w:rPr>
      </w:pPr>
      <w:r>
        <w:rPr>
          <w:rFonts w:ascii="Times New Roman"/>
          <w:bCs/>
        </w:rPr>
        <w:t>——企业碳减排的“策划、实施、检查和改进”管理；</w:t>
      </w:r>
    </w:p>
    <w:p w14:paraId="7EBB2E4F">
      <w:pPr>
        <w:pStyle w:val="40"/>
        <w:overflowPunct w:val="0"/>
        <w:ind w:firstLineChars="0"/>
        <w:rPr>
          <w:rFonts w:ascii="Times New Roman"/>
          <w:bCs/>
        </w:rPr>
      </w:pPr>
      <w:r>
        <w:rPr>
          <w:rFonts w:ascii="Times New Roman"/>
          <w:bCs/>
        </w:rPr>
        <w:t>——企业碳管理绩效评估；</w:t>
      </w:r>
    </w:p>
    <w:p w14:paraId="6DEC9AB0">
      <w:pPr>
        <w:pStyle w:val="40"/>
        <w:overflowPunct w:val="0"/>
        <w:ind w:firstLineChars="0"/>
        <w:rPr>
          <w:rFonts w:ascii="Times New Roman"/>
          <w:bCs/>
        </w:rPr>
      </w:pPr>
      <w:r>
        <w:rPr>
          <w:rFonts w:ascii="Times New Roman"/>
          <w:bCs/>
        </w:rPr>
        <w:t>——企业碳资产运营和管理；</w:t>
      </w:r>
    </w:p>
    <w:p w14:paraId="28F733DF">
      <w:pPr>
        <w:pStyle w:val="40"/>
        <w:overflowPunct w:val="0"/>
        <w:ind w:firstLineChars="0"/>
        <w:rPr>
          <w:rFonts w:ascii="Times New Roman"/>
          <w:bCs/>
        </w:rPr>
      </w:pPr>
      <w:r>
        <w:rPr>
          <w:rFonts w:ascii="Times New Roman"/>
          <w:bCs/>
        </w:rPr>
        <w:t>——</w:t>
      </w:r>
      <w:r>
        <w:rPr>
          <w:rFonts w:hint="eastAsia" w:ascii="Times New Roman"/>
          <w:bCs/>
        </w:rPr>
        <w:t>企业</w:t>
      </w:r>
      <w:r>
        <w:rPr>
          <w:rFonts w:ascii="Times New Roman"/>
          <w:bCs/>
        </w:rPr>
        <w:t>碳</w:t>
      </w:r>
      <w:r>
        <w:rPr>
          <w:rFonts w:hint="eastAsia" w:ascii="Times New Roman"/>
          <w:bCs/>
        </w:rPr>
        <w:t>信息</w:t>
      </w:r>
      <w:r>
        <w:rPr>
          <w:rFonts w:ascii="Times New Roman"/>
          <w:bCs/>
        </w:rPr>
        <w:t>披露管理；</w:t>
      </w:r>
    </w:p>
    <w:p w14:paraId="2E8DB513">
      <w:pPr>
        <w:pStyle w:val="40"/>
        <w:overflowPunct w:val="0"/>
        <w:ind w:firstLineChars="0"/>
        <w:rPr>
          <w:rFonts w:ascii="Times New Roman"/>
          <w:bCs/>
        </w:rPr>
      </w:pPr>
      <w:r>
        <w:rPr>
          <w:rFonts w:ascii="Times New Roman"/>
          <w:bCs/>
        </w:rPr>
        <w:t>——</w:t>
      </w:r>
      <w:r>
        <w:rPr>
          <w:rFonts w:hint="eastAsia" w:ascii="Times New Roman"/>
          <w:bCs/>
        </w:rPr>
        <w:t>企业</w:t>
      </w:r>
      <w:r>
        <w:rPr>
          <w:rFonts w:ascii="Times New Roman"/>
          <w:bCs/>
        </w:rPr>
        <w:t>自我评估、内部审核、外部评审的反馈。</w:t>
      </w:r>
    </w:p>
    <w:p w14:paraId="0D686330">
      <w:pPr>
        <w:pStyle w:val="67"/>
        <w:numPr>
          <w:ilvl w:val="1"/>
          <w:numId w:val="1"/>
        </w:numPr>
        <w:overflowPunct w:val="0"/>
        <w:spacing w:before="143" w:after="143"/>
        <w:ind w:left="0" w:firstLine="0"/>
        <w:outlineLvl w:val="1"/>
        <w:rPr>
          <w:rFonts w:ascii="Times New Roman"/>
        </w:rPr>
      </w:pPr>
      <w:bookmarkStart w:id="52" w:name="_Toc187932678"/>
      <w:bookmarkStart w:id="53" w:name="_Toc220422359"/>
      <w:r>
        <w:rPr>
          <w:rFonts w:ascii="Times New Roman"/>
        </w:rPr>
        <w:t>理解相关方的需求和期望</w:t>
      </w:r>
      <w:bookmarkEnd w:id="51"/>
      <w:bookmarkEnd w:id="52"/>
      <w:bookmarkEnd w:id="53"/>
    </w:p>
    <w:p w14:paraId="78B1CE46">
      <w:pPr>
        <w:pStyle w:val="68"/>
        <w:numPr>
          <w:ilvl w:val="2"/>
          <w:numId w:val="1"/>
        </w:numPr>
        <w:overflowPunct w:val="0"/>
        <w:spacing w:before="143" w:after="143"/>
        <w:ind w:left="0" w:firstLine="0"/>
        <w:outlineLvl w:val="2"/>
        <w:rPr>
          <w:rFonts w:ascii="Times New Roman"/>
        </w:rPr>
      </w:pPr>
      <w:bookmarkStart w:id="54" w:name="_Toc162335849"/>
      <w:bookmarkStart w:id="55" w:name="_Toc162009137"/>
      <w:r>
        <w:rPr>
          <w:rFonts w:ascii="Times New Roman"/>
        </w:rPr>
        <w:t>总则</w:t>
      </w:r>
    </w:p>
    <w:p w14:paraId="58434937">
      <w:pPr>
        <w:overflowPunct w:val="0"/>
        <w:ind w:firstLine="420" w:firstLineChars="200"/>
        <w:rPr>
          <w:rFonts w:ascii="Times New Roman" w:hAnsi="Times New Roman" w:eastAsia="宋体" w:cs="Times New Roman"/>
          <w:szCs w:val="24"/>
        </w:rPr>
      </w:pPr>
      <w:r>
        <w:rPr>
          <w:rFonts w:hint="eastAsia" w:ascii="Times New Roman" w:hAnsi="Times New Roman" w:eastAsia="宋体" w:cs="Times New Roman"/>
          <w:szCs w:val="24"/>
        </w:rPr>
        <w:t>企业</w:t>
      </w:r>
      <w:r>
        <w:rPr>
          <w:rFonts w:ascii="Times New Roman" w:hAnsi="Times New Roman" w:eastAsia="宋体" w:cs="Times New Roman"/>
          <w:szCs w:val="24"/>
        </w:rPr>
        <w:t>宜识别与碳管理有关的相关方，以及相关方的需求与期望。</w:t>
      </w:r>
    </w:p>
    <w:p w14:paraId="285CB180">
      <w:pPr>
        <w:overflowPunct w:val="0"/>
        <w:ind w:firstLine="420" w:firstLineChars="200"/>
        <w:rPr>
          <w:rFonts w:ascii="Times New Roman" w:hAnsi="Times New Roman" w:eastAsia="宋体" w:cs="Times New Roman"/>
          <w:szCs w:val="24"/>
        </w:rPr>
      </w:pPr>
      <w:r>
        <w:rPr>
          <w:rFonts w:hint="eastAsia" w:ascii="Times New Roman" w:hAnsi="Times New Roman" w:eastAsia="宋体" w:cs="Times New Roman"/>
          <w:szCs w:val="24"/>
        </w:rPr>
        <w:t>企业</w:t>
      </w:r>
      <w:r>
        <w:rPr>
          <w:rFonts w:ascii="Times New Roman" w:hAnsi="Times New Roman" w:eastAsia="宋体" w:cs="Times New Roman"/>
          <w:szCs w:val="24"/>
        </w:rPr>
        <w:t>宜定期识别内部相关方、外部相关方及其需求和期望，宜考虑采取适宜的方法，跟踪收集相关方的需求和期望的最新信息，确定其需求与期望，并形成文件化信息。</w:t>
      </w:r>
    </w:p>
    <w:p w14:paraId="07125245">
      <w:pPr>
        <w:overflowPunct w:val="0"/>
        <w:ind w:firstLine="420" w:firstLineChars="200"/>
        <w:rPr>
          <w:rFonts w:ascii="Times New Roman" w:hAnsi="Times New Roman" w:eastAsia="宋体" w:cs="Times New Roman"/>
          <w:szCs w:val="24"/>
        </w:rPr>
      </w:pPr>
      <w:r>
        <w:rPr>
          <w:rFonts w:hint="eastAsia" w:ascii="Times New Roman" w:hAnsi="Times New Roman" w:eastAsia="宋体" w:cs="Times New Roman"/>
          <w:szCs w:val="24"/>
        </w:rPr>
        <w:t>企业</w:t>
      </w:r>
      <w:r>
        <w:rPr>
          <w:rFonts w:ascii="Times New Roman" w:hAnsi="Times New Roman" w:eastAsia="宋体" w:cs="Times New Roman"/>
          <w:szCs w:val="24"/>
        </w:rPr>
        <w:t>宜以适当的方式就碳管理活动与相关方进行沟通，确定与谁沟通、沟通什么、如何沟通</w:t>
      </w:r>
      <w:r>
        <w:rPr>
          <w:rFonts w:hint="eastAsia" w:ascii="Times New Roman" w:hAnsi="Times New Roman" w:eastAsia="宋体" w:cs="Times New Roman"/>
          <w:szCs w:val="24"/>
        </w:rPr>
        <w:t>以</w:t>
      </w:r>
      <w:r>
        <w:rPr>
          <w:rFonts w:ascii="Times New Roman" w:hAnsi="Times New Roman" w:eastAsia="宋体" w:cs="Times New Roman"/>
          <w:szCs w:val="24"/>
        </w:rPr>
        <w:t>及为何沟通，使相关方知悉可能对其碳管理产生影响的决策。</w:t>
      </w:r>
    </w:p>
    <w:p w14:paraId="64EAE194">
      <w:pPr>
        <w:pStyle w:val="68"/>
        <w:numPr>
          <w:ilvl w:val="2"/>
          <w:numId w:val="1"/>
        </w:numPr>
        <w:overflowPunct w:val="0"/>
        <w:spacing w:before="143" w:after="143"/>
        <w:ind w:left="0" w:firstLine="0"/>
        <w:outlineLvl w:val="2"/>
        <w:rPr>
          <w:rFonts w:ascii="Times New Roman"/>
        </w:rPr>
      </w:pPr>
      <w:r>
        <w:rPr>
          <w:rFonts w:ascii="Times New Roman"/>
        </w:rPr>
        <w:t>外部相关方</w:t>
      </w:r>
    </w:p>
    <w:p w14:paraId="21DCD3AB">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外部相关方包括但不限于：</w:t>
      </w:r>
    </w:p>
    <w:bookmarkEnd w:id="54"/>
    <w:bookmarkEnd w:id="55"/>
    <w:p w14:paraId="2FB105FD">
      <w:pPr>
        <w:pStyle w:val="40"/>
        <w:overflowPunct w:val="0"/>
        <w:ind w:firstLineChars="0"/>
        <w:rPr>
          <w:rFonts w:ascii="Times New Roman"/>
        </w:rPr>
      </w:pPr>
      <w:r>
        <w:rPr>
          <w:rFonts w:ascii="Times New Roman"/>
          <w:bCs/>
        </w:rPr>
        <w:t>——政府</w:t>
      </w:r>
      <w:r>
        <w:rPr>
          <w:rFonts w:ascii="Times New Roman"/>
        </w:rPr>
        <w:t>监管部门；</w:t>
      </w:r>
    </w:p>
    <w:p w14:paraId="353F7D99">
      <w:pPr>
        <w:pStyle w:val="40"/>
        <w:overflowPunct w:val="0"/>
        <w:ind w:firstLineChars="0"/>
        <w:rPr>
          <w:rFonts w:ascii="Times New Roman"/>
        </w:rPr>
      </w:pPr>
      <w:r>
        <w:rPr>
          <w:rFonts w:ascii="Times New Roman"/>
          <w:bCs/>
        </w:rPr>
        <w:t>——</w:t>
      </w:r>
      <w:r>
        <w:rPr>
          <w:rFonts w:ascii="Times New Roman"/>
        </w:rPr>
        <w:t>投资方；</w:t>
      </w:r>
    </w:p>
    <w:p w14:paraId="5FC22362">
      <w:pPr>
        <w:pStyle w:val="40"/>
        <w:overflowPunct w:val="0"/>
        <w:ind w:firstLineChars="0"/>
        <w:rPr>
          <w:rFonts w:ascii="Times New Roman"/>
        </w:rPr>
      </w:pPr>
      <w:r>
        <w:rPr>
          <w:rFonts w:ascii="Times New Roman"/>
          <w:bCs/>
        </w:rPr>
        <w:t>——</w:t>
      </w:r>
      <w:r>
        <w:rPr>
          <w:rFonts w:ascii="Times New Roman"/>
        </w:rPr>
        <w:t>供应方；</w:t>
      </w:r>
    </w:p>
    <w:p w14:paraId="35D44769">
      <w:pPr>
        <w:pStyle w:val="40"/>
        <w:overflowPunct w:val="0"/>
        <w:ind w:firstLineChars="0"/>
        <w:rPr>
          <w:rFonts w:ascii="Times New Roman"/>
        </w:rPr>
      </w:pPr>
      <w:r>
        <w:rPr>
          <w:rFonts w:ascii="Times New Roman"/>
          <w:bCs/>
        </w:rPr>
        <w:t>——</w:t>
      </w:r>
      <w:r>
        <w:rPr>
          <w:rFonts w:ascii="Times New Roman"/>
        </w:rPr>
        <w:t>采购方；</w:t>
      </w:r>
    </w:p>
    <w:p w14:paraId="2BC454B2">
      <w:pPr>
        <w:pStyle w:val="40"/>
        <w:overflowPunct w:val="0"/>
        <w:ind w:firstLineChars="0"/>
        <w:rPr>
          <w:rFonts w:ascii="Times New Roman"/>
        </w:rPr>
      </w:pPr>
      <w:r>
        <w:rPr>
          <w:rFonts w:ascii="Times New Roman"/>
          <w:bCs/>
        </w:rPr>
        <w:t>——</w:t>
      </w:r>
      <w:r>
        <w:rPr>
          <w:rFonts w:ascii="Times New Roman"/>
        </w:rPr>
        <w:t>外包方；</w:t>
      </w:r>
    </w:p>
    <w:p w14:paraId="25F20A6E">
      <w:pPr>
        <w:pStyle w:val="40"/>
        <w:overflowPunct w:val="0"/>
        <w:ind w:firstLineChars="0"/>
        <w:rPr>
          <w:rFonts w:ascii="Times New Roman"/>
        </w:rPr>
      </w:pPr>
      <w:r>
        <w:rPr>
          <w:rFonts w:ascii="Times New Roman"/>
          <w:bCs/>
        </w:rPr>
        <w:t>——技术</w:t>
      </w:r>
      <w:r>
        <w:rPr>
          <w:rFonts w:ascii="Times New Roman"/>
        </w:rPr>
        <w:t>服务方；</w:t>
      </w:r>
    </w:p>
    <w:p w14:paraId="5186E8AA">
      <w:pPr>
        <w:pStyle w:val="40"/>
        <w:overflowPunct w:val="0"/>
        <w:ind w:firstLineChars="0"/>
        <w:rPr>
          <w:rFonts w:ascii="Times New Roman"/>
        </w:rPr>
      </w:pPr>
      <w:r>
        <w:rPr>
          <w:rFonts w:ascii="Times New Roman"/>
          <w:bCs/>
        </w:rPr>
        <w:t>——</w:t>
      </w:r>
      <w:r>
        <w:rPr>
          <w:rFonts w:ascii="Times New Roman"/>
        </w:rPr>
        <w:t>非政府组织。</w:t>
      </w:r>
    </w:p>
    <w:p w14:paraId="3F989F45">
      <w:pPr>
        <w:pStyle w:val="68"/>
        <w:numPr>
          <w:ilvl w:val="2"/>
          <w:numId w:val="1"/>
        </w:numPr>
        <w:overflowPunct w:val="0"/>
        <w:spacing w:before="143" w:after="143"/>
        <w:ind w:left="0" w:firstLine="0"/>
        <w:outlineLvl w:val="2"/>
        <w:rPr>
          <w:rFonts w:ascii="Times New Roman"/>
        </w:rPr>
      </w:pPr>
      <w:r>
        <w:rPr>
          <w:rFonts w:ascii="Times New Roman"/>
        </w:rPr>
        <w:t>内部相关方</w:t>
      </w:r>
    </w:p>
    <w:p w14:paraId="5D22E7EA">
      <w:pPr>
        <w:overflowPunct w:val="0"/>
        <w:ind w:firstLine="420" w:firstLineChars="200"/>
        <w:rPr>
          <w:rFonts w:ascii="Times New Roman" w:hAnsi="Times New Roman" w:eastAsia="宋体" w:cs="Times New Roman"/>
          <w:szCs w:val="24"/>
        </w:rPr>
      </w:pPr>
      <w:r>
        <w:rPr>
          <w:rFonts w:ascii="Times New Roman" w:hAnsi="Times New Roman" w:eastAsia="宋体" w:cs="Times New Roman"/>
          <w:szCs w:val="24"/>
        </w:rPr>
        <w:t>内部相关方包括但不限于：</w:t>
      </w:r>
    </w:p>
    <w:p w14:paraId="1F27F1A6">
      <w:pPr>
        <w:pStyle w:val="40"/>
        <w:overflowPunct w:val="0"/>
        <w:ind w:firstLineChars="0"/>
        <w:rPr>
          <w:rFonts w:ascii="Times New Roman"/>
        </w:rPr>
      </w:pPr>
      <w:r>
        <w:rPr>
          <w:rFonts w:ascii="Times New Roman"/>
          <w:bCs/>
        </w:rPr>
        <w:t>——</w:t>
      </w:r>
      <w:r>
        <w:rPr>
          <w:rFonts w:ascii="Times New Roman"/>
        </w:rPr>
        <w:t>员工和工会；</w:t>
      </w:r>
    </w:p>
    <w:p w14:paraId="5A6E2786">
      <w:pPr>
        <w:pStyle w:val="40"/>
        <w:overflowPunct w:val="0"/>
        <w:ind w:firstLineChars="0"/>
        <w:rPr>
          <w:rFonts w:ascii="Times New Roman"/>
        </w:rPr>
      </w:pPr>
      <w:r>
        <w:rPr>
          <w:rFonts w:ascii="Times New Roman"/>
          <w:bCs/>
        </w:rPr>
        <w:t>——</w:t>
      </w:r>
      <w:r>
        <w:rPr>
          <w:rFonts w:ascii="Times New Roman"/>
        </w:rPr>
        <w:t>内部职能机构和其他机构；</w:t>
      </w:r>
    </w:p>
    <w:p w14:paraId="4EEF1EB0">
      <w:pPr>
        <w:pStyle w:val="40"/>
        <w:overflowPunct w:val="0"/>
        <w:ind w:firstLineChars="0"/>
        <w:rPr>
          <w:rFonts w:ascii="Times New Roman"/>
        </w:rPr>
      </w:pPr>
      <w:r>
        <w:rPr>
          <w:rFonts w:ascii="Times New Roman"/>
          <w:bCs/>
        </w:rPr>
        <w:t>——</w:t>
      </w:r>
      <w:r>
        <w:rPr>
          <w:rFonts w:ascii="Times New Roman"/>
        </w:rPr>
        <w:t>股东、管理团队、所有者等。</w:t>
      </w:r>
    </w:p>
    <w:p w14:paraId="319C51C2">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56" w:name="_Toc220422360"/>
      <w:bookmarkStart w:id="57" w:name="_Toc107221721"/>
      <w:bookmarkStart w:id="58" w:name="_Toc187932679"/>
      <w:r>
        <w:rPr>
          <w:rFonts w:ascii="Times New Roman"/>
          <w:color w:val="000000" w:themeColor="text1"/>
          <w14:textFill>
            <w14:solidFill>
              <w14:schemeClr w14:val="tx1"/>
            </w14:solidFill>
          </w14:textFill>
        </w:rPr>
        <w:t>确定碳管理体系的范围</w:t>
      </w:r>
      <w:bookmarkEnd w:id="56"/>
      <w:bookmarkEnd w:id="57"/>
      <w:bookmarkEnd w:id="58"/>
    </w:p>
    <w:p w14:paraId="54F94130">
      <w:pPr>
        <w:overflowPunct w:val="0"/>
        <w:rPr>
          <w:rFonts w:ascii="Times New Roman" w:hAnsi="Times New Roman" w:eastAsia="宋体" w:cs="Times New Roman"/>
        </w:rPr>
      </w:pPr>
      <w:r>
        <w:rPr>
          <w:rFonts w:ascii="Times New Roman" w:hAnsi="Times New Roman" w:eastAsia="宋体" w:cs="Times New Roman"/>
        </w:rPr>
        <w:t>4.3.1  企业宜明确碳管理体系的边界和适用性，以界定其范围。在界定范围时，宜考虑：</w:t>
      </w:r>
    </w:p>
    <w:p w14:paraId="7946B3BD">
      <w:pPr>
        <w:pStyle w:val="40"/>
        <w:overflowPunct w:val="0"/>
        <w:ind w:firstLineChars="0"/>
        <w:rPr>
          <w:rFonts w:ascii="Times New Roman"/>
          <w:sz w:val="18"/>
          <w:szCs w:val="18"/>
        </w:rPr>
      </w:pPr>
      <w:r>
        <w:rPr>
          <w:rFonts w:ascii="Times New Roman"/>
        </w:rPr>
        <w:t>a</w:t>
      </w:r>
      <w:r>
        <w:rPr>
          <w:rFonts w:ascii="Times New Roman"/>
          <w:szCs w:val="24"/>
        </w:rPr>
        <w:t>）</w:t>
      </w:r>
      <w:r>
        <w:rPr>
          <w:rFonts w:ascii="Times New Roman"/>
        </w:rPr>
        <w:t>4.1中所确定的内、外部</w:t>
      </w:r>
      <w:r>
        <w:rPr>
          <w:rFonts w:hint="eastAsia" w:ascii="Times New Roman"/>
        </w:rPr>
        <w:t>环境</w:t>
      </w:r>
      <w:r>
        <w:rPr>
          <w:rFonts w:ascii="Times New Roman"/>
        </w:rPr>
        <w:t>因素；</w:t>
      </w:r>
    </w:p>
    <w:p w14:paraId="286A49AE">
      <w:pPr>
        <w:pStyle w:val="40"/>
        <w:overflowPunct w:val="0"/>
        <w:rPr>
          <w:rFonts w:ascii="Times New Roman"/>
        </w:rPr>
      </w:pPr>
      <w:r>
        <w:rPr>
          <w:rFonts w:ascii="Times New Roman"/>
        </w:rPr>
        <w:t>b</w:t>
      </w:r>
      <w:r>
        <w:rPr>
          <w:rFonts w:ascii="Times New Roman"/>
          <w:szCs w:val="24"/>
        </w:rPr>
        <w:t>）</w:t>
      </w:r>
      <w:r>
        <w:rPr>
          <w:rFonts w:ascii="Times New Roman"/>
        </w:rPr>
        <w:t>4.2中所确定的相关方需求和期望；</w:t>
      </w:r>
    </w:p>
    <w:p w14:paraId="109960F8">
      <w:pPr>
        <w:pStyle w:val="40"/>
        <w:overflowPunct w:val="0"/>
        <w:ind w:firstLineChars="0"/>
        <w:rPr>
          <w:rFonts w:ascii="Times New Roman"/>
        </w:rPr>
      </w:pPr>
      <w:r>
        <w:rPr>
          <w:rFonts w:ascii="Times New Roman"/>
        </w:rPr>
        <w:t>c</w:t>
      </w:r>
      <w:r>
        <w:rPr>
          <w:rFonts w:ascii="Times New Roman"/>
          <w:szCs w:val="24"/>
        </w:rPr>
        <w:t>）</w:t>
      </w:r>
      <w:r>
        <w:rPr>
          <w:rFonts w:hint="eastAsia" w:ascii="Times New Roman"/>
        </w:rPr>
        <w:t>企业的</w:t>
      </w:r>
      <w:r>
        <w:rPr>
          <w:rFonts w:ascii="Times New Roman"/>
        </w:rPr>
        <w:t>组织单元、职能和物理边界；</w:t>
      </w:r>
    </w:p>
    <w:p w14:paraId="497F6302">
      <w:pPr>
        <w:pStyle w:val="40"/>
        <w:overflowPunct w:val="0"/>
        <w:ind w:firstLineChars="0"/>
        <w:rPr>
          <w:rFonts w:ascii="Times New Roman"/>
        </w:rPr>
      </w:pPr>
      <w:r>
        <w:rPr>
          <w:rFonts w:ascii="Times New Roman"/>
        </w:rPr>
        <w:t>d</w:t>
      </w:r>
      <w:r>
        <w:rPr>
          <w:rFonts w:ascii="Times New Roman"/>
          <w:szCs w:val="24"/>
        </w:rPr>
        <w:t>）</w:t>
      </w:r>
      <w:r>
        <w:rPr>
          <w:rFonts w:hint="eastAsia" w:ascii="Times New Roman"/>
        </w:rPr>
        <w:t>企业的</w:t>
      </w:r>
      <w:r>
        <w:rPr>
          <w:rFonts w:ascii="Times New Roman"/>
        </w:rPr>
        <w:t>活动、产品和服务；</w:t>
      </w:r>
    </w:p>
    <w:p w14:paraId="035DD62F">
      <w:pPr>
        <w:pStyle w:val="40"/>
        <w:overflowPunct w:val="0"/>
        <w:ind w:firstLineChars="0"/>
        <w:rPr>
          <w:rFonts w:ascii="Times New Roman"/>
        </w:rPr>
      </w:pPr>
      <w:r>
        <w:rPr>
          <w:rFonts w:ascii="Times New Roman"/>
        </w:rPr>
        <w:t>e</w:t>
      </w:r>
      <w:r>
        <w:rPr>
          <w:rFonts w:ascii="Times New Roman"/>
          <w:szCs w:val="24"/>
        </w:rPr>
        <w:t>）</w:t>
      </w:r>
      <w:r>
        <w:rPr>
          <w:rFonts w:hint="eastAsia" w:ascii="Times New Roman"/>
        </w:rPr>
        <w:t>企业的</w:t>
      </w:r>
      <w:r>
        <w:rPr>
          <w:rFonts w:ascii="Times New Roman"/>
        </w:rPr>
        <w:t>权限和能力范围内的碳源和（或）碳汇。</w:t>
      </w:r>
    </w:p>
    <w:p w14:paraId="2BFC8E32">
      <w:pPr>
        <w:pStyle w:val="40"/>
        <w:overflowPunct w:val="0"/>
        <w:ind w:firstLine="360"/>
        <w:rPr>
          <w:rFonts w:ascii="Times New Roman"/>
          <w:sz w:val="18"/>
          <w:szCs w:val="18"/>
        </w:rPr>
      </w:pPr>
      <w:r>
        <w:rPr>
          <w:rFonts w:ascii="Times New Roman" w:eastAsia="黑体"/>
          <w:sz w:val="18"/>
          <w:szCs w:val="18"/>
        </w:rPr>
        <w:t>注：</w:t>
      </w:r>
      <w:r>
        <w:rPr>
          <w:rFonts w:ascii="Times New Roman"/>
          <w:sz w:val="18"/>
          <w:szCs w:val="18"/>
        </w:rPr>
        <w:t>基于企业实际地理位置的厂区范围、其厂区范围内的不同生产单元以及组织内的职能划分，界定碳管理体系范</w:t>
      </w:r>
    </w:p>
    <w:p w14:paraId="41EE805F">
      <w:pPr>
        <w:pStyle w:val="40"/>
        <w:overflowPunct w:val="0"/>
        <w:ind w:firstLine="720" w:firstLineChars="400"/>
        <w:rPr>
          <w:rFonts w:ascii="Times New Roman"/>
          <w:sz w:val="18"/>
          <w:szCs w:val="18"/>
        </w:rPr>
      </w:pPr>
      <w:r>
        <w:rPr>
          <w:rFonts w:ascii="Times New Roman"/>
          <w:sz w:val="18"/>
          <w:szCs w:val="18"/>
        </w:rPr>
        <w:t>围。</w:t>
      </w:r>
      <w:r>
        <w:rPr>
          <w:rFonts w:ascii="Times New Roman"/>
          <w:bCs/>
          <w:sz w:val="18"/>
          <w:szCs w:val="18"/>
        </w:rPr>
        <w:t>企业的碳源包括相关的设备、设施、系统、过程；碳汇可通过</w:t>
      </w:r>
      <w:r>
        <w:rPr>
          <w:rFonts w:ascii="Times New Roman"/>
          <w:sz w:val="18"/>
          <w:szCs w:val="18"/>
        </w:rPr>
        <w:t>植树造林、购买碳汇等方式</w:t>
      </w:r>
      <w:r>
        <w:rPr>
          <w:rFonts w:ascii="Times New Roman"/>
          <w:bCs/>
          <w:sz w:val="18"/>
          <w:szCs w:val="18"/>
        </w:rPr>
        <w:t>来实现</w:t>
      </w:r>
      <w:r>
        <w:rPr>
          <w:rFonts w:ascii="Times New Roman"/>
          <w:sz w:val="18"/>
          <w:szCs w:val="18"/>
        </w:rPr>
        <w:t>。</w:t>
      </w:r>
    </w:p>
    <w:p w14:paraId="77AEE648">
      <w:pPr>
        <w:pStyle w:val="40"/>
        <w:overflowPunct w:val="0"/>
        <w:ind w:firstLineChars="0"/>
        <w:rPr>
          <w:rFonts w:ascii="Times New Roman"/>
        </w:rPr>
      </w:pPr>
    </w:p>
    <w:p w14:paraId="5D8ECCB2">
      <w:pPr>
        <w:overflowPunct w:val="0"/>
        <w:rPr>
          <w:rFonts w:ascii="Times New Roman" w:hAnsi="Times New Roman" w:cs="Times New Roman"/>
          <w:b/>
          <w:sz w:val="18"/>
          <w:szCs w:val="18"/>
        </w:rPr>
      </w:pPr>
      <w:r>
        <w:rPr>
          <w:rFonts w:ascii="Times New Roman" w:hAnsi="Times New Roman" w:eastAsia="宋体" w:cs="Times New Roman"/>
          <w:szCs w:val="24"/>
        </w:rPr>
        <w:t>4.3.2  基于企业的生产（包括主要生产系统、辅助生产系统和附属生产系统）及供应链上下游相关的设计、采购、仓储、配送、回收利用等活动，界定碳管理体系范围。碳管理体系范围一经确定，该范围内所有影响碳绩效的活动均应纳入碳管理体系。企业宜保持其碳管理体系范围和边界的文件化信息，并能够被相关方获取。</w:t>
      </w:r>
    </w:p>
    <w:p w14:paraId="4A4FA0A1">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59" w:name="_Toc187932680"/>
      <w:bookmarkStart w:id="60" w:name="_Toc220422361"/>
      <w:bookmarkStart w:id="61" w:name="_Toc107221722"/>
      <w:r>
        <w:rPr>
          <w:rFonts w:ascii="Times New Roman"/>
          <w:color w:val="000000" w:themeColor="text1"/>
          <w14:textFill>
            <w14:solidFill>
              <w14:schemeClr w14:val="tx1"/>
            </w14:solidFill>
          </w14:textFill>
        </w:rPr>
        <w:t>碳管理体系</w:t>
      </w:r>
      <w:bookmarkEnd w:id="59"/>
      <w:bookmarkEnd w:id="60"/>
      <w:bookmarkEnd w:id="61"/>
    </w:p>
    <w:p w14:paraId="6BD223C4">
      <w:pPr>
        <w:overflowPunct w:val="0"/>
        <w:rPr>
          <w:rFonts w:ascii="Times New Roman" w:hAnsi="Times New Roman" w:eastAsia="宋体" w:cs="Times New Roman"/>
          <w:szCs w:val="24"/>
        </w:rPr>
      </w:pPr>
      <w:r>
        <w:rPr>
          <w:rFonts w:ascii="Times New Roman" w:hAnsi="Times New Roman" w:eastAsia="宋体" w:cs="Times New Roman"/>
          <w:szCs w:val="24"/>
        </w:rPr>
        <w:t>4.4.1  企业宜根据本文件的要求，建立、实施、保持并持续改进碳管理体系，包括所需的过程及其相互作用，并持续改进碳绩效。企业建立并保持碳管理体系时，宜与其他管理体系相融合，如质量、环境或能源等管理体系要求，最终实现企业整体管理体系的融合。</w:t>
      </w:r>
    </w:p>
    <w:p w14:paraId="77B309E4">
      <w:pPr>
        <w:overflowPunct w:val="0"/>
        <w:rPr>
          <w:rFonts w:ascii="Times New Roman" w:hAnsi="Times New Roman" w:eastAsia="宋体" w:cs="Times New Roman"/>
          <w:szCs w:val="24"/>
        </w:rPr>
      </w:pPr>
      <w:r>
        <w:rPr>
          <w:rFonts w:ascii="Times New Roman" w:hAnsi="Times New Roman" w:eastAsia="宋体" w:cs="Times New Roman"/>
          <w:szCs w:val="24"/>
        </w:rPr>
        <w:t xml:space="preserve">4.4.2  </w:t>
      </w:r>
      <w:r>
        <w:rPr>
          <w:rFonts w:ascii="Times New Roman" w:hAnsi="Times New Roman" w:eastAsia="宋体" w:cs="Times New Roman"/>
          <w:szCs w:val="21"/>
        </w:rPr>
        <w:t>组织宜建立碳管理体系有效运作的组织架构和机制，并保持文件化信息</w:t>
      </w:r>
      <w:r>
        <w:rPr>
          <w:rFonts w:ascii="Times New Roman" w:hAnsi="Times New Roman" w:cs="Times New Roman"/>
          <w:szCs w:val="21"/>
        </w:rPr>
        <w:t>。</w:t>
      </w:r>
    </w:p>
    <w:p w14:paraId="43E75CDF">
      <w:pPr>
        <w:pStyle w:val="66"/>
        <w:numPr>
          <w:ilvl w:val="0"/>
          <w:numId w:val="1"/>
        </w:numPr>
        <w:overflowPunct w:val="0"/>
        <w:spacing w:before="286" w:after="286"/>
        <w:ind w:left="0" w:firstLine="0"/>
        <w:outlineLvl w:val="0"/>
        <w:rPr>
          <w:rFonts w:ascii="Times New Roman"/>
        </w:rPr>
      </w:pPr>
      <w:bookmarkStart w:id="62" w:name="_Toc187932681"/>
      <w:bookmarkStart w:id="63" w:name="_Toc220422362"/>
      <w:r>
        <w:rPr>
          <w:rFonts w:ascii="Times New Roman"/>
        </w:rPr>
        <w:t>领导作用</w:t>
      </w:r>
      <w:bookmarkEnd w:id="62"/>
      <w:bookmarkEnd w:id="63"/>
    </w:p>
    <w:p w14:paraId="1DE2BE1E">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64" w:name="_Toc187932682"/>
      <w:bookmarkStart w:id="65" w:name="_Toc220422363"/>
      <w:r>
        <w:rPr>
          <w:rFonts w:ascii="Times New Roman"/>
          <w:color w:val="000000" w:themeColor="text1"/>
          <w14:textFill>
            <w14:solidFill>
              <w14:schemeClr w14:val="tx1"/>
            </w14:solidFill>
          </w14:textFill>
        </w:rPr>
        <w:t>领导作用与承诺</w:t>
      </w:r>
      <w:bookmarkEnd w:id="64"/>
      <w:bookmarkEnd w:id="65"/>
      <w:r>
        <w:rPr>
          <w:rFonts w:ascii="Times New Roman"/>
          <w:color w:val="000000" w:themeColor="text1"/>
          <w14:textFill>
            <w14:solidFill>
              <w14:schemeClr w14:val="tx1"/>
            </w14:solidFill>
          </w14:textFill>
        </w:rPr>
        <w:t xml:space="preserve"> </w:t>
      </w:r>
    </w:p>
    <w:p w14:paraId="1EA435FB">
      <w:pPr>
        <w:overflowPunct w:val="0"/>
        <w:ind w:firstLine="420" w:firstLineChars="200"/>
        <w:rPr>
          <w:rFonts w:ascii="Times New Roman" w:hAnsi="Times New Roman" w:eastAsia="宋体" w:cs="Times New Roman"/>
        </w:rPr>
      </w:pPr>
      <w:r>
        <w:rPr>
          <w:rFonts w:ascii="Times New Roman" w:hAnsi="Times New Roman" w:eastAsia="宋体" w:cs="Times New Roman"/>
        </w:rPr>
        <w:t>最高管理者宜通过其积极参与</w:t>
      </w:r>
      <w:r>
        <w:rPr>
          <w:rFonts w:hint="eastAsia" w:ascii="Times New Roman" w:hAnsi="Times New Roman" w:eastAsia="宋体" w:cs="Times New Roman"/>
        </w:rPr>
        <w:t>，以</w:t>
      </w:r>
      <w:r>
        <w:rPr>
          <w:rFonts w:ascii="Times New Roman" w:hAnsi="Times New Roman" w:eastAsia="宋体" w:cs="Times New Roman"/>
        </w:rPr>
        <w:t>促进、指导和支持碳管理体系的建立、实施、有效运行和持续改进</w:t>
      </w:r>
      <w:r>
        <w:rPr>
          <w:rFonts w:ascii="Times New Roman" w:hAnsi="Times New Roman" w:cs="Times New Roman"/>
        </w:rPr>
        <w:t>。</w:t>
      </w:r>
    </w:p>
    <w:p w14:paraId="1CB790B0">
      <w:pPr>
        <w:overflowPunct w:val="0"/>
        <w:ind w:firstLine="420" w:firstLineChars="200"/>
        <w:rPr>
          <w:rFonts w:ascii="Times New Roman" w:hAnsi="Times New Roman" w:eastAsia="宋体" w:cs="Times New Roman"/>
        </w:rPr>
      </w:pPr>
      <w:r>
        <w:rPr>
          <w:rFonts w:ascii="Times New Roman" w:hAnsi="Times New Roman" w:eastAsia="宋体" w:cs="Times New Roman"/>
        </w:rPr>
        <w:t>最高管理者宜通过以下事项证实其在碳管理体系有效性方面的领导作用和承诺：</w:t>
      </w:r>
    </w:p>
    <w:p w14:paraId="493673BF">
      <w:pPr>
        <w:overflowPunct w:val="0"/>
        <w:ind w:firstLine="420" w:firstLineChars="200"/>
        <w:rPr>
          <w:rFonts w:ascii="Times New Roman" w:hAnsi="Times New Roman" w:eastAsia="宋体" w:cs="Times New Roman"/>
          <w:szCs w:val="20"/>
        </w:rPr>
      </w:pPr>
      <w:r>
        <w:rPr>
          <w:rFonts w:ascii="Times New Roman" w:hAnsi="Times New Roman" w:eastAsia="宋体" w:cs="Times New Roman"/>
        </w:rPr>
        <w:t>a</w:t>
      </w:r>
      <w:r>
        <w:rPr>
          <w:rFonts w:ascii="Times New Roman" w:hAnsi="Times New Roman" w:eastAsia="宋体" w:cs="Times New Roman"/>
          <w:szCs w:val="24"/>
        </w:rPr>
        <w:t>）</w:t>
      </w:r>
      <w:r>
        <w:rPr>
          <w:rFonts w:ascii="Times New Roman" w:hAnsi="Times New Roman" w:eastAsia="宋体" w:cs="Times New Roman"/>
        </w:rPr>
        <w:t>对碳管理体系的有效性负责；</w:t>
      </w:r>
    </w:p>
    <w:p w14:paraId="49034EFD">
      <w:pPr>
        <w:overflowPunct w:val="0"/>
        <w:ind w:firstLine="420" w:firstLineChars="200"/>
        <w:rPr>
          <w:rFonts w:ascii="Times New Roman" w:hAnsi="Times New Roman" w:eastAsia="宋体" w:cs="Times New Roman"/>
          <w:szCs w:val="20"/>
        </w:rPr>
      </w:pPr>
      <w:r>
        <w:rPr>
          <w:rFonts w:ascii="Times New Roman" w:hAnsi="Times New Roman" w:eastAsia="宋体" w:cs="Times New Roman"/>
          <w:szCs w:val="20"/>
        </w:rPr>
        <w:t>b</w:t>
      </w:r>
      <w:r>
        <w:rPr>
          <w:rFonts w:ascii="Times New Roman" w:hAnsi="Times New Roman" w:eastAsia="宋体" w:cs="Times New Roman"/>
          <w:szCs w:val="24"/>
        </w:rPr>
        <w:t>）</w:t>
      </w:r>
      <w:r>
        <w:rPr>
          <w:rFonts w:ascii="Times New Roman" w:hAnsi="Times New Roman" w:eastAsia="宋体" w:cs="Times New Roman"/>
          <w:szCs w:val="20"/>
        </w:rPr>
        <w:t>确保建立碳方针、碳目标和指标，并与企业的战略方向一致；</w:t>
      </w:r>
    </w:p>
    <w:p w14:paraId="1EFA0944">
      <w:pPr>
        <w:overflowPunct w:val="0"/>
        <w:ind w:firstLine="420" w:firstLineChars="200"/>
        <w:rPr>
          <w:rFonts w:ascii="Times New Roman" w:hAnsi="Times New Roman" w:eastAsia="宋体" w:cs="Times New Roman"/>
          <w:szCs w:val="20"/>
        </w:rPr>
      </w:pPr>
      <w:r>
        <w:rPr>
          <w:rFonts w:ascii="Times New Roman" w:hAnsi="Times New Roman" w:eastAsia="宋体" w:cs="Times New Roman"/>
          <w:szCs w:val="20"/>
        </w:rPr>
        <w:t>c</w:t>
      </w:r>
      <w:r>
        <w:rPr>
          <w:rFonts w:ascii="Times New Roman" w:hAnsi="Times New Roman" w:eastAsia="宋体" w:cs="Times New Roman"/>
          <w:szCs w:val="24"/>
        </w:rPr>
        <w:t>）</w:t>
      </w:r>
      <w:r>
        <w:rPr>
          <w:rFonts w:ascii="Times New Roman" w:hAnsi="Times New Roman" w:eastAsia="宋体" w:cs="Times New Roman"/>
          <w:szCs w:val="20"/>
        </w:rPr>
        <w:t>确保运用生命周期理念和基于风险的思维；</w:t>
      </w:r>
    </w:p>
    <w:p w14:paraId="794248DF">
      <w:pPr>
        <w:overflowPunct w:val="0"/>
        <w:ind w:firstLine="420" w:firstLineChars="200"/>
        <w:rPr>
          <w:rFonts w:ascii="Times New Roman" w:hAnsi="Times New Roman" w:eastAsia="宋体" w:cs="Times New Roman"/>
          <w:szCs w:val="20"/>
        </w:rPr>
      </w:pPr>
      <w:r>
        <w:rPr>
          <w:rFonts w:ascii="Times New Roman" w:hAnsi="Times New Roman" w:eastAsia="宋体" w:cs="Times New Roman"/>
          <w:szCs w:val="20"/>
        </w:rPr>
        <w:t>d</w:t>
      </w:r>
      <w:r>
        <w:rPr>
          <w:rFonts w:ascii="Times New Roman" w:hAnsi="Times New Roman" w:eastAsia="宋体" w:cs="Times New Roman"/>
          <w:szCs w:val="24"/>
        </w:rPr>
        <w:t>）</w:t>
      </w:r>
      <w:r>
        <w:rPr>
          <w:rFonts w:ascii="Times New Roman" w:hAnsi="Times New Roman" w:eastAsia="宋体" w:cs="Times New Roman"/>
          <w:szCs w:val="20"/>
        </w:rPr>
        <w:t>确保将碳管理体系要求融入企业的核心业务过程；</w:t>
      </w:r>
    </w:p>
    <w:p w14:paraId="7EF284AD">
      <w:pPr>
        <w:overflowPunct w:val="0"/>
        <w:ind w:firstLine="420" w:firstLineChars="200"/>
        <w:rPr>
          <w:rFonts w:ascii="Times New Roman" w:hAnsi="Times New Roman" w:eastAsia="宋体" w:cs="Times New Roman"/>
          <w:szCs w:val="20"/>
        </w:rPr>
      </w:pPr>
      <w:r>
        <w:rPr>
          <w:rFonts w:ascii="Times New Roman" w:hAnsi="Times New Roman" w:eastAsia="宋体" w:cs="Times New Roman"/>
          <w:szCs w:val="20"/>
        </w:rPr>
        <w:t>e</w:t>
      </w:r>
      <w:r>
        <w:rPr>
          <w:rFonts w:ascii="Times New Roman" w:hAnsi="Times New Roman" w:eastAsia="宋体" w:cs="Times New Roman"/>
          <w:szCs w:val="24"/>
        </w:rPr>
        <w:t>）</w:t>
      </w:r>
      <w:r>
        <w:rPr>
          <w:rFonts w:ascii="Times New Roman" w:hAnsi="Times New Roman" w:eastAsia="宋体" w:cs="Times New Roman"/>
          <w:szCs w:val="20"/>
        </w:rPr>
        <w:t>确保可获得碳管理体系所需的资源；</w:t>
      </w:r>
    </w:p>
    <w:p w14:paraId="38D8CFD1">
      <w:pPr>
        <w:overflowPunct w:val="0"/>
        <w:ind w:firstLine="420" w:firstLineChars="200"/>
        <w:rPr>
          <w:rFonts w:ascii="Times New Roman" w:hAnsi="Times New Roman" w:eastAsia="宋体" w:cs="Times New Roman"/>
          <w:szCs w:val="20"/>
        </w:rPr>
      </w:pPr>
      <w:r>
        <w:rPr>
          <w:rFonts w:ascii="Times New Roman" w:hAnsi="Times New Roman" w:eastAsia="宋体" w:cs="Times New Roman"/>
          <w:szCs w:val="20"/>
        </w:rPr>
        <w:t>f</w:t>
      </w:r>
      <w:r>
        <w:rPr>
          <w:rFonts w:ascii="Times New Roman" w:hAnsi="Times New Roman" w:eastAsia="宋体" w:cs="Times New Roman"/>
          <w:szCs w:val="24"/>
        </w:rPr>
        <w:t>）</w:t>
      </w:r>
      <w:r>
        <w:rPr>
          <w:rFonts w:ascii="Times New Roman" w:hAnsi="Times New Roman" w:eastAsia="宋体" w:cs="Times New Roman"/>
          <w:szCs w:val="20"/>
        </w:rPr>
        <w:t>就有效的碳管理与符合碳管理体系要求的重要性进行沟通；</w:t>
      </w:r>
    </w:p>
    <w:p w14:paraId="70A95F36">
      <w:pPr>
        <w:overflowPunct w:val="0"/>
        <w:ind w:left="420"/>
        <w:rPr>
          <w:rFonts w:ascii="Times New Roman" w:hAnsi="Times New Roman" w:eastAsia="宋体" w:cs="Times New Roman"/>
          <w:szCs w:val="20"/>
        </w:rPr>
      </w:pPr>
      <w:r>
        <w:rPr>
          <w:rFonts w:ascii="Times New Roman" w:hAnsi="Times New Roman" w:eastAsia="宋体" w:cs="Times New Roman"/>
          <w:szCs w:val="20"/>
        </w:rPr>
        <w:t>g</w:t>
      </w:r>
      <w:r>
        <w:rPr>
          <w:rFonts w:ascii="Times New Roman" w:hAnsi="Times New Roman" w:eastAsia="宋体" w:cs="Times New Roman"/>
          <w:szCs w:val="24"/>
        </w:rPr>
        <w:t>）</w:t>
      </w:r>
      <w:r>
        <w:rPr>
          <w:rFonts w:ascii="Times New Roman" w:hAnsi="Times New Roman" w:eastAsia="宋体" w:cs="Times New Roman"/>
          <w:szCs w:val="20"/>
        </w:rPr>
        <w:t>确保碳管理体系实现其预期结果；</w:t>
      </w:r>
    </w:p>
    <w:p w14:paraId="2CB6961A">
      <w:pPr>
        <w:overflowPunct w:val="0"/>
        <w:ind w:left="420"/>
        <w:rPr>
          <w:rFonts w:ascii="Times New Roman" w:hAnsi="Times New Roman" w:eastAsia="宋体" w:cs="Times New Roman"/>
          <w:szCs w:val="20"/>
        </w:rPr>
      </w:pPr>
      <w:r>
        <w:rPr>
          <w:rFonts w:ascii="Times New Roman" w:hAnsi="Times New Roman" w:eastAsia="宋体" w:cs="Times New Roman"/>
          <w:szCs w:val="20"/>
        </w:rPr>
        <w:t>h</w:t>
      </w:r>
      <w:r>
        <w:rPr>
          <w:rFonts w:ascii="Times New Roman" w:hAnsi="Times New Roman" w:eastAsia="宋体" w:cs="Times New Roman"/>
          <w:szCs w:val="24"/>
        </w:rPr>
        <w:t>）</w:t>
      </w:r>
      <w:r>
        <w:rPr>
          <w:rFonts w:ascii="Times New Roman" w:hAnsi="Times New Roman" w:eastAsia="宋体" w:cs="Times New Roman"/>
          <w:szCs w:val="20"/>
        </w:rPr>
        <w:t>促进碳管理体系和碳绩效的持续改进；</w:t>
      </w:r>
    </w:p>
    <w:p w14:paraId="73A9241B">
      <w:pPr>
        <w:overflowPunct w:val="0"/>
        <w:ind w:left="420"/>
        <w:rPr>
          <w:rFonts w:ascii="Times New Roman" w:hAnsi="Times New Roman" w:eastAsia="宋体" w:cs="Times New Roman"/>
          <w:szCs w:val="20"/>
        </w:rPr>
      </w:pPr>
      <w:r>
        <w:rPr>
          <w:rFonts w:ascii="Times New Roman" w:hAnsi="Times New Roman" w:eastAsia="宋体" w:cs="Times New Roman"/>
          <w:szCs w:val="20"/>
        </w:rPr>
        <w:t>i</w:t>
      </w:r>
      <w:r>
        <w:rPr>
          <w:rFonts w:ascii="Times New Roman" w:hAnsi="Times New Roman" w:eastAsia="宋体" w:cs="Times New Roman"/>
          <w:szCs w:val="24"/>
        </w:rPr>
        <w:t>）</w:t>
      </w:r>
      <w:r>
        <w:rPr>
          <w:rFonts w:ascii="Times New Roman" w:hAnsi="Times New Roman" w:eastAsia="宋体" w:cs="Times New Roman"/>
          <w:szCs w:val="20"/>
        </w:rPr>
        <w:t>指导并支持员工对碳管理体系的有效性作出贡献；</w:t>
      </w:r>
    </w:p>
    <w:p w14:paraId="3ADB16A5">
      <w:pPr>
        <w:overflowPunct w:val="0"/>
        <w:ind w:left="420"/>
        <w:rPr>
          <w:rFonts w:ascii="Times New Roman" w:hAnsi="Times New Roman" w:eastAsia="宋体" w:cs="Times New Roman"/>
          <w:szCs w:val="20"/>
        </w:rPr>
      </w:pPr>
      <w:r>
        <w:rPr>
          <w:rFonts w:ascii="Times New Roman" w:hAnsi="Times New Roman" w:eastAsia="宋体" w:cs="Times New Roman"/>
          <w:szCs w:val="20"/>
        </w:rPr>
        <w:t>j</w:t>
      </w:r>
      <w:r>
        <w:rPr>
          <w:rFonts w:ascii="Times New Roman" w:hAnsi="Times New Roman" w:eastAsia="宋体" w:cs="Times New Roman"/>
          <w:szCs w:val="24"/>
        </w:rPr>
        <w:t>）</w:t>
      </w:r>
      <w:r>
        <w:rPr>
          <w:rFonts w:ascii="Times New Roman" w:hAnsi="Times New Roman" w:eastAsia="宋体" w:cs="Times New Roman"/>
          <w:szCs w:val="20"/>
        </w:rPr>
        <w:t>支持其他相关管理者在其职责范围内发挥领导作用；</w:t>
      </w:r>
    </w:p>
    <w:p w14:paraId="02009515">
      <w:pPr>
        <w:overflowPunct w:val="0"/>
        <w:ind w:left="420"/>
        <w:rPr>
          <w:rFonts w:ascii="Times New Roman" w:hAnsi="Times New Roman" w:eastAsia="宋体" w:cs="Times New Roman"/>
          <w:szCs w:val="20"/>
        </w:rPr>
      </w:pPr>
      <w:r>
        <w:rPr>
          <w:rFonts w:ascii="Times New Roman" w:hAnsi="Times New Roman" w:eastAsia="宋体" w:cs="Times New Roman"/>
          <w:szCs w:val="20"/>
        </w:rPr>
        <w:t>k</w:t>
      </w:r>
      <w:r>
        <w:rPr>
          <w:rFonts w:ascii="Times New Roman" w:hAnsi="Times New Roman" w:eastAsia="宋体" w:cs="Times New Roman"/>
          <w:szCs w:val="24"/>
        </w:rPr>
        <w:t>）</w:t>
      </w:r>
      <w:r>
        <w:rPr>
          <w:rFonts w:ascii="Times New Roman" w:hAnsi="Times New Roman" w:eastAsia="宋体" w:cs="Times New Roman"/>
          <w:szCs w:val="20"/>
        </w:rPr>
        <w:t>确保企业的碳绩效参数恰当地反映其碳绩效；</w:t>
      </w:r>
    </w:p>
    <w:p w14:paraId="6B63F1A3">
      <w:pPr>
        <w:overflowPunct w:val="0"/>
        <w:ind w:left="420"/>
        <w:rPr>
          <w:rFonts w:ascii="Times New Roman" w:hAnsi="Times New Roman" w:eastAsia="宋体" w:cs="Times New Roman"/>
          <w:szCs w:val="20"/>
        </w:rPr>
      </w:pPr>
      <w:r>
        <w:rPr>
          <w:rFonts w:ascii="Times New Roman" w:hAnsi="Times New Roman" w:eastAsia="宋体" w:cs="Times New Roman"/>
          <w:szCs w:val="20"/>
        </w:rPr>
        <w:t>l）确保建立和实施过程，以识别和处理碳管理体系范围和边界内影响碳管理体系和碳绩效的变化。</w:t>
      </w:r>
    </w:p>
    <w:p w14:paraId="7439DE18">
      <w:pPr>
        <w:pStyle w:val="67"/>
        <w:numPr>
          <w:ilvl w:val="1"/>
          <w:numId w:val="1"/>
        </w:numPr>
        <w:overflowPunct w:val="0"/>
        <w:spacing w:before="143" w:after="143"/>
        <w:ind w:left="0" w:firstLine="0"/>
        <w:outlineLvl w:val="1"/>
        <w:rPr>
          <w:rFonts w:ascii="Times New Roman"/>
        </w:rPr>
      </w:pPr>
      <w:bookmarkStart w:id="66" w:name="_Toc220422364"/>
      <w:bookmarkStart w:id="67" w:name="_Toc187932683"/>
      <w:r>
        <w:rPr>
          <w:rFonts w:ascii="Times New Roman"/>
        </w:rPr>
        <w:t>碳方针</w:t>
      </w:r>
      <w:bookmarkEnd w:id="66"/>
      <w:bookmarkEnd w:id="67"/>
    </w:p>
    <w:p w14:paraId="6B0A346E">
      <w:pPr>
        <w:pStyle w:val="40"/>
        <w:overflowPunct w:val="0"/>
        <w:ind w:firstLine="0" w:firstLineChars="0"/>
        <w:rPr>
          <w:rFonts w:ascii="Times New Roman"/>
        </w:rPr>
      </w:pPr>
      <w:r>
        <w:rPr>
          <w:rFonts w:ascii="Times New Roman"/>
        </w:rPr>
        <w:t>5.2.1  企业宜根据国家、地方的低碳发展战略、规划、政策等，制定出适合自身特点的碳方针。碳方针宜由最高管理者批准，体现其对碳管理的承诺。方针宜与组织</w:t>
      </w:r>
      <w:r>
        <w:rPr>
          <w:rFonts w:ascii="Times New Roman"/>
          <w:lang w:eastAsia="zh-Hans"/>
        </w:rPr>
        <w:t>战略</w:t>
      </w:r>
      <w:r>
        <w:rPr>
          <w:rFonts w:ascii="Times New Roman"/>
        </w:rPr>
        <w:t>相一致，宜与企业的其他方针相</w:t>
      </w:r>
      <w:r>
        <w:rPr>
          <w:rFonts w:ascii="Times New Roman"/>
          <w:lang w:eastAsia="zh-Hans"/>
        </w:rPr>
        <w:t>协调。</w:t>
      </w:r>
    </w:p>
    <w:p w14:paraId="018A4797">
      <w:pPr>
        <w:pStyle w:val="40"/>
        <w:overflowPunct w:val="0"/>
        <w:ind w:firstLine="0" w:firstLineChars="0"/>
        <w:rPr>
          <w:rFonts w:ascii="Times New Roman"/>
        </w:rPr>
      </w:pPr>
      <w:r>
        <w:rPr>
          <w:rFonts w:ascii="Times New Roman"/>
        </w:rPr>
        <w:t>5.2.2  碳方针宜包括但不限于：</w:t>
      </w:r>
    </w:p>
    <w:p w14:paraId="30E9276D">
      <w:pPr>
        <w:pStyle w:val="40"/>
        <w:overflowPunct w:val="0"/>
        <w:ind w:firstLineChars="0"/>
        <w:rPr>
          <w:rFonts w:ascii="Times New Roman"/>
        </w:rPr>
      </w:pPr>
      <w:r>
        <w:rPr>
          <w:rFonts w:ascii="Times New Roman"/>
        </w:rPr>
        <w:t>a</w:t>
      </w:r>
      <w:r>
        <w:rPr>
          <w:rFonts w:ascii="Times New Roman"/>
          <w:szCs w:val="24"/>
        </w:rPr>
        <w:t>）</w:t>
      </w:r>
      <w:r>
        <w:rPr>
          <w:rFonts w:ascii="Times New Roman"/>
        </w:rPr>
        <w:t>适合于</w:t>
      </w:r>
      <w:r>
        <w:rPr>
          <w:rFonts w:hint="eastAsia" w:ascii="Times New Roman"/>
        </w:rPr>
        <w:t>企业</w:t>
      </w:r>
      <w:r>
        <w:rPr>
          <w:rFonts w:ascii="Times New Roman"/>
        </w:rPr>
        <w:t>的宗旨和所处的环境，如企业的内外部因素、相关方的需求和期望、资源（包括人力、财务、技术、工艺等）；</w:t>
      </w:r>
    </w:p>
    <w:p w14:paraId="7B9A4395">
      <w:pPr>
        <w:pStyle w:val="40"/>
        <w:overflowPunct w:val="0"/>
        <w:ind w:firstLineChars="0"/>
        <w:rPr>
          <w:rFonts w:ascii="Times New Roman"/>
        </w:rPr>
      </w:pPr>
      <w:r>
        <w:rPr>
          <w:rFonts w:ascii="Times New Roman"/>
        </w:rPr>
        <w:t>b</w:t>
      </w:r>
      <w:r>
        <w:rPr>
          <w:rFonts w:ascii="Times New Roman"/>
          <w:szCs w:val="24"/>
        </w:rPr>
        <w:t>）</w:t>
      </w:r>
      <w:r>
        <w:rPr>
          <w:rFonts w:ascii="Times New Roman"/>
        </w:rPr>
        <w:t>履行其合规义务的承诺，适用时包括特定承诺，如满足产业政策的要求、履约、碳减排、低碳采购、提供低碳产品、采用与减少碳排放相关的先进技术等；</w:t>
      </w:r>
    </w:p>
    <w:p w14:paraId="681F9F4E">
      <w:pPr>
        <w:pStyle w:val="40"/>
        <w:overflowPunct w:val="0"/>
        <w:ind w:firstLineChars="0"/>
        <w:rPr>
          <w:rFonts w:ascii="Times New Roman"/>
        </w:rPr>
      </w:pPr>
      <w:r>
        <w:rPr>
          <w:rFonts w:ascii="Times New Roman"/>
        </w:rPr>
        <w:t>c</w:t>
      </w:r>
      <w:r>
        <w:rPr>
          <w:rFonts w:ascii="Times New Roman"/>
          <w:szCs w:val="24"/>
        </w:rPr>
        <w:t>）</w:t>
      </w:r>
      <w:r>
        <w:rPr>
          <w:rFonts w:ascii="Times New Roman"/>
        </w:rPr>
        <w:t>履行其应对气候变化方面的承诺，如有关碳达峰与碳中和的允诺；</w:t>
      </w:r>
    </w:p>
    <w:p w14:paraId="202F526C">
      <w:pPr>
        <w:pStyle w:val="40"/>
        <w:overflowPunct w:val="0"/>
        <w:ind w:firstLineChars="0"/>
        <w:rPr>
          <w:rFonts w:ascii="Times New Roman"/>
        </w:rPr>
      </w:pPr>
      <w:r>
        <w:rPr>
          <w:rFonts w:ascii="Times New Roman"/>
        </w:rPr>
        <w:t>d</w:t>
      </w:r>
      <w:r>
        <w:rPr>
          <w:rFonts w:ascii="Times New Roman"/>
          <w:szCs w:val="24"/>
        </w:rPr>
        <w:t>）</w:t>
      </w:r>
      <w:r>
        <w:rPr>
          <w:rFonts w:ascii="Times New Roman"/>
        </w:rPr>
        <w:t>运用生命周期理念持续改进碳管理体系和碳绩效的承诺；</w:t>
      </w:r>
    </w:p>
    <w:p w14:paraId="5279BFF7">
      <w:pPr>
        <w:pStyle w:val="40"/>
        <w:overflowPunct w:val="0"/>
        <w:ind w:firstLineChars="0"/>
        <w:rPr>
          <w:rFonts w:ascii="Times New Roman"/>
        </w:rPr>
      </w:pPr>
      <w:r>
        <w:rPr>
          <w:rFonts w:ascii="Times New Roman"/>
        </w:rPr>
        <w:t>e</w:t>
      </w:r>
      <w:r>
        <w:rPr>
          <w:rFonts w:ascii="Times New Roman"/>
          <w:szCs w:val="24"/>
        </w:rPr>
        <w:t>）</w:t>
      </w:r>
      <w:r>
        <w:rPr>
          <w:rFonts w:ascii="Times New Roman"/>
        </w:rPr>
        <w:t>为建立和评审碳目标和指标提供框架；</w:t>
      </w:r>
    </w:p>
    <w:p w14:paraId="23C6528E">
      <w:pPr>
        <w:pStyle w:val="40"/>
        <w:overflowPunct w:val="0"/>
        <w:ind w:firstLineChars="0"/>
        <w:rPr>
          <w:rFonts w:ascii="Times New Roman"/>
        </w:rPr>
      </w:pPr>
      <w:r>
        <w:rPr>
          <w:rFonts w:ascii="Times New Roman"/>
        </w:rPr>
        <w:t>f</w:t>
      </w:r>
      <w:r>
        <w:rPr>
          <w:rFonts w:ascii="Times New Roman"/>
          <w:szCs w:val="24"/>
        </w:rPr>
        <w:t>）</w:t>
      </w:r>
      <w:r>
        <w:rPr>
          <w:rFonts w:ascii="Times New Roman"/>
        </w:rPr>
        <w:t>保持文件化信息，并传达给所有为企业或代表企业工作的人员；</w:t>
      </w:r>
    </w:p>
    <w:p w14:paraId="0A59D3AD">
      <w:pPr>
        <w:pStyle w:val="40"/>
        <w:overflowPunct w:val="0"/>
        <w:ind w:firstLineChars="0"/>
        <w:rPr>
          <w:rFonts w:ascii="Times New Roman"/>
        </w:rPr>
      </w:pPr>
      <w:r>
        <w:rPr>
          <w:rFonts w:ascii="Times New Roman"/>
        </w:rPr>
        <w:t>g</w:t>
      </w:r>
      <w:r>
        <w:rPr>
          <w:rFonts w:ascii="Times New Roman"/>
          <w:szCs w:val="24"/>
        </w:rPr>
        <w:t>）</w:t>
      </w:r>
      <w:r>
        <w:rPr>
          <w:rFonts w:ascii="Times New Roman"/>
        </w:rPr>
        <w:t>定期评审，根据评审结果并结合内外部环境变化进行更新；</w:t>
      </w:r>
    </w:p>
    <w:p w14:paraId="331A4F44">
      <w:pPr>
        <w:pStyle w:val="40"/>
        <w:overflowPunct w:val="0"/>
        <w:ind w:firstLineChars="0"/>
        <w:rPr>
          <w:rFonts w:ascii="Times New Roman"/>
        </w:rPr>
      </w:pPr>
      <w:r>
        <w:rPr>
          <w:rFonts w:ascii="Times New Roman"/>
        </w:rPr>
        <w:t>h</w:t>
      </w:r>
      <w:r>
        <w:rPr>
          <w:rFonts w:ascii="Times New Roman"/>
          <w:szCs w:val="24"/>
        </w:rPr>
        <w:t>）</w:t>
      </w:r>
      <w:r>
        <w:rPr>
          <w:rFonts w:ascii="Times New Roman"/>
        </w:rPr>
        <w:t>适宜时，可被相关方所获取。</w:t>
      </w:r>
    </w:p>
    <w:p w14:paraId="135FBF1E">
      <w:pPr>
        <w:pStyle w:val="67"/>
        <w:numPr>
          <w:ilvl w:val="1"/>
          <w:numId w:val="1"/>
        </w:numPr>
        <w:overflowPunct w:val="0"/>
        <w:spacing w:before="143" w:after="143"/>
        <w:ind w:left="0" w:firstLine="0"/>
        <w:outlineLvl w:val="1"/>
        <w:rPr>
          <w:rFonts w:ascii="Times New Roman"/>
        </w:rPr>
      </w:pPr>
      <w:bookmarkStart w:id="68" w:name="_Toc187932684"/>
      <w:bookmarkStart w:id="69" w:name="_Toc220422365"/>
      <w:r>
        <w:rPr>
          <w:rFonts w:ascii="Times New Roman"/>
        </w:rPr>
        <w:t>岗位、职责和权限</w:t>
      </w:r>
      <w:bookmarkEnd w:id="68"/>
      <w:bookmarkEnd w:id="69"/>
    </w:p>
    <w:p w14:paraId="5B33AC73">
      <w:pPr>
        <w:overflowPunct w:val="0"/>
        <w:rPr>
          <w:rFonts w:ascii="Times New Roman" w:hAnsi="Times New Roman" w:eastAsia="宋体" w:cs="Times New Roman"/>
        </w:rPr>
      </w:pPr>
      <w:r>
        <w:rPr>
          <w:rFonts w:ascii="Times New Roman" w:hAnsi="Times New Roman" w:eastAsia="宋体" w:cs="Times New Roman"/>
        </w:rPr>
        <w:t>5.3.1  最高管理者应确保相关岗位的职责和权限在企业内得到分配和沟通。</w:t>
      </w:r>
    </w:p>
    <w:p w14:paraId="686BADB6">
      <w:pPr>
        <w:overflowPunct w:val="0"/>
        <w:rPr>
          <w:rFonts w:ascii="Times New Roman" w:hAnsi="Times New Roman" w:eastAsia="宋体" w:cs="Times New Roman"/>
        </w:rPr>
      </w:pPr>
      <w:r>
        <w:rPr>
          <w:rFonts w:ascii="Times New Roman" w:hAnsi="Times New Roman" w:eastAsia="宋体" w:cs="Times New Roman"/>
        </w:rPr>
        <w:t>5.3.2  企业宜在内部建立碳管理团队，并明确规定和传达碳管理相关的职责和权限。</w:t>
      </w:r>
    </w:p>
    <w:p w14:paraId="05F41B94">
      <w:pPr>
        <w:overflowPunct w:val="0"/>
        <w:ind w:firstLine="420" w:firstLineChars="200"/>
        <w:rPr>
          <w:rFonts w:ascii="Times New Roman" w:hAnsi="Times New Roman" w:cs="Times New Roman"/>
        </w:rPr>
      </w:pPr>
      <w:r>
        <w:rPr>
          <w:rFonts w:ascii="Times New Roman" w:hAnsi="Times New Roman" w:eastAsia="宋体" w:cs="Times New Roman"/>
        </w:rPr>
        <w:t>a）碳管理团队是企业碳排放管理的执行主体，其组成可以是以下形式：</w:t>
      </w:r>
    </w:p>
    <w:p w14:paraId="00D2A4EE">
      <w:pPr>
        <w:pStyle w:val="40"/>
        <w:overflowPunct w:val="0"/>
        <w:ind w:left="709" w:firstLine="0" w:firstLineChars="0"/>
        <w:rPr>
          <w:rFonts w:ascii="Times New Roman"/>
        </w:rPr>
      </w:pPr>
      <w:r>
        <w:rPr>
          <w:rFonts w:ascii="Times New Roman"/>
        </w:rPr>
        <w:t>1</w:t>
      </w:r>
      <w:r>
        <w:rPr>
          <w:rFonts w:ascii="Times New Roman"/>
          <w:kern w:val="2"/>
        </w:rPr>
        <w:t>）</w:t>
      </w:r>
      <w:r>
        <w:rPr>
          <w:rFonts w:ascii="Times New Roman"/>
        </w:rPr>
        <w:t>成立专门的碳管理部门，统一负责企业的碳管理工作；</w:t>
      </w:r>
    </w:p>
    <w:p w14:paraId="2C0DFFBA">
      <w:pPr>
        <w:pStyle w:val="40"/>
        <w:overflowPunct w:val="0"/>
        <w:ind w:left="709" w:firstLine="0" w:firstLineChars="0"/>
        <w:rPr>
          <w:rFonts w:ascii="Times New Roman"/>
        </w:rPr>
      </w:pPr>
      <w:r>
        <w:rPr>
          <w:rFonts w:ascii="Times New Roman"/>
        </w:rPr>
        <w:t>2</w:t>
      </w:r>
      <w:r>
        <w:rPr>
          <w:rFonts w:ascii="Times New Roman"/>
          <w:kern w:val="2"/>
        </w:rPr>
        <w:t>）</w:t>
      </w:r>
      <w:r>
        <w:rPr>
          <w:rFonts w:ascii="Times New Roman"/>
        </w:rPr>
        <w:t>与企业的能源部门融合，将碳管理融入其日常工作中；</w:t>
      </w:r>
    </w:p>
    <w:p w14:paraId="30183E11">
      <w:pPr>
        <w:pStyle w:val="40"/>
        <w:numPr>
          <w:ilvl w:val="0"/>
          <w:numId w:val="9"/>
        </w:numPr>
        <w:overflowPunct w:val="0"/>
        <w:ind w:firstLineChars="0"/>
        <w:rPr>
          <w:rFonts w:ascii="Times New Roman"/>
        </w:rPr>
      </w:pPr>
      <w:r>
        <w:rPr>
          <w:rFonts w:ascii="Times New Roman"/>
        </w:rPr>
        <w:t>必要时，借助外部机构和力量支持企业的碳管理。</w:t>
      </w:r>
    </w:p>
    <w:p w14:paraId="2D11D9B2">
      <w:pPr>
        <w:pStyle w:val="40"/>
        <w:overflowPunct w:val="0"/>
        <w:ind w:firstLineChars="0"/>
        <w:rPr>
          <w:rFonts w:ascii="Times New Roman"/>
        </w:rPr>
      </w:pPr>
      <w:r>
        <w:rPr>
          <w:rFonts w:ascii="Times New Roman"/>
        </w:rPr>
        <w:t>b</w:t>
      </w:r>
      <w:r>
        <w:rPr>
          <w:rFonts w:ascii="Times New Roman"/>
          <w:kern w:val="2"/>
        </w:rPr>
        <w:t>）</w:t>
      </w:r>
      <w:r>
        <w:rPr>
          <w:rFonts w:ascii="Times New Roman"/>
        </w:rPr>
        <w:t>碳管理团队职责包括但不限于以下方面：</w:t>
      </w:r>
    </w:p>
    <w:p w14:paraId="20D956BF">
      <w:pPr>
        <w:pStyle w:val="40"/>
        <w:overflowPunct w:val="0"/>
        <w:ind w:firstLine="735" w:firstLineChars="350"/>
        <w:rPr>
          <w:rFonts w:ascii="Times New Roman"/>
        </w:rPr>
      </w:pPr>
      <w:r>
        <w:rPr>
          <w:rFonts w:ascii="Times New Roman"/>
        </w:rPr>
        <w:t>1</w:t>
      </w:r>
      <w:r>
        <w:rPr>
          <w:rFonts w:ascii="Times New Roman"/>
          <w:kern w:val="2"/>
        </w:rPr>
        <w:t>）</w:t>
      </w:r>
      <w:r>
        <w:rPr>
          <w:rFonts w:ascii="Times New Roman"/>
        </w:rPr>
        <w:t>制定碳管理发展规划及相关制度；</w:t>
      </w:r>
    </w:p>
    <w:p w14:paraId="4CE1ADBF">
      <w:pPr>
        <w:pStyle w:val="40"/>
        <w:overflowPunct w:val="0"/>
        <w:ind w:firstLine="735" w:firstLineChars="350"/>
        <w:rPr>
          <w:rFonts w:ascii="Times New Roman"/>
        </w:rPr>
      </w:pPr>
      <w:r>
        <w:rPr>
          <w:rFonts w:ascii="Times New Roman"/>
        </w:rPr>
        <w:t>2</w:t>
      </w:r>
      <w:r>
        <w:rPr>
          <w:rFonts w:ascii="Times New Roman"/>
          <w:kern w:val="2"/>
        </w:rPr>
        <w:t>）</w:t>
      </w:r>
      <w:r>
        <w:rPr>
          <w:rFonts w:ascii="Times New Roman"/>
        </w:rPr>
        <w:t>实施企业碳管理体系内部审核；</w:t>
      </w:r>
    </w:p>
    <w:p w14:paraId="08D35E1B">
      <w:pPr>
        <w:pStyle w:val="40"/>
        <w:overflowPunct w:val="0"/>
        <w:ind w:firstLine="735" w:firstLineChars="350"/>
        <w:rPr>
          <w:rFonts w:ascii="Times New Roman"/>
        </w:rPr>
      </w:pPr>
      <w:r>
        <w:rPr>
          <w:rFonts w:ascii="Times New Roman"/>
        </w:rPr>
        <w:t>3</w:t>
      </w:r>
      <w:r>
        <w:rPr>
          <w:rFonts w:ascii="Times New Roman"/>
          <w:kern w:val="2"/>
        </w:rPr>
        <w:t>）</w:t>
      </w:r>
      <w:r>
        <w:rPr>
          <w:rFonts w:ascii="Times New Roman"/>
        </w:rPr>
        <w:t>定期开展企业内部碳评审工作；</w:t>
      </w:r>
    </w:p>
    <w:p w14:paraId="2FCDE835">
      <w:pPr>
        <w:pStyle w:val="40"/>
        <w:overflowPunct w:val="0"/>
        <w:ind w:firstLine="735" w:firstLineChars="350"/>
        <w:rPr>
          <w:rFonts w:ascii="Times New Roman"/>
        </w:rPr>
      </w:pPr>
      <w:r>
        <w:rPr>
          <w:rFonts w:ascii="Times New Roman"/>
        </w:rPr>
        <w:t>4</w:t>
      </w:r>
      <w:r>
        <w:rPr>
          <w:rFonts w:ascii="Times New Roman"/>
          <w:kern w:val="2"/>
        </w:rPr>
        <w:t>）</w:t>
      </w:r>
      <w:r>
        <w:rPr>
          <w:rFonts w:ascii="Times New Roman"/>
        </w:rPr>
        <w:t>与内外部相关方沟通碳管理情况；</w:t>
      </w:r>
    </w:p>
    <w:p w14:paraId="09520E27">
      <w:pPr>
        <w:pStyle w:val="40"/>
        <w:overflowPunct w:val="0"/>
        <w:ind w:firstLine="735" w:firstLineChars="350"/>
        <w:rPr>
          <w:rFonts w:ascii="Times New Roman"/>
        </w:rPr>
      </w:pPr>
      <w:r>
        <w:rPr>
          <w:rFonts w:ascii="Times New Roman"/>
        </w:rPr>
        <w:t>5</w:t>
      </w:r>
      <w:r>
        <w:rPr>
          <w:rFonts w:ascii="Times New Roman"/>
          <w:kern w:val="2"/>
        </w:rPr>
        <w:t>）</w:t>
      </w:r>
      <w:r>
        <w:rPr>
          <w:rFonts w:ascii="Times New Roman"/>
        </w:rPr>
        <w:t>碳资产管理；</w:t>
      </w:r>
    </w:p>
    <w:p w14:paraId="2BF599ED">
      <w:pPr>
        <w:pStyle w:val="40"/>
        <w:overflowPunct w:val="0"/>
        <w:ind w:firstLine="735" w:firstLineChars="350"/>
        <w:rPr>
          <w:rFonts w:ascii="Times New Roman"/>
        </w:rPr>
      </w:pPr>
      <w:r>
        <w:rPr>
          <w:rFonts w:ascii="Times New Roman"/>
        </w:rPr>
        <w:t>6</w:t>
      </w:r>
      <w:r>
        <w:rPr>
          <w:rFonts w:ascii="Times New Roman"/>
          <w:kern w:val="2"/>
        </w:rPr>
        <w:t>）</w:t>
      </w:r>
      <w:r>
        <w:rPr>
          <w:rFonts w:ascii="Times New Roman"/>
        </w:rPr>
        <w:t>碳排放履约（适用时）；</w:t>
      </w:r>
    </w:p>
    <w:p w14:paraId="081EF5F0">
      <w:pPr>
        <w:pStyle w:val="40"/>
        <w:overflowPunct w:val="0"/>
        <w:ind w:firstLine="735" w:firstLineChars="350"/>
        <w:rPr>
          <w:rFonts w:ascii="Times New Roman"/>
        </w:rPr>
      </w:pPr>
      <w:r>
        <w:rPr>
          <w:rFonts w:ascii="Times New Roman"/>
        </w:rPr>
        <w:t>7</w:t>
      </w:r>
      <w:r>
        <w:rPr>
          <w:rFonts w:ascii="Times New Roman"/>
          <w:kern w:val="2"/>
        </w:rPr>
        <w:t>）</w:t>
      </w:r>
      <w:r>
        <w:rPr>
          <w:rFonts w:ascii="Times New Roman"/>
        </w:rPr>
        <w:t>收集并了解碳资讯；</w:t>
      </w:r>
    </w:p>
    <w:p w14:paraId="26CDADB0">
      <w:pPr>
        <w:pStyle w:val="40"/>
        <w:overflowPunct w:val="0"/>
        <w:ind w:firstLine="735" w:firstLineChars="350"/>
        <w:rPr>
          <w:rFonts w:ascii="Times New Roman"/>
        </w:rPr>
      </w:pPr>
      <w:r>
        <w:rPr>
          <w:rFonts w:ascii="Times New Roman"/>
        </w:rPr>
        <w:t>8</w:t>
      </w:r>
      <w:r>
        <w:rPr>
          <w:rFonts w:ascii="Times New Roman"/>
          <w:kern w:val="2"/>
        </w:rPr>
        <w:t>）</w:t>
      </w:r>
      <w:r>
        <w:rPr>
          <w:rFonts w:ascii="Times New Roman"/>
        </w:rPr>
        <w:t>必要时，建立本企业碳管理信息系统并维护运行。</w:t>
      </w:r>
    </w:p>
    <w:p w14:paraId="470020A8">
      <w:pPr>
        <w:ind w:firstLine="361" w:firstLineChars="200"/>
        <w:rPr>
          <w:rFonts w:hint="eastAsia" w:ascii="Times New Roman"/>
        </w:rPr>
      </w:pPr>
      <w:r>
        <w:rPr>
          <w:rFonts w:hint="eastAsia" w:ascii="Times New Roman" w:hAnsi="Times New Roman" w:eastAsia="黑体" w:cs="Times New Roman"/>
          <w:b/>
          <w:sz w:val="18"/>
          <w:szCs w:val="18"/>
        </w:rPr>
        <w:t>注：</w:t>
      </w:r>
      <w:r>
        <w:rPr>
          <w:rFonts w:hint="eastAsia" w:ascii="宋体" w:hAnsi="宋体" w:eastAsia="宋体" w:cs="Times New Roman"/>
          <w:bCs/>
          <w:sz w:val="18"/>
          <w:szCs w:val="18"/>
        </w:rPr>
        <w:t>附录</w:t>
      </w:r>
      <w:r>
        <w:rPr>
          <w:rFonts w:hint="eastAsia" w:ascii="Times New Roman" w:hAnsi="Times New Roman" w:eastAsia="宋体" w:cs="Times New Roman"/>
          <w:bCs/>
          <w:sz w:val="18"/>
          <w:szCs w:val="18"/>
        </w:rPr>
        <w:t>A给出</w:t>
      </w:r>
      <w:r>
        <w:rPr>
          <w:rFonts w:hint="eastAsia" w:ascii="宋体" w:hAnsi="宋体" w:eastAsia="宋体" w:cs="Times New Roman"/>
          <w:bCs/>
          <w:sz w:val="18"/>
          <w:szCs w:val="18"/>
        </w:rPr>
        <w:t>了工业企业碳管理</w:t>
      </w:r>
      <w:r>
        <w:rPr>
          <w:rFonts w:hint="eastAsia" w:ascii="宋体" w:hAnsi="宋体" w:eastAsia="宋体" w:cs="Times New Roman"/>
          <w:sz w:val="18"/>
          <w:szCs w:val="18"/>
        </w:rPr>
        <w:t>职责示例</w:t>
      </w:r>
      <w:r>
        <w:rPr>
          <w:rFonts w:hint="eastAsia" w:ascii="宋体" w:hAnsi="宋体" w:eastAsia="宋体" w:cs="Times New Roman"/>
          <w:b/>
          <w:sz w:val="18"/>
          <w:szCs w:val="18"/>
        </w:rPr>
        <w:t>。</w:t>
      </w:r>
    </w:p>
    <w:p w14:paraId="2C500266">
      <w:pPr>
        <w:pStyle w:val="66"/>
        <w:numPr>
          <w:ilvl w:val="0"/>
          <w:numId w:val="1"/>
        </w:numPr>
        <w:overflowPunct w:val="0"/>
        <w:spacing w:before="286" w:after="286"/>
        <w:ind w:left="0" w:firstLine="0"/>
        <w:outlineLvl w:val="0"/>
        <w:rPr>
          <w:rFonts w:ascii="Times New Roman"/>
        </w:rPr>
      </w:pPr>
      <w:bookmarkStart w:id="70" w:name="_Toc220422366"/>
      <w:bookmarkStart w:id="71" w:name="_Toc187932685"/>
      <w:bookmarkStart w:id="72" w:name="_Toc107221727"/>
      <w:r>
        <w:rPr>
          <w:rFonts w:ascii="Times New Roman"/>
        </w:rPr>
        <w:t>策划</w:t>
      </w:r>
      <w:bookmarkEnd w:id="70"/>
      <w:bookmarkEnd w:id="71"/>
      <w:bookmarkEnd w:id="72"/>
    </w:p>
    <w:p w14:paraId="1478DB66">
      <w:pPr>
        <w:pStyle w:val="67"/>
        <w:numPr>
          <w:ilvl w:val="1"/>
          <w:numId w:val="1"/>
        </w:numPr>
        <w:overflowPunct w:val="0"/>
        <w:spacing w:before="143" w:after="143"/>
        <w:ind w:left="0" w:firstLine="0"/>
        <w:outlineLvl w:val="1"/>
        <w:rPr>
          <w:rFonts w:ascii="Times New Roman"/>
        </w:rPr>
      </w:pPr>
      <w:bookmarkStart w:id="73" w:name="_Toc187932686"/>
      <w:bookmarkStart w:id="74" w:name="_Toc220422367"/>
      <w:r>
        <w:rPr>
          <w:rFonts w:ascii="Times New Roman"/>
        </w:rPr>
        <w:t>总则</w:t>
      </w:r>
      <w:bookmarkEnd w:id="73"/>
      <w:bookmarkEnd w:id="74"/>
    </w:p>
    <w:p w14:paraId="7B859172">
      <w:pPr>
        <w:pStyle w:val="46"/>
        <w:overflowPunct w:val="0"/>
        <w:snapToGrid w:val="0"/>
        <w:spacing w:after="0" w:line="340" w:lineRule="exact"/>
        <w:ind w:firstLine="420" w:firstLineChars="200"/>
        <w:outlineLvl w:val="2"/>
        <w:rPr>
          <w:rFonts w:hint="default" w:ascii="Times New Roman" w:hAnsi="Times New Roman"/>
          <w:b w:val="0"/>
          <w:kern w:val="0"/>
          <w:sz w:val="21"/>
        </w:rPr>
      </w:pPr>
      <w:r>
        <w:rPr>
          <w:rFonts w:hint="default" w:ascii="Times New Roman" w:hAnsi="Times New Roman"/>
          <w:b w:val="0"/>
          <w:kern w:val="0"/>
          <w:sz w:val="21"/>
        </w:rPr>
        <w:t>企业策划碳管理体系时，宜按照产品生命周期排放特征识别风险和机遇</w:t>
      </w:r>
      <w:r>
        <w:rPr>
          <w:rFonts w:ascii="Times New Roman" w:hAnsi="Times New Roman"/>
          <w:b w:val="0"/>
          <w:kern w:val="0"/>
          <w:sz w:val="21"/>
        </w:rPr>
        <w:t>以及</w:t>
      </w:r>
      <w:r>
        <w:rPr>
          <w:rFonts w:hint="default" w:ascii="Times New Roman" w:hAnsi="Times New Roman"/>
          <w:b w:val="0"/>
          <w:kern w:val="0"/>
          <w:sz w:val="21"/>
        </w:rPr>
        <w:t>合规义务，</w:t>
      </w:r>
      <w:r>
        <w:rPr>
          <w:rFonts w:ascii="Times New Roman" w:hAnsi="Times New Roman"/>
          <w:b w:val="0"/>
          <w:kern w:val="0"/>
          <w:sz w:val="21"/>
        </w:rPr>
        <w:t>定期</w:t>
      </w:r>
      <w:r>
        <w:rPr>
          <w:rFonts w:hint="default" w:ascii="Times New Roman" w:hAnsi="Times New Roman"/>
          <w:b w:val="0"/>
          <w:kern w:val="0"/>
          <w:sz w:val="21"/>
        </w:rPr>
        <w:t>开展碳评审，在综合考虑组织内、外部因素及相关方需求和期望的基础上，最终确定碳基准、碳绩效参数、碳目标和指标以及实现措施。</w:t>
      </w:r>
    </w:p>
    <w:p w14:paraId="33E53018">
      <w:pPr>
        <w:pStyle w:val="46"/>
        <w:overflowPunct w:val="0"/>
        <w:snapToGrid w:val="0"/>
        <w:spacing w:after="0" w:line="340" w:lineRule="exact"/>
        <w:ind w:firstLine="420" w:firstLineChars="200"/>
        <w:rPr>
          <w:rFonts w:hint="default" w:ascii="Times New Roman" w:hAnsi="Times New Roman"/>
          <w:b w:val="0"/>
          <w:kern w:val="0"/>
          <w:sz w:val="21"/>
        </w:rPr>
      </w:pPr>
      <w:r>
        <w:rPr>
          <w:rFonts w:hint="default" w:ascii="Times New Roman" w:hAnsi="Times New Roman"/>
          <w:b w:val="0"/>
          <w:kern w:val="0"/>
          <w:sz w:val="21"/>
        </w:rPr>
        <w:t>a）策划的输入包括但不限于：</w:t>
      </w:r>
    </w:p>
    <w:p w14:paraId="7A72D524">
      <w:pPr>
        <w:pStyle w:val="46"/>
        <w:overflowPunct w:val="0"/>
        <w:snapToGrid w:val="0"/>
        <w:spacing w:after="0" w:line="340" w:lineRule="exact"/>
        <w:ind w:firstLine="735" w:firstLineChars="350"/>
        <w:rPr>
          <w:rFonts w:hint="default" w:ascii="Times New Roman" w:hAnsi="Times New Roman"/>
          <w:b w:val="0"/>
          <w:kern w:val="0"/>
          <w:sz w:val="21"/>
        </w:rPr>
      </w:pPr>
      <w:r>
        <w:rPr>
          <w:rFonts w:hint="default" w:ascii="Times New Roman" w:hAnsi="Times New Roman"/>
          <w:b w:val="0"/>
          <w:kern w:val="0"/>
          <w:sz w:val="21"/>
        </w:rPr>
        <w:t>1</w:t>
      </w:r>
      <w:r>
        <w:rPr>
          <w:rFonts w:hint="default" w:ascii="Times New Roman" w:hAnsi="Times New Roman"/>
          <w:sz w:val="21"/>
        </w:rPr>
        <w:t>）</w:t>
      </w:r>
      <w:r>
        <w:rPr>
          <w:rFonts w:hint="default" w:ascii="Times New Roman" w:hAnsi="Times New Roman"/>
          <w:b w:val="0"/>
          <w:kern w:val="0"/>
          <w:sz w:val="21"/>
        </w:rPr>
        <w:t>企业面临的风险和机遇；</w:t>
      </w:r>
    </w:p>
    <w:p w14:paraId="03C0F7CD">
      <w:pPr>
        <w:pStyle w:val="46"/>
        <w:overflowPunct w:val="0"/>
        <w:snapToGrid w:val="0"/>
        <w:spacing w:after="0" w:line="340" w:lineRule="exact"/>
        <w:ind w:firstLine="735" w:firstLineChars="350"/>
        <w:rPr>
          <w:rFonts w:hint="default" w:ascii="Times New Roman" w:hAnsi="Times New Roman"/>
          <w:b w:val="0"/>
          <w:strike/>
          <w:kern w:val="0"/>
          <w:sz w:val="21"/>
        </w:rPr>
      </w:pPr>
      <w:r>
        <w:rPr>
          <w:rFonts w:hint="default" w:ascii="Times New Roman" w:hAnsi="Times New Roman"/>
          <w:b w:val="0"/>
          <w:kern w:val="0"/>
          <w:sz w:val="21"/>
        </w:rPr>
        <w:t>2</w:t>
      </w:r>
      <w:r>
        <w:rPr>
          <w:rFonts w:hint="default" w:ascii="Times New Roman" w:hAnsi="Times New Roman"/>
          <w:sz w:val="21"/>
        </w:rPr>
        <w:t>）</w:t>
      </w:r>
      <w:r>
        <w:rPr>
          <w:rFonts w:hint="default" w:ascii="Times New Roman" w:hAnsi="Times New Roman"/>
          <w:b w:val="0"/>
          <w:kern w:val="0"/>
          <w:sz w:val="21"/>
        </w:rPr>
        <w:t xml:space="preserve">企业的合规义务要求； </w:t>
      </w:r>
    </w:p>
    <w:p w14:paraId="1CEF2BF9">
      <w:pPr>
        <w:pStyle w:val="46"/>
        <w:overflowPunct w:val="0"/>
        <w:snapToGrid w:val="0"/>
        <w:spacing w:after="0" w:line="340" w:lineRule="exact"/>
        <w:ind w:firstLine="735" w:firstLineChars="350"/>
        <w:rPr>
          <w:rFonts w:hint="default" w:ascii="Times New Roman" w:hAnsi="Times New Roman"/>
          <w:b w:val="0"/>
          <w:kern w:val="0"/>
          <w:sz w:val="21"/>
        </w:rPr>
      </w:pPr>
      <w:r>
        <w:rPr>
          <w:rFonts w:hint="default" w:ascii="Times New Roman" w:hAnsi="Times New Roman"/>
          <w:b w:val="0"/>
          <w:kern w:val="0"/>
          <w:sz w:val="21"/>
        </w:rPr>
        <w:t>3）碳评审结果。</w:t>
      </w:r>
    </w:p>
    <w:p w14:paraId="1E76A149">
      <w:pPr>
        <w:pStyle w:val="46"/>
        <w:overflowPunct w:val="0"/>
        <w:snapToGrid w:val="0"/>
        <w:spacing w:after="0" w:line="340" w:lineRule="exact"/>
        <w:ind w:firstLine="420" w:firstLineChars="200"/>
        <w:rPr>
          <w:rFonts w:hint="default" w:ascii="Times New Roman" w:hAnsi="Times New Roman"/>
          <w:b w:val="0"/>
          <w:kern w:val="0"/>
          <w:sz w:val="21"/>
        </w:rPr>
      </w:pPr>
      <w:r>
        <w:rPr>
          <w:rFonts w:hint="default" w:ascii="Times New Roman" w:hAnsi="Times New Roman"/>
          <w:b w:val="0"/>
          <w:kern w:val="0"/>
          <w:sz w:val="21"/>
        </w:rPr>
        <w:t>b）策划的输出包括但不限于：</w:t>
      </w:r>
    </w:p>
    <w:p w14:paraId="48163F57">
      <w:pPr>
        <w:pStyle w:val="46"/>
        <w:overflowPunct w:val="0"/>
        <w:snapToGrid w:val="0"/>
        <w:spacing w:after="0" w:line="340" w:lineRule="exact"/>
        <w:ind w:firstLine="735" w:firstLineChars="350"/>
        <w:rPr>
          <w:rFonts w:hint="default" w:ascii="Times New Roman" w:hAnsi="Times New Roman"/>
          <w:b w:val="0"/>
          <w:kern w:val="0"/>
          <w:sz w:val="21"/>
        </w:rPr>
      </w:pPr>
      <w:r>
        <w:rPr>
          <w:rFonts w:hint="default" w:ascii="Times New Roman" w:hAnsi="Times New Roman"/>
          <w:b w:val="0"/>
          <w:kern w:val="0"/>
          <w:sz w:val="21"/>
        </w:rPr>
        <w:t>1</w:t>
      </w:r>
      <w:r>
        <w:rPr>
          <w:rFonts w:hint="default" w:ascii="Times New Roman" w:hAnsi="Times New Roman"/>
          <w:sz w:val="21"/>
        </w:rPr>
        <w:t>）</w:t>
      </w:r>
      <w:r>
        <w:rPr>
          <w:rFonts w:hint="default" w:ascii="Times New Roman" w:hAnsi="Times New Roman"/>
          <w:b w:val="0"/>
          <w:kern w:val="0"/>
          <w:sz w:val="21"/>
        </w:rPr>
        <w:t>碳绩效参数；</w:t>
      </w:r>
    </w:p>
    <w:p w14:paraId="1888D3EF">
      <w:pPr>
        <w:pStyle w:val="46"/>
        <w:overflowPunct w:val="0"/>
        <w:snapToGrid w:val="0"/>
        <w:spacing w:after="0" w:line="340" w:lineRule="exact"/>
        <w:ind w:firstLine="735" w:firstLineChars="350"/>
        <w:rPr>
          <w:rFonts w:hint="default" w:ascii="Times New Roman" w:hAnsi="Times New Roman"/>
          <w:b w:val="0"/>
          <w:kern w:val="0"/>
          <w:sz w:val="21"/>
        </w:rPr>
      </w:pPr>
      <w:r>
        <w:rPr>
          <w:rFonts w:hint="default" w:ascii="Times New Roman" w:hAnsi="Times New Roman"/>
          <w:b w:val="0"/>
          <w:kern w:val="0"/>
          <w:sz w:val="21"/>
        </w:rPr>
        <w:t>2</w:t>
      </w:r>
      <w:r>
        <w:rPr>
          <w:rFonts w:hint="default" w:ascii="Times New Roman" w:hAnsi="Times New Roman"/>
          <w:sz w:val="21"/>
        </w:rPr>
        <w:t>）</w:t>
      </w:r>
      <w:r>
        <w:rPr>
          <w:rFonts w:hint="default" w:ascii="Times New Roman" w:hAnsi="Times New Roman"/>
          <w:b w:val="0"/>
          <w:kern w:val="0"/>
          <w:sz w:val="21"/>
        </w:rPr>
        <w:t>碳基准；</w:t>
      </w:r>
    </w:p>
    <w:p w14:paraId="54373DCE">
      <w:pPr>
        <w:pStyle w:val="46"/>
        <w:overflowPunct w:val="0"/>
        <w:snapToGrid w:val="0"/>
        <w:spacing w:after="0" w:line="340" w:lineRule="exact"/>
        <w:ind w:firstLine="735" w:firstLineChars="350"/>
        <w:rPr>
          <w:rFonts w:hint="default" w:ascii="Times New Roman" w:hAnsi="Times New Roman"/>
          <w:b w:val="0"/>
          <w:kern w:val="0"/>
          <w:sz w:val="21"/>
        </w:rPr>
      </w:pPr>
      <w:r>
        <w:rPr>
          <w:rFonts w:hint="default" w:ascii="Times New Roman" w:hAnsi="Times New Roman"/>
          <w:b w:val="0"/>
          <w:kern w:val="0"/>
          <w:sz w:val="21"/>
        </w:rPr>
        <w:t>3</w:t>
      </w:r>
      <w:r>
        <w:rPr>
          <w:rFonts w:hint="default" w:ascii="Times New Roman" w:hAnsi="Times New Roman"/>
          <w:sz w:val="21"/>
        </w:rPr>
        <w:t>）</w:t>
      </w:r>
      <w:r>
        <w:rPr>
          <w:rFonts w:hint="default" w:ascii="Times New Roman" w:hAnsi="Times New Roman"/>
          <w:b w:val="0"/>
          <w:kern w:val="0"/>
          <w:sz w:val="21"/>
        </w:rPr>
        <w:t>碳目标和指标；</w:t>
      </w:r>
    </w:p>
    <w:p w14:paraId="664AFAB3">
      <w:pPr>
        <w:pStyle w:val="46"/>
        <w:overflowPunct w:val="0"/>
        <w:snapToGrid w:val="0"/>
        <w:spacing w:after="0" w:line="340" w:lineRule="exact"/>
        <w:ind w:firstLine="735" w:firstLineChars="350"/>
        <w:rPr>
          <w:rFonts w:hint="default" w:ascii="Times New Roman" w:hAnsi="Times New Roman"/>
          <w:b w:val="0"/>
          <w:kern w:val="0"/>
          <w:sz w:val="21"/>
        </w:rPr>
      </w:pPr>
      <w:r>
        <w:rPr>
          <w:rFonts w:hint="default" w:ascii="Times New Roman" w:hAnsi="Times New Roman"/>
          <w:b w:val="0"/>
          <w:kern w:val="0"/>
          <w:sz w:val="21"/>
        </w:rPr>
        <w:t>4）实现碳目标和指标的措施计划；</w:t>
      </w:r>
    </w:p>
    <w:p w14:paraId="65809053">
      <w:pPr>
        <w:pStyle w:val="46"/>
        <w:overflowPunct w:val="0"/>
        <w:snapToGrid w:val="0"/>
        <w:spacing w:after="0" w:line="340" w:lineRule="exact"/>
        <w:ind w:firstLine="735" w:firstLineChars="350"/>
        <w:rPr>
          <w:rFonts w:hint="default" w:ascii="Times New Roman" w:hAnsi="Times New Roman"/>
          <w:b w:val="0"/>
          <w:kern w:val="0"/>
          <w:sz w:val="21"/>
        </w:rPr>
      </w:pPr>
      <w:r>
        <w:rPr>
          <w:rFonts w:hint="default" w:ascii="Times New Roman" w:hAnsi="Times New Roman"/>
          <w:b w:val="0"/>
          <w:kern w:val="0"/>
          <w:sz w:val="21"/>
          <w:szCs w:val="22"/>
        </w:rPr>
        <w:t>5</w:t>
      </w:r>
      <w:r>
        <w:rPr>
          <w:rFonts w:hint="default" w:ascii="Times New Roman" w:hAnsi="Times New Roman"/>
          <w:sz w:val="21"/>
        </w:rPr>
        <w:t>）</w:t>
      </w:r>
      <w:r>
        <w:rPr>
          <w:rFonts w:hint="default" w:ascii="Times New Roman" w:hAnsi="Times New Roman"/>
          <w:b w:val="0"/>
          <w:kern w:val="0"/>
          <w:sz w:val="21"/>
        </w:rPr>
        <w:t>碳数据收集计划。</w:t>
      </w:r>
    </w:p>
    <w:p w14:paraId="2A501053">
      <w:pPr>
        <w:pStyle w:val="67"/>
        <w:numPr>
          <w:ilvl w:val="1"/>
          <w:numId w:val="1"/>
        </w:numPr>
        <w:overflowPunct w:val="0"/>
        <w:spacing w:before="143" w:after="143"/>
        <w:ind w:left="0" w:firstLine="0"/>
        <w:outlineLvl w:val="1"/>
        <w:rPr>
          <w:rFonts w:ascii="Times New Roman"/>
        </w:rPr>
      </w:pPr>
      <w:bookmarkStart w:id="75" w:name="_Toc187932687"/>
      <w:bookmarkStart w:id="76" w:name="_Toc220422368"/>
      <w:r>
        <w:rPr>
          <w:rFonts w:ascii="Times New Roman"/>
        </w:rPr>
        <w:t>策划的输入</w:t>
      </w:r>
      <w:bookmarkEnd w:id="75"/>
      <w:bookmarkEnd w:id="76"/>
    </w:p>
    <w:p w14:paraId="5C8F065C">
      <w:pPr>
        <w:pStyle w:val="68"/>
        <w:numPr>
          <w:ilvl w:val="2"/>
          <w:numId w:val="1"/>
        </w:numPr>
        <w:overflowPunct w:val="0"/>
        <w:spacing w:before="143" w:after="143"/>
        <w:ind w:left="0" w:firstLine="0"/>
        <w:outlineLvl w:val="2"/>
        <w:rPr>
          <w:rFonts w:ascii="Times New Roman"/>
        </w:rPr>
      </w:pPr>
      <w:r>
        <w:rPr>
          <w:rFonts w:ascii="Times New Roman"/>
        </w:rPr>
        <w:t>风险和机遇的识别和应对</w:t>
      </w:r>
    </w:p>
    <w:p w14:paraId="75F3D8D3">
      <w:pPr>
        <w:overflowPunct w:val="0"/>
        <w:spacing w:before="143" w:beforeLines="50" w:after="143" w:afterLines="50"/>
        <w:outlineLvl w:val="3"/>
        <w:rPr>
          <w:rFonts w:ascii="Times New Roman" w:hAnsi="Times New Roman" w:eastAsia="宋体" w:cs="Times New Roman"/>
          <w:kern w:val="0"/>
        </w:rPr>
      </w:pPr>
      <w:r>
        <w:rPr>
          <w:rFonts w:ascii="Times New Roman" w:hAnsi="Times New Roman" w:eastAsia="宋体" w:cs="Times New Roman"/>
          <w:kern w:val="0"/>
        </w:rPr>
        <w:t xml:space="preserve">6.2.1.1  </w:t>
      </w:r>
      <w:r>
        <w:rPr>
          <w:rFonts w:ascii="Times New Roman" w:hAnsi="Times New Roman" w:eastAsia="黑体" w:cs="Times New Roman"/>
          <w:kern w:val="0"/>
        </w:rPr>
        <w:t>风险的识别</w:t>
      </w:r>
    </w:p>
    <w:p w14:paraId="26D21BF4">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企业面临的风险可能涉及政策风险、技术风险、市场风险，包括但不限于以下内容：</w:t>
      </w:r>
    </w:p>
    <w:p w14:paraId="65871882">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——国际碳政策对进口产品碳足迹要求；</w:t>
      </w:r>
    </w:p>
    <w:p w14:paraId="0AC42E43">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——无法满足政府碳排放双控要求；</w:t>
      </w:r>
    </w:p>
    <w:p w14:paraId="232F7D8F">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——企业碳排放不满足投资方要求；</w:t>
      </w:r>
    </w:p>
    <w:p w14:paraId="6FF099C8">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——产品碳足迹不满足采购方要求；</w:t>
      </w:r>
    </w:p>
    <w:p w14:paraId="7C488EC1">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——生产设备老化、生产工艺不稳定；</w:t>
      </w:r>
    </w:p>
    <w:p w14:paraId="0699811F">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——碳排放核算方法的更新；</w:t>
      </w:r>
    </w:p>
    <w:p w14:paraId="49FB313E">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——企业人员的碳管理能力不足；</w:t>
      </w:r>
    </w:p>
    <w:p w14:paraId="449CED17">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——低碳供应链管理的风险；</w:t>
      </w:r>
    </w:p>
    <w:p w14:paraId="534075D4">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——碳计量管理的风险；</w:t>
      </w:r>
    </w:p>
    <w:p w14:paraId="6AF52420">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——其他风险。</w:t>
      </w:r>
    </w:p>
    <w:p w14:paraId="5977BEDC">
      <w:pPr>
        <w:overflowPunct w:val="0"/>
        <w:spacing w:before="143" w:beforeLines="50" w:after="143" w:afterLines="50"/>
        <w:outlineLvl w:val="3"/>
        <w:rPr>
          <w:rFonts w:ascii="Times New Roman" w:hAnsi="Times New Roman" w:eastAsia="宋体" w:cs="Times New Roman"/>
          <w:kern w:val="0"/>
        </w:rPr>
      </w:pPr>
      <w:r>
        <w:rPr>
          <w:rFonts w:ascii="Times New Roman" w:hAnsi="Times New Roman" w:eastAsia="宋体" w:cs="Times New Roman"/>
          <w:kern w:val="0"/>
        </w:rPr>
        <w:t xml:space="preserve">6.2.1.2  </w:t>
      </w:r>
      <w:r>
        <w:rPr>
          <w:rFonts w:ascii="Times New Roman" w:hAnsi="Times New Roman" w:eastAsia="黑体" w:cs="Times New Roman"/>
          <w:kern w:val="0"/>
        </w:rPr>
        <w:t>机遇的识别</w:t>
      </w:r>
    </w:p>
    <w:p w14:paraId="61E1D2AA">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企业面临的机遇包括但不限于以下内容：</w:t>
      </w:r>
    </w:p>
    <w:p w14:paraId="2F5BAE4F">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——政府优先采购低碳产品；</w:t>
      </w:r>
    </w:p>
    <w:p w14:paraId="6B3ACB69">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——终端消费者对低碳产品消费需求增加；</w:t>
      </w:r>
    </w:p>
    <w:p w14:paraId="499A7C9F">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——低碳新材料的上市和低碳新工艺的发展；</w:t>
      </w:r>
    </w:p>
    <w:p w14:paraId="46ABB4CE">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——销售渠道的变化；</w:t>
      </w:r>
    </w:p>
    <w:p w14:paraId="444422E5">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——新能源的发展和大规模应用；</w:t>
      </w:r>
    </w:p>
    <w:p w14:paraId="04FB7FCA">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——新能源和材料成本的下降；</w:t>
      </w:r>
    </w:p>
    <w:p w14:paraId="3F621EA2">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——废弃物循环再利用的要求；</w:t>
      </w:r>
    </w:p>
    <w:p w14:paraId="323DF3CF">
      <w:pPr>
        <w:overflowPunct w:val="0"/>
        <w:ind w:firstLine="840" w:firstLineChars="400"/>
        <w:rPr>
          <w:rFonts w:ascii="Times New Roman" w:hAnsi="Times New Roman" w:eastAsia="宋体" w:cs="Times New Roman"/>
          <w:kern w:val="0"/>
        </w:rPr>
      </w:pPr>
      <w:r>
        <w:rPr>
          <w:rFonts w:ascii="Times New Roman" w:hAnsi="Times New Roman" w:eastAsia="宋体" w:cs="Times New Roman"/>
          <w:kern w:val="0"/>
        </w:rPr>
        <w:t>——其他机遇。</w:t>
      </w:r>
    </w:p>
    <w:p w14:paraId="0DBF2691">
      <w:pPr>
        <w:overflowPunct w:val="0"/>
        <w:spacing w:before="143" w:beforeLines="50" w:after="143" w:afterLines="50"/>
        <w:outlineLvl w:val="3"/>
        <w:rPr>
          <w:rFonts w:ascii="Times New Roman" w:hAnsi="Times New Roman" w:eastAsia="黑体" w:cs="Times New Roman"/>
          <w:kern w:val="0"/>
        </w:rPr>
      </w:pPr>
      <w:r>
        <w:rPr>
          <w:rFonts w:ascii="Times New Roman" w:hAnsi="Times New Roman" w:eastAsia="宋体" w:cs="Times New Roman"/>
          <w:kern w:val="0"/>
        </w:rPr>
        <w:t xml:space="preserve">6.2.1.3  </w:t>
      </w:r>
      <w:r>
        <w:rPr>
          <w:rFonts w:ascii="Times New Roman" w:hAnsi="Times New Roman" w:eastAsia="黑体" w:cs="Times New Roman"/>
          <w:kern w:val="0"/>
        </w:rPr>
        <w:t>风险和机遇的应对</w:t>
      </w:r>
    </w:p>
    <w:p w14:paraId="14138347">
      <w:pPr>
        <w:overflowPunct w:val="0"/>
        <w:ind w:firstLine="420" w:firstLineChars="200"/>
        <w:rPr>
          <w:rFonts w:ascii="Times New Roman" w:hAnsi="Times New Roman" w:eastAsia="宋体" w:cs="Times New Roman"/>
          <w:kern w:val="0"/>
        </w:rPr>
      </w:pPr>
      <w:r>
        <w:rPr>
          <w:rFonts w:ascii="Times New Roman" w:hAnsi="Times New Roman" w:eastAsia="宋体" w:cs="Times New Roman"/>
          <w:kern w:val="0"/>
        </w:rPr>
        <w:t>企业宜基于风险评估结果策划与碳管理有关的风险和机遇的应对措施，确保其风险管理措施（包括应急预案）考虑到碳管理有关的各种风险；确保应对措施考虑到这些风险和机遇如何随时间而变化；对已识别出的风险进行适当的监视，根据风险变化情况采取应对措施或应急处理方案；保留风险和机遇识别、评估和应对的文件化信息。</w:t>
      </w:r>
    </w:p>
    <w:p w14:paraId="41FD4EC2">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不同企业面临的风险和机遇有所不同，在面对风险和机遇时宜从以下方面策划相应的措施：</w:t>
      </w:r>
    </w:p>
    <w:p w14:paraId="2DC33C06">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——建立风险管理机制，明确风险管理目标、制定风险管理计划，实施风险评估与监控；</w:t>
      </w:r>
    </w:p>
    <w:p w14:paraId="4C6DACA8">
      <w:pPr>
        <w:overflowPunct w:val="0"/>
        <w:ind w:left="1050" w:leftChars="300" w:hanging="420" w:hangingChars="200"/>
        <w:rPr>
          <w:rFonts w:ascii="Times New Roman" w:hAnsi="Times New Roman" w:eastAsia="宋体" w:cs="Times New Roman"/>
          <w:kern w:val="0"/>
        </w:rPr>
      </w:pPr>
      <w:r>
        <w:rPr>
          <w:rFonts w:ascii="Times New Roman" w:hAnsi="Times New Roman" w:eastAsia="宋体" w:cs="Times New Roman"/>
          <w:kern w:val="0"/>
        </w:rPr>
        <w:t>——加强碳管理制度设计，明确碳管理的职责和权限，建立机制和流程，开展内部监督检查和考核评价；</w:t>
      </w:r>
    </w:p>
    <w:p w14:paraId="26857E27">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——定期跟踪政策法规的变化；</w:t>
      </w:r>
    </w:p>
    <w:p w14:paraId="6A455ED4">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——适时搭建能源和碳排放信息化管控平台，强化碳数据管理，提升碳数据质量；</w:t>
      </w:r>
    </w:p>
    <w:p w14:paraId="0253E1DB">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——加强工艺优化，更新使用低碳的设备；</w:t>
      </w:r>
    </w:p>
    <w:p w14:paraId="670C452E">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——优化供应链结构，选择具有稳定生产能力且双碳意识较强的供应商、采购低碳原辅材料；</w:t>
      </w:r>
    </w:p>
    <w:p w14:paraId="5CC6DF83">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——加强生产过程控制：制定严格的生产计划、加强员工培训、定期检查维护设备；</w:t>
      </w:r>
    </w:p>
    <w:p w14:paraId="5479815A">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——加强产品质量检测：建立完善的质量检测体系、采用先进的检测设备和技术；</w:t>
      </w:r>
    </w:p>
    <w:p w14:paraId="54642E97">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——加强碳管理能力建设，培养和引进相关专业人才；</w:t>
      </w:r>
    </w:p>
    <w:p w14:paraId="225C28FB">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——及时引入新能源和新材料在企业的应用；</w:t>
      </w:r>
    </w:p>
    <w:p w14:paraId="449CDBA8">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——提高产品品质和服务水平，重视产品回收与再利用。</w:t>
      </w:r>
    </w:p>
    <w:p w14:paraId="2F06FA31">
      <w:pPr>
        <w:pStyle w:val="40"/>
        <w:overflowPunct w:val="0"/>
        <w:ind w:firstLine="360"/>
        <w:rPr>
          <w:rFonts w:ascii="Times New Roman"/>
          <w:sz w:val="18"/>
          <w:szCs w:val="18"/>
        </w:rPr>
      </w:pPr>
      <w:r>
        <w:rPr>
          <w:rFonts w:ascii="Times New Roman" w:eastAsia="黑体"/>
          <w:sz w:val="18"/>
          <w:szCs w:val="18"/>
        </w:rPr>
        <w:t>注</w:t>
      </w:r>
      <w:r>
        <w:rPr>
          <w:rFonts w:ascii="Times New Roman"/>
          <w:sz w:val="18"/>
          <w:szCs w:val="18"/>
        </w:rPr>
        <w:t>：工业企业碳风险和机遇识别表参见附录</w:t>
      </w:r>
      <w:r>
        <w:rPr>
          <w:rFonts w:hint="eastAsia" w:ascii="Times New Roman"/>
          <w:sz w:val="18"/>
          <w:szCs w:val="18"/>
        </w:rPr>
        <w:t>B</w:t>
      </w:r>
      <w:r>
        <w:rPr>
          <w:rFonts w:ascii="Times New Roman"/>
          <w:sz w:val="18"/>
          <w:szCs w:val="18"/>
        </w:rPr>
        <w:t>。</w:t>
      </w:r>
    </w:p>
    <w:p w14:paraId="39B90703">
      <w:pPr>
        <w:pStyle w:val="68"/>
        <w:numPr>
          <w:ilvl w:val="2"/>
          <w:numId w:val="1"/>
        </w:numPr>
        <w:overflowPunct w:val="0"/>
        <w:spacing w:before="143" w:after="143"/>
        <w:ind w:left="0" w:firstLine="0"/>
        <w:outlineLvl w:val="2"/>
        <w:rPr>
          <w:rFonts w:ascii="Times New Roman"/>
        </w:rPr>
      </w:pPr>
      <w:r>
        <w:rPr>
          <w:rFonts w:ascii="Times New Roman"/>
        </w:rPr>
        <w:t>合规义务</w:t>
      </w:r>
    </w:p>
    <w:p w14:paraId="0A4ED66F">
      <w:pPr>
        <w:pStyle w:val="40"/>
        <w:overflowPunct w:val="0"/>
        <w:ind w:firstLine="0" w:firstLineChars="0"/>
        <w:outlineLvl w:val="3"/>
        <w:rPr>
          <w:rFonts w:ascii="Times New Roman"/>
          <w:szCs w:val="22"/>
        </w:rPr>
      </w:pPr>
      <w:r>
        <w:rPr>
          <w:rFonts w:ascii="Times New Roman"/>
          <w:szCs w:val="22"/>
        </w:rPr>
        <w:t>6.2.2.1  企业宜结合自身实际，构建合规义务获取和识别的程序，定期进行收集并识别出适用于本企业的合规义务，保留其文件化信息。企业碳管理团队负责制定形成组织内部应遵守的合规义务清单，并识别和评价合规性。最高管理者负责督促合规义务的贯彻实施，每12个月对合规义务清单进行一次评审和改进，以确保其适宜性。</w:t>
      </w:r>
    </w:p>
    <w:p w14:paraId="0D8519B9">
      <w:pPr>
        <w:pStyle w:val="40"/>
        <w:overflowPunct w:val="0"/>
        <w:ind w:firstLine="0" w:firstLineChars="0"/>
        <w:outlineLvl w:val="3"/>
        <w:rPr>
          <w:rFonts w:ascii="Times New Roman"/>
          <w:szCs w:val="22"/>
        </w:rPr>
      </w:pPr>
      <w:r>
        <w:rPr>
          <w:rFonts w:ascii="Times New Roman"/>
          <w:szCs w:val="22"/>
        </w:rPr>
        <w:t>6.2.2.2  企业碳管理体系涉及的合规义务包括</w:t>
      </w:r>
      <w:r>
        <w:rPr>
          <w:rFonts w:ascii="Times New Roman"/>
        </w:rPr>
        <w:t>国家、行业、地方法律法规，标准及其他要求，重点关注行业及上下游相关的国家政策以及国家鼓励、限制、淘汰的生产工艺和用能设备等相关法规和要求。</w:t>
      </w:r>
    </w:p>
    <w:p w14:paraId="24908F24">
      <w:pPr>
        <w:pStyle w:val="68"/>
        <w:numPr>
          <w:ilvl w:val="2"/>
          <w:numId w:val="1"/>
        </w:numPr>
        <w:overflowPunct w:val="0"/>
        <w:spacing w:before="143" w:after="143"/>
        <w:ind w:left="0" w:firstLine="0"/>
        <w:jc w:val="both"/>
        <w:outlineLvl w:val="2"/>
        <w:rPr>
          <w:rFonts w:ascii="Times New Roman"/>
        </w:rPr>
      </w:pPr>
      <w:bookmarkStart w:id="77" w:name="_Toc187932688"/>
      <w:r>
        <w:rPr>
          <w:rFonts w:ascii="Times New Roman"/>
        </w:rPr>
        <w:t>碳评审</w:t>
      </w:r>
      <w:bookmarkEnd w:id="77"/>
    </w:p>
    <w:p w14:paraId="58D00EC6">
      <w:pPr>
        <w:overflowPunct w:val="0"/>
        <w:spacing w:before="143" w:beforeLines="50" w:after="143" w:afterLines="50"/>
        <w:outlineLvl w:val="3"/>
        <w:rPr>
          <w:rFonts w:ascii="Times New Roman" w:hAnsi="Times New Roman" w:eastAsia="宋体" w:cs="Times New Roman"/>
          <w:kern w:val="0"/>
        </w:rPr>
      </w:pPr>
      <w:r>
        <w:rPr>
          <w:rFonts w:ascii="Times New Roman" w:hAnsi="Times New Roman" w:eastAsia="宋体" w:cs="Times New Roman"/>
          <w:kern w:val="0"/>
        </w:rPr>
        <w:t>6.2.</w:t>
      </w:r>
      <w:r>
        <w:rPr>
          <w:rFonts w:hint="eastAsia" w:ascii="Times New Roman" w:hAnsi="Times New Roman" w:eastAsia="宋体" w:cs="Times New Roman"/>
          <w:kern w:val="0"/>
        </w:rPr>
        <w:t>3</w:t>
      </w:r>
      <w:r>
        <w:rPr>
          <w:rFonts w:ascii="Times New Roman" w:hAnsi="Times New Roman" w:eastAsia="宋体" w:cs="Times New Roman"/>
          <w:kern w:val="0"/>
        </w:rPr>
        <w:t>.1</w:t>
      </w:r>
      <w:r>
        <w:rPr>
          <w:rFonts w:ascii="Times New Roman" w:hAnsi="Times New Roman" w:eastAsia="黑体" w:cs="Times New Roman"/>
          <w:kern w:val="0"/>
        </w:rPr>
        <w:t>总则</w:t>
      </w:r>
    </w:p>
    <w:p w14:paraId="40D3B2B2">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碳评审是企业策划的重要手段，为其建立、实施、保持和改进碳管理体系提供依据。企业宜按照产品全生命周期和风险思维，根据碳管理的不同维度，结合组织、产品/服务、项目、活动层面不同的碳管理特征，设定符合工业企业实际的碳评审。</w:t>
      </w:r>
    </w:p>
    <w:p w14:paraId="147B3EAB">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企业宜将碳评审的程序、方法和结果形成文件，包括碳评审的职责、范围、时间间隔、方法、工具、排放设施的识别等，并将碳评审的过程及结果形成碳评审报告。</w:t>
      </w:r>
    </w:p>
    <w:p w14:paraId="70242C71">
      <w:pPr>
        <w:pStyle w:val="68"/>
        <w:overflowPunct w:val="0"/>
        <w:spacing w:before="143" w:after="143"/>
        <w:rPr>
          <w:rFonts w:ascii="Times New Roman"/>
        </w:rPr>
      </w:pPr>
      <w:r>
        <w:rPr>
          <w:rFonts w:ascii="Times New Roman"/>
        </w:rPr>
        <w:t>6.2.</w:t>
      </w:r>
      <w:r>
        <w:rPr>
          <w:rFonts w:hint="eastAsia" w:ascii="Times New Roman"/>
        </w:rPr>
        <w:t>3</w:t>
      </w:r>
      <w:r>
        <w:rPr>
          <w:rFonts w:ascii="Times New Roman"/>
        </w:rPr>
        <w:t>.2碳评审时机</w:t>
      </w:r>
    </w:p>
    <w:p w14:paraId="36C9CFD5">
      <w:pPr>
        <w:pStyle w:val="40"/>
        <w:overflowPunct w:val="0"/>
        <w:rPr>
          <w:rFonts w:ascii="Times New Roman"/>
        </w:rPr>
      </w:pPr>
      <w:r>
        <w:rPr>
          <w:rFonts w:ascii="Times New Roman"/>
        </w:rPr>
        <w:t>实施碳评审的时机可确定为以下三类：</w:t>
      </w:r>
    </w:p>
    <w:p w14:paraId="7736DDB1">
      <w:pPr>
        <w:pStyle w:val="40"/>
        <w:overflowPunct w:val="0"/>
        <w:ind w:firstLineChars="0"/>
        <w:rPr>
          <w:rFonts w:ascii="Times New Roman"/>
        </w:rPr>
      </w:pPr>
      <w:r>
        <w:rPr>
          <w:rFonts w:ascii="Times New Roman"/>
        </w:rPr>
        <w:t>a</w:t>
      </w:r>
      <w:r>
        <w:rPr>
          <w:rFonts w:ascii="Times New Roman"/>
          <w:kern w:val="2"/>
        </w:rPr>
        <w:t>）</w:t>
      </w:r>
      <w:r>
        <w:rPr>
          <w:rFonts w:ascii="Times New Roman"/>
        </w:rPr>
        <w:t>碳管理体系建设初期宜实施初始碳评审，了解和分析企业的碳排放和碳绩效现状，以便确定碳</w:t>
      </w:r>
    </w:p>
    <w:p w14:paraId="0EE3BBCD">
      <w:pPr>
        <w:pStyle w:val="40"/>
        <w:overflowPunct w:val="0"/>
        <w:ind w:firstLine="735" w:firstLineChars="350"/>
        <w:rPr>
          <w:rFonts w:ascii="Times New Roman"/>
        </w:rPr>
      </w:pPr>
      <w:r>
        <w:rPr>
          <w:rFonts w:ascii="Times New Roman"/>
        </w:rPr>
        <w:t>基准、碳绩效参数和碳目标、指标，以</w:t>
      </w:r>
      <w:r>
        <w:rPr>
          <w:rFonts w:hint="eastAsia" w:ascii="Times New Roman"/>
        </w:rPr>
        <w:t>及</w:t>
      </w:r>
      <w:r>
        <w:rPr>
          <w:rFonts w:ascii="Times New Roman"/>
        </w:rPr>
        <w:t>策划碳管理措施计划；</w:t>
      </w:r>
    </w:p>
    <w:p w14:paraId="51A85B8C">
      <w:pPr>
        <w:pStyle w:val="40"/>
        <w:overflowPunct w:val="0"/>
        <w:ind w:firstLineChars="0"/>
        <w:rPr>
          <w:rFonts w:ascii="Times New Roman"/>
        </w:rPr>
      </w:pPr>
      <w:r>
        <w:rPr>
          <w:rFonts w:ascii="Times New Roman"/>
        </w:rPr>
        <w:t>b</w:t>
      </w:r>
      <w:r>
        <w:rPr>
          <w:rFonts w:ascii="Times New Roman"/>
          <w:kern w:val="2"/>
        </w:rPr>
        <w:t>）</w:t>
      </w:r>
      <w:r>
        <w:rPr>
          <w:rFonts w:ascii="Times New Roman"/>
        </w:rPr>
        <w:t>按企业规定的周期定期实施碳评审，</w:t>
      </w:r>
      <w:r>
        <w:rPr>
          <w:rFonts w:hint="eastAsia" w:ascii="Times New Roman"/>
        </w:rPr>
        <w:t>周期</w:t>
      </w:r>
      <w:r>
        <w:rPr>
          <w:rFonts w:ascii="Times New Roman"/>
        </w:rPr>
        <w:t>宜为一个自然年；</w:t>
      </w:r>
    </w:p>
    <w:p w14:paraId="42CCECEA">
      <w:pPr>
        <w:pStyle w:val="40"/>
        <w:overflowPunct w:val="0"/>
        <w:ind w:firstLineChars="0"/>
        <w:rPr>
          <w:rFonts w:ascii="Times New Roman"/>
        </w:rPr>
      </w:pPr>
      <w:r>
        <w:rPr>
          <w:rFonts w:ascii="Times New Roman"/>
        </w:rPr>
        <w:t>c</w:t>
      </w:r>
      <w:r>
        <w:rPr>
          <w:rFonts w:ascii="Times New Roman"/>
          <w:kern w:val="2"/>
        </w:rPr>
        <w:t>）</w:t>
      </w:r>
      <w:r>
        <w:rPr>
          <w:rFonts w:ascii="Times New Roman"/>
        </w:rPr>
        <w:t>当企业的组织架构、管理</w:t>
      </w:r>
      <w:r>
        <w:rPr>
          <w:rFonts w:hint="eastAsia" w:ascii="Times New Roman"/>
        </w:rPr>
        <w:t>、</w:t>
      </w:r>
      <w:r>
        <w:rPr>
          <w:rFonts w:ascii="Times New Roman"/>
        </w:rPr>
        <w:t>规模、主要生产工艺、产品</w:t>
      </w:r>
      <w:r>
        <w:rPr>
          <w:rFonts w:hint="eastAsia" w:ascii="Times New Roman"/>
        </w:rPr>
        <w:t>、</w:t>
      </w:r>
      <w:r>
        <w:rPr>
          <w:rFonts w:ascii="Times New Roman"/>
        </w:rPr>
        <w:t>技术、碳排放设施发生较大变化时，</w:t>
      </w:r>
    </w:p>
    <w:p w14:paraId="4AA9ABCB">
      <w:pPr>
        <w:pStyle w:val="40"/>
        <w:overflowPunct w:val="0"/>
        <w:ind w:firstLine="735" w:firstLineChars="350"/>
        <w:rPr>
          <w:rFonts w:ascii="Times New Roman"/>
        </w:rPr>
      </w:pPr>
      <w:r>
        <w:rPr>
          <w:rFonts w:ascii="Times New Roman"/>
        </w:rPr>
        <w:t>宜重新进行碳评审。</w:t>
      </w:r>
    </w:p>
    <w:p w14:paraId="6A305BF7">
      <w:pPr>
        <w:pStyle w:val="68"/>
        <w:overflowPunct w:val="0"/>
        <w:spacing w:before="143" w:after="143"/>
        <w:rPr>
          <w:rFonts w:ascii="Times New Roman"/>
        </w:rPr>
      </w:pPr>
      <w:r>
        <w:rPr>
          <w:rFonts w:ascii="Times New Roman"/>
        </w:rPr>
        <w:t>6.2.</w:t>
      </w:r>
      <w:r>
        <w:rPr>
          <w:rFonts w:hint="eastAsia" w:ascii="Times New Roman"/>
        </w:rPr>
        <w:t>3</w:t>
      </w:r>
      <w:r>
        <w:rPr>
          <w:rFonts w:ascii="Times New Roman"/>
        </w:rPr>
        <w:t>.3碳评审内容</w:t>
      </w:r>
    </w:p>
    <w:p w14:paraId="5C450F09">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工业企业碳评审内容包括但不限于以下</w:t>
      </w:r>
      <w:r>
        <w:rPr>
          <w:rFonts w:hint="eastAsia" w:ascii="Times New Roman" w:hAnsi="Times New Roman" w:eastAsia="宋体" w:cs="Times New Roman"/>
          <w:kern w:val="0"/>
          <w:szCs w:val="20"/>
        </w:rPr>
        <w:t>内容</w:t>
      </w:r>
      <w:r>
        <w:rPr>
          <w:rFonts w:ascii="Times New Roman" w:hAnsi="Times New Roman" w:eastAsia="宋体" w:cs="Times New Roman"/>
          <w:kern w:val="0"/>
          <w:szCs w:val="20"/>
        </w:rPr>
        <w:t>。</w:t>
      </w:r>
    </w:p>
    <w:p w14:paraId="280399DF">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a</w:t>
      </w:r>
      <w:r>
        <w:rPr>
          <w:rFonts w:ascii="Times New Roman" w:hAnsi="Times New Roman" w:eastAsia="宋体" w:cs="Times New Roman"/>
        </w:rPr>
        <w:t>）</w:t>
      </w:r>
      <w:r>
        <w:rPr>
          <w:rFonts w:ascii="Times New Roman" w:hAnsi="Times New Roman" w:eastAsia="宋体" w:cs="Times New Roman"/>
          <w:kern w:val="0"/>
          <w:szCs w:val="20"/>
        </w:rPr>
        <w:t>识别和分析碳源（汇）和排放设施，包括但不限于：</w:t>
      </w:r>
    </w:p>
    <w:p w14:paraId="3DCE07BA">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rPr>
        <w:t>工业企业宜按照</w:t>
      </w:r>
      <w:r>
        <w:rPr>
          <w:rFonts w:hint="eastAsia" w:ascii="Times New Roman" w:hAnsi="Times New Roman" w:eastAsia="宋体" w:cs="Times New Roman"/>
          <w:kern w:val="0"/>
        </w:rPr>
        <w:t>ISO 14064-1或</w:t>
      </w:r>
      <w:r>
        <w:rPr>
          <w:rFonts w:ascii="Times New Roman" w:hAnsi="Times New Roman" w:eastAsia="宋体" w:cs="Times New Roman"/>
          <w:kern w:val="0"/>
        </w:rPr>
        <w:t>GB/T</w:t>
      </w:r>
      <w:r>
        <w:rPr>
          <w:rFonts w:hint="eastAsia" w:ascii="Times New Roman" w:hAnsi="Times New Roman" w:eastAsia="宋体" w:cs="Times New Roman"/>
          <w:kern w:val="0"/>
        </w:rPr>
        <w:t xml:space="preserve"> </w:t>
      </w:r>
      <w:r>
        <w:rPr>
          <w:rFonts w:ascii="Times New Roman" w:hAnsi="Times New Roman" w:eastAsia="宋体" w:cs="Times New Roman"/>
          <w:kern w:val="0"/>
        </w:rPr>
        <w:t>32150及相关行业核算和报告指南，识别</w:t>
      </w:r>
      <w:r>
        <w:rPr>
          <w:rFonts w:hint="eastAsia" w:ascii="Times New Roman" w:hAnsi="Times New Roman" w:eastAsia="宋体" w:cs="Times New Roman"/>
          <w:kern w:val="0"/>
        </w:rPr>
        <w:t>碳</w:t>
      </w:r>
      <w:r>
        <w:rPr>
          <w:rFonts w:ascii="Times New Roman" w:hAnsi="Times New Roman" w:eastAsia="宋体" w:cs="Times New Roman"/>
          <w:kern w:val="0"/>
        </w:rPr>
        <w:t>排放源，如燃料燃烧排放、过程排放、购入的电力与热力产生的排放、特殊排放等。并</w:t>
      </w:r>
      <w:r>
        <w:rPr>
          <w:rFonts w:ascii="Times New Roman" w:hAnsi="Times New Roman" w:eastAsia="宋体" w:cs="Times New Roman"/>
          <w:kern w:val="0"/>
          <w:szCs w:val="20"/>
        </w:rPr>
        <w:t>考虑已经纳入计划的，新、改、扩建设施产生的碳排放源。</w:t>
      </w:r>
    </w:p>
    <w:p w14:paraId="240B2DA2">
      <w:pPr>
        <w:overflowPunct w:val="0"/>
        <w:ind w:firstLine="360" w:firstLineChars="200"/>
        <w:rPr>
          <w:rFonts w:ascii="Times New Roman" w:hAnsi="Times New Roman" w:eastAsia="宋体" w:cs="Times New Roman"/>
          <w:bCs/>
          <w:kern w:val="0"/>
          <w:sz w:val="18"/>
          <w:szCs w:val="18"/>
        </w:rPr>
      </w:pPr>
      <w:r>
        <w:rPr>
          <w:rFonts w:ascii="Times New Roman" w:hAnsi="Times New Roman" w:eastAsia="黑体" w:cs="Times New Roman"/>
          <w:bCs/>
          <w:kern w:val="0"/>
          <w:sz w:val="18"/>
          <w:szCs w:val="18"/>
        </w:rPr>
        <w:t>注1：</w:t>
      </w:r>
      <w:bookmarkStart w:id="78" w:name="_Hlk195173756"/>
      <w:r>
        <w:rPr>
          <w:rFonts w:ascii="Times New Roman" w:hAnsi="Times New Roman" w:eastAsia="宋体" w:cs="Times New Roman"/>
          <w:bCs/>
          <w:kern w:val="0"/>
          <w:sz w:val="18"/>
          <w:szCs w:val="18"/>
        </w:rPr>
        <w:t>工业企业碳排放源识别示例见附录</w:t>
      </w:r>
      <w:bookmarkEnd w:id="78"/>
      <w:r>
        <w:rPr>
          <w:rFonts w:hint="eastAsia" w:ascii="Times New Roman" w:hAnsi="Times New Roman" w:eastAsia="宋体" w:cs="Times New Roman"/>
          <w:bCs/>
          <w:kern w:val="0"/>
          <w:sz w:val="18"/>
          <w:szCs w:val="18"/>
        </w:rPr>
        <w:t>C</w:t>
      </w:r>
      <w:r>
        <w:rPr>
          <w:rFonts w:ascii="Times New Roman" w:hAnsi="Times New Roman" w:eastAsia="宋体" w:cs="Times New Roman"/>
          <w:bCs/>
          <w:kern w:val="0"/>
          <w:sz w:val="18"/>
          <w:szCs w:val="18"/>
        </w:rPr>
        <w:t>。</w:t>
      </w:r>
    </w:p>
    <w:p w14:paraId="4DC80B8A">
      <w:pPr>
        <w:overflowPunct w:val="0"/>
        <w:ind w:firstLine="360" w:firstLineChars="200"/>
        <w:rPr>
          <w:rFonts w:ascii="Times New Roman" w:hAnsi="Times New Roman" w:eastAsia="宋体" w:cs="Times New Roman"/>
          <w:bCs/>
          <w:kern w:val="0"/>
          <w:sz w:val="18"/>
          <w:szCs w:val="18"/>
        </w:rPr>
      </w:pPr>
      <w:r>
        <w:rPr>
          <w:rFonts w:ascii="Times New Roman" w:hAnsi="Times New Roman" w:eastAsia="黑体" w:cs="Times New Roman"/>
          <w:bCs/>
          <w:kern w:val="0"/>
          <w:sz w:val="18"/>
          <w:szCs w:val="18"/>
        </w:rPr>
        <w:t>注2：</w:t>
      </w:r>
      <w:r>
        <w:rPr>
          <w:rFonts w:ascii="Times New Roman" w:hAnsi="Times New Roman" w:eastAsia="宋体" w:cs="Times New Roman"/>
          <w:bCs/>
          <w:kern w:val="0"/>
          <w:sz w:val="18"/>
          <w:szCs w:val="18"/>
        </w:rPr>
        <w:t>工业企业碳排放核算方法参见附录</w:t>
      </w:r>
      <w:r>
        <w:rPr>
          <w:rFonts w:hint="eastAsia" w:ascii="Times New Roman" w:hAnsi="Times New Roman" w:eastAsia="宋体" w:cs="Times New Roman"/>
          <w:bCs/>
          <w:kern w:val="0"/>
          <w:sz w:val="18"/>
          <w:szCs w:val="18"/>
        </w:rPr>
        <w:t>D</w:t>
      </w:r>
      <w:r>
        <w:rPr>
          <w:rFonts w:ascii="Times New Roman" w:hAnsi="Times New Roman" w:eastAsia="宋体" w:cs="Times New Roman"/>
          <w:bCs/>
          <w:kern w:val="0"/>
          <w:sz w:val="18"/>
          <w:szCs w:val="18"/>
        </w:rPr>
        <w:t>。</w:t>
      </w:r>
    </w:p>
    <w:p w14:paraId="5C596FD0">
      <w:pPr>
        <w:overflowPunct w:val="0"/>
        <w:ind w:left="420" w:leftChars="200"/>
        <w:rPr>
          <w:rFonts w:ascii="Times New Roman" w:hAnsi="Times New Roman" w:eastAsia="宋体" w:cs="Times New Roman"/>
          <w:kern w:val="0"/>
        </w:rPr>
      </w:pPr>
      <w:r>
        <w:rPr>
          <w:rFonts w:ascii="Times New Roman" w:hAnsi="Times New Roman" w:eastAsia="宋体" w:cs="Times New Roman"/>
          <w:kern w:val="0"/>
        </w:rPr>
        <w:t>b）确定主要排放设施</w:t>
      </w:r>
      <w:r>
        <w:rPr>
          <w:rFonts w:ascii="Times New Roman" w:hAnsi="Times New Roman" w:eastAsia="宋体" w:cs="Times New Roman"/>
          <w:kern w:val="0"/>
          <w:szCs w:val="20"/>
        </w:rPr>
        <w:t>，包括但不限于：</w:t>
      </w:r>
    </w:p>
    <w:p w14:paraId="50ADA73F">
      <w:pPr>
        <w:overflowPunct w:val="0"/>
        <w:ind w:firstLine="630" w:firstLineChars="300"/>
        <w:rPr>
          <w:rFonts w:ascii="Times New Roman" w:hAnsi="Times New Roman" w:eastAsia="宋体" w:cs="Times New Roman"/>
          <w:kern w:val="0"/>
        </w:rPr>
      </w:pPr>
      <w:bookmarkStart w:id="79" w:name="OLE_LINK4"/>
      <w:r>
        <w:rPr>
          <w:rFonts w:ascii="Times New Roman" w:hAnsi="Times New Roman" w:eastAsia="宋体" w:cs="Times New Roman"/>
          <w:kern w:val="0"/>
        </w:rPr>
        <w:t>·</w:t>
      </w:r>
      <w:bookmarkEnd w:id="79"/>
      <w:r>
        <w:rPr>
          <w:rFonts w:ascii="Times New Roman" w:hAnsi="Times New Roman" w:eastAsia="宋体" w:cs="Times New Roman"/>
          <w:kern w:val="0"/>
        </w:rPr>
        <w:t>识别主要排放设施的相关变量、基准、先进值、活动水平和当前的碳绩效；</w:t>
      </w:r>
    </w:p>
    <w:p w14:paraId="14FB34CF">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·识别在</w:t>
      </w:r>
      <w:r>
        <w:rPr>
          <w:rFonts w:hint="eastAsia" w:ascii="Times New Roman" w:hAnsi="Times New Roman" w:eastAsia="宋体" w:cs="Times New Roman"/>
          <w:kern w:val="0"/>
        </w:rPr>
        <w:t>企业</w:t>
      </w:r>
      <w:r>
        <w:rPr>
          <w:rFonts w:ascii="Times New Roman" w:hAnsi="Times New Roman" w:eastAsia="宋体" w:cs="Times New Roman"/>
          <w:kern w:val="0"/>
        </w:rPr>
        <w:t>控制下对主要能源使用有直接或间接影响的工作人员。</w:t>
      </w:r>
    </w:p>
    <w:p w14:paraId="1DE12959">
      <w:pPr>
        <w:pStyle w:val="40"/>
        <w:overflowPunct w:val="0"/>
        <w:ind w:firstLine="360"/>
        <w:rPr>
          <w:rFonts w:ascii="Times New Roman"/>
          <w:sz w:val="18"/>
          <w:szCs w:val="18"/>
        </w:rPr>
      </w:pPr>
      <w:r>
        <w:rPr>
          <w:rFonts w:ascii="Times New Roman" w:eastAsia="黑体"/>
          <w:sz w:val="18"/>
          <w:szCs w:val="18"/>
        </w:rPr>
        <w:t>注</w:t>
      </w:r>
      <w:r>
        <w:rPr>
          <w:rFonts w:ascii="Times New Roman"/>
          <w:sz w:val="18"/>
          <w:szCs w:val="18"/>
        </w:rPr>
        <w:t>：从排放占比较大的、减排潜力较大的、对供应链影响较大的设施中确定主要排放设施，包含直接排放设施和间</w:t>
      </w:r>
    </w:p>
    <w:p w14:paraId="6EBEA981">
      <w:pPr>
        <w:pStyle w:val="40"/>
        <w:overflowPunct w:val="0"/>
        <w:ind w:firstLine="720" w:firstLineChars="400"/>
        <w:rPr>
          <w:rFonts w:ascii="Times New Roman"/>
          <w:sz w:val="18"/>
          <w:szCs w:val="18"/>
        </w:rPr>
      </w:pPr>
      <w:r>
        <w:rPr>
          <w:rFonts w:ascii="Times New Roman"/>
          <w:sz w:val="18"/>
          <w:szCs w:val="18"/>
        </w:rPr>
        <w:t>接排放设施。</w:t>
      </w:r>
    </w:p>
    <w:p w14:paraId="0B8CDFE2">
      <w:pPr>
        <w:overflowPunct w:val="0"/>
        <w:ind w:firstLine="420" w:firstLineChars="200"/>
        <w:rPr>
          <w:rFonts w:ascii="Times New Roman" w:hAnsi="Times New Roman" w:eastAsia="宋体" w:cs="Times New Roman"/>
          <w:kern w:val="0"/>
          <w:szCs w:val="21"/>
        </w:rPr>
      </w:pPr>
      <w:r>
        <w:rPr>
          <w:rFonts w:ascii="Times New Roman" w:hAnsi="Times New Roman" w:eastAsia="宋体" w:cs="Times New Roman"/>
          <w:kern w:val="0"/>
          <w:szCs w:val="21"/>
        </w:rPr>
        <w:t>c）分析碳排放水平和变化趋势</w:t>
      </w:r>
      <w:r>
        <w:rPr>
          <w:rFonts w:ascii="Times New Roman" w:hAnsi="Times New Roman" w:eastAsia="宋体" w:cs="Times New Roman"/>
          <w:kern w:val="0"/>
          <w:szCs w:val="20"/>
        </w:rPr>
        <w:t>，包括但不限于：</w:t>
      </w:r>
    </w:p>
    <w:p w14:paraId="0EA62A72">
      <w:pPr>
        <w:overflowPunct w:val="0"/>
        <w:ind w:firstLine="630" w:firstLineChars="300"/>
        <w:rPr>
          <w:rFonts w:ascii="Times New Roman" w:hAnsi="Times New Roman" w:eastAsia="宋体" w:cs="Times New Roman"/>
          <w:kern w:val="0"/>
          <w:szCs w:val="21"/>
        </w:rPr>
      </w:pPr>
      <w:r>
        <w:rPr>
          <w:rFonts w:ascii="Times New Roman" w:hAnsi="Times New Roman" w:eastAsia="宋体" w:cs="Times New Roman"/>
          <w:kern w:val="0"/>
        </w:rPr>
        <w:t>·</w:t>
      </w:r>
      <w:r>
        <w:rPr>
          <w:rFonts w:ascii="Times New Roman" w:hAnsi="Times New Roman" w:eastAsia="宋体" w:cs="Times New Roman"/>
          <w:kern w:val="0"/>
          <w:szCs w:val="21"/>
        </w:rPr>
        <w:t>分析碳排放总量和碳排放强度现状及变化趋势；</w:t>
      </w:r>
    </w:p>
    <w:p w14:paraId="6D41CAC3">
      <w:pPr>
        <w:overflowPunct w:val="0"/>
        <w:ind w:firstLine="630" w:firstLineChars="300"/>
        <w:rPr>
          <w:rFonts w:ascii="Times New Roman" w:hAnsi="Times New Roman" w:eastAsia="宋体" w:cs="Times New Roman"/>
          <w:kern w:val="0"/>
          <w:szCs w:val="21"/>
        </w:rPr>
      </w:pPr>
      <w:r>
        <w:rPr>
          <w:rFonts w:ascii="Times New Roman" w:hAnsi="Times New Roman" w:eastAsia="宋体" w:cs="Times New Roman"/>
          <w:kern w:val="0"/>
        </w:rPr>
        <w:t>·</w:t>
      </w:r>
      <w:r>
        <w:rPr>
          <w:rFonts w:ascii="Times New Roman" w:hAnsi="Times New Roman" w:eastAsia="宋体" w:cs="Times New Roman"/>
          <w:kern w:val="0"/>
          <w:szCs w:val="21"/>
        </w:rPr>
        <w:t>对比行业、自身及国家/地区碳排放强度目标，如行业平均水平、自身历史数据等；</w:t>
      </w:r>
    </w:p>
    <w:p w14:paraId="100C8F6E">
      <w:pPr>
        <w:overflowPunct w:val="0"/>
        <w:ind w:firstLine="630" w:firstLineChars="300"/>
        <w:rPr>
          <w:rFonts w:ascii="Times New Roman" w:hAnsi="Times New Roman" w:eastAsia="宋体" w:cs="Times New Roman"/>
          <w:kern w:val="0"/>
          <w:szCs w:val="21"/>
        </w:rPr>
      </w:pPr>
      <w:r>
        <w:rPr>
          <w:rFonts w:ascii="Times New Roman" w:hAnsi="Times New Roman" w:eastAsia="宋体" w:cs="Times New Roman"/>
          <w:kern w:val="0"/>
        </w:rPr>
        <w:t>·</w:t>
      </w:r>
      <w:r>
        <w:rPr>
          <w:rFonts w:ascii="Times New Roman" w:hAnsi="Times New Roman" w:eastAsia="宋体" w:cs="Times New Roman"/>
          <w:kern w:val="0"/>
          <w:szCs w:val="21"/>
        </w:rPr>
        <w:t>评估碳数据的质量，包括数据的准确性、数据的完整性、数据的一致性。</w:t>
      </w:r>
    </w:p>
    <w:p w14:paraId="13A7759B">
      <w:pPr>
        <w:overflowPunct w:val="0"/>
        <w:ind w:firstLine="420" w:firstLineChars="200"/>
        <w:rPr>
          <w:rFonts w:ascii="Times New Roman" w:hAnsi="Times New Roman" w:eastAsia="宋体" w:cs="Times New Roman"/>
          <w:kern w:val="0"/>
          <w:szCs w:val="21"/>
        </w:rPr>
      </w:pPr>
      <w:r>
        <w:rPr>
          <w:rFonts w:ascii="Times New Roman" w:hAnsi="Times New Roman" w:eastAsia="宋体" w:cs="Times New Roman"/>
          <w:kern w:val="0"/>
        </w:rPr>
        <w:t>d）梳理</w:t>
      </w:r>
      <w:r>
        <w:rPr>
          <w:rFonts w:ascii="Times New Roman" w:hAnsi="Times New Roman" w:eastAsia="宋体" w:cs="Times New Roman"/>
          <w:kern w:val="0"/>
          <w:szCs w:val="21"/>
        </w:rPr>
        <w:t>碳管理现状</w:t>
      </w:r>
      <w:r>
        <w:rPr>
          <w:rFonts w:ascii="Times New Roman" w:hAnsi="Times New Roman" w:eastAsia="宋体" w:cs="Times New Roman"/>
          <w:kern w:val="0"/>
          <w:szCs w:val="20"/>
        </w:rPr>
        <w:t>，包括但不限于：</w:t>
      </w:r>
    </w:p>
    <w:p w14:paraId="65F8F5EB">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·分析碳计量器具（如电能表、燃气表、压力表、气体流量计等）配备和检定状况与GB 17167要求的符合性；</w:t>
      </w:r>
    </w:p>
    <w:p w14:paraId="556E927A">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·梳理碳管理职能、制度的建立和执行情况；</w:t>
      </w:r>
    </w:p>
    <w:p w14:paraId="43D57990">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·识别适宜的碳管理措施计划和碳中和技术方案，包括能源结构调整、管理措施改进、投融资方针政策改善、节能减排技术、碳减排措施、数字信息化技术等；</w:t>
      </w:r>
    </w:p>
    <w:p w14:paraId="585560FE">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·识别可预见的碳资产管理和碳交易现状。</w:t>
      </w:r>
    </w:p>
    <w:p w14:paraId="4CE73AB7">
      <w:pPr>
        <w:overflowPunct w:val="0"/>
        <w:ind w:left="420" w:leftChars="200"/>
        <w:rPr>
          <w:rFonts w:ascii="Times New Roman" w:hAnsi="Times New Roman" w:eastAsia="宋体" w:cs="Times New Roman"/>
          <w:kern w:val="0"/>
        </w:rPr>
      </w:pPr>
      <w:r>
        <w:rPr>
          <w:rFonts w:ascii="Times New Roman" w:hAnsi="Times New Roman" w:eastAsia="宋体" w:cs="Times New Roman"/>
          <w:kern w:val="0"/>
        </w:rPr>
        <w:t>e）对新、改、扩建（包括设施、设备、系统和过程）投资项目的分析，包括</w:t>
      </w:r>
      <w:bookmarkStart w:id="80" w:name="OLE_LINK7"/>
      <w:r>
        <w:rPr>
          <w:rFonts w:ascii="Times New Roman" w:hAnsi="Times New Roman" w:eastAsia="宋体" w:cs="Times New Roman"/>
          <w:kern w:val="0"/>
          <w:szCs w:val="20"/>
        </w:rPr>
        <w:t>但不限于</w:t>
      </w:r>
      <w:bookmarkEnd w:id="80"/>
      <w:r>
        <w:rPr>
          <w:rFonts w:ascii="Times New Roman" w:hAnsi="Times New Roman" w:eastAsia="宋体" w:cs="Times New Roman"/>
          <w:kern w:val="0"/>
        </w:rPr>
        <w:t>：</w:t>
      </w:r>
    </w:p>
    <w:p w14:paraId="5DC44A75">
      <w:pPr>
        <w:overflowPunct w:val="0"/>
        <w:ind w:left="420" w:leftChars="200" w:firstLine="210" w:firstLineChars="100"/>
        <w:rPr>
          <w:rFonts w:ascii="Times New Roman" w:hAnsi="Times New Roman" w:eastAsia="宋体" w:cs="Times New Roman"/>
          <w:kern w:val="0"/>
        </w:rPr>
      </w:pPr>
      <w:r>
        <w:rPr>
          <w:rFonts w:ascii="Times New Roman" w:hAnsi="Times New Roman" w:eastAsia="宋体" w:cs="Times New Roman"/>
          <w:kern w:val="0"/>
        </w:rPr>
        <w:t>·评价项目的设计、施工和运行各阶段与适用的法律法规和其他要求的符合性，宜考虑项目的碳排放评估要求，必要时应进行固定资产投资项目的碳排放评估等；</w:t>
      </w:r>
    </w:p>
    <w:p w14:paraId="4E694B63">
      <w:pPr>
        <w:overflowPunct w:val="0"/>
        <w:ind w:left="420" w:leftChars="200" w:firstLine="210" w:firstLineChars="100"/>
        <w:rPr>
          <w:rFonts w:ascii="Times New Roman" w:hAnsi="Times New Roman" w:eastAsia="宋体" w:cs="Times New Roman"/>
          <w:kern w:val="0"/>
        </w:rPr>
      </w:pPr>
      <w:r>
        <w:rPr>
          <w:rFonts w:ascii="Times New Roman" w:hAnsi="Times New Roman" w:eastAsia="宋体" w:cs="Times New Roman"/>
          <w:kern w:val="0"/>
        </w:rPr>
        <w:t>·评价是否存在新增国家、行业或地方政府限制或淘汰的技术、设备以及相关原材料，宜考虑采用成熟的低碳技术、高能效设备；</w:t>
      </w:r>
    </w:p>
    <w:p w14:paraId="387DE97C">
      <w:pPr>
        <w:overflowPunct w:val="0"/>
        <w:ind w:left="420" w:leftChars="200" w:firstLine="210" w:firstLineChars="100"/>
        <w:rPr>
          <w:rFonts w:ascii="Times New Roman" w:hAnsi="Times New Roman" w:eastAsia="宋体" w:cs="Times New Roman"/>
          <w:kern w:val="0"/>
        </w:rPr>
      </w:pPr>
      <w:r>
        <w:rPr>
          <w:rFonts w:ascii="Times New Roman" w:hAnsi="Times New Roman" w:eastAsia="宋体" w:cs="Times New Roman"/>
          <w:kern w:val="0"/>
        </w:rPr>
        <w:t>·识别并确定建设项目碳绩效参数的适宜性和先进性。</w:t>
      </w:r>
    </w:p>
    <w:p w14:paraId="51730FB0">
      <w:pPr>
        <w:overflowPunct w:val="0"/>
        <w:ind w:left="420" w:leftChars="200"/>
        <w:rPr>
          <w:rFonts w:ascii="Times New Roman" w:hAnsi="Times New Roman" w:eastAsia="宋体" w:cs="Times New Roman"/>
          <w:kern w:val="0"/>
        </w:rPr>
      </w:pPr>
      <w:r>
        <w:rPr>
          <w:rFonts w:ascii="Times New Roman" w:hAnsi="Times New Roman" w:eastAsia="宋体" w:cs="Times New Roman"/>
          <w:kern w:val="0"/>
        </w:rPr>
        <w:t>f）对合规义务的分析，包括</w:t>
      </w:r>
      <w:r>
        <w:rPr>
          <w:rFonts w:ascii="Times New Roman" w:hAnsi="Times New Roman" w:eastAsia="宋体" w:cs="Times New Roman"/>
          <w:kern w:val="0"/>
          <w:szCs w:val="20"/>
        </w:rPr>
        <w:t>但不限于</w:t>
      </w:r>
      <w:r>
        <w:rPr>
          <w:rFonts w:ascii="Times New Roman" w:hAnsi="Times New Roman" w:eastAsia="宋体" w:cs="Times New Roman"/>
          <w:kern w:val="0"/>
        </w:rPr>
        <w:t>：</w:t>
      </w:r>
    </w:p>
    <w:p w14:paraId="462DC461">
      <w:pPr>
        <w:overflowPunct w:val="0"/>
        <w:ind w:left="420" w:leftChars="200" w:firstLine="210" w:firstLineChars="100"/>
        <w:rPr>
          <w:rFonts w:ascii="Times New Roman" w:hAnsi="Times New Roman" w:eastAsia="宋体" w:cs="Times New Roman"/>
          <w:kern w:val="0"/>
        </w:rPr>
      </w:pPr>
      <w:r>
        <w:rPr>
          <w:rFonts w:ascii="Times New Roman" w:hAnsi="Times New Roman" w:eastAsia="宋体" w:cs="Times New Roman"/>
          <w:kern w:val="0"/>
        </w:rPr>
        <w:t>·识别、评价并确定适用的法律法规和其他要求；</w:t>
      </w:r>
    </w:p>
    <w:p w14:paraId="64D3973A">
      <w:pPr>
        <w:overflowPunct w:val="0"/>
        <w:ind w:left="420" w:leftChars="200" w:firstLine="210" w:firstLineChars="100"/>
        <w:rPr>
          <w:rFonts w:ascii="Times New Roman" w:hAnsi="Times New Roman" w:eastAsia="宋体" w:cs="Times New Roman"/>
          <w:kern w:val="0"/>
        </w:rPr>
      </w:pPr>
      <w:r>
        <w:rPr>
          <w:rFonts w:ascii="Times New Roman" w:hAnsi="Times New Roman" w:eastAsia="宋体" w:cs="Times New Roman"/>
          <w:kern w:val="0"/>
        </w:rPr>
        <w:t>·评价现有碳管理制度的适宜性、充分性和有效性；</w:t>
      </w:r>
    </w:p>
    <w:p w14:paraId="01FCFC49">
      <w:pPr>
        <w:overflowPunct w:val="0"/>
        <w:ind w:left="420" w:leftChars="200" w:firstLine="210" w:firstLineChars="100"/>
        <w:rPr>
          <w:rFonts w:ascii="Times New Roman" w:hAnsi="Times New Roman" w:eastAsia="宋体" w:cs="Times New Roman"/>
          <w:kern w:val="0"/>
        </w:rPr>
      </w:pPr>
      <w:r>
        <w:rPr>
          <w:rFonts w:ascii="Times New Roman" w:hAnsi="Times New Roman" w:eastAsia="宋体" w:cs="Times New Roman"/>
          <w:kern w:val="0"/>
        </w:rPr>
        <w:t>·评价满足政府对企业的碳排放总量和碳排放强度控制要求的符合性。</w:t>
      </w:r>
    </w:p>
    <w:p w14:paraId="4EEB676C">
      <w:pPr>
        <w:overflowPunct w:val="0"/>
        <w:ind w:firstLine="360" w:firstLineChars="200"/>
        <w:rPr>
          <w:rFonts w:ascii="Times New Roman" w:hAnsi="Times New Roman" w:eastAsia="宋体" w:cs="Times New Roman"/>
          <w:kern w:val="0"/>
          <w:sz w:val="18"/>
          <w:szCs w:val="18"/>
        </w:rPr>
      </w:pPr>
      <w:r>
        <w:rPr>
          <w:rFonts w:ascii="Times New Roman" w:hAnsi="Times New Roman" w:eastAsia="黑体" w:cs="Times New Roman"/>
          <w:kern w:val="0"/>
          <w:sz w:val="18"/>
          <w:szCs w:val="18"/>
        </w:rPr>
        <w:t>注：</w:t>
      </w:r>
      <w:r>
        <w:rPr>
          <w:rFonts w:ascii="Times New Roman" w:hAnsi="Times New Roman" w:eastAsia="宋体" w:cs="Times New Roman"/>
          <w:bCs/>
          <w:kern w:val="0"/>
          <w:sz w:val="18"/>
          <w:szCs w:val="18"/>
        </w:rPr>
        <w:t>工业企业碳评审报告示例见附录</w:t>
      </w:r>
      <w:r>
        <w:rPr>
          <w:rFonts w:hint="eastAsia" w:ascii="Times New Roman" w:hAnsi="Times New Roman" w:eastAsia="宋体" w:cs="Times New Roman"/>
          <w:bCs/>
          <w:kern w:val="0"/>
          <w:sz w:val="18"/>
          <w:szCs w:val="18"/>
        </w:rPr>
        <w:t>E</w:t>
      </w:r>
      <w:r>
        <w:rPr>
          <w:rFonts w:ascii="Times New Roman" w:hAnsi="Times New Roman" w:eastAsia="宋体" w:cs="Times New Roman"/>
          <w:bCs/>
          <w:kern w:val="0"/>
          <w:sz w:val="18"/>
          <w:szCs w:val="18"/>
        </w:rPr>
        <w:t>。</w:t>
      </w:r>
    </w:p>
    <w:p w14:paraId="61674041">
      <w:pPr>
        <w:pStyle w:val="67"/>
        <w:numPr>
          <w:ilvl w:val="1"/>
          <w:numId w:val="1"/>
        </w:numPr>
        <w:overflowPunct w:val="0"/>
        <w:spacing w:before="143" w:after="143"/>
        <w:ind w:left="0" w:firstLine="0"/>
        <w:outlineLvl w:val="1"/>
        <w:rPr>
          <w:rFonts w:ascii="Times New Roman"/>
        </w:rPr>
      </w:pPr>
      <w:bookmarkStart w:id="81" w:name="_Toc187932689"/>
      <w:bookmarkStart w:id="82" w:name="_Toc220422369"/>
      <w:r>
        <w:rPr>
          <w:rFonts w:ascii="Times New Roman"/>
        </w:rPr>
        <w:t>策划的输出</w:t>
      </w:r>
      <w:bookmarkEnd w:id="81"/>
      <w:bookmarkEnd w:id="82"/>
    </w:p>
    <w:p w14:paraId="5118EABE">
      <w:pPr>
        <w:pStyle w:val="68"/>
        <w:numPr>
          <w:ilvl w:val="2"/>
          <w:numId w:val="1"/>
        </w:numPr>
        <w:overflowPunct w:val="0"/>
        <w:spacing w:before="143" w:after="143"/>
        <w:ind w:left="0" w:firstLine="0"/>
        <w:outlineLvl w:val="2"/>
        <w:rPr>
          <w:rFonts w:ascii="Times New Roman"/>
        </w:rPr>
      </w:pPr>
      <w:r>
        <w:rPr>
          <w:rFonts w:ascii="Times New Roman"/>
        </w:rPr>
        <w:t>碳绩效参数</w:t>
      </w:r>
    </w:p>
    <w:p w14:paraId="43F2668C">
      <w:pPr>
        <w:pStyle w:val="40"/>
        <w:overflowPunct w:val="0"/>
        <w:ind w:firstLine="0" w:firstLineChars="0"/>
        <w:outlineLvl w:val="3"/>
        <w:rPr>
          <w:rFonts w:ascii="Times New Roman"/>
        </w:rPr>
      </w:pPr>
      <w:r>
        <w:rPr>
          <w:rFonts w:ascii="Times New Roman"/>
        </w:rPr>
        <w:t>6.</w:t>
      </w:r>
      <w:r>
        <w:rPr>
          <w:rFonts w:hint="eastAsia" w:ascii="Times New Roman"/>
        </w:rPr>
        <w:t>3</w:t>
      </w:r>
      <w:r>
        <w:rPr>
          <w:rFonts w:ascii="Times New Roman"/>
        </w:rPr>
        <w:t xml:space="preserve">.1.1  </w:t>
      </w:r>
      <w:r>
        <w:rPr>
          <w:rFonts w:hint="eastAsia" w:ascii="Times New Roman"/>
        </w:rPr>
        <w:t xml:space="preserve"> </w:t>
      </w:r>
      <w:r>
        <w:rPr>
          <w:rFonts w:ascii="Times New Roman"/>
        </w:rPr>
        <w:t>碳绩效参数的主要作用是量化企业、部门、设施设备等的碳绩效水平。企业通过对碳绩效参数的监视和测量</w:t>
      </w:r>
      <w:r>
        <w:rPr>
          <w:rFonts w:hint="eastAsia" w:ascii="Times New Roman"/>
        </w:rPr>
        <w:t>，</w:t>
      </w:r>
      <w:r>
        <w:rPr>
          <w:rFonts w:ascii="Times New Roman"/>
        </w:rPr>
        <w:t xml:space="preserve">掌握不同层级的碳绩效水平，采取必要措施，确保碳目标和指标的实现。碳绩效参数可以是直接测量的参数，也可以是经计算得出的参数。 </w:t>
      </w:r>
    </w:p>
    <w:p w14:paraId="4554D570">
      <w:pPr>
        <w:pStyle w:val="40"/>
        <w:overflowPunct w:val="0"/>
        <w:ind w:firstLine="0" w:firstLineChars="0"/>
        <w:outlineLvl w:val="3"/>
        <w:rPr>
          <w:rFonts w:ascii="Times New Roman"/>
        </w:rPr>
      </w:pPr>
      <w:r>
        <w:rPr>
          <w:rFonts w:ascii="Times New Roman"/>
        </w:rPr>
        <w:t>6.</w:t>
      </w:r>
      <w:r>
        <w:rPr>
          <w:rFonts w:hint="eastAsia" w:ascii="Times New Roman"/>
        </w:rPr>
        <w:t>3</w:t>
      </w:r>
      <w:r>
        <w:rPr>
          <w:rFonts w:ascii="Times New Roman"/>
        </w:rPr>
        <w:t>.1.2  企业宜至少建立以下层级的碳绩效参数：</w:t>
      </w:r>
    </w:p>
    <w:p w14:paraId="628CF597">
      <w:pPr>
        <w:pStyle w:val="40"/>
        <w:overflowPunct w:val="0"/>
        <w:rPr>
          <w:rFonts w:ascii="Times New Roman"/>
        </w:rPr>
      </w:pPr>
      <w:r>
        <w:rPr>
          <w:rFonts w:ascii="Times New Roman"/>
        </w:rPr>
        <w:t>a</w:t>
      </w:r>
      <w:r>
        <w:rPr>
          <w:rFonts w:ascii="Times New Roman"/>
          <w:kern w:val="2"/>
        </w:rPr>
        <w:t>）</w:t>
      </w:r>
      <w:r>
        <w:rPr>
          <w:rFonts w:ascii="Times New Roman"/>
        </w:rPr>
        <w:t>企业层级：反映企业整体碳管理状况的绩效参数，如碳排放总量、碳排放强度；</w:t>
      </w:r>
    </w:p>
    <w:p w14:paraId="54B67BC5">
      <w:pPr>
        <w:pStyle w:val="40"/>
        <w:overflowPunct w:val="0"/>
        <w:rPr>
          <w:rFonts w:ascii="Times New Roman"/>
        </w:rPr>
      </w:pPr>
      <w:r>
        <w:rPr>
          <w:rFonts w:ascii="Times New Roman"/>
        </w:rPr>
        <w:t>b</w:t>
      </w:r>
      <w:r>
        <w:rPr>
          <w:rFonts w:ascii="Times New Roman"/>
          <w:kern w:val="2"/>
        </w:rPr>
        <w:t>）</w:t>
      </w:r>
      <w:r>
        <w:rPr>
          <w:rFonts w:ascii="Times New Roman"/>
        </w:rPr>
        <w:t>部门层级：反映企业不同部门或车间碳排放水平的绩效参数，如行政、生产、物流等不同部门的</w:t>
      </w:r>
      <w:r>
        <w:rPr>
          <w:rFonts w:hint="eastAsia" w:ascii="Times New Roman"/>
        </w:rPr>
        <w:t>碳排放量</w:t>
      </w:r>
      <w:r>
        <w:rPr>
          <w:rFonts w:ascii="Times New Roman"/>
        </w:rPr>
        <w:t>；</w:t>
      </w:r>
    </w:p>
    <w:p w14:paraId="77B70D34">
      <w:pPr>
        <w:pStyle w:val="40"/>
        <w:overflowPunct w:val="0"/>
        <w:rPr>
          <w:rFonts w:ascii="Times New Roman"/>
        </w:rPr>
      </w:pPr>
      <w:r>
        <w:rPr>
          <w:rFonts w:ascii="Times New Roman"/>
        </w:rPr>
        <w:t>c</w:t>
      </w:r>
      <w:r>
        <w:rPr>
          <w:rFonts w:ascii="Times New Roman"/>
          <w:kern w:val="2"/>
        </w:rPr>
        <w:t>）</w:t>
      </w:r>
      <w:r>
        <w:rPr>
          <w:rFonts w:ascii="Times New Roman"/>
        </w:rPr>
        <w:t>设施设备层级：反映</w:t>
      </w:r>
      <w:r>
        <w:rPr>
          <w:rFonts w:hint="eastAsia" w:ascii="Times New Roman"/>
        </w:rPr>
        <w:t>设施</w:t>
      </w:r>
      <w:r>
        <w:rPr>
          <w:rFonts w:ascii="Times New Roman"/>
        </w:rPr>
        <w:t>设备运行状态和效率的参数，如空压机温度和压力、余热回收利用率、锅炉效率。</w:t>
      </w:r>
    </w:p>
    <w:p w14:paraId="44827F86">
      <w:pPr>
        <w:pStyle w:val="40"/>
        <w:overflowPunct w:val="0"/>
        <w:ind w:firstLine="0" w:firstLineChars="0"/>
        <w:outlineLvl w:val="3"/>
        <w:rPr>
          <w:rFonts w:ascii="Times New Roman"/>
        </w:rPr>
      </w:pPr>
      <w:r>
        <w:rPr>
          <w:rFonts w:ascii="Times New Roman"/>
        </w:rPr>
        <w:t>6.</w:t>
      </w:r>
      <w:r>
        <w:rPr>
          <w:rFonts w:hint="eastAsia" w:ascii="Times New Roman"/>
        </w:rPr>
        <w:t>3</w:t>
      </w:r>
      <w:r>
        <w:rPr>
          <w:rFonts w:ascii="Times New Roman"/>
        </w:rPr>
        <w:t>.1.3  企业根据碳管理和需求亦可考虑如下碳绩效参数：</w:t>
      </w:r>
    </w:p>
    <w:p w14:paraId="5D63066E">
      <w:pPr>
        <w:pStyle w:val="40"/>
        <w:overflowPunct w:val="0"/>
        <w:ind w:firstLineChars="0"/>
        <w:rPr>
          <w:rFonts w:ascii="Times New Roman"/>
        </w:rPr>
      </w:pPr>
      <w:r>
        <w:rPr>
          <w:rFonts w:ascii="Times New Roman"/>
        </w:rPr>
        <w:t>a）生产单元（适用时）：反映重点工序的碳排放水平；</w:t>
      </w:r>
    </w:p>
    <w:p w14:paraId="3AFA8021">
      <w:pPr>
        <w:pStyle w:val="40"/>
        <w:overflowPunct w:val="0"/>
        <w:ind w:firstLineChars="0"/>
        <w:rPr>
          <w:rFonts w:ascii="Times New Roman"/>
        </w:rPr>
      </w:pPr>
      <w:r>
        <w:rPr>
          <w:rFonts w:ascii="Times New Roman"/>
        </w:rPr>
        <w:t>b）供应链和产品层级（适用时）：反映供应链和产品的碳排放水平，如重点原材料的碳足迹、</w:t>
      </w:r>
    </w:p>
    <w:p w14:paraId="3712477B">
      <w:pPr>
        <w:pStyle w:val="40"/>
        <w:overflowPunct w:val="0"/>
        <w:ind w:firstLineChars="0"/>
        <w:rPr>
          <w:rFonts w:ascii="Times New Roman"/>
        </w:rPr>
      </w:pPr>
      <w:r>
        <w:rPr>
          <w:rFonts w:ascii="Times New Roman"/>
        </w:rPr>
        <w:t>产品的碳足迹（生命周期不同阶段）；</w:t>
      </w:r>
    </w:p>
    <w:p w14:paraId="534D1D30">
      <w:pPr>
        <w:pStyle w:val="40"/>
        <w:overflowPunct w:val="0"/>
        <w:rPr>
          <w:rFonts w:ascii="Times New Roman"/>
        </w:rPr>
      </w:pPr>
      <w:r>
        <w:rPr>
          <w:rFonts w:ascii="Times New Roman"/>
        </w:rPr>
        <w:t>c）项目层级（适用时）：温室气体项目的减碳量/目标，如新能源发电项目、碳捕集。</w:t>
      </w:r>
    </w:p>
    <w:p w14:paraId="62464A3A">
      <w:pPr>
        <w:pStyle w:val="40"/>
        <w:overflowPunct w:val="0"/>
        <w:ind w:firstLine="0" w:firstLineChars="0"/>
        <w:outlineLvl w:val="3"/>
        <w:rPr>
          <w:rFonts w:ascii="Times New Roman"/>
        </w:rPr>
      </w:pPr>
      <w:r>
        <w:rPr>
          <w:rFonts w:ascii="Times New Roman"/>
        </w:rPr>
        <w:t>6.</w:t>
      </w:r>
      <w:r>
        <w:rPr>
          <w:rFonts w:hint="eastAsia" w:ascii="Times New Roman"/>
        </w:rPr>
        <w:t>3</w:t>
      </w:r>
      <w:r>
        <w:rPr>
          <w:rFonts w:ascii="Times New Roman"/>
        </w:rPr>
        <w:t>.1.4  碳绩效参数的应用和更新</w:t>
      </w:r>
    </w:p>
    <w:p w14:paraId="50659CAB">
      <w:pPr>
        <w:pStyle w:val="40"/>
        <w:overflowPunct w:val="0"/>
        <w:outlineLvl w:val="3"/>
        <w:rPr>
          <w:rFonts w:ascii="Times New Roman"/>
        </w:rPr>
      </w:pPr>
      <w:r>
        <w:rPr>
          <w:rFonts w:ascii="Times New Roman"/>
        </w:rPr>
        <w:t>企业宜规定碳绩效参数确定和更新的方法，形成文件并定期评审。文件需规定碳绩效参数确定方法、监测方法、监测周期、异常情况的判定和处理、碳绩效参数的分析与改进、碳绩效参数的评审更新等内容。</w:t>
      </w:r>
    </w:p>
    <w:p w14:paraId="65382AFA">
      <w:pPr>
        <w:pStyle w:val="46"/>
        <w:overflowPunct w:val="0"/>
        <w:snapToGrid w:val="0"/>
        <w:spacing w:after="0" w:line="340" w:lineRule="exact"/>
        <w:ind w:left="420"/>
        <w:rPr>
          <w:rFonts w:hint="default" w:ascii="Times New Roman" w:hAnsi="Times New Roman"/>
        </w:rPr>
      </w:pPr>
      <w:r>
        <w:rPr>
          <w:rFonts w:hint="default" w:ascii="Times New Roman" w:hAnsi="Times New Roman" w:eastAsia="黑体"/>
          <w:b w:val="0"/>
          <w:sz w:val="18"/>
          <w:szCs w:val="18"/>
        </w:rPr>
        <w:t>注</w:t>
      </w:r>
      <w:r>
        <w:rPr>
          <w:rFonts w:hint="default" w:ascii="Times New Roman" w:hAnsi="Times New Roman"/>
          <w:b w:val="0"/>
          <w:sz w:val="18"/>
          <w:szCs w:val="18"/>
        </w:rPr>
        <w:t>：附录</w:t>
      </w:r>
      <w:r>
        <w:rPr>
          <w:rFonts w:ascii="Times New Roman" w:hAnsi="Times New Roman"/>
          <w:b w:val="0"/>
          <w:sz w:val="18"/>
          <w:szCs w:val="18"/>
        </w:rPr>
        <w:t>F</w:t>
      </w:r>
      <w:r>
        <w:rPr>
          <w:rFonts w:hint="default" w:ascii="Times New Roman" w:hAnsi="Times New Roman"/>
          <w:b w:val="0"/>
          <w:sz w:val="18"/>
          <w:szCs w:val="18"/>
        </w:rPr>
        <w:t>给出了可参考的碳绩效参数。</w:t>
      </w:r>
    </w:p>
    <w:p w14:paraId="36D5B760">
      <w:pPr>
        <w:pStyle w:val="68"/>
        <w:numPr>
          <w:ilvl w:val="2"/>
          <w:numId w:val="1"/>
        </w:numPr>
        <w:overflowPunct w:val="0"/>
        <w:spacing w:before="143" w:after="143"/>
        <w:ind w:left="0" w:firstLine="0"/>
        <w:outlineLvl w:val="2"/>
        <w:rPr>
          <w:rFonts w:ascii="Times New Roman"/>
        </w:rPr>
      </w:pPr>
      <w:r>
        <w:rPr>
          <w:rFonts w:ascii="Times New Roman"/>
        </w:rPr>
        <w:t>碳基准</w:t>
      </w:r>
    </w:p>
    <w:p w14:paraId="4F08942A">
      <w:pPr>
        <w:pStyle w:val="68"/>
        <w:numPr>
          <w:ilvl w:val="3"/>
          <w:numId w:val="1"/>
        </w:numPr>
        <w:overflowPunct w:val="0"/>
        <w:spacing w:before="143" w:after="143"/>
        <w:rPr>
          <w:rFonts w:ascii="Times New Roman"/>
        </w:rPr>
      </w:pPr>
      <w:r>
        <w:rPr>
          <w:rFonts w:ascii="Times New Roman"/>
        </w:rPr>
        <w:t>总则</w:t>
      </w:r>
    </w:p>
    <w:p w14:paraId="74D22BE0">
      <w:pPr>
        <w:pStyle w:val="40"/>
        <w:overflowPunct w:val="0"/>
        <w:rPr>
          <w:rFonts w:ascii="Times New Roman"/>
        </w:rPr>
      </w:pPr>
      <w:r>
        <w:rPr>
          <w:rFonts w:ascii="Times New Roman"/>
        </w:rPr>
        <w:t>企业</w:t>
      </w:r>
      <w:r>
        <w:rPr>
          <w:rFonts w:hint="eastAsia" w:ascii="Times New Roman"/>
        </w:rPr>
        <w:t>应</w:t>
      </w:r>
      <w:r>
        <w:rPr>
          <w:rFonts w:ascii="Times New Roman"/>
        </w:rPr>
        <w:t>建立碳基准。碳基准的建立</w:t>
      </w:r>
      <w:r>
        <w:rPr>
          <w:rFonts w:hint="eastAsia" w:ascii="Times New Roman"/>
        </w:rPr>
        <w:t>应</w:t>
      </w:r>
      <w:r>
        <w:rPr>
          <w:rFonts w:ascii="Times New Roman"/>
        </w:rPr>
        <w:t>充分考虑公司实际碳管理水平</w:t>
      </w:r>
      <w:r>
        <w:rPr>
          <w:rFonts w:hint="eastAsia" w:ascii="Times New Roman"/>
        </w:rPr>
        <w:t>、</w:t>
      </w:r>
      <w:r>
        <w:rPr>
          <w:rFonts w:ascii="Times New Roman"/>
        </w:rPr>
        <w:t>产品生产的特点</w:t>
      </w:r>
      <w:r>
        <w:rPr>
          <w:rFonts w:hint="eastAsia" w:ascii="Times New Roman"/>
        </w:rPr>
        <w:t>，以及</w:t>
      </w:r>
      <w:r>
        <w:rPr>
          <w:rFonts w:ascii="Times New Roman"/>
        </w:rPr>
        <w:t>主要排放设施的碳绩效现状。</w:t>
      </w:r>
    </w:p>
    <w:p w14:paraId="276AA01F">
      <w:pPr>
        <w:pStyle w:val="40"/>
        <w:overflowPunct w:val="0"/>
        <w:rPr>
          <w:rFonts w:ascii="Times New Roman"/>
        </w:rPr>
      </w:pPr>
      <w:r>
        <w:rPr>
          <w:rFonts w:ascii="Times New Roman"/>
        </w:rPr>
        <w:t>基准期的选择宜与企业生产实际情况相适宜。通过与</w:t>
      </w:r>
      <w:r>
        <w:rPr>
          <w:rFonts w:hint="eastAsia" w:ascii="Times New Roman"/>
        </w:rPr>
        <w:t>碳</w:t>
      </w:r>
      <w:r>
        <w:rPr>
          <w:rFonts w:ascii="Times New Roman"/>
        </w:rPr>
        <w:t>基准的对比分析及结合内外部环境变化</w:t>
      </w:r>
      <w:r>
        <w:rPr>
          <w:rFonts w:hint="eastAsia" w:ascii="Times New Roman"/>
        </w:rPr>
        <w:t>，</w:t>
      </w:r>
      <w:r>
        <w:rPr>
          <w:rFonts w:ascii="Times New Roman"/>
        </w:rPr>
        <w:t>及时变更控制方式和方法</w:t>
      </w:r>
      <w:r>
        <w:rPr>
          <w:rFonts w:hint="eastAsia" w:ascii="Times New Roman"/>
        </w:rPr>
        <w:t>，</w:t>
      </w:r>
      <w:r>
        <w:rPr>
          <w:rFonts w:ascii="Times New Roman"/>
        </w:rPr>
        <w:t>从而达到改进碳绩效的目的。</w:t>
      </w:r>
    </w:p>
    <w:p w14:paraId="6B318F10">
      <w:pPr>
        <w:pStyle w:val="40"/>
        <w:overflowPunct w:val="0"/>
        <w:rPr>
          <w:rFonts w:ascii="Times New Roman"/>
        </w:rPr>
      </w:pPr>
      <w:r>
        <w:rPr>
          <w:rFonts w:hint="eastAsia" w:ascii="Times New Roman"/>
        </w:rPr>
        <w:t>碳</w:t>
      </w:r>
      <w:r>
        <w:rPr>
          <w:rFonts w:ascii="Times New Roman"/>
        </w:rPr>
        <w:t>基准的设立是碳管理的需要</w:t>
      </w:r>
      <w:r>
        <w:rPr>
          <w:rFonts w:hint="eastAsia" w:ascii="Times New Roman"/>
        </w:rPr>
        <w:t>，</w:t>
      </w:r>
      <w:r>
        <w:rPr>
          <w:rFonts w:ascii="Times New Roman"/>
        </w:rPr>
        <w:t>碳基准宜与确立的碳绩效参数相协调。企业宜将碳基准的确定方法形成文件</w:t>
      </w:r>
      <w:r>
        <w:rPr>
          <w:rFonts w:hint="eastAsia" w:ascii="Times New Roman"/>
        </w:rPr>
        <w:t>，</w:t>
      </w:r>
      <w:r>
        <w:rPr>
          <w:rFonts w:ascii="Times New Roman"/>
        </w:rPr>
        <w:t>规定统计计算准则、时间范围、更新规定等。</w:t>
      </w:r>
    </w:p>
    <w:p w14:paraId="3FE8AFB2">
      <w:pPr>
        <w:pStyle w:val="68"/>
        <w:numPr>
          <w:ilvl w:val="3"/>
          <w:numId w:val="1"/>
        </w:numPr>
        <w:overflowPunct w:val="0"/>
        <w:spacing w:before="143" w:after="143"/>
        <w:rPr>
          <w:rFonts w:ascii="Times New Roman"/>
        </w:rPr>
      </w:pPr>
      <w:r>
        <w:rPr>
          <w:rFonts w:ascii="Times New Roman"/>
        </w:rPr>
        <w:t>碳基准的确定</w:t>
      </w:r>
    </w:p>
    <w:p w14:paraId="5CA926FD">
      <w:pPr>
        <w:pStyle w:val="40"/>
        <w:overflowPunct w:val="0"/>
        <w:rPr>
          <w:rFonts w:ascii="Times New Roman"/>
        </w:rPr>
      </w:pPr>
      <w:r>
        <w:rPr>
          <w:rFonts w:ascii="Times New Roman"/>
        </w:rPr>
        <w:t>工业企业宜利用碳评审的信息和确定的碳绩效参数，在不同层次上确定碳基准。对于可以单独核算的部门、生产单元、设施设备等宜分层次建立碳基准。</w:t>
      </w:r>
    </w:p>
    <w:p w14:paraId="6049A441">
      <w:pPr>
        <w:pStyle w:val="40"/>
        <w:overflowPunct w:val="0"/>
        <w:rPr>
          <w:rFonts w:ascii="Times New Roman"/>
        </w:rPr>
      </w:pPr>
      <w:r>
        <w:rPr>
          <w:rFonts w:ascii="Times New Roman"/>
        </w:rPr>
        <w:t>碳基准的确定宜建立在一定时期内碳排放统计数据的基础上，建立时宜考虑：</w:t>
      </w:r>
    </w:p>
    <w:p w14:paraId="042F447B">
      <w:pPr>
        <w:pStyle w:val="40"/>
        <w:overflowPunct w:val="0"/>
        <w:rPr>
          <w:rFonts w:ascii="Times New Roman"/>
        </w:rPr>
      </w:pPr>
      <w:r>
        <w:rPr>
          <w:rFonts w:ascii="Times New Roman"/>
        </w:rPr>
        <w:t>·碳排放核算边界、核算方法；</w:t>
      </w:r>
    </w:p>
    <w:p w14:paraId="2462E79F">
      <w:pPr>
        <w:pStyle w:val="40"/>
        <w:overflowPunct w:val="0"/>
        <w:rPr>
          <w:rFonts w:ascii="Times New Roman"/>
        </w:rPr>
      </w:pPr>
      <w:r>
        <w:rPr>
          <w:rFonts w:ascii="Times New Roman"/>
        </w:rPr>
        <w:t>·燃料、设备、负荷、操作条件；</w:t>
      </w:r>
    </w:p>
    <w:p w14:paraId="015C7670">
      <w:pPr>
        <w:pStyle w:val="40"/>
        <w:overflowPunct w:val="0"/>
        <w:rPr>
          <w:rFonts w:ascii="Times New Roman"/>
        </w:rPr>
      </w:pPr>
      <w:r>
        <w:rPr>
          <w:rFonts w:ascii="Times New Roman"/>
        </w:rPr>
        <w:t>·</w:t>
      </w:r>
      <w:r>
        <w:rPr>
          <w:rFonts w:hint="eastAsia" w:ascii="Times New Roman"/>
        </w:rPr>
        <w:t>碳</w:t>
      </w:r>
      <w:r>
        <w:rPr>
          <w:rFonts w:ascii="Times New Roman"/>
        </w:rPr>
        <w:t>数据计量、采集、统计和分析系统的配备状况和水平；</w:t>
      </w:r>
    </w:p>
    <w:p w14:paraId="53385897">
      <w:pPr>
        <w:pStyle w:val="40"/>
        <w:overflowPunct w:val="0"/>
        <w:rPr>
          <w:rFonts w:ascii="Times New Roman"/>
        </w:rPr>
      </w:pPr>
      <w:r>
        <w:rPr>
          <w:rFonts w:ascii="Times New Roman"/>
        </w:rPr>
        <w:t>·区域、时段、行业水平、自身能力、合规义务等。</w:t>
      </w:r>
    </w:p>
    <w:p w14:paraId="33AB71A6">
      <w:pPr>
        <w:pStyle w:val="68"/>
        <w:overflowPunct w:val="0"/>
        <w:spacing w:before="143" w:after="143"/>
        <w:rPr>
          <w:rFonts w:ascii="Times New Roman"/>
        </w:rPr>
      </w:pPr>
      <w:bookmarkStart w:id="83" w:name="OLE_LINK6"/>
      <w:r>
        <w:rPr>
          <w:rFonts w:ascii="Times New Roman"/>
        </w:rPr>
        <w:t>6.3.2.</w:t>
      </w:r>
      <w:r>
        <w:rPr>
          <w:rFonts w:hint="eastAsia" w:ascii="Times New Roman"/>
        </w:rPr>
        <w:t xml:space="preserve">3  </w:t>
      </w:r>
      <w:r>
        <w:rPr>
          <w:rFonts w:ascii="Times New Roman"/>
        </w:rPr>
        <w:t>碳基准确定的步骤</w:t>
      </w:r>
    </w:p>
    <w:p w14:paraId="17B320EB">
      <w:pPr>
        <w:rPr>
          <w:rFonts w:ascii="Times New Roman" w:hAnsi="Times New Roman" w:eastAsia="宋体" w:cs="Times New Roman"/>
          <w:kern w:val="0"/>
          <w:szCs w:val="20"/>
        </w:rPr>
      </w:pPr>
      <w:r>
        <w:rPr>
          <w:rFonts w:ascii="Times New Roman" w:hAnsi="Times New Roman" w:eastAsia="宋体" w:cs="Times New Roman"/>
          <w:kern w:val="0"/>
          <w:szCs w:val="20"/>
        </w:rPr>
        <w:t xml:space="preserve">     确定碳基准</w:t>
      </w:r>
      <w:r>
        <w:rPr>
          <w:rFonts w:hint="eastAsia" w:ascii="Times New Roman" w:hAnsi="Times New Roman" w:eastAsia="宋体" w:cs="Times New Roman"/>
          <w:kern w:val="0"/>
          <w:szCs w:val="20"/>
        </w:rPr>
        <w:t>宜</w:t>
      </w:r>
      <w:r>
        <w:rPr>
          <w:rFonts w:ascii="Times New Roman" w:hAnsi="Times New Roman" w:eastAsia="宋体" w:cs="Times New Roman"/>
          <w:kern w:val="0"/>
          <w:szCs w:val="20"/>
        </w:rPr>
        <w:t>按以下步骤：</w:t>
      </w:r>
    </w:p>
    <w:bookmarkEnd w:id="83"/>
    <w:p w14:paraId="5333B59C">
      <w:pPr>
        <w:pStyle w:val="40"/>
        <w:rPr>
          <w:rFonts w:ascii="Times New Roman"/>
        </w:rPr>
      </w:pPr>
      <w:r>
        <w:rPr>
          <w:rFonts w:ascii="Times New Roman"/>
        </w:rPr>
        <w:t>a）明确使用碳基准的目的；</w:t>
      </w:r>
    </w:p>
    <w:p w14:paraId="01CB0661">
      <w:pPr>
        <w:pStyle w:val="40"/>
        <w:rPr>
          <w:rFonts w:ascii="Times New Roman"/>
        </w:rPr>
      </w:pPr>
      <w:r>
        <w:rPr>
          <w:rFonts w:ascii="Times New Roman"/>
        </w:rPr>
        <w:t>b）确定合适的数据统计周期，统计期的选定宜与碳管理要求相适应，适当时，考虑核算、考核、财务统计等活动周期；</w:t>
      </w:r>
    </w:p>
    <w:p w14:paraId="64C06F82">
      <w:pPr>
        <w:pStyle w:val="40"/>
        <w:rPr>
          <w:rFonts w:ascii="Times New Roman"/>
        </w:rPr>
      </w:pPr>
      <w:r>
        <w:rPr>
          <w:rFonts w:ascii="Times New Roman"/>
        </w:rPr>
        <w:t>c）数据采集；</w:t>
      </w:r>
    </w:p>
    <w:p w14:paraId="4582B7E1">
      <w:pPr>
        <w:pStyle w:val="40"/>
        <w:overflowPunct w:val="0"/>
        <w:rPr>
          <w:rFonts w:ascii="Times New Roman"/>
        </w:rPr>
      </w:pPr>
      <w:r>
        <w:rPr>
          <w:rFonts w:ascii="Times New Roman"/>
        </w:rPr>
        <w:t>d）计算和测试碳基准。</w:t>
      </w:r>
    </w:p>
    <w:p w14:paraId="42D50190">
      <w:pPr>
        <w:pStyle w:val="68"/>
        <w:overflowPunct w:val="0"/>
        <w:spacing w:before="143" w:after="143"/>
        <w:rPr>
          <w:rFonts w:ascii="Times New Roman"/>
        </w:rPr>
      </w:pPr>
      <w:r>
        <w:rPr>
          <w:rFonts w:ascii="Times New Roman"/>
        </w:rPr>
        <w:t>6.3.2.</w:t>
      </w:r>
      <w:r>
        <w:rPr>
          <w:rFonts w:hint="eastAsia" w:ascii="Times New Roman"/>
        </w:rPr>
        <w:t xml:space="preserve">4  </w:t>
      </w:r>
      <w:r>
        <w:rPr>
          <w:rFonts w:ascii="Times New Roman"/>
        </w:rPr>
        <w:t>碳基准的调整</w:t>
      </w:r>
    </w:p>
    <w:p w14:paraId="00A9CE74">
      <w:pPr>
        <w:pStyle w:val="40"/>
        <w:overflowPunct w:val="0"/>
        <w:rPr>
          <w:rFonts w:ascii="Times New Roman"/>
        </w:rPr>
      </w:pPr>
      <w:r>
        <w:rPr>
          <w:rFonts w:ascii="Times New Roman"/>
        </w:rPr>
        <w:t>当出现以下情况时，宜对碳基准进行评审。必要时，结合碳评审结果进行调整：</w:t>
      </w:r>
    </w:p>
    <w:p w14:paraId="0D61E327">
      <w:pPr>
        <w:pStyle w:val="40"/>
        <w:overflowPunct w:val="0"/>
        <w:ind w:left="290" w:leftChars="138" w:firstLine="105" w:firstLineChars="50"/>
        <w:rPr>
          <w:rFonts w:ascii="Times New Roman"/>
        </w:rPr>
      </w:pPr>
      <w:r>
        <w:rPr>
          <w:rFonts w:ascii="Times New Roman"/>
        </w:rPr>
        <w:t>a）核算边界发生变化，如扩大生产、区域变化等；</w:t>
      </w:r>
    </w:p>
    <w:p w14:paraId="7F540CAF">
      <w:pPr>
        <w:pStyle w:val="40"/>
        <w:overflowPunct w:val="0"/>
        <w:ind w:left="290" w:leftChars="138" w:firstLine="105" w:firstLineChars="50"/>
        <w:rPr>
          <w:rFonts w:ascii="Times New Roman"/>
        </w:rPr>
      </w:pPr>
      <w:r>
        <w:rPr>
          <w:rFonts w:ascii="Times New Roman"/>
        </w:rPr>
        <w:t>b）主要原材料调整，导致碳排放量发生显著变化；</w:t>
      </w:r>
    </w:p>
    <w:p w14:paraId="56777FC9">
      <w:pPr>
        <w:pStyle w:val="40"/>
        <w:overflowPunct w:val="0"/>
        <w:ind w:left="290" w:leftChars="138" w:firstLine="105" w:firstLineChars="50"/>
        <w:rPr>
          <w:rFonts w:ascii="Times New Roman"/>
        </w:rPr>
      </w:pPr>
      <w:r>
        <w:rPr>
          <w:rFonts w:ascii="Times New Roman"/>
        </w:rPr>
        <w:t>c）主要设备、设施变化，如加工设备改造升级、计量系统变化、用能设备更换等；</w:t>
      </w:r>
    </w:p>
    <w:p w14:paraId="416E1AF6">
      <w:pPr>
        <w:pStyle w:val="40"/>
        <w:overflowPunct w:val="0"/>
        <w:ind w:left="290" w:leftChars="138" w:firstLine="105" w:firstLineChars="50"/>
        <w:rPr>
          <w:rFonts w:ascii="Times New Roman"/>
        </w:rPr>
      </w:pPr>
      <w:r>
        <w:rPr>
          <w:rFonts w:ascii="Times New Roman"/>
        </w:rPr>
        <w:t>d）生产工艺变化；</w:t>
      </w:r>
    </w:p>
    <w:p w14:paraId="380D1A25">
      <w:pPr>
        <w:pStyle w:val="40"/>
        <w:overflowPunct w:val="0"/>
        <w:ind w:left="290" w:leftChars="138" w:firstLine="105" w:firstLineChars="50"/>
        <w:rPr>
          <w:rFonts w:ascii="Times New Roman"/>
        </w:rPr>
      </w:pPr>
      <w:r>
        <w:rPr>
          <w:rFonts w:ascii="Times New Roman"/>
        </w:rPr>
        <w:t>e）产品变化，如品种、等级、质量要求变化；</w:t>
      </w:r>
    </w:p>
    <w:p w14:paraId="69B0E1EB">
      <w:pPr>
        <w:pStyle w:val="40"/>
        <w:overflowPunct w:val="0"/>
        <w:ind w:left="290" w:leftChars="138" w:firstLine="105" w:firstLineChars="50"/>
        <w:rPr>
          <w:rFonts w:ascii="Times New Roman"/>
        </w:rPr>
      </w:pPr>
      <w:r>
        <w:rPr>
          <w:rFonts w:ascii="Times New Roman"/>
        </w:rPr>
        <w:t>f）其他变更，如产品标准、核算方法、排放因子、排放标准、能耗限额、行业温室气体排放平均水平的变化等。</w:t>
      </w:r>
    </w:p>
    <w:p w14:paraId="41D7E477">
      <w:pPr>
        <w:pStyle w:val="68"/>
        <w:numPr>
          <w:ilvl w:val="2"/>
          <w:numId w:val="1"/>
        </w:numPr>
        <w:overflowPunct w:val="0"/>
        <w:spacing w:before="143" w:after="143"/>
        <w:ind w:left="0" w:firstLine="0"/>
        <w:outlineLvl w:val="2"/>
        <w:rPr>
          <w:rFonts w:ascii="Times New Roman"/>
        </w:rPr>
      </w:pPr>
      <w:r>
        <w:rPr>
          <w:rFonts w:ascii="Times New Roman"/>
        </w:rPr>
        <w:t>碳目标和指标</w:t>
      </w:r>
    </w:p>
    <w:p w14:paraId="126478E2">
      <w:pPr>
        <w:overflowPunct w:val="0"/>
        <w:outlineLvl w:val="3"/>
        <w:rPr>
          <w:rFonts w:ascii="Times New Roman" w:hAnsi="Times New Roman" w:cs="Times New Roman"/>
        </w:rPr>
      </w:pPr>
      <w:r>
        <w:rPr>
          <w:rFonts w:ascii="Times New Roman" w:hAnsi="Times New Roman" w:eastAsia="宋体" w:cs="Times New Roman"/>
          <w:kern w:val="0"/>
          <w:szCs w:val="20"/>
        </w:rPr>
        <w:t>6.3.3.1  企业宜根据碳评审结果、碳基准以及相关减排要求建立碳目标和指标。宜考虑以下方面：</w:t>
      </w:r>
    </w:p>
    <w:p w14:paraId="337E2CCD">
      <w:pPr>
        <w:pStyle w:val="40"/>
        <w:overflowPunct w:val="0"/>
        <w:rPr>
          <w:rFonts w:ascii="Times New Roman"/>
        </w:rPr>
      </w:pPr>
      <w:r>
        <w:rPr>
          <w:rFonts w:ascii="Times New Roman"/>
        </w:rPr>
        <w:t>a）与碳方针一致；</w:t>
      </w:r>
    </w:p>
    <w:p w14:paraId="0A897EE1">
      <w:pPr>
        <w:pStyle w:val="40"/>
        <w:overflowPunct w:val="0"/>
        <w:rPr>
          <w:rFonts w:ascii="Times New Roman"/>
        </w:rPr>
      </w:pPr>
      <w:r>
        <w:rPr>
          <w:rFonts w:ascii="Times New Roman"/>
        </w:rPr>
        <w:t>b）适用的合规义务；</w:t>
      </w:r>
    </w:p>
    <w:p w14:paraId="57D53F60">
      <w:pPr>
        <w:pStyle w:val="40"/>
        <w:overflowPunct w:val="0"/>
        <w:rPr>
          <w:rFonts w:ascii="Times New Roman"/>
        </w:rPr>
      </w:pPr>
      <w:r>
        <w:rPr>
          <w:rFonts w:ascii="Times New Roman"/>
        </w:rPr>
        <w:t>c）技术、财务、生产运行和市场经营条件；</w:t>
      </w:r>
    </w:p>
    <w:p w14:paraId="2AED2436">
      <w:pPr>
        <w:pStyle w:val="40"/>
        <w:overflowPunct w:val="0"/>
        <w:rPr>
          <w:rFonts w:ascii="Times New Roman"/>
        </w:rPr>
      </w:pPr>
      <w:r>
        <w:rPr>
          <w:rFonts w:ascii="Times New Roman"/>
        </w:rPr>
        <w:t>d）可量化和可测量；</w:t>
      </w:r>
    </w:p>
    <w:p w14:paraId="6692F964">
      <w:pPr>
        <w:pStyle w:val="40"/>
        <w:overflowPunct w:val="0"/>
        <w:rPr>
          <w:rFonts w:ascii="Times New Roman"/>
        </w:rPr>
      </w:pPr>
      <w:r>
        <w:rPr>
          <w:rFonts w:ascii="Times New Roman"/>
        </w:rPr>
        <w:t>e）碳评审的结果；</w:t>
      </w:r>
    </w:p>
    <w:p w14:paraId="2F766000">
      <w:pPr>
        <w:pStyle w:val="40"/>
        <w:overflowPunct w:val="0"/>
        <w:rPr>
          <w:rFonts w:ascii="Times New Roman"/>
        </w:rPr>
      </w:pPr>
      <w:r>
        <w:rPr>
          <w:rFonts w:ascii="Times New Roman"/>
        </w:rPr>
        <w:t>f）碳绩效改进的机会；</w:t>
      </w:r>
    </w:p>
    <w:p w14:paraId="6B4D9E57">
      <w:pPr>
        <w:pStyle w:val="40"/>
        <w:overflowPunct w:val="0"/>
        <w:rPr>
          <w:rFonts w:ascii="Times New Roman"/>
        </w:rPr>
      </w:pPr>
      <w:r>
        <w:rPr>
          <w:rFonts w:ascii="Times New Roman"/>
        </w:rPr>
        <w:t>g）碳资产和碳交易情况（适用时）；</w:t>
      </w:r>
    </w:p>
    <w:p w14:paraId="1BC04E3E">
      <w:pPr>
        <w:pStyle w:val="40"/>
        <w:overflowPunct w:val="0"/>
        <w:rPr>
          <w:rFonts w:ascii="Times New Roman"/>
        </w:rPr>
      </w:pPr>
      <w:r>
        <w:rPr>
          <w:rFonts w:ascii="Times New Roman"/>
        </w:rPr>
        <w:t>h）相关方的关注点和要求。</w:t>
      </w:r>
    </w:p>
    <w:p w14:paraId="3B8663E2">
      <w:pPr>
        <w:overflowPunct w:val="0"/>
        <w:outlineLvl w:val="3"/>
        <w:rPr>
          <w:rFonts w:ascii="Times New Roman" w:hAnsi="Times New Roman" w:eastAsia="宋体" w:cs="Times New Roman"/>
          <w:kern w:val="0"/>
          <w:szCs w:val="20"/>
        </w:rPr>
      </w:pPr>
      <w:r>
        <w:rPr>
          <w:rFonts w:ascii="Times New Roman" w:hAnsi="Times New Roman" w:cs="Times New Roman"/>
        </w:rPr>
        <w:t xml:space="preserve">6.3.3.2  </w:t>
      </w:r>
      <w:r>
        <w:rPr>
          <w:rFonts w:ascii="Times New Roman" w:hAnsi="Times New Roman" w:eastAsia="宋体" w:cs="Times New Roman"/>
          <w:kern w:val="0"/>
          <w:szCs w:val="20"/>
        </w:rPr>
        <w:t>企业宜以减少自身运营碳排放和供应链碳排放为目标，设立不同层级的碳目标、指标，包括但不限于：</w:t>
      </w:r>
    </w:p>
    <w:p w14:paraId="2DB2BA42">
      <w:pPr>
        <w:pStyle w:val="40"/>
        <w:numPr>
          <w:ilvl w:val="0"/>
          <w:numId w:val="10"/>
        </w:numPr>
        <w:overflowPunct w:val="0"/>
        <w:ind w:left="709" w:hanging="289" w:firstLineChars="0"/>
        <w:rPr>
          <w:rFonts w:ascii="Times New Roman"/>
        </w:rPr>
      </w:pPr>
      <w:r>
        <w:rPr>
          <w:rFonts w:ascii="Times New Roman"/>
        </w:rPr>
        <w:t>企业层级碳目标：如中长期碳减排目标、年度碳减排目标、年度碳排放量目标、年度碳排放强度目标；</w:t>
      </w:r>
    </w:p>
    <w:p w14:paraId="3CA031B2">
      <w:pPr>
        <w:pStyle w:val="40"/>
        <w:numPr>
          <w:ilvl w:val="0"/>
          <w:numId w:val="10"/>
        </w:numPr>
        <w:overflowPunct w:val="0"/>
        <w:ind w:left="709" w:hanging="289" w:firstLineChars="0"/>
        <w:rPr>
          <w:rFonts w:ascii="Times New Roman"/>
        </w:rPr>
      </w:pPr>
      <w:r>
        <w:rPr>
          <w:rFonts w:ascii="Times New Roman"/>
        </w:rPr>
        <w:t>部门层级碳指标：如生产部门的碳排放量和碳排放强度、仓储运输部门的碳排放量和碳排放强度、各车间的碳排放量和排放强度；</w:t>
      </w:r>
    </w:p>
    <w:p w14:paraId="689F4A96">
      <w:pPr>
        <w:pStyle w:val="40"/>
        <w:numPr>
          <w:ilvl w:val="0"/>
          <w:numId w:val="10"/>
        </w:numPr>
        <w:overflowPunct w:val="0"/>
        <w:ind w:left="709" w:hanging="289" w:firstLineChars="0"/>
        <w:rPr>
          <w:rFonts w:ascii="Times New Roman"/>
        </w:rPr>
      </w:pPr>
      <w:r>
        <w:rPr>
          <w:rFonts w:ascii="Times New Roman"/>
        </w:rPr>
        <w:t>生产单元碳指标（适用时）：重点工序的碳排放量；</w:t>
      </w:r>
    </w:p>
    <w:p w14:paraId="41FD3CED">
      <w:pPr>
        <w:pStyle w:val="40"/>
        <w:numPr>
          <w:ilvl w:val="0"/>
          <w:numId w:val="10"/>
        </w:numPr>
        <w:overflowPunct w:val="0"/>
        <w:ind w:left="709" w:hanging="289" w:firstLineChars="0"/>
        <w:rPr>
          <w:rFonts w:ascii="Times New Roman"/>
        </w:rPr>
      </w:pPr>
      <w:r>
        <w:rPr>
          <w:rFonts w:ascii="Times New Roman"/>
        </w:rPr>
        <w:t>设备层级碳指标：如设备运行压力、余热回收利用率、设备运转率、能源效率指标；</w:t>
      </w:r>
    </w:p>
    <w:p w14:paraId="2B17212C">
      <w:pPr>
        <w:pStyle w:val="40"/>
        <w:numPr>
          <w:ilvl w:val="0"/>
          <w:numId w:val="10"/>
        </w:numPr>
        <w:overflowPunct w:val="0"/>
        <w:ind w:left="709" w:hanging="289" w:firstLineChars="0"/>
        <w:rPr>
          <w:rFonts w:ascii="Times New Roman"/>
        </w:rPr>
      </w:pPr>
      <w:r>
        <w:rPr>
          <w:rFonts w:ascii="Times New Roman"/>
        </w:rPr>
        <w:t>供应链和产品层级碳指标（适用时）：原材料碳足迹、产品碳足迹。</w:t>
      </w:r>
    </w:p>
    <w:p w14:paraId="00410A73">
      <w:pPr>
        <w:pStyle w:val="40"/>
        <w:overflowPunct w:val="0"/>
        <w:ind w:firstLine="0" w:firstLineChars="0"/>
        <w:rPr>
          <w:rFonts w:ascii="Times New Roman"/>
        </w:rPr>
      </w:pPr>
      <w:r>
        <w:rPr>
          <w:rFonts w:ascii="Times New Roman"/>
        </w:rPr>
        <w:t>6.</w:t>
      </w:r>
      <w:r>
        <w:rPr>
          <w:rFonts w:hint="eastAsia" w:ascii="Times New Roman"/>
        </w:rPr>
        <w:t>3</w:t>
      </w:r>
      <w:r>
        <w:rPr>
          <w:rFonts w:ascii="Times New Roman"/>
        </w:rPr>
        <w:t>.3.3  碳目标和指标可按管理年度来设定</w:t>
      </w:r>
      <w:r>
        <w:rPr>
          <w:rFonts w:hint="eastAsia" w:ascii="Times New Roman"/>
        </w:rPr>
        <w:t>，并</w:t>
      </w:r>
      <w:r>
        <w:rPr>
          <w:rFonts w:ascii="Times New Roman"/>
        </w:rPr>
        <w:t>形成文件化信息。企业在制定碳目标和指标时，</w:t>
      </w:r>
      <w:r>
        <w:rPr>
          <w:rFonts w:hint="eastAsia" w:ascii="Times New Roman"/>
        </w:rPr>
        <w:t>应</w:t>
      </w:r>
      <w:r>
        <w:rPr>
          <w:rFonts w:ascii="Times New Roman"/>
        </w:rPr>
        <w:t>同时建立相应的评价准则和考核要求。必要时可调整碳目标和指标。</w:t>
      </w:r>
    </w:p>
    <w:p w14:paraId="5A3A991F">
      <w:pPr>
        <w:pStyle w:val="68"/>
        <w:numPr>
          <w:ilvl w:val="2"/>
          <w:numId w:val="1"/>
        </w:numPr>
        <w:overflowPunct w:val="0"/>
        <w:spacing w:before="143" w:after="143"/>
        <w:ind w:left="0" w:firstLine="0"/>
        <w:outlineLvl w:val="2"/>
        <w:rPr>
          <w:rFonts w:ascii="Times New Roman"/>
        </w:rPr>
      </w:pPr>
      <w:r>
        <w:rPr>
          <w:rFonts w:ascii="Times New Roman"/>
        </w:rPr>
        <w:t>碳目标</w:t>
      </w:r>
      <w:bookmarkStart w:id="84" w:name="_Hlk110435470"/>
      <w:r>
        <w:rPr>
          <w:rFonts w:ascii="Times New Roman"/>
        </w:rPr>
        <w:t>和指标</w:t>
      </w:r>
      <w:bookmarkEnd w:id="84"/>
      <w:r>
        <w:rPr>
          <w:rFonts w:ascii="Times New Roman"/>
        </w:rPr>
        <w:t>实现的措施计划</w:t>
      </w:r>
    </w:p>
    <w:p w14:paraId="7EC77284">
      <w:pPr>
        <w:pStyle w:val="40"/>
        <w:overflowPunct w:val="0"/>
        <w:ind w:firstLine="0" w:firstLineChars="0"/>
        <w:outlineLvl w:val="3"/>
        <w:rPr>
          <w:rFonts w:ascii="Times New Roman"/>
        </w:rPr>
      </w:pPr>
      <w:r>
        <w:rPr>
          <w:rFonts w:ascii="Times New Roman"/>
        </w:rPr>
        <w:t>6.3.4.1  企业宜针对碳目标和指标制定措施计划，计划宜包括</w:t>
      </w:r>
      <w:r>
        <w:rPr>
          <w:rFonts w:hint="eastAsia" w:ascii="Times New Roman"/>
        </w:rPr>
        <w:t>但不限于</w:t>
      </w:r>
      <w:r>
        <w:rPr>
          <w:rFonts w:ascii="Times New Roman"/>
        </w:rPr>
        <w:t>：</w:t>
      </w:r>
    </w:p>
    <w:p w14:paraId="44812724">
      <w:pPr>
        <w:pStyle w:val="40"/>
        <w:numPr>
          <w:ilvl w:val="0"/>
          <w:numId w:val="11"/>
        </w:numPr>
        <w:overflowPunct w:val="0"/>
        <w:ind w:left="709" w:hanging="289" w:firstLineChars="0"/>
        <w:rPr>
          <w:rFonts w:ascii="Times New Roman"/>
        </w:rPr>
      </w:pPr>
      <w:r>
        <w:rPr>
          <w:rFonts w:ascii="Times New Roman"/>
        </w:rPr>
        <w:t>资源配置，如人力、财</w:t>
      </w:r>
      <w:r>
        <w:rPr>
          <w:rFonts w:hint="eastAsia" w:ascii="Times New Roman"/>
        </w:rPr>
        <w:t>力</w:t>
      </w:r>
      <w:r>
        <w:rPr>
          <w:rFonts w:ascii="Times New Roman"/>
        </w:rPr>
        <w:t>、物力、技术等资源；</w:t>
      </w:r>
    </w:p>
    <w:p w14:paraId="29C76D37">
      <w:pPr>
        <w:pStyle w:val="40"/>
        <w:numPr>
          <w:ilvl w:val="0"/>
          <w:numId w:val="11"/>
        </w:numPr>
        <w:overflowPunct w:val="0"/>
        <w:ind w:left="709" w:hanging="289" w:firstLineChars="0"/>
        <w:rPr>
          <w:rFonts w:ascii="Times New Roman"/>
        </w:rPr>
      </w:pPr>
      <w:r>
        <w:rPr>
          <w:rFonts w:ascii="Times New Roman"/>
        </w:rPr>
        <w:t>相关的职责和权限；</w:t>
      </w:r>
    </w:p>
    <w:p w14:paraId="62B5A85A">
      <w:pPr>
        <w:pStyle w:val="40"/>
        <w:numPr>
          <w:ilvl w:val="0"/>
          <w:numId w:val="11"/>
        </w:numPr>
        <w:overflowPunct w:val="0"/>
        <w:ind w:left="709" w:hanging="289" w:firstLineChars="0"/>
        <w:rPr>
          <w:rFonts w:ascii="Times New Roman"/>
        </w:rPr>
      </w:pPr>
      <w:r>
        <w:rPr>
          <w:rFonts w:ascii="Times New Roman"/>
        </w:rPr>
        <w:t>实现目标；</w:t>
      </w:r>
    </w:p>
    <w:p w14:paraId="6E086892">
      <w:pPr>
        <w:pStyle w:val="40"/>
        <w:numPr>
          <w:ilvl w:val="0"/>
          <w:numId w:val="11"/>
        </w:numPr>
        <w:overflowPunct w:val="0"/>
        <w:ind w:left="709" w:hanging="289" w:firstLineChars="0"/>
        <w:rPr>
          <w:rFonts w:ascii="Times New Roman"/>
        </w:rPr>
      </w:pPr>
      <w:r>
        <w:rPr>
          <w:rFonts w:ascii="Times New Roman"/>
        </w:rPr>
        <w:t>实现途径和方法；</w:t>
      </w:r>
    </w:p>
    <w:p w14:paraId="53A0AE1C">
      <w:pPr>
        <w:pStyle w:val="40"/>
        <w:numPr>
          <w:ilvl w:val="0"/>
          <w:numId w:val="11"/>
        </w:numPr>
        <w:overflowPunct w:val="0"/>
        <w:ind w:left="709" w:hanging="289" w:firstLineChars="0"/>
        <w:rPr>
          <w:rFonts w:ascii="Times New Roman"/>
        </w:rPr>
      </w:pPr>
      <w:r>
        <w:rPr>
          <w:rFonts w:ascii="Times New Roman"/>
        </w:rPr>
        <w:t>预期成效；</w:t>
      </w:r>
    </w:p>
    <w:p w14:paraId="564458CA">
      <w:pPr>
        <w:pStyle w:val="40"/>
        <w:numPr>
          <w:ilvl w:val="0"/>
          <w:numId w:val="11"/>
        </w:numPr>
        <w:overflowPunct w:val="0"/>
        <w:ind w:left="709" w:hanging="289" w:firstLineChars="0"/>
        <w:rPr>
          <w:rFonts w:ascii="Times New Roman"/>
        </w:rPr>
      </w:pPr>
      <w:r>
        <w:rPr>
          <w:rFonts w:ascii="Times New Roman"/>
        </w:rPr>
        <w:t>时间进度；</w:t>
      </w:r>
    </w:p>
    <w:p w14:paraId="170F1773">
      <w:pPr>
        <w:pStyle w:val="40"/>
        <w:numPr>
          <w:ilvl w:val="0"/>
          <w:numId w:val="11"/>
        </w:numPr>
        <w:overflowPunct w:val="0"/>
        <w:ind w:left="709" w:hanging="289" w:firstLineChars="0"/>
        <w:rPr>
          <w:rFonts w:ascii="Times New Roman"/>
        </w:rPr>
      </w:pPr>
      <w:r>
        <w:rPr>
          <w:rFonts w:ascii="Times New Roman"/>
        </w:rPr>
        <w:t>验证方法。</w:t>
      </w:r>
    </w:p>
    <w:p w14:paraId="15110EB6">
      <w:pPr>
        <w:overflowPunct w:val="0"/>
        <w:outlineLvl w:val="3"/>
        <w:rPr>
          <w:rFonts w:ascii="Times New Roman" w:hAnsi="Times New Roman" w:eastAsia="宋体" w:cs="Times New Roman"/>
          <w:kern w:val="0"/>
          <w:szCs w:val="20"/>
        </w:rPr>
      </w:pPr>
      <w:r>
        <w:rPr>
          <w:rFonts w:ascii="Times New Roman" w:hAnsi="Times New Roman" w:eastAsia="宋体" w:cs="Times New Roman"/>
          <w:kern w:val="0"/>
          <w:szCs w:val="20"/>
        </w:rPr>
        <w:t>6.3.4.2  工业企业碳目标和指标的实现宜从以下方面考虑：</w:t>
      </w:r>
    </w:p>
    <w:p w14:paraId="4A6E12D1">
      <w:pPr>
        <w:pStyle w:val="40"/>
        <w:numPr>
          <w:ilvl w:val="0"/>
          <w:numId w:val="12"/>
        </w:numPr>
        <w:overflowPunct w:val="0"/>
        <w:ind w:left="709" w:hanging="289" w:firstLineChars="0"/>
        <w:rPr>
          <w:rFonts w:ascii="Times New Roman"/>
        </w:rPr>
      </w:pPr>
      <w:r>
        <w:rPr>
          <w:rFonts w:ascii="Times New Roman"/>
        </w:rPr>
        <w:t>加强设计开发：采用低碳设计，优先选用低碳原材料和（或）包装方式；</w:t>
      </w:r>
    </w:p>
    <w:p w14:paraId="7BD4A654">
      <w:pPr>
        <w:pStyle w:val="40"/>
        <w:numPr>
          <w:ilvl w:val="0"/>
          <w:numId w:val="12"/>
        </w:numPr>
        <w:overflowPunct w:val="0"/>
        <w:ind w:left="709" w:hanging="289" w:firstLineChars="0"/>
        <w:rPr>
          <w:rFonts w:ascii="Times New Roman"/>
        </w:rPr>
      </w:pPr>
      <w:r>
        <w:rPr>
          <w:rFonts w:ascii="Times New Roman"/>
        </w:rPr>
        <w:t>实施低碳供应链：采购碳足迹水平低的原材料；</w:t>
      </w:r>
    </w:p>
    <w:p w14:paraId="27FDCC85">
      <w:pPr>
        <w:pStyle w:val="40"/>
        <w:numPr>
          <w:ilvl w:val="0"/>
          <w:numId w:val="12"/>
        </w:numPr>
        <w:overflowPunct w:val="0"/>
        <w:ind w:left="709" w:hanging="289" w:firstLineChars="0"/>
        <w:rPr>
          <w:rFonts w:ascii="Times New Roman"/>
        </w:rPr>
      </w:pPr>
      <w:r>
        <w:rPr>
          <w:rFonts w:ascii="Times New Roman"/>
        </w:rPr>
        <w:t>优化工艺流程：采用先进的生产工艺和设备，优化生产流程，减少能源消耗；</w:t>
      </w:r>
    </w:p>
    <w:p w14:paraId="4E9BC24A">
      <w:pPr>
        <w:pStyle w:val="40"/>
        <w:numPr>
          <w:ilvl w:val="0"/>
          <w:numId w:val="12"/>
        </w:numPr>
        <w:overflowPunct w:val="0"/>
        <w:ind w:left="709" w:hanging="289" w:firstLineChars="0"/>
        <w:rPr>
          <w:rFonts w:ascii="Times New Roman"/>
        </w:rPr>
      </w:pPr>
      <w:r>
        <w:rPr>
          <w:rFonts w:ascii="Times New Roman"/>
        </w:rPr>
        <w:t>加强设施管理：定期对生产和辅助设备设施进行维护和检修，确保其正常运行；</w:t>
      </w:r>
    </w:p>
    <w:p w14:paraId="48795EA8">
      <w:pPr>
        <w:pStyle w:val="40"/>
        <w:numPr>
          <w:ilvl w:val="0"/>
          <w:numId w:val="12"/>
        </w:numPr>
        <w:overflowPunct w:val="0"/>
        <w:ind w:left="709" w:hanging="289" w:firstLineChars="0"/>
        <w:rPr>
          <w:rFonts w:ascii="Times New Roman"/>
        </w:rPr>
      </w:pPr>
      <w:r>
        <w:rPr>
          <w:rFonts w:ascii="Times New Roman"/>
        </w:rPr>
        <w:t>使用清洁能源：采购绿电、自建光伏发电、采用低碳运输方式等；</w:t>
      </w:r>
    </w:p>
    <w:p w14:paraId="733141B3">
      <w:pPr>
        <w:pStyle w:val="40"/>
        <w:numPr>
          <w:ilvl w:val="0"/>
          <w:numId w:val="12"/>
        </w:numPr>
        <w:overflowPunct w:val="0"/>
        <w:ind w:left="709" w:hanging="289" w:firstLineChars="0"/>
        <w:rPr>
          <w:rFonts w:ascii="Times New Roman"/>
        </w:rPr>
      </w:pPr>
      <w:r>
        <w:rPr>
          <w:rFonts w:ascii="Times New Roman"/>
        </w:rPr>
        <w:t>提升减碳意识：完善碳管理制度，多种方式宣贯培训。</w:t>
      </w:r>
    </w:p>
    <w:p w14:paraId="68910702">
      <w:pPr>
        <w:pStyle w:val="68"/>
        <w:numPr>
          <w:ilvl w:val="2"/>
          <w:numId w:val="1"/>
        </w:numPr>
        <w:overflowPunct w:val="0"/>
        <w:spacing w:before="143" w:after="143"/>
        <w:ind w:left="0" w:firstLine="0"/>
        <w:outlineLvl w:val="2"/>
        <w:rPr>
          <w:rFonts w:ascii="Times New Roman"/>
        </w:rPr>
      </w:pPr>
      <w:bookmarkStart w:id="85" w:name="_Toc187932690"/>
      <w:r>
        <w:rPr>
          <w:rFonts w:ascii="Times New Roman"/>
        </w:rPr>
        <w:t>碳数据收集计划</w:t>
      </w:r>
    </w:p>
    <w:p w14:paraId="7CF1E545">
      <w:pPr>
        <w:overflowPunct w:val="0"/>
        <w:outlineLvl w:val="3"/>
        <w:rPr>
          <w:rFonts w:ascii="Times New Roman" w:hAnsi="Times New Roman" w:cs="Times New Roman"/>
          <w:bCs/>
          <w:sz w:val="18"/>
          <w:szCs w:val="18"/>
        </w:rPr>
      </w:pPr>
      <w:r>
        <w:rPr>
          <w:rFonts w:ascii="Times New Roman" w:hAnsi="Times New Roman" w:eastAsia="宋体" w:cs="Times New Roman"/>
          <w:kern w:val="0"/>
          <w:szCs w:val="20"/>
        </w:rPr>
        <w:t>6.3.5.1</w:t>
      </w:r>
      <w:r>
        <w:rPr>
          <w:rFonts w:hint="eastAsia" w:ascii="Times New Roman" w:hAnsi="Times New Roman" w:eastAsia="宋体" w:cs="Times New Roman"/>
          <w:kern w:val="0"/>
          <w:szCs w:val="20"/>
        </w:rPr>
        <w:t xml:space="preserve"> </w:t>
      </w:r>
      <w:r>
        <w:rPr>
          <w:rFonts w:ascii="Times New Roman" w:hAnsi="Times New Roman" w:eastAsia="宋体" w:cs="Times New Roman"/>
          <w:szCs w:val="20"/>
        </w:rPr>
        <w:t xml:space="preserve"> </w:t>
      </w:r>
      <w:r>
        <w:rPr>
          <w:rFonts w:ascii="Times New Roman" w:hAnsi="Times New Roman" w:eastAsia="宋体" w:cs="Times New Roman"/>
          <w:kern w:val="0"/>
          <w:szCs w:val="20"/>
        </w:rPr>
        <w:t>企业宜制定并实施碳数据收集计划，规定收集、保留各类碳数据的方式和频次、负责部门</w:t>
      </w:r>
      <w:r>
        <w:rPr>
          <w:rFonts w:hint="eastAsia" w:ascii="Times New Roman" w:hAnsi="Times New Roman" w:eastAsia="宋体" w:cs="Times New Roman"/>
          <w:kern w:val="0"/>
          <w:szCs w:val="20"/>
        </w:rPr>
        <w:t>及</w:t>
      </w:r>
      <w:r>
        <w:rPr>
          <w:rFonts w:ascii="Times New Roman" w:hAnsi="Times New Roman" w:eastAsia="宋体" w:cs="Times New Roman"/>
          <w:kern w:val="0"/>
          <w:szCs w:val="20"/>
        </w:rPr>
        <w:t>人员。碳数据收集计划宜</w:t>
      </w:r>
      <w:r>
        <w:rPr>
          <w:rFonts w:hint="eastAsia" w:ascii="Times New Roman" w:hAnsi="Times New Roman" w:eastAsia="宋体" w:cs="Times New Roman"/>
          <w:kern w:val="0"/>
          <w:szCs w:val="20"/>
        </w:rPr>
        <w:t>综合考虑</w:t>
      </w:r>
      <w:r>
        <w:rPr>
          <w:rFonts w:ascii="Times New Roman" w:hAnsi="Times New Roman" w:eastAsia="宋体" w:cs="Times New Roman"/>
          <w:kern w:val="0"/>
          <w:szCs w:val="20"/>
        </w:rPr>
        <w:t>企业的规模、复杂性、资源及其监视和测量设备，并按照规定的时间间隔开展评审，适当时予以更新。</w:t>
      </w:r>
    </w:p>
    <w:p w14:paraId="73E41789">
      <w:pPr>
        <w:overflowPunct w:val="0"/>
        <w:outlineLvl w:val="3"/>
        <w:rPr>
          <w:rFonts w:ascii="Times New Roman" w:hAnsi="Times New Roman" w:eastAsia="宋体" w:cs="Times New Roman"/>
          <w:kern w:val="0"/>
          <w:szCs w:val="20"/>
        </w:rPr>
      </w:pPr>
      <w:r>
        <w:rPr>
          <w:rFonts w:ascii="Times New Roman" w:hAnsi="Times New Roman" w:eastAsia="宋体" w:cs="Times New Roman"/>
          <w:kern w:val="0"/>
          <w:szCs w:val="20"/>
        </w:rPr>
        <w:t>6.3.5.2</w:t>
      </w:r>
      <w:r>
        <w:rPr>
          <w:rFonts w:hint="eastAsia" w:ascii="Times New Roman" w:hAnsi="Times New Roman" w:eastAsia="宋体" w:cs="Times New Roman"/>
          <w:kern w:val="0"/>
          <w:szCs w:val="20"/>
        </w:rPr>
        <w:t xml:space="preserve">  </w:t>
      </w:r>
      <w:r>
        <w:rPr>
          <w:rFonts w:ascii="Times New Roman" w:hAnsi="Times New Roman" w:eastAsia="宋体" w:cs="Times New Roman"/>
          <w:kern w:val="0"/>
          <w:szCs w:val="20"/>
        </w:rPr>
        <w:t>需要收集的碳数据包括但不限于以下内容。</w:t>
      </w:r>
    </w:p>
    <w:p w14:paraId="1067D99C">
      <w:pPr>
        <w:pStyle w:val="40"/>
        <w:overflowPunct w:val="0"/>
        <w:ind w:firstLine="840" w:firstLineChars="400"/>
        <w:rPr>
          <w:rFonts w:ascii="Times New Roman"/>
        </w:rPr>
      </w:pPr>
      <w:r>
        <w:rPr>
          <w:rFonts w:ascii="Times New Roman"/>
        </w:rPr>
        <w:t>a</w:t>
      </w:r>
      <w:r>
        <w:rPr>
          <w:rFonts w:ascii="Times New Roman"/>
          <w:kern w:val="2"/>
        </w:rPr>
        <w:t>）</w:t>
      </w:r>
      <w:r>
        <w:rPr>
          <w:rFonts w:ascii="Times New Roman"/>
        </w:rPr>
        <w:t>活动数据：</w:t>
      </w:r>
    </w:p>
    <w:p w14:paraId="7B13EC71">
      <w:pPr>
        <w:pStyle w:val="40"/>
        <w:overflowPunct w:val="0"/>
        <w:ind w:firstLine="1260" w:firstLineChars="600"/>
        <w:rPr>
          <w:rFonts w:ascii="Times New Roman"/>
        </w:rPr>
      </w:pPr>
      <w:r>
        <w:rPr>
          <w:rFonts w:ascii="Times New Roman"/>
        </w:rPr>
        <w:t>1</w:t>
      </w:r>
      <w:r>
        <w:rPr>
          <w:rFonts w:ascii="Times New Roman"/>
          <w:kern w:val="2"/>
        </w:rPr>
        <w:t>）</w:t>
      </w:r>
      <w:r>
        <w:rPr>
          <w:rFonts w:ascii="Times New Roman"/>
        </w:rPr>
        <w:t>电力、蒸汽、天然气、柴油、汽油等购买量；</w:t>
      </w:r>
    </w:p>
    <w:p w14:paraId="4662A2C9">
      <w:pPr>
        <w:pStyle w:val="40"/>
        <w:overflowPunct w:val="0"/>
        <w:ind w:firstLine="1260" w:firstLineChars="600"/>
        <w:rPr>
          <w:rFonts w:ascii="Times New Roman"/>
        </w:rPr>
      </w:pPr>
      <w:r>
        <w:rPr>
          <w:rFonts w:ascii="Times New Roman"/>
        </w:rPr>
        <w:t>2</w:t>
      </w:r>
      <w:r>
        <w:rPr>
          <w:rFonts w:ascii="Times New Roman"/>
          <w:kern w:val="2"/>
        </w:rPr>
        <w:t>）</w:t>
      </w:r>
      <w:r>
        <w:rPr>
          <w:rFonts w:ascii="Times New Roman"/>
        </w:rPr>
        <w:t>各部门（生产、办公、行政等）能源消耗量；</w:t>
      </w:r>
    </w:p>
    <w:p w14:paraId="510BDD0C">
      <w:pPr>
        <w:pStyle w:val="40"/>
        <w:overflowPunct w:val="0"/>
        <w:ind w:firstLine="1260" w:firstLineChars="600"/>
        <w:rPr>
          <w:rFonts w:ascii="Times New Roman"/>
        </w:rPr>
      </w:pPr>
      <w:r>
        <w:rPr>
          <w:rFonts w:ascii="Times New Roman"/>
        </w:rPr>
        <w:t>3</w:t>
      </w:r>
      <w:r>
        <w:rPr>
          <w:rFonts w:ascii="Times New Roman"/>
          <w:kern w:val="2"/>
        </w:rPr>
        <w:t>）</w:t>
      </w:r>
      <w:r>
        <w:rPr>
          <w:rFonts w:ascii="Times New Roman"/>
        </w:rPr>
        <w:t>重点工序的能源消耗量；</w:t>
      </w:r>
    </w:p>
    <w:p w14:paraId="4F2C0201">
      <w:pPr>
        <w:pStyle w:val="40"/>
        <w:overflowPunct w:val="0"/>
        <w:ind w:firstLine="1260" w:firstLineChars="600"/>
        <w:rPr>
          <w:rFonts w:ascii="Times New Roman"/>
        </w:rPr>
      </w:pPr>
      <w:r>
        <w:rPr>
          <w:rFonts w:ascii="Times New Roman"/>
        </w:rPr>
        <w:t>4</w:t>
      </w:r>
      <w:r>
        <w:rPr>
          <w:rFonts w:ascii="Times New Roman"/>
          <w:kern w:val="2"/>
        </w:rPr>
        <w:t>）</w:t>
      </w:r>
      <w:r>
        <w:rPr>
          <w:rFonts w:ascii="Times New Roman"/>
        </w:rPr>
        <w:t>制冷设备制冷剂的消耗量；</w:t>
      </w:r>
    </w:p>
    <w:p w14:paraId="6655C8BD">
      <w:pPr>
        <w:pStyle w:val="40"/>
        <w:overflowPunct w:val="0"/>
        <w:ind w:firstLine="1260" w:firstLineChars="600"/>
        <w:rPr>
          <w:rFonts w:ascii="Times New Roman"/>
        </w:rPr>
      </w:pPr>
      <w:r>
        <w:rPr>
          <w:rFonts w:ascii="Times New Roman"/>
        </w:rPr>
        <w:t>5</w:t>
      </w:r>
      <w:r>
        <w:rPr>
          <w:rFonts w:ascii="Times New Roman"/>
          <w:kern w:val="2"/>
        </w:rPr>
        <w:t>）</w:t>
      </w:r>
      <w:r>
        <w:rPr>
          <w:rFonts w:ascii="Times New Roman"/>
        </w:rPr>
        <w:t>主要原材料的</w:t>
      </w:r>
      <w:r>
        <w:rPr>
          <w:rFonts w:hint="eastAsia" w:ascii="Times New Roman"/>
        </w:rPr>
        <w:t>用</w:t>
      </w:r>
      <w:r>
        <w:rPr>
          <w:rFonts w:ascii="Times New Roman"/>
        </w:rPr>
        <w:t>量、运输方式、运输距离、运输次数（适用时）。</w:t>
      </w:r>
    </w:p>
    <w:p w14:paraId="0402D57A">
      <w:pPr>
        <w:pStyle w:val="40"/>
        <w:overflowPunct w:val="0"/>
        <w:ind w:firstLine="1080" w:firstLineChars="600"/>
        <w:rPr>
          <w:rFonts w:ascii="Times New Roman"/>
          <w:sz w:val="18"/>
          <w:szCs w:val="18"/>
        </w:rPr>
      </w:pPr>
      <w:r>
        <w:rPr>
          <w:rFonts w:ascii="Times New Roman" w:eastAsia="黑体"/>
          <w:sz w:val="18"/>
          <w:szCs w:val="18"/>
        </w:rPr>
        <w:t>注：</w:t>
      </w:r>
      <w:r>
        <w:rPr>
          <w:rFonts w:ascii="Times New Roman"/>
          <w:sz w:val="18"/>
          <w:szCs w:val="18"/>
        </w:rPr>
        <w:t>宜参照GB/T 32150按照优先级由高到低选择和收集活动数据。</w:t>
      </w:r>
      <w:r>
        <w:rPr>
          <w:rFonts w:ascii="Times New Roman"/>
        </w:rPr>
        <w:t xml:space="preserve">    </w:t>
      </w:r>
    </w:p>
    <w:p w14:paraId="7BC4627D">
      <w:pPr>
        <w:pStyle w:val="40"/>
        <w:overflowPunct w:val="0"/>
        <w:ind w:firstLine="840" w:firstLineChars="400"/>
        <w:rPr>
          <w:rFonts w:ascii="Times New Roman"/>
        </w:rPr>
      </w:pPr>
      <w:r>
        <w:rPr>
          <w:rFonts w:ascii="Times New Roman"/>
        </w:rPr>
        <w:t>b</w:t>
      </w:r>
      <w:r>
        <w:rPr>
          <w:rFonts w:ascii="Times New Roman"/>
          <w:kern w:val="2"/>
        </w:rPr>
        <w:t>）</w:t>
      </w:r>
      <w:r>
        <w:rPr>
          <w:rFonts w:ascii="Times New Roman"/>
        </w:rPr>
        <w:t>排放因子：</w:t>
      </w:r>
    </w:p>
    <w:p w14:paraId="380345F4">
      <w:pPr>
        <w:pStyle w:val="40"/>
        <w:overflowPunct w:val="0"/>
        <w:ind w:firstLine="1260" w:firstLineChars="600"/>
        <w:rPr>
          <w:rFonts w:ascii="Times New Roman"/>
        </w:rPr>
      </w:pPr>
      <w:r>
        <w:rPr>
          <w:rFonts w:ascii="Times New Roman"/>
        </w:rPr>
        <w:t>1</w:t>
      </w:r>
      <w:r>
        <w:rPr>
          <w:rFonts w:ascii="Times New Roman"/>
          <w:kern w:val="2"/>
        </w:rPr>
        <w:t>）</w:t>
      </w:r>
      <w:r>
        <w:rPr>
          <w:rFonts w:ascii="Times New Roman"/>
        </w:rPr>
        <w:t>电力、热力和（或）其他燃料的排放因子；</w:t>
      </w:r>
    </w:p>
    <w:p w14:paraId="709F74E2">
      <w:pPr>
        <w:pStyle w:val="40"/>
        <w:overflowPunct w:val="0"/>
        <w:ind w:firstLine="1260" w:firstLineChars="600"/>
        <w:rPr>
          <w:rFonts w:ascii="Times New Roman"/>
        </w:rPr>
      </w:pPr>
      <w:r>
        <w:rPr>
          <w:rFonts w:ascii="Times New Roman"/>
        </w:rPr>
        <w:t>2</w:t>
      </w:r>
      <w:r>
        <w:rPr>
          <w:rFonts w:ascii="Times New Roman"/>
          <w:kern w:val="2"/>
        </w:rPr>
        <w:t>）</w:t>
      </w:r>
      <w:r>
        <w:rPr>
          <w:rFonts w:ascii="Times New Roman"/>
        </w:rPr>
        <w:t>原</w:t>
      </w:r>
      <w:r>
        <w:rPr>
          <w:rFonts w:hint="eastAsia" w:ascii="Times New Roman"/>
        </w:rPr>
        <w:t>辅</w:t>
      </w:r>
      <w:r>
        <w:rPr>
          <w:rFonts w:ascii="Times New Roman"/>
        </w:rPr>
        <w:t>料相关排放因子；</w:t>
      </w:r>
    </w:p>
    <w:p w14:paraId="3053FABD">
      <w:pPr>
        <w:pStyle w:val="40"/>
        <w:overflowPunct w:val="0"/>
        <w:ind w:firstLine="1260" w:firstLineChars="600"/>
        <w:rPr>
          <w:rFonts w:ascii="Times New Roman"/>
        </w:rPr>
      </w:pPr>
      <w:r>
        <w:rPr>
          <w:rFonts w:ascii="Times New Roman"/>
        </w:rPr>
        <w:t>3</w:t>
      </w:r>
      <w:r>
        <w:rPr>
          <w:rFonts w:ascii="Times New Roman"/>
          <w:kern w:val="2"/>
        </w:rPr>
        <w:t>）</w:t>
      </w:r>
      <w:r>
        <w:rPr>
          <w:rFonts w:ascii="Times New Roman"/>
        </w:rPr>
        <w:t>运输相关排放因子（适用时）。</w:t>
      </w:r>
    </w:p>
    <w:p w14:paraId="20C6E939">
      <w:pPr>
        <w:pStyle w:val="40"/>
        <w:overflowPunct w:val="0"/>
        <w:ind w:firstLine="1080" w:firstLineChars="600"/>
        <w:rPr>
          <w:rFonts w:ascii="Times New Roman"/>
        </w:rPr>
      </w:pPr>
      <w:r>
        <w:rPr>
          <w:rFonts w:ascii="Times New Roman" w:eastAsia="黑体"/>
          <w:sz w:val="18"/>
          <w:szCs w:val="18"/>
        </w:rPr>
        <w:t>注：</w:t>
      </w:r>
      <w:r>
        <w:rPr>
          <w:rFonts w:ascii="Times New Roman"/>
          <w:sz w:val="18"/>
          <w:szCs w:val="18"/>
        </w:rPr>
        <w:t>宜参照GB/T 32150按照优先级由高到低获取排放因子。</w:t>
      </w:r>
    </w:p>
    <w:p w14:paraId="09EDEAE7">
      <w:pPr>
        <w:pStyle w:val="40"/>
        <w:overflowPunct w:val="0"/>
        <w:ind w:firstLine="840" w:firstLineChars="400"/>
        <w:rPr>
          <w:rFonts w:ascii="Times New Roman"/>
        </w:rPr>
      </w:pPr>
      <w:r>
        <w:rPr>
          <w:rFonts w:ascii="Times New Roman"/>
        </w:rPr>
        <w:t>c</w:t>
      </w:r>
      <w:r>
        <w:rPr>
          <w:rFonts w:ascii="Times New Roman"/>
          <w:kern w:val="2"/>
        </w:rPr>
        <w:t>）</w:t>
      </w:r>
      <w:r>
        <w:rPr>
          <w:rFonts w:ascii="Times New Roman"/>
        </w:rPr>
        <w:t>生产数据：</w:t>
      </w:r>
    </w:p>
    <w:p w14:paraId="0759666E">
      <w:pPr>
        <w:pStyle w:val="40"/>
        <w:overflowPunct w:val="0"/>
        <w:ind w:firstLine="1260" w:firstLineChars="600"/>
        <w:rPr>
          <w:rFonts w:ascii="Times New Roman"/>
        </w:rPr>
      </w:pPr>
      <w:r>
        <w:rPr>
          <w:rFonts w:ascii="Times New Roman"/>
        </w:rPr>
        <w:t>1</w:t>
      </w:r>
      <w:r>
        <w:rPr>
          <w:rFonts w:ascii="Times New Roman"/>
          <w:kern w:val="2"/>
        </w:rPr>
        <w:t>）</w:t>
      </w:r>
      <w:r>
        <w:rPr>
          <w:rFonts w:ascii="Times New Roman"/>
        </w:rPr>
        <w:t>主要排放设施的关键运行参数，如温度、压力控制值等；</w:t>
      </w:r>
    </w:p>
    <w:p w14:paraId="0BBB3A85">
      <w:pPr>
        <w:pStyle w:val="40"/>
        <w:numPr>
          <w:ilvl w:val="0"/>
          <w:numId w:val="13"/>
        </w:numPr>
        <w:overflowPunct w:val="0"/>
        <w:ind w:firstLineChars="0"/>
        <w:rPr>
          <w:rFonts w:ascii="Times New Roman"/>
        </w:rPr>
      </w:pPr>
      <w:r>
        <w:rPr>
          <w:rFonts w:ascii="Times New Roman"/>
        </w:rPr>
        <w:t>产品产量和产值。</w:t>
      </w:r>
    </w:p>
    <w:p w14:paraId="28C0A868">
      <w:pPr>
        <w:pStyle w:val="40"/>
        <w:overflowPunct w:val="0"/>
        <w:ind w:left="709" w:firstLine="105" w:firstLineChars="50"/>
        <w:rPr>
          <w:rFonts w:ascii="Times New Roman"/>
        </w:rPr>
      </w:pPr>
      <w:r>
        <w:rPr>
          <w:rFonts w:ascii="Times New Roman"/>
        </w:rPr>
        <w:t>d</w:t>
      </w:r>
      <w:r>
        <w:rPr>
          <w:rFonts w:ascii="Times New Roman"/>
          <w:kern w:val="2"/>
        </w:rPr>
        <w:t>）</w:t>
      </w:r>
      <w:r>
        <w:rPr>
          <w:rFonts w:ascii="Times New Roman"/>
        </w:rPr>
        <w:t>排放量及相关数据：</w:t>
      </w:r>
    </w:p>
    <w:p w14:paraId="02095814">
      <w:pPr>
        <w:pStyle w:val="40"/>
        <w:overflowPunct w:val="0"/>
        <w:ind w:left="420" w:firstLine="840" w:firstLineChars="400"/>
        <w:rPr>
          <w:rFonts w:ascii="Times New Roman"/>
        </w:rPr>
      </w:pPr>
      <w:r>
        <w:rPr>
          <w:rFonts w:ascii="Times New Roman"/>
        </w:rPr>
        <w:t>1</w:t>
      </w:r>
      <w:r>
        <w:rPr>
          <w:rFonts w:ascii="Times New Roman"/>
          <w:kern w:val="2"/>
        </w:rPr>
        <w:t>）</w:t>
      </w:r>
      <w:r>
        <w:rPr>
          <w:rFonts w:ascii="Times New Roman"/>
        </w:rPr>
        <w:t>碳排放量；</w:t>
      </w:r>
    </w:p>
    <w:p w14:paraId="3B84B6E1">
      <w:pPr>
        <w:pStyle w:val="40"/>
        <w:overflowPunct w:val="0"/>
        <w:ind w:firstLine="1260" w:firstLineChars="600"/>
        <w:rPr>
          <w:rFonts w:ascii="Times New Roman"/>
        </w:rPr>
      </w:pPr>
      <w:r>
        <w:rPr>
          <w:rFonts w:ascii="Times New Roman"/>
        </w:rPr>
        <w:t>2</w:t>
      </w:r>
      <w:r>
        <w:rPr>
          <w:rFonts w:ascii="Times New Roman"/>
          <w:kern w:val="2"/>
        </w:rPr>
        <w:t>）</w:t>
      </w:r>
      <w:r>
        <w:rPr>
          <w:rFonts w:ascii="Times New Roman"/>
        </w:rPr>
        <w:t>碳排放强度；</w:t>
      </w:r>
    </w:p>
    <w:p w14:paraId="6D68B7BF">
      <w:pPr>
        <w:pStyle w:val="40"/>
        <w:overflowPunct w:val="0"/>
        <w:ind w:firstLine="1260" w:firstLineChars="600"/>
        <w:rPr>
          <w:rFonts w:ascii="Times New Roman"/>
        </w:rPr>
      </w:pPr>
      <w:r>
        <w:rPr>
          <w:rFonts w:ascii="Times New Roman"/>
        </w:rPr>
        <w:t>3</w:t>
      </w:r>
      <w:r>
        <w:rPr>
          <w:rFonts w:ascii="Times New Roman"/>
          <w:kern w:val="2"/>
        </w:rPr>
        <w:t>）</w:t>
      </w:r>
      <w:r>
        <w:rPr>
          <w:rFonts w:ascii="Times New Roman"/>
        </w:rPr>
        <w:t>碳资产和碳交易的量和值（适用时）；</w:t>
      </w:r>
    </w:p>
    <w:p w14:paraId="655DFB58">
      <w:pPr>
        <w:pStyle w:val="40"/>
        <w:overflowPunct w:val="0"/>
        <w:ind w:firstLine="1260" w:firstLineChars="600"/>
        <w:rPr>
          <w:rFonts w:ascii="Times New Roman"/>
        </w:rPr>
      </w:pPr>
      <w:r>
        <w:rPr>
          <w:rFonts w:ascii="Times New Roman"/>
        </w:rPr>
        <w:t>4</w:t>
      </w:r>
      <w:r>
        <w:rPr>
          <w:rFonts w:ascii="Times New Roman"/>
          <w:kern w:val="2"/>
        </w:rPr>
        <w:t>）</w:t>
      </w:r>
      <w:r>
        <w:rPr>
          <w:rFonts w:ascii="Times New Roman"/>
        </w:rPr>
        <w:t>碳管理措施计划中规定的数据。</w:t>
      </w:r>
    </w:p>
    <w:p w14:paraId="0F552BC5">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86" w:name="_Toc220422370"/>
      <w:r>
        <w:rPr>
          <w:rFonts w:ascii="Times New Roman"/>
          <w:color w:val="000000" w:themeColor="text1"/>
          <w14:textFill>
            <w14:solidFill>
              <w14:schemeClr w14:val="tx1"/>
            </w14:solidFill>
          </w14:textFill>
        </w:rPr>
        <w:t>变更的策划</w:t>
      </w:r>
      <w:bookmarkEnd w:id="85"/>
      <w:bookmarkEnd w:id="86"/>
    </w:p>
    <w:p w14:paraId="517CE7C7">
      <w:pPr>
        <w:pStyle w:val="40"/>
        <w:overflowPunct w:val="0"/>
        <w:rPr>
          <w:rFonts w:ascii="Times New Roman"/>
          <w:kern w:val="2"/>
        </w:rPr>
      </w:pPr>
      <w:r>
        <w:rPr>
          <w:rFonts w:ascii="Times New Roman"/>
          <w:kern w:val="2"/>
        </w:rPr>
        <w:t>当工业企业确定碳管理体系进行变更时，企业宜考虑：</w:t>
      </w:r>
    </w:p>
    <w:p w14:paraId="3FD49483">
      <w:pPr>
        <w:pStyle w:val="40"/>
        <w:numPr>
          <w:ilvl w:val="0"/>
          <w:numId w:val="14"/>
        </w:numPr>
        <w:overflowPunct w:val="0"/>
        <w:ind w:left="709" w:hanging="289" w:firstLineChars="0"/>
        <w:rPr>
          <w:rFonts w:ascii="Times New Roman"/>
        </w:rPr>
      </w:pPr>
      <w:r>
        <w:rPr>
          <w:rFonts w:ascii="Times New Roman"/>
        </w:rPr>
        <w:t>变更目的及其潜在后果；</w:t>
      </w:r>
    </w:p>
    <w:p w14:paraId="5952298C">
      <w:pPr>
        <w:pStyle w:val="40"/>
        <w:numPr>
          <w:ilvl w:val="0"/>
          <w:numId w:val="14"/>
        </w:numPr>
        <w:overflowPunct w:val="0"/>
        <w:ind w:left="709" w:hanging="289" w:firstLineChars="0"/>
        <w:rPr>
          <w:rFonts w:ascii="Times New Roman"/>
        </w:rPr>
      </w:pPr>
      <w:r>
        <w:rPr>
          <w:rFonts w:ascii="Times New Roman"/>
        </w:rPr>
        <w:t>碳管理体系的完整性；</w:t>
      </w:r>
    </w:p>
    <w:p w14:paraId="4010D665">
      <w:pPr>
        <w:pStyle w:val="40"/>
        <w:numPr>
          <w:ilvl w:val="0"/>
          <w:numId w:val="14"/>
        </w:numPr>
        <w:overflowPunct w:val="0"/>
        <w:ind w:left="709" w:hanging="289" w:firstLineChars="0"/>
        <w:rPr>
          <w:rFonts w:ascii="Times New Roman"/>
        </w:rPr>
      </w:pPr>
      <w:r>
        <w:rPr>
          <w:rFonts w:ascii="Times New Roman"/>
        </w:rPr>
        <w:t>资源的可获得性；</w:t>
      </w:r>
    </w:p>
    <w:p w14:paraId="60FDC82A">
      <w:pPr>
        <w:pStyle w:val="40"/>
        <w:numPr>
          <w:ilvl w:val="0"/>
          <w:numId w:val="14"/>
        </w:numPr>
        <w:overflowPunct w:val="0"/>
        <w:ind w:left="709" w:hanging="289" w:firstLineChars="0"/>
        <w:rPr>
          <w:rFonts w:ascii="Times New Roman"/>
        </w:rPr>
      </w:pPr>
      <w:r>
        <w:rPr>
          <w:rFonts w:ascii="Times New Roman"/>
        </w:rPr>
        <w:t>职责和权限的分配或再分配。</w:t>
      </w:r>
    </w:p>
    <w:p w14:paraId="02F4ED8B">
      <w:pPr>
        <w:pStyle w:val="66"/>
        <w:numPr>
          <w:ilvl w:val="0"/>
          <w:numId w:val="1"/>
        </w:numPr>
        <w:overflowPunct w:val="0"/>
        <w:spacing w:before="286" w:after="286"/>
        <w:ind w:left="0" w:firstLine="0"/>
        <w:outlineLvl w:val="0"/>
        <w:rPr>
          <w:rFonts w:ascii="Times New Roman"/>
        </w:rPr>
      </w:pPr>
      <w:bookmarkStart w:id="87" w:name="_Toc220422371"/>
      <w:bookmarkStart w:id="88" w:name="_Toc187932691"/>
      <w:r>
        <w:rPr>
          <w:rFonts w:ascii="Times New Roman"/>
        </w:rPr>
        <w:t>支持</w:t>
      </w:r>
      <w:bookmarkEnd w:id="87"/>
      <w:bookmarkEnd w:id="88"/>
    </w:p>
    <w:p w14:paraId="0949B1C2">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89" w:name="_Toc220422372"/>
      <w:bookmarkStart w:id="90" w:name="_Toc187932692"/>
      <w:r>
        <w:rPr>
          <w:rFonts w:ascii="Times New Roman"/>
          <w:color w:val="000000" w:themeColor="text1"/>
          <w14:textFill>
            <w14:solidFill>
              <w14:schemeClr w14:val="tx1"/>
            </w14:solidFill>
          </w14:textFill>
        </w:rPr>
        <w:t>资源</w:t>
      </w:r>
      <w:bookmarkEnd w:id="89"/>
      <w:bookmarkEnd w:id="90"/>
    </w:p>
    <w:p w14:paraId="6B352529">
      <w:pPr>
        <w:overflowPunct w:val="0"/>
        <w:ind w:firstLine="420" w:firstLineChars="200"/>
        <w:outlineLvl w:val="2"/>
        <w:rPr>
          <w:rFonts w:ascii="Times New Roman" w:hAnsi="Times New Roman" w:eastAsia="宋体" w:cs="Times New Roman"/>
          <w:kern w:val="0"/>
          <w:szCs w:val="20"/>
        </w:rPr>
      </w:pPr>
      <w:r>
        <w:rPr>
          <w:rFonts w:ascii="Times New Roman" w:hAnsi="Times New Roman" w:eastAsia="宋体" w:cs="Times New Roman"/>
          <w:kern w:val="0"/>
          <w:szCs w:val="20"/>
        </w:rPr>
        <w:t>企业宜确定并提供建立、实施、保持和持续改进碳管理体系和碳绩效所需的资源。资源宜包括：</w:t>
      </w:r>
    </w:p>
    <w:p w14:paraId="70DF83E1">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 xml:space="preserve">人力资源； </w:t>
      </w:r>
    </w:p>
    <w:p w14:paraId="49D33251">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知识和技术资源，如碳资产、碳金融及其管理知识；先进的碳减排、碳中和技术；碳统计、</w:t>
      </w:r>
    </w:p>
    <w:p w14:paraId="463E36B3">
      <w:pPr>
        <w:overflowPunct w:val="0"/>
        <w:ind w:firstLine="1050" w:firstLineChars="500"/>
        <w:rPr>
          <w:rFonts w:ascii="Times New Roman" w:hAnsi="Times New Roman" w:eastAsia="宋体" w:cs="Times New Roman"/>
          <w:kern w:val="0"/>
          <w:szCs w:val="20"/>
        </w:rPr>
      </w:pPr>
      <w:r>
        <w:rPr>
          <w:rFonts w:ascii="Times New Roman" w:hAnsi="Times New Roman" w:eastAsia="宋体" w:cs="Times New Roman"/>
          <w:kern w:val="0"/>
          <w:szCs w:val="20"/>
        </w:rPr>
        <w:t xml:space="preserve">核查和审定技术、监测技术；第三方环境、能源和碳服务机构； </w:t>
      </w:r>
    </w:p>
    <w:p w14:paraId="5BC552BC">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 xml:space="preserve">财力资源； </w:t>
      </w:r>
    </w:p>
    <w:p w14:paraId="3C03CABE">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信息资源，如国内外碳市场的配额、交易的报告和（或）文献；碳管理体系运行的相关记录</w:t>
      </w:r>
    </w:p>
    <w:p w14:paraId="7885A9B2">
      <w:pPr>
        <w:overflowPunct w:val="0"/>
        <w:ind w:firstLine="1050" w:firstLineChars="500"/>
        <w:rPr>
          <w:rFonts w:ascii="Times New Roman" w:hAnsi="Times New Roman" w:eastAsia="宋体" w:cs="Times New Roman"/>
          <w:kern w:val="0"/>
          <w:szCs w:val="20"/>
        </w:rPr>
      </w:pPr>
      <w:r>
        <w:rPr>
          <w:rFonts w:ascii="Times New Roman" w:hAnsi="Times New Roman" w:eastAsia="宋体" w:cs="Times New Roman"/>
          <w:kern w:val="0"/>
          <w:szCs w:val="20"/>
        </w:rPr>
        <w:t xml:space="preserve">和数据； </w:t>
      </w:r>
    </w:p>
    <w:p w14:paraId="3ACC073A">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 xml:space="preserve">基础设施，如建筑物、通信、网络、设备、设施、运输和计量器具/测量仪器； </w:t>
      </w:r>
    </w:p>
    <w:p w14:paraId="28D59D94">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 xml:space="preserve">工作环境或过程运行的环境。  </w:t>
      </w:r>
    </w:p>
    <w:p w14:paraId="260AF209">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91" w:name="_Toc220422373"/>
      <w:bookmarkStart w:id="92" w:name="_Toc187932693"/>
      <w:r>
        <w:rPr>
          <w:rFonts w:ascii="Times New Roman"/>
          <w:color w:val="000000" w:themeColor="text1"/>
          <w14:textFill>
            <w14:solidFill>
              <w14:schemeClr w14:val="tx1"/>
            </w14:solidFill>
          </w14:textFill>
        </w:rPr>
        <w:t>能力</w:t>
      </w:r>
      <w:bookmarkEnd w:id="91"/>
      <w:bookmarkEnd w:id="92"/>
    </w:p>
    <w:p w14:paraId="0CF410C0">
      <w:pPr>
        <w:overflowPunct w:val="0"/>
        <w:ind w:firstLine="420" w:firstLineChars="200"/>
        <w:jc w:val="left"/>
        <w:outlineLvl w:val="2"/>
        <w:rPr>
          <w:rFonts w:ascii="Times New Roman" w:hAnsi="Times New Roman" w:eastAsia="宋体" w:cs="Times New Roman"/>
          <w:kern w:val="0"/>
          <w:szCs w:val="20"/>
        </w:rPr>
      </w:pPr>
      <w:r>
        <w:rPr>
          <w:rFonts w:ascii="Times New Roman" w:hAnsi="Times New Roman" w:eastAsia="宋体" w:cs="Times New Roman"/>
          <w:kern w:val="0"/>
          <w:szCs w:val="20"/>
        </w:rPr>
        <w:t>对影响碳管理绩效和碳管理体系绩效且受</w:t>
      </w:r>
      <w:r>
        <w:rPr>
          <w:rFonts w:hint="eastAsia" w:ascii="Times New Roman" w:hAnsi="Times New Roman" w:eastAsia="宋体" w:cs="Times New Roman"/>
          <w:kern w:val="0"/>
          <w:szCs w:val="20"/>
        </w:rPr>
        <w:t>企业</w:t>
      </w:r>
      <w:r>
        <w:rPr>
          <w:rFonts w:ascii="Times New Roman" w:hAnsi="Times New Roman" w:eastAsia="宋体" w:cs="Times New Roman"/>
          <w:kern w:val="0"/>
          <w:szCs w:val="20"/>
        </w:rPr>
        <w:t xml:space="preserve">控制的工作人员，企业宜确定其所需的能力并建立过程加以控制： </w:t>
      </w:r>
    </w:p>
    <w:p w14:paraId="0A334230">
      <w:pPr>
        <w:pStyle w:val="49"/>
        <w:numPr>
          <w:ilvl w:val="0"/>
          <w:numId w:val="15"/>
        </w:numPr>
        <w:tabs>
          <w:tab w:val="left" w:pos="840"/>
          <w:tab w:val="left" w:pos="1278"/>
        </w:tabs>
        <w:ind w:left="845" w:hanging="425"/>
        <w:jc w:val="left"/>
        <w:rPr>
          <w:rFonts w:ascii="Times New Roman"/>
        </w:rPr>
      </w:pPr>
      <w:r>
        <w:rPr>
          <w:rFonts w:ascii="Times New Roman"/>
        </w:rPr>
        <w:t>确定碳管理相关岗位能力要求；</w:t>
      </w:r>
    </w:p>
    <w:p w14:paraId="6B7ED3E5">
      <w:pPr>
        <w:pStyle w:val="49"/>
        <w:numPr>
          <w:ilvl w:val="0"/>
          <w:numId w:val="15"/>
        </w:numPr>
        <w:tabs>
          <w:tab w:val="left" w:pos="840"/>
          <w:tab w:val="left" w:pos="1278"/>
        </w:tabs>
        <w:ind w:left="845" w:hanging="425"/>
        <w:jc w:val="left"/>
        <w:rPr>
          <w:rFonts w:ascii="Times New Roman"/>
        </w:rPr>
      </w:pPr>
      <w:r>
        <w:rPr>
          <w:rFonts w:ascii="Times New Roman"/>
        </w:rPr>
        <w:t>基于适当的教育、培训，确保这些人员在技能、资质、经验、意识等方面是胜任的；</w:t>
      </w:r>
    </w:p>
    <w:p w14:paraId="7B93FBB0">
      <w:pPr>
        <w:pStyle w:val="49"/>
        <w:numPr>
          <w:ilvl w:val="0"/>
          <w:numId w:val="15"/>
        </w:numPr>
        <w:tabs>
          <w:tab w:val="left" w:pos="840"/>
          <w:tab w:val="left" w:pos="1278"/>
        </w:tabs>
        <w:ind w:left="845" w:hanging="425"/>
        <w:jc w:val="left"/>
        <w:rPr>
          <w:rFonts w:ascii="Times New Roman"/>
        </w:rPr>
      </w:pPr>
      <w:r>
        <w:rPr>
          <w:rFonts w:ascii="Times New Roman"/>
        </w:rPr>
        <w:t>按照确定的人员能力要求定期评估现有能力与所需工作的适应程度，确保胜任其角色和职责，根据评估结果，制定人员发展计划、人员能力提升计划和/或培训计划、识别保持必备能力所需的培训、教育、发展和其他支持；</w:t>
      </w:r>
    </w:p>
    <w:p w14:paraId="772B86BF">
      <w:pPr>
        <w:pStyle w:val="49"/>
        <w:numPr>
          <w:ilvl w:val="0"/>
          <w:numId w:val="15"/>
        </w:numPr>
        <w:tabs>
          <w:tab w:val="left" w:pos="840"/>
          <w:tab w:val="left" w:pos="1278"/>
        </w:tabs>
        <w:ind w:left="845" w:hanging="425"/>
        <w:jc w:val="left"/>
        <w:rPr>
          <w:rFonts w:ascii="Times New Roman"/>
        </w:rPr>
      </w:pPr>
      <w:r>
        <w:rPr>
          <w:rFonts w:ascii="Times New Roman"/>
        </w:rPr>
        <w:t>适当时，制定并采取适当的能力改善措施（如提供培训、指导或岗位调整，或聘用有能力的人员）以使其获得必要的能力，并评价措施的有效性；</w:t>
      </w:r>
    </w:p>
    <w:p w14:paraId="5BDD384F">
      <w:pPr>
        <w:pStyle w:val="49"/>
        <w:numPr>
          <w:ilvl w:val="0"/>
          <w:numId w:val="15"/>
        </w:numPr>
        <w:tabs>
          <w:tab w:val="left" w:pos="840"/>
          <w:tab w:val="left" w:pos="1278"/>
        </w:tabs>
        <w:ind w:left="845" w:hanging="425"/>
        <w:jc w:val="left"/>
        <w:rPr>
          <w:rFonts w:ascii="Times New Roman"/>
        </w:rPr>
      </w:pPr>
      <w:r>
        <w:rPr>
          <w:rFonts w:ascii="Times New Roman"/>
        </w:rPr>
        <w:t>保留适当的文件化信息作为能力的证据；</w:t>
      </w:r>
    </w:p>
    <w:p w14:paraId="0E60F1A7">
      <w:pPr>
        <w:pStyle w:val="49"/>
        <w:numPr>
          <w:ilvl w:val="0"/>
          <w:numId w:val="15"/>
        </w:numPr>
        <w:tabs>
          <w:tab w:val="left" w:pos="840"/>
          <w:tab w:val="left" w:pos="1278"/>
        </w:tabs>
        <w:ind w:left="845" w:hanging="425"/>
        <w:jc w:val="left"/>
        <w:rPr>
          <w:rFonts w:ascii="Times New Roman"/>
        </w:rPr>
      </w:pPr>
      <w:r>
        <w:rPr>
          <w:rFonts w:ascii="Times New Roman"/>
        </w:rPr>
        <w:t>定期评审当前和未来对人员能力的需要和要求。</w:t>
      </w:r>
    </w:p>
    <w:p w14:paraId="38234964">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93" w:name="_Toc187932694"/>
      <w:bookmarkStart w:id="94" w:name="_Toc220422374"/>
      <w:r>
        <w:rPr>
          <w:rFonts w:ascii="Times New Roman"/>
          <w:color w:val="000000" w:themeColor="text1"/>
          <w14:textFill>
            <w14:solidFill>
              <w14:schemeClr w14:val="tx1"/>
            </w14:solidFill>
          </w14:textFill>
        </w:rPr>
        <w:t>意识</w:t>
      </w:r>
      <w:bookmarkEnd w:id="93"/>
      <w:bookmarkEnd w:id="94"/>
    </w:p>
    <w:p w14:paraId="3CC3643C">
      <w:pPr>
        <w:overflowPunct w:val="0"/>
        <w:outlineLvl w:val="2"/>
        <w:rPr>
          <w:rFonts w:ascii="Times New Roman" w:hAnsi="Times New Roman" w:eastAsia="宋体" w:cs="Times New Roman"/>
          <w:kern w:val="0"/>
          <w:szCs w:val="20"/>
        </w:rPr>
      </w:pPr>
      <w:r>
        <w:rPr>
          <w:rFonts w:ascii="Times New Roman" w:hAnsi="Times New Roman" w:eastAsia="宋体" w:cs="Times New Roman"/>
          <w:kern w:val="0"/>
          <w:szCs w:val="20"/>
        </w:rPr>
        <w:t>7.3.1  企业可通过必要的培训、交流、考核、奖惩、企业文化建设等方式确保员工具备适当的碳管理意识。</w:t>
      </w:r>
    </w:p>
    <w:p w14:paraId="2EE922A5">
      <w:pPr>
        <w:overflowPunct w:val="0"/>
        <w:outlineLvl w:val="2"/>
        <w:rPr>
          <w:rFonts w:ascii="Times New Roman" w:hAnsi="Times New Roman" w:eastAsia="宋体" w:cs="Times New Roman"/>
          <w:kern w:val="0"/>
          <w:szCs w:val="20"/>
        </w:rPr>
      </w:pPr>
      <w:r>
        <w:rPr>
          <w:rFonts w:ascii="Times New Roman" w:hAnsi="Times New Roman" w:eastAsia="宋体" w:cs="Times New Roman"/>
          <w:kern w:val="0"/>
          <w:szCs w:val="20"/>
        </w:rPr>
        <w:t>7.3.2  培训宜包括以下内容：</w:t>
      </w:r>
    </w:p>
    <w:p w14:paraId="40E2ED68">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碳排放相关政策法规、标准和其他要求；</w:t>
      </w:r>
    </w:p>
    <w:p w14:paraId="590A566E">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——本企业的碳方针、碳目标和指标</w:t>
      </w:r>
    </w:p>
    <w:p w14:paraId="5CBA83F9">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碳管理体系标准及体系运行文件；</w:t>
      </w:r>
    </w:p>
    <w:p w14:paraId="2FBA8F7E">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——企业碳计量和统计；</w:t>
      </w:r>
    </w:p>
    <w:p w14:paraId="231FB236">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——工业企业</w:t>
      </w:r>
      <w:r>
        <w:rPr>
          <w:rFonts w:ascii="Times New Roman" w:hAnsi="Times New Roman" w:eastAsia="宋体" w:cs="Times New Roman"/>
          <w:kern w:val="0"/>
          <w:szCs w:val="20"/>
        </w:rPr>
        <w:t>碳排放核算和报告方法；</w:t>
      </w:r>
    </w:p>
    <w:p w14:paraId="12048881">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产品碳足迹核算方法；</w:t>
      </w:r>
    </w:p>
    <w:p w14:paraId="52F569E5">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效率监控与低碳运行；</w:t>
      </w:r>
    </w:p>
    <w:p w14:paraId="2BEC5667">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碳减排技术；</w:t>
      </w:r>
    </w:p>
    <w:p w14:paraId="24BB6996">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——碳资产管理知识；</w:t>
      </w:r>
    </w:p>
    <w:p w14:paraId="44CE73DD">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——碳市场交易和碳信用管理知识。</w:t>
      </w:r>
    </w:p>
    <w:p w14:paraId="3F3FACFE">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95" w:name="_Toc187932695"/>
      <w:bookmarkStart w:id="96" w:name="_Toc220422375"/>
      <w:r>
        <w:rPr>
          <w:rFonts w:ascii="Times New Roman"/>
          <w:color w:val="000000" w:themeColor="text1"/>
          <w14:textFill>
            <w14:solidFill>
              <w14:schemeClr w14:val="tx1"/>
            </w14:solidFill>
          </w14:textFill>
        </w:rPr>
        <w:t>信息交流</w:t>
      </w:r>
      <w:bookmarkEnd w:id="95"/>
      <w:bookmarkEnd w:id="96"/>
    </w:p>
    <w:p w14:paraId="08DC5F99">
      <w:pPr>
        <w:pStyle w:val="68"/>
        <w:numPr>
          <w:ilvl w:val="2"/>
          <w:numId w:val="1"/>
        </w:numPr>
        <w:overflowPunct w:val="0"/>
        <w:spacing w:before="143" w:after="143"/>
        <w:ind w:left="0" w:firstLine="0"/>
        <w:outlineLvl w:val="2"/>
        <w:rPr>
          <w:rFonts w:ascii="Times New Roman"/>
        </w:rPr>
      </w:pPr>
      <w:r>
        <w:rPr>
          <w:rFonts w:ascii="Times New Roman"/>
        </w:rPr>
        <w:t>内部信息交流</w:t>
      </w:r>
    </w:p>
    <w:p w14:paraId="094C2376">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企业宜在内部各职能和层次间建立与自身规模相适应的内部交流程序文件，并明确方式、内容、对象和时机。</w:t>
      </w:r>
    </w:p>
    <w:p w14:paraId="48F92628">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a）内部信息交流的内容可包括：</w:t>
      </w:r>
    </w:p>
    <w:p w14:paraId="1939A087">
      <w:pPr>
        <w:overflowPunct w:val="0"/>
        <w:ind w:firstLine="630" w:firstLineChars="300"/>
        <w:rPr>
          <w:rFonts w:ascii="Times New Roman" w:hAnsi="Times New Roman" w:eastAsia="宋体" w:cs="Times New Roman"/>
          <w:kern w:val="0"/>
          <w:szCs w:val="20"/>
        </w:rPr>
      </w:pPr>
      <w:bookmarkStart w:id="97" w:name="OLE_LINK9"/>
      <w:r>
        <w:rPr>
          <w:rFonts w:ascii="Times New Roman" w:hAnsi="Times New Roman" w:eastAsia="宋体" w:cs="Times New Roman"/>
          <w:kern w:val="0"/>
        </w:rPr>
        <w:t>——</w:t>
      </w:r>
      <w:bookmarkEnd w:id="97"/>
      <w:r>
        <w:rPr>
          <w:rFonts w:ascii="Times New Roman" w:hAnsi="Times New Roman" w:eastAsia="宋体" w:cs="Times New Roman"/>
          <w:kern w:val="0"/>
          <w:szCs w:val="20"/>
        </w:rPr>
        <w:t>碳方针；</w:t>
      </w:r>
    </w:p>
    <w:p w14:paraId="52D02645">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——碳目标指标及其实现情况；</w:t>
      </w:r>
    </w:p>
    <w:p w14:paraId="16590CFF">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——碳绩效及其参数；</w:t>
      </w:r>
    </w:p>
    <w:p w14:paraId="715443A3">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——碳基准；</w:t>
      </w:r>
    </w:p>
    <w:p w14:paraId="48B3BC79">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——合规义务要求；</w:t>
      </w:r>
    </w:p>
    <w:p w14:paraId="32525C54">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——碳评审结果；</w:t>
      </w:r>
    </w:p>
    <w:p w14:paraId="1CACCB59">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——低碳技术或管理经验；</w:t>
      </w:r>
    </w:p>
    <w:p w14:paraId="2C01DE17">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——不符合及纠正、预防措施；</w:t>
      </w:r>
    </w:p>
    <w:p w14:paraId="5EB1DA24">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——企业员工提出的合理化建议和意见；</w:t>
      </w:r>
    </w:p>
    <w:p w14:paraId="680A8359">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——内部审核和管理评审结果等。</w:t>
      </w:r>
    </w:p>
    <w:p w14:paraId="765DD93A">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b）内部交流的方式可以是会议、公告栏、论坛、简报、意见箱、企业内部群及互联网等。企业应当积极构建信息监控系统，实现碳数据的在线采集和实时监控。</w:t>
      </w:r>
    </w:p>
    <w:p w14:paraId="0963757E">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c）内部交流的层次有：</w:t>
      </w:r>
    </w:p>
    <w:p w14:paraId="479F1A25">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——全企业范围，如企业碳目标</w:t>
      </w:r>
      <w:r>
        <w:rPr>
          <w:rFonts w:hint="eastAsia" w:ascii="Times New Roman" w:hAnsi="Times New Roman" w:eastAsia="宋体" w:cs="Times New Roman"/>
          <w:kern w:val="0"/>
        </w:rPr>
        <w:t>应</w:t>
      </w:r>
      <w:r>
        <w:rPr>
          <w:rFonts w:ascii="Times New Roman" w:hAnsi="Times New Roman" w:eastAsia="宋体" w:cs="Times New Roman"/>
          <w:kern w:val="0"/>
        </w:rPr>
        <w:t>在全企业开展交流宣传；</w:t>
      </w:r>
    </w:p>
    <w:p w14:paraId="3DBAE033">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——各部门/车间内部，如碳评审相关内容应传达至相应部门/车间；</w:t>
      </w:r>
    </w:p>
    <w:p w14:paraId="4537C770">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——某个系统，如能源利用效率</w:t>
      </w:r>
      <w:r>
        <w:rPr>
          <w:rFonts w:hint="eastAsia" w:ascii="Times New Roman" w:hAnsi="Times New Roman" w:eastAsia="宋体" w:cs="Times New Roman"/>
          <w:kern w:val="0"/>
        </w:rPr>
        <w:t>应</w:t>
      </w:r>
      <w:r>
        <w:rPr>
          <w:rFonts w:ascii="Times New Roman" w:hAnsi="Times New Roman" w:eastAsia="宋体" w:cs="Times New Roman"/>
          <w:kern w:val="0"/>
        </w:rPr>
        <w:t>及时在企业能源供给系统中交流。</w:t>
      </w:r>
    </w:p>
    <w:p w14:paraId="07EAF566">
      <w:pPr>
        <w:pStyle w:val="68"/>
        <w:numPr>
          <w:ilvl w:val="2"/>
          <w:numId w:val="1"/>
        </w:numPr>
        <w:overflowPunct w:val="0"/>
        <w:spacing w:before="143" w:after="143"/>
        <w:ind w:left="0" w:firstLine="0"/>
        <w:outlineLvl w:val="2"/>
        <w:rPr>
          <w:rFonts w:ascii="Times New Roman"/>
        </w:rPr>
      </w:pPr>
      <w:r>
        <w:rPr>
          <w:rFonts w:ascii="Times New Roman"/>
        </w:rPr>
        <w:t>外部信息交流</w:t>
      </w:r>
    </w:p>
    <w:p w14:paraId="5BD4F822">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企业宜就碳管理和碳绩效进行外部交流。外部信息交流的对象可包括政府、社团（如行业协会）、监管机构、客户、其他相关方（如核查机构、碳资产管理机构）等。</w:t>
      </w:r>
    </w:p>
    <w:p w14:paraId="14402564">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a）外部沟通和信息交流的内容包括</w:t>
      </w:r>
      <w:r>
        <w:rPr>
          <w:rFonts w:hint="eastAsia" w:ascii="Times New Roman" w:hAnsi="Times New Roman" w:eastAsia="宋体" w:cs="Times New Roman"/>
          <w:kern w:val="0"/>
          <w:szCs w:val="20"/>
        </w:rPr>
        <w:t>但不限于</w:t>
      </w:r>
      <w:r>
        <w:rPr>
          <w:rFonts w:ascii="Times New Roman" w:hAnsi="Times New Roman" w:eastAsia="宋体" w:cs="Times New Roman"/>
          <w:kern w:val="0"/>
          <w:szCs w:val="20"/>
        </w:rPr>
        <w:t>：</w:t>
      </w:r>
    </w:p>
    <w:p w14:paraId="7BE73C86">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碳方针；</w:t>
      </w:r>
    </w:p>
    <w:p w14:paraId="7109E0A8">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——碳目标指标；</w:t>
      </w:r>
    </w:p>
    <w:p w14:paraId="22FC702A">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——碳绩效；</w:t>
      </w:r>
    </w:p>
    <w:p w14:paraId="4967BAB9">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——碳交易；</w:t>
      </w:r>
    </w:p>
    <w:p w14:paraId="2B731F47">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——碳金融等。</w:t>
      </w:r>
    </w:p>
    <w:p w14:paraId="2A5CA5B7">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b）外部信息交流的方式有会议公布、对外开放日、论坛、对话、网站、电子邮件、新闻发布会、广告、年度报告、通讯简报、热线电话等。</w:t>
      </w:r>
    </w:p>
    <w:p w14:paraId="3F4E3539">
      <w:pPr>
        <w:pStyle w:val="68"/>
        <w:numPr>
          <w:ilvl w:val="2"/>
          <w:numId w:val="1"/>
        </w:numPr>
        <w:overflowPunct w:val="0"/>
        <w:spacing w:before="143" w:after="143"/>
        <w:ind w:left="0" w:firstLine="0"/>
        <w:outlineLvl w:val="2"/>
        <w:rPr>
          <w:rFonts w:ascii="Times New Roman"/>
        </w:rPr>
      </w:pPr>
      <w:bookmarkStart w:id="98" w:name="_Hlk216269356"/>
      <w:r>
        <w:rPr>
          <w:rFonts w:ascii="Times New Roman"/>
        </w:rPr>
        <w:t>碳信息披露</w:t>
      </w:r>
      <w:bookmarkEnd w:id="98"/>
    </w:p>
    <w:p w14:paraId="365C9A15">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企业按照拟定的披露原则、披露方式和披露内容进行碳排放信息披露活动，具体包括：</w:t>
      </w:r>
    </w:p>
    <w:p w14:paraId="198FF152">
      <w:pPr>
        <w:pStyle w:val="3"/>
        <w:numPr>
          <w:ilvl w:val="0"/>
          <w:numId w:val="16"/>
        </w:numPr>
        <w:overflowPunct w:val="0"/>
        <w:ind w:firstLineChars="0"/>
        <w:rPr>
          <w:rFonts w:ascii="Times New Roman" w:hAnsi="Times New Roman" w:eastAsia="宋体" w:cs="Times New Roman"/>
          <w:kern w:val="0"/>
          <w:szCs w:val="20"/>
        </w:rPr>
      </w:pPr>
      <w:r>
        <w:rPr>
          <w:rFonts w:ascii="Times New Roman" w:hAnsi="Times New Roman" w:eastAsia="宋体" w:cs="Times New Roman"/>
          <w:kern w:val="0"/>
          <w:szCs w:val="20"/>
        </w:rPr>
        <w:t>宜符合GB/T 26450确立的原则，并建立碳排放信息披露准则；</w:t>
      </w:r>
    </w:p>
    <w:p w14:paraId="42299A86">
      <w:pPr>
        <w:pStyle w:val="3"/>
        <w:numPr>
          <w:ilvl w:val="0"/>
          <w:numId w:val="16"/>
        </w:numPr>
        <w:overflowPunct w:val="0"/>
        <w:ind w:firstLineChars="0"/>
        <w:rPr>
          <w:rFonts w:ascii="Times New Roman" w:hAnsi="Times New Roman" w:eastAsia="宋体" w:cs="Times New Roman"/>
          <w:kern w:val="0"/>
          <w:szCs w:val="20"/>
        </w:rPr>
      </w:pPr>
      <w:r>
        <w:rPr>
          <w:rFonts w:ascii="Times New Roman" w:hAnsi="Times New Roman" w:eastAsia="宋体" w:cs="Times New Roman"/>
          <w:kern w:val="0"/>
          <w:szCs w:val="20"/>
        </w:rPr>
        <w:t>宜按照不同的披露方式（即主动披露和应询披露）确定披露内容；</w:t>
      </w:r>
    </w:p>
    <w:p w14:paraId="5119E84F">
      <w:pPr>
        <w:pStyle w:val="3"/>
        <w:numPr>
          <w:ilvl w:val="0"/>
          <w:numId w:val="16"/>
        </w:numPr>
        <w:overflowPunct w:val="0"/>
        <w:ind w:firstLineChars="0"/>
        <w:rPr>
          <w:rFonts w:ascii="Times New Roman" w:hAnsi="Times New Roman" w:eastAsia="宋体" w:cs="Times New Roman"/>
          <w:kern w:val="0"/>
          <w:szCs w:val="20"/>
        </w:rPr>
      </w:pPr>
      <w:r>
        <w:rPr>
          <w:rFonts w:ascii="Times New Roman" w:hAnsi="Times New Roman" w:eastAsia="宋体" w:cs="Times New Roman"/>
          <w:kern w:val="0"/>
          <w:szCs w:val="20"/>
        </w:rPr>
        <w:t>宜披露企业自身运营活动的碳信息和（或）企业供应链上下游活动的碳信息，可重点披露：</w:t>
      </w:r>
    </w:p>
    <w:p w14:paraId="69F21289">
      <w:pPr>
        <w:pStyle w:val="3"/>
        <w:overflowPunct w:val="0"/>
        <w:ind w:left="780" w:firstLine="0" w:firstLineChars="0"/>
        <w:rPr>
          <w:rFonts w:ascii="Times New Roman" w:hAnsi="Times New Roman" w:eastAsia="宋体" w:cs="Times New Roman"/>
          <w:kern w:val="0"/>
        </w:rPr>
      </w:pPr>
      <w:r>
        <w:rPr>
          <w:rFonts w:ascii="Times New Roman" w:hAnsi="Times New Roman" w:eastAsia="宋体" w:cs="Times New Roman"/>
          <w:kern w:val="0"/>
        </w:rPr>
        <w:t>——目标类碳信息，如企业的碳减排或中和目标、实现路径等；</w:t>
      </w:r>
    </w:p>
    <w:p w14:paraId="06BE0AEF">
      <w:pPr>
        <w:pStyle w:val="3"/>
        <w:overflowPunct w:val="0"/>
        <w:ind w:left="780" w:firstLine="0" w:firstLineChars="0"/>
        <w:rPr>
          <w:rFonts w:ascii="Times New Roman" w:hAnsi="Times New Roman" w:eastAsia="宋体" w:cs="Times New Roman"/>
          <w:kern w:val="0"/>
        </w:rPr>
      </w:pPr>
      <w:r>
        <w:rPr>
          <w:rFonts w:ascii="Times New Roman" w:hAnsi="Times New Roman" w:eastAsia="宋体" w:cs="Times New Roman"/>
          <w:kern w:val="0"/>
        </w:rPr>
        <w:t>——绩效类碳信息，如减少排放的量、抵消排放的量；</w:t>
      </w:r>
    </w:p>
    <w:p w14:paraId="43B61B49">
      <w:pPr>
        <w:pStyle w:val="3"/>
        <w:overflowPunct w:val="0"/>
        <w:ind w:left="780" w:firstLine="0" w:firstLineChars="0"/>
        <w:rPr>
          <w:rFonts w:ascii="Times New Roman" w:hAnsi="Times New Roman" w:eastAsia="宋体" w:cs="Times New Roman"/>
          <w:kern w:val="0"/>
          <w:szCs w:val="20"/>
        </w:rPr>
      </w:pPr>
      <w:r>
        <w:rPr>
          <w:rFonts w:ascii="Times New Roman" w:hAnsi="Times New Roman" w:eastAsia="宋体" w:cs="Times New Roman"/>
          <w:kern w:val="0"/>
        </w:rPr>
        <w:t>——举措类碳信息，如采取的减碳行动。</w:t>
      </w:r>
    </w:p>
    <w:p w14:paraId="3C419CA8">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信息披露方式包括报表、报告、会议、专利和著作、口头交流、自动化系统等。</w:t>
      </w:r>
    </w:p>
    <w:p w14:paraId="3C23AA67">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99" w:name="_Toc187932696"/>
      <w:bookmarkStart w:id="100" w:name="_Toc220422376"/>
      <w:r>
        <w:rPr>
          <w:rFonts w:ascii="Times New Roman"/>
          <w:color w:val="000000" w:themeColor="text1"/>
          <w14:textFill>
            <w14:solidFill>
              <w14:schemeClr w14:val="tx1"/>
            </w14:solidFill>
          </w14:textFill>
        </w:rPr>
        <w:t>文件化信息</w:t>
      </w:r>
      <w:bookmarkEnd w:id="99"/>
      <w:bookmarkEnd w:id="100"/>
    </w:p>
    <w:p w14:paraId="3F4D154C">
      <w:pPr>
        <w:pStyle w:val="68"/>
        <w:numPr>
          <w:ilvl w:val="2"/>
          <w:numId w:val="1"/>
        </w:numPr>
        <w:overflowPunct w:val="0"/>
        <w:spacing w:before="143" w:after="143"/>
        <w:ind w:left="0" w:firstLine="0"/>
        <w:outlineLvl w:val="2"/>
        <w:rPr>
          <w:rFonts w:ascii="Times New Roman"/>
        </w:rPr>
      </w:pPr>
      <w:r>
        <w:rPr>
          <w:rFonts w:ascii="Times New Roman"/>
        </w:rPr>
        <w:t>文件化信息内容</w:t>
      </w:r>
    </w:p>
    <w:p w14:paraId="0B36E353">
      <w:pPr>
        <w:overflowPunct w:val="0"/>
        <w:ind w:firstLine="420" w:firstLineChars="200"/>
        <w:rPr>
          <w:rFonts w:ascii="Times New Roman" w:hAnsi="Times New Roman" w:eastAsia="宋体" w:cs="Times New Roman"/>
          <w:kern w:val="0"/>
        </w:rPr>
      </w:pPr>
      <w:r>
        <w:rPr>
          <w:rFonts w:ascii="Times New Roman" w:hAnsi="Times New Roman" w:eastAsia="宋体" w:cs="Times New Roman"/>
          <w:kern w:val="0"/>
        </w:rPr>
        <w:t xml:space="preserve">企业宜建立、实施并保持文件化信息，以确保碳管理体系的有效实施和持续改进。 </w:t>
      </w:r>
    </w:p>
    <w:p w14:paraId="53BB8B0B">
      <w:pPr>
        <w:overflowPunct w:val="0"/>
        <w:ind w:firstLine="420" w:firstLineChars="200"/>
        <w:rPr>
          <w:rFonts w:ascii="Times New Roman" w:hAnsi="Times New Roman" w:eastAsia="宋体" w:cs="Times New Roman"/>
          <w:kern w:val="0"/>
        </w:rPr>
      </w:pPr>
      <w:r>
        <w:rPr>
          <w:rFonts w:ascii="Times New Roman" w:hAnsi="Times New Roman" w:eastAsia="宋体" w:cs="Times New Roman"/>
          <w:kern w:val="0"/>
        </w:rPr>
        <w:t>与碳管理体系有关的文件化信息范围因不同的企业而不同，具体取决于：</w:t>
      </w:r>
    </w:p>
    <w:p w14:paraId="5CD1FF0F">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——企业的规模和活动、过程、产品和服务的类型；</w:t>
      </w:r>
    </w:p>
    <w:p w14:paraId="7F32C906">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——过程及其相互作用的复杂程度；</w:t>
      </w:r>
    </w:p>
    <w:p w14:paraId="5A56DE91">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——员工能力；</w:t>
      </w:r>
    </w:p>
    <w:p w14:paraId="553C3898">
      <w:pPr>
        <w:overflowPunct w:val="0"/>
        <w:spacing w:line="0" w:lineRule="atLeast"/>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——碳管理活动的复杂程度。</w:t>
      </w:r>
      <w:r>
        <w:rPr>
          <w:rFonts w:ascii="Times New Roman" w:hAnsi="Times New Roman" w:eastAsia="宋体" w:cs="Times New Roman"/>
          <w:kern w:val="0"/>
          <w:szCs w:val="20"/>
        </w:rPr>
        <w:t xml:space="preserve"> </w:t>
      </w:r>
    </w:p>
    <w:p w14:paraId="0253FDA2">
      <w:pPr>
        <w:pStyle w:val="68"/>
        <w:numPr>
          <w:ilvl w:val="2"/>
          <w:numId w:val="1"/>
        </w:numPr>
        <w:overflowPunct w:val="0"/>
        <w:spacing w:before="143" w:after="143"/>
        <w:ind w:left="0" w:firstLine="0"/>
        <w:outlineLvl w:val="2"/>
        <w:rPr>
          <w:rFonts w:ascii="Times New Roman"/>
        </w:rPr>
      </w:pPr>
      <w:r>
        <w:rPr>
          <w:rFonts w:ascii="Times New Roman"/>
        </w:rPr>
        <w:t>创建和更新</w:t>
      </w:r>
    </w:p>
    <w:p w14:paraId="6B35DE3B">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创建和更新文件化信息时，</w:t>
      </w:r>
      <w:r>
        <w:rPr>
          <w:rFonts w:hint="eastAsia" w:ascii="Times New Roman" w:hAnsi="Times New Roman" w:eastAsia="宋体" w:cs="Times New Roman"/>
          <w:kern w:val="0"/>
          <w:szCs w:val="20"/>
        </w:rPr>
        <w:t>企业</w:t>
      </w:r>
      <w:r>
        <w:rPr>
          <w:rFonts w:ascii="Times New Roman" w:hAnsi="Times New Roman" w:eastAsia="宋体" w:cs="Times New Roman"/>
          <w:kern w:val="0"/>
          <w:szCs w:val="20"/>
        </w:rPr>
        <w:t xml:space="preserve">应确保适当的： </w:t>
      </w:r>
    </w:p>
    <w:p w14:paraId="0C9B67FD">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 xml:space="preserve">a) 标识和说明（如标题、日期、作者或参考文件编号）； </w:t>
      </w:r>
    </w:p>
    <w:p w14:paraId="40F10457">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 xml:space="preserve">b) 形式（如语言文字、软件版本、图表）和载体（如纸质的、电子的）； </w:t>
      </w:r>
    </w:p>
    <w:p w14:paraId="7940569E">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c) 评审和批准，以确保适宜性和充分性。</w:t>
      </w:r>
    </w:p>
    <w:p w14:paraId="3447E382">
      <w:pPr>
        <w:pStyle w:val="68"/>
        <w:numPr>
          <w:ilvl w:val="2"/>
          <w:numId w:val="1"/>
        </w:numPr>
        <w:overflowPunct w:val="0"/>
        <w:spacing w:before="143" w:after="143"/>
        <w:ind w:left="0" w:firstLine="0"/>
        <w:outlineLvl w:val="2"/>
        <w:rPr>
          <w:rFonts w:ascii="Times New Roman"/>
        </w:rPr>
      </w:pPr>
      <w:r>
        <w:rPr>
          <w:rFonts w:ascii="Times New Roman"/>
        </w:rPr>
        <w:t>文件化信息的控制</w:t>
      </w:r>
    </w:p>
    <w:p w14:paraId="44EFD2A9">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 xml:space="preserve">企业宜控制碳管理体系及本文件要求的文件化信息，以确保其： </w:t>
      </w:r>
    </w:p>
    <w:p w14:paraId="3F716E78">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 xml:space="preserve">a) 在需要的场所和时间，均可获得并适用； </w:t>
      </w:r>
    </w:p>
    <w:p w14:paraId="7DA7B999">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 xml:space="preserve">b) 得到充分的保护（如防止失密、不当使用或完整性受损）。 </w:t>
      </w:r>
    </w:p>
    <w:p w14:paraId="268811C7">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 xml:space="preserve">为了控制文件化信息，适用时，组织宜实施以下活动： </w:t>
      </w:r>
    </w:p>
    <w:p w14:paraId="4D1EC80C">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 xml:space="preserve">——分发、访问、检索和使用； </w:t>
      </w:r>
    </w:p>
    <w:p w14:paraId="30ED5C83">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 xml:space="preserve">——存储和保护，包括保持易读性； </w:t>
      </w:r>
    </w:p>
    <w:p w14:paraId="1D02D380">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 xml:space="preserve">——更改的控制（如版本控制）； </w:t>
      </w:r>
    </w:p>
    <w:p w14:paraId="10789B09">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 xml:space="preserve">——保留和处置。 </w:t>
      </w:r>
    </w:p>
    <w:p w14:paraId="7DE07152">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企业宜识别其确定的碳管理体系策划和运行所需的来自外部的文件化信息，适当时，应予以控制。</w:t>
      </w:r>
    </w:p>
    <w:p w14:paraId="26685AD1">
      <w:pPr>
        <w:pStyle w:val="66"/>
        <w:numPr>
          <w:ilvl w:val="0"/>
          <w:numId w:val="1"/>
        </w:numPr>
        <w:overflowPunct w:val="0"/>
        <w:spacing w:before="286" w:after="286"/>
        <w:ind w:left="0" w:firstLine="0"/>
        <w:outlineLvl w:val="0"/>
        <w:rPr>
          <w:rFonts w:ascii="Times New Roman"/>
        </w:rPr>
      </w:pPr>
      <w:bookmarkStart w:id="101" w:name="_Toc220422377"/>
      <w:bookmarkStart w:id="102" w:name="_Toc187932697"/>
      <w:r>
        <w:rPr>
          <w:rFonts w:ascii="Times New Roman"/>
        </w:rPr>
        <w:t>运行</w:t>
      </w:r>
      <w:bookmarkEnd w:id="101"/>
      <w:bookmarkEnd w:id="102"/>
      <w:r>
        <w:rPr>
          <w:rFonts w:ascii="Times New Roman"/>
        </w:rPr>
        <w:t xml:space="preserve"> </w:t>
      </w:r>
    </w:p>
    <w:p w14:paraId="0C70B981">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103" w:name="_Toc220422378"/>
      <w:bookmarkStart w:id="104" w:name="_Toc187932698"/>
      <w:r>
        <w:rPr>
          <w:rFonts w:ascii="Times New Roman"/>
          <w:color w:val="000000" w:themeColor="text1"/>
          <w14:textFill>
            <w14:solidFill>
              <w14:schemeClr w14:val="tx1"/>
            </w14:solidFill>
          </w14:textFill>
        </w:rPr>
        <w:t>总则</w:t>
      </w:r>
      <w:bookmarkEnd w:id="103"/>
      <w:bookmarkEnd w:id="104"/>
      <w:r>
        <w:rPr>
          <w:rFonts w:ascii="Times New Roman"/>
          <w:color w:val="000000" w:themeColor="text1"/>
          <w14:textFill>
            <w14:solidFill>
              <w14:schemeClr w14:val="tx1"/>
            </w14:solidFill>
          </w14:textFill>
        </w:rPr>
        <w:t xml:space="preserve"> </w:t>
      </w:r>
    </w:p>
    <w:p w14:paraId="024F85A0">
      <w:pPr>
        <w:overflowPunct w:val="0"/>
        <w:rPr>
          <w:rFonts w:ascii="Times New Roman" w:hAnsi="Times New Roman" w:eastAsia="宋体" w:cs="Times New Roman"/>
          <w:kern w:val="0"/>
          <w:szCs w:val="21"/>
        </w:rPr>
      </w:pPr>
      <w:r>
        <w:rPr>
          <w:rFonts w:ascii="Times New Roman" w:hAnsi="Times New Roman" w:eastAsia="宋体" w:cs="Times New Roman"/>
          <w:kern w:val="0"/>
          <w:szCs w:val="21"/>
        </w:rPr>
        <w:t>8.1.1  企业应基于全生命周期理念和风险思维，识别与其碳管理体系有关的过程，针对这些过程确定运行准则，按照运行准则进行过程控制。企业可根据过程特点及其对碳管理体系的影响确定控制措施和程度。企业宜保持运行准则的文件化信息，同时保留相关运行过程和结果的文件化信息。</w:t>
      </w:r>
    </w:p>
    <w:p w14:paraId="3FC5F6A9">
      <w:pPr>
        <w:overflowPunct w:val="0"/>
        <w:rPr>
          <w:rFonts w:ascii="Times New Roman" w:hAnsi="Times New Roman" w:eastAsia="宋体" w:cs="Times New Roman"/>
          <w:kern w:val="0"/>
          <w:szCs w:val="21"/>
        </w:rPr>
      </w:pPr>
      <w:r>
        <w:rPr>
          <w:rFonts w:ascii="Times New Roman" w:hAnsi="Times New Roman" w:eastAsia="宋体" w:cs="Times New Roman"/>
          <w:kern w:val="0"/>
          <w:szCs w:val="21"/>
        </w:rPr>
        <w:t>8.1.2  企业宜从生命周期理念出发，按照GB/T 24067的相关要求，分析各生命周期排放重点环节，制定经济、技术可行的减排策略。</w:t>
      </w:r>
    </w:p>
    <w:p w14:paraId="28947954">
      <w:pPr>
        <w:overflowPunct w:val="0"/>
        <w:rPr>
          <w:rFonts w:ascii="Times New Roman" w:hAnsi="Times New Roman" w:eastAsia="宋体" w:cs="Times New Roman"/>
          <w:kern w:val="0"/>
          <w:szCs w:val="21"/>
        </w:rPr>
      </w:pPr>
      <w:r>
        <w:rPr>
          <w:rFonts w:ascii="Times New Roman" w:hAnsi="Times New Roman" w:eastAsia="宋体" w:cs="Times New Roman"/>
          <w:kern w:val="0"/>
          <w:szCs w:val="21"/>
        </w:rPr>
        <w:t>8.1.3  企业宜对8.2~8.4中涉及的减碳措施进行减碳绩效评估，按照ISO 14064-2的相关要求，合理设定减排基准线情景，科学计算所开展减碳项目的减碳绩效。</w:t>
      </w:r>
    </w:p>
    <w:p w14:paraId="62FF6461">
      <w:pPr>
        <w:overflowPunct w:val="0"/>
        <w:rPr>
          <w:rFonts w:ascii="Times New Roman" w:hAnsi="Times New Roman" w:eastAsia="宋体" w:cs="Times New Roman"/>
          <w:kern w:val="0"/>
          <w:szCs w:val="21"/>
        </w:rPr>
      </w:pPr>
      <w:r>
        <w:rPr>
          <w:rFonts w:ascii="Times New Roman" w:hAnsi="Times New Roman" w:eastAsia="宋体" w:cs="Times New Roman"/>
          <w:kern w:val="0"/>
          <w:szCs w:val="21"/>
        </w:rPr>
        <w:t>8.1.4  企业以碳中和为目标的管理过程宜按照ISO 14068-1的原则和要求开展。</w:t>
      </w:r>
    </w:p>
    <w:p w14:paraId="7ABAC769">
      <w:pPr>
        <w:overflowPunct w:val="0"/>
        <w:rPr>
          <w:rFonts w:ascii="Times New Roman" w:hAnsi="Times New Roman" w:eastAsia="宋体" w:cs="Times New Roman"/>
          <w:kern w:val="0"/>
          <w:szCs w:val="21"/>
        </w:rPr>
      </w:pPr>
      <w:r>
        <w:rPr>
          <w:rFonts w:ascii="Times New Roman" w:hAnsi="Times New Roman" w:eastAsia="宋体" w:cs="Times New Roman"/>
          <w:kern w:val="0"/>
          <w:szCs w:val="21"/>
        </w:rPr>
        <w:t>8.1.5  企业宜定期评审并确认运行过程中存在的潜在影响碳绩效的因素</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定期确认有关的控制措施和运行准则，并加以更新。</w:t>
      </w:r>
    </w:p>
    <w:p w14:paraId="6A80EFBE">
      <w:pPr>
        <w:overflowPunct w:val="0"/>
        <w:rPr>
          <w:rFonts w:ascii="Times New Roman" w:hAnsi="Times New Roman" w:eastAsia="宋体" w:cs="Times New Roman"/>
          <w:kern w:val="0"/>
          <w:szCs w:val="20"/>
        </w:rPr>
      </w:pPr>
      <w:r>
        <w:rPr>
          <w:rFonts w:ascii="Times New Roman" w:hAnsi="Times New Roman" w:eastAsia="宋体" w:cs="Times New Roman"/>
          <w:kern w:val="0"/>
          <w:szCs w:val="21"/>
        </w:rPr>
        <w:t>8.1.6  企业宜定期与外部供方（包括合同方）沟通其相关合规义务和碳绩效要求及影响因素，并保留相关文件化信息。</w:t>
      </w:r>
    </w:p>
    <w:p w14:paraId="6F7A3BBD">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105" w:name="_Toc187932699"/>
      <w:bookmarkStart w:id="106" w:name="_Toc220422379"/>
      <w:r>
        <w:rPr>
          <w:rFonts w:ascii="Times New Roman"/>
          <w:color w:val="000000" w:themeColor="text1"/>
          <w14:textFill>
            <w14:solidFill>
              <w14:schemeClr w14:val="tx1"/>
            </w14:solidFill>
          </w14:textFill>
        </w:rPr>
        <w:t>设计控制</w:t>
      </w:r>
      <w:bookmarkEnd w:id="105"/>
      <w:bookmarkEnd w:id="106"/>
    </w:p>
    <w:p w14:paraId="63E4389D">
      <w:pPr>
        <w:pStyle w:val="46"/>
        <w:overflowPunct w:val="0"/>
        <w:snapToGrid w:val="0"/>
        <w:spacing w:after="0" w:line="240" w:lineRule="auto"/>
        <w:ind w:firstLine="420" w:firstLineChars="200"/>
        <w:jc w:val="both"/>
        <w:rPr>
          <w:rFonts w:hint="default" w:ascii="Times New Roman" w:hAnsi="Times New Roman"/>
          <w:b w:val="0"/>
          <w:sz w:val="21"/>
        </w:rPr>
      </w:pPr>
      <w:r>
        <w:rPr>
          <w:rFonts w:hint="default" w:ascii="Times New Roman" w:hAnsi="Times New Roman"/>
          <w:b w:val="0"/>
          <w:sz w:val="21"/>
        </w:rPr>
        <w:t>企业在新改扩建项目设计、工艺设计和产品设计时，宜识别出对其碳绩效有显著影响的因素。必要时，建立设计准则加以控制，并保留与碳绩效相关的设计活动的文件化信息。</w:t>
      </w:r>
    </w:p>
    <w:p w14:paraId="455CDBDE">
      <w:pPr>
        <w:pStyle w:val="46"/>
        <w:numPr>
          <w:ilvl w:val="0"/>
          <w:numId w:val="17"/>
        </w:numPr>
        <w:overflowPunct w:val="0"/>
        <w:snapToGrid w:val="0"/>
        <w:spacing w:after="0" w:line="240" w:lineRule="auto"/>
        <w:jc w:val="both"/>
        <w:rPr>
          <w:rFonts w:hint="default" w:ascii="Times New Roman" w:hAnsi="Times New Roman"/>
          <w:b w:val="0"/>
          <w:sz w:val="21"/>
        </w:rPr>
      </w:pPr>
      <w:r>
        <w:rPr>
          <w:rFonts w:hint="default" w:ascii="Times New Roman" w:hAnsi="Times New Roman"/>
          <w:b w:val="0"/>
          <w:sz w:val="21"/>
        </w:rPr>
        <w:t>项目设计，宜考虑：</w:t>
      </w:r>
    </w:p>
    <w:p w14:paraId="166B9EA8">
      <w:pPr>
        <w:pStyle w:val="46"/>
        <w:overflowPunct w:val="0"/>
        <w:snapToGrid w:val="0"/>
        <w:spacing w:after="0" w:line="240" w:lineRule="auto"/>
        <w:ind w:left="780"/>
        <w:jc w:val="both"/>
        <w:rPr>
          <w:rFonts w:hint="default" w:ascii="Times New Roman" w:hAnsi="Times New Roman"/>
          <w:b w:val="0"/>
          <w:sz w:val="21"/>
        </w:rPr>
      </w:pPr>
      <w:bookmarkStart w:id="107" w:name="OLE_LINK10"/>
      <w:r>
        <w:rPr>
          <w:rFonts w:hint="default" w:ascii="Times New Roman" w:hAnsi="Times New Roman"/>
          <w:kern w:val="0"/>
          <w:sz w:val="21"/>
          <w:szCs w:val="21"/>
        </w:rPr>
        <w:t>·</w:t>
      </w:r>
      <w:bookmarkEnd w:id="107"/>
      <w:r>
        <w:rPr>
          <w:rFonts w:hint="default" w:ascii="Times New Roman" w:hAnsi="Times New Roman"/>
          <w:b w:val="0"/>
          <w:sz w:val="21"/>
        </w:rPr>
        <w:t>国家产业政策要求；</w:t>
      </w:r>
    </w:p>
    <w:p w14:paraId="39B23FB0">
      <w:pPr>
        <w:pStyle w:val="46"/>
        <w:overflowPunct w:val="0"/>
        <w:snapToGrid w:val="0"/>
        <w:spacing w:after="0" w:line="240" w:lineRule="auto"/>
        <w:ind w:left="780"/>
        <w:jc w:val="both"/>
        <w:rPr>
          <w:rFonts w:hint="default" w:ascii="Times New Roman" w:hAnsi="Times New Roman"/>
          <w:b w:val="0"/>
          <w:sz w:val="21"/>
        </w:rPr>
      </w:pPr>
      <w:r>
        <w:rPr>
          <w:rFonts w:hint="default" w:ascii="Times New Roman" w:hAnsi="Times New Roman"/>
          <w:kern w:val="0"/>
          <w:sz w:val="21"/>
          <w:szCs w:val="21"/>
        </w:rPr>
        <w:t>·</w:t>
      </w:r>
      <w:r>
        <w:rPr>
          <w:rFonts w:hint="default" w:ascii="Times New Roman" w:hAnsi="Times New Roman"/>
          <w:b w:val="0"/>
          <w:sz w:val="21"/>
        </w:rPr>
        <w:t>项目碳排放水平；</w:t>
      </w:r>
    </w:p>
    <w:p w14:paraId="064226AC">
      <w:pPr>
        <w:pStyle w:val="46"/>
        <w:overflowPunct w:val="0"/>
        <w:snapToGrid w:val="0"/>
        <w:spacing w:after="0" w:line="240" w:lineRule="auto"/>
        <w:ind w:left="780"/>
        <w:jc w:val="both"/>
        <w:rPr>
          <w:rFonts w:hint="default" w:ascii="Times New Roman" w:hAnsi="Times New Roman"/>
          <w:b w:val="0"/>
          <w:sz w:val="21"/>
        </w:rPr>
      </w:pPr>
      <w:r>
        <w:rPr>
          <w:rFonts w:hint="default" w:ascii="Times New Roman" w:hAnsi="Times New Roman"/>
          <w:kern w:val="0"/>
          <w:sz w:val="21"/>
          <w:szCs w:val="21"/>
        </w:rPr>
        <w:t>·</w:t>
      </w:r>
      <w:r>
        <w:rPr>
          <w:rFonts w:hint="default" w:ascii="Times New Roman" w:hAnsi="Times New Roman"/>
          <w:b w:val="0"/>
          <w:sz w:val="21"/>
        </w:rPr>
        <w:t>项目环境影响评价和节能审查对碳排放的要求；</w:t>
      </w:r>
    </w:p>
    <w:p w14:paraId="32D23EE5">
      <w:pPr>
        <w:pStyle w:val="46"/>
        <w:overflowPunct w:val="0"/>
        <w:snapToGrid w:val="0"/>
        <w:spacing w:after="0" w:line="240" w:lineRule="auto"/>
        <w:ind w:left="780"/>
        <w:jc w:val="both"/>
        <w:rPr>
          <w:rFonts w:hint="default" w:ascii="Times New Roman" w:hAnsi="Times New Roman"/>
          <w:b w:val="0"/>
          <w:sz w:val="21"/>
        </w:rPr>
      </w:pPr>
      <w:r>
        <w:rPr>
          <w:rFonts w:hint="default" w:ascii="Times New Roman" w:hAnsi="Times New Roman"/>
          <w:kern w:val="0"/>
          <w:sz w:val="21"/>
          <w:szCs w:val="21"/>
        </w:rPr>
        <w:t>·</w:t>
      </w:r>
      <w:r>
        <w:rPr>
          <w:rFonts w:hint="default" w:ascii="Times New Roman" w:hAnsi="Times New Roman"/>
          <w:b w:val="0"/>
          <w:sz w:val="21"/>
        </w:rPr>
        <w:t>企业减污降碳的协同性；</w:t>
      </w:r>
    </w:p>
    <w:p w14:paraId="46C3A9B0">
      <w:pPr>
        <w:pStyle w:val="46"/>
        <w:overflowPunct w:val="0"/>
        <w:snapToGrid w:val="0"/>
        <w:spacing w:after="0" w:line="240" w:lineRule="auto"/>
        <w:ind w:left="780"/>
        <w:jc w:val="both"/>
        <w:rPr>
          <w:rFonts w:hint="default" w:ascii="Times New Roman" w:hAnsi="Times New Roman"/>
          <w:b w:val="0"/>
          <w:sz w:val="21"/>
        </w:rPr>
      </w:pPr>
      <w:r>
        <w:rPr>
          <w:rFonts w:hint="default" w:ascii="Times New Roman" w:hAnsi="Times New Roman"/>
          <w:kern w:val="0"/>
          <w:sz w:val="21"/>
          <w:szCs w:val="21"/>
        </w:rPr>
        <w:t>·</w:t>
      </w:r>
      <w:r>
        <w:rPr>
          <w:rFonts w:hint="default" w:ascii="Times New Roman" w:hAnsi="Times New Roman"/>
          <w:b w:val="0"/>
          <w:sz w:val="21"/>
        </w:rPr>
        <w:t>建筑碳排放要求；</w:t>
      </w:r>
    </w:p>
    <w:p w14:paraId="5B519E40">
      <w:pPr>
        <w:pStyle w:val="46"/>
        <w:overflowPunct w:val="0"/>
        <w:snapToGrid w:val="0"/>
        <w:spacing w:after="0" w:line="240" w:lineRule="auto"/>
        <w:ind w:left="780"/>
        <w:jc w:val="both"/>
        <w:rPr>
          <w:rFonts w:hint="default" w:ascii="Times New Roman" w:hAnsi="Times New Roman"/>
          <w:b w:val="0"/>
          <w:sz w:val="21"/>
        </w:rPr>
      </w:pPr>
      <w:r>
        <w:rPr>
          <w:rFonts w:hint="default" w:ascii="Times New Roman" w:hAnsi="Times New Roman"/>
          <w:kern w:val="0"/>
          <w:sz w:val="21"/>
          <w:szCs w:val="21"/>
        </w:rPr>
        <w:t>·</w:t>
      </w:r>
      <w:r>
        <w:rPr>
          <w:rFonts w:hint="default" w:ascii="Times New Roman" w:hAnsi="Times New Roman"/>
          <w:b w:val="0"/>
          <w:sz w:val="21"/>
        </w:rPr>
        <w:t>绿色低碳建筑材料的应用；</w:t>
      </w:r>
    </w:p>
    <w:p w14:paraId="6530EADE">
      <w:pPr>
        <w:pStyle w:val="46"/>
        <w:overflowPunct w:val="0"/>
        <w:snapToGrid w:val="0"/>
        <w:spacing w:after="0" w:line="240" w:lineRule="auto"/>
        <w:ind w:left="780"/>
        <w:jc w:val="both"/>
        <w:rPr>
          <w:rFonts w:hint="default" w:ascii="Times New Roman" w:hAnsi="Times New Roman"/>
          <w:b w:val="0"/>
          <w:bCs/>
          <w:kern w:val="0"/>
          <w:sz w:val="21"/>
          <w:szCs w:val="21"/>
        </w:rPr>
      </w:pPr>
      <w:r>
        <w:rPr>
          <w:rFonts w:hint="default" w:ascii="Times New Roman" w:hAnsi="Times New Roman"/>
          <w:kern w:val="0"/>
          <w:sz w:val="21"/>
          <w:szCs w:val="21"/>
        </w:rPr>
        <w:t>·</w:t>
      </w:r>
      <w:r>
        <w:rPr>
          <w:rFonts w:hint="default" w:ascii="Times New Roman" w:hAnsi="Times New Roman"/>
          <w:b w:val="0"/>
          <w:bCs/>
          <w:kern w:val="0"/>
          <w:sz w:val="21"/>
          <w:szCs w:val="21"/>
        </w:rPr>
        <w:t>能源计量设备符合GB 17167要求</w:t>
      </w:r>
      <w:r>
        <w:rPr>
          <w:rFonts w:ascii="Times New Roman" w:hAnsi="Times New Roman"/>
          <w:b w:val="0"/>
          <w:bCs/>
          <w:kern w:val="0"/>
          <w:sz w:val="21"/>
          <w:szCs w:val="21"/>
        </w:rPr>
        <w:t>；</w:t>
      </w:r>
    </w:p>
    <w:p w14:paraId="7DBF9C10">
      <w:pPr>
        <w:pStyle w:val="46"/>
        <w:overflowPunct w:val="0"/>
        <w:snapToGrid w:val="0"/>
        <w:spacing w:after="0" w:line="240" w:lineRule="auto"/>
        <w:ind w:left="780"/>
        <w:jc w:val="both"/>
        <w:rPr>
          <w:rFonts w:hint="default" w:ascii="Times New Roman" w:hAnsi="Times New Roman"/>
          <w:b w:val="0"/>
          <w:sz w:val="21"/>
        </w:rPr>
      </w:pPr>
      <w:r>
        <w:rPr>
          <w:rFonts w:hint="default" w:ascii="Times New Roman" w:hAnsi="Times New Roman"/>
          <w:kern w:val="0"/>
          <w:sz w:val="21"/>
          <w:szCs w:val="21"/>
        </w:rPr>
        <w:t>·</w:t>
      </w:r>
      <w:r>
        <w:rPr>
          <w:rFonts w:hint="default" w:ascii="Times New Roman" w:hAnsi="Times New Roman"/>
          <w:b w:val="0"/>
          <w:sz w:val="21"/>
        </w:rPr>
        <w:t>供电、供热、供气系统的优化与节能。</w:t>
      </w:r>
    </w:p>
    <w:p w14:paraId="3AD31C95">
      <w:pPr>
        <w:pStyle w:val="46"/>
        <w:overflowPunct w:val="0"/>
        <w:snapToGrid w:val="0"/>
        <w:spacing w:after="0" w:line="240" w:lineRule="auto"/>
        <w:ind w:firstLine="420" w:firstLineChars="200"/>
        <w:jc w:val="both"/>
        <w:rPr>
          <w:rFonts w:hint="default" w:ascii="Times New Roman" w:hAnsi="Times New Roman"/>
          <w:b w:val="0"/>
          <w:sz w:val="21"/>
        </w:rPr>
      </w:pPr>
      <w:r>
        <w:rPr>
          <w:rFonts w:hint="default" w:ascii="Times New Roman" w:hAnsi="Times New Roman"/>
          <w:b w:val="0"/>
          <w:sz w:val="21"/>
        </w:rPr>
        <w:t>b）工艺设计，宜考虑：</w:t>
      </w:r>
    </w:p>
    <w:p w14:paraId="4FFC42E4">
      <w:pPr>
        <w:pStyle w:val="46"/>
        <w:overflowPunct w:val="0"/>
        <w:snapToGrid w:val="0"/>
        <w:spacing w:after="0" w:line="240" w:lineRule="auto"/>
        <w:ind w:firstLine="420" w:firstLineChars="200"/>
        <w:jc w:val="both"/>
        <w:rPr>
          <w:rFonts w:hint="default" w:ascii="Times New Roman" w:hAnsi="Times New Roman"/>
          <w:b w:val="0"/>
          <w:sz w:val="21"/>
        </w:rPr>
      </w:pPr>
      <w:r>
        <w:rPr>
          <w:rFonts w:hint="default" w:ascii="Times New Roman" w:hAnsi="Times New Roman"/>
          <w:b w:val="0"/>
          <w:sz w:val="21"/>
        </w:rPr>
        <w:t xml:space="preserve">   ·节能技术和可再生能源；</w:t>
      </w:r>
    </w:p>
    <w:p w14:paraId="1B9EF89A">
      <w:pPr>
        <w:pStyle w:val="46"/>
        <w:overflowPunct w:val="0"/>
        <w:snapToGrid w:val="0"/>
        <w:spacing w:after="0" w:line="240" w:lineRule="auto"/>
        <w:ind w:firstLine="420" w:firstLineChars="200"/>
        <w:jc w:val="both"/>
        <w:rPr>
          <w:rFonts w:hint="default" w:ascii="Times New Roman" w:hAnsi="Times New Roman"/>
          <w:b w:val="0"/>
          <w:sz w:val="21"/>
        </w:rPr>
      </w:pPr>
      <w:r>
        <w:rPr>
          <w:rFonts w:hint="default" w:ascii="Times New Roman" w:hAnsi="Times New Roman"/>
          <w:b w:val="0"/>
          <w:sz w:val="21"/>
        </w:rPr>
        <w:t xml:space="preserve">   ·设备、设施和系统间的匹配性；</w:t>
      </w:r>
    </w:p>
    <w:p w14:paraId="3CB3E245">
      <w:pPr>
        <w:pStyle w:val="46"/>
        <w:overflowPunct w:val="0"/>
        <w:snapToGrid w:val="0"/>
        <w:spacing w:after="0" w:line="240" w:lineRule="auto"/>
        <w:ind w:firstLine="420" w:firstLineChars="200"/>
        <w:jc w:val="both"/>
        <w:rPr>
          <w:rFonts w:hint="default" w:ascii="Times New Roman" w:hAnsi="Times New Roman"/>
          <w:b w:val="0"/>
          <w:sz w:val="21"/>
        </w:rPr>
      </w:pPr>
      <w:r>
        <w:rPr>
          <w:rFonts w:hint="default" w:ascii="Times New Roman" w:hAnsi="Times New Roman"/>
          <w:b w:val="0"/>
          <w:sz w:val="21"/>
        </w:rPr>
        <w:t xml:space="preserve">   ·行业最佳节能实践与经验及其对设施、设备与用能系统的要求</w:t>
      </w:r>
      <w:r>
        <w:rPr>
          <w:rFonts w:ascii="Times New Roman" w:hAnsi="Times New Roman"/>
          <w:b w:val="0"/>
          <w:sz w:val="21"/>
        </w:rPr>
        <w:t>。</w:t>
      </w:r>
    </w:p>
    <w:p w14:paraId="77096C83">
      <w:pPr>
        <w:pStyle w:val="46"/>
        <w:overflowPunct w:val="0"/>
        <w:snapToGrid w:val="0"/>
        <w:spacing w:after="0" w:line="240" w:lineRule="auto"/>
        <w:ind w:firstLine="420" w:firstLineChars="200"/>
        <w:jc w:val="both"/>
        <w:rPr>
          <w:rFonts w:hint="default" w:ascii="Times New Roman" w:hAnsi="Times New Roman"/>
          <w:b w:val="0"/>
          <w:sz w:val="21"/>
        </w:rPr>
      </w:pPr>
      <w:r>
        <w:rPr>
          <w:rFonts w:hint="default" w:ascii="Times New Roman" w:hAnsi="Times New Roman"/>
          <w:b w:val="0"/>
          <w:sz w:val="21"/>
        </w:rPr>
        <w:t>c）产品设计，宜考虑：</w:t>
      </w:r>
    </w:p>
    <w:p w14:paraId="3F94E06A">
      <w:pPr>
        <w:pStyle w:val="46"/>
        <w:overflowPunct w:val="0"/>
        <w:snapToGrid w:val="0"/>
        <w:spacing w:after="0" w:line="240" w:lineRule="auto"/>
        <w:ind w:firstLine="420" w:firstLineChars="200"/>
        <w:jc w:val="both"/>
        <w:rPr>
          <w:rFonts w:hint="default" w:ascii="Times New Roman" w:hAnsi="Times New Roman"/>
          <w:b w:val="0"/>
          <w:sz w:val="21"/>
        </w:rPr>
      </w:pPr>
      <w:r>
        <w:rPr>
          <w:rFonts w:hint="default" w:ascii="Times New Roman" w:hAnsi="Times New Roman"/>
          <w:b w:val="0"/>
          <w:sz w:val="21"/>
        </w:rPr>
        <w:t xml:space="preserve">   ·原材料的易获得性</w:t>
      </w:r>
      <w:r>
        <w:rPr>
          <w:rFonts w:ascii="Times New Roman" w:hAnsi="Times New Roman"/>
          <w:b w:val="0"/>
          <w:sz w:val="21"/>
        </w:rPr>
        <w:t>和</w:t>
      </w:r>
      <w:r>
        <w:rPr>
          <w:rFonts w:hint="default" w:ascii="Times New Roman" w:hAnsi="Times New Roman"/>
          <w:b w:val="0"/>
          <w:sz w:val="21"/>
        </w:rPr>
        <w:t>运输距离；</w:t>
      </w:r>
    </w:p>
    <w:p w14:paraId="4D72220A">
      <w:pPr>
        <w:pStyle w:val="46"/>
        <w:overflowPunct w:val="0"/>
        <w:snapToGrid w:val="0"/>
        <w:spacing w:after="0" w:line="240" w:lineRule="auto"/>
        <w:ind w:firstLine="420" w:firstLineChars="200"/>
        <w:jc w:val="both"/>
        <w:rPr>
          <w:rFonts w:hint="default" w:ascii="Times New Roman" w:hAnsi="Times New Roman"/>
          <w:b w:val="0"/>
          <w:sz w:val="21"/>
        </w:rPr>
      </w:pPr>
      <w:r>
        <w:rPr>
          <w:rFonts w:hint="default" w:ascii="Times New Roman" w:hAnsi="Times New Roman"/>
          <w:b w:val="0"/>
          <w:sz w:val="21"/>
        </w:rPr>
        <w:t xml:space="preserve">   ·材料轻量化、包装减量化；</w:t>
      </w:r>
    </w:p>
    <w:p w14:paraId="2E90CA2D">
      <w:pPr>
        <w:pStyle w:val="46"/>
        <w:overflowPunct w:val="0"/>
        <w:snapToGrid w:val="0"/>
        <w:spacing w:after="0" w:line="240" w:lineRule="auto"/>
        <w:ind w:firstLine="420" w:firstLineChars="200"/>
        <w:jc w:val="both"/>
        <w:rPr>
          <w:rFonts w:hint="default" w:ascii="Times New Roman" w:hAnsi="Times New Roman"/>
          <w:b w:val="0"/>
          <w:sz w:val="21"/>
        </w:rPr>
      </w:pPr>
      <w:r>
        <w:rPr>
          <w:rFonts w:hint="default" w:ascii="Times New Roman" w:hAnsi="Times New Roman"/>
          <w:b w:val="0"/>
          <w:sz w:val="21"/>
        </w:rPr>
        <w:t xml:space="preserve">   ·产品易拆解、易安装；</w:t>
      </w:r>
    </w:p>
    <w:p w14:paraId="03A8F372">
      <w:pPr>
        <w:pStyle w:val="46"/>
        <w:overflowPunct w:val="0"/>
        <w:snapToGrid w:val="0"/>
        <w:spacing w:after="0" w:line="240" w:lineRule="auto"/>
        <w:ind w:firstLine="420" w:firstLineChars="200"/>
        <w:jc w:val="both"/>
        <w:rPr>
          <w:rFonts w:hint="default" w:ascii="Times New Roman" w:hAnsi="Times New Roman"/>
          <w:b w:val="0"/>
          <w:sz w:val="21"/>
        </w:rPr>
      </w:pPr>
      <w:r>
        <w:rPr>
          <w:rFonts w:hint="default" w:ascii="Times New Roman" w:hAnsi="Times New Roman"/>
          <w:b w:val="0"/>
          <w:sz w:val="21"/>
        </w:rPr>
        <w:t xml:space="preserve">   ·</w:t>
      </w:r>
      <w:r>
        <w:rPr>
          <w:rFonts w:ascii="Times New Roman" w:hAnsi="Times New Roman"/>
          <w:b w:val="0"/>
          <w:sz w:val="21"/>
        </w:rPr>
        <w:t>产</w:t>
      </w:r>
      <w:r>
        <w:rPr>
          <w:rFonts w:hint="default" w:ascii="Times New Roman" w:hAnsi="Times New Roman"/>
          <w:b w:val="0"/>
          <w:sz w:val="21"/>
        </w:rPr>
        <w:t>品</w:t>
      </w:r>
      <w:r>
        <w:rPr>
          <w:rFonts w:ascii="Times New Roman" w:hAnsi="Times New Roman"/>
          <w:b w:val="0"/>
          <w:sz w:val="21"/>
        </w:rPr>
        <w:t>的</w:t>
      </w:r>
      <w:r>
        <w:rPr>
          <w:rFonts w:hint="default" w:ascii="Times New Roman" w:hAnsi="Times New Roman"/>
          <w:b w:val="0"/>
          <w:sz w:val="21"/>
        </w:rPr>
        <w:t>耐用</w:t>
      </w:r>
      <w:r>
        <w:rPr>
          <w:rFonts w:ascii="Times New Roman" w:hAnsi="Times New Roman"/>
          <w:b w:val="0"/>
          <w:sz w:val="21"/>
        </w:rPr>
        <w:t>性</w:t>
      </w:r>
      <w:r>
        <w:rPr>
          <w:rFonts w:hint="default" w:ascii="Times New Roman" w:hAnsi="Times New Roman"/>
          <w:b w:val="0"/>
          <w:sz w:val="21"/>
        </w:rPr>
        <w:t>；</w:t>
      </w:r>
    </w:p>
    <w:p w14:paraId="4B453267">
      <w:pPr>
        <w:pStyle w:val="46"/>
        <w:overflowPunct w:val="0"/>
        <w:snapToGrid w:val="0"/>
        <w:spacing w:after="0" w:line="240" w:lineRule="auto"/>
        <w:ind w:firstLine="420" w:firstLineChars="200"/>
        <w:jc w:val="both"/>
        <w:rPr>
          <w:rFonts w:hint="default" w:ascii="Times New Roman" w:hAnsi="Times New Roman"/>
          <w:b w:val="0"/>
          <w:sz w:val="21"/>
        </w:rPr>
      </w:pPr>
      <w:r>
        <w:rPr>
          <w:rFonts w:hint="default" w:ascii="Times New Roman" w:hAnsi="Times New Roman"/>
          <w:b w:val="0"/>
          <w:sz w:val="21"/>
        </w:rPr>
        <w:t xml:space="preserve">   ·便于回收和循环利用。</w:t>
      </w:r>
    </w:p>
    <w:p w14:paraId="56E02DF8">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108" w:name="_Toc220422380"/>
      <w:bookmarkStart w:id="109" w:name="_Toc187932700"/>
      <w:r>
        <w:rPr>
          <w:rFonts w:ascii="Times New Roman"/>
          <w:color w:val="000000" w:themeColor="text1"/>
          <w14:textFill>
            <w14:solidFill>
              <w14:schemeClr w14:val="tx1"/>
            </w14:solidFill>
          </w14:textFill>
        </w:rPr>
        <w:t>采购控制</w:t>
      </w:r>
      <w:bookmarkEnd w:id="108"/>
      <w:bookmarkEnd w:id="109"/>
    </w:p>
    <w:p w14:paraId="36C183B1">
      <w:pPr>
        <w:pStyle w:val="46"/>
        <w:overflowPunct w:val="0"/>
        <w:snapToGrid w:val="0"/>
        <w:spacing w:before="143" w:beforeLines="50" w:after="143" w:afterLines="50" w:line="240" w:lineRule="auto"/>
        <w:outlineLvl w:val="2"/>
        <w:rPr>
          <w:rFonts w:hint="default" w:ascii="Times New Roman" w:hAnsi="Times New Roman" w:eastAsia="黑体"/>
          <w:b w:val="0"/>
          <w:kern w:val="0"/>
          <w:sz w:val="21"/>
        </w:rPr>
      </w:pPr>
      <w:r>
        <w:rPr>
          <w:rFonts w:hint="default" w:ascii="Times New Roman" w:hAnsi="Times New Roman"/>
          <w:b w:val="0"/>
          <w:kern w:val="0"/>
          <w:sz w:val="21"/>
        </w:rPr>
        <w:t xml:space="preserve">8.3.1  </w:t>
      </w:r>
      <w:r>
        <w:rPr>
          <w:rFonts w:hint="default" w:ascii="Times New Roman" w:hAnsi="Times New Roman" w:eastAsia="黑体"/>
          <w:b w:val="0"/>
          <w:kern w:val="0"/>
          <w:sz w:val="21"/>
        </w:rPr>
        <w:t>主要采购活动</w:t>
      </w:r>
    </w:p>
    <w:p w14:paraId="38E5E169">
      <w:pPr>
        <w:overflowPunct w:val="0"/>
        <w:ind w:firstLine="420" w:firstLineChars="200"/>
        <w:rPr>
          <w:rFonts w:ascii="Times New Roman" w:hAnsi="Times New Roman" w:eastAsia="宋体" w:cs="Times New Roman"/>
          <w:kern w:val="0"/>
          <w:szCs w:val="21"/>
        </w:rPr>
      </w:pPr>
      <w:r>
        <w:rPr>
          <w:rFonts w:ascii="Times New Roman" w:hAnsi="Times New Roman" w:eastAsia="宋体" w:cs="Times New Roman"/>
          <w:kern w:val="0"/>
          <w:szCs w:val="21"/>
        </w:rPr>
        <w:t>在采购原材料、能源、设备、产品、服务时，企业宜识别出对碳绩效具有显著影响的采购活动</w:t>
      </w:r>
      <w:r>
        <w:rPr>
          <w:rFonts w:hint="eastAsia" w:ascii="Times New Roman" w:hAnsi="Times New Roman" w:eastAsia="宋体" w:cs="Times New Roman"/>
          <w:kern w:val="0"/>
          <w:szCs w:val="21"/>
        </w:rPr>
        <w:t>，并</w:t>
      </w:r>
      <w:r>
        <w:rPr>
          <w:rFonts w:ascii="Times New Roman" w:hAnsi="Times New Roman" w:eastAsia="宋体" w:cs="Times New Roman"/>
          <w:kern w:val="0"/>
          <w:szCs w:val="21"/>
        </w:rPr>
        <w:t>依据设计过程的输出结果进行采购。</w:t>
      </w:r>
    </w:p>
    <w:p w14:paraId="75F137D8">
      <w:pPr>
        <w:overflowPunct w:val="0"/>
        <w:ind w:firstLine="420" w:firstLineChars="200"/>
        <w:rPr>
          <w:rFonts w:ascii="Times New Roman" w:hAnsi="Times New Roman" w:eastAsia="宋体" w:cs="Times New Roman"/>
          <w:kern w:val="0"/>
          <w:szCs w:val="21"/>
        </w:rPr>
      </w:pPr>
      <w:r>
        <w:rPr>
          <w:rFonts w:ascii="Times New Roman" w:hAnsi="Times New Roman" w:eastAsia="宋体" w:cs="Times New Roman"/>
          <w:kern w:val="0"/>
          <w:szCs w:val="21"/>
        </w:rPr>
        <w:t>企业中对碳绩效有重大影响的采购活动包括</w:t>
      </w:r>
      <w:r>
        <w:rPr>
          <w:rFonts w:hint="eastAsia" w:ascii="Times New Roman" w:hAnsi="Times New Roman" w:eastAsia="宋体" w:cs="Times New Roman"/>
          <w:kern w:val="0"/>
          <w:szCs w:val="21"/>
        </w:rPr>
        <w:t>但不限于</w:t>
      </w:r>
      <w:r>
        <w:rPr>
          <w:rFonts w:ascii="Times New Roman" w:hAnsi="Times New Roman" w:eastAsia="宋体" w:cs="Times New Roman"/>
          <w:kern w:val="0"/>
          <w:szCs w:val="21"/>
        </w:rPr>
        <w:t>：</w:t>
      </w:r>
    </w:p>
    <w:p w14:paraId="41F85480">
      <w:pPr>
        <w:pStyle w:val="3"/>
        <w:numPr>
          <w:ilvl w:val="0"/>
          <w:numId w:val="18"/>
        </w:numPr>
        <w:overflowPunct w:val="0"/>
        <w:ind w:left="709" w:hanging="289" w:firstLineChars="0"/>
        <w:rPr>
          <w:rFonts w:ascii="Times New Roman" w:hAnsi="Times New Roman" w:eastAsia="宋体" w:cs="Times New Roman"/>
          <w:kern w:val="0"/>
          <w:szCs w:val="20"/>
        </w:rPr>
      </w:pPr>
      <w:r>
        <w:rPr>
          <w:rFonts w:ascii="Times New Roman" w:hAnsi="Times New Roman" w:eastAsia="宋体" w:cs="Times New Roman"/>
          <w:kern w:val="0"/>
          <w:szCs w:val="20"/>
        </w:rPr>
        <w:t>电力、天然气、热力、煤炭等能源采购；</w:t>
      </w:r>
    </w:p>
    <w:p w14:paraId="6ECE963A">
      <w:pPr>
        <w:pStyle w:val="3"/>
        <w:numPr>
          <w:ilvl w:val="0"/>
          <w:numId w:val="18"/>
        </w:numPr>
        <w:overflowPunct w:val="0"/>
        <w:ind w:left="709" w:hanging="289" w:firstLineChars="0"/>
        <w:rPr>
          <w:rFonts w:ascii="Times New Roman" w:hAnsi="Times New Roman" w:eastAsia="宋体" w:cs="Times New Roman"/>
          <w:kern w:val="0"/>
          <w:szCs w:val="20"/>
        </w:rPr>
      </w:pPr>
      <w:r>
        <w:rPr>
          <w:rFonts w:hint="eastAsia" w:ascii="Times New Roman" w:hAnsi="Times New Roman" w:eastAsia="宋体" w:cs="Times New Roman"/>
          <w:kern w:val="0"/>
          <w:szCs w:val="20"/>
        </w:rPr>
        <w:t>主要</w:t>
      </w:r>
      <w:r>
        <w:rPr>
          <w:rFonts w:ascii="Times New Roman" w:hAnsi="Times New Roman" w:eastAsia="宋体" w:cs="Times New Roman"/>
          <w:kern w:val="0"/>
          <w:szCs w:val="20"/>
        </w:rPr>
        <w:t>生产系统、辅助生产系统和附属生产系统相关的设施设备采购；</w:t>
      </w:r>
    </w:p>
    <w:p w14:paraId="06662636">
      <w:pPr>
        <w:pStyle w:val="3"/>
        <w:numPr>
          <w:ilvl w:val="0"/>
          <w:numId w:val="18"/>
        </w:numPr>
        <w:overflowPunct w:val="0"/>
        <w:ind w:left="709" w:hanging="289" w:firstLineChars="0"/>
        <w:rPr>
          <w:rFonts w:ascii="Times New Roman" w:hAnsi="Times New Roman" w:eastAsia="宋体" w:cs="Times New Roman"/>
          <w:kern w:val="0"/>
          <w:szCs w:val="20"/>
        </w:rPr>
      </w:pPr>
      <w:r>
        <w:rPr>
          <w:rFonts w:ascii="Times New Roman" w:hAnsi="Times New Roman" w:eastAsia="宋体" w:cs="Times New Roman"/>
          <w:kern w:val="0"/>
          <w:szCs w:val="20"/>
        </w:rPr>
        <w:t>原材料采购；</w:t>
      </w:r>
    </w:p>
    <w:p w14:paraId="17D491E7">
      <w:pPr>
        <w:pStyle w:val="3"/>
        <w:numPr>
          <w:ilvl w:val="0"/>
          <w:numId w:val="18"/>
        </w:numPr>
        <w:overflowPunct w:val="0"/>
        <w:ind w:left="709" w:hanging="289" w:firstLineChars="0"/>
        <w:rPr>
          <w:rFonts w:ascii="Times New Roman" w:hAnsi="Times New Roman" w:eastAsia="宋体" w:cs="Times New Roman"/>
          <w:kern w:val="0"/>
          <w:szCs w:val="20"/>
        </w:rPr>
      </w:pPr>
      <w:r>
        <w:rPr>
          <w:rFonts w:ascii="Times New Roman" w:hAnsi="Times New Roman" w:eastAsia="宋体" w:cs="Times New Roman"/>
          <w:kern w:val="0"/>
          <w:szCs w:val="20"/>
        </w:rPr>
        <w:t>服务采购，如物流服务、煤质检验、温室气体第三方核查、碳资产管理等对碳绩效有重大影响的第三方服务的采购。</w:t>
      </w:r>
    </w:p>
    <w:p w14:paraId="50EE0BCE">
      <w:pPr>
        <w:pStyle w:val="46"/>
        <w:overflowPunct w:val="0"/>
        <w:snapToGrid w:val="0"/>
        <w:spacing w:before="143" w:beforeLines="50" w:after="143" w:afterLines="50" w:line="240" w:lineRule="auto"/>
        <w:outlineLvl w:val="2"/>
        <w:rPr>
          <w:rFonts w:hint="default" w:ascii="Times New Roman" w:hAnsi="Times New Roman"/>
          <w:kern w:val="0"/>
        </w:rPr>
      </w:pPr>
      <w:r>
        <w:rPr>
          <w:rFonts w:hint="default" w:ascii="Times New Roman" w:hAnsi="Times New Roman"/>
          <w:b w:val="0"/>
          <w:kern w:val="0"/>
          <w:sz w:val="21"/>
        </w:rPr>
        <w:t xml:space="preserve">8.3.2  </w:t>
      </w:r>
      <w:r>
        <w:rPr>
          <w:rFonts w:hint="default" w:ascii="Times New Roman" w:hAnsi="Times New Roman" w:eastAsia="黑体"/>
          <w:b w:val="0"/>
          <w:kern w:val="0"/>
          <w:sz w:val="21"/>
        </w:rPr>
        <w:t>采购准则</w:t>
      </w:r>
    </w:p>
    <w:p w14:paraId="5747C336">
      <w:pPr>
        <w:overflowPunct w:val="0"/>
        <w:ind w:firstLine="420" w:firstLineChars="200"/>
        <w:rPr>
          <w:rFonts w:ascii="Times New Roman" w:hAnsi="Times New Roman" w:eastAsia="宋体" w:cs="Times New Roman"/>
          <w:kern w:val="0"/>
          <w:szCs w:val="21"/>
        </w:rPr>
      </w:pPr>
      <w:r>
        <w:rPr>
          <w:rFonts w:ascii="Times New Roman" w:hAnsi="Times New Roman" w:eastAsia="宋体" w:cs="Times New Roman"/>
          <w:kern w:val="0"/>
          <w:szCs w:val="21"/>
        </w:rPr>
        <w:t>企业宜建立采购准则，评价所采购的对象对碳排放量、碳排放绩效的贡献及影响，定期选择评价供应商，控制原材料采购过程。</w:t>
      </w:r>
      <w:r>
        <w:rPr>
          <w:rFonts w:hint="eastAsia" w:ascii="Times New Roman" w:hAnsi="Times New Roman" w:eastAsia="宋体" w:cs="Times New Roman"/>
          <w:kern w:val="0"/>
          <w:szCs w:val="21"/>
        </w:rPr>
        <w:t>采购准则</w:t>
      </w:r>
      <w:r>
        <w:rPr>
          <w:rFonts w:ascii="Times New Roman" w:hAnsi="Times New Roman" w:eastAsia="宋体" w:cs="Times New Roman"/>
          <w:kern w:val="0"/>
          <w:szCs w:val="21"/>
        </w:rPr>
        <w:t>宜考虑以下方面：</w:t>
      </w:r>
    </w:p>
    <w:p w14:paraId="7718E59A">
      <w:pPr>
        <w:overflowPunct w:val="0"/>
        <w:ind w:firstLine="420" w:firstLineChars="200"/>
        <w:rPr>
          <w:rFonts w:ascii="Times New Roman" w:hAnsi="Times New Roman" w:eastAsia="宋体" w:cs="Times New Roman"/>
          <w:kern w:val="0"/>
        </w:rPr>
      </w:pPr>
      <w:r>
        <w:rPr>
          <w:rFonts w:ascii="Times New Roman" w:hAnsi="Times New Roman" w:eastAsia="宋体" w:cs="Times New Roman"/>
          <w:kern w:val="0"/>
        </w:rPr>
        <w:t>——合规义务；</w:t>
      </w:r>
    </w:p>
    <w:p w14:paraId="112D2FDF">
      <w:pPr>
        <w:overflowPunct w:val="0"/>
        <w:ind w:firstLine="420" w:firstLineChars="200"/>
        <w:rPr>
          <w:rFonts w:ascii="Times New Roman" w:hAnsi="Times New Roman" w:eastAsia="宋体" w:cs="Times New Roman"/>
          <w:kern w:val="0"/>
        </w:rPr>
      </w:pPr>
      <w:r>
        <w:rPr>
          <w:rFonts w:ascii="Times New Roman" w:hAnsi="Times New Roman" w:eastAsia="宋体" w:cs="Times New Roman"/>
          <w:kern w:val="0"/>
        </w:rPr>
        <w:t>——在采购规范中考虑碳排放相关要求；</w:t>
      </w:r>
    </w:p>
    <w:p w14:paraId="0D923949">
      <w:pPr>
        <w:overflowPunct w:val="0"/>
        <w:ind w:firstLine="420" w:firstLineChars="200"/>
        <w:rPr>
          <w:rFonts w:ascii="Times New Roman" w:hAnsi="Times New Roman" w:eastAsia="宋体" w:cs="Times New Roman"/>
          <w:kern w:val="0"/>
        </w:rPr>
      </w:pPr>
      <w:r>
        <w:rPr>
          <w:rFonts w:ascii="Times New Roman" w:hAnsi="Times New Roman" w:eastAsia="宋体" w:cs="Times New Roman"/>
          <w:kern w:val="0"/>
        </w:rPr>
        <w:t>——建立并实施与碳绩效有关的供方评价准则；</w:t>
      </w:r>
    </w:p>
    <w:p w14:paraId="3DAC4CA2">
      <w:pPr>
        <w:overflowPunct w:val="0"/>
        <w:ind w:firstLine="420" w:firstLineChars="200"/>
        <w:rPr>
          <w:rFonts w:ascii="Times New Roman" w:hAnsi="Times New Roman" w:eastAsia="宋体" w:cs="Times New Roman"/>
          <w:kern w:val="0"/>
          <w:szCs w:val="21"/>
        </w:rPr>
      </w:pPr>
      <w:r>
        <w:rPr>
          <w:rFonts w:ascii="Times New Roman" w:hAnsi="Times New Roman" w:eastAsia="宋体" w:cs="Times New Roman"/>
          <w:kern w:val="0"/>
        </w:rPr>
        <w:t>——与其现有基础的匹配性；</w:t>
      </w:r>
    </w:p>
    <w:p w14:paraId="1604B5A6">
      <w:pPr>
        <w:overflowPunct w:val="0"/>
        <w:ind w:firstLine="420" w:firstLineChars="200"/>
        <w:rPr>
          <w:rFonts w:ascii="Times New Roman" w:hAnsi="Times New Roman" w:eastAsia="宋体" w:cs="Times New Roman"/>
          <w:kern w:val="0"/>
          <w:szCs w:val="21"/>
        </w:rPr>
      </w:pPr>
      <w:r>
        <w:rPr>
          <w:rFonts w:ascii="Times New Roman" w:hAnsi="Times New Roman" w:eastAsia="宋体" w:cs="Times New Roman"/>
          <w:kern w:val="0"/>
        </w:rPr>
        <w:t>——</w:t>
      </w:r>
      <w:r>
        <w:rPr>
          <w:rFonts w:ascii="Times New Roman" w:hAnsi="Times New Roman" w:eastAsia="宋体" w:cs="Times New Roman"/>
          <w:kern w:val="0"/>
          <w:szCs w:val="21"/>
        </w:rPr>
        <w:t>缩短采购流程以及采购运输里程；</w:t>
      </w:r>
    </w:p>
    <w:p w14:paraId="4DB97021">
      <w:pPr>
        <w:overflowPunct w:val="0"/>
        <w:ind w:firstLine="420" w:firstLineChars="200"/>
        <w:rPr>
          <w:rFonts w:ascii="Times New Roman" w:hAnsi="Times New Roman" w:eastAsia="宋体" w:cs="Times New Roman"/>
          <w:kern w:val="0"/>
          <w:szCs w:val="21"/>
        </w:rPr>
      </w:pPr>
      <w:r>
        <w:rPr>
          <w:rFonts w:ascii="Times New Roman" w:hAnsi="Times New Roman" w:eastAsia="宋体" w:cs="Times New Roman"/>
          <w:kern w:val="0"/>
        </w:rPr>
        <w:t>——</w:t>
      </w:r>
      <w:r>
        <w:rPr>
          <w:rFonts w:ascii="Times New Roman" w:hAnsi="Times New Roman" w:eastAsia="宋体" w:cs="Times New Roman"/>
          <w:kern w:val="0"/>
          <w:szCs w:val="21"/>
        </w:rPr>
        <w:t>选用碳排放较低的原材料；</w:t>
      </w:r>
    </w:p>
    <w:p w14:paraId="5E0F7F1F">
      <w:pPr>
        <w:overflowPunct w:val="0"/>
        <w:ind w:firstLine="420" w:firstLineChars="200"/>
        <w:rPr>
          <w:rFonts w:ascii="Times New Roman" w:hAnsi="Times New Roman" w:eastAsia="宋体" w:cs="Times New Roman"/>
          <w:kern w:val="0"/>
          <w:szCs w:val="21"/>
        </w:rPr>
      </w:pPr>
      <w:r>
        <w:rPr>
          <w:rFonts w:ascii="Times New Roman" w:hAnsi="Times New Roman" w:eastAsia="宋体" w:cs="Times New Roman"/>
          <w:kern w:val="0"/>
        </w:rPr>
        <w:t>——</w:t>
      </w:r>
      <w:r>
        <w:rPr>
          <w:rFonts w:ascii="Times New Roman" w:hAnsi="Times New Roman" w:eastAsia="宋体" w:cs="Times New Roman"/>
          <w:kern w:val="0"/>
          <w:szCs w:val="21"/>
        </w:rPr>
        <w:t>包装材料选用低碳材料；</w:t>
      </w:r>
    </w:p>
    <w:p w14:paraId="283A68CE">
      <w:pPr>
        <w:overflowPunct w:val="0"/>
        <w:ind w:firstLine="420" w:firstLineChars="200"/>
        <w:rPr>
          <w:rFonts w:ascii="Times New Roman" w:hAnsi="Times New Roman" w:eastAsia="宋体" w:cs="Times New Roman"/>
          <w:kern w:val="0"/>
        </w:rPr>
      </w:pPr>
      <w:r>
        <w:rPr>
          <w:rFonts w:ascii="Times New Roman" w:hAnsi="Times New Roman" w:eastAsia="宋体" w:cs="Times New Roman"/>
          <w:kern w:val="0"/>
        </w:rPr>
        <w:t>——加强原材料质量控制，减少由于原料不良品引起的产品质量问题</w:t>
      </w:r>
      <w:r>
        <w:rPr>
          <w:rFonts w:hint="eastAsia" w:ascii="Times New Roman" w:hAnsi="Times New Roman" w:eastAsia="宋体" w:cs="Times New Roman"/>
          <w:kern w:val="0"/>
        </w:rPr>
        <w:t>；</w:t>
      </w:r>
    </w:p>
    <w:p w14:paraId="138CC000">
      <w:pPr>
        <w:overflowPunct w:val="0"/>
        <w:ind w:firstLine="420" w:firstLineChars="200"/>
        <w:rPr>
          <w:rFonts w:ascii="Times New Roman" w:hAnsi="Times New Roman" w:eastAsia="宋体" w:cs="Times New Roman"/>
          <w:kern w:val="0"/>
        </w:rPr>
      </w:pPr>
      <w:r>
        <w:rPr>
          <w:rFonts w:ascii="Times New Roman" w:hAnsi="Times New Roman" w:eastAsia="宋体" w:cs="Times New Roman"/>
          <w:kern w:val="0"/>
        </w:rPr>
        <w:t>——</w:t>
      </w:r>
      <w:r>
        <w:rPr>
          <w:rFonts w:hint="eastAsia" w:ascii="Times New Roman" w:hAnsi="Times New Roman" w:eastAsia="宋体" w:cs="Times New Roman"/>
          <w:kern w:val="0"/>
        </w:rPr>
        <w:t>优先采用</w:t>
      </w:r>
      <w:r>
        <w:rPr>
          <w:rFonts w:ascii="Times New Roman" w:hAnsi="Times New Roman" w:eastAsia="宋体" w:cs="Times New Roman"/>
          <w:kern w:val="0"/>
        </w:rPr>
        <w:t>有碳排放评价体系的供应商原材料，以应对国际绿色贸易规则（如CBAM）的要求。</w:t>
      </w:r>
    </w:p>
    <w:p w14:paraId="19AE7D85">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110" w:name="_Toc220422381"/>
      <w:bookmarkStart w:id="111" w:name="_Toc187932701"/>
      <w:r>
        <w:rPr>
          <w:rFonts w:ascii="Times New Roman"/>
          <w:color w:val="000000" w:themeColor="text1"/>
          <w14:textFill>
            <w14:solidFill>
              <w14:schemeClr w14:val="tx1"/>
            </w14:solidFill>
          </w14:textFill>
        </w:rPr>
        <w:t>运行控制</w:t>
      </w:r>
      <w:bookmarkEnd w:id="110"/>
      <w:bookmarkEnd w:id="111"/>
    </w:p>
    <w:p w14:paraId="56120FA9">
      <w:pPr>
        <w:pStyle w:val="46"/>
        <w:overflowPunct w:val="0"/>
        <w:snapToGrid w:val="0"/>
        <w:spacing w:before="143" w:beforeLines="50" w:after="143" w:afterLines="50" w:line="240" w:lineRule="auto"/>
        <w:outlineLvl w:val="2"/>
        <w:rPr>
          <w:rFonts w:hint="default" w:ascii="Times New Roman" w:hAnsi="Times New Roman"/>
          <w:kern w:val="0"/>
        </w:rPr>
      </w:pPr>
      <w:r>
        <w:rPr>
          <w:rFonts w:hint="default" w:ascii="Times New Roman" w:hAnsi="Times New Roman"/>
          <w:b w:val="0"/>
          <w:kern w:val="0"/>
          <w:sz w:val="21"/>
        </w:rPr>
        <w:t xml:space="preserve">8.4.1  </w:t>
      </w:r>
      <w:r>
        <w:rPr>
          <w:rFonts w:hint="default" w:ascii="Times New Roman" w:hAnsi="Times New Roman" w:eastAsia="黑体"/>
          <w:b w:val="0"/>
          <w:kern w:val="0"/>
          <w:sz w:val="21"/>
        </w:rPr>
        <w:t>运行准则</w:t>
      </w:r>
    </w:p>
    <w:p w14:paraId="0DEFB704">
      <w:pPr>
        <w:pStyle w:val="46"/>
        <w:overflowPunct w:val="0"/>
        <w:snapToGrid w:val="0"/>
        <w:spacing w:after="0" w:line="240" w:lineRule="auto"/>
        <w:ind w:firstLine="420" w:firstLineChars="200"/>
        <w:jc w:val="both"/>
        <w:rPr>
          <w:rFonts w:hint="default" w:ascii="Times New Roman" w:hAnsi="Times New Roman"/>
          <w:b w:val="0"/>
          <w:sz w:val="21"/>
        </w:rPr>
      </w:pPr>
      <w:r>
        <w:rPr>
          <w:rFonts w:hint="default" w:ascii="Times New Roman" w:hAnsi="Times New Roman"/>
          <w:b w:val="0"/>
          <w:kern w:val="0"/>
          <w:sz w:val="21"/>
          <w:szCs w:val="21"/>
        </w:rPr>
        <w:t>企业宜识别、策划与</w:t>
      </w:r>
      <w:r>
        <w:rPr>
          <w:rFonts w:ascii="Times New Roman" w:hAnsi="Times New Roman"/>
          <w:b w:val="0"/>
          <w:kern w:val="0"/>
          <w:sz w:val="21"/>
          <w:szCs w:val="21"/>
        </w:rPr>
        <w:t>碳</w:t>
      </w:r>
      <w:r>
        <w:rPr>
          <w:rFonts w:hint="default" w:ascii="Times New Roman" w:hAnsi="Times New Roman"/>
          <w:b w:val="0"/>
          <w:kern w:val="0"/>
          <w:sz w:val="21"/>
          <w:szCs w:val="21"/>
        </w:rPr>
        <w:t>排放设施相关的生产过程，确保在规定运行条件下，建立与碳基准、碳绩效参数、碳目标</w:t>
      </w:r>
      <w:r>
        <w:rPr>
          <w:rFonts w:ascii="Times New Roman" w:hAnsi="Times New Roman"/>
          <w:b w:val="0"/>
          <w:kern w:val="0"/>
          <w:sz w:val="21"/>
          <w:szCs w:val="21"/>
        </w:rPr>
        <w:t>指标</w:t>
      </w:r>
      <w:r>
        <w:rPr>
          <w:rFonts w:hint="default" w:ascii="Times New Roman" w:hAnsi="Times New Roman"/>
          <w:b w:val="0"/>
          <w:kern w:val="0"/>
          <w:sz w:val="21"/>
          <w:szCs w:val="21"/>
        </w:rPr>
        <w:t>相一致的运行准则。</w:t>
      </w:r>
      <w:r>
        <w:rPr>
          <w:rFonts w:ascii="Times New Roman" w:hAnsi="Times New Roman"/>
          <w:b w:val="0"/>
          <w:kern w:val="0"/>
          <w:sz w:val="21"/>
          <w:szCs w:val="21"/>
        </w:rPr>
        <w:t>运行准则</w:t>
      </w:r>
      <w:r>
        <w:rPr>
          <w:rFonts w:hint="default" w:ascii="Times New Roman" w:hAnsi="Times New Roman"/>
          <w:b w:val="0"/>
          <w:kern w:val="0"/>
          <w:sz w:val="21"/>
          <w:szCs w:val="21"/>
        </w:rPr>
        <w:t>包括</w:t>
      </w:r>
      <w:r>
        <w:rPr>
          <w:rFonts w:ascii="Times New Roman" w:hAnsi="Times New Roman"/>
          <w:b w:val="0"/>
          <w:kern w:val="0"/>
          <w:sz w:val="21"/>
          <w:szCs w:val="21"/>
        </w:rPr>
        <w:t>但不限于</w:t>
      </w:r>
      <w:r>
        <w:rPr>
          <w:rFonts w:hint="default" w:ascii="Times New Roman" w:hAnsi="Times New Roman"/>
          <w:b w:val="0"/>
          <w:sz w:val="21"/>
        </w:rPr>
        <w:t>：</w:t>
      </w:r>
    </w:p>
    <w:p w14:paraId="404CC827">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关键工序质量控制的运行过程，并规定其运行准则；</w:t>
      </w:r>
    </w:p>
    <w:p w14:paraId="5CA766BE">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碳排放设施、设备、系统的运行和维护过程，并规定其运行准则，如设备运行和维护保养规程；</w:t>
      </w:r>
    </w:p>
    <w:p w14:paraId="1D1D7A6A">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生产管理运行过程，并规定其运行准则，如均衡生产、台时产量、设备运转率、设备完好率、开停机次数等；</w:t>
      </w:r>
    </w:p>
    <w:p w14:paraId="0EEE03DC">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操作人员作业规范运行过程，如设备操作作业要求等；</w:t>
      </w:r>
    </w:p>
    <w:p w14:paraId="5C16D01C">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过程监视和测量设备设施控制，如通过校准、检定、维护</w:t>
      </w:r>
      <w:r>
        <w:rPr>
          <w:rFonts w:hint="eastAsia" w:ascii="Times New Roman" w:hAnsi="Times New Roman" w:eastAsia="宋体" w:cs="Times New Roman"/>
          <w:kern w:val="0"/>
          <w:szCs w:val="20"/>
        </w:rPr>
        <w:t>，</w:t>
      </w:r>
      <w:r>
        <w:rPr>
          <w:rFonts w:ascii="Times New Roman" w:hAnsi="Times New Roman" w:eastAsia="宋体" w:cs="Times New Roman"/>
          <w:kern w:val="0"/>
          <w:szCs w:val="20"/>
        </w:rPr>
        <w:t>确保监视测量设备</w:t>
      </w:r>
      <w:r>
        <w:rPr>
          <w:rFonts w:hint="eastAsia" w:ascii="Times New Roman" w:hAnsi="Times New Roman" w:eastAsia="宋体" w:cs="Times New Roman"/>
          <w:kern w:val="0"/>
          <w:szCs w:val="20"/>
        </w:rPr>
        <w:t>（</w:t>
      </w:r>
      <w:r>
        <w:rPr>
          <w:rFonts w:ascii="Times New Roman" w:hAnsi="Times New Roman" w:eastAsia="宋体" w:cs="Times New Roman"/>
          <w:kern w:val="0"/>
          <w:szCs w:val="20"/>
        </w:rPr>
        <w:t>电能表、天然气表、压力表</w:t>
      </w:r>
      <w:r>
        <w:rPr>
          <w:rFonts w:hint="eastAsia" w:ascii="Times New Roman" w:hAnsi="Times New Roman" w:eastAsia="宋体" w:cs="Times New Roman"/>
          <w:kern w:val="0"/>
          <w:szCs w:val="20"/>
        </w:rPr>
        <w:t>等）</w:t>
      </w:r>
      <w:r>
        <w:rPr>
          <w:rFonts w:ascii="Times New Roman" w:hAnsi="Times New Roman" w:eastAsia="宋体" w:cs="Times New Roman"/>
          <w:kern w:val="0"/>
          <w:szCs w:val="20"/>
        </w:rPr>
        <w:t>的可靠性</w:t>
      </w:r>
      <w:r>
        <w:rPr>
          <w:rFonts w:hint="eastAsia" w:ascii="Times New Roman" w:hAnsi="Times New Roman" w:eastAsia="宋体" w:cs="Times New Roman"/>
          <w:kern w:val="0"/>
          <w:szCs w:val="20"/>
        </w:rPr>
        <w:t>和</w:t>
      </w:r>
      <w:r>
        <w:rPr>
          <w:rFonts w:ascii="Times New Roman" w:hAnsi="Times New Roman" w:eastAsia="宋体" w:cs="Times New Roman"/>
          <w:kern w:val="0"/>
          <w:szCs w:val="20"/>
        </w:rPr>
        <w:t>有效性；</w:t>
      </w:r>
    </w:p>
    <w:p w14:paraId="723A9D0F">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rPr>
        <w:t>——提升产品一次合格率，加强不合格品的控制。</w:t>
      </w:r>
    </w:p>
    <w:p w14:paraId="4DA82EF3">
      <w:pPr>
        <w:pStyle w:val="46"/>
        <w:overflowPunct w:val="0"/>
        <w:snapToGrid w:val="0"/>
        <w:spacing w:before="143" w:beforeLines="50" w:after="143" w:afterLines="50" w:line="240" w:lineRule="auto"/>
        <w:outlineLvl w:val="2"/>
        <w:rPr>
          <w:rFonts w:hint="default" w:ascii="Times New Roman" w:hAnsi="Times New Roman"/>
          <w:kern w:val="0"/>
        </w:rPr>
      </w:pPr>
      <w:r>
        <w:rPr>
          <w:rFonts w:hint="default" w:ascii="Times New Roman" w:hAnsi="Times New Roman"/>
          <w:b w:val="0"/>
          <w:kern w:val="0"/>
          <w:sz w:val="21"/>
        </w:rPr>
        <w:t xml:space="preserve">8.4.2  </w:t>
      </w:r>
      <w:r>
        <w:rPr>
          <w:rFonts w:hint="default" w:ascii="Times New Roman" w:hAnsi="Times New Roman" w:eastAsia="黑体"/>
          <w:b w:val="0"/>
          <w:kern w:val="0"/>
          <w:sz w:val="21"/>
        </w:rPr>
        <w:t>过程管理</w:t>
      </w:r>
    </w:p>
    <w:p w14:paraId="481E0CB3">
      <w:pPr>
        <w:overflowPunct w:val="0"/>
        <w:ind w:firstLine="420" w:firstLineChars="200"/>
        <w:rPr>
          <w:rFonts w:ascii="Times New Roman" w:hAnsi="Times New Roman" w:eastAsia="宋体" w:cs="Times New Roman"/>
          <w:szCs w:val="20"/>
        </w:rPr>
      </w:pPr>
      <w:r>
        <w:rPr>
          <w:rFonts w:ascii="Times New Roman" w:hAnsi="Times New Roman" w:eastAsia="宋体" w:cs="Times New Roman"/>
          <w:szCs w:val="20"/>
        </w:rPr>
        <w:t>企业宜采取以下措施提升其生产过程碳绩效水平：</w:t>
      </w:r>
    </w:p>
    <w:p w14:paraId="43DA027F">
      <w:pPr>
        <w:pStyle w:val="40"/>
        <w:overflowPunct w:val="0"/>
        <w:ind w:firstLineChars="0"/>
        <w:rPr>
          <w:rFonts w:ascii="Times New Roman"/>
          <w:bCs/>
        </w:rPr>
      </w:pPr>
      <w:r>
        <w:rPr>
          <w:rFonts w:ascii="Times New Roman"/>
        </w:rPr>
        <w:t>——</w:t>
      </w:r>
      <w:r>
        <w:rPr>
          <w:rFonts w:ascii="Times New Roman"/>
          <w:bCs/>
          <w:kern w:val="2"/>
        </w:rPr>
        <w:t>使用</w:t>
      </w:r>
      <w:r>
        <w:rPr>
          <w:rFonts w:ascii="Times New Roman"/>
          <w:bCs/>
        </w:rPr>
        <w:t>清洁</w:t>
      </w:r>
      <w:r>
        <w:rPr>
          <w:rFonts w:ascii="Times New Roman"/>
          <w:bCs/>
          <w:kern w:val="2"/>
        </w:rPr>
        <w:t>低碳能源，如购买绿电、可再生能源利用（如</w:t>
      </w:r>
      <w:r>
        <w:rPr>
          <w:rFonts w:ascii="Times New Roman"/>
          <w:bCs/>
        </w:rPr>
        <w:t>屋顶光伏</w:t>
      </w:r>
      <w:r>
        <w:rPr>
          <w:rFonts w:ascii="Times New Roman"/>
          <w:bCs/>
          <w:kern w:val="2"/>
        </w:rPr>
        <w:t>）、</w:t>
      </w:r>
      <w:r>
        <w:rPr>
          <w:rFonts w:ascii="Times New Roman"/>
          <w:bCs/>
        </w:rPr>
        <w:t>生物质替代燃煤燃气等；</w:t>
      </w:r>
    </w:p>
    <w:p w14:paraId="1D9EA951">
      <w:pPr>
        <w:pStyle w:val="40"/>
        <w:overflowPunct w:val="0"/>
        <w:ind w:firstLineChars="0"/>
        <w:rPr>
          <w:rFonts w:ascii="Times New Roman"/>
          <w:bCs/>
        </w:rPr>
      </w:pPr>
      <w:r>
        <w:rPr>
          <w:rFonts w:ascii="Times New Roman"/>
        </w:rPr>
        <w:t>——优化用能结构、回收利用余热余能；</w:t>
      </w:r>
    </w:p>
    <w:p w14:paraId="6AD24078">
      <w:pPr>
        <w:pStyle w:val="40"/>
        <w:overflowPunct w:val="0"/>
        <w:ind w:firstLineChars="0"/>
        <w:rPr>
          <w:rFonts w:ascii="Times New Roman"/>
          <w:bCs/>
        </w:rPr>
      </w:pPr>
      <w:r>
        <w:rPr>
          <w:rFonts w:ascii="Times New Roman"/>
        </w:rPr>
        <w:t>——</w:t>
      </w:r>
      <w:r>
        <w:rPr>
          <w:rFonts w:ascii="Times New Roman"/>
          <w:bCs/>
        </w:rPr>
        <w:t>优化生产工艺，如增加智能控制系统、采用节能设备、简化工序、减少二次搬运、物流实施跟踪、物料充分利用</w:t>
      </w:r>
      <w:r>
        <w:rPr>
          <w:rFonts w:hint="eastAsia" w:ascii="Times New Roman"/>
          <w:bCs/>
        </w:rPr>
        <w:t>等</w:t>
      </w:r>
      <w:r>
        <w:rPr>
          <w:rFonts w:ascii="Times New Roman"/>
          <w:bCs/>
        </w:rPr>
        <w:t>；</w:t>
      </w:r>
    </w:p>
    <w:p w14:paraId="1F0036B4">
      <w:pPr>
        <w:pStyle w:val="40"/>
        <w:overflowPunct w:val="0"/>
        <w:ind w:firstLineChars="0"/>
        <w:rPr>
          <w:rFonts w:ascii="Times New Roman"/>
        </w:rPr>
      </w:pPr>
      <w:r>
        <w:rPr>
          <w:rFonts w:ascii="Times New Roman"/>
        </w:rPr>
        <w:t>——定期维护保养设备，及时调整设备工况，</w:t>
      </w:r>
      <w:r>
        <w:rPr>
          <w:rFonts w:hint="eastAsia" w:ascii="Times New Roman"/>
        </w:rPr>
        <w:t>鼓励</w:t>
      </w:r>
      <w:r>
        <w:rPr>
          <w:rFonts w:ascii="Times New Roman"/>
        </w:rPr>
        <w:t>引进低碳高效设备。</w:t>
      </w:r>
    </w:p>
    <w:p w14:paraId="070AE2B1">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112" w:name="_Toc220422382"/>
      <w:bookmarkStart w:id="113" w:name="_Toc187932702"/>
      <w:bookmarkStart w:id="114" w:name="OLE_LINK12"/>
      <w:bookmarkStart w:id="115" w:name="_Hlk190779909"/>
      <w:r>
        <w:rPr>
          <w:rFonts w:ascii="Times New Roman"/>
          <w:color w:val="000000" w:themeColor="text1"/>
          <w14:textFill>
            <w14:solidFill>
              <w14:schemeClr w14:val="tx1"/>
            </w14:solidFill>
          </w14:textFill>
        </w:rPr>
        <w:t>仓储与运输控制</w:t>
      </w:r>
      <w:bookmarkEnd w:id="112"/>
    </w:p>
    <w:p w14:paraId="47A74F5B">
      <w:pPr>
        <w:ind w:firstLine="420" w:firstLineChars="200"/>
        <w:rPr>
          <w:rFonts w:ascii="Times New Roman" w:hAnsi="Times New Roman" w:eastAsia="宋体" w:cs="Times New Roman"/>
          <w:szCs w:val="20"/>
        </w:rPr>
      </w:pPr>
      <w:r>
        <w:rPr>
          <w:rFonts w:hint="eastAsia" w:ascii="Times New Roman" w:hAnsi="Times New Roman" w:eastAsia="宋体" w:cs="Times New Roman"/>
          <w:szCs w:val="20"/>
        </w:rPr>
        <w:t xml:space="preserve">8.5.1  </w:t>
      </w:r>
      <w:r>
        <w:rPr>
          <w:rFonts w:ascii="Times New Roman" w:hAnsi="Times New Roman" w:eastAsia="宋体" w:cs="Times New Roman"/>
          <w:szCs w:val="20"/>
        </w:rPr>
        <w:t>企业</w:t>
      </w:r>
      <w:r>
        <w:rPr>
          <w:rFonts w:hint="eastAsia" w:ascii="Times New Roman" w:hAnsi="Times New Roman" w:eastAsia="宋体" w:cs="Times New Roman"/>
          <w:szCs w:val="20"/>
        </w:rPr>
        <w:t>应</w:t>
      </w:r>
      <w:r>
        <w:rPr>
          <w:rFonts w:ascii="Times New Roman" w:hAnsi="Times New Roman" w:eastAsia="宋体" w:cs="Times New Roman"/>
          <w:szCs w:val="20"/>
        </w:rPr>
        <w:t>识别出仓储与运输过程影响碳绩效的过程或要素。必要时，建立相关准则加以控制。企业宜保留相关文件化信息，以证实相关过程按照准则执行。</w:t>
      </w:r>
    </w:p>
    <w:p w14:paraId="789C3298">
      <w:pPr>
        <w:ind w:firstLine="420" w:firstLineChars="200"/>
        <w:rPr>
          <w:rFonts w:ascii="Times New Roman" w:hAnsi="Times New Roman" w:eastAsia="宋体" w:cs="Times New Roman"/>
          <w:szCs w:val="20"/>
        </w:rPr>
      </w:pPr>
      <w:r>
        <w:rPr>
          <w:rFonts w:hint="eastAsia" w:ascii="Times New Roman" w:hAnsi="Times New Roman" w:eastAsia="宋体" w:cs="Times New Roman"/>
          <w:szCs w:val="20"/>
        </w:rPr>
        <w:t xml:space="preserve">8.5.2  </w:t>
      </w:r>
      <w:r>
        <w:rPr>
          <w:rFonts w:ascii="Times New Roman" w:hAnsi="Times New Roman" w:eastAsia="宋体" w:cs="Times New Roman"/>
          <w:szCs w:val="20"/>
        </w:rPr>
        <w:t>企业宜通过以下方式，控制仓储与运输过程能源消耗产生的间接排放：</w:t>
      </w:r>
    </w:p>
    <w:p w14:paraId="1B4DD793">
      <w:pPr>
        <w:pStyle w:val="40"/>
        <w:ind w:left="709" w:firstLine="315" w:firstLineChars="150"/>
        <w:rPr>
          <w:rFonts w:ascii="Times New Roman"/>
          <w:bCs/>
          <w:kern w:val="2"/>
        </w:rPr>
      </w:pPr>
      <w:r>
        <w:rPr>
          <w:rFonts w:hint="eastAsia" w:ascii="Times New Roman"/>
          <w:bCs/>
          <w:kern w:val="2"/>
        </w:rPr>
        <w:t>a）</w:t>
      </w:r>
      <w:r>
        <w:rPr>
          <w:rFonts w:ascii="Times New Roman"/>
          <w:bCs/>
          <w:kern w:val="2"/>
        </w:rPr>
        <w:t>合理设置库容量，减少库存产品在库时间；</w:t>
      </w:r>
    </w:p>
    <w:p w14:paraId="1453DAAD">
      <w:pPr>
        <w:pStyle w:val="40"/>
        <w:ind w:firstLine="1050" w:firstLineChars="500"/>
        <w:rPr>
          <w:rFonts w:ascii="Times New Roman"/>
          <w:bCs/>
          <w:kern w:val="2"/>
        </w:rPr>
      </w:pPr>
      <w:r>
        <w:rPr>
          <w:rFonts w:hint="eastAsia" w:ascii="Times New Roman"/>
          <w:bCs/>
          <w:kern w:val="2"/>
        </w:rPr>
        <w:t>b）</w:t>
      </w:r>
      <w:r>
        <w:rPr>
          <w:rFonts w:ascii="Times New Roman"/>
          <w:bCs/>
          <w:kern w:val="2"/>
        </w:rPr>
        <w:t>优化仓储流程，缩短出入库时间，提</w:t>
      </w:r>
      <w:r>
        <w:rPr>
          <w:rFonts w:hint="eastAsia" w:ascii="Times New Roman"/>
          <w:bCs/>
          <w:kern w:val="2"/>
        </w:rPr>
        <w:t>高</w:t>
      </w:r>
      <w:r>
        <w:rPr>
          <w:rFonts w:ascii="Times New Roman"/>
          <w:bCs/>
          <w:kern w:val="2"/>
        </w:rPr>
        <w:t>库容利用率，加快库存产品周转效率；</w:t>
      </w:r>
    </w:p>
    <w:p w14:paraId="6FF8E221">
      <w:pPr>
        <w:pStyle w:val="40"/>
        <w:ind w:firstLine="1050" w:firstLineChars="500"/>
        <w:rPr>
          <w:rFonts w:ascii="Times New Roman"/>
          <w:bCs/>
          <w:kern w:val="2"/>
        </w:rPr>
      </w:pPr>
      <w:r>
        <w:rPr>
          <w:rFonts w:hint="eastAsia" w:ascii="Times New Roman"/>
          <w:bCs/>
          <w:kern w:val="2"/>
        </w:rPr>
        <w:t>c）</w:t>
      </w:r>
      <w:r>
        <w:rPr>
          <w:rFonts w:ascii="Times New Roman"/>
          <w:bCs/>
          <w:kern w:val="2"/>
        </w:rPr>
        <w:t>仓库</w:t>
      </w:r>
      <w:r>
        <w:rPr>
          <w:rFonts w:hint="eastAsia" w:ascii="Times New Roman"/>
          <w:bCs/>
          <w:kern w:val="2"/>
        </w:rPr>
        <w:t>设计</w:t>
      </w:r>
      <w:r>
        <w:rPr>
          <w:rFonts w:ascii="Times New Roman"/>
          <w:bCs/>
          <w:kern w:val="2"/>
        </w:rPr>
        <w:t>引入绿色建筑</w:t>
      </w:r>
      <w:r>
        <w:rPr>
          <w:rFonts w:hint="eastAsia" w:ascii="Times New Roman"/>
          <w:bCs/>
          <w:kern w:val="2"/>
        </w:rPr>
        <w:t>理念</w:t>
      </w:r>
      <w:r>
        <w:rPr>
          <w:rFonts w:ascii="Times New Roman"/>
          <w:bCs/>
          <w:kern w:val="2"/>
        </w:rPr>
        <w:t>，如天然采光、自然通风、建筑一体化光伏发电系统（BIPV技术）等；</w:t>
      </w:r>
    </w:p>
    <w:p w14:paraId="3A08108A">
      <w:pPr>
        <w:pStyle w:val="40"/>
        <w:ind w:firstLine="1050" w:firstLineChars="500"/>
        <w:rPr>
          <w:rFonts w:ascii="Times New Roman"/>
          <w:bCs/>
          <w:kern w:val="2"/>
        </w:rPr>
      </w:pPr>
      <w:r>
        <w:rPr>
          <w:rFonts w:hint="eastAsia" w:ascii="Times New Roman"/>
          <w:bCs/>
          <w:kern w:val="2"/>
        </w:rPr>
        <w:t>d）</w:t>
      </w:r>
      <w:r>
        <w:rPr>
          <w:rFonts w:ascii="Times New Roman"/>
          <w:bCs/>
          <w:kern w:val="2"/>
        </w:rPr>
        <w:t>使用电力叉车等转运工具</w:t>
      </w:r>
      <w:r>
        <w:rPr>
          <w:rFonts w:hint="eastAsia" w:ascii="Times New Roman"/>
          <w:bCs/>
          <w:kern w:val="2"/>
        </w:rPr>
        <w:t>；</w:t>
      </w:r>
    </w:p>
    <w:p w14:paraId="626F3E0B">
      <w:pPr>
        <w:pStyle w:val="40"/>
        <w:ind w:firstLine="1050" w:firstLineChars="500"/>
        <w:rPr>
          <w:rFonts w:ascii="Times New Roman"/>
          <w:bCs/>
          <w:kern w:val="2"/>
        </w:rPr>
      </w:pPr>
      <w:r>
        <w:rPr>
          <w:rFonts w:hint="eastAsia" w:ascii="Times New Roman"/>
          <w:bCs/>
          <w:kern w:val="2"/>
        </w:rPr>
        <w:t>e）</w:t>
      </w:r>
      <w:r>
        <w:rPr>
          <w:rFonts w:ascii="Times New Roman"/>
          <w:bCs/>
          <w:kern w:val="2"/>
        </w:rPr>
        <w:t>优化运输结构，推广可替代的清洁能源运输方式；</w:t>
      </w:r>
    </w:p>
    <w:p w14:paraId="60AC29E0">
      <w:pPr>
        <w:pStyle w:val="40"/>
        <w:ind w:firstLine="1050" w:firstLineChars="500"/>
        <w:rPr>
          <w:rFonts w:ascii="Times New Roman"/>
          <w:bCs/>
          <w:kern w:val="2"/>
        </w:rPr>
      </w:pPr>
      <w:r>
        <w:rPr>
          <w:rFonts w:hint="eastAsia" w:ascii="Times New Roman"/>
          <w:bCs/>
          <w:kern w:val="2"/>
        </w:rPr>
        <w:t>f）</w:t>
      </w:r>
      <w:r>
        <w:rPr>
          <w:rFonts w:ascii="Times New Roman"/>
          <w:bCs/>
          <w:kern w:val="2"/>
        </w:rPr>
        <w:t>完善运输服务，优化配送路线。</w:t>
      </w:r>
    </w:p>
    <w:p w14:paraId="782B154E">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116" w:name="_Toc220422383"/>
      <w:r>
        <w:rPr>
          <w:rFonts w:ascii="Times New Roman"/>
          <w:color w:val="000000" w:themeColor="text1"/>
          <w14:textFill>
            <w14:solidFill>
              <w14:schemeClr w14:val="tx1"/>
            </w14:solidFill>
          </w14:textFill>
        </w:rPr>
        <w:t>碳数据质量控制</w:t>
      </w:r>
      <w:bookmarkEnd w:id="113"/>
      <w:bookmarkEnd w:id="116"/>
    </w:p>
    <w:bookmarkEnd w:id="114"/>
    <w:p w14:paraId="1C3D3F5A">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企业宜在适宜的层面上制定碳数据质量控制计划，数据质量应至少做到：</w:t>
      </w:r>
    </w:p>
    <w:p w14:paraId="74B428E6">
      <w:pPr>
        <w:pStyle w:val="40"/>
        <w:overflowPunct w:val="0"/>
        <w:ind w:firstLineChars="0"/>
        <w:rPr>
          <w:rFonts w:ascii="Times New Roman"/>
        </w:rPr>
      </w:pPr>
      <w:r>
        <w:rPr>
          <w:rFonts w:ascii="Times New Roman"/>
        </w:rPr>
        <w:t>——确保碳数据核算和报告符合相关准则的要求；</w:t>
      </w:r>
    </w:p>
    <w:p w14:paraId="3E91EB27">
      <w:pPr>
        <w:pStyle w:val="40"/>
        <w:overflowPunct w:val="0"/>
        <w:ind w:firstLineChars="0"/>
        <w:rPr>
          <w:rFonts w:ascii="Times New Roman"/>
        </w:rPr>
      </w:pPr>
      <w:r>
        <w:rPr>
          <w:rFonts w:ascii="Times New Roman"/>
        </w:rPr>
        <w:t>——建立并保持有效的数据质量控制要求，包括对活动水平和排放因子等数据的收集、记录、传递、汇总和报告的要求；</w:t>
      </w:r>
    </w:p>
    <w:p w14:paraId="7EF70AB6">
      <w:pPr>
        <w:pStyle w:val="40"/>
        <w:overflowPunct w:val="0"/>
        <w:ind w:firstLineChars="0"/>
        <w:rPr>
          <w:rFonts w:ascii="Times New Roman"/>
        </w:rPr>
      </w:pPr>
      <w:r>
        <w:rPr>
          <w:rFonts w:ascii="Times New Roman"/>
        </w:rPr>
        <w:t>——配备、维护和校准与活动数据和排放因子等数据有关的监测设备；</w:t>
      </w:r>
    </w:p>
    <w:p w14:paraId="6662D643">
      <w:pPr>
        <w:pStyle w:val="40"/>
        <w:overflowPunct w:val="0"/>
        <w:ind w:firstLineChars="0"/>
        <w:rPr>
          <w:rFonts w:ascii="Times New Roman"/>
        </w:rPr>
      </w:pPr>
      <w:r>
        <w:rPr>
          <w:rFonts w:ascii="Times New Roman"/>
        </w:rPr>
        <w:t>——制定数据缺失、生产活动变化以及报告变更方法的应对措施；</w:t>
      </w:r>
    </w:p>
    <w:p w14:paraId="78C2A2C6">
      <w:pPr>
        <w:pStyle w:val="40"/>
        <w:overflowPunct w:val="0"/>
        <w:ind w:firstLineChars="0"/>
        <w:rPr>
          <w:rFonts w:ascii="Times New Roman"/>
        </w:rPr>
      </w:pPr>
      <w:r>
        <w:rPr>
          <w:rFonts w:ascii="Times New Roman"/>
        </w:rPr>
        <w:t>——确保核算和报告的数据与其预定的用途相符；</w:t>
      </w:r>
    </w:p>
    <w:p w14:paraId="5DEB8F59">
      <w:pPr>
        <w:pStyle w:val="40"/>
        <w:overflowPunct w:val="0"/>
        <w:ind w:firstLineChars="0"/>
        <w:rPr>
          <w:rFonts w:ascii="Times New Roman"/>
        </w:rPr>
      </w:pPr>
      <w:r>
        <w:rPr>
          <w:rFonts w:ascii="Times New Roman"/>
        </w:rPr>
        <w:t>——将有关核算和报告的活动记录形成文件。</w:t>
      </w:r>
    </w:p>
    <w:p w14:paraId="30E72844">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117" w:name="_Toc220422384"/>
      <w:r>
        <w:rPr>
          <w:rFonts w:ascii="Times New Roman"/>
          <w:color w:val="000000" w:themeColor="text1"/>
          <w14:textFill>
            <w14:solidFill>
              <w14:schemeClr w14:val="tx1"/>
            </w14:solidFill>
          </w14:textFill>
        </w:rPr>
        <w:t>碳资产管理控制</w:t>
      </w:r>
      <w:bookmarkEnd w:id="117"/>
    </w:p>
    <w:p w14:paraId="2F0097DD">
      <w:pPr>
        <w:pStyle w:val="3"/>
        <w:numPr>
          <w:ilvl w:val="2"/>
          <w:numId w:val="1"/>
        </w:numPr>
        <w:overflowPunct w:val="0"/>
        <w:ind w:firstLineChars="0"/>
        <w:rPr>
          <w:rFonts w:ascii="Times New Roman" w:hAnsi="Times New Roman" w:eastAsia="宋体" w:cs="Times New Roman"/>
          <w:kern w:val="0"/>
          <w:szCs w:val="20"/>
        </w:rPr>
      </w:pPr>
      <w:r>
        <w:rPr>
          <w:rFonts w:ascii="Times New Roman" w:hAnsi="Times New Roman" w:eastAsia="宋体" w:cs="Times New Roman"/>
          <w:kern w:val="0"/>
          <w:szCs w:val="20"/>
        </w:rPr>
        <w:t>企业宜对碳资产进行策划和管理，确保碳资产管理所需要的资源，并保持文件化信息。</w:t>
      </w:r>
    </w:p>
    <w:p w14:paraId="44CEC6FC">
      <w:pPr>
        <w:pStyle w:val="3"/>
        <w:numPr>
          <w:ilvl w:val="2"/>
          <w:numId w:val="1"/>
        </w:numPr>
        <w:overflowPunct w:val="0"/>
        <w:ind w:firstLineChars="0"/>
        <w:rPr>
          <w:rFonts w:ascii="Times New Roman" w:hAnsi="Times New Roman" w:eastAsia="宋体" w:cs="Times New Roman"/>
          <w:kern w:val="0"/>
          <w:szCs w:val="20"/>
        </w:rPr>
      </w:pPr>
      <w:r>
        <w:rPr>
          <w:rFonts w:ascii="Times New Roman" w:hAnsi="Times New Roman" w:eastAsia="宋体" w:cs="Times New Roman"/>
          <w:kern w:val="0"/>
          <w:szCs w:val="20"/>
        </w:rPr>
        <w:t>碳资产策划和管理时，宜考虑：</w:t>
      </w:r>
    </w:p>
    <w:p w14:paraId="4BB4993F">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szCs w:val="20"/>
        </w:rPr>
        <w:t>a）自身的减排成本；</w:t>
      </w:r>
    </w:p>
    <w:p w14:paraId="6A67EEB6">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szCs w:val="20"/>
        </w:rPr>
        <w:t>b）基于自身减排成本考虑的技术改进、管理提升等相关因素；</w:t>
      </w:r>
    </w:p>
    <w:p w14:paraId="303D9A61">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szCs w:val="20"/>
        </w:rPr>
        <w:t>c）碳资产的市场价格；</w:t>
      </w:r>
    </w:p>
    <w:p w14:paraId="4658420C">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szCs w:val="20"/>
        </w:rPr>
        <w:t>d）选择合适的金融工具；</w:t>
      </w:r>
    </w:p>
    <w:p w14:paraId="42EA92C9">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szCs w:val="20"/>
        </w:rPr>
        <w:t>e）碳资产的财务处理方式。</w:t>
      </w:r>
    </w:p>
    <w:p w14:paraId="3C0E0D59">
      <w:pPr>
        <w:pStyle w:val="3"/>
        <w:numPr>
          <w:ilvl w:val="2"/>
          <w:numId w:val="1"/>
        </w:numPr>
        <w:overflowPunct w:val="0"/>
        <w:ind w:firstLineChars="0"/>
        <w:rPr>
          <w:rFonts w:ascii="Times New Roman" w:hAnsi="Times New Roman" w:eastAsia="宋体" w:cs="Times New Roman"/>
          <w:kern w:val="0"/>
          <w:szCs w:val="20"/>
        </w:rPr>
      </w:pPr>
      <w:r>
        <w:rPr>
          <w:rFonts w:ascii="Times New Roman" w:hAnsi="Times New Roman" w:eastAsia="宋体" w:cs="Times New Roman"/>
          <w:kern w:val="0"/>
          <w:szCs w:val="20"/>
        </w:rPr>
        <w:t>碳资产管理包括但不限于以下内容：</w:t>
      </w:r>
    </w:p>
    <w:p w14:paraId="0222F17E">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a）碳资产类型的识别；</w:t>
      </w:r>
    </w:p>
    <w:p w14:paraId="1197204E">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b）碳资产管理措施的制定；</w:t>
      </w:r>
    </w:p>
    <w:p w14:paraId="6DBF0649">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c）碳资产统计；</w:t>
      </w:r>
    </w:p>
    <w:p w14:paraId="546106F8">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d）碳配额管理</w:t>
      </w:r>
      <w:bookmarkStart w:id="118" w:name="OLE_LINK13"/>
      <w:r>
        <w:rPr>
          <w:rFonts w:ascii="Times New Roman" w:hAnsi="Times New Roman" w:eastAsia="宋体" w:cs="Times New Roman"/>
          <w:kern w:val="0"/>
        </w:rPr>
        <w:t>（适用时）</w:t>
      </w:r>
      <w:bookmarkEnd w:id="118"/>
      <w:r>
        <w:rPr>
          <w:rFonts w:ascii="Times New Roman" w:hAnsi="Times New Roman" w:eastAsia="宋体" w:cs="Times New Roman"/>
          <w:kern w:val="0"/>
        </w:rPr>
        <w:t>；</w:t>
      </w:r>
    </w:p>
    <w:p w14:paraId="29553A07">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e）国家核证减碳量（CCER）管理（适用时）；</w:t>
      </w:r>
    </w:p>
    <w:p w14:paraId="459FE187">
      <w:pPr>
        <w:overflowPunct w:val="0"/>
        <w:ind w:firstLine="630" w:firstLineChars="300"/>
        <w:rPr>
          <w:rFonts w:ascii="Times New Roman" w:hAnsi="Times New Roman" w:eastAsia="宋体" w:cs="Times New Roman"/>
          <w:kern w:val="0"/>
        </w:rPr>
      </w:pPr>
      <w:r>
        <w:rPr>
          <w:rFonts w:ascii="Times New Roman" w:hAnsi="Times New Roman" w:eastAsia="宋体" w:cs="Times New Roman"/>
          <w:kern w:val="0"/>
        </w:rPr>
        <w:t>f）项目减碳量管理；</w:t>
      </w:r>
    </w:p>
    <w:p w14:paraId="219BE0B8">
      <w:pPr>
        <w:overflowPunct w:val="0"/>
        <w:ind w:firstLine="630" w:firstLineChars="300"/>
        <w:rPr>
          <w:rFonts w:ascii="Times New Roman" w:hAnsi="Times New Roman" w:eastAsia="宋体" w:cs="Times New Roman"/>
          <w:kern w:val="0"/>
          <w:szCs w:val="20"/>
        </w:rPr>
      </w:pPr>
      <w:r>
        <w:rPr>
          <w:rFonts w:ascii="Times New Roman" w:hAnsi="Times New Roman" w:eastAsia="宋体" w:cs="Times New Roman"/>
          <w:kern w:val="0"/>
        </w:rPr>
        <w:t>g）碳金融产品管理。</w:t>
      </w:r>
    </w:p>
    <w:bookmarkEnd w:id="115"/>
    <w:p w14:paraId="7408C32A">
      <w:pPr>
        <w:pStyle w:val="66"/>
        <w:numPr>
          <w:ilvl w:val="0"/>
          <w:numId w:val="1"/>
        </w:numPr>
        <w:overflowPunct w:val="0"/>
        <w:spacing w:before="286" w:after="286"/>
        <w:ind w:left="0" w:firstLine="0"/>
        <w:outlineLvl w:val="0"/>
        <w:rPr>
          <w:rFonts w:ascii="Times New Roman"/>
        </w:rPr>
      </w:pPr>
      <w:bookmarkStart w:id="119" w:name="_Toc220422385"/>
      <w:bookmarkStart w:id="120" w:name="_Toc187932703"/>
      <w:r>
        <w:rPr>
          <w:rFonts w:ascii="Times New Roman"/>
        </w:rPr>
        <w:t>绩效评价</w:t>
      </w:r>
      <w:bookmarkEnd w:id="119"/>
      <w:bookmarkEnd w:id="120"/>
    </w:p>
    <w:p w14:paraId="0F3417AC">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121" w:name="_Toc187932704"/>
      <w:bookmarkStart w:id="122" w:name="_Toc220422386"/>
      <w:r>
        <w:rPr>
          <w:rFonts w:ascii="Times New Roman"/>
          <w:color w:val="000000" w:themeColor="text1"/>
          <w14:textFill>
            <w14:solidFill>
              <w14:schemeClr w14:val="tx1"/>
            </w14:solidFill>
          </w14:textFill>
        </w:rPr>
        <w:t>监视、测量、分析和评价</w:t>
      </w:r>
      <w:bookmarkEnd w:id="121"/>
      <w:bookmarkEnd w:id="122"/>
    </w:p>
    <w:p w14:paraId="5C7CED3C">
      <w:pPr>
        <w:pStyle w:val="68"/>
        <w:numPr>
          <w:ilvl w:val="2"/>
          <w:numId w:val="1"/>
        </w:numPr>
        <w:overflowPunct w:val="0"/>
        <w:spacing w:before="143" w:after="143"/>
        <w:ind w:left="0" w:firstLine="0"/>
        <w:rPr>
          <w:rFonts w:ascii="Times New Roman"/>
        </w:rPr>
      </w:pPr>
      <w:r>
        <w:rPr>
          <w:rFonts w:ascii="Times New Roman"/>
        </w:rPr>
        <w:t>总则</w:t>
      </w:r>
    </w:p>
    <w:p w14:paraId="3FA60923">
      <w:pPr>
        <w:overflowPunct w:val="0"/>
        <w:rPr>
          <w:rFonts w:ascii="Times New Roman" w:hAnsi="Times New Roman" w:eastAsia="宋体" w:cs="Times New Roman"/>
          <w:color w:val="000000"/>
          <w:szCs w:val="21"/>
        </w:rPr>
      </w:pPr>
      <w:r>
        <w:rPr>
          <w:rFonts w:ascii="Times New Roman" w:hAnsi="Times New Roman" w:eastAsia="宋体" w:cs="Times New Roman"/>
          <w:color w:val="000000"/>
          <w:szCs w:val="21"/>
        </w:rPr>
        <w:t>9.1.1.1  企业宜采用系统的方法定期监视、测量、分析和评价其碳管理绩效。宜确定：</w:t>
      </w:r>
    </w:p>
    <w:p w14:paraId="5FB96498">
      <w:pPr>
        <w:overflowPunct w:val="0"/>
        <w:ind w:firstLine="420" w:firstLineChars="200"/>
        <w:rPr>
          <w:rFonts w:ascii="Times New Roman" w:hAnsi="Times New Roman" w:eastAsia="宋体" w:cs="Times New Roman"/>
          <w:color w:val="000000"/>
          <w:szCs w:val="21"/>
        </w:rPr>
      </w:pPr>
      <w:r>
        <w:rPr>
          <w:rFonts w:ascii="Times New Roman" w:hAnsi="Times New Roman" w:eastAsia="宋体" w:cs="Times New Roman"/>
          <w:color w:val="000000"/>
          <w:szCs w:val="21"/>
        </w:rPr>
        <w:t>a) 需要监视和测量的内容；</w:t>
      </w:r>
    </w:p>
    <w:p w14:paraId="66551619">
      <w:pPr>
        <w:overflowPunct w:val="0"/>
        <w:ind w:firstLine="420" w:firstLineChars="200"/>
        <w:rPr>
          <w:rFonts w:ascii="Times New Roman" w:hAnsi="Times New Roman" w:eastAsia="宋体" w:cs="Times New Roman"/>
          <w:color w:val="000000"/>
          <w:szCs w:val="21"/>
        </w:rPr>
      </w:pPr>
      <w:r>
        <w:rPr>
          <w:rFonts w:ascii="Times New Roman" w:hAnsi="Times New Roman" w:eastAsia="宋体" w:cs="Times New Roman"/>
          <w:color w:val="000000"/>
          <w:szCs w:val="21"/>
        </w:rPr>
        <w:t xml:space="preserve">b）适用的监视、测量、分析与评价的方法； </w:t>
      </w:r>
    </w:p>
    <w:p w14:paraId="693DB916">
      <w:pPr>
        <w:overflowPunct w:val="0"/>
        <w:ind w:firstLine="420" w:firstLineChars="200"/>
        <w:rPr>
          <w:rFonts w:ascii="Times New Roman" w:hAnsi="Times New Roman" w:eastAsia="宋体" w:cs="Times New Roman"/>
          <w:color w:val="000000"/>
          <w:szCs w:val="21"/>
        </w:rPr>
      </w:pPr>
      <w:r>
        <w:rPr>
          <w:rFonts w:ascii="Times New Roman" w:hAnsi="Times New Roman" w:eastAsia="宋体" w:cs="Times New Roman"/>
          <w:color w:val="000000"/>
          <w:szCs w:val="21"/>
        </w:rPr>
        <w:t xml:space="preserve">c) 何时应进行监视和测量； </w:t>
      </w:r>
    </w:p>
    <w:p w14:paraId="7FF2726E">
      <w:pPr>
        <w:overflowPunct w:val="0"/>
        <w:ind w:firstLine="420" w:firstLineChars="200"/>
        <w:rPr>
          <w:rFonts w:ascii="Times New Roman" w:hAnsi="Times New Roman" w:eastAsia="宋体" w:cs="Times New Roman"/>
          <w:color w:val="000000"/>
          <w:szCs w:val="21"/>
        </w:rPr>
      </w:pPr>
      <w:r>
        <w:rPr>
          <w:rFonts w:ascii="Times New Roman" w:hAnsi="Times New Roman" w:eastAsia="宋体" w:cs="Times New Roman"/>
          <w:color w:val="000000"/>
          <w:szCs w:val="21"/>
        </w:rPr>
        <w:t xml:space="preserve">d) 何时应统计、分析和评价监视和测量的结果。 </w:t>
      </w:r>
    </w:p>
    <w:p w14:paraId="131CE651">
      <w:pPr>
        <w:overflowPunct w:val="0"/>
        <w:rPr>
          <w:rFonts w:ascii="Times New Roman" w:hAnsi="Times New Roman" w:eastAsia="宋体" w:cs="Times New Roman"/>
          <w:color w:val="000000"/>
          <w:szCs w:val="21"/>
        </w:rPr>
      </w:pPr>
      <w:r>
        <w:rPr>
          <w:rFonts w:ascii="Times New Roman" w:hAnsi="Times New Roman" w:eastAsia="宋体" w:cs="Times New Roman"/>
          <w:color w:val="000000"/>
          <w:szCs w:val="21"/>
        </w:rPr>
        <w:t>9.1.1.2  企业的计量器具配</w:t>
      </w:r>
      <w:r>
        <w:rPr>
          <w:rFonts w:hint="eastAsia" w:ascii="Times New Roman" w:hAnsi="Times New Roman" w:eastAsia="宋体" w:cs="Times New Roman"/>
          <w:color w:val="000000"/>
          <w:szCs w:val="21"/>
        </w:rPr>
        <w:t>备</w:t>
      </w:r>
      <w:r>
        <w:rPr>
          <w:rFonts w:ascii="Times New Roman" w:hAnsi="Times New Roman" w:eastAsia="宋体" w:cs="Times New Roman"/>
          <w:color w:val="000000"/>
          <w:szCs w:val="21"/>
        </w:rPr>
        <w:t>应符合GB17167规定，并按照规定的时间间隔进行检定或校准。</w:t>
      </w:r>
    </w:p>
    <w:p w14:paraId="1557F981">
      <w:pPr>
        <w:overflowPunct w:val="0"/>
        <w:rPr>
          <w:rFonts w:ascii="Times New Roman" w:hAnsi="Times New Roman" w:eastAsia="宋体" w:cs="Times New Roman"/>
          <w:color w:val="000000"/>
          <w:szCs w:val="21"/>
        </w:rPr>
      </w:pPr>
      <w:r>
        <w:rPr>
          <w:rFonts w:ascii="Times New Roman" w:hAnsi="Times New Roman" w:eastAsia="宋体" w:cs="Times New Roman"/>
          <w:color w:val="000000"/>
          <w:szCs w:val="21"/>
        </w:rPr>
        <w:t>9.1.1.3  企业应对其碳管理体系和碳绩效的有效性进行评价，通过碳绩效参数值与相应的碳基准对比评价碳绩效的改进。企业应对碳绩效的严重偏离进行调查和响应，并保留这些调查和响应结果的文件化信息。</w:t>
      </w:r>
    </w:p>
    <w:p w14:paraId="6B0B94B7">
      <w:pPr>
        <w:pStyle w:val="68"/>
        <w:numPr>
          <w:ilvl w:val="2"/>
          <w:numId w:val="1"/>
        </w:numPr>
        <w:overflowPunct w:val="0"/>
        <w:spacing w:before="143" w:after="143"/>
        <w:ind w:left="0" w:firstLine="0"/>
        <w:rPr>
          <w:rFonts w:ascii="Times New Roman"/>
        </w:rPr>
      </w:pPr>
      <w:r>
        <w:rPr>
          <w:rFonts w:ascii="Times New Roman"/>
        </w:rPr>
        <w:t>监视和测量的内容</w:t>
      </w:r>
    </w:p>
    <w:p w14:paraId="36551BEE">
      <w:pPr>
        <w:pStyle w:val="3"/>
        <w:overflowPunct w:val="0"/>
        <w:ind w:left="432" w:firstLine="0" w:firstLineChars="0"/>
        <w:rPr>
          <w:rFonts w:ascii="Times New Roman" w:hAnsi="Times New Roman" w:eastAsia="宋体" w:cs="Times New Roman"/>
          <w:color w:val="000000"/>
          <w:szCs w:val="21"/>
        </w:rPr>
      </w:pPr>
      <w:r>
        <w:rPr>
          <w:rFonts w:ascii="Times New Roman" w:hAnsi="Times New Roman" w:eastAsia="宋体" w:cs="Times New Roman"/>
          <w:color w:val="000000"/>
          <w:szCs w:val="21"/>
        </w:rPr>
        <w:t>监视和测量的内容至少应包括以下关键特性：</w:t>
      </w:r>
    </w:p>
    <w:p w14:paraId="7A1D3F37">
      <w:pPr>
        <w:pStyle w:val="3"/>
        <w:overflowPunct w:val="0"/>
        <w:ind w:left="432" w:firstLine="0" w:firstLineChars="0"/>
        <w:rPr>
          <w:rFonts w:ascii="Times New Roman" w:hAnsi="Times New Roman" w:eastAsia="宋体" w:cs="Times New Roman"/>
          <w:color w:val="000000"/>
          <w:szCs w:val="21"/>
        </w:rPr>
      </w:pPr>
      <w:r>
        <w:rPr>
          <w:rFonts w:ascii="Times New Roman" w:hAnsi="Times New Roman" w:eastAsia="宋体" w:cs="Times New Roman"/>
          <w:kern w:val="0"/>
        </w:rPr>
        <w:t>——</w:t>
      </w:r>
      <w:r>
        <w:rPr>
          <w:rFonts w:ascii="Times New Roman" w:hAnsi="Times New Roman" w:eastAsia="宋体" w:cs="Times New Roman"/>
          <w:color w:val="000000"/>
          <w:szCs w:val="21"/>
        </w:rPr>
        <w:t>碳排放活动数据、排放因子；</w:t>
      </w:r>
    </w:p>
    <w:p w14:paraId="4F0F254E">
      <w:pPr>
        <w:pStyle w:val="3"/>
        <w:overflowPunct w:val="0"/>
        <w:ind w:left="432" w:firstLine="0" w:firstLineChars="0"/>
        <w:rPr>
          <w:rFonts w:ascii="Times New Roman" w:hAnsi="Times New Roman" w:eastAsia="宋体" w:cs="Times New Roman"/>
          <w:color w:val="000000"/>
          <w:szCs w:val="21"/>
        </w:rPr>
      </w:pPr>
      <w:r>
        <w:rPr>
          <w:rFonts w:ascii="Times New Roman" w:hAnsi="Times New Roman" w:eastAsia="宋体" w:cs="Times New Roman"/>
          <w:kern w:val="0"/>
        </w:rPr>
        <w:t>——</w:t>
      </w:r>
      <w:r>
        <w:rPr>
          <w:rFonts w:ascii="Times New Roman" w:hAnsi="Times New Roman" w:eastAsia="宋体" w:cs="Times New Roman"/>
          <w:color w:val="000000"/>
          <w:szCs w:val="21"/>
        </w:rPr>
        <w:t>适用于企业、部门、生产单元、设备、产品</w:t>
      </w:r>
      <w:r>
        <w:rPr>
          <w:rFonts w:hint="eastAsia" w:ascii="Times New Roman" w:hAnsi="Times New Roman" w:eastAsia="宋体" w:cs="Times New Roman"/>
          <w:color w:val="000000"/>
          <w:szCs w:val="21"/>
        </w:rPr>
        <w:t>等</w:t>
      </w:r>
      <w:r>
        <w:rPr>
          <w:rFonts w:ascii="Times New Roman" w:hAnsi="Times New Roman" w:eastAsia="宋体" w:cs="Times New Roman"/>
          <w:color w:val="000000"/>
          <w:szCs w:val="21"/>
        </w:rPr>
        <w:t>不同层面的碳绩效参数；</w:t>
      </w:r>
      <w:r>
        <w:rPr>
          <w:rFonts w:ascii="Times New Roman" w:hAnsi="Times New Roman" w:eastAsia="宋体" w:cs="Times New Roman"/>
          <w:color w:val="000000"/>
          <w:szCs w:val="21"/>
        </w:rPr>
        <w:br w:type="textWrapping"/>
      </w:r>
      <w:r>
        <w:rPr>
          <w:rFonts w:ascii="Times New Roman" w:hAnsi="Times New Roman" w:eastAsia="宋体" w:cs="Times New Roman"/>
          <w:kern w:val="0"/>
        </w:rPr>
        <w:t>——</w:t>
      </w:r>
      <w:r>
        <w:rPr>
          <w:rFonts w:ascii="Times New Roman" w:hAnsi="Times New Roman" w:eastAsia="宋体" w:cs="Times New Roman"/>
          <w:color w:val="000000"/>
          <w:szCs w:val="21"/>
        </w:rPr>
        <w:t>与碳绩效相关的变量，包括使用能源种类变化、产品种类和产量、气候等；</w:t>
      </w:r>
      <w:r>
        <w:rPr>
          <w:rFonts w:ascii="Times New Roman" w:hAnsi="Times New Roman" w:eastAsia="宋体" w:cs="Times New Roman"/>
          <w:color w:val="000000"/>
          <w:szCs w:val="21"/>
        </w:rPr>
        <w:br w:type="textWrapping"/>
      </w:r>
      <w:r>
        <w:rPr>
          <w:rFonts w:ascii="Times New Roman" w:hAnsi="Times New Roman" w:eastAsia="宋体" w:cs="Times New Roman"/>
          <w:kern w:val="0"/>
        </w:rPr>
        <w:t>——</w:t>
      </w:r>
      <w:r>
        <w:rPr>
          <w:rFonts w:ascii="Times New Roman" w:hAnsi="Times New Roman" w:eastAsia="宋体" w:cs="Times New Roman"/>
          <w:color w:val="000000"/>
          <w:szCs w:val="21"/>
        </w:rPr>
        <w:t>碳管理措施计划在实施碳目标和指标方面的有效性；</w:t>
      </w:r>
    </w:p>
    <w:p w14:paraId="1316F2C9">
      <w:pPr>
        <w:pStyle w:val="3"/>
        <w:overflowPunct w:val="0"/>
        <w:ind w:left="432" w:firstLine="0" w:firstLineChars="0"/>
        <w:rPr>
          <w:rFonts w:ascii="Times New Roman" w:hAnsi="Times New Roman" w:eastAsia="宋体" w:cs="Times New Roman"/>
          <w:color w:val="000000"/>
          <w:szCs w:val="21"/>
        </w:rPr>
      </w:pPr>
      <w:r>
        <w:rPr>
          <w:rFonts w:ascii="Times New Roman" w:hAnsi="Times New Roman" w:eastAsia="宋体" w:cs="Times New Roman"/>
          <w:kern w:val="0"/>
        </w:rPr>
        <w:t>——</w:t>
      </w:r>
      <w:r>
        <w:rPr>
          <w:rFonts w:ascii="Times New Roman" w:hAnsi="Times New Roman" w:eastAsia="宋体" w:cs="Times New Roman"/>
          <w:color w:val="000000"/>
          <w:szCs w:val="21"/>
        </w:rPr>
        <w:t>实际碳排放量与预期</w:t>
      </w:r>
      <w:r>
        <w:rPr>
          <w:rFonts w:hint="eastAsia" w:ascii="Times New Roman" w:hAnsi="Times New Roman" w:eastAsia="宋体" w:cs="Times New Roman"/>
          <w:color w:val="000000"/>
          <w:szCs w:val="21"/>
        </w:rPr>
        <w:t>碳</w:t>
      </w:r>
      <w:r>
        <w:rPr>
          <w:rFonts w:ascii="Times New Roman" w:hAnsi="Times New Roman" w:eastAsia="宋体" w:cs="Times New Roman"/>
          <w:color w:val="000000"/>
          <w:szCs w:val="21"/>
        </w:rPr>
        <w:t>排放量、历史同期</w:t>
      </w:r>
      <w:r>
        <w:rPr>
          <w:rFonts w:hint="eastAsia" w:ascii="Times New Roman" w:hAnsi="Times New Roman" w:eastAsia="宋体" w:cs="Times New Roman"/>
          <w:color w:val="000000"/>
          <w:szCs w:val="21"/>
        </w:rPr>
        <w:t>碳</w:t>
      </w:r>
      <w:r>
        <w:rPr>
          <w:rFonts w:ascii="Times New Roman" w:hAnsi="Times New Roman" w:eastAsia="宋体" w:cs="Times New Roman"/>
          <w:color w:val="000000"/>
          <w:szCs w:val="21"/>
        </w:rPr>
        <w:t>排放量等的对比评价。</w:t>
      </w:r>
    </w:p>
    <w:p w14:paraId="726CCD80">
      <w:pPr>
        <w:pStyle w:val="68"/>
        <w:numPr>
          <w:ilvl w:val="2"/>
          <w:numId w:val="1"/>
        </w:numPr>
        <w:overflowPunct w:val="0"/>
        <w:spacing w:before="143" w:after="143"/>
        <w:ind w:left="0" w:firstLine="0"/>
        <w:rPr>
          <w:rFonts w:ascii="Times New Roman"/>
        </w:rPr>
      </w:pPr>
      <w:r>
        <w:rPr>
          <w:rFonts w:ascii="Times New Roman"/>
        </w:rPr>
        <w:t>合规性评价</w:t>
      </w:r>
    </w:p>
    <w:p w14:paraId="5314A873">
      <w:pPr>
        <w:overflowPunct w:val="0"/>
        <w:rPr>
          <w:rFonts w:ascii="Times New Roman" w:hAnsi="Times New Roman" w:eastAsia="宋体" w:cs="Times New Roman"/>
          <w:szCs w:val="20"/>
        </w:rPr>
      </w:pPr>
      <w:r>
        <w:rPr>
          <w:rFonts w:ascii="Times New Roman" w:hAnsi="Times New Roman" w:eastAsia="宋体" w:cs="Times New Roman"/>
          <w:szCs w:val="20"/>
        </w:rPr>
        <w:t>9.1.3.1  企业宜按规定的时间间隔进行合规性评价。对企业碳管理体系有重要影响的合规义务宜重点评价。</w:t>
      </w:r>
    </w:p>
    <w:p w14:paraId="5A8F34D8">
      <w:pPr>
        <w:overflowPunct w:val="0"/>
        <w:rPr>
          <w:rFonts w:ascii="Times New Roman" w:hAnsi="Times New Roman" w:cs="Times New Roman"/>
          <w:b/>
        </w:rPr>
      </w:pPr>
      <w:r>
        <w:rPr>
          <w:rFonts w:ascii="Times New Roman" w:hAnsi="Times New Roman" w:eastAsia="宋体" w:cs="Times New Roman"/>
          <w:szCs w:val="20"/>
        </w:rPr>
        <w:t>9.1.3.2  当以下情况发生时，宜在适宜的时机开展合规性评价：</w:t>
      </w:r>
    </w:p>
    <w:p w14:paraId="42EB1FFB">
      <w:pPr>
        <w:pStyle w:val="40"/>
        <w:overflowPunct w:val="0"/>
        <w:ind w:firstLine="735" w:firstLineChars="350"/>
        <w:rPr>
          <w:rFonts w:ascii="Times New Roman"/>
        </w:rPr>
      </w:pPr>
      <w:r>
        <w:rPr>
          <w:rFonts w:ascii="Times New Roman"/>
        </w:rPr>
        <w:t>——国家、行业</w:t>
      </w:r>
      <w:r>
        <w:rPr>
          <w:rFonts w:hint="eastAsia" w:ascii="Times New Roman"/>
        </w:rPr>
        <w:t>或</w:t>
      </w:r>
      <w:r>
        <w:rPr>
          <w:rFonts w:ascii="Times New Roman"/>
        </w:rPr>
        <w:t>地方相关法律法规、标准</w:t>
      </w:r>
      <w:r>
        <w:rPr>
          <w:rFonts w:hint="eastAsia" w:ascii="Times New Roman"/>
        </w:rPr>
        <w:t>发生</w:t>
      </w:r>
      <w:r>
        <w:rPr>
          <w:rFonts w:ascii="Times New Roman"/>
        </w:rPr>
        <w:t>变化；</w:t>
      </w:r>
    </w:p>
    <w:p w14:paraId="5136AE09">
      <w:pPr>
        <w:pStyle w:val="40"/>
        <w:overflowPunct w:val="0"/>
        <w:ind w:firstLine="735" w:firstLineChars="350"/>
        <w:rPr>
          <w:rFonts w:ascii="Times New Roman"/>
        </w:rPr>
      </w:pPr>
      <w:r>
        <w:rPr>
          <w:rFonts w:ascii="Times New Roman"/>
        </w:rPr>
        <w:t>——其它外部因素</w:t>
      </w:r>
      <w:r>
        <w:rPr>
          <w:rFonts w:hint="eastAsia" w:ascii="Times New Roman"/>
        </w:rPr>
        <w:t>发生</w:t>
      </w:r>
      <w:r>
        <w:rPr>
          <w:rFonts w:ascii="Times New Roman"/>
        </w:rPr>
        <w:t>变化，如顾客的需求；</w:t>
      </w:r>
    </w:p>
    <w:p w14:paraId="39BF5E8B">
      <w:pPr>
        <w:pStyle w:val="40"/>
        <w:overflowPunct w:val="0"/>
        <w:ind w:firstLine="735" w:firstLineChars="350"/>
        <w:rPr>
          <w:rFonts w:ascii="Times New Roman"/>
        </w:rPr>
      </w:pPr>
      <w:r>
        <w:rPr>
          <w:rFonts w:ascii="Times New Roman"/>
        </w:rPr>
        <w:t>——组织运行条件</w:t>
      </w:r>
      <w:r>
        <w:rPr>
          <w:rFonts w:hint="eastAsia" w:ascii="Times New Roman"/>
        </w:rPr>
        <w:t>发生</w:t>
      </w:r>
      <w:r>
        <w:rPr>
          <w:rFonts w:ascii="Times New Roman"/>
        </w:rPr>
        <w:t>变更，如工艺、设备变化。</w:t>
      </w:r>
    </w:p>
    <w:p w14:paraId="7D9ADB13">
      <w:pPr>
        <w:overflowPunct w:val="0"/>
        <w:ind w:firstLine="360" w:firstLineChars="200"/>
        <w:rPr>
          <w:rFonts w:ascii="Times New Roman" w:hAnsi="Times New Roman" w:eastAsia="宋体" w:cs="Times New Roman"/>
          <w:szCs w:val="20"/>
        </w:rPr>
      </w:pPr>
      <w:r>
        <w:rPr>
          <w:rFonts w:ascii="Times New Roman" w:hAnsi="Times New Roman" w:eastAsia="黑体" w:cs="Times New Roman"/>
          <w:sz w:val="18"/>
          <w:szCs w:val="18"/>
        </w:rPr>
        <w:t>注：</w:t>
      </w:r>
      <w:r>
        <w:rPr>
          <w:rFonts w:ascii="Times New Roman" w:hAnsi="Times New Roman" w:eastAsia="宋体" w:cs="Times New Roman"/>
          <w:sz w:val="18"/>
          <w:szCs w:val="18"/>
        </w:rPr>
        <w:t>如合规性评价结果表明存在不合规情况，企业宜进行原因分析，适当时采取必要的措施，并评价措施的有效性。</w:t>
      </w:r>
    </w:p>
    <w:p w14:paraId="38D36D47">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123" w:name="_Toc187932705"/>
      <w:bookmarkStart w:id="124" w:name="_Toc220422387"/>
      <w:r>
        <w:rPr>
          <w:rFonts w:ascii="Times New Roman"/>
          <w:color w:val="000000" w:themeColor="text1"/>
          <w14:textFill>
            <w14:solidFill>
              <w14:schemeClr w14:val="tx1"/>
            </w14:solidFill>
          </w14:textFill>
        </w:rPr>
        <w:t>内部审核</w:t>
      </w:r>
      <w:bookmarkEnd w:id="123"/>
      <w:bookmarkEnd w:id="124"/>
    </w:p>
    <w:p w14:paraId="2213FC8F">
      <w:pPr>
        <w:pStyle w:val="68"/>
        <w:numPr>
          <w:ilvl w:val="2"/>
          <w:numId w:val="1"/>
        </w:numPr>
        <w:overflowPunct w:val="0"/>
        <w:spacing w:before="143" w:after="143"/>
        <w:ind w:left="0" w:firstLine="0"/>
        <w:rPr>
          <w:rFonts w:ascii="Times New Roman"/>
        </w:rPr>
      </w:pPr>
      <w:r>
        <w:rPr>
          <w:rFonts w:ascii="Times New Roman"/>
        </w:rPr>
        <w:t>总则</w:t>
      </w:r>
    </w:p>
    <w:p w14:paraId="73CCC387">
      <w:pPr>
        <w:overflowPunct w:val="0"/>
        <w:ind w:firstLine="420" w:firstLineChars="200"/>
        <w:rPr>
          <w:rFonts w:ascii="Times New Roman" w:hAnsi="Times New Roman" w:eastAsia="宋体" w:cs="Times New Roman"/>
          <w:szCs w:val="20"/>
        </w:rPr>
      </w:pPr>
      <w:r>
        <w:rPr>
          <w:rFonts w:ascii="Times New Roman" w:hAnsi="Times New Roman" w:eastAsia="宋体" w:cs="Times New Roman"/>
          <w:szCs w:val="20"/>
        </w:rPr>
        <w:t xml:space="preserve">企业宜按计划的时间间隔实施碳管理体系的内部审核，以提供下列碳管理体系的信息： </w:t>
      </w:r>
    </w:p>
    <w:p w14:paraId="1175FA1F">
      <w:pPr>
        <w:overflowPunct w:val="0"/>
        <w:ind w:firstLine="420" w:firstLineChars="200"/>
        <w:rPr>
          <w:rFonts w:ascii="Times New Roman" w:hAnsi="Times New Roman" w:eastAsia="宋体" w:cs="Times New Roman"/>
          <w:szCs w:val="20"/>
        </w:rPr>
      </w:pPr>
      <w:r>
        <w:rPr>
          <w:rFonts w:ascii="Times New Roman" w:hAnsi="Times New Roman" w:eastAsia="宋体" w:cs="Times New Roman"/>
          <w:szCs w:val="20"/>
        </w:rPr>
        <w:t xml:space="preserve">a) 是否改进碳绩效； </w:t>
      </w:r>
    </w:p>
    <w:p w14:paraId="76093646">
      <w:pPr>
        <w:overflowPunct w:val="0"/>
        <w:ind w:firstLine="420" w:firstLineChars="200"/>
        <w:rPr>
          <w:rFonts w:ascii="Times New Roman" w:hAnsi="Times New Roman" w:eastAsia="宋体" w:cs="Times New Roman"/>
          <w:szCs w:val="20"/>
        </w:rPr>
      </w:pPr>
      <w:r>
        <w:rPr>
          <w:rFonts w:ascii="Times New Roman" w:hAnsi="Times New Roman" w:eastAsia="宋体" w:cs="Times New Roman"/>
          <w:szCs w:val="20"/>
        </w:rPr>
        <w:t xml:space="preserve">b) 是否符合： </w:t>
      </w:r>
    </w:p>
    <w:p w14:paraId="5A74126A">
      <w:pPr>
        <w:overflowPunct w:val="0"/>
        <w:ind w:firstLine="630" w:firstLineChars="3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 xml:space="preserve">企业自身碳管理体系的要求； </w:t>
      </w:r>
    </w:p>
    <w:p w14:paraId="31F3576F">
      <w:pPr>
        <w:overflowPunct w:val="0"/>
        <w:ind w:firstLine="630" w:firstLineChars="3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企业制定的碳方针、</w:t>
      </w:r>
      <w:r>
        <w:rPr>
          <w:rFonts w:hint="eastAsia" w:ascii="Times New Roman" w:hAnsi="Times New Roman" w:eastAsia="宋体" w:cs="Times New Roman"/>
          <w:szCs w:val="20"/>
        </w:rPr>
        <w:t>碳</w:t>
      </w:r>
      <w:r>
        <w:rPr>
          <w:rFonts w:ascii="Times New Roman" w:hAnsi="Times New Roman" w:eastAsia="宋体" w:cs="Times New Roman"/>
          <w:szCs w:val="20"/>
        </w:rPr>
        <w:t xml:space="preserve">目标和指标； </w:t>
      </w:r>
    </w:p>
    <w:p w14:paraId="5F6DF884">
      <w:pPr>
        <w:overflowPunct w:val="0"/>
        <w:ind w:firstLine="630" w:firstLineChars="3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 xml:space="preserve">本文件的要求。 </w:t>
      </w:r>
    </w:p>
    <w:p w14:paraId="18E3CCD4">
      <w:pPr>
        <w:overflowPunct w:val="0"/>
        <w:ind w:firstLine="420" w:firstLineChars="200"/>
        <w:rPr>
          <w:rFonts w:ascii="Times New Roman" w:hAnsi="Times New Roman" w:eastAsia="宋体" w:cs="Times New Roman"/>
          <w:szCs w:val="20"/>
        </w:rPr>
      </w:pPr>
      <w:r>
        <w:rPr>
          <w:rFonts w:ascii="Times New Roman" w:hAnsi="Times New Roman" w:eastAsia="宋体" w:cs="Times New Roman"/>
          <w:szCs w:val="20"/>
        </w:rPr>
        <w:t>c) 是否得到了有效的实施和保持。</w:t>
      </w:r>
    </w:p>
    <w:p w14:paraId="76359191">
      <w:pPr>
        <w:pStyle w:val="68"/>
        <w:numPr>
          <w:ilvl w:val="2"/>
          <w:numId w:val="1"/>
        </w:numPr>
        <w:overflowPunct w:val="0"/>
        <w:spacing w:before="143" w:after="143"/>
        <w:ind w:left="0" w:firstLine="0"/>
        <w:rPr>
          <w:rFonts w:ascii="Times New Roman"/>
        </w:rPr>
      </w:pPr>
      <w:r>
        <w:rPr>
          <w:rFonts w:ascii="Times New Roman"/>
        </w:rPr>
        <w:t>内部审核方案</w:t>
      </w:r>
    </w:p>
    <w:p w14:paraId="001E5C7E">
      <w:pPr>
        <w:overflowPunct w:val="0"/>
        <w:rPr>
          <w:rFonts w:ascii="Times New Roman" w:hAnsi="Times New Roman" w:eastAsia="宋体" w:cs="Times New Roman"/>
          <w:szCs w:val="20"/>
        </w:rPr>
      </w:pPr>
      <w:r>
        <w:rPr>
          <w:rFonts w:ascii="Times New Roman" w:hAnsi="Times New Roman" w:eastAsia="宋体" w:cs="Times New Roman"/>
          <w:szCs w:val="20"/>
        </w:rPr>
        <w:t xml:space="preserve">9.2.2.1  企业制定内部审核方案，用以指导内部审核的策划和实施。方案包括实施内部审核的频次、方法、职责、策划要求和内部审核报告。 </w:t>
      </w:r>
    </w:p>
    <w:p w14:paraId="27CF0825">
      <w:pPr>
        <w:overflowPunct w:val="0"/>
        <w:rPr>
          <w:rFonts w:ascii="Times New Roman" w:hAnsi="Times New Roman" w:eastAsia="宋体" w:cs="Times New Roman"/>
          <w:szCs w:val="20"/>
        </w:rPr>
      </w:pPr>
      <w:r>
        <w:rPr>
          <w:rFonts w:ascii="Times New Roman" w:hAnsi="Times New Roman" w:eastAsia="宋体" w:cs="Times New Roman"/>
          <w:szCs w:val="20"/>
        </w:rPr>
        <w:t>9.2.2.2建立内部审核方案时，企业宜考虑相关过程的重要性、影响</w:t>
      </w:r>
      <w:r>
        <w:rPr>
          <w:rFonts w:hint="eastAsia" w:ascii="Times New Roman" w:hAnsi="Times New Roman" w:eastAsia="宋体" w:cs="Times New Roman"/>
          <w:szCs w:val="20"/>
        </w:rPr>
        <w:t>企业</w:t>
      </w:r>
      <w:r>
        <w:rPr>
          <w:rFonts w:ascii="Times New Roman" w:hAnsi="Times New Roman" w:eastAsia="宋体" w:cs="Times New Roman"/>
          <w:szCs w:val="20"/>
        </w:rPr>
        <w:t>的变化以及以往审核的结果。</w:t>
      </w:r>
      <w:r>
        <w:rPr>
          <w:rFonts w:hint="eastAsia" w:ascii="Times New Roman" w:hAnsi="Times New Roman" w:eastAsia="宋体" w:cs="Times New Roman"/>
          <w:szCs w:val="20"/>
        </w:rPr>
        <w:t>内部审核方案的建立</w:t>
      </w:r>
      <w:r>
        <w:rPr>
          <w:rFonts w:ascii="Times New Roman" w:hAnsi="Times New Roman" w:eastAsia="宋体" w:cs="Times New Roman"/>
          <w:szCs w:val="20"/>
        </w:rPr>
        <w:t>宜</w:t>
      </w:r>
      <w:r>
        <w:rPr>
          <w:rFonts w:hint="eastAsia" w:ascii="Times New Roman" w:hAnsi="Times New Roman" w:eastAsia="宋体" w:cs="Times New Roman"/>
          <w:szCs w:val="20"/>
        </w:rPr>
        <w:t>考虑</w:t>
      </w:r>
      <w:r>
        <w:rPr>
          <w:rFonts w:ascii="Times New Roman" w:hAnsi="Times New Roman" w:eastAsia="宋体" w:cs="Times New Roman"/>
          <w:szCs w:val="20"/>
        </w:rPr>
        <w:t xml:space="preserve">： </w:t>
      </w:r>
    </w:p>
    <w:p w14:paraId="4C783A06">
      <w:pPr>
        <w:overflowPunct w:val="0"/>
        <w:ind w:firstLine="420" w:firstLineChars="2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 xml:space="preserve">确定每次审核的准则和范围； </w:t>
      </w:r>
    </w:p>
    <w:p w14:paraId="3B56E474">
      <w:pPr>
        <w:overflowPunct w:val="0"/>
        <w:ind w:firstLine="420" w:firstLineChars="2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 xml:space="preserve">选择审核员并实施审核，确保审核过程的客观性与公正性； </w:t>
      </w:r>
    </w:p>
    <w:p w14:paraId="0F86FBAD">
      <w:pPr>
        <w:overflowPunct w:val="0"/>
        <w:ind w:firstLine="420" w:firstLineChars="2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 xml:space="preserve">确保向相关管理者报告审核结果。 </w:t>
      </w:r>
    </w:p>
    <w:p w14:paraId="4871E4E7">
      <w:pPr>
        <w:overflowPunct w:val="0"/>
        <w:rPr>
          <w:rFonts w:ascii="Times New Roman" w:hAnsi="Times New Roman" w:eastAsia="宋体" w:cs="Times New Roman"/>
          <w:szCs w:val="20"/>
        </w:rPr>
      </w:pPr>
      <w:r>
        <w:rPr>
          <w:rFonts w:ascii="Times New Roman" w:hAnsi="Times New Roman" w:eastAsia="宋体" w:cs="Times New Roman"/>
          <w:szCs w:val="20"/>
        </w:rPr>
        <w:t xml:space="preserve">9.2.2.3企业开展内部审核宜重点关注： </w:t>
      </w:r>
    </w:p>
    <w:p w14:paraId="54674F94">
      <w:pPr>
        <w:overflowPunct w:val="0"/>
        <w:ind w:firstLine="420" w:firstLineChars="2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 xml:space="preserve">企业是否基于内外部因素以及相关方需求进行了合规性评价； </w:t>
      </w:r>
    </w:p>
    <w:p w14:paraId="1A64BC8E">
      <w:pPr>
        <w:overflowPunct w:val="0"/>
        <w:ind w:firstLine="420" w:firstLineChars="2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 xml:space="preserve">是否建立了碳数据的收集计划，并按计划实施； </w:t>
      </w:r>
    </w:p>
    <w:p w14:paraId="25A25A9F">
      <w:pPr>
        <w:overflowPunct w:val="0"/>
        <w:ind w:firstLine="420" w:firstLineChars="2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碳目标、指标的设定是否合理，是否定期对其完成情况进行</w:t>
      </w:r>
      <w:r>
        <w:rPr>
          <w:rFonts w:hint="eastAsia" w:ascii="Times New Roman" w:hAnsi="Times New Roman" w:eastAsia="宋体" w:cs="Times New Roman"/>
          <w:szCs w:val="20"/>
        </w:rPr>
        <w:t>了</w:t>
      </w:r>
      <w:r>
        <w:rPr>
          <w:rFonts w:ascii="Times New Roman" w:hAnsi="Times New Roman" w:eastAsia="宋体" w:cs="Times New Roman"/>
          <w:szCs w:val="20"/>
        </w:rPr>
        <w:t xml:space="preserve">分析和评价； </w:t>
      </w:r>
    </w:p>
    <w:p w14:paraId="607B40BB">
      <w:pPr>
        <w:overflowPunct w:val="0"/>
        <w:ind w:firstLine="420" w:firstLineChars="2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 xml:space="preserve">是否建立碳管理的措施计划及其实施情况和效果； </w:t>
      </w:r>
    </w:p>
    <w:p w14:paraId="736F1DE6">
      <w:pPr>
        <w:overflowPunct w:val="0"/>
        <w:ind w:firstLine="420" w:firstLineChars="2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 xml:space="preserve">对碳管理体系和碳绩效具有影响的人员应具备的能力是否充分； </w:t>
      </w:r>
    </w:p>
    <w:p w14:paraId="08DAE3D7">
      <w:pPr>
        <w:overflowPunct w:val="0"/>
        <w:ind w:firstLine="420" w:firstLineChars="2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 xml:space="preserve">是否按照生命周期观点和风险思维识别了关键碳源及过程，且建立相应的运行准则，并对其进行控制； </w:t>
      </w:r>
    </w:p>
    <w:p w14:paraId="50635624">
      <w:pPr>
        <w:overflowPunct w:val="0"/>
        <w:ind w:firstLine="420" w:firstLineChars="2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 xml:space="preserve">是否考虑了企业、产品/服务、项目、活动等不同层面的碳排放管理情况。 </w:t>
      </w:r>
    </w:p>
    <w:p w14:paraId="0DEC9546">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125" w:name="_Toc220422388"/>
      <w:bookmarkStart w:id="126" w:name="_Toc187932706"/>
      <w:r>
        <w:rPr>
          <w:rFonts w:ascii="Times New Roman"/>
          <w:color w:val="000000" w:themeColor="text1"/>
          <w14:textFill>
            <w14:solidFill>
              <w14:schemeClr w14:val="tx1"/>
            </w14:solidFill>
          </w14:textFill>
        </w:rPr>
        <w:t>管理评审</w:t>
      </w:r>
      <w:bookmarkEnd w:id="125"/>
      <w:bookmarkEnd w:id="126"/>
    </w:p>
    <w:p w14:paraId="48274B03">
      <w:pPr>
        <w:pStyle w:val="68"/>
        <w:numPr>
          <w:ilvl w:val="2"/>
          <w:numId w:val="1"/>
        </w:numPr>
        <w:overflowPunct w:val="0"/>
        <w:spacing w:before="143" w:after="143"/>
        <w:ind w:left="0" w:firstLine="0"/>
        <w:rPr>
          <w:rFonts w:ascii="Times New Roman"/>
        </w:rPr>
      </w:pPr>
      <w:r>
        <w:rPr>
          <w:rFonts w:ascii="Times New Roman"/>
        </w:rPr>
        <w:t>总则</w:t>
      </w:r>
    </w:p>
    <w:p w14:paraId="26758EDA">
      <w:pPr>
        <w:overflowPunct w:val="0"/>
        <w:spacing w:before="143" w:beforeLines="50" w:after="143" w:afterLines="5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最高管理者宜按照计划的时间间隔对企业的碳管理体系进行评审，以确保其持续的适宜性、充分性和有效性，并与企业的战略方向保持一致。</w:t>
      </w:r>
    </w:p>
    <w:p w14:paraId="06F61618">
      <w:pPr>
        <w:pStyle w:val="68"/>
        <w:numPr>
          <w:ilvl w:val="2"/>
          <w:numId w:val="1"/>
        </w:numPr>
        <w:overflowPunct w:val="0"/>
        <w:spacing w:before="143" w:after="143"/>
        <w:ind w:left="0" w:firstLine="0"/>
        <w:rPr>
          <w:rFonts w:ascii="Times New Roman"/>
        </w:rPr>
      </w:pPr>
      <w:r>
        <w:rPr>
          <w:rFonts w:ascii="Times New Roman"/>
        </w:rPr>
        <w:t>管理评审输入</w:t>
      </w:r>
    </w:p>
    <w:p w14:paraId="29BA427B">
      <w:pPr>
        <w:overflowPunct w:val="0"/>
        <w:rPr>
          <w:rFonts w:ascii="Times New Roman" w:hAnsi="Times New Roman" w:eastAsia="宋体" w:cs="Times New Roman"/>
          <w:kern w:val="0"/>
          <w:szCs w:val="20"/>
        </w:rPr>
      </w:pPr>
      <w:r>
        <w:rPr>
          <w:rFonts w:ascii="Times New Roman" w:hAnsi="Times New Roman" w:eastAsia="宋体" w:cs="Times New Roman"/>
          <w:kern w:val="0"/>
          <w:szCs w:val="20"/>
        </w:rPr>
        <w:t xml:space="preserve">9.3.2.1  管理评审输入内容宜包括： </w:t>
      </w:r>
    </w:p>
    <w:p w14:paraId="69951F27">
      <w:pPr>
        <w:overflowPunct w:val="0"/>
        <w:ind w:firstLine="840" w:firstLineChars="400"/>
        <w:rPr>
          <w:rFonts w:ascii="Times New Roman" w:hAnsi="Times New Roman" w:eastAsia="宋体" w:cs="Times New Roman"/>
          <w:kern w:val="0"/>
          <w:szCs w:val="20"/>
        </w:rPr>
      </w:pPr>
      <w:r>
        <w:rPr>
          <w:rFonts w:ascii="Times New Roman" w:hAnsi="Times New Roman" w:eastAsia="宋体" w:cs="Times New Roman"/>
          <w:kern w:val="0"/>
          <w:szCs w:val="20"/>
        </w:rPr>
        <w:t xml:space="preserve">a) 以往管理评审所采取措施的状况； </w:t>
      </w:r>
    </w:p>
    <w:p w14:paraId="18D91D65">
      <w:pPr>
        <w:overflowPunct w:val="0"/>
        <w:ind w:firstLine="840" w:firstLineChars="400"/>
        <w:rPr>
          <w:rFonts w:ascii="Times New Roman" w:hAnsi="Times New Roman" w:eastAsia="宋体" w:cs="Times New Roman"/>
          <w:kern w:val="0"/>
          <w:szCs w:val="20"/>
        </w:rPr>
      </w:pPr>
      <w:r>
        <w:rPr>
          <w:rFonts w:ascii="Times New Roman" w:hAnsi="Times New Roman" w:eastAsia="宋体" w:cs="Times New Roman"/>
          <w:kern w:val="0"/>
          <w:szCs w:val="20"/>
        </w:rPr>
        <w:t xml:space="preserve">b) 与碳管理体系相关的内外部因素以及相关的风险和机遇的变化； </w:t>
      </w:r>
    </w:p>
    <w:p w14:paraId="5C4979B1">
      <w:pPr>
        <w:overflowPunct w:val="0"/>
        <w:ind w:firstLine="840" w:firstLineChars="400"/>
        <w:rPr>
          <w:rFonts w:ascii="Times New Roman" w:hAnsi="Times New Roman" w:eastAsia="宋体" w:cs="Times New Roman"/>
          <w:kern w:val="0"/>
          <w:szCs w:val="20"/>
        </w:rPr>
      </w:pPr>
      <w:r>
        <w:rPr>
          <w:rFonts w:ascii="Times New Roman" w:hAnsi="Times New Roman" w:eastAsia="宋体" w:cs="Times New Roman"/>
          <w:kern w:val="0"/>
          <w:szCs w:val="20"/>
        </w:rPr>
        <w:t xml:space="preserve">c) 碳绩效方面的信息，包括以下方面的趋势： </w:t>
      </w:r>
    </w:p>
    <w:p w14:paraId="09CE5884">
      <w:pPr>
        <w:overflowPunct w:val="0"/>
        <w:ind w:firstLine="1050" w:firstLineChars="5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 xml:space="preserve">不符合和纠正措施； </w:t>
      </w:r>
    </w:p>
    <w:p w14:paraId="4C2671EE">
      <w:pPr>
        <w:overflowPunct w:val="0"/>
        <w:ind w:firstLine="1050" w:firstLineChars="5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 xml:space="preserve">监视和测量结果； </w:t>
      </w:r>
    </w:p>
    <w:p w14:paraId="79ED9737">
      <w:pPr>
        <w:overflowPunct w:val="0"/>
        <w:ind w:firstLine="1050" w:firstLineChars="5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 xml:space="preserve">审核结果； </w:t>
      </w:r>
    </w:p>
    <w:p w14:paraId="2ACF1E6E">
      <w:pPr>
        <w:overflowPunct w:val="0"/>
        <w:ind w:firstLine="1050" w:firstLineChars="5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 xml:space="preserve">合规性评价的结果。 </w:t>
      </w:r>
    </w:p>
    <w:p w14:paraId="66CF28C4">
      <w:pPr>
        <w:overflowPunct w:val="0"/>
        <w:ind w:firstLine="840" w:firstLineChars="400"/>
        <w:rPr>
          <w:rFonts w:ascii="Times New Roman" w:hAnsi="Times New Roman" w:eastAsia="宋体" w:cs="Times New Roman"/>
          <w:kern w:val="0"/>
          <w:szCs w:val="20"/>
        </w:rPr>
      </w:pPr>
      <w:r>
        <w:rPr>
          <w:rFonts w:ascii="Times New Roman" w:hAnsi="Times New Roman" w:eastAsia="宋体" w:cs="Times New Roman"/>
          <w:kern w:val="0"/>
          <w:szCs w:val="20"/>
        </w:rPr>
        <w:t xml:space="preserve">d) 持续改进的机会，包括人员能力； </w:t>
      </w:r>
    </w:p>
    <w:p w14:paraId="345BD9FF">
      <w:pPr>
        <w:overflowPunct w:val="0"/>
        <w:ind w:firstLine="840" w:firstLineChars="400"/>
        <w:rPr>
          <w:rFonts w:ascii="Times New Roman" w:hAnsi="Times New Roman" w:eastAsia="宋体" w:cs="Times New Roman"/>
          <w:kern w:val="0"/>
          <w:szCs w:val="20"/>
        </w:rPr>
      </w:pPr>
      <w:r>
        <w:rPr>
          <w:rFonts w:ascii="Times New Roman" w:hAnsi="Times New Roman" w:eastAsia="宋体" w:cs="Times New Roman"/>
          <w:kern w:val="0"/>
          <w:szCs w:val="20"/>
        </w:rPr>
        <w:t xml:space="preserve">e) 碳管理体系变更的需求； </w:t>
      </w:r>
    </w:p>
    <w:p w14:paraId="42C6C99A">
      <w:pPr>
        <w:overflowPunct w:val="0"/>
        <w:ind w:firstLine="840" w:firstLineChars="400"/>
        <w:rPr>
          <w:rFonts w:ascii="Times New Roman" w:hAnsi="Times New Roman" w:eastAsia="宋体" w:cs="Times New Roman"/>
          <w:kern w:val="0"/>
          <w:szCs w:val="20"/>
        </w:rPr>
      </w:pPr>
      <w:r>
        <w:rPr>
          <w:rFonts w:ascii="Times New Roman" w:hAnsi="Times New Roman" w:eastAsia="宋体" w:cs="Times New Roman"/>
          <w:kern w:val="0"/>
          <w:szCs w:val="20"/>
        </w:rPr>
        <w:t xml:space="preserve">f) 企业、产品/服务、项目、活动等不同层面的碳绩效。 </w:t>
      </w:r>
    </w:p>
    <w:p w14:paraId="5F30FB1A">
      <w:pPr>
        <w:overflowPunct w:val="0"/>
        <w:rPr>
          <w:rFonts w:ascii="Times New Roman" w:hAnsi="Times New Roman" w:eastAsia="宋体" w:cs="Times New Roman"/>
          <w:kern w:val="0"/>
          <w:szCs w:val="20"/>
        </w:rPr>
      </w:pPr>
      <w:r>
        <w:rPr>
          <w:rFonts w:ascii="Times New Roman" w:hAnsi="Times New Roman" w:eastAsia="宋体" w:cs="Times New Roman"/>
          <w:kern w:val="0"/>
          <w:szCs w:val="20"/>
        </w:rPr>
        <w:t xml:space="preserve">9.3.2.2  作为管理评审输入的碳绩效信息至少应包括： </w:t>
      </w:r>
    </w:p>
    <w:p w14:paraId="751DEC55">
      <w:pPr>
        <w:overflowPunct w:val="0"/>
        <w:ind w:firstLine="840" w:firstLineChars="400"/>
        <w:rPr>
          <w:rFonts w:ascii="Times New Roman" w:hAnsi="Times New Roman" w:eastAsia="宋体" w:cs="Times New Roman"/>
          <w:kern w:val="0"/>
          <w:szCs w:val="20"/>
        </w:rPr>
      </w:pPr>
      <w:r>
        <w:rPr>
          <w:rFonts w:ascii="Times New Roman" w:hAnsi="Times New Roman" w:eastAsia="宋体" w:cs="Times New Roman"/>
          <w:kern w:val="0"/>
          <w:szCs w:val="20"/>
        </w:rPr>
        <w:t xml:space="preserve">a) 碳目标、指标的实现程度； </w:t>
      </w:r>
    </w:p>
    <w:p w14:paraId="18007B8E">
      <w:pPr>
        <w:overflowPunct w:val="0"/>
        <w:ind w:firstLine="840" w:firstLineChars="400"/>
        <w:rPr>
          <w:rFonts w:ascii="Times New Roman" w:hAnsi="Times New Roman" w:eastAsia="宋体" w:cs="Times New Roman"/>
          <w:kern w:val="0"/>
          <w:szCs w:val="20"/>
        </w:rPr>
      </w:pPr>
      <w:r>
        <w:rPr>
          <w:rFonts w:ascii="Times New Roman" w:hAnsi="Times New Roman" w:eastAsia="宋体" w:cs="Times New Roman"/>
          <w:kern w:val="0"/>
          <w:szCs w:val="20"/>
        </w:rPr>
        <w:t xml:space="preserve">b) 基于监视和测量结果的碳绩效及其改进情况； </w:t>
      </w:r>
    </w:p>
    <w:p w14:paraId="6590C808">
      <w:pPr>
        <w:overflowPunct w:val="0"/>
        <w:ind w:firstLine="840" w:firstLineChars="400"/>
        <w:rPr>
          <w:rFonts w:ascii="Times New Roman" w:hAnsi="Times New Roman" w:eastAsia="宋体" w:cs="Times New Roman"/>
          <w:kern w:val="0"/>
          <w:szCs w:val="20"/>
        </w:rPr>
      </w:pPr>
      <w:r>
        <w:rPr>
          <w:rFonts w:ascii="Times New Roman" w:hAnsi="Times New Roman" w:eastAsia="宋体" w:cs="Times New Roman"/>
          <w:kern w:val="0"/>
          <w:szCs w:val="20"/>
        </w:rPr>
        <w:t>c) 碳管理措施计划的实施情况和效果。</w:t>
      </w:r>
    </w:p>
    <w:p w14:paraId="7E56C5C0">
      <w:pPr>
        <w:pStyle w:val="68"/>
        <w:numPr>
          <w:ilvl w:val="2"/>
          <w:numId w:val="1"/>
        </w:numPr>
        <w:overflowPunct w:val="0"/>
        <w:spacing w:before="143" w:after="143"/>
        <w:ind w:left="0" w:firstLine="0"/>
        <w:rPr>
          <w:rFonts w:ascii="Times New Roman"/>
        </w:rPr>
      </w:pPr>
      <w:r>
        <w:rPr>
          <w:rFonts w:ascii="Times New Roman"/>
        </w:rPr>
        <w:t>管理评审输出</w:t>
      </w:r>
    </w:p>
    <w:p w14:paraId="61ED57B3">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szCs w:val="20"/>
        </w:rPr>
        <w:t xml:space="preserve">管理评审的输出宜包括与持续改进机会以及碳管理体系的变更需求有关的决定，具体包括： </w:t>
      </w:r>
    </w:p>
    <w:p w14:paraId="694A5F18">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 xml:space="preserve">改进碳绩效的机会； </w:t>
      </w:r>
    </w:p>
    <w:p w14:paraId="652EF93A">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 xml:space="preserve">碳方针； </w:t>
      </w:r>
    </w:p>
    <w:p w14:paraId="561C1A48">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 xml:space="preserve">碳绩效参数和碳基准； </w:t>
      </w:r>
    </w:p>
    <w:p w14:paraId="0F2931CC">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 xml:space="preserve">碳目标、指标、措施计划或碳管理体系的其他要素，以及未实现时将采取的措施； </w:t>
      </w:r>
    </w:p>
    <w:p w14:paraId="3A681954">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 xml:space="preserve">改进融入业务过程的机会； </w:t>
      </w:r>
    </w:p>
    <w:p w14:paraId="46A08A86">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 xml:space="preserve">资源分配； </w:t>
      </w:r>
    </w:p>
    <w:p w14:paraId="17EF1CCF">
      <w:pPr>
        <w:overflowPunct w:val="0"/>
        <w:ind w:firstLine="420" w:firstLineChars="200"/>
        <w:rPr>
          <w:rFonts w:ascii="Times New Roman" w:hAnsi="Times New Roman" w:eastAsia="宋体" w:cs="Times New Roman"/>
          <w:kern w:val="0"/>
          <w:szCs w:val="20"/>
        </w:rPr>
      </w:pPr>
      <w:r>
        <w:rPr>
          <w:rFonts w:ascii="Times New Roman" w:hAnsi="Times New Roman" w:eastAsia="宋体" w:cs="Times New Roman"/>
          <w:kern w:val="0"/>
        </w:rPr>
        <w:t>——</w:t>
      </w:r>
      <w:r>
        <w:rPr>
          <w:rFonts w:ascii="Times New Roman" w:hAnsi="Times New Roman" w:eastAsia="宋体" w:cs="Times New Roman"/>
          <w:kern w:val="0"/>
          <w:szCs w:val="20"/>
        </w:rPr>
        <w:t xml:space="preserve">能力、意识和沟通的改进。 </w:t>
      </w:r>
    </w:p>
    <w:p w14:paraId="4B30FAC7">
      <w:pPr>
        <w:pStyle w:val="66"/>
        <w:numPr>
          <w:ilvl w:val="0"/>
          <w:numId w:val="1"/>
        </w:numPr>
        <w:overflowPunct w:val="0"/>
        <w:spacing w:before="286" w:after="286"/>
        <w:ind w:left="0" w:firstLine="0"/>
        <w:outlineLvl w:val="0"/>
        <w:rPr>
          <w:rFonts w:ascii="Times New Roman"/>
        </w:rPr>
      </w:pPr>
      <w:bookmarkStart w:id="127" w:name="_Toc220422389"/>
      <w:bookmarkStart w:id="128" w:name="_Toc187932707"/>
      <w:r>
        <w:rPr>
          <w:rFonts w:ascii="Times New Roman"/>
        </w:rPr>
        <w:t>改进</w:t>
      </w:r>
      <w:bookmarkEnd w:id="127"/>
      <w:bookmarkEnd w:id="128"/>
    </w:p>
    <w:p w14:paraId="31118C5F">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129" w:name="_Toc220422390"/>
      <w:bookmarkStart w:id="130" w:name="_Toc187932708"/>
      <w:r>
        <w:rPr>
          <w:rFonts w:ascii="Times New Roman"/>
          <w:color w:val="000000" w:themeColor="text1"/>
          <w14:textFill>
            <w14:solidFill>
              <w14:schemeClr w14:val="tx1"/>
            </w14:solidFill>
          </w14:textFill>
        </w:rPr>
        <w:t>不符合和纠正措施</w:t>
      </w:r>
      <w:bookmarkEnd w:id="129"/>
      <w:bookmarkEnd w:id="130"/>
    </w:p>
    <w:p w14:paraId="0942D775">
      <w:pPr>
        <w:overflowPunct w:val="0"/>
        <w:ind w:firstLine="420" w:firstLineChars="200"/>
        <w:rPr>
          <w:rFonts w:ascii="Times New Roman" w:hAnsi="Times New Roman" w:eastAsia="宋体" w:cs="Times New Roman"/>
          <w:szCs w:val="20"/>
        </w:rPr>
      </w:pPr>
      <w:r>
        <w:rPr>
          <w:rFonts w:ascii="Times New Roman" w:hAnsi="Times New Roman" w:eastAsia="宋体" w:cs="Times New Roman"/>
          <w:szCs w:val="20"/>
        </w:rPr>
        <w:t xml:space="preserve">发现不符合时，企业宜： </w:t>
      </w:r>
    </w:p>
    <w:p w14:paraId="645046CB">
      <w:pPr>
        <w:overflowPunct w:val="0"/>
        <w:ind w:firstLine="420" w:firstLineChars="200"/>
        <w:rPr>
          <w:rFonts w:ascii="Times New Roman" w:hAnsi="Times New Roman" w:eastAsia="宋体" w:cs="Times New Roman"/>
          <w:szCs w:val="20"/>
        </w:rPr>
      </w:pPr>
      <w:r>
        <w:rPr>
          <w:rFonts w:ascii="Times New Roman" w:hAnsi="Times New Roman" w:eastAsia="宋体" w:cs="Times New Roman"/>
          <w:szCs w:val="20"/>
        </w:rPr>
        <w:t xml:space="preserve">a) 对不符合做出响应，适用时： </w:t>
      </w:r>
    </w:p>
    <w:p w14:paraId="76B8C8C9">
      <w:pPr>
        <w:overflowPunct w:val="0"/>
        <w:ind w:firstLine="630" w:firstLineChars="3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 xml:space="preserve">采取措施控制并纠正不符合； </w:t>
      </w:r>
    </w:p>
    <w:p w14:paraId="29FBCE91">
      <w:pPr>
        <w:overflowPunct w:val="0"/>
        <w:ind w:firstLine="630" w:firstLineChars="3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 xml:space="preserve">处理后果。 </w:t>
      </w:r>
    </w:p>
    <w:p w14:paraId="3C305AC8">
      <w:pPr>
        <w:overflowPunct w:val="0"/>
        <w:ind w:firstLine="420" w:firstLineChars="200"/>
        <w:rPr>
          <w:rFonts w:ascii="Times New Roman" w:hAnsi="Times New Roman" w:eastAsia="宋体" w:cs="Times New Roman"/>
          <w:szCs w:val="20"/>
        </w:rPr>
      </w:pPr>
      <w:r>
        <w:rPr>
          <w:rFonts w:ascii="Times New Roman" w:hAnsi="Times New Roman" w:eastAsia="宋体" w:cs="Times New Roman"/>
          <w:szCs w:val="20"/>
        </w:rPr>
        <w:t xml:space="preserve">b) 通过以下活动评价消除不符合原因的措施需求，以防止不符合再次发生或在其他地方发生： </w:t>
      </w:r>
    </w:p>
    <w:p w14:paraId="261776C9">
      <w:pPr>
        <w:overflowPunct w:val="0"/>
        <w:ind w:firstLine="630" w:firstLineChars="3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 xml:space="preserve">评审不符合； </w:t>
      </w:r>
    </w:p>
    <w:p w14:paraId="6D34C579">
      <w:pPr>
        <w:overflowPunct w:val="0"/>
        <w:ind w:firstLine="630" w:firstLineChars="3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 xml:space="preserve">确定不符合的原因； </w:t>
      </w:r>
    </w:p>
    <w:p w14:paraId="1C88A59A">
      <w:pPr>
        <w:overflowPunct w:val="0"/>
        <w:ind w:firstLine="630" w:firstLineChars="300"/>
        <w:rPr>
          <w:rFonts w:ascii="Times New Roman" w:hAnsi="Times New Roman" w:eastAsia="宋体" w:cs="Times New Roman"/>
          <w:szCs w:val="20"/>
        </w:rPr>
      </w:pPr>
      <w:r>
        <w:rPr>
          <w:rFonts w:ascii="Times New Roman" w:hAnsi="Times New Roman" w:eastAsia="宋体" w:cs="Times New Roman"/>
          <w:kern w:val="0"/>
        </w:rPr>
        <w:t>·</w:t>
      </w:r>
      <w:r>
        <w:rPr>
          <w:rFonts w:ascii="Times New Roman" w:hAnsi="Times New Roman" w:eastAsia="宋体" w:cs="Times New Roman"/>
          <w:szCs w:val="20"/>
        </w:rPr>
        <w:t xml:space="preserve">确定是否存在或可能发生类似的不符合。 </w:t>
      </w:r>
    </w:p>
    <w:p w14:paraId="4145B520">
      <w:pPr>
        <w:overflowPunct w:val="0"/>
        <w:ind w:firstLine="420" w:firstLineChars="200"/>
        <w:rPr>
          <w:rFonts w:ascii="Times New Roman" w:hAnsi="Times New Roman" w:eastAsia="宋体" w:cs="Times New Roman"/>
          <w:szCs w:val="20"/>
        </w:rPr>
      </w:pPr>
      <w:r>
        <w:rPr>
          <w:rFonts w:ascii="Times New Roman" w:hAnsi="Times New Roman" w:eastAsia="宋体" w:cs="Times New Roman"/>
          <w:szCs w:val="20"/>
        </w:rPr>
        <w:t xml:space="preserve">c) 实施任何所需的措施； </w:t>
      </w:r>
    </w:p>
    <w:p w14:paraId="2A425E99">
      <w:pPr>
        <w:overflowPunct w:val="0"/>
        <w:ind w:firstLine="420" w:firstLineChars="200"/>
        <w:rPr>
          <w:rFonts w:ascii="Times New Roman" w:hAnsi="Times New Roman" w:eastAsia="宋体" w:cs="Times New Roman"/>
          <w:szCs w:val="20"/>
        </w:rPr>
      </w:pPr>
      <w:r>
        <w:rPr>
          <w:rFonts w:ascii="Times New Roman" w:hAnsi="Times New Roman" w:eastAsia="宋体" w:cs="Times New Roman"/>
          <w:szCs w:val="20"/>
        </w:rPr>
        <w:t xml:space="preserve">d) 评审所采取的任何纠正措施的有效性； </w:t>
      </w:r>
    </w:p>
    <w:p w14:paraId="4F33E27B">
      <w:pPr>
        <w:overflowPunct w:val="0"/>
        <w:ind w:firstLine="420" w:firstLineChars="200"/>
        <w:rPr>
          <w:rFonts w:ascii="Times New Roman" w:hAnsi="Times New Roman" w:eastAsia="宋体" w:cs="Times New Roman"/>
          <w:szCs w:val="20"/>
        </w:rPr>
      </w:pPr>
      <w:r>
        <w:rPr>
          <w:rFonts w:ascii="Times New Roman" w:hAnsi="Times New Roman" w:eastAsia="宋体" w:cs="Times New Roman"/>
          <w:szCs w:val="20"/>
        </w:rPr>
        <w:t xml:space="preserve">e) 必要时，对碳管理体系进行变更。 </w:t>
      </w:r>
    </w:p>
    <w:p w14:paraId="14846CCA">
      <w:pPr>
        <w:overflowPunct w:val="0"/>
        <w:ind w:firstLine="360" w:firstLineChars="200"/>
        <w:rPr>
          <w:rFonts w:ascii="Times New Roman" w:hAnsi="Times New Roman" w:eastAsia="宋体" w:cs="Times New Roman"/>
          <w:sz w:val="18"/>
          <w:szCs w:val="18"/>
        </w:rPr>
      </w:pPr>
      <w:r>
        <w:rPr>
          <w:rFonts w:ascii="Times New Roman" w:hAnsi="Times New Roman" w:eastAsia="黑体" w:cs="Times New Roman"/>
          <w:sz w:val="18"/>
          <w:szCs w:val="18"/>
        </w:rPr>
        <w:t>注：</w:t>
      </w:r>
      <w:r>
        <w:rPr>
          <w:rFonts w:ascii="Times New Roman" w:hAnsi="Times New Roman" w:eastAsia="宋体" w:cs="Times New Roman"/>
          <w:sz w:val="18"/>
          <w:szCs w:val="18"/>
        </w:rPr>
        <w:t>纠正措施宜与所遇到的不符合的影响相适应。</w:t>
      </w:r>
    </w:p>
    <w:p w14:paraId="374E4EA2">
      <w:pPr>
        <w:pStyle w:val="67"/>
        <w:numPr>
          <w:ilvl w:val="1"/>
          <w:numId w:val="1"/>
        </w:numPr>
        <w:overflowPunct w:val="0"/>
        <w:spacing w:before="143" w:after="143"/>
        <w:ind w:left="0" w:firstLine="0"/>
        <w:outlineLvl w:val="1"/>
        <w:rPr>
          <w:rFonts w:ascii="Times New Roman"/>
          <w:color w:val="000000" w:themeColor="text1"/>
          <w14:textFill>
            <w14:solidFill>
              <w14:schemeClr w14:val="tx1"/>
            </w14:solidFill>
          </w14:textFill>
        </w:rPr>
      </w:pPr>
      <w:bookmarkStart w:id="131" w:name="_Toc187932709"/>
      <w:bookmarkStart w:id="132" w:name="_Toc220422391"/>
      <w:r>
        <w:rPr>
          <w:rFonts w:ascii="Times New Roman"/>
          <w:color w:val="000000" w:themeColor="text1"/>
          <w14:textFill>
            <w14:solidFill>
              <w14:schemeClr w14:val="tx1"/>
            </w14:solidFill>
          </w14:textFill>
        </w:rPr>
        <w:t>持续改进</w:t>
      </w:r>
      <w:bookmarkEnd w:id="131"/>
      <w:bookmarkEnd w:id="132"/>
    </w:p>
    <w:p w14:paraId="522B811B">
      <w:pPr>
        <w:overflowPunct w:val="0"/>
        <w:ind w:firstLine="420" w:firstLineChars="200"/>
        <w:rPr>
          <w:rFonts w:ascii="Times New Roman" w:hAnsi="Times New Roman" w:cs="Times New Roman"/>
        </w:rPr>
      </w:pPr>
      <w:r>
        <w:rPr>
          <w:rFonts w:ascii="Times New Roman" w:hAnsi="Times New Roman" w:eastAsia="宋体" w:cs="Times New Roman"/>
          <w:szCs w:val="20"/>
        </w:rPr>
        <w:t>企业应根据内外部审核结果，针对问题分析原因，采取改进措施，以提升碳绩效。企业碳管理方面的持续改进工作宜聚焦于供应链碳排放、生产</w:t>
      </w:r>
      <w:r>
        <w:rPr>
          <w:rFonts w:hint="eastAsia" w:ascii="Times New Roman" w:hAnsi="Times New Roman" w:eastAsia="宋体" w:cs="Times New Roman"/>
          <w:szCs w:val="20"/>
        </w:rPr>
        <w:t>碳</w:t>
      </w:r>
      <w:r>
        <w:rPr>
          <w:rFonts w:ascii="Times New Roman" w:hAnsi="Times New Roman" w:eastAsia="宋体" w:cs="Times New Roman"/>
          <w:szCs w:val="20"/>
        </w:rPr>
        <w:t>排放、运输</w:t>
      </w:r>
      <w:r>
        <w:rPr>
          <w:rFonts w:hint="eastAsia" w:ascii="Times New Roman" w:hAnsi="Times New Roman" w:eastAsia="宋体" w:cs="Times New Roman"/>
          <w:szCs w:val="20"/>
        </w:rPr>
        <w:t>碳</w:t>
      </w:r>
      <w:r>
        <w:rPr>
          <w:rFonts w:ascii="Times New Roman" w:hAnsi="Times New Roman" w:eastAsia="宋体" w:cs="Times New Roman"/>
          <w:szCs w:val="20"/>
        </w:rPr>
        <w:t>排放，</w:t>
      </w:r>
      <w:r>
        <w:rPr>
          <w:rFonts w:hint="eastAsia" w:ascii="Times New Roman" w:hAnsi="Times New Roman" w:eastAsia="宋体" w:cs="Times New Roman"/>
          <w:szCs w:val="20"/>
        </w:rPr>
        <w:t>鼓励</w:t>
      </w:r>
      <w:r>
        <w:rPr>
          <w:rFonts w:ascii="Times New Roman" w:hAnsi="Times New Roman" w:eastAsia="宋体" w:cs="Times New Roman"/>
          <w:szCs w:val="20"/>
        </w:rPr>
        <w:t>低碳采购、工艺优化、技改项目、低碳运输。</w:t>
      </w:r>
      <w:r>
        <w:rPr>
          <w:rFonts w:ascii="Times New Roman" w:hAnsi="Times New Roman" w:cs="Times New Roman"/>
        </w:rPr>
        <w:t xml:space="preserve"> </w:t>
      </w:r>
    </w:p>
    <w:p w14:paraId="6A04C3FE">
      <w:pPr>
        <w:pStyle w:val="40"/>
        <w:overflowPunct w:val="0"/>
        <w:ind w:firstLineChars="0"/>
        <w:rPr>
          <w:rFonts w:ascii="Times New Roman"/>
          <w:kern w:val="2"/>
        </w:rPr>
      </w:pPr>
    </w:p>
    <w:p w14:paraId="53DFE9A6">
      <w:pPr>
        <w:pStyle w:val="40"/>
        <w:overflowPunct w:val="0"/>
        <w:ind w:firstLineChars="0"/>
        <w:rPr>
          <w:rFonts w:ascii="Times New Roman"/>
          <w:kern w:val="2"/>
        </w:rPr>
        <w:sectPr>
          <w:headerReference r:id="rId10" w:type="default"/>
          <w:footerReference r:id="rId12" w:type="default"/>
          <w:headerReference r:id="rId11" w:type="even"/>
          <w:footerReference r:id="rId13" w:type="even"/>
          <w:pgSz w:w="11906" w:h="16838"/>
          <w:pgMar w:top="1985" w:right="1134" w:bottom="1134" w:left="1418" w:header="851" w:footer="992" w:gutter="0"/>
          <w:pgNumType w:start="1"/>
          <w:cols w:space="425" w:num="1"/>
          <w:docGrid w:type="lines" w:linePitch="286" w:charSpace="0"/>
        </w:sectPr>
      </w:pPr>
      <w:r>
        <w:rPr>
          <w:rFonts w:ascii="Times New Roman"/>
        </w:rPr>
        <w:pict>
          <v:rect id="_x0000_i1025" o:spt="1" style="height:0.5pt;width:103.85pt;" fillcolor="#0D0D0D" filled="t" stroked="f" coordsize="21600,21600" o:hr="t" o:hrstd="t" o:hrnoshade="t" o:hrpct="250" o:hralign="center">
            <v:path/>
            <v:fill on="t" focussize="0,0"/>
            <v:stroke on="f"/>
            <v:imagedata o:title=""/>
            <o:lock v:ext="edit"/>
            <w10:wrap type="none"/>
            <w10:anchorlock/>
          </v:rect>
        </w:pict>
      </w:r>
    </w:p>
    <w:p w14:paraId="711E0911">
      <w:pPr>
        <w:overflowPunct w:val="0"/>
        <w:spacing w:after="286" w:afterLines="100"/>
        <w:jc w:val="center"/>
        <w:outlineLvl w:val="0"/>
        <w:rPr>
          <w:rFonts w:ascii="Times New Roman" w:hAnsi="Times New Roman" w:eastAsia="黑体" w:cs="Times New Roman"/>
          <w:szCs w:val="21"/>
        </w:rPr>
      </w:pPr>
      <w:bookmarkStart w:id="133" w:name="_Toc220422392"/>
      <w:bookmarkStart w:id="134" w:name="_Toc162335882"/>
      <w:bookmarkStart w:id="135" w:name="_Toc187932710"/>
      <w:r>
        <w:rPr>
          <w:rFonts w:ascii="Times New Roman" w:hAnsi="Times New Roman" w:eastAsia="黑体" w:cs="Times New Roman"/>
          <w:szCs w:val="21"/>
        </w:rPr>
        <w:t>附　录　</w:t>
      </w:r>
      <w:r>
        <w:rPr>
          <w:rFonts w:hint="eastAsia" w:ascii="Times New Roman" w:hAnsi="Times New Roman" w:eastAsia="黑体" w:cs="Times New Roman"/>
          <w:szCs w:val="21"/>
        </w:rPr>
        <w:t>A</w:t>
      </w:r>
      <w:r>
        <w:rPr>
          <w:rFonts w:ascii="Times New Roman" w:hAnsi="Times New Roman" w:eastAsia="黑体" w:cs="Times New Roman"/>
          <w:szCs w:val="21"/>
        </w:rPr>
        <w:t xml:space="preserve"> </w:t>
      </w:r>
      <w:r>
        <w:rPr>
          <w:rFonts w:ascii="Times New Roman" w:hAnsi="Times New Roman" w:eastAsia="黑体" w:cs="Times New Roman"/>
          <w:szCs w:val="21"/>
        </w:rPr>
        <w:br w:type="textWrapping"/>
      </w:r>
      <w:r>
        <w:rPr>
          <w:rFonts w:ascii="Times New Roman" w:hAnsi="Times New Roman" w:eastAsia="黑体" w:cs="Times New Roman"/>
          <w:szCs w:val="21"/>
        </w:rPr>
        <w:t>（资料性）</w:t>
      </w:r>
      <w:r>
        <w:rPr>
          <w:rFonts w:ascii="Times New Roman" w:hAnsi="Times New Roman" w:eastAsia="黑体" w:cs="Times New Roman"/>
          <w:szCs w:val="21"/>
        </w:rPr>
        <w:br w:type="textWrapping"/>
      </w:r>
      <w:r>
        <w:rPr>
          <w:rFonts w:hint="eastAsia" w:ascii="Times New Roman" w:hAnsi="Times New Roman" w:eastAsia="黑体" w:cs="Times New Roman"/>
          <w:szCs w:val="21"/>
        </w:rPr>
        <w:t>工业企业碳管理职责示例</w:t>
      </w:r>
      <w:bookmarkEnd w:id="133"/>
    </w:p>
    <w:p w14:paraId="284EB608">
      <w:pPr>
        <w:overflowPunct w:val="0"/>
        <w:ind w:firstLine="420" w:firstLineChars="200"/>
        <w:rPr>
          <w:rFonts w:ascii="Times New Roman" w:hAnsi="Times New Roman" w:eastAsia="黑体" w:cs="Times New Roman"/>
          <w:szCs w:val="21"/>
        </w:rPr>
      </w:pPr>
      <w:r>
        <w:rPr>
          <w:rFonts w:hint="eastAsia" w:ascii="Times New Roman" w:hAnsi="Times New Roman" w:eastAsia="宋体" w:cs="Times New Roman"/>
          <w:szCs w:val="21"/>
        </w:rPr>
        <w:t>工业企业碳管理职责示例表如表A.1所示。</w:t>
      </w:r>
    </w:p>
    <w:p w14:paraId="6EAA1743">
      <w:pPr>
        <w:overflowPunct w:val="0"/>
        <w:spacing w:line="360" w:lineRule="auto"/>
        <w:jc w:val="center"/>
        <w:rPr>
          <w:rFonts w:ascii="Times New Roman" w:hAnsi="Times New Roman" w:eastAsia="黑体" w:cs="Times New Roman"/>
          <w:szCs w:val="21"/>
        </w:rPr>
      </w:pPr>
      <w:r>
        <w:rPr>
          <w:rFonts w:hint="eastAsia" w:ascii="Times New Roman" w:hAnsi="Times New Roman" w:eastAsia="黑体" w:cs="Times New Roman"/>
          <w:szCs w:val="21"/>
        </w:rPr>
        <w:t>表A.1 工业企业碳管理职责示例表</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992"/>
        <w:gridCol w:w="4962"/>
        <w:gridCol w:w="1638"/>
      </w:tblGrid>
      <w:tr w14:paraId="3106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4" w:type="dxa"/>
            <w:vAlign w:val="center"/>
          </w:tcPr>
          <w:p w14:paraId="0E4B54B0">
            <w:pPr>
              <w:overflowPunct w:val="0"/>
              <w:spacing w:line="360"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序号</w:t>
            </w:r>
          </w:p>
        </w:tc>
        <w:tc>
          <w:tcPr>
            <w:tcW w:w="992" w:type="dxa"/>
            <w:vAlign w:val="center"/>
          </w:tcPr>
          <w:p w14:paraId="7AFC946A">
            <w:pPr>
              <w:overflowPunct w:val="0"/>
              <w:spacing w:line="360" w:lineRule="auto"/>
              <w:jc w:val="center"/>
              <w:rPr>
                <w:rFonts w:hint="eastAsia" w:ascii="宋体" w:hAnsi="宋体" w:eastAsia="宋体" w:cs="Times New Roman"/>
                <w:b/>
                <w:bCs/>
                <w:sz w:val="18"/>
                <w:szCs w:val="18"/>
              </w:rPr>
            </w:pPr>
            <w:r>
              <w:rPr>
                <w:rFonts w:hint="eastAsia" w:ascii="宋体" w:hAnsi="宋体" w:eastAsia="宋体" w:cs="Times New Roman"/>
                <w:b/>
                <w:bCs/>
                <w:sz w:val="18"/>
                <w:szCs w:val="18"/>
              </w:rPr>
              <w:t>所属部门</w:t>
            </w:r>
          </w:p>
        </w:tc>
        <w:tc>
          <w:tcPr>
            <w:tcW w:w="4962" w:type="dxa"/>
            <w:vAlign w:val="center"/>
          </w:tcPr>
          <w:p w14:paraId="46D6945A">
            <w:pPr>
              <w:overflowPunct w:val="0"/>
              <w:spacing w:line="360" w:lineRule="auto"/>
              <w:jc w:val="center"/>
              <w:rPr>
                <w:rFonts w:hint="eastAsia" w:ascii="宋体" w:hAnsi="宋体" w:eastAsia="宋体" w:cs="Times New Roman"/>
                <w:b/>
                <w:bCs/>
                <w:sz w:val="18"/>
                <w:szCs w:val="18"/>
              </w:rPr>
            </w:pPr>
            <w:r>
              <w:rPr>
                <w:rFonts w:hint="eastAsia" w:ascii="宋体" w:hAnsi="宋体" w:eastAsia="宋体" w:cs="Times New Roman"/>
                <w:b/>
                <w:bCs/>
                <w:sz w:val="18"/>
                <w:szCs w:val="18"/>
              </w:rPr>
              <w:t>岗位职责</w:t>
            </w:r>
          </w:p>
        </w:tc>
        <w:tc>
          <w:tcPr>
            <w:tcW w:w="1638" w:type="dxa"/>
            <w:vAlign w:val="center"/>
          </w:tcPr>
          <w:p w14:paraId="00AC1478">
            <w:pPr>
              <w:overflowPunct w:val="0"/>
              <w:spacing w:line="360" w:lineRule="auto"/>
              <w:jc w:val="center"/>
              <w:rPr>
                <w:rFonts w:hint="eastAsia" w:ascii="宋体" w:hAnsi="宋体" w:eastAsia="宋体" w:cs="Times New Roman"/>
                <w:b/>
                <w:bCs/>
                <w:sz w:val="18"/>
                <w:szCs w:val="18"/>
              </w:rPr>
            </w:pPr>
            <w:r>
              <w:rPr>
                <w:rFonts w:hint="eastAsia" w:ascii="宋体" w:hAnsi="宋体" w:eastAsia="宋体" w:cs="Times New Roman"/>
                <w:b/>
                <w:bCs/>
                <w:sz w:val="18"/>
                <w:szCs w:val="18"/>
              </w:rPr>
              <w:t>具体岗位/责任人</w:t>
            </w:r>
          </w:p>
        </w:tc>
      </w:tr>
      <w:tr w14:paraId="4F9AE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vAlign w:val="center"/>
          </w:tcPr>
          <w:p w14:paraId="53DE384D">
            <w:pPr>
              <w:overflowPunct w:val="0"/>
              <w:spacing w:line="360"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1</w:t>
            </w:r>
          </w:p>
        </w:tc>
        <w:tc>
          <w:tcPr>
            <w:tcW w:w="992" w:type="dxa"/>
            <w:vMerge w:val="restart"/>
            <w:vAlign w:val="center"/>
          </w:tcPr>
          <w:p w14:paraId="0F22BF43">
            <w:pPr>
              <w:overflowPunct w:val="0"/>
              <w:spacing w:line="360" w:lineRule="auto"/>
              <w:jc w:val="center"/>
              <w:rPr>
                <w:rFonts w:hint="eastAsia" w:ascii="宋体" w:hAnsi="宋体" w:eastAsia="宋体" w:cs="Times New Roman"/>
                <w:sz w:val="18"/>
                <w:szCs w:val="18"/>
              </w:rPr>
            </w:pPr>
            <w:r>
              <w:rPr>
                <w:rFonts w:hint="eastAsia" w:ascii="宋体" w:hAnsi="宋体" w:eastAsia="宋体" w:cs="Times New Roman"/>
                <w:sz w:val="18"/>
                <w:szCs w:val="18"/>
              </w:rPr>
              <w:t>最高管理者</w:t>
            </w:r>
          </w:p>
        </w:tc>
        <w:tc>
          <w:tcPr>
            <w:tcW w:w="4962" w:type="dxa"/>
            <w:vAlign w:val="center"/>
          </w:tcPr>
          <w:p w14:paraId="5C309A43">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·组织成立公司碳管理工作小组。</w:t>
            </w:r>
          </w:p>
        </w:tc>
        <w:tc>
          <w:tcPr>
            <w:tcW w:w="1638" w:type="dxa"/>
            <w:vMerge w:val="restart"/>
            <w:vAlign w:val="center"/>
          </w:tcPr>
          <w:p w14:paraId="7DF84EC6">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公司法人/总经理</w:t>
            </w:r>
          </w:p>
        </w:tc>
      </w:tr>
      <w:tr w14:paraId="39A64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18644E5D">
            <w:pPr>
              <w:overflowPunct w:val="0"/>
              <w:spacing w:line="360" w:lineRule="auto"/>
              <w:jc w:val="center"/>
              <w:rPr>
                <w:rFonts w:ascii="Times New Roman" w:hAnsi="Times New Roman" w:eastAsia="宋体" w:cs="Times New Roman"/>
                <w:sz w:val="18"/>
                <w:szCs w:val="18"/>
              </w:rPr>
            </w:pPr>
          </w:p>
        </w:tc>
        <w:tc>
          <w:tcPr>
            <w:tcW w:w="992" w:type="dxa"/>
            <w:vMerge w:val="continue"/>
            <w:vAlign w:val="center"/>
          </w:tcPr>
          <w:p w14:paraId="5B1F0C97">
            <w:pPr>
              <w:overflowPunct w:val="0"/>
              <w:spacing w:line="360" w:lineRule="auto"/>
              <w:jc w:val="center"/>
              <w:rPr>
                <w:rFonts w:hint="eastAsia" w:ascii="宋体" w:hAnsi="宋体" w:eastAsia="宋体" w:cs="Times New Roman"/>
                <w:sz w:val="18"/>
                <w:szCs w:val="18"/>
              </w:rPr>
            </w:pPr>
          </w:p>
        </w:tc>
        <w:tc>
          <w:tcPr>
            <w:tcW w:w="4962" w:type="dxa"/>
            <w:vAlign w:val="center"/>
          </w:tcPr>
          <w:p w14:paraId="5132EFA5">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·负责贯彻落实国家、上级公司碳管理等相关法规和制度，负责审核和批准碳管理制度和温室气体质量控制计划，建立碳管理体系，明确部门职责。</w:t>
            </w:r>
          </w:p>
        </w:tc>
        <w:tc>
          <w:tcPr>
            <w:tcW w:w="1638" w:type="dxa"/>
            <w:vMerge w:val="continue"/>
            <w:vAlign w:val="center"/>
          </w:tcPr>
          <w:p w14:paraId="2A207146">
            <w:pPr>
              <w:overflowPunct w:val="0"/>
              <w:spacing w:line="320" w:lineRule="exact"/>
              <w:rPr>
                <w:rFonts w:hint="eastAsia" w:ascii="宋体" w:hAnsi="宋体" w:eastAsia="宋体" w:cs="Times New Roman"/>
                <w:sz w:val="18"/>
                <w:szCs w:val="18"/>
              </w:rPr>
            </w:pPr>
          </w:p>
        </w:tc>
      </w:tr>
      <w:tr w14:paraId="7336A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500E1DAE">
            <w:pPr>
              <w:overflowPunct w:val="0"/>
              <w:spacing w:line="360" w:lineRule="auto"/>
              <w:jc w:val="center"/>
              <w:rPr>
                <w:rFonts w:ascii="Times New Roman" w:hAnsi="Times New Roman" w:eastAsia="宋体" w:cs="Times New Roman"/>
                <w:sz w:val="18"/>
                <w:szCs w:val="18"/>
              </w:rPr>
            </w:pPr>
          </w:p>
        </w:tc>
        <w:tc>
          <w:tcPr>
            <w:tcW w:w="992" w:type="dxa"/>
            <w:vMerge w:val="continue"/>
            <w:vAlign w:val="center"/>
          </w:tcPr>
          <w:p w14:paraId="48957EE4">
            <w:pPr>
              <w:overflowPunct w:val="0"/>
              <w:spacing w:line="360" w:lineRule="auto"/>
              <w:jc w:val="center"/>
              <w:rPr>
                <w:rFonts w:hint="eastAsia" w:ascii="宋体" w:hAnsi="宋体" w:eastAsia="宋体" w:cs="Times New Roman"/>
                <w:sz w:val="18"/>
                <w:szCs w:val="18"/>
              </w:rPr>
            </w:pPr>
          </w:p>
        </w:tc>
        <w:tc>
          <w:tcPr>
            <w:tcW w:w="4962" w:type="dxa"/>
            <w:vAlign w:val="center"/>
          </w:tcPr>
          <w:p w14:paraId="2A31D323">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·授权碳管理工作小组开展碳管理的日常监视、测量、分析和评价工作。</w:t>
            </w:r>
          </w:p>
        </w:tc>
        <w:tc>
          <w:tcPr>
            <w:tcW w:w="1638" w:type="dxa"/>
            <w:vMerge w:val="continue"/>
            <w:vAlign w:val="center"/>
          </w:tcPr>
          <w:p w14:paraId="547DA52E">
            <w:pPr>
              <w:overflowPunct w:val="0"/>
              <w:spacing w:line="320" w:lineRule="exact"/>
              <w:rPr>
                <w:rFonts w:hint="eastAsia" w:ascii="宋体" w:hAnsi="宋体" w:eastAsia="宋体" w:cs="Times New Roman"/>
                <w:sz w:val="18"/>
                <w:szCs w:val="18"/>
              </w:rPr>
            </w:pPr>
          </w:p>
        </w:tc>
      </w:tr>
      <w:tr w14:paraId="02B4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372B5B49">
            <w:pPr>
              <w:overflowPunct w:val="0"/>
              <w:spacing w:line="360" w:lineRule="auto"/>
              <w:jc w:val="center"/>
              <w:rPr>
                <w:rFonts w:ascii="Times New Roman" w:hAnsi="Times New Roman" w:eastAsia="宋体" w:cs="Times New Roman"/>
                <w:sz w:val="18"/>
                <w:szCs w:val="18"/>
              </w:rPr>
            </w:pPr>
          </w:p>
        </w:tc>
        <w:tc>
          <w:tcPr>
            <w:tcW w:w="992" w:type="dxa"/>
            <w:vMerge w:val="continue"/>
            <w:vAlign w:val="center"/>
          </w:tcPr>
          <w:p w14:paraId="1559D41E">
            <w:pPr>
              <w:overflowPunct w:val="0"/>
              <w:spacing w:line="360" w:lineRule="auto"/>
              <w:jc w:val="center"/>
              <w:rPr>
                <w:rFonts w:hint="eastAsia" w:ascii="宋体" w:hAnsi="宋体" w:eastAsia="宋体" w:cs="Times New Roman"/>
                <w:sz w:val="18"/>
                <w:szCs w:val="18"/>
              </w:rPr>
            </w:pPr>
          </w:p>
        </w:tc>
        <w:tc>
          <w:tcPr>
            <w:tcW w:w="4962" w:type="dxa"/>
            <w:vAlign w:val="center"/>
          </w:tcPr>
          <w:p w14:paraId="322B3926">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·研究决定公司碳资产规划、碳排放管理、碳交易管理、碳中和方案策划等重大决策工作。</w:t>
            </w:r>
          </w:p>
        </w:tc>
        <w:tc>
          <w:tcPr>
            <w:tcW w:w="1638" w:type="dxa"/>
            <w:vMerge w:val="continue"/>
            <w:vAlign w:val="center"/>
          </w:tcPr>
          <w:p w14:paraId="3F3C2DC3">
            <w:pPr>
              <w:overflowPunct w:val="0"/>
              <w:spacing w:line="320" w:lineRule="exact"/>
              <w:rPr>
                <w:rFonts w:hint="eastAsia" w:ascii="宋体" w:hAnsi="宋体" w:eastAsia="宋体" w:cs="Times New Roman"/>
                <w:sz w:val="18"/>
                <w:szCs w:val="18"/>
              </w:rPr>
            </w:pPr>
          </w:p>
        </w:tc>
      </w:tr>
      <w:tr w14:paraId="53E53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4B95941A">
            <w:pPr>
              <w:overflowPunct w:val="0"/>
              <w:spacing w:line="360" w:lineRule="auto"/>
              <w:jc w:val="center"/>
              <w:rPr>
                <w:rFonts w:ascii="Times New Roman" w:hAnsi="Times New Roman" w:eastAsia="宋体" w:cs="Times New Roman"/>
                <w:sz w:val="18"/>
                <w:szCs w:val="18"/>
              </w:rPr>
            </w:pPr>
          </w:p>
        </w:tc>
        <w:tc>
          <w:tcPr>
            <w:tcW w:w="992" w:type="dxa"/>
            <w:vMerge w:val="continue"/>
            <w:vAlign w:val="center"/>
          </w:tcPr>
          <w:p w14:paraId="445F8E60">
            <w:pPr>
              <w:overflowPunct w:val="0"/>
              <w:spacing w:line="360" w:lineRule="auto"/>
              <w:jc w:val="center"/>
              <w:rPr>
                <w:rFonts w:hint="eastAsia" w:ascii="宋体" w:hAnsi="宋体" w:eastAsia="宋体" w:cs="Times New Roman"/>
                <w:sz w:val="18"/>
                <w:szCs w:val="18"/>
              </w:rPr>
            </w:pPr>
          </w:p>
        </w:tc>
        <w:tc>
          <w:tcPr>
            <w:tcW w:w="4962" w:type="dxa"/>
            <w:vAlign w:val="center"/>
          </w:tcPr>
          <w:p w14:paraId="20E5C60E">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·批准碳排放交易计划（适用时）。</w:t>
            </w:r>
          </w:p>
        </w:tc>
        <w:tc>
          <w:tcPr>
            <w:tcW w:w="1638" w:type="dxa"/>
            <w:vMerge w:val="continue"/>
            <w:vAlign w:val="center"/>
          </w:tcPr>
          <w:p w14:paraId="29EBBE03">
            <w:pPr>
              <w:overflowPunct w:val="0"/>
              <w:spacing w:line="320" w:lineRule="exact"/>
              <w:rPr>
                <w:rFonts w:hint="eastAsia" w:ascii="宋体" w:hAnsi="宋体" w:eastAsia="宋体" w:cs="Times New Roman"/>
                <w:sz w:val="18"/>
                <w:szCs w:val="18"/>
              </w:rPr>
            </w:pPr>
          </w:p>
        </w:tc>
      </w:tr>
      <w:tr w14:paraId="6F9B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vAlign w:val="center"/>
          </w:tcPr>
          <w:p w14:paraId="39E34B0E">
            <w:pPr>
              <w:overflowPunct w:val="0"/>
              <w:spacing w:line="360" w:lineRule="auto"/>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w:t>
            </w:r>
          </w:p>
        </w:tc>
        <w:tc>
          <w:tcPr>
            <w:tcW w:w="992" w:type="dxa"/>
            <w:vMerge w:val="restart"/>
            <w:vAlign w:val="center"/>
          </w:tcPr>
          <w:p w14:paraId="5FC333CC">
            <w:pPr>
              <w:overflowPunct w:val="0"/>
              <w:spacing w:line="360" w:lineRule="auto"/>
              <w:jc w:val="center"/>
              <w:rPr>
                <w:rFonts w:hint="eastAsia" w:ascii="宋体" w:hAnsi="宋体" w:eastAsia="宋体" w:cs="Times New Roman"/>
                <w:sz w:val="18"/>
                <w:szCs w:val="18"/>
              </w:rPr>
            </w:pPr>
            <w:r>
              <w:rPr>
                <w:rFonts w:hint="eastAsia" w:ascii="宋体" w:hAnsi="宋体" w:eastAsia="宋体" w:cs="Times New Roman"/>
                <w:sz w:val="18"/>
                <w:szCs w:val="18"/>
              </w:rPr>
              <w:t>碳管理部门</w:t>
            </w:r>
          </w:p>
        </w:tc>
        <w:tc>
          <w:tcPr>
            <w:tcW w:w="4962" w:type="dxa"/>
            <w:vAlign w:val="center"/>
          </w:tcPr>
          <w:p w14:paraId="0BCDC214">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·根据企业发展战略和国家碳减排要求，制定企业碳管理战略、目标与规划，明确长期和短期碳减排目标及实施路径。</w:t>
            </w:r>
          </w:p>
        </w:tc>
        <w:tc>
          <w:tcPr>
            <w:tcW w:w="1638" w:type="dxa"/>
            <w:vAlign w:val="center"/>
          </w:tcPr>
          <w:p w14:paraId="77A7AE4F">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战略经理</w:t>
            </w:r>
          </w:p>
        </w:tc>
      </w:tr>
      <w:tr w14:paraId="677E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147A3FD4">
            <w:pPr>
              <w:overflowPunct w:val="0"/>
              <w:spacing w:line="360" w:lineRule="auto"/>
              <w:jc w:val="center"/>
              <w:rPr>
                <w:rFonts w:hint="eastAsia" w:ascii="Times New Roman" w:hAnsi="Times New Roman" w:eastAsia="宋体" w:cs="Times New Roman"/>
                <w:sz w:val="18"/>
                <w:szCs w:val="18"/>
              </w:rPr>
            </w:pPr>
          </w:p>
        </w:tc>
        <w:tc>
          <w:tcPr>
            <w:tcW w:w="992" w:type="dxa"/>
            <w:vMerge w:val="continue"/>
            <w:vAlign w:val="center"/>
          </w:tcPr>
          <w:p w14:paraId="30EF6EAD">
            <w:pPr>
              <w:overflowPunct w:val="0"/>
              <w:spacing w:line="360" w:lineRule="auto"/>
              <w:jc w:val="center"/>
              <w:rPr>
                <w:rFonts w:hint="eastAsia" w:ascii="宋体" w:hAnsi="宋体" w:eastAsia="宋体" w:cs="Times New Roman"/>
                <w:sz w:val="18"/>
                <w:szCs w:val="18"/>
              </w:rPr>
            </w:pPr>
          </w:p>
        </w:tc>
        <w:tc>
          <w:tcPr>
            <w:tcW w:w="4962" w:type="dxa"/>
            <w:vAlign w:val="center"/>
          </w:tcPr>
          <w:p w14:paraId="6C75A156">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·建立和完善企业碳排放核算体系，确保核算方法准确、数据可靠；定期完成碳排放报告的编制与上报，向政府、股东及社会公众披露碳排放信息。</w:t>
            </w:r>
          </w:p>
        </w:tc>
        <w:tc>
          <w:tcPr>
            <w:tcW w:w="1638" w:type="dxa"/>
            <w:vAlign w:val="center"/>
          </w:tcPr>
          <w:p w14:paraId="77BB4CCF">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碳核算与报告专员</w:t>
            </w:r>
          </w:p>
        </w:tc>
      </w:tr>
      <w:tr w14:paraId="0EAC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2D675986">
            <w:pPr>
              <w:overflowPunct w:val="0"/>
              <w:spacing w:line="360" w:lineRule="auto"/>
              <w:jc w:val="center"/>
              <w:rPr>
                <w:rFonts w:hint="eastAsia" w:ascii="Times New Roman" w:hAnsi="Times New Roman" w:eastAsia="宋体" w:cs="Times New Roman"/>
                <w:sz w:val="18"/>
                <w:szCs w:val="18"/>
              </w:rPr>
            </w:pPr>
          </w:p>
        </w:tc>
        <w:tc>
          <w:tcPr>
            <w:tcW w:w="992" w:type="dxa"/>
            <w:vMerge w:val="continue"/>
            <w:vAlign w:val="center"/>
          </w:tcPr>
          <w:p w14:paraId="70E2288B">
            <w:pPr>
              <w:overflowPunct w:val="0"/>
              <w:spacing w:line="360" w:lineRule="auto"/>
              <w:jc w:val="center"/>
              <w:rPr>
                <w:rFonts w:hint="eastAsia" w:ascii="宋体" w:hAnsi="宋体" w:eastAsia="宋体" w:cs="Times New Roman"/>
                <w:sz w:val="18"/>
                <w:szCs w:val="18"/>
              </w:rPr>
            </w:pPr>
          </w:p>
        </w:tc>
        <w:tc>
          <w:tcPr>
            <w:tcW w:w="4962" w:type="dxa"/>
            <w:vAlign w:val="center"/>
          </w:tcPr>
          <w:p w14:paraId="2F3A458C">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·深入研究碳市场政策与交易规则，负责企业碳排放权的配额管理，包括配额的分配、清缴与交易，通过合理的市场操作降低企业碳成本。</w:t>
            </w:r>
          </w:p>
        </w:tc>
        <w:tc>
          <w:tcPr>
            <w:tcW w:w="1638" w:type="dxa"/>
            <w:vAlign w:val="center"/>
          </w:tcPr>
          <w:p w14:paraId="698AD8CF">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碳交易专员</w:t>
            </w:r>
          </w:p>
        </w:tc>
      </w:tr>
      <w:tr w14:paraId="6C93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5B8EDA00">
            <w:pPr>
              <w:overflowPunct w:val="0"/>
              <w:spacing w:line="360" w:lineRule="auto"/>
              <w:jc w:val="center"/>
              <w:rPr>
                <w:rFonts w:hint="eastAsia" w:ascii="Times New Roman" w:hAnsi="Times New Roman" w:eastAsia="宋体" w:cs="Times New Roman"/>
                <w:sz w:val="18"/>
                <w:szCs w:val="18"/>
              </w:rPr>
            </w:pPr>
          </w:p>
        </w:tc>
        <w:tc>
          <w:tcPr>
            <w:tcW w:w="992" w:type="dxa"/>
            <w:vMerge w:val="continue"/>
            <w:vAlign w:val="center"/>
          </w:tcPr>
          <w:p w14:paraId="124E1702">
            <w:pPr>
              <w:overflowPunct w:val="0"/>
              <w:spacing w:line="360" w:lineRule="auto"/>
              <w:jc w:val="center"/>
              <w:rPr>
                <w:rFonts w:hint="eastAsia" w:ascii="宋体" w:hAnsi="宋体" w:eastAsia="宋体" w:cs="Times New Roman"/>
                <w:sz w:val="18"/>
                <w:szCs w:val="18"/>
              </w:rPr>
            </w:pPr>
          </w:p>
        </w:tc>
        <w:tc>
          <w:tcPr>
            <w:tcW w:w="4962" w:type="dxa"/>
            <w:vAlign w:val="center"/>
          </w:tcPr>
          <w:p w14:paraId="58D55582">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·策划、组织并实施碳减排项目，如节能改造、新能源利用、碳捕集与封存等项目，跟踪项目进度，评估项目效果。</w:t>
            </w:r>
          </w:p>
        </w:tc>
        <w:tc>
          <w:tcPr>
            <w:tcW w:w="1638" w:type="dxa"/>
            <w:vAlign w:val="center"/>
          </w:tcPr>
          <w:p w14:paraId="0B3E3565">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项目经理</w:t>
            </w:r>
          </w:p>
        </w:tc>
      </w:tr>
      <w:tr w14:paraId="0782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3487AE74">
            <w:pPr>
              <w:overflowPunct w:val="0"/>
              <w:spacing w:line="360" w:lineRule="auto"/>
              <w:jc w:val="center"/>
              <w:rPr>
                <w:rFonts w:hint="eastAsia" w:ascii="Times New Roman" w:hAnsi="Times New Roman" w:eastAsia="宋体" w:cs="Times New Roman"/>
                <w:sz w:val="18"/>
                <w:szCs w:val="18"/>
              </w:rPr>
            </w:pPr>
          </w:p>
        </w:tc>
        <w:tc>
          <w:tcPr>
            <w:tcW w:w="992" w:type="dxa"/>
            <w:vMerge w:val="continue"/>
            <w:vAlign w:val="center"/>
          </w:tcPr>
          <w:p w14:paraId="543C6132">
            <w:pPr>
              <w:overflowPunct w:val="0"/>
              <w:spacing w:line="360" w:lineRule="auto"/>
              <w:jc w:val="center"/>
              <w:rPr>
                <w:rFonts w:hint="eastAsia" w:ascii="宋体" w:hAnsi="宋体" w:eastAsia="宋体" w:cs="Times New Roman"/>
                <w:sz w:val="18"/>
                <w:szCs w:val="18"/>
              </w:rPr>
            </w:pPr>
          </w:p>
        </w:tc>
        <w:tc>
          <w:tcPr>
            <w:tcW w:w="4962" w:type="dxa"/>
            <w:vAlign w:val="center"/>
          </w:tcPr>
          <w:p w14:paraId="2B6998D3">
            <w:pPr>
              <w:overflowPunct w:val="0"/>
              <w:spacing w:line="320" w:lineRule="exact"/>
              <w:rPr>
                <w:rFonts w:hint="eastAsia" w:ascii="宋体" w:hAnsi="宋体" w:eastAsia="宋体" w:cs="Times New Roman"/>
                <w:sz w:val="18"/>
                <w:szCs w:val="18"/>
              </w:rPr>
            </w:pPr>
            <w:bookmarkStart w:id="136" w:name="OLE_LINK22"/>
            <w:r>
              <w:rPr>
                <w:rFonts w:hint="eastAsia" w:ascii="宋体" w:hAnsi="宋体" w:eastAsia="宋体" w:cs="Times New Roman"/>
                <w:sz w:val="18"/>
                <w:szCs w:val="18"/>
              </w:rPr>
              <w:t>·</w:t>
            </w:r>
            <w:bookmarkEnd w:id="136"/>
            <w:r>
              <w:rPr>
                <w:rFonts w:hint="eastAsia" w:ascii="宋体" w:hAnsi="宋体" w:eastAsia="宋体" w:cs="Times New Roman"/>
                <w:sz w:val="18"/>
                <w:szCs w:val="18"/>
              </w:rPr>
              <w:t>开展碳减排宣传、培训等相关工作。</w:t>
            </w:r>
          </w:p>
        </w:tc>
        <w:tc>
          <w:tcPr>
            <w:tcW w:w="1638" w:type="dxa"/>
            <w:vAlign w:val="center"/>
          </w:tcPr>
          <w:p w14:paraId="0D18B271">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宣教与培训专员</w:t>
            </w:r>
          </w:p>
        </w:tc>
      </w:tr>
      <w:tr w14:paraId="4AA2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vAlign w:val="center"/>
          </w:tcPr>
          <w:p w14:paraId="31634BED">
            <w:pPr>
              <w:overflowPunct w:val="0"/>
              <w:spacing w:line="360" w:lineRule="auto"/>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3</w:t>
            </w:r>
          </w:p>
        </w:tc>
        <w:tc>
          <w:tcPr>
            <w:tcW w:w="992" w:type="dxa"/>
            <w:vMerge w:val="restart"/>
            <w:vAlign w:val="center"/>
          </w:tcPr>
          <w:p w14:paraId="4964937F">
            <w:pPr>
              <w:overflowPunct w:val="0"/>
              <w:spacing w:line="320" w:lineRule="exact"/>
              <w:jc w:val="center"/>
              <w:rPr>
                <w:rFonts w:hint="eastAsia" w:ascii="宋体" w:hAnsi="宋体" w:eastAsia="宋体" w:cs="Times New Roman"/>
                <w:sz w:val="18"/>
                <w:szCs w:val="18"/>
              </w:rPr>
            </w:pPr>
            <w:r>
              <w:rPr>
                <w:rFonts w:hint="eastAsia" w:ascii="宋体" w:hAnsi="宋体" w:eastAsia="宋体" w:cs="Times New Roman"/>
                <w:sz w:val="18"/>
                <w:szCs w:val="18"/>
              </w:rPr>
              <w:t>能源</w:t>
            </w:r>
          </w:p>
          <w:p w14:paraId="327B4528">
            <w:pPr>
              <w:overflowPunct w:val="0"/>
              <w:spacing w:line="320" w:lineRule="exact"/>
              <w:jc w:val="center"/>
              <w:rPr>
                <w:rFonts w:hint="eastAsia" w:ascii="宋体" w:hAnsi="宋体" w:eastAsia="宋体" w:cs="Times New Roman"/>
                <w:sz w:val="18"/>
                <w:szCs w:val="18"/>
              </w:rPr>
            </w:pPr>
            <w:r>
              <w:rPr>
                <w:rFonts w:hint="eastAsia" w:ascii="宋体" w:hAnsi="宋体" w:eastAsia="宋体" w:cs="Times New Roman"/>
                <w:sz w:val="18"/>
                <w:szCs w:val="18"/>
              </w:rPr>
              <w:t>管理部门</w:t>
            </w:r>
          </w:p>
        </w:tc>
        <w:tc>
          <w:tcPr>
            <w:tcW w:w="4962" w:type="dxa"/>
            <w:vAlign w:val="center"/>
          </w:tcPr>
          <w:p w14:paraId="2B8C90FB">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·通过能源审计等手段，分析企业能源消耗结构与效率，制定并实施能源优化方案，提高能源利用效率，降低化石能源消耗，从而减少碳排放。</w:t>
            </w:r>
          </w:p>
        </w:tc>
        <w:tc>
          <w:tcPr>
            <w:tcW w:w="1638" w:type="dxa"/>
            <w:vAlign w:val="center"/>
          </w:tcPr>
          <w:p w14:paraId="317BBE16">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能源管理工程师</w:t>
            </w:r>
          </w:p>
        </w:tc>
      </w:tr>
      <w:tr w14:paraId="7C458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567742CC">
            <w:pPr>
              <w:overflowPunct w:val="0"/>
              <w:spacing w:line="360" w:lineRule="auto"/>
              <w:jc w:val="center"/>
              <w:rPr>
                <w:rFonts w:hint="eastAsia" w:ascii="Times New Roman" w:hAnsi="Times New Roman" w:eastAsia="宋体" w:cs="Times New Roman"/>
                <w:sz w:val="18"/>
                <w:szCs w:val="18"/>
              </w:rPr>
            </w:pPr>
          </w:p>
        </w:tc>
        <w:tc>
          <w:tcPr>
            <w:tcW w:w="992" w:type="dxa"/>
            <w:vMerge w:val="continue"/>
            <w:vAlign w:val="center"/>
          </w:tcPr>
          <w:p w14:paraId="384A7D40">
            <w:pPr>
              <w:overflowPunct w:val="0"/>
              <w:spacing w:line="320" w:lineRule="exact"/>
              <w:jc w:val="center"/>
              <w:rPr>
                <w:rFonts w:hint="eastAsia" w:ascii="宋体" w:hAnsi="宋体" w:eastAsia="宋体" w:cs="Times New Roman"/>
                <w:sz w:val="18"/>
                <w:szCs w:val="18"/>
              </w:rPr>
            </w:pPr>
          </w:p>
        </w:tc>
        <w:tc>
          <w:tcPr>
            <w:tcW w:w="4962" w:type="dxa"/>
            <w:vAlign w:val="center"/>
          </w:tcPr>
          <w:p w14:paraId="1CB3E4BB">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·积极推动企业内部新能源的开发与利用，如建设太阳能电站、风力发电设施或采用生物质能等，增加清洁能源在能源消费中的占比，实现能源结构低碳化转型。</w:t>
            </w:r>
          </w:p>
        </w:tc>
        <w:tc>
          <w:tcPr>
            <w:tcW w:w="1638" w:type="dxa"/>
            <w:vAlign w:val="center"/>
          </w:tcPr>
          <w:p w14:paraId="3C5AA3AA">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能源管理工程师</w:t>
            </w:r>
          </w:p>
        </w:tc>
      </w:tr>
      <w:tr w14:paraId="029F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116EDFF8">
            <w:pPr>
              <w:overflowPunct w:val="0"/>
              <w:spacing w:line="360" w:lineRule="auto"/>
              <w:jc w:val="center"/>
              <w:rPr>
                <w:rFonts w:hint="eastAsia" w:ascii="Times New Roman" w:hAnsi="Times New Roman" w:eastAsia="宋体" w:cs="Times New Roman"/>
                <w:sz w:val="18"/>
                <w:szCs w:val="18"/>
              </w:rPr>
            </w:pPr>
          </w:p>
        </w:tc>
        <w:tc>
          <w:tcPr>
            <w:tcW w:w="992" w:type="dxa"/>
            <w:vMerge w:val="continue"/>
            <w:vAlign w:val="center"/>
          </w:tcPr>
          <w:p w14:paraId="6592D4F4">
            <w:pPr>
              <w:overflowPunct w:val="0"/>
              <w:spacing w:line="320" w:lineRule="exact"/>
              <w:jc w:val="center"/>
              <w:rPr>
                <w:rFonts w:hint="eastAsia" w:ascii="宋体" w:hAnsi="宋体" w:eastAsia="宋体" w:cs="Times New Roman"/>
                <w:sz w:val="18"/>
                <w:szCs w:val="18"/>
              </w:rPr>
            </w:pPr>
          </w:p>
        </w:tc>
        <w:tc>
          <w:tcPr>
            <w:tcW w:w="4962" w:type="dxa"/>
            <w:vAlign w:val="center"/>
          </w:tcPr>
          <w:p w14:paraId="4D0086C2">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·负责能源消耗数据的收集、整理与分析，建立能源管理信息系统，为碳管理提供准确的能源数据支持，以便准确核算碳排放及制定减排措施。</w:t>
            </w:r>
          </w:p>
        </w:tc>
        <w:tc>
          <w:tcPr>
            <w:tcW w:w="1638" w:type="dxa"/>
            <w:vAlign w:val="center"/>
          </w:tcPr>
          <w:p w14:paraId="283E8C75">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能源数据管理员</w:t>
            </w:r>
          </w:p>
        </w:tc>
      </w:tr>
      <w:tr w14:paraId="35310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vAlign w:val="center"/>
          </w:tcPr>
          <w:p w14:paraId="61E800C8">
            <w:pPr>
              <w:overflowPunct w:val="0"/>
              <w:spacing w:line="360" w:lineRule="auto"/>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4</w:t>
            </w:r>
          </w:p>
        </w:tc>
        <w:tc>
          <w:tcPr>
            <w:tcW w:w="992" w:type="dxa"/>
            <w:vMerge w:val="restart"/>
            <w:vAlign w:val="center"/>
          </w:tcPr>
          <w:p w14:paraId="1C72DCD6">
            <w:pPr>
              <w:overflowPunct w:val="0"/>
              <w:spacing w:line="360" w:lineRule="auto"/>
              <w:jc w:val="center"/>
              <w:rPr>
                <w:rFonts w:hint="eastAsia" w:ascii="宋体" w:hAnsi="宋体" w:eastAsia="宋体" w:cs="Times New Roman"/>
                <w:sz w:val="18"/>
                <w:szCs w:val="18"/>
              </w:rPr>
            </w:pPr>
            <w:r>
              <w:rPr>
                <w:rFonts w:hint="eastAsia" w:ascii="宋体" w:hAnsi="宋体" w:eastAsia="宋体" w:cs="Times New Roman"/>
                <w:sz w:val="18"/>
                <w:szCs w:val="18"/>
              </w:rPr>
              <w:t>环保部门</w:t>
            </w:r>
          </w:p>
        </w:tc>
        <w:tc>
          <w:tcPr>
            <w:tcW w:w="4962" w:type="dxa"/>
            <w:vAlign w:val="center"/>
          </w:tcPr>
          <w:p w14:paraId="18CE160F">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·对企业生产过程中的碳排放进行实时监测，确保监测数据的准确性和及时性，为碳核算与管理提供基础数据。</w:t>
            </w:r>
          </w:p>
        </w:tc>
        <w:tc>
          <w:tcPr>
            <w:tcW w:w="1638" w:type="dxa"/>
            <w:vAlign w:val="center"/>
          </w:tcPr>
          <w:p w14:paraId="493C06FD">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碳排放监测专员</w:t>
            </w:r>
          </w:p>
        </w:tc>
      </w:tr>
      <w:tr w14:paraId="393E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6D3BE7AC">
            <w:pPr>
              <w:overflowPunct w:val="0"/>
              <w:spacing w:line="360" w:lineRule="auto"/>
              <w:jc w:val="center"/>
              <w:rPr>
                <w:rFonts w:hint="eastAsia" w:ascii="Times New Roman" w:hAnsi="Times New Roman" w:eastAsia="宋体" w:cs="Times New Roman"/>
                <w:sz w:val="18"/>
                <w:szCs w:val="18"/>
              </w:rPr>
            </w:pPr>
          </w:p>
        </w:tc>
        <w:tc>
          <w:tcPr>
            <w:tcW w:w="992" w:type="dxa"/>
            <w:vMerge w:val="continue"/>
            <w:vAlign w:val="center"/>
          </w:tcPr>
          <w:p w14:paraId="2E33A5D9">
            <w:pPr>
              <w:overflowPunct w:val="0"/>
              <w:spacing w:line="360" w:lineRule="auto"/>
              <w:jc w:val="center"/>
              <w:rPr>
                <w:rFonts w:hint="eastAsia" w:ascii="宋体" w:hAnsi="宋体" w:eastAsia="宋体" w:cs="Times New Roman"/>
                <w:sz w:val="18"/>
                <w:szCs w:val="18"/>
              </w:rPr>
            </w:pPr>
          </w:p>
        </w:tc>
        <w:tc>
          <w:tcPr>
            <w:tcW w:w="4962" w:type="dxa"/>
            <w:vAlign w:val="center"/>
          </w:tcPr>
          <w:p w14:paraId="0E6E531F">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·确保企业碳管理工作符合国家和地方环保法律法规及相关政策要求，跟踪政策动态，及时调整企业碳管理策略与措施，避免环境违法风险。</w:t>
            </w:r>
          </w:p>
        </w:tc>
        <w:tc>
          <w:tcPr>
            <w:tcW w:w="1638" w:type="dxa"/>
            <w:vAlign w:val="center"/>
          </w:tcPr>
          <w:p w14:paraId="39778535">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风险合规师</w:t>
            </w:r>
          </w:p>
        </w:tc>
      </w:tr>
      <w:tr w14:paraId="5A913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5C7C1471">
            <w:pPr>
              <w:overflowPunct w:val="0"/>
              <w:spacing w:line="360" w:lineRule="auto"/>
              <w:jc w:val="center"/>
              <w:rPr>
                <w:rFonts w:hint="eastAsia" w:ascii="Times New Roman" w:hAnsi="Times New Roman" w:eastAsia="宋体" w:cs="Times New Roman"/>
                <w:sz w:val="18"/>
                <w:szCs w:val="18"/>
              </w:rPr>
            </w:pPr>
          </w:p>
        </w:tc>
        <w:tc>
          <w:tcPr>
            <w:tcW w:w="992" w:type="dxa"/>
            <w:vMerge w:val="continue"/>
            <w:vAlign w:val="center"/>
          </w:tcPr>
          <w:p w14:paraId="1F290D0B">
            <w:pPr>
              <w:overflowPunct w:val="0"/>
              <w:spacing w:line="360" w:lineRule="auto"/>
              <w:jc w:val="center"/>
              <w:rPr>
                <w:rFonts w:hint="eastAsia" w:ascii="宋体" w:hAnsi="宋体" w:eastAsia="宋体" w:cs="Times New Roman"/>
                <w:sz w:val="18"/>
                <w:szCs w:val="18"/>
              </w:rPr>
            </w:pPr>
          </w:p>
        </w:tc>
        <w:tc>
          <w:tcPr>
            <w:tcW w:w="4962" w:type="dxa"/>
            <w:vAlign w:val="center"/>
          </w:tcPr>
          <w:p w14:paraId="04E6183F">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在治理其他污染物的过程中，注重与碳减排的协同效应，如通过减少氮氧化物、颗粒物等污染物排放，实现温室气体的同步减排；配合开展碳减排宣传、培训等相关工作；负责生产过程相关环保数据的收集工作，做好相关台账记录。</w:t>
            </w:r>
          </w:p>
        </w:tc>
        <w:tc>
          <w:tcPr>
            <w:tcW w:w="1638" w:type="dxa"/>
            <w:vAlign w:val="center"/>
          </w:tcPr>
          <w:p w14:paraId="0A3CD3AD">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环保专员</w:t>
            </w:r>
          </w:p>
        </w:tc>
      </w:tr>
      <w:tr w14:paraId="6A16F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vAlign w:val="center"/>
          </w:tcPr>
          <w:p w14:paraId="0C2539FD">
            <w:pPr>
              <w:overflowPunct w:val="0"/>
              <w:spacing w:line="360" w:lineRule="auto"/>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5</w:t>
            </w:r>
          </w:p>
        </w:tc>
        <w:tc>
          <w:tcPr>
            <w:tcW w:w="992" w:type="dxa"/>
            <w:vMerge w:val="restart"/>
            <w:vAlign w:val="center"/>
          </w:tcPr>
          <w:p w14:paraId="0B2E675F">
            <w:pPr>
              <w:overflowPunct w:val="0"/>
              <w:spacing w:line="360" w:lineRule="auto"/>
              <w:jc w:val="center"/>
              <w:rPr>
                <w:rFonts w:hint="eastAsia" w:ascii="宋体" w:hAnsi="宋体" w:eastAsia="宋体" w:cs="Times New Roman"/>
                <w:sz w:val="18"/>
                <w:szCs w:val="18"/>
              </w:rPr>
            </w:pPr>
            <w:r>
              <w:rPr>
                <w:rFonts w:hint="eastAsia" w:ascii="宋体" w:hAnsi="宋体" w:eastAsia="宋体" w:cs="Times New Roman"/>
                <w:sz w:val="18"/>
                <w:szCs w:val="18"/>
              </w:rPr>
              <w:t>生产部门</w:t>
            </w:r>
          </w:p>
        </w:tc>
        <w:tc>
          <w:tcPr>
            <w:tcW w:w="4962" w:type="dxa"/>
            <w:vAlign w:val="center"/>
          </w:tcPr>
          <w:p w14:paraId="6582E84E">
            <w:pPr>
              <w:overflowPunct w:val="0"/>
              <w:spacing w:line="320" w:lineRule="exact"/>
              <w:rPr>
                <w:rFonts w:hint="eastAsia" w:ascii="宋体" w:hAnsi="宋体" w:eastAsia="宋体" w:cs="Times New Roman"/>
                <w:sz w:val="18"/>
                <w:szCs w:val="18"/>
              </w:rPr>
            </w:pPr>
            <w:bookmarkStart w:id="137" w:name="OLE_LINK25"/>
            <w:r>
              <w:rPr>
                <w:rFonts w:hint="eastAsia" w:ascii="宋体" w:hAnsi="宋体" w:eastAsia="宋体" w:cs="Times New Roman"/>
                <w:sz w:val="18"/>
                <w:szCs w:val="18"/>
              </w:rPr>
              <w:t>·</w:t>
            </w:r>
            <w:bookmarkEnd w:id="137"/>
            <w:r>
              <w:rPr>
                <w:rFonts w:hint="eastAsia" w:ascii="宋体" w:hAnsi="宋体" w:eastAsia="宋体" w:cs="Times New Roman"/>
                <w:sz w:val="18"/>
                <w:szCs w:val="18"/>
              </w:rPr>
              <w:t>通过改进生产工艺和操作流程，提高生产效率，降低能源消耗和物料浪费，从而减少生产过程中的碳排放。</w:t>
            </w:r>
          </w:p>
        </w:tc>
        <w:tc>
          <w:tcPr>
            <w:tcW w:w="1638" w:type="dxa"/>
            <w:vAlign w:val="center"/>
          </w:tcPr>
          <w:p w14:paraId="4A4CD0AA">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生产工艺工程师</w:t>
            </w:r>
          </w:p>
        </w:tc>
      </w:tr>
      <w:tr w14:paraId="266A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499F9642">
            <w:pPr>
              <w:overflowPunct w:val="0"/>
              <w:spacing w:line="360" w:lineRule="auto"/>
              <w:jc w:val="center"/>
              <w:rPr>
                <w:rFonts w:hint="eastAsia" w:ascii="Times New Roman" w:hAnsi="Times New Roman" w:eastAsia="宋体" w:cs="Times New Roman"/>
                <w:sz w:val="18"/>
                <w:szCs w:val="18"/>
              </w:rPr>
            </w:pPr>
          </w:p>
        </w:tc>
        <w:tc>
          <w:tcPr>
            <w:tcW w:w="992" w:type="dxa"/>
            <w:vMerge w:val="continue"/>
            <w:vAlign w:val="center"/>
          </w:tcPr>
          <w:p w14:paraId="0A544B8E">
            <w:pPr>
              <w:overflowPunct w:val="0"/>
              <w:spacing w:line="360" w:lineRule="auto"/>
              <w:jc w:val="center"/>
              <w:rPr>
                <w:rFonts w:hint="eastAsia" w:ascii="宋体" w:hAnsi="宋体" w:eastAsia="宋体" w:cs="Times New Roman"/>
                <w:sz w:val="18"/>
                <w:szCs w:val="18"/>
              </w:rPr>
            </w:pPr>
          </w:p>
        </w:tc>
        <w:tc>
          <w:tcPr>
            <w:tcW w:w="4962" w:type="dxa"/>
            <w:vAlign w:val="center"/>
          </w:tcPr>
          <w:p w14:paraId="5EE33770">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·定期对生产设备进行维护和保养，确保设备处于良好的运行状态，提高设备的能源利用效率。同时，及时淘汰高耗能、低效率的设备，更新为节能型设备。</w:t>
            </w:r>
          </w:p>
        </w:tc>
        <w:tc>
          <w:tcPr>
            <w:tcW w:w="1638" w:type="dxa"/>
            <w:vAlign w:val="center"/>
          </w:tcPr>
          <w:p w14:paraId="4DD2AE03">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设备维修工程师</w:t>
            </w:r>
          </w:p>
        </w:tc>
      </w:tr>
      <w:tr w14:paraId="7550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vAlign w:val="center"/>
          </w:tcPr>
          <w:p w14:paraId="0DE21C77">
            <w:pPr>
              <w:overflowPunct w:val="0"/>
              <w:spacing w:line="360" w:lineRule="auto"/>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6</w:t>
            </w:r>
          </w:p>
        </w:tc>
        <w:tc>
          <w:tcPr>
            <w:tcW w:w="992" w:type="dxa"/>
            <w:vMerge w:val="restart"/>
            <w:vAlign w:val="center"/>
          </w:tcPr>
          <w:p w14:paraId="366AAF2A">
            <w:pPr>
              <w:overflowPunct w:val="0"/>
              <w:spacing w:line="360" w:lineRule="auto"/>
              <w:jc w:val="center"/>
              <w:rPr>
                <w:rFonts w:hint="eastAsia" w:ascii="宋体" w:hAnsi="宋体" w:eastAsia="宋体" w:cs="Times New Roman"/>
                <w:sz w:val="18"/>
                <w:szCs w:val="18"/>
              </w:rPr>
            </w:pPr>
            <w:r>
              <w:rPr>
                <w:rFonts w:hint="eastAsia" w:ascii="宋体" w:hAnsi="宋体" w:eastAsia="宋体" w:cs="Times New Roman"/>
                <w:sz w:val="18"/>
                <w:szCs w:val="18"/>
              </w:rPr>
              <w:t>研发部门</w:t>
            </w:r>
          </w:p>
        </w:tc>
        <w:tc>
          <w:tcPr>
            <w:tcW w:w="4962" w:type="dxa"/>
            <w:vAlign w:val="center"/>
          </w:tcPr>
          <w:p w14:paraId="7AC86829">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·开展低碳技术和工艺的研究与开发，探索新的生产方式和材料，以降低产品在生产和使用过程中的碳排放。</w:t>
            </w:r>
          </w:p>
        </w:tc>
        <w:tc>
          <w:tcPr>
            <w:tcW w:w="1638" w:type="dxa"/>
            <w:vAlign w:val="center"/>
          </w:tcPr>
          <w:p w14:paraId="630AC438">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低碳研发工程师</w:t>
            </w:r>
          </w:p>
        </w:tc>
      </w:tr>
      <w:tr w14:paraId="02380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6A184AF9">
            <w:pPr>
              <w:overflowPunct w:val="0"/>
              <w:spacing w:line="360" w:lineRule="auto"/>
              <w:jc w:val="center"/>
              <w:rPr>
                <w:rFonts w:hint="eastAsia" w:ascii="Times New Roman" w:hAnsi="Times New Roman" w:eastAsia="宋体" w:cs="Times New Roman"/>
                <w:sz w:val="18"/>
                <w:szCs w:val="18"/>
              </w:rPr>
            </w:pPr>
          </w:p>
        </w:tc>
        <w:tc>
          <w:tcPr>
            <w:tcW w:w="992" w:type="dxa"/>
            <w:vMerge w:val="continue"/>
            <w:vAlign w:val="center"/>
          </w:tcPr>
          <w:p w14:paraId="41011D15">
            <w:pPr>
              <w:overflowPunct w:val="0"/>
              <w:spacing w:line="360" w:lineRule="auto"/>
              <w:jc w:val="center"/>
              <w:rPr>
                <w:rFonts w:hint="eastAsia" w:ascii="宋体" w:hAnsi="宋体" w:eastAsia="宋体" w:cs="Times New Roman"/>
                <w:sz w:val="18"/>
                <w:szCs w:val="18"/>
              </w:rPr>
            </w:pPr>
          </w:p>
        </w:tc>
        <w:tc>
          <w:tcPr>
            <w:tcW w:w="4962" w:type="dxa"/>
            <w:vAlign w:val="center"/>
          </w:tcPr>
          <w:p w14:paraId="62C5744F">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·对企业生产的产品进行碳足迹分析，评估产品在整个生命周期内的碳排放情况，为产品的设计和改进提供依据。通过优化产品设计，减少产品在原材料采购、生产加工、运输销售、使用和废弃等环节的碳排放。</w:t>
            </w:r>
          </w:p>
        </w:tc>
        <w:tc>
          <w:tcPr>
            <w:tcW w:w="1638" w:type="dxa"/>
            <w:vAlign w:val="center"/>
          </w:tcPr>
          <w:p w14:paraId="4C0BF80E">
            <w:pPr>
              <w:overflowPunct w:val="0"/>
              <w:spacing w:line="320" w:lineRule="exact"/>
              <w:rPr>
                <w:rFonts w:hint="default" w:ascii="Times New Roman" w:hAnsi="Times New Roman" w:eastAsia="宋体" w:cs="Times New Roman"/>
                <w:sz w:val="18"/>
                <w:szCs w:val="18"/>
              </w:rPr>
            </w:pPr>
            <w:r>
              <w:rPr>
                <w:rFonts w:ascii="Times New Roman" w:hAnsi="Times New Roman" w:eastAsia="宋体" w:cs="Times New Roman"/>
                <w:sz w:val="18"/>
                <w:szCs w:val="18"/>
              </w:rPr>
              <w:t>LCA工程师</w:t>
            </w:r>
            <w:r>
              <w:rPr>
                <w:rFonts w:hint="eastAsia" w:ascii="Times New Roman" w:hAnsi="Times New Roman" w:eastAsia="宋体" w:cs="Times New Roman"/>
                <w:sz w:val="18"/>
                <w:szCs w:val="18"/>
              </w:rPr>
              <w:t>（</w:t>
            </w:r>
            <w:r>
              <w:rPr>
                <w:rFonts w:ascii="Times New Roman" w:hAnsi="Times New Roman" w:eastAsia="宋体" w:cs="Times New Roman"/>
                <w:sz w:val="18"/>
                <w:szCs w:val="18"/>
              </w:rPr>
              <w:t>生命周期评价工程师</w:t>
            </w:r>
            <w:r>
              <w:rPr>
                <w:rFonts w:hint="eastAsia" w:ascii="Times New Roman" w:hAnsi="Times New Roman" w:eastAsia="宋体" w:cs="Times New Roman"/>
                <w:sz w:val="18"/>
                <w:szCs w:val="18"/>
              </w:rPr>
              <w:t>）</w:t>
            </w:r>
          </w:p>
        </w:tc>
      </w:tr>
      <w:tr w14:paraId="02178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588B760E">
            <w:pPr>
              <w:overflowPunct w:val="0"/>
              <w:spacing w:line="360" w:lineRule="auto"/>
              <w:jc w:val="center"/>
              <w:rPr>
                <w:rFonts w:hint="eastAsia" w:ascii="Times New Roman" w:hAnsi="Times New Roman" w:eastAsia="宋体" w:cs="Times New Roman"/>
                <w:sz w:val="18"/>
                <w:szCs w:val="18"/>
              </w:rPr>
            </w:pPr>
          </w:p>
        </w:tc>
        <w:tc>
          <w:tcPr>
            <w:tcW w:w="992" w:type="dxa"/>
            <w:vMerge w:val="continue"/>
            <w:vAlign w:val="center"/>
          </w:tcPr>
          <w:p w14:paraId="793CE6E1">
            <w:pPr>
              <w:overflowPunct w:val="0"/>
              <w:spacing w:line="360" w:lineRule="auto"/>
              <w:jc w:val="center"/>
              <w:rPr>
                <w:rFonts w:hint="eastAsia" w:ascii="宋体" w:hAnsi="宋体" w:eastAsia="宋体" w:cs="Times New Roman"/>
                <w:sz w:val="18"/>
                <w:szCs w:val="18"/>
              </w:rPr>
            </w:pPr>
          </w:p>
        </w:tc>
        <w:tc>
          <w:tcPr>
            <w:tcW w:w="4962" w:type="dxa"/>
            <w:vAlign w:val="center"/>
          </w:tcPr>
          <w:p w14:paraId="30722E44">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·将碳减排理念融入产品设计中，优先选用低碳、环保的材料和零部件，提高产品的可回收性和可再利用性，降低产品的环境影响。</w:t>
            </w:r>
          </w:p>
        </w:tc>
        <w:tc>
          <w:tcPr>
            <w:tcW w:w="1638" w:type="dxa"/>
            <w:vAlign w:val="center"/>
          </w:tcPr>
          <w:p w14:paraId="2765A92B">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产品研发工程师</w:t>
            </w:r>
          </w:p>
        </w:tc>
      </w:tr>
      <w:tr w14:paraId="69D8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vAlign w:val="center"/>
          </w:tcPr>
          <w:p w14:paraId="7373F6FC">
            <w:pPr>
              <w:overflowPunct w:val="0"/>
              <w:spacing w:line="360" w:lineRule="auto"/>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7</w:t>
            </w:r>
          </w:p>
        </w:tc>
        <w:tc>
          <w:tcPr>
            <w:tcW w:w="992" w:type="dxa"/>
            <w:vMerge w:val="restart"/>
            <w:vAlign w:val="center"/>
          </w:tcPr>
          <w:p w14:paraId="42D70520">
            <w:pPr>
              <w:overflowPunct w:val="0"/>
              <w:spacing w:line="360" w:lineRule="auto"/>
              <w:jc w:val="center"/>
              <w:rPr>
                <w:rFonts w:hint="eastAsia" w:ascii="宋体" w:hAnsi="宋体" w:eastAsia="宋体" w:cs="Times New Roman"/>
                <w:sz w:val="18"/>
                <w:szCs w:val="18"/>
              </w:rPr>
            </w:pPr>
            <w:r>
              <w:rPr>
                <w:rFonts w:hint="eastAsia" w:ascii="宋体" w:hAnsi="宋体" w:eastAsia="宋体" w:cs="Times New Roman"/>
                <w:sz w:val="18"/>
                <w:szCs w:val="18"/>
              </w:rPr>
              <w:t>采购部门</w:t>
            </w:r>
          </w:p>
        </w:tc>
        <w:tc>
          <w:tcPr>
            <w:tcW w:w="4962" w:type="dxa"/>
            <w:vAlign w:val="center"/>
          </w:tcPr>
          <w:p w14:paraId="77D60DB1">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·建立供应商筛选和评价机制，优先选择具有良好碳管理表现的供应商，要求供应商提供产品和服务的碳足迹信息，对供应商的碳减排措施和绩效进行评估和监督，推动供应商共同参与碳减排行动。</w:t>
            </w:r>
          </w:p>
        </w:tc>
        <w:tc>
          <w:tcPr>
            <w:tcW w:w="1638" w:type="dxa"/>
            <w:vAlign w:val="center"/>
          </w:tcPr>
          <w:p w14:paraId="062E6C2A">
            <w:pPr>
              <w:overflowPunct w:val="0"/>
              <w:spacing w:line="320" w:lineRule="exact"/>
              <w:rPr>
                <w:rFonts w:hint="eastAsia" w:ascii="宋体" w:hAnsi="宋体" w:eastAsia="宋体" w:cs="Times New Roman"/>
                <w:sz w:val="18"/>
                <w:szCs w:val="18"/>
              </w:rPr>
            </w:pPr>
            <w:r>
              <w:rPr>
                <w:rFonts w:ascii="宋体" w:hAnsi="宋体" w:eastAsia="宋体" w:cs="Times New Roman"/>
                <w:sz w:val="18"/>
                <w:szCs w:val="18"/>
              </w:rPr>
              <w:t>绿色供应链经理</w:t>
            </w:r>
          </w:p>
        </w:tc>
      </w:tr>
      <w:tr w14:paraId="0560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18B33C7D">
            <w:pPr>
              <w:overflowPunct w:val="0"/>
              <w:spacing w:line="360" w:lineRule="auto"/>
              <w:jc w:val="center"/>
              <w:rPr>
                <w:rFonts w:hint="eastAsia" w:ascii="Times New Roman" w:hAnsi="Times New Roman" w:eastAsia="宋体" w:cs="Times New Roman"/>
                <w:sz w:val="18"/>
                <w:szCs w:val="18"/>
              </w:rPr>
            </w:pPr>
          </w:p>
        </w:tc>
        <w:tc>
          <w:tcPr>
            <w:tcW w:w="992" w:type="dxa"/>
            <w:vMerge w:val="continue"/>
            <w:vAlign w:val="center"/>
          </w:tcPr>
          <w:p w14:paraId="2F244B12">
            <w:pPr>
              <w:overflowPunct w:val="0"/>
              <w:spacing w:line="360" w:lineRule="auto"/>
              <w:jc w:val="center"/>
              <w:rPr>
                <w:rFonts w:hint="eastAsia" w:ascii="宋体" w:hAnsi="宋体" w:eastAsia="宋体" w:cs="Times New Roman"/>
                <w:sz w:val="18"/>
                <w:szCs w:val="18"/>
              </w:rPr>
            </w:pPr>
          </w:p>
        </w:tc>
        <w:tc>
          <w:tcPr>
            <w:tcW w:w="4962" w:type="dxa"/>
            <w:vAlign w:val="center"/>
          </w:tcPr>
          <w:p w14:paraId="1E60CC34">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·在采购原材料、零部件和设备时，优先选择低碳、环保的材料和产品，尽量减少采购高碳、高耗能的物资。</w:t>
            </w:r>
          </w:p>
        </w:tc>
        <w:tc>
          <w:tcPr>
            <w:tcW w:w="1638" w:type="dxa"/>
            <w:vAlign w:val="center"/>
          </w:tcPr>
          <w:p w14:paraId="0286B87E">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采购专员</w:t>
            </w:r>
          </w:p>
        </w:tc>
      </w:tr>
      <w:tr w14:paraId="1FC8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415229F7">
            <w:pPr>
              <w:overflowPunct w:val="0"/>
              <w:spacing w:line="360" w:lineRule="auto"/>
              <w:jc w:val="center"/>
              <w:rPr>
                <w:rFonts w:hint="eastAsia" w:ascii="Times New Roman" w:hAnsi="Times New Roman" w:eastAsia="宋体" w:cs="Times New Roman"/>
                <w:sz w:val="18"/>
                <w:szCs w:val="18"/>
              </w:rPr>
            </w:pPr>
          </w:p>
        </w:tc>
        <w:tc>
          <w:tcPr>
            <w:tcW w:w="992" w:type="dxa"/>
            <w:vMerge w:val="continue"/>
            <w:vAlign w:val="center"/>
          </w:tcPr>
          <w:p w14:paraId="0820B5E9">
            <w:pPr>
              <w:overflowPunct w:val="0"/>
              <w:spacing w:line="360" w:lineRule="auto"/>
              <w:jc w:val="center"/>
              <w:rPr>
                <w:rFonts w:hint="eastAsia" w:ascii="宋体" w:hAnsi="宋体" w:eastAsia="宋体" w:cs="Times New Roman"/>
                <w:sz w:val="18"/>
                <w:szCs w:val="18"/>
              </w:rPr>
            </w:pPr>
          </w:p>
        </w:tc>
        <w:tc>
          <w:tcPr>
            <w:tcW w:w="4962" w:type="dxa"/>
            <w:vAlign w:val="center"/>
          </w:tcPr>
          <w:p w14:paraId="69EF6291">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·在采购合同中设置相关条款，明确供应商在碳减排方面的责任和义务。</w:t>
            </w:r>
          </w:p>
        </w:tc>
        <w:tc>
          <w:tcPr>
            <w:tcW w:w="1638" w:type="dxa"/>
            <w:vAlign w:val="center"/>
          </w:tcPr>
          <w:p w14:paraId="1FA533FD">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法务专员</w:t>
            </w:r>
          </w:p>
        </w:tc>
      </w:tr>
      <w:tr w14:paraId="3B0AB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5A9592E8">
            <w:pPr>
              <w:overflowPunct w:val="0"/>
              <w:spacing w:line="360" w:lineRule="auto"/>
              <w:jc w:val="center"/>
              <w:rPr>
                <w:rFonts w:hint="eastAsia" w:ascii="Times New Roman" w:hAnsi="Times New Roman" w:eastAsia="宋体" w:cs="Times New Roman"/>
                <w:sz w:val="18"/>
                <w:szCs w:val="18"/>
              </w:rPr>
            </w:pPr>
          </w:p>
        </w:tc>
        <w:tc>
          <w:tcPr>
            <w:tcW w:w="992" w:type="dxa"/>
            <w:vMerge w:val="continue"/>
            <w:vAlign w:val="center"/>
          </w:tcPr>
          <w:p w14:paraId="3731A81F">
            <w:pPr>
              <w:overflowPunct w:val="0"/>
              <w:spacing w:line="360" w:lineRule="auto"/>
              <w:jc w:val="center"/>
              <w:rPr>
                <w:rFonts w:hint="eastAsia" w:ascii="宋体" w:hAnsi="宋体" w:eastAsia="宋体" w:cs="Times New Roman"/>
                <w:sz w:val="18"/>
                <w:szCs w:val="18"/>
              </w:rPr>
            </w:pPr>
          </w:p>
        </w:tc>
        <w:tc>
          <w:tcPr>
            <w:tcW w:w="4962" w:type="dxa"/>
            <w:vAlign w:val="center"/>
          </w:tcPr>
          <w:p w14:paraId="070B7EF0">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·根据企业的碳管理目标和生产需求，优化采购策略，合理安排采购计划，避免过度采购和库存积压，降低采购过程中的能源消耗和碳排放。</w:t>
            </w:r>
          </w:p>
        </w:tc>
        <w:tc>
          <w:tcPr>
            <w:tcW w:w="1638" w:type="dxa"/>
            <w:vAlign w:val="center"/>
          </w:tcPr>
          <w:p w14:paraId="5F117036">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采购计划专员</w:t>
            </w:r>
          </w:p>
        </w:tc>
      </w:tr>
      <w:tr w14:paraId="6F00C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vAlign w:val="center"/>
          </w:tcPr>
          <w:p w14:paraId="2670DBFA">
            <w:pPr>
              <w:overflowPunct w:val="0"/>
              <w:spacing w:line="360" w:lineRule="auto"/>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8</w:t>
            </w:r>
          </w:p>
        </w:tc>
        <w:tc>
          <w:tcPr>
            <w:tcW w:w="992" w:type="dxa"/>
            <w:vMerge w:val="restart"/>
            <w:vAlign w:val="center"/>
          </w:tcPr>
          <w:p w14:paraId="52B3C98E">
            <w:pPr>
              <w:overflowPunct w:val="0"/>
              <w:spacing w:line="320" w:lineRule="exact"/>
              <w:jc w:val="center"/>
              <w:rPr>
                <w:rFonts w:hint="eastAsia" w:ascii="宋体" w:hAnsi="宋体" w:eastAsia="宋体" w:cs="Times New Roman"/>
                <w:sz w:val="18"/>
                <w:szCs w:val="18"/>
              </w:rPr>
            </w:pPr>
            <w:r>
              <w:rPr>
                <w:rFonts w:hint="eastAsia" w:ascii="宋体" w:hAnsi="宋体" w:eastAsia="宋体" w:cs="Times New Roman"/>
                <w:sz w:val="18"/>
                <w:szCs w:val="18"/>
              </w:rPr>
              <w:t>质量控制</w:t>
            </w:r>
          </w:p>
          <w:p w14:paraId="56482E37">
            <w:pPr>
              <w:overflowPunct w:val="0"/>
              <w:spacing w:line="320" w:lineRule="exact"/>
              <w:jc w:val="center"/>
              <w:rPr>
                <w:rFonts w:hint="eastAsia" w:ascii="宋体" w:hAnsi="宋体" w:eastAsia="宋体" w:cs="Times New Roman"/>
                <w:sz w:val="18"/>
                <w:szCs w:val="18"/>
              </w:rPr>
            </w:pPr>
            <w:r>
              <w:rPr>
                <w:rFonts w:hint="eastAsia" w:ascii="宋体" w:hAnsi="宋体" w:eastAsia="宋体" w:cs="Times New Roman"/>
                <w:sz w:val="18"/>
                <w:szCs w:val="18"/>
              </w:rPr>
              <w:t>部门</w:t>
            </w:r>
          </w:p>
        </w:tc>
        <w:tc>
          <w:tcPr>
            <w:tcW w:w="4962" w:type="dxa"/>
            <w:vAlign w:val="center"/>
          </w:tcPr>
          <w:p w14:paraId="06290711">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·参与制定与碳管理相关的企业质量标准和规范，确保产品和服务在碳排放方面符合相关要求和标准。</w:t>
            </w:r>
          </w:p>
        </w:tc>
        <w:tc>
          <w:tcPr>
            <w:tcW w:w="1638" w:type="dxa"/>
            <w:vAlign w:val="center"/>
          </w:tcPr>
          <w:p w14:paraId="755FA212">
            <w:pPr>
              <w:overflowPunct w:val="0"/>
              <w:spacing w:line="320" w:lineRule="exact"/>
              <w:rPr>
                <w:rFonts w:hint="eastAsia" w:ascii="宋体" w:hAnsi="宋体" w:eastAsia="宋体" w:cs="Times New Roman"/>
                <w:sz w:val="18"/>
                <w:szCs w:val="18"/>
              </w:rPr>
            </w:pPr>
            <w:r>
              <w:rPr>
                <w:rFonts w:ascii="宋体" w:hAnsi="宋体" w:eastAsia="宋体" w:cs="Times New Roman"/>
                <w:sz w:val="18"/>
                <w:szCs w:val="18"/>
              </w:rPr>
              <w:t>质量体系工程师</w:t>
            </w:r>
          </w:p>
        </w:tc>
      </w:tr>
      <w:tr w14:paraId="7449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19E0FD1A">
            <w:pPr>
              <w:overflowPunct w:val="0"/>
              <w:spacing w:line="360" w:lineRule="auto"/>
              <w:jc w:val="center"/>
              <w:rPr>
                <w:rFonts w:hint="eastAsia" w:ascii="Times New Roman" w:hAnsi="Times New Roman" w:eastAsia="宋体" w:cs="Times New Roman"/>
                <w:sz w:val="18"/>
                <w:szCs w:val="18"/>
              </w:rPr>
            </w:pPr>
          </w:p>
        </w:tc>
        <w:tc>
          <w:tcPr>
            <w:tcW w:w="992" w:type="dxa"/>
            <w:vMerge w:val="continue"/>
            <w:vAlign w:val="center"/>
          </w:tcPr>
          <w:p w14:paraId="675AA06A">
            <w:pPr>
              <w:overflowPunct w:val="0"/>
              <w:spacing w:line="320" w:lineRule="exact"/>
              <w:jc w:val="center"/>
              <w:rPr>
                <w:rFonts w:hint="eastAsia" w:ascii="宋体" w:hAnsi="宋体" w:eastAsia="宋体" w:cs="Times New Roman"/>
                <w:sz w:val="18"/>
                <w:szCs w:val="18"/>
              </w:rPr>
            </w:pPr>
          </w:p>
        </w:tc>
        <w:tc>
          <w:tcPr>
            <w:tcW w:w="4962" w:type="dxa"/>
            <w:vAlign w:val="center"/>
          </w:tcPr>
          <w:p w14:paraId="1AC8F7C6">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·在对原材料进行质量检验时，关注原材料的碳含量和低碳特性，确保所采购的原材料符合企业的碳管理要求。对不符合低碳标准的原材料，及时与采购部门沟通并采取相应措施。</w:t>
            </w:r>
          </w:p>
        </w:tc>
        <w:tc>
          <w:tcPr>
            <w:tcW w:w="1638" w:type="dxa"/>
            <w:vAlign w:val="center"/>
          </w:tcPr>
          <w:p w14:paraId="2AD624AC">
            <w:pPr>
              <w:overflowPunct w:val="0"/>
              <w:spacing w:line="320" w:lineRule="exact"/>
              <w:rPr>
                <w:rFonts w:hint="eastAsia" w:ascii="宋体" w:hAnsi="宋体" w:eastAsia="宋体" w:cs="Times New Roman"/>
                <w:sz w:val="18"/>
                <w:szCs w:val="18"/>
              </w:rPr>
            </w:pPr>
            <w:r>
              <w:rPr>
                <w:rFonts w:hint="eastAsia" w:ascii="宋体" w:hAnsi="宋体" w:eastAsia="宋体" w:cs="Times New Roman"/>
                <w:sz w:val="18"/>
                <w:szCs w:val="18"/>
              </w:rPr>
              <w:t>质检员</w:t>
            </w:r>
            <w:r>
              <w:rPr>
                <w:rFonts w:hint="default" w:ascii="Times New Roman" w:hAnsi="Times New Roman" w:eastAsia="宋体" w:cs="Times New Roman"/>
                <w:sz w:val="18"/>
                <w:szCs w:val="18"/>
              </w:rPr>
              <w:t>（IQC）</w:t>
            </w:r>
          </w:p>
        </w:tc>
      </w:tr>
      <w:tr w14:paraId="18E40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7DEE1FA5">
            <w:pPr>
              <w:overflowPunct w:val="0"/>
              <w:spacing w:line="360" w:lineRule="auto"/>
              <w:jc w:val="center"/>
              <w:rPr>
                <w:rFonts w:hint="eastAsia" w:ascii="Times New Roman" w:hAnsi="Times New Roman" w:eastAsia="宋体" w:cs="Times New Roman"/>
                <w:sz w:val="18"/>
                <w:szCs w:val="18"/>
              </w:rPr>
            </w:pPr>
          </w:p>
        </w:tc>
        <w:tc>
          <w:tcPr>
            <w:tcW w:w="992" w:type="dxa"/>
            <w:vMerge w:val="continue"/>
            <w:vAlign w:val="center"/>
          </w:tcPr>
          <w:p w14:paraId="3340F221">
            <w:pPr>
              <w:overflowPunct w:val="0"/>
              <w:spacing w:line="320" w:lineRule="exact"/>
              <w:jc w:val="center"/>
              <w:rPr>
                <w:rFonts w:hint="eastAsia" w:ascii="宋体" w:hAnsi="宋体" w:eastAsia="宋体" w:cs="Times New Roman"/>
                <w:sz w:val="18"/>
                <w:szCs w:val="18"/>
              </w:rPr>
            </w:pPr>
          </w:p>
        </w:tc>
        <w:tc>
          <w:tcPr>
            <w:tcW w:w="4962" w:type="dxa"/>
            <w:vAlign w:val="center"/>
          </w:tcPr>
          <w:p w14:paraId="5D95B91F">
            <w:pPr>
              <w:overflowPunct w:val="0"/>
              <w:spacing w:line="320" w:lineRule="exact"/>
              <w:rPr>
                <w:rFonts w:hint="eastAsia" w:ascii="宋体" w:hAnsi="宋体" w:eastAsia="宋体" w:cs="Times New Roman"/>
                <w:sz w:val="18"/>
                <w:szCs w:val="18"/>
              </w:rPr>
            </w:pPr>
            <w:bookmarkStart w:id="138" w:name="OLE_LINK40"/>
            <w:r>
              <w:rPr>
                <w:rFonts w:hint="eastAsia" w:ascii="宋体" w:hAnsi="宋体" w:eastAsia="宋体" w:cs="Times New Roman"/>
                <w:sz w:val="18"/>
                <w:szCs w:val="18"/>
              </w:rPr>
              <w:t>·在生产过程中，加强对产品质量和碳排放相关指标的监控，确保生产过程中的碳减排措施得到有效执行。</w:t>
            </w:r>
            <w:bookmarkEnd w:id="138"/>
          </w:p>
        </w:tc>
        <w:tc>
          <w:tcPr>
            <w:tcW w:w="1638" w:type="dxa"/>
            <w:vAlign w:val="center"/>
          </w:tcPr>
          <w:p w14:paraId="53EBD1FF">
            <w:pPr>
              <w:overflowPunct w:val="0"/>
              <w:spacing w:line="320" w:lineRule="exact"/>
              <w:rPr>
                <w:rFonts w:hint="eastAsia" w:ascii="宋体" w:hAnsi="宋体" w:eastAsia="宋体" w:cs="Times New Roman"/>
                <w:sz w:val="18"/>
                <w:szCs w:val="18"/>
              </w:rPr>
            </w:pPr>
            <w:r>
              <w:rPr>
                <w:rFonts w:ascii="宋体" w:hAnsi="宋体" w:eastAsia="宋体" w:cs="Times New Roman"/>
                <w:sz w:val="18"/>
                <w:szCs w:val="18"/>
              </w:rPr>
              <w:t>过程质量工程师</w:t>
            </w:r>
          </w:p>
        </w:tc>
      </w:tr>
    </w:tbl>
    <w:p w14:paraId="330CF075">
      <w:pPr>
        <w:overflowPunct w:val="0"/>
        <w:spacing w:after="286" w:afterLines="100"/>
        <w:jc w:val="center"/>
        <w:rPr>
          <w:rFonts w:ascii="Times New Roman" w:hAnsi="Times New Roman" w:eastAsia="黑体" w:cs="Times New Roman"/>
          <w:szCs w:val="21"/>
        </w:rPr>
      </w:pPr>
    </w:p>
    <w:p w14:paraId="3E8EAD67">
      <w:pPr>
        <w:overflowPunct w:val="0"/>
        <w:spacing w:after="286" w:afterLines="100"/>
        <w:jc w:val="center"/>
        <w:outlineLvl w:val="9"/>
        <w:rPr>
          <w:rFonts w:ascii="Times New Roman" w:hAnsi="Times New Roman" w:eastAsia="黑体" w:cs="Times New Roman"/>
          <w:szCs w:val="21"/>
        </w:rPr>
      </w:pPr>
    </w:p>
    <w:p w14:paraId="3AED7B5F">
      <w:pPr>
        <w:overflowPunct w:val="0"/>
        <w:spacing w:after="286" w:afterLines="100"/>
        <w:jc w:val="center"/>
        <w:outlineLvl w:val="9"/>
        <w:rPr>
          <w:rFonts w:ascii="Times New Roman" w:hAnsi="Times New Roman" w:eastAsia="黑体" w:cs="Times New Roman"/>
          <w:szCs w:val="21"/>
        </w:rPr>
      </w:pPr>
    </w:p>
    <w:p w14:paraId="49FE8764">
      <w:pPr>
        <w:overflowPunct w:val="0"/>
        <w:spacing w:after="286" w:afterLines="100"/>
        <w:jc w:val="center"/>
        <w:outlineLvl w:val="0"/>
        <w:rPr>
          <w:rFonts w:hint="eastAsia" w:ascii="Times New Roman" w:hAnsi="Times New Roman" w:eastAsia="黑体" w:cs="Times New Roman"/>
          <w:szCs w:val="21"/>
        </w:rPr>
        <w:sectPr>
          <w:pgSz w:w="11906" w:h="16838"/>
          <w:pgMar w:top="1440" w:right="1800" w:bottom="1440" w:left="1800" w:header="851" w:footer="992" w:gutter="0"/>
          <w:cols w:space="425" w:num="1"/>
          <w:docGrid w:type="lines" w:linePitch="286" w:charSpace="0"/>
        </w:sectPr>
      </w:pPr>
    </w:p>
    <w:p w14:paraId="50EAE281">
      <w:pPr>
        <w:overflowPunct w:val="0"/>
        <w:spacing w:after="286" w:afterLines="100"/>
        <w:jc w:val="center"/>
        <w:outlineLvl w:val="0"/>
        <w:rPr>
          <w:rFonts w:ascii="Times New Roman" w:hAnsi="Times New Roman" w:eastAsia="黑体" w:cs="Times New Roman"/>
          <w:szCs w:val="21"/>
        </w:rPr>
      </w:pPr>
      <w:bookmarkStart w:id="139" w:name="_Toc220422393"/>
      <w:r>
        <w:rPr>
          <w:rFonts w:ascii="Times New Roman" w:hAnsi="Times New Roman" w:eastAsia="黑体" w:cs="Times New Roman"/>
          <w:szCs w:val="21"/>
        </w:rPr>
        <w:t>附　录　</w:t>
      </w:r>
      <w:r>
        <w:rPr>
          <w:rFonts w:hint="eastAsia" w:ascii="Times New Roman" w:hAnsi="Times New Roman" w:eastAsia="黑体" w:cs="Times New Roman"/>
          <w:szCs w:val="21"/>
        </w:rPr>
        <w:t>B</w:t>
      </w:r>
      <w:r>
        <w:rPr>
          <w:rFonts w:ascii="Times New Roman" w:hAnsi="Times New Roman" w:eastAsia="黑体" w:cs="Times New Roman"/>
          <w:szCs w:val="21"/>
        </w:rPr>
        <w:t xml:space="preserve"> </w:t>
      </w:r>
      <w:r>
        <w:rPr>
          <w:rFonts w:ascii="Times New Roman" w:hAnsi="Times New Roman" w:eastAsia="黑体" w:cs="Times New Roman"/>
          <w:szCs w:val="21"/>
        </w:rPr>
        <w:br w:type="textWrapping"/>
      </w:r>
      <w:r>
        <w:rPr>
          <w:rFonts w:ascii="Times New Roman" w:hAnsi="Times New Roman" w:eastAsia="黑体" w:cs="Times New Roman"/>
          <w:szCs w:val="21"/>
        </w:rPr>
        <w:t>（资料性）</w:t>
      </w:r>
      <w:r>
        <w:rPr>
          <w:rFonts w:ascii="Times New Roman" w:hAnsi="Times New Roman" w:eastAsia="黑体" w:cs="Times New Roman"/>
          <w:szCs w:val="21"/>
        </w:rPr>
        <w:br w:type="textWrapping"/>
      </w:r>
      <w:r>
        <w:rPr>
          <w:rFonts w:ascii="Times New Roman" w:hAnsi="Times New Roman" w:eastAsia="黑体" w:cs="Times New Roman"/>
          <w:szCs w:val="21"/>
        </w:rPr>
        <w:t>工业企业碳风险和机遇识别表</w:t>
      </w:r>
      <w:bookmarkEnd w:id="134"/>
      <w:bookmarkEnd w:id="135"/>
      <w:bookmarkEnd w:id="139"/>
    </w:p>
    <w:p w14:paraId="5E0056CA">
      <w:pPr>
        <w:overflowPunct w:val="0"/>
        <w:rPr>
          <w:rFonts w:ascii="Times New Roman" w:hAnsi="Times New Roman" w:eastAsia="宋体" w:cs="Times New Roman"/>
          <w:szCs w:val="21"/>
        </w:rPr>
      </w:pPr>
      <w:bookmarkStart w:id="140" w:name="OLE_LINK28"/>
      <w:r>
        <w:rPr>
          <w:rFonts w:ascii="Times New Roman" w:hAnsi="Times New Roman" w:eastAsia="宋体" w:cs="Times New Roman"/>
          <w:szCs w:val="21"/>
        </w:rPr>
        <w:t>工业企业碳风险和机遇识别的示例表，如表</w:t>
      </w:r>
      <w:r>
        <w:rPr>
          <w:rFonts w:hint="eastAsia" w:ascii="Times New Roman" w:hAnsi="Times New Roman" w:eastAsia="宋体" w:cs="Times New Roman"/>
          <w:szCs w:val="21"/>
        </w:rPr>
        <w:t>B</w:t>
      </w:r>
      <w:r>
        <w:rPr>
          <w:rFonts w:ascii="Times New Roman" w:hAnsi="Times New Roman" w:eastAsia="宋体" w:cs="Times New Roman"/>
          <w:szCs w:val="21"/>
        </w:rPr>
        <w:t>.1所示。</w:t>
      </w:r>
    </w:p>
    <w:bookmarkEnd w:id="140"/>
    <w:p w14:paraId="4E0E5AC0">
      <w:pPr>
        <w:spacing w:before="286" w:beforeLines="100" w:after="286" w:afterLines="100"/>
        <w:jc w:val="center"/>
        <w:rPr>
          <w:rFonts w:ascii="Times New Roman" w:hAnsi="Times New Roman" w:eastAsia="黑体" w:cs="Times New Roman"/>
          <w:szCs w:val="21"/>
        </w:rPr>
      </w:pPr>
      <w:bookmarkStart w:id="141" w:name="OLE_LINK20"/>
      <w:r>
        <w:rPr>
          <w:rFonts w:ascii="Times New Roman" w:hAnsi="Times New Roman" w:eastAsia="黑体" w:cs="Times New Roman"/>
          <w:szCs w:val="21"/>
        </w:rPr>
        <w:t>表</w:t>
      </w:r>
      <w:r>
        <w:rPr>
          <w:rFonts w:hint="eastAsia" w:ascii="Times New Roman" w:hAnsi="Times New Roman" w:eastAsia="黑体" w:cs="Times New Roman"/>
          <w:szCs w:val="21"/>
        </w:rPr>
        <w:t>B</w:t>
      </w:r>
      <w:r>
        <w:rPr>
          <w:rFonts w:ascii="Times New Roman" w:hAnsi="Times New Roman" w:eastAsia="黑体" w:cs="Times New Roman"/>
          <w:szCs w:val="21"/>
        </w:rPr>
        <w:t>.1 工业企业碳风险和机遇识别表</w:t>
      </w:r>
      <w:bookmarkEnd w:id="141"/>
    </w:p>
    <w:tbl>
      <w:tblPr>
        <w:tblStyle w:val="25"/>
        <w:tblW w:w="5000" w:type="pct"/>
        <w:tblInd w:w="0" w:type="dxa"/>
        <w:tblLayout w:type="autofit"/>
        <w:tblCellMar>
          <w:top w:w="0" w:type="dxa"/>
          <w:left w:w="108" w:type="dxa"/>
          <w:bottom w:w="0" w:type="dxa"/>
          <w:right w:w="108" w:type="dxa"/>
        </w:tblCellMar>
      </w:tblPr>
      <w:tblGrid>
        <w:gridCol w:w="1094"/>
        <w:gridCol w:w="1655"/>
        <w:gridCol w:w="5773"/>
      </w:tblGrid>
      <w:tr w14:paraId="2A6E3F06">
        <w:trPr>
          <w:trHeight w:val="340" w:hRule="atLeast"/>
          <w:tblHeader/>
        </w:trPr>
        <w:tc>
          <w:tcPr>
            <w:tcW w:w="1613" w:type="pct"/>
            <w:gridSpan w:val="2"/>
            <w:tcBorders>
              <w:top w:val="single" w:color="auto" w:sz="4" w:space="0"/>
              <w:left w:val="single" w:color="auto" w:sz="4" w:space="0"/>
              <w:bottom w:val="single" w:color="auto" w:sz="4" w:space="0"/>
              <w:right w:val="single" w:color="000000" w:sz="4" w:space="0"/>
            </w:tcBorders>
            <w:noWrap/>
            <w:vAlign w:val="center"/>
          </w:tcPr>
          <w:p w14:paraId="17BC49A6">
            <w:pPr>
              <w:widowControl/>
              <w:jc w:val="center"/>
              <w:rPr>
                <w:rFonts w:ascii="Times New Roman" w:hAnsi="Times New Roman" w:eastAsia="宋体" w:cs="Times New Roman"/>
                <w:b/>
                <w:bCs/>
                <w:kern w:val="0"/>
                <w:sz w:val="18"/>
                <w:szCs w:val="18"/>
              </w:rPr>
            </w:pPr>
            <w:r>
              <w:rPr>
                <w:rFonts w:ascii="Times New Roman" w:hAnsi="Times New Roman" w:eastAsia="宋体" w:cs="Times New Roman"/>
                <w:b/>
                <w:bCs/>
                <w:kern w:val="0"/>
                <w:sz w:val="18"/>
                <w:szCs w:val="18"/>
              </w:rPr>
              <w:t>类 型</w:t>
            </w:r>
          </w:p>
        </w:tc>
        <w:tc>
          <w:tcPr>
            <w:tcW w:w="3387" w:type="pct"/>
            <w:tcBorders>
              <w:top w:val="single" w:color="auto" w:sz="4" w:space="0"/>
              <w:left w:val="nil"/>
              <w:bottom w:val="single" w:color="auto" w:sz="4" w:space="0"/>
              <w:right w:val="single" w:color="auto" w:sz="4" w:space="0"/>
            </w:tcBorders>
            <w:noWrap/>
            <w:vAlign w:val="center"/>
          </w:tcPr>
          <w:p w14:paraId="2D622D3D">
            <w:pPr>
              <w:widowControl/>
              <w:jc w:val="center"/>
              <w:rPr>
                <w:rFonts w:ascii="Times New Roman" w:hAnsi="Times New Roman" w:eastAsia="宋体" w:cs="Times New Roman"/>
                <w:b/>
                <w:bCs/>
                <w:kern w:val="0"/>
                <w:sz w:val="18"/>
                <w:szCs w:val="18"/>
              </w:rPr>
            </w:pPr>
            <w:r>
              <w:rPr>
                <w:rFonts w:ascii="Times New Roman" w:hAnsi="Times New Roman" w:eastAsia="宋体" w:cs="Times New Roman"/>
                <w:b/>
                <w:bCs/>
                <w:kern w:val="0"/>
                <w:sz w:val="18"/>
                <w:szCs w:val="18"/>
              </w:rPr>
              <w:t>示 例</w:t>
            </w:r>
          </w:p>
        </w:tc>
      </w:tr>
      <w:tr w14:paraId="405D1F9F">
        <w:tblPrEx>
          <w:tblCellMar>
            <w:top w:w="0" w:type="dxa"/>
            <w:left w:w="108" w:type="dxa"/>
            <w:bottom w:w="0" w:type="dxa"/>
            <w:right w:w="108" w:type="dxa"/>
          </w:tblCellMar>
        </w:tblPrEx>
        <w:trPr>
          <w:trHeight w:val="340" w:hRule="atLeast"/>
        </w:trPr>
        <w:tc>
          <w:tcPr>
            <w:tcW w:w="642" w:type="pct"/>
            <w:vMerge w:val="restart"/>
            <w:tcBorders>
              <w:top w:val="nil"/>
              <w:left w:val="single" w:color="auto" w:sz="4" w:space="0"/>
              <w:bottom w:val="single" w:color="auto" w:sz="4" w:space="0"/>
              <w:right w:val="single" w:color="auto" w:sz="4" w:space="0"/>
            </w:tcBorders>
            <w:vAlign w:val="center"/>
          </w:tcPr>
          <w:p w14:paraId="6274960E">
            <w:pPr>
              <w:widowControl/>
              <w:jc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18"/>
                <w:szCs w:val="18"/>
              </w:rPr>
              <w:t>风险</w:t>
            </w:r>
          </w:p>
        </w:tc>
        <w:tc>
          <w:tcPr>
            <w:tcW w:w="971" w:type="pct"/>
            <w:vMerge w:val="restart"/>
            <w:tcBorders>
              <w:top w:val="nil"/>
              <w:left w:val="single" w:color="auto" w:sz="4" w:space="0"/>
              <w:right w:val="single" w:color="auto" w:sz="4" w:space="0"/>
            </w:tcBorders>
            <w:noWrap/>
            <w:vAlign w:val="center"/>
          </w:tcPr>
          <w:p w14:paraId="2DAD7EDD">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政策</w:t>
            </w:r>
          </w:p>
        </w:tc>
        <w:tc>
          <w:tcPr>
            <w:tcW w:w="3387" w:type="pct"/>
            <w:tcBorders>
              <w:top w:val="nil"/>
              <w:left w:val="nil"/>
              <w:bottom w:val="single" w:color="auto" w:sz="4" w:space="0"/>
              <w:right w:val="single" w:color="auto" w:sz="4" w:space="0"/>
            </w:tcBorders>
            <w:noWrap/>
            <w:vAlign w:val="center"/>
          </w:tcPr>
          <w:p w14:paraId="73E8ADB6">
            <w:pPr>
              <w:widowControl/>
              <w:jc w:val="left"/>
              <w:rPr>
                <w:rFonts w:ascii="Times New Roman" w:hAnsi="Times New Roman" w:eastAsia="宋体" w:cs="Times New Roman"/>
                <w:color w:val="0000FF"/>
                <w:kern w:val="0"/>
                <w:sz w:val="18"/>
                <w:szCs w:val="18"/>
              </w:rPr>
            </w:pPr>
            <w:r>
              <w:rPr>
                <w:rFonts w:ascii="Times New Roman" w:hAnsi="Times New Roman" w:eastAsia="宋体" w:cs="Times New Roman"/>
                <w:kern w:val="0"/>
                <w:sz w:val="18"/>
                <w:szCs w:val="18"/>
              </w:rPr>
              <w:t>国际绿色贸易规则对出口工业产品碳足迹的要求</w:t>
            </w:r>
          </w:p>
        </w:tc>
      </w:tr>
      <w:tr w14:paraId="05048C53">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4F92DE05">
            <w:pPr>
              <w:widowControl/>
              <w:jc w:val="center"/>
              <w:rPr>
                <w:rFonts w:ascii="Times New Roman" w:hAnsi="Times New Roman" w:eastAsia="宋体" w:cs="Times New Roman"/>
                <w:b/>
                <w:bCs/>
                <w:color w:val="000000"/>
                <w:kern w:val="0"/>
                <w:sz w:val="18"/>
                <w:szCs w:val="18"/>
              </w:rPr>
            </w:pPr>
          </w:p>
        </w:tc>
        <w:tc>
          <w:tcPr>
            <w:tcW w:w="971" w:type="pct"/>
            <w:vMerge w:val="continue"/>
            <w:tcBorders>
              <w:top w:val="nil"/>
              <w:left w:val="single" w:color="auto" w:sz="4" w:space="0"/>
              <w:right w:val="single" w:color="auto" w:sz="4" w:space="0"/>
            </w:tcBorders>
            <w:noWrap/>
            <w:vAlign w:val="center"/>
          </w:tcPr>
          <w:p w14:paraId="505C35B0">
            <w:pPr>
              <w:widowControl/>
              <w:jc w:val="center"/>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7C8492E6">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国际工业产品生态设计和可持续采购的要求</w:t>
            </w:r>
          </w:p>
        </w:tc>
      </w:tr>
      <w:tr w14:paraId="790DEB2E">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1A880EEB">
            <w:pPr>
              <w:widowControl/>
              <w:jc w:val="center"/>
              <w:rPr>
                <w:rFonts w:ascii="Times New Roman" w:hAnsi="Times New Roman" w:eastAsia="宋体" w:cs="Times New Roman"/>
                <w:b/>
                <w:bCs/>
                <w:color w:val="000000"/>
                <w:kern w:val="0"/>
                <w:sz w:val="18"/>
                <w:szCs w:val="18"/>
              </w:rPr>
            </w:pPr>
          </w:p>
        </w:tc>
        <w:tc>
          <w:tcPr>
            <w:tcW w:w="971" w:type="pct"/>
            <w:vMerge w:val="continue"/>
            <w:tcBorders>
              <w:top w:val="nil"/>
              <w:left w:val="single" w:color="auto" w:sz="4" w:space="0"/>
              <w:right w:val="single" w:color="auto" w:sz="4" w:space="0"/>
            </w:tcBorders>
            <w:noWrap/>
            <w:vAlign w:val="center"/>
          </w:tcPr>
          <w:p w14:paraId="70B0FAC6">
            <w:pPr>
              <w:widowControl/>
              <w:jc w:val="center"/>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509180FB">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 xml:space="preserve">国际碳信息披露机制 </w:t>
            </w:r>
          </w:p>
        </w:tc>
      </w:tr>
      <w:tr w14:paraId="6F99784B">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26044749">
            <w:pPr>
              <w:widowControl/>
              <w:jc w:val="left"/>
              <w:rPr>
                <w:rFonts w:ascii="Times New Roman" w:hAnsi="Times New Roman" w:eastAsia="宋体" w:cs="Times New Roman"/>
                <w:b/>
                <w:bCs/>
                <w:color w:val="000000"/>
                <w:kern w:val="0"/>
                <w:sz w:val="18"/>
                <w:szCs w:val="18"/>
              </w:rPr>
            </w:pPr>
          </w:p>
        </w:tc>
        <w:tc>
          <w:tcPr>
            <w:tcW w:w="971" w:type="pct"/>
            <w:vMerge w:val="continue"/>
            <w:tcBorders>
              <w:left w:val="single" w:color="auto" w:sz="4" w:space="0"/>
              <w:right w:val="single" w:color="auto" w:sz="4" w:space="0"/>
            </w:tcBorders>
            <w:vAlign w:val="center"/>
          </w:tcPr>
          <w:p w14:paraId="0D2F93DD">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75483EAD">
            <w:pPr>
              <w:widowControl/>
              <w:jc w:val="left"/>
              <w:rPr>
                <w:rFonts w:ascii="Times New Roman" w:hAnsi="Times New Roman" w:eastAsia="宋体" w:cs="Times New Roman"/>
                <w:color w:val="0000FF"/>
                <w:kern w:val="0"/>
                <w:sz w:val="18"/>
                <w:szCs w:val="18"/>
              </w:rPr>
            </w:pPr>
            <w:r>
              <w:rPr>
                <w:rFonts w:ascii="Times New Roman" w:hAnsi="Times New Roman" w:eastAsia="宋体" w:cs="Times New Roman"/>
                <w:kern w:val="0"/>
                <w:sz w:val="18"/>
                <w:szCs w:val="18"/>
              </w:rPr>
              <w:t xml:space="preserve">国内双碳政策体系 </w:t>
            </w:r>
          </w:p>
        </w:tc>
      </w:tr>
      <w:tr w14:paraId="5B95F52E">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6DA8C26A">
            <w:pPr>
              <w:widowControl/>
              <w:jc w:val="left"/>
              <w:rPr>
                <w:rFonts w:ascii="Times New Roman" w:hAnsi="Times New Roman" w:eastAsia="宋体" w:cs="Times New Roman"/>
                <w:b/>
                <w:bCs/>
                <w:color w:val="000000"/>
                <w:kern w:val="0"/>
                <w:sz w:val="18"/>
                <w:szCs w:val="18"/>
              </w:rPr>
            </w:pPr>
          </w:p>
        </w:tc>
        <w:tc>
          <w:tcPr>
            <w:tcW w:w="971" w:type="pct"/>
            <w:vMerge w:val="continue"/>
            <w:tcBorders>
              <w:left w:val="single" w:color="auto" w:sz="4" w:space="0"/>
              <w:right w:val="single" w:color="auto" w:sz="4" w:space="0"/>
            </w:tcBorders>
            <w:vAlign w:val="center"/>
          </w:tcPr>
          <w:p w14:paraId="7E374F5F">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2AECDAE3">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 xml:space="preserve">国内碳交易和自愿减排交易相关政策 </w:t>
            </w:r>
          </w:p>
        </w:tc>
      </w:tr>
      <w:tr w14:paraId="67B674CD">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22EBC0D3">
            <w:pPr>
              <w:widowControl/>
              <w:jc w:val="left"/>
              <w:rPr>
                <w:rFonts w:ascii="Times New Roman" w:hAnsi="Times New Roman" w:eastAsia="宋体" w:cs="Times New Roman"/>
                <w:b/>
                <w:bCs/>
                <w:color w:val="000000"/>
                <w:kern w:val="0"/>
                <w:sz w:val="18"/>
                <w:szCs w:val="18"/>
              </w:rPr>
            </w:pPr>
          </w:p>
        </w:tc>
        <w:tc>
          <w:tcPr>
            <w:tcW w:w="971" w:type="pct"/>
            <w:vMerge w:val="continue"/>
            <w:tcBorders>
              <w:left w:val="single" w:color="auto" w:sz="4" w:space="0"/>
              <w:right w:val="single" w:color="auto" w:sz="4" w:space="0"/>
            </w:tcBorders>
            <w:vAlign w:val="center"/>
          </w:tcPr>
          <w:p w14:paraId="495133B2">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4B3913B9">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 xml:space="preserve">国内工业产品碳足迹相关政策 </w:t>
            </w:r>
          </w:p>
        </w:tc>
      </w:tr>
      <w:tr w14:paraId="4EEDE2AA">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5DABB915">
            <w:pPr>
              <w:widowControl/>
              <w:jc w:val="left"/>
              <w:rPr>
                <w:rFonts w:ascii="Times New Roman" w:hAnsi="Times New Roman" w:eastAsia="宋体" w:cs="Times New Roman"/>
                <w:b/>
                <w:bCs/>
                <w:color w:val="000000"/>
                <w:kern w:val="0"/>
                <w:sz w:val="18"/>
                <w:szCs w:val="18"/>
              </w:rPr>
            </w:pPr>
          </w:p>
        </w:tc>
        <w:tc>
          <w:tcPr>
            <w:tcW w:w="971" w:type="pct"/>
            <w:vMerge w:val="continue"/>
            <w:tcBorders>
              <w:left w:val="single" w:color="auto" w:sz="4" w:space="0"/>
              <w:right w:val="single" w:color="auto" w:sz="4" w:space="0"/>
            </w:tcBorders>
            <w:vAlign w:val="center"/>
          </w:tcPr>
          <w:p w14:paraId="1FE847F4">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2D1D0FA4">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国内政府绿色低碳采购政策</w:t>
            </w:r>
          </w:p>
        </w:tc>
      </w:tr>
      <w:tr w14:paraId="578CD01F">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171D76AA">
            <w:pPr>
              <w:widowControl/>
              <w:jc w:val="left"/>
              <w:rPr>
                <w:rFonts w:ascii="Times New Roman" w:hAnsi="Times New Roman" w:eastAsia="宋体" w:cs="Times New Roman"/>
                <w:b/>
                <w:bCs/>
                <w:color w:val="000000"/>
                <w:kern w:val="0"/>
                <w:sz w:val="18"/>
                <w:szCs w:val="18"/>
              </w:rPr>
            </w:pPr>
          </w:p>
        </w:tc>
        <w:tc>
          <w:tcPr>
            <w:tcW w:w="971" w:type="pct"/>
            <w:vMerge w:val="continue"/>
            <w:tcBorders>
              <w:left w:val="single" w:color="auto" w:sz="4" w:space="0"/>
              <w:right w:val="single" w:color="auto" w:sz="4" w:space="0"/>
            </w:tcBorders>
            <w:vAlign w:val="center"/>
          </w:tcPr>
          <w:p w14:paraId="605E289B">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17489BC7">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 xml:space="preserve">国内外对工业产品废弃物循环再利用政策 </w:t>
            </w:r>
          </w:p>
        </w:tc>
      </w:tr>
      <w:tr w14:paraId="1C151DCE">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50192341">
            <w:pPr>
              <w:widowControl/>
              <w:jc w:val="left"/>
              <w:rPr>
                <w:rFonts w:ascii="Times New Roman" w:hAnsi="Times New Roman" w:eastAsia="宋体" w:cs="Times New Roman"/>
                <w:b/>
                <w:bCs/>
                <w:color w:val="000000"/>
                <w:kern w:val="0"/>
                <w:sz w:val="18"/>
                <w:szCs w:val="18"/>
              </w:rPr>
            </w:pPr>
          </w:p>
        </w:tc>
        <w:tc>
          <w:tcPr>
            <w:tcW w:w="971" w:type="pct"/>
            <w:vMerge w:val="continue"/>
            <w:tcBorders>
              <w:left w:val="single" w:color="auto" w:sz="4" w:space="0"/>
              <w:bottom w:val="single" w:color="auto" w:sz="4" w:space="0"/>
              <w:right w:val="single" w:color="auto" w:sz="4" w:space="0"/>
            </w:tcBorders>
            <w:vAlign w:val="center"/>
          </w:tcPr>
          <w:p w14:paraId="6F6A6753">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600ADEE0">
            <w:pPr>
              <w:widowControl/>
              <w:jc w:val="left"/>
              <w:rPr>
                <w:rFonts w:ascii="Times New Roman" w:hAnsi="Times New Roman" w:eastAsia="宋体" w:cs="Times New Roman"/>
                <w:color w:val="0000FF"/>
                <w:kern w:val="0"/>
                <w:sz w:val="18"/>
                <w:szCs w:val="18"/>
              </w:rPr>
            </w:pPr>
            <w:r>
              <w:rPr>
                <w:rFonts w:ascii="Times New Roman" w:hAnsi="Times New Roman" w:eastAsia="宋体" w:cs="Times New Roman"/>
                <w:kern w:val="0"/>
                <w:sz w:val="18"/>
                <w:szCs w:val="18"/>
              </w:rPr>
              <w:t>国内外碳排放核算方法和要求的更新</w:t>
            </w:r>
          </w:p>
        </w:tc>
      </w:tr>
      <w:tr w14:paraId="4B64B376">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712526EC">
            <w:pPr>
              <w:widowControl/>
              <w:jc w:val="left"/>
              <w:rPr>
                <w:rFonts w:ascii="Times New Roman" w:hAnsi="Times New Roman" w:eastAsia="宋体" w:cs="Times New Roman"/>
                <w:b/>
                <w:bCs/>
                <w:color w:val="000000"/>
                <w:kern w:val="0"/>
                <w:sz w:val="18"/>
                <w:szCs w:val="18"/>
              </w:rPr>
            </w:pPr>
          </w:p>
        </w:tc>
        <w:tc>
          <w:tcPr>
            <w:tcW w:w="971" w:type="pct"/>
            <w:vMerge w:val="restart"/>
            <w:tcBorders>
              <w:top w:val="nil"/>
              <w:left w:val="single" w:color="auto" w:sz="4" w:space="0"/>
              <w:right w:val="single" w:color="auto" w:sz="4" w:space="0"/>
            </w:tcBorders>
            <w:vAlign w:val="center"/>
          </w:tcPr>
          <w:p w14:paraId="395329B1">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技术</w:t>
            </w:r>
          </w:p>
        </w:tc>
        <w:tc>
          <w:tcPr>
            <w:tcW w:w="3387" w:type="pct"/>
            <w:tcBorders>
              <w:top w:val="nil"/>
              <w:left w:val="nil"/>
              <w:bottom w:val="single" w:color="auto" w:sz="4" w:space="0"/>
              <w:right w:val="single" w:color="auto" w:sz="4" w:space="0"/>
            </w:tcBorders>
            <w:noWrap/>
            <w:vAlign w:val="center"/>
          </w:tcPr>
          <w:p w14:paraId="46732BD0">
            <w:pPr>
              <w:widowControl/>
              <w:jc w:val="left"/>
              <w:rPr>
                <w:rFonts w:ascii="Times New Roman" w:hAnsi="Times New Roman" w:eastAsia="宋体" w:cs="Times New Roman"/>
                <w:color w:val="0000FF"/>
                <w:kern w:val="0"/>
                <w:sz w:val="18"/>
                <w:szCs w:val="18"/>
              </w:rPr>
            </w:pPr>
            <w:r>
              <w:rPr>
                <w:rFonts w:ascii="Times New Roman" w:hAnsi="Times New Roman" w:eastAsia="宋体" w:cs="Times New Roman"/>
                <w:kern w:val="0"/>
                <w:sz w:val="18"/>
                <w:szCs w:val="18"/>
              </w:rPr>
              <w:t>生产设备老化</w:t>
            </w:r>
          </w:p>
        </w:tc>
      </w:tr>
      <w:tr w14:paraId="4852D0B2">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71459B18">
            <w:pPr>
              <w:widowControl/>
              <w:jc w:val="left"/>
              <w:rPr>
                <w:rFonts w:ascii="Times New Roman" w:hAnsi="Times New Roman" w:eastAsia="宋体" w:cs="Times New Roman"/>
                <w:b/>
                <w:bCs/>
                <w:color w:val="000000"/>
                <w:kern w:val="0"/>
                <w:sz w:val="18"/>
                <w:szCs w:val="18"/>
              </w:rPr>
            </w:pPr>
          </w:p>
        </w:tc>
        <w:tc>
          <w:tcPr>
            <w:tcW w:w="971" w:type="pct"/>
            <w:vMerge w:val="continue"/>
            <w:tcBorders>
              <w:left w:val="single" w:color="auto" w:sz="4" w:space="0"/>
              <w:right w:val="single" w:color="auto" w:sz="4" w:space="0"/>
            </w:tcBorders>
            <w:vAlign w:val="center"/>
          </w:tcPr>
          <w:p w14:paraId="165BD0C5">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5B64E284">
            <w:pPr>
              <w:widowControl/>
              <w:jc w:val="left"/>
              <w:rPr>
                <w:rFonts w:ascii="Times New Roman" w:hAnsi="Times New Roman" w:eastAsia="宋体" w:cs="Times New Roman"/>
                <w:color w:val="0000FF"/>
                <w:kern w:val="0"/>
                <w:sz w:val="18"/>
                <w:szCs w:val="18"/>
              </w:rPr>
            </w:pPr>
            <w:r>
              <w:rPr>
                <w:rFonts w:ascii="Times New Roman" w:hAnsi="Times New Roman" w:eastAsia="宋体" w:cs="Times New Roman"/>
                <w:kern w:val="0"/>
                <w:sz w:val="18"/>
                <w:szCs w:val="18"/>
              </w:rPr>
              <w:t>生产工艺落后</w:t>
            </w:r>
          </w:p>
        </w:tc>
      </w:tr>
      <w:tr w14:paraId="15990475">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2C1D2856">
            <w:pPr>
              <w:widowControl/>
              <w:jc w:val="left"/>
              <w:rPr>
                <w:rFonts w:ascii="Times New Roman" w:hAnsi="Times New Roman" w:eastAsia="宋体" w:cs="Times New Roman"/>
                <w:b/>
                <w:bCs/>
                <w:color w:val="000000"/>
                <w:kern w:val="0"/>
                <w:sz w:val="18"/>
                <w:szCs w:val="18"/>
              </w:rPr>
            </w:pPr>
          </w:p>
        </w:tc>
        <w:tc>
          <w:tcPr>
            <w:tcW w:w="971" w:type="pct"/>
            <w:vMerge w:val="continue"/>
            <w:tcBorders>
              <w:left w:val="single" w:color="auto" w:sz="4" w:space="0"/>
              <w:right w:val="single" w:color="auto" w:sz="4" w:space="0"/>
            </w:tcBorders>
            <w:vAlign w:val="center"/>
          </w:tcPr>
          <w:p w14:paraId="75A145C1">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46FDE723">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碳计量设备设施不完善</w:t>
            </w:r>
          </w:p>
        </w:tc>
      </w:tr>
      <w:tr w14:paraId="2AF8700F">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2A4CAEB5">
            <w:pPr>
              <w:widowControl/>
              <w:jc w:val="left"/>
              <w:rPr>
                <w:rFonts w:ascii="Times New Roman" w:hAnsi="Times New Roman" w:eastAsia="宋体" w:cs="Times New Roman"/>
                <w:b/>
                <w:bCs/>
                <w:color w:val="000000"/>
                <w:kern w:val="0"/>
                <w:sz w:val="18"/>
                <w:szCs w:val="18"/>
              </w:rPr>
            </w:pPr>
          </w:p>
        </w:tc>
        <w:tc>
          <w:tcPr>
            <w:tcW w:w="971" w:type="pct"/>
            <w:vMerge w:val="continue"/>
            <w:tcBorders>
              <w:left w:val="single" w:color="auto" w:sz="4" w:space="0"/>
              <w:bottom w:val="single" w:color="auto" w:sz="4" w:space="0"/>
              <w:right w:val="single" w:color="auto" w:sz="4" w:space="0"/>
            </w:tcBorders>
            <w:vAlign w:val="center"/>
          </w:tcPr>
          <w:p w14:paraId="5AD7240D">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0A8EFFCF">
            <w:pPr>
              <w:widowControl/>
              <w:jc w:val="left"/>
              <w:rPr>
                <w:rFonts w:ascii="Times New Roman" w:hAnsi="Times New Roman" w:eastAsia="宋体" w:cs="Times New Roman"/>
                <w:color w:val="0000FF"/>
                <w:kern w:val="0"/>
                <w:sz w:val="18"/>
                <w:szCs w:val="18"/>
              </w:rPr>
            </w:pPr>
            <w:r>
              <w:rPr>
                <w:rFonts w:ascii="Times New Roman" w:hAnsi="Times New Roman" w:eastAsia="宋体" w:cs="Times New Roman"/>
                <w:kern w:val="0"/>
                <w:sz w:val="18"/>
                <w:szCs w:val="18"/>
              </w:rPr>
              <w:t>碳管理技术能力不足</w:t>
            </w:r>
          </w:p>
        </w:tc>
      </w:tr>
      <w:tr w14:paraId="30FE964E">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17EFAA58">
            <w:pPr>
              <w:widowControl/>
              <w:jc w:val="left"/>
              <w:rPr>
                <w:rFonts w:ascii="Times New Roman" w:hAnsi="Times New Roman" w:eastAsia="宋体" w:cs="Times New Roman"/>
                <w:b/>
                <w:bCs/>
                <w:color w:val="000000"/>
                <w:kern w:val="0"/>
                <w:sz w:val="18"/>
                <w:szCs w:val="18"/>
              </w:rPr>
            </w:pPr>
          </w:p>
        </w:tc>
        <w:tc>
          <w:tcPr>
            <w:tcW w:w="971" w:type="pct"/>
            <w:vMerge w:val="restart"/>
            <w:tcBorders>
              <w:top w:val="nil"/>
              <w:left w:val="single" w:color="auto" w:sz="4" w:space="0"/>
              <w:right w:val="single" w:color="auto" w:sz="4" w:space="0"/>
            </w:tcBorders>
            <w:vAlign w:val="center"/>
          </w:tcPr>
          <w:p w14:paraId="6066C2F7">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市场</w:t>
            </w:r>
          </w:p>
        </w:tc>
        <w:tc>
          <w:tcPr>
            <w:tcW w:w="3387" w:type="pct"/>
            <w:tcBorders>
              <w:top w:val="nil"/>
              <w:left w:val="nil"/>
              <w:bottom w:val="single" w:color="auto" w:sz="4" w:space="0"/>
              <w:right w:val="single" w:color="auto" w:sz="4" w:space="0"/>
            </w:tcBorders>
            <w:noWrap/>
            <w:vAlign w:val="center"/>
          </w:tcPr>
          <w:p w14:paraId="61526521">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碳排放不能满足投资方相关要求</w:t>
            </w:r>
          </w:p>
        </w:tc>
      </w:tr>
      <w:tr w14:paraId="366F8D3C">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31D8F6B8">
            <w:pPr>
              <w:widowControl/>
              <w:jc w:val="left"/>
              <w:rPr>
                <w:rFonts w:ascii="Times New Roman" w:hAnsi="Times New Roman" w:eastAsia="宋体" w:cs="Times New Roman"/>
                <w:b/>
                <w:bCs/>
                <w:color w:val="000000"/>
                <w:kern w:val="0"/>
                <w:sz w:val="18"/>
                <w:szCs w:val="18"/>
              </w:rPr>
            </w:pPr>
          </w:p>
        </w:tc>
        <w:tc>
          <w:tcPr>
            <w:tcW w:w="971" w:type="pct"/>
            <w:vMerge w:val="continue"/>
            <w:tcBorders>
              <w:left w:val="single" w:color="auto" w:sz="4" w:space="0"/>
              <w:right w:val="single" w:color="auto" w:sz="4" w:space="0"/>
            </w:tcBorders>
            <w:vAlign w:val="center"/>
          </w:tcPr>
          <w:p w14:paraId="6B7DB626">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50C1D0AE">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产品碳足迹无法满足采购方相关要求</w:t>
            </w:r>
          </w:p>
        </w:tc>
      </w:tr>
      <w:tr w14:paraId="648238F5">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708A1175">
            <w:pPr>
              <w:widowControl/>
              <w:jc w:val="left"/>
              <w:rPr>
                <w:rFonts w:ascii="Times New Roman" w:hAnsi="Times New Roman" w:eastAsia="宋体" w:cs="Times New Roman"/>
                <w:b/>
                <w:bCs/>
                <w:color w:val="000000"/>
                <w:kern w:val="0"/>
                <w:sz w:val="18"/>
                <w:szCs w:val="18"/>
              </w:rPr>
            </w:pPr>
          </w:p>
        </w:tc>
        <w:tc>
          <w:tcPr>
            <w:tcW w:w="971" w:type="pct"/>
            <w:vMerge w:val="continue"/>
            <w:tcBorders>
              <w:left w:val="single" w:color="auto" w:sz="4" w:space="0"/>
              <w:right w:val="single" w:color="auto" w:sz="4" w:space="0"/>
            </w:tcBorders>
            <w:vAlign w:val="center"/>
          </w:tcPr>
          <w:p w14:paraId="7BCCAD76">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762780B9">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对供应链低碳管理的欠缺</w:t>
            </w:r>
          </w:p>
        </w:tc>
      </w:tr>
      <w:tr w14:paraId="28E5B069">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72D003AA">
            <w:pPr>
              <w:widowControl/>
              <w:jc w:val="left"/>
              <w:rPr>
                <w:rFonts w:ascii="Times New Roman" w:hAnsi="Times New Roman" w:eastAsia="宋体" w:cs="Times New Roman"/>
                <w:b/>
                <w:bCs/>
                <w:color w:val="000000"/>
                <w:kern w:val="0"/>
                <w:sz w:val="18"/>
                <w:szCs w:val="18"/>
              </w:rPr>
            </w:pPr>
          </w:p>
        </w:tc>
        <w:tc>
          <w:tcPr>
            <w:tcW w:w="971" w:type="pct"/>
            <w:vMerge w:val="continue"/>
            <w:tcBorders>
              <w:left w:val="single" w:color="auto" w:sz="4" w:space="0"/>
              <w:right w:val="single" w:color="auto" w:sz="4" w:space="0"/>
            </w:tcBorders>
            <w:vAlign w:val="center"/>
          </w:tcPr>
          <w:p w14:paraId="312989D8">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2199EB54">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原辅材料成本的增加</w:t>
            </w:r>
          </w:p>
        </w:tc>
      </w:tr>
      <w:tr w14:paraId="69C4C198">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0EAD7D25">
            <w:pPr>
              <w:widowControl/>
              <w:jc w:val="left"/>
              <w:rPr>
                <w:rFonts w:ascii="Times New Roman" w:hAnsi="Times New Roman" w:eastAsia="宋体" w:cs="Times New Roman"/>
                <w:b/>
                <w:bCs/>
                <w:color w:val="000000"/>
                <w:kern w:val="0"/>
                <w:sz w:val="18"/>
                <w:szCs w:val="18"/>
              </w:rPr>
            </w:pPr>
          </w:p>
        </w:tc>
        <w:tc>
          <w:tcPr>
            <w:tcW w:w="971" w:type="pct"/>
            <w:vMerge w:val="continue"/>
            <w:tcBorders>
              <w:left w:val="single" w:color="auto" w:sz="4" w:space="0"/>
              <w:right w:val="single" w:color="auto" w:sz="4" w:space="0"/>
            </w:tcBorders>
            <w:vAlign w:val="center"/>
          </w:tcPr>
          <w:p w14:paraId="30A6B57B">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068CFCA4">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消费需求的不断变化</w:t>
            </w:r>
          </w:p>
        </w:tc>
      </w:tr>
      <w:tr w14:paraId="5B4B3A26">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auto" w:sz="4" w:space="0"/>
              <w:right w:val="single" w:color="auto" w:sz="4" w:space="0"/>
            </w:tcBorders>
            <w:vAlign w:val="center"/>
          </w:tcPr>
          <w:p w14:paraId="3C43CFE4">
            <w:pPr>
              <w:widowControl/>
              <w:jc w:val="left"/>
              <w:rPr>
                <w:rFonts w:ascii="Times New Roman" w:hAnsi="Times New Roman" w:eastAsia="宋体" w:cs="Times New Roman"/>
                <w:b/>
                <w:bCs/>
                <w:color w:val="000000"/>
                <w:kern w:val="0"/>
                <w:sz w:val="18"/>
                <w:szCs w:val="18"/>
              </w:rPr>
            </w:pPr>
          </w:p>
        </w:tc>
        <w:tc>
          <w:tcPr>
            <w:tcW w:w="971" w:type="pct"/>
            <w:vMerge w:val="continue"/>
            <w:tcBorders>
              <w:left w:val="single" w:color="auto" w:sz="4" w:space="0"/>
              <w:right w:val="single" w:color="auto" w:sz="4" w:space="0"/>
            </w:tcBorders>
            <w:vAlign w:val="center"/>
          </w:tcPr>
          <w:p w14:paraId="108B3858">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47FD4BA1">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产品的更新换代</w:t>
            </w:r>
          </w:p>
        </w:tc>
      </w:tr>
      <w:tr w14:paraId="6A382955">
        <w:tblPrEx>
          <w:tblCellMar>
            <w:top w:w="0" w:type="dxa"/>
            <w:left w:w="108" w:type="dxa"/>
            <w:bottom w:w="0" w:type="dxa"/>
            <w:right w:w="108" w:type="dxa"/>
          </w:tblCellMar>
        </w:tblPrEx>
        <w:trPr>
          <w:trHeight w:val="340" w:hRule="atLeast"/>
        </w:trPr>
        <w:tc>
          <w:tcPr>
            <w:tcW w:w="642" w:type="pct"/>
            <w:vMerge w:val="restart"/>
            <w:tcBorders>
              <w:top w:val="nil"/>
              <w:left w:val="single" w:color="auto" w:sz="4" w:space="0"/>
              <w:bottom w:val="single" w:color="000000" w:sz="4" w:space="0"/>
              <w:right w:val="single" w:color="auto" w:sz="4" w:space="0"/>
            </w:tcBorders>
            <w:noWrap/>
            <w:vAlign w:val="center"/>
          </w:tcPr>
          <w:p w14:paraId="7002BBC3">
            <w:pPr>
              <w:widowControl/>
              <w:jc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18"/>
                <w:szCs w:val="18"/>
              </w:rPr>
              <w:t>机遇</w:t>
            </w:r>
          </w:p>
        </w:tc>
        <w:tc>
          <w:tcPr>
            <w:tcW w:w="971" w:type="pct"/>
            <w:vMerge w:val="restart"/>
            <w:tcBorders>
              <w:top w:val="single" w:color="auto" w:sz="4" w:space="0"/>
              <w:left w:val="single" w:color="auto" w:sz="4" w:space="0"/>
              <w:bottom w:val="single" w:color="auto" w:sz="4" w:space="0"/>
              <w:right w:val="single" w:color="auto" w:sz="4" w:space="0"/>
            </w:tcBorders>
            <w:noWrap/>
            <w:vAlign w:val="center"/>
          </w:tcPr>
          <w:p w14:paraId="33EA20A0">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政策</w:t>
            </w:r>
          </w:p>
        </w:tc>
        <w:tc>
          <w:tcPr>
            <w:tcW w:w="3387" w:type="pct"/>
            <w:tcBorders>
              <w:top w:val="nil"/>
              <w:left w:val="nil"/>
              <w:bottom w:val="single" w:color="auto" w:sz="4" w:space="0"/>
              <w:right w:val="single" w:color="auto" w:sz="4" w:space="0"/>
            </w:tcBorders>
            <w:noWrap/>
            <w:vAlign w:val="center"/>
          </w:tcPr>
          <w:p w14:paraId="37F26C79">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政府优先采购低碳工业产品</w:t>
            </w:r>
          </w:p>
        </w:tc>
      </w:tr>
      <w:tr w14:paraId="76EA9207">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000000" w:sz="4" w:space="0"/>
              <w:right w:val="single" w:color="auto" w:sz="4" w:space="0"/>
            </w:tcBorders>
            <w:vAlign w:val="center"/>
          </w:tcPr>
          <w:p w14:paraId="079697BF">
            <w:pPr>
              <w:widowControl/>
              <w:jc w:val="left"/>
              <w:rPr>
                <w:rFonts w:ascii="Times New Roman" w:hAnsi="Times New Roman" w:eastAsia="宋体" w:cs="Times New Roman"/>
                <w:b/>
                <w:bCs/>
                <w:color w:val="000000"/>
                <w:kern w:val="0"/>
                <w:sz w:val="18"/>
                <w:szCs w:val="18"/>
              </w:rPr>
            </w:pPr>
          </w:p>
        </w:tc>
        <w:tc>
          <w:tcPr>
            <w:tcW w:w="971" w:type="pct"/>
            <w:vMerge w:val="continue"/>
            <w:tcBorders>
              <w:top w:val="single" w:color="auto" w:sz="4" w:space="0"/>
              <w:left w:val="single" w:color="auto" w:sz="4" w:space="0"/>
              <w:bottom w:val="single" w:color="auto" w:sz="4" w:space="0"/>
              <w:right w:val="single" w:color="auto" w:sz="4" w:space="0"/>
            </w:tcBorders>
            <w:vAlign w:val="center"/>
          </w:tcPr>
          <w:p w14:paraId="37482326">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65793B73">
            <w:pPr>
              <w:widowControl/>
              <w:jc w:val="left"/>
              <w:rPr>
                <w:rFonts w:ascii="Times New Roman" w:hAnsi="Times New Roman" w:eastAsia="宋体" w:cs="Times New Roman"/>
                <w:color w:val="0000FF"/>
                <w:kern w:val="0"/>
                <w:sz w:val="18"/>
                <w:szCs w:val="18"/>
              </w:rPr>
            </w:pPr>
            <w:r>
              <w:rPr>
                <w:rFonts w:ascii="Times New Roman" w:hAnsi="Times New Roman" w:eastAsia="宋体" w:cs="Times New Roman"/>
                <w:kern w:val="0"/>
                <w:sz w:val="18"/>
                <w:szCs w:val="18"/>
              </w:rPr>
              <w:t>自愿减排市场交易</w:t>
            </w:r>
          </w:p>
        </w:tc>
      </w:tr>
      <w:tr w14:paraId="54A326A1">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000000" w:sz="4" w:space="0"/>
              <w:right w:val="single" w:color="auto" w:sz="4" w:space="0"/>
            </w:tcBorders>
            <w:vAlign w:val="center"/>
          </w:tcPr>
          <w:p w14:paraId="1FF0FBEC">
            <w:pPr>
              <w:widowControl/>
              <w:jc w:val="left"/>
              <w:rPr>
                <w:rFonts w:ascii="Times New Roman" w:hAnsi="Times New Roman" w:eastAsia="宋体" w:cs="Times New Roman"/>
                <w:b/>
                <w:bCs/>
                <w:color w:val="000000"/>
                <w:kern w:val="0"/>
                <w:sz w:val="18"/>
                <w:szCs w:val="18"/>
              </w:rPr>
            </w:pPr>
          </w:p>
        </w:tc>
        <w:tc>
          <w:tcPr>
            <w:tcW w:w="971" w:type="pct"/>
            <w:vMerge w:val="continue"/>
            <w:tcBorders>
              <w:top w:val="single" w:color="auto" w:sz="4" w:space="0"/>
              <w:left w:val="single" w:color="auto" w:sz="4" w:space="0"/>
              <w:bottom w:val="single" w:color="auto" w:sz="4" w:space="0"/>
              <w:right w:val="single" w:color="auto" w:sz="4" w:space="0"/>
            </w:tcBorders>
            <w:vAlign w:val="center"/>
          </w:tcPr>
          <w:p w14:paraId="7AFD5D6E">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64F636DA">
            <w:pPr>
              <w:widowControl/>
              <w:jc w:val="left"/>
              <w:rPr>
                <w:rFonts w:ascii="Times New Roman" w:hAnsi="Times New Roman" w:eastAsia="宋体" w:cs="Times New Roman"/>
                <w:color w:val="0000FF"/>
                <w:kern w:val="0"/>
                <w:sz w:val="18"/>
                <w:szCs w:val="18"/>
              </w:rPr>
            </w:pPr>
            <w:r>
              <w:rPr>
                <w:rFonts w:ascii="Times New Roman" w:hAnsi="Times New Roman" w:eastAsia="宋体" w:cs="Times New Roman"/>
                <w:kern w:val="0"/>
                <w:sz w:val="18"/>
                <w:szCs w:val="18"/>
              </w:rPr>
              <w:t>获得政府支持激励</w:t>
            </w:r>
          </w:p>
        </w:tc>
      </w:tr>
      <w:tr w14:paraId="5864E9C2">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000000" w:sz="4" w:space="0"/>
              <w:right w:val="single" w:color="auto" w:sz="4" w:space="0"/>
            </w:tcBorders>
            <w:vAlign w:val="center"/>
          </w:tcPr>
          <w:p w14:paraId="120DDBBD">
            <w:pPr>
              <w:widowControl/>
              <w:jc w:val="left"/>
              <w:rPr>
                <w:rFonts w:ascii="Times New Roman" w:hAnsi="Times New Roman" w:eastAsia="宋体" w:cs="Times New Roman"/>
                <w:b/>
                <w:bCs/>
                <w:color w:val="000000"/>
                <w:kern w:val="0"/>
                <w:sz w:val="18"/>
                <w:szCs w:val="18"/>
              </w:rPr>
            </w:pPr>
          </w:p>
        </w:tc>
        <w:tc>
          <w:tcPr>
            <w:tcW w:w="971" w:type="pct"/>
            <w:vMerge w:val="restart"/>
            <w:tcBorders>
              <w:top w:val="single" w:color="auto" w:sz="4" w:space="0"/>
              <w:left w:val="single" w:color="auto" w:sz="4" w:space="0"/>
              <w:bottom w:val="single" w:color="auto" w:sz="4" w:space="0"/>
              <w:right w:val="single" w:color="auto" w:sz="4" w:space="0"/>
            </w:tcBorders>
            <w:noWrap/>
            <w:vAlign w:val="center"/>
          </w:tcPr>
          <w:p w14:paraId="38B38EB1">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技术</w:t>
            </w:r>
          </w:p>
        </w:tc>
        <w:tc>
          <w:tcPr>
            <w:tcW w:w="3387" w:type="pct"/>
            <w:tcBorders>
              <w:top w:val="nil"/>
              <w:left w:val="nil"/>
              <w:bottom w:val="single" w:color="auto" w:sz="4" w:space="0"/>
              <w:right w:val="single" w:color="auto" w:sz="4" w:space="0"/>
            </w:tcBorders>
            <w:noWrap/>
            <w:vAlign w:val="center"/>
          </w:tcPr>
          <w:p w14:paraId="5B75FC82">
            <w:pPr>
              <w:widowControl/>
              <w:jc w:val="left"/>
              <w:rPr>
                <w:rFonts w:ascii="Times New Roman" w:hAnsi="Times New Roman" w:eastAsia="宋体" w:cs="Times New Roman"/>
                <w:color w:val="0000FF"/>
                <w:kern w:val="0"/>
                <w:sz w:val="18"/>
                <w:szCs w:val="18"/>
              </w:rPr>
            </w:pPr>
            <w:r>
              <w:rPr>
                <w:rFonts w:ascii="Times New Roman" w:hAnsi="Times New Roman" w:eastAsia="宋体" w:cs="Times New Roman"/>
                <w:kern w:val="0"/>
                <w:sz w:val="18"/>
                <w:szCs w:val="18"/>
              </w:rPr>
              <w:t>新能源的发展和广泛应用</w:t>
            </w:r>
          </w:p>
        </w:tc>
      </w:tr>
      <w:tr w14:paraId="24BF7B62">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000000" w:sz="4" w:space="0"/>
              <w:right w:val="single" w:color="auto" w:sz="4" w:space="0"/>
            </w:tcBorders>
            <w:vAlign w:val="center"/>
          </w:tcPr>
          <w:p w14:paraId="32688BD9">
            <w:pPr>
              <w:widowControl/>
              <w:jc w:val="left"/>
              <w:rPr>
                <w:rFonts w:ascii="Times New Roman" w:hAnsi="Times New Roman" w:eastAsia="宋体" w:cs="Times New Roman"/>
                <w:b/>
                <w:bCs/>
                <w:color w:val="000000"/>
                <w:kern w:val="0"/>
                <w:sz w:val="18"/>
                <w:szCs w:val="18"/>
              </w:rPr>
            </w:pPr>
          </w:p>
        </w:tc>
        <w:tc>
          <w:tcPr>
            <w:tcW w:w="971" w:type="pct"/>
            <w:vMerge w:val="continue"/>
            <w:tcBorders>
              <w:top w:val="single" w:color="auto" w:sz="4" w:space="0"/>
              <w:left w:val="single" w:color="auto" w:sz="4" w:space="0"/>
              <w:bottom w:val="single" w:color="auto" w:sz="4" w:space="0"/>
              <w:right w:val="single" w:color="auto" w:sz="4" w:space="0"/>
            </w:tcBorders>
            <w:vAlign w:val="center"/>
          </w:tcPr>
          <w:p w14:paraId="6FC9CB89">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2B924074">
            <w:pPr>
              <w:widowControl/>
              <w:jc w:val="left"/>
              <w:rPr>
                <w:rFonts w:ascii="Times New Roman" w:hAnsi="Times New Roman" w:eastAsia="宋体" w:cs="Times New Roman"/>
                <w:color w:val="0000FF"/>
                <w:kern w:val="0"/>
                <w:sz w:val="18"/>
                <w:szCs w:val="18"/>
              </w:rPr>
            </w:pPr>
            <w:r>
              <w:rPr>
                <w:rFonts w:ascii="Times New Roman" w:hAnsi="Times New Roman" w:eastAsia="宋体" w:cs="Times New Roman"/>
                <w:kern w:val="0"/>
                <w:sz w:val="18"/>
                <w:szCs w:val="18"/>
              </w:rPr>
              <w:t>废弃物循环再利用技术更新</w:t>
            </w:r>
          </w:p>
        </w:tc>
      </w:tr>
      <w:tr w14:paraId="7B63C8A9">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000000" w:sz="4" w:space="0"/>
              <w:right w:val="single" w:color="auto" w:sz="4" w:space="0"/>
            </w:tcBorders>
            <w:vAlign w:val="center"/>
          </w:tcPr>
          <w:p w14:paraId="60ED1EE3">
            <w:pPr>
              <w:widowControl/>
              <w:jc w:val="left"/>
              <w:rPr>
                <w:rFonts w:ascii="Times New Roman" w:hAnsi="Times New Roman" w:eastAsia="宋体" w:cs="Times New Roman"/>
                <w:b/>
                <w:bCs/>
                <w:color w:val="000000"/>
                <w:kern w:val="0"/>
                <w:sz w:val="18"/>
                <w:szCs w:val="18"/>
              </w:rPr>
            </w:pPr>
          </w:p>
        </w:tc>
        <w:tc>
          <w:tcPr>
            <w:tcW w:w="971" w:type="pct"/>
            <w:vMerge w:val="continue"/>
            <w:tcBorders>
              <w:top w:val="single" w:color="auto" w:sz="4" w:space="0"/>
              <w:left w:val="single" w:color="auto" w:sz="4" w:space="0"/>
              <w:bottom w:val="single" w:color="auto" w:sz="4" w:space="0"/>
              <w:right w:val="single" w:color="auto" w:sz="4" w:space="0"/>
            </w:tcBorders>
            <w:vAlign w:val="center"/>
          </w:tcPr>
          <w:p w14:paraId="03C6E4D4">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00453DE2">
            <w:pPr>
              <w:widowControl/>
              <w:jc w:val="left"/>
              <w:rPr>
                <w:rFonts w:ascii="Times New Roman" w:hAnsi="Times New Roman" w:eastAsia="宋体" w:cs="Times New Roman"/>
                <w:color w:val="0000FF"/>
                <w:kern w:val="0"/>
                <w:sz w:val="18"/>
                <w:szCs w:val="18"/>
              </w:rPr>
            </w:pPr>
            <w:r>
              <w:rPr>
                <w:rFonts w:ascii="Times New Roman" w:hAnsi="Times New Roman" w:eastAsia="宋体" w:cs="Times New Roman"/>
                <w:kern w:val="0"/>
                <w:sz w:val="18"/>
                <w:szCs w:val="18"/>
              </w:rPr>
              <w:t>生产新工艺的发展</w:t>
            </w:r>
          </w:p>
        </w:tc>
      </w:tr>
      <w:tr w14:paraId="0C3EC1E8">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000000" w:sz="4" w:space="0"/>
              <w:right w:val="single" w:color="auto" w:sz="4" w:space="0"/>
            </w:tcBorders>
            <w:vAlign w:val="center"/>
          </w:tcPr>
          <w:p w14:paraId="3E15F920">
            <w:pPr>
              <w:widowControl/>
              <w:jc w:val="left"/>
              <w:rPr>
                <w:rFonts w:ascii="Times New Roman" w:hAnsi="Times New Roman" w:eastAsia="宋体" w:cs="Times New Roman"/>
                <w:b/>
                <w:bCs/>
                <w:color w:val="000000"/>
                <w:kern w:val="0"/>
                <w:sz w:val="18"/>
                <w:szCs w:val="18"/>
              </w:rPr>
            </w:pPr>
          </w:p>
        </w:tc>
        <w:tc>
          <w:tcPr>
            <w:tcW w:w="971" w:type="pct"/>
            <w:vMerge w:val="continue"/>
            <w:tcBorders>
              <w:top w:val="single" w:color="auto" w:sz="4" w:space="0"/>
              <w:left w:val="single" w:color="auto" w:sz="4" w:space="0"/>
              <w:bottom w:val="single" w:color="auto" w:sz="4" w:space="0"/>
              <w:right w:val="single" w:color="auto" w:sz="4" w:space="0"/>
            </w:tcBorders>
            <w:vAlign w:val="center"/>
          </w:tcPr>
          <w:p w14:paraId="6C0320E8">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4F124DC8">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资源利用效率的不断提高</w:t>
            </w:r>
          </w:p>
        </w:tc>
      </w:tr>
      <w:tr w14:paraId="2A6CDB27">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000000" w:sz="4" w:space="0"/>
              <w:right w:val="single" w:color="auto" w:sz="4" w:space="0"/>
            </w:tcBorders>
            <w:vAlign w:val="center"/>
          </w:tcPr>
          <w:p w14:paraId="5EA1A95C">
            <w:pPr>
              <w:widowControl/>
              <w:jc w:val="left"/>
              <w:rPr>
                <w:rFonts w:ascii="Times New Roman" w:hAnsi="Times New Roman" w:eastAsia="宋体" w:cs="Times New Roman"/>
                <w:b/>
                <w:bCs/>
                <w:color w:val="000000"/>
                <w:kern w:val="0"/>
                <w:sz w:val="18"/>
                <w:szCs w:val="18"/>
              </w:rPr>
            </w:pPr>
          </w:p>
        </w:tc>
        <w:tc>
          <w:tcPr>
            <w:tcW w:w="971" w:type="pct"/>
            <w:vMerge w:val="continue"/>
            <w:tcBorders>
              <w:top w:val="single" w:color="auto" w:sz="4" w:space="0"/>
              <w:left w:val="single" w:color="auto" w:sz="4" w:space="0"/>
              <w:bottom w:val="single" w:color="auto" w:sz="4" w:space="0"/>
              <w:right w:val="single" w:color="auto" w:sz="4" w:space="0"/>
            </w:tcBorders>
            <w:vAlign w:val="center"/>
          </w:tcPr>
          <w:p w14:paraId="7AEB2495">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29E75321">
            <w:pPr>
              <w:widowControl/>
              <w:jc w:val="left"/>
              <w:rPr>
                <w:rFonts w:ascii="Times New Roman" w:hAnsi="Times New Roman" w:eastAsia="宋体" w:cs="Times New Roman"/>
                <w:color w:val="0000FF"/>
                <w:kern w:val="0"/>
                <w:sz w:val="18"/>
                <w:szCs w:val="18"/>
              </w:rPr>
            </w:pPr>
            <w:r>
              <w:rPr>
                <w:rFonts w:ascii="Times New Roman" w:hAnsi="Times New Roman" w:eastAsia="宋体" w:cs="Times New Roman"/>
                <w:kern w:val="0"/>
                <w:sz w:val="18"/>
                <w:szCs w:val="18"/>
              </w:rPr>
              <w:t>节能技术的更新</w:t>
            </w:r>
          </w:p>
        </w:tc>
      </w:tr>
      <w:tr w14:paraId="0EF0012D">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000000" w:sz="4" w:space="0"/>
              <w:right w:val="single" w:color="auto" w:sz="4" w:space="0"/>
            </w:tcBorders>
            <w:vAlign w:val="center"/>
          </w:tcPr>
          <w:p w14:paraId="2D20298E">
            <w:pPr>
              <w:widowControl/>
              <w:jc w:val="left"/>
              <w:rPr>
                <w:rFonts w:ascii="Times New Roman" w:hAnsi="Times New Roman" w:eastAsia="宋体" w:cs="Times New Roman"/>
                <w:b/>
                <w:bCs/>
                <w:color w:val="000000"/>
                <w:kern w:val="0"/>
                <w:sz w:val="18"/>
                <w:szCs w:val="18"/>
              </w:rPr>
            </w:pPr>
          </w:p>
        </w:tc>
        <w:tc>
          <w:tcPr>
            <w:tcW w:w="971" w:type="pct"/>
            <w:vMerge w:val="restart"/>
            <w:tcBorders>
              <w:top w:val="single" w:color="auto" w:sz="4" w:space="0"/>
              <w:left w:val="single" w:color="auto" w:sz="4" w:space="0"/>
              <w:bottom w:val="single" w:color="auto" w:sz="4" w:space="0"/>
              <w:right w:val="single" w:color="auto" w:sz="4" w:space="0"/>
            </w:tcBorders>
            <w:noWrap/>
            <w:vAlign w:val="center"/>
          </w:tcPr>
          <w:p w14:paraId="45E703E1">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市场</w:t>
            </w:r>
          </w:p>
        </w:tc>
        <w:tc>
          <w:tcPr>
            <w:tcW w:w="3387" w:type="pct"/>
            <w:tcBorders>
              <w:top w:val="nil"/>
              <w:left w:val="nil"/>
              <w:bottom w:val="single" w:color="auto" w:sz="4" w:space="0"/>
              <w:right w:val="single" w:color="auto" w:sz="4" w:space="0"/>
            </w:tcBorders>
            <w:noWrap/>
            <w:vAlign w:val="center"/>
          </w:tcPr>
          <w:p w14:paraId="4A8C99AB">
            <w:pPr>
              <w:widowControl/>
              <w:jc w:val="left"/>
              <w:rPr>
                <w:rFonts w:ascii="Times New Roman" w:hAnsi="Times New Roman" w:eastAsia="宋体" w:cs="Times New Roman"/>
                <w:color w:val="0000FF"/>
                <w:kern w:val="0"/>
                <w:sz w:val="18"/>
                <w:szCs w:val="18"/>
              </w:rPr>
            </w:pPr>
            <w:r>
              <w:rPr>
                <w:rFonts w:ascii="Times New Roman" w:hAnsi="Times New Roman" w:eastAsia="宋体" w:cs="Times New Roman"/>
                <w:kern w:val="0"/>
                <w:sz w:val="18"/>
                <w:szCs w:val="18"/>
              </w:rPr>
              <w:t>终端消费者对低碳工业产品消费需求增加</w:t>
            </w:r>
          </w:p>
        </w:tc>
      </w:tr>
      <w:tr w14:paraId="0E7AB3A5">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000000" w:sz="4" w:space="0"/>
              <w:right w:val="single" w:color="auto" w:sz="4" w:space="0"/>
            </w:tcBorders>
            <w:vAlign w:val="center"/>
          </w:tcPr>
          <w:p w14:paraId="2869DCD6">
            <w:pPr>
              <w:widowControl/>
              <w:jc w:val="left"/>
              <w:rPr>
                <w:rFonts w:ascii="Times New Roman" w:hAnsi="Times New Roman" w:eastAsia="宋体" w:cs="Times New Roman"/>
                <w:b/>
                <w:bCs/>
                <w:color w:val="000000"/>
                <w:kern w:val="0"/>
                <w:sz w:val="18"/>
                <w:szCs w:val="18"/>
              </w:rPr>
            </w:pPr>
          </w:p>
        </w:tc>
        <w:tc>
          <w:tcPr>
            <w:tcW w:w="971" w:type="pct"/>
            <w:vMerge w:val="continue"/>
            <w:tcBorders>
              <w:left w:val="single" w:color="auto" w:sz="4" w:space="0"/>
              <w:right w:val="single" w:color="auto" w:sz="4" w:space="0"/>
            </w:tcBorders>
            <w:noWrap/>
            <w:vAlign w:val="center"/>
          </w:tcPr>
          <w:p w14:paraId="0049CE25">
            <w:pPr>
              <w:widowControl/>
              <w:jc w:val="center"/>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2A761119">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产品出口需求日益增加</w:t>
            </w:r>
          </w:p>
        </w:tc>
      </w:tr>
      <w:tr w14:paraId="53A0B944">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000000" w:sz="4" w:space="0"/>
              <w:right w:val="single" w:color="auto" w:sz="4" w:space="0"/>
            </w:tcBorders>
            <w:vAlign w:val="center"/>
          </w:tcPr>
          <w:p w14:paraId="144A6E5A">
            <w:pPr>
              <w:widowControl/>
              <w:jc w:val="left"/>
              <w:rPr>
                <w:rFonts w:ascii="Times New Roman" w:hAnsi="Times New Roman" w:eastAsia="宋体" w:cs="Times New Roman"/>
                <w:b/>
                <w:bCs/>
                <w:color w:val="000000"/>
                <w:kern w:val="0"/>
                <w:sz w:val="18"/>
                <w:szCs w:val="18"/>
              </w:rPr>
            </w:pPr>
          </w:p>
        </w:tc>
        <w:tc>
          <w:tcPr>
            <w:tcW w:w="971" w:type="pct"/>
            <w:vMerge w:val="continue"/>
            <w:tcBorders>
              <w:top w:val="single" w:color="auto" w:sz="4" w:space="0"/>
              <w:left w:val="single" w:color="auto" w:sz="4" w:space="0"/>
              <w:bottom w:val="single" w:color="auto" w:sz="4" w:space="0"/>
              <w:right w:val="single" w:color="auto" w:sz="4" w:space="0"/>
            </w:tcBorders>
            <w:vAlign w:val="center"/>
          </w:tcPr>
          <w:p w14:paraId="06782906">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4ACA72BE">
            <w:pPr>
              <w:widowControl/>
              <w:jc w:val="left"/>
              <w:rPr>
                <w:rFonts w:ascii="Times New Roman" w:hAnsi="Times New Roman" w:eastAsia="宋体" w:cs="Times New Roman"/>
                <w:color w:val="0000FF"/>
                <w:kern w:val="0"/>
                <w:sz w:val="18"/>
                <w:szCs w:val="18"/>
              </w:rPr>
            </w:pPr>
            <w:r>
              <w:rPr>
                <w:rFonts w:ascii="Times New Roman" w:hAnsi="Times New Roman" w:eastAsia="宋体" w:cs="Times New Roman"/>
                <w:kern w:val="0"/>
                <w:sz w:val="18"/>
                <w:szCs w:val="18"/>
              </w:rPr>
              <w:t>低碳新材料的上市</w:t>
            </w:r>
          </w:p>
        </w:tc>
      </w:tr>
      <w:tr w14:paraId="1683086A">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000000" w:sz="4" w:space="0"/>
              <w:right w:val="single" w:color="auto" w:sz="4" w:space="0"/>
            </w:tcBorders>
            <w:vAlign w:val="center"/>
          </w:tcPr>
          <w:p w14:paraId="57F0422A">
            <w:pPr>
              <w:widowControl/>
              <w:jc w:val="left"/>
              <w:rPr>
                <w:rFonts w:ascii="Times New Roman" w:hAnsi="Times New Roman" w:eastAsia="宋体" w:cs="Times New Roman"/>
                <w:b/>
                <w:bCs/>
                <w:color w:val="000000"/>
                <w:kern w:val="0"/>
                <w:sz w:val="18"/>
                <w:szCs w:val="18"/>
              </w:rPr>
            </w:pPr>
          </w:p>
        </w:tc>
        <w:tc>
          <w:tcPr>
            <w:tcW w:w="971" w:type="pct"/>
            <w:vMerge w:val="continue"/>
            <w:tcBorders>
              <w:top w:val="single" w:color="auto" w:sz="4" w:space="0"/>
              <w:left w:val="single" w:color="auto" w:sz="4" w:space="0"/>
              <w:bottom w:val="single" w:color="auto" w:sz="4" w:space="0"/>
              <w:right w:val="single" w:color="auto" w:sz="4" w:space="0"/>
            </w:tcBorders>
            <w:vAlign w:val="center"/>
          </w:tcPr>
          <w:p w14:paraId="372724A4">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73B58A2E">
            <w:pPr>
              <w:widowControl/>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新能源和材料成本的下降</w:t>
            </w:r>
          </w:p>
        </w:tc>
      </w:tr>
      <w:tr w14:paraId="03323D53">
        <w:tblPrEx>
          <w:tblCellMar>
            <w:top w:w="0" w:type="dxa"/>
            <w:left w:w="108" w:type="dxa"/>
            <w:bottom w:w="0" w:type="dxa"/>
            <w:right w:w="108" w:type="dxa"/>
          </w:tblCellMar>
        </w:tblPrEx>
        <w:trPr>
          <w:trHeight w:val="340" w:hRule="atLeast"/>
        </w:trPr>
        <w:tc>
          <w:tcPr>
            <w:tcW w:w="642" w:type="pct"/>
            <w:vMerge w:val="continue"/>
            <w:tcBorders>
              <w:top w:val="nil"/>
              <w:left w:val="single" w:color="auto" w:sz="4" w:space="0"/>
              <w:bottom w:val="single" w:color="000000" w:sz="4" w:space="0"/>
              <w:right w:val="single" w:color="auto" w:sz="4" w:space="0"/>
            </w:tcBorders>
            <w:vAlign w:val="center"/>
          </w:tcPr>
          <w:p w14:paraId="3BE68E2B">
            <w:pPr>
              <w:widowControl/>
              <w:jc w:val="left"/>
              <w:rPr>
                <w:rFonts w:ascii="Times New Roman" w:hAnsi="Times New Roman" w:eastAsia="宋体" w:cs="Times New Roman"/>
                <w:b/>
                <w:bCs/>
                <w:color w:val="000000"/>
                <w:kern w:val="0"/>
                <w:sz w:val="18"/>
                <w:szCs w:val="18"/>
              </w:rPr>
            </w:pPr>
          </w:p>
        </w:tc>
        <w:tc>
          <w:tcPr>
            <w:tcW w:w="971" w:type="pct"/>
            <w:vMerge w:val="continue"/>
            <w:tcBorders>
              <w:top w:val="single" w:color="auto" w:sz="4" w:space="0"/>
              <w:left w:val="single" w:color="auto" w:sz="4" w:space="0"/>
              <w:bottom w:val="single" w:color="auto" w:sz="4" w:space="0"/>
              <w:right w:val="single" w:color="auto" w:sz="4" w:space="0"/>
            </w:tcBorders>
            <w:vAlign w:val="center"/>
          </w:tcPr>
          <w:p w14:paraId="16E8E24A">
            <w:pPr>
              <w:widowControl/>
              <w:jc w:val="left"/>
              <w:rPr>
                <w:rFonts w:ascii="Times New Roman" w:hAnsi="Times New Roman" w:eastAsia="宋体" w:cs="Times New Roman"/>
                <w:kern w:val="0"/>
                <w:sz w:val="18"/>
                <w:szCs w:val="18"/>
              </w:rPr>
            </w:pPr>
          </w:p>
        </w:tc>
        <w:tc>
          <w:tcPr>
            <w:tcW w:w="3387" w:type="pct"/>
            <w:tcBorders>
              <w:top w:val="nil"/>
              <w:left w:val="nil"/>
              <w:bottom w:val="single" w:color="auto" w:sz="4" w:space="0"/>
              <w:right w:val="single" w:color="auto" w:sz="4" w:space="0"/>
            </w:tcBorders>
            <w:noWrap/>
            <w:vAlign w:val="center"/>
          </w:tcPr>
          <w:p w14:paraId="7F3DDC1D">
            <w:pPr>
              <w:widowControl/>
              <w:jc w:val="left"/>
              <w:rPr>
                <w:rFonts w:ascii="Times New Roman" w:hAnsi="Times New Roman" w:eastAsia="宋体" w:cs="Times New Roman"/>
                <w:color w:val="0000FF"/>
                <w:kern w:val="0"/>
                <w:sz w:val="18"/>
                <w:szCs w:val="18"/>
              </w:rPr>
            </w:pPr>
            <w:r>
              <w:rPr>
                <w:rFonts w:ascii="Times New Roman" w:hAnsi="Times New Roman" w:eastAsia="宋体" w:cs="Times New Roman"/>
                <w:kern w:val="0"/>
                <w:sz w:val="18"/>
                <w:szCs w:val="18"/>
              </w:rPr>
              <w:t>销售渠道的变化</w:t>
            </w:r>
          </w:p>
        </w:tc>
      </w:tr>
    </w:tbl>
    <w:p w14:paraId="1F889514">
      <w:pPr>
        <w:spacing w:after="286" w:afterLines="100"/>
        <w:jc w:val="center"/>
        <w:outlineLvl w:val="0"/>
        <w:rPr>
          <w:rFonts w:ascii="Times New Roman" w:hAnsi="Times New Roman" w:eastAsia="黑体" w:cs="Times New Roman"/>
          <w:szCs w:val="21"/>
        </w:rPr>
      </w:pPr>
      <w:bookmarkStart w:id="142" w:name="_Toc187932711"/>
      <w:bookmarkStart w:id="143" w:name="_Toc220422394"/>
      <w:r>
        <w:rPr>
          <w:rFonts w:ascii="Times New Roman" w:hAnsi="Times New Roman" w:eastAsia="黑体" w:cs="Times New Roman"/>
          <w:szCs w:val="21"/>
        </w:rPr>
        <w:t>附　录　</w:t>
      </w:r>
      <w:r>
        <w:rPr>
          <w:rFonts w:hint="eastAsia" w:ascii="Times New Roman" w:hAnsi="Times New Roman" w:eastAsia="黑体" w:cs="Times New Roman"/>
          <w:szCs w:val="21"/>
        </w:rPr>
        <w:t>C</w:t>
      </w:r>
      <w:r>
        <w:rPr>
          <w:rFonts w:ascii="Times New Roman" w:hAnsi="Times New Roman" w:eastAsia="黑体" w:cs="Times New Roman"/>
          <w:szCs w:val="21"/>
        </w:rPr>
        <w:t xml:space="preserve"> </w:t>
      </w:r>
      <w:r>
        <w:rPr>
          <w:rFonts w:ascii="Times New Roman" w:hAnsi="Times New Roman" w:eastAsia="黑体" w:cs="Times New Roman"/>
          <w:szCs w:val="21"/>
        </w:rPr>
        <w:br w:type="textWrapping"/>
      </w:r>
      <w:r>
        <w:rPr>
          <w:rFonts w:ascii="Times New Roman" w:hAnsi="Times New Roman" w:eastAsia="黑体" w:cs="Times New Roman"/>
          <w:szCs w:val="21"/>
        </w:rPr>
        <w:t>（资料性）</w:t>
      </w:r>
      <w:r>
        <w:rPr>
          <w:rFonts w:ascii="Times New Roman" w:hAnsi="Times New Roman" w:eastAsia="黑体" w:cs="Times New Roman"/>
          <w:szCs w:val="21"/>
        </w:rPr>
        <w:br w:type="textWrapping"/>
      </w:r>
      <w:bookmarkEnd w:id="142"/>
      <w:r>
        <w:rPr>
          <w:rFonts w:ascii="Times New Roman" w:hAnsi="Times New Roman" w:eastAsia="黑体" w:cs="Times New Roman"/>
          <w:szCs w:val="21"/>
        </w:rPr>
        <w:t>碳排放源识别示例</w:t>
      </w:r>
      <w:bookmarkEnd w:id="143"/>
    </w:p>
    <w:p w14:paraId="55CBD876">
      <w:pPr>
        <w:rPr>
          <w:rFonts w:ascii="Times New Roman" w:hAnsi="Times New Roman" w:eastAsia="宋体" w:cs="Times New Roman"/>
          <w:szCs w:val="21"/>
        </w:rPr>
      </w:pPr>
      <w:bookmarkStart w:id="144" w:name="OLE_LINK31"/>
      <w:r>
        <w:rPr>
          <w:rFonts w:ascii="Times New Roman" w:hAnsi="Times New Roman" w:eastAsia="宋体" w:cs="Times New Roman"/>
          <w:szCs w:val="21"/>
        </w:rPr>
        <w:t>工业企业</w:t>
      </w:r>
      <w:r>
        <w:rPr>
          <w:rFonts w:hint="eastAsia" w:ascii="Times New Roman" w:hAnsi="Times New Roman" w:eastAsia="宋体" w:cs="Times New Roman"/>
          <w:szCs w:val="21"/>
        </w:rPr>
        <w:t>碳</w:t>
      </w:r>
      <w:r>
        <w:rPr>
          <w:rFonts w:ascii="Times New Roman" w:hAnsi="Times New Roman" w:eastAsia="宋体" w:cs="Times New Roman"/>
          <w:szCs w:val="21"/>
        </w:rPr>
        <w:t>排放源识别示例如表</w:t>
      </w:r>
      <w:r>
        <w:rPr>
          <w:rFonts w:hint="eastAsia" w:ascii="Times New Roman" w:hAnsi="Times New Roman" w:eastAsia="宋体" w:cs="Times New Roman"/>
          <w:szCs w:val="21"/>
        </w:rPr>
        <w:t>C</w:t>
      </w:r>
      <w:r>
        <w:rPr>
          <w:rFonts w:ascii="Times New Roman" w:hAnsi="Times New Roman" w:eastAsia="宋体" w:cs="Times New Roman"/>
          <w:szCs w:val="21"/>
        </w:rPr>
        <w:t>.1所示。</w:t>
      </w:r>
    </w:p>
    <w:bookmarkEnd w:id="144"/>
    <w:p w14:paraId="083C098D">
      <w:pPr>
        <w:spacing w:before="286" w:beforeLines="100" w:after="286" w:afterLines="100"/>
        <w:jc w:val="center"/>
        <w:rPr>
          <w:rFonts w:ascii="Times New Roman" w:hAnsi="Times New Roman" w:eastAsia="黑体" w:cs="Times New Roman"/>
          <w:szCs w:val="21"/>
        </w:rPr>
      </w:pPr>
      <w:bookmarkStart w:id="145" w:name="OLE_LINK48"/>
      <w:r>
        <w:rPr>
          <w:rFonts w:ascii="Times New Roman" w:hAnsi="Times New Roman" w:eastAsia="黑体" w:cs="Times New Roman"/>
          <w:szCs w:val="21"/>
        </w:rPr>
        <w:t>表</w:t>
      </w:r>
      <w:r>
        <w:rPr>
          <w:rFonts w:hint="eastAsia" w:ascii="Times New Roman" w:hAnsi="Times New Roman" w:eastAsia="黑体" w:cs="Times New Roman"/>
          <w:szCs w:val="21"/>
        </w:rPr>
        <w:t>C</w:t>
      </w:r>
      <w:r>
        <w:rPr>
          <w:rFonts w:ascii="Times New Roman" w:hAnsi="Times New Roman" w:eastAsia="黑体" w:cs="Times New Roman"/>
          <w:szCs w:val="21"/>
        </w:rPr>
        <w:t>.1　工业企业</w:t>
      </w:r>
      <w:r>
        <w:rPr>
          <w:rFonts w:hint="eastAsia" w:ascii="Times New Roman" w:hAnsi="Times New Roman" w:eastAsia="黑体" w:cs="Times New Roman"/>
          <w:szCs w:val="21"/>
        </w:rPr>
        <w:t>碳</w:t>
      </w:r>
      <w:r>
        <w:rPr>
          <w:rFonts w:ascii="Times New Roman" w:hAnsi="Times New Roman" w:eastAsia="黑体" w:cs="Times New Roman"/>
          <w:szCs w:val="21"/>
        </w:rPr>
        <w:t>排放源识别示例</w:t>
      </w:r>
      <w:bookmarkEnd w:id="145"/>
    </w:p>
    <w:tbl>
      <w:tblPr>
        <w:tblStyle w:val="2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49"/>
        <w:gridCol w:w="3180"/>
        <w:gridCol w:w="1018"/>
        <w:gridCol w:w="1975"/>
      </w:tblGrid>
      <w:tr w14:paraId="7DF68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0" w:type="pct"/>
            <w:gridSpan w:val="4"/>
            <w:shd w:val="clear" w:color="auto" w:fill="D8D8D8" w:themeFill="background1" w:themeFillShade="D9"/>
            <w:vAlign w:val="center"/>
          </w:tcPr>
          <w:p w14:paraId="0247222B">
            <w:pPr>
              <w:snapToGrid w:val="0"/>
              <w:rPr>
                <w:rFonts w:ascii="Times New Roman" w:hAnsi="Times New Roman" w:eastAsia="宋体" w:cs="Times New Roman"/>
                <w:b/>
                <w:sz w:val="18"/>
                <w:szCs w:val="18"/>
              </w:rPr>
            </w:pPr>
            <w:r>
              <w:rPr>
                <w:rFonts w:ascii="Times New Roman" w:hAnsi="Times New Roman" w:eastAsia="宋体" w:cs="Times New Roman"/>
                <w:b/>
                <w:sz w:val="18"/>
                <w:szCs w:val="18"/>
              </w:rPr>
              <w:t>燃料燃烧排放</w:t>
            </w:r>
          </w:p>
        </w:tc>
      </w:tr>
      <w:tr w14:paraId="3C960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378" w:type="pct"/>
            <w:tcBorders>
              <w:left w:val="single" w:color="auto" w:sz="4" w:space="0"/>
            </w:tcBorders>
            <w:vAlign w:val="center"/>
          </w:tcPr>
          <w:p w14:paraId="76429F10">
            <w:pPr>
              <w:snapToGrid w:val="0"/>
              <w:rPr>
                <w:rFonts w:hint="eastAsia" w:ascii="Times New Roman" w:hAnsi="Times New Roman" w:eastAsia="宋体" w:cs="Times New Roman"/>
                <w:b/>
                <w:sz w:val="18"/>
                <w:szCs w:val="18"/>
              </w:rPr>
            </w:pPr>
            <w:r>
              <w:rPr>
                <w:rFonts w:ascii="Times New Roman" w:hAnsi="Times New Roman" w:eastAsia="宋体" w:cs="Times New Roman"/>
                <w:b/>
                <w:sz w:val="18"/>
                <w:szCs w:val="18"/>
                <w:lang w:eastAsia="en-US"/>
              </w:rPr>
              <w:t>排放源类</w:t>
            </w:r>
            <w:r>
              <w:rPr>
                <w:rFonts w:hint="eastAsia" w:ascii="Times New Roman" w:hAnsi="Times New Roman" w:eastAsia="宋体" w:cs="Times New Roman"/>
                <w:b/>
                <w:sz w:val="18"/>
                <w:szCs w:val="18"/>
              </w:rPr>
              <w:t>别</w:t>
            </w:r>
          </w:p>
        </w:tc>
        <w:tc>
          <w:tcPr>
            <w:tcW w:w="1866" w:type="pct"/>
            <w:vAlign w:val="center"/>
          </w:tcPr>
          <w:p w14:paraId="74DD1215">
            <w:pPr>
              <w:snapToGrid w:val="0"/>
              <w:rPr>
                <w:rFonts w:ascii="Times New Roman" w:hAnsi="Times New Roman" w:eastAsia="宋体" w:cs="Times New Roman"/>
                <w:b/>
                <w:sz w:val="18"/>
                <w:szCs w:val="18"/>
                <w:lang w:eastAsia="en-US"/>
              </w:rPr>
            </w:pPr>
            <w:r>
              <w:rPr>
                <w:rFonts w:ascii="Times New Roman" w:hAnsi="Times New Roman" w:eastAsia="宋体" w:cs="Times New Roman"/>
                <w:b/>
                <w:sz w:val="18"/>
                <w:szCs w:val="18"/>
              </w:rPr>
              <w:t>排放源</w:t>
            </w:r>
          </w:p>
        </w:tc>
        <w:tc>
          <w:tcPr>
            <w:tcW w:w="597" w:type="pct"/>
            <w:vAlign w:val="center"/>
          </w:tcPr>
          <w:p w14:paraId="26926BD0">
            <w:pPr>
              <w:snapToGrid w:val="0"/>
              <w:rPr>
                <w:rFonts w:ascii="Times New Roman" w:hAnsi="Times New Roman" w:eastAsia="宋体" w:cs="Times New Roman"/>
                <w:b/>
                <w:sz w:val="18"/>
                <w:szCs w:val="18"/>
              </w:rPr>
            </w:pPr>
            <w:r>
              <w:rPr>
                <w:rFonts w:hint="eastAsia" w:ascii="Times New Roman" w:hAnsi="Times New Roman" w:eastAsia="宋体" w:cs="Times New Roman"/>
                <w:b/>
                <w:sz w:val="18"/>
                <w:szCs w:val="18"/>
              </w:rPr>
              <w:t>排放类型</w:t>
            </w:r>
          </w:p>
        </w:tc>
        <w:tc>
          <w:tcPr>
            <w:tcW w:w="1159" w:type="pct"/>
            <w:vAlign w:val="center"/>
          </w:tcPr>
          <w:p w14:paraId="600BB7C6">
            <w:pPr>
              <w:snapToGrid w:val="0"/>
              <w:rPr>
                <w:rFonts w:ascii="Times New Roman" w:hAnsi="Times New Roman" w:eastAsia="宋体" w:cs="Times New Roman"/>
                <w:b/>
                <w:sz w:val="18"/>
                <w:szCs w:val="18"/>
              </w:rPr>
            </w:pPr>
            <w:r>
              <w:rPr>
                <w:rFonts w:ascii="Times New Roman" w:hAnsi="Times New Roman" w:eastAsia="宋体" w:cs="Times New Roman"/>
                <w:b/>
                <w:sz w:val="18"/>
                <w:szCs w:val="18"/>
              </w:rPr>
              <w:t>排放设施示例</w:t>
            </w:r>
          </w:p>
        </w:tc>
      </w:tr>
      <w:tr w14:paraId="760CB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378" w:type="pct"/>
            <w:vAlign w:val="center"/>
          </w:tcPr>
          <w:p w14:paraId="61E79464">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固定燃料源</w:t>
            </w:r>
          </w:p>
        </w:tc>
        <w:tc>
          <w:tcPr>
            <w:tcW w:w="1866" w:type="pct"/>
            <w:vAlign w:val="center"/>
          </w:tcPr>
          <w:p w14:paraId="0C34B226">
            <w:pPr>
              <w:snapToGrid w:val="0"/>
              <w:rPr>
                <w:rFonts w:ascii="Times New Roman" w:hAnsi="Times New Roman" w:eastAsia="宋体" w:cs="Times New Roman"/>
                <w:sz w:val="18"/>
                <w:szCs w:val="18"/>
              </w:rPr>
            </w:pPr>
            <w:r>
              <w:rPr>
                <w:rFonts w:ascii="Times New Roman" w:hAnsi="Times New Roman" w:eastAsia="宋体" w:cs="Times New Roman"/>
                <w:sz w:val="18"/>
                <w:szCs w:val="18"/>
              </w:rPr>
              <w:t>煤或</w:t>
            </w:r>
            <w:r>
              <w:rPr>
                <w:rFonts w:hint="eastAsia" w:ascii="Times New Roman" w:hAnsi="Times New Roman" w:eastAsia="宋体" w:cs="Times New Roman"/>
                <w:sz w:val="18"/>
                <w:szCs w:val="18"/>
              </w:rPr>
              <w:t>天然</w:t>
            </w:r>
            <w:r>
              <w:rPr>
                <w:rFonts w:ascii="Times New Roman" w:hAnsi="Times New Roman" w:eastAsia="宋体" w:cs="Times New Roman"/>
                <w:sz w:val="18"/>
                <w:szCs w:val="18"/>
              </w:rPr>
              <w:t>气</w:t>
            </w:r>
            <w:r>
              <w:rPr>
                <w:rFonts w:ascii="Times New Roman" w:hAnsi="Times New Roman" w:eastAsia="宋体" w:cs="Times New Roman"/>
                <w:kern w:val="0"/>
                <w:sz w:val="18"/>
                <w:szCs w:val="18"/>
              </w:rPr>
              <w:t>等燃料燃烧产生的温室气体排放</w:t>
            </w:r>
          </w:p>
        </w:tc>
        <w:tc>
          <w:tcPr>
            <w:tcW w:w="597" w:type="pct"/>
            <w:vAlign w:val="center"/>
          </w:tcPr>
          <w:p w14:paraId="35550890">
            <w:pPr>
              <w:snapToGrid w:val="0"/>
              <w:rPr>
                <w:rFonts w:ascii="Times New Roman" w:hAnsi="Times New Roman" w:eastAsia="宋体" w:cs="Times New Roman"/>
                <w:sz w:val="18"/>
                <w:szCs w:val="18"/>
              </w:rPr>
            </w:pPr>
            <w:r>
              <w:rPr>
                <w:rFonts w:hint="eastAsia" w:ascii="Times New Roman" w:hAnsi="Times New Roman" w:eastAsia="宋体" w:cs="Times New Roman"/>
                <w:sz w:val="18"/>
                <w:szCs w:val="18"/>
              </w:rPr>
              <w:t>直接排放</w:t>
            </w:r>
          </w:p>
        </w:tc>
        <w:tc>
          <w:tcPr>
            <w:tcW w:w="1159" w:type="pct"/>
            <w:vAlign w:val="center"/>
          </w:tcPr>
          <w:p w14:paraId="5CA30BE8">
            <w:pPr>
              <w:snapToGrid w:val="0"/>
              <w:rPr>
                <w:rFonts w:ascii="Times New Roman" w:hAnsi="Times New Roman" w:eastAsia="宋体" w:cs="Times New Roman"/>
                <w:sz w:val="18"/>
                <w:szCs w:val="18"/>
              </w:rPr>
            </w:pPr>
            <w:r>
              <w:rPr>
                <w:rFonts w:ascii="Times New Roman" w:hAnsi="Times New Roman" w:eastAsia="宋体" w:cs="Times New Roman"/>
                <w:sz w:val="18"/>
                <w:szCs w:val="18"/>
              </w:rPr>
              <w:t>电站锅炉、燃气轮机、工业锅炉、熔炼炉、食堂炉灶</w:t>
            </w:r>
            <w:r>
              <w:rPr>
                <w:rFonts w:hint="eastAsia" w:ascii="Times New Roman" w:hAnsi="Times New Roman" w:eastAsia="宋体" w:cs="Times New Roman"/>
                <w:sz w:val="18"/>
                <w:szCs w:val="18"/>
              </w:rPr>
              <w:t>等</w:t>
            </w:r>
          </w:p>
        </w:tc>
      </w:tr>
      <w:tr w14:paraId="50803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378" w:type="pct"/>
            <w:vAlign w:val="center"/>
          </w:tcPr>
          <w:p w14:paraId="607B1753">
            <w:pPr>
              <w:snapToGrid w:val="0"/>
              <w:rPr>
                <w:rFonts w:ascii="Times New Roman" w:hAnsi="Times New Roman" w:eastAsia="宋体" w:cs="Times New Roman"/>
                <w:sz w:val="18"/>
                <w:szCs w:val="18"/>
              </w:rPr>
            </w:pPr>
            <w:r>
              <w:rPr>
                <w:rFonts w:ascii="Times New Roman" w:hAnsi="Times New Roman" w:eastAsia="宋体" w:cs="Times New Roman"/>
                <w:sz w:val="18"/>
                <w:szCs w:val="18"/>
              </w:rPr>
              <w:t>移动燃烧源</w:t>
            </w:r>
          </w:p>
        </w:tc>
        <w:tc>
          <w:tcPr>
            <w:tcW w:w="1866" w:type="pct"/>
            <w:vAlign w:val="center"/>
          </w:tcPr>
          <w:p w14:paraId="6D3AAEE1">
            <w:pPr>
              <w:snapToGrid w:val="0"/>
              <w:rPr>
                <w:rFonts w:ascii="Times New Roman" w:hAnsi="Times New Roman" w:eastAsia="宋体" w:cs="Times New Roman"/>
                <w:sz w:val="18"/>
                <w:szCs w:val="18"/>
              </w:rPr>
            </w:pPr>
            <w:r>
              <w:rPr>
                <w:rFonts w:ascii="Times New Roman" w:hAnsi="Times New Roman" w:eastAsia="宋体" w:cs="Times New Roman"/>
                <w:sz w:val="18"/>
                <w:szCs w:val="18"/>
              </w:rPr>
              <w:t>使用汽油或柴油的车辆产生的温室气体排放</w:t>
            </w:r>
          </w:p>
        </w:tc>
        <w:tc>
          <w:tcPr>
            <w:tcW w:w="597" w:type="pct"/>
            <w:vAlign w:val="center"/>
          </w:tcPr>
          <w:p w14:paraId="301878EA">
            <w:pPr>
              <w:snapToGrid w:val="0"/>
              <w:rPr>
                <w:rFonts w:ascii="Times New Roman" w:hAnsi="Times New Roman" w:eastAsia="宋体" w:cs="Times New Roman"/>
                <w:sz w:val="18"/>
                <w:szCs w:val="18"/>
              </w:rPr>
            </w:pPr>
            <w:r>
              <w:rPr>
                <w:rFonts w:hint="eastAsia" w:ascii="Times New Roman" w:hAnsi="Times New Roman" w:eastAsia="宋体" w:cs="Times New Roman"/>
                <w:sz w:val="18"/>
                <w:szCs w:val="18"/>
              </w:rPr>
              <w:t>直接排放</w:t>
            </w:r>
          </w:p>
        </w:tc>
        <w:tc>
          <w:tcPr>
            <w:tcW w:w="1159" w:type="pct"/>
            <w:vAlign w:val="center"/>
          </w:tcPr>
          <w:p w14:paraId="7F53E4DF">
            <w:pPr>
              <w:snapToGrid w:val="0"/>
              <w:rPr>
                <w:rFonts w:ascii="Times New Roman" w:hAnsi="Times New Roman" w:eastAsia="宋体" w:cs="Times New Roman"/>
                <w:sz w:val="18"/>
                <w:szCs w:val="18"/>
              </w:rPr>
            </w:pPr>
            <w:r>
              <w:rPr>
                <w:rFonts w:ascii="Times New Roman" w:hAnsi="Times New Roman" w:eastAsia="宋体" w:cs="Times New Roman"/>
                <w:sz w:val="18"/>
                <w:szCs w:val="18"/>
              </w:rPr>
              <w:t>燃油叉车、公务用车、货车等</w:t>
            </w:r>
          </w:p>
        </w:tc>
      </w:tr>
      <w:tr w14:paraId="07E71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0" w:type="pct"/>
            <w:gridSpan w:val="4"/>
            <w:shd w:val="clear" w:color="auto" w:fill="D8D8D8" w:themeFill="background1" w:themeFillShade="D9"/>
            <w:vAlign w:val="center"/>
          </w:tcPr>
          <w:p w14:paraId="612C9F46">
            <w:pPr>
              <w:snapToGrid w:val="0"/>
              <w:rPr>
                <w:rFonts w:ascii="Times New Roman" w:hAnsi="Times New Roman" w:eastAsia="宋体" w:cs="Times New Roman"/>
                <w:b/>
                <w:sz w:val="18"/>
                <w:szCs w:val="18"/>
              </w:rPr>
            </w:pPr>
            <w:r>
              <w:rPr>
                <w:rFonts w:ascii="Times New Roman" w:hAnsi="Times New Roman" w:eastAsia="宋体" w:cs="Times New Roman"/>
                <w:b/>
                <w:sz w:val="18"/>
                <w:szCs w:val="18"/>
              </w:rPr>
              <w:t>过程排放</w:t>
            </w:r>
          </w:p>
        </w:tc>
      </w:tr>
      <w:tr w14:paraId="6780D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378" w:type="pct"/>
            <w:vAlign w:val="center"/>
          </w:tcPr>
          <w:p w14:paraId="47AB3D74">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生产过程排放源*</w:t>
            </w:r>
          </w:p>
        </w:tc>
        <w:tc>
          <w:tcPr>
            <w:tcW w:w="1866" w:type="pct"/>
            <w:vAlign w:val="center"/>
          </w:tcPr>
          <w:p w14:paraId="0F616E59">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由于原材料的物理、化学或生物转化过程（而非燃料燃烧或能源消耗）直接产生的温室气体排放</w:t>
            </w:r>
          </w:p>
        </w:tc>
        <w:tc>
          <w:tcPr>
            <w:tcW w:w="597" w:type="pct"/>
            <w:vAlign w:val="center"/>
          </w:tcPr>
          <w:p w14:paraId="29B5DB89">
            <w:pPr>
              <w:snapToGrid w:val="0"/>
              <w:rPr>
                <w:rFonts w:ascii="Times New Roman" w:hAnsi="Times New Roman" w:eastAsia="宋体" w:cs="Times New Roman"/>
                <w:kern w:val="0"/>
                <w:sz w:val="18"/>
                <w:szCs w:val="18"/>
              </w:rPr>
            </w:pPr>
            <w:r>
              <w:rPr>
                <w:rFonts w:hint="eastAsia" w:ascii="Times New Roman" w:hAnsi="Times New Roman" w:eastAsia="宋体" w:cs="Times New Roman"/>
                <w:sz w:val="18"/>
                <w:szCs w:val="18"/>
              </w:rPr>
              <w:t>直接排放</w:t>
            </w:r>
          </w:p>
        </w:tc>
        <w:tc>
          <w:tcPr>
            <w:tcW w:w="1159" w:type="pct"/>
            <w:vAlign w:val="center"/>
          </w:tcPr>
          <w:p w14:paraId="27D312B1">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氧化铝回转炉、合成氨造气炉、水泥立窑等</w:t>
            </w:r>
          </w:p>
        </w:tc>
      </w:tr>
      <w:tr w14:paraId="734D0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378" w:type="pct"/>
            <w:vAlign w:val="center"/>
          </w:tcPr>
          <w:p w14:paraId="6EBBB197">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废弃物处理处置过程排放源</w:t>
            </w:r>
          </w:p>
        </w:tc>
        <w:tc>
          <w:tcPr>
            <w:tcW w:w="1866" w:type="pct"/>
            <w:vAlign w:val="center"/>
          </w:tcPr>
          <w:p w14:paraId="3198F314">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废弃物处理处置过程</w:t>
            </w:r>
            <w:r>
              <w:rPr>
                <w:rFonts w:ascii="Times New Roman" w:hAnsi="Times New Roman" w:eastAsia="宋体" w:cs="Times New Roman"/>
                <w:sz w:val="18"/>
                <w:szCs w:val="18"/>
              </w:rPr>
              <w:t>产生的温室气体排放</w:t>
            </w:r>
          </w:p>
        </w:tc>
        <w:tc>
          <w:tcPr>
            <w:tcW w:w="597" w:type="pct"/>
            <w:vAlign w:val="center"/>
          </w:tcPr>
          <w:p w14:paraId="51AF6784">
            <w:pPr>
              <w:snapToGrid w:val="0"/>
              <w:rPr>
                <w:rFonts w:ascii="Times New Roman" w:hAnsi="Times New Roman" w:eastAsia="宋体" w:cs="Times New Roman"/>
                <w:kern w:val="0"/>
                <w:sz w:val="18"/>
                <w:szCs w:val="18"/>
              </w:rPr>
            </w:pPr>
            <w:r>
              <w:rPr>
                <w:rFonts w:hint="eastAsia" w:ascii="Times New Roman" w:hAnsi="Times New Roman" w:eastAsia="宋体" w:cs="Times New Roman"/>
                <w:sz w:val="18"/>
                <w:szCs w:val="18"/>
              </w:rPr>
              <w:t>直接排放</w:t>
            </w:r>
          </w:p>
        </w:tc>
        <w:tc>
          <w:tcPr>
            <w:tcW w:w="1159" w:type="pct"/>
            <w:vAlign w:val="center"/>
          </w:tcPr>
          <w:p w14:paraId="53B21E9B">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工业企业污水处理系统（化粪池、废水处理设施）、城镇污水处理厂、垃圾填埋场等</w:t>
            </w:r>
          </w:p>
        </w:tc>
      </w:tr>
      <w:tr w14:paraId="43584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378" w:type="pct"/>
            <w:tcBorders>
              <w:bottom w:val="single" w:color="000000" w:sz="4" w:space="0"/>
            </w:tcBorders>
            <w:vAlign w:val="center"/>
          </w:tcPr>
          <w:p w14:paraId="1763F51A">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无组织（逸散）排放源</w:t>
            </w:r>
          </w:p>
        </w:tc>
        <w:tc>
          <w:tcPr>
            <w:tcW w:w="1866" w:type="pct"/>
            <w:tcBorders>
              <w:bottom w:val="single" w:color="000000" w:sz="4" w:space="0"/>
            </w:tcBorders>
            <w:vAlign w:val="center"/>
          </w:tcPr>
          <w:p w14:paraId="70BE95DF">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非有意、非受控且无明确排放点的温室气体泄漏或释放</w:t>
            </w:r>
          </w:p>
        </w:tc>
        <w:tc>
          <w:tcPr>
            <w:tcW w:w="597" w:type="pct"/>
            <w:vAlign w:val="center"/>
          </w:tcPr>
          <w:p w14:paraId="4A524689">
            <w:pPr>
              <w:snapToGrid w:val="0"/>
              <w:rPr>
                <w:rFonts w:ascii="Times New Roman" w:hAnsi="Times New Roman" w:eastAsia="宋体" w:cs="Times New Roman"/>
                <w:kern w:val="0"/>
                <w:sz w:val="18"/>
                <w:szCs w:val="18"/>
              </w:rPr>
            </w:pPr>
            <w:r>
              <w:rPr>
                <w:rFonts w:hint="eastAsia" w:ascii="Times New Roman" w:hAnsi="Times New Roman" w:eastAsia="宋体" w:cs="Times New Roman"/>
                <w:sz w:val="18"/>
                <w:szCs w:val="18"/>
              </w:rPr>
              <w:t>直接排放</w:t>
            </w:r>
          </w:p>
        </w:tc>
        <w:tc>
          <w:tcPr>
            <w:tcW w:w="1159" w:type="pct"/>
            <w:tcBorders>
              <w:bottom w:val="single" w:color="000000" w:sz="4" w:space="0"/>
            </w:tcBorders>
            <w:vAlign w:val="center"/>
          </w:tcPr>
          <w:p w14:paraId="5A888B63">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矿坑、天然气处理设施、变压器、空调和制冷设备、灭火器等</w:t>
            </w:r>
          </w:p>
        </w:tc>
      </w:tr>
      <w:tr w14:paraId="11643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0" w:type="pct"/>
            <w:gridSpan w:val="4"/>
            <w:shd w:val="clear" w:color="auto" w:fill="D8D8D8" w:themeFill="background1" w:themeFillShade="D9"/>
            <w:vAlign w:val="center"/>
          </w:tcPr>
          <w:p w14:paraId="6E10B107">
            <w:pPr>
              <w:snapToGrid w:val="0"/>
              <w:rPr>
                <w:rFonts w:ascii="Times New Roman" w:hAnsi="Times New Roman" w:eastAsia="宋体" w:cs="Times New Roman"/>
                <w:kern w:val="0"/>
                <w:sz w:val="18"/>
                <w:szCs w:val="18"/>
              </w:rPr>
            </w:pPr>
            <w:r>
              <w:rPr>
                <w:rFonts w:ascii="Times New Roman" w:hAnsi="Times New Roman" w:eastAsia="宋体" w:cs="Times New Roman"/>
                <w:b/>
                <w:sz w:val="18"/>
                <w:szCs w:val="18"/>
              </w:rPr>
              <w:t>购入的电力与热力产生的排放</w:t>
            </w:r>
          </w:p>
        </w:tc>
      </w:tr>
      <w:tr w14:paraId="7E21F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378" w:type="pct"/>
            <w:vAlign w:val="center"/>
          </w:tcPr>
          <w:p w14:paraId="6AB3FE36">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输入电力产生的排放</w:t>
            </w:r>
          </w:p>
        </w:tc>
        <w:tc>
          <w:tcPr>
            <w:tcW w:w="1866" w:type="pct"/>
            <w:vAlign w:val="center"/>
          </w:tcPr>
          <w:p w14:paraId="162C5A27">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产品生产所使用的耗电设备消耗电力产生的间接排放</w:t>
            </w:r>
          </w:p>
        </w:tc>
        <w:tc>
          <w:tcPr>
            <w:tcW w:w="597" w:type="pct"/>
            <w:vAlign w:val="center"/>
          </w:tcPr>
          <w:p w14:paraId="3F800947">
            <w:pPr>
              <w:snapToGrid w:val="0"/>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间接排放</w:t>
            </w:r>
          </w:p>
        </w:tc>
        <w:tc>
          <w:tcPr>
            <w:tcW w:w="1159" w:type="pct"/>
            <w:vAlign w:val="center"/>
          </w:tcPr>
          <w:p w14:paraId="3E8B394C">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生产设备、环保设备、动力设备等</w:t>
            </w:r>
          </w:p>
        </w:tc>
      </w:tr>
      <w:tr w14:paraId="61EAA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378" w:type="pct"/>
            <w:tcBorders>
              <w:bottom w:val="single" w:color="000000" w:sz="4" w:space="0"/>
            </w:tcBorders>
            <w:vAlign w:val="center"/>
          </w:tcPr>
          <w:p w14:paraId="551C75D9">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电力之外的输入能源产生的排放</w:t>
            </w:r>
          </w:p>
        </w:tc>
        <w:tc>
          <w:tcPr>
            <w:tcW w:w="1866" w:type="pct"/>
            <w:tcBorders>
              <w:bottom w:val="single" w:color="000000" w:sz="4" w:space="0"/>
            </w:tcBorders>
            <w:vAlign w:val="center"/>
          </w:tcPr>
          <w:p w14:paraId="3FE1E5BE">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产品生产使用外购热力产生的间接排放</w:t>
            </w:r>
          </w:p>
        </w:tc>
        <w:tc>
          <w:tcPr>
            <w:tcW w:w="597" w:type="pct"/>
            <w:vAlign w:val="center"/>
          </w:tcPr>
          <w:p w14:paraId="0A337DD6">
            <w:pPr>
              <w:snapToGrid w:val="0"/>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间接排放</w:t>
            </w:r>
          </w:p>
        </w:tc>
        <w:tc>
          <w:tcPr>
            <w:tcW w:w="1159" w:type="pct"/>
            <w:tcBorders>
              <w:bottom w:val="single" w:color="000000" w:sz="4" w:space="0"/>
            </w:tcBorders>
            <w:vAlign w:val="center"/>
          </w:tcPr>
          <w:p w14:paraId="583770AE">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蒸汽烘干房等</w:t>
            </w:r>
          </w:p>
        </w:tc>
      </w:tr>
      <w:tr w14:paraId="6B70D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0" w:type="pct"/>
            <w:gridSpan w:val="4"/>
            <w:shd w:val="clear" w:color="auto" w:fill="D8D8D8" w:themeFill="background1" w:themeFillShade="D9"/>
            <w:vAlign w:val="center"/>
          </w:tcPr>
          <w:p w14:paraId="350066B4">
            <w:pPr>
              <w:snapToGrid w:val="0"/>
              <w:rPr>
                <w:rFonts w:ascii="Times New Roman" w:hAnsi="Times New Roman" w:eastAsia="宋体" w:cs="Times New Roman"/>
                <w:b/>
                <w:bCs/>
                <w:kern w:val="0"/>
                <w:sz w:val="18"/>
                <w:szCs w:val="18"/>
              </w:rPr>
            </w:pPr>
            <w:r>
              <w:rPr>
                <w:rFonts w:ascii="Times New Roman" w:hAnsi="Times New Roman" w:eastAsia="宋体" w:cs="Times New Roman"/>
                <w:b/>
                <w:bCs/>
                <w:kern w:val="0"/>
                <w:sz w:val="18"/>
                <w:szCs w:val="18"/>
              </w:rPr>
              <w:t>特殊排放</w:t>
            </w:r>
          </w:p>
        </w:tc>
      </w:tr>
      <w:tr w14:paraId="5EFE6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378" w:type="pct"/>
            <w:vAlign w:val="center"/>
          </w:tcPr>
          <w:p w14:paraId="55BE92B0">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生物质燃料燃烧源</w:t>
            </w:r>
          </w:p>
        </w:tc>
        <w:tc>
          <w:tcPr>
            <w:tcW w:w="1866" w:type="pct"/>
            <w:vAlign w:val="center"/>
          </w:tcPr>
          <w:p w14:paraId="0B0E46A1">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生物质燃料燃烧产生的温室气体排放</w:t>
            </w:r>
          </w:p>
        </w:tc>
        <w:tc>
          <w:tcPr>
            <w:tcW w:w="597" w:type="pct"/>
            <w:vAlign w:val="center"/>
          </w:tcPr>
          <w:p w14:paraId="6034EE03">
            <w:pPr>
              <w:snapToGrid w:val="0"/>
              <w:rPr>
                <w:rFonts w:ascii="Times New Roman" w:hAnsi="Times New Roman" w:eastAsia="宋体" w:cs="Times New Roman"/>
                <w:kern w:val="0"/>
                <w:sz w:val="18"/>
                <w:szCs w:val="18"/>
              </w:rPr>
            </w:pPr>
            <w:bookmarkStart w:id="146" w:name="OLE_LINK37"/>
            <w:r>
              <w:rPr>
                <w:rFonts w:hint="eastAsia" w:ascii="Times New Roman" w:hAnsi="Times New Roman" w:eastAsia="宋体" w:cs="Times New Roman"/>
                <w:kern w:val="0"/>
                <w:sz w:val="18"/>
                <w:szCs w:val="18"/>
              </w:rPr>
              <w:t>特殊排放</w:t>
            </w:r>
            <w:bookmarkEnd w:id="146"/>
          </w:p>
        </w:tc>
        <w:tc>
          <w:tcPr>
            <w:tcW w:w="1159" w:type="pct"/>
            <w:vAlign w:val="center"/>
          </w:tcPr>
          <w:p w14:paraId="3DB8360D">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生物质锅炉</w:t>
            </w:r>
          </w:p>
        </w:tc>
      </w:tr>
      <w:tr w14:paraId="79432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378" w:type="pct"/>
            <w:vAlign w:val="center"/>
          </w:tcPr>
          <w:p w14:paraId="7CF0ECD3">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产品隐含碳</w:t>
            </w:r>
          </w:p>
        </w:tc>
        <w:tc>
          <w:tcPr>
            <w:tcW w:w="1866" w:type="pct"/>
            <w:vAlign w:val="center"/>
          </w:tcPr>
          <w:p w14:paraId="41BA547C">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产品在全生命周期中直接或间接产生的温室气体排放</w:t>
            </w:r>
          </w:p>
        </w:tc>
        <w:tc>
          <w:tcPr>
            <w:tcW w:w="597" w:type="pct"/>
            <w:vAlign w:val="center"/>
          </w:tcPr>
          <w:p w14:paraId="1791F623">
            <w:pPr>
              <w:snapToGrid w:val="0"/>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特殊排放</w:t>
            </w:r>
          </w:p>
        </w:tc>
        <w:tc>
          <w:tcPr>
            <w:tcW w:w="1159" w:type="pct"/>
            <w:vAlign w:val="center"/>
          </w:tcPr>
          <w:p w14:paraId="24480060">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钢铁产品</w:t>
            </w:r>
          </w:p>
        </w:tc>
      </w:tr>
    </w:tbl>
    <w:p w14:paraId="0AED81CD">
      <w:pPr>
        <w:overflowPunct w:val="0"/>
        <w:rPr>
          <w:rFonts w:ascii="Times New Roman" w:hAnsi="Times New Roman" w:eastAsia="黑体" w:cs="Times New Roman"/>
          <w:kern w:val="0"/>
          <w:sz w:val="18"/>
          <w:szCs w:val="18"/>
        </w:rPr>
      </w:pPr>
      <w:r>
        <w:rPr>
          <w:rFonts w:ascii="Times New Roman" w:hAnsi="Times New Roman" w:eastAsia="黑体" w:cs="Times New Roman"/>
          <w:kern w:val="0"/>
          <w:sz w:val="18"/>
          <w:szCs w:val="18"/>
        </w:rPr>
        <w:t>*“生产过程排放源”通常与生产工艺的特性紧密相关，其产生机制与原材料的成分、工艺条件（如温度、压力、催化剂）或化学反应路径直接关联。</w:t>
      </w:r>
    </w:p>
    <w:p w14:paraId="26CCA72E">
      <w:pPr>
        <w:overflowPunct w:val="0"/>
        <w:rPr>
          <w:rFonts w:ascii="Times New Roman" w:hAnsi="Times New Roman" w:eastAsia="黑体" w:cs="Times New Roman"/>
          <w:kern w:val="0"/>
          <w:sz w:val="18"/>
          <w:szCs w:val="18"/>
        </w:rPr>
      </w:pPr>
    </w:p>
    <w:p w14:paraId="047F4ECA">
      <w:pPr>
        <w:overflowPunct w:val="0"/>
        <w:rPr>
          <w:rFonts w:ascii="Times New Roman" w:hAnsi="Times New Roman" w:eastAsia="黑体" w:cs="Times New Roman"/>
          <w:kern w:val="0"/>
          <w:sz w:val="18"/>
          <w:szCs w:val="18"/>
        </w:rPr>
      </w:pPr>
    </w:p>
    <w:p w14:paraId="1126FF78">
      <w:pPr>
        <w:overflowPunct w:val="0"/>
        <w:rPr>
          <w:rFonts w:ascii="Times New Roman" w:hAnsi="Times New Roman" w:eastAsia="黑体" w:cs="Times New Roman"/>
          <w:kern w:val="0"/>
          <w:sz w:val="18"/>
          <w:szCs w:val="18"/>
        </w:rPr>
      </w:pPr>
    </w:p>
    <w:p w14:paraId="16E5D07D">
      <w:pPr>
        <w:overflowPunct w:val="0"/>
        <w:rPr>
          <w:rFonts w:ascii="Times New Roman" w:hAnsi="Times New Roman" w:eastAsia="黑体" w:cs="Times New Roman"/>
          <w:kern w:val="0"/>
          <w:sz w:val="18"/>
          <w:szCs w:val="18"/>
        </w:rPr>
        <w:sectPr>
          <w:pgSz w:w="11906" w:h="16838"/>
          <w:pgMar w:top="1440" w:right="1800" w:bottom="1440" w:left="1800" w:header="851" w:footer="992" w:gutter="0"/>
          <w:cols w:space="425" w:num="1"/>
          <w:docGrid w:type="lines" w:linePitch="286" w:charSpace="0"/>
        </w:sectPr>
      </w:pPr>
    </w:p>
    <w:p w14:paraId="0CAD5EBF">
      <w:pPr>
        <w:spacing w:before="286" w:beforeLines="100" w:after="286" w:afterLines="100"/>
        <w:jc w:val="center"/>
        <w:rPr>
          <w:rFonts w:ascii="Times New Roman" w:hAnsi="Times New Roman" w:eastAsia="宋体" w:cs="Times New Roman"/>
          <w:color w:val="4472C4" w:themeColor="accent1"/>
          <w:kern w:val="0"/>
          <w14:textFill>
            <w14:solidFill>
              <w14:schemeClr w14:val="accent1"/>
            </w14:solidFill>
          </w14:textFill>
        </w:rPr>
      </w:pPr>
      <w:r>
        <w:rPr>
          <w:rFonts w:ascii="Times New Roman" w:hAnsi="Times New Roman" w:eastAsia="黑体" w:cs="Times New Roman"/>
          <w:szCs w:val="21"/>
        </w:rPr>
        <w:t>表</w:t>
      </w:r>
      <w:r>
        <w:rPr>
          <w:rFonts w:hint="eastAsia" w:ascii="Times New Roman" w:hAnsi="Times New Roman" w:eastAsia="黑体" w:cs="Times New Roman"/>
          <w:szCs w:val="21"/>
        </w:rPr>
        <w:t>C</w:t>
      </w:r>
      <w:r>
        <w:rPr>
          <w:rFonts w:ascii="Times New Roman" w:hAnsi="Times New Roman" w:eastAsia="黑体" w:cs="Times New Roman"/>
          <w:szCs w:val="21"/>
        </w:rPr>
        <w:t>.2　典型行业过程排放源识别示例</w:t>
      </w:r>
    </w:p>
    <w:tbl>
      <w:tblPr>
        <w:tblStyle w:val="25"/>
        <w:tblW w:w="87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38"/>
        <w:gridCol w:w="4961"/>
        <w:gridCol w:w="1974"/>
      </w:tblGrid>
      <w:tr w14:paraId="2C67E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773" w:type="dxa"/>
            <w:gridSpan w:val="3"/>
            <w:tcBorders>
              <w:left w:val="single" w:color="auto" w:sz="4" w:space="0"/>
            </w:tcBorders>
            <w:shd w:val="clear" w:color="auto" w:fill="D8D8D8" w:themeFill="background1" w:themeFillShade="D9"/>
            <w:vAlign w:val="center"/>
          </w:tcPr>
          <w:p w14:paraId="1EE0AD5F">
            <w:pPr>
              <w:snapToGrid w:val="0"/>
              <w:rPr>
                <w:rFonts w:ascii="Times New Roman" w:hAnsi="Times New Roman" w:eastAsia="宋体" w:cs="Times New Roman"/>
                <w:b/>
                <w:sz w:val="18"/>
                <w:szCs w:val="18"/>
              </w:rPr>
            </w:pPr>
            <w:r>
              <w:rPr>
                <w:rFonts w:ascii="Times New Roman" w:hAnsi="Times New Roman" w:eastAsia="宋体" w:cs="Times New Roman"/>
                <w:b/>
                <w:sz w:val="18"/>
                <w:szCs w:val="18"/>
              </w:rPr>
              <w:t>生产过程排放源</w:t>
            </w:r>
          </w:p>
        </w:tc>
      </w:tr>
      <w:tr w14:paraId="12861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tcBorders>
              <w:left w:val="single" w:color="auto" w:sz="4" w:space="0"/>
            </w:tcBorders>
            <w:vAlign w:val="center"/>
          </w:tcPr>
          <w:p w14:paraId="299E29A5">
            <w:pPr>
              <w:snapToGrid w:val="0"/>
              <w:rPr>
                <w:rFonts w:ascii="Times New Roman" w:hAnsi="Times New Roman" w:eastAsia="宋体" w:cs="Times New Roman"/>
                <w:b/>
                <w:sz w:val="18"/>
                <w:szCs w:val="18"/>
                <w:lang w:eastAsia="en-US"/>
              </w:rPr>
            </w:pPr>
            <w:r>
              <w:rPr>
                <w:rFonts w:ascii="Times New Roman" w:hAnsi="Times New Roman" w:eastAsia="宋体" w:cs="Times New Roman"/>
                <w:b/>
                <w:sz w:val="18"/>
                <w:szCs w:val="18"/>
              </w:rPr>
              <w:t>行业</w:t>
            </w:r>
          </w:p>
        </w:tc>
        <w:tc>
          <w:tcPr>
            <w:tcW w:w="4961" w:type="dxa"/>
            <w:vAlign w:val="center"/>
          </w:tcPr>
          <w:p w14:paraId="33B07389">
            <w:pPr>
              <w:snapToGrid w:val="0"/>
              <w:rPr>
                <w:rFonts w:ascii="Times New Roman" w:hAnsi="Times New Roman" w:eastAsia="宋体" w:cs="Times New Roman"/>
                <w:b/>
                <w:sz w:val="18"/>
                <w:szCs w:val="18"/>
                <w:lang w:eastAsia="en-US"/>
              </w:rPr>
            </w:pPr>
            <w:r>
              <w:rPr>
                <w:rFonts w:ascii="Times New Roman" w:hAnsi="Times New Roman" w:eastAsia="宋体" w:cs="Times New Roman"/>
                <w:b/>
                <w:sz w:val="18"/>
                <w:szCs w:val="18"/>
              </w:rPr>
              <w:t>典型生产过程排放源</w:t>
            </w:r>
          </w:p>
        </w:tc>
        <w:tc>
          <w:tcPr>
            <w:tcW w:w="1974" w:type="dxa"/>
            <w:vAlign w:val="center"/>
          </w:tcPr>
          <w:p w14:paraId="134D2B62">
            <w:pPr>
              <w:snapToGrid w:val="0"/>
              <w:rPr>
                <w:rFonts w:ascii="Times New Roman" w:hAnsi="Times New Roman" w:eastAsia="宋体" w:cs="Times New Roman"/>
                <w:b/>
                <w:sz w:val="18"/>
                <w:szCs w:val="18"/>
              </w:rPr>
            </w:pPr>
            <w:r>
              <w:rPr>
                <w:rFonts w:ascii="Times New Roman" w:hAnsi="Times New Roman" w:eastAsia="宋体" w:cs="Times New Roman"/>
                <w:b/>
                <w:bCs/>
                <w:sz w:val="18"/>
                <w:szCs w:val="18"/>
              </w:rPr>
              <w:t>温室气体类型</w:t>
            </w:r>
          </w:p>
        </w:tc>
      </w:tr>
      <w:tr w14:paraId="126CC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vAlign w:val="center"/>
          </w:tcPr>
          <w:p w14:paraId="3CF5E950">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水泥制造</w:t>
            </w:r>
          </w:p>
        </w:tc>
        <w:tc>
          <w:tcPr>
            <w:tcW w:w="4961" w:type="dxa"/>
            <w:vAlign w:val="center"/>
          </w:tcPr>
          <w:p w14:paraId="41047E26">
            <w:pPr>
              <w:snapToGrid w:val="0"/>
              <w:rPr>
                <w:rFonts w:ascii="Times New Roman" w:hAnsi="Times New Roman" w:eastAsia="宋体" w:cs="Times New Roman"/>
                <w:sz w:val="18"/>
                <w:szCs w:val="18"/>
              </w:rPr>
            </w:pPr>
            <w:r>
              <w:rPr>
                <w:rFonts w:ascii="Times New Roman" w:hAnsi="Times New Roman" w:eastAsia="宋体" w:cs="Times New Roman"/>
                <w:sz w:val="18"/>
                <w:szCs w:val="18"/>
              </w:rPr>
              <w:t>石灰石（CaCO₃）煅烧分解为CaO和CO₂</w:t>
            </w:r>
          </w:p>
        </w:tc>
        <w:tc>
          <w:tcPr>
            <w:tcW w:w="1974" w:type="dxa"/>
            <w:vAlign w:val="center"/>
          </w:tcPr>
          <w:p w14:paraId="64685AB5">
            <w:pPr>
              <w:snapToGrid w:val="0"/>
              <w:rPr>
                <w:rFonts w:ascii="Times New Roman" w:hAnsi="Times New Roman" w:eastAsia="宋体" w:cs="Times New Roman"/>
                <w:sz w:val="18"/>
                <w:szCs w:val="18"/>
              </w:rPr>
            </w:pPr>
            <w:r>
              <w:rPr>
                <w:rFonts w:ascii="Times New Roman" w:hAnsi="Times New Roman" w:eastAsia="宋体" w:cs="Times New Roman"/>
                <w:sz w:val="18"/>
                <w:szCs w:val="18"/>
              </w:rPr>
              <w:t>CO₂</w:t>
            </w:r>
          </w:p>
        </w:tc>
      </w:tr>
      <w:tr w14:paraId="49692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vAlign w:val="center"/>
          </w:tcPr>
          <w:p w14:paraId="6513D5F2">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钢铁冶金</w:t>
            </w:r>
          </w:p>
        </w:tc>
        <w:tc>
          <w:tcPr>
            <w:tcW w:w="4961" w:type="dxa"/>
            <w:vAlign w:val="center"/>
          </w:tcPr>
          <w:p w14:paraId="45038CFD">
            <w:pPr>
              <w:snapToGrid w:val="0"/>
              <w:rPr>
                <w:rFonts w:ascii="Times New Roman" w:hAnsi="Times New Roman" w:eastAsia="宋体" w:cs="Times New Roman"/>
                <w:sz w:val="18"/>
                <w:szCs w:val="18"/>
              </w:rPr>
            </w:pPr>
            <w:r>
              <w:rPr>
                <w:rFonts w:ascii="Times New Roman" w:hAnsi="Times New Roman" w:eastAsia="宋体" w:cs="Times New Roman"/>
                <w:sz w:val="18"/>
                <w:szCs w:val="18"/>
              </w:rPr>
              <w:t>铁矿石还原（如高炉炼铁中焦炭作为还原剂生成CO₂）、脱碳反应</w:t>
            </w:r>
          </w:p>
        </w:tc>
        <w:tc>
          <w:tcPr>
            <w:tcW w:w="1974" w:type="dxa"/>
            <w:vAlign w:val="center"/>
          </w:tcPr>
          <w:p w14:paraId="3444AB37">
            <w:pPr>
              <w:snapToGrid w:val="0"/>
              <w:rPr>
                <w:rFonts w:ascii="Times New Roman" w:hAnsi="Times New Roman" w:eastAsia="宋体" w:cs="Times New Roman"/>
                <w:sz w:val="18"/>
                <w:szCs w:val="18"/>
              </w:rPr>
            </w:pPr>
            <w:r>
              <w:rPr>
                <w:rFonts w:ascii="Times New Roman" w:hAnsi="Times New Roman" w:eastAsia="宋体" w:cs="Times New Roman"/>
                <w:sz w:val="18"/>
                <w:szCs w:val="18"/>
              </w:rPr>
              <w:t>CO₂</w:t>
            </w:r>
          </w:p>
        </w:tc>
      </w:tr>
      <w:tr w14:paraId="5EE4D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vAlign w:val="center"/>
          </w:tcPr>
          <w:p w14:paraId="57BB2F25">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化工行业</w:t>
            </w:r>
          </w:p>
        </w:tc>
        <w:tc>
          <w:tcPr>
            <w:tcW w:w="4961" w:type="dxa"/>
            <w:vAlign w:val="center"/>
          </w:tcPr>
          <w:p w14:paraId="430C7C07">
            <w:pPr>
              <w:snapToGrid w:val="0"/>
              <w:rPr>
                <w:rFonts w:ascii="Times New Roman" w:hAnsi="Times New Roman" w:eastAsia="宋体" w:cs="Times New Roman"/>
                <w:sz w:val="18"/>
                <w:szCs w:val="18"/>
              </w:rPr>
            </w:pPr>
            <w:r>
              <w:rPr>
                <w:rFonts w:ascii="Times New Roman" w:hAnsi="Times New Roman" w:eastAsia="宋体" w:cs="Times New Roman"/>
                <w:sz w:val="18"/>
                <w:szCs w:val="18"/>
              </w:rPr>
              <w:t>合成氨过程中天然气重整的副反应、硝酸生产中的氧化反应（释放N₂O）</w:t>
            </w:r>
          </w:p>
        </w:tc>
        <w:tc>
          <w:tcPr>
            <w:tcW w:w="1974" w:type="dxa"/>
            <w:vAlign w:val="center"/>
          </w:tcPr>
          <w:p w14:paraId="50FEED5C">
            <w:pPr>
              <w:snapToGrid w:val="0"/>
              <w:rPr>
                <w:rFonts w:ascii="Times New Roman" w:hAnsi="Times New Roman" w:eastAsia="宋体" w:cs="Times New Roman"/>
                <w:sz w:val="18"/>
                <w:szCs w:val="18"/>
              </w:rPr>
            </w:pPr>
            <w:r>
              <w:rPr>
                <w:rFonts w:ascii="Times New Roman" w:hAnsi="Times New Roman" w:eastAsia="宋体" w:cs="Times New Roman"/>
                <w:sz w:val="18"/>
                <w:szCs w:val="18"/>
              </w:rPr>
              <w:t>CO₂、N₂O</w:t>
            </w:r>
          </w:p>
        </w:tc>
      </w:tr>
      <w:tr w14:paraId="02418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vAlign w:val="center"/>
          </w:tcPr>
          <w:p w14:paraId="6A81E803">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化肥生产</w:t>
            </w:r>
          </w:p>
        </w:tc>
        <w:tc>
          <w:tcPr>
            <w:tcW w:w="4961" w:type="dxa"/>
            <w:vAlign w:val="center"/>
          </w:tcPr>
          <w:p w14:paraId="14AEBE4B">
            <w:pPr>
              <w:snapToGrid w:val="0"/>
              <w:rPr>
                <w:rFonts w:ascii="Times New Roman" w:hAnsi="Times New Roman" w:eastAsia="宋体" w:cs="Times New Roman"/>
                <w:sz w:val="18"/>
                <w:szCs w:val="18"/>
              </w:rPr>
            </w:pPr>
            <w:r>
              <w:rPr>
                <w:rFonts w:ascii="Times New Roman" w:hAnsi="Times New Roman" w:eastAsia="宋体" w:cs="Times New Roman"/>
                <w:sz w:val="18"/>
                <w:szCs w:val="18"/>
              </w:rPr>
              <w:t>尿素生产中的氨合成与碳化反应</w:t>
            </w:r>
          </w:p>
        </w:tc>
        <w:tc>
          <w:tcPr>
            <w:tcW w:w="1974" w:type="dxa"/>
            <w:vAlign w:val="center"/>
          </w:tcPr>
          <w:p w14:paraId="0EC6F8C0">
            <w:pPr>
              <w:snapToGrid w:val="0"/>
              <w:rPr>
                <w:rFonts w:ascii="Times New Roman" w:hAnsi="Times New Roman" w:eastAsia="宋体" w:cs="Times New Roman"/>
                <w:sz w:val="18"/>
                <w:szCs w:val="18"/>
              </w:rPr>
            </w:pPr>
            <w:r>
              <w:rPr>
                <w:rFonts w:ascii="Times New Roman" w:hAnsi="Times New Roman" w:eastAsia="宋体" w:cs="Times New Roman"/>
                <w:sz w:val="18"/>
                <w:szCs w:val="18"/>
              </w:rPr>
              <w:t>CO₂、NH₃（间接）</w:t>
            </w:r>
          </w:p>
        </w:tc>
      </w:tr>
      <w:tr w14:paraId="09633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vAlign w:val="center"/>
          </w:tcPr>
          <w:p w14:paraId="72668531">
            <w:pPr>
              <w:snapToGrid w:val="0"/>
              <w:rPr>
                <w:rFonts w:ascii="Times New Roman" w:hAnsi="Times New Roman" w:eastAsia="宋体" w:cs="Times New Roman"/>
                <w:sz w:val="18"/>
                <w:szCs w:val="18"/>
              </w:rPr>
            </w:pPr>
            <w:r>
              <w:rPr>
                <w:rFonts w:ascii="Times New Roman" w:hAnsi="Times New Roman" w:eastAsia="宋体" w:cs="Times New Roman"/>
                <w:sz w:val="18"/>
                <w:szCs w:val="18"/>
              </w:rPr>
              <w:t>金属加工</w:t>
            </w:r>
          </w:p>
        </w:tc>
        <w:tc>
          <w:tcPr>
            <w:tcW w:w="4961" w:type="dxa"/>
            <w:vAlign w:val="center"/>
          </w:tcPr>
          <w:p w14:paraId="6210A45B">
            <w:pPr>
              <w:snapToGrid w:val="0"/>
              <w:rPr>
                <w:rFonts w:ascii="Times New Roman" w:hAnsi="Times New Roman" w:eastAsia="宋体" w:cs="Times New Roman"/>
                <w:sz w:val="18"/>
                <w:szCs w:val="18"/>
              </w:rPr>
            </w:pPr>
            <w:r>
              <w:rPr>
                <w:rFonts w:ascii="Times New Roman" w:hAnsi="Times New Roman" w:eastAsia="宋体" w:cs="Times New Roman"/>
                <w:sz w:val="18"/>
                <w:szCs w:val="18"/>
              </w:rPr>
              <w:t>铝冶炼中电解氧化铝（Al₂O₃）时阳极碳块与氧气反应生成CO₂</w:t>
            </w:r>
          </w:p>
        </w:tc>
        <w:tc>
          <w:tcPr>
            <w:tcW w:w="1974" w:type="dxa"/>
            <w:vAlign w:val="center"/>
          </w:tcPr>
          <w:p w14:paraId="337E2521">
            <w:pPr>
              <w:snapToGrid w:val="0"/>
              <w:rPr>
                <w:rFonts w:ascii="Times New Roman" w:hAnsi="Times New Roman" w:eastAsia="宋体" w:cs="Times New Roman"/>
                <w:sz w:val="18"/>
                <w:szCs w:val="18"/>
              </w:rPr>
            </w:pPr>
            <w:r>
              <w:rPr>
                <w:rFonts w:ascii="Times New Roman" w:hAnsi="Times New Roman" w:eastAsia="宋体" w:cs="Times New Roman"/>
                <w:sz w:val="18"/>
                <w:szCs w:val="18"/>
              </w:rPr>
              <w:t>CO₂</w:t>
            </w:r>
          </w:p>
        </w:tc>
      </w:tr>
      <w:tr w14:paraId="64E5F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vAlign w:val="center"/>
          </w:tcPr>
          <w:p w14:paraId="606446FA">
            <w:pPr>
              <w:snapToGrid w:val="0"/>
              <w:rPr>
                <w:rFonts w:ascii="Times New Roman" w:hAnsi="Times New Roman" w:eastAsia="宋体" w:cs="Times New Roman"/>
                <w:sz w:val="18"/>
                <w:szCs w:val="18"/>
              </w:rPr>
            </w:pPr>
            <w:r>
              <w:rPr>
                <w:rFonts w:ascii="Times New Roman" w:hAnsi="Times New Roman" w:eastAsia="宋体" w:cs="Times New Roman"/>
                <w:sz w:val="18"/>
                <w:szCs w:val="18"/>
              </w:rPr>
              <w:t>食品加工</w:t>
            </w:r>
          </w:p>
        </w:tc>
        <w:tc>
          <w:tcPr>
            <w:tcW w:w="4961" w:type="dxa"/>
            <w:vAlign w:val="center"/>
          </w:tcPr>
          <w:p w14:paraId="0203C1BC">
            <w:pPr>
              <w:snapToGrid w:val="0"/>
              <w:rPr>
                <w:rFonts w:ascii="Times New Roman" w:hAnsi="Times New Roman" w:eastAsia="宋体" w:cs="Times New Roman"/>
                <w:sz w:val="18"/>
                <w:szCs w:val="18"/>
              </w:rPr>
            </w:pPr>
            <w:r>
              <w:rPr>
                <w:rFonts w:ascii="Times New Roman" w:hAnsi="Times New Roman" w:eastAsia="宋体" w:cs="Times New Roman"/>
                <w:sz w:val="18"/>
                <w:szCs w:val="18"/>
              </w:rPr>
              <w:t>啤酒酿造或乳制品生产中的发酵过程（微生物分解糖产生CH₄）</w:t>
            </w:r>
          </w:p>
        </w:tc>
        <w:tc>
          <w:tcPr>
            <w:tcW w:w="1974" w:type="dxa"/>
            <w:vAlign w:val="center"/>
          </w:tcPr>
          <w:p w14:paraId="652C05C3">
            <w:pPr>
              <w:snapToGrid w:val="0"/>
              <w:rPr>
                <w:rFonts w:ascii="Times New Roman" w:hAnsi="Times New Roman" w:eastAsia="宋体" w:cs="Times New Roman"/>
                <w:sz w:val="18"/>
                <w:szCs w:val="18"/>
              </w:rPr>
            </w:pPr>
            <w:r>
              <w:rPr>
                <w:rFonts w:ascii="Times New Roman" w:hAnsi="Times New Roman" w:eastAsia="宋体" w:cs="Times New Roman"/>
                <w:sz w:val="18"/>
                <w:szCs w:val="18"/>
              </w:rPr>
              <w:t>CH₄</w:t>
            </w:r>
          </w:p>
        </w:tc>
      </w:tr>
      <w:tr w14:paraId="04E5D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773" w:type="dxa"/>
            <w:gridSpan w:val="3"/>
            <w:shd w:val="clear" w:color="auto" w:fill="D8D8D8" w:themeFill="background1" w:themeFillShade="D9"/>
            <w:vAlign w:val="center"/>
          </w:tcPr>
          <w:p w14:paraId="3E274DF0">
            <w:pPr>
              <w:snapToGrid w:val="0"/>
              <w:rPr>
                <w:rFonts w:ascii="Times New Roman" w:hAnsi="Times New Roman" w:eastAsia="宋体" w:cs="Times New Roman"/>
                <w:b/>
                <w:sz w:val="18"/>
                <w:szCs w:val="18"/>
              </w:rPr>
            </w:pPr>
            <w:r>
              <w:rPr>
                <w:rFonts w:ascii="Times New Roman" w:hAnsi="Times New Roman" w:eastAsia="宋体" w:cs="Times New Roman"/>
                <w:b/>
                <w:sz w:val="18"/>
                <w:szCs w:val="18"/>
              </w:rPr>
              <w:t>废弃物处理处置过程排放源</w:t>
            </w:r>
          </w:p>
        </w:tc>
      </w:tr>
      <w:tr w14:paraId="6B715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vAlign w:val="center"/>
          </w:tcPr>
          <w:p w14:paraId="1C3D9EB4">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b/>
                <w:sz w:val="18"/>
                <w:szCs w:val="18"/>
              </w:rPr>
              <w:t>行业</w:t>
            </w:r>
          </w:p>
        </w:tc>
        <w:tc>
          <w:tcPr>
            <w:tcW w:w="4961" w:type="dxa"/>
            <w:vAlign w:val="center"/>
          </w:tcPr>
          <w:p w14:paraId="02FE2501">
            <w:pPr>
              <w:snapToGrid w:val="0"/>
              <w:rPr>
                <w:rFonts w:ascii="Times New Roman" w:hAnsi="Times New Roman" w:eastAsia="宋体" w:cs="Times New Roman"/>
                <w:kern w:val="0"/>
                <w:sz w:val="18"/>
                <w:szCs w:val="18"/>
              </w:rPr>
            </w:pPr>
            <w:r>
              <w:rPr>
                <w:rFonts w:ascii="Times New Roman" w:hAnsi="Times New Roman" w:eastAsia="宋体" w:cs="Times New Roman"/>
                <w:b/>
                <w:sz w:val="18"/>
                <w:szCs w:val="18"/>
              </w:rPr>
              <w:t>典型废弃物处理处置过程排放源</w:t>
            </w:r>
          </w:p>
        </w:tc>
        <w:tc>
          <w:tcPr>
            <w:tcW w:w="1974" w:type="dxa"/>
            <w:vAlign w:val="center"/>
          </w:tcPr>
          <w:p w14:paraId="6ADE4105">
            <w:pPr>
              <w:snapToGrid w:val="0"/>
              <w:rPr>
                <w:rFonts w:ascii="Times New Roman" w:hAnsi="Times New Roman" w:eastAsia="宋体" w:cs="Times New Roman"/>
                <w:kern w:val="0"/>
                <w:sz w:val="18"/>
                <w:szCs w:val="18"/>
              </w:rPr>
            </w:pPr>
            <w:r>
              <w:rPr>
                <w:rFonts w:ascii="Times New Roman" w:hAnsi="Times New Roman" w:eastAsia="宋体" w:cs="Times New Roman"/>
                <w:b/>
                <w:bCs/>
                <w:sz w:val="18"/>
                <w:szCs w:val="18"/>
              </w:rPr>
              <w:t>温室气体类型</w:t>
            </w:r>
          </w:p>
        </w:tc>
      </w:tr>
      <w:tr w14:paraId="706C3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vAlign w:val="center"/>
          </w:tcPr>
          <w:p w14:paraId="38A17F36">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煤炭开采和洗选</w:t>
            </w:r>
          </w:p>
        </w:tc>
        <w:tc>
          <w:tcPr>
            <w:tcW w:w="4961" w:type="dxa"/>
            <w:vAlign w:val="center"/>
          </w:tcPr>
          <w:p w14:paraId="269A0CE4">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煤矸石堆存自燃；矿井水有机物处理</w:t>
            </w:r>
          </w:p>
        </w:tc>
        <w:tc>
          <w:tcPr>
            <w:tcW w:w="1974" w:type="dxa"/>
            <w:vAlign w:val="center"/>
          </w:tcPr>
          <w:p w14:paraId="7EED4B3C">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CO₂、CH₄</w:t>
            </w:r>
          </w:p>
        </w:tc>
      </w:tr>
      <w:tr w14:paraId="56345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vAlign w:val="center"/>
          </w:tcPr>
          <w:p w14:paraId="183AF9E5">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石油和天然气开采</w:t>
            </w:r>
          </w:p>
        </w:tc>
        <w:tc>
          <w:tcPr>
            <w:tcW w:w="4961" w:type="dxa"/>
            <w:vAlign w:val="center"/>
          </w:tcPr>
          <w:p w14:paraId="2991746D">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油泥（砂）有机物分解；废弃钻井液有机物处理；伴生气燃烧放空</w:t>
            </w:r>
          </w:p>
        </w:tc>
        <w:tc>
          <w:tcPr>
            <w:tcW w:w="1974" w:type="dxa"/>
            <w:vAlign w:val="center"/>
          </w:tcPr>
          <w:p w14:paraId="4C2C2FD8">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CO₂、CH₄</w:t>
            </w:r>
          </w:p>
        </w:tc>
      </w:tr>
      <w:tr w14:paraId="57B85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tcBorders>
              <w:bottom w:val="single" w:color="000000" w:sz="4" w:space="0"/>
            </w:tcBorders>
            <w:vAlign w:val="center"/>
          </w:tcPr>
          <w:p w14:paraId="76FEF201">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食品制造</w:t>
            </w:r>
          </w:p>
        </w:tc>
        <w:tc>
          <w:tcPr>
            <w:tcW w:w="4961" w:type="dxa"/>
            <w:tcBorders>
              <w:bottom w:val="single" w:color="000000" w:sz="4" w:space="0"/>
            </w:tcBorders>
            <w:vAlign w:val="center"/>
          </w:tcPr>
          <w:p w14:paraId="2D97179C">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有机废水厌氧处理；废渣（酒糟、果渣等）堆放及处理</w:t>
            </w:r>
          </w:p>
        </w:tc>
        <w:tc>
          <w:tcPr>
            <w:tcW w:w="1974" w:type="dxa"/>
            <w:tcBorders>
              <w:bottom w:val="single" w:color="000000" w:sz="4" w:space="0"/>
            </w:tcBorders>
            <w:vAlign w:val="center"/>
          </w:tcPr>
          <w:p w14:paraId="18719045">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CH₄、CO₂</w:t>
            </w:r>
          </w:p>
        </w:tc>
      </w:tr>
      <w:tr w14:paraId="4AE3B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tcBorders>
              <w:bottom w:val="single" w:color="000000" w:sz="4" w:space="0"/>
            </w:tcBorders>
            <w:vAlign w:val="center"/>
          </w:tcPr>
          <w:p w14:paraId="0142D6C6">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纺织</w:t>
            </w:r>
          </w:p>
        </w:tc>
        <w:tc>
          <w:tcPr>
            <w:tcW w:w="4961" w:type="dxa"/>
            <w:tcBorders>
              <w:bottom w:val="single" w:color="000000" w:sz="4" w:space="0"/>
            </w:tcBorders>
            <w:vAlign w:val="center"/>
          </w:tcPr>
          <w:p w14:paraId="7C36117D">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污水处理过程中废水厌氧降解；固体废弃物焚烧/填埋</w:t>
            </w:r>
          </w:p>
        </w:tc>
        <w:tc>
          <w:tcPr>
            <w:tcW w:w="1974" w:type="dxa"/>
            <w:tcBorders>
              <w:bottom w:val="single" w:color="000000" w:sz="4" w:space="0"/>
            </w:tcBorders>
            <w:vAlign w:val="center"/>
          </w:tcPr>
          <w:p w14:paraId="4149E504">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CH₄、CO₂、N₂O</w:t>
            </w:r>
          </w:p>
        </w:tc>
      </w:tr>
      <w:tr w14:paraId="4B1DF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tcBorders>
              <w:bottom w:val="single" w:color="000000" w:sz="4" w:space="0"/>
            </w:tcBorders>
            <w:vAlign w:val="center"/>
          </w:tcPr>
          <w:p w14:paraId="5BDB5280">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造纸</w:t>
            </w:r>
          </w:p>
        </w:tc>
        <w:tc>
          <w:tcPr>
            <w:tcW w:w="4961" w:type="dxa"/>
            <w:tcBorders>
              <w:bottom w:val="single" w:color="000000" w:sz="4" w:space="0"/>
            </w:tcBorders>
            <w:vAlign w:val="center"/>
          </w:tcPr>
          <w:p w14:paraId="07F8F269">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造纸废水生化处理（厌氧/好氧反应）；污泥处理</w:t>
            </w:r>
          </w:p>
        </w:tc>
        <w:tc>
          <w:tcPr>
            <w:tcW w:w="1974" w:type="dxa"/>
            <w:tcBorders>
              <w:bottom w:val="single" w:color="000000" w:sz="4" w:space="0"/>
            </w:tcBorders>
            <w:vAlign w:val="center"/>
          </w:tcPr>
          <w:p w14:paraId="74786DEC">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CO₂、CH₄</w:t>
            </w:r>
          </w:p>
        </w:tc>
      </w:tr>
      <w:tr w14:paraId="6B1C8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tcBorders>
              <w:bottom w:val="single" w:color="000000" w:sz="4" w:space="0"/>
            </w:tcBorders>
            <w:vAlign w:val="center"/>
          </w:tcPr>
          <w:p w14:paraId="4E7BED02">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化学工业</w:t>
            </w:r>
          </w:p>
        </w:tc>
        <w:tc>
          <w:tcPr>
            <w:tcW w:w="4961" w:type="dxa"/>
            <w:tcBorders>
              <w:bottom w:val="single" w:color="000000" w:sz="4" w:space="0"/>
            </w:tcBorders>
            <w:vAlign w:val="center"/>
          </w:tcPr>
          <w:p w14:paraId="03403C7F">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危险废物焚烧；废水有机物厌氧处理；废渣堆放及处理</w:t>
            </w:r>
          </w:p>
        </w:tc>
        <w:tc>
          <w:tcPr>
            <w:tcW w:w="1974" w:type="dxa"/>
            <w:tcBorders>
              <w:bottom w:val="single" w:color="000000" w:sz="4" w:space="0"/>
            </w:tcBorders>
            <w:vAlign w:val="center"/>
          </w:tcPr>
          <w:p w14:paraId="525D94A6">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CO₂、CH₄</w:t>
            </w:r>
          </w:p>
        </w:tc>
      </w:tr>
      <w:tr w14:paraId="64044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tcBorders>
              <w:bottom w:val="single" w:color="000000" w:sz="4" w:space="0"/>
            </w:tcBorders>
            <w:vAlign w:val="center"/>
          </w:tcPr>
          <w:p w14:paraId="336ADFFD">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污水处理</w:t>
            </w:r>
          </w:p>
        </w:tc>
        <w:tc>
          <w:tcPr>
            <w:tcW w:w="4961" w:type="dxa"/>
            <w:tcBorders>
              <w:bottom w:val="single" w:color="000000" w:sz="4" w:space="0"/>
            </w:tcBorders>
            <w:vAlign w:val="center"/>
          </w:tcPr>
          <w:p w14:paraId="261FA8DB">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污泥厌氧消化；污水处理过程中微生物代谢</w:t>
            </w:r>
          </w:p>
        </w:tc>
        <w:tc>
          <w:tcPr>
            <w:tcW w:w="1974" w:type="dxa"/>
            <w:tcBorders>
              <w:bottom w:val="single" w:color="000000" w:sz="4" w:space="0"/>
            </w:tcBorders>
            <w:vAlign w:val="center"/>
          </w:tcPr>
          <w:p w14:paraId="279D9906">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CH₄、CO₂、N₂O</w:t>
            </w:r>
          </w:p>
        </w:tc>
      </w:tr>
      <w:tr w14:paraId="46989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tcBorders>
              <w:bottom w:val="single" w:color="000000" w:sz="4" w:space="0"/>
            </w:tcBorders>
            <w:vAlign w:val="center"/>
          </w:tcPr>
          <w:p w14:paraId="2DF39F96">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垃圾处理</w:t>
            </w:r>
          </w:p>
        </w:tc>
        <w:tc>
          <w:tcPr>
            <w:tcW w:w="4961" w:type="dxa"/>
            <w:tcBorders>
              <w:bottom w:val="single" w:color="000000" w:sz="4" w:space="0"/>
            </w:tcBorders>
            <w:vAlign w:val="center"/>
          </w:tcPr>
          <w:p w14:paraId="763E11B5">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生活垃圾填埋场厌氧分解；生活垃圾焚烧</w:t>
            </w:r>
          </w:p>
        </w:tc>
        <w:tc>
          <w:tcPr>
            <w:tcW w:w="1974" w:type="dxa"/>
            <w:tcBorders>
              <w:bottom w:val="single" w:color="000000" w:sz="4" w:space="0"/>
            </w:tcBorders>
            <w:vAlign w:val="center"/>
          </w:tcPr>
          <w:p w14:paraId="463A5340">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CH₄、CO₂、N₂O</w:t>
            </w:r>
          </w:p>
        </w:tc>
      </w:tr>
      <w:tr w14:paraId="054E9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773" w:type="dxa"/>
            <w:gridSpan w:val="3"/>
            <w:shd w:val="clear" w:color="auto" w:fill="D8D8D8" w:themeFill="background1" w:themeFillShade="D9"/>
            <w:vAlign w:val="center"/>
          </w:tcPr>
          <w:p w14:paraId="56E0B362">
            <w:pPr>
              <w:snapToGrid w:val="0"/>
              <w:rPr>
                <w:rFonts w:ascii="Times New Roman" w:hAnsi="Times New Roman" w:eastAsia="宋体" w:cs="Times New Roman"/>
                <w:kern w:val="0"/>
                <w:sz w:val="18"/>
                <w:szCs w:val="18"/>
              </w:rPr>
            </w:pPr>
            <w:r>
              <w:rPr>
                <w:rFonts w:ascii="Times New Roman" w:hAnsi="Times New Roman" w:eastAsia="宋体" w:cs="Times New Roman"/>
                <w:b/>
                <w:sz w:val="18"/>
                <w:szCs w:val="18"/>
              </w:rPr>
              <w:t>无组织（逸散）排放源</w:t>
            </w:r>
          </w:p>
        </w:tc>
      </w:tr>
      <w:tr w14:paraId="1E9B9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vAlign w:val="center"/>
          </w:tcPr>
          <w:p w14:paraId="321C2FD2">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b/>
                <w:sz w:val="18"/>
                <w:szCs w:val="18"/>
              </w:rPr>
              <w:t>行业</w:t>
            </w:r>
          </w:p>
        </w:tc>
        <w:tc>
          <w:tcPr>
            <w:tcW w:w="4961" w:type="dxa"/>
            <w:vAlign w:val="center"/>
          </w:tcPr>
          <w:p w14:paraId="7E6347D4">
            <w:pPr>
              <w:snapToGrid w:val="0"/>
              <w:rPr>
                <w:rFonts w:ascii="Times New Roman" w:hAnsi="Times New Roman" w:eastAsia="宋体" w:cs="Times New Roman"/>
                <w:kern w:val="0"/>
                <w:sz w:val="18"/>
                <w:szCs w:val="18"/>
              </w:rPr>
            </w:pPr>
            <w:r>
              <w:rPr>
                <w:rFonts w:ascii="Times New Roman" w:hAnsi="Times New Roman" w:eastAsia="宋体" w:cs="Times New Roman"/>
                <w:b/>
                <w:sz w:val="18"/>
                <w:szCs w:val="18"/>
              </w:rPr>
              <w:t>典型无组织（逸散）排放源</w:t>
            </w:r>
          </w:p>
        </w:tc>
        <w:tc>
          <w:tcPr>
            <w:tcW w:w="1974" w:type="dxa"/>
            <w:vAlign w:val="center"/>
          </w:tcPr>
          <w:p w14:paraId="41C7873A">
            <w:pPr>
              <w:snapToGrid w:val="0"/>
              <w:rPr>
                <w:rFonts w:ascii="Times New Roman" w:hAnsi="Times New Roman" w:eastAsia="宋体" w:cs="Times New Roman"/>
                <w:kern w:val="0"/>
                <w:sz w:val="18"/>
                <w:szCs w:val="18"/>
              </w:rPr>
            </w:pPr>
            <w:r>
              <w:rPr>
                <w:rFonts w:ascii="Times New Roman" w:hAnsi="Times New Roman" w:eastAsia="宋体" w:cs="Times New Roman"/>
                <w:b/>
                <w:bCs/>
                <w:sz w:val="18"/>
                <w:szCs w:val="18"/>
              </w:rPr>
              <w:t>温室气体类型</w:t>
            </w:r>
          </w:p>
        </w:tc>
      </w:tr>
      <w:tr w14:paraId="3EF71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vAlign w:val="center"/>
          </w:tcPr>
          <w:p w14:paraId="51C75DD5">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能源开采</w:t>
            </w:r>
          </w:p>
        </w:tc>
        <w:tc>
          <w:tcPr>
            <w:tcW w:w="4961" w:type="dxa"/>
            <w:vAlign w:val="center"/>
          </w:tcPr>
          <w:p w14:paraId="68679E40">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油气田井口密封不严、钻井过程中的甲烷泄漏；煤炭开采中的煤层气逸散</w:t>
            </w:r>
          </w:p>
        </w:tc>
        <w:tc>
          <w:tcPr>
            <w:tcW w:w="1974" w:type="dxa"/>
            <w:vAlign w:val="center"/>
          </w:tcPr>
          <w:p w14:paraId="6A2EF056">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CH₄</w:t>
            </w:r>
          </w:p>
        </w:tc>
      </w:tr>
      <w:tr w14:paraId="16306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vAlign w:val="center"/>
          </w:tcPr>
          <w:p w14:paraId="2F3E4F68">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化工与石化</w:t>
            </w:r>
          </w:p>
        </w:tc>
        <w:tc>
          <w:tcPr>
            <w:tcW w:w="4961" w:type="dxa"/>
            <w:vAlign w:val="center"/>
          </w:tcPr>
          <w:p w14:paraId="04790D1F">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反应釜密封泄漏、管道阀门老化导致的挥发性气体（如乙烯、丙烯）；储罐“大呼吸”和“小呼吸”损耗</w:t>
            </w:r>
          </w:p>
        </w:tc>
        <w:tc>
          <w:tcPr>
            <w:tcW w:w="1974" w:type="dxa"/>
            <w:vAlign w:val="center"/>
          </w:tcPr>
          <w:p w14:paraId="32F9048D">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CH₄、CO₂</w:t>
            </w:r>
          </w:p>
        </w:tc>
      </w:tr>
      <w:tr w14:paraId="4A2C9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vAlign w:val="center"/>
          </w:tcPr>
          <w:p w14:paraId="1B4D1ACE">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电力与供热</w:t>
            </w:r>
          </w:p>
        </w:tc>
        <w:tc>
          <w:tcPr>
            <w:tcW w:w="4961" w:type="dxa"/>
            <w:vAlign w:val="center"/>
          </w:tcPr>
          <w:p w14:paraId="780A0F19">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燃气轮机或锅炉的密封件泄漏；制冷剂（如HFCs）在设备维护中的挥发</w:t>
            </w:r>
          </w:p>
        </w:tc>
        <w:tc>
          <w:tcPr>
            <w:tcW w:w="1974" w:type="dxa"/>
            <w:vAlign w:val="center"/>
          </w:tcPr>
          <w:p w14:paraId="34F2301D">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CH₄、HFCs</w:t>
            </w:r>
          </w:p>
        </w:tc>
      </w:tr>
      <w:tr w14:paraId="39DAB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vAlign w:val="center"/>
          </w:tcPr>
          <w:p w14:paraId="468B8901">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金属冶炼</w:t>
            </w:r>
          </w:p>
        </w:tc>
        <w:tc>
          <w:tcPr>
            <w:tcW w:w="4961" w:type="dxa"/>
            <w:vAlign w:val="center"/>
          </w:tcPr>
          <w:p w14:paraId="7213B457">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高炉、转炉的炉顶密封不严导致的CO泄漏；铝生产中电解质槽的氟化气体（如CF₄）逸散</w:t>
            </w:r>
          </w:p>
        </w:tc>
        <w:tc>
          <w:tcPr>
            <w:tcW w:w="1974" w:type="dxa"/>
            <w:vAlign w:val="center"/>
          </w:tcPr>
          <w:p w14:paraId="78FA6AA8">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CO（间接）、CF₄</w:t>
            </w:r>
          </w:p>
        </w:tc>
      </w:tr>
      <w:tr w14:paraId="6D47F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vAlign w:val="center"/>
          </w:tcPr>
          <w:p w14:paraId="359817FC">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农业与食品</w:t>
            </w:r>
          </w:p>
        </w:tc>
        <w:tc>
          <w:tcPr>
            <w:tcW w:w="4961" w:type="dxa"/>
            <w:vAlign w:val="center"/>
          </w:tcPr>
          <w:p w14:paraId="26DCE654">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沼气池密封不良导致的CH₄泄漏；粮食储存过程中熏蒸剂（如N₂O）的挥发</w:t>
            </w:r>
          </w:p>
        </w:tc>
        <w:tc>
          <w:tcPr>
            <w:tcW w:w="1974" w:type="dxa"/>
            <w:vAlign w:val="center"/>
          </w:tcPr>
          <w:p w14:paraId="037CFECF">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CH₄、N₂O</w:t>
            </w:r>
          </w:p>
        </w:tc>
      </w:tr>
      <w:tr w14:paraId="134B0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838" w:type="dxa"/>
            <w:tcBorders>
              <w:bottom w:val="single" w:color="000000" w:sz="4" w:space="0"/>
            </w:tcBorders>
            <w:vAlign w:val="center"/>
          </w:tcPr>
          <w:p w14:paraId="6CE733DE">
            <w:pPr>
              <w:spacing w:line="264" w:lineRule="auto"/>
              <w:ind w:left="11" w:right="153" w:hanging="11"/>
              <w:rPr>
                <w:rFonts w:ascii="Times New Roman" w:hAnsi="Times New Roman" w:eastAsia="宋体" w:cs="Times New Roman"/>
                <w:kern w:val="0"/>
                <w:sz w:val="18"/>
                <w:szCs w:val="18"/>
              </w:rPr>
            </w:pPr>
            <w:r>
              <w:rPr>
                <w:rFonts w:ascii="Times New Roman" w:hAnsi="Times New Roman" w:eastAsia="宋体" w:cs="Times New Roman"/>
                <w:kern w:val="0"/>
                <w:sz w:val="18"/>
                <w:szCs w:val="18"/>
              </w:rPr>
              <w:t>电子与半导体</w:t>
            </w:r>
          </w:p>
        </w:tc>
        <w:tc>
          <w:tcPr>
            <w:tcW w:w="4961" w:type="dxa"/>
            <w:tcBorders>
              <w:bottom w:val="single" w:color="000000" w:sz="4" w:space="0"/>
            </w:tcBorders>
            <w:vAlign w:val="center"/>
          </w:tcPr>
          <w:p w14:paraId="7CBDB4C5">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刻蚀、沉积设备中特种气体（如SF₆、NF₃）的管道连接处泄漏</w:t>
            </w:r>
          </w:p>
        </w:tc>
        <w:tc>
          <w:tcPr>
            <w:tcW w:w="1974" w:type="dxa"/>
            <w:tcBorders>
              <w:bottom w:val="single" w:color="000000" w:sz="4" w:space="0"/>
            </w:tcBorders>
            <w:vAlign w:val="center"/>
          </w:tcPr>
          <w:p w14:paraId="14CCE3C7">
            <w:pPr>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t>SF₆、NF₃</w:t>
            </w:r>
          </w:p>
        </w:tc>
      </w:tr>
    </w:tbl>
    <w:p w14:paraId="57763777">
      <w:pPr>
        <w:overflowPunct w:val="0"/>
        <w:ind w:firstLine="630" w:firstLineChars="300"/>
        <w:rPr>
          <w:rFonts w:ascii="Times New Roman" w:hAnsi="Times New Roman" w:eastAsia="宋体" w:cs="Times New Roman"/>
          <w:color w:val="4472C4" w:themeColor="accent1"/>
          <w:kern w:val="0"/>
          <w14:textFill>
            <w14:solidFill>
              <w14:schemeClr w14:val="accent1"/>
            </w14:solidFill>
          </w14:textFill>
        </w:rPr>
      </w:pPr>
    </w:p>
    <w:p w14:paraId="3F3C4D0F">
      <w:pPr>
        <w:overflowPunct w:val="0"/>
        <w:ind w:firstLine="1050" w:firstLineChars="500"/>
        <w:rPr>
          <w:rFonts w:ascii="Times New Roman" w:hAnsi="Times New Roman" w:cs="Times New Roman"/>
          <w:szCs w:val="21"/>
        </w:rPr>
      </w:pPr>
    </w:p>
    <w:p w14:paraId="604D654C">
      <w:pPr>
        <w:overflowPunct w:val="0"/>
        <w:jc w:val="center"/>
        <w:rPr>
          <w:rFonts w:ascii="Times New Roman" w:hAnsi="Times New Roman" w:cs="Times New Roman"/>
          <w:szCs w:val="21"/>
        </w:rPr>
        <w:sectPr>
          <w:pgSz w:w="11906" w:h="16838"/>
          <w:pgMar w:top="1440" w:right="1800" w:bottom="1440" w:left="1800" w:header="851" w:footer="992" w:gutter="0"/>
          <w:cols w:space="425" w:num="1"/>
          <w:docGrid w:type="lines" w:linePitch="286" w:charSpace="0"/>
        </w:sectPr>
      </w:pPr>
    </w:p>
    <w:p w14:paraId="1433F93E">
      <w:pPr>
        <w:overflowPunct w:val="0"/>
        <w:spacing w:after="286" w:afterLines="100"/>
        <w:jc w:val="center"/>
        <w:outlineLvl w:val="0"/>
        <w:rPr>
          <w:rFonts w:ascii="Times New Roman" w:hAnsi="Times New Roman" w:eastAsia="黑体" w:cs="Times New Roman"/>
          <w:szCs w:val="21"/>
        </w:rPr>
      </w:pPr>
      <w:bookmarkStart w:id="147" w:name="_Toc220422395"/>
      <w:r>
        <w:rPr>
          <w:rFonts w:ascii="Times New Roman" w:hAnsi="Times New Roman" w:eastAsia="黑体" w:cs="Times New Roman"/>
          <w:szCs w:val="21"/>
        </w:rPr>
        <w:t>附　录　</w:t>
      </w:r>
      <w:r>
        <w:rPr>
          <w:rFonts w:hint="eastAsia" w:ascii="Times New Roman" w:hAnsi="Times New Roman" w:eastAsia="黑体" w:cs="Times New Roman"/>
          <w:szCs w:val="21"/>
        </w:rPr>
        <w:t>D</w:t>
      </w:r>
      <w:r>
        <w:rPr>
          <w:rFonts w:ascii="Times New Roman" w:hAnsi="Times New Roman" w:eastAsia="黑体" w:cs="Times New Roman"/>
          <w:szCs w:val="21"/>
        </w:rPr>
        <w:br w:type="textWrapping"/>
      </w:r>
      <w:r>
        <w:rPr>
          <w:rFonts w:ascii="Times New Roman" w:hAnsi="Times New Roman" w:eastAsia="黑体" w:cs="Times New Roman"/>
          <w:szCs w:val="21"/>
        </w:rPr>
        <w:t>（资料性）</w:t>
      </w:r>
      <w:r>
        <w:rPr>
          <w:rFonts w:ascii="Times New Roman" w:hAnsi="Times New Roman" w:eastAsia="黑体" w:cs="Times New Roman"/>
          <w:szCs w:val="21"/>
        </w:rPr>
        <w:br w:type="textWrapping"/>
      </w:r>
      <w:r>
        <w:rPr>
          <w:rFonts w:ascii="Times New Roman" w:hAnsi="Times New Roman" w:eastAsia="黑体" w:cs="Times New Roman"/>
          <w:szCs w:val="21"/>
        </w:rPr>
        <w:t>碳排放核算方法</w:t>
      </w:r>
      <w:bookmarkEnd w:id="147"/>
    </w:p>
    <w:p w14:paraId="1530D90C">
      <w:pPr>
        <w:ind w:firstLine="420" w:firstLineChars="200"/>
        <w:rPr>
          <w:rFonts w:ascii="Times New Roman" w:hAnsi="Times New Roman" w:eastAsia="黑体" w:cs="Times New Roman"/>
          <w:szCs w:val="21"/>
        </w:rPr>
      </w:pPr>
      <w:r>
        <w:rPr>
          <w:rFonts w:ascii="Times New Roman" w:hAnsi="Times New Roman" w:eastAsia="宋体" w:cs="Times New Roman"/>
          <w:szCs w:val="21"/>
        </w:rPr>
        <w:t>工业企业根据所处的行业依据如表</w:t>
      </w:r>
      <w:r>
        <w:rPr>
          <w:rFonts w:hint="eastAsia" w:ascii="Times New Roman" w:hAnsi="Times New Roman" w:eastAsia="宋体" w:cs="Times New Roman"/>
          <w:szCs w:val="21"/>
        </w:rPr>
        <w:t>D</w:t>
      </w:r>
      <w:r>
        <w:rPr>
          <w:rFonts w:ascii="Times New Roman" w:hAnsi="Times New Roman" w:eastAsia="宋体" w:cs="Times New Roman"/>
          <w:szCs w:val="21"/>
        </w:rPr>
        <w:t>.1中标准进行碳排放核算。</w:t>
      </w:r>
    </w:p>
    <w:p w14:paraId="0E0364B9">
      <w:pPr>
        <w:overflowPunct w:val="0"/>
        <w:spacing w:before="286" w:beforeLines="100" w:after="286" w:afterLines="100" w:line="360" w:lineRule="auto"/>
        <w:jc w:val="center"/>
        <w:rPr>
          <w:rFonts w:ascii="Times New Roman" w:hAnsi="Times New Roman" w:eastAsia="黑体" w:cs="Times New Roman"/>
          <w:szCs w:val="21"/>
        </w:rPr>
      </w:pPr>
      <w:r>
        <w:rPr>
          <w:rFonts w:ascii="Times New Roman" w:hAnsi="Times New Roman" w:eastAsia="黑体" w:cs="Times New Roman"/>
          <w:szCs w:val="21"/>
        </w:rPr>
        <w:t>表</w:t>
      </w:r>
      <w:r>
        <w:rPr>
          <w:rFonts w:hint="eastAsia" w:ascii="Times New Roman" w:hAnsi="Times New Roman" w:eastAsia="黑体" w:cs="Times New Roman"/>
          <w:szCs w:val="21"/>
        </w:rPr>
        <w:t>D</w:t>
      </w:r>
      <w:r>
        <w:rPr>
          <w:rFonts w:ascii="Times New Roman" w:hAnsi="Times New Roman" w:eastAsia="黑体" w:cs="Times New Roman"/>
          <w:szCs w:val="21"/>
        </w:rPr>
        <w:t>.1　碳排放核算方法一览表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
        <w:gridCol w:w="1842"/>
        <w:gridCol w:w="3686"/>
        <w:gridCol w:w="1134"/>
        <w:gridCol w:w="1213"/>
      </w:tblGrid>
      <w:tr w14:paraId="4771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21" w:type="dxa"/>
            <w:vAlign w:val="center"/>
          </w:tcPr>
          <w:p w14:paraId="333BCC00">
            <w:pPr>
              <w:overflowPunct w:val="0"/>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序号</w:t>
            </w:r>
          </w:p>
        </w:tc>
        <w:tc>
          <w:tcPr>
            <w:tcW w:w="1842" w:type="dxa"/>
            <w:vAlign w:val="center"/>
          </w:tcPr>
          <w:p w14:paraId="180DD7B8">
            <w:pPr>
              <w:overflowPunct w:val="0"/>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标准号</w:t>
            </w:r>
          </w:p>
        </w:tc>
        <w:tc>
          <w:tcPr>
            <w:tcW w:w="3686" w:type="dxa"/>
            <w:vAlign w:val="center"/>
          </w:tcPr>
          <w:p w14:paraId="66197EC4">
            <w:pPr>
              <w:overflowPunct w:val="0"/>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标准名称</w:t>
            </w:r>
          </w:p>
        </w:tc>
        <w:tc>
          <w:tcPr>
            <w:tcW w:w="1134" w:type="dxa"/>
            <w:vAlign w:val="center"/>
          </w:tcPr>
          <w:p w14:paraId="7B2105A2">
            <w:pPr>
              <w:overflowPunct w:val="0"/>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发布日期</w:t>
            </w:r>
          </w:p>
        </w:tc>
        <w:tc>
          <w:tcPr>
            <w:tcW w:w="1213" w:type="dxa"/>
            <w:vAlign w:val="center"/>
          </w:tcPr>
          <w:p w14:paraId="3CE20F4A">
            <w:pPr>
              <w:overflowPunct w:val="0"/>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实施日期</w:t>
            </w:r>
          </w:p>
        </w:tc>
      </w:tr>
      <w:tr w14:paraId="0AE7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61652066">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1</w:t>
            </w:r>
          </w:p>
        </w:tc>
        <w:tc>
          <w:tcPr>
            <w:tcW w:w="1842" w:type="dxa"/>
            <w:vAlign w:val="center"/>
          </w:tcPr>
          <w:p w14:paraId="7F98CFED">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32150-2015</w:t>
            </w:r>
          </w:p>
        </w:tc>
        <w:tc>
          <w:tcPr>
            <w:tcW w:w="3686" w:type="dxa"/>
            <w:vAlign w:val="center"/>
          </w:tcPr>
          <w:p w14:paraId="246DC65D">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工业企业温室气体排放核算和报告通则</w:t>
            </w:r>
          </w:p>
        </w:tc>
        <w:tc>
          <w:tcPr>
            <w:tcW w:w="1134" w:type="dxa"/>
            <w:vAlign w:val="center"/>
          </w:tcPr>
          <w:p w14:paraId="225F9CA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2015-11-19</w:t>
            </w:r>
          </w:p>
        </w:tc>
        <w:tc>
          <w:tcPr>
            <w:tcW w:w="1213" w:type="dxa"/>
            <w:vAlign w:val="center"/>
          </w:tcPr>
          <w:p w14:paraId="4909755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2016-06-01</w:t>
            </w:r>
          </w:p>
        </w:tc>
      </w:tr>
      <w:tr w14:paraId="46756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7F1008BA">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w:t>
            </w:r>
          </w:p>
        </w:tc>
        <w:tc>
          <w:tcPr>
            <w:tcW w:w="1842" w:type="dxa"/>
            <w:vAlign w:val="center"/>
          </w:tcPr>
          <w:p w14:paraId="252BBB7D">
            <w:pPr>
              <w:overflowPunct w:val="0"/>
              <w:jc w:val="center"/>
              <w:rPr>
                <w:rFonts w:ascii="Times New Roman" w:hAnsi="Times New Roman" w:eastAsia="宋体" w:cs="Times New Roman"/>
                <w:sz w:val="18"/>
                <w:szCs w:val="18"/>
              </w:rPr>
            </w:pPr>
            <w:bookmarkStart w:id="148" w:name="OLE_LINK2"/>
            <w:r>
              <w:rPr>
                <w:rFonts w:ascii="Times New Roman" w:hAnsi="Times New Roman" w:eastAsia="宋体" w:cs="Times New Roman"/>
                <w:sz w:val="18"/>
                <w:szCs w:val="18"/>
              </w:rPr>
              <w:t>GB/T 32151.1-2015</w:t>
            </w:r>
            <w:bookmarkEnd w:id="148"/>
          </w:p>
        </w:tc>
        <w:tc>
          <w:tcPr>
            <w:tcW w:w="3686" w:type="dxa"/>
            <w:vAlign w:val="center"/>
          </w:tcPr>
          <w:p w14:paraId="19C45DE3">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第1部分：发电企业</w:t>
            </w:r>
          </w:p>
        </w:tc>
        <w:tc>
          <w:tcPr>
            <w:tcW w:w="1134" w:type="dxa"/>
            <w:vAlign w:val="center"/>
          </w:tcPr>
          <w:p w14:paraId="1D529F2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2015-11-19</w:t>
            </w:r>
          </w:p>
        </w:tc>
        <w:tc>
          <w:tcPr>
            <w:tcW w:w="1213" w:type="dxa"/>
            <w:vAlign w:val="center"/>
          </w:tcPr>
          <w:p w14:paraId="05AFDB1C">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2016-06-01</w:t>
            </w:r>
          </w:p>
        </w:tc>
      </w:tr>
      <w:tr w14:paraId="58BFF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214B4A06">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3</w:t>
            </w:r>
          </w:p>
        </w:tc>
        <w:tc>
          <w:tcPr>
            <w:tcW w:w="1842" w:type="dxa"/>
            <w:vAlign w:val="center"/>
          </w:tcPr>
          <w:p w14:paraId="60639428">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32151.2-2015</w:t>
            </w:r>
          </w:p>
        </w:tc>
        <w:tc>
          <w:tcPr>
            <w:tcW w:w="3686" w:type="dxa"/>
            <w:vAlign w:val="center"/>
          </w:tcPr>
          <w:p w14:paraId="6737A369">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第2部分：电网企业</w:t>
            </w:r>
          </w:p>
        </w:tc>
        <w:tc>
          <w:tcPr>
            <w:tcW w:w="1134" w:type="dxa"/>
            <w:vAlign w:val="center"/>
          </w:tcPr>
          <w:p w14:paraId="5C84EE0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2015-11-19</w:t>
            </w:r>
          </w:p>
        </w:tc>
        <w:tc>
          <w:tcPr>
            <w:tcW w:w="1213" w:type="dxa"/>
            <w:vAlign w:val="center"/>
          </w:tcPr>
          <w:p w14:paraId="72AC582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2016-06-01</w:t>
            </w:r>
          </w:p>
        </w:tc>
      </w:tr>
      <w:tr w14:paraId="7AF4B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5714461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4</w:t>
            </w:r>
          </w:p>
        </w:tc>
        <w:tc>
          <w:tcPr>
            <w:tcW w:w="1842" w:type="dxa"/>
            <w:vAlign w:val="center"/>
          </w:tcPr>
          <w:p w14:paraId="3FD1CDE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32151.3-2015</w:t>
            </w:r>
          </w:p>
        </w:tc>
        <w:tc>
          <w:tcPr>
            <w:tcW w:w="3686" w:type="dxa"/>
            <w:vAlign w:val="center"/>
          </w:tcPr>
          <w:p w14:paraId="6ED4DFD2">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第3部分：镁冶炼企业</w:t>
            </w:r>
          </w:p>
        </w:tc>
        <w:tc>
          <w:tcPr>
            <w:tcW w:w="1134" w:type="dxa"/>
            <w:vAlign w:val="center"/>
          </w:tcPr>
          <w:p w14:paraId="779B715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2015-11-19</w:t>
            </w:r>
          </w:p>
        </w:tc>
        <w:tc>
          <w:tcPr>
            <w:tcW w:w="1213" w:type="dxa"/>
            <w:vAlign w:val="center"/>
          </w:tcPr>
          <w:p w14:paraId="215953E8">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2016-06-01</w:t>
            </w:r>
          </w:p>
        </w:tc>
      </w:tr>
      <w:tr w14:paraId="372C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184FA990">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5</w:t>
            </w:r>
          </w:p>
        </w:tc>
        <w:tc>
          <w:tcPr>
            <w:tcW w:w="1842" w:type="dxa"/>
            <w:vAlign w:val="center"/>
          </w:tcPr>
          <w:p w14:paraId="4328A9C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32151.4-2015</w:t>
            </w:r>
          </w:p>
        </w:tc>
        <w:tc>
          <w:tcPr>
            <w:tcW w:w="3686" w:type="dxa"/>
            <w:vAlign w:val="center"/>
          </w:tcPr>
          <w:p w14:paraId="0A06983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第4部分：铝冶炼企业</w:t>
            </w:r>
          </w:p>
        </w:tc>
        <w:tc>
          <w:tcPr>
            <w:tcW w:w="1134" w:type="dxa"/>
            <w:vAlign w:val="center"/>
          </w:tcPr>
          <w:p w14:paraId="3A0ACDD9">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2015-11-19</w:t>
            </w:r>
          </w:p>
        </w:tc>
        <w:tc>
          <w:tcPr>
            <w:tcW w:w="1213" w:type="dxa"/>
            <w:vAlign w:val="center"/>
          </w:tcPr>
          <w:p w14:paraId="4B87E36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2016-06-01</w:t>
            </w:r>
          </w:p>
        </w:tc>
      </w:tr>
      <w:tr w14:paraId="6242D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5439CFC1">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6</w:t>
            </w:r>
          </w:p>
        </w:tc>
        <w:tc>
          <w:tcPr>
            <w:tcW w:w="1842" w:type="dxa"/>
            <w:vAlign w:val="center"/>
          </w:tcPr>
          <w:p w14:paraId="48E401C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32151.5-2015</w:t>
            </w:r>
          </w:p>
        </w:tc>
        <w:tc>
          <w:tcPr>
            <w:tcW w:w="3686" w:type="dxa"/>
            <w:vAlign w:val="center"/>
          </w:tcPr>
          <w:p w14:paraId="6E25AB0D">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第5部分：钢铁生产企业</w:t>
            </w:r>
          </w:p>
        </w:tc>
        <w:tc>
          <w:tcPr>
            <w:tcW w:w="1134" w:type="dxa"/>
            <w:vAlign w:val="center"/>
          </w:tcPr>
          <w:p w14:paraId="361FF78D">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2015-11-19</w:t>
            </w:r>
          </w:p>
        </w:tc>
        <w:tc>
          <w:tcPr>
            <w:tcW w:w="1213" w:type="dxa"/>
            <w:vAlign w:val="center"/>
          </w:tcPr>
          <w:p w14:paraId="0368B05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2016-06-01</w:t>
            </w:r>
          </w:p>
        </w:tc>
      </w:tr>
      <w:tr w14:paraId="410E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3A7DDFB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7</w:t>
            </w:r>
          </w:p>
        </w:tc>
        <w:tc>
          <w:tcPr>
            <w:tcW w:w="1842" w:type="dxa"/>
            <w:vAlign w:val="center"/>
          </w:tcPr>
          <w:p w14:paraId="09FD7A82">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32151.6-2015</w:t>
            </w:r>
          </w:p>
        </w:tc>
        <w:tc>
          <w:tcPr>
            <w:tcW w:w="3686" w:type="dxa"/>
            <w:vAlign w:val="center"/>
          </w:tcPr>
          <w:p w14:paraId="5C5171B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第6部分：民用航空企业</w:t>
            </w:r>
          </w:p>
        </w:tc>
        <w:tc>
          <w:tcPr>
            <w:tcW w:w="1134" w:type="dxa"/>
            <w:vAlign w:val="center"/>
          </w:tcPr>
          <w:p w14:paraId="3B8464EE">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2015-11-19</w:t>
            </w:r>
          </w:p>
        </w:tc>
        <w:tc>
          <w:tcPr>
            <w:tcW w:w="1213" w:type="dxa"/>
            <w:vAlign w:val="center"/>
          </w:tcPr>
          <w:p w14:paraId="6120C411">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2016-06-01</w:t>
            </w:r>
          </w:p>
        </w:tc>
      </w:tr>
      <w:tr w14:paraId="1B401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6C7E8BD9">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8</w:t>
            </w:r>
          </w:p>
        </w:tc>
        <w:tc>
          <w:tcPr>
            <w:tcW w:w="1842" w:type="dxa"/>
            <w:vAlign w:val="center"/>
          </w:tcPr>
          <w:p w14:paraId="4DC8065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32151.7-2023</w:t>
            </w:r>
          </w:p>
        </w:tc>
        <w:tc>
          <w:tcPr>
            <w:tcW w:w="3686" w:type="dxa"/>
            <w:vAlign w:val="center"/>
          </w:tcPr>
          <w:p w14:paraId="0DA8BB16">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碳排放核算与报告要求 第7部分：</w:t>
            </w:r>
          </w:p>
          <w:p w14:paraId="1D1DEF4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平板玻璃生产企业</w:t>
            </w:r>
          </w:p>
        </w:tc>
        <w:tc>
          <w:tcPr>
            <w:tcW w:w="1134" w:type="dxa"/>
            <w:vAlign w:val="center"/>
          </w:tcPr>
          <w:p w14:paraId="2071E1D8">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2023-12-28</w:t>
            </w:r>
          </w:p>
        </w:tc>
        <w:tc>
          <w:tcPr>
            <w:tcW w:w="1213" w:type="dxa"/>
            <w:vAlign w:val="center"/>
          </w:tcPr>
          <w:p w14:paraId="4BF1EDE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2024-07-01</w:t>
            </w:r>
          </w:p>
        </w:tc>
      </w:tr>
      <w:tr w14:paraId="45BA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049F87B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9</w:t>
            </w:r>
          </w:p>
        </w:tc>
        <w:tc>
          <w:tcPr>
            <w:tcW w:w="1842" w:type="dxa"/>
            <w:vAlign w:val="center"/>
          </w:tcPr>
          <w:p w14:paraId="7726BA11">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32151.8-2023</w:t>
            </w:r>
          </w:p>
        </w:tc>
        <w:tc>
          <w:tcPr>
            <w:tcW w:w="3686" w:type="dxa"/>
            <w:vAlign w:val="center"/>
          </w:tcPr>
          <w:p w14:paraId="23BD13AA">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碳排放核算与报告要求 第8部分：</w:t>
            </w:r>
          </w:p>
          <w:p w14:paraId="27A83368">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水泥生产企业</w:t>
            </w:r>
          </w:p>
        </w:tc>
        <w:tc>
          <w:tcPr>
            <w:tcW w:w="1134" w:type="dxa"/>
            <w:vAlign w:val="center"/>
          </w:tcPr>
          <w:p w14:paraId="7AC8DDAA">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2023-12-28</w:t>
            </w:r>
          </w:p>
        </w:tc>
        <w:tc>
          <w:tcPr>
            <w:tcW w:w="1213" w:type="dxa"/>
            <w:vAlign w:val="center"/>
          </w:tcPr>
          <w:p w14:paraId="06ECCE81">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2024-07-01</w:t>
            </w:r>
          </w:p>
        </w:tc>
      </w:tr>
      <w:tr w14:paraId="002F4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2B91D10E">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10</w:t>
            </w:r>
          </w:p>
        </w:tc>
        <w:tc>
          <w:tcPr>
            <w:tcW w:w="1842" w:type="dxa"/>
            <w:vAlign w:val="center"/>
          </w:tcPr>
          <w:p w14:paraId="140DE386">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32151.9-2023</w:t>
            </w:r>
          </w:p>
        </w:tc>
        <w:tc>
          <w:tcPr>
            <w:tcW w:w="3686" w:type="dxa"/>
            <w:vAlign w:val="center"/>
          </w:tcPr>
          <w:p w14:paraId="73DE528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碳排放核算与报告要求 第9部分：</w:t>
            </w:r>
          </w:p>
          <w:p w14:paraId="331231B5">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陶瓷生产企业</w:t>
            </w:r>
          </w:p>
        </w:tc>
        <w:tc>
          <w:tcPr>
            <w:tcW w:w="1134" w:type="dxa"/>
            <w:vAlign w:val="center"/>
          </w:tcPr>
          <w:p w14:paraId="5C09CD09">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2023-12-28</w:t>
            </w:r>
          </w:p>
        </w:tc>
        <w:tc>
          <w:tcPr>
            <w:tcW w:w="1213" w:type="dxa"/>
            <w:vAlign w:val="center"/>
          </w:tcPr>
          <w:p w14:paraId="7F0BBBC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2024-07-01</w:t>
            </w:r>
          </w:p>
        </w:tc>
      </w:tr>
      <w:tr w14:paraId="3EE38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306FCE15">
            <w:pPr>
              <w:overflowPunct w:val="0"/>
              <w:jc w:val="center"/>
              <w:rPr>
                <w:rFonts w:ascii="Times New Roman" w:hAnsi="Times New Roman" w:eastAsia="宋体" w:cs="Times New Roman"/>
                <w:sz w:val="18"/>
                <w:szCs w:val="18"/>
              </w:rPr>
            </w:pPr>
            <w:bookmarkStart w:id="149" w:name="_Hlk195018820"/>
            <w:r>
              <w:rPr>
                <w:rFonts w:ascii="Times New Roman" w:hAnsi="Times New Roman" w:eastAsia="宋体" w:cs="Times New Roman"/>
                <w:sz w:val="18"/>
                <w:szCs w:val="18"/>
              </w:rPr>
              <w:t>11</w:t>
            </w:r>
          </w:p>
        </w:tc>
        <w:tc>
          <w:tcPr>
            <w:tcW w:w="1842" w:type="dxa"/>
            <w:vAlign w:val="center"/>
          </w:tcPr>
          <w:p w14:paraId="4C41D266">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32151.10-2023</w:t>
            </w:r>
          </w:p>
        </w:tc>
        <w:tc>
          <w:tcPr>
            <w:tcW w:w="3686" w:type="dxa"/>
            <w:vAlign w:val="center"/>
          </w:tcPr>
          <w:p w14:paraId="143161F5">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碳排放核算与报告要求 第10部分：</w:t>
            </w:r>
          </w:p>
          <w:p w14:paraId="4587B1B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化工生产企业</w:t>
            </w:r>
          </w:p>
        </w:tc>
        <w:tc>
          <w:tcPr>
            <w:tcW w:w="1134" w:type="dxa"/>
            <w:vAlign w:val="center"/>
          </w:tcPr>
          <w:p w14:paraId="01BAB9A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2023-12-28</w:t>
            </w:r>
          </w:p>
        </w:tc>
        <w:tc>
          <w:tcPr>
            <w:tcW w:w="1213" w:type="dxa"/>
            <w:vAlign w:val="center"/>
          </w:tcPr>
          <w:p w14:paraId="7370867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2024-07-01</w:t>
            </w:r>
          </w:p>
        </w:tc>
      </w:tr>
      <w:bookmarkEnd w:id="149"/>
      <w:tr w14:paraId="6197C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3969DFAC">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12</w:t>
            </w:r>
          </w:p>
        </w:tc>
        <w:tc>
          <w:tcPr>
            <w:tcW w:w="1842" w:type="dxa"/>
            <w:vAlign w:val="center"/>
          </w:tcPr>
          <w:p w14:paraId="2DB69C5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32151.11-2018</w:t>
            </w:r>
          </w:p>
        </w:tc>
        <w:tc>
          <w:tcPr>
            <w:tcW w:w="3686" w:type="dxa"/>
            <w:vAlign w:val="center"/>
          </w:tcPr>
          <w:p w14:paraId="519924DA">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第11部分：煤炭生产企业</w:t>
            </w:r>
          </w:p>
        </w:tc>
        <w:tc>
          <w:tcPr>
            <w:tcW w:w="1134" w:type="dxa"/>
            <w:vAlign w:val="center"/>
          </w:tcPr>
          <w:p w14:paraId="7B279835">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2018-09-17</w:t>
            </w:r>
          </w:p>
        </w:tc>
        <w:tc>
          <w:tcPr>
            <w:tcW w:w="1213" w:type="dxa"/>
            <w:vAlign w:val="center"/>
          </w:tcPr>
          <w:p w14:paraId="3907215D">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2019-04-01</w:t>
            </w:r>
          </w:p>
        </w:tc>
      </w:tr>
      <w:tr w14:paraId="05497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17A8AE6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13</w:t>
            </w:r>
          </w:p>
        </w:tc>
        <w:tc>
          <w:tcPr>
            <w:tcW w:w="1842" w:type="dxa"/>
            <w:vAlign w:val="center"/>
          </w:tcPr>
          <w:p w14:paraId="3D3806E1">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32151.12-2018</w:t>
            </w:r>
          </w:p>
        </w:tc>
        <w:tc>
          <w:tcPr>
            <w:tcW w:w="3686" w:type="dxa"/>
            <w:vAlign w:val="center"/>
          </w:tcPr>
          <w:p w14:paraId="296CAE92">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第12部分：纺织服装企业</w:t>
            </w:r>
          </w:p>
        </w:tc>
        <w:tc>
          <w:tcPr>
            <w:tcW w:w="1134" w:type="dxa"/>
            <w:vAlign w:val="center"/>
          </w:tcPr>
          <w:p w14:paraId="4971DFC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2018-09-17</w:t>
            </w:r>
          </w:p>
        </w:tc>
        <w:tc>
          <w:tcPr>
            <w:tcW w:w="1213" w:type="dxa"/>
            <w:vAlign w:val="center"/>
          </w:tcPr>
          <w:p w14:paraId="30A356E6">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2019-04-01</w:t>
            </w:r>
          </w:p>
        </w:tc>
      </w:tr>
      <w:tr w14:paraId="6410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6F1249C3">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14</w:t>
            </w:r>
          </w:p>
        </w:tc>
        <w:tc>
          <w:tcPr>
            <w:tcW w:w="1842" w:type="dxa"/>
            <w:vAlign w:val="center"/>
          </w:tcPr>
          <w:p w14:paraId="2BA4AD43">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32151.13-2023</w:t>
            </w:r>
          </w:p>
        </w:tc>
        <w:tc>
          <w:tcPr>
            <w:tcW w:w="3686" w:type="dxa"/>
            <w:vAlign w:val="center"/>
          </w:tcPr>
          <w:p w14:paraId="67979AB6">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碳排放核算与报告要求 第13部分：</w:t>
            </w:r>
          </w:p>
          <w:p w14:paraId="3E171AE0">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独立焦化企业</w:t>
            </w:r>
          </w:p>
        </w:tc>
        <w:tc>
          <w:tcPr>
            <w:tcW w:w="1134" w:type="dxa"/>
            <w:vAlign w:val="center"/>
          </w:tcPr>
          <w:p w14:paraId="176EC64A">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2023-12-28</w:t>
            </w:r>
          </w:p>
        </w:tc>
        <w:tc>
          <w:tcPr>
            <w:tcW w:w="1213" w:type="dxa"/>
            <w:vAlign w:val="center"/>
          </w:tcPr>
          <w:p w14:paraId="0FB9C03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2024-07-01</w:t>
            </w:r>
          </w:p>
        </w:tc>
      </w:tr>
      <w:tr w14:paraId="3F7B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5F47A7A0">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15</w:t>
            </w:r>
          </w:p>
        </w:tc>
        <w:tc>
          <w:tcPr>
            <w:tcW w:w="1842" w:type="dxa"/>
            <w:vAlign w:val="center"/>
          </w:tcPr>
          <w:p w14:paraId="5AF69AB0">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32151.14-2023</w:t>
            </w:r>
          </w:p>
        </w:tc>
        <w:tc>
          <w:tcPr>
            <w:tcW w:w="3686" w:type="dxa"/>
            <w:vAlign w:val="center"/>
          </w:tcPr>
          <w:p w14:paraId="41992B8D">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碳排放核算与报告要求 第14部分：</w:t>
            </w:r>
          </w:p>
          <w:p w14:paraId="2C28A35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其他有色金属冶炼和压延加工企业</w:t>
            </w:r>
          </w:p>
        </w:tc>
        <w:tc>
          <w:tcPr>
            <w:tcW w:w="1134" w:type="dxa"/>
            <w:vAlign w:val="center"/>
          </w:tcPr>
          <w:p w14:paraId="2E0F9973">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2023-12-28</w:t>
            </w:r>
          </w:p>
        </w:tc>
        <w:tc>
          <w:tcPr>
            <w:tcW w:w="1213" w:type="dxa"/>
            <w:vAlign w:val="center"/>
          </w:tcPr>
          <w:p w14:paraId="277E9DE1">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2024-07-01</w:t>
            </w:r>
          </w:p>
        </w:tc>
      </w:tr>
      <w:tr w14:paraId="69E9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035ED785">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16</w:t>
            </w:r>
          </w:p>
        </w:tc>
        <w:tc>
          <w:tcPr>
            <w:tcW w:w="1842" w:type="dxa"/>
            <w:vAlign w:val="center"/>
          </w:tcPr>
          <w:p w14:paraId="687EBE3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32151.15-2023</w:t>
            </w:r>
          </w:p>
        </w:tc>
        <w:tc>
          <w:tcPr>
            <w:tcW w:w="3686" w:type="dxa"/>
            <w:vAlign w:val="center"/>
          </w:tcPr>
          <w:p w14:paraId="615426F6">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碳排放核算与报告要求 第15部分：</w:t>
            </w:r>
          </w:p>
          <w:p w14:paraId="7467832E">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石油化工企业</w:t>
            </w:r>
          </w:p>
        </w:tc>
        <w:tc>
          <w:tcPr>
            <w:tcW w:w="1134" w:type="dxa"/>
            <w:vAlign w:val="center"/>
          </w:tcPr>
          <w:p w14:paraId="4220776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2023-12-28</w:t>
            </w:r>
          </w:p>
        </w:tc>
        <w:tc>
          <w:tcPr>
            <w:tcW w:w="1213" w:type="dxa"/>
            <w:vAlign w:val="center"/>
          </w:tcPr>
          <w:p w14:paraId="72921983">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2024-07-01</w:t>
            </w:r>
          </w:p>
        </w:tc>
      </w:tr>
      <w:tr w14:paraId="451E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43E0150C">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17</w:t>
            </w:r>
          </w:p>
        </w:tc>
        <w:tc>
          <w:tcPr>
            <w:tcW w:w="1842" w:type="dxa"/>
            <w:vAlign w:val="center"/>
          </w:tcPr>
          <w:p w14:paraId="0694348C">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32151.16-2023</w:t>
            </w:r>
          </w:p>
        </w:tc>
        <w:tc>
          <w:tcPr>
            <w:tcW w:w="3686" w:type="dxa"/>
            <w:vAlign w:val="center"/>
          </w:tcPr>
          <w:p w14:paraId="7EB08166">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碳排放核算与报告要求 第16部分：</w:t>
            </w:r>
          </w:p>
          <w:p w14:paraId="54611C2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石油天然气生产企业</w:t>
            </w:r>
          </w:p>
        </w:tc>
        <w:tc>
          <w:tcPr>
            <w:tcW w:w="1134" w:type="dxa"/>
            <w:vAlign w:val="center"/>
          </w:tcPr>
          <w:p w14:paraId="2C81751C">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2023-12-28</w:t>
            </w:r>
          </w:p>
        </w:tc>
        <w:tc>
          <w:tcPr>
            <w:tcW w:w="1213" w:type="dxa"/>
            <w:vAlign w:val="center"/>
          </w:tcPr>
          <w:p w14:paraId="7D76797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2024-07-01</w:t>
            </w:r>
          </w:p>
        </w:tc>
      </w:tr>
      <w:tr w14:paraId="63FD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347785D8">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18</w:t>
            </w:r>
          </w:p>
        </w:tc>
        <w:tc>
          <w:tcPr>
            <w:tcW w:w="1842" w:type="dxa"/>
            <w:vAlign w:val="center"/>
          </w:tcPr>
          <w:p w14:paraId="68566F9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32151.17-2023</w:t>
            </w:r>
          </w:p>
        </w:tc>
        <w:tc>
          <w:tcPr>
            <w:tcW w:w="3686" w:type="dxa"/>
            <w:vAlign w:val="center"/>
          </w:tcPr>
          <w:p w14:paraId="570479B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碳排放核算与报告要求 第17部分：</w:t>
            </w:r>
          </w:p>
          <w:p w14:paraId="61BECE6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氟化工企业</w:t>
            </w:r>
          </w:p>
        </w:tc>
        <w:tc>
          <w:tcPr>
            <w:tcW w:w="1134" w:type="dxa"/>
            <w:vAlign w:val="center"/>
          </w:tcPr>
          <w:p w14:paraId="70012C9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2023-12-28</w:t>
            </w:r>
          </w:p>
        </w:tc>
        <w:tc>
          <w:tcPr>
            <w:tcW w:w="1213" w:type="dxa"/>
            <w:vAlign w:val="center"/>
          </w:tcPr>
          <w:p w14:paraId="7818A1A0">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2024-07-01</w:t>
            </w:r>
          </w:p>
        </w:tc>
      </w:tr>
      <w:tr w14:paraId="660F2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0D142C0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19</w:t>
            </w:r>
          </w:p>
        </w:tc>
        <w:tc>
          <w:tcPr>
            <w:tcW w:w="1842" w:type="dxa"/>
            <w:vAlign w:val="center"/>
          </w:tcPr>
          <w:p w14:paraId="59EB0122">
            <w:pPr>
              <w:overflowPunct w:val="0"/>
              <w:jc w:val="center"/>
              <w:rPr>
                <w:rFonts w:ascii="Times New Roman" w:hAnsi="Times New Roman" w:eastAsia="宋体" w:cs="Times New Roman"/>
                <w:sz w:val="18"/>
                <w:szCs w:val="18"/>
              </w:rPr>
            </w:pPr>
            <w:bookmarkStart w:id="150" w:name="OLE_LINK5"/>
            <w:r>
              <w:rPr>
                <w:rFonts w:ascii="Times New Roman" w:hAnsi="Times New Roman" w:eastAsia="宋体" w:cs="Times New Roman"/>
                <w:sz w:val="18"/>
                <w:szCs w:val="18"/>
              </w:rPr>
              <w:t>GB/T 32151.18-2024</w:t>
            </w:r>
            <w:bookmarkEnd w:id="150"/>
          </w:p>
        </w:tc>
        <w:tc>
          <w:tcPr>
            <w:tcW w:w="3686" w:type="dxa"/>
            <w:vAlign w:val="center"/>
          </w:tcPr>
          <w:p w14:paraId="27974C58">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第18部分：锻造企业</w:t>
            </w:r>
          </w:p>
        </w:tc>
        <w:tc>
          <w:tcPr>
            <w:tcW w:w="1134" w:type="dxa"/>
            <w:vAlign w:val="center"/>
          </w:tcPr>
          <w:p w14:paraId="7258A162">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2024-12-31</w:t>
            </w:r>
          </w:p>
        </w:tc>
        <w:tc>
          <w:tcPr>
            <w:tcW w:w="1213" w:type="dxa"/>
            <w:vAlign w:val="center"/>
          </w:tcPr>
          <w:p w14:paraId="4D342F80">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2025-07-01</w:t>
            </w:r>
          </w:p>
        </w:tc>
      </w:tr>
      <w:tr w14:paraId="3AA0C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6E7B948C">
            <w:pPr>
              <w:overflowPunct w:val="0"/>
              <w:jc w:val="center"/>
              <w:rPr>
                <w:rFonts w:ascii="Times New Roman" w:hAnsi="Times New Roman" w:eastAsia="宋体" w:cs="Times New Roman"/>
                <w:sz w:val="18"/>
                <w:szCs w:val="18"/>
              </w:rPr>
            </w:pPr>
            <w:bookmarkStart w:id="151" w:name="_Hlk195019452"/>
            <w:r>
              <w:rPr>
                <w:rFonts w:ascii="Times New Roman" w:hAnsi="Times New Roman" w:eastAsia="宋体" w:cs="Times New Roman"/>
                <w:sz w:val="18"/>
                <w:szCs w:val="18"/>
              </w:rPr>
              <w:t>20</w:t>
            </w:r>
          </w:p>
        </w:tc>
        <w:tc>
          <w:tcPr>
            <w:tcW w:w="1842" w:type="dxa"/>
            <w:vAlign w:val="center"/>
          </w:tcPr>
          <w:p w14:paraId="15FEBCD1">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32151.19-2024</w:t>
            </w:r>
          </w:p>
        </w:tc>
        <w:tc>
          <w:tcPr>
            <w:tcW w:w="3686" w:type="dxa"/>
            <w:vAlign w:val="center"/>
          </w:tcPr>
          <w:p w14:paraId="689E5E70">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第19部分：热处理企业</w:t>
            </w:r>
          </w:p>
        </w:tc>
        <w:tc>
          <w:tcPr>
            <w:tcW w:w="1134" w:type="dxa"/>
            <w:vAlign w:val="center"/>
          </w:tcPr>
          <w:p w14:paraId="1E99D79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0EF07AB9">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bookmarkEnd w:id="151"/>
      <w:tr w14:paraId="1ED3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460796FE">
            <w:pPr>
              <w:overflowPunct w:val="0"/>
              <w:jc w:val="center"/>
              <w:rPr>
                <w:rFonts w:ascii="Times New Roman" w:hAnsi="Times New Roman" w:eastAsia="宋体" w:cs="Times New Roman"/>
                <w:sz w:val="18"/>
                <w:szCs w:val="18"/>
              </w:rPr>
            </w:pPr>
            <w:bookmarkStart w:id="152" w:name="_Hlk195019666"/>
            <w:r>
              <w:rPr>
                <w:rFonts w:ascii="Times New Roman" w:hAnsi="Times New Roman" w:eastAsia="宋体" w:cs="Times New Roman"/>
                <w:sz w:val="18"/>
                <w:szCs w:val="18"/>
              </w:rPr>
              <w:t>21</w:t>
            </w:r>
          </w:p>
        </w:tc>
        <w:tc>
          <w:tcPr>
            <w:tcW w:w="1842" w:type="dxa"/>
            <w:vAlign w:val="center"/>
          </w:tcPr>
          <w:p w14:paraId="2C386F15">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32151.20-2024</w:t>
            </w:r>
          </w:p>
        </w:tc>
        <w:tc>
          <w:tcPr>
            <w:tcW w:w="3686" w:type="dxa"/>
            <w:vAlign w:val="center"/>
          </w:tcPr>
          <w:p w14:paraId="0C0A462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第20部分：家具生产企业</w:t>
            </w:r>
          </w:p>
        </w:tc>
        <w:tc>
          <w:tcPr>
            <w:tcW w:w="1134" w:type="dxa"/>
            <w:vAlign w:val="center"/>
          </w:tcPr>
          <w:p w14:paraId="01332C7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2024-10-26</w:t>
            </w:r>
          </w:p>
        </w:tc>
        <w:tc>
          <w:tcPr>
            <w:tcW w:w="1213" w:type="dxa"/>
            <w:vAlign w:val="center"/>
          </w:tcPr>
          <w:p w14:paraId="233E0F0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2025-05-01</w:t>
            </w:r>
          </w:p>
        </w:tc>
      </w:tr>
      <w:bookmarkEnd w:id="152"/>
      <w:tr w14:paraId="74ED2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27E5FDA8">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22</w:t>
            </w:r>
          </w:p>
        </w:tc>
        <w:tc>
          <w:tcPr>
            <w:tcW w:w="1842" w:type="dxa"/>
            <w:vAlign w:val="center"/>
          </w:tcPr>
          <w:p w14:paraId="3D40CD9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32151.21-2024</w:t>
            </w:r>
          </w:p>
        </w:tc>
        <w:tc>
          <w:tcPr>
            <w:tcW w:w="3686" w:type="dxa"/>
            <w:vAlign w:val="center"/>
          </w:tcPr>
          <w:p w14:paraId="7A1BFAD9">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第21部分：铸造企业</w:t>
            </w:r>
          </w:p>
        </w:tc>
        <w:tc>
          <w:tcPr>
            <w:tcW w:w="1134" w:type="dxa"/>
            <w:vAlign w:val="center"/>
          </w:tcPr>
          <w:p w14:paraId="1E734906">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47C53E20">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tr w14:paraId="79EA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4A1960DC">
            <w:pPr>
              <w:overflowPunct w:val="0"/>
              <w:jc w:val="center"/>
              <w:rPr>
                <w:rFonts w:ascii="Times New Roman" w:hAnsi="Times New Roman" w:eastAsia="宋体" w:cs="Times New Roman"/>
                <w:sz w:val="18"/>
                <w:szCs w:val="18"/>
              </w:rPr>
            </w:pPr>
            <w:bookmarkStart w:id="153" w:name="_Hlk195019708"/>
            <w:r>
              <w:rPr>
                <w:rFonts w:ascii="Times New Roman" w:hAnsi="Times New Roman" w:eastAsia="宋体" w:cs="Times New Roman"/>
                <w:sz w:val="18"/>
                <w:szCs w:val="18"/>
              </w:rPr>
              <w:t>23</w:t>
            </w:r>
          </w:p>
        </w:tc>
        <w:tc>
          <w:tcPr>
            <w:tcW w:w="1842" w:type="dxa"/>
            <w:vAlign w:val="center"/>
          </w:tcPr>
          <w:p w14:paraId="4AA5AA1E">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32151.22-2024</w:t>
            </w:r>
          </w:p>
        </w:tc>
        <w:tc>
          <w:tcPr>
            <w:tcW w:w="3686" w:type="dxa"/>
            <w:vAlign w:val="center"/>
          </w:tcPr>
          <w:p w14:paraId="507C24B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第22部分：畜禽养殖企业</w:t>
            </w:r>
          </w:p>
        </w:tc>
        <w:tc>
          <w:tcPr>
            <w:tcW w:w="1134" w:type="dxa"/>
            <w:vAlign w:val="center"/>
          </w:tcPr>
          <w:p w14:paraId="4598E522">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159B17B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bookmarkEnd w:id="153"/>
      <w:tr w14:paraId="14A7D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2418121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24</w:t>
            </w:r>
          </w:p>
        </w:tc>
        <w:tc>
          <w:tcPr>
            <w:tcW w:w="1842" w:type="dxa"/>
            <w:vAlign w:val="center"/>
          </w:tcPr>
          <w:p w14:paraId="4A7A4489">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32151.23-2024</w:t>
            </w:r>
          </w:p>
        </w:tc>
        <w:tc>
          <w:tcPr>
            <w:tcW w:w="3686" w:type="dxa"/>
            <w:vAlign w:val="center"/>
          </w:tcPr>
          <w:p w14:paraId="4FA4093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第23部分： 种植业机构</w:t>
            </w:r>
          </w:p>
        </w:tc>
        <w:tc>
          <w:tcPr>
            <w:tcW w:w="1134" w:type="dxa"/>
            <w:vAlign w:val="center"/>
          </w:tcPr>
          <w:p w14:paraId="630388AE">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2024-10-26</w:t>
            </w:r>
          </w:p>
        </w:tc>
        <w:tc>
          <w:tcPr>
            <w:tcW w:w="1213" w:type="dxa"/>
            <w:vAlign w:val="center"/>
          </w:tcPr>
          <w:p w14:paraId="199F706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2025-05-01</w:t>
            </w:r>
          </w:p>
        </w:tc>
      </w:tr>
      <w:tr w14:paraId="401D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05D0E72D">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25</w:t>
            </w:r>
          </w:p>
        </w:tc>
        <w:tc>
          <w:tcPr>
            <w:tcW w:w="1842" w:type="dxa"/>
            <w:vAlign w:val="center"/>
          </w:tcPr>
          <w:p w14:paraId="3A4166DD">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32151.24-2024</w:t>
            </w:r>
          </w:p>
        </w:tc>
        <w:tc>
          <w:tcPr>
            <w:tcW w:w="3686" w:type="dxa"/>
            <w:vAlign w:val="center"/>
          </w:tcPr>
          <w:p w14:paraId="7A140AFE">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第24部分：电子设备制造企业</w:t>
            </w:r>
          </w:p>
        </w:tc>
        <w:tc>
          <w:tcPr>
            <w:tcW w:w="1134" w:type="dxa"/>
            <w:vAlign w:val="center"/>
          </w:tcPr>
          <w:p w14:paraId="6DF6A2E3">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29D3DEF8">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tr w14:paraId="09DBA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4A442792">
            <w:pPr>
              <w:overflowPunct w:val="0"/>
              <w:jc w:val="center"/>
              <w:rPr>
                <w:rFonts w:ascii="Times New Roman" w:hAnsi="Times New Roman" w:eastAsia="宋体" w:cs="Times New Roman"/>
                <w:sz w:val="18"/>
                <w:szCs w:val="18"/>
              </w:rPr>
            </w:pPr>
            <w:bookmarkStart w:id="154" w:name="_Hlk195020009"/>
            <w:r>
              <w:rPr>
                <w:rFonts w:ascii="Times New Roman" w:hAnsi="Times New Roman" w:eastAsia="宋体" w:cs="Times New Roman"/>
                <w:sz w:val="18"/>
                <w:szCs w:val="18"/>
              </w:rPr>
              <w:t>26</w:t>
            </w:r>
          </w:p>
        </w:tc>
        <w:tc>
          <w:tcPr>
            <w:tcW w:w="1842" w:type="dxa"/>
            <w:vAlign w:val="center"/>
          </w:tcPr>
          <w:p w14:paraId="33AED7A5">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32151.25-2024</w:t>
            </w:r>
          </w:p>
        </w:tc>
        <w:tc>
          <w:tcPr>
            <w:tcW w:w="3686" w:type="dxa"/>
            <w:vAlign w:val="center"/>
          </w:tcPr>
          <w:p w14:paraId="559392FB">
            <w:pPr>
              <w:overflowPunct w:val="0"/>
              <w:jc w:val="center"/>
              <w:rPr>
                <w:rFonts w:ascii="Times New Roman" w:hAnsi="Times New Roman" w:eastAsia="宋体" w:cs="Times New Roman"/>
                <w:sz w:val="18"/>
                <w:szCs w:val="18"/>
              </w:rPr>
            </w:pPr>
            <w:bookmarkStart w:id="155" w:name="OLE_LINK18"/>
            <w:r>
              <w:rPr>
                <w:rFonts w:ascii="Times New Roman" w:hAnsi="Times New Roman" w:eastAsia="宋体" w:cs="Times New Roman"/>
                <w:sz w:val="18"/>
                <w:szCs w:val="18"/>
              </w:rPr>
              <w:t>温室气体排放核算与报告要求 第25部分</w:t>
            </w:r>
            <w:bookmarkEnd w:id="155"/>
            <w:r>
              <w:rPr>
                <w:rFonts w:ascii="Times New Roman" w:hAnsi="Times New Roman" w:eastAsia="宋体" w:cs="Times New Roman"/>
                <w:sz w:val="18"/>
                <w:szCs w:val="18"/>
              </w:rPr>
              <w:t>：食品、烟草及酒、饮料和精制茶企业</w:t>
            </w:r>
          </w:p>
        </w:tc>
        <w:tc>
          <w:tcPr>
            <w:tcW w:w="1134" w:type="dxa"/>
            <w:vAlign w:val="center"/>
          </w:tcPr>
          <w:p w14:paraId="197A9050">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0DFEFA79">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bookmarkEnd w:id="154"/>
      <w:tr w14:paraId="5010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4B205A15">
            <w:pPr>
              <w:overflowPunct w:val="0"/>
              <w:jc w:val="center"/>
              <w:rPr>
                <w:rFonts w:ascii="Times New Roman" w:hAnsi="Times New Roman" w:eastAsia="宋体" w:cs="Times New Roman"/>
                <w:sz w:val="18"/>
                <w:szCs w:val="18"/>
              </w:rPr>
            </w:pPr>
            <w:bookmarkStart w:id="156" w:name="_Hlk195021448"/>
            <w:r>
              <w:rPr>
                <w:rFonts w:ascii="Times New Roman" w:hAnsi="Times New Roman" w:eastAsia="宋体" w:cs="Times New Roman"/>
                <w:sz w:val="18"/>
                <w:szCs w:val="18"/>
              </w:rPr>
              <w:t>27</w:t>
            </w:r>
          </w:p>
        </w:tc>
        <w:tc>
          <w:tcPr>
            <w:tcW w:w="1842" w:type="dxa"/>
            <w:vAlign w:val="center"/>
          </w:tcPr>
          <w:p w14:paraId="332CADD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32151.27-2024</w:t>
            </w:r>
          </w:p>
        </w:tc>
        <w:tc>
          <w:tcPr>
            <w:tcW w:w="3686" w:type="dxa"/>
            <w:vAlign w:val="center"/>
          </w:tcPr>
          <w:p w14:paraId="54172079">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第27部分：陆上交通运输企业</w:t>
            </w:r>
          </w:p>
        </w:tc>
        <w:tc>
          <w:tcPr>
            <w:tcW w:w="1134" w:type="dxa"/>
            <w:vAlign w:val="center"/>
          </w:tcPr>
          <w:p w14:paraId="1645A158">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2024-10-26</w:t>
            </w:r>
          </w:p>
        </w:tc>
        <w:tc>
          <w:tcPr>
            <w:tcW w:w="1213" w:type="dxa"/>
            <w:vAlign w:val="center"/>
          </w:tcPr>
          <w:p w14:paraId="084B693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2025-05-01</w:t>
            </w:r>
          </w:p>
        </w:tc>
      </w:tr>
      <w:bookmarkEnd w:id="156"/>
      <w:tr w14:paraId="140C4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1473D598">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28</w:t>
            </w:r>
          </w:p>
        </w:tc>
        <w:tc>
          <w:tcPr>
            <w:tcW w:w="1842" w:type="dxa"/>
            <w:vAlign w:val="center"/>
          </w:tcPr>
          <w:p w14:paraId="3AD5D58D">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32151.28-2024</w:t>
            </w:r>
          </w:p>
        </w:tc>
        <w:tc>
          <w:tcPr>
            <w:tcW w:w="3686" w:type="dxa"/>
            <w:vAlign w:val="center"/>
          </w:tcPr>
          <w:p w14:paraId="386E57F1">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第28部分：矿山企业</w:t>
            </w:r>
          </w:p>
        </w:tc>
        <w:tc>
          <w:tcPr>
            <w:tcW w:w="1134" w:type="dxa"/>
            <w:vAlign w:val="center"/>
          </w:tcPr>
          <w:p w14:paraId="7C308A98">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6D41E573">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tr w14:paraId="5DB19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36EF6248">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29</w:t>
            </w:r>
          </w:p>
        </w:tc>
        <w:tc>
          <w:tcPr>
            <w:tcW w:w="1842" w:type="dxa"/>
            <w:vAlign w:val="center"/>
          </w:tcPr>
          <w:p w14:paraId="189A439E">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32151.29-2024</w:t>
            </w:r>
          </w:p>
        </w:tc>
        <w:tc>
          <w:tcPr>
            <w:tcW w:w="3686" w:type="dxa"/>
            <w:vAlign w:val="center"/>
          </w:tcPr>
          <w:p w14:paraId="7120C79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第29部分：机械设备制造企业</w:t>
            </w:r>
          </w:p>
        </w:tc>
        <w:tc>
          <w:tcPr>
            <w:tcW w:w="1134" w:type="dxa"/>
            <w:vAlign w:val="center"/>
          </w:tcPr>
          <w:p w14:paraId="119682E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562828C9">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tr w14:paraId="2FA3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01F63811">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30</w:t>
            </w:r>
          </w:p>
        </w:tc>
        <w:tc>
          <w:tcPr>
            <w:tcW w:w="1842" w:type="dxa"/>
            <w:vAlign w:val="center"/>
          </w:tcPr>
          <w:p w14:paraId="5DD191B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32151.30-2024</w:t>
            </w:r>
          </w:p>
        </w:tc>
        <w:tc>
          <w:tcPr>
            <w:tcW w:w="3686" w:type="dxa"/>
            <w:vAlign w:val="center"/>
          </w:tcPr>
          <w:p w14:paraId="4BD09D8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第30部分：水运企业</w:t>
            </w:r>
          </w:p>
        </w:tc>
        <w:tc>
          <w:tcPr>
            <w:tcW w:w="1134" w:type="dxa"/>
            <w:vAlign w:val="center"/>
          </w:tcPr>
          <w:p w14:paraId="1D3953A3">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3B4A622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tr w14:paraId="5547F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3B3B8740">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31</w:t>
            </w:r>
          </w:p>
        </w:tc>
        <w:tc>
          <w:tcPr>
            <w:tcW w:w="1842" w:type="dxa"/>
            <w:vAlign w:val="center"/>
          </w:tcPr>
          <w:p w14:paraId="75C081A1">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32151.31-2024</w:t>
            </w:r>
          </w:p>
        </w:tc>
        <w:tc>
          <w:tcPr>
            <w:tcW w:w="3686" w:type="dxa"/>
            <w:vAlign w:val="center"/>
          </w:tcPr>
          <w:p w14:paraId="753A067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第31部分：木材加工企业</w:t>
            </w:r>
          </w:p>
        </w:tc>
        <w:tc>
          <w:tcPr>
            <w:tcW w:w="1134" w:type="dxa"/>
            <w:vAlign w:val="center"/>
          </w:tcPr>
          <w:p w14:paraId="4E1691D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2024-12-31</w:t>
            </w:r>
          </w:p>
        </w:tc>
        <w:tc>
          <w:tcPr>
            <w:tcW w:w="1213" w:type="dxa"/>
            <w:vAlign w:val="center"/>
          </w:tcPr>
          <w:p w14:paraId="52E5CF21">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2025-07-01</w:t>
            </w:r>
          </w:p>
        </w:tc>
      </w:tr>
      <w:tr w14:paraId="0B35D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46277B4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32</w:t>
            </w:r>
          </w:p>
        </w:tc>
        <w:tc>
          <w:tcPr>
            <w:tcW w:w="1842" w:type="dxa"/>
            <w:vAlign w:val="center"/>
          </w:tcPr>
          <w:p w14:paraId="73B0B21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32151.32-2024</w:t>
            </w:r>
          </w:p>
        </w:tc>
        <w:tc>
          <w:tcPr>
            <w:tcW w:w="3686" w:type="dxa"/>
            <w:vAlign w:val="center"/>
          </w:tcPr>
          <w:p w14:paraId="5CAE47F8">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第32部分：涂料生产企业</w:t>
            </w:r>
          </w:p>
        </w:tc>
        <w:tc>
          <w:tcPr>
            <w:tcW w:w="1134" w:type="dxa"/>
            <w:vAlign w:val="center"/>
          </w:tcPr>
          <w:p w14:paraId="250BE6E9">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54A64F1C">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tr w14:paraId="0747D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2B743F28">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33</w:t>
            </w:r>
          </w:p>
        </w:tc>
        <w:tc>
          <w:tcPr>
            <w:tcW w:w="1842" w:type="dxa"/>
            <w:vAlign w:val="center"/>
          </w:tcPr>
          <w:p w14:paraId="25A79EE6">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32151.34-2024</w:t>
            </w:r>
          </w:p>
        </w:tc>
        <w:tc>
          <w:tcPr>
            <w:tcW w:w="3686" w:type="dxa"/>
            <w:vAlign w:val="center"/>
          </w:tcPr>
          <w:p w14:paraId="2A87AE5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第34部分：炭素材料生产企业</w:t>
            </w:r>
          </w:p>
        </w:tc>
        <w:tc>
          <w:tcPr>
            <w:tcW w:w="1134" w:type="dxa"/>
            <w:vAlign w:val="center"/>
          </w:tcPr>
          <w:p w14:paraId="32379F03">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2024-08-23</w:t>
            </w:r>
          </w:p>
        </w:tc>
        <w:tc>
          <w:tcPr>
            <w:tcW w:w="1213" w:type="dxa"/>
            <w:vAlign w:val="center"/>
          </w:tcPr>
          <w:p w14:paraId="1ADC0F68">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2025-03-01</w:t>
            </w:r>
          </w:p>
        </w:tc>
      </w:tr>
      <w:tr w14:paraId="7E7A3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6904DF81">
            <w:pPr>
              <w:overflowPunct w:val="0"/>
              <w:jc w:val="center"/>
              <w:rPr>
                <w:rFonts w:ascii="Times New Roman" w:hAnsi="Times New Roman" w:eastAsia="宋体" w:cs="Times New Roman"/>
                <w:sz w:val="18"/>
                <w:szCs w:val="18"/>
              </w:rPr>
            </w:pPr>
            <w:bookmarkStart w:id="157" w:name="_Hlk195020530"/>
            <w:r>
              <w:rPr>
                <w:rFonts w:ascii="Times New Roman" w:hAnsi="Times New Roman" w:eastAsia="宋体" w:cs="Times New Roman"/>
                <w:sz w:val="18"/>
                <w:szCs w:val="18"/>
              </w:rPr>
              <w:t>34</w:t>
            </w:r>
          </w:p>
        </w:tc>
        <w:tc>
          <w:tcPr>
            <w:tcW w:w="1842" w:type="dxa"/>
            <w:vAlign w:val="center"/>
          </w:tcPr>
          <w:p w14:paraId="7AFF49D3">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32151.35-2025</w:t>
            </w:r>
          </w:p>
        </w:tc>
        <w:tc>
          <w:tcPr>
            <w:tcW w:w="3686" w:type="dxa"/>
            <w:vAlign w:val="center"/>
          </w:tcPr>
          <w:p w14:paraId="2EC02E6C">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第35部分：玻璃纤维产品生产企业</w:t>
            </w:r>
          </w:p>
        </w:tc>
        <w:tc>
          <w:tcPr>
            <w:tcW w:w="1134" w:type="dxa"/>
            <w:vAlign w:val="center"/>
          </w:tcPr>
          <w:p w14:paraId="1DC1A7F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2025-01-24</w:t>
            </w:r>
          </w:p>
        </w:tc>
        <w:tc>
          <w:tcPr>
            <w:tcW w:w="1213" w:type="dxa"/>
            <w:vAlign w:val="center"/>
          </w:tcPr>
          <w:p w14:paraId="2956B569">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2025-08-01</w:t>
            </w:r>
          </w:p>
        </w:tc>
      </w:tr>
      <w:bookmarkEnd w:id="157"/>
      <w:tr w14:paraId="08F27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31155085">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35</w:t>
            </w:r>
          </w:p>
        </w:tc>
        <w:tc>
          <w:tcPr>
            <w:tcW w:w="1842" w:type="dxa"/>
            <w:vAlign w:val="center"/>
          </w:tcPr>
          <w:p w14:paraId="19BED490">
            <w:pPr>
              <w:overflowPunct w:val="0"/>
              <w:jc w:val="center"/>
              <w:rPr>
                <w:rFonts w:ascii="Times New Roman" w:hAnsi="Times New Roman" w:eastAsia="宋体" w:cs="Times New Roman"/>
                <w:sz w:val="18"/>
                <w:szCs w:val="18"/>
              </w:rPr>
            </w:pPr>
            <w:bookmarkStart w:id="158" w:name="OLE_LINK21"/>
            <w:r>
              <w:rPr>
                <w:rFonts w:ascii="Times New Roman" w:hAnsi="Times New Roman" w:eastAsia="宋体" w:cs="Times New Roman"/>
                <w:sz w:val="18"/>
                <w:szCs w:val="18"/>
              </w:rPr>
              <w:t>GB/T 32151.36-2024</w:t>
            </w:r>
            <w:bookmarkEnd w:id="158"/>
          </w:p>
        </w:tc>
        <w:tc>
          <w:tcPr>
            <w:tcW w:w="3686" w:type="dxa"/>
            <w:vAlign w:val="center"/>
          </w:tcPr>
          <w:p w14:paraId="48ED4E69">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第36部分：绝热材料生产企业</w:t>
            </w:r>
          </w:p>
        </w:tc>
        <w:tc>
          <w:tcPr>
            <w:tcW w:w="1134" w:type="dxa"/>
            <w:vAlign w:val="center"/>
          </w:tcPr>
          <w:p w14:paraId="52E5F18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5A6FAAA6">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tr w14:paraId="29373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59CAE68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36</w:t>
            </w:r>
          </w:p>
        </w:tc>
        <w:tc>
          <w:tcPr>
            <w:tcW w:w="1842" w:type="dxa"/>
            <w:vAlign w:val="center"/>
          </w:tcPr>
          <w:p w14:paraId="57FA9CBD">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32151.37-2024</w:t>
            </w:r>
          </w:p>
        </w:tc>
        <w:tc>
          <w:tcPr>
            <w:tcW w:w="3686" w:type="dxa"/>
            <w:vAlign w:val="center"/>
          </w:tcPr>
          <w:p w14:paraId="445BD461">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第37部分：烧结类墙体屋面及道路用建筑材料生产企业</w:t>
            </w:r>
          </w:p>
        </w:tc>
        <w:tc>
          <w:tcPr>
            <w:tcW w:w="1134" w:type="dxa"/>
            <w:vAlign w:val="center"/>
          </w:tcPr>
          <w:p w14:paraId="11EF5F4A">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2727496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tr w14:paraId="10CA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46DD49E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37</w:t>
            </w:r>
          </w:p>
        </w:tc>
        <w:tc>
          <w:tcPr>
            <w:tcW w:w="1842" w:type="dxa"/>
            <w:vAlign w:val="center"/>
          </w:tcPr>
          <w:p w14:paraId="326903A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32151.38-2024</w:t>
            </w:r>
          </w:p>
        </w:tc>
        <w:tc>
          <w:tcPr>
            <w:tcW w:w="3686" w:type="dxa"/>
            <w:vAlign w:val="center"/>
          </w:tcPr>
          <w:p w14:paraId="01BDE441">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第38部分：水泥制品生产企业</w:t>
            </w:r>
          </w:p>
        </w:tc>
        <w:tc>
          <w:tcPr>
            <w:tcW w:w="1134" w:type="dxa"/>
            <w:vAlign w:val="center"/>
          </w:tcPr>
          <w:p w14:paraId="6CEA4922">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73048E0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tr w14:paraId="66A08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383DD03E">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38</w:t>
            </w:r>
          </w:p>
        </w:tc>
        <w:tc>
          <w:tcPr>
            <w:tcW w:w="1842" w:type="dxa"/>
            <w:vAlign w:val="center"/>
          </w:tcPr>
          <w:p w14:paraId="366AAB99">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32151.39-2025</w:t>
            </w:r>
          </w:p>
        </w:tc>
        <w:tc>
          <w:tcPr>
            <w:tcW w:w="3686" w:type="dxa"/>
            <w:vAlign w:val="center"/>
          </w:tcPr>
          <w:p w14:paraId="3545D49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第39部分：建筑石膏生产企业</w:t>
            </w:r>
          </w:p>
        </w:tc>
        <w:tc>
          <w:tcPr>
            <w:tcW w:w="1134" w:type="dxa"/>
            <w:vAlign w:val="center"/>
          </w:tcPr>
          <w:p w14:paraId="52F96DA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2025-01-24</w:t>
            </w:r>
          </w:p>
        </w:tc>
        <w:tc>
          <w:tcPr>
            <w:tcW w:w="1213" w:type="dxa"/>
            <w:vAlign w:val="center"/>
          </w:tcPr>
          <w:p w14:paraId="45F1C1B1">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2025-08-01</w:t>
            </w:r>
          </w:p>
        </w:tc>
      </w:tr>
      <w:tr w14:paraId="1F5B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3812A70D">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39</w:t>
            </w:r>
          </w:p>
        </w:tc>
        <w:tc>
          <w:tcPr>
            <w:tcW w:w="1842" w:type="dxa"/>
            <w:vAlign w:val="center"/>
          </w:tcPr>
          <w:p w14:paraId="3E9F6342">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32151.40-2025</w:t>
            </w:r>
          </w:p>
        </w:tc>
        <w:tc>
          <w:tcPr>
            <w:tcW w:w="3686" w:type="dxa"/>
            <w:vAlign w:val="center"/>
          </w:tcPr>
          <w:p w14:paraId="03AFA409">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第40部分：建筑防水材料生产企业</w:t>
            </w:r>
          </w:p>
        </w:tc>
        <w:tc>
          <w:tcPr>
            <w:tcW w:w="1134" w:type="dxa"/>
            <w:vAlign w:val="center"/>
          </w:tcPr>
          <w:p w14:paraId="0434A492">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2025-01-24</w:t>
            </w:r>
          </w:p>
        </w:tc>
        <w:tc>
          <w:tcPr>
            <w:tcW w:w="1213" w:type="dxa"/>
            <w:vAlign w:val="center"/>
          </w:tcPr>
          <w:p w14:paraId="729A2A76">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2025-08-01</w:t>
            </w:r>
          </w:p>
        </w:tc>
      </w:tr>
      <w:tr w14:paraId="46F4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226A91AC">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40</w:t>
            </w:r>
          </w:p>
        </w:tc>
        <w:tc>
          <w:tcPr>
            <w:tcW w:w="1842" w:type="dxa"/>
            <w:vAlign w:val="center"/>
          </w:tcPr>
          <w:p w14:paraId="6D634B73">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32151.41-2024</w:t>
            </w:r>
          </w:p>
        </w:tc>
        <w:tc>
          <w:tcPr>
            <w:tcW w:w="3686" w:type="dxa"/>
            <w:vAlign w:val="center"/>
          </w:tcPr>
          <w:p w14:paraId="15525E0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第41部分：工业硅生产企业</w:t>
            </w:r>
          </w:p>
        </w:tc>
        <w:tc>
          <w:tcPr>
            <w:tcW w:w="1134" w:type="dxa"/>
            <w:vAlign w:val="center"/>
          </w:tcPr>
          <w:p w14:paraId="13EF32DA">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5A7EA105">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tr w14:paraId="7F64F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21CD4663">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41</w:t>
            </w:r>
          </w:p>
        </w:tc>
        <w:tc>
          <w:tcPr>
            <w:tcW w:w="1842" w:type="dxa"/>
            <w:vAlign w:val="center"/>
          </w:tcPr>
          <w:p w14:paraId="5B1218D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32151.42-2024</w:t>
            </w:r>
          </w:p>
        </w:tc>
        <w:tc>
          <w:tcPr>
            <w:tcW w:w="3686" w:type="dxa"/>
            <w:vAlign w:val="center"/>
          </w:tcPr>
          <w:p w14:paraId="6050820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第42部分：铜冶炼企业</w:t>
            </w:r>
          </w:p>
        </w:tc>
        <w:tc>
          <w:tcPr>
            <w:tcW w:w="1134" w:type="dxa"/>
            <w:vAlign w:val="center"/>
          </w:tcPr>
          <w:p w14:paraId="0B99BCD6">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23EE133E">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tr w14:paraId="4271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60AB94E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42</w:t>
            </w:r>
          </w:p>
        </w:tc>
        <w:tc>
          <w:tcPr>
            <w:tcW w:w="1842" w:type="dxa"/>
            <w:vAlign w:val="center"/>
          </w:tcPr>
          <w:p w14:paraId="317BC72B">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32151.43-2024</w:t>
            </w:r>
          </w:p>
        </w:tc>
        <w:tc>
          <w:tcPr>
            <w:tcW w:w="3686" w:type="dxa"/>
            <w:vAlign w:val="center"/>
          </w:tcPr>
          <w:p w14:paraId="74949C60">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第43部分：铅冶炼企业</w:t>
            </w:r>
          </w:p>
        </w:tc>
        <w:tc>
          <w:tcPr>
            <w:tcW w:w="1134" w:type="dxa"/>
            <w:vAlign w:val="center"/>
          </w:tcPr>
          <w:p w14:paraId="0440145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29587AF6">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tr w14:paraId="33C0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29D57F1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43</w:t>
            </w:r>
          </w:p>
        </w:tc>
        <w:tc>
          <w:tcPr>
            <w:tcW w:w="1842" w:type="dxa"/>
            <w:vAlign w:val="center"/>
          </w:tcPr>
          <w:p w14:paraId="7E78DE0E">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32151.44-2024</w:t>
            </w:r>
          </w:p>
        </w:tc>
        <w:tc>
          <w:tcPr>
            <w:tcW w:w="3686" w:type="dxa"/>
            <w:vAlign w:val="center"/>
          </w:tcPr>
          <w:p w14:paraId="7DEBBD56">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第44部分：锌冶炼企业</w:t>
            </w:r>
          </w:p>
        </w:tc>
        <w:tc>
          <w:tcPr>
            <w:tcW w:w="1134" w:type="dxa"/>
            <w:vAlign w:val="center"/>
          </w:tcPr>
          <w:p w14:paraId="57CB8EFE">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37397EC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tr w14:paraId="0C96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0B3F1A9D">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44</w:t>
            </w:r>
          </w:p>
        </w:tc>
        <w:tc>
          <w:tcPr>
            <w:tcW w:w="1842" w:type="dxa"/>
            <w:vAlign w:val="center"/>
          </w:tcPr>
          <w:p w14:paraId="0EECC085">
            <w:pPr>
              <w:overflowPunct w:val="0"/>
              <w:jc w:val="center"/>
              <w:rPr>
                <w:rFonts w:ascii="Times New Roman" w:hAnsi="Times New Roman" w:eastAsia="宋体" w:cs="Times New Roman"/>
                <w:sz w:val="18"/>
                <w:szCs w:val="18"/>
              </w:rPr>
            </w:pPr>
            <w:bookmarkStart w:id="159" w:name="OLE_LINK24"/>
            <w:r>
              <w:rPr>
                <w:rFonts w:ascii="Times New Roman" w:hAnsi="Times New Roman" w:eastAsia="宋体" w:cs="Times New Roman"/>
                <w:sz w:val="18"/>
                <w:szCs w:val="18"/>
              </w:rPr>
              <w:t>GB/T 32151.45-2024</w:t>
            </w:r>
            <w:bookmarkEnd w:id="159"/>
          </w:p>
        </w:tc>
        <w:tc>
          <w:tcPr>
            <w:tcW w:w="3686" w:type="dxa"/>
            <w:vAlign w:val="center"/>
          </w:tcPr>
          <w:p w14:paraId="2BA26CBC">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第45部分：磷酸及磷酸盐企业</w:t>
            </w:r>
          </w:p>
        </w:tc>
        <w:tc>
          <w:tcPr>
            <w:tcW w:w="1134" w:type="dxa"/>
            <w:vAlign w:val="center"/>
          </w:tcPr>
          <w:p w14:paraId="1132278A">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4C23984C">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tr w14:paraId="18CC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03D9A64E">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45</w:t>
            </w:r>
          </w:p>
        </w:tc>
        <w:tc>
          <w:tcPr>
            <w:tcW w:w="1842" w:type="dxa"/>
            <w:vAlign w:val="center"/>
          </w:tcPr>
          <w:p w14:paraId="4FCDBA47">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32151.46-2024</w:t>
            </w:r>
          </w:p>
        </w:tc>
        <w:tc>
          <w:tcPr>
            <w:tcW w:w="3686" w:type="dxa"/>
            <w:vAlign w:val="center"/>
          </w:tcPr>
          <w:p w14:paraId="22701B9F">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第46部分：废弃电池处理处置企业</w:t>
            </w:r>
          </w:p>
        </w:tc>
        <w:tc>
          <w:tcPr>
            <w:tcW w:w="1134" w:type="dxa"/>
            <w:vAlign w:val="center"/>
          </w:tcPr>
          <w:p w14:paraId="41E076D5">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2024-09-29</w:t>
            </w:r>
          </w:p>
        </w:tc>
        <w:tc>
          <w:tcPr>
            <w:tcW w:w="1213" w:type="dxa"/>
            <w:vAlign w:val="center"/>
          </w:tcPr>
          <w:p w14:paraId="5B3B9B93">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2025-04-01</w:t>
            </w:r>
          </w:p>
        </w:tc>
      </w:tr>
      <w:tr w14:paraId="6F8C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6DE1DAFE">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46</w:t>
            </w:r>
          </w:p>
        </w:tc>
        <w:tc>
          <w:tcPr>
            <w:tcW w:w="1842" w:type="dxa"/>
            <w:vAlign w:val="center"/>
          </w:tcPr>
          <w:p w14:paraId="0C9B3704">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GB/T 32151.47-2024</w:t>
            </w:r>
          </w:p>
        </w:tc>
        <w:tc>
          <w:tcPr>
            <w:tcW w:w="3686" w:type="dxa"/>
            <w:vAlign w:val="center"/>
          </w:tcPr>
          <w:p w14:paraId="399A47EE">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温室气体排放核算与报告要求 第47部分：化纤生产企业</w:t>
            </w:r>
          </w:p>
        </w:tc>
        <w:tc>
          <w:tcPr>
            <w:tcW w:w="1134" w:type="dxa"/>
            <w:vAlign w:val="center"/>
          </w:tcPr>
          <w:p w14:paraId="6EC64721">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2024-10-26</w:t>
            </w:r>
          </w:p>
        </w:tc>
        <w:tc>
          <w:tcPr>
            <w:tcW w:w="1213" w:type="dxa"/>
            <w:vAlign w:val="center"/>
          </w:tcPr>
          <w:p w14:paraId="47A3BCBE">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2025-05-01</w:t>
            </w:r>
          </w:p>
        </w:tc>
      </w:tr>
      <w:tr w14:paraId="522F4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778DB739">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47</w:t>
            </w:r>
          </w:p>
        </w:tc>
        <w:tc>
          <w:tcPr>
            <w:tcW w:w="1842" w:type="dxa"/>
            <w:vAlign w:val="center"/>
          </w:tcPr>
          <w:p w14:paraId="12BAFEF2">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GB/T 32151.50-2025</w:t>
            </w:r>
          </w:p>
        </w:tc>
        <w:tc>
          <w:tcPr>
            <w:tcW w:w="3686" w:type="dxa"/>
            <w:vAlign w:val="center"/>
          </w:tcPr>
          <w:p w14:paraId="2AD3397F">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温室气体排放核算与报告要求 第50部分：冷库运营企业</w:t>
            </w:r>
          </w:p>
        </w:tc>
        <w:tc>
          <w:tcPr>
            <w:tcW w:w="1134" w:type="dxa"/>
            <w:vAlign w:val="center"/>
          </w:tcPr>
          <w:p w14:paraId="04517DBB">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2025-08-29</w:t>
            </w:r>
          </w:p>
        </w:tc>
        <w:tc>
          <w:tcPr>
            <w:tcW w:w="1213" w:type="dxa"/>
            <w:vAlign w:val="center"/>
          </w:tcPr>
          <w:p w14:paraId="45511213">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2026-03-01</w:t>
            </w:r>
          </w:p>
        </w:tc>
      </w:tr>
      <w:tr w14:paraId="28B4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04642B71">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48</w:t>
            </w:r>
          </w:p>
        </w:tc>
        <w:tc>
          <w:tcPr>
            <w:tcW w:w="1842" w:type="dxa"/>
            <w:vAlign w:val="center"/>
          </w:tcPr>
          <w:p w14:paraId="11E3359E">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GB/T 32151.51-2025</w:t>
            </w:r>
          </w:p>
        </w:tc>
        <w:tc>
          <w:tcPr>
            <w:tcW w:w="3686" w:type="dxa"/>
            <w:vAlign w:val="center"/>
          </w:tcPr>
          <w:p w14:paraId="548C9E47">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温室气体排放核算与报告要求 第51部分：冲压企业</w:t>
            </w:r>
          </w:p>
        </w:tc>
        <w:tc>
          <w:tcPr>
            <w:tcW w:w="1134" w:type="dxa"/>
            <w:vAlign w:val="center"/>
          </w:tcPr>
          <w:p w14:paraId="31A0E641">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2025-08-01</w:t>
            </w:r>
          </w:p>
        </w:tc>
        <w:tc>
          <w:tcPr>
            <w:tcW w:w="1213" w:type="dxa"/>
            <w:vAlign w:val="center"/>
          </w:tcPr>
          <w:p w14:paraId="04AE2B00">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2026-02-01</w:t>
            </w:r>
          </w:p>
        </w:tc>
      </w:tr>
      <w:tr w14:paraId="2375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3699A365">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49</w:t>
            </w:r>
          </w:p>
        </w:tc>
        <w:tc>
          <w:tcPr>
            <w:tcW w:w="1842" w:type="dxa"/>
            <w:vAlign w:val="center"/>
          </w:tcPr>
          <w:p w14:paraId="3F1E3BD9">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GB/T 32151.52-2025</w:t>
            </w:r>
          </w:p>
        </w:tc>
        <w:tc>
          <w:tcPr>
            <w:tcW w:w="3686" w:type="dxa"/>
            <w:vAlign w:val="center"/>
          </w:tcPr>
          <w:p w14:paraId="05EACBBA">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温室气体排放核算与报告要求 第52部分：日用陶瓷企业</w:t>
            </w:r>
          </w:p>
        </w:tc>
        <w:tc>
          <w:tcPr>
            <w:tcW w:w="1134" w:type="dxa"/>
            <w:vAlign w:val="center"/>
          </w:tcPr>
          <w:p w14:paraId="1B965485">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2025-05-30</w:t>
            </w:r>
          </w:p>
        </w:tc>
        <w:tc>
          <w:tcPr>
            <w:tcW w:w="1213" w:type="dxa"/>
            <w:vAlign w:val="center"/>
          </w:tcPr>
          <w:p w14:paraId="713543C3">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2025-12-01</w:t>
            </w:r>
          </w:p>
        </w:tc>
      </w:tr>
      <w:tr w14:paraId="61B3E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Align w:val="center"/>
          </w:tcPr>
          <w:p w14:paraId="5AFF8CE4">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50</w:t>
            </w:r>
          </w:p>
        </w:tc>
        <w:tc>
          <w:tcPr>
            <w:tcW w:w="1842" w:type="dxa"/>
            <w:vAlign w:val="center"/>
          </w:tcPr>
          <w:p w14:paraId="18CCF3DA">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GB/T 32151.54-2025</w:t>
            </w:r>
          </w:p>
        </w:tc>
        <w:tc>
          <w:tcPr>
            <w:tcW w:w="3686" w:type="dxa"/>
            <w:vAlign w:val="center"/>
          </w:tcPr>
          <w:p w14:paraId="09B3B0B0">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温室气体排放核算与报告要求 第54部分：工业硫酸企业</w:t>
            </w:r>
          </w:p>
        </w:tc>
        <w:tc>
          <w:tcPr>
            <w:tcW w:w="1134" w:type="dxa"/>
            <w:vAlign w:val="center"/>
          </w:tcPr>
          <w:p w14:paraId="4D8E1625">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2025-10-31</w:t>
            </w:r>
          </w:p>
        </w:tc>
        <w:tc>
          <w:tcPr>
            <w:tcW w:w="1213" w:type="dxa"/>
            <w:vAlign w:val="center"/>
          </w:tcPr>
          <w:p w14:paraId="5EF46AD9">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2026-05-01</w:t>
            </w:r>
          </w:p>
        </w:tc>
      </w:tr>
      <w:tr w14:paraId="407EE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6" w:type="dxa"/>
            <w:gridSpan w:val="5"/>
            <w:vAlign w:val="center"/>
          </w:tcPr>
          <w:p w14:paraId="14529DDD">
            <w:pPr>
              <w:overflowPunct w:val="0"/>
              <w:jc w:val="left"/>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注：</w:t>
            </w:r>
            <w:r>
              <w:rPr>
                <w:rFonts w:ascii="Times New Roman" w:hAnsi="Times New Roman" w:eastAsia="宋体" w:cs="Times New Roman"/>
                <w:sz w:val="18"/>
                <w:szCs w:val="18"/>
              </w:rPr>
              <w:t>本表列出了截至</w:t>
            </w:r>
            <w:r>
              <w:rPr>
                <w:rFonts w:ascii="Times New Roman" w:hAnsi="Times New Roman" w:eastAsia="宋体" w:cs="Times New Roman"/>
                <w:color w:val="EE0000"/>
                <w:sz w:val="18"/>
                <w:szCs w:val="18"/>
              </w:rPr>
              <w:t>[标准定稿日期]</w:t>
            </w:r>
            <w:r>
              <w:rPr>
                <w:rFonts w:ascii="Times New Roman" w:hAnsi="Times New Roman" w:eastAsia="宋体" w:cs="Times New Roman"/>
                <w:sz w:val="18"/>
                <w:szCs w:val="18"/>
              </w:rPr>
              <w:t>已发布的部分相关核算标准，企业实施时应根据所属行业采用其最新有效版本。</w:t>
            </w:r>
          </w:p>
        </w:tc>
      </w:tr>
    </w:tbl>
    <w:p w14:paraId="7EFCA9DF">
      <w:pPr>
        <w:overflowPunct w:val="0"/>
        <w:jc w:val="center"/>
        <w:rPr>
          <w:rFonts w:ascii="Times New Roman" w:hAnsi="Times New Roman" w:eastAsia="黑体" w:cs="Times New Roman"/>
          <w:szCs w:val="21"/>
        </w:rPr>
      </w:pPr>
    </w:p>
    <w:p w14:paraId="3E0DBE3B">
      <w:pPr>
        <w:overflowPunct w:val="0"/>
        <w:jc w:val="center"/>
        <w:rPr>
          <w:rFonts w:ascii="Times New Roman" w:hAnsi="Times New Roman" w:cs="Times New Roman"/>
          <w:szCs w:val="21"/>
        </w:rPr>
        <w:sectPr>
          <w:pgSz w:w="11906" w:h="16838"/>
          <w:pgMar w:top="1440" w:right="1800" w:bottom="1440" w:left="1800" w:header="851" w:footer="992" w:gutter="0"/>
          <w:cols w:space="425" w:num="1"/>
          <w:docGrid w:type="lines" w:linePitch="286" w:charSpace="0"/>
        </w:sectPr>
      </w:pPr>
    </w:p>
    <w:p w14:paraId="3047BEC4">
      <w:pPr>
        <w:overflowPunct w:val="0"/>
        <w:spacing w:after="286" w:afterLines="100"/>
        <w:jc w:val="center"/>
        <w:outlineLvl w:val="0"/>
        <w:rPr>
          <w:rFonts w:ascii="Times New Roman" w:hAnsi="Times New Roman" w:eastAsia="黑体" w:cs="Times New Roman"/>
          <w:szCs w:val="21"/>
        </w:rPr>
      </w:pPr>
      <w:bookmarkStart w:id="160" w:name="_Toc220422396"/>
      <w:bookmarkStart w:id="161" w:name="_Toc187932712"/>
      <w:r>
        <w:rPr>
          <w:rFonts w:ascii="Times New Roman" w:hAnsi="Times New Roman" w:eastAsia="黑体" w:cs="Times New Roman"/>
          <w:szCs w:val="21"/>
        </w:rPr>
        <w:t>附　录　</w:t>
      </w:r>
      <w:r>
        <w:rPr>
          <w:rFonts w:hint="eastAsia" w:ascii="Times New Roman" w:hAnsi="Times New Roman" w:eastAsia="黑体" w:cs="Times New Roman"/>
          <w:szCs w:val="21"/>
        </w:rPr>
        <w:t>E</w:t>
      </w:r>
      <w:r>
        <w:rPr>
          <w:rFonts w:ascii="Times New Roman" w:hAnsi="Times New Roman" w:eastAsia="黑体" w:cs="Times New Roman"/>
          <w:szCs w:val="21"/>
        </w:rPr>
        <w:t xml:space="preserve"> </w:t>
      </w:r>
      <w:r>
        <w:rPr>
          <w:rFonts w:ascii="Times New Roman" w:hAnsi="Times New Roman" w:eastAsia="黑体" w:cs="Times New Roman"/>
          <w:szCs w:val="21"/>
        </w:rPr>
        <w:br w:type="textWrapping"/>
      </w:r>
      <w:r>
        <w:rPr>
          <w:rFonts w:ascii="Times New Roman" w:hAnsi="Times New Roman" w:eastAsia="黑体" w:cs="Times New Roman"/>
          <w:szCs w:val="21"/>
        </w:rPr>
        <w:t>（资料性）</w:t>
      </w:r>
      <w:r>
        <w:rPr>
          <w:rFonts w:ascii="Times New Roman" w:hAnsi="Times New Roman" w:eastAsia="黑体" w:cs="Times New Roman"/>
          <w:szCs w:val="21"/>
        </w:rPr>
        <w:br w:type="textWrapping"/>
      </w:r>
      <w:r>
        <w:rPr>
          <w:rFonts w:ascii="Times New Roman" w:hAnsi="Times New Roman" w:eastAsia="黑体" w:cs="Times New Roman"/>
          <w:szCs w:val="21"/>
        </w:rPr>
        <w:t>碳评审报告示例</w:t>
      </w:r>
      <w:bookmarkEnd w:id="160"/>
      <w:bookmarkEnd w:id="161"/>
    </w:p>
    <w:p w14:paraId="4B6E3D2B">
      <w:pPr>
        <w:spacing w:before="286" w:beforeLines="100" w:after="143" w:afterLines="50"/>
        <w:rPr>
          <w:rFonts w:ascii="Times New Roman" w:hAnsi="Times New Roman" w:eastAsia="宋体" w:cs="Times New Roman"/>
          <w:szCs w:val="21"/>
        </w:rPr>
      </w:pPr>
      <w:bookmarkStart w:id="162" w:name="OLE_LINK11"/>
      <w:r>
        <w:rPr>
          <w:rFonts w:ascii="Times New Roman" w:hAnsi="Times New Roman" w:eastAsia="宋体" w:cs="Times New Roman"/>
          <w:szCs w:val="21"/>
        </w:rPr>
        <w:t>工业企业碳评审报告示例如下。</w:t>
      </w:r>
    </w:p>
    <w:bookmarkEnd w:id="162"/>
    <w:p w14:paraId="5F2D7DE6">
      <w:pPr>
        <w:spacing w:before="286" w:beforeLines="100" w:after="143" w:afterLines="50"/>
        <w:rPr>
          <w:rFonts w:ascii="Times New Roman" w:hAnsi="Times New Roman" w:eastAsia="黑体" w:cs="Times New Roman"/>
          <w:szCs w:val="21"/>
        </w:rPr>
      </w:pPr>
      <w:r>
        <w:rPr>
          <w:rFonts w:hint="eastAsia" w:ascii="Times New Roman" w:hAnsi="Times New Roman" w:eastAsia="黑体" w:cs="Times New Roman"/>
          <w:szCs w:val="21"/>
        </w:rPr>
        <w:t>E</w:t>
      </w:r>
      <w:r>
        <w:rPr>
          <w:rFonts w:ascii="Times New Roman" w:hAnsi="Times New Roman" w:eastAsia="黑体" w:cs="Times New Roman"/>
          <w:szCs w:val="21"/>
        </w:rPr>
        <w:t>.1 工业企业概况</w:t>
      </w:r>
    </w:p>
    <w:p w14:paraId="6F43D43E">
      <w:pPr>
        <w:spacing w:before="143" w:beforeLines="50"/>
        <w:ind w:firstLine="420" w:firstLineChars="200"/>
        <w:rPr>
          <w:rFonts w:ascii="Times New Roman" w:hAnsi="Times New Roman" w:eastAsia="宋体" w:cs="Times New Roman"/>
          <w:szCs w:val="21"/>
        </w:rPr>
      </w:pPr>
      <w:r>
        <w:rPr>
          <w:rFonts w:ascii="Times New Roman" w:hAnsi="Times New Roman" w:eastAsia="宋体" w:cs="Times New Roman"/>
          <w:szCs w:val="21"/>
        </w:rPr>
        <w:t>宜包括企业名称、企业性质、生产规模、主要产品、生产工艺、经营发展情况等。</w:t>
      </w:r>
    </w:p>
    <w:p w14:paraId="183239C0">
      <w:pPr>
        <w:spacing w:before="143" w:beforeLines="50" w:after="143" w:afterLines="50"/>
        <w:rPr>
          <w:rFonts w:ascii="Times New Roman" w:hAnsi="Times New Roman" w:eastAsia="黑体" w:cs="Times New Roman"/>
          <w:szCs w:val="21"/>
        </w:rPr>
      </w:pPr>
      <w:r>
        <w:rPr>
          <w:rFonts w:hint="eastAsia" w:ascii="Times New Roman" w:hAnsi="Times New Roman" w:eastAsia="黑体" w:cs="Times New Roman"/>
          <w:szCs w:val="21"/>
        </w:rPr>
        <w:t>E</w:t>
      </w:r>
      <w:r>
        <w:rPr>
          <w:rFonts w:ascii="Times New Roman" w:hAnsi="Times New Roman" w:eastAsia="黑体" w:cs="Times New Roman"/>
          <w:szCs w:val="21"/>
        </w:rPr>
        <w:t>.2 碳评审事项说明</w:t>
      </w:r>
    </w:p>
    <w:p w14:paraId="59DE2B87">
      <w:pPr>
        <w:spacing w:before="143" w:beforeLines="50" w:after="143" w:afterLines="50"/>
        <w:rPr>
          <w:rFonts w:ascii="Times New Roman" w:hAnsi="Times New Roman" w:eastAsia="宋体" w:cs="Times New Roman"/>
          <w:szCs w:val="21"/>
        </w:rPr>
      </w:pPr>
      <w:r>
        <w:rPr>
          <w:rFonts w:hint="eastAsia" w:ascii="Times New Roman" w:hAnsi="Times New Roman" w:eastAsia="黑体" w:cs="Times New Roman"/>
          <w:szCs w:val="21"/>
        </w:rPr>
        <w:t>E</w:t>
      </w:r>
      <w:r>
        <w:rPr>
          <w:rFonts w:ascii="Times New Roman" w:hAnsi="Times New Roman" w:eastAsia="黑体" w:cs="Times New Roman"/>
          <w:szCs w:val="21"/>
        </w:rPr>
        <w:t>.2.1 碳评审目的</w:t>
      </w:r>
    </w:p>
    <w:p w14:paraId="3B38BD66">
      <w:pPr>
        <w:ind w:firstLine="420" w:firstLineChars="200"/>
        <w:rPr>
          <w:rFonts w:ascii="Times New Roman" w:hAnsi="Times New Roman" w:eastAsia="宋体" w:cs="Times New Roman"/>
          <w:szCs w:val="21"/>
        </w:rPr>
      </w:pPr>
      <w:r>
        <w:rPr>
          <w:rFonts w:ascii="Times New Roman" w:hAnsi="Times New Roman" w:eastAsia="宋体" w:cs="Times New Roman"/>
          <w:szCs w:val="21"/>
        </w:rPr>
        <w:t>通过评价工业企业碳管理体系的绩效来判定其碳管理体系开展与本标准、公司碳管理体系文件及公司策划的碳管理要求的适宜性、充分性和有效性。</w:t>
      </w:r>
    </w:p>
    <w:p w14:paraId="0AC6C65A">
      <w:pPr>
        <w:spacing w:before="143" w:beforeLines="50" w:after="143" w:afterLines="50"/>
        <w:rPr>
          <w:rFonts w:ascii="Times New Roman" w:hAnsi="Times New Roman" w:eastAsia="黑体" w:cs="Times New Roman"/>
          <w:szCs w:val="21"/>
        </w:rPr>
      </w:pPr>
      <w:r>
        <w:rPr>
          <w:rFonts w:hint="eastAsia" w:ascii="Times New Roman" w:hAnsi="Times New Roman" w:eastAsia="黑体" w:cs="Times New Roman"/>
          <w:szCs w:val="21"/>
        </w:rPr>
        <w:t>E</w:t>
      </w:r>
      <w:r>
        <w:rPr>
          <w:rFonts w:ascii="Times New Roman" w:hAnsi="Times New Roman" w:eastAsia="黑体" w:cs="Times New Roman"/>
          <w:szCs w:val="21"/>
        </w:rPr>
        <w:t>.2.2 碳评审依据</w:t>
      </w:r>
    </w:p>
    <w:p w14:paraId="06B42B70">
      <w:pPr>
        <w:ind w:firstLine="420" w:firstLineChars="200"/>
        <w:rPr>
          <w:rFonts w:ascii="Times New Roman" w:hAnsi="Times New Roman" w:eastAsia="宋体" w:cs="Times New Roman"/>
          <w:szCs w:val="21"/>
        </w:rPr>
      </w:pPr>
      <w:r>
        <w:rPr>
          <w:rFonts w:ascii="Times New Roman" w:hAnsi="Times New Roman" w:eastAsia="宋体" w:cs="Times New Roman"/>
          <w:szCs w:val="21"/>
        </w:rPr>
        <w:t>宜包括相关法律法规；规章政策；通知公告；技术标准、核算标准</w:t>
      </w:r>
      <w:r>
        <w:rPr>
          <w:rFonts w:hint="eastAsia" w:ascii="Times New Roman" w:hAnsi="Times New Roman" w:eastAsia="宋体" w:cs="Times New Roman"/>
          <w:szCs w:val="21"/>
        </w:rPr>
        <w:t>、</w:t>
      </w:r>
      <w:r>
        <w:rPr>
          <w:rFonts w:ascii="Times New Roman" w:hAnsi="Times New Roman" w:eastAsia="宋体" w:cs="Times New Roman"/>
          <w:szCs w:val="21"/>
        </w:rPr>
        <w:t>方法学等。</w:t>
      </w:r>
    </w:p>
    <w:p w14:paraId="48F318C4">
      <w:pPr>
        <w:spacing w:before="143" w:beforeLines="50" w:after="143" w:afterLines="50"/>
        <w:rPr>
          <w:rFonts w:ascii="Times New Roman" w:hAnsi="Times New Roman" w:eastAsia="黑体" w:cs="Times New Roman"/>
          <w:szCs w:val="21"/>
        </w:rPr>
      </w:pPr>
      <w:r>
        <w:rPr>
          <w:rFonts w:hint="eastAsia" w:ascii="Times New Roman" w:hAnsi="Times New Roman" w:eastAsia="黑体" w:cs="Times New Roman"/>
          <w:szCs w:val="21"/>
        </w:rPr>
        <w:t>E</w:t>
      </w:r>
      <w:r>
        <w:rPr>
          <w:rFonts w:ascii="Times New Roman" w:hAnsi="Times New Roman" w:eastAsia="黑体" w:cs="Times New Roman"/>
          <w:szCs w:val="21"/>
        </w:rPr>
        <w:t xml:space="preserve">.2.3 基准年和碳评审覆盖期 </w:t>
      </w:r>
    </w:p>
    <w:p w14:paraId="3109F012">
      <w:pPr>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基准年和碳评审覆盖期的选取宜综合考虑国家双碳政策、碳市场政策、行业双碳规划、地方碳政策、企业开展碳管理体系等因素设定。基准年一般选取自然年，也可为财务年度。  </w:t>
      </w:r>
    </w:p>
    <w:p w14:paraId="654BA659">
      <w:pPr>
        <w:ind w:firstLine="420" w:firstLineChars="200"/>
        <w:rPr>
          <w:rFonts w:ascii="Times New Roman" w:hAnsi="Times New Roman" w:eastAsia="宋体" w:cs="Times New Roman"/>
          <w:szCs w:val="21"/>
        </w:rPr>
      </w:pPr>
      <w:r>
        <w:rPr>
          <w:rFonts w:ascii="Times New Roman" w:hAnsi="Times New Roman" w:eastAsia="宋体" w:cs="Times New Roman"/>
          <w:szCs w:val="21"/>
        </w:rPr>
        <w:t>如：碳评审基准期为202</w:t>
      </w:r>
      <w:r>
        <w:rPr>
          <w:rFonts w:hint="eastAsia" w:ascii="Times New Roman" w:hAnsi="Times New Roman" w:eastAsia="宋体" w:cs="Times New Roman"/>
          <w:szCs w:val="21"/>
        </w:rPr>
        <w:t>4</w:t>
      </w:r>
      <w:r>
        <w:rPr>
          <w:rFonts w:ascii="Times New Roman" w:hAnsi="Times New Roman" w:eastAsia="宋体" w:cs="Times New Roman"/>
          <w:szCs w:val="21"/>
        </w:rPr>
        <w:t>年1月1日—202</w:t>
      </w:r>
      <w:r>
        <w:rPr>
          <w:rFonts w:hint="eastAsia" w:ascii="Times New Roman" w:hAnsi="Times New Roman" w:eastAsia="宋体" w:cs="Times New Roman"/>
          <w:szCs w:val="21"/>
        </w:rPr>
        <w:t>4</w:t>
      </w:r>
      <w:r>
        <w:rPr>
          <w:rFonts w:ascii="Times New Roman" w:hAnsi="Times New Roman" w:eastAsia="宋体" w:cs="Times New Roman"/>
          <w:szCs w:val="21"/>
        </w:rPr>
        <w:t xml:space="preserve">年12月31日 </w:t>
      </w:r>
    </w:p>
    <w:p w14:paraId="22398CEF">
      <w:pPr>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    碳评审覆盖期为202</w:t>
      </w:r>
      <w:r>
        <w:rPr>
          <w:rFonts w:hint="eastAsia" w:ascii="Times New Roman" w:hAnsi="Times New Roman" w:eastAsia="宋体" w:cs="Times New Roman"/>
          <w:szCs w:val="21"/>
        </w:rPr>
        <w:t>5</w:t>
      </w:r>
      <w:r>
        <w:rPr>
          <w:rFonts w:ascii="Times New Roman" w:hAnsi="Times New Roman" w:eastAsia="宋体" w:cs="Times New Roman"/>
          <w:szCs w:val="21"/>
        </w:rPr>
        <w:t>年1月1日—202</w:t>
      </w:r>
      <w:r>
        <w:rPr>
          <w:rFonts w:hint="eastAsia" w:ascii="Times New Roman" w:hAnsi="Times New Roman" w:eastAsia="宋体" w:cs="Times New Roman"/>
          <w:szCs w:val="21"/>
        </w:rPr>
        <w:t>5</w:t>
      </w:r>
      <w:r>
        <w:rPr>
          <w:rFonts w:ascii="Times New Roman" w:hAnsi="Times New Roman" w:eastAsia="宋体" w:cs="Times New Roman"/>
          <w:szCs w:val="21"/>
        </w:rPr>
        <w:t>年12月31日</w:t>
      </w:r>
    </w:p>
    <w:p w14:paraId="14E0762F">
      <w:pPr>
        <w:spacing w:before="143" w:beforeLines="50" w:after="143" w:afterLines="50"/>
        <w:rPr>
          <w:rFonts w:ascii="Times New Roman" w:hAnsi="Times New Roman" w:eastAsia="黑体" w:cs="Times New Roman"/>
          <w:szCs w:val="21"/>
        </w:rPr>
      </w:pPr>
      <w:r>
        <w:rPr>
          <w:rFonts w:hint="eastAsia" w:ascii="Times New Roman" w:hAnsi="Times New Roman" w:eastAsia="黑体" w:cs="Times New Roman"/>
          <w:szCs w:val="21"/>
        </w:rPr>
        <w:t>E</w:t>
      </w:r>
      <w:r>
        <w:rPr>
          <w:rFonts w:ascii="Times New Roman" w:hAnsi="Times New Roman" w:eastAsia="黑体" w:cs="Times New Roman"/>
          <w:szCs w:val="21"/>
        </w:rPr>
        <w:t xml:space="preserve">.2.4 碳评审范围 </w:t>
      </w:r>
    </w:p>
    <w:p w14:paraId="022295E3">
      <w:pPr>
        <w:ind w:firstLine="420" w:firstLineChars="200"/>
        <w:rPr>
          <w:rFonts w:ascii="Times New Roman" w:hAnsi="Times New Roman" w:eastAsia="宋体" w:cs="Times New Roman"/>
          <w:szCs w:val="21"/>
        </w:rPr>
      </w:pPr>
      <w:r>
        <w:rPr>
          <w:rFonts w:ascii="Times New Roman" w:hAnsi="Times New Roman" w:eastAsia="宋体" w:cs="Times New Roman"/>
          <w:szCs w:val="21"/>
        </w:rPr>
        <w:t>碳评审范围宜与碳管理体系范围中企业层面管理范围保持一致。</w:t>
      </w:r>
    </w:p>
    <w:p w14:paraId="03DCCA69">
      <w:pPr>
        <w:spacing w:before="143" w:beforeLines="50" w:after="143" w:afterLines="50"/>
        <w:rPr>
          <w:rFonts w:ascii="Times New Roman" w:hAnsi="Times New Roman" w:eastAsia="黑体" w:cs="Times New Roman"/>
          <w:szCs w:val="21"/>
        </w:rPr>
      </w:pPr>
      <w:r>
        <w:rPr>
          <w:rFonts w:hint="eastAsia" w:ascii="Times New Roman" w:hAnsi="Times New Roman" w:eastAsia="黑体" w:cs="Times New Roman"/>
          <w:szCs w:val="21"/>
        </w:rPr>
        <w:t>E</w:t>
      </w:r>
      <w:r>
        <w:rPr>
          <w:rFonts w:ascii="Times New Roman" w:hAnsi="Times New Roman" w:eastAsia="黑体" w:cs="Times New Roman"/>
          <w:szCs w:val="21"/>
        </w:rPr>
        <w:t xml:space="preserve">.3 碳评审安排 </w:t>
      </w:r>
    </w:p>
    <w:p w14:paraId="484DC050">
      <w:pPr>
        <w:spacing w:before="143" w:beforeLines="50" w:after="143" w:afterLines="50"/>
        <w:rPr>
          <w:rFonts w:ascii="Times New Roman" w:hAnsi="Times New Roman" w:eastAsia="黑体" w:cs="Times New Roman"/>
          <w:szCs w:val="21"/>
        </w:rPr>
      </w:pPr>
      <w:r>
        <w:rPr>
          <w:rFonts w:hint="eastAsia" w:ascii="Times New Roman" w:hAnsi="Times New Roman" w:eastAsia="黑体" w:cs="Times New Roman"/>
          <w:szCs w:val="21"/>
        </w:rPr>
        <w:t>E</w:t>
      </w:r>
      <w:r>
        <w:rPr>
          <w:rFonts w:ascii="Times New Roman" w:hAnsi="Times New Roman" w:eastAsia="黑体" w:cs="Times New Roman"/>
          <w:szCs w:val="21"/>
        </w:rPr>
        <w:t xml:space="preserve">.3.1 评审安排 </w:t>
      </w:r>
    </w:p>
    <w:p w14:paraId="69D7A74D">
      <w:pPr>
        <w:ind w:firstLine="420" w:firstLineChars="200"/>
        <w:rPr>
          <w:rFonts w:ascii="Times New Roman" w:hAnsi="Times New Roman" w:eastAsia="宋体" w:cs="Times New Roman"/>
          <w:szCs w:val="21"/>
        </w:rPr>
      </w:pPr>
      <w:r>
        <w:rPr>
          <w:rFonts w:ascii="Times New Roman" w:hAnsi="Times New Roman" w:eastAsia="宋体" w:cs="Times New Roman"/>
          <w:szCs w:val="21"/>
        </w:rPr>
        <w:t>宜包括评审时间</w:t>
      </w:r>
      <w:r>
        <w:rPr>
          <w:rFonts w:hint="eastAsia" w:ascii="Times New Roman" w:hAnsi="Times New Roman" w:eastAsia="宋体" w:cs="Times New Roman"/>
          <w:szCs w:val="21"/>
        </w:rPr>
        <w:t>、</w:t>
      </w:r>
      <w:r>
        <w:rPr>
          <w:rFonts w:ascii="Times New Roman" w:hAnsi="Times New Roman" w:eastAsia="宋体" w:cs="Times New Roman"/>
          <w:szCs w:val="21"/>
        </w:rPr>
        <w:t>评审人员</w:t>
      </w:r>
      <w:r>
        <w:rPr>
          <w:rFonts w:hint="eastAsia" w:ascii="Times New Roman" w:hAnsi="Times New Roman" w:eastAsia="宋体" w:cs="Times New Roman"/>
          <w:szCs w:val="21"/>
        </w:rPr>
        <w:t>、</w:t>
      </w:r>
      <w:r>
        <w:rPr>
          <w:rFonts w:ascii="Times New Roman" w:hAnsi="Times New Roman" w:eastAsia="宋体" w:cs="Times New Roman"/>
          <w:szCs w:val="21"/>
        </w:rPr>
        <w:t>评审分工及职责安排等信息。如评审组可包括组长、副组长、小组成员。</w:t>
      </w:r>
    </w:p>
    <w:p w14:paraId="113A1542">
      <w:pPr>
        <w:spacing w:before="143" w:beforeLines="50" w:after="143" w:afterLines="50"/>
        <w:rPr>
          <w:rFonts w:ascii="Times New Roman" w:hAnsi="Times New Roman" w:eastAsia="黑体" w:cs="Times New Roman"/>
          <w:szCs w:val="21"/>
        </w:rPr>
      </w:pPr>
      <w:r>
        <w:rPr>
          <w:rFonts w:hint="eastAsia" w:ascii="Times New Roman" w:hAnsi="Times New Roman" w:eastAsia="黑体" w:cs="Times New Roman"/>
          <w:szCs w:val="21"/>
        </w:rPr>
        <w:t>E</w:t>
      </w:r>
      <w:r>
        <w:rPr>
          <w:rFonts w:ascii="Times New Roman" w:hAnsi="Times New Roman" w:eastAsia="黑体" w:cs="Times New Roman"/>
          <w:szCs w:val="21"/>
        </w:rPr>
        <w:t xml:space="preserve">.3.2 评审方法 </w:t>
      </w:r>
    </w:p>
    <w:p w14:paraId="7C4E481C">
      <w:pPr>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包括选取的定性、定量评审方法，以及对方法的适宜性、合理性和科学性进行论证。评审方法如文件审查、记录审查和人员访谈。 </w:t>
      </w:r>
    </w:p>
    <w:p w14:paraId="623150C8">
      <w:pPr>
        <w:spacing w:before="143" w:beforeLines="50" w:after="143" w:afterLines="50"/>
        <w:rPr>
          <w:rFonts w:ascii="Times New Roman" w:hAnsi="Times New Roman" w:eastAsia="黑体" w:cs="Times New Roman"/>
          <w:szCs w:val="21"/>
        </w:rPr>
      </w:pPr>
      <w:r>
        <w:rPr>
          <w:rFonts w:hint="eastAsia" w:ascii="Times New Roman" w:hAnsi="Times New Roman" w:eastAsia="黑体" w:cs="Times New Roman"/>
          <w:szCs w:val="21"/>
        </w:rPr>
        <w:t>E</w:t>
      </w:r>
      <w:r>
        <w:rPr>
          <w:rFonts w:ascii="Times New Roman" w:hAnsi="Times New Roman" w:eastAsia="黑体" w:cs="Times New Roman"/>
          <w:szCs w:val="21"/>
        </w:rPr>
        <w:t xml:space="preserve">.3.3 评审原则 </w:t>
      </w:r>
    </w:p>
    <w:p w14:paraId="18F4F72E">
      <w:pPr>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根据碳评审目的，合理设定评审原则，如相关性、完整性、一致性、准确性、透明性等。 </w:t>
      </w:r>
    </w:p>
    <w:p w14:paraId="08BB501E">
      <w:pPr>
        <w:spacing w:before="143" w:beforeLines="50" w:after="143" w:afterLines="50"/>
        <w:rPr>
          <w:rFonts w:ascii="Times New Roman" w:hAnsi="Times New Roman" w:eastAsia="黑体" w:cs="Times New Roman"/>
          <w:szCs w:val="21"/>
        </w:rPr>
      </w:pPr>
      <w:r>
        <w:rPr>
          <w:rFonts w:hint="eastAsia" w:ascii="Times New Roman" w:hAnsi="Times New Roman" w:eastAsia="黑体" w:cs="Times New Roman"/>
          <w:szCs w:val="21"/>
        </w:rPr>
        <w:t>E</w:t>
      </w:r>
      <w:r>
        <w:rPr>
          <w:rFonts w:ascii="Times New Roman" w:hAnsi="Times New Roman" w:eastAsia="黑体" w:cs="Times New Roman"/>
          <w:szCs w:val="21"/>
        </w:rPr>
        <w:t xml:space="preserve">.4 碳管理现状 </w:t>
      </w:r>
    </w:p>
    <w:p w14:paraId="54DC580B">
      <w:pPr>
        <w:ind w:firstLine="420" w:firstLineChars="200"/>
        <w:rPr>
          <w:rFonts w:ascii="Times New Roman" w:hAnsi="Times New Roman" w:eastAsia="宋体" w:cs="Times New Roman"/>
          <w:szCs w:val="21"/>
        </w:rPr>
      </w:pPr>
      <w:r>
        <w:rPr>
          <w:rFonts w:ascii="Times New Roman" w:hAnsi="Times New Roman" w:eastAsia="宋体" w:cs="Times New Roman"/>
          <w:szCs w:val="21"/>
        </w:rPr>
        <w:t>包括碳管理组织结构、碳管理制度建设及执行情况、主要碳管理岗位和人员等。宜绘制组织机构图。</w:t>
      </w:r>
    </w:p>
    <w:p w14:paraId="0B8CE0D4">
      <w:pPr>
        <w:spacing w:before="143" w:beforeLines="50" w:after="143" w:afterLines="50"/>
        <w:rPr>
          <w:rFonts w:ascii="Times New Roman" w:hAnsi="Times New Roman" w:eastAsia="黑体" w:cs="Times New Roman"/>
          <w:szCs w:val="21"/>
        </w:rPr>
      </w:pPr>
      <w:r>
        <w:rPr>
          <w:rFonts w:hint="eastAsia" w:ascii="Times New Roman" w:hAnsi="Times New Roman" w:eastAsia="黑体" w:cs="Times New Roman"/>
          <w:szCs w:val="21"/>
        </w:rPr>
        <w:t>E</w:t>
      </w:r>
      <w:r>
        <w:rPr>
          <w:rFonts w:ascii="Times New Roman" w:hAnsi="Times New Roman" w:eastAsia="黑体" w:cs="Times New Roman"/>
          <w:szCs w:val="21"/>
        </w:rPr>
        <w:t xml:space="preserve">.5 碳评审内容 </w:t>
      </w:r>
    </w:p>
    <w:p w14:paraId="3699E322">
      <w:pPr>
        <w:spacing w:before="143" w:beforeLines="50" w:after="143" w:afterLines="50"/>
        <w:rPr>
          <w:rFonts w:ascii="Times New Roman" w:hAnsi="Times New Roman" w:eastAsia="黑体" w:cs="Times New Roman"/>
          <w:szCs w:val="21"/>
        </w:rPr>
      </w:pPr>
      <w:r>
        <w:rPr>
          <w:rFonts w:hint="eastAsia" w:ascii="Times New Roman" w:hAnsi="Times New Roman" w:eastAsia="黑体" w:cs="Times New Roman"/>
          <w:szCs w:val="21"/>
        </w:rPr>
        <w:t>E</w:t>
      </w:r>
      <w:r>
        <w:rPr>
          <w:rFonts w:ascii="Times New Roman" w:hAnsi="Times New Roman" w:eastAsia="黑体" w:cs="Times New Roman"/>
          <w:szCs w:val="21"/>
        </w:rPr>
        <w:t xml:space="preserve">.5.1 工业企业碳排放状况 </w:t>
      </w:r>
    </w:p>
    <w:p w14:paraId="48AB7013">
      <w:pPr>
        <w:ind w:firstLine="420" w:firstLineChars="200"/>
        <w:rPr>
          <w:rFonts w:ascii="Times New Roman" w:hAnsi="Times New Roman" w:eastAsia="宋体" w:cs="Times New Roman"/>
          <w:szCs w:val="21"/>
        </w:rPr>
      </w:pPr>
      <w:r>
        <w:rPr>
          <w:rFonts w:ascii="Times New Roman" w:hAnsi="Times New Roman" w:eastAsia="宋体" w:cs="Times New Roman"/>
          <w:szCs w:val="21"/>
        </w:rPr>
        <w:t>包括企业碳源、重点排放设施、监测设备配置及管理情况、监测计划及执行情况、活动数据及排放因子确认情况、企业碳排放核算过程及结果。</w:t>
      </w:r>
    </w:p>
    <w:p w14:paraId="7A2D01E8">
      <w:pPr>
        <w:spacing w:before="143" w:beforeLines="50" w:after="143" w:afterLines="50"/>
        <w:rPr>
          <w:rFonts w:ascii="Times New Roman" w:hAnsi="Times New Roman" w:eastAsia="黑体" w:cs="Times New Roman"/>
          <w:szCs w:val="21"/>
        </w:rPr>
      </w:pPr>
      <w:r>
        <w:rPr>
          <w:rFonts w:hint="eastAsia" w:ascii="Times New Roman" w:hAnsi="Times New Roman" w:eastAsia="黑体" w:cs="Times New Roman"/>
          <w:szCs w:val="21"/>
        </w:rPr>
        <w:t>E</w:t>
      </w:r>
      <w:r>
        <w:rPr>
          <w:rFonts w:ascii="Times New Roman" w:hAnsi="Times New Roman" w:eastAsia="黑体" w:cs="Times New Roman"/>
          <w:szCs w:val="21"/>
        </w:rPr>
        <w:t xml:space="preserve">.5.2 工业企业碳排放分析 </w:t>
      </w:r>
    </w:p>
    <w:p w14:paraId="2BAF1EA3">
      <w:pPr>
        <w:ind w:firstLine="420" w:firstLineChars="200"/>
        <w:rPr>
          <w:rFonts w:ascii="Times New Roman" w:hAnsi="Times New Roman" w:eastAsia="宋体" w:cs="Times New Roman"/>
          <w:szCs w:val="21"/>
        </w:rPr>
      </w:pPr>
      <w:r>
        <w:rPr>
          <w:rFonts w:ascii="Times New Roman" w:hAnsi="Times New Roman" w:eastAsia="宋体" w:cs="Times New Roman"/>
          <w:szCs w:val="21"/>
        </w:rPr>
        <w:t>企业可根据实际情况选取不同角度，基于相同的范围选取原则和核算方法，进行纵向和横向的碳排放分析。</w:t>
      </w:r>
    </w:p>
    <w:p w14:paraId="6ABC2A2E">
      <w:pPr>
        <w:ind w:firstLine="420" w:firstLineChars="200"/>
        <w:rPr>
          <w:rFonts w:ascii="Times New Roman" w:hAnsi="Times New Roman" w:eastAsia="宋体" w:cs="Times New Roman"/>
          <w:szCs w:val="21"/>
        </w:rPr>
      </w:pPr>
      <w:r>
        <w:rPr>
          <w:rFonts w:ascii="Times New Roman" w:hAnsi="Times New Roman" w:eastAsia="宋体" w:cs="Times New Roman"/>
          <w:szCs w:val="21"/>
        </w:rPr>
        <w:t>如计算企业主要产品产量及工业生产总值、企业碳排放量、碳排放强度、工业企业各类排放占比等</w:t>
      </w:r>
      <w:r>
        <w:rPr>
          <w:rFonts w:ascii="Times New Roman" w:hAnsi="Times New Roman" w:eastAsia="宋体" w:cs="Times New Roman"/>
          <w:kern w:val="0"/>
        </w:rPr>
        <w:t>。</w:t>
      </w:r>
    </w:p>
    <w:p w14:paraId="560A8E7D">
      <w:pPr>
        <w:spacing w:before="143" w:beforeLines="50" w:after="143" w:afterLines="50"/>
        <w:rPr>
          <w:rFonts w:ascii="Times New Roman" w:hAnsi="Times New Roman" w:eastAsia="黑体" w:cs="Times New Roman"/>
          <w:szCs w:val="21"/>
        </w:rPr>
      </w:pPr>
      <w:bookmarkStart w:id="163" w:name="OLE_LINK15"/>
      <w:r>
        <w:rPr>
          <w:rFonts w:hint="eastAsia" w:ascii="Times New Roman" w:hAnsi="Times New Roman" w:eastAsia="黑体" w:cs="Times New Roman"/>
          <w:szCs w:val="21"/>
        </w:rPr>
        <w:t>E</w:t>
      </w:r>
      <w:r>
        <w:rPr>
          <w:rFonts w:ascii="Times New Roman" w:hAnsi="Times New Roman" w:eastAsia="黑体" w:cs="Times New Roman"/>
          <w:szCs w:val="21"/>
        </w:rPr>
        <w:t xml:space="preserve">.5.3 减排效果与减排潜力分析 </w:t>
      </w:r>
    </w:p>
    <w:p w14:paraId="722038A9">
      <w:pPr>
        <w:ind w:firstLine="420" w:firstLineChars="200"/>
        <w:rPr>
          <w:rFonts w:ascii="Times New Roman" w:hAnsi="Times New Roman" w:eastAsia="宋体" w:cs="Times New Roman"/>
          <w:szCs w:val="21"/>
        </w:rPr>
      </w:pPr>
      <w:r>
        <w:rPr>
          <w:rFonts w:ascii="Times New Roman" w:hAnsi="Times New Roman" w:eastAsia="宋体" w:cs="Times New Roman"/>
          <w:szCs w:val="21"/>
        </w:rPr>
        <w:t>包括已实施的减排项目效果分析</w:t>
      </w:r>
      <w:r>
        <w:rPr>
          <w:rFonts w:hint="eastAsia" w:ascii="Times New Roman" w:hAnsi="Times New Roman" w:eastAsia="宋体" w:cs="Times New Roman"/>
          <w:szCs w:val="21"/>
        </w:rPr>
        <w:t>、</w:t>
      </w:r>
      <w:r>
        <w:rPr>
          <w:rFonts w:ascii="Times New Roman" w:hAnsi="Times New Roman" w:eastAsia="宋体" w:cs="Times New Roman"/>
          <w:szCs w:val="21"/>
        </w:rPr>
        <w:t>拟开展项目的减排潜力分析和建议等。如生产车间提高工作效率</w:t>
      </w:r>
      <w:r>
        <w:rPr>
          <w:rFonts w:hint="eastAsia" w:ascii="Times New Roman" w:hAnsi="Times New Roman" w:eastAsia="宋体" w:cs="Times New Roman"/>
          <w:szCs w:val="21"/>
        </w:rPr>
        <w:t>、</w:t>
      </w:r>
      <w:r>
        <w:rPr>
          <w:rFonts w:ascii="Times New Roman" w:hAnsi="Times New Roman" w:eastAsia="宋体" w:cs="Times New Roman"/>
          <w:szCs w:val="21"/>
        </w:rPr>
        <w:t>优化生产工艺</w:t>
      </w:r>
      <w:r>
        <w:rPr>
          <w:rFonts w:hint="eastAsia" w:ascii="Times New Roman" w:hAnsi="Times New Roman" w:eastAsia="宋体" w:cs="Times New Roman"/>
          <w:szCs w:val="21"/>
        </w:rPr>
        <w:t>、</w:t>
      </w:r>
      <w:r>
        <w:rPr>
          <w:rFonts w:ascii="Times New Roman" w:hAnsi="Times New Roman" w:eastAsia="宋体" w:cs="Times New Roman"/>
          <w:szCs w:val="21"/>
        </w:rPr>
        <w:t>随手关灯</w:t>
      </w:r>
      <w:r>
        <w:rPr>
          <w:rFonts w:hint="eastAsia" w:ascii="Times New Roman" w:hAnsi="Times New Roman" w:eastAsia="宋体" w:cs="Times New Roman"/>
          <w:szCs w:val="21"/>
        </w:rPr>
        <w:t>、</w:t>
      </w:r>
      <w:r>
        <w:rPr>
          <w:rFonts w:ascii="Times New Roman" w:hAnsi="Times New Roman" w:eastAsia="宋体" w:cs="Times New Roman"/>
          <w:szCs w:val="21"/>
        </w:rPr>
        <w:t>车间屋顶增加光伏发电等。</w:t>
      </w:r>
    </w:p>
    <w:bookmarkEnd w:id="163"/>
    <w:p w14:paraId="592A9139">
      <w:pPr>
        <w:spacing w:before="143" w:beforeLines="50" w:after="143" w:afterLines="50"/>
        <w:rPr>
          <w:rFonts w:ascii="Times New Roman" w:hAnsi="Times New Roman" w:eastAsia="黑体" w:cs="Times New Roman"/>
          <w:szCs w:val="21"/>
        </w:rPr>
      </w:pPr>
      <w:r>
        <w:rPr>
          <w:rFonts w:hint="eastAsia" w:ascii="Times New Roman" w:hAnsi="Times New Roman" w:eastAsia="黑体" w:cs="Times New Roman"/>
          <w:szCs w:val="21"/>
        </w:rPr>
        <w:t>E</w:t>
      </w:r>
      <w:r>
        <w:rPr>
          <w:rFonts w:ascii="Times New Roman" w:hAnsi="Times New Roman" w:eastAsia="黑体" w:cs="Times New Roman"/>
          <w:szCs w:val="21"/>
        </w:rPr>
        <w:t xml:space="preserve">.5.4 质量保证和文件存档 </w:t>
      </w:r>
    </w:p>
    <w:p w14:paraId="3C5D835C">
      <w:pPr>
        <w:ind w:firstLine="420" w:firstLineChars="200"/>
        <w:rPr>
          <w:rFonts w:ascii="Times New Roman" w:hAnsi="Times New Roman" w:eastAsia="宋体" w:cs="Times New Roman"/>
          <w:szCs w:val="21"/>
        </w:rPr>
      </w:pPr>
      <w:r>
        <w:rPr>
          <w:rFonts w:ascii="Times New Roman" w:hAnsi="Times New Roman" w:eastAsia="宋体" w:cs="Times New Roman"/>
          <w:szCs w:val="21"/>
        </w:rPr>
        <w:t>包括数据流管理</w:t>
      </w:r>
      <w:r>
        <w:rPr>
          <w:rFonts w:hint="eastAsia" w:ascii="Times New Roman" w:hAnsi="Times New Roman" w:eastAsia="宋体" w:cs="Times New Roman"/>
          <w:szCs w:val="21"/>
        </w:rPr>
        <w:t>、</w:t>
      </w:r>
      <w:r>
        <w:rPr>
          <w:rFonts w:ascii="Times New Roman" w:hAnsi="Times New Roman" w:eastAsia="宋体" w:cs="Times New Roman"/>
          <w:szCs w:val="21"/>
        </w:rPr>
        <w:t>数据质量保障方法</w:t>
      </w:r>
      <w:r>
        <w:rPr>
          <w:rFonts w:hint="eastAsia" w:ascii="Times New Roman" w:hAnsi="Times New Roman" w:eastAsia="宋体" w:cs="Times New Roman"/>
          <w:szCs w:val="21"/>
        </w:rPr>
        <w:t>、</w:t>
      </w:r>
      <w:r>
        <w:rPr>
          <w:rFonts w:ascii="Times New Roman" w:hAnsi="Times New Roman" w:eastAsia="宋体" w:cs="Times New Roman"/>
          <w:szCs w:val="21"/>
        </w:rPr>
        <w:t>数据不确定性分析</w:t>
      </w:r>
      <w:r>
        <w:rPr>
          <w:rFonts w:hint="eastAsia" w:ascii="Times New Roman" w:hAnsi="Times New Roman" w:eastAsia="宋体" w:cs="Times New Roman"/>
          <w:szCs w:val="21"/>
        </w:rPr>
        <w:t>、</w:t>
      </w:r>
      <w:r>
        <w:rPr>
          <w:rFonts w:ascii="Times New Roman" w:hAnsi="Times New Roman" w:eastAsia="宋体" w:cs="Times New Roman"/>
          <w:szCs w:val="21"/>
        </w:rPr>
        <w:t>文件存档管理等。如编制涵盖碳管理体系的《碳管理体系手册》和《程序文件》</w:t>
      </w:r>
      <w:r>
        <w:rPr>
          <w:rFonts w:hint="eastAsia" w:ascii="Times New Roman" w:hAnsi="Times New Roman" w:eastAsia="宋体" w:cs="Times New Roman"/>
          <w:szCs w:val="21"/>
        </w:rPr>
        <w:t>，</w:t>
      </w:r>
      <w:r>
        <w:rPr>
          <w:rFonts w:ascii="Times New Roman" w:hAnsi="Times New Roman" w:eastAsia="宋体" w:cs="Times New Roman"/>
          <w:szCs w:val="21"/>
        </w:rPr>
        <w:t>收集有关碳管理体系的国家、地方法律法规和其它要求文件</w:t>
      </w:r>
      <w:r>
        <w:rPr>
          <w:rFonts w:hint="eastAsia" w:ascii="Times New Roman" w:hAnsi="Times New Roman" w:eastAsia="宋体" w:cs="Times New Roman"/>
          <w:szCs w:val="21"/>
        </w:rPr>
        <w:t>，</w:t>
      </w:r>
      <w:r>
        <w:rPr>
          <w:rFonts w:ascii="Times New Roman" w:hAnsi="Times New Roman" w:eastAsia="宋体" w:cs="Times New Roman"/>
          <w:szCs w:val="21"/>
        </w:rPr>
        <w:t>企业内部制定有关碳的管理制度和规定等。</w:t>
      </w:r>
    </w:p>
    <w:p w14:paraId="6A85401A">
      <w:pPr>
        <w:spacing w:before="143" w:beforeLines="50" w:after="143" w:afterLines="50"/>
        <w:rPr>
          <w:rFonts w:ascii="Times New Roman" w:hAnsi="Times New Roman" w:eastAsia="黑体" w:cs="Times New Roman"/>
          <w:szCs w:val="21"/>
        </w:rPr>
      </w:pPr>
      <w:r>
        <w:rPr>
          <w:rFonts w:hint="eastAsia" w:ascii="Times New Roman" w:hAnsi="Times New Roman" w:eastAsia="黑体" w:cs="Times New Roman"/>
          <w:szCs w:val="21"/>
        </w:rPr>
        <w:t>E</w:t>
      </w:r>
      <w:r>
        <w:rPr>
          <w:rFonts w:ascii="Times New Roman" w:hAnsi="Times New Roman" w:eastAsia="黑体" w:cs="Times New Roman"/>
          <w:szCs w:val="21"/>
        </w:rPr>
        <w:t xml:space="preserve">.6 碳评审结论 </w:t>
      </w:r>
    </w:p>
    <w:p w14:paraId="597736D2">
      <w:pPr>
        <w:ind w:firstLine="420" w:firstLineChars="200"/>
        <w:rPr>
          <w:rFonts w:ascii="Times New Roman" w:hAnsi="Times New Roman" w:eastAsia="黑体" w:cs="Times New Roman"/>
          <w:szCs w:val="21"/>
        </w:rPr>
      </w:pPr>
      <w:r>
        <w:rPr>
          <w:rFonts w:ascii="Times New Roman" w:hAnsi="Times New Roman" w:eastAsia="宋体" w:cs="Times New Roman"/>
          <w:szCs w:val="21"/>
        </w:rPr>
        <w:t>形成碳评审的总结及建议，包括碳绩效参数和基准</w:t>
      </w:r>
      <w:r>
        <w:rPr>
          <w:rFonts w:hint="eastAsia" w:ascii="Times New Roman" w:hAnsi="Times New Roman" w:eastAsia="宋体" w:cs="Times New Roman"/>
          <w:szCs w:val="21"/>
        </w:rPr>
        <w:t>，</w:t>
      </w:r>
      <w:r>
        <w:rPr>
          <w:rFonts w:ascii="Times New Roman" w:hAnsi="Times New Roman" w:eastAsia="宋体" w:cs="Times New Roman"/>
          <w:szCs w:val="21"/>
        </w:rPr>
        <w:t>碳目标和指标</w:t>
      </w:r>
      <w:r>
        <w:rPr>
          <w:rFonts w:hint="eastAsia" w:ascii="Times New Roman" w:hAnsi="Times New Roman" w:eastAsia="宋体" w:cs="Times New Roman"/>
          <w:szCs w:val="21"/>
        </w:rPr>
        <w:t>，</w:t>
      </w:r>
      <w:r>
        <w:rPr>
          <w:rFonts w:ascii="Times New Roman" w:hAnsi="Times New Roman" w:eastAsia="宋体" w:cs="Times New Roman"/>
          <w:szCs w:val="21"/>
        </w:rPr>
        <w:t>影响碳绩效的相关变量和静态因素</w:t>
      </w:r>
      <w:r>
        <w:rPr>
          <w:rFonts w:hint="eastAsia" w:ascii="Times New Roman" w:hAnsi="Times New Roman" w:eastAsia="宋体" w:cs="Times New Roman"/>
          <w:szCs w:val="21"/>
        </w:rPr>
        <w:t>，</w:t>
      </w:r>
      <w:r>
        <w:rPr>
          <w:rFonts w:ascii="Times New Roman" w:hAnsi="Times New Roman" w:eastAsia="宋体" w:cs="Times New Roman"/>
          <w:szCs w:val="21"/>
        </w:rPr>
        <w:t>碳管理措施计划（如能源结构调整、管理措施改进、投融资方针政策改善、节能减排技术、碳减排措施、数字信息化技术）等。</w:t>
      </w:r>
    </w:p>
    <w:p w14:paraId="4D7EF526">
      <w:pPr>
        <w:overflowPunct w:val="0"/>
        <w:spacing w:before="286" w:beforeLines="100" w:after="286" w:afterLines="100"/>
        <w:jc w:val="center"/>
        <w:rPr>
          <w:rFonts w:ascii="Times New Roman" w:hAnsi="Times New Roman" w:eastAsia="黑体" w:cs="Times New Roman"/>
          <w:szCs w:val="21"/>
        </w:rPr>
      </w:pPr>
    </w:p>
    <w:p w14:paraId="1A8F8AFF">
      <w:pPr>
        <w:overflowPunct w:val="0"/>
        <w:jc w:val="center"/>
        <w:rPr>
          <w:rFonts w:ascii="Times New Roman" w:hAnsi="Times New Roman" w:cs="Times New Roman"/>
          <w:szCs w:val="21"/>
        </w:rPr>
        <w:sectPr>
          <w:pgSz w:w="11906" w:h="16838"/>
          <w:pgMar w:top="1440" w:right="1800" w:bottom="1440" w:left="1800" w:header="851" w:footer="992" w:gutter="0"/>
          <w:cols w:space="425" w:num="1"/>
          <w:docGrid w:type="lines" w:linePitch="286" w:charSpace="0"/>
        </w:sectPr>
      </w:pPr>
    </w:p>
    <w:p w14:paraId="0FD42A76">
      <w:pPr>
        <w:overflowPunct w:val="0"/>
        <w:rPr>
          <w:rFonts w:ascii="Times New Roman" w:hAnsi="Times New Roman" w:eastAsia="宋体" w:cs="Times New Roman"/>
          <w:kern w:val="0"/>
        </w:rPr>
      </w:pPr>
      <w:bookmarkStart w:id="164" w:name="_Toc162335883"/>
    </w:p>
    <w:p w14:paraId="596DB1D4">
      <w:pPr>
        <w:overflowPunct w:val="0"/>
        <w:spacing w:after="286" w:afterLines="100"/>
        <w:jc w:val="center"/>
        <w:outlineLvl w:val="0"/>
        <w:rPr>
          <w:rFonts w:ascii="Times New Roman" w:hAnsi="Times New Roman" w:eastAsia="黑体" w:cs="Times New Roman"/>
          <w:szCs w:val="21"/>
        </w:rPr>
      </w:pPr>
      <w:bookmarkStart w:id="165" w:name="_Toc187932713"/>
      <w:bookmarkStart w:id="166" w:name="_Toc220422397"/>
      <w:r>
        <w:rPr>
          <w:rFonts w:ascii="Times New Roman" w:hAnsi="Times New Roman" w:eastAsia="黑体" w:cs="Times New Roman"/>
          <w:szCs w:val="21"/>
        </w:rPr>
        <w:t>附　录　</w:t>
      </w:r>
      <w:r>
        <w:rPr>
          <w:rFonts w:hint="eastAsia" w:ascii="Times New Roman" w:hAnsi="Times New Roman" w:eastAsia="黑体" w:cs="Times New Roman"/>
          <w:szCs w:val="21"/>
        </w:rPr>
        <w:t>F</w:t>
      </w:r>
      <w:r>
        <w:rPr>
          <w:rFonts w:ascii="Times New Roman" w:hAnsi="Times New Roman" w:eastAsia="黑体" w:cs="Times New Roman"/>
          <w:szCs w:val="21"/>
        </w:rPr>
        <w:br w:type="textWrapping"/>
      </w:r>
      <w:r>
        <w:rPr>
          <w:rFonts w:ascii="Times New Roman" w:hAnsi="Times New Roman" w:eastAsia="黑体" w:cs="Times New Roman"/>
          <w:szCs w:val="21"/>
        </w:rPr>
        <w:t>（资料性）</w:t>
      </w:r>
      <w:r>
        <w:rPr>
          <w:rFonts w:ascii="Times New Roman" w:hAnsi="Times New Roman" w:eastAsia="黑体" w:cs="Times New Roman"/>
          <w:szCs w:val="21"/>
        </w:rPr>
        <w:br w:type="textWrapping"/>
      </w:r>
      <w:r>
        <w:rPr>
          <w:rFonts w:ascii="Times New Roman" w:hAnsi="Times New Roman" w:eastAsia="黑体" w:cs="Times New Roman"/>
          <w:szCs w:val="21"/>
        </w:rPr>
        <w:t>碳绩效参数</w:t>
      </w:r>
      <w:bookmarkEnd w:id="164"/>
      <w:r>
        <w:rPr>
          <w:rFonts w:ascii="Times New Roman" w:hAnsi="Times New Roman" w:eastAsia="黑体" w:cs="Times New Roman"/>
          <w:szCs w:val="21"/>
        </w:rPr>
        <w:t>示例</w:t>
      </w:r>
      <w:bookmarkEnd w:id="165"/>
      <w:bookmarkEnd w:id="166"/>
      <w:r>
        <w:rPr>
          <w:rFonts w:ascii="Times New Roman" w:hAnsi="Times New Roman" w:eastAsia="黑体" w:cs="Times New Roman"/>
          <w:szCs w:val="21"/>
        </w:rPr>
        <w:t xml:space="preserve"> </w:t>
      </w:r>
    </w:p>
    <w:p w14:paraId="29F5D00A">
      <w:pPr>
        <w:overflowPunct w:val="0"/>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工业企业可参考设置如表</w:t>
      </w:r>
      <w:r>
        <w:rPr>
          <w:rFonts w:hint="eastAsia" w:ascii="Times New Roman" w:hAnsi="Times New Roman" w:eastAsia="宋体" w:cs="Times New Roman"/>
          <w:szCs w:val="21"/>
        </w:rPr>
        <w:t>F</w:t>
      </w:r>
      <w:r>
        <w:rPr>
          <w:rFonts w:ascii="Times New Roman" w:hAnsi="Times New Roman" w:eastAsia="宋体" w:cs="Times New Roman"/>
          <w:szCs w:val="21"/>
        </w:rPr>
        <w:t>.1中不同层级的碳绩效参数，并根据企业运营实际情况与管理能力设定碳绩效参数值。</w:t>
      </w:r>
    </w:p>
    <w:p w14:paraId="563AC92D">
      <w:pPr>
        <w:overflowPunct w:val="0"/>
        <w:spacing w:before="286" w:beforeLines="100" w:after="286" w:afterLines="100"/>
        <w:ind w:firstLine="420" w:firstLineChars="200"/>
        <w:jc w:val="center"/>
        <w:rPr>
          <w:rFonts w:ascii="Times New Roman" w:hAnsi="Times New Roman" w:eastAsia="黑体" w:cs="Times New Roman"/>
          <w:szCs w:val="21"/>
        </w:rPr>
      </w:pPr>
      <w:r>
        <w:rPr>
          <w:rFonts w:ascii="Times New Roman" w:hAnsi="Times New Roman" w:eastAsia="黑体" w:cs="Times New Roman"/>
          <w:szCs w:val="21"/>
        </w:rPr>
        <w:t>表</w:t>
      </w:r>
      <w:r>
        <w:rPr>
          <w:rFonts w:hint="eastAsia" w:ascii="Times New Roman" w:hAnsi="Times New Roman" w:eastAsia="黑体" w:cs="Times New Roman"/>
          <w:szCs w:val="21"/>
        </w:rPr>
        <w:t>F</w:t>
      </w:r>
      <w:r>
        <w:rPr>
          <w:rFonts w:ascii="Times New Roman" w:hAnsi="Times New Roman" w:eastAsia="黑体" w:cs="Times New Roman"/>
          <w:szCs w:val="21"/>
        </w:rPr>
        <w:t xml:space="preserve">.1　碳绩效参数示例 </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9"/>
        <w:gridCol w:w="2621"/>
        <w:gridCol w:w="3204"/>
        <w:gridCol w:w="1538"/>
      </w:tblGrid>
      <w:tr w14:paraId="7A713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Align w:val="center"/>
          </w:tcPr>
          <w:p w14:paraId="2844B05F">
            <w:pPr>
              <w:overflowPunct w:val="0"/>
              <w:adjustRightInd w:val="0"/>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层级</w:t>
            </w:r>
          </w:p>
        </w:tc>
        <w:tc>
          <w:tcPr>
            <w:tcW w:w="1538" w:type="pct"/>
            <w:vAlign w:val="center"/>
          </w:tcPr>
          <w:p w14:paraId="6E2EEB00">
            <w:pPr>
              <w:overflowPunct w:val="0"/>
              <w:adjustRightInd w:val="0"/>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 xml:space="preserve">参数类型 </w:t>
            </w:r>
          </w:p>
        </w:tc>
        <w:tc>
          <w:tcPr>
            <w:tcW w:w="1880" w:type="pct"/>
            <w:vAlign w:val="center"/>
          </w:tcPr>
          <w:p w14:paraId="18FA4B93">
            <w:pPr>
              <w:overflowPunct w:val="0"/>
              <w:adjustRightInd w:val="0"/>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碳绩效参数</w:t>
            </w:r>
          </w:p>
        </w:tc>
        <w:tc>
          <w:tcPr>
            <w:tcW w:w="902" w:type="pct"/>
            <w:vAlign w:val="center"/>
          </w:tcPr>
          <w:p w14:paraId="55320185">
            <w:pPr>
              <w:overflowPunct w:val="0"/>
              <w:adjustRightInd w:val="0"/>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碳绩效参数值</w:t>
            </w:r>
          </w:p>
        </w:tc>
      </w:tr>
      <w:tr w14:paraId="44311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Merge w:val="restart"/>
            <w:vAlign w:val="center"/>
          </w:tcPr>
          <w:p w14:paraId="637A0C61">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企业层级</w:t>
            </w:r>
          </w:p>
        </w:tc>
        <w:tc>
          <w:tcPr>
            <w:tcW w:w="1538" w:type="pct"/>
            <w:vAlign w:val="center"/>
          </w:tcPr>
          <w:p w14:paraId="5C39D9C0">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碳排放强度</w:t>
            </w:r>
          </w:p>
        </w:tc>
        <w:tc>
          <w:tcPr>
            <w:tcW w:w="1880" w:type="pct"/>
            <w:vAlign w:val="center"/>
          </w:tcPr>
          <w:p w14:paraId="326385E6">
            <w:pPr>
              <w:overflowPunct w:val="0"/>
              <w:adjustRightInd w:val="0"/>
              <w:jc w:val="center"/>
              <w:rPr>
                <w:rFonts w:ascii="Times New Roman" w:hAnsi="Times New Roman" w:eastAsia="宋体" w:cs="Times New Roman"/>
                <w:sz w:val="18"/>
                <w:szCs w:val="18"/>
                <w:highlight w:val="yellow"/>
              </w:rPr>
            </w:pPr>
            <w:r>
              <w:rPr>
                <w:rFonts w:hint="eastAsia" w:ascii="Times New Roman" w:hAnsi="Times New Roman" w:eastAsia="宋体" w:cs="Times New Roman"/>
                <w:sz w:val="18"/>
                <w:szCs w:val="18"/>
              </w:rPr>
              <w:t>企业</w:t>
            </w:r>
            <w:r>
              <w:rPr>
                <w:rFonts w:ascii="Times New Roman" w:hAnsi="Times New Roman" w:eastAsia="宋体" w:cs="Times New Roman"/>
                <w:sz w:val="18"/>
                <w:szCs w:val="18"/>
              </w:rPr>
              <w:t>单位产值碳排放量</w:t>
            </w:r>
          </w:p>
        </w:tc>
        <w:tc>
          <w:tcPr>
            <w:tcW w:w="902" w:type="pct"/>
            <w:vAlign w:val="center"/>
          </w:tcPr>
          <w:p w14:paraId="2F1498A8">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 tCO</w:t>
            </w:r>
            <w:r>
              <w:rPr>
                <w:rFonts w:ascii="Times New Roman" w:hAnsi="Times New Roman" w:eastAsia="宋体" w:cs="Times New Roman"/>
                <w:sz w:val="18"/>
                <w:szCs w:val="18"/>
                <w:vertAlign w:val="subscript"/>
              </w:rPr>
              <w:t>2</w:t>
            </w:r>
            <w:r>
              <w:rPr>
                <w:rFonts w:ascii="Times New Roman" w:hAnsi="Times New Roman" w:eastAsia="宋体" w:cs="Times New Roman"/>
                <w:sz w:val="18"/>
                <w:szCs w:val="18"/>
              </w:rPr>
              <w:t>e/万元</w:t>
            </w:r>
          </w:p>
        </w:tc>
      </w:tr>
      <w:tr w14:paraId="62B8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Merge w:val="continue"/>
            <w:vAlign w:val="center"/>
          </w:tcPr>
          <w:p w14:paraId="2B85D964">
            <w:pPr>
              <w:overflowPunct w:val="0"/>
              <w:adjustRightInd w:val="0"/>
              <w:jc w:val="center"/>
              <w:rPr>
                <w:rFonts w:ascii="Times New Roman" w:hAnsi="Times New Roman" w:eastAsia="宋体" w:cs="Times New Roman"/>
                <w:sz w:val="18"/>
                <w:szCs w:val="18"/>
              </w:rPr>
            </w:pPr>
          </w:p>
        </w:tc>
        <w:tc>
          <w:tcPr>
            <w:tcW w:w="1538" w:type="pct"/>
            <w:vAlign w:val="center"/>
          </w:tcPr>
          <w:p w14:paraId="48F19537">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碳排放量</w:t>
            </w:r>
          </w:p>
        </w:tc>
        <w:tc>
          <w:tcPr>
            <w:tcW w:w="1880" w:type="pct"/>
            <w:vAlign w:val="center"/>
          </w:tcPr>
          <w:p w14:paraId="76F6282F">
            <w:pPr>
              <w:overflowPunct w:val="0"/>
              <w:adjustRightInd w:val="0"/>
              <w:jc w:val="center"/>
              <w:rPr>
                <w:rFonts w:ascii="Times New Roman" w:hAnsi="Times New Roman" w:eastAsia="宋体" w:cs="Times New Roman"/>
                <w:sz w:val="18"/>
                <w:szCs w:val="18"/>
                <w:highlight w:val="yellow"/>
              </w:rPr>
            </w:pPr>
            <w:r>
              <w:rPr>
                <w:rFonts w:hint="eastAsia" w:ascii="Times New Roman" w:hAnsi="Times New Roman" w:eastAsia="宋体" w:cs="Times New Roman"/>
                <w:sz w:val="18"/>
                <w:szCs w:val="18"/>
              </w:rPr>
              <w:t>企业</w:t>
            </w:r>
            <w:r>
              <w:rPr>
                <w:rFonts w:ascii="Times New Roman" w:hAnsi="Times New Roman" w:eastAsia="宋体" w:cs="Times New Roman"/>
                <w:sz w:val="18"/>
                <w:szCs w:val="18"/>
              </w:rPr>
              <w:t>碳排放总量</w:t>
            </w:r>
          </w:p>
        </w:tc>
        <w:tc>
          <w:tcPr>
            <w:tcW w:w="902" w:type="pct"/>
            <w:vAlign w:val="center"/>
          </w:tcPr>
          <w:p w14:paraId="5C707EAB">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 tCO</w:t>
            </w:r>
            <w:r>
              <w:rPr>
                <w:rFonts w:ascii="Times New Roman" w:hAnsi="Times New Roman" w:eastAsia="宋体" w:cs="Times New Roman"/>
                <w:sz w:val="18"/>
                <w:szCs w:val="18"/>
                <w:vertAlign w:val="subscript"/>
              </w:rPr>
              <w:t>2</w:t>
            </w:r>
            <w:r>
              <w:rPr>
                <w:rFonts w:ascii="Times New Roman" w:hAnsi="Times New Roman" w:eastAsia="宋体" w:cs="Times New Roman"/>
                <w:sz w:val="18"/>
                <w:szCs w:val="18"/>
              </w:rPr>
              <w:t>e/</w:t>
            </w:r>
            <w:r>
              <w:rPr>
                <w:rFonts w:hint="eastAsia" w:ascii="Times New Roman" w:hAnsi="Times New Roman" w:eastAsia="宋体" w:cs="Times New Roman"/>
                <w:sz w:val="18"/>
                <w:szCs w:val="18"/>
              </w:rPr>
              <w:t>年</w:t>
            </w:r>
          </w:p>
        </w:tc>
      </w:tr>
      <w:tr w14:paraId="0B13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Merge w:val="restart"/>
            <w:vAlign w:val="center"/>
          </w:tcPr>
          <w:p w14:paraId="5648DAB0">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部门层级</w:t>
            </w:r>
          </w:p>
        </w:tc>
        <w:tc>
          <w:tcPr>
            <w:tcW w:w="1538" w:type="pct"/>
            <w:vAlign w:val="center"/>
          </w:tcPr>
          <w:p w14:paraId="43FA6C3A">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**部门（分厂）碳排放强度</w:t>
            </w:r>
          </w:p>
        </w:tc>
        <w:tc>
          <w:tcPr>
            <w:tcW w:w="1880" w:type="pct"/>
            <w:vAlign w:val="center"/>
          </w:tcPr>
          <w:p w14:paraId="7916C230">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**部门（分厂）单位产值碳排放量</w:t>
            </w:r>
          </w:p>
        </w:tc>
        <w:tc>
          <w:tcPr>
            <w:tcW w:w="902" w:type="pct"/>
            <w:vAlign w:val="center"/>
          </w:tcPr>
          <w:p w14:paraId="79249276">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 </w:t>
            </w:r>
            <w:bookmarkStart w:id="167" w:name="OLE_LINK3"/>
            <w:r>
              <w:rPr>
                <w:rFonts w:ascii="Times New Roman" w:hAnsi="Times New Roman" w:eastAsia="宋体" w:cs="Times New Roman"/>
                <w:sz w:val="18"/>
                <w:szCs w:val="18"/>
              </w:rPr>
              <w:t>tCO</w:t>
            </w:r>
            <w:r>
              <w:rPr>
                <w:rFonts w:ascii="Times New Roman" w:hAnsi="Times New Roman" w:eastAsia="宋体" w:cs="Times New Roman"/>
                <w:sz w:val="18"/>
                <w:szCs w:val="18"/>
                <w:vertAlign w:val="subscript"/>
              </w:rPr>
              <w:t>2</w:t>
            </w:r>
            <w:bookmarkEnd w:id="167"/>
            <w:r>
              <w:rPr>
                <w:rFonts w:ascii="Times New Roman" w:hAnsi="Times New Roman" w:eastAsia="宋体" w:cs="Times New Roman"/>
                <w:sz w:val="18"/>
                <w:szCs w:val="18"/>
              </w:rPr>
              <w:t>e/万元</w:t>
            </w:r>
          </w:p>
        </w:tc>
      </w:tr>
      <w:tr w14:paraId="6BDB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Merge w:val="continue"/>
            <w:vAlign w:val="center"/>
          </w:tcPr>
          <w:p w14:paraId="0D4B4953">
            <w:pPr>
              <w:overflowPunct w:val="0"/>
              <w:adjustRightInd w:val="0"/>
              <w:jc w:val="center"/>
              <w:rPr>
                <w:rFonts w:ascii="Times New Roman" w:hAnsi="Times New Roman" w:eastAsia="宋体" w:cs="Times New Roman"/>
                <w:sz w:val="18"/>
                <w:szCs w:val="18"/>
              </w:rPr>
            </w:pPr>
          </w:p>
        </w:tc>
        <w:tc>
          <w:tcPr>
            <w:tcW w:w="1538" w:type="pct"/>
            <w:vAlign w:val="center"/>
          </w:tcPr>
          <w:p w14:paraId="1C48BB70">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**部门（分厂）碳排放量</w:t>
            </w:r>
          </w:p>
        </w:tc>
        <w:tc>
          <w:tcPr>
            <w:tcW w:w="1880" w:type="pct"/>
            <w:vAlign w:val="center"/>
          </w:tcPr>
          <w:p w14:paraId="2D4B79B3">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**部门（分厂）碳排放</w:t>
            </w:r>
            <w:r>
              <w:rPr>
                <w:rFonts w:hint="eastAsia" w:ascii="Times New Roman" w:hAnsi="Times New Roman" w:eastAsia="宋体" w:cs="Times New Roman"/>
                <w:sz w:val="18"/>
                <w:szCs w:val="18"/>
              </w:rPr>
              <w:t>总</w:t>
            </w:r>
            <w:r>
              <w:rPr>
                <w:rFonts w:ascii="Times New Roman" w:hAnsi="Times New Roman" w:eastAsia="宋体" w:cs="Times New Roman"/>
                <w:sz w:val="18"/>
                <w:szCs w:val="18"/>
              </w:rPr>
              <w:t>量</w:t>
            </w:r>
          </w:p>
        </w:tc>
        <w:tc>
          <w:tcPr>
            <w:tcW w:w="902" w:type="pct"/>
            <w:vAlign w:val="center"/>
          </w:tcPr>
          <w:p w14:paraId="4388A2D7">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 tCO</w:t>
            </w:r>
            <w:r>
              <w:rPr>
                <w:rFonts w:ascii="Times New Roman" w:hAnsi="Times New Roman" w:eastAsia="宋体" w:cs="Times New Roman"/>
                <w:sz w:val="18"/>
                <w:szCs w:val="18"/>
                <w:vertAlign w:val="subscript"/>
              </w:rPr>
              <w:t>2</w:t>
            </w:r>
            <w:r>
              <w:rPr>
                <w:rFonts w:ascii="Times New Roman" w:hAnsi="Times New Roman" w:eastAsia="宋体" w:cs="Times New Roman"/>
                <w:sz w:val="18"/>
                <w:szCs w:val="18"/>
              </w:rPr>
              <w:t>e/</w:t>
            </w:r>
            <w:r>
              <w:rPr>
                <w:rFonts w:hint="eastAsia" w:ascii="Times New Roman" w:hAnsi="Times New Roman" w:eastAsia="宋体" w:cs="Times New Roman"/>
                <w:sz w:val="18"/>
                <w:szCs w:val="18"/>
              </w:rPr>
              <w:t>年</w:t>
            </w:r>
          </w:p>
        </w:tc>
      </w:tr>
      <w:tr w14:paraId="7CF20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Merge w:val="restart"/>
            <w:vAlign w:val="center"/>
          </w:tcPr>
          <w:p w14:paraId="6FD1EAC1">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生产单元</w:t>
            </w:r>
          </w:p>
        </w:tc>
        <w:tc>
          <w:tcPr>
            <w:tcW w:w="1538" w:type="pct"/>
            <w:vAlign w:val="center"/>
          </w:tcPr>
          <w:p w14:paraId="6327E7B8">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**工序</w:t>
            </w:r>
            <w:r>
              <w:rPr>
                <w:rFonts w:hint="eastAsia" w:ascii="Times New Roman" w:hAnsi="Times New Roman" w:eastAsia="宋体" w:cs="Times New Roman"/>
                <w:sz w:val="18"/>
                <w:szCs w:val="18"/>
              </w:rPr>
              <w:t>碳</w:t>
            </w:r>
            <w:r>
              <w:rPr>
                <w:rFonts w:ascii="Times New Roman" w:hAnsi="Times New Roman" w:eastAsia="宋体" w:cs="Times New Roman"/>
                <w:sz w:val="18"/>
                <w:szCs w:val="18"/>
              </w:rPr>
              <w:t>排放</w:t>
            </w:r>
            <w:r>
              <w:rPr>
                <w:rFonts w:hint="eastAsia" w:ascii="Times New Roman" w:hAnsi="Times New Roman" w:eastAsia="宋体" w:cs="Times New Roman"/>
                <w:sz w:val="18"/>
                <w:szCs w:val="18"/>
              </w:rPr>
              <w:t>强度</w:t>
            </w:r>
          </w:p>
        </w:tc>
        <w:tc>
          <w:tcPr>
            <w:tcW w:w="1880" w:type="pct"/>
            <w:vAlign w:val="center"/>
          </w:tcPr>
          <w:p w14:paraId="0CF1768F">
            <w:pPr>
              <w:overflowPunct w:val="0"/>
              <w:adjustRightInd w:val="0"/>
              <w:jc w:val="center"/>
              <w:rPr>
                <w:rFonts w:ascii="Times New Roman" w:hAnsi="Times New Roman" w:eastAsia="宋体" w:cs="Times New Roman"/>
                <w:sz w:val="18"/>
                <w:szCs w:val="18"/>
              </w:rPr>
            </w:pPr>
            <w:bookmarkStart w:id="168" w:name="OLE_LINK8"/>
            <w:r>
              <w:rPr>
                <w:rFonts w:ascii="Times New Roman" w:hAnsi="Times New Roman" w:eastAsia="宋体" w:cs="Times New Roman"/>
                <w:sz w:val="18"/>
                <w:szCs w:val="18"/>
              </w:rPr>
              <w:t>**工序</w:t>
            </w:r>
            <w:bookmarkEnd w:id="168"/>
            <w:r>
              <w:rPr>
                <w:rFonts w:ascii="Times New Roman" w:hAnsi="Times New Roman" w:eastAsia="宋体" w:cs="Times New Roman"/>
                <w:sz w:val="18"/>
                <w:szCs w:val="18"/>
              </w:rPr>
              <w:t>单位产品碳排放量</w:t>
            </w:r>
          </w:p>
        </w:tc>
        <w:tc>
          <w:tcPr>
            <w:tcW w:w="902" w:type="pct"/>
            <w:vAlign w:val="center"/>
          </w:tcPr>
          <w:p w14:paraId="265DF0F7">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 tCO</w:t>
            </w:r>
            <w:r>
              <w:rPr>
                <w:rFonts w:ascii="Times New Roman" w:hAnsi="Times New Roman" w:eastAsia="宋体" w:cs="Times New Roman"/>
                <w:sz w:val="18"/>
                <w:szCs w:val="18"/>
                <w:vertAlign w:val="subscript"/>
              </w:rPr>
              <w:t>2</w:t>
            </w:r>
            <w:r>
              <w:rPr>
                <w:rFonts w:ascii="Times New Roman" w:hAnsi="Times New Roman" w:eastAsia="宋体" w:cs="Times New Roman"/>
                <w:sz w:val="18"/>
                <w:szCs w:val="18"/>
              </w:rPr>
              <w:t>e/件</w:t>
            </w:r>
            <w:r>
              <w:rPr>
                <w:rFonts w:hint="eastAsia" w:ascii="Times New Roman" w:hAnsi="Times New Roman" w:eastAsia="宋体" w:cs="Times New Roman"/>
                <w:sz w:val="18"/>
                <w:szCs w:val="18"/>
              </w:rPr>
              <w:t>产品</w:t>
            </w:r>
          </w:p>
        </w:tc>
      </w:tr>
      <w:tr w14:paraId="7DCC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Merge w:val="continue"/>
            <w:vAlign w:val="center"/>
          </w:tcPr>
          <w:p w14:paraId="6B72BD8E">
            <w:pPr>
              <w:overflowPunct w:val="0"/>
              <w:adjustRightInd w:val="0"/>
              <w:jc w:val="center"/>
              <w:rPr>
                <w:rFonts w:ascii="Times New Roman" w:hAnsi="Times New Roman" w:eastAsia="宋体" w:cs="Times New Roman"/>
                <w:sz w:val="18"/>
                <w:szCs w:val="18"/>
              </w:rPr>
            </w:pPr>
          </w:p>
        </w:tc>
        <w:tc>
          <w:tcPr>
            <w:tcW w:w="1538" w:type="pct"/>
            <w:vAlign w:val="center"/>
          </w:tcPr>
          <w:p w14:paraId="2BDEE999">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**工序</w:t>
            </w:r>
            <w:r>
              <w:rPr>
                <w:rFonts w:hint="eastAsia" w:ascii="Times New Roman" w:hAnsi="Times New Roman" w:eastAsia="宋体" w:cs="Times New Roman"/>
                <w:sz w:val="18"/>
                <w:szCs w:val="18"/>
              </w:rPr>
              <w:t>碳</w:t>
            </w:r>
            <w:r>
              <w:rPr>
                <w:rFonts w:ascii="Times New Roman" w:hAnsi="Times New Roman" w:eastAsia="宋体" w:cs="Times New Roman"/>
                <w:sz w:val="18"/>
                <w:szCs w:val="18"/>
              </w:rPr>
              <w:t>排放量</w:t>
            </w:r>
          </w:p>
        </w:tc>
        <w:tc>
          <w:tcPr>
            <w:tcW w:w="1880" w:type="pct"/>
            <w:vAlign w:val="center"/>
          </w:tcPr>
          <w:p w14:paraId="21B4538C">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**工序碳排放</w:t>
            </w:r>
            <w:r>
              <w:rPr>
                <w:rFonts w:hint="eastAsia" w:ascii="Times New Roman" w:hAnsi="Times New Roman" w:eastAsia="宋体" w:cs="Times New Roman"/>
                <w:sz w:val="18"/>
                <w:szCs w:val="18"/>
              </w:rPr>
              <w:t>总</w:t>
            </w:r>
            <w:r>
              <w:rPr>
                <w:rFonts w:ascii="Times New Roman" w:hAnsi="Times New Roman" w:eastAsia="宋体" w:cs="Times New Roman"/>
                <w:sz w:val="18"/>
                <w:szCs w:val="18"/>
              </w:rPr>
              <w:t>量</w:t>
            </w:r>
          </w:p>
        </w:tc>
        <w:tc>
          <w:tcPr>
            <w:tcW w:w="902" w:type="pct"/>
            <w:vAlign w:val="center"/>
          </w:tcPr>
          <w:p w14:paraId="1DF5E7D8">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 tCO</w:t>
            </w:r>
            <w:r>
              <w:rPr>
                <w:rFonts w:ascii="Times New Roman" w:hAnsi="Times New Roman" w:eastAsia="宋体" w:cs="Times New Roman"/>
                <w:sz w:val="18"/>
                <w:szCs w:val="18"/>
                <w:vertAlign w:val="subscript"/>
              </w:rPr>
              <w:t>2</w:t>
            </w:r>
            <w:r>
              <w:rPr>
                <w:rFonts w:ascii="Times New Roman" w:hAnsi="Times New Roman" w:eastAsia="宋体" w:cs="Times New Roman"/>
                <w:sz w:val="18"/>
                <w:szCs w:val="18"/>
              </w:rPr>
              <w:t>e/</w:t>
            </w:r>
            <w:r>
              <w:rPr>
                <w:rFonts w:hint="eastAsia" w:ascii="Times New Roman" w:hAnsi="Times New Roman" w:eastAsia="宋体" w:cs="Times New Roman"/>
                <w:sz w:val="18"/>
                <w:szCs w:val="18"/>
              </w:rPr>
              <w:t>年</w:t>
            </w:r>
          </w:p>
        </w:tc>
      </w:tr>
      <w:tr w14:paraId="74DE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Merge w:val="restart"/>
            <w:vAlign w:val="center"/>
          </w:tcPr>
          <w:p w14:paraId="1973B665">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设备层级</w:t>
            </w:r>
          </w:p>
        </w:tc>
        <w:tc>
          <w:tcPr>
            <w:tcW w:w="1538" w:type="pct"/>
            <w:vAlign w:val="center"/>
          </w:tcPr>
          <w:p w14:paraId="0728F85E">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生产设备</w:t>
            </w:r>
          </w:p>
        </w:tc>
        <w:tc>
          <w:tcPr>
            <w:tcW w:w="1880" w:type="pct"/>
            <w:vAlign w:val="center"/>
          </w:tcPr>
          <w:p w14:paraId="49CCE00D">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温度</w:t>
            </w:r>
          </w:p>
        </w:tc>
        <w:tc>
          <w:tcPr>
            <w:tcW w:w="902" w:type="pct"/>
            <w:vAlign w:val="center"/>
          </w:tcPr>
          <w:p w14:paraId="53BC2B83">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 °C</w:t>
            </w:r>
          </w:p>
        </w:tc>
      </w:tr>
      <w:tr w14:paraId="6C62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Merge w:val="continue"/>
            <w:vAlign w:val="center"/>
          </w:tcPr>
          <w:p w14:paraId="09100F79">
            <w:pPr>
              <w:overflowPunct w:val="0"/>
              <w:adjustRightInd w:val="0"/>
              <w:jc w:val="center"/>
              <w:rPr>
                <w:rFonts w:ascii="Times New Roman" w:hAnsi="Times New Roman" w:eastAsia="宋体" w:cs="Times New Roman"/>
                <w:sz w:val="18"/>
                <w:szCs w:val="18"/>
              </w:rPr>
            </w:pPr>
          </w:p>
        </w:tc>
        <w:tc>
          <w:tcPr>
            <w:tcW w:w="1538" w:type="pct"/>
            <w:vMerge w:val="restart"/>
            <w:vAlign w:val="center"/>
          </w:tcPr>
          <w:p w14:paraId="482E37A6">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能源转换设备（如空压机、锅炉、大型配电器等）</w:t>
            </w:r>
          </w:p>
        </w:tc>
        <w:tc>
          <w:tcPr>
            <w:tcW w:w="1880" w:type="pct"/>
            <w:vAlign w:val="center"/>
          </w:tcPr>
          <w:p w14:paraId="3019B8F7">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空压机排气压力</w:t>
            </w:r>
          </w:p>
        </w:tc>
        <w:tc>
          <w:tcPr>
            <w:tcW w:w="902" w:type="pct"/>
            <w:vAlign w:val="center"/>
          </w:tcPr>
          <w:p w14:paraId="65D9B784">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 MPa </w:t>
            </w:r>
          </w:p>
        </w:tc>
      </w:tr>
      <w:tr w14:paraId="31DE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Merge w:val="continue"/>
            <w:vAlign w:val="center"/>
          </w:tcPr>
          <w:p w14:paraId="0DE5A7AB">
            <w:pPr>
              <w:overflowPunct w:val="0"/>
              <w:adjustRightInd w:val="0"/>
              <w:jc w:val="center"/>
              <w:rPr>
                <w:rFonts w:ascii="Times New Roman" w:hAnsi="Times New Roman" w:eastAsia="宋体" w:cs="Times New Roman"/>
                <w:sz w:val="18"/>
                <w:szCs w:val="18"/>
              </w:rPr>
            </w:pPr>
          </w:p>
        </w:tc>
        <w:tc>
          <w:tcPr>
            <w:tcW w:w="1538" w:type="pct"/>
            <w:vMerge w:val="continue"/>
            <w:vAlign w:val="center"/>
          </w:tcPr>
          <w:p w14:paraId="3E5DFCCD">
            <w:pPr>
              <w:overflowPunct w:val="0"/>
              <w:adjustRightInd w:val="0"/>
              <w:jc w:val="center"/>
              <w:rPr>
                <w:rFonts w:ascii="Times New Roman" w:hAnsi="Times New Roman" w:eastAsia="宋体" w:cs="Times New Roman"/>
                <w:sz w:val="18"/>
                <w:szCs w:val="18"/>
              </w:rPr>
            </w:pPr>
          </w:p>
        </w:tc>
        <w:tc>
          <w:tcPr>
            <w:tcW w:w="1880" w:type="pct"/>
            <w:vAlign w:val="center"/>
          </w:tcPr>
          <w:p w14:paraId="36B8085C">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天然气锅炉效率</w:t>
            </w:r>
          </w:p>
        </w:tc>
        <w:tc>
          <w:tcPr>
            <w:tcW w:w="902" w:type="pct"/>
            <w:vAlign w:val="center"/>
          </w:tcPr>
          <w:p w14:paraId="4D257AA0">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 %</w:t>
            </w:r>
          </w:p>
        </w:tc>
      </w:tr>
      <w:tr w14:paraId="37746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Merge w:val="continue"/>
            <w:vAlign w:val="center"/>
          </w:tcPr>
          <w:p w14:paraId="350C87C1">
            <w:pPr>
              <w:overflowPunct w:val="0"/>
              <w:adjustRightInd w:val="0"/>
              <w:jc w:val="center"/>
              <w:rPr>
                <w:rFonts w:ascii="Times New Roman" w:hAnsi="Times New Roman" w:eastAsia="宋体" w:cs="Times New Roman"/>
                <w:sz w:val="18"/>
                <w:szCs w:val="18"/>
              </w:rPr>
            </w:pPr>
          </w:p>
        </w:tc>
        <w:tc>
          <w:tcPr>
            <w:tcW w:w="1538" w:type="pct"/>
            <w:vAlign w:val="center"/>
          </w:tcPr>
          <w:p w14:paraId="3CC0BEE5">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环保治理设备（如除尘设备、废气治理设备等）</w:t>
            </w:r>
          </w:p>
        </w:tc>
        <w:tc>
          <w:tcPr>
            <w:tcW w:w="1880" w:type="pct"/>
            <w:vAlign w:val="center"/>
          </w:tcPr>
          <w:p w14:paraId="4968317B">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单位产值耗电量</w:t>
            </w:r>
          </w:p>
        </w:tc>
        <w:tc>
          <w:tcPr>
            <w:tcW w:w="902" w:type="pct"/>
            <w:vAlign w:val="center"/>
          </w:tcPr>
          <w:p w14:paraId="3D3F10CD">
            <w:pPr>
              <w:overflowPunct w:val="0"/>
              <w:adjustRightInd w:val="0"/>
              <w:jc w:val="center"/>
              <w:rPr>
                <w:rFonts w:ascii="Times New Roman" w:hAnsi="Times New Roman" w:eastAsia="宋体" w:cs="Times New Roman"/>
                <w:sz w:val="18"/>
                <w:szCs w:val="18"/>
              </w:rPr>
            </w:pPr>
            <w:r>
              <w:rPr>
                <w:rFonts w:ascii="Times New Roman" w:hAnsi="Times New Roman" w:eastAsia="宋体" w:cs="Times New Roman"/>
                <w:sz w:val="18"/>
                <w:szCs w:val="18"/>
              </w:rPr>
              <w:t>** kWh/万元</w:t>
            </w:r>
          </w:p>
        </w:tc>
      </w:tr>
    </w:tbl>
    <w:p w14:paraId="17E5BD3F">
      <w:pPr>
        <w:overflowPunct w:val="0"/>
        <w:ind w:firstLine="420" w:firstLineChars="200"/>
        <w:jc w:val="center"/>
        <w:rPr>
          <w:rFonts w:ascii="Times New Roman" w:hAnsi="Times New Roman" w:eastAsia="仿宋_GB2312" w:cs="Times New Roman"/>
          <w:szCs w:val="21"/>
        </w:rPr>
        <w:sectPr>
          <w:pgSz w:w="11906" w:h="16838"/>
          <w:pgMar w:top="1440" w:right="1800" w:bottom="1440" w:left="1800" w:header="851" w:footer="992" w:gutter="0"/>
          <w:cols w:space="425" w:num="1"/>
          <w:docGrid w:type="lines" w:linePitch="286" w:charSpace="0"/>
        </w:sectPr>
      </w:pPr>
    </w:p>
    <w:p w14:paraId="6399D06F">
      <w:pPr>
        <w:pStyle w:val="72"/>
        <w:overflowPunct w:val="0"/>
        <w:spacing w:before="156" w:after="156"/>
        <w:rPr>
          <w:rFonts w:ascii="Times New Roman"/>
          <w:b/>
        </w:rPr>
      </w:pPr>
      <w:bookmarkStart w:id="169" w:name="_Toc162359678"/>
      <w:bookmarkStart w:id="170" w:name="_Toc187932714"/>
      <w:bookmarkStart w:id="171" w:name="_Toc52288524"/>
      <w:bookmarkStart w:id="172" w:name="BKCKWX"/>
      <w:bookmarkStart w:id="173" w:name="_Toc220422398"/>
      <w:bookmarkStart w:id="174" w:name="_Toc44414109"/>
      <w:bookmarkStart w:id="175" w:name="_Toc9361"/>
      <w:bookmarkStart w:id="176" w:name="_Toc107221759"/>
      <w:bookmarkStart w:id="177" w:name="_Toc118727537"/>
      <w:r>
        <w:rPr>
          <w:rFonts w:ascii="Times New Roman"/>
          <w:b/>
        </w:rPr>
        <w:t>参 考 文 献</w:t>
      </w:r>
      <w:bookmarkEnd w:id="169"/>
      <w:bookmarkEnd w:id="170"/>
      <w:bookmarkEnd w:id="171"/>
      <w:bookmarkEnd w:id="172"/>
      <w:bookmarkEnd w:id="173"/>
      <w:bookmarkEnd w:id="174"/>
      <w:bookmarkEnd w:id="175"/>
      <w:bookmarkEnd w:id="176"/>
      <w:bookmarkEnd w:id="177"/>
    </w:p>
    <w:p w14:paraId="6C6A0A6E">
      <w:pPr>
        <w:pStyle w:val="23"/>
        <w:widowControl/>
        <w:numPr>
          <w:ilvl w:val="0"/>
          <w:numId w:val="19"/>
        </w:numPr>
        <w:tabs>
          <w:tab w:val="center" w:pos="4201"/>
          <w:tab w:val="right" w:leader="dot" w:pos="9298"/>
        </w:tabs>
        <w:overflowPunct w:val="0"/>
        <w:autoSpaceDE w:val="0"/>
        <w:autoSpaceDN w:val="0"/>
        <w:spacing w:beforeAutospacing="0" w:afterAutospacing="0"/>
        <w:jc w:val="both"/>
        <w:rPr>
          <w:sz w:val="21"/>
          <w:szCs w:val="20"/>
        </w:rPr>
      </w:pPr>
      <w:r>
        <w:rPr>
          <w:rFonts w:hint="eastAsia"/>
          <w:color w:val="EE0000"/>
          <w:sz w:val="21"/>
          <w:szCs w:val="20"/>
        </w:rPr>
        <w:t>GB/T 10184</w:t>
      </w:r>
      <w:r>
        <w:rPr>
          <w:color w:val="EE0000"/>
          <w:sz w:val="21"/>
          <w:szCs w:val="20"/>
        </w:rPr>
        <w:t>—</w:t>
      </w:r>
      <w:r>
        <w:rPr>
          <w:rFonts w:hint="eastAsia"/>
          <w:color w:val="EE0000"/>
          <w:sz w:val="21"/>
          <w:szCs w:val="20"/>
        </w:rPr>
        <w:t>2025  电站锅炉性能试验规程</w:t>
      </w:r>
    </w:p>
    <w:p w14:paraId="35318CC8">
      <w:pPr>
        <w:pStyle w:val="23"/>
        <w:widowControl/>
        <w:numPr>
          <w:ilvl w:val="0"/>
          <w:numId w:val="19"/>
        </w:numPr>
        <w:tabs>
          <w:tab w:val="center" w:pos="4201"/>
          <w:tab w:val="right" w:leader="dot" w:pos="9298"/>
        </w:tabs>
        <w:overflowPunct w:val="0"/>
        <w:autoSpaceDE w:val="0"/>
        <w:autoSpaceDN w:val="0"/>
        <w:spacing w:beforeAutospacing="0" w:afterAutospacing="0"/>
        <w:jc w:val="both"/>
        <w:rPr>
          <w:sz w:val="21"/>
          <w:szCs w:val="20"/>
        </w:rPr>
      </w:pPr>
      <w:r>
        <w:rPr>
          <w:rFonts w:hint="eastAsia"/>
          <w:color w:val="EE0000"/>
          <w:sz w:val="21"/>
          <w:szCs w:val="20"/>
        </w:rPr>
        <w:t>GB/T 19011</w:t>
      </w:r>
      <w:r>
        <w:rPr>
          <w:color w:val="EE0000"/>
          <w:sz w:val="21"/>
          <w:szCs w:val="20"/>
        </w:rPr>
        <w:t>—</w:t>
      </w:r>
      <w:r>
        <w:rPr>
          <w:rFonts w:hint="eastAsia"/>
          <w:color w:val="EE0000"/>
          <w:sz w:val="21"/>
          <w:szCs w:val="20"/>
        </w:rPr>
        <w:t>2021  管理体系审核指南</w:t>
      </w:r>
    </w:p>
    <w:p w14:paraId="3F2D36F1">
      <w:pPr>
        <w:pStyle w:val="23"/>
        <w:widowControl/>
        <w:numPr>
          <w:ilvl w:val="0"/>
          <w:numId w:val="19"/>
        </w:numPr>
        <w:tabs>
          <w:tab w:val="center" w:pos="4201"/>
          <w:tab w:val="right" w:leader="dot" w:pos="9298"/>
        </w:tabs>
        <w:overflowPunct w:val="0"/>
        <w:autoSpaceDE w:val="0"/>
        <w:autoSpaceDN w:val="0"/>
        <w:spacing w:beforeAutospacing="0" w:afterAutospacing="0"/>
        <w:jc w:val="both"/>
        <w:rPr>
          <w:sz w:val="21"/>
          <w:szCs w:val="20"/>
        </w:rPr>
      </w:pPr>
      <w:r>
        <w:rPr>
          <w:rFonts w:hint="eastAsia"/>
          <w:color w:val="EE0000"/>
          <w:sz w:val="21"/>
          <w:szCs w:val="20"/>
        </w:rPr>
        <w:t>GB/T 23331—2020</w:t>
      </w:r>
      <w:r>
        <w:rPr>
          <w:rFonts w:hint="eastAsia"/>
          <w:sz w:val="21"/>
          <w:szCs w:val="20"/>
        </w:rPr>
        <w:t xml:space="preserve">  能源管理体系 要求及使用指南</w:t>
      </w:r>
    </w:p>
    <w:p w14:paraId="6D789AB8">
      <w:pPr>
        <w:pStyle w:val="23"/>
        <w:widowControl/>
        <w:numPr>
          <w:ilvl w:val="0"/>
          <w:numId w:val="19"/>
        </w:numPr>
        <w:tabs>
          <w:tab w:val="center" w:pos="4201"/>
          <w:tab w:val="right" w:leader="dot" w:pos="9298"/>
        </w:tabs>
        <w:overflowPunct w:val="0"/>
        <w:autoSpaceDE w:val="0"/>
        <w:autoSpaceDN w:val="0"/>
        <w:spacing w:beforeAutospacing="0" w:afterAutospacing="0"/>
        <w:jc w:val="both"/>
        <w:rPr>
          <w:sz w:val="21"/>
          <w:szCs w:val="20"/>
        </w:rPr>
      </w:pPr>
      <w:r>
        <w:rPr>
          <w:rFonts w:hint="eastAsia"/>
          <w:color w:val="EE0000"/>
          <w:sz w:val="21"/>
          <w:szCs w:val="20"/>
        </w:rPr>
        <w:t>GB/T 24001</w:t>
      </w:r>
      <w:r>
        <w:rPr>
          <w:sz w:val="21"/>
          <w:szCs w:val="20"/>
        </w:rPr>
        <w:t>—</w:t>
      </w:r>
      <w:r>
        <w:rPr>
          <w:rFonts w:hint="eastAsia"/>
          <w:sz w:val="21"/>
          <w:szCs w:val="20"/>
        </w:rPr>
        <w:t>2016  环境管理体系 要求及使用指南</w:t>
      </w:r>
    </w:p>
    <w:p w14:paraId="1EDE1528">
      <w:pPr>
        <w:pStyle w:val="23"/>
        <w:widowControl/>
        <w:numPr>
          <w:ilvl w:val="0"/>
          <w:numId w:val="19"/>
        </w:numPr>
        <w:tabs>
          <w:tab w:val="center" w:pos="4201"/>
          <w:tab w:val="right" w:leader="dot" w:pos="9298"/>
        </w:tabs>
        <w:overflowPunct w:val="0"/>
        <w:autoSpaceDE w:val="0"/>
        <w:autoSpaceDN w:val="0"/>
        <w:spacing w:beforeAutospacing="0" w:afterAutospacing="0"/>
        <w:jc w:val="both"/>
        <w:rPr>
          <w:sz w:val="21"/>
          <w:szCs w:val="20"/>
        </w:rPr>
      </w:pPr>
      <w:r>
        <w:rPr>
          <w:rFonts w:hint="eastAsia"/>
          <w:color w:val="000000" w:themeColor="text1"/>
          <w:sz w:val="21"/>
          <w:szCs w:val="20"/>
          <w14:textFill>
            <w14:solidFill>
              <w14:schemeClr w14:val="tx1"/>
            </w14:solidFill>
          </w14:textFill>
        </w:rPr>
        <w:t>GB/T 29456</w:t>
      </w:r>
      <w:r>
        <w:rPr>
          <w:color w:val="000000" w:themeColor="text1"/>
          <w:sz w:val="21"/>
          <w:szCs w:val="20"/>
          <w14:textFill>
            <w14:solidFill>
              <w14:schemeClr w14:val="tx1"/>
            </w14:solidFill>
          </w14:textFill>
        </w:rPr>
        <w:t>—</w:t>
      </w:r>
      <w:r>
        <w:rPr>
          <w:rFonts w:hint="eastAsia"/>
          <w:color w:val="000000" w:themeColor="text1"/>
          <w:sz w:val="21"/>
          <w:szCs w:val="20"/>
          <w14:textFill>
            <w14:solidFill>
              <w14:schemeClr w14:val="tx1"/>
            </w14:solidFill>
          </w14:textFill>
        </w:rPr>
        <w:t>2025  能源管理体系 实施、保持和改进GB/T 23331能源管理体系指南</w:t>
      </w:r>
    </w:p>
    <w:p w14:paraId="48DE6969">
      <w:pPr>
        <w:pStyle w:val="23"/>
        <w:widowControl/>
        <w:numPr>
          <w:ilvl w:val="0"/>
          <w:numId w:val="19"/>
        </w:numPr>
        <w:tabs>
          <w:tab w:val="center" w:pos="4201"/>
          <w:tab w:val="right" w:leader="dot" w:pos="9298"/>
        </w:tabs>
        <w:overflowPunct w:val="0"/>
        <w:autoSpaceDE w:val="0"/>
        <w:autoSpaceDN w:val="0"/>
        <w:spacing w:beforeAutospacing="0" w:afterAutospacing="0"/>
        <w:jc w:val="both"/>
        <w:rPr>
          <w:sz w:val="21"/>
          <w:szCs w:val="20"/>
        </w:rPr>
      </w:pPr>
      <w:r>
        <w:rPr>
          <w:sz w:val="21"/>
          <w:szCs w:val="20"/>
        </w:rPr>
        <w:t>DB11/T 1559</w:t>
      </w:r>
      <w:bookmarkStart w:id="178" w:name="OLE_LINK34"/>
      <w:r>
        <w:rPr>
          <w:sz w:val="21"/>
          <w:szCs w:val="20"/>
        </w:rPr>
        <w:t>—</w:t>
      </w:r>
      <w:bookmarkEnd w:id="178"/>
      <w:r>
        <w:rPr>
          <w:sz w:val="21"/>
          <w:szCs w:val="20"/>
        </w:rPr>
        <w:t>2018  碳排放管理体系实施指南</w:t>
      </w:r>
    </w:p>
    <w:p w14:paraId="177EBEBC">
      <w:pPr>
        <w:pStyle w:val="23"/>
        <w:widowControl/>
        <w:numPr>
          <w:ilvl w:val="0"/>
          <w:numId w:val="19"/>
        </w:numPr>
        <w:tabs>
          <w:tab w:val="center" w:pos="4201"/>
          <w:tab w:val="right" w:leader="dot" w:pos="9298"/>
        </w:tabs>
        <w:overflowPunct w:val="0"/>
        <w:autoSpaceDE w:val="0"/>
        <w:autoSpaceDN w:val="0"/>
        <w:spacing w:beforeAutospacing="0" w:afterAutospacing="0"/>
        <w:jc w:val="both"/>
        <w:rPr>
          <w:sz w:val="21"/>
          <w:szCs w:val="20"/>
        </w:rPr>
      </w:pPr>
      <w:r>
        <w:rPr>
          <w:sz w:val="21"/>
          <w:szCs w:val="20"/>
        </w:rPr>
        <w:t>DB43/T 2872—2023  工业企业碳中和实施指南</w:t>
      </w:r>
    </w:p>
    <w:p w14:paraId="5DC68F98">
      <w:pPr>
        <w:pStyle w:val="23"/>
        <w:widowControl/>
        <w:numPr>
          <w:ilvl w:val="0"/>
          <w:numId w:val="19"/>
        </w:numPr>
        <w:tabs>
          <w:tab w:val="center" w:pos="4201"/>
          <w:tab w:val="right" w:leader="dot" w:pos="9298"/>
        </w:tabs>
        <w:overflowPunct w:val="0"/>
        <w:autoSpaceDE w:val="0"/>
        <w:autoSpaceDN w:val="0"/>
        <w:spacing w:beforeAutospacing="0" w:afterAutospacing="0"/>
        <w:jc w:val="both"/>
        <w:rPr>
          <w:color w:val="EE0000"/>
          <w:sz w:val="21"/>
          <w:szCs w:val="20"/>
        </w:rPr>
      </w:pPr>
      <w:r>
        <w:rPr>
          <w:rFonts w:hint="eastAsia"/>
          <w:color w:val="EE0000"/>
          <w:sz w:val="21"/>
          <w:szCs w:val="20"/>
        </w:rPr>
        <w:t>ISO 31000</w:t>
      </w:r>
      <w:r>
        <w:rPr>
          <w:color w:val="EE0000"/>
          <w:sz w:val="21"/>
          <w:szCs w:val="20"/>
        </w:rPr>
        <w:t>—</w:t>
      </w:r>
      <w:r>
        <w:rPr>
          <w:rFonts w:hint="eastAsia"/>
          <w:color w:val="EE0000"/>
          <w:sz w:val="21"/>
          <w:szCs w:val="20"/>
        </w:rPr>
        <w:t>2018  Risk management–Guidelines</w:t>
      </w:r>
    </w:p>
    <w:p w14:paraId="64B042E1">
      <w:pPr>
        <w:pStyle w:val="23"/>
        <w:widowControl/>
        <w:numPr>
          <w:ilvl w:val="0"/>
          <w:numId w:val="19"/>
        </w:numPr>
        <w:tabs>
          <w:tab w:val="center" w:pos="4201"/>
          <w:tab w:val="right" w:leader="dot" w:pos="9298"/>
        </w:tabs>
        <w:overflowPunct w:val="0"/>
        <w:autoSpaceDE w:val="0"/>
        <w:autoSpaceDN w:val="0"/>
        <w:spacing w:beforeAutospacing="0" w:afterAutospacing="0"/>
        <w:jc w:val="both"/>
        <w:rPr>
          <w:color w:val="EE0000"/>
          <w:sz w:val="21"/>
          <w:szCs w:val="20"/>
        </w:rPr>
      </w:pPr>
      <w:r>
        <w:rPr>
          <w:rFonts w:hint="eastAsia"/>
          <w:color w:val="EE0000"/>
          <w:sz w:val="21"/>
          <w:szCs w:val="20"/>
        </w:rPr>
        <w:t>碳排放权交易管理暂行条例. 国令第775号.</w:t>
      </w:r>
    </w:p>
    <w:p w14:paraId="0941679D">
      <w:pPr>
        <w:pStyle w:val="23"/>
        <w:widowControl/>
        <w:numPr>
          <w:ilvl w:val="0"/>
          <w:numId w:val="19"/>
        </w:numPr>
        <w:tabs>
          <w:tab w:val="center" w:pos="4201"/>
          <w:tab w:val="right" w:leader="dot" w:pos="9298"/>
        </w:tabs>
        <w:overflowPunct w:val="0"/>
        <w:autoSpaceDE w:val="0"/>
        <w:autoSpaceDN w:val="0"/>
        <w:spacing w:beforeAutospacing="0" w:afterAutospacing="0"/>
        <w:jc w:val="both"/>
        <w:rPr>
          <w:color w:val="EE0000"/>
          <w:sz w:val="21"/>
          <w:szCs w:val="20"/>
        </w:rPr>
      </w:pPr>
      <w:r>
        <w:rPr>
          <w:rFonts w:hint="eastAsia"/>
          <w:color w:val="EE0000"/>
          <w:sz w:val="21"/>
          <w:szCs w:val="20"/>
        </w:rPr>
        <w:t>温室气体自愿减排交易管理办法（试行）. 生态环境部 国家市场监督管理总局令第31号</w:t>
      </w:r>
    </w:p>
    <w:p w14:paraId="61DD7A0D">
      <w:pPr>
        <w:pStyle w:val="23"/>
        <w:widowControl/>
        <w:numPr>
          <w:ilvl w:val="0"/>
          <w:numId w:val="19"/>
        </w:numPr>
        <w:tabs>
          <w:tab w:val="center" w:pos="4201"/>
          <w:tab w:val="right" w:leader="dot" w:pos="9298"/>
        </w:tabs>
        <w:overflowPunct w:val="0"/>
        <w:autoSpaceDE w:val="0"/>
        <w:autoSpaceDN w:val="0"/>
        <w:spacing w:beforeAutospacing="0" w:afterAutospacing="0"/>
        <w:jc w:val="both"/>
        <w:rPr>
          <w:color w:val="EE0000"/>
          <w:sz w:val="21"/>
          <w:szCs w:val="20"/>
        </w:rPr>
      </w:pPr>
      <w:r>
        <w:rPr>
          <w:rFonts w:hint="eastAsia"/>
          <w:color w:val="EE0000"/>
          <w:sz w:val="21"/>
          <w:szCs w:val="20"/>
        </w:rPr>
        <w:t>IPCC 2006年国家温室气体排放清单指南</w:t>
      </w:r>
    </w:p>
    <w:p w14:paraId="4F0C5D22">
      <w:pPr>
        <w:pStyle w:val="23"/>
        <w:widowControl/>
        <w:numPr>
          <w:ilvl w:val="0"/>
          <w:numId w:val="19"/>
        </w:numPr>
        <w:tabs>
          <w:tab w:val="center" w:pos="4201"/>
          <w:tab w:val="right" w:leader="dot" w:pos="9298"/>
        </w:tabs>
        <w:overflowPunct w:val="0"/>
        <w:autoSpaceDE w:val="0"/>
        <w:autoSpaceDN w:val="0"/>
        <w:spacing w:beforeAutospacing="0" w:afterAutospacing="0"/>
        <w:jc w:val="both"/>
        <w:rPr>
          <w:color w:val="000000" w:themeColor="text1"/>
          <w:sz w:val="21"/>
          <w:szCs w:val="20"/>
          <w14:textFill>
            <w14:solidFill>
              <w14:schemeClr w14:val="tx1"/>
            </w14:solidFill>
          </w14:textFill>
        </w:rPr>
      </w:pPr>
      <w:r>
        <w:rPr>
          <w:rFonts w:hint="eastAsia"/>
          <w:color w:val="EE0000"/>
          <w:sz w:val="21"/>
          <w:szCs w:val="20"/>
        </w:rPr>
        <w:t>关于印发《湖南省碳达峰实施方案》的通知. 湘政发〔2022〕19号.</w:t>
      </w:r>
    </w:p>
    <w:p w14:paraId="5C3B996A">
      <w:pPr>
        <w:pStyle w:val="23"/>
        <w:widowControl/>
        <w:tabs>
          <w:tab w:val="center" w:pos="4201"/>
          <w:tab w:val="right" w:leader="dot" w:pos="9298"/>
        </w:tabs>
        <w:overflowPunct w:val="0"/>
        <w:autoSpaceDE w:val="0"/>
        <w:autoSpaceDN w:val="0"/>
        <w:spacing w:beforeAutospacing="0" w:afterAutospacing="0"/>
        <w:ind w:left="860"/>
        <w:jc w:val="both"/>
        <w:rPr>
          <w:sz w:val="21"/>
          <w:szCs w:val="20"/>
        </w:rPr>
      </w:pPr>
    </w:p>
    <w:p w14:paraId="50261744">
      <w:pPr>
        <w:pStyle w:val="40"/>
        <w:overflowPunct w:val="0"/>
        <w:ind w:firstLine="0" w:firstLineChars="0"/>
        <w:rPr>
          <w:rFonts w:ascii="Times New Roman"/>
          <w:kern w:val="2"/>
          <w:sz w:val="18"/>
          <w:szCs w:val="18"/>
        </w:rPr>
      </w:pPr>
    </w:p>
    <w:sectPr>
      <w:pgSz w:w="11906" w:h="16838"/>
      <w:pgMar w:top="1440" w:right="1800" w:bottom="1440" w:left="1800" w:header="851" w:footer="992" w:gutter="0"/>
      <w:cols w:space="425" w:num="1"/>
      <w:docGrid w:type="lines"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20191">
    <w:pPr>
      <w:pStyle w:val="17"/>
      <w:ind w:right="840"/>
      <w:rPr>
        <w:rFonts w:ascii="Times New Roman" w:hAnsi="Times New Roman" w:cs="Times New Roman"/>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F5C2D">
    <w:pP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2837386"/>
    </w:sdtPr>
    <w:sdtEndPr>
      <w:rPr>
        <w:rFonts w:ascii="Times New Roman" w:hAnsi="Times New Roman" w:cs="Times New Roman"/>
        <w:sz w:val="21"/>
        <w:szCs w:val="21"/>
      </w:rPr>
    </w:sdtEndPr>
    <w:sdtContent>
      <w:p w14:paraId="27EE8569">
        <w:pPr>
          <w:pStyle w:val="17"/>
          <w:jc w:val="right"/>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VI</w:t>
        </w:r>
        <w:r>
          <w:rPr>
            <w:rFonts w:ascii="Times New Roman" w:hAnsi="Times New Roman" w:cs="Times New Roman"/>
            <w:sz w:val="21"/>
            <w:szCs w:val="21"/>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11457145"/>
    </w:sdtPr>
    <w:sdtEndPr>
      <w:rPr>
        <w:rFonts w:ascii="Times New Roman" w:hAnsi="Times New Roman" w:cs="Times New Roman"/>
        <w:sz w:val="21"/>
        <w:szCs w:val="21"/>
      </w:rPr>
    </w:sdtEndPr>
    <w:sdtContent>
      <w:p w14:paraId="29017B6A">
        <w:pPr>
          <w:pStyle w:val="17"/>
          <w:jc w:val="right"/>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23</w:t>
        </w:r>
        <w:r>
          <w:rPr>
            <w:rFonts w:ascii="Times New Roman" w:hAnsi="Times New Roman" w:cs="Times New Roman"/>
            <w:sz w:val="21"/>
            <w:szCs w:val="21"/>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6035450"/>
    </w:sdtPr>
    <w:sdtEndPr>
      <w:rPr>
        <w:rFonts w:ascii="Times New Roman" w:hAnsi="Times New Roman" w:cs="Times New Roman"/>
        <w:sz w:val="21"/>
        <w:szCs w:val="21"/>
      </w:rPr>
    </w:sdtEndPr>
    <w:sdtContent>
      <w:p w14:paraId="275395F8">
        <w:pPr>
          <w:pStyle w:val="17"/>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24</w:t>
        </w:r>
        <w:r>
          <w:rPr>
            <w:rFonts w:ascii="Times New Roman" w:hAnsi="Times New Roman" w:cs="Times New Roman"/>
            <w:sz w:val="21"/>
            <w:szCs w:val="21"/>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70E54">
    <w:pPr>
      <w:pStyle w:val="18"/>
      <w:pBdr>
        <w:bottom w:val="none" w:color="auto" w:sz="0" w:space="0"/>
      </w:pBdr>
      <w:jc w:val="right"/>
      <w:rPr>
        <w:rFonts w:hint="eastAsia"/>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ACEA3">
    <w:pPr>
      <w:pStyle w:val="18"/>
      <w:pBdr>
        <w:bottom w:val="none" w:color="auto" w:sz="0" w:space="0"/>
      </w:pBdr>
      <w:jc w:val="right"/>
      <w:rPr>
        <w:rFonts w:hint="eastAsia"/>
      </w:rPr>
    </w:pPr>
    <w:r>
      <w:rPr>
        <w:rFonts w:ascii="Times New Roman" w:hAnsi="Times New Roman" w:eastAsia="宋体"/>
        <w:sz w:val="21"/>
        <w:szCs w:val="21"/>
      </w:rPr>
      <w:t>T/CCAA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7C533">
    <w:pPr>
      <w:pStyle w:val="18"/>
      <w:pBdr>
        <w:bottom w:val="none" w:color="auto" w:sz="0" w:space="0"/>
      </w:pBdr>
      <w:jc w:val="right"/>
      <w:rPr>
        <w:rFonts w:hint="eastAsia" w:eastAsia="宋体"/>
        <w:sz w:val="21"/>
        <w:szCs w:val="21"/>
        <w:lang w:eastAsia="zh-CN"/>
      </w:rPr>
    </w:pPr>
    <w:r>
      <w:rPr>
        <w:rFonts w:ascii="Times New Roman" w:hAnsi="Times New Roman" w:eastAsia="宋体"/>
        <w:sz w:val="21"/>
        <w:szCs w:val="21"/>
      </w:rPr>
      <w:t>DB43/T ××××‒202</w:t>
    </w:r>
    <w:r>
      <w:rPr>
        <w:rFonts w:hint="eastAsia" w:ascii="Times New Roman" w:hAnsi="Times New Roman" w:eastAsia="宋体"/>
        <w:sz w:val="21"/>
        <w:szCs w:val="21"/>
        <w:lang w:val="en-US" w:eastAsia="zh-CN"/>
      </w:rPr>
      <w:t>6</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22763">
    <w:pPr>
      <w:pStyle w:val="18"/>
      <w:pBdr>
        <w:bottom w:val="none" w:color="auto" w:sz="0" w:space="0"/>
      </w:pBdr>
      <w:jc w:val="right"/>
      <w:rPr>
        <w:rFonts w:hint="eastAsia"/>
      </w:rPr>
    </w:pPr>
    <w:r>
      <w:rPr>
        <w:rFonts w:ascii="Times New Roman" w:hAnsi="Times New Roman" w:eastAsia="宋体"/>
        <w:sz w:val="21"/>
        <w:szCs w:val="21"/>
      </w:rPr>
      <w:t>DB43/T ××××‒2024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985EB">
    <w:pPr>
      <w:pStyle w:val="18"/>
      <w:pBdr>
        <w:bottom w:val="none" w:color="auto" w:sz="0" w:space="0"/>
      </w:pBdr>
      <w:jc w:val="right"/>
      <w:rPr>
        <w:rFonts w:hint="eastAsia"/>
        <w:sz w:val="21"/>
        <w:szCs w:val="21"/>
      </w:rPr>
    </w:pPr>
    <w:r>
      <w:rPr>
        <w:rFonts w:ascii="Times New Roman" w:hAnsi="Times New Roman" w:eastAsia="宋体"/>
        <w:sz w:val="21"/>
        <w:szCs w:val="21"/>
      </w:rPr>
      <w:t>DB43/T ××××‒202</w:t>
    </w:r>
    <w:r>
      <w:rPr>
        <w:rFonts w:hint="eastAsia" w:ascii="Times New Roman" w:hAnsi="Times New Roman" w:eastAsia="宋体"/>
        <w:sz w:val="21"/>
        <w:szCs w:val="21"/>
      </w:rPr>
      <w:t>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26B5C">
    <w:pPr>
      <w:pStyle w:val="18"/>
      <w:pBdr>
        <w:bottom w:val="none" w:color="auto" w:sz="0" w:space="0"/>
      </w:pBdr>
      <w:jc w:val="left"/>
      <w:rPr>
        <w:rFonts w:hint="eastAsia"/>
      </w:rPr>
    </w:pPr>
    <w:r>
      <w:rPr>
        <w:rFonts w:ascii="Times New Roman" w:hAnsi="Times New Roman" w:eastAsia="宋体"/>
        <w:sz w:val="21"/>
        <w:szCs w:val="21"/>
      </w:rPr>
      <w:t>DB43/T ××××‒2024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1867D8"/>
    <w:multiLevelType w:val="multilevel"/>
    <w:tmpl w:val="151867D8"/>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1C1874C3"/>
    <w:multiLevelType w:val="multilevel"/>
    <w:tmpl w:val="1C1874C3"/>
    <w:lvl w:ilvl="0" w:tentative="0">
      <w:start w:val="1"/>
      <w:numFmt w:val="lowerLetter"/>
      <w:lvlText w:val="%1)"/>
      <w:lvlJc w:val="left"/>
      <w:pPr>
        <w:ind w:left="840" w:hanging="420"/>
      </w:pPr>
      <w:rPr>
        <w:rFonts w:hint="default" w:ascii="Times New Roman" w:hAnsi="Times New Roman" w:cs="Times New Roman"/>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237906F7"/>
    <w:multiLevelType w:val="multilevel"/>
    <w:tmpl w:val="237906F7"/>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254A4F47"/>
    <w:multiLevelType w:val="multilevel"/>
    <w:tmpl w:val="254A4F47"/>
    <w:lvl w:ilvl="0" w:tentative="0">
      <w:start w:val="2"/>
      <w:numFmt w:val="decimal"/>
      <w:lvlText w:val="%1）"/>
      <w:lvlJc w:val="left"/>
      <w:pPr>
        <w:ind w:left="1620" w:hanging="360"/>
      </w:pPr>
      <w:rPr>
        <w:rFonts w:hint="default"/>
      </w:rPr>
    </w:lvl>
    <w:lvl w:ilvl="1" w:tentative="0">
      <w:start w:val="1"/>
      <w:numFmt w:val="lowerLetter"/>
      <w:lvlText w:val="%2)"/>
      <w:lvlJc w:val="left"/>
      <w:pPr>
        <w:ind w:left="2140" w:hanging="440"/>
      </w:pPr>
    </w:lvl>
    <w:lvl w:ilvl="2" w:tentative="0">
      <w:start w:val="1"/>
      <w:numFmt w:val="lowerRoman"/>
      <w:lvlText w:val="%3."/>
      <w:lvlJc w:val="right"/>
      <w:pPr>
        <w:ind w:left="2580" w:hanging="440"/>
      </w:pPr>
    </w:lvl>
    <w:lvl w:ilvl="3" w:tentative="0">
      <w:start w:val="1"/>
      <w:numFmt w:val="decimal"/>
      <w:lvlText w:val="%4."/>
      <w:lvlJc w:val="left"/>
      <w:pPr>
        <w:ind w:left="3020" w:hanging="440"/>
      </w:pPr>
    </w:lvl>
    <w:lvl w:ilvl="4" w:tentative="0">
      <w:start w:val="1"/>
      <w:numFmt w:val="lowerLetter"/>
      <w:lvlText w:val="%5)"/>
      <w:lvlJc w:val="left"/>
      <w:pPr>
        <w:ind w:left="3460" w:hanging="440"/>
      </w:pPr>
    </w:lvl>
    <w:lvl w:ilvl="5" w:tentative="0">
      <w:start w:val="1"/>
      <w:numFmt w:val="lowerRoman"/>
      <w:lvlText w:val="%6."/>
      <w:lvlJc w:val="right"/>
      <w:pPr>
        <w:ind w:left="3900" w:hanging="440"/>
      </w:pPr>
    </w:lvl>
    <w:lvl w:ilvl="6" w:tentative="0">
      <w:start w:val="1"/>
      <w:numFmt w:val="decimal"/>
      <w:lvlText w:val="%7."/>
      <w:lvlJc w:val="left"/>
      <w:pPr>
        <w:ind w:left="4340" w:hanging="440"/>
      </w:pPr>
    </w:lvl>
    <w:lvl w:ilvl="7" w:tentative="0">
      <w:start w:val="1"/>
      <w:numFmt w:val="lowerLetter"/>
      <w:lvlText w:val="%8)"/>
      <w:lvlJc w:val="left"/>
      <w:pPr>
        <w:ind w:left="4780" w:hanging="440"/>
      </w:pPr>
    </w:lvl>
    <w:lvl w:ilvl="8" w:tentative="0">
      <w:start w:val="1"/>
      <w:numFmt w:val="lowerRoman"/>
      <w:lvlText w:val="%9."/>
      <w:lvlJc w:val="right"/>
      <w:pPr>
        <w:ind w:left="5220" w:hanging="440"/>
      </w:pPr>
    </w:lvl>
  </w:abstractNum>
  <w:abstractNum w:abstractNumId="4">
    <w:nsid w:val="2C5917C3"/>
    <w:multiLevelType w:val="multilevel"/>
    <w:tmpl w:val="2C5917C3"/>
    <w:lvl w:ilvl="0" w:tentative="0">
      <w:start w:val="1"/>
      <w:numFmt w:val="none"/>
      <w:pStyle w:val="42"/>
      <w:suff w:val="nothing"/>
      <w:lvlText w:val="%1——"/>
      <w:lvlJc w:val="left"/>
      <w:pPr>
        <w:ind w:left="833" w:hanging="408"/>
      </w:pPr>
      <w:rPr>
        <w:rFonts w:hint="eastAsia"/>
      </w:rPr>
    </w:lvl>
    <w:lvl w:ilvl="1" w:tentative="0">
      <w:start w:val="1"/>
      <w:numFmt w:val="bullet"/>
      <w:pStyle w:val="43"/>
      <w:lvlText w:val=""/>
      <w:lvlJc w:val="left"/>
      <w:pPr>
        <w:tabs>
          <w:tab w:val="left" w:pos="760"/>
        </w:tabs>
        <w:ind w:left="1264" w:hanging="413"/>
      </w:pPr>
      <w:rPr>
        <w:rFonts w:hint="default" w:ascii="Symbol" w:hAnsi="Symbol"/>
        <w:color w:val="auto"/>
      </w:rPr>
    </w:lvl>
    <w:lvl w:ilvl="2" w:tentative="0">
      <w:start w:val="1"/>
      <w:numFmt w:val="bullet"/>
      <w:pStyle w:val="44"/>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5">
    <w:nsid w:val="2FB61FD2"/>
    <w:multiLevelType w:val="multilevel"/>
    <w:tmpl w:val="2FB61FD2"/>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44C50F90"/>
    <w:multiLevelType w:val="multilevel"/>
    <w:tmpl w:val="44C50F90"/>
    <w:lvl w:ilvl="0" w:tentative="0">
      <w:start w:val="1"/>
      <w:numFmt w:val="lowerLetter"/>
      <w:pStyle w:val="52"/>
      <w:lvlText w:val="%1)"/>
      <w:lvlJc w:val="left"/>
      <w:pPr>
        <w:tabs>
          <w:tab w:val="left" w:pos="840"/>
        </w:tabs>
        <w:ind w:left="839" w:hanging="419"/>
      </w:pPr>
      <w:rPr>
        <w:rFonts w:hint="eastAsia" w:ascii="宋体" w:eastAsia="宋体"/>
        <w:b w:val="0"/>
        <w:i w:val="0"/>
        <w:sz w:val="21"/>
        <w:szCs w:val="21"/>
      </w:rPr>
    </w:lvl>
    <w:lvl w:ilvl="1" w:tentative="0">
      <w:start w:val="1"/>
      <w:numFmt w:val="decimal"/>
      <w:pStyle w:val="51"/>
      <w:lvlText w:val="%2)"/>
      <w:lvlJc w:val="left"/>
      <w:pPr>
        <w:tabs>
          <w:tab w:val="left" w:pos="1260"/>
        </w:tabs>
        <w:ind w:left="1259" w:hanging="419"/>
      </w:pPr>
      <w:rPr>
        <w:rFonts w:hint="eastAsia"/>
      </w:rPr>
    </w:lvl>
    <w:lvl w:ilvl="2" w:tentative="0">
      <w:start w:val="1"/>
      <w:numFmt w:val="decimal"/>
      <w:pStyle w:val="53"/>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
    <w:nsid w:val="520F62E9"/>
    <w:multiLevelType w:val="multilevel"/>
    <w:tmpl w:val="520F62E9"/>
    <w:lvl w:ilvl="0" w:tentative="0">
      <w:start w:val="1"/>
      <w:numFmt w:val="decimal"/>
      <w:pStyle w:val="47"/>
      <w:suff w:val="nothing"/>
      <w:lvlText w:val="图%1　"/>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
    <w:nsid w:val="578D7B28"/>
    <w:multiLevelType w:val="multilevel"/>
    <w:tmpl w:val="578D7B28"/>
    <w:lvl w:ilvl="0" w:tentative="0">
      <w:start w:val="3"/>
      <w:numFmt w:val="decimal"/>
      <w:lvlText w:val="%1）"/>
      <w:lvlJc w:val="left"/>
      <w:pPr>
        <w:ind w:left="1069" w:hanging="360"/>
      </w:pPr>
      <w:rPr>
        <w:rFonts w:hint="default"/>
      </w:rPr>
    </w:lvl>
    <w:lvl w:ilvl="1" w:tentative="0">
      <w:start w:val="1"/>
      <w:numFmt w:val="lowerLetter"/>
      <w:lvlText w:val="%2)"/>
      <w:lvlJc w:val="left"/>
      <w:pPr>
        <w:ind w:left="1589" w:hanging="440"/>
      </w:pPr>
    </w:lvl>
    <w:lvl w:ilvl="2" w:tentative="0">
      <w:start w:val="1"/>
      <w:numFmt w:val="lowerRoman"/>
      <w:lvlText w:val="%3."/>
      <w:lvlJc w:val="right"/>
      <w:pPr>
        <w:ind w:left="2029" w:hanging="440"/>
      </w:pPr>
    </w:lvl>
    <w:lvl w:ilvl="3" w:tentative="0">
      <w:start w:val="1"/>
      <w:numFmt w:val="decimal"/>
      <w:lvlText w:val="%4."/>
      <w:lvlJc w:val="left"/>
      <w:pPr>
        <w:ind w:left="2469" w:hanging="440"/>
      </w:pPr>
    </w:lvl>
    <w:lvl w:ilvl="4" w:tentative="0">
      <w:start w:val="1"/>
      <w:numFmt w:val="lowerLetter"/>
      <w:lvlText w:val="%5)"/>
      <w:lvlJc w:val="left"/>
      <w:pPr>
        <w:ind w:left="2909" w:hanging="440"/>
      </w:pPr>
    </w:lvl>
    <w:lvl w:ilvl="5" w:tentative="0">
      <w:start w:val="1"/>
      <w:numFmt w:val="lowerRoman"/>
      <w:lvlText w:val="%6."/>
      <w:lvlJc w:val="right"/>
      <w:pPr>
        <w:ind w:left="3349" w:hanging="440"/>
      </w:pPr>
    </w:lvl>
    <w:lvl w:ilvl="6" w:tentative="0">
      <w:start w:val="1"/>
      <w:numFmt w:val="decimal"/>
      <w:lvlText w:val="%7."/>
      <w:lvlJc w:val="left"/>
      <w:pPr>
        <w:ind w:left="3789" w:hanging="440"/>
      </w:pPr>
    </w:lvl>
    <w:lvl w:ilvl="7" w:tentative="0">
      <w:start w:val="1"/>
      <w:numFmt w:val="lowerLetter"/>
      <w:lvlText w:val="%8)"/>
      <w:lvlJc w:val="left"/>
      <w:pPr>
        <w:ind w:left="4229" w:hanging="440"/>
      </w:pPr>
    </w:lvl>
    <w:lvl w:ilvl="8" w:tentative="0">
      <w:start w:val="1"/>
      <w:numFmt w:val="lowerRoman"/>
      <w:lvlText w:val="%9."/>
      <w:lvlJc w:val="right"/>
      <w:pPr>
        <w:ind w:left="4669" w:hanging="440"/>
      </w:pPr>
    </w:lvl>
  </w:abstractNum>
  <w:abstractNum w:abstractNumId="9">
    <w:nsid w:val="599A2893"/>
    <w:multiLevelType w:val="multilevel"/>
    <w:tmpl w:val="599A2893"/>
    <w:lvl w:ilvl="0" w:tentative="0">
      <w:start w:val="1"/>
      <w:numFmt w:val="decimal"/>
      <w:lvlText w:val="[%1]"/>
      <w:lvlJc w:val="left"/>
      <w:pPr>
        <w:ind w:left="86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63404DBE"/>
    <w:multiLevelType w:val="multilevel"/>
    <w:tmpl w:val="63404DBE"/>
    <w:lvl w:ilvl="0" w:tentative="0">
      <w:start w:val="1"/>
      <w:numFmt w:val="none"/>
      <w:pStyle w:val="79"/>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1">
    <w:nsid w:val="648A5DA4"/>
    <w:multiLevelType w:val="multilevel"/>
    <w:tmpl w:val="648A5DA4"/>
    <w:lvl w:ilvl="0" w:tentative="0">
      <w:start w:val="1"/>
      <w:numFmt w:val="decimal"/>
      <w:pStyle w:val="66"/>
      <w:lvlText w:val="%1"/>
      <w:lvlJc w:val="left"/>
      <w:pPr>
        <w:ind w:left="425" w:hanging="425"/>
      </w:pPr>
      <w:rPr>
        <w:rFonts w:hint="eastAsia"/>
      </w:r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2">
    <w:nsid w:val="69FC48C2"/>
    <w:multiLevelType w:val="multilevel"/>
    <w:tmpl w:val="69FC48C2"/>
    <w:lvl w:ilvl="0" w:tentative="0">
      <w:start w:val="1"/>
      <w:numFmt w:val="decimal"/>
      <w:lvlText w:val="%1"/>
      <w:lvlJc w:val="left"/>
      <w:pPr>
        <w:ind w:left="432" w:hanging="432"/>
      </w:pPr>
    </w:lvl>
    <w:lvl w:ilvl="1" w:tentative="0">
      <w:start w:val="1"/>
      <w:numFmt w:val="decimal"/>
      <w:pStyle w:val="4"/>
      <w:lvlText w:val="%1.%2"/>
      <w:lvlJc w:val="left"/>
      <w:pPr>
        <w:ind w:left="1568" w:hanging="576"/>
      </w:pPr>
    </w:lvl>
    <w:lvl w:ilvl="2" w:tentative="0">
      <w:start w:val="1"/>
      <w:numFmt w:val="decimal"/>
      <w:lvlText w:val="%1.%2.%3"/>
      <w:lvlJc w:val="left"/>
      <w:pPr>
        <w:ind w:left="720" w:hanging="720"/>
      </w:pPr>
    </w:lvl>
    <w:lvl w:ilvl="3" w:tentative="0">
      <w:start w:val="1"/>
      <w:numFmt w:val="decimal"/>
      <w:lvlText w:val="%1.%2.%3.%4"/>
      <w:lvlJc w:val="left"/>
      <w:pPr>
        <w:ind w:left="864" w:hanging="864"/>
      </w:pPr>
      <w:rPr>
        <w:rFonts w:hint="default" w:ascii="Times New Roman" w:hAnsi="Times New Roman" w:cs="Times New Roman"/>
        <w:sz w:val="21"/>
        <w:szCs w:val="21"/>
      </w:rPr>
    </w:lvl>
    <w:lvl w:ilvl="4" w:tentative="0">
      <w:start w:val="1"/>
      <w:numFmt w:val="decimal"/>
      <w:pStyle w:val="7"/>
      <w:lvlText w:val="%1.%2.%3.%4.%5"/>
      <w:lvlJc w:val="left"/>
      <w:pPr>
        <w:ind w:left="1008" w:hanging="1008"/>
      </w:pPr>
    </w:lvl>
    <w:lvl w:ilvl="5" w:tentative="0">
      <w:start w:val="1"/>
      <w:numFmt w:val="decimal"/>
      <w:pStyle w:val="8"/>
      <w:lvlText w:val="%1.%2.%3.%4.%5.%6"/>
      <w:lvlJc w:val="left"/>
      <w:pPr>
        <w:ind w:left="1152" w:hanging="1152"/>
      </w:pPr>
    </w:lvl>
    <w:lvl w:ilvl="6" w:tentative="0">
      <w:start w:val="1"/>
      <w:numFmt w:val="decimal"/>
      <w:pStyle w:val="9"/>
      <w:lvlText w:val="%1.%2.%3.%4.%5.%6.%7"/>
      <w:lvlJc w:val="left"/>
      <w:pPr>
        <w:ind w:left="1296" w:hanging="1296"/>
      </w:pPr>
    </w:lvl>
    <w:lvl w:ilvl="7" w:tentative="0">
      <w:start w:val="1"/>
      <w:numFmt w:val="decimal"/>
      <w:pStyle w:val="10"/>
      <w:lvlText w:val="%1.%2.%3.%4.%5.%6.%7.%8"/>
      <w:lvlJc w:val="left"/>
      <w:pPr>
        <w:ind w:left="1440" w:hanging="1440"/>
      </w:pPr>
    </w:lvl>
    <w:lvl w:ilvl="8" w:tentative="0">
      <w:start w:val="1"/>
      <w:numFmt w:val="decimal"/>
      <w:pStyle w:val="11"/>
      <w:lvlText w:val="%1.%2.%3.%4.%5.%6.%7.%8.%9"/>
      <w:lvlJc w:val="left"/>
      <w:pPr>
        <w:ind w:left="1584" w:hanging="1584"/>
      </w:pPr>
    </w:lvl>
  </w:abstractNum>
  <w:abstractNum w:abstractNumId="13">
    <w:nsid w:val="6CEA2025"/>
    <w:multiLevelType w:val="multilevel"/>
    <w:tmpl w:val="6CEA2025"/>
    <w:lvl w:ilvl="0" w:tentative="0">
      <w:start w:val="1"/>
      <w:numFmt w:val="none"/>
      <w:pStyle w:val="89"/>
      <w:suff w:val="nothing"/>
      <w:lvlText w:val="%1"/>
      <w:lvlJc w:val="left"/>
      <w:pPr>
        <w:ind w:left="0" w:firstLine="0"/>
      </w:pPr>
      <w:rPr>
        <w:rFonts w:hint="eastAsia"/>
      </w:rPr>
    </w:lvl>
    <w:lvl w:ilvl="1" w:tentative="0">
      <w:start w:val="1"/>
      <w:numFmt w:val="decimal"/>
      <w:pStyle w:val="87"/>
      <w:suff w:val="nothing"/>
      <w:lvlText w:val="%1%2　"/>
      <w:lvlJc w:val="left"/>
      <w:pPr>
        <w:ind w:left="0" w:firstLine="0"/>
      </w:pPr>
      <w:rPr>
        <w:rFonts w:hint="eastAsia" w:ascii="黑体" w:eastAsia="黑体"/>
        <w:b w:val="0"/>
        <w:i w:val="0"/>
        <w:sz w:val="21"/>
      </w:rPr>
    </w:lvl>
    <w:lvl w:ilvl="2" w:tentative="0">
      <w:start w:val="1"/>
      <w:numFmt w:val="decimal"/>
      <w:pStyle w:val="88"/>
      <w:suff w:val="nothing"/>
      <w:lvlText w:val="%1%2.%3　"/>
      <w:lvlJc w:val="left"/>
      <w:pPr>
        <w:ind w:left="993" w:firstLine="0"/>
      </w:pPr>
      <w:rPr>
        <w:rFonts w:hint="eastAsia" w:ascii="黑体" w:hAnsi="Times New Roman" w:eastAsia="黑体" w:cs="Times New Roman"/>
        <w:b w:val="0"/>
        <w:bCs w:val="0"/>
        <w:i w:val="0"/>
        <w:iCs w:val="0"/>
        <w:caps w:val="0"/>
        <w:smallCaps w:val="0"/>
        <w:strike w:val="0"/>
        <w:dstrike w:val="0"/>
        <w:vanish w:val="0"/>
        <w:color w:val="auto"/>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83"/>
      <w:suff w:val="nothing"/>
      <w:lvlText w:val="%1%2.%3.%4　"/>
      <w:lvlJc w:val="left"/>
      <w:pPr>
        <w:ind w:left="284" w:firstLine="0"/>
      </w:pPr>
      <w:rPr>
        <w:rFonts w:hint="eastAsia" w:ascii="黑体" w:eastAsia="黑体"/>
        <w:b w:val="0"/>
        <w:i w:val="0"/>
        <w:strike w:val="0"/>
        <w:color w:val="auto"/>
        <w:sz w:val="21"/>
      </w:rPr>
    </w:lvl>
    <w:lvl w:ilvl="4" w:tentative="0">
      <w:start w:val="1"/>
      <w:numFmt w:val="decimal"/>
      <w:pStyle w:val="84"/>
      <w:suff w:val="nothing"/>
      <w:lvlText w:val="%1%2.%3.%4.%5　"/>
      <w:lvlJc w:val="left"/>
      <w:pPr>
        <w:ind w:left="0" w:firstLine="0"/>
      </w:pPr>
      <w:rPr>
        <w:rFonts w:hint="eastAsia" w:ascii="黑体" w:eastAsia="黑体"/>
        <w:b w:val="0"/>
        <w:i w:val="0"/>
        <w:strike w:val="0"/>
        <w:sz w:val="21"/>
      </w:rPr>
    </w:lvl>
    <w:lvl w:ilvl="5" w:tentative="0">
      <w:start w:val="1"/>
      <w:numFmt w:val="decimal"/>
      <w:pStyle w:val="85"/>
      <w:suff w:val="nothing"/>
      <w:lvlText w:val="%1%2.%3.%4.%5.%6　"/>
      <w:lvlJc w:val="left"/>
      <w:pPr>
        <w:ind w:left="0" w:firstLine="0"/>
      </w:pPr>
      <w:rPr>
        <w:rFonts w:hint="eastAsia" w:ascii="黑体" w:eastAsia="黑体"/>
        <w:b w:val="0"/>
        <w:i w:val="0"/>
        <w:sz w:val="21"/>
      </w:rPr>
    </w:lvl>
    <w:lvl w:ilvl="6" w:tentative="0">
      <w:start w:val="1"/>
      <w:numFmt w:val="decimal"/>
      <w:pStyle w:val="86"/>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4">
    <w:nsid w:val="6D0C40DF"/>
    <w:multiLevelType w:val="multilevel"/>
    <w:tmpl w:val="6D0C40DF"/>
    <w:lvl w:ilvl="0" w:tentative="0">
      <w:start w:val="1"/>
      <w:numFmt w:val="lowerLetter"/>
      <w:lvlText w:val="%1）"/>
      <w:lvlJc w:val="left"/>
      <w:pPr>
        <w:ind w:left="780" w:hanging="36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5">
    <w:nsid w:val="6DBF04F4"/>
    <w:multiLevelType w:val="multilevel"/>
    <w:tmpl w:val="6DBF04F4"/>
    <w:lvl w:ilvl="0" w:tentative="0">
      <w:start w:val="1"/>
      <w:numFmt w:val="none"/>
      <w:pStyle w:val="50"/>
      <w:lvlText w:val="%1注："/>
      <w:lvlJc w:val="left"/>
      <w:pPr>
        <w:ind w:left="800" w:hanging="374"/>
      </w:pPr>
      <w:rPr>
        <w:rFonts w:hint="eastAsia" w:ascii="黑体" w:hAns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6">
    <w:nsid w:val="74AB039E"/>
    <w:multiLevelType w:val="multilevel"/>
    <w:tmpl w:val="74AB039E"/>
    <w:lvl w:ilvl="0" w:tentative="0">
      <w:start w:val="1"/>
      <w:numFmt w:val="lowerLetter"/>
      <w:lvlText w:val="%1）"/>
      <w:lvlJc w:val="left"/>
      <w:pPr>
        <w:ind w:left="780" w:hanging="36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7">
    <w:nsid w:val="787B66D4"/>
    <w:multiLevelType w:val="multilevel"/>
    <w:tmpl w:val="787B66D4"/>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2"/>
  </w:num>
  <w:num w:numId="2">
    <w:abstractNumId w:val="4"/>
  </w:num>
  <w:num w:numId="3">
    <w:abstractNumId w:val="7"/>
  </w:num>
  <w:num w:numId="4">
    <w:abstractNumId w:val="15"/>
  </w:num>
  <w:num w:numId="5">
    <w:abstractNumId w:val="6"/>
  </w:num>
  <w:num w:numId="6">
    <w:abstractNumId w:val="11"/>
  </w:num>
  <w:num w:numId="7">
    <w:abstractNumId w:val="10"/>
  </w:num>
  <w:num w:numId="8">
    <w:abstractNumId w:val="13"/>
  </w:num>
  <w:num w:numId="9">
    <w:abstractNumId w:val="8"/>
  </w:num>
  <w:num w:numId="10">
    <w:abstractNumId w:val="5"/>
  </w:num>
  <w:num w:numId="11">
    <w:abstractNumId w:val="2"/>
  </w:num>
  <w:num w:numId="12">
    <w:abstractNumId w:val="17"/>
  </w:num>
  <w:num w:numId="13">
    <w:abstractNumId w:val="3"/>
  </w:num>
  <w:num w:numId="14">
    <w:abstractNumId w:val="1"/>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6"/>
  </w:num>
  <w:num w:numId="18">
    <w:abstractNumId w:val="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919"/>
    <w:rsid w:val="0000023D"/>
    <w:rsid w:val="000002ED"/>
    <w:rsid w:val="0000031A"/>
    <w:rsid w:val="00001013"/>
    <w:rsid w:val="000032A9"/>
    <w:rsid w:val="000039EF"/>
    <w:rsid w:val="00003DAB"/>
    <w:rsid w:val="00004034"/>
    <w:rsid w:val="0000445C"/>
    <w:rsid w:val="00004929"/>
    <w:rsid w:val="00004C5F"/>
    <w:rsid w:val="0000506E"/>
    <w:rsid w:val="000050AC"/>
    <w:rsid w:val="0000575D"/>
    <w:rsid w:val="00005DA0"/>
    <w:rsid w:val="000066FC"/>
    <w:rsid w:val="00006B7D"/>
    <w:rsid w:val="00006D08"/>
    <w:rsid w:val="00007640"/>
    <w:rsid w:val="00007837"/>
    <w:rsid w:val="0001013B"/>
    <w:rsid w:val="00010C26"/>
    <w:rsid w:val="000111DE"/>
    <w:rsid w:val="000113EF"/>
    <w:rsid w:val="000115EE"/>
    <w:rsid w:val="000122CD"/>
    <w:rsid w:val="000140D0"/>
    <w:rsid w:val="000142B6"/>
    <w:rsid w:val="000148BB"/>
    <w:rsid w:val="00014DD9"/>
    <w:rsid w:val="00015E52"/>
    <w:rsid w:val="0001673D"/>
    <w:rsid w:val="00020036"/>
    <w:rsid w:val="00020761"/>
    <w:rsid w:val="00020999"/>
    <w:rsid w:val="000216F8"/>
    <w:rsid w:val="00021C5B"/>
    <w:rsid w:val="00022A01"/>
    <w:rsid w:val="00022A88"/>
    <w:rsid w:val="00023222"/>
    <w:rsid w:val="000233B8"/>
    <w:rsid w:val="00023C3D"/>
    <w:rsid w:val="00023F94"/>
    <w:rsid w:val="00024810"/>
    <w:rsid w:val="0002583B"/>
    <w:rsid w:val="00026829"/>
    <w:rsid w:val="000270E4"/>
    <w:rsid w:val="00027729"/>
    <w:rsid w:val="000277A8"/>
    <w:rsid w:val="00027C00"/>
    <w:rsid w:val="00027D27"/>
    <w:rsid w:val="000301D7"/>
    <w:rsid w:val="00030333"/>
    <w:rsid w:val="00030579"/>
    <w:rsid w:val="00030893"/>
    <w:rsid w:val="00030FD9"/>
    <w:rsid w:val="000319A9"/>
    <w:rsid w:val="0003236F"/>
    <w:rsid w:val="00032BFB"/>
    <w:rsid w:val="00032C91"/>
    <w:rsid w:val="00032DB4"/>
    <w:rsid w:val="000344ED"/>
    <w:rsid w:val="00034598"/>
    <w:rsid w:val="000348D4"/>
    <w:rsid w:val="000354F7"/>
    <w:rsid w:val="00035882"/>
    <w:rsid w:val="00036157"/>
    <w:rsid w:val="000376BE"/>
    <w:rsid w:val="000376E5"/>
    <w:rsid w:val="0003794A"/>
    <w:rsid w:val="00037A53"/>
    <w:rsid w:val="00040ABE"/>
    <w:rsid w:val="00040F5A"/>
    <w:rsid w:val="00041A33"/>
    <w:rsid w:val="00041B00"/>
    <w:rsid w:val="00041CB2"/>
    <w:rsid w:val="00041FE4"/>
    <w:rsid w:val="000420E4"/>
    <w:rsid w:val="000424E4"/>
    <w:rsid w:val="00042D13"/>
    <w:rsid w:val="00042F59"/>
    <w:rsid w:val="000432D9"/>
    <w:rsid w:val="00043765"/>
    <w:rsid w:val="000440EC"/>
    <w:rsid w:val="000456FC"/>
    <w:rsid w:val="0004582C"/>
    <w:rsid w:val="00045910"/>
    <w:rsid w:val="00045D53"/>
    <w:rsid w:val="00046F28"/>
    <w:rsid w:val="000470F4"/>
    <w:rsid w:val="000472E6"/>
    <w:rsid w:val="000479D3"/>
    <w:rsid w:val="00047DB0"/>
    <w:rsid w:val="00050487"/>
    <w:rsid w:val="000508A3"/>
    <w:rsid w:val="00051714"/>
    <w:rsid w:val="00051AA9"/>
    <w:rsid w:val="00052536"/>
    <w:rsid w:val="00053769"/>
    <w:rsid w:val="00053DAE"/>
    <w:rsid w:val="000547EF"/>
    <w:rsid w:val="00054D3B"/>
    <w:rsid w:val="0005694F"/>
    <w:rsid w:val="0005727D"/>
    <w:rsid w:val="000600ED"/>
    <w:rsid w:val="0006055B"/>
    <w:rsid w:val="000609F8"/>
    <w:rsid w:val="000616B0"/>
    <w:rsid w:val="00061A40"/>
    <w:rsid w:val="00061D57"/>
    <w:rsid w:val="00061FB4"/>
    <w:rsid w:val="00062236"/>
    <w:rsid w:val="00063092"/>
    <w:rsid w:val="00063367"/>
    <w:rsid w:val="0006358F"/>
    <w:rsid w:val="00063C9D"/>
    <w:rsid w:val="00063CA6"/>
    <w:rsid w:val="00064CED"/>
    <w:rsid w:val="000656A4"/>
    <w:rsid w:val="00066822"/>
    <w:rsid w:val="00067045"/>
    <w:rsid w:val="00067396"/>
    <w:rsid w:val="00067DBD"/>
    <w:rsid w:val="00070285"/>
    <w:rsid w:val="00070B15"/>
    <w:rsid w:val="00070DF7"/>
    <w:rsid w:val="000711B0"/>
    <w:rsid w:val="00071E9C"/>
    <w:rsid w:val="000722FD"/>
    <w:rsid w:val="00072625"/>
    <w:rsid w:val="00072D18"/>
    <w:rsid w:val="00073104"/>
    <w:rsid w:val="000737AF"/>
    <w:rsid w:val="00073EA9"/>
    <w:rsid w:val="00073F18"/>
    <w:rsid w:val="00075E63"/>
    <w:rsid w:val="00076158"/>
    <w:rsid w:val="0007662E"/>
    <w:rsid w:val="00076882"/>
    <w:rsid w:val="00077F63"/>
    <w:rsid w:val="00080591"/>
    <w:rsid w:val="000809FE"/>
    <w:rsid w:val="00080B83"/>
    <w:rsid w:val="00081568"/>
    <w:rsid w:val="00082C3D"/>
    <w:rsid w:val="0008312A"/>
    <w:rsid w:val="00084392"/>
    <w:rsid w:val="00084787"/>
    <w:rsid w:val="00084831"/>
    <w:rsid w:val="00085ABF"/>
    <w:rsid w:val="00086543"/>
    <w:rsid w:val="00086E9A"/>
    <w:rsid w:val="0008704B"/>
    <w:rsid w:val="00087615"/>
    <w:rsid w:val="0009038E"/>
    <w:rsid w:val="0009083F"/>
    <w:rsid w:val="0009086D"/>
    <w:rsid w:val="000914C1"/>
    <w:rsid w:val="00093485"/>
    <w:rsid w:val="00093951"/>
    <w:rsid w:val="00093C77"/>
    <w:rsid w:val="000947AB"/>
    <w:rsid w:val="00094879"/>
    <w:rsid w:val="00094F1F"/>
    <w:rsid w:val="000952A0"/>
    <w:rsid w:val="00096197"/>
    <w:rsid w:val="0009658F"/>
    <w:rsid w:val="00096B6A"/>
    <w:rsid w:val="000971C8"/>
    <w:rsid w:val="0009795D"/>
    <w:rsid w:val="00097DAE"/>
    <w:rsid w:val="000A0142"/>
    <w:rsid w:val="000A071A"/>
    <w:rsid w:val="000A2173"/>
    <w:rsid w:val="000A223E"/>
    <w:rsid w:val="000A2C6B"/>
    <w:rsid w:val="000A3720"/>
    <w:rsid w:val="000A3D73"/>
    <w:rsid w:val="000A47EC"/>
    <w:rsid w:val="000A51D7"/>
    <w:rsid w:val="000A6961"/>
    <w:rsid w:val="000A6A9F"/>
    <w:rsid w:val="000A7264"/>
    <w:rsid w:val="000A7438"/>
    <w:rsid w:val="000A7A98"/>
    <w:rsid w:val="000B0312"/>
    <w:rsid w:val="000B0A1A"/>
    <w:rsid w:val="000B0AAC"/>
    <w:rsid w:val="000B175D"/>
    <w:rsid w:val="000B1C81"/>
    <w:rsid w:val="000B26E4"/>
    <w:rsid w:val="000B3187"/>
    <w:rsid w:val="000B353F"/>
    <w:rsid w:val="000B40FA"/>
    <w:rsid w:val="000B4FE0"/>
    <w:rsid w:val="000B5B48"/>
    <w:rsid w:val="000B63D2"/>
    <w:rsid w:val="000B6B92"/>
    <w:rsid w:val="000B6ED8"/>
    <w:rsid w:val="000B7526"/>
    <w:rsid w:val="000B7835"/>
    <w:rsid w:val="000B7B2F"/>
    <w:rsid w:val="000B7ECC"/>
    <w:rsid w:val="000C10E5"/>
    <w:rsid w:val="000C1EF6"/>
    <w:rsid w:val="000C1F10"/>
    <w:rsid w:val="000C36E1"/>
    <w:rsid w:val="000C3D58"/>
    <w:rsid w:val="000C3E64"/>
    <w:rsid w:val="000C3F69"/>
    <w:rsid w:val="000C4534"/>
    <w:rsid w:val="000C4A3B"/>
    <w:rsid w:val="000C4C88"/>
    <w:rsid w:val="000C4F97"/>
    <w:rsid w:val="000C5B54"/>
    <w:rsid w:val="000C5E0E"/>
    <w:rsid w:val="000C685A"/>
    <w:rsid w:val="000C758E"/>
    <w:rsid w:val="000C76D9"/>
    <w:rsid w:val="000C7B1A"/>
    <w:rsid w:val="000C7ED5"/>
    <w:rsid w:val="000D0281"/>
    <w:rsid w:val="000D0A2B"/>
    <w:rsid w:val="000D110A"/>
    <w:rsid w:val="000D1402"/>
    <w:rsid w:val="000D153A"/>
    <w:rsid w:val="000D164E"/>
    <w:rsid w:val="000D1CD0"/>
    <w:rsid w:val="000D1D22"/>
    <w:rsid w:val="000D1F51"/>
    <w:rsid w:val="000D200C"/>
    <w:rsid w:val="000D2AB9"/>
    <w:rsid w:val="000D2BFC"/>
    <w:rsid w:val="000D2FCB"/>
    <w:rsid w:val="000D391E"/>
    <w:rsid w:val="000D4AA0"/>
    <w:rsid w:val="000D4BD2"/>
    <w:rsid w:val="000D77BD"/>
    <w:rsid w:val="000E0D78"/>
    <w:rsid w:val="000E0F47"/>
    <w:rsid w:val="000E1F00"/>
    <w:rsid w:val="000E22DF"/>
    <w:rsid w:val="000E2DB9"/>
    <w:rsid w:val="000E354E"/>
    <w:rsid w:val="000E3646"/>
    <w:rsid w:val="000E429F"/>
    <w:rsid w:val="000E4E20"/>
    <w:rsid w:val="000E543B"/>
    <w:rsid w:val="000E5B6B"/>
    <w:rsid w:val="000E60AA"/>
    <w:rsid w:val="000E6690"/>
    <w:rsid w:val="000E6D10"/>
    <w:rsid w:val="000E6F68"/>
    <w:rsid w:val="000E70E2"/>
    <w:rsid w:val="000E7818"/>
    <w:rsid w:val="000E7948"/>
    <w:rsid w:val="000F0504"/>
    <w:rsid w:val="000F05EC"/>
    <w:rsid w:val="000F0B8A"/>
    <w:rsid w:val="000F1EA7"/>
    <w:rsid w:val="000F2A45"/>
    <w:rsid w:val="000F3088"/>
    <w:rsid w:val="000F3ACB"/>
    <w:rsid w:val="000F3C5F"/>
    <w:rsid w:val="000F405C"/>
    <w:rsid w:val="000F46A9"/>
    <w:rsid w:val="000F5269"/>
    <w:rsid w:val="000F52D2"/>
    <w:rsid w:val="000F57ED"/>
    <w:rsid w:val="000F7E19"/>
    <w:rsid w:val="0010027E"/>
    <w:rsid w:val="00100305"/>
    <w:rsid w:val="001003DF"/>
    <w:rsid w:val="00100748"/>
    <w:rsid w:val="001007C9"/>
    <w:rsid w:val="0010087B"/>
    <w:rsid w:val="001015AC"/>
    <w:rsid w:val="0010182A"/>
    <w:rsid w:val="001049A0"/>
    <w:rsid w:val="00104C18"/>
    <w:rsid w:val="0010522E"/>
    <w:rsid w:val="001052B3"/>
    <w:rsid w:val="00105351"/>
    <w:rsid w:val="001057DE"/>
    <w:rsid w:val="00105FDD"/>
    <w:rsid w:val="00106DB3"/>
    <w:rsid w:val="00106F67"/>
    <w:rsid w:val="0011052C"/>
    <w:rsid w:val="00110791"/>
    <w:rsid w:val="00110C06"/>
    <w:rsid w:val="00110EDE"/>
    <w:rsid w:val="00111245"/>
    <w:rsid w:val="001113B6"/>
    <w:rsid w:val="00111C0F"/>
    <w:rsid w:val="00111C67"/>
    <w:rsid w:val="00111CBE"/>
    <w:rsid w:val="00112264"/>
    <w:rsid w:val="00113B83"/>
    <w:rsid w:val="00114097"/>
    <w:rsid w:val="001143A6"/>
    <w:rsid w:val="00114BE7"/>
    <w:rsid w:val="00115952"/>
    <w:rsid w:val="001165FC"/>
    <w:rsid w:val="00120398"/>
    <w:rsid w:val="00120CB9"/>
    <w:rsid w:val="00121D82"/>
    <w:rsid w:val="0012250F"/>
    <w:rsid w:val="001226C2"/>
    <w:rsid w:val="00122773"/>
    <w:rsid w:val="00122B74"/>
    <w:rsid w:val="00122D53"/>
    <w:rsid w:val="0012301E"/>
    <w:rsid w:val="00123E97"/>
    <w:rsid w:val="00124F57"/>
    <w:rsid w:val="00124F74"/>
    <w:rsid w:val="00125A8D"/>
    <w:rsid w:val="00127FCE"/>
    <w:rsid w:val="00130BCE"/>
    <w:rsid w:val="00130BE4"/>
    <w:rsid w:val="00130E8F"/>
    <w:rsid w:val="00131488"/>
    <w:rsid w:val="00131F8A"/>
    <w:rsid w:val="00132BAC"/>
    <w:rsid w:val="001330F9"/>
    <w:rsid w:val="00133322"/>
    <w:rsid w:val="0013347E"/>
    <w:rsid w:val="00133705"/>
    <w:rsid w:val="00133865"/>
    <w:rsid w:val="00133A30"/>
    <w:rsid w:val="00134B67"/>
    <w:rsid w:val="00134F9A"/>
    <w:rsid w:val="00134FF7"/>
    <w:rsid w:val="0013508A"/>
    <w:rsid w:val="0013571F"/>
    <w:rsid w:val="00135C11"/>
    <w:rsid w:val="001361B9"/>
    <w:rsid w:val="00136700"/>
    <w:rsid w:val="001372A2"/>
    <w:rsid w:val="001372C4"/>
    <w:rsid w:val="0013759C"/>
    <w:rsid w:val="0013759F"/>
    <w:rsid w:val="001377DC"/>
    <w:rsid w:val="0013785D"/>
    <w:rsid w:val="0014003D"/>
    <w:rsid w:val="001405C8"/>
    <w:rsid w:val="00140729"/>
    <w:rsid w:val="00141567"/>
    <w:rsid w:val="00141B05"/>
    <w:rsid w:val="00141D6D"/>
    <w:rsid w:val="00142E94"/>
    <w:rsid w:val="001433E3"/>
    <w:rsid w:val="00144584"/>
    <w:rsid w:val="001448CE"/>
    <w:rsid w:val="00145697"/>
    <w:rsid w:val="001458F4"/>
    <w:rsid w:val="00145E90"/>
    <w:rsid w:val="00145EE8"/>
    <w:rsid w:val="00145F8B"/>
    <w:rsid w:val="0014725F"/>
    <w:rsid w:val="001474F9"/>
    <w:rsid w:val="00147BB0"/>
    <w:rsid w:val="00150128"/>
    <w:rsid w:val="001502EC"/>
    <w:rsid w:val="0015049D"/>
    <w:rsid w:val="00150961"/>
    <w:rsid w:val="00151A61"/>
    <w:rsid w:val="001535D0"/>
    <w:rsid w:val="00153AC6"/>
    <w:rsid w:val="001541EB"/>
    <w:rsid w:val="00154231"/>
    <w:rsid w:val="00154801"/>
    <w:rsid w:val="00154CD3"/>
    <w:rsid w:val="001550DE"/>
    <w:rsid w:val="0015600A"/>
    <w:rsid w:val="001574CD"/>
    <w:rsid w:val="00157B58"/>
    <w:rsid w:val="0016015A"/>
    <w:rsid w:val="00160A91"/>
    <w:rsid w:val="00162024"/>
    <w:rsid w:val="0016253B"/>
    <w:rsid w:val="00162EF3"/>
    <w:rsid w:val="00163135"/>
    <w:rsid w:val="00163246"/>
    <w:rsid w:val="001635B6"/>
    <w:rsid w:val="00163C49"/>
    <w:rsid w:val="00164167"/>
    <w:rsid w:val="001643D7"/>
    <w:rsid w:val="00164C93"/>
    <w:rsid w:val="0016548A"/>
    <w:rsid w:val="00165AE1"/>
    <w:rsid w:val="0016648E"/>
    <w:rsid w:val="001668C5"/>
    <w:rsid w:val="00166C7E"/>
    <w:rsid w:val="00166F4B"/>
    <w:rsid w:val="0017124D"/>
    <w:rsid w:val="001727DB"/>
    <w:rsid w:val="00172826"/>
    <w:rsid w:val="00172A69"/>
    <w:rsid w:val="00172AD7"/>
    <w:rsid w:val="00172F4D"/>
    <w:rsid w:val="00174009"/>
    <w:rsid w:val="001741EC"/>
    <w:rsid w:val="0017424A"/>
    <w:rsid w:val="00174665"/>
    <w:rsid w:val="00174803"/>
    <w:rsid w:val="00175EA7"/>
    <w:rsid w:val="00176769"/>
    <w:rsid w:val="00177225"/>
    <w:rsid w:val="001778D8"/>
    <w:rsid w:val="00177D8A"/>
    <w:rsid w:val="001801EA"/>
    <w:rsid w:val="00180ABF"/>
    <w:rsid w:val="00181456"/>
    <w:rsid w:val="00181CE7"/>
    <w:rsid w:val="0018270C"/>
    <w:rsid w:val="00182B7D"/>
    <w:rsid w:val="00183A16"/>
    <w:rsid w:val="0018434E"/>
    <w:rsid w:val="00184459"/>
    <w:rsid w:val="00184AA9"/>
    <w:rsid w:val="00184F7A"/>
    <w:rsid w:val="00185744"/>
    <w:rsid w:val="00185C42"/>
    <w:rsid w:val="00186667"/>
    <w:rsid w:val="00186F66"/>
    <w:rsid w:val="0018719C"/>
    <w:rsid w:val="00187BAE"/>
    <w:rsid w:val="00190121"/>
    <w:rsid w:val="001904C3"/>
    <w:rsid w:val="001907CD"/>
    <w:rsid w:val="001911A2"/>
    <w:rsid w:val="001918D0"/>
    <w:rsid w:val="00191E58"/>
    <w:rsid w:val="00192947"/>
    <w:rsid w:val="00193D7D"/>
    <w:rsid w:val="00194260"/>
    <w:rsid w:val="001945F1"/>
    <w:rsid w:val="00194A01"/>
    <w:rsid w:val="00195262"/>
    <w:rsid w:val="00195818"/>
    <w:rsid w:val="00195C4B"/>
    <w:rsid w:val="00195F27"/>
    <w:rsid w:val="00196575"/>
    <w:rsid w:val="00196867"/>
    <w:rsid w:val="00196947"/>
    <w:rsid w:val="00197409"/>
    <w:rsid w:val="00197AF6"/>
    <w:rsid w:val="00197C63"/>
    <w:rsid w:val="001A02DB"/>
    <w:rsid w:val="001A0487"/>
    <w:rsid w:val="001A0599"/>
    <w:rsid w:val="001A109D"/>
    <w:rsid w:val="001A11D8"/>
    <w:rsid w:val="001A14DA"/>
    <w:rsid w:val="001A1552"/>
    <w:rsid w:val="001A27F0"/>
    <w:rsid w:val="001A2EA6"/>
    <w:rsid w:val="001A328D"/>
    <w:rsid w:val="001A3617"/>
    <w:rsid w:val="001A36EA"/>
    <w:rsid w:val="001A453D"/>
    <w:rsid w:val="001A488A"/>
    <w:rsid w:val="001A55B9"/>
    <w:rsid w:val="001A61F5"/>
    <w:rsid w:val="001A69B2"/>
    <w:rsid w:val="001A6A87"/>
    <w:rsid w:val="001A6AB3"/>
    <w:rsid w:val="001A6B43"/>
    <w:rsid w:val="001A7175"/>
    <w:rsid w:val="001B0EA0"/>
    <w:rsid w:val="001B15AC"/>
    <w:rsid w:val="001B1B28"/>
    <w:rsid w:val="001B1E26"/>
    <w:rsid w:val="001B28AB"/>
    <w:rsid w:val="001B29C0"/>
    <w:rsid w:val="001B399F"/>
    <w:rsid w:val="001B3DD1"/>
    <w:rsid w:val="001B4017"/>
    <w:rsid w:val="001B44F5"/>
    <w:rsid w:val="001B4ADD"/>
    <w:rsid w:val="001B56FC"/>
    <w:rsid w:val="001B5FB6"/>
    <w:rsid w:val="001B614C"/>
    <w:rsid w:val="001B6283"/>
    <w:rsid w:val="001B6368"/>
    <w:rsid w:val="001B65C0"/>
    <w:rsid w:val="001B666D"/>
    <w:rsid w:val="001B7248"/>
    <w:rsid w:val="001B77B8"/>
    <w:rsid w:val="001B7FC9"/>
    <w:rsid w:val="001C039A"/>
    <w:rsid w:val="001C0F46"/>
    <w:rsid w:val="001C0FBD"/>
    <w:rsid w:val="001C14BE"/>
    <w:rsid w:val="001C2AA4"/>
    <w:rsid w:val="001C32CE"/>
    <w:rsid w:val="001C339B"/>
    <w:rsid w:val="001C342D"/>
    <w:rsid w:val="001C4124"/>
    <w:rsid w:val="001C42E0"/>
    <w:rsid w:val="001C4EDB"/>
    <w:rsid w:val="001C543C"/>
    <w:rsid w:val="001C575C"/>
    <w:rsid w:val="001C68B2"/>
    <w:rsid w:val="001C6BAD"/>
    <w:rsid w:val="001C7CE3"/>
    <w:rsid w:val="001D0114"/>
    <w:rsid w:val="001D0D77"/>
    <w:rsid w:val="001D117D"/>
    <w:rsid w:val="001D1533"/>
    <w:rsid w:val="001D1648"/>
    <w:rsid w:val="001D2485"/>
    <w:rsid w:val="001D2AE5"/>
    <w:rsid w:val="001D354E"/>
    <w:rsid w:val="001D3C74"/>
    <w:rsid w:val="001D47B0"/>
    <w:rsid w:val="001D4EE9"/>
    <w:rsid w:val="001D4F4D"/>
    <w:rsid w:val="001D53E9"/>
    <w:rsid w:val="001D5D5F"/>
    <w:rsid w:val="001D5ED8"/>
    <w:rsid w:val="001D5F6C"/>
    <w:rsid w:val="001D5FC0"/>
    <w:rsid w:val="001D6757"/>
    <w:rsid w:val="001D7097"/>
    <w:rsid w:val="001D730B"/>
    <w:rsid w:val="001D75A1"/>
    <w:rsid w:val="001D78DB"/>
    <w:rsid w:val="001E0CF9"/>
    <w:rsid w:val="001E110F"/>
    <w:rsid w:val="001E1601"/>
    <w:rsid w:val="001E1C38"/>
    <w:rsid w:val="001E1DBB"/>
    <w:rsid w:val="001E253A"/>
    <w:rsid w:val="001E26A7"/>
    <w:rsid w:val="001E28EB"/>
    <w:rsid w:val="001E3155"/>
    <w:rsid w:val="001E40A8"/>
    <w:rsid w:val="001E4371"/>
    <w:rsid w:val="001E45C9"/>
    <w:rsid w:val="001E4713"/>
    <w:rsid w:val="001E47D9"/>
    <w:rsid w:val="001E4EF2"/>
    <w:rsid w:val="001E5262"/>
    <w:rsid w:val="001E5950"/>
    <w:rsid w:val="001E5A18"/>
    <w:rsid w:val="001E5C30"/>
    <w:rsid w:val="001E6270"/>
    <w:rsid w:val="001E716D"/>
    <w:rsid w:val="001E73DC"/>
    <w:rsid w:val="001E7730"/>
    <w:rsid w:val="001E7A14"/>
    <w:rsid w:val="001E7F1C"/>
    <w:rsid w:val="001E7FB4"/>
    <w:rsid w:val="001F054E"/>
    <w:rsid w:val="001F0802"/>
    <w:rsid w:val="001F0D00"/>
    <w:rsid w:val="001F1412"/>
    <w:rsid w:val="001F16A2"/>
    <w:rsid w:val="001F16FB"/>
    <w:rsid w:val="001F18C4"/>
    <w:rsid w:val="001F1D0B"/>
    <w:rsid w:val="001F1FB1"/>
    <w:rsid w:val="001F20D1"/>
    <w:rsid w:val="001F25B5"/>
    <w:rsid w:val="001F288A"/>
    <w:rsid w:val="001F2EA5"/>
    <w:rsid w:val="001F35E6"/>
    <w:rsid w:val="001F3B91"/>
    <w:rsid w:val="001F45A3"/>
    <w:rsid w:val="001F624C"/>
    <w:rsid w:val="001F68EB"/>
    <w:rsid w:val="001F7633"/>
    <w:rsid w:val="001F7759"/>
    <w:rsid w:val="001F7B0E"/>
    <w:rsid w:val="001F7CA5"/>
    <w:rsid w:val="001F7E40"/>
    <w:rsid w:val="00200145"/>
    <w:rsid w:val="00200F16"/>
    <w:rsid w:val="00201584"/>
    <w:rsid w:val="00201AFC"/>
    <w:rsid w:val="00202A0A"/>
    <w:rsid w:val="00202C4D"/>
    <w:rsid w:val="00202E07"/>
    <w:rsid w:val="00202F51"/>
    <w:rsid w:val="00203068"/>
    <w:rsid w:val="00203200"/>
    <w:rsid w:val="0020340F"/>
    <w:rsid w:val="00203660"/>
    <w:rsid w:val="00203698"/>
    <w:rsid w:val="00203ED6"/>
    <w:rsid w:val="00204621"/>
    <w:rsid w:val="00205A32"/>
    <w:rsid w:val="00205D06"/>
    <w:rsid w:val="002063AA"/>
    <w:rsid w:val="002067EA"/>
    <w:rsid w:val="00206B9E"/>
    <w:rsid w:val="002076B5"/>
    <w:rsid w:val="00207CFA"/>
    <w:rsid w:val="00207D02"/>
    <w:rsid w:val="00207F5F"/>
    <w:rsid w:val="00207FED"/>
    <w:rsid w:val="00210239"/>
    <w:rsid w:val="002102A9"/>
    <w:rsid w:val="0021088A"/>
    <w:rsid w:val="0021112E"/>
    <w:rsid w:val="00211873"/>
    <w:rsid w:val="00212C45"/>
    <w:rsid w:val="002130D4"/>
    <w:rsid w:val="00214167"/>
    <w:rsid w:val="00214BCF"/>
    <w:rsid w:val="00214CAB"/>
    <w:rsid w:val="002156DA"/>
    <w:rsid w:val="00215FC8"/>
    <w:rsid w:val="00216503"/>
    <w:rsid w:val="002174EE"/>
    <w:rsid w:val="0021789C"/>
    <w:rsid w:val="00217E47"/>
    <w:rsid w:val="00220B93"/>
    <w:rsid w:val="00220C5D"/>
    <w:rsid w:val="00220EA8"/>
    <w:rsid w:val="00221F8E"/>
    <w:rsid w:val="00222012"/>
    <w:rsid w:val="002224F7"/>
    <w:rsid w:val="00222A88"/>
    <w:rsid w:val="00224926"/>
    <w:rsid w:val="00225ACF"/>
    <w:rsid w:val="002265B5"/>
    <w:rsid w:val="002274C2"/>
    <w:rsid w:val="0023069D"/>
    <w:rsid w:val="00230B6D"/>
    <w:rsid w:val="002318D4"/>
    <w:rsid w:val="00231CBD"/>
    <w:rsid w:val="00231D0F"/>
    <w:rsid w:val="00231DA1"/>
    <w:rsid w:val="00232163"/>
    <w:rsid w:val="002321E3"/>
    <w:rsid w:val="00232517"/>
    <w:rsid w:val="00232BE9"/>
    <w:rsid w:val="0023318C"/>
    <w:rsid w:val="002334FF"/>
    <w:rsid w:val="00233725"/>
    <w:rsid w:val="002354A3"/>
    <w:rsid w:val="00235C65"/>
    <w:rsid w:val="0023629F"/>
    <w:rsid w:val="00236B9F"/>
    <w:rsid w:val="00236FF9"/>
    <w:rsid w:val="002371BA"/>
    <w:rsid w:val="00237254"/>
    <w:rsid w:val="0023778C"/>
    <w:rsid w:val="00237B3C"/>
    <w:rsid w:val="00237F15"/>
    <w:rsid w:val="00240F15"/>
    <w:rsid w:val="00241147"/>
    <w:rsid w:val="00241DEF"/>
    <w:rsid w:val="00241FC3"/>
    <w:rsid w:val="002420CD"/>
    <w:rsid w:val="002422F1"/>
    <w:rsid w:val="00242441"/>
    <w:rsid w:val="00242D0E"/>
    <w:rsid w:val="0024410E"/>
    <w:rsid w:val="00244B6E"/>
    <w:rsid w:val="00245716"/>
    <w:rsid w:val="002458E8"/>
    <w:rsid w:val="00247074"/>
    <w:rsid w:val="00247A55"/>
    <w:rsid w:val="0025033C"/>
    <w:rsid w:val="002504A1"/>
    <w:rsid w:val="00250A6A"/>
    <w:rsid w:val="00250C20"/>
    <w:rsid w:val="00251AC6"/>
    <w:rsid w:val="00252307"/>
    <w:rsid w:val="00252386"/>
    <w:rsid w:val="002523D6"/>
    <w:rsid w:val="00252CFE"/>
    <w:rsid w:val="0025351B"/>
    <w:rsid w:val="0025375B"/>
    <w:rsid w:val="00254520"/>
    <w:rsid w:val="002549BD"/>
    <w:rsid w:val="00254B63"/>
    <w:rsid w:val="00254F35"/>
    <w:rsid w:val="002558EE"/>
    <w:rsid w:val="00256ADB"/>
    <w:rsid w:val="00256D11"/>
    <w:rsid w:val="00256EE8"/>
    <w:rsid w:val="002579C4"/>
    <w:rsid w:val="00257BEC"/>
    <w:rsid w:val="00257D83"/>
    <w:rsid w:val="00257FA3"/>
    <w:rsid w:val="00260024"/>
    <w:rsid w:val="002604DF"/>
    <w:rsid w:val="00260E70"/>
    <w:rsid w:val="00260ECA"/>
    <w:rsid w:val="002615AA"/>
    <w:rsid w:val="00261BC5"/>
    <w:rsid w:val="00262268"/>
    <w:rsid w:val="002623A7"/>
    <w:rsid w:val="002623D9"/>
    <w:rsid w:val="00262853"/>
    <w:rsid w:val="00262C3D"/>
    <w:rsid w:val="00262C6A"/>
    <w:rsid w:val="00262E3C"/>
    <w:rsid w:val="0026480E"/>
    <w:rsid w:val="00264DBC"/>
    <w:rsid w:val="00265D6F"/>
    <w:rsid w:val="00266321"/>
    <w:rsid w:val="00266980"/>
    <w:rsid w:val="00267BDD"/>
    <w:rsid w:val="00267E79"/>
    <w:rsid w:val="00270EB5"/>
    <w:rsid w:val="002714EC"/>
    <w:rsid w:val="002715F1"/>
    <w:rsid w:val="00271673"/>
    <w:rsid w:val="00271B6C"/>
    <w:rsid w:val="0027232C"/>
    <w:rsid w:val="00272597"/>
    <w:rsid w:val="00272E4B"/>
    <w:rsid w:val="00273867"/>
    <w:rsid w:val="00273B30"/>
    <w:rsid w:val="00273C26"/>
    <w:rsid w:val="00273CBC"/>
    <w:rsid w:val="002743FD"/>
    <w:rsid w:val="00275277"/>
    <w:rsid w:val="00275F27"/>
    <w:rsid w:val="00277307"/>
    <w:rsid w:val="00277B72"/>
    <w:rsid w:val="00280F8A"/>
    <w:rsid w:val="0028177D"/>
    <w:rsid w:val="00281EC3"/>
    <w:rsid w:val="00282EBC"/>
    <w:rsid w:val="002832E4"/>
    <w:rsid w:val="002838CB"/>
    <w:rsid w:val="00284042"/>
    <w:rsid w:val="00284932"/>
    <w:rsid w:val="00285503"/>
    <w:rsid w:val="00285CB1"/>
    <w:rsid w:val="00285D54"/>
    <w:rsid w:val="00285DA6"/>
    <w:rsid w:val="00286378"/>
    <w:rsid w:val="0028655C"/>
    <w:rsid w:val="00286629"/>
    <w:rsid w:val="00286991"/>
    <w:rsid w:val="00286B7C"/>
    <w:rsid w:val="0028791A"/>
    <w:rsid w:val="00287ACF"/>
    <w:rsid w:val="00287C3E"/>
    <w:rsid w:val="0029049D"/>
    <w:rsid w:val="00290815"/>
    <w:rsid w:val="002908F8"/>
    <w:rsid w:val="00290A73"/>
    <w:rsid w:val="00291197"/>
    <w:rsid w:val="00291541"/>
    <w:rsid w:val="00291612"/>
    <w:rsid w:val="00291842"/>
    <w:rsid w:val="002923BE"/>
    <w:rsid w:val="002925FC"/>
    <w:rsid w:val="00293ECB"/>
    <w:rsid w:val="0029507C"/>
    <w:rsid w:val="00295536"/>
    <w:rsid w:val="00295D70"/>
    <w:rsid w:val="00295DE0"/>
    <w:rsid w:val="002965A3"/>
    <w:rsid w:val="00297262"/>
    <w:rsid w:val="0029767C"/>
    <w:rsid w:val="00297CA2"/>
    <w:rsid w:val="002A001D"/>
    <w:rsid w:val="002A02B3"/>
    <w:rsid w:val="002A0A54"/>
    <w:rsid w:val="002A10CB"/>
    <w:rsid w:val="002A1DE0"/>
    <w:rsid w:val="002A2625"/>
    <w:rsid w:val="002A2DA5"/>
    <w:rsid w:val="002A353A"/>
    <w:rsid w:val="002A369F"/>
    <w:rsid w:val="002A3CA3"/>
    <w:rsid w:val="002A3D4C"/>
    <w:rsid w:val="002A3E65"/>
    <w:rsid w:val="002A3F0A"/>
    <w:rsid w:val="002A49F9"/>
    <w:rsid w:val="002A5674"/>
    <w:rsid w:val="002A607F"/>
    <w:rsid w:val="002A6EA3"/>
    <w:rsid w:val="002A719C"/>
    <w:rsid w:val="002A7A0D"/>
    <w:rsid w:val="002B01DE"/>
    <w:rsid w:val="002B0293"/>
    <w:rsid w:val="002B03FB"/>
    <w:rsid w:val="002B0999"/>
    <w:rsid w:val="002B26DC"/>
    <w:rsid w:val="002B3AB9"/>
    <w:rsid w:val="002B48CE"/>
    <w:rsid w:val="002B48E9"/>
    <w:rsid w:val="002B4B23"/>
    <w:rsid w:val="002B4CCE"/>
    <w:rsid w:val="002B5066"/>
    <w:rsid w:val="002B554D"/>
    <w:rsid w:val="002B5658"/>
    <w:rsid w:val="002B5BCA"/>
    <w:rsid w:val="002B5F48"/>
    <w:rsid w:val="002B6313"/>
    <w:rsid w:val="002B632D"/>
    <w:rsid w:val="002B633F"/>
    <w:rsid w:val="002B7871"/>
    <w:rsid w:val="002B7951"/>
    <w:rsid w:val="002C058A"/>
    <w:rsid w:val="002C07BD"/>
    <w:rsid w:val="002C11DD"/>
    <w:rsid w:val="002C24FD"/>
    <w:rsid w:val="002C2E89"/>
    <w:rsid w:val="002C3412"/>
    <w:rsid w:val="002C3933"/>
    <w:rsid w:val="002C4026"/>
    <w:rsid w:val="002C42D5"/>
    <w:rsid w:val="002C44D2"/>
    <w:rsid w:val="002C54DE"/>
    <w:rsid w:val="002C591F"/>
    <w:rsid w:val="002C5EBB"/>
    <w:rsid w:val="002C6163"/>
    <w:rsid w:val="002C6422"/>
    <w:rsid w:val="002C6EAE"/>
    <w:rsid w:val="002C71F5"/>
    <w:rsid w:val="002C7541"/>
    <w:rsid w:val="002C78A7"/>
    <w:rsid w:val="002C7A7F"/>
    <w:rsid w:val="002D0FEB"/>
    <w:rsid w:val="002D14D5"/>
    <w:rsid w:val="002D2AA7"/>
    <w:rsid w:val="002D2AEA"/>
    <w:rsid w:val="002D4647"/>
    <w:rsid w:val="002D4B7D"/>
    <w:rsid w:val="002D4B81"/>
    <w:rsid w:val="002D4E41"/>
    <w:rsid w:val="002D506C"/>
    <w:rsid w:val="002D5A4F"/>
    <w:rsid w:val="002D5C52"/>
    <w:rsid w:val="002D608F"/>
    <w:rsid w:val="002D666A"/>
    <w:rsid w:val="002D6C45"/>
    <w:rsid w:val="002D7263"/>
    <w:rsid w:val="002D73EA"/>
    <w:rsid w:val="002D748B"/>
    <w:rsid w:val="002D7621"/>
    <w:rsid w:val="002D7CBA"/>
    <w:rsid w:val="002E0027"/>
    <w:rsid w:val="002E1230"/>
    <w:rsid w:val="002E1482"/>
    <w:rsid w:val="002E1660"/>
    <w:rsid w:val="002E18EB"/>
    <w:rsid w:val="002E2009"/>
    <w:rsid w:val="002E3256"/>
    <w:rsid w:val="002E3341"/>
    <w:rsid w:val="002E3956"/>
    <w:rsid w:val="002E3F94"/>
    <w:rsid w:val="002E3FC6"/>
    <w:rsid w:val="002E4B11"/>
    <w:rsid w:val="002E4B83"/>
    <w:rsid w:val="002E5C50"/>
    <w:rsid w:val="002E6E45"/>
    <w:rsid w:val="002E6E6C"/>
    <w:rsid w:val="002E6FBD"/>
    <w:rsid w:val="002F01E1"/>
    <w:rsid w:val="002F0C0D"/>
    <w:rsid w:val="002F162D"/>
    <w:rsid w:val="002F1818"/>
    <w:rsid w:val="002F1B3A"/>
    <w:rsid w:val="002F1CFA"/>
    <w:rsid w:val="002F1D26"/>
    <w:rsid w:val="002F26EF"/>
    <w:rsid w:val="002F28CC"/>
    <w:rsid w:val="002F2D03"/>
    <w:rsid w:val="002F349A"/>
    <w:rsid w:val="002F3FA3"/>
    <w:rsid w:val="002F40E3"/>
    <w:rsid w:val="002F4C50"/>
    <w:rsid w:val="002F4EBA"/>
    <w:rsid w:val="002F54D3"/>
    <w:rsid w:val="002F5B41"/>
    <w:rsid w:val="002F5BA0"/>
    <w:rsid w:val="002F5F71"/>
    <w:rsid w:val="002F7014"/>
    <w:rsid w:val="002F7341"/>
    <w:rsid w:val="002F7EDA"/>
    <w:rsid w:val="00300CC2"/>
    <w:rsid w:val="00300FF6"/>
    <w:rsid w:val="00301CA2"/>
    <w:rsid w:val="0030202D"/>
    <w:rsid w:val="00303B53"/>
    <w:rsid w:val="00304055"/>
    <w:rsid w:val="00304213"/>
    <w:rsid w:val="00305099"/>
    <w:rsid w:val="0030649E"/>
    <w:rsid w:val="00306735"/>
    <w:rsid w:val="003068F2"/>
    <w:rsid w:val="00307AD8"/>
    <w:rsid w:val="00307C86"/>
    <w:rsid w:val="003102A0"/>
    <w:rsid w:val="003104AA"/>
    <w:rsid w:val="00310837"/>
    <w:rsid w:val="00310DDE"/>
    <w:rsid w:val="00310E6E"/>
    <w:rsid w:val="00312D4E"/>
    <w:rsid w:val="00313BEA"/>
    <w:rsid w:val="0031454D"/>
    <w:rsid w:val="00314736"/>
    <w:rsid w:val="0031473C"/>
    <w:rsid w:val="00315F3C"/>
    <w:rsid w:val="0031798F"/>
    <w:rsid w:val="00317E23"/>
    <w:rsid w:val="0032099D"/>
    <w:rsid w:val="00320B99"/>
    <w:rsid w:val="00320BA4"/>
    <w:rsid w:val="00320C01"/>
    <w:rsid w:val="003210C0"/>
    <w:rsid w:val="003219FA"/>
    <w:rsid w:val="00321C42"/>
    <w:rsid w:val="00322962"/>
    <w:rsid w:val="00322AFC"/>
    <w:rsid w:val="00323533"/>
    <w:rsid w:val="003239E3"/>
    <w:rsid w:val="00323B72"/>
    <w:rsid w:val="00323C65"/>
    <w:rsid w:val="00324AA3"/>
    <w:rsid w:val="00325450"/>
    <w:rsid w:val="00325771"/>
    <w:rsid w:val="00325892"/>
    <w:rsid w:val="00325B32"/>
    <w:rsid w:val="003264AF"/>
    <w:rsid w:val="00327083"/>
    <w:rsid w:val="003279E0"/>
    <w:rsid w:val="003307A7"/>
    <w:rsid w:val="00330C83"/>
    <w:rsid w:val="0033159C"/>
    <w:rsid w:val="00331A4E"/>
    <w:rsid w:val="00332425"/>
    <w:rsid w:val="00332AE8"/>
    <w:rsid w:val="00333148"/>
    <w:rsid w:val="00333187"/>
    <w:rsid w:val="00333A33"/>
    <w:rsid w:val="00333A92"/>
    <w:rsid w:val="00334221"/>
    <w:rsid w:val="00334373"/>
    <w:rsid w:val="00334CD1"/>
    <w:rsid w:val="00334E98"/>
    <w:rsid w:val="0033501D"/>
    <w:rsid w:val="00335211"/>
    <w:rsid w:val="00335F9D"/>
    <w:rsid w:val="003360C7"/>
    <w:rsid w:val="00336BD6"/>
    <w:rsid w:val="00336E9A"/>
    <w:rsid w:val="0033706C"/>
    <w:rsid w:val="0033752E"/>
    <w:rsid w:val="003377EC"/>
    <w:rsid w:val="00337DFE"/>
    <w:rsid w:val="00340D8F"/>
    <w:rsid w:val="00341985"/>
    <w:rsid w:val="00343CF7"/>
    <w:rsid w:val="0034501B"/>
    <w:rsid w:val="00345D1A"/>
    <w:rsid w:val="00345D96"/>
    <w:rsid w:val="00345F7E"/>
    <w:rsid w:val="0034676E"/>
    <w:rsid w:val="00346F76"/>
    <w:rsid w:val="00347D8F"/>
    <w:rsid w:val="003518F7"/>
    <w:rsid w:val="003534BE"/>
    <w:rsid w:val="003541AF"/>
    <w:rsid w:val="003551BD"/>
    <w:rsid w:val="00355C76"/>
    <w:rsid w:val="00356919"/>
    <w:rsid w:val="00356D71"/>
    <w:rsid w:val="00356E25"/>
    <w:rsid w:val="003572AD"/>
    <w:rsid w:val="0035789E"/>
    <w:rsid w:val="00360C2E"/>
    <w:rsid w:val="0036149A"/>
    <w:rsid w:val="00362DDA"/>
    <w:rsid w:val="003632AE"/>
    <w:rsid w:val="0036405E"/>
    <w:rsid w:val="003646D3"/>
    <w:rsid w:val="003649F7"/>
    <w:rsid w:val="00364A06"/>
    <w:rsid w:val="00364ABB"/>
    <w:rsid w:val="003652A9"/>
    <w:rsid w:val="00365664"/>
    <w:rsid w:val="0036581D"/>
    <w:rsid w:val="00365A10"/>
    <w:rsid w:val="00365D4F"/>
    <w:rsid w:val="00365D75"/>
    <w:rsid w:val="0036659F"/>
    <w:rsid w:val="003666C0"/>
    <w:rsid w:val="00366CEC"/>
    <w:rsid w:val="003676FA"/>
    <w:rsid w:val="00367D24"/>
    <w:rsid w:val="003706C8"/>
    <w:rsid w:val="003707C4"/>
    <w:rsid w:val="00370EC1"/>
    <w:rsid w:val="003713CA"/>
    <w:rsid w:val="003718FD"/>
    <w:rsid w:val="00372239"/>
    <w:rsid w:val="003725DE"/>
    <w:rsid w:val="00372D62"/>
    <w:rsid w:val="003731CF"/>
    <w:rsid w:val="00373932"/>
    <w:rsid w:val="0037407E"/>
    <w:rsid w:val="003742E9"/>
    <w:rsid w:val="0037441F"/>
    <w:rsid w:val="00374769"/>
    <w:rsid w:val="00375A3D"/>
    <w:rsid w:val="00375F30"/>
    <w:rsid w:val="00376852"/>
    <w:rsid w:val="00377397"/>
    <w:rsid w:val="0037761E"/>
    <w:rsid w:val="00380819"/>
    <w:rsid w:val="00381681"/>
    <w:rsid w:val="003817DA"/>
    <w:rsid w:val="003823AA"/>
    <w:rsid w:val="00382458"/>
    <w:rsid w:val="0038252E"/>
    <w:rsid w:val="00382FF2"/>
    <w:rsid w:val="00383187"/>
    <w:rsid w:val="00383F45"/>
    <w:rsid w:val="00384917"/>
    <w:rsid w:val="00384BC6"/>
    <w:rsid w:val="00385258"/>
    <w:rsid w:val="00385629"/>
    <w:rsid w:val="00385644"/>
    <w:rsid w:val="003857AE"/>
    <w:rsid w:val="00385BCF"/>
    <w:rsid w:val="003864EF"/>
    <w:rsid w:val="00386D5B"/>
    <w:rsid w:val="00386D64"/>
    <w:rsid w:val="00387743"/>
    <w:rsid w:val="00387CD6"/>
    <w:rsid w:val="00387E0A"/>
    <w:rsid w:val="00391FE1"/>
    <w:rsid w:val="0039252A"/>
    <w:rsid w:val="00392715"/>
    <w:rsid w:val="00392C5A"/>
    <w:rsid w:val="00392E7C"/>
    <w:rsid w:val="00393201"/>
    <w:rsid w:val="0039408D"/>
    <w:rsid w:val="00394C7B"/>
    <w:rsid w:val="00395722"/>
    <w:rsid w:val="003958A5"/>
    <w:rsid w:val="003959EE"/>
    <w:rsid w:val="00395ACE"/>
    <w:rsid w:val="003966CA"/>
    <w:rsid w:val="00396A38"/>
    <w:rsid w:val="003970FD"/>
    <w:rsid w:val="00397307"/>
    <w:rsid w:val="003A0145"/>
    <w:rsid w:val="003A06FC"/>
    <w:rsid w:val="003A0B93"/>
    <w:rsid w:val="003A0C59"/>
    <w:rsid w:val="003A0D90"/>
    <w:rsid w:val="003A0F4B"/>
    <w:rsid w:val="003A12D5"/>
    <w:rsid w:val="003A16D5"/>
    <w:rsid w:val="003A2234"/>
    <w:rsid w:val="003A237C"/>
    <w:rsid w:val="003A2721"/>
    <w:rsid w:val="003A2832"/>
    <w:rsid w:val="003A2BFA"/>
    <w:rsid w:val="003A2C8C"/>
    <w:rsid w:val="003A3E39"/>
    <w:rsid w:val="003A40BD"/>
    <w:rsid w:val="003A629D"/>
    <w:rsid w:val="003A6B21"/>
    <w:rsid w:val="003A6E26"/>
    <w:rsid w:val="003B018D"/>
    <w:rsid w:val="003B01F2"/>
    <w:rsid w:val="003B089B"/>
    <w:rsid w:val="003B090C"/>
    <w:rsid w:val="003B174D"/>
    <w:rsid w:val="003B212F"/>
    <w:rsid w:val="003B236B"/>
    <w:rsid w:val="003B2444"/>
    <w:rsid w:val="003B2762"/>
    <w:rsid w:val="003B2ADA"/>
    <w:rsid w:val="003B2BD0"/>
    <w:rsid w:val="003B3134"/>
    <w:rsid w:val="003B3200"/>
    <w:rsid w:val="003B32B8"/>
    <w:rsid w:val="003B3C2D"/>
    <w:rsid w:val="003B3FF7"/>
    <w:rsid w:val="003B4C54"/>
    <w:rsid w:val="003B565C"/>
    <w:rsid w:val="003B5833"/>
    <w:rsid w:val="003B66FC"/>
    <w:rsid w:val="003B67DE"/>
    <w:rsid w:val="003B7783"/>
    <w:rsid w:val="003C067C"/>
    <w:rsid w:val="003C0723"/>
    <w:rsid w:val="003C189C"/>
    <w:rsid w:val="003C23FF"/>
    <w:rsid w:val="003C247F"/>
    <w:rsid w:val="003C2537"/>
    <w:rsid w:val="003C26FB"/>
    <w:rsid w:val="003C2838"/>
    <w:rsid w:val="003C35A5"/>
    <w:rsid w:val="003C46B1"/>
    <w:rsid w:val="003C47B2"/>
    <w:rsid w:val="003C482C"/>
    <w:rsid w:val="003C496F"/>
    <w:rsid w:val="003C659E"/>
    <w:rsid w:val="003D047A"/>
    <w:rsid w:val="003D0B6D"/>
    <w:rsid w:val="003D0CEC"/>
    <w:rsid w:val="003D149D"/>
    <w:rsid w:val="003D16AF"/>
    <w:rsid w:val="003D251E"/>
    <w:rsid w:val="003D2592"/>
    <w:rsid w:val="003D28EE"/>
    <w:rsid w:val="003D2C3F"/>
    <w:rsid w:val="003D4AEE"/>
    <w:rsid w:val="003D5BB6"/>
    <w:rsid w:val="003D608F"/>
    <w:rsid w:val="003D6285"/>
    <w:rsid w:val="003D6A61"/>
    <w:rsid w:val="003D6FE2"/>
    <w:rsid w:val="003D71CB"/>
    <w:rsid w:val="003D73C8"/>
    <w:rsid w:val="003E0620"/>
    <w:rsid w:val="003E0B0D"/>
    <w:rsid w:val="003E18AF"/>
    <w:rsid w:val="003E204D"/>
    <w:rsid w:val="003E20F4"/>
    <w:rsid w:val="003E2AE4"/>
    <w:rsid w:val="003E2E5A"/>
    <w:rsid w:val="003E39D3"/>
    <w:rsid w:val="003E3B06"/>
    <w:rsid w:val="003E3C82"/>
    <w:rsid w:val="003E45F7"/>
    <w:rsid w:val="003E4E2A"/>
    <w:rsid w:val="003E515B"/>
    <w:rsid w:val="003E54C1"/>
    <w:rsid w:val="003E5559"/>
    <w:rsid w:val="003E5859"/>
    <w:rsid w:val="003E5887"/>
    <w:rsid w:val="003E6390"/>
    <w:rsid w:val="003E6E84"/>
    <w:rsid w:val="003E7222"/>
    <w:rsid w:val="003E74B0"/>
    <w:rsid w:val="003E7A6E"/>
    <w:rsid w:val="003E7E7A"/>
    <w:rsid w:val="003E7F59"/>
    <w:rsid w:val="003F00F7"/>
    <w:rsid w:val="003F0104"/>
    <w:rsid w:val="003F0FD9"/>
    <w:rsid w:val="003F1DA3"/>
    <w:rsid w:val="003F2F9D"/>
    <w:rsid w:val="003F31A9"/>
    <w:rsid w:val="003F38C7"/>
    <w:rsid w:val="003F3BA2"/>
    <w:rsid w:val="003F3DDC"/>
    <w:rsid w:val="003F4A6D"/>
    <w:rsid w:val="003F4F71"/>
    <w:rsid w:val="003F5426"/>
    <w:rsid w:val="003F54AB"/>
    <w:rsid w:val="003F5947"/>
    <w:rsid w:val="003F5A95"/>
    <w:rsid w:val="003F5F08"/>
    <w:rsid w:val="003F5FF9"/>
    <w:rsid w:val="003F615C"/>
    <w:rsid w:val="003F686C"/>
    <w:rsid w:val="003F709A"/>
    <w:rsid w:val="003F7379"/>
    <w:rsid w:val="003F7586"/>
    <w:rsid w:val="003F7831"/>
    <w:rsid w:val="003F7B28"/>
    <w:rsid w:val="003F7D90"/>
    <w:rsid w:val="003F7F42"/>
    <w:rsid w:val="004010ED"/>
    <w:rsid w:val="004014DC"/>
    <w:rsid w:val="00401674"/>
    <w:rsid w:val="004019BA"/>
    <w:rsid w:val="00402649"/>
    <w:rsid w:val="00402DB9"/>
    <w:rsid w:val="0040336B"/>
    <w:rsid w:val="00403529"/>
    <w:rsid w:val="00403DCB"/>
    <w:rsid w:val="00403EBB"/>
    <w:rsid w:val="00404F6A"/>
    <w:rsid w:val="004052D3"/>
    <w:rsid w:val="00405514"/>
    <w:rsid w:val="004057C8"/>
    <w:rsid w:val="00405A53"/>
    <w:rsid w:val="0040666E"/>
    <w:rsid w:val="004075A6"/>
    <w:rsid w:val="00407877"/>
    <w:rsid w:val="00407BE2"/>
    <w:rsid w:val="004107AF"/>
    <w:rsid w:val="00410AB1"/>
    <w:rsid w:val="00411232"/>
    <w:rsid w:val="004122C0"/>
    <w:rsid w:val="00412961"/>
    <w:rsid w:val="00412E66"/>
    <w:rsid w:val="004136BD"/>
    <w:rsid w:val="00413DAC"/>
    <w:rsid w:val="0041406B"/>
    <w:rsid w:val="004145F9"/>
    <w:rsid w:val="00414968"/>
    <w:rsid w:val="00414A6A"/>
    <w:rsid w:val="00414AE4"/>
    <w:rsid w:val="00414D42"/>
    <w:rsid w:val="00414DD5"/>
    <w:rsid w:val="00415236"/>
    <w:rsid w:val="00415397"/>
    <w:rsid w:val="00415DA1"/>
    <w:rsid w:val="0041696C"/>
    <w:rsid w:val="00416FA5"/>
    <w:rsid w:val="00420797"/>
    <w:rsid w:val="00420888"/>
    <w:rsid w:val="00420F5D"/>
    <w:rsid w:val="00421132"/>
    <w:rsid w:val="00421413"/>
    <w:rsid w:val="00422870"/>
    <w:rsid w:val="00423348"/>
    <w:rsid w:val="00423510"/>
    <w:rsid w:val="00423B2F"/>
    <w:rsid w:val="004247B8"/>
    <w:rsid w:val="00424BC7"/>
    <w:rsid w:val="00424D71"/>
    <w:rsid w:val="00424F91"/>
    <w:rsid w:val="004251DE"/>
    <w:rsid w:val="0042591D"/>
    <w:rsid w:val="00425C2E"/>
    <w:rsid w:val="004272A8"/>
    <w:rsid w:val="004306E9"/>
    <w:rsid w:val="00430CA7"/>
    <w:rsid w:val="00432737"/>
    <w:rsid w:val="00432F86"/>
    <w:rsid w:val="0043369D"/>
    <w:rsid w:val="00433BB9"/>
    <w:rsid w:val="00434A7D"/>
    <w:rsid w:val="00435105"/>
    <w:rsid w:val="004354D2"/>
    <w:rsid w:val="0043556B"/>
    <w:rsid w:val="00435682"/>
    <w:rsid w:val="00435A9F"/>
    <w:rsid w:val="00435C58"/>
    <w:rsid w:val="00435D73"/>
    <w:rsid w:val="004366DB"/>
    <w:rsid w:val="004369FE"/>
    <w:rsid w:val="00440A4A"/>
    <w:rsid w:val="00440F05"/>
    <w:rsid w:val="00441F36"/>
    <w:rsid w:val="00442212"/>
    <w:rsid w:val="00442303"/>
    <w:rsid w:val="004423E6"/>
    <w:rsid w:val="00442CFD"/>
    <w:rsid w:val="004438EC"/>
    <w:rsid w:val="00443AE8"/>
    <w:rsid w:val="00443C8C"/>
    <w:rsid w:val="0044463C"/>
    <w:rsid w:val="00444C10"/>
    <w:rsid w:val="00445306"/>
    <w:rsid w:val="00445F54"/>
    <w:rsid w:val="00446B9C"/>
    <w:rsid w:val="00446EF0"/>
    <w:rsid w:val="004472B1"/>
    <w:rsid w:val="00447C36"/>
    <w:rsid w:val="00450969"/>
    <w:rsid w:val="00451F9E"/>
    <w:rsid w:val="004522F5"/>
    <w:rsid w:val="00452405"/>
    <w:rsid w:val="00454ECB"/>
    <w:rsid w:val="00455071"/>
    <w:rsid w:val="0045515D"/>
    <w:rsid w:val="00455161"/>
    <w:rsid w:val="00455278"/>
    <w:rsid w:val="00455667"/>
    <w:rsid w:val="00455E96"/>
    <w:rsid w:val="00455F22"/>
    <w:rsid w:val="00455FB3"/>
    <w:rsid w:val="00456B5F"/>
    <w:rsid w:val="00456D1A"/>
    <w:rsid w:val="00456D78"/>
    <w:rsid w:val="004573F4"/>
    <w:rsid w:val="00463BE1"/>
    <w:rsid w:val="00463EB4"/>
    <w:rsid w:val="00463EE4"/>
    <w:rsid w:val="00464D6D"/>
    <w:rsid w:val="004653E6"/>
    <w:rsid w:val="004655B8"/>
    <w:rsid w:val="00465B10"/>
    <w:rsid w:val="00465BC4"/>
    <w:rsid w:val="0046608F"/>
    <w:rsid w:val="00466EC6"/>
    <w:rsid w:val="0046756D"/>
    <w:rsid w:val="004705C6"/>
    <w:rsid w:val="00470BAE"/>
    <w:rsid w:val="004716B5"/>
    <w:rsid w:val="00471D32"/>
    <w:rsid w:val="00471FA6"/>
    <w:rsid w:val="00472A58"/>
    <w:rsid w:val="00472C08"/>
    <w:rsid w:val="00472CFE"/>
    <w:rsid w:val="00472E54"/>
    <w:rsid w:val="00472FA7"/>
    <w:rsid w:val="00473C99"/>
    <w:rsid w:val="00473E19"/>
    <w:rsid w:val="00473E8F"/>
    <w:rsid w:val="00474240"/>
    <w:rsid w:val="00474B71"/>
    <w:rsid w:val="00474C7A"/>
    <w:rsid w:val="00475428"/>
    <w:rsid w:val="00477944"/>
    <w:rsid w:val="00481880"/>
    <w:rsid w:val="00481AF9"/>
    <w:rsid w:val="00481D7F"/>
    <w:rsid w:val="00482811"/>
    <w:rsid w:val="00482EB3"/>
    <w:rsid w:val="00483A03"/>
    <w:rsid w:val="00484548"/>
    <w:rsid w:val="00484B1E"/>
    <w:rsid w:val="00486633"/>
    <w:rsid w:val="0048668B"/>
    <w:rsid w:val="00486A7B"/>
    <w:rsid w:val="00486CC2"/>
    <w:rsid w:val="00487898"/>
    <w:rsid w:val="00487BC6"/>
    <w:rsid w:val="00487BD9"/>
    <w:rsid w:val="00487D8C"/>
    <w:rsid w:val="00490252"/>
    <w:rsid w:val="00490309"/>
    <w:rsid w:val="00491099"/>
    <w:rsid w:val="00491516"/>
    <w:rsid w:val="004920C6"/>
    <w:rsid w:val="00492716"/>
    <w:rsid w:val="00493008"/>
    <w:rsid w:val="00493224"/>
    <w:rsid w:val="004948A6"/>
    <w:rsid w:val="0049593F"/>
    <w:rsid w:val="00495FA6"/>
    <w:rsid w:val="00496A36"/>
    <w:rsid w:val="00497606"/>
    <w:rsid w:val="00497F65"/>
    <w:rsid w:val="00497F94"/>
    <w:rsid w:val="00497FF4"/>
    <w:rsid w:val="004A0259"/>
    <w:rsid w:val="004A08D2"/>
    <w:rsid w:val="004A0AA1"/>
    <w:rsid w:val="004A179B"/>
    <w:rsid w:val="004A1B60"/>
    <w:rsid w:val="004A2470"/>
    <w:rsid w:val="004A2A8B"/>
    <w:rsid w:val="004A37D0"/>
    <w:rsid w:val="004A40DC"/>
    <w:rsid w:val="004A440C"/>
    <w:rsid w:val="004A526C"/>
    <w:rsid w:val="004A5693"/>
    <w:rsid w:val="004A577C"/>
    <w:rsid w:val="004A5921"/>
    <w:rsid w:val="004A5BDB"/>
    <w:rsid w:val="004A6551"/>
    <w:rsid w:val="004A672E"/>
    <w:rsid w:val="004A6935"/>
    <w:rsid w:val="004A6A55"/>
    <w:rsid w:val="004A6CA2"/>
    <w:rsid w:val="004A6DA3"/>
    <w:rsid w:val="004A70C7"/>
    <w:rsid w:val="004A748B"/>
    <w:rsid w:val="004B08ED"/>
    <w:rsid w:val="004B0A7E"/>
    <w:rsid w:val="004B0D2B"/>
    <w:rsid w:val="004B0F75"/>
    <w:rsid w:val="004B3993"/>
    <w:rsid w:val="004B3BAE"/>
    <w:rsid w:val="004B5747"/>
    <w:rsid w:val="004B5870"/>
    <w:rsid w:val="004B652E"/>
    <w:rsid w:val="004B6862"/>
    <w:rsid w:val="004B6E31"/>
    <w:rsid w:val="004B7589"/>
    <w:rsid w:val="004C0036"/>
    <w:rsid w:val="004C12C4"/>
    <w:rsid w:val="004C1CA9"/>
    <w:rsid w:val="004C204E"/>
    <w:rsid w:val="004C217F"/>
    <w:rsid w:val="004C27BC"/>
    <w:rsid w:val="004C2915"/>
    <w:rsid w:val="004C30F4"/>
    <w:rsid w:val="004C3114"/>
    <w:rsid w:val="004C319C"/>
    <w:rsid w:val="004C3A23"/>
    <w:rsid w:val="004C5133"/>
    <w:rsid w:val="004C6BB2"/>
    <w:rsid w:val="004D0AA8"/>
    <w:rsid w:val="004D12CE"/>
    <w:rsid w:val="004D25BC"/>
    <w:rsid w:val="004D3128"/>
    <w:rsid w:val="004D3700"/>
    <w:rsid w:val="004D37F4"/>
    <w:rsid w:val="004D387A"/>
    <w:rsid w:val="004D3D27"/>
    <w:rsid w:val="004D3FD4"/>
    <w:rsid w:val="004D5420"/>
    <w:rsid w:val="004D60FE"/>
    <w:rsid w:val="004D6293"/>
    <w:rsid w:val="004D742D"/>
    <w:rsid w:val="004D7873"/>
    <w:rsid w:val="004D790A"/>
    <w:rsid w:val="004D79C3"/>
    <w:rsid w:val="004E00F4"/>
    <w:rsid w:val="004E0351"/>
    <w:rsid w:val="004E04AA"/>
    <w:rsid w:val="004E23FA"/>
    <w:rsid w:val="004E2985"/>
    <w:rsid w:val="004E3252"/>
    <w:rsid w:val="004E36A5"/>
    <w:rsid w:val="004E3A24"/>
    <w:rsid w:val="004E3B4C"/>
    <w:rsid w:val="004E4C38"/>
    <w:rsid w:val="004E4E61"/>
    <w:rsid w:val="004E5146"/>
    <w:rsid w:val="004E5533"/>
    <w:rsid w:val="004E5A58"/>
    <w:rsid w:val="004E631F"/>
    <w:rsid w:val="004E68B7"/>
    <w:rsid w:val="004E7165"/>
    <w:rsid w:val="004E7919"/>
    <w:rsid w:val="004E79C4"/>
    <w:rsid w:val="004E7CA2"/>
    <w:rsid w:val="004F08B7"/>
    <w:rsid w:val="004F0A47"/>
    <w:rsid w:val="004F1DFD"/>
    <w:rsid w:val="004F200A"/>
    <w:rsid w:val="004F2A1C"/>
    <w:rsid w:val="004F3AC6"/>
    <w:rsid w:val="004F3B18"/>
    <w:rsid w:val="004F4B1E"/>
    <w:rsid w:val="004F5444"/>
    <w:rsid w:val="004F6327"/>
    <w:rsid w:val="004F6CC0"/>
    <w:rsid w:val="004F7012"/>
    <w:rsid w:val="0050086C"/>
    <w:rsid w:val="0050099D"/>
    <w:rsid w:val="00500EEC"/>
    <w:rsid w:val="005022E4"/>
    <w:rsid w:val="0050258F"/>
    <w:rsid w:val="005026BF"/>
    <w:rsid w:val="00503B84"/>
    <w:rsid w:val="00503D99"/>
    <w:rsid w:val="00504437"/>
    <w:rsid w:val="005045EE"/>
    <w:rsid w:val="00504A32"/>
    <w:rsid w:val="00504A3E"/>
    <w:rsid w:val="00504ADE"/>
    <w:rsid w:val="00505246"/>
    <w:rsid w:val="00505343"/>
    <w:rsid w:val="00505A18"/>
    <w:rsid w:val="00505B68"/>
    <w:rsid w:val="00505CD9"/>
    <w:rsid w:val="005060A5"/>
    <w:rsid w:val="00506B11"/>
    <w:rsid w:val="00507672"/>
    <w:rsid w:val="00507768"/>
    <w:rsid w:val="00507F5C"/>
    <w:rsid w:val="00510425"/>
    <w:rsid w:val="0051056B"/>
    <w:rsid w:val="005115CD"/>
    <w:rsid w:val="00511AFC"/>
    <w:rsid w:val="0051240A"/>
    <w:rsid w:val="005126B6"/>
    <w:rsid w:val="00512991"/>
    <w:rsid w:val="00512F65"/>
    <w:rsid w:val="0051304F"/>
    <w:rsid w:val="005130B5"/>
    <w:rsid w:val="005133E0"/>
    <w:rsid w:val="005135BC"/>
    <w:rsid w:val="00513929"/>
    <w:rsid w:val="00513B37"/>
    <w:rsid w:val="00513D3F"/>
    <w:rsid w:val="00514743"/>
    <w:rsid w:val="005152B5"/>
    <w:rsid w:val="00515948"/>
    <w:rsid w:val="00515FBD"/>
    <w:rsid w:val="005163B9"/>
    <w:rsid w:val="00517195"/>
    <w:rsid w:val="0051749F"/>
    <w:rsid w:val="0051752C"/>
    <w:rsid w:val="00517634"/>
    <w:rsid w:val="00517850"/>
    <w:rsid w:val="00520211"/>
    <w:rsid w:val="00520566"/>
    <w:rsid w:val="00520CC0"/>
    <w:rsid w:val="00521208"/>
    <w:rsid w:val="00521736"/>
    <w:rsid w:val="0052183A"/>
    <w:rsid w:val="005220CA"/>
    <w:rsid w:val="00522DFB"/>
    <w:rsid w:val="0052351C"/>
    <w:rsid w:val="00523538"/>
    <w:rsid w:val="00523BC5"/>
    <w:rsid w:val="00523DFD"/>
    <w:rsid w:val="00523FA4"/>
    <w:rsid w:val="005244A8"/>
    <w:rsid w:val="005253C9"/>
    <w:rsid w:val="00525AAD"/>
    <w:rsid w:val="00525B8D"/>
    <w:rsid w:val="00525FB7"/>
    <w:rsid w:val="00526BC0"/>
    <w:rsid w:val="00526E1E"/>
    <w:rsid w:val="00527035"/>
    <w:rsid w:val="00527828"/>
    <w:rsid w:val="00527B45"/>
    <w:rsid w:val="005300E7"/>
    <w:rsid w:val="00530EB9"/>
    <w:rsid w:val="00532312"/>
    <w:rsid w:val="0053231F"/>
    <w:rsid w:val="005336A7"/>
    <w:rsid w:val="00534183"/>
    <w:rsid w:val="005343BE"/>
    <w:rsid w:val="005344FD"/>
    <w:rsid w:val="00534E65"/>
    <w:rsid w:val="0053570C"/>
    <w:rsid w:val="00535DEB"/>
    <w:rsid w:val="005372BE"/>
    <w:rsid w:val="00537866"/>
    <w:rsid w:val="00537BBF"/>
    <w:rsid w:val="00537CAF"/>
    <w:rsid w:val="00537E26"/>
    <w:rsid w:val="0054009B"/>
    <w:rsid w:val="00540D33"/>
    <w:rsid w:val="00541C92"/>
    <w:rsid w:val="005426AF"/>
    <w:rsid w:val="0054288B"/>
    <w:rsid w:val="00542E20"/>
    <w:rsid w:val="00543582"/>
    <w:rsid w:val="00543BC2"/>
    <w:rsid w:val="00544379"/>
    <w:rsid w:val="0054496E"/>
    <w:rsid w:val="0054509F"/>
    <w:rsid w:val="005469AC"/>
    <w:rsid w:val="00546AC9"/>
    <w:rsid w:val="005470F4"/>
    <w:rsid w:val="0054771B"/>
    <w:rsid w:val="00547E66"/>
    <w:rsid w:val="0055160A"/>
    <w:rsid w:val="0055160F"/>
    <w:rsid w:val="00551B97"/>
    <w:rsid w:val="00551EB9"/>
    <w:rsid w:val="00551EFD"/>
    <w:rsid w:val="00552061"/>
    <w:rsid w:val="00552508"/>
    <w:rsid w:val="00552FE9"/>
    <w:rsid w:val="00553BB6"/>
    <w:rsid w:val="0055498F"/>
    <w:rsid w:val="0055507B"/>
    <w:rsid w:val="00555B04"/>
    <w:rsid w:val="005568EC"/>
    <w:rsid w:val="00556D19"/>
    <w:rsid w:val="00556E97"/>
    <w:rsid w:val="00560333"/>
    <w:rsid w:val="00560427"/>
    <w:rsid w:val="0056058C"/>
    <w:rsid w:val="005606ED"/>
    <w:rsid w:val="00560733"/>
    <w:rsid w:val="00560B7E"/>
    <w:rsid w:val="005611BA"/>
    <w:rsid w:val="00561D6E"/>
    <w:rsid w:val="005623A4"/>
    <w:rsid w:val="00562CBB"/>
    <w:rsid w:val="0056302F"/>
    <w:rsid w:val="005631F8"/>
    <w:rsid w:val="0056376D"/>
    <w:rsid w:val="00563CBF"/>
    <w:rsid w:val="005640EE"/>
    <w:rsid w:val="00564F81"/>
    <w:rsid w:val="0056566D"/>
    <w:rsid w:val="00565A55"/>
    <w:rsid w:val="00565C83"/>
    <w:rsid w:val="00566B23"/>
    <w:rsid w:val="0056719A"/>
    <w:rsid w:val="0056759F"/>
    <w:rsid w:val="0057050A"/>
    <w:rsid w:val="00570A74"/>
    <w:rsid w:val="00571044"/>
    <w:rsid w:val="00571DD0"/>
    <w:rsid w:val="00572026"/>
    <w:rsid w:val="005729F7"/>
    <w:rsid w:val="00573651"/>
    <w:rsid w:val="00573FCE"/>
    <w:rsid w:val="00574FD3"/>
    <w:rsid w:val="005752B6"/>
    <w:rsid w:val="00575441"/>
    <w:rsid w:val="00575951"/>
    <w:rsid w:val="0057644D"/>
    <w:rsid w:val="00576FA0"/>
    <w:rsid w:val="005776AE"/>
    <w:rsid w:val="00577BDD"/>
    <w:rsid w:val="00577CF1"/>
    <w:rsid w:val="0058063E"/>
    <w:rsid w:val="00581081"/>
    <w:rsid w:val="0058165F"/>
    <w:rsid w:val="00582078"/>
    <w:rsid w:val="005822EC"/>
    <w:rsid w:val="0058246F"/>
    <w:rsid w:val="005824E6"/>
    <w:rsid w:val="00582530"/>
    <w:rsid w:val="005829BD"/>
    <w:rsid w:val="00583CAE"/>
    <w:rsid w:val="005844D0"/>
    <w:rsid w:val="00584BA6"/>
    <w:rsid w:val="00584BBC"/>
    <w:rsid w:val="00584E18"/>
    <w:rsid w:val="00584FED"/>
    <w:rsid w:val="00585244"/>
    <w:rsid w:val="005852EC"/>
    <w:rsid w:val="00585863"/>
    <w:rsid w:val="00585DBF"/>
    <w:rsid w:val="00585EB8"/>
    <w:rsid w:val="0058753C"/>
    <w:rsid w:val="005877E0"/>
    <w:rsid w:val="00587A68"/>
    <w:rsid w:val="005902BF"/>
    <w:rsid w:val="00590AAF"/>
    <w:rsid w:val="005915BA"/>
    <w:rsid w:val="005919AD"/>
    <w:rsid w:val="00591F73"/>
    <w:rsid w:val="0059266F"/>
    <w:rsid w:val="005927E2"/>
    <w:rsid w:val="005931E2"/>
    <w:rsid w:val="0059372D"/>
    <w:rsid w:val="00593A96"/>
    <w:rsid w:val="00593F7C"/>
    <w:rsid w:val="005942E4"/>
    <w:rsid w:val="00594409"/>
    <w:rsid w:val="00594460"/>
    <w:rsid w:val="00594CCE"/>
    <w:rsid w:val="00595933"/>
    <w:rsid w:val="00595DC9"/>
    <w:rsid w:val="005960A1"/>
    <w:rsid w:val="00597BD1"/>
    <w:rsid w:val="005A0627"/>
    <w:rsid w:val="005A0E25"/>
    <w:rsid w:val="005A3125"/>
    <w:rsid w:val="005A318D"/>
    <w:rsid w:val="005A363F"/>
    <w:rsid w:val="005A4B3C"/>
    <w:rsid w:val="005A4DC7"/>
    <w:rsid w:val="005A580B"/>
    <w:rsid w:val="005A5B06"/>
    <w:rsid w:val="005A604F"/>
    <w:rsid w:val="005A686D"/>
    <w:rsid w:val="005A7186"/>
    <w:rsid w:val="005A76B9"/>
    <w:rsid w:val="005B01EB"/>
    <w:rsid w:val="005B04E4"/>
    <w:rsid w:val="005B06CF"/>
    <w:rsid w:val="005B12A1"/>
    <w:rsid w:val="005B29D6"/>
    <w:rsid w:val="005B2EFE"/>
    <w:rsid w:val="005B3C0C"/>
    <w:rsid w:val="005B3ED7"/>
    <w:rsid w:val="005B3F58"/>
    <w:rsid w:val="005B4BEF"/>
    <w:rsid w:val="005B4CD5"/>
    <w:rsid w:val="005B575D"/>
    <w:rsid w:val="005B5A7F"/>
    <w:rsid w:val="005B5EF6"/>
    <w:rsid w:val="005B6852"/>
    <w:rsid w:val="005B6F81"/>
    <w:rsid w:val="005B708E"/>
    <w:rsid w:val="005B7F39"/>
    <w:rsid w:val="005C0CB5"/>
    <w:rsid w:val="005C0DAA"/>
    <w:rsid w:val="005C1210"/>
    <w:rsid w:val="005C16C2"/>
    <w:rsid w:val="005C1F1A"/>
    <w:rsid w:val="005C3E57"/>
    <w:rsid w:val="005C4158"/>
    <w:rsid w:val="005C4ACC"/>
    <w:rsid w:val="005C6281"/>
    <w:rsid w:val="005C630D"/>
    <w:rsid w:val="005C672A"/>
    <w:rsid w:val="005C7603"/>
    <w:rsid w:val="005C7DD4"/>
    <w:rsid w:val="005D0404"/>
    <w:rsid w:val="005D0790"/>
    <w:rsid w:val="005D0C67"/>
    <w:rsid w:val="005D13BD"/>
    <w:rsid w:val="005D17B4"/>
    <w:rsid w:val="005D19E5"/>
    <w:rsid w:val="005D1A75"/>
    <w:rsid w:val="005D3D27"/>
    <w:rsid w:val="005D4554"/>
    <w:rsid w:val="005D4A10"/>
    <w:rsid w:val="005D50BA"/>
    <w:rsid w:val="005D52B2"/>
    <w:rsid w:val="005D6960"/>
    <w:rsid w:val="005D70D4"/>
    <w:rsid w:val="005D7925"/>
    <w:rsid w:val="005E145D"/>
    <w:rsid w:val="005E1B6E"/>
    <w:rsid w:val="005E1F17"/>
    <w:rsid w:val="005E2290"/>
    <w:rsid w:val="005E2817"/>
    <w:rsid w:val="005E387A"/>
    <w:rsid w:val="005E3B3B"/>
    <w:rsid w:val="005E6322"/>
    <w:rsid w:val="005E64B8"/>
    <w:rsid w:val="005E6947"/>
    <w:rsid w:val="005E754B"/>
    <w:rsid w:val="005E7B7A"/>
    <w:rsid w:val="005E7DA4"/>
    <w:rsid w:val="005F101D"/>
    <w:rsid w:val="005F108D"/>
    <w:rsid w:val="005F2531"/>
    <w:rsid w:val="005F2ED8"/>
    <w:rsid w:val="005F3271"/>
    <w:rsid w:val="005F33EF"/>
    <w:rsid w:val="005F3A96"/>
    <w:rsid w:val="005F4A15"/>
    <w:rsid w:val="005F4A39"/>
    <w:rsid w:val="005F5124"/>
    <w:rsid w:val="005F74E5"/>
    <w:rsid w:val="005F7F99"/>
    <w:rsid w:val="00600959"/>
    <w:rsid w:val="00600B7D"/>
    <w:rsid w:val="00600F69"/>
    <w:rsid w:val="00601010"/>
    <w:rsid w:val="00601027"/>
    <w:rsid w:val="006019E4"/>
    <w:rsid w:val="00601A67"/>
    <w:rsid w:val="00601DE7"/>
    <w:rsid w:val="00602369"/>
    <w:rsid w:val="0060285C"/>
    <w:rsid w:val="00602B3D"/>
    <w:rsid w:val="00603036"/>
    <w:rsid w:val="00603174"/>
    <w:rsid w:val="0060353A"/>
    <w:rsid w:val="0060452E"/>
    <w:rsid w:val="00604D9E"/>
    <w:rsid w:val="006051E7"/>
    <w:rsid w:val="006053BF"/>
    <w:rsid w:val="00605538"/>
    <w:rsid w:val="006061F6"/>
    <w:rsid w:val="00606E9A"/>
    <w:rsid w:val="00607263"/>
    <w:rsid w:val="0060749D"/>
    <w:rsid w:val="006075E4"/>
    <w:rsid w:val="0060791F"/>
    <w:rsid w:val="00607D75"/>
    <w:rsid w:val="00610303"/>
    <w:rsid w:val="0061228F"/>
    <w:rsid w:val="00613392"/>
    <w:rsid w:val="006135BD"/>
    <w:rsid w:val="00613F5A"/>
    <w:rsid w:val="0061407D"/>
    <w:rsid w:val="00614716"/>
    <w:rsid w:val="00614746"/>
    <w:rsid w:val="00615154"/>
    <w:rsid w:val="00615A93"/>
    <w:rsid w:val="00616534"/>
    <w:rsid w:val="006167F2"/>
    <w:rsid w:val="0061798C"/>
    <w:rsid w:val="006203D0"/>
    <w:rsid w:val="00621C4E"/>
    <w:rsid w:val="006225EC"/>
    <w:rsid w:val="00622B4C"/>
    <w:rsid w:val="00622B75"/>
    <w:rsid w:val="00622CA5"/>
    <w:rsid w:val="00622F3C"/>
    <w:rsid w:val="0062382C"/>
    <w:rsid w:val="00623A82"/>
    <w:rsid w:val="00623DC4"/>
    <w:rsid w:val="00623E58"/>
    <w:rsid w:val="00623E65"/>
    <w:rsid w:val="006244BC"/>
    <w:rsid w:val="00624B0A"/>
    <w:rsid w:val="00624EC2"/>
    <w:rsid w:val="00625C1F"/>
    <w:rsid w:val="00625F00"/>
    <w:rsid w:val="006277BB"/>
    <w:rsid w:val="0062799D"/>
    <w:rsid w:val="006279E1"/>
    <w:rsid w:val="00627E42"/>
    <w:rsid w:val="00627E92"/>
    <w:rsid w:val="0063018F"/>
    <w:rsid w:val="00630BD0"/>
    <w:rsid w:val="00630F4F"/>
    <w:rsid w:val="00630F75"/>
    <w:rsid w:val="00631540"/>
    <w:rsid w:val="00631D67"/>
    <w:rsid w:val="0063222A"/>
    <w:rsid w:val="00632533"/>
    <w:rsid w:val="00632773"/>
    <w:rsid w:val="00634CCE"/>
    <w:rsid w:val="006363BA"/>
    <w:rsid w:val="006363E8"/>
    <w:rsid w:val="00636539"/>
    <w:rsid w:val="0063654E"/>
    <w:rsid w:val="00636AC8"/>
    <w:rsid w:val="006373E6"/>
    <w:rsid w:val="00637941"/>
    <w:rsid w:val="00637E68"/>
    <w:rsid w:val="0064074A"/>
    <w:rsid w:val="006407FB"/>
    <w:rsid w:val="006408E5"/>
    <w:rsid w:val="00640911"/>
    <w:rsid w:val="00640B38"/>
    <w:rsid w:val="00640ED8"/>
    <w:rsid w:val="00640FE2"/>
    <w:rsid w:val="00641600"/>
    <w:rsid w:val="00641EA1"/>
    <w:rsid w:val="006426F1"/>
    <w:rsid w:val="006428F0"/>
    <w:rsid w:val="00642910"/>
    <w:rsid w:val="006436C4"/>
    <w:rsid w:val="00643F50"/>
    <w:rsid w:val="0064460A"/>
    <w:rsid w:val="00644C2D"/>
    <w:rsid w:val="00645E53"/>
    <w:rsid w:val="00647913"/>
    <w:rsid w:val="00650BB0"/>
    <w:rsid w:val="00650F6E"/>
    <w:rsid w:val="0065155E"/>
    <w:rsid w:val="006516E9"/>
    <w:rsid w:val="006522CA"/>
    <w:rsid w:val="006528D5"/>
    <w:rsid w:val="00653178"/>
    <w:rsid w:val="0065334C"/>
    <w:rsid w:val="00653DAC"/>
    <w:rsid w:val="006551C2"/>
    <w:rsid w:val="006557FA"/>
    <w:rsid w:val="00655B83"/>
    <w:rsid w:val="00656FB9"/>
    <w:rsid w:val="00657139"/>
    <w:rsid w:val="00657FE2"/>
    <w:rsid w:val="00660097"/>
    <w:rsid w:val="006601C6"/>
    <w:rsid w:val="006601CC"/>
    <w:rsid w:val="00661849"/>
    <w:rsid w:val="00662F8F"/>
    <w:rsid w:val="00662FBD"/>
    <w:rsid w:val="00663186"/>
    <w:rsid w:val="0066439C"/>
    <w:rsid w:val="0066514F"/>
    <w:rsid w:val="006652F4"/>
    <w:rsid w:val="006653F6"/>
    <w:rsid w:val="00665988"/>
    <w:rsid w:val="00665C8E"/>
    <w:rsid w:val="00665CC9"/>
    <w:rsid w:val="006677C8"/>
    <w:rsid w:val="0066791A"/>
    <w:rsid w:val="006679CE"/>
    <w:rsid w:val="0067112D"/>
    <w:rsid w:val="00671668"/>
    <w:rsid w:val="00671AB1"/>
    <w:rsid w:val="00672CB9"/>
    <w:rsid w:val="0067369C"/>
    <w:rsid w:val="0067396F"/>
    <w:rsid w:val="00673EDF"/>
    <w:rsid w:val="00673F36"/>
    <w:rsid w:val="0067419D"/>
    <w:rsid w:val="00674285"/>
    <w:rsid w:val="00674E80"/>
    <w:rsid w:val="00675566"/>
    <w:rsid w:val="0067566D"/>
    <w:rsid w:val="006758FF"/>
    <w:rsid w:val="00675DE7"/>
    <w:rsid w:val="00675EFE"/>
    <w:rsid w:val="006762F8"/>
    <w:rsid w:val="006768DB"/>
    <w:rsid w:val="00677CA8"/>
    <w:rsid w:val="00677E48"/>
    <w:rsid w:val="00677F0A"/>
    <w:rsid w:val="00681B10"/>
    <w:rsid w:val="00681C70"/>
    <w:rsid w:val="006820C9"/>
    <w:rsid w:val="00682477"/>
    <w:rsid w:val="00682BDA"/>
    <w:rsid w:val="00683165"/>
    <w:rsid w:val="006837A6"/>
    <w:rsid w:val="0068409D"/>
    <w:rsid w:val="00684DC3"/>
    <w:rsid w:val="00685077"/>
    <w:rsid w:val="006858C7"/>
    <w:rsid w:val="00685CA5"/>
    <w:rsid w:val="00686668"/>
    <w:rsid w:val="006867CD"/>
    <w:rsid w:val="00687E22"/>
    <w:rsid w:val="00687ED3"/>
    <w:rsid w:val="00690473"/>
    <w:rsid w:val="00690FFF"/>
    <w:rsid w:val="0069187C"/>
    <w:rsid w:val="0069226A"/>
    <w:rsid w:val="00692B66"/>
    <w:rsid w:val="00693125"/>
    <w:rsid w:val="0069374C"/>
    <w:rsid w:val="00693C54"/>
    <w:rsid w:val="00693F50"/>
    <w:rsid w:val="006950F5"/>
    <w:rsid w:val="006953BF"/>
    <w:rsid w:val="00696E08"/>
    <w:rsid w:val="00697115"/>
    <w:rsid w:val="006A02E3"/>
    <w:rsid w:val="006A06EB"/>
    <w:rsid w:val="006A0EA8"/>
    <w:rsid w:val="006A11AC"/>
    <w:rsid w:val="006A1385"/>
    <w:rsid w:val="006A1409"/>
    <w:rsid w:val="006A19CD"/>
    <w:rsid w:val="006A20F3"/>
    <w:rsid w:val="006A2876"/>
    <w:rsid w:val="006A3376"/>
    <w:rsid w:val="006A4276"/>
    <w:rsid w:val="006A4F8C"/>
    <w:rsid w:val="006A54B2"/>
    <w:rsid w:val="006A634E"/>
    <w:rsid w:val="006A6585"/>
    <w:rsid w:val="006A6B01"/>
    <w:rsid w:val="006A6E9A"/>
    <w:rsid w:val="006A7072"/>
    <w:rsid w:val="006A7A5C"/>
    <w:rsid w:val="006A7B9C"/>
    <w:rsid w:val="006B0121"/>
    <w:rsid w:val="006B18B5"/>
    <w:rsid w:val="006B1F63"/>
    <w:rsid w:val="006B2D1C"/>
    <w:rsid w:val="006B2F08"/>
    <w:rsid w:val="006B3091"/>
    <w:rsid w:val="006B3122"/>
    <w:rsid w:val="006B3D49"/>
    <w:rsid w:val="006B3E45"/>
    <w:rsid w:val="006B40B4"/>
    <w:rsid w:val="006B5B6C"/>
    <w:rsid w:val="006B6108"/>
    <w:rsid w:val="006B6180"/>
    <w:rsid w:val="006B6769"/>
    <w:rsid w:val="006B6EF1"/>
    <w:rsid w:val="006B6F68"/>
    <w:rsid w:val="006B7B9C"/>
    <w:rsid w:val="006B7BBF"/>
    <w:rsid w:val="006B7C5D"/>
    <w:rsid w:val="006B7FF8"/>
    <w:rsid w:val="006C0A7F"/>
    <w:rsid w:val="006C14FE"/>
    <w:rsid w:val="006C16C4"/>
    <w:rsid w:val="006C1B93"/>
    <w:rsid w:val="006C2585"/>
    <w:rsid w:val="006C25CA"/>
    <w:rsid w:val="006C2811"/>
    <w:rsid w:val="006C36C9"/>
    <w:rsid w:val="006C5182"/>
    <w:rsid w:val="006C5C3F"/>
    <w:rsid w:val="006C62A3"/>
    <w:rsid w:val="006C6563"/>
    <w:rsid w:val="006C66A0"/>
    <w:rsid w:val="006C6BCB"/>
    <w:rsid w:val="006C75E1"/>
    <w:rsid w:val="006C7EF1"/>
    <w:rsid w:val="006D019C"/>
    <w:rsid w:val="006D079E"/>
    <w:rsid w:val="006D0E3D"/>
    <w:rsid w:val="006D19AA"/>
    <w:rsid w:val="006D1AA4"/>
    <w:rsid w:val="006D1F19"/>
    <w:rsid w:val="006D262D"/>
    <w:rsid w:val="006D31C1"/>
    <w:rsid w:val="006D39B2"/>
    <w:rsid w:val="006D4D9E"/>
    <w:rsid w:val="006D4E94"/>
    <w:rsid w:val="006D4EE5"/>
    <w:rsid w:val="006D4F92"/>
    <w:rsid w:val="006D6A06"/>
    <w:rsid w:val="006D6D38"/>
    <w:rsid w:val="006D7CB2"/>
    <w:rsid w:val="006E0684"/>
    <w:rsid w:val="006E06AA"/>
    <w:rsid w:val="006E0833"/>
    <w:rsid w:val="006E0E0C"/>
    <w:rsid w:val="006E175B"/>
    <w:rsid w:val="006E2431"/>
    <w:rsid w:val="006E2DA7"/>
    <w:rsid w:val="006E2DD1"/>
    <w:rsid w:val="006E3344"/>
    <w:rsid w:val="006E3719"/>
    <w:rsid w:val="006E44A6"/>
    <w:rsid w:val="006E49BC"/>
    <w:rsid w:val="006E4AAD"/>
    <w:rsid w:val="006E4AF8"/>
    <w:rsid w:val="006E4BAE"/>
    <w:rsid w:val="006E4D13"/>
    <w:rsid w:val="006E4D38"/>
    <w:rsid w:val="006E59B1"/>
    <w:rsid w:val="006E5B00"/>
    <w:rsid w:val="006E696A"/>
    <w:rsid w:val="006E6C9D"/>
    <w:rsid w:val="006E76EB"/>
    <w:rsid w:val="006E7A56"/>
    <w:rsid w:val="006E7D84"/>
    <w:rsid w:val="006E7F14"/>
    <w:rsid w:val="006F10A1"/>
    <w:rsid w:val="006F121B"/>
    <w:rsid w:val="006F18ED"/>
    <w:rsid w:val="006F3482"/>
    <w:rsid w:val="006F389A"/>
    <w:rsid w:val="006F3910"/>
    <w:rsid w:val="006F3A79"/>
    <w:rsid w:val="006F3F0F"/>
    <w:rsid w:val="006F4F50"/>
    <w:rsid w:val="006F516E"/>
    <w:rsid w:val="006F55F5"/>
    <w:rsid w:val="006F5F11"/>
    <w:rsid w:val="006F65DF"/>
    <w:rsid w:val="006F7062"/>
    <w:rsid w:val="006F733A"/>
    <w:rsid w:val="006F7903"/>
    <w:rsid w:val="007003CA"/>
    <w:rsid w:val="00700513"/>
    <w:rsid w:val="00700644"/>
    <w:rsid w:val="00700F65"/>
    <w:rsid w:val="00701704"/>
    <w:rsid w:val="007029EB"/>
    <w:rsid w:val="00703739"/>
    <w:rsid w:val="0070386F"/>
    <w:rsid w:val="007039F9"/>
    <w:rsid w:val="007041D8"/>
    <w:rsid w:val="00704293"/>
    <w:rsid w:val="00704A16"/>
    <w:rsid w:val="0070557B"/>
    <w:rsid w:val="00705BE8"/>
    <w:rsid w:val="00705CF2"/>
    <w:rsid w:val="00706775"/>
    <w:rsid w:val="00706D6D"/>
    <w:rsid w:val="007078E8"/>
    <w:rsid w:val="00707D83"/>
    <w:rsid w:val="0071093F"/>
    <w:rsid w:val="007112F9"/>
    <w:rsid w:val="007113AB"/>
    <w:rsid w:val="007118FF"/>
    <w:rsid w:val="0071252D"/>
    <w:rsid w:val="00712FE9"/>
    <w:rsid w:val="00713159"/>
    <w:rsid w:val="00713A37"/>
    <w:rsid w:val="00713C77"/>
    <w:rsid w:val="007158A7"/>
    <w:rsid w:val="00715FD2"/>
    <w:rsid w:val="00717AAB"/>
    <w:rsid w:val="00717BED"/>
    <w:rsid w:val="00720297"/>
    <w:rsid w:val="00720876"/>
    <w:rsid w:val="00720C95"/>
    <w:rsid w:val="0072230B"/>
    <w:rsid w:val="0072259A"/>
    <w:rsid w:val="00722811"/>
    <w:rsid w:val="00722B4E"/>
    <w:rsid w:val="007233AF"/>
    <w:rsid w:val="0072353C"/>
    <w:rsid w:val="00723A44"/>
    <w:rsid w:val="00725EF9"/>
    <w:rsid w:val="007279F8"/>
    <w:rsid w:val="00727E10"/>
    <w:rsid w:val="00730403"/>
    <w:rsid w:val="0073057A"/>
    <w:rsid w:val="0073111D"/>
    <w:rsid w:val="007313AA"/>
    <w:rsid w:val="00731622"/>
    <w:rsid w:val="007319AC"/>
    <w:rsid w:val="00732602"/>
    <w:rsid w:val="007330A5"/>
    <w:rsid w:val="00733469"/>
    <w:rsid w:val="00733502"/>
    <w:rsid w:val="007352A5"/>
    <w:rsid w:val="00735328"/>
    <w:rsid w:val="00735491"/>
    <w:rsid w:val="0073589A"/>
    <w:rsid w:val="0073607B"/>
    <w:rsid w:val="007364E0"/>
    <w:rsid w:val="00736594"/>
    <w:rsid w:val="00736F84"/>
    <w:rsid w:val="00740927"/>
    <w:rsid w:val="00740E1D"/>
    <w:rsid w:val="00741843"/>
    <w:rsid w:val="00741D56"/>
    <w:rsid w:val="00741E39"/>
    <w:rsid w:val="00742CBB"/>
    <w:rsid w:val="00742E20"/>
    <w:rsid w:val="007441B0"/>
    <w:rsid w:val="00745940"/>
    <w:rsid w:val="0074596E"/>
    <w:rsid w:val="007465F5"/>
    <w:rsid w:val="0074780A"/>
    <w:rsid w:val="00747DCF"/>
    <w:rsid w:val="00750057"/>
    <w:rsid w:val="007504F7"/>
    <w:rsid w:val="00751C8F"/>
    <w:rsid w:val="00752101"/>
    <w:rsid w:val="007521BD"/>
    <w:rsid w:val="00752DEC"/>
    <w:rsid w:val="0075340E"/>
    <w:rsid w:val="00753882"/>
    <w:rsid w:val="00753919"/>
    <w:rsid w:val="00753D9F"/>
    <w:rsid w:val="007547B4"/>
    <w:rsid w:val="007547B9"/>
    <w:rsid w:val="00754A94"/>
    <w:rsid w:val="00754F8B"/>
    <w:rsid w:val="007554C3"/>
    <w:rsid w:val="00755F22"/>
    <w:rsid w:val="007560D4"/>
    <w:rsid w:val="00756DDB"/>
    <w:rsid w:val="00757451"/>
    <w:rsid w:val="00757720"/>
    <w:rsid w:val="00757BAF"/>
    <w:rsid w:val="00760CB5"/>
    <w:rsid w:val="007624A9"/>
    <w:rsid w:val="00762822"/>
    <w:rsid w:val="00762BD1"/>
    <w:rsid w:val="00763374"/>
    <w:rsid w:val="007639D0"/>
    <w:rsid w:val="00764427"/>
    <w:rsid w:val="00764510"/>
    <w:rsid w:val="007645FA"/>
    <w:rsid w:val="00764E34"/>
    <w:rsid w:val="00765843"/>
    <w:rsid w:val="007666C2"/>
    <w:rsid w:val="00766C3A"/>
    <w:rsid w:val="00767A1A"/>
    <w:rsid w:val="00770538"/>
    <w:rsid w:val="00770D44"/>
    <w:rsid w:val="007711AA"/>
    <w:rsid w:val="00771579"/>
    <w:rsid w:val="00773E53"/>
    <w:rsid w:val="007740B3"/>
    <w:rsid w:val="00774A16"/>
    <w:rsid w:val="007750A5"/>
    <w:rsid w:val="007751F1"/>
    <w:rsid w:val="00775249"/>
    <w:rsid w:val="00775273"/>
    <w:rsid w:val="00775FF4"/>
    <w:rsid w:val="00777099"/>
    <w:rsid w:val="0077780F"/>
    <w:rsid w:val="0077794F"/>
    <w:rsid w:val="00780A4F"/>
    <w:rsid w:val="00780CA7"/>
    <w:rsid w:val="00780EC8"/>
    <w:rsid w:val="00781AB4"/>
    <w:rsid w:val="00781ED8"/>
    <w:rsid w:val="00782734"/>
    <w:rsid w:val="00782873"/>
    <w:rsid w:val="00782A06"/>
    <w:rsid w:val="00782C73"/>
    <w:rsid w:val="00783210"/>
    <w:rsid w:val="007835BA"/>
    <w:rsid w:val="00784EA7"/>
    <w:rsid w:val="00785721"/>
    <w:rsid w:val="0078573F"/>
    <w:rsid w:val="00785CED"/>
    <w:rsid w:val="00785E00"/>
    <w:rsid w:val="00785FDF"/>
    <w:rsid w:val="0078683F"/>
    <w:rsid w:val="00786897"/>
    <w:rsid w:val="00786918"/>
    <w:rsid w:val="00787684"/>
    <w:rsid w:val="00787AC4"/>
    <w:rsid w:val="00787DB6"/>
    <w:rsid w:val="0079034A"/>
    <w:rsid w:val="00790943"/>
    <w:rsid w:val="00790FD7"/>
    <w:rsid w:val="007911F4"/>
    <w:rsid w:val="007914F4"/>
    <w:rsid w:val="00791596"/>
    <w:rsid w:val="00791CB5"/>
    <w:rsid w:val="00791F72"/>
    <w:rsid w:val="007925C8"/>
    <w:rsid w:val="00792B2C"/>
    <w:rsid w:val="0079332C"/>
    <w:rsid w:val="0079354F"/>
    <w:rsid w:val="00793747"/>
    <w:rsid w:val="007939B1"/>
    <w:rsid w:val="00795C3E"/>
    <w:rsid w:val="00795C85"/>
    <w:rsid w:val="00795D83"/>
    <w:rsid w:val="00795F6B"/>
    <w:rsid w:val="00796996"/>
    <w:rsid w:val="0079738A"/>
    <w:rsid w:val="00797B99"/>
    <w:rsid w:val="007A02C6"/>
    <w:rsid w:val="007A09A9"/>
    <w:rsid w:val="007A0B01"/>
    <w:rsid w:val="007A0DBC"/>
    <w:rsid w:val="007A1024"/>
    <w:rsid w:val="007A1BEE"/>
    <w:rsid w:val="007A2611"/>
    <w:rsid w:val="007A2767"/>
    <w:rsid w:val="007A2E2F"/>
    <w:rsid w:val="007A3A5B"/>
    <w:rsid w:val="007A42F6"/>
    <w:rsid w:val="007A43D6"/>
    <w:rsid w:val="007A4C6E"/>
    <w:rsid w:val="007A5343"/>
    <w:rsid w:val="007A53AC"/>
    <w:rsid w:val="007B060E"/>
    <w:rsid w:val="007B0D17"/>
    <w:rsid w:val="007B0E00"/>
    <w:rsid w:val="007B13B9"/>
    <w:rsid w:val="007B1841"/>
    <w:rsid w:val="007B1A16"/>
    <w:rsid w:val="007B2007"/>
    <w:rsid w:val="007B49D2"/>
    <w:rsid w:val="007B587A"/>
    <w:rsid w:val="007B6D00"/>
    <w:rsid w:val="007B7377"/>
    <w:rsid w:val="007B7D63"/>
    <w:rsid w:val="007C0CCD"/>
    <w:rsid w:val="007C0FF3"/>
    <w:rsid w:val="007C1291"/>
    <w:rsid w:val="007C1E3D"/>
    <w:rsid w:val="007C4093"/>
    <w:rsid w:val="007C49E4"/>
    <w:rsid w:val="007C5C4A"/>
    <w:rsid w:val="007C643B"/>
    <w:rsid w:val="007C6968"/>
    <w:rsid w:val="007C6DBA"/>
    <w:rsid w:val="007C6EF9"/>
    <w:rsid w:val="007C6FA9"/>
    <w:rsid w:val="007C7DDA"/>
    <w:rsid w:val="007D0902"/>
    <w:rsid w:val="007D09C5"/>
    <w:rsid w:val="007D11B8"/>
    <w:rsid w:val="007D1930"/>
    <w:rsid w:val="007D1A29"/>
    <w:rsid w:val="007D21E4"/>
    <w:rsid w:val="007D2349"/>
    <w:rsid w:val="007D2897"/>
    <w:rsid w:val="007D35C4"/>
    <w:rsid w:val="007D3C34"/>
    <w:rsid w:val="007D403D"/>
    <w:rsid w:val="007D41D0"/>
    <w:rsid w:val="007D4A4A"/>
    <w:rsid w:val="007D4BDB"/>
    <w:rsid w:val="007D5540"/>
    <w:rsid w:val="007D55CC"/>
    <w:rsid w:val="007D5685"/>
    <w:rsid w:val="007D5DD2"/>
    <w:rsid w:val="007D6413"/>
    <w:rsid w:val="007D64F1"/>
    <w:rsid w:val="007D6A95"/>
    <w:rsid w:val="007D6DB3"/>
    <w:rsid w:val="007D729D"/>
    <w:rsid w:val="007D732E"/>
    <w:rsid w:val="007D74D2"/>
    <w:rsid w:val="007D7EFA"/>
    <w:rsid w:val="007E00B6"/>
    <w:rsid w:val="007E0497"/>
    <w:rsid w:val="007E0627"/>
    <w:rsid w:val="007E0937"/>
    <w:rsid w:val="007E119D"/>
    <w:rsid w:val="007E14F2"/>
    <w:rsid w:val="007E1702"/>
    <w:rsid w:val="007E1A8A"/>
    <w:rsid w:val="007E2403"/>
    <w:rsid w:val="007E2565"/>
    <w:rsid w:val="007E272B"/>
    <w:rsid w:val="007E29D2"/>
    <w:rsid w:val="007E38B8"/>
    <w:rsid w:val="007E3B10"/>
    <w:rsid w:val="007E4D5E"/>
    <w:rsid w:val="007E50E1"/>
    <w:rsid w:val="007E52A6"/>
    <w:rsid w:val="007E5DAE"/>
    <w:rsid w:val="007E6116"/>
    <w:rsid w:val="007E612F"/>
    <w:rsid w:val="007E6132"/>
    <w:rsid w:val="007E6C3F"/>
    <w:rsid w:val="007E7BAC"/>
    <w:rsid w:val="007E7E1B"/>
    <w:rsid w:val="007F00DC"/>
    <w:rsid w:val="007F062C"/>
    <w:rsid w:val="007F08B4"/>
    <w:rsid w:val="007F08D3"/>
    <w:rsid w:val="007F1307"/>
    <w:rsid w:val="007F1489"/>
    <w:rsid w:val="007F2B5A"/>
    <w:rsid w:val="007F2E2A"/>
    <w:rsid w:val="007F3A29"/>
    <w:rsid w:val="007F43A7"/>
    <w:rsid w:val="007F57E2"/>
    <w:rsid w:val="007F5B73"/>
    <w:rsid w:val="007F649F"/>
    <w:rsid w:val="007F6AC4"/>
    <w:rsid w:val="007F7904"/>
    <w:rsid w:val="007F7A46"/>
    <w:rsid w:val="00800A61"/>
    <w:rsid w:val="00800B42"/>
    <w:rsid w:val="00800EF7"/>
    <w:rsid w:val="00801E1C"/>
    <w:rsid w:val="00801F4A"/>
    <w:rsid w:val="00802DA4"/>
    <w:rsid w:val="00802F1B"/>
    <w:rsid w:val="008030D9"/>
    <w:rsid w:val="00803533"/>
    <w:rsid w:val="008037C1"/>
    <w:rsid w:val="00803868"/>
    <w:rsid w:val="008047C5"/>
    <w:rsid w:val="00805772"/>
    <w:rsid w:val="00805837"/>
    <w:rsid w:val="00805ED8"/>
    <w:rsid w:val="008069E8"/>
    <w:rsid w:val="00806B01"/>
    <w:rsid w:val="00806F70"/>
    <w:rsid w:val="0080769A"/>
    <w:rsid w:val="008078E2"/>
    <w:rsid w:val="00807AA1"/>
    <w:rsid w:val="00807BE4"/>
    <w:rsid w:val="00812EE6"/>
    <w:rsid w:val="00814B6C"/>
    <w:rsid w:val="008150BE"/>
    <w:rsid w:val="008158FC"/>
    <w:rsid w:val="00815A35"/>
    <w:rsid w:val="00815DB9"/>
    <w:rsid w:val="00816118"/>
    <w:rsid w:val="008166E0"/>
    <w:rsid w:val="0081756E"/>
    <w:rsid w:val="00817B12"/>
    <w:rsid w:val="00817C07"/>
    <w:rsid w:val="00820371"/>
    <w:rsid w:val="00820B49"/>
    <w:rsid w:val="00822397"/>
    <w:rsid w:val="008231E1"/>
    <w:rsid w:val="00823365"/>
    <w:rsid w:val="00823554"/>
    <w:rsid w:val="00824589"/>
    <w:rsid w:val="00824A43"/>
    <w:rsid w:val="00824AD6"/>
    <w:rsid w:val="00825B0F"/>
    <w:rsid w:val="008262C2"/>
    <w:rsid w:val="00826B3F"/>
    <w:rsid w:val="00827C84"/>
    <w:rsid w:val="0083023C"/>
    <w:rsid w:val="008306B0"/>
    <w:rsid w:val="0083103C"/>
    <w:rsid w:val="00831D0E"/>
    <w:rsid w:val="00831D84"/>
    <w:rsid w:val="0083223C"/>
    <w:rsid w:val="0083233E"/>
    <w:rsid w:val="0083243A"/>
    <w:rsid w:val="0083255C"/>
    <w:rsid w:val="00832FAD"/>
    <w:rsid w:val="0083328A"/>
    <w:rsid w:val="008338ED"/>
    <w:rsid w:val="00834134"/>
    <w:rsid w:val="008347B7"/>
    <w:rsid w:val="00834CF0"/>
    <w:rsid w:val="00835A29"/>
    <w:rsid w:val="0083636A"/>
    <w:rsid w:val="00836469"/>
    <w:rsid w:val="008369AE"/>
    <w:rsid w:val="008369B6"/>
    <w:rsid w:val="00836A51"/>
    <w:rsid w:val="00836CAD"/>
    <w:rsid w:val="00837139"/>
    <w:rsid w:val="00837382"/>
    <w:rsid w:val="00837ED2"/>
    <w:rsid w:val="00840325"/>
    <w:rsid w:val="0084045C"/>
    <w:rsid w:val="008406FA"/>
    <w:rsid w:val="00840BA8"/>
    <w:rsid w:val="0084165A"/>
    <w:rsid w:val="00841DAE"/>
    <w:rsid w:val="00841DF7"/>
    <w:rsid w:val="00843F39"/>
    <w:rsid w:val="0084434C"/>
    <w:rsid w:val="00845863"/>
    <w:rsid w:val="00846170"/>
    <w:rsid w:val="008462A7"/>
    <w:rsid w:val="0084630E"/>
    <w:rsid w:val="008468B2"/>
    <w:rsid w:val="008476C9"/>
    <w:rsid w:val="00847AEC"/>
    <w:rsid w:val="00847CE0"/>
    <w:rsid w:val="00847DBC"/>
    <w:rsid w:val="00850F28"/>
    <w:rsid w:val="00851340"/>
    <w:rsid w:val="0085160B"/>
    <w:rsid w:val="0085257A"/>
    <w:rsid w:val="008529BC"/>
    <w:rsid w:val="008529F6"/>
    <w:rsid w:val="00852A32"/>
    <w:rsid w:val="00853550"/>
    <w:rsid w:val="00853B38"/>
    <w:rsid w:val="008541BB"/>
    <w:rsid w:val="008542AE"/>
    <w:rsid w:val="00854356"/>
    <w:rsid w:val="008543B6"/>
    <w:rsid w:val="008546F3"/>
    <w:rsid w:val="008547B9"/>
    <w:rsid w:val="0085487B"/>
    <w:rsid w:val="00855471"/>
    <w:rsid w:val="00857228"/>
    <w:rsid w:val="00857F18"/>
    <w:rsid w:val="00860236"/>
    <w:rsid w:val="008603E0"/>
    <w:rsid w:val="00860B82"/>
    <w:rsid w:val="00860D25"/>
    <w:rsid w:val="00860D50"/>
    <w:rsid w:val="00861350"/>
    <w:rsid w:val="00861694"/>
    <w:rsid w:val="00861B67"/>
    <w:rsid w:val="00862EEE"/>
    <w:rsid w:val="008634C0"/>
    <w:rsid w:val="0086365C"/>
    <w:rsid w:val="00863838"/>
    <w:rsid w:val="00864446"/>
    <w:rsid w:val="008647D6"/>
    <w:rsid w:val="008654D7"/>
    <w:rsid w:val="00865544"/>
    <w:rsid w:val="008661C3"/>
    <w:rsid w:val="00866415"/>
    <w:rsid w:val="008664DF"/>
    <w:rsid w:val="00866754"/>
    <w:rsid w:val="0086695F"/>
    <w:rsid w:val="008671A4"/>
    <w:rsid w:val="0086725A"/>
    <w:rsid w:val="0086729B"/>
    <w:rsid w:val="00867A53"/>
    <w:rsid w:val="00867EDD"/>
    <w:rsid w:val="008720D7"/>
    <w:rsid w:val="008723EC"/>
    <w:rsid w:val="00872FA6"/>
    <w:rsid w:val="008730A2"/>
    <w:rsid w:val="0087331A"/>
    <w:rsid w:val="008736C3"/>
    <w:rsid w:val="00873CEB"/>
    <w:rsid w:val="00873E56"/>
    <w:rsid w:val="0087467D"/>
    <w:rsid w:val="0087482A"/>
    <w:rsid w:val="0087494A"/>
    <w:rsid w:val="00874A12"/>
    <w:rsid w:val="00874CD9"/>
    <w:rsid w:val="00875791"/>
    <w:rsid w:val="008758D4"/>
    <w:rsid w:val="00875A0A"/>
    <w:rsid w:val="00876498"/>
    <w:rsid w:val="00876D52"/>
    <w:rsid w:val="00876EEE"/>
    <w:rsid w:val="008778B7"/>
    <w:rsid w:val="008809D7"/>
    <w:rsid w:val="00880FA9"/>
    <w:rsid w:val="00881080"/>
    <w:rsid w:val="0088131F"/>
    <w:rsid w:val="008817D2"/>
    <w:rsid w:val="00881A35"/>
    <w:rsid w:val="0088254F"/>
    <w:rsid w:val="00882C6E"/>
    <w:rsid w:val="00882CB4"/>
    <w:rsid w:val="0088362A"/>
    <w:rsid w:val="00885717"/>
    <w:rsid w:val="00885E0F"/>
    <w:rsid w:val="00885F81"/>
    <w:rsid w:val="00886EE6"/>
    <w:rsid w:val="008871CA"/>
    <w:rsid w:val="00887C76"/>
    <w:rsid w:val="00890B2E"/>
    <w:rsid w:val="00890DAA"/>
    <w:rsid w:val="0089115B"/>
    <w:rsid w:val="008916B5"/>
    <w:rsid w:val="0089174F"/>
    <w:rsid w:val="008922B9"/>
    <w:rsid w:val="00892E30"/>
    <w:rsid w:val="00893479"/>
    <w:rsid w:val="0089371D"/>
    <w:rsid w:val="00893754"/>
    <w:rsid w:val="00893BBB"/>
    <w:rsid w:val="008944A8"/>
    <w:rsid w:val="00894A1F"/>
    <w:rsid w:val="00894C6E"/>
    <w:rsid w:val="00895E02"/>
    <w:rsid w:val="00895FE3"/>
    <w:rsid w:val="0089656D"/>
    <w:rsid w:val="00896EDB"/>
    <w:rsid w:val="00897525"/>
    <w:rsid w:val="00897A75"/>
    <w:rsid w:val="008A0E01"/>
    <w:rsid w:val="008A1813"/>
    <w:rsid w:val="008A1BF1"/>
    <w:rsid w:val="008A2670"/>
    <w:rsid w:val="008A2C53"/>
    <w:rsid w:val="008A4029"/>
    <w:rsid w:val="008A4CCC"/>
    <w:rsid w:val="008A55CE"/>
    <w:rsid w:val="008A5EE4"/>
    <w:rsid w:val="008A6419"/>
    <w:rsid w:val="008A68A2"/>
    <w:rsid w:val="008A6AEE"/>
    <w:rsid w:val="008A6BD8"/>
    <w:rsid w:val="008A6D8B"/>
    <w:rsid w:val="008A6EA5"/>
    <w:rsid w:val="008A6EF3"/>
    <w:rsid w:val="008A7B93"/>
    <w:rsid w:val="008A7BC0"/>
    <w:rsid w:val="008A7D8C"/>
    <w:rsid w:val="008B0231"/>
    <w:rsid w:val="008B0D4C"/>
    <w:rsid w:val="008B2147"/>
    <w:rsid w:val="008B2BFA"/>
    <w:rsid w:val="008B2D34"/>
    <w:rsid w:val="008B319B"/>
    <w:rsid w:val="008B3C63"/>
    <w:rsid w:val="008B3D3D"/>
    <w:rsid w:val="008B3FB7"/>
    <w:rsid w:val="008B4393"/>
    <w:rsid w:val="008B4996"/>
    <w:rsid w:val="008B4AA8"/>
    <w:rsid w:val="008B5A46"/>
    <w:rsid w:val="008B5F7A"/>
    <w:rsid w:val="008B6533"/>
    <w:rsid w:val="008B7336"/>
    <w:rsid w:val="008B781A"/>
    <w:rsid w:val="008C13EC"/>
    <w:rsid w:val="008C1428"/>
    <w:rsid w:val="008C2E5C"/>
    <w:rsid w:val="008C34B8"/>
    <w:rsid w:val="008C3880"/>
    <w:rsid w:val="008C44B4"/>
    <w:rsid w:val="008C4E61"/>
    <w:rsid w:val="008C4F13"/>
    <w:rsid w:val="008C6A89"/>
    <w:rsid w:val="008C7103"/>
    <w:rsid w:val="008C785F"/>
    <w:rsid w:val="008C787A"/>
    <w:rsid w:val="008C7991"/>
    <w:rsid w:val="008C7BE6"/>
    <w:rsid w:val="008D09C7"/>
    <w:rsid w:val="008D0BDF"/>
    <w:rsid w:val="008D109C"/>
    <w:rsid w:val="008D18C4"/>
    <w:rsid w:val="008D1BDA"/>
    <w:rsid w:val="008D1F8C"/>
    <w:rsid w:val="008D26A8"/>
    <w:rsid w:val="008D29CC"/>
    <w:rsid w:val="008D3D45"/>
    <w:rsid w:val="008D4F3B"/>
    <w:rsid w:val="008D50E9"/>
    <w:rsid w:val="008D5631"/>
    <w:rsid w:val="008D5E0C"/>
    <w:rsid w:val="008D668F"/>
    <w:rsid w:val="008D68B0"/>
    <w:rsid w:val="008D6DAA"/>
    <w:rsid w:val="008D6DFE"/>
    <w:rsid w:val="008D6EF1"/>
    <w:rsid w:val="008D701E"/>
    <w:rsid w:val="008D717F"/>
    <w:rsid w:val="008D786F"/>
    <w:rsid w:val="008E01A4"/>
    <w:rsid w:val="008E0C83"/>
    <w:rsid w:val="008E0F82"/>
    <w:rsid w:val="008E206D"/>
    <w:rsid w:val="008E2089"/>
    <w:rsid w:val="008E235C"/>
    <w:rsid w:val="008E3BFB"/>
    <w:rsid w:val="008E3CAF"/>
    <w:rsid w:val="008E40C6"/>
    <w:rsid w:val="008E5AF8"/>
    <w:rsid w:val="008E5F7A"/>
    <w:rsid w:val="008E5FAA"/>
    <w:rsid w:val="008E67D5"/>
    <w:rsid w:val="008E6A73"/>
    <w:rsid w:val="008E6B2C"/>
    <w:rsid w:val="008E742D"/>
    <w:rsid w:val="008E79BB"/>
    <w:rsid w:val="008E7F18"/>
    <w:rsid w:val="008F0125"/>
    <w:rsid w:val="008F067C"/>
    <w:rsid w:val="008F1A18"/>
    <w:rsid w:val="008F1F04"/>
    <w:rsid w:val="008F2304"/>
    <w:rsid w:val="008F24E2"/>
    <w:rsid w:val="008F2E64"/>
    <w:rsid w:val="008F333C"/>
    <w:rsid w:val="008F37F0"/>
    <w:rsid w:val="008F394F"/>
    <w:rsid w:val="008F3BB5"/>
    <w:rsid w:val="008F5675"/>
    <w:rsid w:val="008F5846"/>
    <w:rsid w:val="008F666F"/>
    <w:rsid w:val="008F7217"/>
    <w:rsid w:val="008F7925"/>
    <w:rsid w:val="00900350"/>
    <w:rsid w:val="00900416"/>
    <w:rsid w:val="00900798"/>
    <w:rsid w:val="009007C6"/>
    <w:rsid w:val="009009D5"/>
    <w:rsid w:val="00900D35"/>
    <w:rsid w:val="00901B8D"/>
    <w:rsid w:val="0090224C"/>
    <w:rsid w:val="0090327C"/>
    <w:rsid w:val="009039B9"/>
    <w:rsid w:val="00904AAA"/>
    <w:rsid w:val="00904CD7"/>
    <w:rsid w:val="0090528D"/>
    <w:rsid w:val="009052E7"/>
    <w:rsid w:val="0090548E"/>
    <w:rsid w:val="00905C82"/>
    <w:rsid w:val="00906514"/>
    <w:rsid w:val="009065F9"/>
    <w:rsid w:val="009069CA"/>
    <w:rsid w:val="00906B26"/>
    <w:rsid w:val="00906B27"/>
    <w:rsid w:val="009073BE"/>
    <w:rsid w:val="00907C60"/>
    <w:rsid w:val="00910163"/>
    <w:rsid w:val="00911450"/>
    <w:rsid w:val="009123E8"/>
    <w:rsid w:val="00912E50"/>
    <w:rsid w:val="00912F5A"/>
    <w:rsid w:val="009130BC"/>
    <w:rsid w:val="009132CC"/>
    <w:rsid w:val="00913C21"/>
    <w:rsid w:val="0091434B"/>
    <w:rsid w:val="00915824"/>
    <w:rsid w:val="0091586B"/>
    <w:rsid w:val="00915D5A"/>
    <w:rsid w:val="00915ECA"/>
    <w:rsid w:val="00916FFC"/>
    <w:rsid w:val="00917883"/>
    <w:rsid w:val="00917D44"/>
    <w:rsid w:val="009203AE"/>
    <w:rsid w:val="00920750"/>
    <w:rsid w:val="009210C4"/>
    <w:rsid w:val="00921D3C"/>
    <w:rsid w:val="00922246"/>
    <w:rsid w:val="00922490"/>
    <w:rsid w:val="00922AAE"/>
    <w:rsid w:val="00923435"/>
    <w:rsid w:val="00923512"/>
    <w:rsid w:val="00923792"/>
    <w:rsid w:val="009239F8"/>
    <w:rsid w:val="00923B6A"/>
    <w:rsid w:val="00924010"/>
    <w:rsid w:val="00924438"/>
    <w:rsid w:val="00924D87"/>
    <w:rsid w:val="00924D91"/>
    <w:rsid w:val="00925D95"/>
    <w:rsid w:val="00926FD5"/>
    <w:rsid w:val="009278EC"/>
    <w:rsid w:val="00927A76"/>
    <w:rsid w:val="009302E0"/>
    <w:rsid w:val="00931645"/>
    <w:rsid w:val="0093164B"/>
    <w:rsid w:val="009318C2"/>
    <w:rsid w:val="00931BC0"/>
    <w:rsid w:val="009328F3"/>
    <w:rsid w:val="00933BB7"/>
    <w:rsid w:val="00933E30"/>
    <w:rsid w:val="00934133"/>
    <w:rsid w:val="00934E0D"/>
    <w:rsid w:val="00934E17"/>
    <w:rsid w:val="00934E6C"/>
    <w:rsid w:val="00934E6E"/>
    <w:rsid w:val="0093543F"/>
    <w:rsid w:val="009364A6"/>
    <w:rsid w:val="0093673D"/>
    <w:rsid w:val="00936A83"/>
    <w:rsid w:val="009374B0"/>
    <w:rsid w:val="00937A12"/>
    <w:rsid w:val="009405CB"/>
    <w:rsid w:val="00941149"/>
    <w:rsid w:val="00942008"/>
    <w:rsid w:val="0094272E"/>
    <w:rsid w:val="0094283C"/>
    <w:rsid w:val="00942AFA"/>
    <w:rsid w:val="009434B8"/>
    <w:rsid w:val="009438C3"/>
    <w:rsid w:val="00943B6F"/>
    <w:rsid w:val="00943CCA"/>
    <w:rsid w:val="00945226"/>
    <w:rsid w:val="0094539E"/>
    <w:rsid w:val="00945A1E"/>
    <w:rsid w:val="00946196"/>
    <w:rsid w:val="009467D4"/>
    <w:rsid w:val="00946A9E"/>
    <w:rsid w:val="009475CE"/>
    <w:rsid w:val="009479C8"/>
    <w:rsid w:val="0095019E"/>
    <w:rsid w:val="0095256C"/>
    <w:rsid w:val="00952A6C"/>
    <w:rsid w:val="00952E1F"/>
    <w:rsid w:val="0095315C"/>
    <w:rsid w:val="009534D4"/>
    <w:rsid w:val="00953514"/>
    <w:rsid w:val="009539A1"/>
    <w:rsid w:val="00953C3A"/>
    <w:rsid w:val="00954745"/>
    <w:rsid w:val="00954974"/>
    <w:rsid w:val="00954ACB"/>
    <w:rsid w:val="0095541E"/>
    <w:rsid w:val="00956187"/>
    <w:rsid w:val="00956993"/>
    <w:rsid w:val="0095764B"/>
    <w:rsid w:val="00957A5B"/>
    <w:rsid w:val="00957F7B"/>
    <w:rsid w:val="009617D1"/>
    <w:rsid w:val="00961F49"/>
    <w:rsid w:val="009626AF"/>
    <w:rsid w:val="009629E7"/>
    <w:rsid w:val="00962A37"/>
    <w:rsid w:val="00962C70"/>
    <w:rsid w:val="00962C92"/>
    <w:rsid w:val="00964B73"/>
    <w:rsid w:val="00965467"/>
    <w:rsid w:val="009662AB"/>
    <w:rsid w:val="00966836"/>
    <w:rsid w:val="00966E9A"/>
    <w:rsid w:val="00966ED5"/>
    <w:rsid w:val="00967633"/>
    <w:rsid w:val="00967667"/>
    <w:rsid w:val="00967896"/>
    <w:rsid w:val="00967A79"/>
    <w:rsid w:val="0097042D"/>
    <w:rsid w:val="0097052E"/>
    <w:rsid w:val="00970716"/>
    <w:rsid w:val="00971889"/>
    <w:rsid w:val="009725A0"/>
    <w:rsid w:val="00973025"/>
    <w:rsid w:val="00973C5A"/>
    <w:rsid w:val="009746E8"/>
    <w:rsid w:val="00975F39"/>
    <w:rsid w:val="00977FB3"/>
    <w:rsid w:val="009803F5"/>
    <w:rsid w:val="009812F8"/>
    <w:rsid w:val="0098254F"/>
    <w:rsid w:val="00982909"/>
    <w:rsid w:val="00983023"/>
    <w:rsid w:val="009834BC"/>
    <w:rsid w:val="0098448F"/>
    <w:rsid w:val="00984BA3"/>
    <w:rsid w:val="009855BD"/>
    <w:rsid w:val="009857D9"/>
    <w:rsid w:val="00985CCD"/>
    <w:rsid w:val="00986899"/>
    <w:rsid w:val="00986BBD"/>
    <w:rsid w:val="00986C3F"/>
    <w:rsid w:val="00986D0A"/>
    <w:rsid w:val="009870C7"/>
    <w:rsid w:val="0098714D"/>
    <w:rsid w:val="00987E74"/>
    <w:rsid w:val="009900C3"/>
    <w:rsid w:val="009910DC"/>
    <w:rsid w:val="0099176C"/>
    <w:rsid w:val="00992270"/>
    <w:rsid w:val="0099234A"/>
    <w:rsid w:val="0099277F"/>
    <w:rsid w:val="00993B79"/>
    <w:rsid w:val="00993C62"/>
    <w:rsid w:val="00993C9D"/>
    <w:rsid w:val="00994450"/>
    <w:rsid w:val="00994560"/>
    <w:rsid w:val="0099463F"/>
    <w:rsid w:val="0099474D"/>
    <w:rsid w:val="00994A55"/>
    <w:rsid w:val="00994DD9"/>
    <w:rsid w:val="0099583F"/>
    <w:rsid w:val="00995AD3"/>
    <w:rsid w:val="00996778"/>
    <w:rsid w:val="00996F39"/>
    <w:rsid w:val="009977D1"/>
    <w:rsid w:val="009A0FBC"/>
    <w:rsid w:val="009A142E"/>
    <w:rsid w:val="009A1697"/>
    <w:rsid w:val="009A18D1"/>
    <w:rsid w:val="009A2162"/>
    <w:rsid w:val="009A3546"/>
    <w:rsid w:val="009A355E"/>
    <w:rsid w:val="009A42B8"/>
    <w:rsid w:val="009A4A77"/>
    <w:rsid w:val="009A5A8C"/>
    <w:rsid w:val="009A62FE"/>
    <w:rsid w:val="009A679B"/>
    <w:rsid w:val="009A71D9"/>
    <w:rsid w:val="009B0198"/>
    <w:rsid w:val="009B0E9D"/>
    <w:rsid w:val="009B12B6"/>
    <w:rsid w:val="009B1343"/>
    <w:rsid w:val="009B13B6"/>
    <w:rsid w:val="009B147E"/>
    <w:rsid w:val="009B1909"/>
    <w:rsid w:val="009B1BC1"/>
    <w:rsid w:val="009B211E"/>
    <w:rsid w:val="009B30C7"/>
    <w:rsid w:val="009B317F"/>
    <w:rsid w:val="009B333B"/>
    <w:rsid w:val="009B3CEF"/>
    <w:rsid w:val="009B48C4"/>
    <w:rsid w:val="009B5179"/>
    <w:rsid w:val="009B5368"/>
    <w:rsid w:val="009B53E0"/>
    <w:rsid w:val="009B5694"/>
    <w:rsid w:val="009B640B"/>
    <w:rsid w:val="009B68D1"/>
    <w:rsid w:val="009B6AA8"/>
    <w:rsid w:val="009B6AB9"/>
    <w:rsid w:val="009B6B3B"/>
    <w:rsid w:val="009B6B6C"/>
    <w:rsid w:val="009B6CA4"/>
    <w:rsid w:val="009B6F30"/>
    <w:rsid w:val="009B6FE5"/>
    <w:rsid w:val="009C0D8B"/>
    <w:rsid w:val="009C0E21"/>
    <w:rsid w:val="009C0F6E"/>
    <w:rsid w:val="009C0FE1"/>
    <w:rsid w:val="009C10D2"/>
    <w:rsid w:val="009C1297"/>
    <w:rsid w:val="009C1CD5"/>
    <w:rsid w:val="009C34A7"/>
    <w:rsid w:val="009C3ABD"/>
    <w:rsid w:val="009C3CAA"/>
    <w:rsid w:val="009C3FEF"/>
    <w:rsid w:val="009C4791"/>
    <w:rsid w:val="009C4E72"/>
    <w:rsid w:val="009C50BA"/>
    <w:rsid w:val="009C5350"/>
    <w:rsid w:val="009C59B7"/>
    <w:rsid w:val="009C59D9"/>
    <w:rsid w:val="009C5B12"/>
    <w:rsid w:val="009C605B"/>
    <w:rsid w:val="009C606F"/>
    <w:rsid w:val="009C729F"/>
    <w:rsid w:val="009C74EF"/>
    <w:rsid w:val="009C7AE5"/>
    <w:rsid w:val="009D0CC7"/>
    <w:rsid w:val="009D0DFD"/>
    <w:rsid w:val="009D0F8C"/>
    <w:rsid w:val="009D11A8"/>
    <w:rsid w:val="009D3452"/>
    <w:rsid w:val="009D34D1"/>
    <w:rsid w:val="009D373E"/>
    <w:rsid w:val="009D51C1"/>
    <w:rsid w:val="009D55E6"/>
    <w:rsid w:val="009D6211"/>
    <w:rsid w:val="009D737F"/>
    <w:rsid w:val="009D7593"/>
    <w:rsid w:val="009D75D5"/>
    <w:rsid w:val="009D77D2"/>
    <w:rsid w:val="009D7A17"/>
    <w:rsid w:val="009D7C88"/>
    <w:rsid w:val="009D7ED4"/>
    <w:rsid w:val="009E0194"/>
    <w:rsid w:val="009E0340"/>
    <w:rsid w:val="009E037E"/>
    <w:rsid w:val="009E0B8B"/>
    <w:rsid w:val="009E0DCB"/>
    <w:rsid w:val="009E10FF"/>
    <w:rsid w:val="009E2800"/>
    <w:rsid w:val="009E3068"/>
    <w:rsid w:val="009E3CF4"/>
    <w:rsid w:val="009E3D77"/>
    <w:rsid w:val="009E4100"/>
    <w:rsid w:val="009E44B6"/>
    <w:rsid w:val="009E4E36"/>
    <w:rsid w:val="009E5B04"/>
    <w:rsid w:val="009E5D9B"/>
    <w:rsid w:val="009E6261"/>
    <w:rsid w:val="009E6790"/>
    <w:rsid w:val="009E74CF"/>
    <w:rsid w:val="009E75A5"/>
    <w:rsid w:val="009E7F7D"/>
    <w:rsid w:val="009F0C18"/>
    <w:rsid w:val="009F0F1F"/>
    <w:rsid w:val="009F1644"/>
    <w:rsid w:val="009F23A6"/>
    <w:rsid w:val="009F2DF4"/>
    <w:rsid w:val="009F2FB8"/>
    <w:rsid w:val="009F327E"/>
    <w:rsid w:val="009F46C2"/>
    <w:rsid w:val="009F5BAF"/>
    <w:rsid w:val="009F5D73"/>
    <w:rsid w:val="009F5E0C"/>
    <w:rsid w:val="009F6359"/>
    <w:rsid w:val="009F6AD4"/>
    <w:rsid w:val="009F6B40"/>
    <w:rsid w:val="009F6C9B"/>
    <w:rsid w:val="009F6E17"/>
    <w:rsid w:val="009F75CB"/>
    <w:rsid w:val="009F7AA7"/>
    <w:rsid w:val="00A002EF"/>
    <w:rsid w:val="00A00378"/>
    <w:rsid w:val="00A00931"/>
    <w:rsid w:val="00A00A2B"/>
    <w:rsid w:val="00A00F77"/>
    <w:rsid w:val="00A012C5"/>
    <w:rsid w:val="00A01B30"/>
    <w:rsid w:val="00A01B93"/>
    <w:rsid w:val="00A02CE2"/>
    <w:rsid w:val="00A03373"/>
    <w:rsid w:val="00A037AA"/>
    <w:rsid w:val="00A03B5B"/>
    <w:rsid w:val="00A03B66"/>
    <w:rsid w:val="00A0416A"/>
    <w:rsid w:val="00A04567"/>
    <w:rsid w:val="00A04881"/>
    <w:rsid w:val="00A049E7"/>
    <w:rsid w:val="00A04FD5"/>
    <w:rsid w:val="00A0577F"/>
    <w:rsid w:val="00A05AFA"/>
    <w:rsid w:val="00A05EB3"/>
    <w:rsid w:val="00A06507"/>
    <w:rsid w:val="00A076C6"/>
    <w:rsid w:val="00A10600"/>
    <w:rsid w:val="00A10941"/>
    <w:rsid w:val="00A10A4D"/>
    <w:rsid w:val="00A10B0C"/>
    <w:rsid w:val="00A10C89"/>
    <w:rsid w:val="00A11306"/>
    <w:rsid w:val="00A118CC"/>
    <w:rsid w:val="00A120D6"/>
    <w:rsid w:val="00A12125"/>
    <w:rsid w:val="00A12816"/>
    <w:rsid w:val="00A12D2A"/>
    <w:rsid w:val="00A1345F"/>
    <w:rsid w:val="00A14112"/>
    <w:rsid w:val="00A1459E"/>
    <w:rsid w:val="00A15154"/>
    <w:rsid w:val="00A154CA"/>
    <w:rsid w:val="00A15901"/>
    <w:rsid w:val="00A1743C"/>
    <w:rsid w:val="00A176ED"/>
    <w:rsid w:val="00A178BD"/>
    <w:rsid w:val="00A17D71"/>
    <w:rsid w:val="00A17E65"/>
    <w:rsid w:val="00A21179"/>
    <w:rsid w:val="00A211EE"/>
    <w:rsid w:val="00A215AD"/>
    <w:rsid w:val="00A2162F"/>
    <w:rsid w:val="00A21897"/>
    <w:rsid w:val="00A22522"/>
    <w:rsid w:val="00A228ED"/>
    <w:rsid w:val="00A22C5F"/>
    <w:rsid w:val="00A22EFE"/>
    <w:rsid w:val="00A234E3"/>
    <w:rsid w:val="00A2359D"/>
    <w:rsid w:val="00A23CDC"/>
    <w:rsid w:val="00A24114"/>
    <w:rsid w:val="00A24337"/>
    <w:rsid w:val="00A24965"/>
    <w:rsid w:val="00A24D20"/>
    <w:rsid w:val="00A25079"/>
    <w:rsid w:val="00A252D5"/>
    <w:rsid w:val="00A2595F"/>
    <w:rsid w:val="00A25BF3"/>
    <w:rsid w:val="00A26076"/>
    <w:rsid w:val="00A264F9"/>
    <w:rsid w:val="00A2689F"/>
    <w:rsid w:val="00A270F2"/>
    <w:rsid w:val="00A2723B"/>
    <w:rsid w:val="00A3086B"/>
    <w:rsid w:val="00A30D63"/>
    <w:rsid w:val="00A31433"/>
    <w:rsid w:val="00A31476"/>
    <w:rsid w:val="00A31772"/>
    <w:rsid w:val="00A31EB0"/>
    <w:rsid w:val="00A32FD9"/>
    <w:rsid w:val="00A33290"/>
    <w:rsid w:val="00A334A9"/>
    <w:rsid w:val="00A337F4"/>
    <w:rsid w:val="00A34795"/>
    <w:rsid w:val="00A37417"/>
    <w:rsid w:val="00A37E38"/>
    <w:rsid w:val="00A40C34"/>
    <w:rsid w:val="00A414B1"/>
    <w:rsid w:val="00A416EF"/>
    <w:rsid w:val="00A42408"/>
    <w:rsid w:val="00A43258"/>
    <w:rsid w:val="00A43454"/>
    <w:rsid w:val="00A43AAA"/>
    <w:rsid w:val="00A443EC"/>
    <w:rsid w:val="00A4448B"/>
    <w:rsid w:val="00A44505"/>
    <w:rsid w:val="00A4492B"/>
    <w:rsid w:val="00A453A0"/>
    <w:rsid w:val="00A4622E"/>
    <w:rsid w:val="00A4622F"/>
    <w:rsid w:val="00A46D26"/>
    <w:rsid w:val="00A46E63"/>
    <w:rsid w:val="00A47434"/>
    <w:rsid w:val="00A47D0B"/>
    <w:rsid w:val="00A47FB8"/>
    <w:rsid w:val="00A47FD5"/>
    <w:rsid w:val="00A503EF"/>
    <w:rsid w:val="00A503F8"/>
    <w:rsid w:val="00A50B6A"/>
    <w:rsid w:val="00A50D30"/>
    <w:rsid w:val="00A50DDC"/>
    <w:rsid w:val="00A51966"/>
    <w:rsid w:val="00A51FBC"/>
    <w:rsid w:val="00A52447"/>
    <w:rsid w:val="00A52ABB"/>
    <w:rsid w:val="00A52CAC"/>
    <w:rsid w:val="00A52D75"/>
    <w:rsid w:val="00A534C3"/>
    <w:rsid w:val="00A5350D"/>
    <w:rsid w:val="00A537B3"/>
    <w:rsid w:val="00A54685"/>
    <w:rsid w:val="00A54D32"/>
    <w:rsid w:val="00A552CB"/>
    <w:rsid w:val="00A556CF"/>
    <w:rsid w:val="00A563F7"/>
    <w:rsid w:val="00A601D8"/>
    <w:rsid w:val="00A60925"/>
    <w:rsid w:val="00A60F61"/>
    <w:rsid w:val="00A61C3C"/>
    <w:rsid w:val="00A61C5B"/>
    <w:rsid w:val="00A624C2"/>
    <w:rsid w:val="00A62606"/>
    <w:rsid w:val="00A630D1"/>
    <w:rsid w:val="00A63515"/>
    <w:rsid w:val="00A6370E"/>
    <w:rsid w:val="00A64188"/>
    <w:rsid w:val="00A642D7"/>
    <w:rsid w:val="00A65293"/>
    <w:rsid w:val="00A65869"/>
    <w:rsid w:val="00A66091"/>
    <w:rsid w:val="00A66818"/>
    <w:rsid w:val="00A66C05"/>
    <w:rsid w:val="00A66C68"/>
    <w:rsid w:val="00A66CBF"/>
    <w:rsid w:val="00A66D2C"/>
    <w:rsid w:val="00A67231"/>
    <w:rsid w:val="00A67C92"/>
    <w:rsid w:val="00A67D96"/>
    <w:rsid w:val="00A67FBB"/>
    <w:rsid w:val="00A700AA"/>
    <w:rsid w:val="00A70C4C"/>
    <w:rsid w:val="00A70DA9"/>
    <w:rsid w:val="00A715CC"/>
    <w:rsid w:val="00A71B90"/>
    <w:rsid w:val="00A721FC"/>
    <w:rsid w:val="00A72202"/>
    <w:rsid w:val="00A72492"/>
    <w:rsid w:val="00A72C5F"/>
    <w:rsid w:val="00A72DA9"/>
    <w:rsid w:val="00A72E5A"/>
    <w:rsid w:val="00A737EC"/>
    <w:rsid w:val="00A7475B"/>
    <w:rsid w:val="00A748AA"/>
    <w:rsid w:val="00A74A49"/>
    <w:rsid w:val="00A74CB4"/>
    <w:rsid w:val="00A75D1F"/>
    <w:rsid w:val="00A76C2F"/>
    <w:rsid w:val="00A76D71"/>
    <w:rsid w:val="00A77658"/>
    <w:rsid w:val="00A77E19"/>
    <w:rsid w:val="00A802B6"/>
    <w:rsid w:val="00A80336"/>
    <w:rsid w:val="00A803FF"/>
    <w:rsid w:val="00A8044E"/>
    <w:rsid w:val="00A80CA5"/>
    <w:rsid w:val="00A81007"/>
    <w:rsid w:val="00A8125D"/>
    <w:rsid w:val="00A819C8"/>
    <w:rsid w:val="00A81A2A"/>
    <w:rsid w:val="00A81F4C"/>
    <w:rsid w:val="00A82067"/>
    <w:rsid w:val="00A820CE"/>
    <w:rsid w:val="00A8307A"/>
    <w:rsid w:val="00A83116"/>
    <w:rsid w:val="00A837E5"/>
    <w:rsid w:val="00A83DB4"/>
    <w:rsid w:val="00A849D1"/>
    <w:rsid w:val="00A85609"/>
    <w:rsid w:val="00A85B91"/>
    <w:rsid w:val="00A86374"/>
    <w:rsid w:val="00A869DA"/>
    <w:rsid w:val="00A86B36"/>
    <w:rsid w:val="00A87B74"/>
    <w:rsid w:val="00A87E11"/>
    <w:rsid w:val="00A903AC"/>
    <w:rsid w:val="00A90E84"/>
    <w:rsid w:val="00A91CC0"/>
    <w:rsid w:val="00A924E9"/>
    <w:rsid w:val="00A92571"/>
    <w:rsid w:val="00A92DA8"/>
    <w:rsid w:val="00A933F4"/>
    <w:rsid w:val="00A938A2"/>
    <w:rsid w:val="00A93D35"/>
    <w:rsid w:val="00A93DCF"/>
    <w:rsid w:val="00A94786"/>
    <w:rsid w:val="00A947C4"/>
    <w:rsid w:val="00A94D54"/>
    <w:rsid w:val="00A9575F"/>
    <w:rsid w:val="00A95E9E"/>
    <w:rsid w:val="00A96F2D"/>
    <w:rsid w:val="00A96F94"/>
    <w:rsid w:val="00A97CFD"/>
    <w:rsid w:val="00A97D0D"/>
    <w:rsid w:val="00AA0246"/>
    <w:rsid w:val="00AA16EF"/>
    <w:rsid w:val="00AA17D6"/>
    <w:rsid w:val="00AA18E6"/>
    <w:rsid w:val="00AA1FA3"/>
    <w:rsid w:val="00AA2E28"/>
    <w:rsid w:val="00AA331F"/>
    <w:rsid w:val="00AA37B5"/>
    <w:rsid w:val="00AA38FA"/>
    <w:rsid w:val="00AA392E"/>
    <w:rsid w:val="00AA3EE8"/>
    <w:rsid w:val="00AA3FAD"/>
    <w:rsid w:val="00AA4201"/>
    <w:rsid w:val="00AA498E"/>
    <w:rsid w:val="00AA4A7E"/>
    <w:rsid w:val="00AA51F7"/>
    <w:rsid w:val="00AA5EBF"/>
    <w:rsid w:val="00AA7A41"/>
    <w:rsid w:val="00AA7B33"/>
    <w:rsid w:val="00AB0347"/>
    <w:rsid w:val="00AB153E"/>
    <w:rsid w:val="00AB1AA8"/>
    <w:rsid w:val="00AB271F"/>
    <w:rsid w:val="00AB2750"/>
    <w:rsid w:val="00AB3667"/>
    <w:rsid w:val="00AB4707"/>
    <w:rsid w:val="00AB51A4"/>
    <w:rsid w:val="00AB51F1"/>
    <w:rsid w:val="00AB5C59"/>
    <w:rsid w:val="00AB5C7C"/>
    <w:rsid w:val="00AB5ED4"/>
    <w:rsid w:val="00AB6525"/>
    <w:rsid w:val="00AB66EA"/>
    <w:rsid w:val="00AB6B65"/>
    <w:rsid w:val="00AB7812"/>
    <w:rsid w:val="00AB7E94"/>
    <w:rsid w:val="00AC0E05"/>
    <w:rsid w:val="00AC0EB8"/>
    <w:rsid w:val="00AC1068"/>
    <w:rsid w:val="00AC13BB"/>
    <w:rsid w:val="00AC16A3"/>
    <w:rsid w:val="00AC239C"/>
    <w:rsid w:val="00AC25C2"/>
    <w:rsid w:val="00AC38C2"/>
    <w:rsid w:val="00AC46B0"/>
    <w:rsid w:val="00AC4B68"/>
    <w:rsid w:val="00AC4DE1"/>
    <w:rsid w:val="00AC5404"/>
    <w:rsid w:val="00AC5558"/>
    <w:rsid w:val="00AC5AC9"/>
    <w:rsid w:val="00AC5AEB"/>
    <w:rsid w:val="00AC6201"/>
    <w:rsid w:val="00AC6A54"/>
    <w:rsid w:val="00AC7525"/>
    <w:rsid w:val="00AC78B7"/>
    <w:rsid w:val="00AC7A68"/>
    <w:rsid w:val="00AD1D9D"/>
    <w:rsid w:val="00AD2192"/>
    <w:rsid w:val="00AD2621"/>
    <w:rsid w:val="00AD280B"/>
    <w:rsid w:val="00AD3FD1"/>
    <w:rsid w:val="00AD4039"/>
    <w:rsid w:val="00AD526F"/>
    <w:rsid w:val="00AD5346"/>
    <w:rsid w:val="00AD59BF"/>
    <w:rsid w:val="00AD655E"/>
    <w:rsid w:val="00AD6614"/>
    <w:rsid w:val="00AD6874"/>
    <w:rsid w:val="00AD6BD5"/>
    <w:rsid w:val="00AD7618"/>
    <w:rsid w:val="00AD762E"/>
    <w:rsid w:val="00AD7C8F"/>
    <w:rsid w:val="00AE2A1E"/>
    <w:rsid w:val="00AE31D5"/>
    <w:rsid w:val="00AE3E43"/>
    <w:rsid w:val="00AE3EE4"/>
    <w:rsid w:val="00AE3F63"/>
    <w:rsid w:val="00AE4B18"/>
    <w:rsid w:val="00AE4DE0"/>
    <w:rsid w:val="00AE50F6"/>
    <w:rsid w:val="00AE61A0"/>
    <w:rsid w:val="00AE68A4"/>
    <w:rsid w:val="00AE6DF1"/>
    <w:rsid w:val="00AE6F16"/>
    <w:rsid w:val="00AE7FFC"/>
    <w:rsid w:val="00AF0B15"/>
    <w:rsid w:val="00AF1068"/>
    <w:rsid w:val="00AF192D"/>
    <w:rsid w:val="00AF2705"/>
    <w:rsid w:val="00AF28FB"/>
    <w:rsid w:val="00AF2926"/>
    <w:rsid w:val="00AF2FD2"/>
    <w:rsid w:val="00AF3312"/>
    <w:rsid w:val="00AF472E"/>
    <w:rsid w:val="00AF5BE2"/>
    <w:rsid w:val="00AF6247"/>
    <w:rsid w:val="00AF6525"/>
    <w:rsid w:val="00AF6938"/>
    <w:rsid w:val="00AF6A42"/>
    <w:rsid w:val="00AF6AD2"/>
    <w:rsid w:val="00AF6CC6"/>
    <w:rsid w:val="00AF7115"/>
    <w:rsid w:val="00B005FF"/>
    <w:rsid w:val="00B00A62"/>
    <w:rsid w:val="00B01A77"/>
    <w:rsid w:val="00B0245C"/>
    <w:rsid w:val="00B02F7A"/>
    <w:rsid w:val="00B02F8D"/>
    <w:rsid w:val="00B03105"/>
    <w:rsid w:val="00B03157"/>
    <w:rsid w:val="00B03D86"/>
    <w:rsid w:val="00B045C1"/>
    <w:rsid w:val="00B06C87"/>
    <w:rsid w:val="00B0794A"/>
    <w:rsid w:val="00B07C6D"/>
    <w:rsid w:val="00B07F0E"/>
    <w:rsid w:val="00B103D5"/>
    <w:rsid w:val="00B109E8"/>
    <w:rsid w:val="00B11006"/>
    <w:rsid w:val="00B111AB"/>
    <w:rsid w:val="00B11270"/>
    <w:rsid w:val="00B11755"/>
    <w:rsid w:val="00B117E4"/>
    <w:rsid w:val="00B11A66"/>
    <w:rsid w:val="00B1210D"/>
    <w:rsid w:val="00B12252"/>
    <w:rsid w:val="00B126F7"/>
    <w:rsid w:val="00B12825"/>
    <w:rsid w:val="00B129E5"/>
    <w:rsid w:val="00B12DF0"/>
    <w:rsid w:val="00B12E78"/>
    <w:rsid w:val="00B13727"/>
    <w:rsid w:val="00B139F6"/>
    <w:rsid w:val="00B13CEB"/>
    <w:rsid w:val="00B14255"/>
    <w:rsid w:val="00B15046"/>
    <w:rsid w:val="00B16E44"/>
    <w:rsid w:val="00B16F59"/>
    <w:rsid w:val="00B17B5B"/>
    <w:rsid w:val="00B2022A"/>
    <w:rsid w:val="00B207AF"/>
    <w:rsid w:val="00B20E84"/>
    <w:rsid w:val="00B20F9C"/>
    <w:rsid w:val="00B21134"/>
    <w:rsid w:val="00B21567"/>
    <w:rsid w:val="00B2173E"/>
    <w:rsid w:val="00B222A3"/>
    <w:rsid w:val="00B22355"/>
    <w:rsid w:val="00B22645"/>
    <w:rsid w:val="00B227EA"/>
    <w:rsid w:val="00B22F78"/>
    <w:rsid w:val="00B23290"/>
    <w:rsid w:val="00B2377C"/>
    <w:rsid w:val="00B23F85"/>
    <w:rsid w:val="00B24961"/>
    <w:rsid w:val="00B25037"/>
    <w:rsid w:val="00B25DDC"/>
    <w:rsid w:val="00B26C08"/>
    <w:rsid w:val="00B2701A"/>
    <w:rsid w:val="00B307C6"/>
    <w:rsid w:val="00B30B07"/>
    <w:rsid w:val="00B316A6"/>
    <w:rsid w:val="00B31BD2"/>
    <w:rsid w:val="00B320DD"/>
    <w:rsid w:val="00B32208"/>
    <w:rsid w:val="00B3299B"/>
    <w:rsid w:val="00B32C8B"/>
    <w:rsid w:val="00B33945"/>
    <w:rsid w:val="00B33BEC"/>
    <w:rsid w:val="00B33E81"/>
    <w:rsid w:val="00B34398"/>
    <w:rsid w:val="00B34525"/>
    <w:rsid w:val="00B34A2E"/>
    <w:rsid w:val="00B34E71"/>
    <w:rsid w:val="00B35184"/>
    <w:rsid w:val="00B35C19"/>
    <w:rsid w:val="00B36B8B"/>
    <w:rsid w:val="00B37316"/>
    <w:rsid w:val="00B374D4"/>
    <w:rsid w:val="00B37666"/>
    <w:rsid w:val="00B37DD4"/>
    <w:rsid w:val="00B4081B"/>
    <w:rsid w:val="00B412A0"/>
    <w:rsid w:val="00B41DB5"/>
    <w:rsid w:val="00B42598"/>
    <w:rsid w:val="00B42891"/>
    <w:rsid w:val="00B42F6A"/>
    <w:rsid w:val="00B432BB"/>
    <w:rsid w:val="00B432C5"/>
    <w:rsid w:val="00B43E20"/>
    <w:rsid w:val="00B4485A"/>
    <w:rsid w:val="00B45076"/>
    <w:rsid w:val="00B45126"/>
    <w:rsid w:val="00B451AE"/>
    <w:rsid w:val="00B459D5"/>
    <w:rsid w:val="00B45F35"/>
    <w:rsid w:val="00B4613C"/>
    <w:rsid w:val="00B4617A"/>
    <w:rsid w:val="00B473A6"/>
    <w:rsid w:val="00B507E3"/>
    <w:rsid w:val="00B509E8"/>
    <w:rsid w:val="00B50E52"/>
    <w:rsid w:val="00B51070"/>
    <w:rsid w:val="00B514D5"/>
    <w:rsid w:val="00B51BF4"/>
    <w:rsid w:val="00B52283"/>
    <w:rsid w:val="00B53AA8"/>
    <w:rsid w:val="00B53D4B"/>
    <w:rsid w:val="00B540F3"/>
    <w:rsid w:val="00B54758"/>
    <w:rsid w:val="00B56AF1"/>
    <w:rsid w:val="00B56C69"/>
    <w:rsid w:val="00B57664"/>
    <w:rsid w:val="00B57D0F"/>
    <w:rsid w:val="00B60169"/>
    <w:rsid w:val="00B608DE"/>
    <w:rsid w:val="00B60CDB"/>
    <w:rsid w:val="00B61581"/>
    <w:rsid w:val="00B61F8A"/>
    <w:rsid w:val="00B624DF"/>
    <w:rsid w:val="00B624E1"/>
    <w:rsid w:val="00B62BE8"/>
    <w:rsid w:val="00B6322D"/>
    <w:rsid w:val="00B63761"/>
    <w:rsid w:val="00B64087"/>
    <w:rsid w:val="00B652AC"/>
    <w:rsid w:val="00B6585C"/>
    <w:rsid w:val="00B675A2"/>
    <w:rsid w:val="00B71313"/>
    <w:rsid w:val="00B71973"/>
    <w:rsid w:val="00B71FA3"/>
    <w:rsid w:val="00B72528"/>
    <w:rsid w:val="00B72BBC"/>
    <w:rsid w:val="00B73037"/>
    <w:rsid w:val="00B7331B"/>
    <w:rsid w:val="00B734E7"/>
    <w:rsid w:val="00B735B3"/>
    <w:rsid w:val="00B740D0"/>
    <w:rsid w:val="00B745C7"/>
    <w:rsid w:val="00B746AD"/>
    <w:rsid w:val="00B75708"/>
    <w:rsid w:val="00B75CBE"/>
    <w:rsid w:val="00B766B0"/>
    <w:rsid w:val="00B76876"/>
    <w:rsid w:val="00B77CF8"/>
    <w:rsid w:val="00B803CB"/>
    <w:rsid w:val="00B80491"/>
    <w:rsid w:val="00B8055F"/>
    <w:rsid w:val="00B80A61"/>
    <w:rsid w:val="00B80CF1"/>
    <w:rsid w:val="00B81751"/>
    <w:rsid w:val="00B818BB"/>
    <w:rsid w:val="00B819BF"/>
    <w:rsid w:val="00B82385"/>
    <w:rsid w:val="00B824BE"/>
    <w:rsid w:val="00B829A9"/>
    <w:rsid w:val="00B83F83"/>
    <w:rsid w:val="00B84F21"/>
    <w:rsid w:val="00B85696"/>
    <w:rsid w:val="00B85EB8"/>
    <w:rsid w:val="00B85F44"/>
    <w:rsid w:val="00B866A7"/>
    <w:rsid w:val="00B86DF5"/>
    <w:rsid w:val="00B8751A"/>
    <w:rsid w:val="00B8770E"/>
    <w:rsid w:val="00B87A38"/>
    <w:rsid w:val="00B90277"/>
    <w:rsid w:val="00B904BD"/>
    <w:rsid w:val="00B90C97"/>
    <w:rsid w:val="00B90DE3"/>
    <w:rsid w:val="00B90EC1"/>
    <w:rsid w:val="00B91022"/>
    <w:rsid w:val="00B910BF"/>
    <w:rsid w:val="00B91D66"/>
    <w:rsid w:val="00B92646"/>
    <w:rsid w:val="00B9314B"/>
    <w:rsid w:val="00B93C3B"/>
    <w:rsid w:val="00B940EA"/>
    <w:rsid w:val="00B9474A"/>
    <w:rsid w:val="00B953A9"/>
    <w:rsid w:val="00B9567E"/>
    <w:rsid w:val="00B957F8"/>
    <w:rsid w:val="00B95FD6"/>
    <w:rsid w:val="00B96A55"/>
    <w:rsid w:val="00B96B18"/>
    <w:rsid w:val="00B96CD1"/>
    <w:rsid w:val="00B975AB"/>
    <w:rsid w:val="00BA0BFA"/>
    <w:rsid w:val="00BA0E14"/>
    <w:rsid w:val="00BA1CBD"/>
    <w:rsid w:val="00BA2FEF"/>
    <w:rsid w:val="00BA3100"/>
    <w:rsid w:val="00BA3A07"/>
    <w:rsid w:val="00BA3A4C"/>
    <w:rsid w:val="00BA3FB8"/>
    <w:rsid w:val="00BA4AA2"/>
    <w:rsid w:val="00BA4D1F"/>
    <w:rsid w:val="00BA64EA"/>
    <w:rsid w:val="00BA665A"/>
    <w:rsid w:val="00BA6A77"/>
    <w:rsid w:val="00BA71CF"/>
    <w:rsid w:val="00BB0C4A"/>
    <w:rsid w:val="00BB10AB"/>
    <w:rsid w:val="00BB10BA"/>
    <w:rsid w:val="00BB18E3"/>
    <w:rsid w:val="00BB1B3F"/>
    <w:rsid w:val="00BB212C"/>
    <w:rsid w:val="00BB22E3"/>
    <w:rsid w:val="00BB2CD8"/>
    <w:rsid w:val="00BB3620"/>
    <w:rsid w:val="00BB4089"/>
    <w:rsid w:val="00BB40F6"/>
    <w:rsid w:val="00BB446F"/>
    <w:rsid w:val="00BB4DF4"/>
    <w:rsid w:val="00BB4FD9"/>
    <w:rsid w:val="00BB54DD"/>
    <w:rsid w:val="00BB57ED"/>
    <w:rsid w:val="00BB5D42"/>
    <w:rsid w:val="00BB6465"/>
    <w:rsid w:val="00BB6924"/>
    <w:rsid w:val="00BB6A0E"/>
    <w:rsid w:val="00BB6E1D"/>
    <w:rsid w:val="00BB717B"/>
    <w:rsid w:val="00BC0098"/>
    <w:rsid w:val="00BC048B"/>
    <w:rsid w:val="00BC07C5"/>
    <w:rsid w:val="00BC102D"/>
    <w:rsid w:val="00BC11DC"/>
    <w:rsid w:val="00BC2DA7"/>
    <w:rsid w:val="00BC2DBF"/>
    <w:rsid w:val="00BC3224"/>
    <w:rsid w:val="00BC4447"/>
    <w:rsid w:val="00BC49D9"/>
    <w:rsid w:val="00BC58DF"/>
    <w:rsid w:val="00BC5BFB"/>
    <w:rsid w:val="00BC5C74"/>
    <w:rsid w:val="00BC6BB8"/>
    <w:rsid w:val="00BC7ABD"/>
    <w:rsid w:val="00BC7FA1"/>
    <w:rsid w:val="00BD03A1"/>
    <w:rsid w:val="00BD07B8"/>
    <w:rsid w:val="00BD086C"/>
    <w:rsid w:val="00BD1A9A"/>
    <w:rsid w:val="00BD2F4E"/>
    <w:rsid w:val="00BD37AA"/>
    <w:rsid w:val="00BD4028"/>
    <w:rsid w:val="00BD42ED"/>
    <w:rsid w:val="00BD574E"/>
    <w:rsid w:val="00BD62B3"/>
    <w:rsid w:val="00BD6F4A"/>
    <w:rsid w:val="00BD75A6"/>
    <w:rsid w:val="00BE00D8"/>
    <w:rsid w:val="00BE1190"/>
    <w:rsid w:val="00BE11D2"/>
    <w:rsid w:val="00BE1CF2"/>
    <w:rsid w:val="00BE1D62"/>
    <w:rsid w:val="00BE2246"/>
    <w:rsid w:val="00BE2A12"/>
    <w:rsid w:val="00BE2AC9"/>
    <w:rsid w:val="00BE35D3"/>
    <w:rsid w:val="00BE3AC8"/>
    <w:rsid w:val="00BE4A81"/>
    <w:rsid w:val="00BE564D"/>
    <w:rsid w:val="00BE58E9"/>
    <w:rsid w:val="00BE6401"/>
    <w:rsid w:val="00BE6819"/>
    <w:rsid w:val="00BE685B"/>
    <w:rsid w:val="00BE69F2"/>
    <w:rsid w:val="00BE6A9F"/>
    <w:rsid w:val="00BE6F6B"/>
    <w:rsid w:val="00BE7233"/>
    <w:rsid w:val="00BE73F4"/>
    <w:rsid w:val="00BE7531"/>
    <w:rsid w:val="00BE781C"/>
    <w:rsid w:val="00BE7B26"/>
    <w:rsid w:val="00BE7B74"/>
    <w:rsid w:val="00BF09B9"/>
    <w:rsid w:val="00BF10A6"/>
    <w:rsid w:val="00BF1CA0"/>
    <w:rsid w:val="00BF2F09"/>
    <w:rsid w:val="00BF323C"/>
    <w:rsid w:val="00BF3A67"/>
    <w:rsid w:val="00BF3E99"/>
    <w:rsid w:val="00BF4543"/>
    <w:rsid w:val="00BF51AD"/>
    <w:rsid w:val="00BF5A36"/>
    <w:rsid w:val="00BF5BA5"/>
    <w:rsid w:val="00BF6D84"/>
    <w:rsid w:val="00BF6FF8"/>
    <w:rsid w:val="00BF7058"/>
    <w:rsid w:val="00BF7852"/>
    <w:rsid w:val="00C0049C"/>
    <w:rsid w:val="00C004E6"/>
    <w:rsid w:val="00C011FC"/>
    <w:rsid w:val="00C01627"/>
    <w:rsid w:val="00C01667"/>
    <w:rsid w:val="00C01E70"/>
    <w:rsid w:val="00C024EC"/>
    <w:rsid w:val="00C029EA"/>
    <w:rsid w:val="00C03494"/>
    <w:rsid w:val="00C03892"/>
    <w:rsid w:val="00C04596"/>
    <w:rsid w:val="00C04860"/>
    <w:rsid w:val="00C04A28"/>
    <w:rsid w:val="00C04E49"/>
    <w:rsid w:val="00C05497"/>
    <w:rsid w:val="00C0584F"/>
    <w:rsid w:val="00C05A69"/>
    <w:rsid w:val="00C05D3F"/>
    <w:rsid w:val="00C06917"/>
    <w:rsid w:val="00C06D32"/>
    <w:rsid w:val="00C07142"/>
    <w:rsid w:val="00C074BD"/>
    <w:rsid w:val="00C07B58"/>
    <w:rsid w:val="00C10B76"/>
    <w:rsid w:val="00C10DD7"/>
    <w:rsid w:val="00C11981"/>
    <w:rsid w:val="00C1280B"/>
    <w:rsid w:val="00C12949"/>
    <w:rsid w:val="00C12C8E"/>
    <w:rsid w:val="00C12DAF"/>
    <w:rsid w:val="00C13E9B"/>
    <w:rsid w:val="00C13F2A"/>
    <w:rsid w:val="00C144DA"/>
    <w:rsid w:val="00C16128"/>
    <w:rsid w:val="00C1686D"/>
    <w:rsid w:val="00C16C72"/>
    <w:rsid w:val="00C16F11"/>
    <w:rsid w:val="00C17288"/>
    <w:rsid w:val="00C17A00"/>
    <w:rsid w:val="00C17DD7"/>
    <w:rsid w:val="00C20142"/>
    <w:rsid w:val="00C20779"/>
    <w:rsid w:val="00C20886"/>
    <w:rsid w:val="00C21295"/>
    <w:rsid w:val="00C215DB"/>
    <w:rsid w:val="00C216B4"/>
    <w:rsid w:val="00C21B1F"/>
    <w:rsid w:val="00C221AF"/>
    <w:rsid w:val="00C22626"/>
    <w:rsid w:val="00C22ED5"/>
    <w:rsid w:val="00C22F53"/>
    <w:rsid w:val="00C234DC"/>
    <w:rsid w:val="00C244DF"/>
    <w:rsid w:val="00C24A78"/>
    <w:rsid w:val="00C2554B"/>
    <w:rsid w:val="00C25A2A"/>
    <w:rsid w:val="00C25FDF"/>
    <w:rsid w:val="00C264D4"/>
    <w:rsid w:val="00C26B0F"/>
    <w:rsid w:val="00C278BF"/>
    <w:rsid w:val="00C306AF"/>
    <w:rsid w:val="00C3095B"/>
    <w:rsid w:val="00C32F45"/>
    <w:rsid w:val="00C331EA"/>
    <w:rsid w:val="00C333C0"/>
    <w:rsid w:val="00C33645"/>
    <w:rsid w:val="00C33655"/>
    <w:rsid w:val="00C33BF5"/>
    <w:rsid w:val="00C34707"/>
    <w:rsid w:val="00C34CFF"/>
    <w:rsid w:val="00C358A7"/>
    <w:rsid w:val="00C36092"/>
    <w:rsid w:val="00C3610D"/>
    <w:rsid w:val="00C368F6"/>
    <w:rsid w:val="00C403E3"/>
    <w:rsid w:val="00C404D2"/>
    <w:rsid w:val="00C406F5"/>
    <w:rsid w:val="00C41CBD"/>
    <w:rsid w:val="00C42F29"/>
    <w:rsid w:val="00C43C29"/>
    <w:rsid w:val="00C44709"/>
    <w:rsid w:val="00C44BB5"/>
    <w:rsid w:val="00C453C1"/>
    <w:rsid w:val="00C45C11"/>
    <w:rsid w:val="00C45C2A"/>
    <w:rsid w:val="00C47042"/>
    <w:rsid w:val="00C4741B"/>
    <w:rsid w:val="00C47467"/>
    <w:rsid w:val="00C47E34"/>
    <w:rsid w:val="00C502C5"/>
    <w:rsid w:val="00C51106"/>
    <w:rsid w:val="00C52A7C"/>
    <w:rsid w:val="00C5301E"/>
    <w:rsid w:val="00C5308A"/>
    <w:rsid w:val="00C54168"/>
    <w:rsid w:val="00C54315"/>
    <w:rsid w:val="00C552E1"/>
    <w:rsid w:val="00C55697"/>
    <w:rsid w:val="00C576FB"/>
    <w:rsid w:val="00C57A6B"/>
    <w:rsid w:val="00C57DC2"/>
    <w:rsid w:val="00C615C1"/>
    <w:rsid w:val="00C61B2E"/>
    <w:rsid w:val="00C61C37"/>
    <w:rsid w:val="00C61E1D"/>
    <w:rsid w:val="00C62D49"/>
    <w:rsid w:val="00C6400B"/>
    <w:rsid w:val="00C645B2"/>
    <w:rsid w:val="00C64AF4"/>
    <w:rsid w:val="00C64FC0"/>
    <w:rsid w:val="00C65E5F"/>
    <w:rsid w:val="00C66A64"/>
    <w:rsid w:val="00C66FC8"/>
    <w:rsid w:val="00C67F55"/>
    <w:rsid w:val="00C704F7"/>
    <w:rsid w:val="00C706D8"/>
    <w:rsid w:val="00C71999"/>
    <w:rsid w:val="00C71D9B"/>
    <w:rsid w:val="00C725A4"/>
    <w:rsid w:val="00C727AA"/>
    <w:rsid w:val="00C72B34"/>
    <w:rsid w:val="00C7396B"/>
    <w:rsid w:val="00C74460"/>
    <w:rsid w:val="00C74592"/>
    <w:rsid w:val="00C74634"/>
    <w:rsid w:val="00C74768"/>
    <w:rsid w:val="00C749E7"/>
    <w:rsid w:val="00C74DC4"/>
    <w:rsid w:val="00C74FC9"/>
    <w:rsid w:val="00C754C1"/>
    <w:rsid w:val="00C75630"/>
    <w:rsid w:val="00C75635"/>
    <w:rsid w:val="00C75C15"/>
    <w:rsid w:val="00C75C54"/>
    <w:rsid w:val="00C76AFB"/>
    <w:rsid w:val="00C77373"/>
    <w:rsid w:val="00C77418"/>
    <w:rsid w:val="00C77728"/>
    <w:rsid w:val="00C806D4"/>
    <w:rsid w:val="00C80F2D"/>
    <w:rsid w:val="00C816A6"/>
    <w:rsid w:val="00C8227C"/>
    <w:rsid w:val="00C83A4C"/>
    <w:rsid w:val="00C84399"/>
    <w:rsid w:val="00C85A13"/>
    <w:rsid w:val="00C85BD9"/>
    <w:rsid w:val="00C85E1D"/>
    <w:rsid w:val="00C86ECB"/>
    <w:rsid w:val="00C8728D"/>
    <w:rsid w:val="00C87B1A"/>
    <w:rsid w:val="00C87ED2"/>
    <w:rsid w:val="00C90730"/>
    <w:rsid w:val="00C90A39"/>
    <w:rsid w:val="00C90E90"/>
    <w:rsid w:val="00C914BA"/>
    <w:rsid w:val="00C91A43"/>
    <w:rsid w:val="00C91F3D"/>
    <w:rsid w:val="00C9239C"/>
    <w:rsid w:val="00C9259B"/>
    <w:rsid w:val="00C92A56"/>
    <w:rsid w:val="00C92ADC"/>
    <w:rsid w:val="00C9312C"/>
    <w:rsid w:val="00C9336A"/>
    <w:rsid w:val="00C947C7"/>
    <w:rsid w:val="00C94A93"/>
    <w:rsid w:val="00C94ECB"/>
    <w:rsid w:val="00C95334"/>
    <w:rsid w:val="00C95716"/>
    <w:rsid w:val="00C95FD0"/>
    <w:rsid w:val="00C96125"/>
    <w:rsid w:val="00C96C3B"/>
    <w:rsid w:val="00C9774B"/>
    <w:rsid w:val="00CA02E7"/>
    <w:rsid w:val="00CA0D15"/>
    <w:rsid w:val="00CA1959"/>
    <w:rsid w:val="00CA1C3C"/>
    <w:rsid w:val="00CA2C89"/>
    <w:rsid w:val="00CA2D14"/>
    <w:rsid w:val="00CA3D72"/>
    <w:rsid w:val="00CA460A"/>
    <w:rsid w:val="00CA472E"/>
    <w:rsid w:val="00CA4B22"/>
    <w:rsid w:val="00CA4CB7"/>
    <w:rsid w:val="00CA538E"/>
    <w:rsid w:val="00CA59DD"/>
    <w:rsid w:val="00CA60F5"/>
    <w:rsid w:val="00CA6128"/>
    <w:rsid w:val="00CA6922"/>
    <w:rsid w:val="00CA6CD8"/>
    <w:rsid w:val="00CA70E5"/>
    <w:rsid w:val="00CA7BB6"/>
    <w:rsid w:val="00CA7C25"/>
    <w:rsid w:val="00CB00B5"/>
    <w:rsid w:val="00CB0A03"/>
    <w:rsid w:val="00CB0D5F"/>
    <w:rsid w:val="00CB0E9F"/>
    <w:rsid w:val="00CB145F"/>
    <w:rsid w:val="00CB1B90"/>
    <w:rsid w:val="00CB1E70"/>
    <w:rsid w:val="00CB2292"/>
    <w:rsid w:val="00CB2EBE"/>
    <w:rsid w:val="00CB45E3"/>
    <w:rsid w:val="00CB477C"/>
    <w:rsid w:val="00CB49DF"/>
    <w:rsid w:val="00CB4C37"/>
    <w:rsid w:val="00CB4C70"/>
    <w:rsid w:val="00CB519E"/>
    <w:rsid w:val="00CB5674"/>
    <w:rsid w:val="00CB5C13"/>
    <w:rsid w:val="00CB6D3C"/>
    <w:rsid w:val="00CB7AA6"/>
    <w:rsid w:val="00CB7BEF"/>
    <w:rsid w:val="00CB7F62"/>
    <w:rsid w:val="00CC0765"/>
    <w:rsid w:val="00CC1AC6"/>
    <w:rsid w:val="00CC1AEF"/>
    <w:rsid w:val="00CC21BF"/>
    <w:rsid w:val="00CC2CBD"/>
    <w:rsid w:val="00CC2F97"/>
    <w:rsid w:val="00CC330E"/>
    <w:rsid w:val="00CC3666"/>
    <w:rsid w:val="00CC3BF1"/>
    <w:rsid w:val="00CC4C32"/>
    <w:rsid w:val="00CC5198"/>
    <w:rsid w:val="00CC56E7"/>
    <w:rsid w:val="00CC7EC0"/>
    <w:rsid w:val="00CD07B7"/>
    <w:rsid w:val="00CD0B65"/>
    <w:rsid w:val="00CD17F3"/>
    <w:rsid w:val="00CD2C1A"/>
    <w:rsid w:val="00CD30F3"/>
    <w:rsid w:val="00CD3735"/>
    <w:rsid w:val="00CD3854"/>
    <w:rsid w:val="00CD500E"/>
    <w:rsid w:val="00CD58D8"/>
    <w:rsid w:val="00CD5932"/>
    <w:rsid w:val="00CD5DB1"/>
    <w:rsid w:val="00CD62A9"/>
    <w:rsid w:val="00CD667A"/>
    <w:rsid w:val="00CD66F0"/>
    <w:rsid w:val="00CD7313"/>
    <w:rsid w:val="00CD7401"/>
    <w:rsid w:val="00CD7AAD"/>
    <w:rsid w:val="00CD7C83"/>
    <w:rsid w:val="00CE07EA"/>
    <w:rsid w:val="00CE08C9"/>
    <w:rsid w:val="00CE134D"/>
    <w:rsid w:val="00CE2790"/>
    <w:rsid w:val="00CE2B21"/>
    <w:rsid w:val="00CE37D5"/>
    <w:rsid w:val="00CE383E"/>
    <w:rsid w:val="00CE3A20"/>
    <w:rsid w:val="00CE3C24"/>
    <w:rsid w:val="00CE4468"/>
    <w:rsid w:val="00CE586D"/>
    <w:rsid w:val="00CE68BF"/>
    <w:rsid w:val="00CE761E"/>
    <w:rsid w:val="00CF0156"/>
    <w:rsid w:val="00CF0749"/>
    <w:rsid w:val="00CF0D0D"/>
    <w:rsid w:val="00CF16D8"/>
    <w:rsid w:val="00CF1A48"/>
    <w:rsid w:val="00CF1DF9"/>
    <w:rsid w:val="00CF263C"/>
    <w:rsid w:val="00CF2779"/>
    <w:rsid w:val="00CF2B96"/>
    <w:rsid w:val="00CF2EC1"/>
    <w:rsid w:val="00CF4357"/>
    <w:rsid w:val="00CF4642"/>
    <w:rsid w:val="00CF5049"/>
    <w:rsid w:val="00CF587F"/>
    <w:rsid w:val="00CF5B0B"/>
    <w:rsid w:val="00CF64BC"/>
    <w:rsid w:val="00CF696F"/>
    <w:rsid w:val="00CF6BF0"/>
    <w:rsid w:val="00CF7100"/>
    <w:rsid w:val="00CF787F"/>
    <w:rsid w:val="00CF7DA6"/>
    <w:rsid w:val="00CF7F61"/>
    <w:rsid w:val="00D0067E"/>
    <w:rsid w:val="00D01B25"/>
    <w:rsid w:val="00D01C18"/>
    <w:rsid w:val="00D023BB"/>
    <w:rsid w:val="00D024CB"/>
    <w:rsid w:val="00D02C69"/>
    <w:rsid w:val="00D030FE"/>
    <w:rsid w:val="00D0327E"/>
    <w:rsid w:val="00D037C7"/>
    <w:rsid w:val="00D0488A"/>
    <w:rsid w:val="00D04DFD"/>
    <w:rsid w:val="00D05054"/>
    <w:rsid w:val="00D05182"/>
    <w:rsid w:val="00D05BED"/>
    <w:rsid w:val="00D064AA"/>
    <w:rsid w:val="00D064C3"/>
    <w:rsid w:val="00D07894"/>
    <w:rsid w:val="00D07DAA"/>
    <w:rsid w:val="00D10330"/>
    <w:rsid w:val="00D107A7"/>
    <w:rsid w:val="00D12700"/>
    <w:rsid w:val="00D12838"/>
    <w:rsid w:val="00D1309F"/>
    <w:rsid w:val="00D14EC2"/>
    <w:rsid w:val="00D1553F"/>
    <w:rsid w:val="00D1698D"/>
    <w:rsid w:val="00D17149"/>
    <w:rsid w:val="00D1772F"/>
    <w:rsid w:val="00D17F38"/>
    <w:rsid w:val="00D206A7"/>
    <w:rsid w:val="00D20AF4"/>
    <w:rsid w:val="00D228BA"/>
    <w:rsid w:val="00D254EB"/>
    <w:rsid w:val="00D2564C"/>
    <w:rsid w:val="00D25C78"/>
    <w:rsid w:val="00D26C45"/>
    <w:rsid w:val="00D26F0A"/>
    <w:rsid w:val="00D26F52"/>
    <w:rsid w:val="00D30055"/>
    <w:rsid w:val="00D30390"/>
    <w:rsid w:val="00D30502"/>
    <w:rsid w:val="00D30C85"/>
    <w:rsid w:val="00D3138A"/>
    <w:rsid w:val="00D31574"/>
    <w:rsid w:val="00D31803"/>
    <w:rsid w:val="00D31B86"/>
    <w:rsid w:val="00D31DF0"/>
    <w:rsid w:val="00D31EE2"/>
    <w:rsid w:val="00D32375"/>
    <w:rsid w:val="00D329E8"/>
    <w:rsid w:val="00D3308A"/>
    <w:rsid w:val="00D333EA"/>
    <w:rsid w:val="00D348E4"/>
    <w:rsid w:val="00D34B6C"/>
    <w:rsid w:val="00D35C4D"/>
    <w:rsid w:val="00D35CC2"/>
    <w:rsid w:val="00D36987"/>
    <w:rsid w:val="00D36ADA"/>
    <w:rsid w:val="00D3701A"/>
    <w:rsid w:val="00D37396"/>
    <w:rsid w:val="00D3746D"/>
    <w:rsid w:val="00D37652"/>
    <w:rsid w:val="00D37AB5"/>
    <w:rsid w:val="00D400B6"/>
    <w:rsid w:val="00D41377"/>
    <w:rsid w:val="00D41810"/>
    <w:rsid w:val="00D41A88"/>
    <w:rsid w:val="00D43339"/>
    <w:rsid w:val="00D43C7A"/>
    <w:rsid w:val="00D44119"/>
    <w:rsid w:val="00D45207"/>
    <w:rsid w:val="00D45814"/>
    <w:rsid w:val="00D45B9C"/>
    <w:rsid w:val="00D47259"/>
    <w:rsid w:val="00D5083D"/>
    <w:rsid w:val="00D5086E"/>
    <w:rsid w:val="00D5089E"/>
    <w:rsid w:val="00D51959"/>
    <w:rsid w:val="00D519DF"/>
    <w:rsid w:val="00D52B07"/>
    <w:rsid w:val="00D52B8E"/>
    <w:rsid w:val="00D52E05"/>
    <w:rsid w:val="00D53145"/>
    <w:rsid w:val="00D5318C"/>
    <w:rsid w:val="00D5338F"/>
    <w:rsid w:val="00D53BBB"/>
    <w:rsid w:val="00D54D4D"/>
    <w:rsid w:val="00D54E3C"/>
    <w:rsid w:val="00D54F2D"/>
    <w:rsid w:val="00D54F8F"/>
    <w:rsid w:val="00D551C6"/>
    <w:rsid w:val="00D55526"/>
    <w:rsid w:val="00D562F4"/>
    <w:rsid w:val="00D57100"/>
    <w:rsid w:val="00D57A3C"/>
    <w:rsid w:val="00D57AA6"/>
    <w:rsid w:val="00D606FC"/>
    <w:rsid w:val="00D60AA5"/>
    <w:rsid w:val="00D60E6B"/>
    <w:rsid w:val="00D61098"/>
    <w:rsid w:val="00D62237"/>
    <w:rsid w:val="00D62E0B"/>
    <w:rsid w:val="00D62E8E"/>
    <w:rsid w:val="00D62EF6"/>
    <w:rsid w:val="00D637C9"/>
    <w:rsid w:val="00D6473A"/>
    <w:rsid w:val="00D64B65"/>
    <w:rsid w:val="00D64ED3"/>
    <w:rsid w:val="00D65020"/>
    <w:rsid w:val="00D654B2"/>
    <w:rsid w:val="00D65585"/>
    <w:rsid w:val="00D656B5"/>
    <w:rsid w:val="00D6596A"/>
    <w:rsid w:val="00D65DF0"/>
    <w:rsid w:val="00D664AB"/>
    <w:rsid w:val="00D66CA1"/>
    <w:rsid w:val="00D679A0"/>
    <w:rsid w:val="00D701E7"/>
    <w:rsid w:val="00D70803"/>
    <w:rsid w:val="00D70834"/>
    <w:rsid w:val="00D70B4E"/>
    <w:rsid w:val="00D71499"/>
    <w:rsid w:val="00D71611"/>
    <w:rsid w:val="00D722A4"/>
    <w:rsid w:val="00D7237F"/>
    <w:rsid w:val="00D72A13"/>
    <w:rsid w:val="00D733A6"/>
    <w:rsid w:val="00D73691"/>
    <w:rsid w:val="00D73BD5"/>
    <w:rsid w:val="00D73CCE"/>
    <w:rsid w:val="00D74429"/>
    <w:rsid w:val="00D74CC5"/>
    <w:rsid w:val="00D755D0"/>
    <w:rsid w:val="00D759D2"/>
    <w:rsid w:val="00D75B3D"/>
    <w:rsid w:val="00D75F6E"/>
    <w:rsid w:val="00D75FAA"/>
    <w:rsid w:val="00D76A5F"/>
    <w:rsid w:val="00D76CCC"/>
    <w:rsid w:val="00D7791E"/>
    <w:rsid w:val="00D77B7C"/>
    <w:rsid w:val="00D80589"/>
    <w:rsid w:val="00D809A1"/>
    <w:rsid w:val="00D80E41"/>
    <w:rsid w:val="00D80E62"/>
    <w:rsid w:val="00D810C4"/>
    <w:rsid w:val="00D81F21"/>
    <w:rsid w:val="00D827A8"/>
    <w:rsid w:val="00D82959"/>
    <w:rsid w:val="00D829FA"/>
    <w:rsid w:val="00D82B85"/>
    <w:rsid w:val="00D83274"/>
    <w:rsid w:val="00D83275"/>
    <w:rsid w:val="00D83697"/>
    <w:rsid w:val="00D836F7"/>
    <w:rsid w:val="00D83B9C"/>
    <w:rsid w:val="00D83BD7"/>
    <w:rsid w:val="00D847E9"/>
    <w:rsid w:val="00D85067"/>
    <w:rsid w:val="00D8508C"/>
    <w:rsid w:val="00D85D61"/>
    <w:rsid w:val="00D861B0"/>
    <w:rsid w:val="00D866F3"/>
    <w:rsid w:val="00D86CFD"/>
    <w:rsid w:val="00D908F6"/>
    <w:rsid w:val="00D90939"/>
    <w:rsid w:val="00D90C06"/>
    <w:rsid w:val="00D91DD4"/>
    <w:rsid w:val="00D92358"/>
    <w:rsid w:val="00D92C2F"/>
    <w:rsid w:val="00D92D43"/>
    <w:rsid w:val="00D93049"/>
    <w:rsid w:val="00D93DA7"/>
    <w:rsid w:val="00D9478D"/>
    <w:rsid w:val="00D9481D"/>
    <w:rsid w:val="00D951F1"/>
    <w:rsid w:val="00D95BF7"/>
    <w:rsid w:val="00D95DE1"/>
    <w:rsid w:val="00D96B52"/>
    <w:rsid w:val="00D97107"/>
    <w:rsid w:val="00D9777E"/>
    <w:rsid w:val="00DA07D5"/>
    <w:rsid w:val="00DA0BA4"/>
    <w:rsid w:val="00DA1186"/>
    <w:rsid w:val="00DA1955"/>
    <w:rsid w:val="00DA26CF"/>
    <w:rsid w:val="00DA31EF"/>
    <w:rsid w:val="00DA3434"/>
    <w:rsid w:val="00DA389C"/>
    <w:rsid w:val="00DA419A"/>
    <w:rsid w:val="00DA43B1"/>
    <w:rsid w:val="00DA43CE"/>
    <w:rsid w:val="00DA4EA4"/>
    <w:rsid w:val="00DA6DC0"/>
    <w:rsid w:val="00DA7213"/>
    <w:rsid w:val="00DA7AC5"/>
    <w:rsid w:val="00DA7BF9"/>
    <w:rsid w:val="00DB0E34"/>
    <w:rsid w:val="00DB0E62"/>
    <w:rsid w:val="00DB1441"/>
    <w:rsid w:val="00DB2E81"/>
    <w:rsid w:val="00DB468D"/>
    <w:rsid w:val="00DB4E32"/>
    <w:rsid w:val="00DB579F"/>
    <w:rsid w:val="00DB57FC"/>
    <w:rsid w:val="00DB59AE"/>
    <w:rsid w:val="00DB5BDA"/>
    <w:rsid w:val="00DB5C72"/>
    <w:rsid w:val="00DB60E3"/>
    <w:rsid w:val="00DB6E7E"/>
    <w:rsid w:val="00DB7754"/>
    <w:rsid w:val="00DC0644"/>
    <w:rsid w:val="00DC082D"/>
    <w:rsid w:val="00DC0BEF"/>
    <w:rsid w:val="00DC0EDA"/>
    <w:rsid w:val="00DC0FBE"/>
    <w:rsid w:val="00DC1677"/>
    <w:rsid w:val="00DC176D"/>
    <w:rsid w:val="00DC2841"/>
    <w:rsid w:val="00DC2CBE"/>
    <w:rsid w:val="00DC356E"/>
    <w:rsid w:val="00DC35D4"/>
    <w:rsid w:val="00DC45F8"/>
    <w:rsid w:val="00DC4B08"/>
    <w:rsid w:val="00DC6062"/>
    <w:rsid w:val="00DC60FE"/>
    <w:rsid w:val="00DC61B2"/>
    <w:rsid w:val="00DC74BD"/>
    <w:rsid w:val="00DD00C1"/>
    <w:rsid w:val="00DD0333"/>
    <w:rsid w:val="00DD0C0B"/>
    <w:rsid w:val="00DD1567"/>
    <w:rsid w:val="00DD1626"/>
    <w:rsid w:val="00DD1A1A"/>
    <w:rsid w:val="00DD2EA8"/>
    <w:rsid w:val="00DD343A"/>
    <w:rsid w:val="00DD3808"/>
    <w:rsid w:val="00DD3BE9"/>
    <w:rsid w:val="00DD3F6A"/>
    <w:rsid w:val="00DD4B4A"/>
    <w:rsid w:val="00DD57A4"/>
    <w:rsid w:val="00DD5B8D"/>
    <w:rsid w:val="00DD65A1"/>
    <w:rsid w:val="00DD6974"/>
    <w:rsid w:val="00DD7C9A"/>
    <w:rsid w:val="00DE00FD"/>
    <w:rsid w:val="00DE056B"/>
    <w:rsid w:val="00DE06C4"/>
    <w:rsid w:val="00DE0D69"/>
    <w:rsid w:val="00DE1A7F"/>
    <w:rsid w:val="00DE1E6A"/>
    <w:rsid w:val="00DE1F12"/>
    <w:rsid w:val="00DE2706"/>
    <w:rsid w:val="00DE2E02"/>
    <w:rsid w:val="00DE2F9E"/>
    <w:rsid w:val="00DE30C0"/>
    <w:rsid w:val="00DE36BB"/>
    <w:rsid w:val="00DE41DD"/>
    <w:rsid w:val="00DE4501"/>
    <w:rsid w:val="00DE4669"/>
    <w:rsid w:val="00DE470F"/>
    <w:rsid w:val="00DE4F51"/>
    <w:rsid w:val="00DE57A6"/>
    <w:rsid w:val="00DE63EA"/>
    <w:rsid w:val="00DE6A9B"/>
    <w:rsid w:val="00DE6AD2"/>
    <w:rsid w:val="00DE6BF0"/>
    <w:rsid w:val="00DE6C67"/>
    <w:rsid w:val="00DE6C80"/>
    <w:rsid w:val="00DE753B"/>
    <w:rsid w:val="00DE7DE5"/>
    <w:rsid w:val="00DF0C81"/>
    <w:rsid w:val="00DF21BC"/>
    <w:rsid w:val="00DF25BA"/>
    <w:rsid w:val="00DF2940"/>
    <w:rsid w:val="00DF3565"/>
    <w:rsid w:val="00DF36AD"/>
    <w:rsid w:val="00DF3855"/>
    <w:rsid w:val="00DF3CAA"/>
    <w:rsid w:val="00DF3CC8"/>
    <w:rsid w:val="00DF4045"/>
    <w:rsid w:val="00DF4967"/>
    <w:rsid w:val="00DF4C71"/>
    <w:rsid w:val="00DF4D6D"/>
    <w:rsid w:val="00DF4DBF"/>
    <w:rsid w:val="00DF4E6E"/>
    <w:rsid w:val="00DF53AC"/>
    <w:rsid w:val="00DF5A2B"/>
    <w:rsid w:val="00DF5CA8"/>
    <w:rsid w:val="00DF6336"/>
    <w:rsid w:val="00DF638A"/>
    <w:rsid w:val="00DF64CA"/>
    <w:rsid w:val="00DF687A"/>
    <w:rsid w:val="00DF6BB2"/>
    <w:rsid w:val="00DF7397"/>
    <w:rsid w:val="00E009AD"/>
    <w:rsid w:val="00E00EF4"/>
    <w:rsid w:val="00E01A41"/>
    <w:rsid w:val="00E02548"/>
    <w:rsid w:val="00E02628"/>
    <w:rsid w:val="00E0296D"/>
    <w:rsid w:val="00E02FB3"/>
    <w:rsid w:val="00E0320B"/>
    <w:rsid w:val="00E043D5"/>
    <w:rsid w:val="00E04574"/>
    <w:rsid w:val="00E048F0"/>
    <w:rsid w:val="00E0502C"/>
    <w:rsid w:val="00E052F4"/>
    <w:rsid w:val="00E0543E"/>
    <w:rsid w:val="00E05926"/>
    <w:rsid w:val="00E05B6A"/>
    <w:rsid w:val="00E060D2"/>
    <w:rsid w:val="00E063EF"/>
    <w:rsid w:val="00E065C6"/>
    <w:rsid w:val="00E0770F"/>
    <w:rsid w:val="00E07C22"/>
    <w:rsid w:val="00E1107A"/>
    <w:rsid w:val="00E1126C"/>
    <w:rsid w:val="00E12FD9"/>
    <w:rsid w:val="00E13DCE"/>
    <w:rsid w:val="00E14F75"/>
    <w:rsid w:val="00E155F7"/>
    <w:rsid w:val="00E15DB1"/>
    <w:rsid w:val="00E1619F"/>
    <w:rsid w:val="00E1740B"/>
    <w:rsid w:val="00E175FC"/>
    <w:rsid w:val="00E2078A"/>
    <w:rsid w:val="00E2085A"/>
    <w:rsid w:val="00E220A5"/>
    <w:rsid w:val="00E223B6"/>
    <w:rsid w:val="00E22A08"/>
    <w:rsid w:val="00E22C88"/>
    <w:rsid w:val="00E22D11"/>
    <w:rsid w:val="00E22F13"/>
    <w:rsid w:val="00E232AC"/>
    <w:rsid w:val="00E23422"/>
    <w:rsid w:val="00E23623"/>
    <w:rsid w:val="00E23F15"/>
    <w:rsid w:val="00E2447F"/>
    <w:rsid w:val="00E244F8"/>
    <w:rsid w:val="00E24A71"/>
    <w:rsid w:val="00E24AED"/>
    <w:rsid w:val="00E25047"/>
    <w:rsid w:val="00E26A08"/>
    <w:rsid w:val="00E26C0F"/>
    <w:rsid w:val="00E26FAC"/>
    <w:rsid w:val="00E2733C"/>
    <w:rsid w:val="00E309AB"/>
    <w:rsid w:val="00E30EDF"/>
    <w:rsid w:val="00E313D1"/>
    <w:rsid w:val="00E32DEE"/>
    <w:rsid w:val="00E32F65"/>
    <w:rsid w:val="00E33E4C"/>
    <w:rsid w:val="00E34413"/>
    <w:rsid w:val="00E345EC"/>
    <w:rsid w:val="00E34629"/>
    <w:rsid w:val="00E3486F"/>
    <w:rsid w:val="00E35299"/>
    <w:rsid w:val="00E35C80"/>
    <w:rsid w:val="00E35E1C"/>
    <w:rsid w:val="00E370CA"/>
    <w:rsid w:val="00E37926"/>
    <w:rsid w:val="00E40428"/>
    <w:rsid w:val="00E40D81"/>
    <w:rsid w:val="00E41059"/>
    <w:rsid w:val="00E41140"/>
    <w:rsid w:val="00E41524"/>
    <w:rsid w:val="00E41987"/>
    <w:rsid w:val="00E41B6D"/>
    <w:rsid w:val="00E41EFB"/>
    <w:rsid w:val="00E42341"/>
    <w:rsid w:val="00E42435"/>
    <w:rsid w:val="00E42BC7"/>
    <w:rsid w:val="00E43F5F"/>
    <w:rsid w:val="00E44C63"/>
    <w:rsid w:val="00E4528C"/>
    <w:rsid w:val="00E454C9"/>
    <w:rsid w:val="00E458E5"/>
    <w:rsid w:val="00E46342"/>
    <w:rsid w:val="00E46518"/>
    <w:rsid w:val="00E47BD4"/>
    <w:rsid w:val="00E47FC5"/>
    <w:rsid w:val="00E50296"/>
    <w:rsid w:val="00E50E69"/>
    <w:rsid w:val="00E515BC"/>
    <w:rsid w:val="00E52228"/>
    <w:rsid w:val="00E529A3"/>
    <w:rsid w:val="00E52D64"/>
    <w:rsid w:val="00E52E27"/>
    <w:rsid w:val="00E530EE"/>
    <w:rsid w:val="00E5325C"/>
    <w:rsid w:val="00E535D3"/>
    <w:rsid w:val="00E539FE"/>
    <w:rsid w:val="00E53D15"/>
    <w:rsid w:val="00E54C91"/>
    <w:rsid w:val="00E55D50"/>
    <w:rsid w:val="00E5681E"/>
    <w:rsid w:val="00E57CC9"/>
    <w:rsid w:val="00E602AF"/>
    <w:rsid w:val="00E60A77"/>
    <w:rsid w:val="00E60C57"/>
    <w:rsid w:val="00E60E55"/>
    <w:rsid w:val="00E60E60"/>
    <w:rsid w:val="00E614F6"/>
    <w:rsid w:val="00E61603"/>
    <w:rsid w:val="00E61C07"/>
    <w:rsid w:val="00E61D08"/>
    <w:rsid w:val="00E6228B"/>
    <w:rsid w:val="00E62A09"/>
    <w:rsid w:val="00E62D2A"/>
    <w:rsid w:val="00E632A6"/>
    <w:rsid w:val="00E635ED"/>
    <w:rsid w:val="00E6376B"/>
    <w:rsid w:val="00E63F00"/>
    <w:rsid w:val="00E64AEF"/>
    <w:rsid w:val="00E6504A"/>
    <w:rsid w:val="00E65CC6"/>
    <w:rsid w:val="00E65DA4"/>
    <w:rsid w:val="00E65FB8"/>
    <w:rsid w:val="00E66132"/>
    <w:rsid w:val="00E674CF"/>
    <w:rsid w:val="00E703E7"/>
    <w:rsid w:val="00E710BF"/>
    <w:rsid w:val="00E71328"/>
    <w:rsid w:val="00E71424"/>
    <w:rsid w:val="00E72658"/>
    <w:rsid w:val="00E72B7F"/>
    <w:rsid w:val="00E73497"/>
    <w:rsid w:val="00E73C61"/>
    <w:rsid w:val="00E73FF0"/>
    <w:rsid w:val="00E746AA"/>
    <w:rsid w:val="00E750A5"/>
    <w:rsid w:val="00E75176"/>
    <w:rsid w:val="00E75241"/>
    <w:rsid w:val="00E76450"/>
    <w:rsid w:val="00E7661E"/>
    <w:rsid w:val="00E766EE"/>
    <w:rsid w:val="00E76AE7"/>
    <w:rsid w:val="00E76B1B"/>
    <w:rsid w:val="00E76BF4"/>
    <w:rsid w:val="00E77758"/>
    <w:rsid w:val="00E77CBA"/>
    <w:rsid w:val="00E800FC"/>
    <w:rsid w:val="00E8049C"/>
    <w:rsid w:val="00E80D52"/>
    <w:rsid w:val="00E80DC1"/>
    <w:rsid w:val="00E81749"/>
    <w:rsid w:val="00E820B0"/>
    <w:rsid w:val="00E82433"/>
    <w:rsid w:val="00E827B9"/>
    <w:rsid w:val="00E82FA9"/>
    <w:rsid w:val="00E8340B"/>
    <w:rsid w:val="00E83920"/>
    <w:rsid w:val="00E83CC6"/>
    <w:rsid w:val="00E83E45"/>
    <w:rsid w:val="00E83E7A"/>
    <w:rsid w:val="00E841B8"/>
    <w:rsid w:val="00E84290"/>
    <w:rsid w:val="00E84437"/>
    <w:rsid w:val="00E850AC"/>
    <w:rsid w:val="00E86D95"/>
    <w:rsid w:val="00E87EC3"/>
    <w:rsid w:val="00E90CDC"/>
    <w:rsid w:val="00E9194C"/>
    <w:rsid w:val="00E91BCF"/>
    <w:rsid w:val="00E92674"/>
    <w:rsid w:val="00E927D7"/>
    <w:rsid w:val="00E92CCB"/>
    <w:rsid w:val="00E93463"/>
    <w:rsid w:val="00E93815"/>
    <w:rsid w:val="00E93A7B"/>
    <w:rsid w:val="00E93FB8"/>
    <w:rsid w:val="00E943A9"/>
    <w:rsid w:val="00E94675"/>
    <w:rsid w:val="00E953C1"/>
    <w:rsid w:val="00E95462"/>
    <w:rsid w:val="00E96462"/>
    <w:rsid w:val="00E974C4"/>
    <w:rsid w:val="00EA0120"/>
    <w:rsid w:val="00EA0BC9"/>
    <w:rsid w:val="00EA1C5B"/>
    <w:rsid w:val="00EA1E96"/>
    <w:rsid w:val="00EA3372"/>
    <w:rsid w:val="00EA34B1"/>
    <w:rsid w:val="00EA407B"/>
    <w:rsid w:val="00EA4550"/>
    <w:rsid w:val="00EA45FF"/>
    <w:rsid w:val="00EA4AAA"/>
    <w:rsid w:val="00EA4BA7"/>
    <w:rsid w:val="00EA55AE"/>
    <w:rsid w:val="00EA5985"/>
    <w:rsid w:val="00EA5EF6"/>
    <w:rsid w:val="00EA5F76"/>
    <w:rsid w:val="00EA6773"/>
    <w:rsid w:val="00EA67FB"/>
    <w:rsid w:val="00EA711C"/>
    <w:rsid w:val="00EA7436"/>
    <w:rsid w:val="00EA75BF"/>
    <w:rsid w:val="00EA761C"/>
    <w:rsid w:val="00EA77A9"/>
    <w:rsid w:val="00EB0430"/>
    <w:rsid w:val="00EB1F43"/>
    <w:rsid w:val="00EB28AE"/>
    <w:rsid w:val="00EB3D4A"/>
    <w:rsid w:val="00EB3E0D"/>
    <w:rsid w:val="00EB457A"/>
    <w:rsid w:val="00EB4611"/>
    <w:rsid w:val="00EB4CAD"/>
    <w:rsid w:val="00EB5206"/>
    <w:rsid w:val="00EB562B"/>
    <w:rsid w:val="00EB58AE"/>
    <w:rsid w:val="00EB62AC"/>
    <w:rsid w:val="00EB6BF3"/>
    <w:rsid w:val="00EB6E67"/>
    <w:rsid w:val="00EC09AE"/>
    <w:rsid w:val="00EC09C1"/>
    <w:rsid w:val="00EC0CAB"/>
    <w:rsid w:val="00EC0F5A"/>
    <w:rsid w:val="00EC1721"/>
    <w:rsid w:val="00EC174F"/>
    <w:rsid w:val="00EC1B6A"/>
    <w:rsid w:val="00EC2C54"/>
    <w:rsid w:val="00EC3016"/>
    <w:rsid w:val="00EC39DB"/>
    <w:rsid w:val="00EC3A10"/>
    <w:rsid w:val="00EC3D68"/>
    <w:rsid w:val="00EC473F"/>
    <w:rsid w:val="00EC4D49"/>
    <w:rsid w:val="00EC4EBE"/>
    <w:rsid w:val="00EC500B"/>
    <w:rsid w:val="00EC5F31"/>
    <w:rsid w:val="00EC67A2"/>
    <w:rsid w:val="00EC6C73"/>
    <w:rsid w:val="00EC6F11"/>
    <w:rsid w:val="00EC7015"/>
    <w:rsid w:val="00EC7363"/>
    <w:rsid w:val="00EC7655"/>
    <w:rsid w:val="00ED0200"/>
    <w:rsid w:val="00ED0A4A"/>
    <w:rsid w:val="00ED0AEB"/>
    <w:rsid w:val="00ED0FB6"/>
    <w:rsid w:val="00ED1597"/>
    <w:rsid w:val="00ED1BCD"/>
    <w:rsid w:val="00ED1EF1"/>
    <w:rsid w:val="00ED2158"/>
    <w:rsid w:val="00ED21E6"/>
    <w:rsid w:val="00ED2384"/>
    <w:rsid w:val="00ED26A2"/>
    <w:rsid w:val="00ED2A4F"/>
    <w:rsid w:val="00ED2AAA"/>
    <w:rsid w:val="00ED2DA3"/>
    <w:rsid w:val="00ED36C6"/>
    <w:rsid w:val="00ED373A"/>
    <w:rsid w:val="00ED40AC"/>
    <w:rsid w:val="00ED4639"/>
    <w:rsid w:val="00ED5534"/>
    <w:rsid w:val="00ED58BB"/>
    <w:rsid w:val="00ED5D08"/>
    <w:rsid w:val="00ED6438"/>
    <w:rsid w:val="00ED75F8"/>
    <w:rsid w:val="00ED7C55"/>
    <w:rsid w:val="00EE00E7"/>
    <w:rsid w:val="00EE091E"/>
    <w:rsid w:val="00EE17D1"/>
    <w:rsid w:val="00EE1E2D"/>
    <w:rsid w:val="00EE26F5"/>
    <w:rsid w:val="00EE3420"/>
    <w:rsid w:val="00EE3EBB"/>
    <w:rsid w:val="00EE3F8E"/>
    <w:rsid w:val="00EE4FBB"/>
    <w:rsid w:val="00EE50D9"/>
    <w:rsid w:val="00EE5332"/>
    <w:rsid w:val="00EE54AF"/>
    <w:rsid w:val="00EE55E5"/>
    <w:rsid w:val="00EE563E"/>
    <w:rsid w:val="00EE5D07"/>
    <w:rsid w:val="00EE6A27"/>
    <w:rsid w:val="00EE6A72"/>
    <w:rsid w:val="00EE7912"/>
    <w:rsid w:val="00EE7E2C"/>
    <w:rsid w:val="00EF027C"/>
    <w:rsid w:val="00EF1FED"/>
    <w:rsid w:val="00EF21A2"/>
    <w:rsid w:val="00EF50B7"/>
    <w:rsid w:val="00EF5350"/>
    <w:rsid w:val="00EF6729"/>
    <w:rsid w:val="00EF6A13"/>
    <w:rsid w:val="00EF6EA6"/>
    <w:rsid w:val="00EF6F89"/>
    <w:rsid w:val="00EF71B3"/>
    <w:rsid w:val="00EF7DFD"/>
    <w:rsid w:val="00F000F6"/>
    <w:rsid w:val="00F0010F"/>
    <w:rsid w:val="00F001A7"/>
    <w:rsid w:val="00F00BA1"/>
    <w:rsid w:val="00F00E76"/>
    <w:rsid w:val="00F01701"/>
    <w:rsid w:val="00F01A5D"/>
    <w:rsid w:val="00F02483"/>
    <w:rsid w:val="00F02C39"/>
    <w:rsid w:val="00F0337B"/>
    <w:rsid w:val="00F03561"/>
    <w:rsid w:val="00F043C2"/>
    <w:rsid w:val="00F04A6C"/>
    <w:rsid w:val="00F050EA"/>
    <w:rsid w:val="00F0565A"/>
    <w:rsid w:val="00F05B45"/>
    <w:rsid w:val="00F05BDB"/>
    <w:rsid w:val="00F05C17"/>
    <w:rsid w:val="00F05D0E"/>
    <w:rsid w:val="00F0640B"/>
    <w:rsid w:val="00F064B6"/>
    <w:rsid w:val="00F067CB"/>
    <w:rsid w:val="00F078BA"/>
    <w:rsid w:val="00F07E01"/>
    <w:rsid w:val="00F07F4C"/>
    <w:rsid w:val="00F07F85"/>
    <w:rsid w:val="00F10420"/>
    <w:rsid w:val="00F109E1"/>
    <w:rsid w:val="00F1107E"/>
    <w:rsid w:val="00F115E1"/>
    <w:rsid w:val="00F115F4"/>
    <w:rsid w:val="00F1169E"/>
    <w:rsid w:val="00F1234E"/>
    <w:rsid w:val="00F13C3D"/>
    <w:rsid w:val="00F13FA8"/>
    <w:rsid w:val="00F14D10"/>
    <w:rsid w:val="00F14DF5"/>
    <w:rsid w:val="00F14FA0"/>
    <w:rsid w:val="00F1637C"/>
    <w:rsid w:val="00F16CDF"/>
    <w:rsid w:val="00F17538"/>
    <w:rsid w:val="00F1772A"/>
    <w:rsid w:val="00F20B54"/>
    <w:rsid w:val="00F2192A"/>
    <w:rsid w:val="00F21CB7"/>
    <w:rsid w:val="00F225C1"/>
    <w:rsid w:val="00F2271C"/>
    <w:rsid w:val="00F22FAD"/>
    <w:rsid w:val="00F23728"/>
    <w:rsid w:val="00F2399F"/>
    <w:rsid w:val="00F23BAD"/>
    <w:rsid w:val="00F23CA3"/>
    <w:rsid w:val="00F23CDC"/>
    <w:rsid w:val="00F23DEB"/>
    <w:rsid w:val="00F23E00"/>
    <w:rsid w:val="00F2478E"/>
    <w:rsid w:val="00F248AC"/>
    <w:rsid w:val="00F2522C"/>
    <w:rsid w:val="00F2523B"/>
    <w:rsid w:val="00F2528D"/>
    <w:rsid w:val="00F253EA"/>
    <w:rsid w:val="00F258AB"/>
    <w:rsid w:val="00F267C3"/>
    <w:rsid w:val="00F27D32"/>
    <w:rsid w:val="00F301CD"/>
    <w:rsid w:val="00F302C5"/>
    <w:rsid w:val="00F304F8"/>
    <w:rsid w:val="00F311CA"/>
    <w:rsid w:val="00F32E30"/>
    <w:rsid w:val="00F32ED5"/>
    <w:rsid w:val="00F332A6"/>
    <w:rsid w:val="00F33AD0"/>
    <w:rsid w:val="00F33F67"/>
    <w:rsid w:val="00F35627"/>
    <w:rsid w:val="00F35A46"/>
    <w:rsid w:val="00F35E2F"/>
    <w:rsid w:val="00F366AF"/>
    <w:rsid w:val="00F37036"/>
    <w:rsid w:val="00F372F8"/>
    <w:rsid w:val="00F37710"/>
    <w:rsid w:val="00F378CC"/>
    <w:rsid w:val="00F37AF3"/>
    <w:rsid w:val="00F407AF"/>
    <w:rsid w:val="00F407EC"/>
    <w:rsid w:val="00F40BE2"/>
    <w:rsid w:val="00F417A7"/>
    <w:rsid w:val="00F41D78"/>
    <w:rsid w:val="00F42085"/>
    <w:rsid w:val="00F424DA"/>
    <w:rsid w:val="00F42B71"/>
    <w:rsid w:val="00F42D62"/>
    <w:rsid w:val="00F43BA1"/>
    <w:rsid w:val="00F43EA5"/>
    <w:rsid w:val="00F43F79"/>
    <w:rsid w:val="00F44326"/>
    <w:rsid w:val="00F443ED"/>
    <w:rsid w:val="00F44B2D"/>
    <w:rsid w:val="00F457B1"/>
    <w:rsid w:val="00F4687A"/>
    <w:rsid w:val="00F46D61"/>
    <w:rsid w:val="00F47018"/>
    <w:rsid w:val="00F47520"/>
    <w:rsid w:val="00F47E94"/>
    <w:rsid w:val="00F50B13"/>
    <w:rsid w:val="00F5142B"/>
    <w:rsid w:val="00F51B94"/>
    <w:rsid w:val="00F51BBE"/>
    <w:rsid w:val="00F51C69"/>
    <w:rsid w:val="00F5268C"/>
    <w:rsid w:val="00F52749"/>
    <w:rsid w:val="00F532E9"/>
    <w:rsid w:val="00F53727"/>
    <w:rsid w:val="00F54457"/>
    <w:rsid w:val="00F54BF5"/>
    <w:rsid w:val="00F54D5E"/>
    <w:rsid w:val="00F55041"/>
    <w:rsid w:val="00F55156"/>
    <w:rsid w:val="00F55461"/>
    <w:rsid w:val="00F5668C"/>
    <w:rsid w:val="00F567C5"/>
    <w:rsid w:val="00F56DCF"/>
    <w:rsid w:val="00F57815"/>
    <w:rsid w:val="00F578B3"/>
    <w:rsid w:val="00F60F69"/>
    <w:rsid w:val="00F6149F"/>
    <w:rsid w:val="00F6268A"/>
    <w:rsid w:val="00F632CB"/>
    <w:rsid w:val="00F639A1"/>
    <w:rsid w:val="00F63B0E"/>
    <w:rsid w:val="00F64B1B"/>
    <w:rsid w:val="00F651F9"/>
    <w:rsid w:val="00F66405"/>
    <w:rsid w:val="00F66566"/>
    <w:rsid w:val="00F666F7"/>
    <w:rsid w:val="00F6771D"/>
    <w:rsid w:val="00F67B23"/>
    <w:rsid w:val="00F70FAA"/>
    <w:rsid w:val="00F7105F"/>
    <w:rsid w:val="00F710E1"/>
    <w:rsid w:val="00F71583"/>
    <w:rsid w:val="00F7226D"/>
    <w:rsid w:val="00F7229D"/>
    <w:rsid w:val="00F72416"/>
    <w:rsid w:val="00F741DA"/>
    <w:rsid w:val="00F7441F"/>
    <w:rsid w:val="00F74A54"/>
    <w:rsid w:val="00F74BCB"/>
    <w:rsid w:val="00F75AD1"/>
    <w:rsid w:val="00F7609A"/>
    <w:rsid w:val="00F80275"/>
    <w:rsid w:val="00F80B08"/>
    <w:rsid w:val="00F80E8F"/>
    <w:rsid w:val="00F80FFE"/>
    <w:rsid w:val="00F81581"/>
    <w:rsid w:val="00F8176F"/>
    <w:rsid w:val="00F81B06"/>
    <w:rsid w:val="00F83196"/>
    <w:rsid w:val="00F8371F"/>
    <w:rsid w:val="00F83A49"/>
    <w:rsid w:val="00F83E50"/>
    <w:rsid w:val="00F85265"/>
    <w:rsid w:val="00F85C67"/>
    <w:rsid w:val="00F86225"/>
    <w:rsid w:val="00F86D9F"/>
    <w:rsid w:val="00F86E42"/>
    <w:rsid w:val="00F86F67"/>
    <w:rsid w:val="00F86FBE"/>
    <w:rsid w:val="00F873E9"/>
    <w:rsid w:val="00F90338"/>
    <w:rsid w:val="00F908D5"/>
    <w:rsid w:val="00F90FDB"/>
    <w:rsid w:val="00F91175"/>
    <w:rsid w:val="00F91E93"/>
    <w:rsid w:val="00F92B92"/>
    <w:rsid w:val="00F92BD7"/>
    <w:rsid w:val="00F93256"/>
    <w:rsid w:val="00F93D21"/>
    <w:rsid w:val="00F949BE"/>
    <w:rsid w:val="00F958EB"/>
    <w:rsid w:val="00F95AE9"/>
    <w:rsid w:val="00F96191"/>
    <w:rsid w:val="00F96AD4"/>
    <w:rsid w:val="00F96C40"/>
    <w:rsid w:val="00F96C67"/>
    <w:rsid w:val="00F9712B"/>
    <w:rsid w:val="00F9753C"/>
    <w:rsid w:val="00F97F51"/>
    <w:rsid w:val="00F97FFC"/>
    <w:rsid w:val="00FA0A8F"/>
    <w:rsid w:val="00FA13C5"/>
    <w:rsid w:val="00FA230E"/>
    <w:rsid w:val="00FA241D"/>
    <w:rsid w:val="00FA276A"/>
    <w:rsid w:val="00FA2861"/>
    <w:rsid w:val="00FA3060"/>
    <w:rsid w:val="00FA32BC"/>
    <w:rsid w:val="00FA336B"/>
    <w:rsid w:val="00FA344D"/>
    <w:rsid w:val="00FA37D4"/>
    <w:rsid w:val="00FA4705"/>
    <w:rsid w:val="00FA49EF"/>
    <w:rsid w:val="00FA5223"/>
    <w:rsid w:val="00FA534D"/>
    <w:rsid w:val="00FA558F"/>
    <w:rsid w:val="00FA57F6"/>
    <w:rsid w:val="00FA6688"/>
    <w:rsid w:val="00FA6D13"/>
    <w:rsid w:val="00FA6F87"/>
    <w:rsid w:val="00FA7157"/>
    <w:rsid w:val="00FA7378"/>
    <w:rsid w:val="00FA74CD"/>
    <w:rsid w:val="00FA7552"/>
    <w:rsid w:val="00FA759D"/>
    <w:rsid w:val="00FB073C"/>
    <w:rsid w:val="00FB1630"/>
    <w:rsid w:val="00FB1924"/>
    <w:rsid w:val="00FB2535"/>
    <w:rsid w:val="00FB2B17"/>
    <w:rsid w:val="00FB2CFA"/>
    <w:rsid w:val="00FB2F2E"/>
    <w:rsid w:val="00FB356C"/>
    <w:rsid w:val="00FB3A93"/>
    <w:rsid w:val="00FB3C77"/>
    <w:rsid w:val="00FB3E9B"/>
    <w:rsid w:val="00FB41B9"/>
    <w:rsid w:val="00FB44B5"/>
    <w:rsid w:val="00FB46D2"/>
    <w:rsid w:val="00FB4DE6"/>
    <w:rsid w:val="00FB50C7"/>
    <w:rsid w:val="00FB5487"/>
    <w:rsid w:val="00FB568E"/>
    <w:rsid w:val="00FB5B2A"/>
    <w:rsid w:val="00FB6CC1"/>
    <w:rsid w:val="00FB70C8"/>
    <w:rsid w:val="00FB72D4"/>
    <w:rsid w:val="00FB7684"/>
    <w:rsid w:val="00FB7D3E"/>
    <w:rsid w:val="00FC0097"/>
    <w:rsid w:val="00FC0C6C"/>
    <w:rsid w:val="00FC1AB1"/>
    <w:rsid w:val="00FC1BE1"/>
    <w:rsid w:val="00FC1E38"/>
    <w:rsid w:val="00FC1FA1"/>
    <w:rsid w:val="00FC20C2"/>
    <w:rsid w:val="00FC2CB7"/>
    <w:rsid w:val="00FC4068"/>
    <w:rsid w:val="00FC428F"/>
    <w:rsid w:val="00FC4605"/>
    <w:rsid w:val="00FC4A88"/>
    <w:rsid w:val="00FC4AAA"/>
    <w:rsid w:val="00FC5728"/>
    <w:rsid w:val="00FC5A1E"/>
    <w:rsid w:val="00FC658E"/>
    <w:rsid w:val="00FC6825"/>
    <w:rsid w:val="00FC7580"/>
    <w:rsid w:val="00FC7D0B"/>
    <w:rsid w:val="00FD1719"/>
    <w:rsid w:val="00FD1A44"/>
    <w:rsid w:val="00FD1A70"/>
    <w:rsid w:val="00FD1AF2"/>
    <w:rsid w:val="00FD2297"/>
    <w:rsid w:val="00FD258F"/>
    <w:rsid w:val="00FD26D7"/>
    <w:rsid w:val="00FD44A0"/>
    <w:rsid w:val="00FD51EC"/>
    <w:rsid w:val="00FD722E"/>
    <w:rsid w:val="00FD7F89"/>
    <w:rsid w:val="00FD7FC4"/>
    <w:rsid w:val="00FE0132"/>
    <w:rsid w:val="00FE0A87"/>
    <w:rsid w:val="00FE1A77"/>
    <w:rsid w:val="00FE1CFF"/>
    <w:rsid w:val="00FE1D46"/>
    <w:rsid w:val="00FE34B0"/>
    <w:rsid w:val="00FE35BC"/>
    <w:rsid w:val="00FE37C8"/>
    <w:rsid w:val="00FE38F8"/>
    <w:rsid w:val="00FE3FD4"/>
    <w:rsid w:val="00FE5335"/>
    <w:rsid w:val="00FE5861"/>
    <w:rsid w:val="00FE6852"/>
    <w:rsid w:val="00FE6E24"/>
    <w:rsid w:val="00FE7B24"/>
    <w:rsid w:val="00FE7B65"/>
    <w:rsid w:val="00FF0101"/>
    <w:rsid w:val="00FF012F"/>
    <w:rsid w:val="00FF06F8"/>
    <w:rsid w:val="00FF0B81"/>
    <w:rsid w:val="00FF0B9D"/>
    <w:rsid w:val="00FF179D"/>
    <w:rsid w:val="00FF192A"/>
    <w:rsid w:val="00FF1EA4"/>
    <w:rsid w:val="00FF2574"/>
    <w:rsid w:val="00FF2641"/>
    <w:rsid w:val="00FF2AF8"/>
    <w:rsid w:val="00FF3B70"/>
    <w:rsid w:val="00FF3C02"/>
    <w:rsid w:val="00FF3F54"/>
    <w:rsid w:val="00FF43AC"/>
    <w:rsid w:val="00FF457D"/>
    <w:rsid w:val="00FF4861"/>
    <w:rsid w:val="00FF5D3F"/>
    <w:rsid w:val="00FF61B1"/>
    <w:rsid w:val="00FF69B1"/>
    <w:rsid w:val="00FF7026"/>
    <w:rsid w:val="00FF7121"/>
    <w:rsid w:val="00FF7668"/>
    <w:rsid w:val="176311EB"/>
    <w:rsid w:val="19EF731B"/>
    <w:rsid w:val="1E796A90"/>
    <w:rsid w:val="1E9B5CF8"/>
    <w:rsid w:val="28B26F67"/>
    <w:rsid w:val="31D01616"/>
    <w:rsid w:val="5CE26D54"/>
    <w:rsid w:val="793B1153"/>
    <w:rsid w:val="79BB01E5"/>
    <w:rsid w:val="7D7670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qFormat="1"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link w:val="32"/>
    <w:autoRedefine/>
    <w:qFormat/>
    <w:uiPriority w:val="9"/>
    <w:pPr>
      <w:overflowPunct w:val="0"/>
      <w:spacing w:before="286" w:beforeLines="100" w:after="286" w:afterLines="100"/>
      <w:ind w:firstLine="0" w:firstLineChars="0"/>
      <w:jc w:val="center"/>
      <w:outlineLvl w:val="0"/>
    </w:pPr>
    <w:rPr>
      <w:rFonts w:ascii="黑体" w:hAnsi="黑体" w:eastAsia="黑体" w:cs="黑体"/>
      <w:color w:val="0000FF"/>
      <w:sz w:val="32"/>
      <w:szCs w:val="32"/>
    </w:rPr>
  </w:style>
  <w:style w:type="paragraph" w:styleId="4">
    <w:name w:val="heading 2"/>
    <w:basedOn w:val="3"/>
    <w:next w:val="1"/>
    <w:link w:val="33"/>
    <w:autoRedefine/>
    <w:unhideWhenUsed/>
    <w:qFormat/>
    <w:uiPriority w:val="9"/>
    <w:pPr>
      <w:numPr>
        <w:ilvl w:val="1"/>
        <w:numId w:val="1"/>
      </w:numPr>
      <w:spacing w:before="156" w:beforeLines="50" w:after="156" w:afterLines="50"/>
      <w:ind w:left="426" w:firstLine="0" w:firstLineChars="0"/>
      <w:outlineLvl w:val="1"/>
    </w:pPr>
    <w:rPr>
      <w:rFonts w:ascii="Times New Roman" w:hAnsi="Times New Roman" w:eastAsia="黑体" w:cs="Times New Roman"/>
      <w:color w:val="141414"/>
      <w:lang w:val="zh-CN"/>
    </w:rPr>
  </w:style>
  <w:style w:type="paragraph" w:styleId="5">
    <w:name w:val="heading 3"/>
    <w:basedOn w:val="3"/>
    <w:next w:val="1"/>
    <w:link w:val="34"/>
    <w:autoRedefine/>
    <w:unhideWhenUsed/>
    <w:qFormat/>
    <w:uiPriority w:val="9"/>
    <w:pPr>
      <w:ind w:firstLine="0" w:firstLineChars="0"/>
      <w:outlineLvl w:val="2"/>
    </w:pPr>
    <w:rPr>
      <w:rFonts w:ascii="Times New Roman" w:hAnsi="Times New Roman" w:eastAsia="宋体" w:cs="Times New Roman"/>
    </w:rPr>
  </w:style>
  <w:style w:type="paragraph" w:styleId="6">
    <w:name w:val="heading 4"/>
    <w:basedOn w:val="3"/>
    <w:next w:val="1"/>
    <w:link w:val="35"/>
    <w:autoRedefine/>
    <w:unhideWhenUsed/>
    <w:qFormat/>
    <w:uiPriority w:val="9"/>
    <w:pPr>
      <w:ind w:firstLine="0" w:firstLineChars="0"/>
      <w:outlineLvl w:val="3"/>
    </w:pPr>
    <w:rPr>
      <w:rFonts w:ascii="Times New Roman" w:hAnsi="Times New Roman" w:eastAsia="宋体"/>
    </w:rPr>
  </w:style>
  <w:style w:type="paragraph" w:styleId="7">
    <w:name w:val="heading 5"/>
    <w:basedOn w:val="3"/>
    <w:next w:val="1"/>
    <w:link w:val="36"/>
    <w:autoRedefine/>
    <w:unhideWhenUsed/>
    <w:qFormat/>
    <w:uiPriority w:val="9"/>
    <w:pPr>
      <w:numPr>
        <w:ilvl w:val="4"/>
        <w:numId w:val="1"/>
      </w:numPr>
      <w:spacing w:before="50" w:beforeLines="50" w:after="50" w:afterLines="50"/>
      <w:ind w:firstLine="0" w:firstLineChars="0"/>
      <w:outlineLvl w:val="4"/>
    </w:pPr>
    <w:rPr>
      <w:rFonts w:ascii="Times New Roman" w:hAnsi="Times New Roman" w:eastAsia="宋体"/>
    </w:rPr>
  </w:style>
  <w:style w:type="paragraph" w:styleId="8">
    <w:name w:val="heading 6"/>
    <w:basedOn w:val="1"/>
    <w:next w:val="1"/>
    <w:link w:val="62"/>
    <w:semiHidden/>
    <w:unhideWhenUsed/>
    <w:qFormat/>
    <w:uiPriority w:val="9"/>
    <w:pPr>
      <w:keepNext/>
      <w:keepLines/>
      <w:numPr>
        <w:ilvl w:val="5"/>
        <w:numId w:val="1"/>
      </w:numPr>
      <w:spacing w:before="240" w:after="64" w:line="320" w:lineRule="auto"/>
      <w:outlineLvl w:val="5"/>
    </w:pPr>
    <w:rPr>
      <w:rFonts w:asciiTheme="majorHAnsi" w:hAnsiTheme="majorHAnsi" w:eastAsiaTheme="majorEastAsia" w:cstheme="majorBidi"/>
      <w:b/>
      <w:bCs/>
      <w:sz w:val="24"/>
      <w:szCs w:val="24"/>
    </w:rPr>
  </w:style>
  <w:style w:type="paragraph" w:styleId="9">
    <w:name w:val="heading 7"/>
    <w:basedOn w:val="1"/>
    <w:next w:val="1"/>
    <w:link w:val="63"/>
    <w:semiHidden/>
    <w:unhideWhenUsed/>
    <w:qFormat/>
    <w:uiPriority w:val="9"/>
    <w:pPr>
      <w:keepNext/>
      <w:keepLines/>
      <w:numPr>
        <w:ilvl w:val="6"/>
        <w:numId w:val="1"/>
      </w:numPr>
      <w:spacing w:before="240" w:after="64" w:line="320" w:lineRule="auto"/>
      <w:outlineLvl w:val="6"/>
    </w:pPr>
    <w:rPr>
      <w:b/>
      <w:bCs/>
      <w:sz w:val="24"/>
      <w:szCs w:val="24"/>
    </w:rPr>
  </w:style>
  <w:style w:type="paragraph" w:styleId="10">
    <w:name w:val="heading 8"/>
    <w:basedOn w:val="1"/>
    <w:next w:val="1"/>
    <w:link w:val="64"/>
    <w:semiHidden/>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65"/>
    <w:semiHidden/>
    <w:unhideWhenUsed/>
    <w:qFormat/>
    <w:uiPriority w:val="9"/>
    <w:pPr>
      <w:keepNext/>
      <w:keepLines/>
      <w:numPr>
        <w:ilvl w:val="8"/>
        <w:numId w:val="1"/>
      </w:numPr>
      <w:spacing w:before="240" w:after="64" w:line="320" w:lineRule="auto"/>
      <w:outlineLvl w:val="8"/>
    </w:pPr>
    <w:rPr>
      <w:rFonts w:asciiTheme="majorHAnsi" w:hAnsiTheme="majorHAnsi" w:eastAsiaTheme="majorEastAsia" w:cstheme="majorBidi"/>
      <w:szCs w:val="21"/>
    </w:rPr>
  </w:style>
  <w:style w:type="character" w:default="1" w:styleId="27">
    <w:name w:val="Default Paragraph Font"/>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3">
    <w:name w:val="List Paragraph"/>
    <w:basedOn w:val="1"/>
    <w:qFormat/>
    <w:uiPriority w:val="34"/>
    <w:pPr>
      <w:ind w:firstLine="420" w:firstLineChars="200"/>
    </w:pPr>
  </w:style>
  <w:style w:type="paragraph" w:styleId="12">
    <w:name w:val="annotation text"/>
    <w:basedOn w:val="1"/>
    <w:link w:val="58"/>
    <w:unhideWhenUsed/>
    <w:qFormat/>
    <w:uiPriority w:val="99"/>
    <w:pPr>
      <w:jc w:val="left"/>
    </w:pPr>
  </w:style>
  <w:style w:type="paragraph" w:styleId="13">
    <w:name w:val="Body Text"/>
    <w:basedOn w:val="1"/>
    <w:link w:val="48"/>
    <w:qFormat/>
    <w:uiPriority w:val="99"/>
    <w:pPr>
      <w:spacing w:after="120"/>
    </w:pPr>
    <w:rPr>
      <w:rFonts w:ascii="Times New Roman" w:hAnsi="Times New Roman" w:eastAsia="宋体" w:cs="Times New Roman"/>
      <w:szCs w:val="24"/>
    </w:rPr>
  </w:style>
  <w:style w:type="paragraph" w:styleId="14">
    <w:name w:val="toc 3"/>
    <w:basedOn w:val="1"/>
    <w:next w:val="1"/>
    <w:autoRedefine/>
    <w:unhideWhenUsed/>
    <w:qFormat/>
    <w:uiPriority w:val="39"/>
    <w:pPr>
      <w:ind w:left="840" w:leftChars="400"/>
    </w:pPr>
  </w:style>
  <w:style w:type="paragraph" w:styleId="15">
    <w:name w:val="Date"/>
    <w:basedOn w:val="1"/>
    <w:next w:val="1"/>
    <w:link w:val="80"/>
    <w:semiHidden/>
    <w:unhideWhenUsed/>
    <w:qFormat/>
    <w:uiPriority w:val="99"/>
    <w:pPr>
      <w:ind w:left="100" w:leftChars="2500"/>
    </w:pPr>
  </w:style>
  <w:style w:type="paragraph" w:styleId="16">
    <w:name w:val="Balloon Text"/>
    <w:basedOn w:val="1"/>
    <w:link w:val="61"/>
    <w:semiHidden/>
    <w:unhideWhenUsed/>
    <w:qFormat/>
    <w:uiPriority w:val="99"/>
    <w:rPr>
      <w:sz w:val="18"/>
      <w:szCs w:val="18"/>
    </w:rPr>
  </w:style>
  <w:style w:type="paragraph" w:styleId="17">
    <w:name w:val="footer"/>
    <w:basedOn w:val="1"/>
    <w:link w:val="38"/>
    <w:unhideWhenUsed/>
    <w:qFormat/>
    <w:uiPriority w:val="99"/>
    <w:pPr>
      <w:tabs>
        <w:tab w:val="center" w:pos="4153"/>
        <w:tab w:val="right" w:pos="8306"/>
      </w:tabs>
      <w:snapToGrid w:val="0"/>
      <w:jc w:val="left"/>
    </w:pPr>
    <w:rPr>
      <w:sz w:val="18"/>
      <w:szCs w:val="18"/>
    </w:rPr>
  </w:style>
  <w:style w:type="paragraph" w:styleId="18">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qFormat/>
    <w:uiPriority w:val="39"/>
  </w:style>
  <w:style w:type="paragraph" w:styleId="20">
    <w:name w:val="footnote text"/>
    <w:basedOn w:val="1"/>
    <w:link w:val="56"/>
    <w:unhideWhenUsed/>
    <w:qFormat/>
    <w:uiPriority w:val="99"/>
    <w:pPr>
      <w:snapToGrid w:val="0"/>
      <w:jc w:val="left"/>
    </w:pPr>
    <w:rPr>
      <w:rFonts w:ascii="Times New Roman" w:hAnsi="Times New Roman" w:eastAsia="宋体" w:cs="Times New Roman"/>
      <w:sz w:val="18"/>
      <w:szCs w:val="18"/>
    </w:rPr>
  </w:style>
  <w:style w:type="paragraph" w:styleId="21">
    <w:name w:val="toc 6"/>
    <w:basedOn w:val="1"/>
    <w:next w:val="1"/>
    <w:autoRedefine/>
    <w:semiHidden/>
    <w:unhideWhenUsed/>
    <w:qFormat/>
    <w:uiPriority w:val="39"/>
    <w:pPr>
      <w:ind w:left="2100" w:leftChars="1000"/>
    </w:pPr>
  </w:style>
  <w:style w:type="paragraph" w:styleId="22">
    <w:name w:val="toc 2"/>
    <w:basedOn w:val="1"/>
    <w:next w:val="1"/>
    <w:autoRedefine/>
    <w:unhideWhenUsed/>
    <w:qFormat/>
    <w:uiPriority w:val="39"/>
    <w:pPr>
      <w:tabs>
        <w:tab w:val="right" w:leader="dot" w:pos="8296"/>
      </w:tabs>
      <w:ind w:left="200" w:leftChars="200" w:right="100" w:rightChars="100"/>
    </w:pPr>
  </w:style>
  <w:style w:type="paragraph" w:styleId="23">
    <w:name w:val="Normal (Web)"/>
    <w:basedOn w:val="1"/>
    <w:semiHidden/>
    <w:unhideWhenUsed/>
    <w:qFormat/>
    <w:uiPriority w:val="99"/>
    <w:pPr>
      <w:spacing w:beforeAutospacing="1" w:afterAutospacing="1"/>
      <w:jc w:val="left"/>
    </w:pPr>
    <w:rPr>
      <w:rFonts w:ascii="Times New Roman" w:hAnsi="Times New Roman" w:eastAsia="宋体" w:cs="Times New Roman"/>
      <w:kern w:val="0"/>
      <w:sz w:val="24"/>
      <w:szCs w:val="24"/>
    </w:rPr>
  </w:style>
  <w:style w:type="paragraph" w:styleId="24">
    <w:name w:val="annotation subject"/>
    <w:basedOn w:val="12"/>
    <w:next w:val="12"/>
    <w:link w:val="59"/>
    <w:semiHidden/>
    <w:unhideWhenUsed/>
    <w:qFormat/>
    <w:uiPriority w:val="99"/>
    <w:rPr>
      <w:b/>
      <w:bCs/>
    </w:rPr>
  </w:style>
  <w:style w:type="table" w:styleId="26">
    <w:name w:val="Table Grid"/>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Emphasis"/>
    <w:basedOn w:val="27"/>
    <w:qFormat/>
    <w:uiPriority w:val="20"/>
    <w:rPr>
      <w:i/>
      <w:iCs/>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basedOn w:val="27"/>
    <w:semiHidden/>
    <w:unhideWhenUsed/>
    <w:qFormat/>
    <w:uiPriority w:val="99"/>
    <w:rPr>
      <w:sz w:val="21"/>
      <w:szCs w:val="21"/>
    </w:rPr>
  </w:style>
  <w:style w:type="character" w:styleId="31">
    <w:name w:val="footnote reference"/>
    <w:unhideWhenUsed/>
    <w:qFormat/>
    <w:uiPriority w:val="99"/>
    <w:rPr>
      <w:vertAlign w:val="superscript"/>
    </w:rPr>
  </w:style>
  <w:style w:type="character" w:customStyle="1" w:styleId="32">
    <w:name w:val="标题 1 字符"/>
    <w:basedOn w:val="27"/>
    <w:link w:val="2"/>
    <w:qFormat/>
    <w:uiPriority w:val="9"/>
    <w:rPr>
      <w:rFonts w:ascii="黑体" w:hAnsi="黑体" w:eastAsia="黑体" w:cs="黑体"/>
      <w:color w:val="0000FF"/>
      <w:sz w:val="32"/>
      <w:szCs w:val="32"/>
    </w:rPr>
  </w:style>
  <w:style w:type="character" w:customStyle="1" w:styleId="33">
    <w:name w:val="标题 2 字符"/>
    <w:basedOn w:val="27"/>
    <w:link w:val="4"/>
    <w:qFormat/>
    <w:uiPriority w:val="9"/>
    <w:rPr>
      <w:rFonts w:ascii="Times New Roman" w:hAnsi="Times New Roman" w:eastAsia="黑体" w:cs="Times New Roman"/>
      <w:color w:val="141414"/>
      <w:lang w:val="zh-CN"/>
    </w:rPr>
  </w:style>
  <w:style w:type="character" w:customStyle="1" w:styleId="34">
    <w:name w:val="标题 3 字符"/>
    <w:basedOn w:val="27"/>
    <w:link w:val="5"/>
    <w:qFormat/>
    <w:uiPriority w:val="9"/>
    <w:rPr>
      <w:rFonts w:ascii="Times New Roman" w:hAnsi="Times New Roman" w:eastAsia="宋体" w:cs="Times New Roman"/>
    </w:rPr>
  </w:style>
  <w:style w:type="character" w:customStyle="1" w:styleId="35">
    <w:name w:val="标题 4 字符"/>
    <w:basedOn w:val="27"/>
    <w:link w:val="6"/>
    <w:qFormat/>
    <w:uiPriority w:val="9"/>
    <w:rPr>
      <w:rFonts w:ascii="Times New Roman" w:hAnsi="Times New Roman" w:eastAsia="宋体"/>
    </w:rPr>
  </w:style>
  <w:style w:type="character" w:customStyle="1" w:styleId="36">
    <w:name w:val="标题 5 字符"/>
    <w:basedOn w:val="27"/>
    <w:link w:val="7"/>
    <w:qFormat/>
    <w:uiPriority w:val="9"/>
    <w:rPr>
      <w:rFonts w:ascii="Times New Roman" w:hAnsi="Times New Roman" w:eastAsia="宋体"/>
    </w:rPr>
  </w:style>
  <w:style w:type="character" w:customStyle="1" w:styleId="37">
    <w:name w:val="页眉 字符"/>
    <w:basedOn w:val="27"/>
    <w:link w:val="18"/>
    <w:qFormat/>
    <w:uiPriority w:val="99"/>
    <w:rPr>
      <w:sz w:val="18"/>
      <w:szCs w:val="18"/>
    </w:rPr>
  </w:style>
  <w:style w:type="character" w:customStyle="1" w:styleId="38">
    <w:name w:val="页脚 字符"/>
    <w:basedOn w:val="27"/>
    <w:link w:val="17"/>
    <w:qFormat/>
    <w:uiPriority w:val="99"/>
    <w:rPr>
      <w:sz w:val="18"/>
      <w:szCs w:val="18"/>
    </w:rPr>
  </w:style>
  <w:style w:type="paragraph" w:customStyle="1" w:styleId="39">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40">
    <w:name w:val="段"/>
    <w:link w:val="4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41">
    <w:name w:val="段 Char"/>
    <w:link w:val="40"/>
    <w:qFormat/>
    <w:uiPriority w:val="0"/>
    <w:rPr>
      <w:rFonts w:ascii="宋体" w:hAnsi="Times New Roman" w:eastAsia="宋体" w:cs="Times New Roman"/>
      <w:kern w:val="0"/>
      <w:szCs w:val="20"/>
    </w:rPr>
  </w:style>
  <w:style w:type="paragraph" w:customStyle="1" w:styleId="42">
    <w:name w:val="列项——（一级）"/>
    <w:qFormat/>
    <w:uiPriority w:val="0"/>
    <w:pPr>
      <w:widowControl w:val="0"/>
      <w:numPr>
        <w:ilvl w:val="0"/>
        <w:numId w:val="2"/>
      </w:numPr>
      <w:jc w:val="both"/>
    </w:pPr>
    <w:rPr>
      <w:rFonts w:ascii="宋体" w:hAnsi="Times New Roman" w:eastAsia="宋体" w:cs="Times New Roman"/>
      <w:sz w:val="21"/>
      <w:lang w:val="en-US" w:eastAsia="zh-CN" w:bidi="ar-SA"/>
    </w:rPr>
  </w:style>
  <w:style w:type="paragraph" w:customStyle="1" w:styleId="43">
    <w:name w:val="列项●（二级）"/>
    <w:qFormat/>
    <w:uiPriority w:val="0"/>
    <w:pPr>
      <w:numPr>
        <w:ilvl w:val="1"/>
        <w:numId w:val="2"/>
      </w:numPr>
      <w:tabs>
        <w:tab w:val="left" w:pos="840"/>
      </w:tabs>
      <w:jc w:val="both"/>
    </w:pPr>
    <w:rPr>
      <w:rFonts w:ascii="宋体" w:hAnsi="Times New Roman" w:eastAsia="宋体" w:cs="Times New Roman"/>
      <w:sz w:val="21"/>
      <w:lang w:val="en-US" w:eastAsia="zh-CN" w:bidi="ar-SA"/>
    </w:rPr>
  </w:style>
  <w:style w:type="paragraph" w:customStyle="1" w:styleId="44">
    <w:name w:val="列项◆（三级）"/>
    <w:basedOn w:val="1"/>
    <w:qFormat/>
    <w:uiPriority w:val="0"/>
    <w:pPr>
      <w:numPr>
        <w:ilvl w:val="2"/>
        <w:numId w:val="2"/>
      </w:numPr>
    </w:pPr>
    <w:rPr>
      <w:rFonts w:ascii="宋体" w:hAnsi="Times New Roman" w:eastAsia="宋体" w:cs="Times New Roman"/>
      <w:szCs w:val="21"/>
    </w:rPr>
  </w:style>
  <w:style w:type="paragraph" w:customStyle="1" w:styleId="45">
    <w:name w:val="注×："/>
    <w:qFormat/>
    <w:uiPriority w:val="0"/>
    <w:pPr>
      <w:widowControl w:val="0"/>
      <w:autoSpaceDE w:val="0"/>
      <w:autoSpaceDN w:val="0"/>
      <w:ind w:left="811" w:hanging="448"/>
      <w:jc w:val="both"/>
    </w:pPr>
    <w:rPr>
      <w:rFonts w:ascii="宋体" w:hAnsi="Times New Roman" w:eastAsia="宋体" w:cs="Times New Roman"/>
      <w:sz w:val="18"/>
      <w:szCs w:val="18"/>
      <w:lang w:val="en-US" w:eastAsia="zh-CN" w:bidi="ar-SA"/>
    </w:rPr>
  </w:style>
  <w:style w:type="paragraph" w:customStyle="1" w:styleId="46">
    <w:name w:val="tgt2"/>
    <w:basedOn w:val="1"/>
    <w:unhideWhenUsed/>
    <w:qFormat/>
    <w:uiPriority w:val="99"/>
    <w:pPr>
      <w:widowControl/>
      <w:spacing w:after="127" w:line="360" w:lineRule="auto"/>
      <w:jc w:val="left"/>
    </w:pPr>
    <w:rPr>
      <w:rFonts w:hint="eastAsia" w:ascii="宋体" w:hAnsi="宋体" w:eastAsia="宋体" w:cs="Times New Roman"/>
      <w:b/>
      <w:sz w:val="36"/>
      <w:szCs w:val="20"/>
    </w:rPr>
  </w:style>
  <w:style w:type="paragraph" w:customStyle="1" w:styleId="47">
    <w:name w:val="正文图标题"/>
    <w:next w:val="40"/>
    <w:qFormat/>
    <w:uiPriority w:val="0"/>
    <w:pPr>
      <w:numPr>
        <w:ilvl w:val="0"/>
        <w:numId w:val="3"/>
      </w:numPr>
      <w:spacing w:beforeLines="50" w:afterLines="50"/>
      <w:jc w:val="center"/>
    </w:pPr>
    <w:rPr>
      <w:rFonts w:ascii="黑体" w:hAnsi="Times New Roman" w:eastAsia="黑体" w:cs="Times New Roman"/>
      <w:sz w:val="21"/>
      <w:lang w:val="en-US" w:eastAsia="zh-CN" w:bidi="ar-SA"/>
    </w:rPr>
  </w:style>
  <w:style w:type="character" w:customStyle="1" w:styleId="48">
    <w:name w:val="正文文本 字符"/>
    <w:basedOn w:val="27"/>
    <w:link w:val="13"/>
    <w:qFormat/>
    <w:uiPriority w:val="99"/>
    <w:rPr>
      <w:rFonts w:ascii="Times New Roman" w:hAnsi="Times New Roman" w:eastAsia="宋体" w:cs="Times New Roman"/>
      <w:szCs w:val="24"/>
    </w:rPr>
  </w:style>
  <w:style w:type="paragraph" w:customStyle="1" w:styleId="49">
    <w:name w:val="标准文件_字母编号列项（一级）"/>
    <w:qFormat/>
    <w:uiPriority w:val="0"/>
    <w:pPr>
      <w:tabs>
        <w:tab w:val="left" w:pos="851"/>
      </w:tabs>
      <w:ind w:left="851" w:hanging="426"/>
      <w:jc w:val="both"/>
    </w:pPr>
    <w:rPr>
      <w:rFonts w:ascii="宋体" w:hAnsi="Times New Roman" w:eastAsia="宋体" w:cs="Times New Roman"/>
      <w:sz w:val="21"/>
      <w:lang w:val="en-US" w:eastAsia="zh-CN" w:bidi="ar-SA"/>
    </w:rPr>
  </w:style>
  <w:style w:type="paragraph" w:customStyle="1" w:styleId="50">
    <w:name w:val="标准文件_注："/>
    <w:next w:val="1"/>
    <w:qFormat/>
    <w:uiPriority w:val="0"/>
    <w:pPr>
      <w:widowControl w:val="0"/>
      <w:numPr>
        <w:ilvl w:val="0"/>
        <w:numId w:val="4"/>
      </w:numPr>
      <w:autoSpaceDE w:val="0"/>
      <w:autoSpaceDN w:val="0"/>
      <w:jc w:val="both"/>
    </w:pPr>
    <w:rPr>
      <w:rFonts w:ascii="宋体" w:hAnsi="Times New Roman" w:eastAsia="宋体" w:cs="Times New Roman"/>
      <w:sz w:val="18"/>
      <w:szCs w:val="18"/>
      <w:lang w:val="en-US" w:eastAsia="zh-CN" w:bidi="ar-SA"/>
    </w:rPr>
  </w:style>
  <w:style w:type="paragraph" w:customStyle="1" w:styleId="51">
    <w:name w:val="数字编号列项（二级）"/>
    <w:qFormat/>
    <w:uiPriority w:val="0"/>
    <w:pPr>
      <w:numPr>
        <w:ilvl w:val="1"/>
        <w:numId w:val="5"/>
      </w:numPr>
      <w:jc w:val="both"/>
    </w:pPr>
    <w:rPr>
      <w:rFonts w:ascii="宋体" w:hAnsi="Times New Roman" w:eastAsia="宋体" w:cs="Times New Roman"/>
      <w:sz w:val="21"/>
      <w:lang w:val="en-US" w:eastAsia="zh-CN" w:bidi="ar-SA"/>
    </w:rPr>
  </w:style>
  <w:style w:type="paragraph" w:customStyle="1" w:styleId="52">
    <w:name w:val="字母编号列项（一级）"/>
    <w:qFormat/>
    <w:uiPriority w:val="0"/>
    <w:pPr>
      <w:numPr>
        <w:ilvl w:val="0"/>
        <w:numId w:val="5"/>
      </w:numPr>
      <w:jc w:val="both"/>
    </w:pPr>
    <w:rPr>
      <w:rFonts w:ascii="宋体" w:hAnsi="Times New Roman" w:eastAsia="宋体" w:cs="Times New Roman"/>
      <w:sz w:val="21"/>
      <w:lang w:val="en-US" w:eastAsia="zh-CN" w:bidi="ar-SA"/>
    </w:rPr>
  </w:style>
  <w:style w:type="paragraph" w:customStyle="1" w:styleId="53">
    <w:name w:val="编号列项（三级）"/>
    <w:qFormat/>
    <w:uiPriority w:val="0"/>
    <w:pPr>
      <w:numPr>
        <w:ilvl w:val="2"/>
        <w:numId w:val="5"/>
      </w:numPr>
    </w:pPr>
    <w:rPr>
      <w:rFonts w:ascii="宋体" w:hAnsi="Times New Roman" w:eastAsia="宋体" w:cs="Times New Roman"/>
      <w:sz w:val="21"/>
      <w:lang w:val="en-US" w:eastAsia="zh-CN" w:bidi="ar-SA"/>
    </w:rPr>
  </w:style>
  <w:style w:type="paragraph" w:customStyle="1" w:styleId="54">
    <w:name w:val="标准文件_附录二级无标题"/>
    <w:basedOn w:val="1"/>
    <w:qFormat/>
    <w:uiPriority w:val="0"/>
    <w:pPr>
      <w:widowControl/>
      <w:wordWrap w:val="0"/>
      <w:overflowPunct w:val="0"/>
      <w:autoSpaceDE w:val="0"/>
      <w:autoSpaceDN w:val="0"/>
      <w:spacing w:line="276" w:lineRule="auto"/>
      <w:textAlignment w:val="baseline"/>
    </w:pPr>
    <w:rPr>
      <w:rFonts w:ascii="宋体" w:hAnsi="Times New Roman" w:eastAsia="宋体" w:cs="Times New Roman"/>
      <w:kern w:val="21"/>
      <w:szCs w:val="20"/>
    </w:rPr>
  </w:style>
  <w:style w:type="paragraph" w:customStyle="1" w:styleId="55">
    <w:name w:val="列出段落1"/>
    <w:basedOn w:val="1"/>
    <w:qFormat/>
    <w:uiPriority w:val="34"/>
    <w:pPr>
      <w:ind w:left="720"/>
      <w:contextualSpacing/>
    </w:pPr>
    <w:rPr>
      <w:rFonts w:ascii="Times New Roman" w:hAnsi="Times New Roman" w:eastAsia="宋体" w:cs="Times New Roman"/>
      <w:szCs w:val="24"/>
    </w:rPr>
  </w:style>
  <w:style w:type="character" w:customStyle="1" w:styleId="56">
    <w:name w:val="脚注文本 字符1"/>
    <w:link w:val="20"/>
    <w:qFormat/>
    <w:uiPriority w:val="99"/>
    <w:rPr>
      <w:rFonts w:ascii="Times New Roman" w:hAnsi="Times New Roman" w:eastAsia="宋体" w:cs="Times New Roman"/>
      <w:sz w:val="18"/>
      <w:szCs w:val="18"/>
    </w:rPr>
  </w:style>
  <w:style w:type="character" w:customStyle="1" w:styleId="57">
    <w:name w:val="脚注文本 字符"/>
    <w:basedOn w:val="27"/>
    <w:semiHidden/>
    <w:qFormat/>
    <w:uiPriority w:val="99"/>
    <w:rPr>
      <w:sz w:val="18"/>
      <w:szCs w:val="18"/>
    </w:rPr>
  </w:style>
  <w:style w:type="character" w:customStyle="1" w:styleId="58">
    <w:name w:val="批注文字 字符"/>
    <w:basedOn w:val="27"/>
    <w:link w:val="12"/>
    <w:qFormat/>
    <w:uiPriority w:val="99"/>
  </w:style>
  <w:style w:type="character" w:customStyle="1" w:styleId="59">
    <w:name w:val="批注主题 字符"/>
    <w:basedOn w:val="58"/>
    <w:link w:val="24"/>
    <w:semiHidden/>
    <w:qFormat/>
    <w:uiPriority w:val="99"/>
    <w:rPr>
      <w:b/>
      <w:bCs/>
    </w:rPr>
  </w:style>
  <w:style w:type="paragraph" w:customStyle="1" w:styleId="60">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61">
    <w:name w:val="批注框文本 字符"/>
    <w:basedOn w:val="27"/>
    <w:link w:val="16"/>
    <w:semiHidden/>
    <w:qFormat/>
    <w:uiPriority w:val="99"/>
    <w:rPr>
      <w:sz w:val="18"/>
      <w:szCs w:val="18"/>
    </w:rPr>
  </w:style>
  <w:style w:type="character" w:customStyle="1" w:styleId="62">
    <w:name w:val="标题 6 字符"/>
    <w:basedOn w:val="27"/>
    <w:link w:val="8"/>
    <w:semiHidden/>
    <w:qFormat/>
    <w:uiPriority w:val="9"/>
    <w:rPr>
      <w:rFonts w:asciiTheme="majorHAnsi" w:hAnsiTheme="majorHAnsi" w:eastAsiaTheme="majorEastAsia" w:cstheme="majorBidi"/>
      <w:b/>
      <w:bCs/>
      <w:sz w:val="24"/>
      <w:szCs w:val="24"/>
    </w:rPr>
  </w:style>
  <w:style w:type="character" w:customStyle="1" w:styleId="63">
    <w:name w:val="标题 7 字符"/>
    <w:basedOn w:val="27"/>
    <w:link w:val="9"/>
    <w:semiHidden/>
    <w:qFormat/>
    <w:uiPriority w:val="9"/>
    <w:rPr>
      <w:b/>
      <w:bCs/>
      <w:sz w:val="24"/>
      <w:szCs w:val="24"/>
    </w:rPr>
  </w:style>
  <w:style w:type="character" w:customStyle="1" w:styleId="64">
    <w:name w:val="标题 8 字符"/>
    <w:basedOn w:val="27"/>
    <w:link w:val="10"/>
    <w:semiHidden/>
    <w:qFormat/>
    <w:uiPriority w:val="9"/>
    <w:rPr>
      <w:rFonts w:asciiTheme="majorHAnsi" w:hAnsiTheme="majorHAnsi" w:eastAsiaTheme="majorEastAsia" w:cstheme="majorBidi"/>
      <w:sz w:val="24"/>
      <w:szCs w:val="24"/>
    </w:rPr>
  </w:style>
  <w:style w:type="character" w:customStyle="1" w:styleId="65">
    <w:name w:val="标题 9 字符"/>
    <w:basedOn w:val="27"/>
    <w:link w:val="11"/>
    <w:semiHidden/>
    <w:qFormat/>
    <w:uiPriority w:val="9"/>
    <w:rPr>
      <w:rFonts w:asciiTheme="majorHAnsi" w:hAnsiTheme="majorHAnsi" w:eastAsiaTheme="majorEastAsia" w:cstheme="majorBidi"/>
      <w:szCs w:val="21"/>
    </w:rPr>
  </w:style>
  <w:style w:type="paragraph" w:customStyle="1" w:styleId="66">
    <w:name w:val="章标题"/>
    <w:next w:val="40"/>
    <w:qFormat/>
    <w:uiPriority w:val="0"/>
    <w:pPr>
      <w:numPr>
        <w:ilvl w:val="0"/>
        <w:numId w:val="6"/>
      </w:numPr>
      <w:spacing w:beforeLines="100" w:afterLines="100"/>
      <w:jc w:val="both"/>
      <w:outlineLvl w:val="1"/>
    </w:pPr>
    <w:rPr>
      <w:rFonts w:ascii="黑体" w:hAnsi="Times New Roman" w:eastAsia="黑体" w:cs="Times New Roman"/>
      <w:sz w:val="21"/>
      <w:lang w:val="en-US" w:eastAsia="zh-CN" w:bidi="ar-SA"/>
    </w:rPr>
  </w:style>
  <w:style w:type="paragraph" w:customStyle="1" w:styleId="67">
    <w:name w:val="一级条标题"/>
    <w:next w:val="1"/>
    <w:qFormat/>
    <w:uiPriority w:val="0"/>
    <w:pPr>
      <w:spacing w:beforeLines="50" w:afterLines="50"/>
      <w:outlineLvl w:val="2"/>
    </w:pPr>
    <w:rPr>
      <w:rFonts w:ascii="黑体" w:hAnsi="Times New Roman" w:eastAsia="黑体" w:cs="Times New Roman"/>
      <w:sz w:val="21"/>
      <w:szCs w:val="21"/>
      <w:lang w:val="en-US" w:eastAsia="zh-CN" w:bidi="ar-SA"/>
    </w:rPr>
  </w:style>
  <w:style w:type="paragraph" w:customStyle="1" w:styleId="68">
    <w:name w:val="二级条标题"/>
    <w:basedOn w:val="67"/>
    <w:next w:val="1"/>
    <w:qFormat/>
    <w:uiPriority w:val="0"/>
    <w:pPr>
      <w:spacing w:before="50" w:after="50"/>
      <w:outlineLvl w:val="3"/>
    </w:pPr>
  </w:style>
  <w:style w:type="character" w:customStyle="1" w:styleId="69">
    <w:name w:val="fontstyle01"/>
    <w:basedOn w:val="27"/>
    <w:qFormat/>
    <w:uiPriority w:val="0"/>
    <w:rPr>
      <w:rFonts w:hint="eastAsia" w:ascii="宋体" w:hAnsi="宋体" w:eastAsia="宋体"/>
      <w:color w:val="000000"/>
      <w:sz w:val="22"/>
      <w:szCs w:val="22"/>
    </w:rPr>
  </w:style>
  <w:style w:type="character" w:customStyle="1" w:styleId="70">
    <w:name w:val="fontstyle21"/>
    <w:basedOn w:val="27"/>
    <w:qFormat/>
    <w:uiPriority w:val="0"/>
    <w:rPr>
      <w:rFonts w:hint="eastAsia" w:ascii="黑体" w:hAnsi="黑体" w:eastAsia="黑体"/>
      <w:color w:val="000000"/>
      <w:sz w:val="18"/>
      <w:szCs w:val="18"/>
    </w:rPr>
  </w:style>
  <w:style w:type="character" w:customStyle="1" w:styleId="71">
    <w:name w:val="未处理的提及1"/>
    <w:basedOn w:val="27"/>
    <w:semiHidden/>
    <w:unhideWhenUsed/>
    <w:qFormat/>
    <w:uiPriority w:val="99"/>
    <w:rPr>
      <w:color w:val="605E5C"/>
      <w:shd w:val="clear" w:color="auto" w:fill="E1DFDD"/>
    </w:rPr>
  </w:style>
  <w:style w:type="paragraph" w:customStyle="1" w:styleId="72">
    <w:name w:val="参考文献"/>
    <w:basedOn w:val="1"/>
    <w:next w:val="40"/>
    <w:qFormat/>
    <w:uiPriority w:val="0"/>
    <w:pPr>
      <w:keepNext/>
      <w:pageBreakBefore/>
      <w:widowControl/>
      <w:shd w:val="clear" w:color="FFFFFF" w:fill="FFFFFF"/>
      <w:spacing w:before="640" w:after="200"/>
      <w:jc w:val="center"/>
      <w:outlineLvl w:val="0"/>
    </w:pPr>
    <w:rPr>
      <w:rFonts w:ascii="黑体" w:hAnsi="Times New Roman" w:eastAsia="黑体" w:cs="Times New Roman"/>
      <w:kern w:val="0"/>
      <w:szCs w:val="20"/>
    </w:rPr>
  </w:style>
  <w:style w:type="paragraph" w:customStyle="1" w:styleId="73">
    <w:name w:val="标准文件_标准正文"/>
    <w:basedOn w:val="1"/>
    <w:next w:val="74"/>
    <w:qFormat/>
    <w:uiPriority w:val="0"/>
    <w:pPr>
      <w:adjustRightInd w:val="0"/>
      <w:snapToGrid w:val="0"/>
      <w:spacing w:line="400" w:lineRule="exact"/>
      <w:ind w:firstLine="200" w:firstLineChars="200"/>
    </w:pPr>
    <w:rPr>
      <w:rFonts w:ascii="Calibri" w:hAnsi="Calibri" w:eastAsia="宋体" w:cs="Times New Roman"/>
      <w:kern w:val="0"/>
      <w:szCs w:val="21"/>
    </w:rPr>
  </w:style>
  <w:style w:type="paragraph" w:customStyle="1" w:styleId="74">
    <w:name w:val="标准文件_段"/>
    <w:link w:val="76"/>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75">
    <w:name w:val="标准文件_正文公式"/>
    <w:basedOn w:val="1"/>
    <w:next w:val="73"/>
    <w:qFormat/>
    <w:uiPriority w:val="0"/>
    <w:pPr>
      <w:tabs>
        <w:tab w:val="center" w:pos="4678"/>
        <w:tab w:val="right" w:leader="middleDot" w:pos="9356"/>
      </w:tabs>
      <w:adjustRightInd w:val="0"/>
    </w:pPr>
    <w:rPr>
      <w:rFonts w:ascii="宋体" w:hAnsi="宋体" w:eastAsia="宋体" w:cs="Times New Roman"/>
      <w:szCs w:val="21"/>
    </w:rPr>
  </w:style>
  <w:style w:type="character" w:customStyle="1" w:styleId="76">
    <w:name w:val="标准文件_段 Char"/>
    <w:link w:val="74"/>
    <w:qFormat/>
    <w:uiPriority w:val="0"/>
    <w:rPr>
      <w:rFonts w:ascii="宋体" w:hAnsi="Times New Roman" w:eastAsia="宋体" w:cs="Times New Roman"/>
      <w:kern w:val="0"/>
      <w:szCs w:val="20"/>
    </w:rPr>
  </w:style>
  <w:style w:type="paragraph" w:customStyle="1" w:styleId="77">
    <w:name w:val="标准文件_数字编号列项（二级）"/>
    <w:qFormat/>
    <w:uiPriority w:val="0"/>
    <w:pPr>
      <w:tabs>
        <w:tab w:val="left" w:pos="851"/>
        <w:tab w:val="left" w:pos="1276"/>
      </w:tabs>
      <w:ind w:left="1276" w:hanging="425"/>
      <w:jc w:val="both"/>
    </w:pPr>
    <w:rPr>
      <w:rFonts w:ascii="宋体" w:hAnsi="Times New Roman" w:eastAsia="宋体" w:cs="Times New Roman"/>
      <w:sz w:val="21"/>
      <w:lang w:val="en-US" w:eastAsia="zh-CN" w:bidi="ar-SA"/>
    </w:rPr>
  </w:style>
  <w:style w:type="paragraph" w:customStyle="1" w:styleId="78">
    <w:name w:val="标准文件_编号列项（三级）"/>
    <w:qFormat/>
    <w:uiPriority w:val="0"/>
    <w:pPr>
      <w:tabs>
        <w:tab w:val="left" w:pos="851"/>
      </w:tabs>
      <w:ind w:left="1701" w:hanging="425"/>
    </w:pPr>
    <w:rPr>
      <w:rFonts w:ascii="宋体" w:hAnsi="Times New Roman" w:eastAsia="宋体" w:cs="Times New Roman"/>
      <w:sz w:val="21"/>
      <w:lang w:val="en-US" w:eastAsia="zh-CN" w:bidi="ar-SA"/>
    </w:rPr>
  </w:style>
  <w:style w:type="paragraph" w:customStyle="1" w:styleId="79">
    <w:name w:val="示例"/>
    <w:next w:val="1"/>
    <w:qFormat/>
    <w:uiPriority w:val="0"/>
    <w:pPr>
      <w:widowControl w:val="0"/>
      <w:numPr>
        <w:ilvl w:val="0"/>
        <w:numId w:val="7"/>
      </w:numPr>
      <w:jc w:val="both"/>
    </w:pPr>
    <w:rPr>
      <w:rFonts w:ascii="宋体" w:hAnsi="Times New Roman" w:eastAsia="宋体" w:cs="Times New Roman"/>
      <w:sz w:val="18"/>
      <w:szCs w:val="18"/>
      <w:lang w:val="en-US" w:eastAsia="zh-CN" w:bidi="ar-SA"/>
    </w:rPr>
  </w:style>
  <w:style w:type="character" w:customStyle="1" w:styleId="80">
    <w:name w:val="日期 字符"/>
    <w:basedOn w:val="27"/>
    <w:link w:val="15"/>
    <w:semiHidden/>
    <w:qFormat/>
    <w:uiPriority w:val="99"/>
  </w:style>
  <w:style w:type="paragraph" w:customStyle="1" w:styleId="81">
    <w:name w:val="标准文件_表格"/>
    <w:basedOn w:val="1"/>
    <w:qFormat/>
    <w:uiPriority w:val="0"/>
    <w:pPr>
      <w:widowControl/>
      <w:autoSpaceDE w:val="0"/>
      <w:autoSpaceDN w:val="0"/>
      <w:jc w:val="center"/>
    </w:pPr>
    <w:rPr>
      <w:rFonts w:ascii="宋体" w:hAnsi="Times New Roman" w:eastAsia="宋体" w:cs="Times New Roman"/>
      <w:kern w:val="0"/>
      <w:sz w:val="18"/>
      <w:szCs w:val="20"/>
    </w:rPr>
  </w:style>
  <w:style w:type="paragraph" w:customStyle="1" w:styleId="82">
    <w:name w:val="Revision"/>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83">
    <w:name w:val="标准文件_二级条标题"/>
    <w:next w:val="74"/>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84">
    <w:name w:val="标准文件_三级条标题"/>
    <w:basedOn w:val="83"/>
    <w:next w:val="74"/>
    <w:qFormat/>
    <w:uiPriority w:val="0"/>
    <w:pPr>
      <w:widowControl/>
      <w:numPr>
        <w:ilvl w:val="4"/>
      </w:numPr>
      <w:outlineLvl w:val="3"/>
    </w:pPr>
  </w:style>
  <w:style w:type="paragraph" w:customStyle="1" w:styleId="85">
    <w:name w:val="标准文件_四级条标题"/>
    <w:next w:val="74"/>
    <w:qFormat/>
    <w:uiPriority w:val="0"/>
    <w:pPr>
      <w:widowControl w:val="0"/>
      <w:numPr>
        <w:ilvl w:val="5"/>
        <w:numId w:val="8"/>
      </w:numPr>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86">
    <w:name w:val="标准文件_五级条标题"/>
    <w:next w:val="74"/>
    <w:qFormat/>
    <w:uiPriority w:val="0"/>
    <w:pPr>
      <w:widowControl w:val="0"/>
      <w:numPr>
        <w:ilvl w:val="6"/>
        <w:numId w:val="8"/>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87">
    <w:name w:val="标准文件_章标题"/>
    <w:next w:val="74"/>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88">
    <w:name w:val="标准文件_一级条标题"/>
    <w:basedOn w:val="87"/>
    <w:next w:val="74"/>
    <w:qFormat/>
    <w:uiPriority w:val="0"/>
    <w:pPr>
      <w:numPr>
        <w:ilvl w:val="2"/>
      </w:numPr>
      <w:spacing w:before="50" w:beforeLines="50" w:after="50" w:afterLines="50"/>
      <w:outlineLvl w:val="1"/>
    </w:pPr>
  </w:style>
  <w:style w:type="paragraph" w:customStyle="1" w:styleId="89">
    <w:name w:val="前言标题"/>
    <w:next w:val="1"/>
    <w:qFormat/>
    <w:uiPriority w:val="0"/>
    <w:pPr>
      <w:numPr>
        <w:ilvl w:val="0"/>
        <w:numId w:val="8"/>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90">
    <w:name w:val="标准文件_二级无标题"/>
    <w:basedOn w:val="83"/>
    <w:qFormat/>
    <w:uiPriority w:val="0"/>
    <w:pPr>
      <w:spacing w:before="0" w:beforeLines="0" w:after="0" w:afterLines="0"/>
      <w:outlineLvl w:val="9"/>
    </w:pPr>
    <w:rPr>
      <w:rFonts w:ascii="宋体" w:eastAsia="宋体"/>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8CA8A6-380C-440A-BD01-3400F413977C}">
  <ds:schemaRefs/>
</ds:datastoreItem>
</file>

<file path=docProps/app.xml><?xml version="1.0" encoding="utf-8"?>
<Properties xmlns="http://schemas.openxmlformats.org/officeDocument/2006/extended-properties" xmlns:vt="http://schemas.openxmlformats.org/officeDocument/2006/docPropsVTypes">
  <Template>Normal</Template>
  <Pages>36</Pages>
  <Words>7418</Words>
  <Characters>8518</Characters>
  <Lines>1427</Lines>
  <Paragraphs>1434</Paragraphs>
  <TotalTime>0</TotalTime>
  <ScaleCrop>false</ScaleCrop>
  <LinksUpToDate>false</LinksUpToDate>
  <CharactersWithSpaces>8897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2026-01-27T01:21:00Z</dcterms:created>
  <dc:creator>茜 彦辉</dc:creator>
  <cp:lastModifiedBy>雨滴</cp:lastModifiedBy>
  <cp:lastPrinted>2025-12-09T00:57:00Z</cp:lastPrinted>
  <dcterms:modified xsi:type="dcterms:W3CDTF">2026-09-08T06:55:23Z</dcterms:modified>
  <cp:revision>376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eyJoZGlkIjoiZWIxNGEwOGNkZDMzYzI3MjZiOGJjMDgxZjg4NjNiYzciLCJ1c2VySWQiOiI2NTE1NzM2NjMifQ==</vt:lpwstr>
  </property>
  <property fmtid="{D5CDD505-2E9C-101B-9397-08002B2CF9AE}" pid="3" name="KSOProductBuildVer">
    <vt:lpwstr>2052-12.1.0.28043</vt:lpwstr>
  </property>
  <property fmtid="{D5CDD505-2E9C-101B-9397-08002B2CF9AE}" pid="4" name="ICV">
    <vt:lpwstr>5D839A5930E94748B5A90C8EDF4ADB0A_13</vt:lpwstr>
  </property>
</Properties>
</file>