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4"/>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bookmarkStart w:id="125" w:name="_GoBack"/>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125"/>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w:t>
            </w:r>
            <w:r>
              <w:rPr>
                <w:rFonts w:ascii="黑体" w:hAnsi="黑体" w:eastAsia="黑体"/>
                <w:sz w:val="21"/>
                <w:szCs w:val="21"/>
              </w:rPr>
              <w:fldChar w:fldCharType="end"/>
            </w:r>
            <w:bookmarkEnd w:id="1"/>
          </w:p>
        </w:tc>
      </w:tr>
    </w:tbl>
    <w:tbl>
      <w:tblPr>
        <w:tblStyle w:val="34"/>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50"/>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t>43</w:t>
            </w:r>
            <w:r>
              <w:fldChar w:fldCharType="end"/>
            </w:r>
            <w:bookmarkEnd w:id="3"/>
          </w:p>
        </w:tc>
      </w:tr>
    </w:tbl>
    <w:p>
      <w:pPr>
        <w:pStyle w:val="51"/>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6"/>
        <w:rPr>
          <w:lang w:val="fr-FR"/>
        </w:rPr>
      </w:pPr>
      <w:r>
        <w:rPr>
          <w:rFonts w:ascii="Times New Roman"/>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7"/>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1"/>
        <w:framePr w:w="9639" w:h="6976" w:hRule="exact" w:hSpace="0" w:vSpace="0" w:hAnchor="page" w:y="6408"/>
        <w:jc w:val="center"/>
        <w:rPr>
          <w:rFonts w:ascii="黑体" w:hAnsi="黑体" w:eastAsia="黑体"/>
          <w:b w:val="0"/>
          <w:bCs w:val="0"/>
          <w:w w:val="100"/>
        </w:rPr>
      </w:pPr>
    </w:p>
    <w:p>
      <w:pPr>
        <w:pStyle w:val="198"/>
        <w:framePr w:h="6974" w:hRule="exact"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黄糍粑加工技术规程</w:t>
      </w:r>
      <w:r>
        <w:fldChar w:fldCharType="end"/>
      </w:r>
      <w:bookmarkEnd w:id="9"/>
    </w:p>
    <w:p>
      <w:pPr>
        <w:framePr w:w="9639" w:h="6974" w:hRule="exact" w:wrap="around" w:vAnchor="page" w:hAnchor="page" w:x="1419" w:y="6408" w:anchorLock="1"/>
        <w:ind w:left="-1418"/>
      </w:pPr>
    </w:p>
    <w:p>
      <w:pPr>
        <w:pStyle w:val="126"/>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Code of practice for processing of yellow rice cake</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6"/>
        <w:framePr w:w="9639" w:h="6974" w:hRule="exact" w:wrap="around" w:vAnchor="page" w:hAnchor="page" w:x="1419" w:y="6408" w:anchorLock="1"/>
        <w:textAlignment w:val="bottom"/>
        <w:rPr>
          <w:rFonts w:eastAsia="黑体"/>
          <w:szCs w:val="28"/>
        </w:rPr>
      </w:pPr>
    </w:p>
    <w:p>
      <w:pPr>
        <w:pStyle w:val="126"/>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6"/>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6"/>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4"/>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5"/>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2"/>
        <w:framePr w:h="584" w:hRule="exact" w:hSpace="181" w:vSpace="181"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30"/>
          <w:rFonts w:hint="eastAsia" w:hAnsi="黑体"/>
          <w:position w:val="0"/>
        </w:rPr>
        <w:t>发</w:t>
      </w:r>
      <w:r>
        <w:rPr>
          <w:rStyle w:val="230"/>
          <w:rFonts w:hint="eastAsia" w:hAnsi="黑体"/>
          <w:spacing w:val="0"/>
          <w:position w:val="0"/>
        </w:rPr>
        <w:t>布</w:t>
      </w:r>
    </w:p>
    <w:p>
      <w:pPr>
        <w:rPr>
          <w:rFonts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2"/>
        <w:spacing w:after="468"/>
      </w:pPr>
      <w:bookmarkStart w:id="21" w:name="BookMark1"/>
      <w:bookmarkStart w:id="22" w:name="_Toc237012340"/>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w:instrText>
      </w:r>
      <w:r>
        <w:fldChar w:fldCharType="separate"/>
      </w:r>
      <w:r>
        <w:fldChar w:fldCharType="begin"/>
      </w:r>
      <w:r>
        <w:instrText xml:space="preserve"> HYPERLINK \l "_Toc237013323" </w:instrText>
      </w:r>
      <w:r>
        <w:fldChar w:fldCharType="separate"/>
      </w:r>
      <w:r>
        <w:rPr>
          <w:rStyle w:val="31"/>
        </w:rPr>
        <w:t>前言</w:t>
      </w:r>
      <w:r>
        <w:tab/>
      </w:r>
      <w:r>
        <w:fldChar w:fldCharType="begin"/>
      </w:r>
      <w:r>
        <w:instrText xml:space="preserve"> PAGEREF _Toc237013323 \h </w:instrText>
      </w:r>
      <w:r>
        <w:fldChar w:fldCharType="separate"/>
      </w:r>
      <w:r>
        <w:t>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"_Toc237013324" </w:instrText>
      </w:r>
      <w:r>
        <w:fldChar w:fldCharType="separate"/>
      </w:r>
      <w:r>
        <w:rPr>
          <w:rStyle w:val="31"/>
        </w:rPr>
        <w:t>1  范围</w:t>
      </w:r>
      <w:r>
        <w:tab/>
      </w:r>
      <w:r>
        <w:fldChar w:fldCharType="begin"/>
      </w:r>
      <w:r>
        <w:instrText xml:space="preserve"> PAGEREF _Toc237013324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"_Toc237013325" </w:instrText>
      </w:r>
      <w:r>
        <w:fldChar w:fldCharType="separate"/>
      </w:r>
      <w:r>
        <w:rPr>
          <w:rStyle w:val="31"/>
        </w:rPr>
        <w:t>2  规范性引用文件</w:t>
      </w:r>
      <w:r>
        <w:tab/>
      </w:r>
      <w:r>
        <w:fldChar w:fldCharType="begin"/>
      </w:r>
      <w:r>
        <w:instrText xml:space="preserve"> PAGEREF _Toc237013325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"_Toc237013326" </w:instrText>
      </w:r>
      <w:r>
        <w:fldChar w:fldCharType="separate"/>
      </w:r>
      <w:r>
        <w:rPr>
          <w:rStyle w:val="31"/>
        </w:rPr>
        <w:t>3  术语和定义</w:t>
      </w:r>
      <w:r>
        <w:tab/>
      </w:r>
      <w:r>
        <w:fldChar w:fldCharType="begin"/>
      </w:r>
      <w:r>
        <w:instrText xml:space="preserve"> PAGEREF _Toc237013326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"_Toc237013327" </w:instrText>
      </w:r>
      <w:r>
        <w:fldChar w:fldCharType="separate"/>
      </w:r>
      <w:r>
        <w:rPr>
          <w:rStyle w:val="31"/>
        </w:rPr>
        <w:t>6  加工工艺流程</w:t>
      </w:r>
      <w:r>
        <w:tab/>
      </w:r>
      <w:r>
        <w:fldChar w:fldCharType="begin"/>
      </w:r>
      <w:r>
        <w:instrText xml:space="preserve"> PAGEREF _Toc237013327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"_Toc237013328" </w:instrText>
      </w:r>
      <w:r>
        <w:fldChar w:fldCharType="separate"/>
      </w:r>
      <w:r>
        <w:rPr>
          <w:rStyle w:val="31"/>
        </w:rPr>
        <w:t>7  加工工艺要求</w:t>
      </w:r>
      <w:r>
        <w:tab/>
      </w:r>
      <w:r>
        <w:fldChar w:fldCharType="begin"/>
      </w:r>
      <w:r>
        <w:instrText xml:space="preserve"> PAGEREF _Toc237013328 \h </w:instrText>
      </w:r>
      <w:r>
        <w:fldChar w:fldCharType="separate"/>
      </w:r>
      <w:r>
        <w:t>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"_Toc237013329" </w:instrText>
      </w:r>
      <w:r>
        <w:fldChar w:fldCharType="separate"/>
      </w:r>
      <w:r>
        <w:rPr>
          <w:rStyle w:val="31"/>
        </w:rPr>
        <w:t>9</w:t>
      </w:r>
      <w:r>
        <w:rPr>
          <w:rStyle w:val="31"/>
          <w:rFonts w:hint="eastAsia"/>
        </w:rPr>
        <w:t xml:space="preserve">  </w:t>
      </w:r>
      <w:r>
        <w:rPr>
          <w:rStyle w:val="31"/>
        </w:rPr>
        <w:t>包装</w:t>
      </w:r>
      <w:r>
        <w:tab/>
      </w:r>
      <w:r>
        <w:fldChar w:fldCharType="begin"/>
      </w:r>
      <w:r>
        <w:instrText xml:space="preserve"> PAGEREF _Toc237013329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"_Toc237013330" </w:instrText>
      </w:r>
      <w:r>
        <w:fldChar w:fldCharType="separate"/>
      </w:r>
      <w:r>
        <w:rPr>
          <w:rStyle w:val="31"/>
        </w:rPr>
        <w:t>10</w:t>
      </w:r>
      <w:r>
        <w:rPr>
          <w:rStyle w:val="31"/>
          <w:rFonts w:hint="eastAsia"/>
        </w:rPr>
        <w:t xml:space="preserve"> </w:t>
      </w:r>
      <w:r>
        <w:rPr>
          <w:rStyle w:val="31"/>
        </w:rPr>
        <w:t>检验入库</w:t>
      </w:r>
      <w:r>
        <w:tab/>
      </w:r>
      <w:r>
        <w:fldChar w:fldCharType="begin"/>
      </w:r>
      <w:r>
        <w:instrText xml:space="preserve"> PAGEREF _Toc237013330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"_Toc237013331" </w:instrText>
      </w:r>
      <w:r>
        <w:fldChar w:fldCharType="separate"/>
      </w:r>
      <w:r>
        <w:rPr>
          <w:rStyle w:val="31"/>
        </w:rPr>
        <w:t>11</w:t>
      </w:r>
      <w:r>
        <w:rPr>
          <w:rStyle w:val="31"/>
          <w:rFonts w:hint="eastAsia"/>
        </w:rPr>
        <w:t xml:space="preserve"> </w:t>
      </w:r>
      <w:r>
        <w:rPr>
          <w:rStyle w:val="31"/>
        </w:rPr>
        <w:t>贮</w:t>
      </w:r>
      <w:r>
        <w:rPr>
          <w:rStyle w:val="31"/>
          <w:rFonts w:hint="eastAsia"/>
        </w:rPr>
        <w:t>运</w:t>
      </w:r>
      <w:r>
        <w:tab/>
      </w:r>
      <w:r>
        <w:fldChar w:fldCharType="begin"/>
      </w:r>
      <w:r>
        <w:instrText xml:space="preserve"> PAGEREF _Toc237013331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"_Toc237013333" </w:instrText>
      </w:r>
      <w:r>
        <w:fldChar w:fldCharType="separate"/>
      </w:r>
      <w:r>
        <w:rPr>
          <w:rStyle w:val="31"/>
        </w:rPr>
        <w:t>1</w:t>
      </w:r>
      <w:r>
        <w:rPr>
          <w:rStyle w:val="31"/>
          <w:rFonts w:hint="eastAsia"/>
        </w:rPr>
        <w:t xml:space="preserve">2 </w:t>
      </w:r>
      <w:r>
        <w:rPr>
          <w:rStyle w:val="31"/>
        </w:rPr>
        <w:t>生产记录管理</w:t>
      </w:r>
      <w:r>
        <w:tab/>
      </w:r>
      <w:r>
        <w:fldChar w:fldCharType="begin"/>
      </w:r>
      <w:r>
        <w:instrText xml:space="preserve"> PAGEREF _Toc237013333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"_Toc237013334" </w:instrText>
      </w:r>
      <w:r>
        <w:fldChar w:fldCharType="separate"/>
      </w:r>
      <w:r>
        <w:rPr>
          <w:rStyle w:val="31"/>
          <w:rFonts w:hAnsi="黑体" w:cs="黑体"/>
        </w:rPr>
        <w:t>附录A</w:t>
      </w:r>
      <w:r>
        <w:rPr>
          <w:rStyle w:val="31"/>
        </w:rPr>
        <w:t>（资料性附 录） 黄糍粑理化指标控制要求</w:t>
      </w:r>
      <w:r>
        <w:tab/>
      </w:r>
      <w:r>
        <w:fldChar w:fldCharType="begin"/>
      </w:r>
      <w:r>
        <w:instrText xml:space="preserve"> PAGEREF _Toc237013334 \h </w:instrText>
      </w:r>
      <w:r>
        <w:fldChar w:fldCharType="separate"/>
      </w:r>
      <w:r>
        <w:t>5</w:t>
      </w:r>
      <w:r>
        <w:fldChar w:fldCharType="end"/>
      </w:r>
      <w:r>
        <w:fldChar w:fldCharType="end"/>
      </w:r>
    </w:p>
    <w:p>
      <w:pPr>
        <w:pStyle w:val="92"/>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90"/>
        <w:spacing w:before="560" w:after="468"/>
      </w:pPr>
      <w:bookmarkStart w:id="23" w:name="_Toc237013323"/>
      <w:bookmarkStart w:id="24" w:name="BookMark2"/>
      <w:r>
        <w:rPr>
          <w:spacing w:val="320"/>
        </w:rPr>
        <w:t>前</w:t>
      </w:r>
      <w:r>
        <w:t>言</w:t>
      </w:r>
      <w:bookmarkEnd w:id="22"/>
      <w:bookmarkEnd w:id="23"/>
    </w:p>
    <w:p>
      <w:pPr>
        <w:pStyle w:val="57"/>
        <w:ind w:firstLine="420"/>
      </w:pPr>
      <w:r>
        <w:rPr>
          <w:rFonts w:hint="eastAsia"/>
        </w:rPr>
        <w:t>本文件按照GB/T 1.1—2020《标准化工作导则  第1部分：标准化文件的结构和起草规则》的规定起草。</w:t>
      </w:r>
    </w:p>
    <w:p>
      <w:pPr>
        <w:pStyle w:val="57"/>
        <w:ind w:firstLine="420"/>
      </w:pPr>
      <w:r>
        <w:rPr>
          <w:rFonts w:hint="eastAsia"/>
        </w:rPr>
        <w:t>请注意本文件的某些内容可能涉及专利。本文件的发布机构不承担识别专利的责任。</w:t>
      </w:r>
    </w:p>
    <w:p>
      <w:pPr>
        <w:pStyle w:val="57"/>
        <w:ind w:firstLine="420"/>
      </w:pPr>
      <w:r>
        <w:rPr>
          <w:rFonts w:hint="eastAsia"/>
        </w:rPr>
        <w:t>本文件由湖南省市场监督管理局提出。</w:t>
      </w:r>
    </w:p>
    <w:p>
      <w:pPr>
        <w:pStyle w:val="57"/>
        <w:ind w:firstLine="420"/>
      </w:pPr>
      <w:r>
        <w:rPr>
          <w:rFonts w:hint="eastAsia"/>
        </w:rPr>
        <w:t>本文件由湖南省食品标准化技术委员会归口。</w:t>
      </w:r>
    </w:p>
    <w:p>
      <w:pPr>
        <w:pStyle w:val="57"/>
        <w:ind w:firstLine="420"/>
      </w:pPr>
      <w:r>
        <w:rPr>
          <w:rFonts w:hint="eastAsia"/>
        </w:rPr>
        <w:t>本文件起草单位：湖南省产商品质量检验研究院、郴州市食品药品检验检测中心、郴州市非物质文化遗产保护中心、郴州市苏仙区富宏糍粑厂、郴州福永旺生态农业开发有限公司、汝城县热水农牧春糍业厂。</w:t>
      </w:r>
    </w:p>
    <w:p>
      <w:pPr>
        <w:pStyle w:val="57"/>
        <w:ind w:firstLine="420"/>
      </w:pPr>
      <w:r>
        <w:rPr>
          <w:rFonts w:hint="eastAsia"/>
        </w:rPr>
        <w:t>本文件主要起草人员：向俊、田芳、冯燕英、张周洋、王云昊、周颖、苏家佑、荆辉华、唐万里、李勇、李瑜超、京舒婷、欧露真、邓辉、胡富宏、陈阳华、钟宝全。</w:t>
      </w:r>
    </w:p>
    <w:p>
      <w:pPr>
        <w:pStyle w:val="57"/>
        <w:ind w:firstLine="420"/>
        <w:sectPr>
          <w:pgSz w:w="11906" w:h="16838"/>
          <w:pgMar w:top="1928" w:right="1134" w:bottom="1134" w:left="1134" w:header="1418" w:footer="1134" w:gutter="284"/>
          <w:pgNumType w:fmt="upperRoman"/>
          <w:cols w:space="425" w:num="1"/>
          <w:formProt w:val="0"/>
          <w:docGrid w:type="lines" w:linePitch="312" w:charSpace="0"/>
        </w:sectPr>
      </w:pPr>
    </w:p>
    <w:bookmarkEnd w:id="24"/>
    <w:p>
      <w:pPr>
        <w:spacing w:line="20" w:lineRule="exact"/>
        <w:jc w:val="center"/>
        <w:rPr>
          <w:rFonts w:ascii="黑体" w:hAnsi="黑体" w:eastAsia="黑体"/>
          <w:sz w:val="32"/>
          <w:szCs w:val="32"/>
        </w:rPr>
      </w:pPr>
      <w:bookmarkStart w:id="25" w:name="BookMark4"/>
    </w:p>
    <w:p>
      <w:pPr>
        <w:spacing w:line="20" w:lineRule="exact"/>
        <w:jc w:val="center"/>
        <w:rPr>
          <w:rFonts w:ascii="黑体" w:hAnsi="黑体" w:eastAsia="黑体"/>
          <w:sz w:val="32"/>
          <w:szCs w:val="32"/>
        </w:rPr>
      </w:pPr>
    </w:p>
    <w:sdt>
      <w:sdtPr>
        <w:tag w:val="NEW_STAND_NAME"/>
        <w:id w:val="595910757"/>
        <w:lock w:val="sdtLocked"/>
        <w:placeholder>
          <w:docPart w:val="262F3E2226B04F3FAE7F0A4C184AFF47"/>
        </w:placeholder>
      </w:sdtPr>
      <w:sdtContent>
        <w:p>
          <w:pPr>
            <w:pStyle w:val="178"/>
            <w:spacing w:before="3" w:beforeLines="1" w:after="686" w:afterLines="220"/>
          </w:pPr>
          <w:bookmarkStart w:id="26" w:name="NEW_STAND_NAME"/>
          <w:r>
            <w:rPr>
              <w:rFonts w:hint="eastAsia"/>
            </w:rPr>
            <w:t>黄糍粑加工技术规程</w:t>
          </w:r>
        </w:p>
      </w:sdtContent>
    </w:sdt>
    <w:bookmarkEnd w:id="26"/>
    <w:p>
      <w:pPr>
        <w:pStyle w:val="105"/>
        <w:spacing w:before="312" w:after="312"/>
      </w:pPr>
      <w:bookmarkStart w:id="27" w:name="_Toc237013324"/>
      <w:bookmarkStart w:id="28" w:name="_Toc24884211"/>
      <w:bookmarkStart w:id="29" w:name="_Toc26986530"/>
      <w:bookmarkStart w:id="30" w:name="_Toc237009658"/>
      <w:bookmarkStart w:id="31" w:name="_Toc17233325"/>
      <w:bookmarkStart w:id="32" w:name="_Toc237012341"/>
      <w:bookmarkStart w:id="33" w:name="_Toc24884218"/>
      <w:bookmarkStart w:id="34" w:name="_Toc26986771"/>
      <w:bookmarkStart w:id="35" w:name="_Toc97191423"/>
      <w:bookmarkStart w:id="36" w:name="_Toc26648465"/>
      <w:bookmarkStart w:id="37" w:name="_Toc26718930"/>
      <w:bookmarkStart w:id="38" w:name="_Toc17233333"/>
      <w:r>
        <w:rPr>
          <w:rFonts w:hint="eastAsia"/>
        </w:rPr>
        <w:t>范围</w:t>
      </w:r>
      <w:bookmarkEnd w:id="27"/>
      <w:bookmarkEnd w:id="28"/>
      <w:bookmarkEnd w:id="29"/>
      <w:bookmarkEnd w:id="30"/>
      <w:bookmarkEnd w:id="31"/>
      <w:bookmarkEnd w:id="32"/>
      <w:bookmarkEnd w:id="33"/>
      <w:bookmarkEnd w:id="34"/>
      <w:bookmarkEnd w:id="35"/>
      <w:bookmarkEnd w:id="36"/>
      <w:bookmarkEnd w:id="37"/>
      <w:bookmarkEnd w:id="38"/>
    </w:p>
    <w:p>
      <w:pPr>
        <w:pStyle w:val="57"/>
        <w:ind w:firstLine="420"/>
      </w:pPr>
      <w:bookmarkStart w:id="39" w:name="_Toc24884219"/>
      <w:bookmarkStart w:id="40" w:name="_Toc26648466"/>
      <w:bookmarkStart w:id="41" w:name="_Toc24884212"/>
      <w:bookmarkStart w:id="42" w:name="_Toc17233334"/>
      <w:bookmarkStart w:id="43" w:name="_Toc17233326"/>
      <w:r>
        <w:rPr>
          <w:rFonts w:hint="eastAsia"/>
        </w:rPr>
        <w:t>本文件规定了桂东黄糍粑加工的术语和定义、原辅料要求，生产过程卫生要求，加工工艺流程，加工工艺要求，安全要求，包装，检验入库，成品贮存，成品运输和生产记录管理等内容。</w:t>
      </w:r>
    </w:p>
    <w:p>
      <w:pPr>
        <w:pStyle w:val="57"/>
        <w:ind w:firstLine="420"/>
      </w:pPr>
      <w:r>
        <w:rPr>
          <w:rFonts w:hint="eastAsia"/>
        </w:rPr>
        <w:t>本文件适用于黄糍粑的生产加工。</w:t>
      </w:r>
    </w:p>
    <w:p>
      <w:pPr>
        <w:pStyle w:val="105"/>
        <w:spacing w:before="312" w:after="312"/>
      </w:pPr>
      <w:bookmarkStart w:id="44" w:name="_Toc237012342"/>
      <w:bookmarkStart w:id="45" w:name="_Toc26986531"/>
      <w:bookmarkStart w:id="46" w:name="_Toc26986772"/>
      <w:bookmarkStart w:id="47" w:name="_Toc26718931"/>
      <w:bookmarkStart w:id="48" w:name="_Toc237013325"/>
      <w:bookmarkStart w:id="49" w:name="_Toc97191424"/>
      <w:bookmarkStart w:id="50" w:name="_Toc237009659"/>
      <w:r>
        <w:rPr>
          <w:rFonts w:hint="eastAsia"/>
        </w:rPr>
        <w:t>规范性引用文件</w:t>
      </w:r>
      <w:bookmarkEnd w:id="39"/>
      <w:bookmarkEnd w:id="40"/>
      <w:bookmarkEnd w:id="41"/>
      <w:bookmarkEnd w:id="42"/>
      <w:bookmarkEnd w:id="43"/>
      <w:bookmarkEnd w:id="44"/>
      <w:bookmarkEnd w:id="45"/>
      <w:bookmarkEnd w:id="46"/>
      <w:bookmarkEnd w:id="47"/>
      <w:bookmarkEnd w:id="48"/>
      <w:bookmarkEnd w:id="49"/>
      <w:bookmarkEnd w:id="50"/>
    </w:p>
    <w:sdt>
      <w:sdtPr>
        <w:rPr>
          <w:rFonts w:hint="eastAsia"/>
        </w:rPr>
        <w:id w:val="715848253"/>
        <w:placeholder>
          <w:docPart w:val="A826BCE6F44649FDAB2D804D6B686E13"/>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spacing w:line="240" w:lineRule="auto"/>
        <w:ind w:firstLine="420" w:firstLineChars="200"/>
        <w:jc w:val="left"/>
        <w:rPr>
          <w:rFonts w:ascii="宋体"/>
        </w:rPr>
      </w:pPr>
      <w:bookmarkStart w:id="51" w:name="_Hlk203136190"/>
      <w:r>
        <w:rPr>
          <w:rFonts w:hint="eastAsia" w:ascii="宋体" w:hAnsi="Times New Roman"/>
          <w:kern w:val="0"/>
          <w:szCs w:val="20"/>
        </w:rPr>
        <w:t>GB/T 1354 大米</w:t>
      </w:r>
    </w:p>
    <w:p>
      <w:pPr>
        <w:pStyle w:val="106"/>
        <w:numPr>
          <w:ilvl w:val="2"/>
          <w:numId w:val="0"/>
        </w:numPr>
        <w:spacing w:before="0" w:beforeLines="0" w:after="0" w:afterLines="0"/>
        <w:ind w:firstLine="420" w:firstLineChars="200"/>
        <w:rPr>
          <w:rFonts w:ascii="宋体" w:eastAsia="宋体"/>
        </w:rPr>
      </w:pPr>
      <w:bookmarkStart w:id="52" w:name="_Toc237009662"/>
      <w:bookmarkStart w:id="53" w:name="_Toc237012345"/>
      <w:bookmarkStart w:id="54" w:name="_Toc203140244"/>
      <w:r>
        <w:rPr>
          <w:rFonts w:hint="eastAsia" w:ascii="宋体" w:eastAsia="宋体"/>
        </w:rPr>
        <w:t>GB 5749 生活饮用水卫生标准</w:t>
      </w:r>
      <w:r>
        <w:rPr>
          <w:rFonts w:ascii="Times New Roman" w:eastAsia="宋体"/>
        </w:rPr>
        <w:t>​</w:t>
      </w:r>
      <w:bookmarkEnd w:id="52"/>
      <w:bookmarkEnd w:id="53"/>
      <w:bookmarkEnd w:id="54"/>
    </w:p>
    <w:p>
      <w:pPr>
        <w:pStyle w:val="106"/>
        <w:numPr>
          <w:ilvl w:val="2"/>
          <w:numId w:val="0"/>
        </w:numPr>
        <w:spacing w:before="0" w:beforeLines="0" w:after="0" w:afterLines="0"/>
        <w:ind w:firstLine="420" w:firstLineChars="200"/>
        <w:rPr>
          <w:rFonts w:ascii="宋体" w:eastAsia="宋体"/>
        </w:rPr>
      </w:pPr>
      <w:bookmarkStart w:id="55" w:name="_Toc237012346"/>
      <w:bookmarkStart w:id="56" w:name="_Toc203140245"/>
      <w:bookmarkStart w:id="57" w:name="_Toc237009663"/>
      <w:r>
        <w:rPr>
          <w:rFonts w:hint="eastAsia" w:ascii="宋体" w:eastAsia="宋体"/>
        </w:rPr>
        <w:t>GB 7718 食品安全国家标准 预包装食品标签通则</w:t>
      </w:r>
      <w:bookmarkEnd w:id="55"/>
      <w:bookmarkEnd w:id="56"/>
      <w:bookmarkEnd w:id="57"/>
    </w:p>
    <w:p>
      <w:pPr>
        <w:pStyle w:val="106"/>
        <w:numPr>
          <w:ilvl w:val="2"/>
          <w:numId w:val="0"/>
        </w:numPr>
        <w:spacing w:before="0" w:beforeLines="0" w:after="0" w:afterLines="0"/>
        <w:ind w:firstLine="420" w:firstLineChars="200"/>
        <w:rPr>
          <w:rFonts w:ascii="Times New Roman" w:eastAsia="宋体"/>
        </w:rPr>
      </w:pPr>
      <w:bookmarkStart w:id="58" w:name="_Toc237012347"/>
      <w:bookmarkStart w:id="59" w:name="_Toc203140246"/>
      <w:bookmarkStart w:id="60" w:name="_Toc237009664"/>
      <w:r>
        <w:rPr>
          <w:rFonts w:hint="eastAsia" w:ascii="宋体" w:eastAsia="宋体"/>
          <w:szCs w:val="22"/>
        </w:rPr>
        <w:t xml:space="preserve">GB 14881 食品安全国家标准 </w:t>
      </w:r>
      <w:r>
        <w:rPr>
          <w:rStyle w:val="231"/>
          <w:rFonts w:hint="eastAsia" w:ascii="宋体" w:hAnsi="宋体" w:eastAsia="宋体" w:cs="宋体"/>
          <w:color w:val="000000" w:themeColor="text1"/>
          <w:kern w:val="2"/>
          <w:szCs w:val="22"/>
          <w14:textFill>
            <w14:solidFill>
              <w14:schemeClr w14:val="tx1"/>
            </w14:solidFill>
          </w14:textFill>
        </w:rPr>
        <w:t>食品生产通用卫生规范</w:t>
      </w:r>
      <w:r>
        <w:rPr>
          <w:rFonts w:ascii="Times New Roman" w:eastAsia="宋体"/>
        </w:rPr>
        <w:t>​</w:t>
      </w:r>
      <w:bookmarkEnd w:id="58"/>
      <w:bookmarkEnd w:id="59"/>
      <w:bookmarkEnd w:id="60"/>
    </w:p>
    <w:p>
      <w:pPr>
        <w:pStyle w:val="57"/>
        <w:ind w:firstLine="420"/>
        <w:rPr>
          <w:rFonts w:ascii="宋体"/>
        </w:rPr>
      </w:pPr>
      <w:r>
        <w:rPr>
          <w:rFonts w:ascii="宋体"/>
        </w:rPr>
        <w:t>GB</w:t>
      </w:r>
      <w:r>
        <w:rPr>
          <w:rFonts w:hint="eastAsia" w:ascii="宋体"/>
        </w:rPr>
        <w:t>/T</w:t>
      </w:r>
      <w:r>
        <w:rPr>
          <w:rFonts w:ascii="宋体"/>
        </w:rPr>
        <w:t xml:space="preserve"> 2</w:t>
      </w:r>
      <w:r>
        <w:rPr>
          <w:rFonts w:hint="eastAsia" w:ascii="宋体"/>
        </w:rPr>
        <w:t>0977 糕点质量通则</w:t>
      </w:r>
      <w:bookmarkEnd w:id="51"/>
    </w:p>
    <w:p>
      <w:pPr>
        <w:pStyle w:val="105"/>
        <w:spacing w:before="312" w:after="312"/>
      </w:pPr>
      <w:bookmarkStart w:id="61" w:name="_Toc237009665"/>
      <w:bookmarkStart w:id="62" w:name="_Toc237012348"/>
      <w:bookmarkStart w:id="63" w:name="_Toc237013326"/>
      <w:bookmarkStart w:id="64" w:name="_Toc97191425"/>
      <w:r>
        <w:rPr>
          <w:rFonts w:hint="eastAsia"/>
          <w:szCs w:val="21"/>
        </w:rPr>
        <w:t>术语和定义</w:t>
      </w:r>
      <w:bookmarkEnd w:id="61"/>
      <w:bookmarkEnd w:id="62"/>
      <w:bookmarkEnd w:id="63"/>
      <w:bookmarkEnd w:id="64"/>
    </w:p>
    <w:sdt>
      <w:sdtPr>
        <w:id w:val="-1"/>
        <w:placeholder>
          <w:docPart w:val="B3A51EE14B7E46F19822650B3B1FC9C5"/>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7"/>
            <w:ind w:firstLine="420"/>
          </w:pPr>
          <w:bookmarkStart w:id="65" w:name="_Toc26986532"/>
          <w:bookmarkEnd w:id="65"/>
          <w:r>
            <w:t>下列术语和定义适用于本文件。</w:t>
          </w:r>
        </w:p>
      </w:sdtContent>
    </w:sdt>
    <w:p>
      <w:pPr>
        <w:spacing w:line="240" w:lineRule="auto"/>
        <w:rPr>
          <w:rFonts w:hint="default" w:ascii="黑体" w:hAnsi="黑体" w:eastAsia="黑体" w:cs="Arial"/>
          <w:lang w:val="en-US" w:eastAsia="zh-CN"/>
        </w:rPr>
      </w:pPr>
      <w:r>
        <w:rPr>
          <w:rFonts w:hint="eastAsia" w:ascii="黑体" w:hAnsi="黑体" w:eastAsia="黑体" w:cs="Arial"/>
          <w:bCs/>
        </w:rPr>
        <w:t xml:space="preserve">3.1 </w:t>
      </w:r>
      <w:r>
        <w:rPr>
          <w:rFonts w:hint="eastAsia" w:ascii="黑体" w:hAnsi="黑体" w:eastAsia="黑体" w:cs="Arial"/>
        </w:rPr>
        <w:t>黄糍粑</w:t>
      </w:r>
      <w:r>
        <w:rPr>
          <w:rFonts w:hint="eastAsia" w:ascii="黑体" w:hAnsi="黑体" w:eastAsia="黑体" w:cs="Arial"/>
          <w:lang w:val="en-US" w:eastAsia="zh-CN"/>
        </w:rPr>
        <w:t xml:space="preserve"> </w:t>
      </w:r>
      <w:r>
        <w:rPr>
          <w:rFonts w:hint="default" w:ascii="Times New Roman" w:hAnsi="Times New Roman" w:eastAsia="黑体" w:cs="Times New Roman"/>
          <w:lang w:val="en-US" w:eastAsia="zh-CN"/>
        </w:rPr>
        <w:t>yellow rice cake</w:t>
      </w:r>
    </w:p>
    <w:p>
      <w:pPr>
        <w:spacing w:line="240" w:lineRule="auto"/>
        <w:ind w:firstLine="420" w:firstLineChars="200"/>
        <w:rPr>
          <w:rFonts w:cs="Arial" w:asciiTheme="majorEastAsia" w:hAnsiTheme="majorEastAsia" w:eastAsiaTheme="majorEastAsia"/>
        </w:rPr>
      </w:pPr>
      <w:r>
        <w:rPr>
          <w:rFonts w:hint="eastAsia"/>
        </w:rPr>
        <w:t>以优质糯米、黄栀子（天然染色剂）为原料，经泡米、磨浆、蒸制、捶打、塑形等多道传统工艺加工制成的特色美食</w:t>
      </w:r>
      <w:r>
        <w:rPr>
          <w:rFonts w:hint="eastAsia" w:cs="Arial" w:asciiTheme="majorEastAsia" w:hAnsiTheme="majorEastAsia" w:eastAsiaTheme="majorEastAsia"/>
        </w:rPr>
        <w:t>。</w:t>
      </w:r>
    </w:p>
    <w:p>
      <w:pPr>
        <w:spacing w:line="240" w:lineRule="auto"/>
        <w:rPr>
          <w:rFonts w:hint="default" w:ascii="黑体" w:hAnsi="黑体" w:eastAsia="黑体" w:cs="Arial"/>
          <w:lang w:val="en-US" w:eastAsia="zh-CN"/>
        </w:rPr>
      </w:pPr>
      <w:r>
        <w:rPr>
          <w:rFonts w:hint="eastAsia" w:ascii="黑体" w:hAnsi="黑体" w:eastAsia="黑体" w:cs="Arial"/>
        </w:rPr>
        <w:t xml:space="preserve">3.2 </w:t>
      </w:r>
      <w:r>
        <w:rPr>
          <w:rFonts w:ascii="黑体" w:hAnsi="黑体" w:eastAsia="黑体" w:cs="Arial"/>
        </w:rPr>
        <w:t>米坯</w:t>
      </w:r>
      <w:r>
        <w:rPr>
          <w:rFonts w:hint="eastAsia" w:ascii="黑体" w:hAnsi="黑体" w:eastAsia="黑体" w:cs="Arial"/>
          <w:lang w:val="en-US" w:eastAsia="zh-CN"/>
        </w:rPr>
        <w:t xml:space="preserve"> </w:t>
      </w:r>
      <w:r>
        <w:rPr>
          <w:rFonts w:hint="default" w:ascii="Times New Roman" w:hAnsi="Times New Roman" w:eastAsia="黑体" w:cs="Times New Roman"/>
          <w:lang w:val="en-US" w:eastAsia="zh-CN"/>
        </w:rPr>
        <w:t>steamed rice</w:t>
      </w:r>
    </w:p>
    <w:p>
      <w:pPr>
        <w:spacing w:line="240" w:lineRule="auto"/>
      </w:pPr>
      <w:r>
        <w:rPr>
          <w:rFonts w:hint="eastAsia" w:ascii="黑体" w:hAnsi="黑体" w:eastAsia="黑体" w:cs="Arial"/>
        </w:rPr>
        <w:t xml:space="preserve">    </w:t>
      </w:r>
      <w:r>
        <w:rPr>
          <w:rFonts w:ascii="Arial" w:hAnsi="Arial" w:cs="Arial"/>
          <w:shd w:val="clear" w:color="auto" w:fill="FFFFFF"/>
        </w:rPr>
        <w:t>将过滤后</w:t>
      </w:r>
      <w:r>
        <w:rPr>
          <w:rFonts w:hint="eastAsia" w:ascii="Arial" w:hAnsi="Arial" w:cs="Arial"/>
          <w:shd w:val="clear" w:color="auto" w:fill="FFFFFF"/>
        </w:rPr>
        <w:t>的大米</w:t>
      </w:r>
      <w:r>
        <w:rPr>
          <w:rFonts w:ascii="Arial" w:hAnsi="Arial" w:cs="Arial"/>
          <w:shd w:val="clear" w:color="auto" w:fill="FFFFFF"/>
        </w:rPr>
        <w:t>放进</w:t>
      </w:r>
      <w:r>
        <w:rPr>
          <w:rFonts w:hint="eastAsia" w:ascii="Arial" w:hAnsi="Arial" w:cs="Arial"/>
          <w:shd w:val="clear" w:color="auto" w:fill="FFFFFF"/>
        </w:rPr>
        <w:t>蒸锅中蒸熟，俗称</w:t>
      </w:r>
      <w:r>
        <w:rPr>
          <w:rFonts w:ascii="Arial" w:hAnsi="Arial" w:cs="Arial"/>
          <w:shd w:val="clear" w:color="auto" w:fill="FFFFFF"/>
        </w:rPr>
        <w:t>米坯</w:t>
      </w:r>
      <w:r>
        <w:rPr>
          <w:rFonts w:hint="eastAsia" w:ascii="Arial" w:hAnsi="Arial" w:cs="Arial"/>
          <w:shd w:val="clear" w:color="auto" w:fill="FFFFFF"/>
        </w:rPr>
        <w:t>。</w:t>
      </w:r>
    </w:p>
    <w:p>
      <w:pPr>
        <w:keepNext w:val="0"/>
        <w:keepLines w:val="0"/>
        <w:pageBreakBefore w:val="0"/>
        <w:widowControl w:val="0"/>
        <w:kinsoku/>
        <w:wordWrap/>
        <w:overflowPunct/>
        <w:topLinePunct w:val="0"/>
        <w:autoSpaceDE/>
        <w:autoSpaceDN/>
        <w:bidi w:val="0"/>
        <w:adjustRightInd w:val="0"/>
        <w:snapToGrid/>
        <w:spacing w:before="313" w:beforeLines="100" w:after="313" w:afterLines="100" w:line="240" w:lineRule="auto"/>
        <w:textAlignment w:val="auto"/>
        <w:rPr>
          <w:rFonts w:ascii="黑体" w:hAnsi="黑体" w:eastAsia="黑体" w:cs="Arial"/>
          <w:bCs/>
        </w:rPr>
      </w:pPr>
      <w:r>
        <w:rPr>
          <w:rFonts w:hint="eastAsia" w:ascii="黑体" w:hAnsi="黑体" w:eastAsia="黑体" w:cs="Arial"/>
          <w:bCs/>
        </w:rPr>
        <w:t>4  原辅料要求</w:t>
      </w:r>
    </w:p>
    <w:p>
      <w:pPr>
        <w:spacing w:line="240" w:lineRule="auto"/>
      </w:pPr>
      <w:r>
        <w:rPr>
          <w:rFonts w:hint="eastAsia" w:ascii="黑体" w:hAnsi="黑体" w:eastAsia="黑体" w:cs="Arial"/>
          <w:bCs/>
        </w:rPr>
        <w:t xml:space="preserve">4.1  </w:t>
      </w:r>
      <w:r>
        <w:rPr>
          <w:rFonts w:hint="eastAsia"/>
        </w:rPr>
        <w:t>大米应符合</w:t>
      </w:r>
      <w:r>
        <w:rPr>
          <w:rFonts w:hint="eastAsia" w:ascii="Times New Roman" w:hAnsi="Times New Roman"/>
          <w:kern w:val="0"/>
          <w:szCs w:val="20"/>
        </w:rPr>
        <w:t>GB/T 1354</w:t>
      </w:r>
      <w:r>
        <w:rPr>
          <w:rFonts w:hint="eastAsia"/>
        </w:rPr>
        <w:t>的要求</w:t>
      </w:r>
      <w:r>
        <w:rPr>
          <w:rFonts w:hint="eastAsia" w:asciiTheme="majorEastAsia" w:hAnsiTheme="majorEastAsia" w:eastAsiaTheme="majorEastAsia"/>
        </w:rPr>
        <w:t>。</w:t>
      </w:r>
    </w:p>
    <w:p>
      <w:pPr>
        <w:spacing w:line="240" w:lineRule="auto"/>
      </w:pPr>
      <w:r>
        <w:rPr>
          <w:rFonts w:hint="eastAsia" w:ascii="黑体" w:hAnsi="黑体" w:eastAsia="黑体" w:cs="Arial"/>
          <w:bCs/>
        </w:rPr>
        <w:t xml:space="preserve">4.2  </w:t>
      </w:r>
      <w:r>
        <w:rPr>
          <w:rFonts w:hint="eastAsia"/>
        </w:rPr>
        <w:t>生产用水应符合</w:t>
      </w:r>
      <w:r>
        <w:rPr>
          <w:rFonts w:hint="eastAsia" w:ascii="Times New Roman" w:hAnsi="Times New Roman"/>
          <w:kern w:val="0"/>
          <w:szCs w:val="20"/>
        </w:rPr>
        <w:t>GB 5749</w:t>
      </w:r>
      <w:r>
        <w:rPr>
          <w:rFonts w:hint="eastAsia"/>
        </w:rPr>
        <w:t>的要求。</w:t>
      </w:r>
    </w:p>
    <w:p>
      <w:pPr>
        <w:widowControl/>
        <w:spacing w:line="240" w:lineRule="auto"/>
        <w:jc w:val="left"/>
      </w:pPr>
      <w:r>
        <w:rPr>
          <w:rFonts w:ascii="黑体" w:hAnsi="黑体" w:eastAsia="黑体" w:cs="Arial"/>
          <w:bCs/>
          <w:kern w:val="0"/>
        </w:rPr>
        <w:t>4.</w:t>
      </w:r>
      <w:r>
        <w:rPr>
          <w:rFonts w:hint="eastAsia" w:ascii="黑体" w:hAnsi="黑体" w:eastAsia="黑体" w:cs="Arial"/>
          <w:bCs/>
          <w:kern w:val="0"/>
        </w:rPr>
        <w:t>3</w:t>
      </w:r>
      <w:r>
        <w:rPr>
          <w:rFonts w:ascii="黑体" w:hAnsi="黑体" w:eastAsia="黑体" w:cs="Arial"/>
          <w:bCs/>
          <w:kern w:val="0"/>
        </w:rPr>
        <w:t xml:space="preserve"> </w:t>
      </w:r>
      <w:r>
        <w:rPr>
          <w:rFonts w:hint="eastAsia" w:ascii="黑体" w:hAnsi="黑体" w:eastAsia="黑体" w:cs="Arial"/>
          <w:bCs/>
          <w:kern w:val="0"/>
        </w:rPr>
        <w:t xml:space="preserve"> </w:t>
      </w:r>
      <w:r>
        <w:rPr>
          <w:rFonts w:hint="eastAsia"/>
        </w:rPr>
        <w:t>其他辅料应符合相关标准规定。</w:t>
      </w:r>
    </w:p>
    <w:p>
      <w:pPr>
        <w:keepNext w:val="0"/>
        <w:keepLines w:val="0"/>
        <w:pageBreakBefore w:val="0"/>
        <w:widowControl/>
        <w:kinsoku/>
        <w:wordWrap/>
        <w:overflowPunct/>
        <w:topLinePunct w:val="0"/>
        <w:autoSpaceDE/>
        <w:autoSpaceDN/>
        <w:bidi w:val="0"/>
        <w:adjustRightInd w:val="0"/>
        <w:snapToGrid/>
        <w:spacing w:before="313" w:beforeLines="100" w:after="313" w:afterLines="100" w:line="240" w:lineRule="auto"/>
        <w:jc w:val="left"/>
        <w:textAlignment w:val="auto"/>
        <w:rPr>
          <w:rFonts w:ascii="黑体" w:hAnsi="黑体" w:eastAsia="黑体" w:cs="Arial"/>
          <w:bCs/>
          <w:kern w:val="0"/>
        </w:rPr>
      </w:pPr>
      <w:r>
        <w:rPr>
          <w:rFonts w:hint="eastAsia" w:ascii="黑体" w:hAnsi="黑体" w:eastAsia="黑体" w:cs="Arial"/>
          <w:bCs/>
          <w:kern w:val="0"/>
        </w:rPr>
        <w:t xml:space="preserve">5 </w:t>
      </w:r>
      <w:bookmarkStart w:id="66" w:name="_Toc203140259"/>
      <w:bookmarkStart w:id="67" w:name="_Toc203140287"/>
      <w:bookmarkStart w:id="68" w:name="_Toc203467624"/>
      <w:r>
        <w:rPr>
          <w:rFonts w:hint="eastAsia" w:ascii="黑体" w:hAnsi="黑体" w:eastAsia="黑体" w:cs="Arial"/>
          <w:bCs/>
          <w:kern w:val="0"/>
        </w:rPr>
        <w:t>生产过程卫生要求</w:t>
      </w:r>
      <w:bookmarkEnd w:id="66"/>
      <w:bookmarkEnd w:id="67"/>
      <w:bookmarkEnd w:id="68"/>
    </w:p>
    <w:p>
      <w:pPr>
        <w:pStyle w:val="57"/>
        <w:spacing w:before="156" w:after="156"/>
        <w:ind w:firstLine="420"/>
        <w:rPr>
          <w:rFonts w:cs="Arial" w:asciiTheme="majorEastAsia" w:hAnsiTheme="majorEastAsia" w:eastAsiaTheme="majorEastAsia"/>
          <w:szCs w:val="21"/>
        </w:rPr>
      </w:pPr>
      <w:r>
        <w:rPr>
          <w:rFonts w:hint="eastAsia"/>
        </w:rPr>
        <w:t>应符合 GB 14881 的规定。</w:t>
      </w:r>
    </w:p>
    <w:p>
      <w:pPr>
        <w:pStyle w:val="105"/>
        <w:keepNext w:val="0"/>
        <w:keepLines w:val="0"/>
        <w:pageBreakBefore w:val="0"/>
        <w:widowControl/>
        <w:numPr>
          <w:ilvl w:val="1"/>
          <w:numId w:val="0"/>
        </w:numPr>
        <w:kinsoku/>
        <w:wordWrap/>
        <w:overflowPunct/>
        <w:topLinePunct w:val="0"/>
        <w:autoSpaceDE/>
        <w:autoSpaceDN/>
        <w:bidi w:val="0"/>
        <w:adjustRightInd/>
        <w:snapToGrid/>
        <w:spacing w:before="312" w:after="312"/>
        <w:textAlignment w:val="auto"/>
      </w:pPr>
      <w:bookmarkStart w:id="69" w:name="_Toc203467625"/>
      <w:bookmarkStart w:id="70" w:name="_Toc203140260"/>
      <w:bookmarkStart w:id="71" w:name="_Toc203140288"/>
      <w:bookmarkStart w:id="72" w:name="_Toc237012349"/>
      <w:bookmarkStart w:id="73" w:name="_Toc237013327"/>
      <w:bookmarkStart w:id="74" w:name="_Toc237009666"/>
      <w:r>
        <w:rPr>
          <w:rFonts w:hint="eastAsia"/>
        </w:rPr>
        <w:t>6 加工工艺</w:t>
      </w:r>
      <w:bookmarkEnd w:id="69"/>
      <w:bookmarkEnd w:id="70"/>
      <w:bookmarkEnd w:id="71"/>
      <w:r>
        <w:rPr>
          <w:rFonts w:hint="eastAsia"/>
        </w:rPr>
        <w:t>流程</w:t>
      </w:r>
      <w:bookmarkEnd w:id="72"/>
      <w:bookmarkEnd w:id="73"/>
      <w:bookmarkEnd w:id="74"/>
    </w:p>
    <w:p>
      <w:pPr>
        <w:pStyle w:val="57"/>
        <w:spacing w:before="156" w:after="156"/>
        <w:ind w:firstLine="420"/>
      </w:pPr>
      <w:r>
        <w:rPr>
          <w:rFonts w:hint="eastAsia"/>
        </w:rPr>
        <w:t>黄糍粑加工工艺流程见图1。</w:t>
      </w:r>
    </w:p>
    <w:p>
      <w:pPr>
        <w:pStyle w:val="57"/>
        <w:spacing w:before="156" w:after="156"/>
        <w:ind w:firstLine="420"/>
      </w:pPr>
    </w:p>
    <w:p>
      <w:pPr>
        <w:pStyle w:val="57"/>
        <w:spacing w:before="156" w:after="156"/>
        <w:ind w:firstLine="630" w:firstLineChars="300"/>
        <w:rPr>
          <w:rStyle w:val="231"/>
          <w:kern w:val="2"/>
          <w:szCs w:val="22"/>
          <w:bdr w:val="single" w:color="auto" w:sz="4" w:space="0"/>
        </w:rPr>
      </w:pPr>
      <w:r>
        <w:rPr>
          <w:rStyle w:val="231"/>
          <w:rFonts w:hint="eastAsia"/>
          <w:kern w:val="2"/>
          <w:szCs w:val="22"/>
        </w:rPr>
        <w:t>原料→ 浸泡→过滤→蒸制→加碱水→二次蒸制→成型→摊凉→包装→杀菌→成品</w:t>
      </w:r>
    </w:p>
    <w:p>
      <w:pPr>
        <w:pStyle w:val="57"/>
        <w:spacing w:before="156" w:after="156"/>
        <w:ind w:firstLine="0" w:firstLineChars="0"/>
        <w:jc w:val="center"/>
        <w:rPr>
          <w:rFonts w:ascii="黑体" w:hAnsi="黑体" w:eastAsia="黑体" w:cs="黑体"/>
        </w:rPr>
      </w:pPr>
    </w:p>
    <w:p>
      <w:pPr>
        <w:pStyle w:val="57"/>
        <w:spacing w:before="156" w:after="156"/>
        <w:ind w:firstLine="3150" w:firstLineChars="1500"/>
      </w:pPr>
      <w:r>
        <w:rPr>
          <w:rFonts w:hint="eastAsia" w:ascii="黑体" w:hAnsi="黑体" w:eastAsia="黑体" w:cs="黑体"/>
        </w:rPr>
        <w:t>图1 黄糍粑加工工艺流程图</w:t>
      </w:r>
    </w:p>
    <w:p>
      <w:pPr>
        <w:pStyle w:val="105"/>
        <w:numPr>
          <w:ilvl w:val="1"/>
          <w:numId w:val="0"/>
        </w:numPr>
        <w:spacing w:before="312" w:after="312"/>
      </w:pPr>
      <w:bookmarkStart w:id="75" w:name="_Toc237012350"/>
      <w:bookmarkStart w:id="76" w:name="_Toc237009667"/>
      <w:bookmarkStart w:id="77" w:name="_Toc237013328"/>
      <w:bookmarkStart w:id="78" w:name="_Toc203140262"/>
      <w:r>
        <w:rPr>
          <w:rFonts w:hint="eastAsia"/>
        </w:rPr>
        <w:t>7 加工工艺要求</w:t>
      </w:r>
      <w:bookmarkEnd w:id="75"/>
      <w:bookmarkEnd w:id="76"/>
      <w:bookmarkEnd w:id="77"/>
    </w:p>
    <w:p>
      <w:pPr>
        <w:pStyle w:val="106"/>
        <w:keepNext w:val="0"/>
        <w:keepLines w:val="0"/>
        <w:pageBreakBefore w:val="0"/>
        <w:widowControl/>
        <w:numPr>
          <w:ilvl w:val="2"/>
          <w:numId w:val="0"/>
        </w:numPr>
        <w:kinsoku/>
        <w:wordWrap/>
        <w:overflowPunct/>
        <w:topLinePunct w:val="0"/>
        <w:autoSpaceDE/>
        <w:autoSpaceDN/>
        <w:bidi w:val="0"/>
        <w:adjustRightInd/>
        <w:snapToGrid/>
        <w:spacing w:before="156" w:after="156"/>
        <w:textAlignment w:val="auto"/>
      </w:pPr>
      <w:bookmarkStart w:id="79" w:name="_Toc237012351"/>
      <w:bookmarkStart w:id="80" w:name="_Toc237009668"/>
      <w:r>
        <w:rPr>
          <w:rFonts w:hint="eastAsia"/>
        </w:rPr>
        <w:t xml:space="preserve">7.1 </w:t>
      </w:r>
      <w:bookmarkEnd w:id="78"/>
      <w:r>
        <w:rPr>
          <w:rFonts w:hint="eastAsia"/>
        </w:rPr>
        <w:t>植物碱水</w:t>
      </w:r>
      <w:bookmarkEnd w:id="79"/>
      <w:bookmarkEnd w:id="80"/>
    </w:p>
    <w:p>
      <w:pPr>
        <w:pStyle w:val="25"/>
        <w:widowControl/>
        <w:spacing w:beforeAutospacing="0" w:afterAutospacing="0" w:line="390" w:lineRule="atLeast"/>
        <w:ind w:firstLine="420" w:firstLineChars="200"/>
        <w:rPr>
          <w:sz w:val="21"/>
          <w:szCs w:val="21"/>
        </w:rPr>
      </w:pPr>
      <w:r>
        <w:rPr>
          <w:rFonts w:hint="eastAsia" w:ascii="宋体" w:hAnsi="宋体"/>
          <w:kern w:val="2"/>
          <w:sz w:val="21"/>
          <w:szCs w:val="21"/>
        </w:rPr>
        <w:t>选用</w:t>
      </w:r>
      <w:r>
        <w:rPr>
          <w:rFonts w:ascii="宋体" w:hAnsi="宋体"/>
          <w:kern w:val="2"/>
          <w:sz w:val="21"/>
          <w:szCs w:val="21"/>
        </w:rPr>
        <w:t>大禾米、黄泥柴、槐米等</w:t>
      </w:r>
      <w:r>
        <w:rPr>
          <w:rFonts w:hint="eastAsia" w:ascii="宋体" w:hAnsi="宋体"/>
          <w:kern w:val="2"/>
          <w:sz w:val="21"/>
          <w:szCs w:val="21"/>
        </w:rPr>
        <w:t>传统</w:t>
      </w:r>
      <w:r>
        <w:rPr>
          <w:rFonts w:ascii="宋体" w:hAnsi="宋体"/>
          <w:kern w:val="2"/>
          <w:sz w:val="21"/>
          <w:szCs w:val="21"/>
        </w:rPr>
        <w:t>天然</w:t>
      </w:r>
      <w:r>
        <w:rPr>
          <w:rFonts w:hint="eastAsia" w:ascii="宋体" w:hAnsi="宋体"/>
          <w:kern w:val="2"/>
          <w:sz w:val="21"/>
          <w:szCs w:val="21"/>
        </w:rPr>
        <w:t>原辅材料</w:t>
      </w:r>
      <w:r>
        <w:rPr>
          <w:rFonts w:ascii="宋体" w:hAnsi="宋体"/>
          <w:kern w:val="2"/>
          <w:sz w:val="21"/>
          <w:szCs w:val="21"/>
        </w:rPr>
        <w:t>；将黄泥柴充分焚烧成灰，采用开水反复淋滤方式萃取，制备天然植物碱水</w:t>
      </w:r>
      <w:r>
        <w:rPr>
          <w:rFonts w:ascii="Arial" w:hAnsi="Arial" w:cs="Arial"/>
          <w:sz w:val="21"/>
          <w:szCs w:val="21"/>
          <w:shd w:val="clear" w:color="auto" w:fill="FFFFFF"/>
        </w:rPr>
        <w:t>。</w:t>
      </w:r>
    </w:p>
    <w:p>
      <w:pPr>
        <w:pStyle w:val="66"/>
        <w:keepNext w:val="0"/>
        <w:keepLines w:val="0"/>
        <w:pageBreakBefore w:val="0"/>
        <w:widowControl w:val="0"/>
        <w:numPr>
          <w:ilvl w:val="3"/>
          <w:numId w:val="0"/>
        </w:numPr>
        <w:kinsoku/>
        <w:wordWrap/>
        <w:overflowPunct/>
        <w:topLinePunct w:val="0"/>
        <w:autoSpaceDE/>
        <w:autoSpaceDN/>
        <w:bidi w:val="0"/>
        <w:adjustRightInd/>
        <w:snapToGrid/>
        <w:spacing w:before="156" w:after="156"/>
        <w:textAlignment w:val="auto"/>
        <w:rPr>
          <w:rStyle w:val="231"/>
          <w:kern w:val="2"/>
          <w:szCs w:val="22"/>
        </w:rPr>
      </w:pPr>
      <w:r>
        <w:rPr>
          <w:rFonts w:hint="eastAsia"/>
        </w:rPr>
        <w:t xml:space="preserve">7.2 </w:t>
      </w:r>
      <w:r>
        <w:rPr>
          <w:rStyle w:val="231"/>
          <w:rFonts w:hint="eastAsia"/>
          <w:kern w:val="2"/>
          <w:szCs w:val="22"/>
        </w:rPr>
        <w:t>浸泡</w:t>
      </w:r>
    </w:p>
    <w:p>
      <w:pPr>
        <w:pStyle w:val="57"/>
        <w:spacing w:before="156" w:after="156"/>
        <w:ind w:firstLine="420"/>
      </w:pPr>
      <w:r>
        <w:rPr>
          <w:rFonts w:ascii="宋体" w:hAnsi="宋体"/>
          <w:kern w:val="2"/>
          <w:szCs w:val="21"/>
        </w:rPr>
        <w:t>将大禾米完全浸入水中，恒温浸泡时长不低于</w:t>
      </w:r>
      <w:r>
        <w:rPr>
          <w:kern w:val="2"/>
          <w:szCs w:val="21"/>
        </w:rPr>
        <w:t>24</w:t>
      </w:r>
      <w:r>
        <w:rPr>
          <w:rFonts w:ascii="宋体" w:hAnsi="宋体"/>
          <w:kern w:val="2"/>
          <w:szCs w:val="21"/>
        </w:rPr>
        <w:t>小时</w:t>
      </w:r>
      <w:r>
        <w:rPr>
          <w:rFonts w:ascii="Arial" w:hAnsi="Arial" w:cs="Arial"/>
          <w:szCs w:val="21"/>
          <w:shd w:val="clear" w:color="auto" w:fill="FFFFFF"/>
        </w:rPr>
        <w:t>。</w:t>
      </w:r>
    </w:p>
    <w:p>
      <w:pPr>
        <w:pStyle w:val="66"/>
        <w:numPr>
          <w:ilvl w:val="3"/>
          <w:numId w:val="0"/>
        </w:numPr>
        <w:spacing w:before="156" w:after="156"/>
      </w:pPr>
      <w:bookmarkStart w:id="81" w:name="_Toc203140263"/>
      <w:r>
        <w:rPr>
          <w:rFonts w:hint="eastAsia"/>
        </w:rPr>
        <w:t>7.</w:t>
      </w:r>
      <w:bookmarkEnd w:id="81"/>
      <w:r>
        <w:rPr>
          <w:rFonts w:hint="eastAsia"/>
        </w:rPr>
        <w:t xml:space="preserve">3 </w:t>
      </w:r>
      <w:r>
        <w:rPr>
          <w:rStyle w:val="231"/>
          <w:rFonts w:hint="eastAsia"/>
          <w:kern w:val="2"/>
          <w:szCs w:val="22"/>
        </w:rPr>
        <w:t>过滤</w:t>
      </w:r>
    </w:p>
    <w:p>
      <w:pPr>
        <w:pStyle w:val="106"/>
        <w:numPr>
          <w:ilvl w:val="2"/>
          <w:numId w:val="0"/>
        </w:numPr>
        <w:spacing w:before="0" w:beforeLines="0" w:after="0" w:afterLines="0"/>
        <w:ind w:firstLine="420" w:firstLineChars="200"/>
        <w:rPr>
          <w:rStyle w:val="231"/>
          <w:rFonts w:ascii="Times New Roman" w:eastAsia="宋体"/>
          <w:kern w:val="2"/>
          <w:szCs w:val="22"/>
        </w:rPr>
      </w:pPr>
      <w:bookmarkStart w:id="82" w:name="_Toc237012352"/>
      <w:bookmarkStart w:id="83" w:name="_Toc237009669"/>
      <w:bookmarkStart w:id="84" w:name="_Toc203140265"/>
      <w:r>
        <w:rPr>
          <w:rStyle w:val="231"/>
          <w:rFonts w:hint="eastAsia" w:ascii="Times New Roman" w:eastAsia="宋体"/>
          <w:kern w:val="2"/>
          <w:szCs w:val="22"/>
        </w:rPr>
        <w:t>将浸泡好的大米摊凉6小时以上，再滤干表面水分。</w:t>
      </w:r>
      <w:bookmarkEnd w:id="82"/>
      <w:bookmarkEnd w:id="83"/>
    </w:p>
    <w:p>
      <w:pPr>
        <w:pStyle w:val="66"/>
        <w:numPr>
          <w:ilvl w:val="3"/>
          <w:numId w:val="0"/>
        </w:numPr>
        <w:spacing w:before="156" w:after="156"/>
        <w:rPr>
          <w:rStyle w:val="231"/>
          <w:kern w:val="2"/>
          <w:szCs w:val="22"/>
        </w:rPr>
      </w:pPr>
      <w:r>
        <w:rPr>
          <w:rFonts w:hint="eastAsia"/>
        </w:rPr>
        <w:t xml:space="preserve">7.4 </w:t>
      </w:r>
      <w:r>
        <w:rPr>
          <w:rStyle w:val="231"/>
          <w:rFonts w:hint="eastAsia"/>
          <w:kern w:val="2"/>
          <w:szCs w:val="22"/>
        </w:rPr>
        <w:t>蒸制</w:t>
      </w:r>
    </w:p>
    <w:p>
      <w:pPr>
        <w:pStyle w:val="25"/>
        <w:widowControl/>
        <w:spacing w:beforeAutospacing="0" w:afterAutospacing="0" w:line="390" w:lineRule="atLeast"/>
        <w:ind w:firstLine="420" w:firstLineChars="200"/>
        <w:rPr>
          <w:rFonts w:ascii="Arial" w:hAnsi="Arial" w:cs="Arial"/>
          <w:sz w:val="21"/>
          <w:szCs w:val="21"/>
          <w:shd w:val="clear" w:color="auto" w:fill="FFFFFF"/>
        </w:rPr>
      </w:pPr>
      <w:r>
        <w:rPr>
          <w:rFonts w:ascii="Arial" w:hAnsi="Arial" w:cs="Arial"/>
          <w:sz w:val="21"/>
          <w:szCs w:val="21"/>
          <w:shd w:val="clear" w:color="auto" w:fill="FFFFFF"/>
        </w:rPr>
        <w:t>将过滤后</w:t>
      </w:r>
      <w:r>
        <w:rPr>
          <w:rFonts w:hint="eastAsia" w:ascii="Arial" w:hAnsi="Arial" w:cs="Arial"/>
          <w:sz w:val="21"/>
          <w:szCs w:val="21"/>
          <w:shd w:val="clear" w:color="auto" w:fill="FFFFFF"/>
        </w:rPr>
        <w:t>的大米</w:t>
      </w:r>
      <w:r>
        <w:rPr>
          <w:rFonts w:ascii="Arial" w:hAnsi="Arial" w:cs="Arial"/>
          <w:sz w:val="21"/>
          <w:szCs w:val="21"/>
          <w:shd w:val="clear" w:color="auto" w:fill="FFFFFF"/>
        </w:rPr>
        <w:t>放进</w:t>
      </w:r>
      <w:r>
        <w:rPr>
          <w:rFonts w:hint="eastAsia" w:ascii="Arial" w:hAnsi="Arial" w:cs="Arial"/>
          <w:sz w:val="21"/>
          <w:szCs w:val="21"/>
          <w:shd w:val="clear" w:color="auto" w:fill="FFFFFF"/>
        </w:rPr>
        <w:t>蒸锅中蒸制</w:t>
      </w:r>
      <w:r>
        <w:rPr>
          <w:rFonts w:ascii="Arial" w:hAnsi="Arial" w:cs="Arial"/>
          <w:sz w:val="21"/>
          <w:szCs w:val="21"/>
          <w:shd w:val="clear" w:color="auto" w:fill="FFFFFF"/>
        </w:rPr>
        <w:t>，</w:t>
      </w:r>
      <w:r>
        <w:rPr>
          <w:rFonts w:hint="eastAsia" w:ascii="Arial" w:hAnsi="Arial" w:cs="Arial"/>
          <w:sz w:val="21"/>
          <w:szCs w:val="21"/>
          <w:shd w:val="clear" w:color="auto" w:fill="FFFFFF"/>
        </w:rPr>
        <w:t>蒸汽温度上升至</w:t>
      </w:r>
      <w:r>
        <w:rPr>
          <w:sz w:val="21"/>
          <w:szCs w:val="21"/>
          <w:shd w:val="clear" w:color="auto" w:fill="FFFFFF"/>
        </w:rPr>
        <w:t>100°C</w:t>
      </w:r>
      <w:r>
        <w:rPr>
          <w:rFonts w:hint="eastAsia" w:ascii="Arial" w:hAnsi="Arial" w:cs="Arial"/>
          <w:sz w:val="21"/>
          <w:szCs w:val="21"/>
          <w:shd w:val="clear" w:color="auto" w:fill="FFFFFF"/>
        </w:rPr>
        <w:t>时继续蒸制</w:t>
      </w:r>
      <w:r>
        <w:rPr>
          <w:sz w:val="21"/>
          <w:szCs w:val="21"/>
          <w:shd w:val="clear" w:color="auto" w:fill="FFFFFF"/>
        </w:rPr>
        <w:t>30</w:t>
      </w:r>
      <w:r>
        <w:rPr>
          <w:rFonts w:hint="eastAsia" w:ascii="Arial" w:hAnsi="Arial" w:cs="Arial"/>
          <w:sz w:val="21"/>
          <w:szCs w:val="21"/>
          <w:shd w:val="clear" w:color="auto" w:fill="FFFFFF"/>
        </w:rPr>
        <w:t>分钟，形成</w:t>
      </w:r>
      <w:r>
        <w:rPr>
          <w:rFonts w:ascii="Arial" w:hAnsi="Arial" w:cs="Arial"/>
          <w:sz w:val="21"/>
          <w:szCs w:val="21"/>
          <w:shd w:val="clear" w:color="auto" w:fill="FFFFFF"/>
        </w:rPr>
        <w:t>米坯。</w:t>
      </w:r>
    </w:p>
    <w:p>
      <w:pPr>
        <w:pStyle w:val="66"/>
        <w:numPr>
          <w:ilvl w:val="3"/>
          <w:numId w:val="0"/>
        </w:numPr>
        <w:spacing w:before="156" w:after="156"/>
        <w:rPr>
          <w:rStyle w:val="231"/>
          <w:kern w:val="2"/>
          <w:szCs w:val="22"/>
        </w:rPr>
      </w:pPr>
      <w:r>
        <w:rPr>
          <w:rFonts w:hint="eastAsia"/>
        </w:rPr>
        <w:t xml:space="preserve">7.5 </w:t>
      </w:r>
      <w:r>
        <w:rPr>
          <w:rStyle w:val="231"/>
          <w:rFonts w:hint="eastAsia"/>
          <w:kern w:val="2"/>
          <w:szCs w:val="22"/>
        </w:rPr>
        <w:t>加碱</w:t>
      </w:r>
    </w:p>
    <w:p>
      <w:pPr>
        <w:pStyle w:val="57"/>
        <w:spacing w:before="156" w:after="156"/>
        <w:ind w:firstLine="420"/>
      </w:pPr>
      <w:r>
        <w:rPr>
          <w:rFonts w:ascii="Arial" w:hAnsi="Arial" w:cs="Arial"/>
          <w:szCs w:val="21"/>
          <w:shd w:val="clear" w:color="auto" w:fill="FFFFFF"/>
        </w:rPr>
        <w:t>将蒸好的米坯倒出来，趁热加入熬制好的</w:t>
      </w:r>
      <w:r>
        <w:rPr>
          <w:rFonts w:hint="eastAsia" w:ascii="Arial" w:hAnsi="Arial" w:cs="Arial"/>
          <w:szCs w:val="21"/>
          <w:shd w:val="clear" w:color="auto" w:fill="FFFFFF"/>
        </w:rPr>
        <w:t>碱水</w:t>
      </w:r>
      <w:r>
        <w:rPr>
          <w:rFonts w:ascii="Arial" w:hAnsi="Arial" w:cs="Arial"/>
          <w:szCs w:val="21"/>
          <w:shd w:val="clear" w:color="auto" w:fill="FFFFFF"/>
        </w:rPr>
        <w:t>充分搅拌</w:t>
      </w:r>
      <w:r>
        <w:rPr>
          <w:rFonts w:hint="eastAsia" w:ascii="Arial" w:hAnsi="Arial" w:cs="Arial"/>
          <w:szCs w:val="21"/>
          <w:shd w:val="clear" w:color="auto" w:fill="FFFFFF"/>
        </w:rPr>
        <w:t>，</w:t>
      </w:r>
      <w:r>
        <w:rPr>
          <w:rFonts w:ascii="Arial" w:hAnsi="Arial" w:cs="Arial"/>
          <w:szCs w:val="21"/>
          <w:shd w:val="clear" w:color="auto" w:fill="FFFFFF"/>
        </w:rPr>
        <w:t>让碱水充分吸收到米饭里</w:t>
      </w:r>
      <w:r>
        <w:rPr>
          <w:rFonts w:hint="eastAsia" w:ascii="Arial" w:hAnsi="Arial" w:cs="Arial"/>
          <w:szCs w:val="21"/>
          <w:shd w:val="clear" w:color="auto" w:fill="FFFFFF"/>
        </w:rPr>
        <w:t>。</w:t>
      </w:r>
    </w:p>
    <w:p>
      <w:pPr>
        <w:pStyle w:val="66"/>
        <w:numPr>
          <w:ilvl w:val="3"/>
          <w:numId w:val="0"/>
        </w:numPr>
        <w:spacing w:before="156" w:after="156"/>
        <w:rPr>
          <w:rStyle w:val="231"/>
          <w:kern w:val="2"/>
          <w:szCs w:val="22"/>
        </w:rPr>
      </w:pPr>
      <w:r>
        <w:rPr>
          <w:rFonts w:hint="eastAsia"/>
        </w:rPr>
        <w:t xml:space="preserve">7.6 </w:t>
      </w:r>
      <w:r>
        <w:rPr>
          <w:rStyle w:val="231"/>
          <w:rFonts w:hint="eastAsia"/>
          <w:kern w:val="2"/>
          <w:szCs w:val="22"/>
        </w:rPr>
        <w:t>二次蒸制</w:t>
      </w:r>
    </w:p>
    <w:p>
      <w:pPr>
        <w:pStyle w:val="25"/>
        <w:widowControl/>
        <w:spacing w:beforeAutospacing="0" w:afterAutospacing="0" w:line="390" w:lineRule="atLeast"/>
        <w:ind w:firstLine="420" w:firstLineChars="200"/>
      </w:pPr>
      <w:r>
        <w:rPr>
          <w:rFonts w:ascii="Arial" w:hAnsi="Arial" w:cs="Arial"/>
          <w:sz w:val="21"/>
          <w:szCs w:val="21"/>
          <w:shd w:val="clear" w:color="auto" w:fill="FFFFFF"/>
        </w:rPr>
        <w:t>将搅拌均匀的米坯装进大木桶，用大火再蒸第二次</w:t>
      </w:r>
      <w:r>
        <w:rPr>
          <w:rFonts w:hint="eastAsia" w:ascii="Arial" w:hAnsi="Arial" w:cs="Arial"/>
          <w:sz w:val="21"/>
          <w:szCs w:val="21"/>
          <w:shd w:val="clear" w:color="auto" w:fill="FFFFFF"/>
        </w:rPr>
        <w:t>至</w:t>
      </w:r>
      <w:r>
        <w:rPr>
          <w:rFonts w:ascii="Arial" w:hAnsi="Arial" w:cs="Arial"/>
          <w:sz w:val="21"/>
          <w:szCs w:val="21"/>
          <w:shd w:val="clear" w:color="auto" w:fill="FFFFFF"/>
        </w:rPr>
        <w:t>熟透。</w:t>
      </w:r>
    </w:p>
    <w:p>
      <w:pPr>
        <w:pStyle w:val="66"/>
        <w:numPr>
          <w:ilvl w:val="3"/>
          <w:numId w:val="0"/>
        </w:numPr>
        <w:spacing w:before="156" w:after="156"/>
        <w:rPr>
          <w:rStyle w:val="231"/>
          <w:kern w:val="2"/>
          <w:szCs w:val="22"/>
        </w:rPr>
      </w:pPr>
      <w:r>
        <w:rPr>
          <w:rFonts w:hint="eastAsia"/>
        </w:rPr>
        <w:t xml:space="preserve">7.7 </w:t>
      </w:r>
      <w:r>
        <w:rPr>
          <w:rStyle w:val="231"/>
          <w:rFonts w:hint="eastAsia"/>
          <w:kern w:val="2"/>
          <w:szCs w:val="22"/>
        </w:rPr>
        <w:t>成型</w:t>
      </w:r>
    </w:p>
    <w:p>
      <w:pPr>
        <w:pStyle w:val="57"/>
        <w:spacing w:before="156" w:after="156"/>
        <w:ind w:firstLine="420"/>
      </w:pPr>
      <w:r>
        <w:rPr>
          <w:rFonts w:ascii="Arial" w:hAnsi="Arial" w:cs="Arial"/>
          <w:szCs w:val="21"/>
          <w:shd w:val="clear" w:color="auto" w:fill="FFFFFF"/>
        </w:rPr>
        <w:t>米饭</w:t>
      </w:r>
      <w:r>
        <w:rPr>
          <w:rFonts w:hint="eastAsia" w:ascii="Arial" w:hAnsi="Arial" w:cs="Arial"/>
          <w:szCs w:val="21"/>
          <w:shd w:val="clear" w:color="auto" w:fill="FFFFFF"/>
        </w:rPr>
        <w:t>二次</w:t>
      </w:r>
      <w:r>
        <w:rPr>
          <w:rFonts w:ascii="Arial" w:hAnsi="Arial" w:cs="Arial"/>
          <w:szCs w:val="21"/>
          <w:shd w:val="clear" w:color="auto" w:fill="FFFFFF"/>
        </w:rPr>
        <w:t>复蒸</w:t>
      </w:r>
      <w:r>
        <w:rPr>
          <w:rFonts w:hint="eastAsia" w:ascii="Arial" w:hAnsi="Arial" w:cs="Arial"/>
          <w:szCs w:val="21"/>
          <w:shd w:val="clear" w:color="auto" w:fill="FFFFFF"/>
        </w:rPr>
        <w:t>熟透后</w:t>
      </w:r>
      <w:r>
        <w:rPr>
          <w:rFonts w:ascii="Arial" w:hAnsi="Arial" w:cs="Arial"/>
          <w:szCs w:val="21"/>
          <w:shd w:val="clear" w:color="auto" w:fill="FFFFFF"/>
        </w:rPr>
        <w:t>，</w:t>
      </w:r>
      <w:r>
        <w:rPr>
          <w:rFonts w:hint="eastAsia" w:ascii="Arial" w:hAnsi="Arial" w:cs="Arial"/>
          <w:szCs w:val="21"/>
          <w:shd w:val="clear" w:color="auto" w:fill="FFFFFF"/>
        </w:rPr>
        <w:t>先</w:t>
      </w:r>
      <w:r>
        <w:rPr>
          <w:rFonts w:ascii="Arial" w:hAnsi="Arial" w:cs="Arial"/>
          <w:szCs w:val="21"/>
          <w:shd w:val="clear" w:color="auto" w:fill="FFFFFF"/>
        </w:rPr>
        <w:t>用糍锤抖制</w:t>
      </w:r>
      <w:r>
        <w:rPr>
          <w:rFonts w:hint="eastAsia" w:ascii="Arial" w:hAnsi="Arial" w:cs="Arial"/>
          <w:szCs w:val="21"/>
          <w:shd w:val="clear" w:color="auto" w:fill="FFFFFF"/>
        </w:rPr>
        <w:t>，再</w:t>
      </w:r>
      <w:r>
        <w:rPr>
          <w:rFonts w:ascii="Arial" w:hAnsi="Arial" w:cs="Arial"/>
          <w:szCs w:val="21"/>
          <w:shd w:val="clear" w:color="auto" w:fill="FFFFFF"/>
        </w:rPr>
        <w:t>换打锤打糍粑</w:t>
      </w:r>
      <w:r>
        <w:rPr>
          <w:rFonts w:hint="eastAsia" w:ascii="Arial" w:hAnsi="Arial" w:cs="Arial"/>
          <w:szCs w:val="21"/>
          <w:shd w:val="clear" w:color="auto" w:fill="FFFFFF"/>
        </w:rPr>
        <w:t>并通过擀制增加糍粑的韧性</w:t>
      </w:r>
      <w:r>
        <w:rPr>
          <w:rFonts w:hint="eastAsia" w:eastAsia="仿宋_GB2312"/>
          <w:sz w:val="24"/>
          <w:szCs w:val="24"/>
        </w:rPr>
        <w:t>。</w:t>
      </w:r>
      <w:r>
        <w:rPr>
          <w:rFonts w:hint="eastAsia" w:ascii="Arial" w:hAnsi="Arial" w:cs="Arial"/>
          <w:szCs w:val="21"/>
          <w:shd w:val="clear" w:color="auto" w:fill="FFFFFF"/>
        </w:rPr>
        <w:t>最后</w:t>
      </w:r>
      <w:r>
        <w:rPr>
          <w:rFonts w:ascii="Arial" w:hAnsi="Arial" w:cs="Arial"/>
          <w:szCs w:val="21"/>
          <w:shd w:val="clear" w:color="auto" w:fill="FFFFFF"/>
        </w:rPr>
        <w:t>把擀好的糍粑分成小团，放到模具里压制成各种形状、各种花纹的糍粑。</w:t>
      </w:r>
    </w:p>
    <w:p>
      <w:pPr>
        <w:pStyle w:val="66"/>
        <w:numPr>
          <w:ilvl w:val="3"/>
          <w:numId w:val="0"/>
        </w:numPr>
        <w:spacing w:before="156" w:after="156"/>
        <w:rPr>
          <w:rStyle w:val="231"/>
          <w:kern w:val="2"/>
          <w:szCs w:val="22"/>
        </w:rPr>
      </w:pPr>
      <w:r>
        <w:rPr>
          <w:rFonts w:hint="eastAsia"/>
        </w:rPr>
        <w:t xml:space="preserve">7.8 </w:t>
      </w:r>
      <w:r>
        <w:rPr>
          <w:rStyle w:val="231"/>
          <w:rFonts w:hint="eastAsia"/>
          <w:kern w:val="2"/>
          <w:szCs w:val="22"/>
        </w:rPr>
        <w:t>摊凉</w:t>
      </w:r>
    </w:p>
    <w:p>
      <w:pPr>
        <w:pStyle w:val="57"/>
        <w:ind w:firstLine="420"/>
        <w:rPr>
          <w:rStyle w:val="231"/>
          <w:kern w:val="2"/>
          <w:szCs w:val="22"/>
        </w:rPr>
      </w:pPr>
      <w:r>
        <w:rPr>
          <w:rStyle w:val="231"/>
          <w:rFonts w:hint="eastAsia"/>
          <w:kern w:val="2"/>
          <w:szCs w:val="22"/>
        </w:rPr>
        <w:t>产品成型后转移至清洁卫生、通风良好的冷却区，自然冷却至室温。冷却区域应有防尘、</w:t>
      </w:r>
    </w:p>
    <w:p>
      <w:pPr>
        <w:pStyle w:val="57"/>
        <w:ind w:firstLine="0" w:firstLineChars="0"/>
        <w:rPr>
          <w:rFonts w:cs="Arial" w:asciiTheme="majorEastAsia" w:hAnsiTheme="majorEastAsia" w:eastAsiaTheme="majorEastAsia"/>
        </w:rPr>
      </w:pPr>
      <w:r>
        <w:rPr>
          <w:rStyle w:val="231"/>
          <w:rFonts w:hint="eastAsia"/>
          <w:kern w:val="2"/>
          <w:szCs w:val="22"/>
        </w:rPr>
        <w:t>防蝇措施。产品充分冷却后进行包装。</w:t>
      </w:r>
      <w:bookmarkEnd w:id="84"/>
    </w:p>
    <w:p>
      <w:pPr>
        <w:keepNext w:val="0"/>
        <w:keepLines w:val="0"/>
        <w:pageBreakBefore w:val="0"/>
        <w:widowControl/>
        <w:kinsoku/>
        <w:wordWrap/>
        <w:overflowPunct/>
        <w:topLinePunct w:val="0"/>
        <w:autoSpaceDE/>
        <w:autoSpaceDN/>
        <w:bidi w:val="0"/>
        <w:adjustRightInd w:val="0"/>
        <w:snapToGrid/>
        <w:spacing w:before="313" w:beforeLines="100" w:after="313" w:afterLines="100" w:line="240" w:lineRule="auto"/>
        <w:jc w:val="left"/>
        <w:textAlignment w:val="auto"/>
        <w:rPr>
          <w:rFonts w:ascii="黑体" w:hAnsi="黑体" w:eastAsia="黑体" w:cs="Arial"/>
          <w:bCs/>
        </w:rPr>
      </w:pPr>
      <w:r>
        <w:rPr>
          <w:rFonts w:hint="eastAsia" w:ascii="黑体" w:hAnsi="黑体" w:eastAsia="黑体" w:cs="Arial"/>
          <w:bCs/>
        </w:rPr>
        <w:t xml:space="preserve">8  安全要求 </w:t>
      </w:r>
    </w:p>
    <w:p>
      <w:pPr>
        <w:pStyle w:val="57"/>
        <w:spacing w:line="500" w:lineRule="exact"/>
        <w:ind w:firstLine="420"/>
        <w:rPr>
          <w:szCs w:val="21"/>
          <w:highlight w:val="yellow"/>
        </w:rPr>
      </w:pPr>
      <w:r>
        <w:rPr>
          <w:rFonts w:hint="eastAsia"/>
        </w:rPr>
        <w:t>产品质量</w:t>
      </w:r>
      <w:r>
        <w:t>应符合GB</w:t>
      </w:r>
      <w:r>
        <w:rPr>
          <w:rFonts w:hint="eastAsia"/>
        </w:rPr>
        <w:t>/T</w:t>
      </w:r>
      <w:r>
        <w:t xml:space="preserve"> 2</w:t>
      </w:r>
      <w:r>
        <w:rPr>
          <w:rFonts w:hint="eastAsia"/>
        </w:rPr>
        <w:t>0977</w:t>
      </w:r>
      <w:r>
        <w:t>的规定</w:t>
      </w:r>
      <w:r>
        <w:rPr>
          <w:rFonts w:hint="eastAsia"/>
        </w:rPr>
        <w:t>，相关理化要求应符合附录A</w:t>
      </w:r>
      <w:r>
        <w:t>。</w:t>
      </w:r>
    </w:p>
    <w:p>
      <w:pPr>
        <w:widowControl/>
        <w:spacing w:line="240" w:lineRule="auto"/>
        <w:jc w:val="left"/>
        <w:rPr>
          <w:rStyle w:val="231"/>
          <w:color w:val="000000" w:themeColor="text1"/>
          <w:sz w:val="22"/>
          <w14:textFill>
            <w14:solidFill>
              <w14:schemeClr w14:val="tx1"/>
            </w14:solidFill>
          </w14:textFill>
        </w:rPr>
      </w:pPr>
      <w:r>
        <w:rPr>
          <w:rStyle w:val="231"/>
          <w:rFonts w:hint="eastAsia" w:ascii="Times New Roman" w:hAnsi="Times New Roman"/>
          <w:color w:val="000000" w:themeColor="text1"/>
          <w:sz w:val="22"/>
          <w:szCs w:val="24"/>
          <w14:textFill>
            <w14:solidFill>
              <w14:schemeClr w14:val="tx1"/>
            </w14:solidFill>
          </w14:textFill>
        </w:rPr>
        <w:t xml:space="preserve"> </w:t>
      </w:r>
    </w:p>
    <w:p>
      <w:pPr>
        <w:pStyle w:val="105"/>
        <w:numPr>
          <w:ilvl w:val="1"/>
          <w:numId w:val="0"/>
        </w:numPr>
        <w:spacing w:before="312" w:after="312"/>
      </w:pPr>
      <w:bookmarkStart w:id="85" w:name="_Toc203140273"/>
      <w:bookmarkStart w:id="86" w:name="_Toc203467627"/>
      <w:bookmarkStart w:id="87" w:name="_Toc237013329"/>
      <w:bookmarkStart w:id="88" w:name="_Toc237012353"/>
      <w:bookmarkStart w:id="89" w:name="_Toc237009670"/>
      <w:r>
        <w:rPr>
          <w:rFonts w:hint="eastAsia"/>
        </w:rPr>
        <w:t>9包装</w:t>
      </w:r>
      <w:bookmarkEnd w:id="85"/>
      <w:bookmarkEnd w:id="86"/>
      <w:bookmarkEnd w:id="87"/>
      <w:bookmarkEnd w:id="88"/>
      <w:bookmarkEnd w:id="89"/>
    </w:p>
    <w:p>
      <w:pPr>
        <w:widowControl/>
        <w:spacing w:line="240" w:lineRule="auto"/>
        <w:jc w:val="left"/>
        <w:rPr>
          <w:rStyle w:val="231"/>
          <w:color w:val="000000" w:themeColor="text1"/>
          <w:sz w:val="22"/>
          <w14:textFill>
            <w14:solidFill>
              <w14:schemeClr w14:val="tx1"/>
            </w14:solidFill>
          </w14:textFill>
        </w:rPr>
      </w:pPr>
      <w:r>
        <w:rPr>
          <w:rStyle w:val="231"/>
          <w:rFonts w:hint="eastAsia" w:ascii="Times New Roman" w:hAnsi="Times New Roman"/>
          <w:color w:val="000000" w:themeColor="text1"/>
          <w:sz w:val="22"/>
          <w:szCs w:val="24"/>
          <w14:textFill>
            <w14:solidFill>
              <w14:schemeClr w14:val="tx1"/>
            </w14:solidFill>
          </w14:textFill>
        </w:rPr>
        <w:t>9.1包装材料应符合国家相关标准，材料特性应满足产品要求。</w:t>
      </w:r>
    </w:p>
    <w:p>
      <w:pPr>
        <w:widowControl/>
        <w:spacing w:line="240" w:lineRule="auto"/>
        <w:jc w:val="left"/>
        <w:rPr>
          <w:rStyle w:val="231"/>
          <w:color w:val="000000" w:themeColor="text1"/>
          <w:sz w:val="22"/>
          <w14:textFill>
            <w14:solidFill>
              <w14:schemeClr w14:val="tx1"/>
            </w14:solidFill>
          </w14:textFill>
        </w:rPr>
      </w:pPr>
      <w:r>
        <w:rPr>
          <w:rStyle w:val="231"/>
          <w:rFonts w:hint="eastAsia" w:ascii="Times New Roman" w:hAnsi="Times New Roman"/>
          <w:color w:val="000000" w:themeColor="text1"/>
          <w:sz w:val="22"/>
          <w:szCs w:val="24"/>
          <w14:textFill>
            <w14:solidFill>
              <w14:schemeClr w14:val="tx1"/>
            </w14:solidFill>
          </w14:textFill>
        </w:rPr>
        <w:t>9.2包装识应符合 GB 7718要求。</w:t>
      </w:r>
    </w:p>
    <w:p>
      <w:pPr>
        <w:pStyle w:val="105"/>
        <w:numPr>
          <w:ilvl w:val="1"/>
          <w:numId w:val="0"/>
        </w:numPr>
        <w:spacing w:before="312" w:after="312"/>
      </w:pPr>
      <w:bookmarkStart w:id="90" w:name="_Toc203140290"/>
      <w:bookmarkStart w:id="91" w:name="_Toc237013330"/>
      <w:bookmarkStart w:id="92" w:name="_Toc237009671"/>
      <w:bookmarkStart w:id="93" w:name="_Toc237012354"/>
      <w:bookmarkStart w:id="94" w:name="_Toc203467628"/>
      <w:bookmarkStart w:id="95" w:name="_Toc203140274"/>
      <w:r>
        <w:rPr>
          <w:rFonts w:hint="eastAsia"/>
        </w:rPr>
        <w:t>10检验入库</w:t>
      </w:r>
      <w:bookmarkEnd w:id="90"/>
      <w:bookmarkEnd w:id="91"/>
      <w:bookmarkEnd w:id="92"/>
      <w:bookmarkEnd w:id="93"/>
      <w:bookmarkEnd w:id="94"/>
      <w:bookmarkEnd w:id="95"/>
    </w:p>
    <w:p>
      <w:pPr>
        <w:pStyle w:val="57"/>
        <w:spacing w:before="156" w:after="156"/>
        <w:ind w:firstLine="420"/>
      </w:pPr>
      <w:r>
        <w:rPr>
          <w:rFonts w:hint="eastAsia"/>
        </w:rPr>
        <w:t>产品经检验合格后，方可入库。</w:t>
      </w:r>
    </w:p>
    <w:p>
      <w:pPr>
        <w:pStyle w:val="105"/>
        <w:numPr>
          <w:ilvl w:val="1"/>
          <w:numId w:val="0"/>
        </w:numPr>
        <w:spacing w:before="312" w:after="312"/>
      </w:pPr>
      <w:bookmarkStart w:id="96" w:name="_Toc203140291"/>
      <w:bookmarkStart w:id="97" w:name="_Toc237009672"/>
      <w:bookmarkStart w:id="98" w:name="_Toc237012355"/>
      <w:bookmarkStart w:id="99" w:name="_Toc237013331"/>
      <w:bookmarkStart w:id="100" w:name="_Toc203467629"/>
      <w:bookmarkStart w:id="101" w:name="_Toc203140275"/>
      <w:r>
        <w:rPr>
          <w:rFonts w:hint="eastAsia"/>
        </w:rPr>
        <w:t>11贮</w:t>
      </w:r>
      <w:bookmarkEnd w:id="96"/>
      <w:bookmarkEnd w:id="97"/>
      <w:bookmarkEnd w:id="98"/>
      <w:bookmarkEnd w:id="99"/>
      <w:bookmarkEnd w:id="100"/>
      <w:bookmarkEnd w:id="101"/>
      <w:r>
        <w:rPr>
          <w:rFonts w:hint="eastAsia"/>
        </w:rPr>
        <w:t>运</w:t>
      </w:r>
    </w:p>
    <w:p>
      <w:pPr>
        <w:pStyle w:val="57"/>
        <w:spacing w:before="156" w:after="156"/>
        <w:ind w:firstLine="420"/>
      </w:pPr>
      <w:r>
        <w:rPr>
          <w:rFonts w:hint="eastAsia"/>
        </w:rPr>
        <w:t>产品贮运应保持阴凉、干燥、通风良好，成品仓库应具备有效的防鼠、防虫、防尘、防潮设施，产品应离墙、离地存放，运输过程应避免与有毒、有害、有异味或可能污染产品的物品混装混运。</w:t>
      </w:r>
    </w:p>
    <w:p>
      <w:pPr>
        <w:pStyle w:val="105"/>
        <w:numPr>
          <w:ilvl w:val="1"/>
          <w:numId w:val="0"/>
        </w:numPr>
        <w:spacing w:before="312" w:after="312"/>
      </w:pPr>
      <w:bookmarkStart w:id="102" w:name="_Toc203467631"/>
      <w:bookmarkStart w:id="103" w:name="_Toc203140277"/>
      <w:bookmarkStart w:id="104" w:name="_Toc237012357"/>
      <w:bookmarkStart w:id="105" w:name="_Toc203140293"/>
      <w:bookmarkStart w:id="106" w:name="_Toc237013333"/>
      <w:bookmarkStart w:id="107" w:name="_Toc237009674"/>
      <w:r>
        <w:rPr>
          <w:rFonts w:hint="eastAsia"/>
        </w:rPr>
        <w:t>12生产记录管理</w:t>
      </w:r>
      <w:bookmarkEnd w:id="102"/>
      <w:bookmarkEnd w:id="103"/>
      <w:bookmarkEnd w:id="104"/>
      <w:bookmarkEnd w:id="105"/>
      <w:bookmarkEnd w:id="106"/>
      <w:bookmarkEnd w:id="107"/>
    </w:p>
    <w:p>
      <w:pPr>
        <w:pStyle w:val="106"/>
        <w:numPr>
          <w:ilvl w:val="2"/>
          <w:numId w:val="0"/>
        </w:numPr>
        <w:spacing w:before="156" w:after="156"/>
      </w:pPr>
      <w:bookmarkStart w:id="108" w:name="_Toc237012358"/>
      <w:bookmarkStart w:id="109" w:name="_Toc203140278"/>
      <w:bookmarkStart w:id="110" w:name="_Toc237009675"/>
      <w:r>
        <w:rPr>
          <w:rFonts w:hint="eastAsia"/>
        </w:rPr>
        <w:t>12.1原辅料验收记录</w:t>
      </w:r>
      <w:bookmarkEnd w:id="108"/>
      <w:bookmarkEnd w:id="109"/>
      <w:bookmarkEnd w:id="110"/>
    </w:p>
    <w:p>
      <w:pPr>
        <w:pStyle w:val="57"/>
        <w:spacing w:before="156" w:after="156"/>
        <w:ind w:firstLine="420"/>
      </w:pPr>
      <w:r>
        <w:rPr>
          <w:rFonts w:hint="eastAsia"/>
        </w:rPr>
        <w:t>应记录每一批次原辅料的验收信息，至少应包括：</w:t>
      </w:r>
    </w:p>
    <w:p>
      <w:pPr>
        <w:pStyle w:val="175"/>
      </w:pPr>
      <w:r>
        <w:rPr>
          <w:rFonts w:hint="eastAsia"/>
        </w:rPr>
        <w:t>原辅料名称、数量、规格、生产日期；</w:t>
      </w:r>
    </w:p>
    <w:p>
      <w:pPr>
        <w:pStyle w:val="175"/>
      </w:pPr>
      <w:r>
        <w:rPr>
          <w:rFonts w:hint="eastAsia"/>
        </w:rPr>
        <w:t>供应商名称、相关资质证明、联系方式；</w:t>
      </w:r>
    </w:p>
    <w:p>
      <w:pPr>
        <w:pStyle w:val="175"/>
      </w:pPr>
      <w:r>
        <w:rPr>
          <w:rFonts w:hint="eastAsia"/>
        </w:rPr>
        <w:t>合格的检验报告；</w:t>
      </w:r>
    </w:p>
    <w:p>
      <w:pPr>
        <w:pStyle w:val="175"/>
      </w:pPr>
      <w:r>
        <w:rPr>
          <w:rFonts w:hint="eastAsia"/>
        </w:rPr>
        <w:t>其他应该记录的内容。</w:t>
      </w:r>
    </w:p>
    <w:p>
      <w:pPr>
        <w:pStyle w:val="106"/>
        <w:numPr>
          <w:ilvl w:val="2"/>
          <w:numId w:val="0"/>
        </w:numPr>
        <w:spacing w:before="156" w:after="156"/>
      </w:pPr>
      <w:bookmarkStart w:id="111" w:name="_Toc237009676"/>
      <w:bookmarkStart w:id="112" w:name="_Toc203140279"/>
      <w:bookmarkStart w:id="113" w:name="_Toc237012359"/>
      <w:r>
        <w:rPr>
          <w:rFonts w:hint="eastAsia"/>
        </w:rPr>
        <w:t>12.2关键工艺过程记录</w:t>
      </w:r>
      <w:bookmarkEnd w:id="111"/>
      <w:bookmarkEnd w:id="112"/>
      <w:bookmarkEnd w:id="113"/>
    </w:p>
    <w:p>
      <w:pPr>
        <w:pStyle w:val="57"/>
        <w:spacing w:before="156" w:after="156"/>
        <w:ind w:firstLine="420"/>
        <w:rPr>
          <w:rStyle w:val="231"/>
          <w:color w:val="000000" w:themeColor="text1"/>
          <w:kern w:val="2"/>
          <w:szCs w:val="22"/>
          <w14:textFill>
            <w14:solidFill>
              <w14:schemeClr w14:val="tx1"/>
            </w14:solidFill>
          </w14:textFill>
        </w:rPr>
      </w:pPr>
      <w:r>
        <w:rPr>
          <w:rFonts w:hint="eastAsia"/>
        </w:rPr>
        <w:t>应对加工技术要求中的关键控制点</w:t>
      </w:r>
      <w:r>
        <w:rPr>
          <w:rStyle w:val="231"/>
          <w:color w:val="000000" w:themeColor="text1"/>
          <w:kern w:val="2"/>
          <w:szCs w:val="22"/>
          <w14:textFill>
            <w14:solidFill>
              <w14:schemeClr w14:val="tx1"/>
            </w14:solidFill>
          </w14:textFill>
        </w:rPr>
        <w:t>进行记录，记录内容至少包含以下方面：</w:t>
      </w:r>
    </w:p>
    <w:p>
      <w:pPr>
        <w:pStyle w:val="175"/>
        <w:numPr>
          <w:ilvl w:val="0"/>
          <w:numId w:val="32"/>
        </w:numPr>
      </w:pPr>
      <w:r>
        <w:rPr>
          <w:rFonts w:hint="eastAsia"/>
        </w:rPr>
        <w:t>产品名称、规格、生产日期；</w:t>
      </w:r>
    </w:p>
    <w:p>
      <w:pPr>
        <w:pStyle w:val="175"/>
        <w:numPr>
          <w:ilvl w:val="0"/>
          <w:numId w:val="32"/>
        </w:numPr>
      </w:pPr>
      <w:r>
        <w:rPr>
          <w:rFonts w:hint="eastAsia"/>
        </w:rPr>
        <w:t>环境检测数据（如温度、湿度）；</w:t>
      </w:r>
    </w:p>
    <w:p>
      <w:pPr>
        <w:pStyle w:val="175"/>
        <w:numPr>
          <w:ilvl w:val="0"/>
          <w:numId w:val="32"/>
        </w:numPr>
      </w:pPr>
      <w:r>
        <w:rPr>
          <w:rFonts w:hint="eastAsia"/>
        </w:rPr>
        <w:t>关键工艺参数（如时间、温度）；</w:t>
      </w:r>
    </w:p>
    <w:p>
      <w:pPr>
        <w:pStyle w:val="175"/>
        <w:numPr>
          <w:ilvl w:val="0"/>
          <w:numId w:val="32"/>
        </w:numPr>
      </w:pPr>
      <w:r>
        <w:rPr>
          <w:rFonts w:hint="eastAsia"/>
        </w:rPr>
        <w:t>操作的结果或观察到的现象；</w:t>
      </w:r>
    </w:p>
    <w:p>
      <w:pPr>
        <w:pStyle w:val="175"/>
        <w:numPr>
          <w:ilvl w:val="0"/>
          <w:numId w:val="32"/>
        </w:numPr>
      </w:pPr>
      <w:r>
        <w:rPr>
          <w:rFonts w:hint="eastAsia"/>
        </w:rPr>
        <w:t>其他应该记录的内容。</w:t>
      </w:r>
    </w:p>
    <w:p>
      <w:pPr>
        <w:pStyle w:val="106"/>
        <w:numPr>
          <w:ilvl w:val="2"/>
          <w:numId w:val="0"/>
        </w:numPr>
        <w:spacing w:before="156" w:after="156"/>
      </w:pPr>
      <w:bookmarkStart w:id="114" w:name="_Toc237012360"/>
      <w:bookmarkStart w:id="115" w:name="_Toc237009677"/>
      <w:bookmarkStart w:id="116" w:name="_Toc203140280"/>
      <w:r>
        <w:rPr>
          <w:rFonts w:hint="eastAsia"/>
        </w:rPr>
        <w:t>12.3其他记录</w:t>
      </w:r>
      <w:bookmarkEnd w:id="114"/>
      <w:bookmarkEnd w:id="115"/>
      <w:bookmarkEnd w:id="116"/>
    </w:p>
    <w:p>
      <w:pPr>
        <w:pStyle w:val="57"/>
        <w:spacing w:line="360" w:lineRule="auto"/>
        <w:ind w:firstLine="420"/>
      </w:pPr>
      <w:r>
        <w:rPr>
          <w:rFonts w:hint="eastAsia"/>
        </w:rPr>
        <w:t>其他记录应符合</w:t>
      </w:r>
      <w:r>
        <w:t>GB 14881</w:t>
      </w:r>
      <w:r>
        <w:rPr>
          <w:rFonts w:hint="eastAsia"/>
        </w:rPr>
        <w:t>-2025</w:t>
      </w:r>
      <w:r>
        <w:t>中第1</w:t>
      </w:r>
      <w:r>
        <w:rPr>
          <w:rFonts w:hint="eastAsia"/>
        </w:rPr>
        <w:t>3</w:t>
      </w:r>
      <w:r>
        <w:t>章的相关规定。</w:t>
      </w:r>
    </w:p>
    <w:p>
      <w:pPr>
        <w:pStyle w:val="106"/>
        <w:numPr>
          <w:ilvl w:val="2"/>
          <w:numId w:val="0"/>
        </w:numPr>
        <w:spacing w:before="156" w:after="156"/>
      </w:pPr>
      <w:bookmarkStart w:id="117" w:name="_Toc203140281"/>
      <w:bookmarkStart w:id="118" w:name="_Toc237012361"/>
      <w:bookmarkStart w:id="119" w:name="_Toc237009678"/>
      <w:r>
        <w:rPr>
          <w:rFonts w:hint="eastAsia"/>
        </w:rPr>
        <w:t>12.4记录档案管理</w:t>
      </w:r>
      <w:bookmarkEnd w:id="117"/>
      <w:bookmarkEnd w:id="118"/>
      <w:bookmarkEnd w:id="119"/>
    </w:p>
    <w:p>
      <w:pPr>
        <w:pStyle w:val="57"/>
        <w:spacing w:before="156" w:after="156"/>
        <w:ind w:firstLine="420"/>
        <w:rPr>
          <w:rFonts w:hint="eastAsia"/>
        </w:rPr>
      </w:pPr>
      <w:r>
        <w:rPr>
          <w:rFonts w:hint="eastAsia"/>
        </w:rPr>
        <w:t>建立清楚、完整的记录档案，记录和凭证保存期限不得少于产品保质期满后6个月；没有明确保质期的，保存期限不得少于2年。</w:t>
      </w:r>
    </w:p>
    <w:p>
      <w:pPr>
        <w:pStyle w:val="77"/>
        <w:spacing w:after="156"/>
        <w:rPr>
          <w:rFonts w:hAnsi="黑体" w:cs="黑体"/>
        </w:rPr>
      </w:pPr>
      <w:bookmarkStart w:id="120" w:name="_Toc132880610"/>
      <w:r>
        <w:rPr>
          <w:rFonts w:hint="eastAsia"/>
        </w:rPr>
        <w:br w:type="textWrapping"/>
      </w:r>
      <w:bookmarkStart w:id="121" w:name="_Toc237012362"/>
      <w:bookmarkStart w:id="122" w:name="_Toc237009679"/>
      <w:bookmarkStart w:id="123" w:name="_Toc237013334"/>
      <w:r>
        <w:rPr>
          <w:rFonts w:hint="eastAsia"/>
        </w:rPr>
        <w:t>（资料性附录）</w:t>
      </w:r>
      <w:r>
        <w:rPr>
          <w:rFonts w:hint="eastAsia"/>
        </w:rPr>
        <w:br w:type="textWrapping"/>
      </w:r>
      <w:r>
        <w:rPr>
          <w:rFonts w:hint="eastAsia"/>
        </w:rPr>
        <w:t>黄糍粑理化指标控制要求</w:t>
      </w:r>
      <w:bookmarkEnd w:id="120"/>
      <w:bookmarkEnd w:id="121"/>
      <w:bookmarkEnd w:id="122"/>
      <w:bookmarkEnd w:id="123"/>
    </w:p>
    <w:p>
      <w:pPr>
        <w:pStyle w:val="57"/>
        <w:spacing w:before="156" w:after="156"/>
        <w:ind w:firstLine="0" w:firstLineChars="0"/>
        <w:jc w:val="center"/>
        <w:rPr>
          <w:rFonts w:ascii="黑体" w:hAnsi="黑体" w:eastAsia="黑体" w:cs="黑体"/>
        </w:rPr>
      </w:pPr>
    </w:p>
    <w:tbl>
      <w:tblPr>
        <w:tblStyle w:val="34"/>
        <w:tblW w:w="852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
      <w:tblGrid>
        <w:gridCol w:w="3251"/>
        <w:gridCol w:w="2726"/>
        <w:gridCol w:w="254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Ex>
        <w:tc>
          <w:tcPr>
            <w:tcW w:w="3251" w:type="dxa"/>
            <w:tcBorders>
              <w:top w:val="single" w:color="auto" w:sz="8" w:space="0"/>
              <w:bottom w:val="single" w:color="auto" w:sz="8" w:space="0"/>
            </w:tcBorders>
            <w:shd w:val="clear" w:color="auto" w:fill="auto"/>
            <w:vAlign w:val="center"/>
          </w:tcPr>
          <w:p>
            <w:pPr>
              <w:pStyle w:val="57"/>
              <w:spacing w:before="156" w:after="156"/>
              <w:ind w:firstLine="360"/>
              <w:jc w:val="center"/>
              <w:rPr>
                <w:rFonts w:ascii="宋体" w:hAnsi="宋体" w:cs="宋体"/>
                <w:sz w:val="18"/>
                <w:szCs w:val="21"/>
              </w:rPr>
            </w:pPr>
            <w:r>
              <w:rPr>
                <w:rFonts w:hint="eastAsia" w:ascii="宋体" w:hAnsi="宋体" w:cs="宋体"/>
                <w:sz w:val="18"/>
                <w:szCs w:val="21"/>
              </w:rPr>
              <w:t>项目</w:t>
            </w:r>
          </w:p>
        </w:tc>
        <w:tc>
          <w:tcPr>
            <w:tcW w:w="2726" w:type="dxa"/>
            <w:tcBorders>
              <w:top w:val="single" w:color="auto" w:sz="8" w:space="0"/>
              <w:bottom w:val="single" w:color="auto" w:sz="8" w:space="0"/>
            </w:tcBorders>
            <w:shd w:val="clear" w:color="auto" w:fill="auto"/>
            <w:vAlign w:val="center"/>
          </w:tcPr>
          <w:p>
            <w:pPr>
              <w:pStyle w:val="57"/>
              <w:spacing w:before="156" w:after="156"/>
              <w:ind w:firstLine="0" w:firstLineChars="0"/>
              <w:jc w:val="center"/>
              <w:rPr>
                <w:rFonts w:ascii="宋体" w:hAnsi="宋体" w:cs="宋体"/>
                <w:sz w:val="18"/>
                <w:szCs w:val="21"/>
              </w:rPr>
            </w:pPr>
            <w:r>
              <w:rPr>
                <w:rFonts w:hint="eastAsia" w:ascii="宋体" w:hAnsi="宋体" w:cs="宋体"/>
                <w:sz w:val="18"/>
                <w:szCs w:val="21"/>
              </w:rPr>
              <w:t>指标</w:t>
            </w:r>
          </w:p>
        </w:tc>
        <w:tc>
          <w:tcPr>
            <w:tcW w:w="2545" w:type="dxa"/>
            <w:tcBorders>
              <w:top w:val="single" w:color="auto" w:sz="8" w:space="0"/>
              <w:bottom w:val="single" w:color="auto" w:sz="8" w:space="0"/>
            </w:tcBorders>
            <w:shd w:val="clear" w:color="auto" w:fill="auto"/>
            <w:vAlign w:val="center"/>
          </w:tcPr>
          <w:p>
            <w:pPr>
              <w:pStyle w:val="57"/>
              <w:spacing w:before="156" w:after="156"/>
              <w:ind w:firstLine="360"/>
              <w:jc w:val="center"/>
              <w:rPr>
                <w:rFonts w:ascii="宋体" w:hAnsi="宋体" w:cs="宋体"/>
                <w:sz w:val="18"/>
                <w:szCs w:val="21"/>
              </w:rPr>
            </w:pPr>
            <w:r>
              <w:rPr>
                <w:rFonts w:hint="eastAsia" w:ascii="宋体" w:hAnsi="宋体" w:cs="宋体"/>
                <w:sz w:val="18"/>
                <w:szCs w:val="21"/>
              </w:rPr>
              <w:t>检验方法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Ex>
        <w:tc>
          <w:tcPr>
            <w:tcW w:w="3251" w:type="dxa"/>
            <w:tcBorders>
              <w:top w:val="single" w:color="auto" w:sz="8" w:space="0"/>
            </w:tcBorders>
            <w:shd w:val="clear" w:color="auto" w:fill="auto"/>
            <w:vAlign w:val="center"/>
          </w:tcPr>
          <w:p>
            <w:pPr>
              <w:pStyle w:val="57"/>
              <w:spacing w:before="156" w:after="156"/>
              <w:ind w:firstLine="0" w:firstLineChars="0"/>
              <w:jc w:val="left"/>
              <w:rPr>
                <w:rFonts w:ascii="宋体" w:hAnsi="宋体" w:cs="宋体"/>
                <w:sz w:val="18"/>
                <w:szCs w:val="21"/>
              </w:rPr>
            </w:pPr>
            <w:r>
              <w:rPr>
                <w:rFonts w:hint="eastAsia" w:ascii="宋体" w:hAnsi="宋体" w:cs="宋体"/>
                <w:sz w:val="18"/>
                <w:szCs w:val="21"/>
              </w:rPr>
              <w:t xml:space="preserve">水分/(g/100g)               </w:t>
            </w:r>
            <w:r>
              <w:rPr>
                <w:rFonts w:ascii="宋体" w:hAnsi="宋体" w:cs="宋体"/>
                <w:sz w:val="18"/>
                <w:szCs w:val="21"/>
              </w:rPr>
              <w:t xml:space="preserve"> </w:t>
            </w:r>
            <w:r>
              <w:rPr>
                <w:rFonts w:hint="eastAsia" w:ascii="宋体" w:hAnsi="宋体" w:cs="宋体"/>
                <w:sz w:val="18"/>
                <w:szCs w:val="21"/>
              </w:rPr>
              <w:t xml:space="preserve"> ≤</w:t>
            </w:r>
          </w:p>
        </w:tc>
        <w:tc>
          <w:tcPr>
            <w:tcW w:w="2726" w:type="dxa"/>
            <w:tcBorders>
              <w:top w:val="single" w:color="auto" w:sz="8" w:space="0"/>
            </w:tcBorders>
            <w:shd w:val="clear" w:color="auto" w:fill="auto"/>
            <w:vAlign w:val="center"/>
          </w:tcPr>
          <w:p>
            <w:pPr>
              <w:pStyle w:val="57"/>
              <w:spacing w:before="156" w:after="156"/>
              <w:ind w:firstLine="0" w:firstLineChars="0"/>
              <w:jc w:val="center"/>
              <w:rPr>
                <w:rFonts w:ascii="宋体" w:hAnsi="宋体" w:cs="宋体"/>
                <w:sz w:val="18"/>
                <w:szCs w:val="21"/>
              </w:rPr>
            </w:pPr>
            <w:r>
              <w:rPr>
                <w:rFonts w:hint="eastAsia" w:ascii="宋体" w:hAnsi="宋体" w:cs="宋体"/>
                <w:sz w:val="18"/>
                <w:szCs w:val="21"/>
              </w:rPr>
              <w:t>60.0</w:t>
            </w:r>
          </w:p>
        </w:tc>
        <w:tc>
          <w:tcPr>
            <w:tcW w:w="2545" w:type="dxa"/>
            <w:tcBorders>
              <w:top w:val="single" w:color="auto" w:sz="8" w:space="0"/>
            </w:tcBorders>
            <w:shd w:val="clear" w:color="auto" w:fill="auto"/>
            <w:vAlign w:val="center"/>
          </w:tcPr>
          <w:p>
            <w:pPr>
              <w:pStyle w:val="57"/>
              <w:spacing w:before="156" w:after="156"/>
              <w:ind w:firstLine="360"/>
              <w:jc w:val="center"/>
              <w:rPr>
                <w:rFonts w:ascii="宋体" w:hAnsi="宋体" w:cs="宋体"/>
                <w:sz w:val="18"/>
                <w:szCs w:val="21"/>
              </w:rPr>
            </w:pPr>
            <w:r>
              <w:rPr>
                <w:rFonts w:hint="eastAsia" w:ascii="宋体" w:hAnsi="宋体" w:cs="宋体"/>
                <w:sz w:val="18"/>
                <w:szCs w:val="21"/>
              </w:rPr>
              <w:t>GB 5009.3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Ex>
        <w:tc>
          <w:tcPr>
            <w:tcW w:w="3251" w:type="dxa"/>
            <w:shd w:val="clear" w:color="auto" w:fill="auto"/>
            <w:vAlign w:val="center"/>
          </w:tcPr>
          <w:p>
            <w:pPr>
              <w:pStyle w:val="57"/>
              <w:spacing w:before="156" w:after="156"/>
              <w:ind w:firstLine="0" w:firstLineChars="0"/>
              <w:jc w:val="left"/>
              <w:rPr>
                <w:rFonts w:ascii="宋体" w:hAnsi="宋体" w:cs="宋体"/>
                <w:sz w:val="18"/>
                <w:szCs w:val="21"/>
              </w:rPr>
            </w:pPr>
            <w:r>
              <w:rPr>
                <w:rFonts w:hint="eastAsia" w:ascii="宋体" w:hAnsi="宋体" w:cs="宋体"/>
                <w:sz w:val="18"/>
                <w:szCs w:val="21"/>
              </w:rPr>
              <w:t>蛋白质/（g/100g）             ≥</w:t>
            </w:r>
          </w:p>
        </w:tc>
        <w:tc>
          <w:tcPr>
            <w:tcW w:w="2726" w:type="dxa"/>
            <w:shd w:val="clear" w:color="auto" w:fill="auto"/>
            <w:vAlign w:val="center"/>
          </w:tcPr>
          <w:p>
            <w:pPr>
              <w:pStyle w:val="57"/>
              <w:spacing w:before="156" w:after="156"/>
              <w:ind w:firstLine="0" w:firstLineChars="0"/>
              <w:jc w:val="center"/>
              <w:rPr>
                <w:rFonts w:ascii="宋体" w:hAnsi="宋体" w:cs="宋体"/>
                <w:sz w:val="18"/>
                <w:szCs w:val="21"/>
              </w:rPr>
            </w:pPr>
            <w:r>
              <w:rPr>
                <w:rFonts w:hint="eastAsia" w:ascii="宋体" w:hAnsi="宋体" w:cs="宋体"/>
                <w:sz w:val="18"/>
                <w:szCs w:val="21"/>
              </w:rPr>
              <w:t>30.0</w:t>
            </w:r>
          </w:p>
        </w:tc>
        <w:tc>
          <w:tcPr>
            <w:tcW w:w="2545" w:type="dxa"/>
            <w:shd w:val="clear" w:color="auto" w:fill="auto"/>
            <w:vAlign w:val="center"/>
          </w:tcPr>
          <w:p>
            <w:pPr>
              <w:pStyle w:val="57"/>
              <w:spacing w:before="156" w:after="156"/>
              <w:ind w:firstLine="360"/>
              <w:jc w:val="center"/>
              <w:rPr>
                <w:rFonts w:ascii="宋体" w:hAnsi="宋体" w:cs="宋体"/>
                <w:sz w:val="18"/>
                <w:szCs w:val="21"/>
              </w:rPr>
            </w:pPr>
            <w:r>
              <w:rPr>
                <w:rFonts w:hint="eastAsia" w:ascii="宋体" w:hAnsi="宋体" w:cs="宋体"/>
                <w:sz w:val="18"/>
                <w:szCs w:val="21"/>
              </w:rPr>
              <w:t>GB 5009.5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0" w:type="dxa"/>
            <w:bottom w:w="0" w:type="dxa"/>
            <w:right w:w="100" w:type="dxa"/>
          </w:tblCellMar>
        </w:tblPrEx>
        <w:tc>
          <w:tcPr>
            <w:tcW w:w="3251" w:type="dxa"/>
            <w:tcBorders>
              <w:bottom w:val="single" w:color="auto" w:sz="8" w:space="0"/>
            </w:tcBorders>
            <w:shd w:val="clear" w:color="auto" w:fill="auto"/>
            <w:vAlign w:val="center"/>
          </w:tcPr>
          <w:p>
            <w:pPr>
              <w:pStyle w:val="57"/>
              <w:spacing w:before="156" w:after="156"/>
              <w:ind w:firstLine="0" w:firstLineChars="0"/>
              <w:jc w:val="left"/>
              <w:rPr>
                <w:rFonts w:ascii="宋体" w:hAnsi="宋体" w:cs="宋体"/>
                <w:sz w:val="18"/>
                <w:szCs w:val="21"/>
              </w:rPr>
            </w:pPr>
            <w:r>
              <w:rPr>
                <w:rFonts w:hint="eastAsia" w:ascii="宋体" w:hAnsi="宋体" w:cs="宋体"/>
                <w:sz w:val="18"/>
                <w:szCs w:val="21"/>
              </w:rPr>
              <w:t>pH</w:t>
            </w:r>
          </w:p>
        </w:tc>
        <w:tc>
          <w:tcPr>
            <w:tcW w:w="2726" w:type="dxa"/>
            <w:tcBorders>
              <w:bottom w:val="single" w:color="auto" w:sz="8" w:space="0"/>
            </w:tcBorders>
            <w:shd w:val="clear" w:color="auto" w:fill="auto"/>
            <w:vAlign w:val="center"/>
          </w:tcPr>
          <w:p>
            <w:pPr>
              <w:pStyle w:val="57"/>
              <w:spacing w:before="156" w:after="156"/>
              <w:ind w:firstLine="0" w:firstLineChars="0"/>
              <w:jc w:val="center"/>
              <w:rPr>
                <w:rFonts w:ascii="宋体" w:hAnsi="宋体" w:cs="宋体"/>
                <w:sz w:val="18"/>
                <w:szCs w:val="21"/>
              </w:rPr>
            </w:pPr>
            <w:r>
              <w:rPr>
                <w:rFonts w:hint="eastAsia" w:ascii="宋体" w:hAnsi="宋体" w:cs="宋体"/>
                <w:sz w:val="18"/>
                <w:szCs w:val="21"/>
              </w:rPr>
              <w:t>7.5-9.0</w:t>
            </w:r>
          </w:p>
        </w:tc>
        <w:tc>
          <w:tcPr>
            <w:tcW w:w="2545" w:type="dxa"/>
            <w:tcBorders>
              <w:bottom w:val="single" w:color="auto" w:sz="8" w:space="0"/>
            </w:tcBorders>
            <w:shd w:val="clear" w:color="auto" w:fill="auto"/>
            <w:vAlign w:val="center"/>
          </w:tcPr>
          <w:p>
            <w:pPr>
              <w:pStyle w:val="57"/>
              <w:spacing w:before="156" w:after="156"/>
              <w:ind w:firstLine="360"/>
              <w:jc w:val="center"/>
              <w:rPr>
                <w:rFonts w:ascii="宋体" w:hAnsi="宋体" w:cs="宋体"/>
                <w:sz w:val="18"/>
                <w:szCs w:val="21"/>
              </w:rPr>
            </w:pPr>
            <w:r>
              <w:rPr>
                <w:rFonts w:hint="eastAsia" w:ascii="宋体" w:hAnsi="宋体" w:cs="宋体"/>
                <w:sz w:val="18"/>
                <w:szCs w:val="21"/>
              </w:rPr>
              <w:t>GB 5009.237</w:t>
            </w:r>
          </w:p>
        </w:tc>
      </w:tr>
      <w:bookmarkEnd w:id="25"/>
    </w:tbl>
    <w:p>
      <w:pPr>
        <w:pStyle w:val="57"/>
        <w:ind w:firstLine="0" w:firstLineChars="0"/>
        <w:jc w:val="center"/>
        <w:rPr>
          <w:rFonts w:hint="eastAsia"/>
        </w:rPr>
      </w:pPr>
      <w:bookmarkStart w:id="124" w:name="BookMark8"/>
      <w:r>
        <w:rPr>
          <w:rFonts w:hint="eastAsia"/>
        </w:rP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24"/>
    </w:p>
    <w:sectPr>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PAGE   \* MERGEFORMAT</w:instrText>
    </w:r>
    <w:r>
      <w:fldChar w:fldCharType="separate"/>
    </w:r>
    <w:r>
      <w:rPr>
        <w:lang w:val="zh-CN"/>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0"/>
      <w:suff w:val="space"/>
      <w:lvlText w:val="%1"/>
      <w:lvlJc w:val="left"/>
      <w:pPr>
        <w:ind w:left="425" w:hanging="425"/>
      </w:pPr>
      <w:rPr>
        <w:rFonts w:hint="eastAsia"/>
      </w:rPr>
    </w:lvl>
    <w:lvl w:ilvl="1" w:tentative="0">
      <w:start w:val="1"/>
      <w:numFmt w:val="decimal"/>
      <w:pStyle w:val="78"/>
      <w:suff w:val="space"/>
      <w:lvlText w:val="表%1.%2 "/>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cumentProtection w:edit="forms" w:enforcement="1" w:cryptProviderType="rsaAES" w:cryptAlgorithmClass="hash" w:cryptAlgorithmType="typeAny" w:cryptAlgorithmSid="14" w:cryptSpinCount="100000" w:hash="ZaKe2hM6l8KsOzUF+0I0JQ8fiBf95dTDDJPq8RtfU2XCMb1y0L7Xn4pkFUaVzfWGUMydr0nCoRDt94MCrlm9lQ==" w:salt="O7lK018ghfAnwoZq0vDIQA=="/>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EBB"/>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1161"/>
    <w:rsid w:val="0015225F"/>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0CAB"/>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6234"/>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9766D"/>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4FC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27150"/>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E2C2E"/>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3918"/>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7D9F"/>
    <w:rsid w:val="009429D5"/>
    <w:rsid w:val="00942BF1"/>
    <w:rsid w:val="00945180"/>
    <w:rsid w:val="00945428"/>
    <w:rsid w:val="0094607B"/>
    <w:rsid w:val="00953604"/>
    <w:rsid w:val="0095496B"/>
    <w:rsid w:val="009610DC"/>
    <w:rsid w:val="00961490"/>
    <w:rsid w:val="0096381A"/>
    <w:rsid w:val="00965E04"/>
    <w:rsid w:val="009674AD"/>
    <w:rsid w:val="00967CB6"/>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E6E8A"/>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27EBB"/>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7DF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3A2D"/>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3B86"/>
    <w:rsid w:val="00E34A98"/>
    <w:rsid w:val="00E35D1E"/>
    <w:rsid w:val="00E364F9"/>
    <w:rsid w:val="00E365FA"/>
    <w:rsid w:val="00E36789"/>
    <w:rsid w:val="00E44A83"/>
    <w:rsid w:val="00E502C1"/>
    <w:rsid w:val="00E502DD"/>
    <w:rsid w:val="00E50D3A"/>
    <w:rsid w:val="00E50D82"/>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3DEB60C8"/>
    <w:rsid w:val="40292C37"/>
    <w:rsid w:val="4948163D"/>
    <w:rsid w:val="4CBE5BA1"/>
    <w:rsid w:val="4FBA5CD2"/>
    <w:rsid w:val="5E61A4FB"/>
    <w:rsid w:val="63FBB501"/>
    <w:rsid w:val="797BBE03"/>
    <w:rsid w:val="7F480BA6"/>
    <w:rsid w:val="ED7FB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paragraph" w:styleId="5">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9"/>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7">
    <w:name w:val="Default Paragraph Font"/>
    <w:unhideWhenUsed/>
    <w:qFormat/>
    <w:uiPriority w:val="1"/>
  </w:style>
  <w:style w:type="table" w:default="1" w:styleId="33">
    <w:name w:val="Normal Table"/>
    <w:unhideWhenUsed/>
    <w:qFormat/>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7"/>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6"/>
    <w:unhideWhenUsed/>
    <w:qFormat/>
    <w:uiPriority w:val="99"/>
    <w:rPr>
      <w:sz w:val="18"/>
      <w:szCs w:val="18"/>
    </w:rPr>
  </w:style>
  <w:style w:type="paragraph" w:styleId="17">
    <w:name w:val="footer"/>
    <w:basedOn w:val="1"/>
    <w:link w:val="4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4"/>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100"/>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Normal (Web)"/>
    <w:basedOn w:val="1"/>
    <w:unhideWhenUsed/>
    <w:qFormat/>
    <w:uiPriority w:val="99"/>
    <w:pPr>
      <w:adjustRightInd/>
      <w:spacing w:beforeAutospacing="1" w:afterAutospacing="1" w:line="560" w:lineRule="exact"/>
      <w:jc w:val="left"/>
    </w:pPr>
    <w:rPr>
      <w:rFonts w:ascii="Times New Roman" w:hAnsi="Times New Roman"/>
      <w:kern w:val="0"/>
      <w:sz w:val="24"/>
      <w:szCs w:val="24"/>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character" w:styleId="28">
    <w:name w:val="Strong"/>
    <w:qFormat/>
    <w:uiPriority w:val="22"/>
    <w:rPr>
      <w:b/>
      <w:bCs/>
    </w:rPr>
  </w:style>
  <w:style w:type="character" w:styleId="29">
    <w:name w:val="page number"/>
    <w:qFormat/>
    <w:uiPriority w:val="0"/>
    <w:rPr>
      <w:rFonts w:ascii="宋体" w:hAnsi="Times New Roman" w:eastAsia="宋体"/>
      <w:sz w:val="18"/>
    </w:rPr>
  </w:style>
  <w:style w:type="character" w:styleId="30">
    <w:name w:val="Emphasis"/>
    <w:qFormat/>
    <w:uiPriority w:val="20"/>
    <w:rPr>
      <w:i/>
      <w:iCs/>
    </w:rPr>
  </w:style>
  <w:style w:type="character" w:styleId="31">
    <w:name w:val="Hyperlink"/>
    <w:qFormat/>
    <w:uiPriority w:val="99"/>
    <w:rPr>
      <w:rFonts w:ascii="宋体" w:hAnsi="Times New Roman" w:eastAsia="宋体"/>
      <w:color w:val="auto"/>
      <w:spacing w:val="0"/>
      <w:w w:val="100"/>
      <w:position w:val="0"/>
      <w:sz w:val="21"/>
      <w:u w:val="none"/>
      <w:vertAlign w:val="baseline"/>
    </w:rPr>
  </w:style>
  <w:style w:type="character" w:styleId="32">
    <w:name w:val="footnote reference"/>
    <w:semiHidden/>
    <w:qFormat/>
    <w:uiPriority w:val="0"/>
    <w:rPr>
      <w:rFonts w:ascii="宋体" w:hAnsi="宋体" w:eastAsia="宋体" w:cs="Times New Roman"/>
      <w:spacing w:val="0"/>
      <w:sz w:val="18"/>
      <w:vertAlign w:val="superscript"/>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5">
    <w:name w:val="标题 1 字符"/>
    <w:link w:val="2"/>
    <w:qFormat/>
    <w:uiPriority w:val="0"/>
    <w:rPr>
      <w:b/>
      <w:bCs/>
      <w:kern w:val="44"/>
      <w:sz w:val="44"/>
      <w:szCs w:val="44"/>
    </w:rPr>
  </w:style>
  <w:style w:type="character" w:customStyle="1" w:styleId="36">
    <w:name w:val="标题 2 字符"/>
    <w:link w:val="3"/>
    <w:qFormat/>
    <w:uiPriority w:val="0"/>
    <w:rPr>
      <w:rFonts w:ascii="Arial" w:hAnsi="Arial" w:eastAsia="黑体"/>
      <w:b/>
      <w:bCs/>
      <w:kern w:val="2"/>
      <w:sz w:val="32"/>
      <w:szCs w:val="32"/>
    </w:rPr>
  </w:style>
  <w:style w:type="character" w:customStyle="1" w:styleId="37">
    <w:name w:val="标题 3 字符"/>
    <w:link w:val="4"/>
    <w:qFormat/>
    <w:uiPriority w:val="0"/>
    <w:rPr>
      <w:b/>
      <w:bCs/>
      <w:kern w:val="2"/>
      <w:sz w:val="32"/>
      <w:szCs w:val="32"/>
    </w:rPr>
  </w:style>
  <w:style w:type="character" w:customStyle="1" w:styleId="38">
    <w:name w:val="标题 4 字符"/>
    <w:link w:val="5"/>
    <w:qFormat/>
    <w:uiPriority w:val="0"/>
    <w:rPr>
      <w:rFonts w:ascii="Arial" w:hAnsi="Arial" w:eastAsia="黑体"/>
      <w:b/>
      <w:bCs/>
      <w:kern w:val="2"/>
      <w:sz w:val="28"/>
      <w:szCs w:val="28"/>
    </w:rPr>
  </w:style>
  <w:style w:type="character" w:customStyle="1" w:styleId="39">
    <w:name w:val="标题 5 字符"/>
    <w:link w:val="6"/>
    <w:qFormat/>
    <w:uiPriority w:val="0"/>
    <w:rPr>
      <w:b/>
      <w:bCs/>
      <w:kern w:val="2"/>
      <w:sz w:val="28"/>
      <w:szCs w:val="28"/>
    </w:rPr>
  </w:style>
  <w:style w:type="character" w:customStyle="1" w:styleId="40">
    <w:name w:val="标题 6 字符"/>
    <w:link w:val="7"/>
    <w:qFormat/>
    <w:uiPriority w:val="0"/>
    <w:rPr>
      <w:rFonts w:ascii="Arial" w:hAnsi="Arial" w:eastAsia="黑体"/>
      <w:b/>
      <w:bCs/>
      <w:kern w:val="2"/>
      <w:sz w:val="24"/>
      <w:szCs w:val="24"/>
    </w:rPr>
  </w:style>
  <w:style w:type="character" w:customStyle="1" w:styleId="41">
    <w:name w:val="标题 7 字符"/>
    <w:link w:val="8"/>
    <w:qFormat/>
    <w:uiPriority w:val="0"/>
    <w:rPr>
      <w:b/>
      <w:bCs/>
      <w:kern w:val="2"/>
      <w:sz w:val="24"/>
      <w:szCs w:val="24"/>
    </w:rPr>
  </w:style>
  <w:style w:type="character" w:customStyle="1" w:styleId="42">
    <w:name w:val="标题 8 字符"/>
    <w:link w:val="9"/>
    <w:qFormat/>
    <w:uiPriority w:val="0"/>
    <w:rPr>
      <w:rFonts w:ascii="Arial" w:hAnsi="Arial" w:eastAsia="黑体"/>
      <w:kern w:val="2"/>
      <w:sz w:val="24"/>
      <w:szCs w:val="24"/>
    </w:rPr>
  </w:style>
  <w:style w:type="character" w:customStyle="1" w:styleId="43">
    <w:name w:val="标题 9 字符"/>
    <w:link w:val="10"/>
    <w:qFormat/>
    <w:uiPriority w:val="0"/>
    <w:rPr>
      <w:rFonts w:ascii="Arial" w:hAnsi="Arial" w:eastAsia="黑体"/>
      <w:kern w:val="2"/>
      <w:sz w:val="21"/>
      <w:szCs w:val="21"/>
    </w:rPr>
  </w:style>
  <w:style w:type="character" w:customStyle="1" w:styleId="44">
    <w:name w:val="页眉 字符"/>
    <w:link w:val="18"/>
    <w:qFormat/>
    <w:uiPriority w:val="99"/>
    <w:rPr>
      <w:kern w:val="2"/>
      <w:sz w:val="18"/>
      <w:szCs w:val="18"/>
    </w:rPr>
  </w:style>
  <w:style w:type="character" w:customStyle="1" w:styleId="45">
    <w:name w:val="页脚 字符"/>
    <w:link w:val="17"/>
    <w:qFormat/>
    <w:uiPriority w:val="99"/>
    <w:rPr>
      <w:rFonts w:ascii="宋体"/>
      <w:kern w:val="2"/>
      <w:sz w:val="18"/>
      <w:szCs w:val="18"/>
    </w:rPr>
  </w:style>
  <w:style w:type="character" w:customStyle="1" w:styleId="46">
    <w:name w:val="批注框文本 字符"/>
    <w:link w:val="16"/>
    <w:semiHidden/>
    <w:qFormat/>
    <w:uiPriority w:val="99"/>
    <w:rPr>
      <w:kern w:val="2"/>
      <w:sz w:val="18"/>
      <w:szCs w:val="18"/>
    </w:rPr>
  </w:style>
  <w:style w:type="paragraph" w:customStyle="1"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kern w:val="2"/>
      <w:sz w:val="21"/>
      <w:szCs w:val="21"/>
    </w:rPr>
  </w:style>
  <w:style w:type="character" w:customStyle="1" w:styleId="49">
    <w:name w:val="标题 字符"/>
    <w:link w:val="26"/>
    <w:qFormat/>
    <w:uiPriority w:val="0"/>
    <w:rPr>
      <w:rFonts w:ascii="Arial" w:hAnsi="Arial" w:cs="Arial"/>
      <w:b/>
      <w:bCs/>
      <w:kern w:val="2"/>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kern w:val="0"/>
    </w:rPr>
  </w:style>
  <w:style w:type="paragraph" w:customStyle="1" w:styleId="57">
    <w:name w:val="标准文件_段"/>
    <w:link w:val="185"/>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13"/>
    <w:qFormat/>
    <w:uiPriority w:val="0"/>
    <w:rPr>
      <w:kern w:val="2"/>
      <w:sz w:val="21"/>
      <w:szCs w:val="21"/>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ind w:left="0" w:firstLine="0"/>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1"/>
    <w:semiHidden/>
    <w:qFormat/>
    <w:uiPriority w:val="0"/>
    <w:rPr>
      <w:rFonts w:ascii="宋体"/>
      <w:kern w:val="2"/>
      <w:sz w:val="18"/>
      <w:szCs w:val="18"/>
    </w:rPr>
  </w:style>
  <w:style w:type="paragraph" w:customStyle="1" w:styleId="101">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Times New Roman"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customStyle="1" w:styleId="187">
    <w:name w:val="Placeholder Text"/>
    <w:basedOn w:val="27"/>
    <w:semiHidden/>
    <w:qFormat/>
    <w:uiPriority w:val="99"/>
    <w:rPr>
      <w:color w:val="808080"/>
    </w:rPr>
  </w:style>
  <w:style w:type="paragraph" w:customStyle="1" w:styleId="188">
    <w:name w:val="标准文件_二级项2"/>
    <w:basedOn w:val="57"/>
    <w:qFormat/>
    <w:uiPriority w:val="0"/>
    <w:pPr>
      <w:numPr>
        <w:ilvl w:val="1"/>
        <w:numId w:val="21"/>
      </w:numPr>
      <w:ind w:firstLine="0" w:firstLineChars="0"/>
    </w:pPr>
  </w:style>
  <w:style w:type="paragraph" w:customStyle="1" w:styleId="189">
    <w:name w:val="标准文件_三级项2"/>
    <w:basedOn w:val="57"/>
    <w:qFormat/>
    <w:uiPriority w:val="0"/>
    <w:pPr>
      <w:numPr>
        <w:ilvl w:val="0"/>
        <w:numId w:val="30"/>
      </w:numPr>
      <w:spacing w:line="300" w:lineRule="exact"/>
      <w:ind w:firstLineChars="0"/>
    </w:pPr>
  </w:style>
  <w:style w:type="paragraph" w:customStyle="1" w:styleId="190">
    <w:name w:val="标准文件_一级项2"/>
    <w:basedOn w:val="57"/>
    <w:qFormat/>
    <w:uiPriority w:val="0"/>
    <w:pPr>
      <w:numPr>
        <w:ilvl w:val="0"/>
        <w:numId w:val="31"/>
      </w:numPr>
      <w:spacing w:line="300" w:lineRule="exact"/>
      <w:ind w:firstLineChars="0"/>
    </w:p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7"/>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vAnchor="page" w:hAnchor="page" w:x="1419" w:y="14097"/>
    </w:pPr>
  </w:style>
  <w:style w:type="paragraph" w:customStyle="1" w:styleId="195">
    <w:name w:val="其他实施日期"/>
    <w:basedOn w:val="155"/>
    <w:qFormat/>
    <w:uiPriority w:val="0"/>
    <w:pPr>
      <w:framePr w:w="3997" w:h="471" w:hRule="exact" w:vSpace="181" w:vAnchor="page" w:hAnchor="page" w:x="7089" w:y="14097"/>
    </w:pPr>
  </w:style>
  <w:style w:type="paragraph" w:customStyle="1" w:styleId="196">
    <w:name w:val="标准文件_文件编号"/>
    <w:basedOn w:val="57"/>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spacing w:before="57"/>
    </w:pPr>
    <w:rPr>
      <w:sz w:val="21"/>
    </w:rPr>
  </w:style>
  <w:style w:type="paragraph" w:customStyle="1" w:styleId="198">
    <w:name w:val="标准文件_文件名称"/>
    <w:basedOn w:val="57"/>
    <w:next w:val="57"/>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7"/>
    <w:qFormat/>
    <w:uiPriority w:val="0"/>
    <w:rPr>
      <w:rFonts w:ascii="黑体" w:eastAsia="黑体"/>
      <w:spacing w:val="85"/>
      <w:w w:val="100"/>
      <w:position w:val="3"/>
      <w:sz w:val="28"/>
      <w:szCs w:val="28"/>
    </w:rPr>
  </w:style>
  <w:style w:type="character" w:customStyle="1" w:styleId="231">
    <w:name w:val="apple-style-span"/>
    <w:basedOn w:val="27"/>
    <w:qFormat/>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62F3E2226B04F3FAE7F0A4C184AFF47"/>
        <w:style w:val=""/>
        <w:category>
          <w:name w:val="常规"/>
          <w:gallery w:val="placeholder"/>
        </w:category>
        <w:types>
          <w:type w:val="bbPlcHdr"/>
        </w:types>
        <w:behaviors>
          <w:behavior w:val="content"/>
        </w:behaviors>
        <w:description w:val=""/>
        <w:guid w:val="{A6485F38-FE2D-4E86-BD26-A91FC73205CE}"/>
      </w:docPartPr>
      <w:docPartBody>
        <w:p>
          <w:pPr>
            <w:pStyle w:val="5"/>
          </w:pPr>
          <w:r>
            <w:rPr>
              <w:rStyle w:val="4"/>
              <w:rFonts w:hint="eastAsia"/>
            </w:rPr>
            <w:t>单击或点击此处输入文字。</w:t>
          </w:r>
        </w:p>
      </w:docPartBody>
    </w:docPart>
    <w:docPart>
      <w:docPartPr>
        <w:name w:val="A826BCE6F44649FDAB2D804D6B686E13"/>
        <w:style w:val=""/>
        <w:category>
          <w:name w:val="常规"/>
          <w:gallery w:val="placeholder"/>
        </w:category>
        <w:types>
          <w:type w:val="bbPlcHdr"/>
        </w:types>
        <w:behaviors>
          <w:behavior w:val="content"/>
        </w:behaviors>
        <w:description w:val=""/>
        <w:guid w:val="{46A4A550-817F-44B6-BA8D-EF91618F9821}"/>
      </w:docPartPr>
      <w:docPartBody>
        <w:p>
          <w:pPr>
            <w:pStyle w:val="6"/>
          </w:pPr>
          <w:r>
            <w:rPr>
              <w:rStyle w:val="4"/>
              <w:rFonts w:hint="eastAsia"/>
            </w:rPr>
            <w:t>选择一项。</w:t>
          </w:r>
        </w:p>
      </w:docPartBody>
    </w:docPart>
    <w:docPart>
      <w:docPartPr>
        <w:name w:val="B3A51EE14B7E46F19822650B3B1FC9C5"/>
        <w:style w:val=""/>
        <w:category>
          <w:name w:val="常规"/>
          <w:gallery w:val="placeholder"/>
        </w:category>
        <w:types>
          <w:type w:val="bbPlcHdr"/>
        </w:types>
        <w:behaviors>
          <w:behavior w:val="content"/>
        </w:behaviors>
        <w:description w:val=""/>
        <w:guid w:val="{5DE487BC-86C0-49E1-A2B4-C8B9AC2F304D}"/>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43"/>
    <w:rsid w:val="00196674"/>
    <w:rsid w:val="001A1743"/>
    <w:rsid w:val="00926982"/>
    <w:rsid w:val="00DE3546"/>
    <w:rsid w:val="00E12D2F"/>
    <w:rsid w:val="00EF3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262F3E2226B04F3FAE7F0A4C184AFF4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A826BCE6F44649FDAB2D804D6B686E13"/>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B3A51EE14B7E46F19822650B3B1FC9C5"/>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DC70AE-00D7-473A-9375-D01D9541465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1808</Words>
  <Characters>2053</Characters>
  <Lines>23</Lines>
  <Paragraphs>6</Paragraphs>
  <TotalTime>5</TotalTime>
  <ScaleCrop>false</ScaleCrop>
  <LinksUpToDate>false</LinksUpToDate>
  <CharactersWithSpaces>2192</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2026-08-19T09:05:00Z</dcterms:created>
  <dc:creator>Administrator</dc:creator>
  <cp:lastModifiedBy>admin</cp:lastModifiedBy>
  <cp:lastPrinted>2020-08-30T18:00:00Z</cp:lastPrinted>
  <dcterms:modified xsi:type="dcterms:W3CDTF">2026-09-20T07:16:06Z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2052-10.8.0.6423</vt:lpwstr>
  </property>
  <property fmtid="{D5CDD505-2E9C-101B-9397-08002B2CF9AE}" pid="15" name="ICV">
    <vt:lpwstr>54DB30DBEE304764B45FB2F615E0247B_13</vt:lpwstr>
  </property>
  <property fmtid="{D5CDD505-2E9C-101B-9397-08002B2CF9AE}" pid="16" name="KSOTemplateDocerSaveRecord">
    <vt:lpwstr>eyJoZGlkIjoiYzgyZTM4ZjMwMzAzODQ2MDllOTY5ZmY3NjM1NmI5MDIiLCJ1c2VySWQiOiI0NjI3OTI5NDUifQ==</vt:lpwstr>
  </property>
</Properties>
</file>