
<file path=[Content_Types].xml><?xml version="1.0" encoding="utf-8"?>
<Types xmlns="http://schemas.openxmlformats.org/package/2006/content-types">
  <Default Extension="xml" ContentType="application/xml"/>
  <Default Extension="bin" ContentType="application/vnd.openxmlformats-officedocument.oleObject"/>
  <Default Extension="tiff" ContentType="image/tiff"/>
  <Default Extension="wmf" ContentType="image/x-wmf"/>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509" w:type="dxa"/>
          </w:tcPr>
          <w:p>
            <w:pPr>
              <w:pStyle w:val="21"/>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黑体" w:hAnsi="黑体" w:eastAsia="黑体"/>
                <w:sz w:val="21"/>
                <w:szCs w:val="21"/>
              </w:rPr>
              <w:t xml:space="preserve">ICS  </w:t>
            </w:r>
          </w:p>
        </w:tc>
        <w:tc>
          <w:tcPr>
            <w:tcW w:w="8855" w:type="dxa"/>
          </w:tcPr>
          <w:p>
            <w:pPr>
              <w:pStyle w:val="21"/>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hint="eastAsia" w:ascii="黑体" w:hAnsi="黑体" w:eastAsia="黑体"/>
                <w:sz w:val="21"/>
                <w:szCs w:val="21"/>
              </w:rPr>
              <w:fldChar w:fldCharType="begin">
                <w:ffData>
                  <w:name w:val="ICS"/>
                  <w:enabled/>
                  <w:calcOnExit w:val="0"/>
                  <w:textInput>
                    <w:default w:val="xx.xxx.xx"/>
                  </w:textInput>
                </w:ffData>
              </w:fldChar>
            </w:r>
            <w:bookmarkStart w:id="0" w:name="ICS"/>
            <w:r>
              <w:rPr>
                <w:rFonts w:hint="eastAsia" w:ascii="黑体" w:hAnsi="黑体" w:eastAsia="黑体"/>
                <w:sz w:val="21"/>
                <w:szCs w:val="21"/>
              </w:rPr>
              <w:instrText xml:space="preserve"> </w:instrText>
            </w:r>
            <w:r>
              <w:rPr>
                <w:rFonts w:ascii="黑体" w:hAnsi="黑体" w:eastAsia="黑体"/>
                <w:sz w:val="21"/>
                <w:szCs w:val="21"/>
              </w:rPr>
              <w:instrText xml:space="preserve">FORMTEXT</w:instrText>
            </w:r>
            <w:r>
              <w:rPr>
                <w:rFonts w:hint="eastAsia" w:ascii="黑体" w:hAnsi="黑体" w:eastAsia="黑体"/>
                <w:sz w:val="21"/>
                <w:szCs w:val="21"/>
              </w:rPr>
              <w:instrText xml:space="preserve"> </w:instrText>
            </w:r>
            <w:r>
              <w:rPr>
                <w:rFonts w:hint="eastAsia" w:ascii="黑体" w:hAnsi="黑体" w:eastAsia="黑体"/>
                <w:sz w:val="21"/>
                <w:szCs w:val="21"/>
              </w:rPr>
              <w:fldChar w:fldCharType="separate"/>
            </w:r>
            <w:r>
              <w:rPr>
                <w:rFonts w:hint="eastAsia" w:ascii="黑体" w:hAnsi="黑体" w:eastAsia="黑体"/>
                <w:sz w:val="21"/>
                <w:szCs w:val="21"/>
              </w:rPr>
              <w:t>xx.xxx.xx</w:t>
            </w:r>
            <w:r>
              <w:rPr>
                <w:rFonts w:hint="eastAsia"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21"/>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t xml:space="preserve">CCS  </w:t>
            </w:r>
          </w:p>
        </w:tc>
        <w:tc>
          <w:tcPr>
            <w:tcW w:w="8855" w:type="dxa"/>
          </w:tcPr>
          <w:tbl>
            <w:tblPr>
              <w:tblStyle w:val="38"/>
              <w:tblpPr w:vertAnchor="page" w:horzAnchor="margin" w:tblpX="1" w:tblpY="341"/>
              <w:tblOverlap w:val="never"/>
              <w:tblW w:w="9242"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Ex>
              <w:trPr>
                <w:trHeight w:val="1021" w:hRule="exact"/>
              </w:trPr>
              <w:tc>
                <w:tcPr>
                  <w:tcW w:w="9242" w:type="dxa"/>
                  <w:vAlign w:val="center"/>
                </w:tcPr>
                <w:p>
                  <w:pPr>
                    <w:pStyle w:val="54"/>
                    <w:framePr w:wrap="notBeside" w:vAnchor="page" w:hAnchor="page" w:x="1372" w:y="568"/>
                    <w:ind w:left="420" w:right="624"/>
                    <w:rPr>
                      <w:rFonts w:hint="eastAsia" w:ascii="宋体" w:hAnsi="宋体"/>
                      <w:sz w:val="84"/>
                      <w:szCs w:val="84"/>
                    </w:rPr>
                  </w:pPr>
                  <w:r>
                    <w:drawing>
                      <wp:anchor distT="0" distB="0" distL="114300" distR="114300" simplePos="0" relativeHeight="251662336" behindDoc="0" locked="0" layoutInCell="1" allowOverlap="1">
                        <wp:simplePos x="0" y="0"/>
                        <wp:positionH relativeFrom="column">
                          <wp:posOffset>3853815</wp:posOffset>
                        </wp:positionH>
                        <wp:positionV relativeFrom="paragraph">
                          <wp:posOffset>114935</wp:posOffset>
                        </wp:positionV>
                        <wp:extent cx="796290" cy="397510"/>
                        <wp:effectExtent l="0" t="0" r="3810" b="254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96290" cy="397510"/>
                                </a:xfrm>
                                <a:prstGeom prst="rect">
                                  <a:avLst/>
                                </a:prstGeom>
                              </pic:spPr>
                            </pic:pic>
                          </a:graphicData>
                        </a:graphic>
                      </wp:anchor>
                    </w:drawing>
                  </w:r>
                  <w:r>
                    <w:rPr>
                      <w:rFonts w:hint="eastAsia"/>
                      <w:sz w:val="84"/>
                      <w:szCs w:val="84"/>
                    </w:rPr>
                    <w:t>43</w:t>
                  </w:r>
                </w:p>
              </w:tc>
            </w:tr>
          </w:tbl>
          <w:p>
            <w:pPr>
              <w:pStyle w:val="21"/>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hint="eastAsia" w:ascii="黑体" w:hAnsi="黑体" w:eastAsia="黑体"/>
                <w:sz w:val="21"/>
                <w:szCs w:val="21"/>
              </w:rPr>
              <w:fldChar w:fldCharType="begin">
                <w:ffData>
                  <w:name w:val="CSDN"/>
                  <w:enabled/>
                  <w:calcOnExit w:val="0"/>
                  <w:textInput>
                    <w:default w:val="xxx"/>
                  </w:textInput>
                </w:ffData>
              </w:fldChar>
            </w:r>
            <w:bookmarkStart w:id="1" w:name="CSDN"/>
            <w:r>
              <w:rPr>
                <w:rFonts w:hint="eastAsia" w:ascii="黑体" w:hAnsi="黑体" w:eastAsia="黑体"/>
                <w:sz w:val="21"/>
                <w:szCs w:val="21"/>
              </w:rPr>
              <w:instrText xml:space="preserve"> </w:instrText>
            </w:r>
            <w:r>
              <w:rPr>
                <w:rFonts w:ascii="黑体" w:hAnsi="黑体" w:eastAsia="黑体"/>
                <w:sz w:val="21"/>
                <w:szCs w:val="21"/>
              </w:rPr>
              <w:instrText xml:space="preserve">FORMTEXT</w:instrText>
            </w:r>
            <w:r>
              <w:rPr>
                <w:rFonts w:hint="eastAsia" w:ascii="黑体" w:hAnsi="黑体" w:eastAsia="黑体"/>
                <w:sz w:val="21"/>
                <w:szCs w:val="21"/>
              </w:rPr>
              <w:instrText xml:space="preserve"> </w:instrText>
            </w:r>
            <w:r>
              <w:rPr>
                <w:rFonts w:hint="eastAsia" w:ascii="黑体" w:hAnsi="黑体" w:eastAsia="黑体"/>
                <w:sz w:val="21"/>
                <w:szCs w:val="21"/>
              </w:rPr>
              <w:fldChar w:fldCharType="separate"/>
            </w:r>
            <w:r>
              <w:rPr>
                <w:rFonts w:hint="eastAsia" w:ascii="黑体" w:hAnsi="黑体" w:eastAsia="黑体"/>
                <w:sz w:val="21"/>
                <w:szCs w:val="21"/>
              </w:rPr>
              <w:t>xxx</w:t>
            </w:r>
            <w:r>
              <w:rPr>
                <w:rFonts w:hint="eastAsia" w:ascii="黑体" w:hAnsi="黑体" w:eastAsia="黑体"/>
                <w:sz w:val="21"/>
                <w:szCs w:val="21"/>
              </w:rPr>
              <w:fldChar w:fldCharType="end"/>
            </w:r>
            <w:bookmarkEnd w:id="1"/>
          </w:p>
        </w:tc>
      </w:tr>
    </w:tbl>
    <w:p>
      <w:pPr>
        <w:pStyle w:val="55"/>
        <w:framePr w:w="9639" w:h="624" w:hRule="exact" w:hSpace="181" w:vSpace="181" w:hAnchor="page" w:x="1305" w:y="2269"/>
        <w:rPr>
          <w:rFonts w:hint="eastAsia" w:ascii="黑体" w:hAnsi="黑体" w:eastAsia="黑体"/>
          <w:b w:val="0"/>
          <w:bCs w:val="0"/>
          <w:w w:val="100"/>
          <w:sz w:val="48"/>
          <w:szCs w:val="48"/>
        </w:rPr>
      </w:pPr>
      <w:bookmarkStart w:id="2" w:name="_Hlk26473981"/>
      <w:r>
        <w:rPr>
          <w:rFonts w:hint="eastAsia" w:ascii="黑体" w:eastAsia="黑体"/>
          <w:b w:val="0"/>
          <w:w w:val="100"/>
          <w:sz w:val="48"/>
        </w:rPr>
        <w:t>湖南省地方</w:t>
      </w:r>
      <w:r>
        <w:rPr>
          <w:rFonts w:hint="eastAsia" w:ascii="黑体" w:hAnsi="黑体" w:eastAsia="黑体"/>
          <w:b w:val="0"/>
          <w:bCs w:val="0"/>
          <w:w w:val="100"/>
          <w:sz w:val="48"/>
          <w:szCs w:val="48"/>
        </w:rPr>
        <w:t>标准</w:t>
      </w:r>
    </w:p>
    <w:bookmarkEnd w:id="2"/>
    <w:p>
      <w:pPr>
        <w:pStyle w:val="200"/>
      </w:pPr>
      <w:r>
        <w:rPr>
          <w:rFonts w:hint="eastAsia"/>
        </w:rPr>
        <w:t>DB43/</w:t>
      </w:r>
      <w:r>
        <w:t>T XX</w:t>
      </w:r>
      <w:r>
        <w:rPr>
          <w:rFonts w:hAnsi="黑体"/>
        </w:rPr>
        <w:t>—</w:t>
      </w:r>
      <w:r>
        <w:t>202</w:t>
      </w:r>
      <w:r>
        <w:rPr>
          <w:rFonts w:hint="eastAsia"/>
        </w:rPr>
        <w:t>X</w:t>
      </w:r>
    </w:p>
    <w:p>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5"/>
        <w:framePr w:w="9639" w:h="6976" w:hRule="exact" w:hSpace="0" w:vSpace="0" w:hAnchor="page" w:y="6408"/>
        <w:jc w:val="center"/>
        <w:rPr>
          <w:rFonts w:hint="eastAsia" w:ascii="黑体" w:hAnsi="黑体" w:eastAsia="黑体"/>
          <w:b w:val="0"/>
          <w:bCs w:val="0"/>
          <w:w w:val="100"/>
        </w:rPr>
      </w:pPr>
    </w:p>
    <w:p>
      <w:pPr>
        <w:pStyle w:val="202"/>
        <w:framePr w:h="6974" w:hRule="exact" w:x="1419" w:anchorLock="1"/>
        <w:rPr>
          <w:rFonts w:hint="eastAsia"/>
        </w:rPr>
      </w:pPr>
      <w:r>
        <w:rPr>
          <w:rFonts w:hint="eastAsia"/>
        </w:rPr>
        <w:fldChar w:fldCharType="begin">
          <w:ffData>
            <w:name w:val="CSTD_NAME"/>
            <w:enabled/>
            <w:calcOnExit w:val="0"/>
            <w:textInput>
              <w:default w:val="装配式连续梁桥墩顶负弯矩应用扁锚预应力筋整体张拉技术规程"/>
            </w:textInput>
          </w:ffData>
        </w:fldChar>
      </w:r>
      <w:bookmarkStart w:id="3" w:name="CSTD_NAME"/>
      <w:r>
        <w:rPr>
          <w:rFonts w:hint="eastAsia"/>
        </w:rPr>
        <w:instrText xml:space="preserve"> FORMTEXT </w:instrText>
      </w:r>
      <w:r>
        <w:rPr>
          <w:rFonts w:hint="eastAsia"/>
        </w:rPr>
        <w:fldChar w:fldCharType="separate"/>
      </w:r>
      <w:r>
        <w:rPr>
          <w:rFonts w:hint="eastAsia"/>
        </w:rPr>
        <w:t>装配式连续梁桥墩顶负弯矩应用扁锚预应力筋整体张拉技术规程</w:t>
      </w:r>
      <w:r>
        <w:rPr>
          <w:rFonts w:hint="eastAsia"/>
        </w:rPr>
        <w:fldChar w:fldCharType="end"/>
      </w:r>
      <w:bookmarkEnd w:id="3"/>
    </w:p>
    <w:p>
      <w:pPr>
        <w:framePr w:w="9639" w:h="6974" w:hRule="exact" w:wrap="around" w:vAnchor="page" w:hAnchor="page" w:x="1419" w:y="6408" w:anchorLock="1"/>
        <w:ind w:left="-1418"/>
      </w:pPr>
    </w:p>
    <w:p>
      <w:pPr>
        <w:pStyle w:val="130"/>
        <w:framePr w:w="9639" w:h="6974" w:hRule="exact" w:wrap="around" w:vAnchor="page" w:hAnchor="page" w:x="1419" w:y="6408" w:anchorLock="1"/>
        <w:textAlignment w:val="bottom"/>
        <w:rPr>
          <w:rFonts w:hint="eastAsia" w:ascii="黑体" w:hAnsi="黑体" w:eastAsia="黑体"/>
          <w:szCs w:val="28"/>
        </w:rPr>
      </w:pPr>
      <w:r>
        <w:rPr>
          <w:rFonts w:ascii="黑体" w:hAnsi="黑体" w:eastAsia="黑体"/>
          <w:szCs w:val="28"/>
        </w:rPr>
        <w:t xml:space="preserve">Technical specification for integral tensioning of prestressed </w:t>
      </w:r>
      <w:r>
        <w:rPr>
          <w:rFonts w:hint="eastAsia" w:ascii="黑体" w:hAnsi="黑体" w:eastAsia="黑体"/>
          <w:szCs w:val="28"/>
        </w:rPr>
        <w:t xml:space="preserve">steel strands with </w:t>
      </w:r>
      <w:r>
        <w:rPr>
          <w:rFonts w:ascii="黑体" w:hAnsi="黑体" w:eastAsia="黑体"/>
          <w:szCs w:val="28"/>
        </w:rPr>
        <w:t xml:space="preserve">flat anchor </w:t>
      </w:r>
      <w:r>
        <w:rPr>
          <w:rFonts w:hint="eastAsia" w:ascii="黑体" w:hAnsi="黑体" w:eastAsia="黑体"/>
          <w:szCs w:val="28"/>
        </w:rPr>
        <w:t>in</w:t>
      </w:r>
      <w:r>
        <w:rPr>
          <w:rFonts w:ascii="黑体" w:hAnsi="黑体" w:eastAsia="黑体"/>
          <w:szCs w:val="28"/>
        </w:rPr>
        <w:t xml:space="preserve"> negative bending moment </w:t>
      </w:r>
      <w:r>
        <w:rPr>
          <w:rFonts w:hint="eastAsia" w:ascii="黑体" w:hAnsi="黑体" w:eastAsia="黑体"/>
          <w:szCs w:val="28"/>
        </w:rPr>
        <w:t>zone</w:t>
      </w:r>
      <w:r>
        <w:rPr>
          <w:rFonts w:ascii="黑体" w:hAnsi="黑体" w:eastAsia="黑体"/>
          <w:szCs w:val="28"/>
        </w:rPr>
        <w:t xml:space="preserve"> of prefabricated continuous beam bridge</w:t>
      </w:r>
    </w:p>
    <w:p>
      <w:pPr>
        <w:pStyle w:val="130"/>
        <w:framePr w:w="9639" w:h="6974" w:hRule="exact" w:wrap="around" w:vAnchor="page" w:hAnchor="page" w:x="1419" w:y="6408" w:anchorLock="1"/>
        <w:textAlignment w:val="bottom"/>
        <w:rPr>
          <w:rFonts w:hint="eastAsia" w:ascii="黑体" w:hAnsi="黑体" w:eastAsia="黑体"/>
          <w:color w:val="FF0000"/>
          <w:szCs w:val="28"/>
        </w:rPr>
      </w:pPr>
    </w:p>
    <w:p>
      <w:pPr>
        <w:framePr w:w="9639" w:h="6974" w:hRule="exact" w:wrap="around" w:vAnchor="page" w:hAnchor="page" w:x="1419" w:y="6408" w:anchorLock="1"/>
        <w:spacing w:line="760" w:lineRule="exact"/>
        <w:ind w:left="-1418"/>
      </w:pPr>
    </w:p>
    <w:p>
      <w:pPr>
        <w:pStyle w:val="130"/>
        <w:framePr w:w="9639" w:h="6974" w:hRule="exact" w:wrap="around" w:vAnchor="page" w:hAnchor="page" w:x="1419" w:y="6408" w:anchorLock="1"/>
        <w:spacing w:before="440" w:after="160"/>
        <w:textAlignment w:val="bottom"/>
        <w:rPr>
          <w:rFonts w:hint="eastAsia" w:ascii="黑体" w:hAnsi="黑体" w:eastAsia="黑体"/>
          <w:szCs w:val="28"/>
        </w:rPr>
      </w:pPr>
      <w:r>
        <w:rPr>
          <w:rFonts w:hint="eastAsia" w:ascii="黑体" w:hAnsi="黑体" w:eastAsia="黑体"/>
          <w:szCs w:val="28"/>
        </w:rPr>
        <w:fldChar w:fldCharType="begin">
          <w:ffData>
            <w:name w:val="下拉1"/>
            <w:enabled/>
            <w:calcOnExit w:val="0"/>
            <w:ddList>
              <w:listEntry w:val="（征求意见稿）"/>
              <w:listEntry w:val="（初稿）"/>
              <w:listEntry w:val="初稿"/>
              <w:listEntry w:val="（送审稿）"/>
              <w:listEntry w:val="（报批稿）"/>
              <w:listEntry w:val=" "/>
              <w:listEntry w:val="草案版次选择"/>
              <w:listEntry w:val="（工作组讨论稿）"/>
              <w:listEntry w:val="（送审讨论稿）"/>
            </w:ddList>
          </w:ffData>
        </w:fldChar>
      </w:r>
      <w:bookmarkStart w:id="4" w:name="下拉1"/>
      <w:r>
        <w:rPr>
          <w:rFonts w:hint="eastAsia" w:ascii="黑体" w:hAnsi="黑体" w:eastAsia="黑体"/>
          <w:szCs w:val="28"/>
        </w:rPr>
        <w:instrText xml:space="preserve"> FORMDROPDOWN </w:instrText>
      </w:r>
      <w:r>
        <w:rPr>
          <w:rFonts w:hint="eastAsia" w:ascii="黑体" w:hAnsi="黑体" w:eastAsia="黑体"/>
          <w:szCs w:val="28"/>
        </w:rPr>
        <w:fldChar w:fldCharType="separate"/>
      </w:r>
      <w:r>
        <w:rPr>
          <w:rFonts w:hint="eastAsia" w:ascii="黑体" w:hAnsi="黑体" w:eastAsia="黑体"/>
          <w:szCs w:val="28"/>
        </w:rPr>
        <w:fldChar w:fldCharType="end"/>
      </w:r>
      <w:bookmarkEnd w:id="4"/>
    </w:p>
    <w:p>
      <w:pPr>
        <w:pStyle w:val="130"/>
        <w:framePr w:w="9639" w:h="6974" w:hRule="exact" w:wrap="around" w:vAnchor="page" w:hAnchor="page" w:x="1419" w:y="6408" w:anchorLock="1"/>
        <w:spacing w:before="180" w:line="240" w:lineRule="atLeast"/>
        <w:textAlignment w:val="bottom"/>
        <w:rPr>
          <w:rFonts w:hint="eastAsia" w:ascii="黑体" w:hAnsi="黑体" w:eastAsia="黑体"/>
          <w:szCs w:val="28"/>
        </w:rPr>
      </w:pPr>
      <w:r>
        <w:rPr>
          <w:rFonts w:hint="eastAsia" w:ascii="黑体" w:hAnsi="黑体" w:eastAsia="黑体"/>
          <w:szCs w:val="28"/>
        </w:rPr>
        <w:fldChar w:fldCharType="begin">
          <w:ffData>
            <w:name w:val="CMPLSH_DATE"/>
            <w:enabled/>
            <w:calcOnExit w:val="0"/>
            <w:textInput>
              <w:default w:val="2026年9月"/>
            </w:textInput>
          </w:ffData>
        </w:fldChar>
      </w:r>
      <w:bookmarkStart w:id="5" w:name="CMPLSH_DATE"/>
      <w:r>
        <w:rPr>
          <w:rFonts w:hint="eastAsia" w:ascii="黑体" w:hAnsi="黑体" w:eastAsia="黑体"/>
          <w:szCs w:val="28"/>
        </w:rPr>
        <w:instrText xml:space="preserve"> FORMTEXT </w:instrText>
      </w:r>
      <w:r>
        <w:rPr>
          <w:rFonts w:hint="eastAsia" w:ascii="黑体" w:hAnsi="黑体" w:eastAsia="黑体"/>
          <w:szCs w:val="28"/>
        </w:rPr>
        <w:fldChar w:fldCharType="separate"/>
      </w:r>
      <w:r>
        <w:rPr>
          <w:rFonts w:hint="eastAsia" w:ascii="黑体" w:hAnsi="黑体" w:eastAsia="黑体"/>
          <w:szCs w:val="28"/>
        </w:rPr>
        <w:t>2026年9月</w:t>
      </w:r>
      <w:r>
        <w:rPr>
          <w:rFonts w:hint="eastAsia" w:ascii="黑体" w:hAnsi="黑体" w:eastAsia="黑体"/>
          <w:szCs w:val="28"/>
        </w:rPr>
        <w:fldChar w:fldCharType="end"/>
      </w:r>
      <w:bookmarkEnd w:id="5"/>
    </w:p>
    <w:p>
      <w:pPr>
        <w:pStyle w:val="130"/>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6" w:name="下拉2"/>
      <w:r>
        <w:rPr>
          <w:b/>
          <w:sz w:val="21"/>
          <w:szCs w:val="28"/>
        </w:rPr>
        <w:instrText xml:space="preserve"> FORMDROPDOWN </w:instrText>
      </w:r>
      <w:r>
        <w:rPr>
          <w:b/>
          <w:sz w:val="21"/>
          <w:szCs w:val="28"/>
        </w:rPr>
        <w:fldChar w:fldCharType="separate"/>
      </w:r>
      <w:r>
        <w:rPr>
          <w:b/>
          <w:sz w:val="21"/>
          <w:szCs w:val="28"/>
        </w:rPr>
        <w:fldChar w:fldCharType="end"/>
      </w:r>
      <w:bookmarkEnd w:id="6"/>
    </w:p>
    <w:p>
      <w:pPr>
        <w:pStyle w:val="198"/>
        <w:framePr w:y="14176"/>
      </w:pPr>
      <w:r>
        <w:rPr>
          <w:rFonts w:ascii="黑体"/>
        </w:rPr>
        <w:fldChar w:fldCharType="begin">
          <w:ffData>
            <w:name w:val="PLSH_DATE_Y"/>
            <w:enabled/>
            <w:calcOnExit w:val="0"/>
            <w:textInput>
              <w:default w:val="XXXX"/>
              <w:maxLength w:val="4"/>
            </w:textInput>
          </w:ffData>
        </w:fldChar>
      </w:r>
      <w:bookmarkStart w:id="7"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7"/>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8"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8"/>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9"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9"/>
      <w:r>
        <w:rPr>
          <w:rFonts w:hint="eastAsia"/>
        </w:rPr>
        <w:t>发布</w:t>
      </w:r>
    </w:p>
    <w:p>
      <w:pPr>
        <w:pStyle w:val="199"/>
        <w:framePr w:y="14176"/>
      </w:pPr>
      <w:r>
        <w:rPr>
          <w:rFonts w:ascii="黑体"/>
        </w:rPr>
        <w:fldChar w:fldCharType="begin">
          <w:ffData>
            <w:name w:val="CROT_DATE_Y"/>
            <w:enabled/>
            <w:calcOnExit w:val="0"/>
            <w:textInput>
              <w:default w:val="XXXX"/>
              <w:maxLength w:val="4"/>
            </w:textInput>
          </w:ffData>
        </w:fldChar>
      </w:r>
      <w:bookmarkStart w:id="10"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0"/>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1"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2"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2"/>
      <w:r>
        <w:rPr>
          <w:rFonts w:hint="eastAsia"/>
        </w:rPr>
        <w:t>实施</w:t>
      </w:r>
    </w:p>
    <w:p>
      <w:pPr>
        <w:pStyle w:val="156"/>
        <w:framePr w:h="584" w:hRule="exact" w:hSpace="181" w:vSpace="181" w:y="14800"/>
        <w:rPr>
          <w:rFonts w:hint="eastAsia" w:hAnsi="黑体"/>
        </w:rPr>
      </w:pPr>
      <w:r>
        <w:rPr>
          <w:rFonts w:hint="eastAsia" w:hAnsi="黑体"/>
          <w:w w:val="100"/>
          <w:sz w:val="28"/>
        </w:rPr>
        <w:t>湖南省市场监督管理局</w:t>
      </w:r>
      <w:r>
        <w:rPr>
          <w:rFonts w:ascii="Times New Roman"/>
          <w:w w:val="100"/>
          <w:sz w:val="28"/>
        </w:rPr>
        <w:t>  </w:t>
      </w:r>
      <w:r>
        <w:rPr>
          <w:rStyle w:val="234"/>
          <w:rFonts w:hint="eastAsia" w:hAnsi="黑体"/>
          <w:position w:val="0"/>
        </w:rPr>
        <w:t>发</w:t>
      </w:r>
      <w:r>
        <w:rPr>
          <w:rStyle w:val="234"/>
          <w:rFonts w:hint="eastAsia" w:hAnsi="黑体"/>
          <w:spacing w:val="0"/>
          <w:position w:val="0"/>
        </w:rPr>
        <w:t>布</w:t>
      </w:r>
    </w:p>
    <w:p>
      <w:pPr>
        <w:rPr>
          <w:rFonts w:hint="eastAsia" w:ascii="宋体" w:hAnsi="宋体"/>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6"/>
        <w:spacing w:after="360"/>
      </w:pPr>
      <w:bookmarkStart w:id="13" w:name="BookMark1"/>
      <w:bookmarkStart w:id="14" w:name="_Toc238835485"/>
      <w:bookmarkStart w:id="15" w:name="_Toc238131278"/>
      <w:r>
        <w:rPr>
          <w:rFonts w:hint="eastAsia"/>
          <w:spacing w:val="320"/>
        </w:rPr>
        <w:t>目</w:t>
      </w:r>
      <w:r>
        <w:rPr>
          <w:rFonts w:hint="eastAsia"/>
        </w:rPr>
        <w:t>次</w:t>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"_Toc239760141" </w:instrText>
      </w:r>
      <w:r>
        <w:fldChar w:fldCharType="separate"/>
      </w:r>
      <w:r>
        <w:rPr>
          <w:rStyle w:val="34"/>
          <w:spacing w:val="320"/>
        </w:rPr>
        <w:t>前</w:t>
      </w:r>
      <w:r>
        <w:rPr>
          <w:rStyle w:val="34"/>
        </w:rPr>
        <w:t>言</w:t>
      </w:r>
      <w:r>
        <w:rPr>
          <w:rFonts w:hint="eastAsia"/>
        </w:rPr>
        <w:tab/>
      </w:r>
      <w:r>
        <w:rPr>
          <w:rFonts w:hint="eastAsia"/>
        </w:rPr>
        <w:fldChar w:fldCharType="begin"/>
      </w:r>
      <w:r>
        <w:rPr>
          <w:rFonts w:hint="eastAsia"/>
        </w:rPr>
        <w:instrText xml:space="preserve"> </w:instrText>
      </w:r>
      <w:r>
        <w:instrText xml:space="preserve">PAGEREF _Toc239760141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"_Toc239760142" </w:instrText>
      </w:r>
      <w:r>
        <w:fldChar w:fldCharType="separate"/>
      </w:r>
      <w:r>
        <w:rPr>
          <w:rStyle w:val="34"/>
        </w:rPr>
        <w:t>1 范围</w:t>
      </w:r>
      <w:r>
        <w:rPr>
          <w:rFonts w:hint="eastAsia"/>
        </w:rPr>
        <w:tab/>
      </w:r>
      <w:r>
        <w:rPr>
          <w:rFonts w:hint="eastAsia"/>
        </w:rPr>
        <w:fldChar w:fldCharType="begin"/>
      </w:r>
      <w:r>
        <w:rPr>
          <w:rFonts w:hint="eastAsia"/>
        </w:rPr>
        <w:instrText xml:space="preserve"> </w:instrText>
      </w:r>
      <w:r>
        <w:instrText xml:space="preserve">PAGEREF _Toc239760142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"_Toc239760143" </w:instrText>
      </w:r>
      <w:r>
        <w:fldChar w:fldCharType="separate"/>
      </w:r>
      <w:r>
        <w:rPr>
          <w:rStyle w:val="34"/>
        </w:rPr>
        <w:t>2 规范性引用文件</w:t>
      </w:r>
      <w:r>
        <w:rPr>
          <w:rFonts w:hint="eastAsia"/>
        </w:rPr>
        <w:tab/>
      </w:r>
      <w:r>
        <w:rPr>
          <w:rFonts w:hint="eastAsia"/>
        </w:rPr>
        <w:fldChar w:fldCharType="begin"/>
      </w:r>
      <w:r>
        <w:rPr>
          <w:rFonts w:hint="eastAsia"/>
        </w:rPr>
        <w:instrText xml:space="preserve"> </w:instrText>
      </w:r>
      <w:r>
        <w:instrText xml:space="preserve">PAGEREF _Toc239760143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"_Toc239760144" </w:instrText>
      </w:r>
      <w:r>
        <w:fldChar w:fldCharType="separate"/>
      </w:r>
      <w:r>
        <w:rPr>
          <w:rStyle w:val="34"/>
        </w:rPr>
        <w:t>3 术语和定义</w:t>
      </w:r>
      <w:r>
        <w:rPr>
          <w:rFonts w:hint="eastAsia"/>
        </w:rPr>
        <w:tab/>
      </w:r>
      <w:r>
        <w:rPr>
          <w:rFonts w:hint="eastAsia"/>
        </w:rPr>
        <w:fldChar w:fldCharType="begin"/>
      </w:r>
      <w:r>
        <w:rPr>
          <w:rFonts w:hint="eastAsia"/>
        </w:rPr>
        <w:instrText xml:space="preserve"> </w:instrText>
      </w:r>
      <w:r>
        <w:instrText xml:space="preserve">PAGEREF _Toc239760144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"_Toc239760145" </w:instrText>
      </w:r>
      <w:r>
        <w:fldChar w:fldCharType="separate"/>
      </w:r>
      <w:r>
        <w:rPr>
          <w:rStyle w:val="34"/>
        </w:rPr>
        <w:t>4 施工工艺流程</w:t>
      </w:r>
      <w:r>
        <w:rPr>
          <w:rFonts w:hint="eastAsia"/>
        </w:rPr>
        <w:tab/>
      </w:r>
      <w:r>
        <w:rPr>
          <w:rFonts w:hint="eastAsia"/>
        </w:rPr>
        <w:fldChar w:fldCharType="begin"/>
      </w:r>
      <w:r>
        <w:rPr>
          <w:rFonts w:hint="eastAsia"/>
        </w:rPr>
        <w:instrText xml:space="preserve"> </w:instrText>
      </w:r>
      <w:r>
        <w:instrText xml:space="preserve">PAGEREF _Toc239760145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"_Toc239760146" </w:instrText>
      </w:r>
      <w:r>
        <w:fldChar w:fldCharType="separate"/>
      </w:r>
      <w:r>
        <w:rPr>
          <w:rStyle w:val="34"/>
        </w:rPr>
        <w:t>5 材料准备</w:t>
      </w:r>
      <w:r>
        <w:rPr>
          <w:rFonts w:hint="eastAsia"/>
        </w:rPr>
        <w:tab/>
      </w:r>
      <w:r>
        <w:rPr>
          <w:rFonts w:hint="eastAsia"/>
        </w:rPr>
        <w:fldChar w:fldCharType="begin"/>
      </w:r>
      <w:r>
        <w:rPr>
          <w:rFonts w:hint="eastAsia"/>
        </w:rPr>
        <w:instrText xml:space="preserve"> </w:instrText>
      </w:r>
      <w:r>
        <w:instrText xml:space="preserve">PAGEREF _Toc239760146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7"/>
        <w:rPr>
          <w:rFonts w:hint="eastAsia" w:asciiTheme="minorHAnsi" w:hAnsiTheme="minorHAnsi" w:eastAsiaTheme="minorEastAsia" w:cstheme="minorBidi"/>
          <w:sz w:val="22"/>
          <w:szCs w:val="24"/>
          <w14:ligatures w14:val="standardContextual"/>
        </w:rPr>
      </w:pPr>
      <w:r>
        <w:fldChar w:fldCharType="begin"/>
      </w:r>
      <w:r>
        <w:instrText xml:space="preserve"> HYPERLINK \l "_Toc239760147" </w:instrText>
      </w:r>
      <w:r>
        <w:fldChar w:fldCharType="separate"/>
      </w:r>
      <w:r>
        <w:rPr>
          <w:rStyle w:val="34"/>
          <w14:scene3d w14:prst="orthographicFront">
            <w14:lightRig w14:rig="threePt" w14:dir="t">
              <w14:rot w14:lat="0" w14:lon="0" w14:rev="0"/>
            </w14:lightRig>
          </w14:scene3d>
        </w:rPr>
        <w:t>5.1</w:t>
      </w:r>
      <w:r>
        <w:rPr>
          <w:rStyle w:val="34"/>
        </w:rPr>
        <w:t xml:space="preserve"> 混凝土与预应力筋</w:t>
      </w:r>
      <w:r>
        <w:rPr>
          <w:rFonts w:hint="eastAsia"/>
        </w:rPr>
        <w:tab/>
      </w:r>
      <w:r>
        <w:rPr>
          <w:rFonts w:hint="eastAsia"/>
        </w:rPr>
        <w:fldChar w:fldCharType="begin"/>
      </w:r>
      <w:r>
        <w:rPr>
          <w:rFonts w:hint="eastAsia"/>
        </w:rPr>
        <w:instrText xml:space="preserve"> </w:instrText>
      </w:r>
      <w:r>
        <w:instrText xml:space="preserve">PAGEREF _Toc239760147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7"/>
        <w:rPr>
          <w:rFonts w:hint="eastAsia" w:asciiTheme="minorHAnsi" w:hAnsiTheme="minorHAnsi" w:eastAsiaTheme="minorEastAsia" w:cstheme="minorBidi"/>
          <w:sz w:val="22"/>
          <w:szCs w:val="24"/>
          <w14:ligatures w14:val="standardContextual"/>
        </w:rPr>
      </w:pPr>
      <w:r>
        <w:fldChar w:fldCharType="begin"/>
      </w:r>
      <w:r>
        <w:instrText xml:space="preserve"> HYPERLINK \l "_Toc239760148" </w:instrText>
      </w:r>
      <w:r>
        <w:fldChar w:fldCharType="separate"/>
      </w:r>
      <w:r>
        <w:rPr>
          <w:rStyle w:val="34"/>
          <w14:scene3d w14:prst="orthographicFront">
            <w14:lightRig w14:rig="threePt" w14:dir="t">
              <w14:rot w14:lat="0" w14:lon="0" w14:rev="0"/>
            </w14:lightRig>
          </w14:scene3d>
        </w:rPr>
        <w:t>5.2</w:t>
      </w:r>
      <w:r>
        <w:rPr>
          <w:rStyle w:val="34"/>
        </w:rPr>
        <w:t xml:space="preserve"> 预应力管道</w:t>
      </w:r>
      <w:r>
        <w:rPr>
          <w:rFonts w:hint="eastAsia"/>
        </w:rPr>
        <w:tab/>
      </w:r>
      <w:r>
        <w:rPr>
          <w:rFonts w:hint="eastAsia"/>
        </w:rPr>
        <w:fldChar w:fldCharType="begin"/>
      </w:r>
      <w:r>
        <w:rPr>
          <w:rFonts w:hint="eastAsia"/>
        </w:rPr>
        <w:instrText xml:space="preserve"> </w:instrText>
      </w:r>
      <w:r>
        <w:instrText xml:space="preserve">PAGEREF _Toc239760148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7"/>
        <w:rPr>
          <w:rFonts w:hint="eastAsia" w:asciiTheme="minorHAnsi" w:hAnsiTheme="minorHAnsi" w:eastAsiaTheme="minorEastAsia" w:cstheme="minorBidi"/>
          <w:sz w:val="22"/>
          <w:szCs w:val="24"/>
          <w14:ligatures w14:val="standardContextual"/>
        </w:rPr>
      </w:pPr>
      <w:r>
        <w:fldChar w:fldCharType="begin"/>
      </w:r>
      <w:r>
        <w:instrText xml:space="preserve"> HYPERLINK \l "_Toc239760149" </w:instrText>
      </w:r>
      <w:r>
        <w:fldChar w:fldCharType="separate"/>
      </w:r>
      <w:r>
        <w:rPr>
          <w:rStyle w:val="34"/>
          <w14:scene3d w14:prst="orthographicFront">
            <w14:lightRig w14:rig="threePt" w14:dir="t">
              <w14:rot w14:lat="0" w14:lon="0" w14:rev="0"/>
            </w14:lightRig>
          </w14:scene3d>
        </w:rPr>
        <w:t>5.3</w:t>
      </w:r>
      <w:r>
        <w:rPr>
          <w:rStyle w:val="34"/>
        </w:rPr>
        <w:t xml:space="preserve"> 预应力锚具、夹具和连接器</w:t>
      </w:r>
      <w:r>
        <w:rPr>
          <w:rFonts w:hint="eastAsia"/>
        </w:rPr>
        <w:tab/>
      </w:r>
      <w:r>
        <w:rPr>
          <w:rFonts w:hint="eastAsia"/>
        </w:rPr>
        <w:fldChar w:fldCharType="begin"/>
      </w:r>
      <w:r>
        <w:rPr>
          <w:rFonts w:hint="eastAsia"/>
        </w:rPr>
        <w:instrText xml:space="preserve"> </w:instrText>
      </w:r>
      <w:r>
        <w:instrText xml:space="preserve">PAGEREF _Toc239760149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"_Toc239760150" </w:instrText>
      </w:r>
      <w:r>
        <w:fldChar w:fldCharType="separate"/>
      </w:r>
      <w:r>
        <w:rPr>
          <w:rStyle w:val="34"/>
        </w:rPr>
        <w:t>6 设备选择</w:t>
      </w:r>
      <w:r>
        <w:rPr>
          <w:rFonts w:hint="eastAsia"/>
        </w:rPr>
        <w:tab/>
      </w:r>
      <w:r>
        <w:rPr>
          <w:rFonts w:hint="eastAsia"/>
        </w:rPr>
        <w:fldChar w:fldCharType="begin"/>
      </w:r>
      <w:r>
        <w:rPr>
          <w:rFonts w:hint="eastAsia"/>
        </w:rPr>
        <w:instrText xml:space="preserve"> </w:instrText>
      </w:r>
      <w:r>
        <w:instrText xml:space="preserve">PAGEREF _Toc239760150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7"/>
        <w:rPr>
          <w:rFonts w:hint="eastAsia" w:asciiTheme="minorHAnsi" w:hAnsiTheme="minorHAnsi" w:eastAsiaTheme="minorEastAsia" w:cstheme="minorBidi"/>
          <w:sz w:val="22"/>
          <w:szCs w:val="24"/>
          <w14:ligatures w14:val="standardContextual"/>
        </w:rPr>
      </w:pPr>
      <w:r>
        <w:fldChar w:fldCharType="begin"/>
      </w:r>
      <w:r>
        <w:instrText xml:space="preserve"> HYPERLINK \l "_Toc239760151" </w:instrText>
      </w:r>
      <w:r>
        <w:fldChar w:fldCharType="separate"/>
      </w:r>
      <w:r>
        <w:rPr>
          <w:rStyle w:val="34"/>
          <w14:scene3d w14:prst="orthographicFront">
            <w14:lightRig w14:rig="threePt" w14:dir="t">
              <w14:rot w14:lat="0" w14:lon="0" w14:rev="0"/>
            </w14:lightRig>
          </w14:scene3d>
        </w:rPr>
        <w:t>6.1</w:t>
      </w:r>
      <w:r>
        <w:rPr>
          <w:rStyle w:val="34"/>
        </w:rPr>
        <w:t xml:space="preserve"> 组成</w:t>
      </w:r>
      <w:r>
        <w:rPr>
          <w:rFonts w:hint="eastAsia"/>
        </w:rPr>
        <w:tab/>
      </w:r>
      <w:r>
        <w:rPr>
          <w:rFonts w:hint="eastAsia"/>
        </w:rPr>
        <w:fldChar w:fldCharType="begin"/>
      </w:r>
      <w:r>
        <w:rPr>
          <w:rFonts w:hint="eastAsia"/>
        </w:rPr>
        <w:instrText xml:space="preserve"> </w:instrText>
      </w:r>
      <w:r>
        <w:instrText xml:space="preserve">PAGEREF _Toc239760151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7"/>
        <w:rPr>
          <w:rFonts w:hint="eastAsia" w:asciiTheme="minorHAnsi" w:hAnsiTheme="minorHAnsi" w:eastAsiaTheme="minorEastAsia" w:cstheme="minorBidi"/>
          <w:sz w:val="22"/>
          <w:szCs w:val="24"/>
          <w14:ligatures w14:val="standardContextual"/>
        </w:rPr>
      </w:pPr>
      <w:r>
        <w:fldChar w:fldCharType="begin"/>
      </w:r>
      <w:r>
        <w:instrText xml:space="preserve"> HYPERLINK \l "_Toc239760152" </w:instrText>
      </w:r>
      <w:r>
        <w:fldChar w:fldCharType="separate"/>
      </w:r>
      <w:r>
        <w:rPr>
          <w:rStyle w:val="34"/>
          <w14:scene3d w14:prst="orthographicFront">
            <w14:lightRig w14:rig="threePt" w14:dir="t">
              <w14:rot w14:lat="0" w14:lon="0" w14:rev="0"/>
            </w14:lightRig>
          </w14:scene3d>
        </w:rPr>
        <w:t>6.2</w:t>
      </w:r>
      <w:r>
        <w:rPr>
          <w:rStyle w:val="34"/>
        </w:rPr>
        <w:t xml:space="preserve"> 功能要求</w:t>
      </w:r>
      <w:r>
        <w:rPr>
          <w:rFonts w:hint="eastAsia"/>
        </w:rPr>
        <w:tab/>
      </w:r>
      <w:r>
        <w:rPr>
          <w:rFonts w:hint="eastAsia"/>
        </w:rPr>
        <w:fldChar w:fldCharType="begin"/>
      </w:r>
      <w:r>
        <w:rPr>
          <w:rFonts w:hint="eastAsia"/>
        </w:rPr>
        <w:instrText xml:space="preserve"> </w:instrText>
      </w:r>
      <w:r>
        <w:instrText xml:space="preserve">PAGEREF _Toc239760152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7"/>
        <w:rPr>
          <w:rFonts w:hint="eastAsia" w:asciiTheme="minorHAnsi" w:hAnsiTheme="minorHAnsi" w:eastAsiaTheme="minorEastAsia" w:cstheme="minorBidi"/>
          <w:sz w:val="22"/>
          <w:szCs w:val="24"/>
          <w14:ligatures w14:val="standardContextual"/>
        </w:rPr>
      </w:pPr>
      <w:r>
        <w:fldChar w:fldCharType="begin"/>
      </w:r>
      <w:r>
        <w:instrText xml:space="preserve"> HYPERLINK \l "_Toc239760153" </w:instrText>
      </w:r>
      <w:r>
        <w:fldChar w:fldCharType="separate"/>
      </w:r>
      <w:r>
        <w:rPr>
          <w:rStyle w:val="34"/>
          <w14:scene3d w14:prst="orthographicFront">
            <w14:lightRig w14:rig="threePt" w14:dir="t">
              <w14:rot w14:lat="0" w14:lon="0" w14:rev="0"/>
            </w14:lightRig>
          </w14:scene3d>
        </w:rPr>
        <w:t>6.3</w:t>
      </w:r>
      <w:r>
        <w:rPr>
          <w:rStyle w:val="34"/>
        </w:rPr>
        <w:t xml:space="preserve"> 性能要求</w:t>
      </w:r>
      <w:r>
        <w:rPr>
          <w:rFonts w:hint="eastAsia"/>
        </w:rPr>
        <w:tab/>
      </w:r>
      <w:r>
        <w:rPr>
          <w:rFonts w:hint="eastAsia"/>
        </w:rPr>
        <w:fldChar w:fldCharType="begin"/>
      </w:r>
      <w:r>
        <w:rPr>
          <w:rFonts w:hint="eastAsia"/>
        </w:rPr>
        <w:instrText xml:space="preserve"> </w:instrText>
      </w:r>
      <w:r>
        <w:instrText xml:space="preserve">PAGEREF _Toc239760153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"_Toc239760154" </w:instrText>
      </w:r>
      <w:r>
        <w:fldChar w:fldCharType="separate"/>
      </w:r>
      <w:r>
        <w:rPr>
          <w:rStyle w:val="34"/>
        </w:rPr>
        <w:t>7 施工准备</w:t>
      </w:r>
      <w:r>
        <w:rPr>
          <w:rFonts w:hint="eastAsia"/>
        </w:rPr>
        <w:tab/>
      </w:r>
      <w:r>
        <w:rPr>
          <w:rFonts w:hint="eastAsia"/>
        </w:rPr>
        <w:fldChar w:fldCharType="begin"/>
      </w:r>
      <w:r>
        <w:rPr>
          <w:rFonts w:hint="eastAsia"/>
        </w:rPr>
        <w:instrText xml:space="preserve"> </w:instrText>
      </w:r>
      <w:r>
        <w:instrText xml:space="preserve">PAGEREF _Toc239760154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"_Toc239760155" </w:instrText>
      </w:r>
      <w:r>
        <w:fldChar w:fldCharType="separate"/>
      </w:r>
      <w:r>
        <w:rPr>
          <w:rStyle w:val="34"/>
        </w:rPr>
        <w:t>8 张拉施工</w:t>
      </w:r>
      <w:r>
        <w:rPr>
          <w:rFonts w:hint="eastAsia"/>
        </w:rPr>
        <w:tab/>
      </w:r>
      <w:r>
        <w:rPr>
          <w:rFonts w:hint="eastAsia"/>
        </w:rPr>
        <w:fldChar w:fldCharType="begin"/>
      </w:r>
      <w:r>
        <w:rPr>
          <w:rFonts w:hint="eastAsia"/>
        </w:rPr>
        <w:instrText xml:space="preserve"> </w:instrText>
      </w:r>
      <w:r>
        <w:instrText xml:space="preserve">PAGEREF _Toc239760155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"_Toc239760156" </w:instrText>
      </w:r>
      <w:r>
        <w:fldChar w:fldCharType="separate"/>
      </w:r>
      <w:r>
        <w:rPr>
          <w:rStyle w:val="34"/>
        </w:rPr>
        <w:t>9 设备拆除</w:t>
      </w:r>
      <w:r>
        <w:rPr>
          <w:rFonts w:hint="eastAsia"/>
        </w:rPr>
        <w:tab/>
      </w:r>
      <w:r>
        <w:rPr>
          <w:rFonts w:hint="eastAsia"/>
        </w:rPr>
        <w:fldChar w:fldCharType="begin"/>
      </w:r>
      <w:r>
        <w:rPr>
          <w:rFonts w:hint="eastAsia"/>
        </w:rPr>
        <w:instrText xml:space="preserve"> </w:instrText>
      </w:r>
      <w:r>
        <w:instrText xml:space="preserve">PAGEREF _Toc239760156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"_Toc239760157" </w:instrText>
      </w:r>
      <w:r>
        <w:fldChar w:fldCharType="separate"/>
      </w:r>
      <w:r>
        <w:rPr>
          <w:rStyle w:val="34"/>
        </w:rPr>
        <w:t>10 验收</w:t>
      </w:r>
      <w:r>
        <w:rPr>
          <w:rFonts w:hint="eastAsia"/>
        </w:rPr>
        <w:tab/>
      </w:r>
      <w:r>
        <w:rPr>
          <w:rFonts w:hint="eastAsia"/>
        </w:rPr>
        <w:fldChar w:fldCharType="begin"/>
      </w:r>
      <w:r>
        <w:rPr>
          <w:rFonts w:hint="eastAsia"/>
        </w:rPr>
        <w:instrText xml:space="preserve"> </w:instrText>
      </w:r>
      <w:r>
        <w:instrText xml:space="preserve">PAGEREF _Toc239760157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"_Toc239760158" </w:instrText>
      </w:r>
      <w:r>
        <w:fldChar w:fldCharType="separate"/>
      </w:r>
      <w:r>
        <w:rPr>
          <w:rStyle w:val="34"/>
          <w:spacing w:val="100"/>
        </w:rPr>
        <w:t>附录A</w:t>
      </w:r>
      <w:r>
        <w:rPr>
          <w:rStyle w:val="34"/>
        </w:rPr>
        <w:t xml:space="preserve"> （规范性） 墩顶负弯矩扁锚预应力筋整体智能张拉施工工艺流程图</w:t>
      </w:r>
      <w:r>
        <w:rPr>
          <w:rFonts w:hint="eastAsia"/>
        </w:rPr>
        <w:tab/>
      </w:r>
      <w:r>
        <w:rPr>
          <w:rFonts w:hint="eastAsia"/>
        </w:rPr>
        <w:fldChar w:fldCharType="begin"/>
      </w:r>
      <w:r>
        <w:rPr>
          <w:rFonts w:hint="eastAsia"/>
        </w:rPr>
        <w:instrText xml:space="preserve"> </w:instrText>
      </w:r>
      <w:r>
        <w:instrText xml:space="preserve">PAGEREF _Toc239760158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"_Toc239760159" </w:instrText>
      </w:r>
      <w:r>
        <w:fldChar w:fldCharType="separate"/>
      </w:r>
      <w:r>
        <w:rPr>
          <w:rStyle w:val="34"/>
          <w:spacing w:val="100"/>
        </w:rPr>
        <w:t>附录B</w:t>
      </w:r>
      <w:r>
        <w:rPr>
          <w:rStyle w:val="34"/>
        </w:rPr>
        <w:t xml:space="preserve"> （资料性） 扁锚张拉端锚垫板的最小尺寸和质量</w:t>
      </w:r>
      <w:r>
        <w:rPr>
          <w:rFonts w:hint="eastAsia"/>
        </w:rPr>
        <w:tab/>
      </w:r>
      <w:r>
        <w:rPr>
          <w:rFonts w:hint="eastAsia"/>
        </w:rPr>
        <w:fldChar w:fldCharType="begin"/>
      </w:r>
      <w:r>
        <w:rPr>
          <w:rFonts w:hint="eastAsia"/>
        </w:rPr>
        <w:instrText xml:space="preserve"> </w:instrText>
      </w:r>
      <w:r>
        <w:instrText xml:space="preserve">PAGEREF _Toc239760159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2"/>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"_Toc239760160" </w:instrText>
      </w:r>
      <w:r>
        <w:fldChar w:fldCharType="separate"/>
      </w:r>
      <w:r>
        <w:rPr>
          <w:rStyle w:val="34"/>
          <w:spacing w:val="100"/>
        </w:rPr>
        <w:t>附录C</w:t>
      </w:r>
      <w:r>
        <w:rPr>
          <w:rStyle w:val="34"/>
        </w:rPr>
        <w:t xml:space="preserve"> （资料性） 负弯矩扁锚预应力张拉记录表</w:t>
      </w:r>
      <w:r>
        <w:rPr>
          <w:rFonts w:hint="eastAsia"/>
        </w:rPr>
        <w:tab/>
      </w:r>
      <w:r>
        <w:rPr>
          <w:rFonts w:hint="eastAsia"/>
        </w:rPr>
        <w:fldChar w:fldCharType="begin"/>
      </w:r>
      <w:r>
        <w:rPr>
          <w:rFonts w:hint="eastAsia"/>
        </w:rPr>
        <w:instrText xml:space="preserve"> </w:instrText>
      </w:r>
      <w:r>
        <w:instrText xml:space="preserve">PAGEREF _Toc239760160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96"/>
        <w:spacing w:after="360"/>
        <w:sectPr>
          <w:headerReference r:id="rId9" w:type="default"/>
          <w:footerReference r:id="rId11" w:type="default"/>
          <w:headerReference r:id="rId10" w:type="even"/>
          <w:footerReference r:id="rId12" w:type="even"/>
          <w:pgSz w:w="11906" w:h="16838"/>
          <w:pgMar w:top="2410" w:right="1134" w:bottom="1134" w:left="1134" w:header="1418" w:footer="1134" w:gutter="284"/>
          <w:pgNumType w:fmt="upperRoman" w:start="1"/>
          <w:cols w:space="425" w:num="1"/>
          <w:formProt w:val="0"/>
          <w:docGrid w:linePitch="312" w:charSpace="0"/>
        </w:sectPr>
      </w:pPr>
      <w:r>
        <w:fldChar w:fldCharType="end"/>
      </w:r>
    </w:p>
    <w:bookmarkEnd w:id="13"/>
    <w:p>
      <w:pPr>
        <w:pStyle w:val="94"/>
        <w:spacing w:after="360"/>
      </w:pPr>
      <w:bookmarkStart w:id="16" w:name="_Toc239760141"/>
      <w:bookmarkStart w:id="17" w:name="BookMark2"/>
      <w:r>
        <w:rPr>
          <w:spacing w:val="320"/>
        </w:rPr>
        <w:t>前</w:t>
      </w:r>
      <w:r>
        <w:t>言</w:t>
      </w:r>
      <w:bookmarkEnd w:id="14"/>
      <w:bookmarkEnd w:id="15"/>
      <w:bookmarkEnd w:id="16"/>
    </w:p>
    <w:p>
      <w:pPr>
        <w:pStyle w:val="61"/>
        <w:ind w:firstLine="420"/>
      </w:pPr>
      <w:r>
        <w:rPr>
          <w:rFonts w:hint="eastAsia"/>
        </w:rPr>
        <w:t>本文件按照GB/T 1.1—2020《标准化工作导则  第1部分：标准化文件的结构和起草规则》的规定起草。</w:t>
      </w:r>
    </w:p>
    <w:p>
      <w:pPr>
        <w:pStyle w:val="61"/>
        <w:ind w:firstLine="420"/>
      </w:pPr>
      <w:r>
        <w:rPr>
          <w:rFonts w:hint="eastAsia"/>
        </w:rPr>
        <w:t>请注意本文件的某些内容可能涉及专利。本文件的发布机构不承担识别专利的责任。</w:t>
      </w:r>
    </w:p>
    <w:p>
      <w:pPr>
        <w:pStyle w:val="61"/>
        <w:ind w:firstLine="420"/>
      </w:pPr>
      <w:r>
        <w:rPr>
          <w:rFonts w:hint="eastAsia"/>
        </w:rPr>
        <w:t>本文件由</w:t>
      </w:r>
      <w:r>
        <w:t>湖南省交通运输厅</w:t>
      </w:r>
      <w:r>
        <w:rPr>
          <w:rFonts w:hint="eastAsia"/>
        </w:rPr>
        <w:t>提出并归口。</w:t>
      </w:r>
    </w:p>
    <w:p>
      <w:pPr>
        <w:pStyle w:val="61"/>
        <w:ind w:firstLine="420"/>
      </w:pPr>
      <w:r>
        <w:rPr>
          <w:rFonts w:hint="eastAsia"/>
        </w:rPr>
        <w:t>本文件起草单位：</w:t>
      </w:r>
      <w:r>
        <w:t>湖南省高速集团有限公司、湖南联智智能科技有限公司、湖南高速设计咨询集团有限公司、湖南高速建设工程有限公司、湖南路桥建设集团有限责任公司</w:t>
      </w:r>
    </w:p>
    <w:p>
      <w:pPr>
        <w:pStyle w:val="61"/>
        <w:ind w:firstLine="420"/>
        <w:sectPr>
          <w:headerReference r:id="rId13" w:type="default"/>
          <w:footerReference r:id="rId15" w:type="default"/>
          <w:headerReference r:id="rId14" w:type="even"/>
          <w:footerReference r:id="rId16" w:type="even"/>
          <w:pgSz w:w="11906" w:h="16838"/>
          <w:pgMar w:top="2410" w:right="1134" w:bottom="1134" w:left="1134" w:header="1418" w:footer="1134" w:gutter="284"/>
          <w:pgNumType w:fmt="upperRoman"/>
          <w:cols w:space="425" w:num="1"/>
          <w:formProt w:val="0"/>
          <w:docGrid w:linePitch="312" w:charSpace="0"/>
        </w:sectPr>
      </w:pPr>
      <w:r>
        <w:rPr>
          <w:rFonts w:hint="eastAsia"/>
        </w:rPr>
        <w:t>本文件主要起草人：周栋梁、焉学永、向建军、刘德坤、潘权、凌李华、廖圆圆、龚球、龙祖游、陈新欣、朱冠华、刘榕、姚涛、李翌、易壮鹏、赵定发、</w:t>
      </w:r>
      <w:r>
        <w:t>谢文祥</w:t>
      </w:r>
      <w:r>
        <w:rPr>
          <w:rFonts w:hint="eastAsia"/>
        </w:rPr>
        <w:t>、</w:t>
      </w:r>
      <w:r>
        <w:t>吴尚</w:t>
      </w:r>
      <w:r>
        <w:rPr>
          <w:rFonts w:hint="eastAsia"/>
        </w:rPr>
        <w:t>张龙、娄新、王勇、吴启槟、徐俊鹏、郭平、伍良伦、刘金富、唐灿、沈涛、陈松、刘肖亮、刘智伟、谢峥、戴军。</w:t>
      </w:r>
    </w:p>
    <w:bookmarkEnd w:id="17"/>
    <w:p>
      <w:pPr>
        <w:spacing w:line="20" w:lineRule="exact"/>
        <w:jc w:val="center"/>
        <w:rPr>
          <w:rFonts w:hint="eastAsia" w:ascii="黑体" w:hAnsi="黑体" w:eastAsia="黑体"/>
          <w:sz w:val="32"/>
          <w:szCs w:val="32"/>
        </w:rPr>
      </w:pPr>
      <w:bookmarkStart w:id="18" w:name="BookMark4"/>
    </w:p>
    <w:p>
      <w:pPr>
        <w:spacing w:line="20" w:lineRule="exact"/>
        <w:jc w:val="center"/>
        <w:rPr>
          <w:rFonts w:hint="eastAsia" w:ascii="黑体" w:hAnsi="黑体" w:eastAsia="黑体"/>
          <w:sz w:val="32"/>
          <w:szCs w:val="32"/>
        </w:rPr>
      </w:pPr>
    </w:p>
    <w:sdt>
      <w:sdtPr>
        <w:tag w:val="NEW_STAND_NAME"/>
        <w:id w:val="595910757"/>
        <w:lock w:val="sdtLocked"/>
        <w:placeholder>
          <w:docPart w:val="1DD45B264296455B920AADA68E2E92A8"/>
        </w:placeholder>
      </w:sdtPr>
      <w:sdtContent>
        <w:p>
          <w:pPr>
            <w:pStyle w:val="182"/>
            <w:spacing w:after="528" w:afterLines="220"/>
            <w:rPr>
              <w:rFonts w:hint="eastAsia"/>
            </w:rPr>
          </w:pPr>
          <w:bookmarkStart w:id="157" w:name="_GoBack"/>
          <w:bookmarkStart w:id="19" w:name="NEW_STAND_NAME"/>
          <w:r>
            <w:rPr>
              <w:rFonts w:hint="eastAsia"/>
            </w:rPr>
            <w:t>装配式连续梁桥墩顶负弯矩应用扁锚预应力筋整体张拉技术规程</w:t>
          </w:r>
          <w:bookmarkEnd w:id="157"/>
        </w:p>
      </w:sdtContent>
    </w:sdt>
    <w:bookmarkEnd w:id="19"/>
    <w:p>
      <w:pPr>
        <w:pStyle w:val="109"/>
        <w:spacing w:before="240" w:after="240"/>
      </w:pPr>
      <w:bookmarkStart w:id="20" w:name="_Toc238835486"/>
      <w:bookmarkStart w:id="21" w:name="_Toc17233333"/>
      <w:bookmarkStart w:id="22" w:name="_Toc17233325"/>
      <w:bookmarkStart w:id="23" w:name="_Toc239760142"/>
      <w:bookmarkStart w:id="24" w:name="_Toc24884218"/>
      <w:bookmarkStart w:id="25" w:name="_Toc26986530"/>
      <w:bookmarkStart w:id="26" w:name="_Toc238131279"/>
      <w:bookmarkStart w:id="27" w:name="_Toc80282192"/>
      <w:bookmarkStart w:id="28" w:name="_Toc26648465"/>
      <w:bookmarkStart w:id="29" w:name="_Toc26718930"/>
      <w:bookmarkStart w:id="30" w:name="_Toc24884211"/>
      <w:bookmarkStart w:id="31" w:name="_Toc26986771"/>
      <w:r>
        <w:rPr>
          <w:rFonts w:hint="eastAsia"/>
        </w:rPr>
        <w:t>范围</w:t>
      </w:r>
      <w:bookmarkEnd w:id="20"/>
      <w:bookmarkEnd w:id="21"/>
      <w:bookmarkEnd w:id="22"/>
      <w:bookmarkEnd w:id="23"/>
      <w:bookmarkEnd w:id="24"/>
      <w:bookmarkEnd w:id="25"/>
      <w:bookmarkEnd w:id="26"/>
      <w:bookmarkEnd w:id="27"/>
      <w:bookmarkEnd w:id="28"/>
      <w:bookmarkEnd w:id="29"/>
      <w:bookmarkEnd w:id="30"/>
      <w:bookmarkEnd w:id="31"/>
    </w:p>
    <w:p>
      <w:pPr>
        <w:pStyle w:val="61"/>
        <w:ind w:firstLine="420"/>
      </w:pPr>
      <w:bookmarkStart w:id="32" w:name="_Toc24884219"/>
      <w:bookmarkStart w:id="33" w:name="_Toc26648466"/>
      <w:bookmarkStart w:id="34" w:name="_Toc17233334"/>
      <w:bookmarkStart w:id="35" w:name="_Toc17233326"/>
      <w:bookmarkStart w:id="36" w:name="_Toc24884212"/>
      <w:r>
        <w:rPr>
          <w:rFonts w:hint="eastAsia"/>
        </w:rPr>
        <w:t>本文件确立了装配式连续梁桥墩顶负弯矩应用扁锚预应力筋整体张拉的施工工艺流程，规定了材料准备、设备选择、施工准备、张拉施工、设备拆除、验收的要求，描述了施工记录和档案管理的内容。</w:t>
      </w:r>
    </w:p>
    <w:p>
      <w:pPr>
        <w:pStyle w:val="61"/>
        <w:ind w:firstLine="420"/>
      </w:pPr>
      <w:r>
        <w:t>本文件适用于装配式连续梁桥墩顶负弯矩的扁锚预应力筋张拉施工</w:t>
      </w:r>
      <w:r>
        <w:rPr>
          <w:rFonts w:hint="eastAsia"/>
        </w:rPr>
        <w:t>；其他类似结构的扁锚预应力筋张拉施工可参照执行。</w:t>
      </w:r>
    </w:p>
    <w:p>
      <w:pPr>
        <w:pStyle w:val="109"/>
        <w:spacing w:before="240" w:after="240"/>
      </w:pPr>
      <w:bookmarkStart w:id="37" w:name="_Toc26718931"/>
      <w:bookmarkStart w:id="38" w:name="_Toc238131280"/>
      <w:bookmarkStart w:id="39" w:name="_Toc80282193"/>
      <w:bookmarkStart w:id="40" w:name="_Toc26986772"/>
      <w:bookmarkStart w:id="41" w:name="_Toc26986531"/>
      <w:bookmarkStart w:id="42" w:name="_Toc239760143"/>
      <w:bookmarkStart w:id="43" w:name="_Toc238835487"/>
      <w:r>
        <w:rPr>
          <w:rFonts w:hint="eastAsia"/>
        </w:rPr>
        <w:t>规范性引用文件</w:t>
      </w:r>
      <w:bookmarkEnd w:id="32"/>
      <w:bookmarkEnd w:id="33"/>
      <w:bookmarkEnd w:id="34"/>
      <w:bookmarkEnd w:id="35"/>
      <w:bookmarkEnd w:id="36"/>
      <w:bookmarkEnd w:id="37"/>
      <w:bookmarkEnd w:id="38"/>
      <w:bookmarkEnd w:id="39"/>
      <w:bookmarkEnd w:id="40"/>
      <w:bookmarkEnd w:id="41"/>
      <w:bookmarkEnd w:id="42"/>
      <w:bookmarkEnd w:id="43"/>
    </w:p>
    <w:sdt>
      <w:sdtPr>
        <w:rPr>
          <w:rFonts w:hint="eastAsia"/>
        </w:rPr>
        <w:id w:val="715848253"/>
        <w:placeholder>
          <w:docPart w:val="349D2F252A8F4D5FAACD49DBF15E1669"/>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1"/>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61"/>
        <w:ind w:firstLine="420"/>
      </w:pPr>
      <w:bookmarkStart w:id="44" w:name="_Hlk155865401"/>
      <w:r>
        <w:t>GB/T 5224 预应力混凝土用钢绞线</w:t>
      </w:r>
    </w:p>
    <w:p>
      <w:pPr>
        <w:pStyle w:val="61"/>
        <w:ind w:firstLine="420"/>
      </w:pPr>
      <w:r>
        <w:t>GB/T 14370 预应力筋用锚具、夹具和连接器</w:t>
      </w:r>
    </w:p>
    <w:p>
      <w:pPr>
        <w:pStyle w:val="61"/>
        <w:ind w:firstLine="420"/>
      </w:pPr>
      <w:r>
        <w:t>GB/T 22239 信息安全技术 网络安全等级保护基本要求</w:t>
      </w:r>
    </w:p>
    <w:p>
      <w:pPr>
        <w:pStyle w:val="61"/>
        <w:ind w:firstLine="420"/>
      </w:pPr>
      <w:r>
        <w:t>GB 50204-2015</w:t>
      </w:r>
      <w:r>
        <w:rPr>
          <w:rFonts w:hint="eastAsia"/>
        </w:rPr>
        <w:t xml:space="preserve"> </w:t>
      </w:r>
      <w:r>
        <w:t>混凝土结构工程施工质量验收规范</w:t>
      </w:r>
    </w:p>
    <w:p>
      <w:pPr>
        <w:pStyle w:val="61"/>
        <w:ind w:firstLine="420"/>
      </w:pPr>
      <w:r>
        <w:t>JB/T 13462</w:t>
      </w:r>
      <w:r>
        <w:rPr>
          <w:rFonts w:hint="eastAsia"/>
        </w:rPr>
        <w:t>-2018</w:t>
      </w:r>
      <w:r>
        <w:t xml:space="preserve"> 建筑施工机械与设备预应力用智能张拉机</w:t>
      </w:r>
    </w:p>
    <w:p>
      <w:pPr>
        <w:pStyle w:val="61"/>
        <w:ind w:firstLine="420"/>
      </w:pPr>
      <w:r>
        <w:t>JG/T 225 预应力混凝土用金属波纹管</w:t>
      </w:r>
    </w:p>
    <w:p>
      <w:pPr>
        <w:pStyle w:val="61"/>
        <w:ind w:firstLine="420"/>
      </w:pPr>
      <w:r>
        <w:t>JG/T 319 预应力用电动油泵</w:t>
      </w:r>
    </w:p>
    <w:p>
      <w:pPr>
        <w:pStyle w:val="61"/>
        <w:ind w:firstLine="420"/>
      </w:pPr>
      <w:r>
        <w:t>JT/T 529 塑料波纹管</w:t>
      </w:r>
    </w:p>
    <w:p>
      <w:pPr>
        <w:pStyle w:val="61"/>
        <w:ind w:firstLine="420"/>
      </w:pPr>
      <w:r>
        <w:t>JJF 1305 线位移传感器校准规范</w:t>
      </w:r>
    </w:p>
    <w:p>
      <w:pPr>
        <w:pStyle w:val="61"/>
        <w:ind w:firstLine="420"/>
      </w:pPr>
      <w:r>
        <w:t>JJG 860 压力传感器静态检定规程</w:t>
      </w:r>
    </w:p>
    <w:p>
      <w:pPr>
        <w:pStyle w:val="61"/>
        <w:ind w:firstLine="420"/>
      </w:pPr>
      <w:r>
        <w:t>JTG/T 3650</w:t>
      </w:r>
      <w:r>
        <w:rPr>
          <w:rFonts w:hint="eastAsia"/>
        </w:rPr>
        <w:t>-2020</w:t>
      </w:r>
      <w:r>
        <w:t xml:space="preserve"> 公路桥涵施工技术规范</w:t>
      </w:r>
    </w:p>
    <w:p>
      <w:pPr>
        <w:pStyle w:val="61"/>
        <w:ind w:firstLine="420"/>
      </w:pPr>
      <w:r>
        <w:t>DB43/T 3164 公路桥梁锚下有效预应力检测技术规程</w:t>
      </w:r>
    </w:p>
    <w:bookmarkEnd w:id="44"/>
    <w:p>
      <w:pPr>
        <w:pStyle w:val="109"/>
        <w:spacing w:before="240" w:after="240"/>
      </w:pPr>
      <w:bookmarkStart w:id="45" w:name="_Toc80282194"/>
      <w:bookmarkStart w:id="46" w:name="_Toc238131281"/>
      <w:bookmarkStart w:id="47" w:name="_Toc239760144"/>
      <w:bookmarkStart w:id="48" w:name="_Toc238835488"/>
      <w:r>
        <w:rPr>
          <w:rFonts w:hint="eastAsia"/>
        </w:rPr>
        <w:t>术语和定义</w:t>
      </w:r>
      <w:bookmarkEnd w:id="45"/>
      <w:bookmarkEnd w:id="46"/>
      <w:bookmarkEnd w:id="47"/>
      <w:bookmarkEnd w:id="48"/>
    </w:p>
    <w:sdt>
      <w:sdtPr>
        <w:id w:val="-1909835108"/>
        <w:placeholder>
          <w:docPart w:val="883A0C0D3CA445EE942BB8F0DA7B2E54"/>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1"/>
            <w:ind w:firstLine="420"/>
          </w:pPr>
          <w:bookmarkStart w:id="49" w:name="_Toc26986532"/>
          <w:bookmarkEnd w:id="49"/>
          <w:r>
            <w:t>下列术语和定义适用于本文件。</w:t>
          </w:r>
        </w:p>
      </w:sdtContent>
    </w:sdt>
    <w:p>
      <w:pPr>
        <w:pStyle w:val="228"/>
        <w:spacing w:before="120" w:beforeLines="50" w:after="120" w:afterLines="50" w:line="240" w:lineRule="auto"/>
        <w:ind w:left="420" w:hanging="420" w:hangingChars="200"/>
        <w:rPr>
          <w:rFonts w:hint="eastAsia" w:ascii="黑体" w:hAnsi="黑体" w:eastAsia="黑体"/>
        </w:rPr>
      </w:pPr>
      <w:bookmarkStart w:id="50" w:name="_Toc80282849"/>
      <w:bookmarkEnd w:id="50"/>
      <w:bookmarkStart w:id="51" w:name="_Toc155863794"/>
      <w:bookmarkStart w:id="52" w:name="_Toc153875350"/>
      <w:bookmarkStart w:id="53" w:name="_Toc153564236"/>
      <w:bookmarkStart w:id="54" w:name="_Toc155863795"/>
      <w:bookmarkStart w:id="55" w:name="_Toc153875351"/>
      <w:bookmarkStart w:id="56" w:name="_Toc153564237"/>
      <w:bookmarkStart w:id="57" w:name="_Toc146803473"/>
    </w:p>
    <w:p>
      <w:pPr>
        <w:pStyle w:val="242"/>
        <w:ind w:firstLine="420"/>
        <w:jc w:val="left"/>
        <w:rPr>
          <w:rFonts w:hint="eastAsia" w:ascii="黑体" w:hAnsi="黑体" w:eastAsia="黑体"/>
          <w:sz w:val="21"/>
          <w:szCs w:val="21"/>
        </w:rPr>
      </w:pPr>
      <w:r>
        <w:rPr>
          <w:rFonts w:hint="eastAsia" w:ascii="黑体" w:hAnsi="黑体" w:eastAsia="黑体"/>
          <w:sz w:val="21"/>
          <w:szCs w:val="21"/>
        </w:rPr>
        <w:t>智能泵站  intelligent hydraulic power unit</w:t>
      </w:r>
      <w:bookmarkEnd w:id="51"/>
      <w:bookmarkEnd w:id="52"/>
      <w:bookmarkEnd w:id="53"/>
    </w:p>
    <w:p>
      <w:pPr>
        <w:pStyle w:val="61"/>
        <w:ind w:firstLine="420"/>
        <w:rPr>
          <w:rStyle w:val="196"/>
        </w:rPr>
      </w:pPr>
      <w:r>
        <w:t>配备数字控制系统，可依据预设张拉参数自动调节输出流量与压力，并与智能千斤顶协同联动工作的液压泵站，为墩顶负弯矩扁锚预应力智能张拉系统动力源</w:t>
      </w:r>
      <w:r>
        <w:rPr>
          <w:rStyle w:val="196"/>
          <w:rFonts w:hint="eastAsia"/>
        </w:rPr>
        <w:t>。</w:t>
      </w:r>
    </w:p>
    <w:p>
      <w:pPr>
        <w:pStyle w:val="242"/>
        <w:spacing w:before="120" w:beforeLines="50" w:after="120" w:afterLines="50" w:line="240" w:lineRule="auto"/>
        <w:ind w:firstLine="0" w:firstLineChars="0"/>
        <w:jc w:val="left"/>
        <w:rPr>
          <w:rFonts w:hint="eastAsia" w:ascii="黑体" w:hAnsi="黑体" w:eastAsia="黑体"/>
          <w:sz w:val="21"/>
          <w:szCs w:val="21"/>
        </w:rPr>
      </w:pPr>
      <w:r>
        <w:rPr>
          <w:rFonts w:hint="eastAsia" w:ascii="黑体" w:hAnsi="黑体" w:eastAsia="黑体"/>
          <w:sz w:val="21"/>
          <w:szCs w:val="21"/>
        </w:rPr>
        <w:t>3.2</w:t>
      </w:r>
    </w:p>
    <w:p>
      <w:pPr>
        <w:pStyle w:val="242"/>
        <w:ind w:firstLine="420"/>
        <w:jc w:val="left"/>
        <w:rPr>
          <w:rFonts w:hint="eastAsia" w:ascii="黑体" w:hAnsi="黑体" w:eastAsia="黑体"/>
          <w:sz w:val="21"/>
          <w:szCs w:val="21"/>
        </w:rPr>
      </w:pPr>
      <w:r>
        <w:rPr>
          <w:rFonts w:hint="eastAsia" w:ascii="黑体" w:hAnsi="黑体" w:eastAsia="黑体"/>
          <w:sz w:val="21"/>
          <w:szCs w:val="21"/>
        </w:rPr>
        <w:t>扁锚整体张拉智能千斤顶</w:t>
      </w:r>
      <w:bookmarkEnd w:id="54"/>
      <w:bookmarkEnd w:id="55"/>
      <w:bookmarkEnd w:id="56"/>
      <w:r>
        <w:rPr>
          <w:rFonts w:hint="eastAsia" w:ascii="黑体" w:hAnsi="黑体" w:eastAsia="黑体"/>
          <w:sz w:val="21"/>
          <w:szCs w:val="21"/>
        </w:rPr>
        <w:t xml:space="preserve">   i</w:t>
      </w:r>
      <w:r>
        <w:rPr>
          <w:rFonts w:ascii="黑体" w:hAnsi="黑体" w:eastAsia="黑体"/>
          <w:sz w:val="21"/>
          <w:szCs w:val="21"/>
        </w:rPr>
        <w:t xml:space="preserve">ntelligent </w:t>
      </w:r>
      <w:r>
        <w:rPr>
          <w:rFonts w:hint="eastAsia" w:ascii="黑体" w:hAnsi="黑体" w:eastAsia="黑体"/>
          <w:sz w:val="21"/>
          <w:szCs w:val="21"/>
        </w:rPr>
        <w:t>j</w:t>
      </w:r>
      <w:r>
        <w:rPr>
          <w:rFonts w:ascii="黑体" w:hAnsi="黑体" w:eastAsia="黑体"/>
          <w:sz w:val="21"/>
          <w:szCs w:val="21"/>
        </w:rPr>
        <w:t xml:space="preserve">ack for </w:t>
      </w:r>
      <w:r>
        <w:rPr>
          <w:rFonts w:hint="eastAsia" w:ascii="黑体" w:hAnsi="黑体" w:eastAsia="黑体"/>
          <w:sz w:val="21"/>
          <w:szCs w:val="21"/>
        </w:rPr>
        <w:t>i</w:t>
      </w:r>
      <w:r>
        <w:rPr>
          <w:rFonts w:ascii="黑体" w:hAnsi="黑体" w:eastAsia="黑体"/>
          <w:sz w:val="21"/>
          <w:szCs w:val="21"/>
        </w:rPr>
        <w:t xml:space="preserve">ntegral </w:t>
      </w:r>
      <w:r>
        <w:rPr>
          <w:rFonts w:hint="eastAsia" w:ascii="黑体" w:hAnsi="黑体" w:eastAsia="黑体"/>
          <w:sz w:val="21"/>
          <w:szCs w:val="21"/>
        </w:rPr>
        <w:t>t</w:t>
      </w:r>
      <w:r>
        <w:rPr>
          <w:rFonts w:ascii="黑体" w:hAnsi="黑体" w:eastAsia="黑体"/>
          <w:sz w:val="21"/>
          <w:szCs w:val="21"/>
        </w:rPr>
        <w:t xml:space="preserve">ensioning of </w:t>
      </w:r>
      <w:r>
        <w:rPr>
          <w:rFonts w:hint="eastAsia" w:ascii="黑体" w:hAnsi="黑体" w:eastAsia="黑体"/>
          <w:sz w:val="21"/>
          <w:szCs w:val="21"/>
        </w:rPr>
        <w:t>f</w:t>
      </w:r>
      <w:r>
        <w:rPr>
          <w:rFonts w:ascii="黑体" w:hAnsi="黑体" w:eastAsia="黑体"/>
          <w:sz w:val="21"/>
          <w:szCs w:val="21"/>
        </w:rPr>
        <w:t xml:space="preserve">lat </w:t>
      </w:r>
      <w:r>
        <w:rPr>
          <w:rFonts w:hint="eastAsia" w:ascii="黑体" w:hAnsi="黑体" w:eastAsia="黑体"/>
          <w:sz w:val="21"/>
          <w:szCs w:val="21"/>
        </w:rPr>
        <w:t>a</w:t>
      </w:r>
      <w:r>
        <w:rPr>
          <w:rFonts w:ascii="黑体" w:hAnsi="黑体" w:eastAsia="黑体"/>
          <w:sz w:val="21"/>
          <w:szCs w:val="21"/>
        </w:rPr>
        <w:t>nchor</w:t>
      </w:r>
      <w:r>
        <w:rPr>
          <w:rFonts w:hint="eastAsia"/>
        </w:rPr>
        <w:t xml:space="preserve"> </w:t>
      </w:r>
    </w:p>
    <w:p>
      <w:pPr>
        <w:pStyle w:val="61"/>
        <w:ind w:firstLine="420"/>
        <w:rPr>
          <w:rStyle w:val="196"/>
        </w:rPr>
      </w:pPr>
      <w:r>
        <w:t>适用于扁锚预应力体系的专用智能张拉设备，由千斤顶主体、传感器模组组成。该设备可同时对一束扁锚孔道内的多根（通常为</w:t>
      </w:r>
      <w:r>
        <w:rPr>
          <w:rFonts w:hint="eastAsia"/>
        </w:rPr>
        <w:t xml:space="preserve"> </w:t>
      </w:r>
      <w:r>
        <w:t>2～</w:t>
      </w:r>
      <w:r>
        <w:rPr>
          <w:rFonts w:hint="eastAsia"/>
        </w:rPr>
        <w:t xml:space="preserve">6 </w:t>
      </w:r>
      <w:r>
        <w:t>根）预应力钢绞线进行整体张拉，一次安装即可完成整束张拉作业</w:t>
      </w:r>
      <w:r>
        <w:rPr>
          <w:rFonts w:hint="eastAsia"/>
        </w:rPr>
        <w:t>。</w:t>
      </w:r>
    </w:p>
    <w:p>
      <w:pPr>
        <w:pStyle w:val="242"/>
        <w:spacing w:before="120" w:beforeLines="50" w:after="120" w:afterLines="50" w:line="240" w:lineRule="auto"/>
        <w:ind w:firstLine="0" w:firstLineChars="0"/>
        <w:jc w:val="left"/>
        <w:rPr>
          <w:rFonts w:hint="eastAsia" w:ascii="黑体" w:hAnsi="黑体" w:eastAsia="黑体"/>
          <w:sz w:val="21"/>
          <w:szCs w:val="21"/>
        </w:rPr>
      </w:pPr>
      <w:r>
        <w:rPr>
          <w:rFonts w:hint="eastAsia" w:ascii="黑体" w:hAnsi="黑体" w:eastAsia="黑体"/>
          <w:sz w:val="21"/>
          <w:szCs w:val="21"/>
        </w:rPr>
        <w:t>3.3</w:t>
      </w:r>
    </w:p>
    <w:p>
      <w:pPr>
        <w:pStyle w:val="242"/>
        <w:ind w:firstLine="420"/>
        <w:jc w:val="left"/>
        <w:rPr>
          <w:rFonts w:hint="eastAsia" w:ascii="黑体" w:hAnsi="黑体" w:eastAsia="黑体"/>
          <w:sz w:val="21"/>
          <w:szCs w:val="21"/>
        </w:rPr>
      </w:pPr>
      <w:r>
        <w:rPr>
          <w:rFonts w:ascii="黑体" w:hAnsi="黑体" w:eastAsia="黑体"/>
          <w:sz w:val="21"/>
          <w:szCs w:val="21"/>
        </w:rPr>
        <w:t>装配式连续梁桥</w:t>
      </w:r>
      <w:r>
        <w:rPr>
          <w:rFonts w:hint="eastAsia" w:ascii="黑体" w:hAnsi="黑体" w:eastAsia="黑体"/>
          <w:sz w:val="21"/>
          <w:szCs w:val="21"/>
        </w:rPr>
        <w:t xml:space="preserve">   </w:t>
      </w:r>
      <w:r>
        <w:rPr>
          <w:rFonts w:ascii="黑体" w:hAnsi="黑体" w:eastAsia="黑体"/>
          <w:b/>
          <w:bCs/>
          <w:sz w:val="21"/>
          <w:szCs w:val="21"/>
        </w:rPr>
        <w:t xml:space="preserve"> </w:t>
      </w:r>
      <w:r>
        <w:rPr>
          <w:rFonts w:hint="eastAsia" w:ascii="黑体" w:hAnsi="黑体" w:eastAsia="黑体"/>
          <w:sz w:val="21"/>
          <w:szCs w:val="21"/>
        </w:rPr>
        <w:t>p</w:t>
      </w:r>
      <w:r>
        <w:rPr>
          <w:rFonts w:ascii="黑体" w:hAnsi="黑体" w:eastAsia="黑体"/>
          <w:sz w:val="21"/>
          <w:szCs w:val="21"/>
        </w:rPr>
        <w:t xml:space="preserve">refabricated </w:t>
      </w:r>
      <w:r>
        <w:rPr>
          <w:rFonts w:hint="eastAsia" w:ascii="黑体" w:hAnsi="黑体" w:eastAsia="黑体"/>
          <w:sz w:val="21"/>
          <w:szCs w:val="21"/>
        </w:rPr>
        <w:t>c</w:t>
      </w:r>
      <w:r>
        <w:rPr>
          <w:rFonts w:ascii="黑体" w:hAnsi="黑体" w:eastAsia="黑体"/>
          <w:sz w:val="21"/>
          <w:szCs w:val="21"/>
        </w:rPr>
        <w:t xml:space="preserve">ontinuous </w:t>
      </w:r>
      <w:r>
        <w:rPr>
          <w:rFonts w:hint="eastAsia" w:ascii="黑体" w:hAnsi="黑体" w:eastAsia="黑体"/>
          <w:sz w:val="21"/>
          <w:szCs w:val="21"/>
        </w:rPr>
        <w:t>g</w:t>
      </w:r>
      <w:r>
        <w:rPr>
          <w:rFonts w:ascii="黑体" w:hAnsi="黑体" w:eastAsia="黑体"/>
          <w:sz w:val="21"/>
          <w:szCs w:val="21"/>
        </w:rPr>
        <w:t xml:space="preserve">irder </w:t>
      </w:r>
      <w:r>
        <w:rPr>
          <w:rFonts w:hint="eastAsia" w:ascii="黑体" w:hAnsi="黑体" w:eastAsia="黑体"/>
          <w:sz w:val="21"/>
          <w:szCs w:val="21"/>
        </w:rPr>
        <w:t>b</w:t>
      </w:r>
      <w:r>
        <w:rPr>
          <w:rFonts w:ascii="黑体" w:hAnsi="黑体" w:eastAsia="黑体"/>
          <w:sz w:val="21"/>
          <w:szCs w:val="21"/>
        </w:rPr>
        <w:t>ridge</w:t>
      </w:r>
    </w:p>
    <w:p>
      <w:pPr>
        <w:pStyle w:val="61"/>
        <w:ind w:firstLine="420"/>
      </w:pPr>
      <w:r>
        <w:t>由预制混凝土梁式构件通过可靠的连接方式组合成整体的连续梁桥。通常采用先简支后连续的施工方法：预制阶段按简支梁张拉正弯矩预应力筋，安装就位后浇筑墩顶现浇接头混凝土，并通过张拉墩顶负弯矩预应力筋完成体系转换，形成多跨连续结构</w:t>
      </w:r>
      <w:r>
        <w:rPr>
          <w:rFonts w:hint="eastAsia"/>
        </w:rPr>
        <w:t>。</w:t>
      </w:r>
    </w:p>
    <w:bookmarkEnd w:id="57"/>
    <w:p>
      <w:pPr>
        <w:pStyle w:val="109"/>
        <w:spacing w:before="240" w:after="240"/>
      </w:pPr>
      <w:bookmarkStart w:id="58" w:name="_Toc239760145"/>
      <w:r>
        <w:rPr>
          <w:rFonts w:hint="eastAsia"/>
        </w:rPr>
        <w:t>施工工艺流程</w:t>
      </w:r>
      <w:bookmarkEnd w:id="58"/>
    </w:p>
    <w:p>
      <w:pPr>
        <w:pStyle w:val="61"/>
        <w:ind w:firstLine="420"/>
      </w:pPr>
      <w:r>
        <w:rPr>
          <w:rFonts w:hint="eastAsia"/>
        </w:rPr>
        <w:t>墩顶负弯矩扁锚预应力筋整体智能张拉施工包含6个环节，分别是材料准备、设备选择、施工准备、张拉施工、设备拆除、验收。流程见图 1，其中</w:t>
      </w:r>
      <w:r>
        <w:t>施工工艺见附录</w:t>
      </w:r>
      <w:r>
        <w:rPr>
          <w:rFonts w:hint="eastAsia"/>
        </w:rPr>
        <w:t xml:space="preserve"> </w:t>
      </w:r>
      <w:r>
        <w:t>A</w:t>
      </w:r>
      <w:r>
        <w:rPr>
          <w:rFonts w:hint="eastAsia"/>
        </w:rPr>
        <w:t>。</w:t>
      </w:r>
    </w:p>
    <w:p>
      <w:pPr>
        <w:pStyle w:val="61"/>
        <w:ind w:firstLine="420"/>
      </w:pPr>
      <w:r>
        <w:rPr>
          <w:rFonts w:hint="eastAsia"/>
        </w:rPr>
        <mc:AlternateContent>
          <mc:Choice Requires="wpc">
            <w:drawing>
              <wp:inline distT="0" distB="0" distL="0" distR="0">
                <wp:extent cx="5486400" cy="3820795"/>
                <wp:effectExtent l="0" t="0" r="0" b="8255"/>
                <wp:docPr id="25338621" name="画布 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27273502" name="矩形 127273502"/>
                        <wps:cNvSpPr/>
                        <wps:spPr>
                          <a:xfrm>
                            <a:off x="1951630" y="102359"/>
                            <a:ext cx="1651380" cy="320722"/>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材料准备（见第5章）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10675744" name="矩形 1310675744"/>
                        <wps:cNvSpPr/>
                        <wps:spPr>
                          <a:xfrm>
                            <a:off x="1952010" y="766854"/>
                            <a:ext cx="1651000" cy="32067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设备选择（见第6章）</w:t>
                              </w:r>
                            </w:p>
                          </w:txbxContent>
                        </wps:txbx>
                        <wps:bodyPr rot="0" spcFirstLastPara="0" vert="horz" wrap="square" lIns="91440" tIns="45720" rIns="91440" bIns="45720" numCol="1" spcCol="0" rtlCol="0" fromWordArt="0" anchor="ctr" anchorCtr="0" forceAA="0" compatLnSpc="1">
                          <a:noAutofit/>
                        </wps:bodyPr>
                      </wps:wsp>
                      <wps:wsp>
                        <wps:cNvPr id="1684213016" name="直接箭头连接符 1684213016"/>
                        <wps:cNvCnPr>
                          <a:endCxn id="1310675744" idx="0"/>
                        </wps:cNvCnPr>
                        <wps:spPr bwMode="auto">
                          <a:xfrm>
                            <a:off x="2743200" y="423081"/>
                            <a:ext cx="0" cy="343773"/>
                          </a:xfrm>
                          <a:prstGeom prst="straightConnector1">
                            <a:avLst/>
                          </a:prstGeom>
                          <a:noFill/>
                          <a:ln w="9525">
                            <a:solidFill>
                              <a:srgbClr val="000000"/>
                            </a:solidFill>
                            <a:round/>
                            <a:tailEnd type="triangle"/>
                          </a:ln>
                        </wps:spPr>
                        <wps:bodyPr/>
                      </wps:wsp>
                      <wps:wsp>
                        <wps:cNvPr id="1084728802" name="矩形 1084728802"/>
                        <wps:cNvSpPr/>
                        <wps:spPr>
                          <a:xfrm>
                            <a:off x="1951630" y="1435594"/>
                            <a:ext cx="1651000" cy="32067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施工准备（见第7章）</w:t>
                              </w:r>
                            </w:p>
                          </w:txbxContent>
                        </wps:txbx>
                        <wps:bodyPr rot="0" spcFirstLastPara="0" vert="horz" wrap="square" lIns="91440" tIns="45720" rIns="91440" bIns="45720" numCol="1" spcCol="0" rtlCol="0" fromWordArt="0" anchor="ctr" anchorCtr="0" forceAA="0" compatLnSpc="1">
                          <a:noAutofit/>
                        </wps:bodyPr>
                      </wps:wsp>
                      <wps:wsp>
                        <wps:cNvPr id="151529162" name="直接箭头连接符 151529162"/>
                        <wps:cNvCnPr/>
                        <wps:spPr bwMode="auto">
                          <a:xfrm>
                            <a:off x="2742840" y="1091424"/>
                            <a:ext cx="0" cy="343535"/>
                          </a:xfrm>
                          <a:prstGeom prst="straightConnector1">
                            <a:avLst/>
                          </a:prstGeom>
                          <a:noFill/>
                          <a:ln w="9525">
                            <a:solidFill>
                              <a:srgbClr val="000000"/>
                            </a:solidFill>
                            <a:round/>
                            <a:tailEnd type="triangle"/>
                          </a:ln>
                        </wps:spPr>
                        <wps:bodyPr/>
                      </wps:wsp>
                      <wps:wsp>
                        <wps:cNvPr id="1512665308" name="矩形 1512665308"/>
                        <wps:cNvSpPr/>
                        <wps:spPr>
                          <a:xfrm>
                            <a:off x="1952010" y="2104334"/>
                            <a:ext cx="1651000" cy="32067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张拉施工（见第8章）</w:t>
                              </w:r>
                            </w:p>
                          </w:txbxContent>
                        </wps:txbx>
                        <wps:bodyPr rot="0" spcFirstLastPara="0" vert="horz" wrap="square" lIns="91440" tIns="45720" rIns="91440" bIns="45720" numCol="1" spcCol="0" rtlCol="0" fromWordArt="0" anchor="ctr" anchorCtr="0" forceAA="0" compatLnSpc="1">
                          <a:noAutofit/>
                        </wps:bodyPr>
                      </wps:wsp>
                      <wps:wsp>
                        <wps:cNvPr id="879287508" name="直接箭头连接符 879287508"/>
                        <wps:cNvCnPr/>
                        <wps:spPr bwMode="auto">
                          <a:xfrm>
                            <a:off x="2743220" y="1760164"/>
                            <a:ext cx="0" cy="343535"/>
                          </a:xfrm>
                          <a:prstGeom prst="straightConnector1">
                            <a:avLst/>
                          </a:prstGeom>
                          <a:noFill/>
                          <a:ln w="9525">
                            <a:solidFill>
                              <a:srgbClr val="000000"/>
                            </a:solidFill>
                            <a:round/>
                            <a:tailEnd type="triangle"/>
                          </a:ln>
                        </wps:spPr>
                        <wps:bodyPr/>
                      </wps:wsp>
                      <wps:wsp>
                        <wps:cNvPr id="1085189862" name="矩形 1085189862"/>
                        <wps:cNvSpPr/>
                        <wps:spPr>
                          <a:xfrm>
                            <a:off x="1952010" y="2759427"/>
                            <a:ext cx="1651000" cy="32067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设备拆除（见第9章）</w:t>
                              </w:r>
                            </w:p>
                          </w:txbxContent>
                        </wps:txbx>
                        <wps:bodyPr rot="0" spcFirstLastPara="0" vert="horz" wrap="square" lIns="91440" tIns="45720" rIns="91440" bIns="45720" numCol="1" spcCol="0" rtlCol="0" fromWordArt="0" anchor="ctr" anchorCtr="0" forceAA="0" compatLnSpc="1">
                          <a:noAutofit/>
                        </wps:bodyPr>
                      </wps:wsp>
                      <wps:wsp>
                        <wps:cNvPr id="38383234" name="直接箭头连接符 38383234"/>
                        <wps:cNvCnPr/>
                        <wps:spPr bwMode="auto">
                          <a:xfrm>
                            <a:off x="2743220" y="2415257"/>
                            <a:ext cx="0" cy="343535"/>
                          </a:xfrm>
                          <a:prstGeom prst="straightConnector1">
                            <a:avLst/>
                          </a:prstGeom>
                          <a:noFill/>
                          <a:ln w="9525">
                            <a:solidFill>
                              <a:srgbClr val="000000"/>
                            </a:solidFill>
                            <a:round/>
                            <a:tailEnd type="triangle"/>
                          </a:ln>
                        </wps:spPr>
                        <wps:bodyPr/>
                      </wps:wsp>
                      <wps:wsp>
                        <wps:cNvPr id="1377824146" name="矩形 1377824146"/>
                        <wps:cNvSpPr/>
                        <wps:spPr>
                          <a:xfrm>
                            <a:off x="1951630" y="3421344"/>
                            <a:ext cx="1651000" cy="32067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验收（见第10章）</w:t>
                              </w:r>
                            </w:p>
                          </w:txbxContent>
                        </wps:txbx>
                        <wps:bodyPr rot="0" spcFirstLastPara="0" vert="horz" wrap="square" lIns="91440" tIns="45720" rIns="91440" bIns="45720" numCol="1" spcCol="0" rtlCol="0" fromWordArt="0" anchor="ctr" anchorCtr="0" forceAA="0" compatLnSpc="1">
                          <a:noAutofit/>
                        </wps:bodyPr>
                      </wps:wsp>
                      <wps:wsp>
                        <wps:cNvPr id="1013050048" name="直接箭头连接符 1013050048"/>
                        <wps:cNvCnPr/>
                        <wps:spPr bwMode="auto">
                          <a:xfrm>
                            <a:off x="2742840" y="3077174"/>
                            <a:ext cx="0" cy="343535"/>
                          </a:xfrm>
                          <a:prstGeom prst="straightConnector1">
                            <a:avLst/>
                          </a:prstGeom>
                          <a:noFill/>
                          <a:ln w="9525">
                            <a:solidFill>
                              <a:srgbClr val="000000"/>
                            </a:solidFill>
                            <a:round/>
                            <a:tailEnd type="triangle"/>
                          </a:ln>
                        </wps:spPr>
                        <wps:bodyPr/>
                      </wps:wsp>
                    </wpc:wpc>
                  </a:graphicData>
                </a:graphic>
              </wp:inline>
            </w:drawing>
          </mc:Choice>
          <mc:Fallback>
            <w:pict>
              <v:group id="画布 3" o:spid="_x0000_s1026" o:spt="203" style="height:300.85pt;width:432pt;" coordsize="5486400,3820994" editas="canvas" o:gfxdata="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">
                <o:lock v:ext="edit" aspectratio="f"/>
                <v:shape id="画布 3" o:spid="_x0000_s1026" style="position:absolute;left:0;top:0;height:3820994;width:5486400;" fillcolor="#FFFFFF" filled="t" stroked="f" coordsize="21600,21600" o:gfxdata="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">
                  <v:fill on="t" focussize="0,0"/>
                  <v:stroke on="f"/>
                  <v:imagedata o:title=""/>
                  <o:lock v:ext="edit" aspectratio="t"/>
                </v:shape>
                <v:rect id="_x0000_s1026" o:spid="_x0000_s1026" o:spt="1" style="position:absolute;left:1951630;top:102359;height:320722;width:1651380;v-text-anchor:middle;" filled="f" stroked="t" coordsize="21600,21600" o:gfxdata="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vuC5P9MAAAAFAQAADwAAAAAAAAABACAAAAAiAAAAZHJzL2Rvd25yZXYueG1sUEsBAhQAFAAAAAgA&#10;h07iQNNntoNjAgAAogQAAA4AAAAAAAAAAQAgAAAAIgEAAGRycy9lMm9Eb2MueG1sUEsFBgAAAAAG&#10;AAYAWQEAAPcFAAAAAA==&#10;">
                  <v:fill on="f" focussize="0,0"/>
                  <v:stroke weight="0.5pt" color="#000000 [3213]" miterlimit="8" joinstyle="miter"/>
                  <v:imagedata o:title=""/>
                  <o:lock v:ext="edit" aspectratio="f"/>
                  <v:textbo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材料准备（见第5章）</w:t>
                        </w:r>
                      </w:p>
                    </w:txbxContent>
                  </v:textbox>
                </v:rect>
                <v:rect id="_x0000_s1026" o:spid="_x0000_s1026" o:spt="1" style="position:absolute;left:1952010;top:766854;height:320675;width:1651000;v-text-anchor:middle;" filled="f" stroked="t" coordsize="21600,21600" o:gfxdata="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4Lk/0wAAAAUBAAAPAAAAAAAA&#10;AAEAIAAAACIAAABkcnMvZG93bnJldi54bWxQSwECFAAUAAAACACHTuJARQ22F1ACAAB0BAAADgAA&#10;AAAAAAABACAAAAAiAQAAZHJzL2Uyb0RvYy54bWxQSwUGAAAAAAYABgBZAQAA5AUAAAAA&#10;">
                  <v:fill on="f" focussize="0,0"/>
                  <v:stroke weight="0.5pt" color="#000000 [3213]" miterlimit="8" joinstyle="miter"/>
                  <v:imagedata o:title=""/>
                  <o:lock v:ext="edit" aspectratio="f"/>
                  <v:textbo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设备选择（见第6章）</w:t>
                        </w:r>
                      </w:p>
                    </w:txbxContent>
                  </v:textbox>
                </v:rect>
                <v:shape id="_x0000_s1026" o:spid="_x0000_s1026" o:spt="32" type="#_x0000_t32" style="position:absolute;left:2743200;top:423081;height:343773;width:0;" filled="f" stroked="t" coordsize="21600,21600" o:gfxdata="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5Cj4jVAAAABQEAAA8AAAAAAAAAAQAgAAAAIgAAAGRycy9kb3ducmV2LnhtbFBL&#10;AQIUABQAAAAIAIdO4kCexW+x+QEAAKYDAAAOAAAAAAAAAAEAIAAAACQBAABkcnMvZTJvRG9jLnht&#10;bFBLBQYAAAAABgAGAFkBAACPBQAAAAA=&#10;">
                  <v:fill on="f" focussize="0,0"/>
                  <v:stroke color="#000000" joinstyle="round" endarrow="block"/>
                  <v:imagedata o:title=""/>
                  <o:lock v:ext="edit" aspectratio="f"/>
                </v:shape>
                <v:rect id="_x0000_s1026" o:spid="_x0000_s1026" o:spt="1" style="position:absolute;left:1951630;top:1435594;height:320675;width:1651000;v-text-anchor:middle;" filled="f" stroked="t" coordsize="21600,21600" o:gfxdata="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vuC5P9MAAAAFAQAADwAA&#10;AAAAAAABACAAAAAiAAAAZHJzL2Rvd25yZXYueG1sUEsBAhQAFAAAAAgAh07iQCqd1YpUAgAAdQQA&#10;AA4AAAAAAAAAAQAgAAAAIgEAAGRycy9lMm9Eb2MueG1sUEsFBgAAAAAGAAYAWQEAAOgFAAAAAA==&#10;">
                  <v:fill on="f" focussize="0,0"/>
                  <v:stroke weight="0.5pt" color="#000000 [3213]" miterlimit="8" joinstyle="miter"/>
                  <v:imagedata o:title=""/>
                  <o:lock v:ext="edit" aspectratio="f"/>
                  <v:textbo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施工准备（见第7章）</w:t>
                        </w:r>
                      </w:p>
                    </w:txbxContent>
                  </v:textbox>
                </v:rect>
                <v:shape id="_x0000_s1026" o:spid="_x0000_s1026" o:spt="32" type="#_x0000_t32" style="position:absolute;left:2742840;top:1091424;height:343535;width:0;" filled="f" stroked="t" coordsize="21600,21600" o:gfxdata="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OQo+I1QAAAAUB&#10;AAAPAAAAAAAAAAEAIAAAACIAAABkcnMvZG93bnJldi54bWxQSwECFAAUAAAACACHTuJAFFw8r+UB&#10;AAB1AwAADgAAAAAAAAABACAAAAAkAQAAZHJzL2Uyb0RvYy54bWxQSwUGAAAAAAYABgBZAQAAewUA&#10;AAAA&#10;">
                  <v:fill on="f" focussize="0,0"/>
                  <v:stroke color="#000000" joinstyle="round" endarrow="block"/>
                  <v:imagedata o:title=""/>
                  <o:lock v:ext="edit" aspectratio="f"/>
                </v:shape>
                <v:rect id="_x0000_s1026" o:spid="_x0000_s1026" o:spt="1" style="position:absolute;left:1952010;top:2104334;height:320675;width:1651000;v-text-anchor:middle;" filled="f" stroked="t" coordsize="21600,21600" o:gfxdata="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4Lk/0wAAAAUBAAAPAAAA&#10;AAAAAAEAIAAAACIAAABkcnMvZG93bnJldi54bWxQSwECFAAUAAAACACHTuJAWJyh71MCAAB1BAAA&#10;DgAAAAAAAAABACAAAAAiAQAAZHJzL2Uyb0RvYy54bWxQSwUGAAAAAAYABgBZAQAA5wUAAAAA&#10;">
                  <v:fill on="f" focussize="0,0"/>
                  <v:stroke weight="0.5pt" color="#000000 [3213]" miterlimit="8" joinstyle="miter"/>
                  <v:imagedata o:title=""/>
                  <o:lock v:ext="edit" aspectratio="f"/>
                  <v:textbo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张拉施工（见第8章）</w:t>
                        </w:r>
                      </w:p>
                    </w:txbxContent>
                  </v:textbox>
                </v:rect>
                <v:shape id="_x0000_s1026" o:spid="_x0000_s1026" o:spt="32" type="#_x0000_t32" style="position:absolute;left:2743220;top:1760164;height:343535;width:0;" filled="f" stroked="t" coordsize="21600,21600" o:gfxdata="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OQo+I1QAAAAUB&#10;AAAPAAAAAAAAAAEAIAAAACIAAABkcnMvZG93bnJldi54bWxQSwECFAAUAAAACACHTuJA84r5OuUB&#10;AAB1AwAADgAAAAAAAAABACAAAAAkAQAAZHJzL2Uyb0RvYy54bWxQSwUGAAAAAAYABgBZAQAAewUA&#10;AAAA&#10;">
                  <v:fill on="f" focussize="0,0"/>
                  <v:stroke color="#000000" joinstyle="round" endarrow="block"/>
                  <v:imagedata o:title=""/>
                  <o:lock v:ext="edit" aspectratio="f"/>
                </v:shape>
                <v:rect id="_x0000_s1026" o:spid="_x0000_s1026" o:spt="1" style="position:absolute;left:1952010;top:2759427;height:320675;width:1651000;v-text-anchor:middle;" filled="f" stroked="t" coordsize="21600,21600" o:gfxdata="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4Lk/0wAAAAUBAAAPAAAA&#10;AAAAAAEAIAAAACIAAABkcnMvZG93bnJldi54bWxQSwECFAAUAAAACACHTuJAXMo3ilMCAAB1BAAA&#10;DgAAAAAAAAABACAAAAAiAQAAZHJzL2Uyb0RvYy54bWxQSwUGAAAAAAYABgBZAQAA5wUAAAAA&#10;">
                  <v:fill on="f" focussize="0,0"/>
                  <v:stroke weight="0.5pt" color="#000000 [3213]" miterlimit="8" joinstyle="miter"/>
                  <v:imagedata o:title=""/>
                  <o:lock v:ext="edit" aspectratio="f"/>
                  <v:textbo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设备拆除（见第9章）</w:t>
                        </w:r>
                      </w:p>
                    </w:txbxContent>
                  </v:textbox>
                </v:rect>
                <v:shape id="_x0000_s1026" o:spid="_x0000_s1026" o:spt="32" type="#_x0000_t32" style="position:absolute;left:2743220;top:2415257;height:343535;width:0;" filled="f" stroked="t" coordsize="21600,21600" o:gfxdata="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OQo+I1QAAAAUBAAAP&#10;AAAAAAAAAAEAIAAAACIAAABkcnMvZG93bnJldi54bWxQSwECFAAUAAAACACHTuJAj1NDXOIBAABz&#10;AwAADgAAAAAAAAABACAAAAAkAQAAZHJzL2Uyb0RvYy54bWxQSwUGAAAAAAYABgBZAQAAeAUAAAAA&#10;">
                  <v:fill on="f" focussize="0,0"/>
                  <v:stroke color="#000000" joinstyle="round" endarrow="block"/>
                  <v:imagedata o:title=""/>
                  <o:lock v:ext="edit" aspectratio="f"/>
                </v:shape>
                <v:rect id="_x0000_s1026" o:spid="_x0000_s1026" o:spt="1" style="position:absolute;left:1951630;top:3421344;height:320675;width:1651000;v-text-anchor:middle;" filled="f" stroked="t" coordsize="21600,21600" o:gfxdata="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vuC5P9MAAAAFAQAADwAA&#10;AAAAAAABACAAAAAiAAAAZHJzL2Rvd25yZXYueG1sUEsBAhQAFAAAAAgAh07iQI330bpUAgAAdQQA&#10;AA4AAAAAAAAAAQAgAAAAIgEAAGRycy9lMm9Eb2MueG1sUEsFBgAAAAAGAAYAWQEAAOgFAAAAAA==&#10;">
                  <v:fill on="f" focussize="0,0"/>
                  <v:stroke weight="0.5pt" color="#000000 [3213]" miterlimit="8" joinstyle="miter"/>
                  <v:imagedata o:title=""/>
                  <o:lock v:ext="edit" aspectratio="f"/>
                  <v:textbox>
                    <w:txbxContent>
                      <w:p>
                        <w:pPr>
                          <w:spacing w:line="240" w:lineRule="auto"/>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验收（见第10章）</w:t>
                        </w:r>
                      </w:p>
                    </w:txbxContent>
                  </v:textbox>
                </v:rect>
                <v:shape id="_x0000_s1026" o:spid="_x0000_s1026" o:spt="32" type="#_x0000_t32" style="position:absolute;left:2742840;top:3077174;height:343535;width:0;" filled="f" stroked="t" coordsize="21600,21600" o:gfxdata="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A5Cj4jVAAAABQEA&#10;AA8AAAAAAAAAAQAgAAAAIgAAAGRycy9kb3ducmV2LnhtbFBLAQIUABQAAAAIAIdO4kCP6M2a5AEA&#10;AHcDAAAOAAAAAAAAAAEAIAAAACQBAABkcnMvZTJvRG9jLnhtbFBLBQYAAAAABgAGAFkBAAB6BQAA&#10;AAA=&#10;">
                  <v:fill on="f" focussize="0,0"/>
                  <v:stroke color="#000000" joinstyle="round" endarrow="block"/>
                  <v:imagedata o:title=""/>
                  <o:lock v:ext="edit" aspectratio="f"/>
                </v:shape>
                <w10:wrap type="none"/>
                <w10:anchorlock/>
              </v:group>
            </w:pict>
          </mc:Fallback>
        </mc:AlternateContent>
      </w:r>
    </w:p>
    <w:p>
      <w:pPr>
        <w:pStyle w:val="119"/>
        <w:spacing w:before="120" w:after="120"/>
      </w:pPr>
      <w:r>
        <w:rPr>
          <w:rFonts w:hint="eastAsia"/>
        </w:rPr>
        <w:t>墩顶负弯矩扁锚预应力筋整体智能张拉施工流程图</w:t>
      </w:r>
    </w:p>
    <w:p>
      <w:pPr>
        <w:pStyle w:val="109"/>
        <w:spacing w:before="240" w:after="240"/>
      </w:pPr>
      <w:bookmarkStart w:id="59" w:name="_Toc153564245"/>
      <w:bookmarkEnd w:id="59"/>
      <w:bookmarkStart w:id="60" w:name="_Toc153564174"/>
      <w:bookmarkEnd w:id="60"/>
      <w:bookmarkStart w:id="61" w:name="_Toc153564244"/>
      <w:bookmarkEnd w:id="61"/>
      <w:bookmarkStart w:id="62" w:name="_Toc153564172"/>
      <w:bookmarkEnd w:id="62"/>
      <w:bookmarkStart w:id="63" w:name="_Toc153564242"/>
      <w:bookmarkEnd w:id="63"/>
      <w:bookmarkStart w:id="64" w:name="_Toc153564171"/>
      <w:bookmarkEnd w:id="64"/>
      <w:bookmarkStart w:id="65" w:name="_Toc153564243"/>
      <w:bookmarkEnd w:id="65"/>
      <w:bookmarkStart w:id="66" w:name="_Toc153564173"/>
      <w:bookmarkEnd w:id="66"/>
      <w:bookmarkStart w:id="67" w:name="_Toc153564241"/>
      <w:bookmarkEnd w:id="67"/>
      <w:bookmarkStart w:id="68" w:name="_Toc153564170"/>
      <w:bookmarkEnd w:id="68"/>
      <w:bookmarkStart w:id="69" w:name="_Toc153564240"/>
      <w:bookmarkEnd w:id="69"/>
      <w:bookmarkStart w:id="70" w:name="_Toc153564169"/>
      <w:bookmarkEnd w:id="70"/>
      <w:bookmarkStart w:id="71" w:name="_Toc238131283"/>
      <w:bookmarkStart w:id="72" w:name="_Toc238835490"/>
      <w:bookmarkStart w:id="73" w:name="_Toc239760146"/>
      <w:r>
        <w:rPr>
          <w:rFonts w:hint="eastAsia"/>
        </w:rPr>
        <w:t>材料</w:t>
      </w:r>
      <w:bookmarkEnd w:id="71"/>
      <w:bookmarkEnd w:id="72"/>
      <w:r>
        <w:rPr>
          <w:rFonts w:hint="eastAsia"/>
        </w:rPr>
        <w:t>准备</w:t>
      </w:r>
      <w:bookmarkEnd w:id="73"/>
    </w:p>
    <w:p>
      <w:pPr>
        <w:pStyle w:val="110"/>
        <w:spacing w:before="120" w:after="120"/>
      </w:pPr>
      <w:bookmarkStart w:id="74" w:name="_Toc239760147"/>
      <w:bookmarkStart w:id="75" w:name="_Toc238131284"/>
      <w:bookmarkStart w:id="76" w:name="_Toc238835491"/>
      <w:r>
        <w:rPr>
          <w:rFonts w:hint="eastAsia"/>
        </w:rPr>
        <w:t>混凝土与预应力筋</w:t>
      </w:r>
      <w:bookmarkEnd w:id="74"/>
      <w:bookmarkEnd w:id="75"/>
      <w:bookmarkEnd w:id="76"/>
    </w:p>
    <w:p>
      <w:pPr>
        <w:pStyle w:val="170"/>
      </w:pPr>
      <w:bookmarkStart w:id="77" w:name="_Hlk141533937"/>
      <w:r>
        <w:rPr>
          <w:rFonts w:hint="eastAsia"/>
        </w:rPr>
        <w:t>混凝土浇筑、预应力筋加工制作及安装</w:t>
      </w:r>
      <w:r>
        <w:t>应满足</w:t>
      </w:r>
      <w:r>
        <w:rPr>
          <w:rFonts w:hint="eastAsia"/>
        </w:rPr>
        <w:t>JTG/T 3650-2020 第7.2节及7.5节的相关要求。</w:t>
      </w:r>
    </w:p>
    <w:p>
      <w:pPr>
        <w:pStyle w:val="170"/>
      </w:pPr>
      <w:r>
        <w:rPr>
          <w:rFonts w:hint="eastAsia"/>
        </w:rPr>
        <w:t>预应力筋的性能和质量应满足</w:t>
      </w:r>
      <w:r>
        <w:t>GB/T 5224</w:t>
      </w:r>
      <w:r>
        <w:rPr>
          <w:rFonts w:hint="eastAsia"/>
        </w:rPr>
        <w:t>的相关要求。</w:t>
      </w:r>
      <w:bookmarkEnd w:id="77"/>
    </w:p>
    <w:p>
      <w:pPr>
        <w:pStyle w:val="110"/>
        <w:spacing w:before="120" w:after="120"/>
      </w:pPr>
      <w:bookmarkStart w:id="78" w:name="_Toc239760148"/>
      <w:bookmarkStart w:id="79" w:name="_Toc238131285"/>
      <w:bookmarkStart w:id="80" w:name="_Toc238835492"/>
      <w:r>
        <w:rPr>
          <w:rFonts w:hint="eastAsia"/>
        </w:rPr>
        <w:t>预应力管道</w:t>
      </w:r>
      <w:bookmarkEnd w:id="78"/>
      <w:bookmarkEnd w:id="79"/>
      <w:bookmarkEnd w:id="80"/>
    </w:p>
    <w:p>
      <w:pPr>
        <w:pStyle w:val="170"/>
      </w:pPr>
      <w:bookmarkStart w:id="81" w:name="_Hlk142743324"/>
      <w:r>
        <w:rPr>
          <w:rFonts w:hint="eastAsia"/>
        </w:rPr>
        <w:t>金属波纹管应满足JG</w:t>
      </w:r>
      <w:r>
        <w:t xml:space="preserve">/T </w:t>
      </w:r>
      <w:r>
        <w:rPr>
          <w:rFonts w:hint="eastAsia"/>
        </w:rPr>
        <w:t>225的相关</w:t>
      </w:r>
      <w:r>
        <w:t>要求</w:t>
      </w:r>
      <w:r>
        <w:rPr>
          <w:rFonts w:hint="eastAsia"/>
        </w:rPr>
        <w:t>。</w:t>
      </w:r>
    </w:p>
    <w:p>
      <w:pPr>
        <w:pStyle w:val="170"/>
      </w:pPr>
      <w:r>
        <w:rPr>
          <w:rFonts w:hint="eastAsia"/>
        </w:rPr>
        <w:t>塑料波纹管应满足JT/T 529的相关</w:t>
      </w:r>
      <w:r>
        <w:t>要求</w:t>
      </w:r>
      <w:r>
        <w:rPr>
          <w:rFonts w:hint="eastAsia"/>
        </w:rPr>
        <w:t>。</w:t>
      </w:r>
      <w:bookmarkEnd w:id="81"/>
    </w:p>
    <w:p>
      <w:pPr>
        <w:pStyle w:val="110"/>
        <w:spacing w:before="120" w:after="120"/>
      </w:pPr>
      <w:bookmarkStart w:id="82" w:name="_Toc238131286"/>
      <w:bookmarkStart w:id="83" w:name="_Toc238835493"/>
      <w:bookmarkStart w:id="84" w:name="_Toc239760149"/>
      <w:r>
        <w:rPr>
          <w:rFonts w:hint="eastAsia"/>
        </w:rPr>
        <w:t>预应力锚具、夹具和连接器</w:t>
      </w:r>
      <w:bookmarkEnd w:id="82"/>
      <w:bookmarkEnd w:id="83"/>
      <w:bookmarkEnd w:id="84"/>
    </w:p>
    <w:p>
      <w:pPr>
        <w:pStyle w:val="170"/>
      </w:pPr>
      <w:bookmarkStart w:id="85" w:name="_Hlk141533992"/>
      <w:r>
        <w:rPr>
          <w:rFonts w:hint="eastAsia"/>
        </w:rPr>
        <w:t>预应力锚具、夹具和连接器应满足G</w:t>
      </w:r>
      <w:r>
        <w:t>B/T 14370</w:t>
      </w:r>
      <w:r>
        <w:rPr>
          <w:rFonts w:hint="eastAsia"/>
        </w:rPr>
        <w:t>的相关要求。</w:t>
      </w:r>
    </w:p>
    <w:p>
      <w:pPr>
        <w:pStyle w:val="170"/>
      </w:pPr>
      <w:r>
        <w:rPr>
          <w:rFonts w:hint="eastAsia"/>
        </w:rPr>
        <w:t>预应力锚具应根据预应力筋品种、锚固要求和张拉工艺等配套使用。</w:t>
      </w:r>
    </w:p>
    <w:p>
      <w:pPr>
        <w:pStyle w:val="170"/>
      </w:pPr>
      <w:r>
        <w:t>扁型锚垫板应适配 2～6 孔 φ15.2</w:t>
      </w:r>
      <w:r>
        <w:rPr>
          <w:rFonts w:hint="eastAsia"/>
        </w:rPr>
        <w:t xml:space="preserve"> </w:t>
      </w:r>
      <w:r>
        <w:t>mm 钢绞线整束张拉</w:t>
      </w:r>
      <w:r>
        <w:rPr>
          <w:rFonts w:hint="eastAsia"/>
        </w:rPr>
        <w:t>。</w:t>
      </w:r>
    </w:p>
    <w:p>
      <w:pPr>
        <w:pStyle w:val="170"/>
      </w:pPr>
      <w:r>
        <w:t>扁锚张拉端</w:t>
      </w:r>
      <w:r>
        <w:rPr>
          <w:rFonts w:hint="eastAsia"/>
        </w:rPr>
        <w:t>锚垫板</w:t>
      </w:r>
      <w:r>
        <w:t>的</w:t>
      </w:r>
      <w:r>
        <w:rPr>
          <w:rFonts w:hint="eastAsia"/>
        </w:rPr>
        <w:t>最小尺寸和质量</w:t>
      </w:r>
      <w:r>
        <w:t>宜参照附录</w:t>
      </w:r>
      <w:r>
        <w:rPr>
          <w:rFonts w:hint="eastAsia"/>
        </w:rPr>
        <w:t>B</w:t>
      </w:r>
      <w:r>
        <w:t>采用。</w:t>
      </w:r>
    </w:p>
    <w:bookmarkEnd w:id="85"/>
    <w:p>
      <w:pPr>
        <w:pStyle w:val="109"/>
        <w:spacing w:before="240" w:after="240"/>
      </w:pPr>
      <w:bookmarkStart w:id="86" w:name="_Toc238131287"/>
      <w:bookmarkStart w:id="87" w:name="_Toc238835494"/>
      <w:bookmarkStart w:id="88" w:name="_Toc239760150"/>
      <w:r>
        <w:rPr>
          <w:rFonts w:hint="eastAsia"/>
        </w:rPr>
        <w:t>设备</w:t>
      </w:r>
      <w:bookmarkEnd w:id="86"/>
      <w:bookmarkEnd w:id="87"/>
      <w:r>
        <w:rPr>
          <w:rFonts w:hint="eastAsia"/>
        </w:rPr>
        <w:t>选择</w:t>
      </w:r>
      <w:bookmarkEnd w:id="88"/>
    </w:p>
    <w:p>
      <w:pPr>
        <w:pStyle w:val="110"/>
        <w:spacing w:before="120" w:after="120"/>
      </w:pPr>
      <w:bookmarkStart w:id="89" w:name="_Toc238131288"/>
      <w:bookmarkStart w:id="90" w:name="_Toc238835495"/>
      <w:bookmarkStart w:id="91" w:name="_Toc239760151"/>
      <w:r>
        <w:rPr>
          <w:rFonts w:hint="eastAsia"/>
        </w:rPr>
        <w:t>组成</w:t>
      </w:r>
      <w:bookmarkEnd w:id="89"/>
      <w:bookmarkEnd w:id="90"/>
      <w:bookmarkEnd w:id="91"/>
    </w:p>
    <w:p>
      <w:pPr>
        <w:pStyle w:val="170"/>
      </w:pPr>
      <w:r>
        <w:t>张拉</w:t>
      </w:r>
      <w:r>
        <w:rPr>
          <w:rFonts w:hint="eastAsia"/>
        </w:rPr>
        <w:t>系统</w:t>
      </w:r>
      <w:r>
        <w:t>宜由</w:t>
      </w:r>
      <w:r>
        <w:rPr>
          <w:rFonts w:hint="eastAsia"/>
        </w:rPr>
        <w:t>智能泵站、扁锚整体张拉智能千斤顶</w:t>
      </w:r>
      <w:r>
        <w:t>、</w:t>
      </w:r>
      <w:r>
        <w:rPr>
          <w:rFonts w:hint="eastAsia"/>
        </w:rPr>
        <w:t>液压油路</w:t>
      </w:r>
      <w:r>
        <w:t>等组成</w:t>
      </w:r>
      <w:r>
        <w:rPr>
          <w:rFonts w:hint="eastAsia"/>
        </w:rPr>
        <w:t>。</w:t>
      </w:r>
    </w:p>
    <w:p>
      <w:pPr>
        <w:pStyle w:val="170"/>
      </w:pPr>
      <w:r>
        <w:t>张拉系统宜配备千斤顶安装辅助装置，便于千斤顶安装就位</w:t>
      </w:r>
      <w:r>
        <w:rPr>
          <w:rFonts w:hint="eastAsia"/>
        </w:rPr>
        <w:t>。</w:t>
      </w:r>
    </w:p>
    <w:p>
      <w:pPr>
        <w:pStyle w:val="110"/>
        <w:spacing w:before="120" w:after="120"/>
      </w:pPr>
      <w:bookmarkStart w:id="92" w:name="_Toc238131289"/>
      <w:bookmarkStart w:id="93" w:name="_Toc238835496"/>
      <w:bookmarkStart w:id="94" w:name="_Toc239760152"/>
      <w:r>
        <w:rPr>
          <w:rFonts w:hint="eastAsia"/>
        </w:rPr>
        <w:t>功能</w:t>
      </w:r>
      <w:bookmarkEnd w:id="92"/>
      <w:bookmarkEnd w:id="93"/>
      <w:r>
        <w:rPr>
          <w:rFonts w:hint="eastAsia"/>
        </w:rPr>
        <w:t>要求</w:t>
      </w:r>
      <w:bookmarkEnd w:id="94"/>
    </w:p>
    <w:p>
      <w:pPr>
        <w:pStyle w:val="170"/>
      </w:pPr>
      <w:r>
        <w:rPr>
          <w:rFonts w:hint="eastAsia"/>
        </w:rPr>
        <w:t>装配式连续梁桥</w:t>
      </w:r>
      <w:r>
        <w:t>墩顶负弯矩扁锚</w:t>
      </w:r>
      <w:r>
        <w:rPr>
          <w:rFonts w:hint="eastAsia"/>
        </w:rPr>
        <w:t>预应力筋张拉施工设备，应为智能化张拉设备。</w:t>
      </w:r>
    </w:p>
    <w:p>
      <w:pPr>
        <w:pStyle w:val="170"/>
      </w:pPr>
      <w:r>
        <w:rPr>
          <w:rFonts w:hint="eastAsia"/>
        </w:rPr>
        <w:t>智能</w:t>
      </w:r>
      <w:r>
        <w:t>千斤顶应</w:t>
      </w:r>
      <w:r>
        <w:rPr>
          <w:rFonts w:hint="eastAsia"/>
        </w:rPr>
        <w:t>为</w:t>
      </w:r>
      <w:r>
        <w:t>扁锚</w:t>
      </w:r>
      <w:r>
        <w:rPr>
          <w:rFonts w:hint="eastAsia"/>
        </w:rPr>
        <w:t>整体张拉</w:t>
      </w:r>
      <w:r>
        <w:t>千斤顶</w:t>
      </w:r>
      <w:r>
        <w:rPr>
          <w:rFonts w:hint="eastAsia"/>
        </w:rPr>
        <w:t>，千斤顶宜采用双油缸结构，油缸连线与限位板呈十字交叉布置</w:t>
      </w:r>
      <w:r>
        <w:t>。</w:t>
      </w:r>
    </w:p>
    <w:p>
      <w:pPr>
        <w:pStyle w:val="170"/>
      </w:pPr>
      <w:r>
        <w:t>张拉</w:t>
      </w:r>
      <w:r>
        <w:rPr>
          <w:rFonts w:hint="eastAsia"/>
        </w:rPr>
        <w:t>系统应具备互联网访问功能，应实现远程化数据通讯，并满足</w:t>
      </w:r>
      <w:r>
        <w:t>GB/T 22239</w:t>
      </w:r>
      <w:r>
        <w:rPr>
          <w:rFonts w:hint="eastAsia"/>
        </w:rPr>
        <w:t>的相关要求。</w:t>
      </w:r>
    </w:p>
    <w:p>
      <w:pPr>
        <w:pStyle w:val="170"/>
      </w:pPr>
      <w:r>
        <w:rPr>
          <w:rFonts w:hint="eastAsia"/>
        </w:rPr>
        <w:t>张拉过程中</w:t>
      </w:r>
      <w:r>
        <w:t>张拉</w:t>
      </w:r>
      <w:r>
        <w:rPr>
          <w:rFonts w:hint="eastAsia"/>
        </w:rPr>
        <w:t>系统应实时计算并动态显示力值偏差、伸长值偏差等张拉控制指标。</w:t>
      </w:r>
    </w:p>
    <w:p>
      <w:pPr>
        <w:pStyle w:val="170"/>
      </w:pPr>
      <w:r>
        <w:t>张拉</w:t>
      </w:r>
      <w:r>
        <w:rPr>
          <w:rFonts w:hint="eastAsia"/>
        </w:rPr>
        <w:t>系统应能动态显示时间-伸长值、时间-力值、力值-伸长值数据相关曲线。</w:t>
      </w:r>
    </w:p>
    <w:p>
      <w:pPr>
        <w:pStyle w:val="170"/>
      </w:pPr>
      <w:r>
        <w:t>张拉</w:t>
      </w:r>
      <w:r>
        <w:rPr>
          <w:rFonts w:hint="eastAsia"/>
        </w:rPr>
        <w:t>系统应能实现数据的查询与导出，</w:t>
      </w:r>
      <w:r>
        <w:t>自动生成张拉</w:t>
      </w:r>
      <w:r>
        <w:rPr>
          <w:rFonts w:hint="eastAsia"/>
        </w:rPr>
        <w:t>报表。</w:t>
      </w:r>
    </w:p>
    <w:p>
      <w:pPr>
        <w:pStyle w:val="170"/>
      </w:pPr>
      <w:r>
        <w:t>张拉</w:t>
      </w:r>
      <w:r>
        <w:rPr>
          <w:rFonts w:hint="eastAsia"/>
        </w:rPr>
        <w:t>系统应能实现断电恢复、故障自诊断、回顶保护及荷载复核功能。</w:t>
      </w:r>
    </w:p>
    <w:p>
      <w:pPr>
        <w:pStyle w:val="170"/>
      </w:pPr>
      <w:r>
        <w:rPr>
          <w:rFonts w:hint="eastAsia"/>
        </w:rPr>
        <w:t>发生故障或突然断电时能实现数据安全保护功能，恢复供电后</w:t>
      </w:r>
      <w:r>
        <w:t>张拉</w:t>
      </w:r>
      <w:r>
        <w:rPr>
          <w:rFonts w:hint="eastAsia"/>
        </w:rPr>
        <w:t>系统应能确保张拉工作继续进行，并</w:t>
      </w:r>
      <w:r>
        <w:t>应符合JB/T</w:t>
      </w:r>
      <w:r>
        <w:rPr>
          <w:rFonts w:hint="eastAsia"/>
        </w:rPr>
        <w:t xml:space="preserve"> </w:t>
      </w:r>
      <w:r>
        <w:t>13462</w:t>
      </w:r>
      <w:r>
        <w:rPr>
          <w:rFonts w:hint="eastAsia"/>
        </w:rPr>
        <w:t>-</w:t>
      </w:r>
      <w:r>
        <w:t>2018</w:t>
      </w:r>
      <w:r>
        <w:rPr>
          <w:rFonts w:hint="eastAsia"/>
        </w:rPr>
        <w:t>第</w:t>
      </w:r>
      <w:r>
        <w:t xml:space="preserve"> 5.</w:t>
      </w:r>
      <w:r>
        <w:rPr>
          <w:rFonts w:hint="eastAsia"/>
        </w:rPr>
        <w:t>4</w:t>
      </w:r>
      <w:r>
        <w:t>.</w:t>
      </w:r>
      <w:r>
        <w:rPr>
          <w:rFonts w:hint="eastAsia"/>
        </w:rPr>
        <w:t>2</w:t>
      </w:r>
      <w:r>
        <w:t xml:space="preserve"> </w:t>
      </w:r>
      <w:r>
        <w:rPr>
          <w:rFonts w:hint="eastAsia"/>
        </w:rPr>
        <w:t>条</w:t>
      </w:r>
      <w:r>
        <w:t>的规定</w:t>
      </w:r>
      <w:r>
        <w:rPr>
          <w:rFonts w:hint="eastAsia"/>
        </w:rPr>
        <w:t>。</w:t>
      </w:r>
    </w:p>
    <w:p>
      <w:pPr>
        <w:pStyle w:val="170"/>
      </w:pPr>
      <w:r>
        <w:t>完成张拉参数预设、设备安全确认、现场人员撤离警戒后，张拉</w:t>
      </w:r>
      <w:r>
        <w:rPr>
          <w:rFonts w:hint="eastAsia"/>
        </w:rPr>
        <w:t>系统应能</w:t>
      </w:r>
      <w:r>
        <w:t>一键启动，实现张拉全过程智能闭环控制。</w:t>
      </w:r>
    </w:p>
    <w:p>
      <w:pPr>
        <w:pStyle w:val="110"/>
        <w:spacing w:before="120" w:after="120"/>
      </w:pPr>
      <w:bookmarkStart w:id="95" w:name="_Toc238835497"/>
      <w:bookmarkStart w:id="96" w:name="_Toc238131290"/>
      <w:bookmarkStart w:id="97" w:name="_Toc239760153"/>
      <w:r>
        <w:rPr>
          <w:rFonts w:hint="eastAsia"/>
        </w:rPr>
        <w:t>性能</w:t>
      </w:r>
      <w:bookmarkEnd w:id="95"/>
      <w:bookmarkEnd w:id="96"/>
      <w:r>
        <w:rPr>
          <w:rFonts w:hint="eastAsia"/>
        </w:rPr>
        <w:t>要求</w:t>
      </w:r>
      <w:bookmarkEnd w:id="97"/>
    </w:p>
    <w:p>
      <w:pPr>
        <w:pStyle w:val="170"/>
      </w:pPr>
      <w:r>
        <w:rPr>
          <w:rFonts w:hint="eastAsia"/>
        </w:rPr>
        <w:t>高压油泵、液压千斤顶、液压油路的额定压力应相互匹配，且不应低于50 MPa。</w:t>
      </w:r>
    </w:p>
    <w:p>
      <w:pPr>
        <w:pStyle w:val="170"/>
      </w:pPr>
      <w:r>
        <w:rPr>
          <w:rFonts w:hint="eastAsia"/>
        </w:rPr>
        <w:t xml:space="preserve">高压油泵额定流量不低于2 </w:t>
      </w:r>
      <w:r>
        <w:t>L</w:t>
      </w:r>
      <w:r>
        <w:rPr>
          <w:rFonts w:hint="eastAsia"/>
        </w:rPr>
        <w:t>/</w:t>
      </w:r>
      <w:r>
        <w:t>min</w:t>
      </w:r>
      <w:r>
        <w:rPr>
          <w:rFonts w:hint="eastAsia"/>
        </w:rPr>
        <w:t>，使用性能应满足</w:t>
      </w:r>
      <w:r>
        <w:t>JG/T 319</w:t>
      </w:r>
      <w:r>
        <w:rPr>
          <w:rFonts w:hint="eastAsia"/>
        </w:rPr>
        <w:t>的相关要求。</w:t>
      </w:r>
    </w:p>
    <w:p>
      <w:pPr>
        <w:pStyle w:val="170"/>
      </w:pPr>
      <w:r>
        <w:rPr>
          <w:rFonts w:hint="eastAsia"/>
        </w:rPr>
        <w:t>智能泵站间的</w:t>
      </w:r>
      <w:r>
        <w:t>通信应兼容有线与无线两种方式</w:t>
      </w:r>
      <w:r>
        <w:rPr>
          <w:rFonts w:hint="eastAsia"/>
        </w:rPr>
        <w:t>；</w:t>
      </w:r>
      <w:r>
        <w:t>无线传输性能应符合JB/T</w:t>
      </w:r>
      <w:r>
        <w:rPr>
          <w:rFonts w:hint="eastAsia"/>
        </w:rPr>
        <w:t xml:space="preserve"> </w:t>
      </w:r>
      <w:r>
        <w:t>13462</w:t>
      </w:r>
      <w:r>
        <w:rPr>
          <w:rFonts w:hint="eastAsia"/>
        </w:rPr>
        <w:t>-</w:t>
      </w:r>
      <w:r>
        <w:t>2018中</w:t>
      </w:r>
      <w:r>
        <w:rPr>
          <w:rFonts w:hint="eastAsia"/>
        </w:rPr>
        <w:t>第</w:t>
      </w:r>
      <w:r>
        <w:t>5.6.8</w:t>
      </w:r>
      <w:r>
        <w:rPr>
          <w:rFonts w:hint="eastAsia"/>
        </w:rPr>
        <w:t>条</w:t>
      </w:r>
      <w:r>
        <w:t>的规定</w:t>
      </w:r>
      <w:r>
        <w:rPr>
          <w:rFonts w:hint="eastAsia"/>
        </w:rPr>
        <w:t>。</w:t>
      </w:r>
    </w:p>
    <w:p>
      <w:pPr>
        <w:pStyle w:val="170"/>
      </w:pPr>
      <w:r>
        <w:t>液压千斤顶公称张拉力额定量程宜为最大张拉控制力的 1.25 倍～1.5 倍；采用整束同步扁锚张拉工况时，宜取 1.5 倍安全储备。</w:t>
      </w:r>
    </w:p>
    <w:p>
      <w:pPr>
        <w:pStyle w:val="170"/>
      </w:pPr>
      <w:r>
        <w:rPr>
          <w:rFonts w:hint="eastAsia"/>
        </w:rPr>
        <w:t>液压千斤顶最大行程应不小于预应力筋单次张拉最大伸长值的1</w:t>
      </w:r>
      <w:r>
        <w:t>.2</w:t>
      </w:r>
      <w:r>
        <w:rPr>
          <w:rFonts w:hint="eastAsia"/>
        </w:rPr>
        <w:t>倍。</w:t>
      </w:r>
    </w:p>
    <w:p>
      <w:pPr>
        <w:pStyle w:val="170"/>
      </w:pPr>
      <w:r>
        <w:rPr>
          <w:rFonts w:hint="eastAsia"/>
        </w:rPr>
        <w:t>油压感知宜采用变阻式油压传感器，传感器额定油压应不小于6</w:t>
      </w:r>
      <w:r>
        <w:t>0</w:t>
      </w:r>
      <w:r>
        <w:rPr>
          <w:rFonts w:hint="eastAsia"/>
        </w:rPr>
        <w:t xml:space="preserve"> MPa，示值精度误差应不大于0.5%，并满足</w:t>
      </w:r>
      <w:r>
        <w:t>JJG 860</w:t>
      </w:r>
      <w:r>
        <w:rPr>
          <w:rFonts w:hint="eastAsia"/>
        </w:rPr>
        <w:t>相关要求。</w:t>
      </w:r>
    </w:p>
    <w:p>
      <w:pPr>
        <w:pStyle w:val="170"/>
      </w:pPr>
      <w:r>
        <w:rPr>
          <w:rFonts w:hint="eastAsia"/>
        </w:rPr>
        <w:t>位移感知宜采用电阻式位移传感器，额定量程应不小于千斤顶最大行程的1.2倍，示值精度误差应不大于0.5%，并满足</w:t>
      </w:r>
      <w:r>
        <w:t>JJF 1305</w:t>
      </w:r>
      <w:r>
        <w:rPr>
          <w:rFonts w:hint="eastAsia"/>
        </w:rPr>
        <w:t>的相关要求。</w:t>
      </w:r>
    </w:p>
    <w:p>
      <w:pPr>
        <w:pStyle w:val="170"/>
      </w:pPr>
      <w:r>
        <w:t>智能泵站宜选用轻量化机型。</w:t>
      </w:r>
    </w:p>
    <w:p>
      <w:pPr>
        <w:pStyle w:val="109"/>
        <w:spacing w:before="240" w:after="240"/>
      </w:pPr>
      <w:bookmarkStart w:id="98" w:name="_Toc153564184"/>
      <w:bookmarkEnd w:id="98"/>
      <w:bookmarkStart w:id="99" w:name="_Toc153564255"/>
      <w:bookmarkEnd w:id="99"/>
      <w:bookmarkStart w:id="100" w:name="_Toc153564185"/>
      <w:bookmarkEnd w:id="100"/>
      <w:bookmarkStart w:id="101" w:name="_Toc153564256"/>
      <w:bookmarkEnd w:id="101"/>
      <w:bookmarkStart w:id="102" w:name="_Toc153564186"/>
      <w:bookmarkEnd w:id="102"/>
      <w:bookmarkStart w:id="103" w:name="_Toc153564257"/>
      <w:bookmarkEnd w:id="103"/>
      <w:bookmarkStart w:id="104" w:name="_Toc153564187"/>
      <w:bookmarkEnd w:id="104"/>
      <w:bookmarkStart w:id="105" w:name="_Toc153564258"/>
      <w:bookmarkEnd w:id="105"/>
      <w:bookmarkStart w:id="106" w:name="_Toc153564188"/>
      <w:bookmarkEnd w:id="106"/>
      <w:bookmarkStart w:id="107" w:name="_Toc153564259"/>
      <w:bookmarkEnd w:id="107"/>
      <w:bookmarkStart w:id="108" w:name="_Toc153564189"/>
      <w:bookmarkEnd w:id="108"/>
      <w:bookmarkStart w:id="109" w:name="_Toc153564260"/>
      <w:bookmarkEnd w:id="109"/>
      <w:bookmarkStart w:id="110" w:name="_Toc238131293"/>
      <w:bookmarkStart w:id="111" w:name="_Toc238835500"/>
      <w:bookmarkStart w:id="112" w:name="_Toc239760154"/>
      <w:r>
        <w:rPr>
          <w:rFonts w:hint="eastAsia"/>
        </w:rPr>
        <w:t>施工准备</w:t>
      </w:r>
      <w:bookmarkEnd w:id="110"/>
      <w:bookmarkEnd w:id="111"/>
      <w:bookmarkEnd w:id="112"/>
    </w:p>
    <w:p>
      <w:pPr>
        <w:pStyle w:val="167"/>
      </w:pPr>
      <w:bookmarkStart w:id="113" w:name="_Hlk141535289"/>
      <w:r>
        <w:t>张拉施工前，应编制专项实施方案与作业指导书，并进行方案审查、技术与安全交底，经监理单位审批后实施。</w:t>
      </w:r>
    </w:p>
    <w:p>
      <w:pPr>
        <w:pStyle w:val="167"/>
      </w:pPr>
      <w:r>
        <w:t>张拉施工前，应由满足施工要求的预应力专业技术人员按照作业指导书完成桥梁结构信息与张拉参数的配置、张拉设备操作工作。</w:t>
      </w:r>
    </w:p>
    <w:p>
      <w:pPr>
        <w:pStyle w:val="167"/>
      </w:pPr>
      <w:bookmarkStart w:id="114" w:name="_Toc238721923"/>
      <w:r>
        <w:rPr>
          <w:rFonts w:hint="eastAsia" w:hAnsi="宋体"/>
        </w:rPr>
        <w:t>预应力筋穿束前，应对梁体外观及锚垫板后的混凝土密实性进行检查，并对预应力管道及锚口位置进行清理。</w:t>
      </w:r>
      <w:bookmarkEnd w:id="114"/>
    </w:p>
    <w:p>
      <w:pPr>
        <w:pStyle w:val="167"/>
      </w:pPr>
      <w:r>
        <w:rPr>
          <w:rFonts w:hint="eastAsia"/>
        </w:rPr>
        <w:t>预应力筋安装在管道中后，应对外露部分进行保护，后序工程施工中避免预应力筋、管道、锚垫板及锚具损伤和移位。</w:t>
      </w:r>
    </w:p>
    <w:p>
      <w:pPr>
        <w:pStyle w:val="167"/>
      </w:pPr>
      <w:r>
        <w:t>预应力筋张拉前应对管道摩阻、</w:t>
      </w:r>
      <w:r>
        <w:rPr>
          <w:rFonts w:hint="eastAsia"/>
        </w:rPr>
        <w:t>锚圈口及喇叭口摩阻</w:t>
      </w:r>
      <w:r>
        <w:t>、预应力筋回缩</w:t>
      </w:r>
      <w:r>
        <w:rPr>
          <w:rFonts w:hint="eastAsia"/>
        </w:rPr>
        <w:t>值进行</w:t>
      </w:r>
      <w:r>
        <w:t>现场实测；测定方法</w:t>
      </w:r>
      <w:r>
        <w:rPr>
          <w:rFonts w:hint="eastAsia"/>
        </w:rPr>
        <w:t>参照</w:t>
      </w:r>
      <w:r>
        <w:t xml:space="preserve"> JTG/T 3650</w:t>
      </w:r>
      <w:r>
        <w:rPr>
          <w:rFonts w:hint="eastAsia"/>
        </w:rPr>
        <w:t>-2020</w:t>
      </w:r>
      <w:r>
        <w:t xml:space="preserve"> </w:t>
      </w:r>
      <w:r>
        <w:rPr>
          <w:rFonts w:hint="eastAsia"/>
        </w:rPr>
        <w:t>附录G</w:t>
      </w:r>
      <w:r>
        <w:t>执行。同规格、同布设形式预应力管道首批 3 联</w:t>
      </w:r>
      <w:r>
        <w:rPr>
          <w:rFonts w:hint="eastAsia"/>
        </w:rPr>
        <w:t>应进行</w:t>
      </w:r>
      <w:r>
        <w:t>测试，后续</w:t>
      </w:r>
      <w:r>
        <w:rPr>
          <w:rFonts w:hint="eastAsia"/>
        </w:rPr>
        <w:t>宜</w:t>
      </w:r>
      <w:r>
        <w:t>每 10 联复测一次，测定频次、抽样方案在专项张拉方案中明确。</w:t>
      </w:r>
    </w:p>
    <w:p>
      <w:pPr>
        <w:pStyle w:val="167"/>
      </w:pPr>
      <w:bookmarkStart w:id="115" w:name="_Hlk141539095"/>
      <w:r>
        <w:rPr>
          <w:rFonts w:hint="eastAsia"/>
        </w:rPr>
        <w:t>锚圈口及喇叭口摩阻含回缩值检测结果应符合表1的要求</w:t>
      </w:r>
      <w:bookmarkEnd w:id="115"/>
      <w:r>
        <w:rPr>
          <w:rFonts w:hint="eastAsia"/>
        </w:rPr>
        <w:t>。</w:t>
      </w:r>
    </w:p>
    <w:p>
      <w:pPr>
        <w:pStyle w:val="117"/>
        <w:spacing w:before="120" w:after="120"/>
      </w:pPr>
      <w:r>
        <w:rPr>
          <w:rFonts w:hint="eastAsia"/>
        </w:rPr>
        <w:t>锚圈口及喇叭口摩阻含回缩值检测指标要求</w:t>
      </w:r>
    </w:p>
    <w:tbl>
      <w:tblPr>
        <w:tblStyle w:val="38"/>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667"/>
        <w:gridCol w:w="46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rHeight w:val="567" w:hRule="atLeast"/>
          <w:jc w:val="center"/>
        </w:trPr>
        <w:tc>
          <w:tcPr>
            <w:tcW w:w="4667" w:type="dxa"/>
            <w:tcBorders>
              <w:top w:val="single" w:color="auto" w:sz="8" w:space="0"/>
              <w:bottom w:val="single" w:color="auto" w:sz="8" w:space="0"/>
            </w:tcBorders>
            <w:vAlign w:val="center"/>
          </w:tcPr>
          <w:p>
            <w:pPr>
              <w:pStyle w:val="61"/>
              <w:ind w:firstLine="0" w:firstLineChars="0"/>
              <w:jc w:val="center"/>
              <w:rPr>
                <w:sz w:val="18"/>
              </w:rPr>
            </w:pPr>
            <w:r>
              <w:rPr>
                <w:rFonts w:hint="eastAsia"/>
                <w:sz w:val="18"/>
              </w:rPr>
              <w:t>检测指标</w:t>
            </w:r>
          </w:p>
        </w:tc>
        <w:tc>
          <w:tcPr>
            <w:tcW w:w="4667" w:type="dxa"/>
            <w:tcBorders>
              <w:top w:val="single" w:color="auto" w:sz="8" w:space="0"/>
              <w:bottom w:val="single" w:color="auto" w:sz="8" w:space="0"/>
            </w:tcBorders>
            <w:vAlign w:val="center"/>
          </w:tcPr>
          <w:p>
            <w:pPr>
              <w:pStyle w:val="61"/>
              <w:ind w:firstLine="0" w:firstLineChars="0"/>
              <w:jc w:val="center"/>
              <w:rPr>
                <w:sz w:val="18"/>
              </w:rPr>
            </w:pPr>
            <w:r>
              <w:rPr>
                <w:rFonts w:hint="eastAsia"/>
                <w:sz w:val="18"/>
              </w:rPr>
              <w:t>允许偏差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rHeight w:val="567" w:hRule="atLeast"/>
          <w:jc w:val="center"/>
        </w:trPr>
        <w:tc>
          <w:tcPr>
            <w:tcW w:w="4667" w:type="dxa"/>
            <w:tcBorders>
              <w:top w:val="single" w:color="auto" w:sz="8" w:space="0"/>
            </w:tcBorders>
            <w:vAlign w:val="center"/>
          </w:tcPr>
          <w:p>
            <w:pPr>
              <w:pStyle w:val="61"/>
              <w:ind w:firstLine="0" w:firstLineChars="0"/>
              <w:jc w:val="center"/>
              <w:rPr>
                <w:sz w:val="18"/>
              </w:rPr>
            </w:pPr>
            <w:r>
              <w:rPr>
                <w:rFonts w:hint="eastAsia"/>
                <w:sz w:val="18"/>
              </w:rPr>
              <w:t>锚圈口及喇叭口摩阻</w:t>
            </w:r>
          </w:p>
        </w:tc>
        <w:tc>
          <w:tcPr>
            <w:tcW w:w="4667" w:type="dxa"/>
            <w:tcBorders>
              <w:top w:val="single" w:color="auto" w:sz="8" w:space="0"/>
            </w:tcBorders>
            <w:vAlign w:val="center"/>
          </w:tcPr>
          <w:p>
            <w:pPr>
              <w:pStyle w:val="61"/>
              <w:ind w:firstLine="0" w:firstLineChars="0"/>
              <w:jc w:val="center"/>
              <w:rPr>
                <w:sz w:val="18"/>
              </w:rPr>
            </w:pPr>
            <w:r>
              <w:rPr>
                <w:rFonts w:hint="eastAsia"/>
                <w:sz w:val="18"/>
              </w:rPr>
              <w:t>不大于锚外张拉控制应力设计值的6%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4667" w:type="dxa"/>
            <w:vAlign w:val="center"/>
          </w:tcPr>
          <w:p>
            <w:pPr>
              <w:pStyle w:val="61"/>
              <w:ind w:firstLine="0" w:firstLineChars="0"/>
              <w:jc w:val="center"/>
              <w:rPr>
                <w:sz w:val="18"/>
              </w:rPr>
            </w:pPr>
            <w:r>
              <w:rPr>
                <w:rFonts w:hint="eastAsia"/>
                <w:sz w:val="18"/>
              </w:rPr>
              <w:t>预应力筋回缩值</w:t>
            </w:r>
          </w:p>
        </w:tc>
        <w:tc>
          <w:tcPr>
            <w:tcW w:w="4667" w:type="dxa"/>
            <w:vAlign w:val="center"/>
          </w:tcPr>
          <w:p>
            <w:pPr>
              <w:pStyle w:val="61"/>
              <w:ind w:firstLine="0" w:firstLineChars="0"/>
              <w:jc w:val="center"/>
              <w:rPr>
                <w:sz w:val="18"/>
              </w:rPr>
            </w:pPr>
            <w:r>
              <w:rPr>
                <w:rFonts w:hint="eastAsia"/>
                <w:sz w:val="18"/>
              </w:rPr>
              <w:t>0</w:t>
            </w:r>
            <w:r>
              <w:rPr>
                <w:sz w:val="18"/>
              </w:rPr>
              <w:t>mm</w:t>
            </w:r>
            <w:r>
              <w:rPr>
                <w:rFonts w:hint="eastAsia"/>
                <w:sz w:val="18"/>
              </w:rPr>
              <w:t>～</w:t>
            </w:r>
            <w:r>
              <w:rPr>
                <w:sz w:val="18"/>
              </w:rPr>
              <w:t>6mm</w:t>
            </w:r>
          </w:p>
        </w:tc>
      </w:tr>
    </w:tbl>
    <w:p>
      <w:pPr>
        <w:pStyle w:val="167"/>
      </w:pPr>
      <w:r>
        <w:rPr>
          <w:rFonts w:hint="eastAsia"/>
        </w:rPr>
        <w:t>预应力筋张拉前,应根据实测摩阻损失、预应力筋实测弹性模量精确计算所需张拉控制力和张拉理论伸长值。</w:t>
      </w:r>
      <w:bookmarkEnd w:id="113"/>
    </w:p>
    <w:p>
      <w:pPr>
        <w:pStyle w:val="167"/>
      </w:pPr>
      <w:bookmarkStart w:id="116" w:name="_Hlk141534269"/>
      <w:r>
        <w:rPr>
          <w:rFonts w:hint="eastAsia"/>
        </w:rPr>
        <w:t>预应力施加时，后浇带混凝土强度、弹性模量和龄期均应符合设计要求，同条件养护的混凝土立方体试件抗压强度应符合设计要求。</w:t>
      </w:r>
      <w:bookmarkEnd w:id="116"/>
    </w:p>
    <w:p>
      <w:pPr>
        <w:pStyle w:val="167"/>
      </w:pPr>
      <w:r>
        <w:t>张拉锚固工作区</w:t>
      </w:r>
      <w:r>
        <w:rPr>
          <w:rFonts w:hint="eastAsia"/>
        </w:rPr>
        <w:t>应符合施工设计文件要求，施工设计文件无要求时，应符合以下要求：</w:t>
      </w:r>
    </w:p>
    <w:p>
      <w:pPr>
        <w:pStyle w:val="137"/>
      </w:pPr>
      <w:r>
        <w:t>采用桥面板开槽预留，槽口尺寸应结合锚具安装空间、千斤顶操作空间、桥型结构经设计计算确定；</w:t>
      </w:r>
    </w:p>
    <w:p>
      <w:pPr>
        <w:pStyle w:val="137"/>
      </w:pPr>
      <w:r>
        <w:t>顺桥向长度不宜小于 80</w:t>
      </w:r>
      <w:r>
        <w:rPr>
          <w:rFonts w:hint="eastAsia"/>
        </w:rPr>
        <w:t xml:space="preserve"> </w:t>
      </w:r>
      <w:r>
        <w:t>cm，横桥向宽度不宜小于扁锚锚具宽度 + 10</w:t>
      </w:r>
      <w:r>
        <w:rPr>
          <w:rFonts w:hint="eastAsia"/>
        </w:rPr>
        <w:t xml:space="preserve"> </w:t>
      </w:r>
      <w:r>
        <w:t>cm，槽口贯通桥面板</w:t>
      </w:r>
      <w:r>
        <w:rPr>
          <w:rFonts w:hint="eastAsia"/>
        </w:rPr>
        <w:t>；</w:t>
      </w:r>
    </w:p>
    <w:p>
      <w:pPr>
        <w:pStyle w:val="137"/>
      </w:pPr>
      <w:r>
        <w:t>槽口开挖深度</w:t>
      </w:r>
      <w:r>
        <w:rPr>
          <w:rFonts w:hint="eastAsia"/>
        </w:rPr>
        <w:t>应</w:t>
      </w:r>
      <w:r>
        <w:t>以露出锚垫板、满足千斤顶安装最低空间为准，不</w:t>
      </w:r>
      <w:r>
        <w:rPr>
          <w:rFonts w:hint="eastAsia"/>
        </w:rPr>
        <w:t>应</w:t>
      </w:r>
      <w:r>
        <w:t>随意扩大开挖范围削弱桥面板受力；</w:t>
      </w:r>
    </w:p>
    <w:p>
      <w:pPr>
        <w:pStyle w:val="137"/>
      </w:pPr>
      <w:r>
        <w:t>横桥向多槽口应左右对称、纵向错位预留</w:t>
      </w:r>
      <w:r>
        <w:rPr>
          <w:rFonts w:hint="eastAsia"/>
        </w:rPr>
        <w:t>；</w:t>
      </w:r>
    </w:p>
    <w:p>
      <w:pPr>
        <w:pStyle w:val="137"/>
      </w:pPr>
      <w:r>
        <w:rPr>
          <w:rFonts w:hint="eastAsia"/>
        </w:rPr>
        <w:t>锚具</w:t>
      </w:r>
      <w:r>
        <w:t>安装</w:t>
      </w:r>
      <w:r>
        <w:rPr>
          <w:rFonts w:hint="eastAsia"/>
        </w:rPr>
        <w:t>不应</w:t>
      </w:r>
      <w:r>
        <w:t>扭转，防止混凝土保护层厚度不足。</w:t>
      </w:r>
    </w:p>
    <w:p>
      <w:pPr>
        <w:pStyle w:val="167"/>
      </w:pPr>
      <w:r>
        <w:t>张拉锚固工作区槽口模板</w:t>
      </w:r>
      <w:r>
        <w:rPr>
          <w:rFonts w:hint="eastAsia"/>
        </w:rPr>
        <w:t>宜</w:t>
      </w:r>
      <w:r>
        <w:t>采用</w:t>
      </w:r>
      <w:r>
        <w:rPr>
          <w:rFonts w:hint="eastAsia"/>
        </w:rPr>
        <w:t>拼装式</w:t>
      </w:r>
      <w:r>
        <w:t>模板</w:t>
      </w:r>
      <w:r>
        <w:rPr>
          <w:rFonts w:hint="eastAsia"/>
        </w:rPr>
        <w:t>，</w:t>
      </w:r>
      <w:r>
        <w:t>模板的转角部位宜采用圆弧角或倒角，以利于脱模并减少对混凝土棱角的损伤。</w:t>
      </w:r>
    </w:p>
    <w:p>
      <w:pPr>
        <w:pStyle w:val="167"/>
      </w:pPr>
      <w:r>
        <w:t>张拉槽口内纵、横向主筋预埋</w:t>
      </w:r>
      <w:r>
        <w:rPr>
          <w:rFonts w:hint="eastAsia"/>
        </w:rPr>
        <w:t>应符合施工设计文件要求，施工设计文件无要求时，应符合以下要求：</w:t>
      </w:r>
    </w:p>
    <w:p>
      <w:pPr>
        <w:pStyle w:val="137"/>
      </w:pPr>
      <w:r>
        <w:t>应预留搭接长度，优先采用钢筋弯折避让，不</w:t>
      </w:r>
      <w:r>
        <w:rPr>
          <w:rFonts w:hint="eastAsia"/>
        </w:rPr>
        <w:t>应</w:t>
      </w:r>
      <w:r>
        <w:t>齐模板直接截断；</w:t>
      </w:r>
    </w:p>
    <w:p>
      <w:pPr>
        <w:pStyle w:val="137"/>
      </w:pPr>
      <w:r>
        <w:t>确需截断时，应采用焊接或机械连接补强</w:t>
      </w:r>
      <w:r>
        <w:rPr>
          <w:rFonts w:hint="eastAsia"/>
        </w:rPr>
        <w:t>；</w:t>
      </w:r>
    </w:p>
    <w:p>
      <w:pPr>
        <w:pStyle w:val="137"/>
      </w:pPr>
      <w:r>
        <w:t>槽口区域主筋外侧增设补强钢筋，钢筋搭接、补强构造均满足 JTG/T 3650</w:t>
      </w:r>
      <w:r>
        <w:rPr>
          <w:rFonts w:hint="eastAsia"/>
        </w:rPr>
        <w:t>-2020第7.2节的相关</w:t>
      </w:r>
      <w:r>
        <w:t>要求。</w:t>
      </w:r>
    </w:p>
    <w:p>
      <w:pPr>
        <w:pStyle w:val="167"/>
      </w:pPr>
      <w:r>
        <w:t>张拉作业前</w:t>
      </w:r>
      <w:r>
        <w:rPr>
          <w:rFonts w:hint="eastAsia"/>
        </w:rPr>
        <w:t>应</w:t>
      </w:r>
      <w:r>
        <w:t>搭设牢固可靠专用作业平台，平台承载力、防护构造</w:t>
      </w:r>
      <w:r>
        <w:rPr>
          <w:rFonts w:hint="eastAsia"/>
        </w:rPr>
        <w:t>应</w:t>
      </w:r>
      <w:r>
        <w:t>满足高空作业规范；张拉作业区域</w:t>
      </w:r>
      <w:r>
        <w:rPr>
          <w:rFonts w:hint="eastAsia"/>
        </w:rPr>
        <w:t>应</w:t>
      </w:r>
      <w:r>
        <w:t>设置硬质封闭围挡、醒目警戒标识、安全防护护栏，张拉作业时</w:t>
      </w:r>
      <w:r>
        <w:rPr>
          <w:rFonts w:hint="eastAsia"/>
        </w:rPr>
        <w:t>，与施工</w:t>
      </w:r>
      <w:r>
        <w:t>无关人员</w:t>
      </w:r>
      <w:r>
        <w:rPr>
          <w:rFonts w:hint="eastAsia"/>
        </w:rPr>
        <w:t>不应</w:t>
      </w:r>
      <w:r>
        <w:t>进入</w:t>
      </w:r>
      <w:r>
        <w:rPr>
          <w:rFonts w:hint="eastAsia"/>
        </w:rPr>
        <w:t>作业区域。</w:t>
      </w:r>
    </w:p>
    <w:p>
      <w:pPr>
        <w:pStyle w:val="167"/>
        <w:rPr>
          <w:iCs/>
        </w:rPr>
      </w:pPr>
      <w:bookmarkStart w:id="117" w:name="_Hlk142743898"/>
      <w:r>
        <w:t>设备连接与安装</w:t>
      </w:r>
      <w:r>
        <w:rPr>
          <w:rFonts w:hint="eastAsia"/>
        </w:rPr>
        <w:t>应</w:t>
      </w:r>
      <w:r>
        <w:t>由施工单位预应力专业技术人员现场指导作业人员操作，安装完成后</w:t>
      </w:r>
      <w:r>
        <w:rPr>
          <w:rFonts w:hint="eastAsia"/>
        </w:rPr>
        <w:t>应</w:t>
      </w:r>
      <w:r>
        <w:t>由技术人员对设备安装效果进行检查，千斤顶、锚具和锚口应位于同一轴线上</w:t>
      </w:r>
      <w:r>
        <w:rPr>
          <w:rFonts w:hint="eastAsia"/>
        </w:rPr>
        <w:t>。</w:t>
      </w:r>
      <w:bookmarkEnd w:id="117"/>
    </w:p>
    <w:p>
      <w:pPr>
        <w:pStyle w:val="167"/>
      </w:pPr>
      <w:r>
        <w:rPr>
          <w:rFonts w:hint="eastAsia"/>
        </w:rPr>
        <w:t>墩顶负弯矩扁锚预应力筋张拉设备安装方式见图2。</w:t>
      </w:r>
    </w:p>
    <w:p>
      <w:pPr>
        <w:pStyle w:val="61"/>
        <w:ind w:firstLine="0" w:firstLineChars="0"/>
        <w:jc w:val="center"/>
      </w:pPr>
      <w:r>
        <w:drawing>
          <wp:inline distT="0" distB="0" distL="0" distR="0">
            <wp:extent cx="5915025" cy="2211705"/>
            <wp:effectExtent l="0" t="0" r="0" b="0"/>
            <wp:docPr id="16315465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46516" name="图片 3"/>
                    <pic:cNvPicPr>
                      <a:picLocks noChangeAspect="1" noChangeArrowheads="1"/>
                    </pic:cNvPicPr>
                  </pic:nvPicPr>
                  <pic:blipFill>
                    <a:blip r:embed="rId35">
                      <a:extLst>
                        <a:ext uri="{28A0092B-C50C-407E-A947-70E740481C1C}">
                          <a14:useLocalDpi xmlns:a14="http://schemas.microsoft.com/office/drawing/2010/main" val="0"/>
                        </a:ext>
                      </a:extLst>
                    </a:blip>
                    <a:srcRect l="14111" t="10654" r="8274" b="22851"/>
                    <a:stretch>
                      <a:fillRect/>
                    </a:stretch>
                  </pic:blipFill>
                  <pic:spPr>
                    <a:xfrm>
                      <a:off x="0" y="0"/>
                      <a:ext cx="5925546" cy="2215959"/>
                    </a:xfrm>
                    <a:prstGeom prst="rect">
                      <a:avLst/>
                    </a:prstGeom>
                    <a:noFill/>
                    <a:ln>
                      <a:noFill/>
                    </a:ln>
                  </pic:spPr>
                </pic:pic>
              </a:graphicData>
            </a:graphic>
          </wp:inline>
        </w:drawing>
      </w:r>
    </w:p>
    <w:p>
      <w:pPr>
        <w:pStyle w:val="119"/>
        <w:spacing w:before="120" w:after="120"/>
      </w:pPr>
      <w:r>
        <w:rPr>
          <w:rFonts w:hint="eastAsia"/>
        </w:rPr>
        <w:t>墩顶负弯矩扁锚预应力筋张拉设备安装方式图</w:t>
      </w:r>
    </w:p>
    <w:p>
      <w:pPr>
        <w:pStyle w:val="167"/>
      </w:pPr>
      <w:r>
        <w:t>智能泵站</w:t>
      </w:r>
      <w:r>
        <w:rPr>
          <w:rFonts w:hint="eastAsia"/>
        </w:rPr>
        <w:t>应</w:t>
      </w:r>
      <w:r>
        <w:t>布置于</w:t>
      </w:r>
      <w:r>
        <w:rPr>
          <w:rFonts w:hint="eastAsia"/>
        </w:rPr>
        <w:t>智能千斤顶</w:t>
      </w:r>
      <w:r>
        <w:t>侧面；操作人员</w:t>
      </w:r>
      <w:r>
        <w:rPr>
          <w:rFonts w:hint="eastAsia"/>
        </w:rPr>
        <w:t>应</w:t>
      </w:r>
      <w:r>
        <w:t>站位于泵站侧面安全避让区，</w:t>
      </w:r>
      <w:r>
        <w:rPr>
          <w:rFonts w:hint="eastAsia"/>
        </w:rPr>
        <w:t>不应</w:t>
      </w:r>
      <w:r>
        <w:t>正对千斤顶、油管接口</w:t>
      </w:r>
      <w:r>
        <w:rPr>
          <w:rFonts w:hint="eastAsia"/>
        </w:rPr>
        <w:t>。</w:t>
      </w:r>
    </w:p>
    <w:p>
      <w:pPr>
        <w:pStyle w:val="167"/>
      </w:pPr>
      <w:r>
        <w:t>千斤顶安装辅助装置</w:t>
      </w:r>
      <w:r>
        <w:rPr>
          <w:rFonts w:hint="eastAsia"/>
        </w:rPr>
        <w:t>宜为</w:t>
      </w:r>
      <w:r>
        <w:t>支撑悬吊工装，保证张拉全过程千斤顶与钢绞线同轴</w:t>
      </w:r>
      <w:r>
        <w:rPr>
          <w:rFonts w:hint="eastAsia"/>
        </w:rPr>
        <w:t>。</w:t>
      </w:r>
    </w:p>
    <w:p>
      <w:pPr>
        <w:pStyle w:val="167"/>
      </w:pPr>
      <w:r>
        <w:t>智能泵站宜放置于梁体顶板表面平坦位置，智能泵站与千斤顶高差</w:t>
      </w:r>
      <w:r>
        <w:rPr>
          <w:rFonts w:hint="eastAsia"/>
        </w:rPr>
        <w:t xml:space="preserve">应 </w:t>
      </w:r>
      <w:r>
        <w:t>≤4</w:t>
      </w:r>
      <w:r>
        <w:rPr>
          <w:rFonts w:hint="eastAsia"/>
        </w:rPr>
        <w:t xml:space="preserve"> </w:t>
      </w:r>
      <w:r>
        <w:t>m</w:t>
      </w:r>
      <w:r>
        <w:rPr>
          <w:rFonts w:hint="eastAsia"/>
        </w:rPr>
        <w:t>。</w:t>
      </w:r>
    </w:p>
    <w:p>
      <w:pPr>
        <w:pStyle w:val="109"/>
        <w:spacing w:before="240" w:after="240"/>
      </w:pPr>
      <w:bookmarkStart w:id="118" w:name="_Toc153564197"/>
      <w:bookmarkEnd w:id="118"/>
      <w:bookmarkStart w:id="119" w:name="_Toc153564268"/>
      <w:bookmarkEnd w:id="119"/>
      <w:bookmarkStart w:id="120" w:name="_Toc153564198"/>
      <w:bookmarkEnd w:id="120"/>
      <w:bookmarkStart w:id="121" w:name="_Toc153564269"/>
      <w:bookmarkEnd w:id="121"/>
      <w:bookmarkStart w:id="122" w:name="_Toc153564199"/>
      <w:bookmarkEnd w:id="122"/>
      <w:bookmarkStart w:id="123" w:name="_Toc153564270"/>
      <w:bookmarkEnd w:id="123"/>
      <w:bookmarkStart w:id="124" w:name="_Toc238131294"/>
      <w:bookmarkStart w:id="125" w:name="_Toc238835501"/>
      <w:bookmarkStart w:id="126" w:name="_Toc239760155"/>
      <w:r>
        <w:rPr>
          <w:rFonts w:hint="eastAsia"/>
        </w:rPr>
        <w:t>张拉施工</w:t>
      </w:r>
      <w:bookmarkEnd w:id="124"/>
      <w:bookmarkEnd w:id="125"/>
      <w:bookmarkEnd w:id="126"/>
    </w:p>
    <w:p>
      <w:pPr>
        <w:pStyle w:val="167"/>
      </w:pPr>
      <w:bookmarkStart w:id="127" w:name="_Toc153564246"/>
      <w:r>
        <w:rPr>
          <w:rFonts w:hint="eastAsia"/>
        </w:rPr>
        <w:t>装配式连续梁桥</w:t>
      </w:r>
      <w:r>
        <w:t>墩顶负弯矩扁锚</w:t>
      </w:r>
      <w:r>
        <w:rPr>
          <w:rFonts w:hint="eastAsia"/>
        </w:rPr>
        <w:t>预应力筋张拉，应采用</w:t>
      </w:r>
      <w:r>
        <w:t>整</w:t>
      </w:r>
      <w:r>
        <w:rPr>
          <w:rFonts w:hint="eastAsia"/>
        </w:rPr>
        <w:t>束</w:t>
      </w:r>
      <w:r>
        <w:t>张拉</w:t>
      </w:r>
      <w:r>
        <w:rPr>
          <w:rFonts w:hint="eastAsia"/>
        </w:rPr>
        <w:t>工艺</w:t>
      </w:r>
      <w:r>
        <w:t>。</w:t>
      </w:r>
    </w:p>
    <w:p>
      <w:pPr>
        <w:pStyle w:val="167"/>
      </w:pPr>
      <w:bookmarkStart w:id="128" w:name="_Hlk143178414"/>
      <w:bookmarkStart w:id="129" w:name="_Hlk141534687"/>
      <w:r>
        <w:rPr>
          <w:rFonts w:hint="eastAsia"/>
        </w:rPr>
        <w:t xml:space="preserve">当环境温度低于 </w:t>
      </w:r>
      <w:r>
        <w:t>-5</w:t>
      </w:r>
      <w:r>
        <w:rPr>
          <w:rFonts w:hint="eastAsia"/>
        </w:rPr>
        <w:t xml:space="preserve"> ℃时应采取保温措施，当环境温度低于 </w:t>
      </w:r>
      <w:r>
        <w:t>-</w:t>
      </w:r>
      <w:r>
        <w:rPr>
          <w:rFonts w:hint="eastAsia"/>
        </w:rPr>
        <w:t>15 ℃时严禁张拉作业</w:t>
      </w:r>
      <w:bookmarkEnd w:id="128"/>
      <w:r>
        <w:rPr>
          <w:rFonts w:hint="eastAsia"/>
        </w:rPr>
        <w:t>。</w:t>
      </w:r>
      <w:bookmarkEnd w:id="129"/>
    </w:p>
    <w:p>
      <w:pPr>
        <w:pStyle w:val="167"/>
      </w:pPr>
      <w:bookmarkStart w:id="130" w:name="_Hlk142743472"/>
      <w:r>
        <w:t>预应力筋张拉方式按钢束长度划分：束长</w:t>
      </w:r>
      <w:r>
        <w:rPr>
          <w:rFonts w:hint="eastAsia"/>
        </w:rPr>
        <w:t xml:space="preserve"> </w:t>
      </w:r>
      <w:r>
        <w:t>≤15</w:t>
      </w:r>
      <w:r>
        <w:rPr>
          <w:rFonts w:hint="eastAsia"/>
        </w:rPr>
        <w:t xml:space="preserve"> </w:t>
      </w:r>
      <w:r>
        <w:t>m 可单端张拉；束长</w:t>
      </w:r>
      <w:r>
        <w:rPr>
          <w:rFonts w:hint="eastAsia"/>
        </w:rPr>
        <w:t xml:space="preserve"> </w:t>
      </w:r>
      <w:r>
        <w:t>＞15</w:t>
      </w:r>
      <w:r>
        <w:rPr>
          <w:rFonts w:hint="eastAsia"/>
        </w:rPr>
        <w:t xml:space="preserve"> </w:t>
      </w:r>
      <w:r>
        <w:t>m 应采用两端同步张拉，设计文件另有要求除外。预应力筋张拉顺序应按照经规定程序批准的设计文件和施工方案执行，如设计文件或施工方案无要求，宜按如下顺序进行</w:t>
      </w:r>
      <w:r>
        <w:rPr>
          <w:rFonts w:hint="eastAsia"/>
        </w:rPr>
        <w:t>：</w:t>
      </w:r>
    </w:p>
    <w:p>
      <w:pPr>
        <w:pStyle w:val="137"/>
      </w:pPr>
      <w:r>
        <w:rPr>
          <w:rFonts w:hint="eastAsia"/>
        </w:rPr>
        <w:t>同束预应力筋两端同步张拉；</w:t>
      </w:r>
    </w:p>
    <w:p>
      <w:pPr>
        <w:pStyle w:val="137"/>
      </w:pPr>
      <w:r>
        <w:rPr>
          <w:rFonts w:hint="eastAsia"/>
        </w:rPr>
        <w:t>横断面方向宜左右对称或左右交替的顺序进行，最大不对称束数量不超过1束；</w:t>
      </w:r>
    </w:p>
    <w:p>
      <w:pPr>
        <w:pStyle w:val="137"/>
      </w:pPr>
      <w:r>
        <w:rPr>
          <w:rFonts w:hint="eastAsia"/>
        </w:rPr>
        <w:t>按先长后短、先边后中进行。</w:t>
      </w:r>
      <w:bookmarkEnd w:id="130"/>
    </w:p>
    <w:bookmarkEnd w:id="127"/>
    <w:p>
      <w:pPr>
        <w:pStyle w:val="167"/>
      </w:pPr>
      <w:r>
        <w:rPr>
          <w:rFonts w:hint="eastAsia"/>
        </w:rPr>
        <w:t>预应力筋张拉过程控制应满足如下要求：</w:t>
      </w:r>
    </w:p>
    <w:p>
      <w:pPr>
        <w:pStyle w:val="137"/>
      </w:pPr>
      <w:r>
        <w:rPr>
          <w:rFonts w:hint="eastAsia"/>
        </w:rPr>
        <w:t>张拉力精度智能控制：控制系统通过预设参数对各千斤顶反馈数据进行分析判断，智能同步调节，加载速度不大于</w:t>
      </w:r>
      <w:r>
        <w:t xml:space="preserve"> 20</w:t>
      </w:r>
      <w:r>
        <w:rPr>
          <w:rFonts w:hint="eastAsia"/>
        </w:rPr>
        <w:t xml:space="preserve"> </w:t>
      </w:r>
      <w:r>
        <w:t>kN/s</w:t>
      </w:r>
      <w:r>
        <w:rPr>
          <w:rFonts w:hint="eastAsia"/>
        </w:rPr>
        <w:t>，力值偏差控制在 ±2</w:t>
      </w:r>
      <w:r>
        <w:t>%</w:t>
      </w:r>
      <w:r>
        <w:rPr>
          <w:rFonts w:hint="eastAsia"/>
        </w:rPr>
        <w:t xml:space="preserve"> 以内，</w:t>
      </w:r>
      <w:r>
        <w:t>进场张拉设备检定精度不得低于 ±1%；</w:t>
      </w:r>
      <w:r>
        <w:rPr>
          <w:rFonts w:hint="eastAsia"/>
        </w:rPr>
        <w:t xml:space="preserve">采用双端张拉工况时，伸长值不同步率控制在 </w:t>
      </w:r>
      <w:r>
        <w:t>5%</w:t>
      </w:r>
      <w:r>
        <w:rPr>
          <w:rFonts w:hint="eastAsia"/>
        </w:rPr>
        <w:t xml:space="preserve"> 内；</w:t>
      </w:r>
    </w:p>
    <w:p>
      <w:pPr>
        <w:pStyle w:val="137"/>
      </w:pPr>
      <w:r>
        <w:rPr>
          <w:rFonts w:hint="eastAsia"/>
        </w:rPr>
        <w:t>伸长值偏差智能预警：控制系统对预应力筋伸长值实时测算，并在伸长值偏差超出实时理论伸长值±</w:t>
      </w:r>
      <w:r>
        <w:t>6%</w:t>
      </w:r>
      <w:r>
        <w:rPr>
          <w:rFonts w:hint="eastAsia"/>
        </w:rPr>
        <w:t>时进行分级预警判断，预警规则见表2。</w:t>
      </w:r>
    </w:p>
    <w:p>
      <w:pPr>
        <w:pStyle w:val="117"/>
        <w:spacing w:before="120" w:after="120"/>
      </w:pPr>
      <w:r>
        <w:rPr>
          <w:rFonts w:hint="eastAsia"/>
        </w:rPr>
        <w:t>伸长值偏差预警规则</w:t>
      </w:r>
    </w:p>
    <w:tbl>
      <w:tblPr>
        <w:tblStyle w:val="38"/>
        <w:tblW w:w="933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3110"/>
        <w:gridCol w:w="3112"/>
        <w:gridCol w:w="31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blHeader/>
          <w:jc w:val="center"/>
        </w:trPr>
        <w:tc>
          <w:tcPr>
            <w:tcW w:w="3110" w:type="dxa"/>
            <w:tcBorders>
              <w:top w:val="single" w:color="auto" w:sz="8" w:space="0"/>
              <w:bottom w:val="single" w:color="auto" w:sz="8" w:space="0"/>
            </w:tcBorders>
            <w:vAlign w:val="center"/>
          </w:tcPr>
          <w:p>
            <w:pPr>
              <w:pStyle w:val="61"/>
              <w:ind w:firstLine="0" w:firstLineChars="0"/>
              <w:jc w:val="center"/>
              <w:rPr>
                <w:sz w:val="18"/>
              </w:rPr>
            </w:pPr>
            <w:r>
              <w:rPr>
                <w:rFonts w:hint="eastAsia"/>
                <w:sz w:val="18"/>
              </w:rPr>
              <w:t>伸长值偏差范围</w:t>
            </w:r>
          </w:p>
        </w:tc>
        <w:tc>
          <w:tcPr>
            <w:tcW w:w="3112" w:type="dxa"/>
            <w:tcBorders>
              <w:top w:val="single" w:color="auto" w:sz="8" w:space="0"/>
              <w:bottom w:val="single" w:color="auto" w:sz="8" w:space="0"/>
            </w:tcBorders>
            <w:vAlign w:val="center"/>
          </w:tcPr>
          <w:p>
            <w:pPr>
              <w:pStyle w:val="61"/>
              <w:ind w:firstLine="0" w:firstLineChars="0"/>
              <w:jc w:val="center"/>
              <w:rPr>
                <w:sz w:val="18"/>
              </w:rPr>
            </w:pPr>
            <w:r>
              <w:rPr>
                <w:rFonts w:hint="eastAsia"/>
                <w:sz w:val="18"/>
              </w:rPr>
              <w:t>预警级别</w:t>
            </w:r>
          </w:p>
        </w:tc>
        <w:tc>
          <w:tcPr>
            <w:tcW w:w="3112" w:type="dxa"/>
            <w:tcBorders>
              <w:top w:val="single" w:color="auto" w:sz="8" w:space="0"/>
              <w:bottom w:val="single" w:color="auto" w:sz="8" w:space="0"/>
            </w:tcBorders>
            <w:vAlign w:val="center"/>
          </w:tcPr>
          <w:p>
            <w:pPr>
              <w:pStyle w:val="61"/>
              <w:ind w:firstLine="0" w:firstLineChars="0"/>
              <w:jc w:val="center"/>
              <w:rPr>
                <w:sz w:val="18"/>
              </w:rPr>
            </w:pPr>
            <w:r>
              <w:rPr>
                <w:rFonts w:hint="eastAsia"/>
                <w:sz w:val="18"/>
              </w:rPr>
              <w:t>预警机制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3110" w:type="dxa"/>
            <w:tcBorders>
              <w:top w:val="single" w:color="auto" w:sz="8" w:space="0"/>
            </w:tcBorders>
            <w:vAlign w:val="center"/>
          </w:tcPr>
          <w:p>
            <w:pPr>
              <w:pStyle w:val="61"/>
              <w:ind w:firstLine="0" w:firstLineChars="0"/>
              <w:jc w:val="center"/>
              <w:rPr>
                <w:sz w:val="18"/>
              </w:rPr>
            </w:pPr>
            <w:r>
              <w:rPr>
                <w:rFonts w:hint="eastAsia"/>
                <w:sz w:val="18"/>
              </w:rPr>
              <w:t>﹢6%</w:t>
            </w:r>
            <w:r>
              <w:rPr>
                <w:sz w:val="18"/>
              </w:rPr>
              <w:t xml:space="preserve"> </w:t>
            </w:r>
            <w:r>
              <w:rPr>
                <w:rFonts w:ascii="Times New Roman"/>
                <w:sz w:val="18"/>
              </w:rPr>
              <w:t>~</w:t>
            </w:r>
            <w:r>
              <w:rPr>
                <w:rFonts w:hint="eastAsia" w:ascii="Times New Roman"/>
                <w:sz w:val="18"/>
              </w:rPr>
              <w:t>﹢1</w:t>
            </w:r>
            <w:r>
              <w:rPr>
                <w:rFonts w:ascii="Times New Roman"/>
                <w:sz w:val="18"/>
              </w:rPr>
              <w:t>0</w:t>
            </w:r>
            <w:r>
              <w:rPr>
                <w:rFonts w:hint="eastAsia" w:ascii="Times New Roman"/>
                <w:sz w:val="18"/>
              </w:rPr>
              <w:t>%</w:t>
            </w:r>
          </w:p>
        </w:tc>
        <w:tc>
          <w:tcPr>
            <w:tcW w:w="3112" w:type="dxa"/>
            <w:tcBorders>
              <w:top w:val="single" w:color="auto" w:sz="8" w:space="0"/>
            </w:tcBorders>
            <w:vAlign w:val="center"/>
          </w:tcPr>
          <w:p>
            <w:pPr>
              <w:pStyle w:val="61"/>
              <w:ind w:firstLine="0" w:firstLineChars="0"/>
              <w:jc w:val="center"/>
              <w:rPr>
                <w:sz w:val="18"/>
              </w:rPr>
            </w:pPr>
            <w:r>
              <w:rPr>
                <w:rFonts w:hint="eastAsia"/>
                <w:sz w:val="18"/>
              </w:rPr>
              <w:t>黄色预警</w:t>
            </w:r>
          </w:p>
        </w:tc>
        <w:tc>
          <w:tcPr>
            <w:tcW w:w="3112" w:type="dxa"/>
            <w:tcBorders>
              <w:top w:val="single" w:color="auto" w:sz="8" w:space="0"/>
            </w:tcBorders>
            <w:vAlign w:val="center"/>
          </w:tcPr>
          <w:p>
            <w:pPr>
              <w:pStyle w:val="61"/>
              <w:ind w:firstLine="0" w:firstLineChars="0"/>
              <w:jc w:val="center"/>
              <w:rPr>
                <w:sz w:val="18"/>
              </w:rPr>
            </w:pPr>
            <w:r>
              <w:rPr>
                <w:rFonts w:hint="eastAsia"/>
                <w:sz w:val="18"/>
              </w:rPr>
              <w:t>系统做出暂停提示，施工方查找原因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3110" w:type="dxa"/>
            <w:vAlign w:val="center"/>
          </w:tcPr>
          <w:p>
            <w:pPr>
              <w:pStyle w:val="61"/>
              <w:ind w:firstLine="0" w:firstLineChars="0"/>
              <w:jc w:val="center"/>
              <w:rPr>
                <w:sz w:val="18"/>
              </w:rPr>
            </w:pPr>
            <w:r>
              <w:rPr>
                <w:rFonts w:hint="eastAsia"/>
                <w:sz w:val="18"/>
              </w:rPr>
              <w:t>-</w:t>
            </w:r>
            <w:r>
              <w:rPr>
                <w:sz w:val="18"/>
              </w:rPr>
              <w:t>6</w:t>
            </w:r>
            <w:r>
              <w:rPr>
                <w:rFonts w:hint="eastAsia"/>
                <w:sz w:val="18"/>
              </w:rPr>
              <w:t>%</w:t>
            </w:r>
            <w:r>
              <w:rPr>
                <w:sz w:val="18"/>
              </w:rPr>
              <w:t xml:space="preserve"> </w:t>
            </w:r>
            <w:r>
              <w:rPr>
                <w:rFonts w:ascii="Times New Roman"/>
                <w:sz w:val="18"/>
              </w:rPr>
              <w:t>~</w:t>
            </w:r>
            <w:r>
              <w:rPr>
                <w:rFonts w:hint="eastAsia"/>
                <w:sz w:val="18"/>
              </w:rPr>
              <w:t xml:space="preserve"> -10%；+10%</w:t>
            </w:r>
            <w:r>
              <w:rPr>
                <w:sz w:val="18"/>
              </w:rPr>
              <w:t xml:space="preserve"> </w:t>
            </w:r>
            <w:r>
              <w:rPr>
                <w:rFonts w:ascii="Times New Roman"/>
                <w:sz w:val="18"/>
              </w:rPr>
              <w:t xml:space="preserve">~ </w:t>
            </w:r>
            <w:r>
              <w:rPr>
                <w:rFonts w:hint="eastAsia"/>
                <w:sz w:val="18"/>
              </w:rPr>
              <w:t>+12%</w:t>
            </w:r>
          </w:p>
        </w:tc>
        <w:tc>
          <w:tcPr>
            <w:tcW w:w="3112" w:type="dxa"/>
            <w:vAlign w:val="center"/>
          </w:tcPr>
          <w:p>
            <w:pPr>
              <w:pStyle w:val="61"/>
              <w:ind w:firstLine="0" w:firstLineChars="0"/>
              <w:jc w:val="center"/>
              <w:rPr>
                <w:sz w:val="18"/>
              </w:rPr>
            </w:pPr>
            <w:r>
              <w:rPr>
                <w:rFonts w:hint="eastAsia"/>
                <w:sz w:val="18"/>
              </w:rPr>
              <w:t>橙色预警</w:t>
            </w:r>
          </w:p>
        </w:tc>
        <w:tc>
          <w:tcPr>
            <w:tcW w:w="3112" w:type="dxa"/>
            <w:vAlign w:val="center"/>
          </w:tcPr>
          <w:p>
            <w:pPr>
              <w:pStyle w:val="61"/>
              <w:ind w:firstLine="0" w:firstLineChars="0"/>
              <w:jc w:val="center"/>
              <w:rPr>
                <w:sz w:val="18"/>
              </w:rPr>
            </w:pPr>
            <w:r>
              <w:rPr>
                <w:rFonts w:hint="eastAsia"/>
                <w:sz w:val="18"/>
              </w:rPr>
              <w:t>系统自动暂停并提示是否继续，施工方查找原因，经监理确认后方可继续作业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3110" w:type="dxa"/>
            <w:vAlign w:val="center"/>
          </w:tcPr>
          <w:p>
            <w:pPr>
              <w:pStyle w:val="61"/>
              <w:ind w:firstLine="0" w:firstLineChars="0"/>
              <w:jc w:val="center"/>
              <w:rPr>
                <w:sz w:val="18"/>
              </w:rPr>
            </w:pPr>
            <w:r>
              <w:rPr>
                <w:rFonts w:hint="eastAsia"/>
                <w:sz w:val="18"/>
              </w:rPr>
              <w:t>超出-10%及+12%时</w:t>
            </w:r>
          </w:p>
        </w:tc>
        <w:tc>
          <w:tcPr>
            <w:tcW w:w="3112" w:type="dxa"/>
            <w:vAlign w:val="center"/>
          </w:tcPr>
          <w:p>
            <w:pPr>
              <w:pStyle w:val="61"/>
              <w:ind w:firstLine="0" w:firstLineChars="0"/>
              <w:jc w:val="center"/>
              <w:rPr>
                <w:sz w:val="18"/>
              </w:rPr>
            </w:pPr>
            <w:r>
              <w:rPr>
                <w:rFonts w:hint="eastAsia"/>
                <w:sz w:val="18"/>
              </w:rPr>
              <w:t>红色预警</w:t>
            </w:r>
          </w:p>
        </w:tc>
        <w:tc>
          <w:tcPr>
            <w:tcW w:w="3112" w:type="dxa"/>
            <w:vAlign w:val="center"/>
          </w:tcPr>
          <w:p>
            <w:pPr>
              <w:pStyle w:val="61"/>
              <w:ind w:firstLine="0" w:firstLineChars="0"/>
              <w:jc w:val="center"/>
              <w:rPr>
                <w:sz w:val="18"/>
              </w:rPr>
            </w:pPr>
            <w:r>
              <w:rPr>
                <w:rFonts w:hint="eastAsia"/>
                <w:sz w:val="18"/>
              </w:rPr>
              <w:t>系统自动停止张拉，施工方查找原因，经监理确认后方可继续作业</w:t>
            </w:r>
          </w:p>
        </w:tc>
      </w:tr>
    </w:tbl>
    <w:p>
      <w:pPr>
        <w:pStyle w:val="167"/>
      </w:pPr>
      <w:r>
        <w:t>宜对张拉端预应力筋内缩量进行抽样检查，常规桥梁抽检比例 3% 且不少于 5 束；重点工程、关键墩顶负弯矩钢束抽检比例提升至 5%，每批次不少于 5 束，使用夹片式锚具的预应力筋内缩量不大于 6mm</w:t>
      </w:r>
      <w:r>
        <w:rPr>
          <w:rFonts w:hint="eastAsia"/>
        </w:rPr>
        <w:t>。</w:t>
      </w:r>
    </w:p>
    <w:p>
      <w:pPr>
        <w:pStyle w:val="167"/>
      </w:pPr>
      <w:r>
        <w:rPr>
          <w:rFonts w:hint="eastAsia"/>
        </w:rPr>
        <w:t>锚固结束后夹具顶面应平齐，夹具相互间的错位不应大于 2 mm，且露出锚具外的长度不应大于 4 mm。经检验确认合格后可切割端头多余的预应力筋，切割时应采用砂轮锯，不应采用电弧进行切割，同时不得损伤锚具。</w:t>
      </w:r>
    </w:p>
    <w:p>
      <w:pPr>
        <w:pStyle w:val="167"/>
      </w:pPr>
      <w:r>
        <w:rPr>
          <w:rFonts w:hint="eastAsia"/>
        </w:rPr>
        <w:t>预应力筋切割后的外露长度应不小于30 mm，且不小于1.5倍预应力筋直径，张拉完后应及时防护，防止预应力筋生锈。</w:t>
      </w:r>
    </w:p>
    <w:p>
      <w:pPr>
        <w:pStyle w:val="167"/>
      </w:pPr>
      <w:r>
        <w:t>张拉完成后系统自动生成张拉电子报表，采用防篡改加密存储技术，原始记录不可篡改；纸质报表打印后经施工、监理签字归档，作为质量管理资料存档</w:t>
      </w:r>
      <w:r>
        <w:rPr>
          <w:rFonts w:hint="eastAsia"/>
        </w:rPr>
        <w:t>，张拉记录表格式及内容见附录C。</w:t>
      </w:r>
    </w:p>
    <w:p>
      <w:pPr>
        <w:pStyle w:val="167"/>
      </w:pPr>
      <w:r>
        <w:t>张拉、锚固、检测全部合格后，及时恢复槽口补强钢筋，支模浇筑同强度等级补偿收缩混凝土封闭槽口；混凝土养护完成后方可进行后续桥面施工。</w:t>
      </w:r>
    </w:p>
    <w:p>
      <w:pPr>
        <w:pStyle w:val="167"/>
      </w:pPr>
      <w:r>
        <w:t>墩顶负弯矩扁锚预应力筋张拉控制应力</w:t>
      </w:r>
      <w:r>
        <w:rPr>
          <w:rFonts w:hint="eastAsia"/>
        </w:rPr>
        <w:t>应符合施工设计图纸要求，施工设计图纸无要求时，</w:t>
      </w:r>
      <w:r>
        <w:t>宜取 0.75</w:t>
      </w:r>
      <w:r>
        <w:rPr>
          <w:rFonts w:hint="eastAsia"/>
        </w:rPr>
        <w:t xml:space="preserve"> </w:t>
      </w:r>
      <w:r>
        <w:t>fpk；钢束长度小于 10</w:t>
      </w:r>
      <w:r>
        <w:rPr>
          <w:rFonts w:hint="eastAsia"/>
        </w:rPr>
        <w:t xml:space="preserve"> </w:t>
      </w:r>
      <w:r>
        <w:t xml:space="preserve">m </w:t>
      </w:r>
      <w:r>
        <w:rPr>
          <w:rFonts w:hint="eastAsia"/>
        </w:rPr>
        <w:t>时，宜</w:t>
      </w:r>
      <w:r>
        <w:t>超张拉3%～5%</w:t>
      </w:r>
      <w:r>
        <w:rPr>
          <w:rFonts w:hint="eastAsia"/>
        </w:rPr>
        <w:t>，</w:t>
      </w:r>
      <w:r>
        <w:t>补偿回缩损失</w:t>
      </w:r>
      <w:r>
        <w:rPr>
          <w:rFonts w:hint="eastAsia"/>
        </w:rPr>
        <w:t>。</w:t>
      </w:r>
    </w:p>
    <w:p>
      <w:pPr>
        <w:pStyle w:val="109"/>
        <w:spacing w:before="240" w:after="240"/>
      </w:pPr>
      <w:bookmarkStart w:id="131" w:name="_Toc153564206"/>
      <w:bookmarkEnd w:id="131"/>
      <w:bookmarkStart w:id="132" w:name="_Toc153564276"/>
      <w:bookmarkEnd w:id="132"/>
      <w:bookmarkStart w:id="133" w:name="_Toc153564205"/>
      <w:bookmarkEnd w:id="133"/>
      <w:bookmarkStart w:id="134" w:name="_Toc153564275"/>
      <w:bookmarkEnd w:id="134"/>
      <w:bookmarkStart w:id="135" w:name="_Toc153564204"/>
      <w:bookmarkEnd w:id="135"/>
      <w:bookmarkStart w:id="136" w:name="_Toc153564274"/>
      <w:bookmarkEnd w:id="136"/>
      <w:bookmarkStart w:id="137" w:name="_Toc153564203"/>
      <w:bookmarkEnd w:id="137"/>
      <w:bookmarkStart w:id="138" w:name="_Toc153564273"/>
      <w:bookmarkEnd w:id="138"/>
      <w:bookmarkStart w:id="139" w:name="_Toc153564202"/>
      <w:bookmarkEnd w:id="139"/>
      <w:bookmarkStart w:id="140" w:name="_Toc153564272"/>
      <w:bookmarkEnd w:id="140"/>
      <w:bookmarkStart w:id="141" w:name="_Toc153564201"/>
      <w:bookmarkEnd w:id="141"/>
      <w:bookmarkStart w:id="142" w:name="_Toc153564277"/>
      <w:bookmarkEnd w:id="142"/>
      <w:bookmarkStart w:id="143" w:name="_Toc238131295"/>
      <w:bookmarkStart w:id="144" w:name="_Toc238835502"/>
      <w:bookmarkStart w:id="145" w:name="_Toc239760156"/>
      <w:r>
        <w:rPr>
          <w:rFonts w:hint="eastAsia"/>
        </w:rPr>
        <w:t>设备拆除</w:t>
      </w:r>
      <w:bookmarkEnd w:id="143"/>
      <w:bookmarkEnd w:id="144"/>
      <w:bookmarkEnd w:id="145"/>
    </w:p>
    <w:p>
      <w:pPr>
        <w:pStyle w:val="167"/>
      </w:pPr>
      <w:r>
        <w:rPr>
          <w:rFonts w:hint="eastAsia"/>
        </w:rPr>
        <w:t>张拉结束后宜依次关闭系统软件、电机、切断电源，拆卸千斤顶、油管。</w:t>
      </w:r>
    </w:p>
    <w:p>
      <w:pPr>
        <w:pStyle w:val="167"/>
      </w:pPr>
      <w:r>
        <w:rPr>
          <w:rFonts w:hint="eastAsia"/>
        </w:rPr>
        <w:t>设备贮存与运输宜符合</w:t>
      </w:r>
      <w:r>
        <w:t>JB/T</w:t>
      </w:r>
      <w:r>
        <w:rPr>
          <w:rFonts w:hint="eastAsia"/>
        </w:rPr>
        <w:t xml:space="preserve"> </w:t>
      </w:r>
      <w:r>
        <w:t>13462</w:t>
      </w:r>
      <w:r>
        <w:rPr>
          <w:rFonts w:hint="eastAsia"/>
        </w:rPr>
        <w:t>-</w:t>
      </w:r>
      <w:r>
        <w:t>2018中</w:t>
      </w:r>
      <w:r>
        <w:rPr>
          <w:rFonts w:hint="eastAsia"/>
        </w:rPr>
        <w:t>9.3条</w:t>
      </w:r>
      <w:r>
        <w:t>的规定</w:t>
      </w:r>
      <w:r>
        <w:rPr>
          <w:rFonts w:hint="eastAsia"/>
        </w:rPr>
        <w:t>。</w:t>
      </w:r>
    </w:p>
    <w:p>
      <w:pPr>
        <w:pStyle w:val="109"/>
        <w:spacing w:before="240" w:after="240"/>
      </w:pPr>
      <w:bookmarkStart w:id="146" w:name="_Toc238835503"/>
      <w:bookmarkStart w:id="147" w:name="_Toc238131296"/>
      <w:bookmarkStart w:id="148" w:name="_Toc239760157"/>
      <w:r>
        <w:rPr>
          <w:rFonts w:hint="eastAsia"/>
        </w:rPr>
        <w:t>验收</w:t>
      </w:r>
      <w:bookmarkEnd w:id="146"/>
      <w:bookmarkEnd w:id="147"/>
      <w:bookmarkEnd w:id="148"/>
    </w:p>
    <w:p>
      <w:pPr>
        <w:pStyle w:val="167"/>
      </w:pPr>
      <w:bookmarkStart w:id="149" w:name="_Hlk141539113"/>
      <w:bookmarkStart w:id="150" w:name="_Hlk142746364"/>
      <w:r>
        <w:rPr>
          <w:rFonts w:hint="eastAsia"/>
        </w:rPr>
        <w:t>预应力筋的断丝或滑脱数量应符合</w:t>
      </w:r>
      <w:r>
        <w:t xml:space="preserve">GB 50204-2015 </w:t>
      </w:r>
      <w:r>
        <w:rPr>
          <w:rFonts w:hint="eastAsia"/>
        </w:rPr>
        <w:t>中</w:t>
      </w:r>
      <w:r>
        <w:t> 第6.4.2条的规定</w:t>
      </w:r>
      <w:r>
        <w:rPr>
          <w:rFonts w:hint="eastAsia"/>
        </w:rPr>
        <w:t>。</w:t>
      </w:r>
    </w:p>
    <w:p>
      <w:pPr>
        <w:pStyle w:val="167"/>
      </w:pPr>
      <w:r>
        <w:rPr>
          <w:rFonts w:hint="eastAsia"/>
        </w:rPr>
        <w:t>宜在张拉施工完成后的48 h内采用反拉法进行锚下有效预应力检测</w:t>
      </w:r>
      <w:r>
        <w:t>，检测方法应</w:t>
      </w:r>
      <w:r>
        <w:rPr>
          <w:rFonts w:hint="eastAsia"/>
        </w:rPr>
        <w:t>符合</w:t>
      </w:r>
      <w:r>
        <w:t>DB43/T 3164</w:t>
      </w:r>
      <w:r>
        <w:rPr>
          <w:rFonts w:hint="eastAsia"/>
        </w:rPr>
        <w:t>的相关规定。</w:t>
      </w:r>
    </w:p>
    <w:bookmarkEnd w:id="149"/>
    <w:bookmarkEnd w:id="150"/>
    <w:p>
      <w:pPr>
        <w:pStyle w:val="167"/>
        <w:sectPr>
          <w:headerReference r:id="rId17" w:type="default"/>
          <w:footerReference r:id="rId19" w:type="default"/>
          <w:headerReference r:id="rId18" w:type="even"/>
          <w:footerReference r:id="rId20" w:type="even"/>
          <w:pgSz w:w="11906" w:h="16838"/>
          <w:pgMar w:top="2410" w:right="1134" w:bottom="1134" w:left="1134" w:header="1418" w:footer="1134" w:gutter="284"/>
          <w:pgNumType w:start="1"/>
          <w:cols w:space="425" w:num="1"/>
          <w:formProt w:val="0"/>
          <w:docGrid w:linePitch="312" w:charSpace="0"/>
        </w:sectPr>
      </w:pPr>
      <w:r>
        <w:rPr>
          <w:rFonts w:hint="eastAsia"/>
        </w:rPr>
        <w:t>锚下有效预应力检测的检测抽样及频率、质量评定</w:t>
      </w:r>
      <w:r>
        <w:t>应</w:t>
      </w:r>
      <w:r>
        <w:rPr>
          <w:rFonts w:hint="eastAsia"/>
        </w:rPr>
        <w:t>符合</w:t>
      </w:r>
      <w:r>
        <w:t>DB43/T 3164</w:t>
      </w:r>
      <w:r>
        <w:rPr>
          <w:rFonts w:hint="eastAsia"/>
        </w:rPr>
        <w:t>的相关规定。</w:t>
      </w:r>
    </w:p>
    <w:bookmarkEnd w:id="18"/>
    <w:p>
      <w:pPr>
        <w:pStyle w:val="203"/>
        <w:rPr>
          <w:rFonts w:hint="eastAsia"/>
          <w:vanish w:val="0"/>
        </w:rPr>
      </w:pPr>
      <w:bookmarkStart w:id="151" w:name="BookMark5"/>
    </w:p>
    <w:p>
      <w:pPr>
        <w:pStyle w:val="204"/>
        <w:rPr>
          <w:vanish w:val="0"/>
        </w:rPr>
      </w:pPr>
    </w:p>
    <w:p>
      <w:pPr>
        <w:pStyle w:val="81"/>
        <w:spacing w:before="60" w:after="120"/>
      </w:pPr>
      <w:r>
        <w:br w:type="textWrapping"/>
      </w:r>
      <w:bookmarkStart w:id="152" w:name="_Toc239760158"/>
      <w:r>
        <w:rPr>
          <w:rFonts w:hint="eastAsia"/>
        </w:rPr>
        <w:t>（规范性）</w:t>
      </w:r>
      <w:r>
        <w:br w:type="textWrapping"/>
      </w:r>
      <w:r>
        <w:rPr>
          <w:rFonts w:hint="eastAsia"/>
        </w:rPr>
        <w:t>墩顶负弯矩扁锚预应力筋整体智能张拉施工工艺流程图</w:t>
      </w:r>
      <w:bookmarkEnd w:id="152"/>
    </w:p>
    <w:p>
      <w:pPr>
        <w:pStyle w:val="61"/>
        <w:ind w:firstLine="0" w:firstLineChars="0"/>
        <w:jc w:val="center"/>
      </w:pPr>
      <w:r>
        <w:rPr>
          <w:rFonts w:hint="eastAsia"/>
        </w:rPr>
        <w:object>
          <v:shape id="_x0000_i1025" o:spt="75" type="#_x0000_t75" style="height:586.65pt;width:317.45pt;" o:ole="t" filled="f" coordsize="21600,21600">
            <v:path/>
            <v:fill on="f" focussize="0,0"/>
            <v:stroke/>
            <v:imagedata r:id="rId37" o:title=""/>
            <o:lock v:ext="edit" aspectratio="t"/>
            <w10:wrap type="none"/>
            <w10:anchorlock/>
          </v:shape>
          <o:OLEObject Type="Embed" ProgID="Visio.Drawing.15" ShapeID="_x0000_i1025" DrawAspect="Content" ObjectID="_1468075725" r:id="rId36">
            <o:LockedField>false</o:LockedField>
          </o:OLEObject>
        </w:object>
      </w:r>
    </w:p>
    <w:p>
      <w:pPr>
        <w:pStyle w:val="61"/>
        <w:ind w:firstLine="420"/>
      </w:pPr>
    </w:p>
    <w:p>
      <w:pPr>
        <w:pStyle w:val="81"/>
        <w:spacing w:before="60" w:after="120"/>
        <w:sectPr>
          <w:headerReference r:id="rId21" w:type="default"/>
          <w:footerReference r:id="rId23" w:type="default"/>
          <w:headerReference r:id="rId22" w:type="even"/>
          <w:footerReference r:id="rId24" w:type="even"/>
          <w:pgSz w:w="11906" w:h="16838"/>
          <w:pgMar w:top="2410" w:right="1134" w:bottom="1134" w:left="1134" w:header="1418" w:footer="1134" w:gutter="284"/>
          <w:cols w:space="425" w:num="1"/>
          <w:formProt w:val="0"/>
          <w:docGrid w:linePitch="312" w:charSpace="0"/>
        </w:sectPr>
      </w:pPr>
    </w:p>
    <w:p>
      <w:pPr>
        <w:pStyle w:val="81"/>
        <w:spacing w:before="60" w:after="120"/>
      </w:pPr>
      <w:r>
        <w:br w:type="textWrapping"/>
      </w:r>
      <w:bookmarkStart w:id="153" w:name="_Toc239760159"/>
      <w:r>
        <w:rPr>
          <w:rFonts w:hint="eastAsia"/>
        </w:rPr>
        <w:t>（资料性）</w:t>
      </w:r>
      <w:r>
        <w:br w:type="textWrapping"/>
      </w:r>
      <w:r>
        <w:rPr>
          <w:rFonts w:hint="eastAsia"/>
        </w:rPr>
        <w:t>扁锚张拉端锚垫板的最小尺寸和质量</w:t>
      </w:r>
      <w:bookmarkEnd w:id="153"/>
    </w:p>
    <w:tbl>
      <w:tblPr>
        <w:tblStyle w:val="37"/>
        <w:tblW w:w="933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62"/>
        <w:gridCol w:w="900"/>
        <w:gridCol w:w="900"/>
        <w:gridCol w:w="790"/>
        <w:gridCol w:w="900"/>
        <w:gridCol w:w="900"/>
        <w:gridCol w:w="1122"/>
        <w:gridCol w:w="1122"/>
        <w:gridCol w:w="22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285" w:hRule="atLeast"/>
        </w:trPr>
        <w:tc>
          <w:tcPr>
            <w:tcW w:w="462" w:type="dxa"/>
            <w:tcBorders>
              <w:top w:val="single" w:color="auto" w:sz="8" w:space="0"/>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型号</w:t>
            </w:r>
          </w:p>
        </w:tc>
        <w:tc>
          <w:tcPr>
            <w:tcW w:w="900" w:type="dxa"/>
            <w:tcBorders>
              <w:top w:val="single" w:color="auto" w:sz="8" w:space="0"/>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A1（mm）</w:t>
            </w:r>
          </w:p>
        </w:tc>
        <w:tc>
          <w:tcPr>
            <w:tcW w:w="900" w:type="dxa"/>
            <w:tcBorders>
              <w:top w:val="single" w:color="auto" w:sz="8" w:space="0"/>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B1（mm）</w:t>
            </w:r>
          </w:p>
        </w:tc>
        <w:tc>
          <w:tcPr>
            <w:tcW w:w="790" w:type="dxa"/>
            <w:tcBorders>
              <w:top w:val="single" w:color="auto" w:sz="8" w:space="0"/>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L（mm）</w:t>
            </w:r>
          </w:p>
        </w:tc>
        <w:tc>
          <w:tcPr>
            <w:tcW w:w="900" w:type="dxa"/>
            <w:tcBorders>
              <w:top w:val="single" w:color="auto" w:sz="8" w:space="0"/>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A2（mm）</w:t>
            </w:r>
          </w:p>
        </w:tc>
        <w:tc>
          <w:tcPr>
            <w:tcW w:w="900" w:type="dxa"/>
            <w:tcBorders>
              <w:top w:val="single" w:color="auto" w:sz="8" w:space="0"/>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B2（mm）</w:t>
            </w:r>
          </w:p>
        </w:tc>
        <w:tc>
          <w:tcPr>
            <w:tcW w:w="1122" w:type="dxa"/>
            <w:tcBorders>
              <w:top w:val="single" w:color="auto" w:sz="8" w:space="0"/>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壁厚d（mm）</w:t>
            </w:r>
          </w:p>
        </w:tc>
        <w:tc>
          <w:tcPr>
            <w:tcW w:w="1122" w:type="dxa"/>
            <w:tcBorders>
              <w:top w:val="single" w:color="auto" w:sz="8" w:space="0"/>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重量（kg）</w:t>
            </w:r>
          </w:p>
        </w:tc>
        <w:tc>
          <w:tcPr>
            <w:tcW w:w="2238" w:type="dxa"/>
            <w:tcBorders>
              <w:top w:val="single" w:color="auto" w:sz="8" w:space="0"/>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适用钢绞线直径（mm）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285" w:hRule="atLeast"/>
        </w:trPr>
        <w:tc>
          <w:tcPr>
            <w:tcW w:w="462" w:type="dxa"/>
            <w:tcBorders>
              <w:top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2孔</w:t>
            </w:r>
          </w:p>
        </w:tc>
        <w:tc>
          <w:tcPr>
            <w:tcW w:w="900" w:type="dxa"/>
            <w:tcBorders>
              <w:top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80</w:t>
            </w:r>
          </w:p>
        </w:tc>
        <w:tc>
          <w:tcPr>
            <w:tcW w:w="900" w:type="dxa"/>
            <w:tcBorders>
              <w:top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48</w:t>
            </w:r>
          </w:p>
        </w:tc>
        <w:tc>
          <w:tcPr>
            <w:tcW w:w="790" w:type="dxa"/>
            <w:tcBorders>
              <w:top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120</w:t>
            </w:r>
          </w:p>
        </w:tc>
        <w:tc>
          <w:tcPr>
            <w:tcW w:w="900" w:type="dxa"/>
            <w:tcBorders>
              <w:top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150</w:t>
            </w:r>
          </w:p>
        </w:tc>
        <w:tc>
          <w:tcPr>
            <w:tcW w:w="900" w:type="dxa"/>
            <w:tcBorders>
              <w:top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70</w:t>
            </w:r>
          </w:p>
        </w:tc>
        <w:tc>
          <w:tcPr>
            <w:tcW w:w="1122" w:type="dxa"/>
            <w:tcBorders>
              <w:top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5</w:t>
            </w:r>
          </w:p>
        </w:tc>
        <w:tc>
          <w:tcPr>
            <w:tcW w:w="1122" w:type="dxa"/>
            <w:tcBorders>
              <w:top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1.5</w:t>
            </w:r>
          </w:p>
        </w:tc>
        <w:tc>
          <w:tcPr>
            <w:tcW w:w="2238" w:type="dxa"/>
            <w:tcBorders>
              <w:top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15.2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285" w:hRule="atLeast"/>
        </w:trPr>
        <w:tc>
          <w:tcPr>
            <w:tcW w:w="462"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3孔</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115</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48</w:t>
            </w:r>
          </w:p>
        </w:tc>
        <w:tc>
          <w:tcPr>
            <w:tcW w:w="79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150</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180</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70</w:t>
            </w:r>
          </w:p>
        </w:tc>
        <w:tc>
          <w:tcPr>
            <w:tcW w:w="1122"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5</w:t>
            </w:r>
          </w:p>
        </w:tc>
        <w:tc>
          <w:tcPr>
            <w:tcW w:w="1122"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2.1</w:t>
            </w:r>
          </w:p>
        </w:tc>
        <w:tc>
          <w:tcPr>
            <w:tcW w:w="2238"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15.2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285" w:hRule="atLeast"/>
        </w:trPr>
        <w:tc>
          <w:tcPr>
            <w:tcW w:w="462"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4孔</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150</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48</w:t>
            </w:r>
          </w:p>
        </w:tc>
        <w:tc>
          <w:tcPr>
            <w:tcW w:w="79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210</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220</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70</w:t>
            </w:r>
          </w:p>
        </w:tc>
        <w:tc>
          <w:tcPr>
            <w:tcW w:w="1122"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5</w:t>
            </w:r>
          </w:p>
        </w:tc>
        <w:tc>
          <w:tcPr>
            <w:tcW w:w="1122"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3.3</w:t>
            </w:r>
          </w:p>
        </w:tc>
        <w:tc>
          <w:tcPr>
            <w:tcW w:w="2238"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15.2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285" w:hRule="atLeast"/>
        </w:trPr>
        <w:tc>
          <w:tcPr>
            <w:tcW w:w="462"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5孔</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185</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48</w:t>
            </w:r>
          </w:p>
        </w:tc>
        <w:tc>
          <w:tcPr>
            <w:tcW w:w="79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250</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260</w:t>
            </w:r>
          </w:p>
        </w:tc>
        <w:tc>
          <w:tcPr>
            <w:tcW w:w="900"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70</w:t>
            </w:r>
          </w:p>
        </w:tc>
        <w:tc>
          <w:tcPr>
            <w:tcW w:w="1122"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5</w:t>
            </w:r>
          </w:p>
        </w:tc>
        <w:tc>
          <w:tcPr>
            <w:tcW w:w="1122"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4.6</w:t>
            </w:r>
          </w:p>
        </w:tc>
        <w:tc>
          <w:tcPr>
            <w:tcW w:w="2238" w:type="dxa"/>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15.2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285" w:hRule="atLeast"/>
        </w:trPr>
        <w:tc>
          <w:tcPr>
            <w:tcW w:w="462" w:type="dxa"/>
            <w:tcBorders>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6孔</w:t>
            </w:r>
          </w:p>
        </w:tc>
        <w:tc>
          <w:tcPr>
            <w:tcW w:w="900" w:type="dxa"/>
            <w:tcBorders>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222</w:t>
            </w:r>
          </w:p>
        </w:tc>
        <w:tc>
          <w:tcPr>
            <w:tcW w:w="900" w:type="dxa"/>
            <w:tcBorders>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48</w:t>
            </w:r>
          </w:p>
        </w:tc>
        <w:tc>
          <w:tcPr>
            <w:tcW w:w="790" w:type="dxa"/>
            <w:tcBorders>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290</w:t>
            </w:r>
          </w:p>
        </w:tc>
        <w:tc>
          <w:tcPr>
            <w:tcW w:w="900" w:type="dxa"/>
            <w:tcBorders>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280</w:t>
            </w:r>
          </w:p>
        </w:tc>
        <w:tc>
          <w:tcPr>
            <w:tcW w:w="900" w:type="dxa"/>
            <w:tcBorders>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130</w:t>
            </w:r>
          </w:p>
        </w:tc>
        <w:tc>
          <w:tcPr>
            <w:tcW w:w="1122" w:type="dxa"/>
            <w:tcBorders>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6</w:t>
            </w:r>
          </w:p>
        </w:tc>
        <w:tc>
          <w:tcPr>
            <w:tcW w:w="1122" w:type="dxa"/>
            <w:tcBorders>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8.7</w:t>
            </w:r>
          </w:p>
        </w:tc>
        <w:tc>
          <w:tcPr>
            <w:tcW w:w="2238" w:type="dxa"/>
            <w:tcBorders>
              <w:bottom w:val="single" w:color="auto" w:sz="8" w:space="0"/>
            </w:tcBorders>
            <w:vAlign w:val="center"/>
          </w:tcPr>
          <w:p>
            <w:pPr>
              <w:widowControl/>
              <w:spacing w:line="240" w:lineRule="auto"/>
              <w:jc w:val="center"/>
              <w:textAlignment w:val="center"/>
              <w:rPr>
                <w:rFonts w:hint="eastAsia" w:ascii="宋体" w:hAnsi="宋体"/>
                <w:kern w:val="0"/>
                <w:sz w:val="18"/>
              </w:rPr>
            </w:pPr>
            <w:r>
              <w:rPr>
                <w:rFonts w:hint="eastAsia" w:ascii="宋体" w:hAnsi="宋体"/>
                <w:kern w:val="0"/>
                <w:sz w:val="18"/>
              </w:rPr>
              <w:t>15.2</w:t>
            </w:r>
          </w:p>
        </w:tc>
      </w:tr>
    </w:tbl>
    <w:p>
      <w:pPr>
        <w:pStyle w:val="184"/>
      </w:pPr>
      <w:r>
        <w:rPr>
          <w:rFonts w:hint="eastAsia"/>
        </w:rPr>
        <w:t>其中2孔～5孔尺寸及质量参考《</w:t>
      </w:r>
      <w:r>
        <w:t>公路桥梁预应力钢绞线用锚具、夹具和连接器</w:t>
      </w:r>
      <w:r>
        <w:rPr>
          <w:rFonts w:hint="eastAsia"/>
        </w:rPr>
        <w:t>》（</w:t>
      </w:r>
      <w:r>
        <w:t>JT/T 329-2025</w:t>
      </w:r>
      <w:r>
        <w:rPr>
          <w:rFonts w:hint="eastAsia"/>
        </w:rPr>
        <w:t>）；6孔尺寸及质量通过试验验证取得。</w:t>
      </w:r>
    </w:p>
    <w:p>
      <w:pPr>
        <w:pStyle w:val="242"/>
        <w:ind w:firstLine="0" w:firstLineChars="0"/>
        <w:jc w:val="center"/>
        <w:rPr>
          <w:rFonts w:hint="eastAsia"/>
        </w:rPr>
      </w:pPr>
      <w:r>
        <w:drawing>
          <wp:inline distT="0" distB="0" distL="0" distR="0">
            <wp:extent cx="5209540" cy="2790825"/>
            <wp:effectExtent l="0" t="0" r="0" b="0"/>
            <wp:docPr id="20927401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40171" name="图片 3"/>
                    <pic:cNvPicPr>
                      <a:picLocks noChangeAspect="1" noChangeArrowheads="1"/>
                    </pic:cNvPicPr>
                  </pic:nvPicPr>
                  <pic:blipFill>
                    <a:blip r:embed="rId38">
                      <a:extLst>
                        <a:ext uri="{28A0092B-C50C-407E-A947-70E740481C1C}">
                          <a14:useLocalDpi xmlns:a14="http://schemas.microsoft.com/office/drawing/2010/main" val="0"/>
                        </a:ext>
                      </a:extLst>
                    </a:blip>
                    <a:srcRect l="18037" t="12893" r="27272" b="20000"/>
                    <a:stretch>
                      <a:fillRect/>
                    </a:stretch>
                  </pic:blipFill>
                  <pic:spPr>
                    <a:xfrm>
                      <a:off x="0" y="0"/>
                      <a:ext cx="5216561" cy="2794586"/>
                    </a:xfrm>
                    <a:prstGeom prst="rect">
                      <a:avLst/>
                    </a:prstGeom>
                    <a:noFill/>
                    <a:ln>
                      <a:noFill/>
                    </a:ln>
                  </pic:spPr>
                </pic:pic>
              </a:graphicData>
            </a:graphic>
          </wp:inline>
        </w:drawing>
      </w:r>
    </w:p>
    <w:p>
      <w:pPr>
        <w:pStyle w:val="61"/>
        <w:ind w:firstLine="420"/>
      </w:pPr>
    </w:p>
    <w:p>
      <w:pPr>
        <w:pStyle w:val="61"/>
        <w:ind w:firstLine="420"/>
      </w:pPr>
    </w:p>
    <w:p>
      <w:pPr>
        <w:pStyle w:val="61"/>
        <w:ind w:firstLine="420"/>
      </w:pPr>
    </w:p>
    <w:p>
      <w:pPr>
        <w:pStyle w:val="61"/>
        <w:ind w:firstLine="420"/>
      </w:pPr>
    </w:p>
    <w:p>
      <w:pPr>
        <w:pStyle w:val="61"/>
        <w:ind w:firstLine="420"/>
      </w:pPr>
    </w:p>
    <w:p>
      <w:pPr>
        <w:pStyle w:val="61"/>
        <w:ind w:firstLine="420"/>
        <w:sectPr>
          <w:pgSz w:w="11906" w:h="16838"/>
          <w:pgMar w:top="2410" w:right="1134" w:bottom="1134" w:left="1134" w:header="1418" w:footer="1134" w:gutter="284"/>
          <w:cols w:space="425" w:num="1"/>
          <w:formProt w:val="0"/>
          <w:docGrid w:linePitch="312" w:charSpace="0"/>
        </w:sectPr>
      </w:pPr>
    </w:p>
    <w:p>
      <w:pPr>
        <w:pStyle w:val="203"/>
        <w:rPr>
          <w:rFonts w:hint="eastAsia"/>
          <w:vanish w:val="0"/>
        </w:rPr>
      </w:pPr>
    </w:p>
    <w:p>
      <w:pPr>
        <w:pStyle w:val="204"/>
        <w:rPr>
          <w:vanish w:val="0"/>
        </w:rPr>
      </w:pPr>
    </w:p>
    <w:p>
      <w:pPr>
        <w:pStyle w:val="81"/>
        <w:spacing w:before="60" w:after="120"/>
      </w:pPr>
      <w:r>
        <w:br w:type="textWrapping"/>
      </w:r>
      <w:bookmarkStart w:id="154" w:name="_Toc239760160"/>
      <w:r>
        <w:rPr>
          <w:rFonts w:hint="eastAsia"/>
        </w:rPr>
        <w:t>（资料性）</w:t>
      </w:r>
      <w:r>
        <w:br w:type="textWrapping"/>
      </w:r>
      <w:r>
        <w:rPr>
          <w:rFonts w:hint="eastAsia"/>
        </w:rPr>
        <w:t>负弯矩扁锚预应力张拉记录表</w:t>
      </w:r>
      <w:bookmarkEnd w:id="154"/>
    </w:p>
    <w:tbl>
      <w:tblPr>
        <w:tblStyle w:val="37"/>
        <w:tblW w:w="13419" w:type="dxa"/>
        <w:jc w:val="center"/>
        <w:tblInd w:w="0" w:type="dxa"/>
        <w:tblLayout w:type="fixed"/>
        <w:tblCellMar>
          <w:top w:w="0" w:type="dxa"/>
          <w:left w:w="108" w:type="dxa"/>
          <w:bottom w:w="0" w:type="dxa"/>
          <w:right w:w="108" w:type="dxa"/>
        </w:tblCellMar>
      </w:tblPr>
      <w:tblGrid>
        <w:gridCol w:w="850"/>
        <w:gridCol w:w="681"/>
        <w:gridCol w:w="1298"/>
        <w:gridCol w:w="1133"/>
        <w:gridCol w:w="711"/>
        <w:gridCol w:w="706"/>
        <w:gridCol w:w="990"/>
        <w:gridCol w:w="851"/>
        <w:gridCol w:w="853"/>
        <w:gridCol w:w="993"/>
        <w:gridCol w:w="1135"/>
        <w:gridCol w:w="996"/>
        <w:gridCol w:w="711"/>
        <w:gridCol w:w="1275"/>
        <w:gridCol w:w="236"/>
      </w:tblGrid>
      <w:tr>
        <w:tblPrEx>
          <w:tblLayout w:type="fixed"/>
          <w:tblCellMar>
            <w:top w:w="0" w:type="dxa"/>
            <w:left w:w="108" w:type="dxa"/>
            <w:bottom w:w="0" w:type="dxa"/>
            <w:right w:w="108" w:type="dxa"/>
          </w:tblCellMar>
        </w:tblPrEx>
        <w:trPr>
          <w:gridAfter w:val="1"/>
          <w:wAfter w:w="236" w:type="dxa"/>
          <w:trHeight w:val="300" w:hRule="atLeast"/>
          <w:jc w:val="center"/>
        </w:trPr>
        <w:tc>
          <w:tcPr>
            <w:tcW w:w="3962" w:type="dxa"/>
            <w:gridSpan w:val="4"/>
            <w:tcBorders>
              <w:top w:val="nil"/>
              <w:left w:val="nil"/>
              <w:bottom w:val="single" w:color="auto" w:sz="4" w:space="0"/>
              <w:right w:val="nil"/>
            </w:tcBorders>
            <w:vAlign w:val="center"/>
          </w:tcPr>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承包单位：　</w:t>
            </w:r>
          </w:p>
        </w:tc>
        <w:tc>
          <w:tcPr>
            <w:tcW w:w="4111" w:type="dxa"/>
            <w:gridSpan w:val="5"/>
            <w:tcBorders>
              <w:top w:val="nil"/>
              <w:left w:val="nil"/>
              <w:bottom w:val="single" w:color="auto" w:sz="4" w:space="0"/>
              <w:right w:val="nil"/>
            </w:tcBorders>
            <w:vAlign w:val="center"/>
          </w:tcPr>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监理单位：　</w:t>
            </w:r>
          </w:p>
        </w:tc>
        <w:tc>
          <w:tcPr>
            <w:tcW w:w="993" w:type="dxa"/>
            <w:tcBorders>
              <w:top w:val="nil"/>
              <w:left w:val="nil"/>
              <w:bottom w:val="single" w:color="auto" w:sz="4" w:space="0"/>
              <w:right w:val="nil"/>
            </w:tcBorders>
            <w:vAlign w:val="center"/>
          </w:tcPr>
          <w:p>
            <w:pPr>
              <w:widowControl/>
              <w:adjustRightInd/>
              <w:spacing w:line="240" w:lineRule="auto"/>
              <w:jc w:val="right"/>
              <w:rPr>
                <w:rFonts w:hint="eastAsia" w:ascii="宋体" w:hAnsi="宋体" w:cs="宋体"/>
                <w:kern w:val="0"/>
                <w:sz w:val="18"/>
                <w:szCs w:val="18"/>
                <w:lang w:bidi="lo-LA"/>
              </w:rPr>
            </w:pPr>
            <w:r>
              <w:rPr>
                <w:rFonts w:hint="eastAsia" w:ascii="宋体" w:hAnsi="宋体" w:cs="宋体"/>
                <w:kern w:val="0"/>
                <w:sz w:val="18"/>
                <w:szCs w:val="18"/>
                <w:lang w:bidi="lo-LA"/>
              </w:rPr>
              <w:t>合同号:</w:t>
            </w:r>
          </w:p>
        </w:tc>
        <w:tc>
          <w:tcPr>
            <w:tcW w:w="2131" w:type="dxa"/>
            <w:gridSpan w:val="2"/>
            <w:tcBorders>
              <w:top w:val="nil"/>
              <w:left w:val="nil"/>
              <w:bottom w:val="single" w:color="auto" w:sz="4" w:space="0"/>
              <w:right w:val="nil"/>
            </w:tcBorders>
            <w:vAlign w:val="center"/>
          </w:tcPr>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986" w:type="dxa"/>
            <w:gridSpan w:val="2"/>
            <w:tcBorders>
              <w:top w:val="nil"/>
              <w:left w:val="nil"/>
              <w:bottom w:val="single" w:color="auto" w:sz="4" w:space="0"/>
              <w:right w:val="nil"/>
            </w:tcBorders>
            <w:vAlign w:val="center"/>
          </w:tcPr>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编号：　</w:t>
            </w:r>
          </w:p>
        </w:tc>
      </w:tr>
      <w:tr>
        <w:tblPrEx>
          <w:tblLayout w:type="fixed"/>
          <w:tblCellMar>
            <w:top w:w="0" w:type="dxa"/>
            <w:left w:w="108" w:type="dxa"/>
            <w:bottom w:w="0" w:type="dxa"/>
            <w:right w:w="108" w:type="dxa"/>
          </w:tblCellMar>
        </w:tblPrEx>
        <w:trPr>
          <w:gridAfter w:val="1"/>
          <w:wAfter w:w="236" w:type="dxa"/>
          <w:trHeight w:val="289" w:hRule="atLeast"/>
          <w:jc w:val="center"/>
        </w:trPr>
        <w:tc>
          <w:tcPr>
            <w:tcW w:w="1531" w:type="dxa"/>
            <w:gridSpan w:val="2"/>
            <w:tcBorders>
              <w:top w:val="single" w:color="auto" w:sz="4" w:space="0"/>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工程名称</w:t>
            </w:r>
          </w:p>
        </w:tc>
        <w:tc>
          <w:tcPr>
            <w:tcW w:w="3848" w:type="dxa"/>
            <w:gridSpan w:val="4"/>
            <w:tcBorders>
              <w:top w:val="single" w:color="auto" w:sz="4" w:space="0"/>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single" w:color="auto" w:sz="4" w:space="0"/>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预制梁场</w:t>
            </w:r>
          </w:p>
        </w:tc>
        <w:tc>
          <w:tcPr>
            <w:tcW w:w="4828" w:type="dxa"/>
            <w:gridSpan w:val="5"/>
            <w:tcBorders>
              <w:top w:val="single" w:color="auto" w:sz="4" w:space="0"/>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986" w:type="dxa"/>
            <w:gridSpan w:val="2"/>
            <w:tcBorders>
              <w:top w:val="single" w:color="auto" w:sz="4" w:space="0"/>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张拉顺序示意图</w:t>
            </w:r>
          </w:p>
        </w:tc>
      </w:tr>
      <w:tr>
        <w:tblPrEx>
          <w:tblLayout w:type="fixed"/>
          <w:tblCellMar>
            <w:top w:w="0" w:type="dxa"/>
            <w:left w:w="108" w:type="dxa"/>
            <w:bottom w:w="0" w:type="dxa"/>
            <w:right w:w="108" w:type="dxa"/>
          </w:tblCellMar>
        </w:tblPrEx>
        <w:trPr>
          <w:gridAfter w:val="1"/>
          <w:wAfter w:w="236" w:type="dxa"/>
          <w:trHeight w:val="289" w:hRule="atLeast"/>
          <w:jc w:val="center"/>
        </w:trPr>
        <w:tc>
          <w:tcPr>
            <w:tcW w:w="1531" w:type="dxa"/>
            <w:gridSpan w:val="2"/>
            <w:tcBorders>
              <w:top w:val="single" w:color="auto" w:sz="4" w:space="0"/>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构件编号</w:t>
            </w:r>
          </w:p>
        </w:tc>
        <w:tc>
          <w:tcPr>
            <w:tcW w:w="3848" w:type="dxa"/>
            <w:gridSpan w:val="4"/>
            <w:tcBorders>
              <w:top w:val="single" w:color="auto" w:sz="4" w:space="0"/>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张拉时间</w:t>
            </w:r>
          </w:p>
        </w:tc>
        <w:tc>
          <w:tcPr>
            <w:tcW w:w="4828" w:type="dxa"/>
            <w:gridSpan w:val="5"/>
            <w:tcBorders>
              <w:top w:val="single" w:color="auto" w:sz="4" w:space="0"/>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986" w:type="dxa"/>
            <w:gridSpan w:val="2"/>
            <w:vMerge w:val="restart"/>
            <w:tcBorders>
              <w:top w:val="single" w:color="auto" w:sz="4" w:space="0"/>
              <w:left w:val="single" w:color="auto" w:sz="4" w:space="0"/>
              <w:bottom w:val="single" w:color="000000"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p>
        </w:tc>
      </w:tr>
      <w:tr>
        <w:tblPrEx>
          <w:tblLayout w:type="fixed"/>
          <w:tblCellMar>
            <w:top w:w="0" w:type="dxa"/>
            <w:left w:w="108" w:type="dxa"/>
            <w:bottom w:w="0" w:type="dxa"/>
            <w:right w:w="108" w:type="dxa"/>
          </w:tblCellMar>
        </w:tblPrEx>
        <w:trPr>
          <w:gridAfter w:val="1"/>
          <w:wAfter w:w="236" w:type="dxa"/>
          <w:trHeight w:val="289" w:hRule="atLeast"/>
          <w:jc w:val="center"/>
        </w:trPr>
        <w:tc>
          <w:tcPr>
            <w:tcW w:w="1531" w:type="dxa"/>
            <w:gridSpan w:val="2"/>
            <w:tcBorders>
              <w:top w:val="single" w:color="auto" w:sz="4" w:space="0"/>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砼设计强度</w:t>
            </w:r>
          </w:p>
        </w:tc>
        <w:tc>
          <w:tcPr>
            <w:tcW w:w="1298"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13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砼试块强度</w:t>
            </w:r>
          </w:p>
        </w:tc>
        <w:tc>
          <w:tcPr>
            <w:tcW w:w="711" w:type="dxa"/>
            <w:tcBorders>
              <w:top w:val="nil"/>
              <w:left w:val="nil"/>
              <w:bottom w:val="single" w:color="auto" w:sz="4" w:space="0"/>
              <w:right w:val="nil"/>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0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MPa</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弹性模量</w:t>
            </w:r>
          </w:p>
        </w:tc>
        <w:tc>
          <w:tcPr>
            <w:tcW w:w="1704" w:type="dxa"/>
            <w:gridSpan w:val="2"/>
            <w:tcBorders>
              <w:top w:val="single" w:color="auto" w:sz="4" w:space="0"/>
              <w:left w:val="nil"/>
              <w:bottom w:val="single" w:color="auto" w:sz="4" w:space="0"/>
              <w:right w:val="nil"/>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MPa</w:t>
            </w:r>
          </w:p>
        </w:tc>
        <w:tc>
          <w:tcPr>
            <w:tcW w:w="1135"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控制张拉力</w:t>
            </w:r>
          </w:p>
        </w:tc>
        <w:tc>
          <w:tcPr>
            <w:tcW w:w="99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986" w:type="dxa"/>
            <w:gridSpan w:val="2"/>
            <w:vMerge w:val="continue"/>
            <w:tcBorders>
              <w:top w:val="nil"/>
              <w:left w:val="nil"/>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r>
      <w:tr>
        <w:tblPrEx>
          <w:tblLayout w:type="fixed"/>
          <w:tblCellMar>
            <w:top w:w="0" w:type="dxa"/>
            <w:left w:w="108" w:type="dxa"/>
            <w:bottom w:w="0" w:type="dxa"/>
            <w:right w:w="108" w:type="dxa"/>
          </w:tblCellMar>
        </w:tblPrEx>
        <w:trPr>
          <w:gridAfter w:val="1"/>
          <w:wAfter w:w="236" w:type="dxa"/>
          <w:trHeight w:val="289" w:hRule="atLeast"/>
          <w:jc w:val="center"/>
        </w:trPr>
        <w:tc>
          <w:tcPr>
            <w:tcW w:w="1531" w:type="dxa"/>
            <w:gridSpan w:val="2"/>
            <w:tcBorders>
              <w:top w:val="single" w:color="auto" w:sz="4" w:space="0"/>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张拉仪1编号</w:t>
            </w:r>
          </w:p>
        </w:tc>
        <w:tc>
          <w:tcPr>
            <w:tcW w:w="3848" w:type="dxa"/>
            <w:gridSpan w:val="4"/>
            <w:tcBorders>
              <w:top w:val="single" w:color="auto" w:sz="4" w:space="0"/>
              <w:left w:val="nil"/>
              <w:bottom w:val="single" w:color="auto" w:sz="4" w:space="0"/>
              <w:right w:val="single" w:color="000000"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标定日期</w:t>
            </w:r>
          </w:p>
        </w:tc>
        <w:tc>
          <w:tcPr>
            <w:tcW w:w="4828" w:type="dxa"/>
            <w:gridSpan w:val="5"/>
            <w:tcBorders>
              <w:top w:val="single" w:color="auto" w:sz="4" w:space="0"/>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986" w:type="dxa"/>
            <w:gridSpan w:val="2"/>
            <w:vMerge w:val="continue"/>
            <w:tcBorders>
              <w:top w:val="nil"/>
              <w:left w:val="nil"/>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r>
      <w:tr>
        <w:tblPrEx>
          <w:tblLayout w:type="fixed"/>
          <w:tblCellMar>
            <w:top w:w="0" w:type="dxa"/>
            <w:left w:w="108" w:type="dxa"/>
            <w:bottom w:w="0" w:type="dxa"/>
            <w:right w:w="108" w:type="dxa"/>
          </w:tblCellMar>
        </w:tblPrEx>
        <w:trPr>
          <w:gridAfter w:val="1"/>
          <w:wAfter w:w="236" w:type="dxa"/>
          <w:trHeight w:val="289" w:hRule="atLeast"/>
          <w:jc w:val="center"/>
        </w:trPr>
        <w:tc>
          <w:tcPr>
            <w:tcW w:w="1531" w:type="dxa"/>
            <w:gridSpan w:val="2"/>
            <w:tcBorders>
              <w:top w:val="single" w:color="auto" w:sz="4" w:space="0"/>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张拉仪2编号</w:t>
            </w:r>
          </w:p>
        </w:tc>
        <w:tc>
          <w:tcPr>
            <w:tcW w:w="3848" w:type="dxa"/>
            <w:gridSpan w:val="4"/>
            <w:tcBorders>
              <w:top w:val="single" w:color="auto" w:sz="4" w:space="0"/>
              <w:left w:val="nil"/>
              <w:bottom w:val="single" w:color="auto" w:sz="4" w:space="0"/>
              <w:right w:val="single" w:color="000000"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标定日期</w:t>
            </w:r>
          </w:p>
        </w:tc>
        <w:tc>
          <w:tcPr>
            <w:tcW w:w="4828" w:type="dxa"/>
            <w:gridSpan w:val="5"/>
            <w:tcBorders>
              <w:top w:val="single" w:color="auto" w:sz="4" w:space="0"/>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986" w:type="dxa"/>
            <w:gridSpan w:val="2"/>
            <w:vMerge w:val="continue"/>
            <w:tcBorders>
              <w:top w:val="nil"/>
              <w:left w:val="nil"/>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r>
      <w:tr>
        <w:tblPrEx>
          <w:tblLayout w:type="fixed"/>
          <w:tblCellMar>
            <w:top w:w="0" w:type="dxa"/>
            <w:left w:w="108" w:type="dxa"/>
            <w:bottom w:w="0" w:type="dxa"/>
            <w:right w:w="108" w:type="dxa"/>
          </w:tblCellMar>
        </w:tblPrEx>
        <w:trPr>
          <w:gridAfter w:val="1"/>
          <w:wAfter w:w="236" w:type="dxa"/>
          <w:trHeight w:val="600" w:hRule="atLeast"/>
          <w:jc w:val="center"/>
        </w:trPr>
        <w:tc>
          <w:tcPr>
            <w:tcW w:w="850" w:type="dxa"/>
            <w:tcBorders>
              <w:top w:val="nil"/>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钢束编号</w:t>
            </w:r>
          </w:p>
        </w:tc>
        <w:tc>
          <w:tcPr>
            <w:tcW w:w="68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张拉断面</w:t>
            </w:r>
          </w:p>
        </w:tc>
        <w:tc>
          <w:tcPr>
            <w:tcW w:w="1298"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记录项目</w:t>
            </w:r>
          </w:p>
        </w:tc>
        <w:tc>
          <w:tcPr>
            <w:tcW w:w="113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10%张拉力</w:t>
            </w:r>
          </w:p>
        </w:tc>
        <w:tc>
          <w:tcPr>
            <w:tcW w:w="71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20%张拉力</w:t>
            </w:r>
          </w:p>
        </w:tc>
        <w:tc>
          <w:tcPr>
            <w:tcW w:w="70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50%张拉力</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50%张拉力</w:t>
            </w:r>
          </w:p>
        </w:tc>
        <w:tc>
          <w:tcPr>
            <w:tcW w:w="85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100%张拉力</w:t>
            </w:r>
          </w:p>
        </w:tc>
        <w:tc>
          <w:tcPr>
            <w:tcW w:w="85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回缩值(mm)</w:t>
            </w:r>
          </w:p>
        </w:tc>
        <w:tc>
          <w:tcPr>
            <w:tcW w:w="99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设计张拉控制力(kN)</w:t>
            </w:r>
          </w:p>
        </w:tc>
        <w:tc>
          <w:tcPr>
            <w:tcW w:w="1135"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总伸长量(mm)</w:t>
            </w:r>
          </w:p>
        </w:tc>
        <w:tc>
          <w:tcPr>
            <w:tcW w:w="99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理论伸长量(mm)</w:t>
            </w:r>
          </w:p>
        </w:tc>
        <w:tc>
          <w:tcPr>
            <w:tcW w:w="71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延伸量误差(%)</w:t>
            </w:r>
          </w:p>
        </w:tc>
        <w:tc>
          <w:tcPr>
            <w:tcW w:w="1275"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断丝及处理情况</w:t>
            </w:r>
          </w:p>
        </w:tc>
      </w:tr>
      <w:tr>
        <w:tblPrEx>
          <w:tblLayout w:type="fixed"/>
          <w:tblCellMar>
            <w:top w:w="0" w:type="dxa"/>
            <w:left w:w="108" w:type="dxa"/>
            <w:bottom w:w="0" w:type="dxa"/>
            <w:right w:w="108" w:type="dxa"/>
          </w:tblCellMar>
        </w:tblPrEx>
        <w:trPr>
          <w:gridAfter w:val="1"/>
          <w:wAfter w:w="236" w:type="dxa"/>
          <w:trHeight w:val="300" w:hRule="atLeast"/>
          <w:jc w:val="center"/>
        </w:trPr>
        <w:tc>
          <w:tcPr>
            <w:tcW w:w="850" w:type="dxa"/>
            <w:vMerge w:val="restart"/>
            <w:tcBorders>
              <w:top w:val="nil"/>
              <w:left w:val="single" w:color="auto" w:sz="4" w:space="0"/>
              <w:bottom w:val="nil"/>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681" w:type="dxa"/>
            <w:vMerge w:val="restart"/>
            <w:tcBorders>
              <w:top w:val="nil"/>
              <w:left w:val="single" w:color="auto" w:sz="4" w:space="0"/>
              <w:bottom w:val="single" w:color="000000"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千斤顶1</w:t>
            </w:r>
          </w:p>
        </w:tc>
        <w:tc>
          <w:tcPr>
            <w:tcW w:w="1298"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张拉力(kN)</w:t>
            </w:r>
          </w:p>
        </w:tc>
        <w:tc>
          <w:tcPr>
            <w:tcW w:w="113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1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0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3" w:type="dxa"/>
            <w:vMerge w:val="restart"/>
            <w:tcBorders>
              <w:top w:val="nil"/>
              <w:left w:val="single" w:color="auto" w:sz="4" w:space="0"/>
              <w:bottom w:val="single" w:color="000000"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3" w:type="dxa"/>
            <w:vMerge w:val="restart"/>
            <w:tcBorders>
              <w:top w:val="nil"/>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135" w:type="dxa"/>
            <w:vMerge w:val="restart"/>
            <w:tcBorders>
              <w:top w:val="nil"/>
              <w:left w:val="single" w:color="auto" w:sz="4" w:space="0"/>
              <w:bottom w:val="nil"/>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6" w:type="dxa"/>
            <w:vMerge w:val="restart"/>
            <w:tcBorders>
              <w:top w:val="nil"/>
              <w:left w:val="single" w:color="auto" w:sz="4" w:space="0"/>
              <w:bottom w:val="nil"/>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11" w:type="dxa"/>
            <w:vMerge w:val="restart"/>
            <w:tcBorders>
              <w:top w:val="nil"/>
              <w:left w:val="single" w:color="auto" w:sz="4" w:space="0"/>
              <w:bottom w:val="nil"/>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275" w:type="dxa"/>
            <w:vMerge w:val="restart"/>
            <w:tcBorders>
              <w:top w:val="nil"/>
              <w:left w:val="single" w:color="auto" w:sz="4" w:space="0"/>
              <w:bottom w:val="nil"/>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r>
      <w:tr>
        <w:tblPrEx>
          <w:tblLayout w:type="fixed"/>
          <w:tblCellMar>
            <w:top w:w="0" w:type="dxa"/>
            <w:left w:w="108" w:type="dxa"/>
            <w:bottom w:w="0" w:type="dxa"/>
            <w:right w:w="108" w:type="dxa"/>
          </w:tblCellMar>
        </w:tblPrEx>
        <w:trPr>
          <w:gridAfter w:val="1"/>
          <w:wAfter w:w="236" w:type="dxa"/>
          <w:trHeight w:val="300" w:hRule="atLeast"/>
          <w:jc w:val="center"/>
        </w:trPr>
        <w:tc>
          <w:tcPr>
            <w:tcW w:w="850"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681" w:type="dxa"/>
            <w:vMerge w:val="continue"/>
            <w:tcBorders>
              <w:top w:val="nil"/>
              <w:left w:val="single" w:color="auto" w:sz="4" w:space="0"/>
              <w:bottom w:val="single" w:color="000000"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298"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伸长量(mm)</w:t>
            </w:r>
          </w:p>
        </w:tc>
        <w:tc>
          <w:tcPr>
            <w:tcW w:w="113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1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0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3" w:type="dxa"/>
            <w:vMerge w:val="continue"/>
            <w:tcBorders>
              <w:top w:val="nil"/>
              <w:left w:val="single" w:color="auto" w:sz="4" w:space="0"/>
              <w:bottom w:val="single" w:color="000000"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993" w:type="dxa"/>
            <w:vMerge w:val="continue"/>
            <w:tcBorders>
              <w:top w:val="nil"/>
              <w:left w:val="single" w:color="auto" w:sz="4" w:space="0"/>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135"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996"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711"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275"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r>
      <w:tr>
        <w:tblPrEx>
          <w:tblLayout w:type="fixed"/>
          <w:tblCellMar>
            <w:top w:w="0" w:type="dxa"/>
            <w:left w:w="108" w:type="dxa"/>
            <w:bottom w:w="0" w:type="dxa"/>
            <w:right w:w="108" w:type="dxa"/>
          </w:tblCellMar>
        </w:tblPrEx>
        <w:trPr>
          <w:gridAfter w:val="1"/>
          <w:wAfter w:w="236" w:type="dxa"/>
          <w:trHeight w:val="270" w:hRule="atLeast"/>
          <w:jc w:val="center"/>
        </w:trPr>
        <w:tc>
          <w:tcPr>
            <w:tcW w:w="850"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681" w:type="dxa"/>
            <w:vMerge w:val="restart"/>
            <w:tcBorders>
              <w:top w:val="nil"/>
              <w:left w:val="single" w:color="auto" w:sz="4" w:space="0"/>
              <w:bottom w:val="single" w:color="000000"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千斤顶2</w:t>
            </w:r>
          </w:p>
        </w:tc>
        <w:tc>
          <w:tcPr>
            <w:tcW w:w="1298"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张拉力(kN)</w:t>
            </w:r>
          </w:p>
        </w:tc>
        <w:tc>
          <w:tcPr>
            <w:tcW w:w="113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1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0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3" w:type="dxa"/>
            <w:vMerge w:val="restart"/>
            <w:tcBorders>
              <w:top w:val="nil"/>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3" w:type="dxa"/>
            <w:vMerge w:val="restart"/>
            <w:tcBorders>
              <w:top w:val="nil"/>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135"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996"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711"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275"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r>
      <w:tr>
        <w:tblPrEx>
          <w:tblLayout w:type="fixed"/>
          <w:tblCellMar>
            <w:top w:w="0" w:type="dxa"/>
            <w:left w:w="108" w:type="dxa"/>
            <w:bottom w:w="0" w:type="dxa"/>
            <w:right w:w="108" w:type="dxa"/>
          </w:tblCellMar>
        </w:tblPrEx>
        <w:trPr>
          <w:gridAfter w:val="1"/>
          <w:wAfter w:w="236" w:type="dxa"/>
          <w:trHeight w:val="270" w:hRule="atLeast"/>
          <w:jc w:val="center"/>
        </w:trPr>
        <w:tc>
          <w:tcPr>
            <w:tcW w:w="850"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681" w:type="dxa"/>
            <w:vMerge w:val="continue"/>
            <w:tcBorders>
              <w:top w:val="nil"/>
              <w:left w:val="single" w:color="auto" w:sz="4" w:space="0"/>
              <w:bottom w:val="single" w:color="000000"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298"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伸长量(mm)</w:t>
            </w:r>
          </w:p>
        </w:tc>
        <w:tc>
          <w:tcPr>
            <w:tcW w:w="113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1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0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3" w:type="dxa"/>
            <w:vMerge w:val="continue"/>
            <w:tcBorders>
              <w:top w:val="nil"/>
              <w:left w:val="single" w:color="auto" w:sz="4" w:space="0"/>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993" w:type="dxa"/>
            <w:vMerge w:val="continue"/>
            <w:tcBorders>
              <w:top w:val="nil"/>
              <w:left w:val="single" w:color="auto" w:sz="4" w:space="0"/>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135"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996"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711"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275" w:type="dxa"/>
            <w:vMerge w:val="continue"/>
            <w:tcBorders>
              <w:top w:val="nil"/>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r>
      <w:tr>
        <w:tblPrEx>
          <w:tblLayout w:type="fixed"/>
          <w:tblCellMar>
            <w:top w:w="0" w:type="dxa"/>
            <w:left w:w="108" w:type="dxa"/>
            <w:bottom w:w="0" w:type="dxa"/>
            <w:right w:w="108" w:type="dxa"/>
          </w:tblCellMar>
        </w:tblPrEx>
        <w:trPr>
          <w:gridAfter w:val="1"/>
          <w:wAfter w:w="236" w:type="dxa"/>
          <w:trHeight w:val="270" w:hRule="atLeast"/>
          <w:jc w:val="center"/>
        </w:trPr>
        <w:tc>
          <w:tcPr>
            <w:tcW w:w="850" w:type="dxa"/>
            <w:vMerge w:val="restart"/>
            <w:tcBorders>
              <w:top w:val="single" w:color="auto" w:sz="4" w:space="0"/>
              <w:left w:val="single" w:color="auto" w:sz="4" w:space="0"/>
              <w:bottom w:val="nil"/>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681" w:type="dxa"/>
            <w:vMerge w:val="restart"/>
            <w:tcBorders>
              <w:top w:val="nil"/>
              <w:left w:val="single" w:color="auto" w:sz="4" w:space="0"/>
              <w:bottom w:val="single" w:color="000000"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千斤顶1</w:t>
            </w:r>
          </w:p>
        </w:tc>
        <w:tc>
          <w:tcPr>
            <w:tcW w:w="1298"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张拉力(kN)</w:t>
            </w:r>
          </w:p>
        </w:tc>
        <w:tc>
          <w:tcPr>
            <w:tcW w:w="113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1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0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3" w:type="dxa"/>
            <w:vMerge w:val="restart"/>
            <w:tcBorders>
              <w:top w:val="nil"/>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3" w:type="dxa"/>
            <w:vMerge w:val="restart"/>
            <w:tcBorders>
              <w:top w:val="nil"/>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135" w:type="dxa"/>
            <w:vMerge w:val="restart"/>
            <w:tcBorders>
              <w:top w:val="single" w:color="auto" w:sz="4" w:space="0"/>
              <w:left w:val="single" w:color="auto" w:sz="4" w:space="0"/>
              <w:bottom w:val="nil"/>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6" w:type="dxa"/>
            <w:vMerge w:val="restart"/>
            <w:tcBorders>
              <w:top w:val="single" w:color="auto" w:sz="4" w:space="0"/>
              <w:left w:val="single" w:color="auto" w:sz="4" w:space="0"/>
              <w:bottom w:val="nil"/>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11" w:type="dxa"/>
            <w:vMerge w:val="restart"/>
            <w:tcBorders>
              <w:top w:val="single" w:color="auto" w:sz="4" w:space="0"/>
              <w:left w:val="single" w:color="auto" w:sz="4" w:space="0"/>
              <w:bottom w:val="nil"/>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275" w:type="dxa"/>
            <w:vMerge w:val="restart"/>
            <w:tcBorders>
              <w:top w:val="single" w:color="auto" w:sz="4" w:space="0"/>
              <w:left w:val="single" w:color="auto" w:sz="4" w:space="0"/>
              <w:bottom w:val="nil"/>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r>
      <w:tr>
        <w:tblPrEx>
          <w:tblLayout w:type="fixed"/>
          <w:tblCellMar>
            <w:top w:w="0" w:type="dxa"/>
            <w:left w:w="108" w:type="dxa"/>
            <w:bottom w:w="0" w:type="dxa"/>
            <w:right w:w="108" w:type="dxa"/>
          </w:tblCellMar>
        </w:tblPrEx>
        <w:trPr>
          <w:gridAfter w:val="1"/>
          <w:wAfter w:w="236" w:type="dxa"/>
          <w:trHeight w:val="270" w:hRule="atLeast"/>
          <w:jc w:val="center"/>
        </w:trPr>
        <w:tc>
          <w:tcPr>
            <w:tcW w:w="850"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681" w:type="dxa"/>
            <w:vMerge w:val="continue"/>
            <w:tcBorders>
              <w:top w:val="nil"/>
              <w:left w:val="single" w:color="auto" w:sz="4" w:space="0"/>
              <w:bottom w:val="single" w:color="000000"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298"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伸长量(mm)</w:t>
            </w:r>
          </w:p>
        </w:tc>
        <w:tc>
          <w:tcPr>
            <w:tcW w:w="113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1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0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3" w:type="dxa"/>
            <w:vMerge w:val="continue"/>
            <w:tcBorders>
              <w:top w:val="nil"/>
              <w:left w:val="single" w:color="auto" w:sz="4" w:space="0"/>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993" w:type="dxa"/>
            <w:vMerge w:val="continue"/>
            <w:tcBorders>
              <w:top w:val="nil"/>
              <w:left w:val="single" w:color="auto" w:sz="4" w:space="0"/>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135"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996"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711"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275"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r>
      <w:tr>
        <w:tblPrEx>
          <w:tblLayout w:type="fixed"/>
          <w:tblCellMar>
            <w:top w:w="0" w:type="dxa"/>
            <w:left w:w="108" w:type="dxa"/>
            <w:bottom w:w="0" w:type="dxa"/>
            <w:right w:w="108" w:type="dxa"/>
          </w:tblCellMar>
        </w:tblPrEx>
        <w:trPr>
          <w:gridAfter w:val="1"/>
          <w:wAfter w:w="236" w:type="dxa"/>
          <w:trHeight w:val="270" w:hRule="atLeast"/>
          <w:jc w:val="center"/>
        </w:trPr>
        <w:tc>
          <w:tcPr>
            <w:tcW w:w="850"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681" w:type="dxa"/>
            <w:vMerge w:val="restart"/>
            <w:tcBorders>
              <w:top w:val="nil"/>
              <w:left w:val="single" w:color="auto" w:sz="4" w:space="0"/>
              <w:bottom w:val="single" w:color="000000"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千斤顶2</w:t>
            </w:r>
          </w:p>
        </w:tc>
        <w:tc>
          <w:tcPr>
            <w:tcW w:w="1298"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张拉力(kN)</w:t>
            </w:r>
          </w:p>
        </w:tc>
        <w:tc>
          <w:tcPr>
            <w:tcW w:w="113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1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0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3" w:type="dxa"/>
            <w:vMerge w:val="restart"/>
            <w:tcBorders>
              <w:top w:val="nil"/>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3" w:type="dxa"/>
            <w:vMerge w:val="restart"/>
            <w:tcBorders>
              <w:top w:val="nil"/>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135"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996"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711"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275"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r>
      <w:tr>
        <w:tblPrEx>
          <w:tblLayout w:type="fixed"/>
          <w:tblCellMar>
            <w:top w:w="0" w:type="dxa"/>
            <w:left w:w="108" w:type="dxa"/>
            <w:bottom w:w="0" w:type="dxa"/>
            <w:right w:w="108" w:type="dxa"/>
          </w:tblCellMar>
        </w:tblPrEx>
        <w:trPr>
          <w:gridAfter w:val="1"/>
          <w:wAfter w:w="236" w:type="dxa"/>
          <w:trHeight w:val="270" w:hRule="atLeast"/>
          <w:jc w:val="center"/>
        </w:trPr>
        <w:tc>
          <w:tcPr>
            <w:tcW w:w="850"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681" w:type="dxa"/>
            <w:vMerge w:val="continue"/>
            <w:tcBorders>
              <w:top w:val="nil"/>
              <w:left w:val="single" w:color="auto" w:sz="4" w:space="0"/>
              <w:bottom w:val="single" w:color="000000"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298"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伸长量(mm)</w:t>
            </w:r>
          </w:p>
        </w:tc>
        <w:tc>
          <w:tcPr>
            <w:tcW w:w="1133"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1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06"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990"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1" w:type="dxa"/>
            <w:tcBorders>
              <w:top w:val="nil"/>
              <w:left w:val="nil"/>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853" w:type="dxa"/>
            <w:vMerge w:val="continue"/>
            <w:tcBorders>
              <w:top w:val="nil"/>
              <w:left w:val="single" w:color="auto" w:sz="4" w:space="0"/>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993" w:type="dxa"/>
            <w:vMerge w:val="continue"/>
            <w:tcBorders>
              <w:top w:val="nil"/>
              <w:left w:val="single" w:color="auto" w:sz="4" w:space="0"/>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135"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996"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711"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1275" w:type="dxa"/>
            <w:vMerge w:val="continue"/>
            <w:tcBorders>
              <w:top w:val="single" w:color="auto" w:sz="4" w:space="0"/>
              <w:left w:val="single" w:color="auto" w:sz="4" w:space="0"/>
              <w:bottom w:val="nil"/>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r>
      <w:tr>
        <w:tblPrEx>
          <w:tblLayout w:type="fixed"/>
          <w:tblCellMar>
            <w:top w:w="0" w:type="dxa"/>
            <w:left w:w="108" w:type="dxa"/>
            <w:bottom w:w="0" w:type="dxa"/>
            <w:right w:w="108" w:type="dxa"/>
          </w:tblCellMar>
        </w:tblPrEx>
        <w:trPr>
          <w:gridAfter w:val="1"/>
          <w:wAfter w:w="236" w:type="dxa"/>
          <w:trHeight w:val="300"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备注</w:t>
            </w:r>
          </w:p>
        </w:tc>
        <w:tc>
          <w:tcPr>
            <w:tcW w:w="8216" w:type="dxa"/>
            <w:gridSpan w:val="9"/>
            <w:tcBorders>
              <w:top w:val="single" w:color="auto" w:sz="4" w:space="0"/>
              <w:left w:val="nil"/>
              <w:bottom w:val="single" w:color="auto" w:sz="4" w:space="0"/>
              <w:right w:val="nil"/>
            </w:tcBorders>
            <w:vAlign w:val="center"/>
          </w:tcPr>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1135" w:type="dxa"/>
            <w:tcBorders>
              <w:top w:val="single" w:color="auto" w:sz="4" w:space="0"/>
              <w:left w:val="single" w:color="auto" w:sz="4" w:space="0"/>
              <w:bottom w:val="single" w:color="auto" w:sz="4" w:space="0"/>
              <w:right w:val="single" w:color="auto" w:sz="4" w:space="0"/>
            </w:tcBorders>
            <w:vAlign w:val="center"/>
          </w:tcPr>
          <w:p>
            <w:pPr>
              <w:widowControl/>
              <w:adjustRightInd/>
              <w:spacing w:line="240" w:lineRule="auto"/>
              <w:jc w:val="center"/>
              <w:rPr>
                <w:rFonts w:hint="eastAsia" w:ascii="宋体" w:hAnsi="宋体" w:cs="宋体"/>
                <w:kern w:val="0"/>
                <w:sz w:val="18"/>
                <w:szCs w:val="18"/>
                <w:lang w:bidi="lo-LA"/>
              </w:rPr>
            </w:pPr>
            <w:r>
              <w:rPr>
                <w:rFonts w:hint="eastAsia" w:ascii="宋体" w:hAnsi="宋体" w:cs="宋体"/>
                <w:kern w:val="0"/>
                <w:sz w:val="18"/>
                <w:szCs w:val="18"/>
                <w:lang w:bidi="lo-LA"/>
              </w:rPr>
              <w:t>起拱度</w:t>
            </w:r>
          </w:p>
        </w:tc>
        <w:tc>
          <w:tcPr>
            <w:tcW w:w="2982" w:type="dxa"/>
            <w:gridSpan w:val="3"/>
            <w:tcBorders>
              <w:top w:val="single" w:color="auto" w:sz="4" w:space="0"/>
              <w:left w:val="nil"/>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　</w:t>
            </w:r>
          </w:p>
        </w:tc>
      </w:tr>
      <w:tr>
        <w:tblPrEx>
          <w:tblLayout w:type="fixed"/>
          <w:tblCellMar>
            <w:top w:w="0" w:type="dxa"/>
            <w:left w:w="108" w:type="dxa"/>
            <w:bottom w:w="0" w:type="dxa"/>
            <w:right w:w="108" w:type="dxa"/>
          </w:tblCellMar>
        </w:tblPrEx>
        <w:trPr>
          <w:gridAfter w:val="1"/>
          <w:wAfter w:w="236" w:type="dxa"/>
          <w:trHeight w:val="312" w:hRule="atLeast"/>
          <w:jc w:val="center"/>
        </w:trPr>
        <w:tc>
          <w:tcPr>
            <w:tcW w:w="5379" w:type="dxa"/>
            <w:gridSpan w:val="6"/>
            <w:vMerge w:val="restart"/>
            <w:tcBorders>
              <w:top w:val="nil"/>
              <w:left w:val="single" w:color="auto" w:sz="4" w:space="0"/>
              <w:right w:val="single" w:color="000000" w:sz="4" w:space="0"/>
            </w:tcBorders>
          </w:tcPr>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自检意见：</w:t>
            </w:r>
          </w:p>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　</w:t>
            </w:r>
          </w:p>
        </w:tc>
        <w:tc>
          <w:tcPr>
            <w:tcW w:w="7804" w:type="dxa"/>
            <w:gridSpan w:val="8"/>
            <w:vMerge w:val="restart"/>
            <w:tcBorders>
              <w:top w:val="nil"/>
              <w:left w:val="single" w:color="000000" w:sz="4" w:space="0"/>
              <w:right w:val="single" w:color="auto" w:sz="4" w:space="0"/>
            </w:tcBorders>
          </w:tcPr>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监理意见：</w:t>
            </w:r>
          </w:p>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　</w:t>
            </w:r>
          </w:p>
        </w:tc>
      </w:tr>
      <w:tr>
        <w:tblPrEx>
          <w:tblLayout w:type="fixed"/>
          <w:tblCellMar>
            <w:top w:w="0" w:type="dxa"/>
            <w:left w:w="108" w:type="dxa"/>
            <w:bottom w:w="0" w:type="dxa"/>
            <w:right w:w="108" w:type="dxa"/>
          </w:tblCellMar>
        </w:tblPrEx>
        <w:trPr>
          <w:trHeight w:val="450" w:hRule="atLeast"/>
          <w:jc w:val="center"/>
        </w:trPr>
        <w:tc>
          <w:tcPr>
            <w:tcW w:w="5379" w:type="dxa"/>
            <w:gridSpan w:val="6"/>
            <w:vMerge w:val="continue"/>
            <w:tcBorders>
              <w:left w:val="single" w:color="auto" w:sz="4" w:space="0"/>
              <w:bottom w:val="single" w:color="000000" w:sz="4" w:space="0"/>
              <w:right w:val="single" w:color="000000"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7804" w:type="dxa"/>
            <w:gridSpan w:val="8"/>
            <w:vMerge w:val="continue"/>
            <w:tcBorders>
              <w:left w:val="single" w:color="000000" w:sz="4" w:space="0"/>
              <w:bottom w:val="single" w:color="000000"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p>
        </w:tc>
        <w:tc>
          <w:tcPr>
            <w:tcW w:w="236" w:type="dxa"/>
            <w:tcBorders>
              <w:top w:val="nil"/>
              <w:left w:val="single" w:color="auto" w:sz="4" w:space="0"/>
              <w:bottom w:val="nil"/>
              <w:right w:val="nil"/>
            </w:tcBorders>
            <w:vAlign w:val="bottom"/>
          </w:tcPr>
          <w:p>
            <w:pPr>
              <w:widowControl/>
              <w:adjustRightInd/>
              <w:spacing w:line="240" w:lineRule="auto"/>
              <w:jc w:val="left"/>
              <w:rPr>
                <w:rFonts w:hint="eastAsia" w:ascii="宋体" w:hAnsi="宋体" w:cs="宋体"/>
                <w:kern w:val="0"/>
                <w:sz w:val="18"/>
                <w:szCs w:val="18"/>
                <w:lang w:bidi="lo-LA"/>
              </w:rPr>
            </w:pPr>
          </w:p>
        </w:tc>
      </w:tr>
      <w:tr>
        <w:tblPrEx>
          <w:tblLayout w:type="fixed"/>
          <w:tblCellMar>
            <w:top w:w="0" w:type="dxa"/>
            <w:left w:w="108" w:type="dxa"/>
            <w:bottom w:w="0" w:type="dxa"/>
            <w:right w:w="108" w:type="dxa"/>
          </w:tblCellMar>
        </w:tblPrEx>
        <w:trPr>
          <w:trHeight w:val="300" w:hRule="atLeast"/>
          <w:jc w:val="center"/>
        </w:trPr>
        <w:tc>
          <w:tcPr>
            <w:tcW w:w="5379" w:type="dxa"/>
            <w:gridSpan w:val="6"/>
            <w:tcBorders>
              <w:top w:val="nil"/>
              <w:left w:val="single" w:color="auto" w:sz="4" w:space="0"/>
              <w:bottom w:val="single" w:color="auto" w:sz="4" w:space="0"/>
              <w:right w:val="single" w:color="FFFFFF" w:sz="4" w:space="0"/>
            </w:tcBorders>
            <w:vAlign w:val="center"/>
          </w:tcPr>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质检人员：</w:t>
            </w:r>
          </w:p>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　</w:t>
            </w:r>
          </w:p>
          <w:p>
            <w:pPr>
              <w:widowControl/>
              <w:wordWrap w:val="0"/>
              <w:adjustRightInd/>
              <w:spacing w:line="240" w:lineRule="auto"/>
              <w:jc w:val="right"/>
              <w:rPr>
                <w:rFonts w:hint="eastAsia" w:ascii="宋体" w:hAnsi="宋体" w:cs="宋体"/>
                <w:kern w:val="0"/>
                <w:sz w:val="18"/>
                <w:szCs w:val="18"/>
                <w:lang w:bidi="lo-LA"/>
              </w:rPr>
            </w:pPr>
            <w:r>
              <w:rPr>
                <w:rFonts w:hint="eastAsia" w:ascii="宋体" w:hAnsi="宋体" w:cs="宋体"/>
                <w:kern w:val="0"/>
                <w:sz w:val="18"/>
                <w:szCs w:val="18"/>
                <w:lang w:bidi="lo-LA"/>
              </w:rPr>
              <w:t>年   月   日</w:t>
            </w:r>
          </w:p>
          <w:p>
            <w:pPr>
              <w:widowControl/>
              <w:adjustRightInd/>
              <w:spacing w:line="240" w:lineRule="auto"/>
              <w:jc w:val="right"/>
              <w:rPr>
                <w:rFonts w:hint="eastAsia" w:ascii="宋体" w:hAnsi="宋体" w:cs="宋体"/>
                <w:kern w:val="0"/>
                <w:sz w:val="18"/>
                <w:szCs w:val="18"/>
                <w:lang w:bidi="lo-LA"/>
              </w:rPr>
            </w:pPr>
            <w:r>
              <w:rPr>
                <w:rFonts w:hint="eastAsia" w:ascii="宋体" w:hAnsi="宋体" w:cs="宋体"/>
                <w:kern w:val="0"/>
                <w:sz w:val="18"/>
                <w:szCs w:val="18"/>
                <w:lang w:bidi="lo-LA"/>
              </w:rPr>
              <w:t>　</w:t>
            </w:r>
          </w:p>
          <w:p>
            <w:pPr>
              <w:widowControl/>
              <w:adjustRightInd/>
              <w:spacing w:line="240" w:lineRule="auto"/>
              <w:ind w:right="900"/>
              <w:jc w:val="right"/>
              <w:rPr>
                <w:rFonts w:hint="eastAsia" w:ascii="宋体" w:hAnsi="宋体" w:cs="宋体"/>
                <w:kern w:val="0"/>
                <w:sz w:val="18"/>
                <w:szCs w:val="18"/>
                <w:lang w:bidi="lo-LA"/>
              </w:rPr>
            </w:pPr>
          </w:p>
        </w:tc>
        <w:tc>
          <w:tcPr>
            <w:tcW w:w="7804" w:type="dxa"/>
            <w:gridSpan w:val="8"/>
            <w:tcBorders>
              <w:top w:val="single" w:color="auto" w:sz="4" w:space="0"/>
              <w:left w:val="single" w:color="auto" w:sz="4" w:space="0"/>
              <w:bottom w:val="single" w:color="auto" w:sz="4" w:space="0"/>
              <w:right w:val="single" w:color="auto" w:sz="4" w:space="0"/>
            </w:tcBorders>
            <w:vAlign w:val="center"/>
          </w:tcPr>
          <w:p>
            <w:pPr>
              <w:widowControl/>
              <w:adjustRightInd/>
              <w:spacing w:line="240" w:lineRule="auto"/>
              <w:jc w:val="left"/>
              <w:rPr>
                <w:rFonts w:hint="eastAsia" w:ascii="宋体" w:hAnsi="宋体" w:cs="宋体"/>
                <w:kern w:val="0"/>
                <w:sz w:val="18"/>
                <w:szCs w:val="18"/>
                <w:lang w:bidi="lo-LA"/>
              </w:rPr>
            </w:pPr>
            <w:r>
              <w:rPr>
                <w:rFonts w:hint="eastAsia" w:ascii="宋体" w:hAnsi="宋体" w:cs="宋体"/>
                <w:kern w:val="0"/>
                <w:sz w:val="18"/>
                <w:szCs w:val="18"/>
                <w:lang w:bidi="lo-LA"/>
              </w:rPr>
              <w:t>监理员或专业监理工程师：</w:t>
            </w:r>
          </w:p>
          <w:p>
            <w:pPr>
              <w:widowControl/>
              <w:adjustRightInd/>
              <w:spacing w:line="240" w:lineRule="auto"/>
              <w:jc w:val="left"/>
              <w:rPr>
                <w:rFonts w:hint="eastAsia" w:ascii="宋体" w:hAnsi="宋体" w:cs="宋体"/>
                <w:kern w:val="0"/>
                <w:sz w:val="18"/>
                <w:szCs w:val="18"/>
                <w:lang w:bidi="lo-LA"/>
              </w:rPr>
            </w:pPr>
          </w:p>
          <w:p>
            <w:pPr>
              <w:widowControl/>
              <w:wordWrap w:val="0"/>
              <w:adjustRightInd/>
              <w:spacing w:line="240" w:lineRule="auto"/>
              <w:jc w:val="right"/>
              <w:rPr>
                <w:rFonts w:hint="eastAsia" w:ascii="宋体" w:hAnsi="宋体" w:cs="宋体"/>
                <w:kern w:val="0"/>
                <w:sz w:val="18"/>
                <w:szCs w:val="18"/>
                <w:lang w:bidi="lo-LA"/>
              </w:rPr>
            </w:pPr>
            <w:r>
              <w:rPr>
                <w:rFonts w:hint="eastAsia" w:ascii="宋体" w:hAnsi="宋体" w:cs="宋体"/>
                <w:kern w:val="0"/>
                <w:sz w:val="18"/>
                <w:szCs w:val="18"/>
                <w:lang w:bidi="lo-LA"/>
              </w:rPr>
              <w:t>年   月   日</w:t>
            </w:r>
          </w:p>
          <w:p>
            <w:pPr>
              <w:widowControl/>
              <w:adjustRightInd/>
              <w:spacing w:line="240" w:lineRule="auto"/>
              <w:jc w:val="right"/>
              <w:rPr>
                <w:rFonts w:hint="eastAsia" w:ascii="宋体" w:hAnsi="宋体" w:cs="宋体"/>
                <w:kern w:val="0"/>
                <w:sz w:val="18"/>
                <w:szCs w:val="18"/>
                <w:lang w:bidi="lo-LA"/>
              </w:rPr>
            </w:pPr>
          </w:p>
          <w:p>
            <w:pPr>
              <w:widowControl/>
              <w:adjustRightInd/>
              <w:spacing w:line="240" w:lineRule="auto"/>
              <w:jc w:val="right"/>
              <w:rPr>
                <w:rFonts w:hint="eastAsia" w:ascii="宋体" w:hAnsi="宋体" w:cs="宋体"/>
                <w:kern w:val="0"/>
                <w:sz w:val="18"/>
                <w:szCs w:val="18"/>
                <w:lang w:bidi="lo-LA"/>
              </w:rPr>
            </w:pPr>
          </w:p>
        </w:tc>
        <w:tc>
          <w:tcPr>
            <w:tcW w:w="236" w:type="dxa"/>
            <w:tcBorders>
              <w:left w:val="single" w:color="auto" w:sz="4" w:space="0"/>
            </w:tcBorders>
            <w:vAlign w:val="center"/>
          </w:tcPr>
          <w:p>
            <w:pPr>
              <w:widowControl/>
              <w:adjustRightInd/>
              <w:spacing w:line="240" w:lineRule="auto"/>
              <w:jc w:val="left"/>
              <w:rPr>
                <w:rFonts w:hint="eastAsia" w:ascii="宋体" w:hAnsi="宋体"/>
                <w:kern w:val="0"/>
                <w:sz w:val="18"/>
                <w:szCs w:val="18"/>
                <w:lang w:bidi="lo-LA"/>
              </w:rPr>
            </w:pPr>
          </w:p>
        </w:tc>
      </w:tr>
    </w:tbl>
    <w:p>
      <w:pPr>
        <w:pStyle w:val="61"/>
        <w:ind w:firstLine="420"/>
      </w:pPr>
    </w:p>
    <w:p>
      <w:pPr>
        <w:pStyle w:val="203"/>
        <w:rPr>
          <w:rFonts w:hint="eastAsia"/>
          <w:vanish w:val="0"/>
        </w:rPr>
      </w:pPr>
    </w:p>
    <w:bookmarkEnd w:id="151"/>
    <w:p>
      <w:pPr>
        <w:pStyle w:val="61"/>
        <w:ind w:firstLine="420"/>
        <w:sectPr>
          <w:headerReference r:id="rId25" w:type="default"/>
          <w:footerReference r:id="rId27" w:type="default"/>
          <w:headerReference r:id="rId26" w:type="even"/>
          <w:footerReference r:id="rId28" w:type="even"/>
          <w:pgSz w:w="16838" w:h="11906" w:orient="landscape"/>
          <w:pgMar w:top="1134" w:right="2410" w:bottom="1134" w:left="1134" w:header="1418" w:footer="1134" w:gutter="284"/>
          <w:cols w:space="425" w:num="1"/>
          <w:formProt w:val="0"/>
          <w:docGrid w:linePitch="312" w:charSpace="0"/>
        </w:sectPr>
      </w:pPr>
      <w:bookmarkStart w:id="155" w:name="BookMark6"/>
    </w:p>
    <w:p>
      <w:pPr>
        <w:pStyle w:val="61"/>
        <w:spacing w:line="360" w:lineRule="auto"/>
        <w:ind w:firstLine="0" w:firstLineChars="0"/>
        <w:jc w:val="center"/>
        <w:rPr>
          <w:rFonts w:hint="eastAsia" w:ascii="黑体" w:hAnsi="黑体" w:eastAsia="黑体"/>
        </w:rPr>
      </w:pPr>
      <w:r>
        <w:rPr>
          <w:rFonts w:ascii="黑体" w:hAnsi="黑体" w:eastAsia="黑体"/>
        </w:rPr>
        <w:t>参考</w:t>
      </w:r>
      <w:r>
        <w:rPr>
          <w:rFonts w:hint="eastAsia" w:ascii="黑体" w:hAnsi="黑体" w:eastAsia="黑体"/>
        </w:rPr>
        <w:t>文献</w:t>
      </w:r>
    </w:p>
    <w:p>
      <w:pPr>
        <w:pStyle w:val="61"/>
        <w:ind w:firstLine="420"/>
      </w:pPr>
      <w:r>
        <w:rPr>
          <w:rFonts w:hint="eastAsia"/>
        </w:rPr>
        <w:t>[1]</w:t>
      </w:r>
      <w:r>
        <w:t>JTG 3362—2018 公路钢筋混凝土及预应力混凝土桥涵设计规范</w:t>
      </w:r>
    </w:p>
    <w:p>
      <w:pPr>
        <w:pStyle w:val="61"/>
        <w:ind w:firstLine="420"/>
      </w:pPr>
      <w:r>
        <w:rPr>
          <w:rFonts w:hint="eastAsia"/>
        </w:rPr>
        <w:t>[2]</w:t>
      </w:r>
      <w:r>
        <w:t>T/CFA 020101021 预应力铸铁锚垫板通用技术规范</w:t>
      </w:r>
    </w:p>
    <w:p>
      <w:pPr>
        <w:pStyle w:val="61"/>
        <w:ind w:firstLine="420"/>
      </w:pPr>
      <w:r>
        <w:rPr>
          <w:rFonts w:hint="eastAsia"/>
        </w:rPr>
        <w:t>[3]</w:t>
      </w:r>
      <w:r>
        <w:t>JT/T 329-2025</w:t>
      </w:r>
      <w:r>
        <w:rPr>
          <w:rFonts w:hint="eastAsia"/>
        </w:rPr>
        <w:t xml:space="preserve"> </w:t>
      </w:r>
      <w:r>
        <w:t>公路桥梁预应力钢绞线用锚具、夹具和连接器</w:t>
      </w:r>
    </w:p>
    <w:bookmarkEnd w:id="155"/>
    <w:p>
      <w:pPr>
        <w:pStyle w:val="61"/>
        <w:ind w:firstLine="0" w:firstLineChars="0"/>
        <w:jc w:val="center"/>
      </w:pPr>
      <w:bookmarkStart w:id="156" w:name="BookMark8"/>
      <w:r>
        <w:drawing>
          <wp:inline distT="0" distB="0" distL="0" distR="0">
            <wp:extent cx="1485900" cy="317500"/>
            <wp:effectExtent l="0" t="0" r="0" b="6350"/>
            <wp:docPr id="1571909339" name="图片 3"/>
            <wp:cNvGraphicFramePr/>
            <a:graphic xmlns:a="http://schemas.openxmlformats.org/drawingml/2006/main">
              <a:graphicData uri="http://schemas.openxmlformats.org/drawingml/2006/picture">
                <pic:pic xmlns:pic="http://schemas.openxmlformats.org/drawingml/2006/picture">
                  <pic:nvPicPr>
                    <pic:cNvPr id="1571909339" name="图片 3"/>
                    <pic:cNvPicPr/>
                  </pic:nvPicPr>
                  <pic:blipFill>
                    <a:blip r:embed="rId3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56"/>
    </w:p>
    <w:sectPr>
      <w:headerReference r:id="rId29" w:type="default"/>
      <w:footerReference r:id="rId31" w:type="default"/>
      <w:headerReference r:id="rId30" w:type="even"/>
      <w:footerReference r:id="rId32" w:type="even"/>
      <w:pgSz w:w="11906" w:h="16838"/>
      <w:pgMar w:top="2410" w:right="1134" w:bottom="1134" w:left="1134" w:header="1418" w:footer="1134" w:gutter="284"/>
      <w:cols w:space="425" w:num="1"/>
      <w:formProt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DokChampa">
    <w:panose1 w:val="020B0604020202020204"/>
    <w:charset w:val="00"/>
    <w:family w:val="swiss"/>
    <w:pitch w:val="default"/>
    <w:sig w:usb0="03000003" w:usb1="00000000" w:usb2="00000000" w:usb3="00000000" w:csb0="40010001" w:csb1="00000000"/>
  </w:font>
  <w:font w:name="仿宋">
    <w:panose1 w:val="02010609060101010101"/>
    <w:charset w:val="86"/>
    <w:family w:val="modern"/>
    <w:pitch w:val="default"/>
    <w:sig w:usb0="800002BF" w:usb1="38CF7CFA" w:usb2="00000016" w:usb3="00000000" w:csb0="00040001"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 PAGE   \* MERGEFORMAT \* MERGEFORMAT </w:instrText>
    </w:r>
    <w:r>
      <w:fldChar w:fldCharType="separate"/>
    </w:r>
    <w: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PAGE   \* MERGEFORMAT</w:instrText>
    </w:r>
    <w:r>
      <w:fldChar w:fldCharType="separate"/>
    </w:r>
    <w:r>
      <w:rPr>
        <w:lang w:val="zh-CN"/>
      </w:rP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 PAGE   \* MERGEFORMAT \* MERGEFORMAT </w:instrText>
    </w:r>
    <w:r>
      <w:fldChar w:fldCharType="separate"/>
    </w:r>
    <w:r>
      <w:t>I</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PAGE   \* MERGEFORMAT</w:instrText>
    </w:r>
    <w:r>
      <w:fldChar w:fldCharType="separate"/>
    </w:r>
    <w:r>
      <w:rPr>
        <w:lang w:val="zh-CN"/>
      </w:rPr>
      <w:t>19</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 PAGE   \* MERGEFORMAT \* MERGEFORMAT </w:instrText>
    </w:r>
    <w:r>
      <w:fldChar w:fldCharType="separate"/>
    </w:r>
    <w:r>
      <w:t>6</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PAGE   \* MERGEFORMAT</w:instrText>
    </w:r>
    <w:r>
      <w:fldChar w:fldCharType="separate"/>
    </w:r>
    <w:r>
      <w:rPr>
        <w:lang w:val="zh-CN"/>
      </w:rPr>
      <w:t>19</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 PAGE   \* MERGEFORMAT \* MERGEFORMAT </w:instrText>
    </w:r>
    <w:r>
      <w:fldChar w:fldCharType="separate"/>
    </w:r>
    <w:r>
      <w:t>8</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PAGE   \* MERGEFORMAT</w:instrText>
    </w:r>
    <w:r>
      <w:fldChar w:fldCharType="separate"/>
    </w:r>
    <w:r>
      <w:rPr>
        <w:lang w:val="zh-CN"/>
      </w:rPr>
      <w:t>37</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 PAGE   \* MERGEFORMAT \* MERGEFORMAT </w:instrText>
    </w:r>
    <w:r>
      <w:fldChar w:fldCharType="separate"/>
    </w:r>
    <w:r>
      <w:t>36</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PAGE   \* MERGEFORMAT</w:instrText>
    </w:r>
    <w:r>
      <w:fldChar w:fldCharType="separate"/>
    </w:r>
    <w:r>
      <w:rPr>
        <w:lang w:val="zh-CN"/>
      </w:rPr>
      <w:t>37</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 PAGE   \* MERGEFORMAT \* MERGEFORMAT </w:instrText>
    </w:r>
    <w:r>
      <w:fldChar w:fldCharType="separate"/>
    </w:r>
    <w:r>
      <w:t>10</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fldChar w:fldCharType="begin"/>
    </w:r>
    <w:r>
      <w:instrText xml:space="preserve"> STYLEREF  标准文件_文件编号  \* MERGEFORMAT </w:instrText>
    </w:r>
    <w:r>
      <w:fldChar w:fldCharType="separate"/>
    </w:r>
    <w:r>
      <w:rPr>
        <w:rFonts w:hint="eastAsia"/>
      </w:rPr>
      <w:t>DB43/T XX—202X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DB43/T XX—202X</w:t>
    </w:r>
    <w:r>
      <w:rPr>
        <w:rFonts w:hint="eastAsia"/>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fldChar w:fldCharType="begin"/>
    </w:r>
    <w:r>
      <w:instrText xml:space="preserve"> STYLEREF  标准文件_文件编号  \* MERGEFORMAT </w:instrText>
    </w:r>
    <w:r>
      <w:fldChar w:fldCharType="separate"/>
    </w:r>
    <w:r>
      <w:rPr>
        <w:rFonts w:hint="eastAsia"/>
      </w:rPr>
      <w:t>DB43/T XX—202X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DB43/T XX—202X</w:t>
    </w:r>
    <w:r>
      <w:rPr>
        <w:rFonts w:hint="eastAsia"/>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fldChar w:fldCharType="begin"/>
    </w:r>
    <w:r>
      <w:instrText xml:space="preserve"> STYLEREF  标准文件_文件编号  \* MERGEFORMAT </w:instrText>
    </w:r>
    <w:r>
      <w:fldChar w:fldCharType="separate"/>
    </w:r>
    <w:r>
      <w:rPr>
        <w:rFonts w:hint="eastAsia"/>
      </w:rPr>
      <w:t>DB43/T XX—202X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DB43/T XX—202X</w:t>
    </w:r>
    <w:r>
      <w:rPr>
        <w:rFonts w:hint="eastAsia"/>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fldChar w:fldCharType="begin"/>
    </w:r>
    <w:r>
      <w:instrText xml:space="preserve"> STYLEREF  标准文件_文件编号  \* MERGEFORMAT </w:instrText>
    </w:r>
    <w:r>
      <w:fldChar w:fldCharType="separate"/>
    </w:r>
    <w:r>
      <w:rPr>
        <w:rFonts w:hint="eastAsia"/>
      </w:rPr>
      <w:t>DB43/T XX—202X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DB43/T XX—202X</w:t>
    </w:r>
    <w:r>
      <w:rPr>
        <w:rFonts w:hint="eastAsia"/>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fldChar w:fldCharType="begin"/>
    </w:r>
    <w:r>
      <w:instrText xml:space="preserve"> STYLEREF  标准文件_文件编号  \* MERGEFORMAT </w:instrText>
    </w:r>
    <w:r>
      <w:fldChar w:fldCharType="separate"/>
    </w:r>
    <w:r>
      <w:rPr>
        <w:rFonts w:hint="eastAsia"/>
      </w:rPr>
      <w:t>DB43/T XX—202X</w:t>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rPr>
        <w:rFonts w:hint="eastAsia"/>
      </w:rPr>
    </w:pPr>
    <w:r>
      <w:fldChar w:fldCharType="begin"/>
    </w:r>
    <w:r>
      <w:instrText xml:space="preserve"> STYLEREF  标准文件_文件编号 \* MERGEFORMAT </w:instrText>
    </w:r>
    <w:r>
      <w:fldChar w:fldCharType="separate"/>
    </w:r>
    <w:r>
      <w:rPr>
        <w:rFonts w:hint="eastAsia"/>
      </w:rPr>
      <w:t>DB43/T XX—202X</w:t>
    </w:r>
    <w: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rPr>
        <w:rFonts w:hint="eastAsia"/>
      </w:rPr>
    </w:pPr>
    <w:r>
      <w:fldChar w:fldCharType="begin"/>
    </w:r>
    <w:r>
      <w:instrText xml:space="preserve"> STYLEREF  标准文件_文件编号  \* MERGEFORMAT </w:instrText>
    </w:r>
    <w:r>
      <w:fldChar w:fldCharType="separate"/>
    </w:r>
    <w:r>
      <w:rPr>
        <w:rFonts w:hint="eastAsia"/>
      </w:rPr>
      <w:t>DB43/T XX—202X</w:t>
    </w:r>
    <w: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rPr>
        <w:rFonts w:hint="eastAsia"/>
      </w:rPr>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DB43/T XX—202X</w:t>
    </w:r>
    <w:r>
      <w:rPr>
        <w:rFonts w:hint="eastAsi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9"/>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4"/>
      <w:suff w:val="nothing"/>
      <w:lvlText w:val="%1%2.%3　"/>
      <w:lvlJc w:val="left"/>
      <w:pPr>
        <w:ind w:left="0" w:firstLine="0"/>
      </w:pPr>
    </w:lvl>
    <w:lvl w:ilvl="3" w:tentative="0">
      <w:start w:val="1"/>
      <w:numFmt w:val="decimal"/>
      <w:pStyle w:val="123"/>
      <w:suff w:val="nothing"/>
      <w:lvlText w:val="%1%2.%3.%4　"/>
      <w:lvlJc w:val="left"/>
      <w:pPr>
        <w:ind w:left="0" w:firstLine="0"/>
      </w:pPr>
    </w:lvl>
    <w:lvl w:ilvl="4" w:tentative="0">
      <w:start w:val="1"/>
      <w:numFmt w:val="decimal"/>
      <w:pStyle w:val="158"/>
      <w:suff w:val="nothing"/>
      <w:lvlText w:val="%1%2.%3.%4.%5　"/>
      <w:lvlJc w:val="left"/>
      <w:pPr>
        <w:ind w:left="0" w:firstLine="0"/>
      </w:pPr>
    </w:lvl>
    <w:lvl w:ilvl="5" w:tentative="0">
      <w:start w:val="1"/>
      <w:numFmt w:val="decimal"/>
      <w:pStyle w:val="160"/>
      <w:suff w:val="nothing"/>
      <w:lvlText w:val="%1%2.%3.%4.%5.%6　"/>
      <w:lvlJc w:val="left"/>
      <w:pPr>
        <w:ind w:left="0" w:firstLine="0"/>
      </w:pPr>
    </w:lvl>
    <w:lvl w:ilvl="6" w:tentative="0">
      <w:start w:val="1"/>
      <w:numFmt w:val="decimal"/>
      <w:pStyle w:val="163"/>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5"/>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4"/>
      <w:lvlText w:val="%1"/>
      <w:lvlJc w:val="left"/>
      <w:pPr>
        <w:ind w:left="425" w:hanging="425"/>
      </w:pPr>
      <w:rPr>
        <w:rFonts w:hint="eastAsia"/>
      </w:rPr>
    </w:lvl>
    <w:lvl w:ilvl="1" w:tentative="0">
      <w:start w:val="1"/>
      <w:numFmt w:val="decimal"/>
      <w:pStyle w:val="205"/>
      <w:suff w:val="nothing"/>
      <w:lvlText w:val="%10.%2 "/>
      <w:lvlJc w:val="left"/>
      <w:pPr>
        <w:ind w:left="0" w:firstLine="0"/>
      </w:pPr>
      <w:rPr>
        <w:rFonts w:hint="eastAsia" w:ascii="黑体" w:eastAsia="黑体" w:hAnsiTheme="minorHAnsi"/>
        <w:b w:val="0"/>
        <w:i w:val="0"/>
        <w:sz w:val="21"/>
      </w:rPr>
    </w:lvl>
    <w:lvl w:ilvl="2" w:tentative="0">
      <w:start w:val="1"/>
      <w:numFmt w:val="decimal"/>
      <w:pStyle w:val="206"/>
      <w:suff w:val="nothing"/>
      <w:lvlText w:val="%10.%2.%3 "/>
      <w:lvlJc w:val="left"/>
      <w:pPr>
        <w:ind w:left="0" w:firstLine="0"/>
      </w:pPr>
      <w:rPr>
        <w:rFonts w:hint="eastAsia" w:ascii="黑体" w:eastAsia="黑体" w:hAnsiTheme="minorHAnsi"/>
        <w:b w:val="0"/>
        <w:i w:val="0"/>
        <w:sz w:val="21"/>
      </w:rPr>
    </w:lvl>
    <w:lvl w:ilvl="3" w:tentative="0">
      <w:start w:val="1"/>
      <w:numFmt w:val="decimal"/>
      <w:pStyle w:val="207"/>
      <w:suff w:val="nothing"/>
      <w:lvlText w:val="%10.%2.%3.%4 "/>
      <w:lvlJc w:val="left"/>
      <w:pPr>
        <w:ind w:left="0" w:firstLine="0"/>
      </w:pPr>
      <w:rPr>
        <w:rFonts w:hint="eastAsia" w:ascii="黑体" w:eastAsia="黑体" w:hAnsiTheme="minorHAnsi"/>
        <w:b w:val="0"/>
        <w:i w:val="0"/>
        <w:sz w:val="21"/>
      </w:rPr>
    </w:lvl>
    <w:lvl w:ilvl="4" w:tentative="0">
      <w:start w:val="1"/>
      <w:numFmt w:val="decimal"/>
      <w:pStyle w:val="208"/>
      <w:suff w:val="nothing"/>
      <w:lvlText w:val="%10.%2.%3.%4.%5 "/>
      <w:lvlJc w:val="left"/>
      <w:pPr>
        <w:ind w:left="0" w:firstLine="0"/>
      </w:pPr>
      <w:rPr>
        <w:rFonts w:hint="eastAsia" w:ascii="黑体" w:eastAsia="黑体" w:hAnsiTheme="minorHAnsi"/>
        <w:b w:val="0"/>
        <w:i w:val="0"/>
        <w:sz w:val="21"/>
      </w:rPr>
    </w:lvl>
    <w:lvl w:ilvl="5" w:tentative="0">
      <w:start w:val="1"/>
      <w:numFmt w:val="decimal"/>
      <w:pStyle w:val="209"/>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6"/>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2"/>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4"/>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5"/>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90"/>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7"/>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7"/>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2"/>
      <w:lvlText w:val=""/>
      <w:lvlJc w:val="left"/>
      <w:pPr>
        <w:ind w:left="851" w:hanging="431"/>
      </w:pPr>
      <w:rPr>
        <w:rFonts w:hint="default" w:ascii="Symbol" w:hAnsi="Symbol"/>
        <w:sz w:val="21"/>
      </w:rPr>
    </w:lvl>
    <w:lvl w:ilvl="2" w:tentative="0">
      <w:start w:val="1"/>
      <w:numFmt w:val="bullet"/>
      <w:pStyle w:val="177"/>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6"/>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8802D1C"/>
    <w:multiLevelType w:val="multilevel"/>
    <w:tmpl w:val="48802D1C"/>
    <w:lvl w:ilvl="0" w:tentative="0">
      <w:start w:val="1"/>
      <w:numFmt w:val="upperLetter"/>
      <w:pStyle w:val="203"/>
      <w:lvlText w:val="%1"/>
      <w:lvlJc w:val="left"/>
      <w:pPr>
        <w:ind w:left="420" w:hanging="420"/>
      </w:pPr>
      <w:rPr>
        <w:rFonts w:hint="eastAsia"/>
      </w:rPr>
    </w:lvl>
    <w:lvl w:ilvl="1" w:tentative="0">
      <w:start w:val="1"/>
      <w:numFmt w:val="decimal"/>
      <w:pStyle w:val="88"/>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
    <w:nsid w:val="4B733A5F"/>
    <w:multiLevelType w:val="multilevel"/>
    <w:tmpl w:val="4B733A5F"/>
    <w:lvl w:ilvl="0" w:tentative="0">
      <w:start w:val="1"/>
      <w:numFmt w:val="decimal"/>
      <w:pStyle w:val="188"/>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4">
    <w:nsid w:val="4E5D0534"/>
    <w:multiLevelType w:val="multilevel"/>
    <w:tmpl w:val="4E5D0534"/>
    <w:lvl w:ilvl="0" w:tentative="0">
      <w:start w:val="1"/>
      <w:numFmt w:val="decimal"/>
      <w:pStyle w:val="121"/>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5">
    <w:nsid w:val="54632751"/>
    <w:multiLevelType w:val="multilevel"/>
    <w:tmpl w:val="54632751"/>
    <w:lvl w:ilvl="0" w:tentative="0">
      <w:start w:val="1"/>
      <w:numFmt w:val="none"/>
      <w:pStyle w:val="98"/>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6">
    <w:nsid w:val="557C2AF5"/>
    <w:multiLevelType w:val="multilevel"/>
    <w:tmpl w:val="557C2AF5"/>
    <w:lvl w:ilvl="0" w:tentative="0">
      <w:start w:val="1"/>
      <w:numFmt w:val="decimal"/>
      <w:pStyle w:val="119"/>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603797C"/>
    <w:multiLevelType w:val="multilevel"/>
    <w:tmpl w:val="5603797C"/>
    <w:lvl w:ilvl="0" w:tentative="0">
      <w:start w:val="1"/>
      <w:numFmt w:val="upperLetter"/>
      <w:pStyle w:val="204"/>
      <w:suff w:val="space"/>
      <w:lvlText w:val="%1"/>
      <w:lvlJc w:val="left"/>
      <w:pPr>
        <w:ind w:left="425" w:hanging="425"/>
      </w:pPr>
      <w:rPr>
        <w:rFonts w:hint="eastAsia"/>
      </w:rPr>
    </w:lvl>
    <w:lvl w:ilvl="1" w:tentative="0">
      <w:start w:val="1"/>
      <w:numFmt w:val="decimal"/>
      <w:pStyle w:val="82"/>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8">
    <w:nsid w:val="564D2089"/>
    <w:multiLevelType w:val="multilevel"/>
    <w:tmpl w:val="564D2089"/>
    <w:lvl w:ilvl="0" w:tentative="0">
      <w:start w:val="1"/>
      <w:numFmt w:val="none"/>
      <w:pStyle w:val="116"/>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644622F9"/>
    <w:multiLevelType w:val="multilevel"/>
    <w:tmpl w:val="644622F9"/>
    <w:lvl w:ilvl="0" w:tentative="0">
      <w:start w:val="1"/>
      <w:numFmt w:val="upp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0">
    <w:nsid w:val="646260FA"/>
    <w:multiLevelType w:val="multilevel"/>
    <w:tmpl w:val="646260FA"/>
    <w:lvl w:ilvl="0" w:tentative="0">
      <w:start w:val="1"/>
      <w:numFmt w:val="decimal"/>
      <w:pStyle w:val="117"/>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1">
    <w:nsid w:val="654A26C9"/>
    <w:multiLevelType w:val="multilevel"/>
    <w:tmpl w:val="654A26C9"/>
    <w:lvl w:ilvl="0" w:tentative="0">
      <w:start w:val="1"/>
      <w:numFmt w:val="none"/>
      <w:pStyle w:val="194"/>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2">
    <w:nsid w:val="657D3FBC"/>
    <w:multiLevelType w:val="multilevel"/>
    <w:tmpl w:val="657D3FBC"/>
    <w:lvl w:ilvl="0" w:tentative="0">
      <w:start w:val="1"/>
      <w:numFmt w:val="upperLetter"/>
      <w:pStyle w:val="81"/>
      <w:suff w:val="nothing"/>
      <w:lvlText w:val="附录%1"/>
      <w:lvlJc w:val="left"/>
      <w:pPr>
        <w:ind w:left="0" w:firstLine="0"/>
      </w:pPr>
      <w:rPr>
        <w:rFonts w:hint="eastAsia"/>
        <w:spacing w:val="100"/>
      </w:rPr>
    </w:lvl>
    <w:lvl w:ilvl="1" w:tentative="0">
      <w:start w:val="1"/>
      <w:numFmt w:val="decimal"/>
      <w:pStyle w:val="83"/>
      <w:suff w:val="nothing"/>
      <w:lvlText w:val="%1.%2　"/>
      <w:lvlJc w:val="left"/>
      <w:pPr>
        <w:ind w:left="0" w:firstLine="0"/>
      </w:pPr>
      <w:rPr>
        <w:rFonts w:hint="eastAsia" w:ascii="黑体" w:eastAsia="黑体"/>
        <w:b w:val="0"/>
        <w:i w:val="0"/>
        <w:sz w:val="21"/>
      </w:rPr>
    </w:lvl>
    <w:lvl w:ilvl="2" w:tentative="0">
      <w:start w:val="1"/>
      <w:numFmt w:val="decimal"/>
      <w:pStyle w:val="84"/>
      <w:suff w:val="nothing"/>
      <w:lvlText w:val="%1.%2.%3　"/>
      <w:lvlJc w:val="left"/>
      <w:pPr>
        <w:ind w:left="0" w:firstLine="0"/>
      </w:pPr>
      <w:rPr>
        <w:rFonts w:hint="eastAsia" w:ascii="黑体" w:eastAsia="黑体"/>
        <w:b w:val="0"/>
        <w:i w:val="0"/>
        <w:sz w:val="21"/>
      </w:rPr>
    </w:lvl>
    <w:lvl w:ilvl="3" w:tentative="0">
      <w:start w:val="1"/>
      <w:numFmt w:val="decimal"/>
      <w:pStyle w:val="86"/>
      <w:suff w:val="nothing"/>
      <w:lvlText w:val="%1.%2.%3.%4　"/>
      <w:lvlJc w:val="left"/>
      <w:pPr>
        <w:ind w:left="0" w:firstLine="0"/>
      </w:pPr>
      <w:rPr>
        <w:rFonts w:hint="eastAsia" w:ascii="黑体" w:eastAsia="黑体"/>
        <w:b w:val="0"/>
        <w:i w:val="0"/>
        <w:sz w:val="21"/>
      </w:rPr>
    </w:lvl>
    <w:lvl w:ilvl="4" w:tentative="0">
      <w:start w:val="1"/>
      <w:numFmt w:val="decimal"/>
      <w:pStyle w:val="87"/>
      <w:suff w:val="nothing"/>
      <w:lvlText w:val="%1.%2.%3.%4.%5　"/>
      <w:lvlJc w:val="left"/>
      <w:pPr>
        <w:ind w:left="0" w:firstLine="0"/>
      </w:pPr>
      <w:rPr>
        <w:rFonts w:hint="eastAsia" w:ascii="黑体" w:eastAsia="黑体"/>
        <w:b w:val="0"/>
        <w:i w:val="0"/>
        <w:sz w:val="21"/>
      </w:rPr>
    </w:lvl>
    <w:lvl w:ilvl="5" w:tentative="0">
      <w:start w:val="1"/>
      <w:numFmt w:val="decimal"/>
      <w:pStyle w:val="89"/>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3">
    <w:nsid w:val="69506ABF"/>
    <w:multiLevelType w:val="multilevel"/>
    <w:tmpl w:val="69506ABF"/>
    <w:lvl w:ilvl="0" w:tentative="0">
      <w:start w:val="1"/>
      <w:numFmt w:val="bullet"/>
      <w:pStyle w:val="193"/>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4">
    <w:nsid w:val="6CA41985"/>
    <w:multiLevelType w:val="multilevel"/>
    <w:tmpl w:val="6CA41985"/>
    <w:lvl w:ilvl="0" w:tentative="0">
      <w:start w:val="1"/>
      <w:numFmt w:val="decimal"/>
      <w:pStyle w:val="102"/>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6CE42AC1"/>
    <w:multiLevelType w:val="multilevel"/>
    <w:tmpl w:val="6CE42AC1"/>
    <w:lvl w:ilvl="0" w:tentative="0">
      <w:start w:val="1"/>
      <w:numFmt w:val="lowerLetter"/>
      <w:pStyle w:val="178"/>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6CEA2025"/>
    <w:multiLevelType w:val="multilevel"/>
    <w:tmpl w:val="6CEA2025"/>
    <w:lvl w:ilvl="0" w:tentative="0">
      <w:start w:val="1"/>
      <w:numFmt w:val="none"/>
      <w:pStyle w:val="157"/>
      <w:suff w:val="nothing"/>
      <w:lvlText w:val="%1"/>
      <w:lvlJc w:val="left"/>
      <w:pPr>
        <w:ind w:left="0" w:firstLine="0"/>
      </w:pPr>
      <w:rPr>
        <w:rFonts w:hint="eastAsia"/>
      </w:rPr>
    </w:lvl>
    <w:lvl w:ilvl="1" w:tentative="0">
      <w:start w:val="1"/>
      <w:numFmt w:val="decimal"/>
      <w:pStyle w:val="109"/>
      <w:suff w:val="nothing"/>
      <w:lvlText w:val="%1%2　"/>
      <w:lvlJc w:val="left"/>
      <w:pPr>
        <w:ind w:left="0" w:firstLine="0"/>
      </w:pPr>
      <w:rPr>
        <w:rFonts w:hint="eastAsia" w:ascii="黑体" w:eastAsia="黑体"/>
        <w:b w:val="0"/>
        <w:i w:val="0"/>
        <w:sz w:val="21"/>
      </w:rPr>
    </w:lvl>
    <w:lvl w:ilvl="2" w:tentative="0">
      <w:start w:val="1"/>
      <w:numFmt w:val="decimal"/>
      <w:pStyle w:val="110"/>
      <w:suff w:val="nothing"/>
      <w:lvlText w:val="%1%2.%3　"/>
      <w:lvlJc w:val="left"/>
      <w:pPr>
        <w:ind w:left="1843"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70"/>
      <w:suff w:val="nothing"/>
      <w:lvlText w:val="%1%2.%3.%4　"/>
      <w:lvlJc w:val="left"/>
      <w:pPr>
        <w:ind w:left="0" w:firstLine="0"/>
      </w:pPr>
      <w:rPr>
        <w:rFonts w:hint="eastAsia" w:ascii="黑体" w:eastAsia="黑体"/>
        <w:b w:val="0"/>
        <w:i w:val="0"/>
        <w:sz w:val="21"/>
      </w:rPr>
    </w:lvl>
    <w:lvl w:ilvl="4" w:tentative="0">
      <w:start w:val="1"/>
      <w:numFmt w:val="decimal"/>
      <w:pStyle w:val="99"/>
      <w:suff w:val="nothing"/>
      <w:lvlText w:val="%1%2.%3.%4.%5　"/>
      <w:lvlJc w:val="left"/>
      <w:pPr>
        <w:ind w:left="0" w:firstLine="0"/>
      </w:pPr>
      <w:rPr>
        <w:rFonts w:hint="eastAsia" w:ascii="黑体" w:eastAsia="黑体"/>
        <w:b w:val="0"/>
        <w:i w:val="0"/>
        <w:sz w:val="21"/>
      </w:rPr>
    </w:lvl>
    <w:lvl w:ilvl="5" w:tentative="0">
      <w:start w:val="1"/>
      <w:numFmt w:val="decimal"/>
      <w:pStyle w:val="103"/>
      <w:suff w:val="nothing"/>
      <w:lvlText w:val="%1%2.%3.%4.%5.%6　"/>
      <w:lvlJc w:val="left"/>
      <w:pPr>
        <w:ind w:left="0" w:firstLine="0"/>
      </w:pPr>
      <w:rPr>
        <w:rFonts w:hint="eastAsia" w:ascii="黑体" w:eastAsia="黑体"/>
        <w:b w:val="0"/>
        <w:i w:val="0"/>
        <w:sz w:val="21"/>
      </w:rPr>
    </w:lvl>
    <w:lvl w:ilvl="6" w:tentative="0">
      <w:start w:val="1"/>
      <w:numFmt w:val="decimal"/>
      <w:pStyle w:val="108"/>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7">
    <w:nsid w:val="6DBF04F4"/>
    <w:multiLevelType w:val="multilevel"/>
    <w:tmpl w:val="6DBF04F4"/>
    <w:lvl w:ilvl="0" w:tentative="0">
      <w:start w:val="1"/>
      <w:numFmt w:val="none"/>
      <w:pStyle w:val="184"/>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8">
    <w:nsid w:val="6DF35F19"/>
    <w:multiLevelType w:val="multilevel"/>
    <w:tmpl w:val="6DF35F19"/>
    <w:lvl w:ilvl="0" w:tentative="0">
      <w:start w:val="1"/>
      <w:numFmt w:val="decimal"/>
      <w:pStyle w:val="120"/>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9">
    <w:nsid w:val="76933334"/>
    <w:multiLevelType w:val="multilevel"/>
    <w:tmpl w:val="76933334"/>
    <w:lvl w:ilvl="0" w:tentative="0">
      <w:start w:val="1"/>
      <w:numFmt w:val="none"/>
      <w:pStyle w:val="144"/>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6"/>
  </w:num>
  <w:num w:numId="3">
    <w:abstractNumId w:val="5"/>
  </w:num>
  <w:num w:numId="4">
    <w:abstractNumId w:val="22"/>
  </w:num>
  <w:num w:numId="5">
    <w:abstractNumId w:val="17"/>
  </w:num>
  <w:num w:numId="6">
    <w:abstractNumId w:val="12"/>
  </w:num>
  <w:num w:numId="7">
    <w:abstractNumId w:val="8"/>
  </w:num>
  <w:num w:numId="8">
    <w:abstractNumId w:val="3"/>
  </w:num>
  <w:num w:numId="9">
    <w:abstractNumId w:val="9"/>
  </w:num>
  <w:num w:numId="10">
    <w:abstractNumId w:val="15"/>
  </w:num>
  <w:num w:numId="11">
    <w:abstractNumId w:val="24"/>
  </w:num>
  <w:num w:numId="12">
    <w:abstractNumId w:val="11"/>
  </w:num>
  <w:num w:numId="13">
    <w:abstractNumId w:val="7"/>
  </w:num>
  <w:num w:numId="14">
    <w:abstractNumId w:val="18"/>
  </w:num>
  <w:num w:numId="15">
    <w:abstractNumId w:val="20"/>
  </w:num>
  <w:num w:numId="16">
    <w:abstractNumId w:val="16"/>
  </w:num>
  <w:num w:numId="17">
    <w:abstractNumId w:val="28"/>
  </w:num>
  <w:num w:numId="18">
    <w:abstractNumId w:val="14"/>
  </w:num>
  <w:num w:numId="19">
    <w:abstractNumId w:val="1"/>
  </w:num>
  <w:num w:numId="20">
    <w:abstractNumId w:val="10"/>
  </w:num>
  <w:num w:numId="21">
    <w:abstractNumId w:val="29"/>
  </w:num>
  <w:num w:numId="22">
    <w:abstractNumId w:val="19"/>
  </w:num>
  <w:num w:numId="23">
    <w:abstractNumId w:val="6"/>
  </w:num>
  <w:num w:numId="24">
    <w:abstractNumId w:val="25"/>
  </w:num>
  <w:num w:numId="25">
    <w:abstractNumId w:val="27"/>
  </w:num>
  <w:num w:numId="26">
    <w:abstractNumId w:val="2"/>
  </w:num>
  <w:num w:numId="27">
    <w:abstractNumId w:val="4"/>
  </w:num>
  <w:num w:numId="28">
    <w:abstractNumId w:val="13"/>
  </w:num>
  <w:num w:numId="29">
    <w:abstractNumId w:val="23"/>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attachedTemplate r:id="rId1"/>
  <w:documentProtection w:edit="forms"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gzYTk0YjY2ZTQ2MmViYmIzMmQxODc5YzU4ZTUzM2IifQ=="/>
  </w:docVars>
  <w:rsids>
    <w:rsidRoot w:val="000074E7"/>
    <w:rsid w:val="0000040A"/>
    <w:rsid w:val="00000A94"/>
    <w:rsid w:val="00001324"/>
    <w:rsid w:val="000016AD"/>
    <w:rsid w:val="00001972"/>
    <w:rsid w:val="00001D9A"/>
    <w:rsid w:val="0000204E"/>
    <w:rsid w:val="00002104"/>
    <w:rsid w:val="00002C1F"/>
    <w:rsid w:val="00003CC8"/>
    <w:rsid w:val="00003EBE"/>
    <w:rsid w:val="000074E7"/>
    <w:rsid w:val="00007B3A"/>
    <w:rsid w:val="000107E0"/>
    <w:rsid w:val="00011E5F"/>
    <w:rsid w:val="00011FDE"/>
    <w:rsid w:val="00012FFD"/>
    <w:rsid w:val="00014162"/>
    <w:rsid w:val="00014288"/>
    <w:rsid w:val="00014340"/>
    <w:rsid w:val="00014A18"/>
    <w:rsid w:val="00016A9C"/>
    <w:rsid w:val="00017B22"/>
    <w:rsid w:val="00022184"/>
    <w:rsid w:val="00022762"/>
    <w:rsid w:val="000238E0"/>
    <w:rsid w:val="000249DB"/>
    <w:rsid w:val="0002595E"/>
    <w:rsid w:val="0002776D"/>
    <w:rsid w:val="00027BD4"/>
    <w:rsid w:val="000303C3"/>
    <w:rsid w:val="00031D72"/>
    <w:rsid w:val="000325D9"/>
    <w:rsid w:val="000331D3"/>
    <w:rsid w:val="0003345B"/>
    <w:rsid w:val="00033E15"/>
    <w:rsid w:val="000346A5"/>
    <w:rsid w:val="000359C3"/>
    <w:rsid w:val="00035A7D"/>
    <w:rsid w:val="000365ED"/>
    <w:rsid w:val="00036A33"/>
    <w:rsid w:val="00040ACD"/>
    <w:rsid w:val="00041F8C"/>
    <w:rsid w:val="0004240F"/>
    <w:rsid w:val="0004249A"/>
    <w:rsid w:val="00043282"/>
    <w:rsid w:val="00044286"/>
    <w:rsid w:val="00046867"/>
    <w:rsid w:val="00047C28"/>
    <w:rsid w:val="00047F28"/>
    <w:rsid w:val="000503AA"/>
    <w:rsid w:val="000506A1"/>
    <w:rsid w:val="000515DD"/>
    <w:rsid w:val="0005265A"/>
    <w:rsid w:val="000539DD"/>
    <w:rsid w:val="00053BD3"/>
    <w:rsid w:val="000556ED"/>
    <w:rsid w:val="00055FE2"/>
    <w:rsid w:val="0005616F"/>
    <w:rsid w:val="00057C26"/>
    <w:rsid w:val="00060C2E"/>
    <w:rsid w:val="00061033"/>
    <w:rsid w:val="000619E9"/>
    <w:rsid w:val="00061F87"/>
    <w:rsid w:val="000622D4"/>
    <w:rsid w:val="00062CC9"/>
    <w:rsid w:val="00062F44"/>
    <w:rsid w:val="0006357D"/>
    <w:rsid w:val="00064595"/>
    <w:rsid w:val="0006482A"/>
    <w:rsid w:val="000651A8"/>
    <w:rsid w:val="0006641C"/>
    <w:rsid w:val="00066A8D"/>
    <w:rsid w:val="00067684"/>
    <w:rsid w:val="00067F1E"/>
    <w:rsid w:val="00070610"/>
    <w:rsid w:val="00071C48"/>
    <w:rsid w:val="00071CC0"/>
    <w:rsid w:val="00071CFC"/>
    <w:rsid w:val="00073B5B"/>
    <w:rsid w:val="00073C8C"/>
    <w:rsid w:val="00076FD8"/>
    <w:rsid w:val="00077B64"/>
    <w:rsid w:val="00080A1C"/>
    <w:rsid w:val="00082317"/>
    <w:rsid w:val="00083D2C"/>
    <w:rsid w:val="00084DE6"/>
    <w:rsid w:val="000855CA"/>
    <w:rsid w:val="00085C57"/>
    <w:rsid w:val="00085D8A"/>
    <w:rsid w:val="00086AA1"/>
    <w:rsid w:val="00087A77"/>
    <w:rsid w:val="0009014B"/>
    <w:rsid w:val="00090CA6"/>
    <w:rsid w:val="00092B8A"/>
    <w:rsid w:val="00092C5A"/>
    <w:rsid w:val="00092FB0"/>
    <w:rsid w:val="000934C5"/>
    <w:rsid w:val="00093D25"/>
    <w:rsid w:val="00093DAB"/>
    <w:rsid w:val="00094892"/>
    <w:rsid w:val="00094D73"/>
    <w:rsid w:val="00094F17"/>
    <w:rsid w:val="00096D63"/>
    <w:rsid w:val="000A0B60"/>
    <w:rsid w:val="000A0E89"/>
    <w:rsid w:val="000A0EB8"/>
    <w:rsid w:val="000A13B5"/>
    <w:rsid w:val="000A19FC"/>
    <w:rsid w:val="000A27DC"/>
    <w:rsid w:val="000A296B"/>
    <w:rsid w:val="000A6AC6"/>
    <w:rsid w:val="000A7311"/>
    <w:rsid w:val="000B060F"/>
    <w:rsid w:val="000B0E23"/>
    <w:rsid w:val="000B1592"/>
    <w:rsid w:val="000B1FF2"/>
    <w:rsid w:val="000B3CDA"/>
    <w:rsid w:val="000B5076"/>
    <w:rsid w:val="000B5930"/>
    <w:rsid w:val="000B6A0B"/>
    <w:rsid w:val="000C0F6C"/>
    <w:rsid w:val="000C11DB"/>
    <w:rsid w:val="000C1492"/>
    <w:rsid w:val="000C1AC8"/>
    <w:rsid w:val="000C1DD7"/>
    <w:rsid w:val="000C2E94"/>
    <w:rsid w:val="000C2FBD"/>
    <w:rsid w:val="000C3770"/>
    <w:rsid w:val="000C4B41"/>
    <w:rsid w:val="000C5362"/>
    <w:rsid w:val="000C57D6"/>
    <w:rsid w:val="000C6362"/>
    <w:rsid w:val="000C7666"/>
    <w:rsid w:val="000C7B5F"/>
    <w:rsid w:val="000D08C5"/>
    <w:rsid w:val="000D09ED"/>
    <w:rsid w:val="000D0A9C"/>
    <w:rsid w:val="000D1795"/>
    <w:rsid w:val="000D1DF0"/>
    <w:rsid w:val="000D2DA6"/>
    <w:rsid w:val="000D329A"/>
    <w:rsid w:val="000D3D4A"/>
    <w:rsid w:val="000D4B9C"/>
    <w:rsid w:val="000D4EB6"/>
    <w:rsid w:val="000D57AF"/>
    <w:rsid w:val="000D753B"/>
    <w:rsid w:val="000D781C"/>
    <w:rsid w:val="000E03E0"/>
    <w:rsid w:val="000E192A"/>
    <w:rsid w:val="000E3BCA"/>
    <w:rsid w:val="000E4C9E"/>
    <w:rsid w:val="000E6FD7"/>
    <w:rsid w:val="000F045E"/>
    <w:rsid w:val="000F06E1"/>
    <w:rsid w:val="000F0E3C"/>
    <w:rsid w:val="000F165B"/>
    <w:rsid w:val="000F19D5"/>
    <w:rsid w:val="000F1A32"/>
    <w:rsid w:val="000F2256"/>
    <w:rsid w:val="000F4050"/>
    <w:rsid w:val="000F457D"/>
    <w:rsid w:val="000F4AEA"/>
    <w:rsid w:val="000F5390"/>
    <w:rsid w:val="000F67E9"/>
    <w:rsid w:val="000F7F6A"/>
    <w:rsid w:val="00103E54"/>
    <w:rsid w:val="00104926"/>
    <w:rsid w:val="00105860"/>
    <w:rsid w:val="001069AC"/>
    <w:rsid w:val="0011054D"/>
    <w:rsid w:val="00112D1B"/>
    <w:rsid w:val="00113B1E"/>
    <w:rsid w:val="00113D28"/>
    <w:rsid w:val="001151B2"/>
    <w:rsid w:val="0011711C"/>
    <w:rsid w:val="001172CF"/>
    <w:rsid w:val="0012317C"/>
    <w:rsid w:val="00124A52"/>
    <w:rsid w:val="00124E4F"/>
    <w:rsid w:val="00125AA2"/>
    <w:rsid w:val="00125E08"/>
    <w:rsid w:val="001260B7"/>
    <w:rsid w:val="001265CB"/>
    <w:rsid w:val="00127A01"/>
    <w:rsid w:val="00130A9A"/>
    <w:rsid w:val="001321C6"/>
    <w:rsid w:val="001325C4"/>
    <w:rsid w:val="00133010"/>
    <w:rsid w:val="001336AC"/>
    <w:rsid w:val="001338EE"/>
    <w:rsid w:val="00133AAE"/>
    <w:rsid w:val="00133C2C"/>
    <w:rsid w:val="00135161"/>
    <w:rsid w:val="001352B0"/>
    <w:rsid w:val="00135323"/>
    <w:rsid w:val="001356C4"/>
    <w:rsid w:val="00136BD1"/>
    <w:rsid w:val="0013724D"/>
    <w:rsid w:val="00137565"/>
    <w:rsid w:val="00141114"/>
    <w:rsid w:val="00142499"/>
    <w:rsid w:val="00142969"/>
    <w:rsid w:val="00143BB2"/>
    <w:rsid w:val="001446C2"/>
    <w:rsid w:val="001457E7"/>
    <w:rsid w:val="00145D9D"/>
    <w:rsid w:val="00146388"/>
    <w:rsid w:val="00147523"/>
    <w:rsid w:val="00150105"/>
    <w:rsid w:val="0015044F"/>
    <w:rsid w:val="00151D6E"/>
    <w:rsid w:val="001522B7"/>
    <w:rsid w:val="001529E5"/>
    <w:rsid w:val="00152FB3"/>
    <w:rsid w:val="00153C7E"/>
    <w:rsid w:val="00153F1B"/>
    <w:rsid w:val="001565DB"/>
    <w:rsid w:val="00156B25"/>
    <w:rsid w:val="00156B9F"/>
    <w:rsid w:val="00156E1A"/>
    <w:rsid w:val="00156E68"/>
    <w:rsid w:val="00157894"/>
    <w:rsid w:val="00157B55"/>
    <w:rsid w:val="001612BA"/>
    <w:rsid w:val="00161A53"/>
    <w:rsid w:val="001636B6"/>
    <w:rsid w:val="00163C34"/>
    <w:rsid w:val="001642FA"/>
    <w:rsid w:val="00164732"/>
    <w:rsid w:val="00164854"/>
    <w:rsid w:val="001649EB"/>
    <w:rsid w:val="00164BAF"/>
    <w:rsid w:val="00164FA8"/>
    <w:rsid w:val="00165065"/>
    <w:rsid w:val="00165434"/>
    <w:rsid w:val="0016580B"/>
    <w:rsid w:val="00165F49"/>
    <w:rsid w:val="00166B88"/>
    <w:rsid w:val="0016770A"/>
    <w:rsid w:val="00170804"/>
    <w:rsid w:val="001708E9"/>
    <w:rsid w:val="00172640"/>
    <w:rsid w:val="00172F3C"/>
    <w:rsid w:val="0017340B"/>
    <w:rsid w:val="00173FB1"/>
    <w:rsid w:val="0017449A"/>
    <w:rsid w:val="001768AC"/>
    <w:rsid w:val="00176D3C"/>
    <w:rsid w:val="00176DFD"/>
    <w:rsid w:val="00181518"/>
    <w:rsid w:val="001852C9"/>
    <w:rsid w:val="001853C5"/>
    <w:rsid w:val="001863A5"/>
    <w:rsid w:val="00186BEC"/>
    <w:rsid w:val="00187A0B"/>
    <w:rsid w:val="00190087"/>
    <w:rsid w:val="001913C4"/>
    <w:rsid w:val="00191E7B"/>
    <w:rsid w:val="0019276B"/>
    <w:rsid w:val="0019348F"/>
    <w:rsid w:val="00193A07"/>
    <w:rsid w:val="00194C95"/>
    <w:rsid w:val="00195207"/>
    <w:rsid w:val="001952E1"/>
    <w:rsid w:val="001952FA"/>
    <w:rsid w:val="00195C34"/>
    <w:rsid w:val="00196EF5"/>
    <w:rsid w:val="00197A39"/>
    <w:rsid w:val="001A0517"/>
    <w:rsid w:val="001A10F8"/>
    <w:rsid w:val="001A1A53"/>
    <w:rsid w:val="001A234A"/>
    <w:rsid w:val="001A283A"/>
    <w:rsid w:val="001A3A4B"/>
    <w:rsid w:val="001A4CF3"/>
    <w:rsid w:val="001A6696"/>
    <w:rsid w:val="001A66F0"/>
    <w:rsid w:val="001A708E"/>
    <w:rsid w:val="001A7561"/>
    <w:rsid w:val="001B06E8"/>
    <w:rsid w:val="001B71D0"/>
    <w:rsid w:val="001B71EE"/>
    <w:rsid w:val="001C04A8"/>
    <w:rsid w:val="001C10E4"/>
    <w:rsid w:val="001C138A"/>
    <w:rsid w:val="001C166D"/>
    <w:rsid w:val="001C2C03"/>
    <w:rsid w:val="001C42F7"/>
    <w:rsid w:val="001C4534"/>
    <w:rsid w:val="001C49E5"/>
    <w:rsid w:val="001C4DCC"/>
    <w:rsid w:val="001C4F60"/>
    <w:rsid w:val="001C680C"/>
    <w:rsid w:val="001C68E2"/>
    <w:rsid w:val="001C75E6"/>
    <w:rsid w:val="001C7FEA"/>
    <w:rsid w:val="001D0499"/>
    <w:rsid w:val="001D0BBE"/>
    <w:rsid w:val="001D0ED4"/>
    <w:rsid w:val="001D212F"/>
    <w:rsid w:val="001D24F8"/>
    <w:rsid w:val="001D29D7"/>
    <w:rsid w:val="001D2DE7"/>
    <w:rsid w:val="001D349E"/>
    <w:rsid w:val="001D3FEA"/>
    <w:rsid w:val="001D411C"/>
    <w:rsid w:val="001D498B"/>
    <w:rsid w:val="001D564A"/>
    <w:rsid w:val="001D56E1"/>
    <w:rsid w:val="001D669A"/>
    <w:rsid w:val="001D677A"/>
    <w:rsid w:val="001E112F"/>
    <w:rsid w:val="001E1B6A"/>
    <w:rsid w:val="001E1C08"/>
    <w:rsid w:val="001E2484"/>
    <w:rsid w:val="001E268F"/>
    <w:rsid w:val="001E293A"/>
    <w:rsid w:val="001E3CC4"/>
    <w:rsid w:val="001E43C4"/>
    <w:rsid w:val="001E472B"/>
    <w:rsid w:val="001E4882"/>
    <w:rsid w:val="001E73AB"/>
    <w:rsid w:val="001E7E3E"/>
    <w:rsid w:val="001F092D"/>
    <w:rsid w:val="001F10AC"/>
    <w:rsid w:val="001F13B1"/>
    <w:rsid w:val="001F143A"/>
    <w:rsid w:val="001F1605"/>
    <w:rsid w:val="001F2508"/>
    <w:rsid w:val="001F2546"/>
    <w:rsid w:val="001F2B03"/>
    <w:rsid w:val="001F3030"/>
    <w:rsid w:val="001F4816"/>
    <w:rsid w:val="001F4C6A"/>
    <w:rsid w:val="001F512D"/>
    <w:rsid w:val="001F5A7B"/>
    <w:rsid w:val="001F5ADA"/>
    <w:rsid w:val="001F69B4"/>
    <w:rsid w:val="001F6C3E"/>
    <w:rsid w:val="001F77C7"/>
    <w:rsid w:val="00200183"/>
    <w:rsid w:val="00200333"/>
    <w:rsid w:val="0020047B"/>
    <w:rsid w:val="0020107D"/>
    <w:rsid w:val="00202AA4"/>
    <w:rsid w:val="002031F7"/>
    <w:rsid w:val="00203D6C"/>
    <w:rsid w:val="002040E6"/>
    <w:rsid w:val="0020527B"/>
    <w:rsid w:val="002059CF"/>
    <w:rsid w:val="00205F2C"/>
    <w:rsid w:val="0020703A"/>
    <w:rsid w:val="002075D2"/>
    <w:rsid w:val="00210B12"/>
    <w:rsid w:val="00210B15"/>
    <w:rsid w:val="00212785"/>
    <w:rsid w:val="002142EA"/>
    <w:rsid w:val="00214C28"/>
    <w:rsid w:val="00215ADD"/>
    <w:rsid w:val="002175DC"/>
    <w:rsid w:val="002204BB"/>
    <w:rsid w:val="00221376"/>
    <w:rsid w:val="00221B79"/>
    <w:rsid w:val="00221C6B"/>
    <w:rsid w:val="00221D07"/>
    <w:rsid w:val="002253A1"/>
    <w:rsid w:val="00225CF8"/>
    <w:rsid w:val="00225EC3"/>
    <w:rsid w:val="002265F6"/>
    <w:rsid w:val="00227037"/>
    <w:rsid w:val="00227365"/>
    <w:rsid w:val="0022794E"/>
    <w:rsid w:val="0023078C"/>
    <w:rsid w:val="002317D8"/>
    <w:rsid w:val="00231DCB"/>
    <w:rsid w:val="00233D64"/>
    <w:rsid w:val="0023482A"/>
    <w:rsid w:val="002359CB"/>
    <w:rsid w:val="002366DA"/>
    <w:rsid w:val="00241274"/>
    <w:rsid w:val="00241DC9"/>
    <w:rsid w:val="00242991"/>
    <w:rsid w:val="00243540"/>
    <w:rsid w:val="00244829"/>
    <w:rsid w:val="0024497B"/>
    <w:rsid w:val="00244F6D"/>
    <w:rsid w:val="0024515B"/>
    <w:rsid w:val="00246021"/>
    <w:rsid w:val="0024666E"/>
    <w:rsid w:val="00247F52"/>
    <w:rsid w:val="00250097"/>
    <w:rsid w:val="00250B25"/>
    <w:rsid w:val="00250BBE"/>
    <w:rsid w:val="002515C2"/>
    <w:rsid w:val="00251885"/>
    <w:rsid w:val="0025194F"/>
    <w:rsid w:val="00251A47"/>
    <w:rsid w:val="00251D19"/>
    <w:rsid w:val="00252167"/>
    <w:rsid w:val="00252BAF"/>
    <w:rsid w:val="00252BB4"/>
    <w:rsid w:val="00253A0E"/>
    <w:rsid w:val="00254534"/>
    <w:rsid w:val="00257CF0"/>
    <w:rsid w:val="00260057"/>
    <w:rsid w:val="0026148A"/>
    <w:rsid w:val="00262696"/>
    <w:rsid w:val="00263D25"/>
    <w:rsid w:val="002643C3"/>
    <w:rsid w:val="00264A0C"/>
    <w:rsid w:val="00264CFE"/>
    <w:rsid w:val="002662CA"/>
    <w:rsid w:val="00266DE5"/>
    <w:rsid w:val="00266E72"/>
    <w:rsid w:val="00266EEB"/>
    <w:rsid w:val="00267A05"/>
    <w:rsid w:val="00267BDC"/>
    <w:rsid w:val="00267EF4"/>
    <w:rsid w:val="00270CB8"/>
    <w:rsid w:val="00272839"/>
    <w:rsid w:val="00272B08"/>
    <w:rsid w:val="002736DD"/>
    <w:rsid w:val="00273B98"/>
    <w:rsid w:val="00274FE5"/>
    <w:rsid w:val="002778F9"/>
    <w:rsid w:val="0028199B"/>
    <w:rsid w:val="00281BB8"/>
    <w:rsid w:val="00281E9E"/>
    <w:rsid w:val="00282405"/>
    <w:rsid w:val="0028491C"/>
    <w:rsid w:val="00284BC1"/>
    <w:rsid w:val="00285170"/>
    <w:rsid w:val="00285361"/>
    <w:rsid w:val="00286C77"/>
    <w:rsid w:val="00290627"/>
    <w:rsid w:val="00292D60"/>
    <w:rsid w:val="00292F3C"/>
    <w:rsid w:val="00293411"/>
    <w:rsid w:val="00293B30"/>
    <w:rsid w:val="00294C1F"/>
    <w:rsid w:val="00294D34"/>
    <w:rsid w:val="00294E3B"/>
    <w:rsid w:val="002954FC"/>
    <w:rsid w:val="00295C29"/>
    <w:rsid w:val="00296193"/>
    <w:rsid w:val="00296C66"/>
    <w:rsid w:val="00296EBE"/>
    <w:rsid w:val="002974E3"/>
    <w:rsid w:val="002978BC"/>
    <w:rsid w:val="00297922"/>
    <w:rsid w:val="00297FCE"/>
    <w:rsid w:val="002A04B7"/>
    <w:rsid w:val="002A084B"/>
    <w:rsid w:val="002A0DA9"/>
    <w:rsid w:val="002A1260"/>
    <w:rsid w:val="002A1589"/>
    <w:rsid w:val="002A1608"/>
    <w:rsid w:val="002A25AB"/>
    <w:rsid w:val="002A25DC"/>
    <w:rsid w:val="002A2646"/>
    <w:rsid w:val="002A3AAB"/>
    <w:rsid w:val="002A3B8F"/>
    <w:rsid w:val="002A4995"/>
    <w:rsid w:val="002A4CEA"/>
    <w:rsid w:val="002A5977"/>
    <w:rsid w:val="002A5A13"/>
    <w:rsid w:val="002A7259"/>
    <w:rsid w:val="002A757F"/>
    <w:rsid w:val="002A76EA"/>
    <w:rsid w:val="002A7F44"/>
    <w:rsid w:val="002B0C40"/>
    <w:rsid w:val="002B15EA"/>
    <w:rsid w:val="002B1966"/>
    <w:rsid w:val="002B1D5D"/>
    <w:rsid w:val="002B4508"/>
    <w:rsid w:val="002B477A"/>
    <w:rsid w:val="002B4E4D"/>
    <w:rsid w:val="002B53F6"/>
    <w:rsid w:val="002B5779"/>
    <w:rsid w:val="002B5AE7"/>
    <w:rsid w:val="002B62A4"/>
    <w:rsid w:val="002B7332"/>
    <w:rsid w:val="002B7E35"/>
    <w:rsid w:val="002B7F51"/>
    <w:rsid w:val="002C0080"/>
    <w:rsid w:val="002C09E7"/>
    <w:rsid w:val="002C1E06"/>
    <w:rsid w:val="002C2253"/>
    <w:rsid w:val="002C3E84"/>
    <w:rsid w:val="002C3F07"/>
    <w:rsid w:val="002C5278"/>
    <w:rsid w:val="002C64CA"/>
    <w:rsid w:val="002C7CB8"/>
    <w:rsid w:val="002C7EBB"/>
    <w:rsid w:val="002D06C1"/>
    <w:rsid w:val="002D42B5"/>
    <w:rsid w:val="002D46DF"/>
    <w:rsid w:val="002D4F1A"/>
    <w:rsid w:val="002D6743"/>
    <w:rsid w:val="002D6EC6"/>
    <w:rsid w:val="002D79AC"/>
    <w:rsid w:val="002E039D"/>
    <w:rsid w:val="002E4D5A"/>
    <w:rsid w:val="002E513C"/>
    <w:rsid w:val="002E5D45"/>
    <w:rsid w:val="002E5F3D"/>
    <w:rsid w:val="002E6326"/>
    <w:rsid w:val="002E7658"/>
    <w:rsid w:val="002F0680"/>
    <w:rsid w:val="002F0DE9"/>
    <w:rsid w:val="002F30E0"/>
    <w:rsid w:val="002F35E4"/>
    <w:rsid w:val="002F3730"/>
    <w:rsid w:val="002F38E1"/>
    <w:rsid w:val="002F4550"/>
    <w:rsid w:val="002F4DD3"/>
    <w:rsid w:val="002F58B6"/>
    <w:rsid w:val="002F7AF6"/>
    <w:rsid w:val="00300E63"/>
    <w:rsid w:val="00300F43"/>
    <w:rsid w:val="00301C24"/>
    <w:rsid w:val="00301C2E"/>
    <w:rsid w:val="00302F5F"/>
    <w:rsid w:val="00303BB0"/>
    <w:rsid w:val="00303D32"/>
    <w:rsid w:val="0030441D"/>
    <w:rsid w:val="00304F14"/>
    <w:rsid w:val="00305602"/>
    <w:rsid w:val="00306063"/>
    <w:rsid w:val="003066C8"/>
    <w:rsid w:val="00306705"/>
    <w:rsid w:val="00307365"/>
    <w:rsid w:val="003100D7"/>
    <w:rsid w:val="00310D64"/>
    <w:rsid w:val="003121DC"/>
    <w:rsid w:val="00312644"/>
    <w:rsid w:val="00313354"/>
    <w:rsid w:val="00313580"/>
    <w:rsid w:val="00313B85"/>
    <w:rsid w:val="00313D2D"/>
    <w:rsid w:val="00314242"/>
    <w:rsid w:val="00314292"/>
    <w:rsid w:val="003153C3"/>
    <w:rsid w:val="00317006"/>
    <w:rsid w:val="00317988"/>
    <w:rsid w:val="00317CB4"/>
    <w:rsid w:val="003221B4"/>
    <w:rsid w:val="0032258D"/>
    <w:rsid w:val="00322E62"/>
    <w:rsid w:val="003237B6"/>
    <w:rsid w:val="00324468"/>
    <w:rsid w:val="00324D13"/>
    <w:rsid w:val="00324EDD"/>
    <w:rsid w:val="00325655"/>
    <w:rsid w:val="00327B15"/>
    <w:rsid w:val="00330039"/>
    <w:rsid w:val="00330C3B"/>
    <w:rsid w:val="0033228C"/>
    <w:rsid w:val="003331E4"/>
    <w:rsid w:val="0033544C"/>
    <w:rsid w:val="00336C64"/>
    <w:rsid w:val="00336EF2"/>
    <w:rsid w:val="00337162"/>
    <w:rsid w:val="0034194F"/>
    <w:rsid w:val="00344605"/>
    <w:rsid w:val="003474AA"/>
    <w:rsid w:val="00350D1D"/>
    <w:rsid w:val="00351ED5"/>
    <w:rsid w:val="00352C83"/>
    <w:rsid w:val="00352F1A"/>
    <w:rsid w:val="0035612D"/>
    <w:rsid w:val="00357EAA"/>
    <w:rsid w:val="003606E7"/>
    <w:rsid w:val="0036087A"/>
    <w:rsid w:val="00360AFD"/>
    <w:rsid w:val="00360C4B"/>
    <w:rsid w:val="0036107C"/>
    <w:rsid w:val="003615D2"/>
    <w:rsid w:val="00362702"/>
    <w:rsid w:val="00363C8A"/>
    <w:rsid w:val="0036429C"/>
    <w:rsid w:val="00364A53"/>
    <w:rsid w:val="00364ACD"/>
    <w:rsid w:val="003654CB"/>
    <w:rsid w:val="00365AA9"/>
    <w:rsid w:val="00365F86"/>
    <w:rsid w:val="00365F87"/>
    <w:rsid w:val="00366E89"/>
    <w:rsid w:val="003672C0"/>
    <w:rsid w:val="003705F4"/>
    <w:rsid w:val="00370D58"/>
    <w:rsid w:val="00371316"/>
    <w:rsid w:val="00371F23"/>
    <w:rsid w:val="00372B81"/>
    <w:rsid w:val="00373280"/>
    <w:rsid w:val="00373BDA"/>
    <w:rsid w:val="003758F2"/>
    <w:rsid w:val="00376713"/>
    <w:rsid w:val="003767BB"/>
    <w:rsid w:val="003811F4"/>
    <w:rsid w:val="00381815"/>
    <w:rsid w:val="003819AF"/>
    <w:rsid w:val="00381CB9"/>
    <w:rsid w:val="00381E96"/>
    <w:rsid w:val="003820E9"/>
    <w:rsid w:val="00382DE7"/>
    <w:rsid w:val="00383105"/>
    <w:rsid w:val="003832B1"/>
    <w:rsid w:val="0038393E"/>
    <w:rsid w:val="003841BF"/>
    <w:rsid w:val="00384FFC"/>
    <w:rsid w:val="003872FC"/>
    <w:rsid w:val="00387ADC"/>
    <w:rsid w:val="00390020"/>
    <w:rsid w:val="003903D6"/>
    <w:rsid w:val="00390EE6"/>
    <w:rsid w:val="0039118F"/>
    <w:rsid w:val="00391B5D"/>
    <w:rsid w:val="003922F6"/>
    <w:rsid w:val="00392AD7"/>
    <w:rsid w:val="003938D9"/>
    <w:rsid w:val="00394376"/>
    <w:rsid w:val="003943FF"/>
    <w:rsid w:val="00394E3A"/>
    <w:rsid w:val="0039573E"/>
    <w:rsid w:val="00395C27"/>
    <w:rsid w:val="00395DC3"/>
    <w:rsid w:val="0039613F"/>
    <w:rsid w:val="0039745C"/>
    <w:rsid w:val="003974EB"/>
    <w:rsid w:val="00397CC5"/>
    <w:rsid w:val="003A01C8"/>
    <w:rsid w:val="003A03B1"/>
    <w:rsid w:val="003A1582"/>
    <w:rsid w:val="003A35D1"/>
    <w:rsid w:val="003A3C22"/>
    <w:rsid w:val="003A3D9C"/>
    <w:rsid w:val="003A4077"/>
    <w:rsid w:val="003A46EA"/>
    <w:rsid w:val="003A48E3"/>
    <w:rsid w:val="003A4A15"/>
    <w:rsid w:val="003A4AA7"/>
    <w:rsid w:val="003A4D12"/>
    <w:rsid w:val="003A5CA5"/>
    <w:rsid w:val="003B09AD"/>
    <w:rsid w:val="003B0E8E"/>
    <w:rsid w:val="003B1F18"/>
    <w:rsid w:val="003B5BF0"/>
    <w:rsid w:val="003B60BF"/>
    <w:rsid w:val="003B6BE3"/>
    <w:rsid w:val="003B7038"/>
    <w:rsid w:val="003C010C"/>
    <w:rsid w:val="003C08EB"/>
    <w:rsid w:val="003C0A6C"/>
    <w:rsid w:val="003C0F6F"/>
    <w:rsid w:val="003C14F8"/>
    <w:rsid w:val="003C1A7B"/>
    <w:rsid w:val="003C58A7"/>
    <w:rsid w:val="003C5A43"/>
    <w:rsid w:val="003C636C"/>
    <w:rsid w:val="003C6F93"/>
    <w:rsid w:val="003C7556"/>
    <w:rsid w:val="003D0519"/>
    <w:rsid w:val="003D0BF8"/>
    <w:rsid w:val="003D0FF6"/>
    <w:rsid w:val="003D1216"/>
    <w:rsid w:val="003D262C"/>
    <w:rsid w:val="003D6D61"/>
    <w:rsid w:val="003D7716"/>
    <w:rsid w:val="003E091D"/>
    <w:rsid w:val="003E1C53"/>
    <w:rsid w:val="003E2A69"/>
    <w:rsid w:val="003E2D49"/>
    <w:rsid w:val="003E2FD4"/>
    <w:rsid w:val="003E49F6"/>
    <w:rsid w:val="003E634A"/>
    <w:rsid w:val="003E660F"/>
    <w:rsid w:val="003F0841"/>
    <w:rsid w:val="003F1041"/>
    <w:rsid w:val="003F23D3"/>
    <w:rsid w:val="003F3F08"/>
    <w:rsid w:val="003F49F1"/>
    <w:rsid w:val="003F60A5"/>
    <w:rsid w:val="003F6272"/>
    <w:rsid w:val="003F6646"/>
    <w:rsid w:val="00400068"/>
    <w:rsid w:val="00400E72"/>
    <w:rsid w:val="00401400"/>
    <w:rsid w:val="0040388C"/>
    <w:rsid w:val="004041FE"/>
    <w:rsid w:val="00404869"/>
    <w:rsid w:val="00405033"/>
    <w:rsid w:val="00405884"/>
    <w:rsid w:val="00407D39"/>
    <w:rsid w:val="0041477A"/>
    <w:rsid w:val="004159C6"/>
    <w:rsid w:val="004167A3"/>
    <w:rsid w:val="0041686A"/>
    <w:rsid w:val="004216C8"/>
    <w:rsid w:val="00425059"/>
    <w:rsid w:val="00430971"/>
    <w:rsid w:val="00432662"/>
    <w:rsid w:val="00432DAA"/>
    <w:rsid w:val="00434002"/>
    <w:rsid w:val="00434305"/>
    <w:rsid w:val="004350DD"/>
    <w:rsid w:val="00435852"/>
    <w:rsid w:val="00435DF7"/>
    <w:rsid w:val="00435E37"/>
    <w:rsid w:val="00437614"/>
    <w:rsid w:val="00437FCD"/>
    <w:rsid w:val="0044083F"/>
    <w:rsid w:val="00441A54"/>
    <w:rsid w:val="00441AE7"/>
    <w:rsid w:val="00442011"/>
    <w:rsid w:val="00443C65"/>
    <w:rsid w:val="00444D80"/>
    <w:rsid w:val="00445574"/>
    <w:rsid w:val="004467FB"/>
    <w:rsid w:val="00447391"/>
    <w:rsid w:val="00452D6B"/>
    <w:rsid w:val="00452E67"/>
    <w:rsid w:val="00454484"/>
    <w:rsid w:val="0045517B"/>
    <w:rsid w:val="00457994"/>
    <w:rsid w:val="00457A14"/>
    <w:rsid w:val="00463B77"/>
    <w:rsid w:val="00463C7B"/>
    <w:rsid w:val="004644A6"/>
    <w:rsid w:val="004659BD"/>
    <w:rsid w:val="00470775"/>
    <w:rsid w:val="004746B1"/>
    <w:rsid w:val="004757C8"/>
    <w:rsid w:val="0047583F"/>
    <w:rsid w:val="00475DE8"/>
    <w:rsid w:val="00481C44"/>
    <w:rsid w:val="00482841"/>
    <w:rsid w:val="004848C8"/>
    <w:rsid w:val="00484936"/>
    <w:rsid w:val="0048510B"/>
    <w:rsid w:val="00485BAC"/>
    <w:rsid w:val="00485C89"/>
    <w:rsid w:val="00486142"/>
    <w:rsid w:val="00486BE3"/>
    <w:rsid w:val="00487E6A"/>
    <w:rsid w:val="004905E4"/>
    <w:rsid w:val="00490A89"/>
    <w:rsid w:val="00490AB4"/>
    <w:rsid w:val="00492462"/>
    <w:rsid w:val="00492F02"/>
    <w:rsid w:val="004939AE"/>
    <w:rsid w:val="004949DF"/>
    <w:rsid w:val="004953D8"/>
    <w:rsid w:val="00495B4E"/>
    <w:rsid w:val="0049602E"/>
    <w:rsid w:val="004969BC"/>
    <w:rsid w:val="00497504"/>
    <w:rsid w:val="004A0439"/>
    <w:rsid w:val="004A0C40"/>
    <w:rsid w:val="004A12DF"/>
    <w:rsid w:val="004A1BA8"/>
    <w:rsid w:val="004A27CD"/>
    <w:rsid w:val="004A3C5F"/>
    <w:rsid w:val="004A4B57"/>
    <w:rsid w:val="004A63FA"/>
    <w:rsid w:val="004A6A3D"/>
    <w:rsid w:val="004B0272"/>
    <w:rsid w:val="004B1BA0"/>
    <w:rsid w:val="004B2701"/>
    <w:rsid w:val="004B2A2B"/>
    <w:rsid w:val="004B2D0E"/>
    <w:rsid w:val="004B2E1B"/>
    <w:rsid w:val="004B3AA8"/>
    <w:rsid w:val="004B3E93"/>
    <w:rsid w:val="004B7267"/>
    <w:rsid w:val="004B7292"/>
    <w:rsid w:val="004C062D"/>
    <w:rsid w:val="004C1FBC"/>
    <w:rsid w:val="004C200A"/>
    <w:rsid w:val="004C25A2"/>
    <w:rsid w:val="004C3F1D"/>
    <w:rsid w:val="004C458D"/>
    <w:rsid w:val="004C7556"/>
    <w:rsid w:val="004C7E8B"/>
    <w:rsid w:val="004C7E9D"/>
    <w:rsid w:val="004C7F67"/>
    <w:rsid w:val="004D076D"/>
    <w:rsid w:val="004D0EF1"/>
    <w:rsid w:val="004D2253"/>
    <w:rsid w:val="004D4406"/>
    <w:rsid w:val="004D7B06"/>
    <w:rsid w:val="004D7C42"/>
    <w:rsid w:val="004E0465"/>
    <w:rsid w:val="004E127B"/>
    <w:rsid w:val="004E1C0A"/>
    <w:rsid w:val="004E2EE5"/>
    <w:rsid w:val="004E30C5"/>
    <w:rsid w:val="004E3AA5"/>
    <w:rsid w:val="004E407F"/>
    <w:rsid w:val="004E4819"/>
    <w:rsid w:val="004E4AA5"/>
    <w:rsid w:val="004E4AEE"/>
    <w:rsid w:val="004E59E3"/>
    <w:rsid w:val="004E67C0"/>
    <w:rsid w:val="004F0AA0"/>
    <w:rsid w:val="004F391A"/>
    <w:rsid w:val="004F3CFB"/>
    <w:rsid w:val="004F4731"/>
    <w:rsid w:val="004F552E"/>
    <w:rsid w:val="004F6456"/>
    <w:rsid w:val="004F6676"/>
    <w:rsid w:val="004F696E"/>
    <w:rsid w:val="004F6C71"/>
    <w:rsid w:val="004F6D3D"/>
    <w:rsid w:val="00501139"/>
    <w:rsid w:val="00501E72"/>
    <w:rsid w:val="005022FD"/>
    <w:rsid w:val="00503228"/>
    <w:rsid w:val="0050363E"/>
    <w:rsid w:val="005039BC"/>
    <w:rsid w:val="005043BB"/>
    <w:rsid w:val="00504A3D"/>
    <w:rsid w:val="00504E56"/>
    <w:rsid w:val="00505767"/>
    <w:rsid w:val="005073F0"/>
    <w:rsid w:val="005076A2"/>
    <w:rsid w:val="00510A7B"/>
    <w:rsid w:val="00512CFD"/>
    <w:rsid w:val="00512F6E"/>
    <w:rsid w:val="00513038"/>
    <w:rsid w:val="00514008"/>
    <w:rsid w:val="00514174"/>
    <w:rsid w:val="00514267"/>
    <w:rsid w:val="00514BD0"/>
    <w:rsid w:val="0051515E"/>
    <w:rsid w:val="00515891"/>
    <w:rsid w:val="00515B17"/>
    <w:rsid w:val="00515FC7"/>
    <w:rsid w:val="00516088"/>
    <w:rsid w:val="00516B0B"/>
    <w:rsid w:val="00516D44"/>
    <w:rsid w:val="00517BA5"/>
    <w:rsid w:val="005218B8"/>
    <w:rsid w:val="005220EC"/>
    <w:rsid w:val="005235E3"/>
    <w:rsid w:val="0052386B"/>
    <w:rsid w:val="00523F95"/>
    <w:rsid w:val="00524D65"/>
    <w:rsid w:val="005259A3"/>
    <w:rsid w:val="00525B16"/>
    <w:rsid w:val="005266A1"/>
    <w:rsid w:val="00527BB6"/>
    <w:rsid w:val="00532A29"/>
    <w:rsid w:val="005335CB"/>
    <w:rsid w:val="00533904"/>
    <w:rsid w:val="00533D04"/>
    <w:rsid w:val="00534804"/>
    <w:rsid w:val="00534BDF"/>
    <w:rsid w:val="005354EA"/>
    <w:rsid w:val="0053585F"/>
    <w:rsid w:val="00535EC4"/>
    <w:rsid w:val="00535ED9"/>
    <w:rsid w:val="005363E2"/>
    <w:rsid w:val="0053692B"/>
    <w:rsid w:val="00537562"/>
    <w:rsid w:val="00541853"/>
    <w:rsid w:val="00541AB6"/>
    <w:rsid w:val="00541FD7"/>
    <w:rsid w:val="00542ABC"/>
    <w:rsid w:val="00542ABF"/>
    <w:rsid w:val="00542B00"/>
    <w:rsid w:val="00543BDA"/>
    <w:rsid w:val="005441CC"/>
    <w:rsid w:val="00544A88"/>
    <w:rsid w:val="00545E05"/>
    <w:rsid w:val="005479DA"/>
    <w:rsid w:val="00547BCC"/>
    <w:rsid w:val="0055013B"/>
    <w:rsid w:val="0055058D"/>
    <w:rsid w:val="00551F6F"/>
    <w:rsid w:val="0055245E"/>
    <w:rsid w:val="00552835"/>
    <w:rsid w:val="00552AE1"/>
    <w:rsid w:val="00552CAF"/>
    <w:rsid w:val="00555044"/>
    <w:rsid w:val="00556ADF"/>
    <w:rsid w:val="0056063C"/>
    <w:rsid w:val="00561475"/>
    <w:rsid w:val="00561C04"/>
    <w:rsid w:val="00562308"/>
    <w:rsid w:val="00563A58"/>
    <w:rsid w:val="00563E54"/>
    <w:rsid w:val="0056487B"/>
    <w:rsid w:val="00564B1B"/>
    <w:rsid w:val="00564FB9"/>
    <w:rsid w:val="00565B6C"/>
    <w:rsid w:val="00572E29"/>
    <w:rsid w:val="00573D9E"/>
    <w:rsid w:val="00574958"/>
    <w:rsid w:val="005775AF"/>
    <w:rsid w:val="005778C0"/>
    <w:rsid w:val="00577E29"/>
    <w:rsid w:val="005801E3"/>
    <w:rsid w:val="005808B7"/>
    <w:rsid w:val="00581802"/>
    <w:rsid w:val="00581EFB"/>
    <w:rsid w:val="0058228D"/>
    <w:rsid w:val="005836A8"/>
    <w:rsid w:val="00583B6C"/>
    <w:rsid w:val="0058409C"/>
    <w:rsid w:val="00584262"/>
    <w:rsid w:val="0058443D"/>
    <w:rsid w:val="00584C00"/>
    <w:rsid w:val="00584EFA"/>
    <w:rsid w:val="00585A1D"/>
    <w:rsid w:val="00585CEF"/>
    <w:rsid w:val="00586630"/>
    <w:rsid w:val="00587A22"/>
    <w:rsid w:val="00587ADD"/>
    <w:rsid w:val="005908E1"/>
    <w:rsid w:val="00590E76"/>
    <w:rsid w:val="00590FF9"/>
    <w:rsid w:val="0059395E"/>
    <w:rsid w:val="00593A49"/>
    <w:rsid w:val="00594A27"/>
    <w:rsid w:val="00595E8E"/>
    <w:rsid w:val="00596160"/>
    <w:rsid w:val="005966E2"/>
    <w:rsid w:val="00597007"/>
    <w:rsid w:val="005A0966"/>
    <w:rsid w:val="005A11B7"/>
    <w:rsid w:val="005A1E0E"/>
    <w:rsid w:val="005A260B"/>
    <w:rsid w:val="005A2773"/>
    <w:rsid w:val="005A465D"/>
    <w:rsid w:val="005A493B"/>
    <w:rsid w:val="005A4A1B"/>
    <w:rsid w:val="005A51A3"/>
    <w:rsid w:val="005A7830"/>
    <w:rsid w:val="005A7FCE"/>
    <w:rsid w:val="005B0F3F"/>
    <w:rsid w:val="005B191C"/>
    <w:rsid w:val="005B1921"/>
    <w:rsid w:val="005B1F04"/>
    <w:rsid w:val="005B3413"/>
    <w:rsid w:val="005B481A"/>
    <w:rsid w:val="005B48C8"/>
    <w:rsid w:val="005B4903"/>
    <w:rsid w:val="005B51CE"/>
    <w:rsid w:val="005B5885"/>
    <w:rsid w:val="005B5CD7"/>
    <w:rsid w:val="005B615B"/>
    <w:rsid w:val="005B61AB"/>
    <w:rsid w:val="005B6CF6"/>
    <w:rsid w:val="005B7422"/>
    <w:rsid w:val="005C249B"/>
    <w:rsid w:val="005C29B8"/>
    <w:rsid w:val="005C47F9"/>
    <w:rsid w:val="005C5F21"/>
    <w:rsid w:val="005C7156"/>
    <w:rsid w:val="005C770B"/>
    <w:rsid w:val="005D029F"/>
    <w:rsid w:val="005D05D2"/>
    <w:rsid w:val="005D0985"/>
    <w:rsid w:val="005D0C75"/>
    <w:rsid w:val="005D4171"/>
    <w:rsid w:val="005D47EE"/>
    <w:rsid w:val="005D5BAF"/>
    <w:rsid w:val="005D64CE"/>
    <w:rsid w:val="005D6A95"/>
    <w:rsid w:val="005D6B2C"/>
    <w:rsid w:val="005D6D9C"/>
    <w:rsid w:val="005D736F"/>
    <w:rsid w:val="005E16FB"/>
    <w:rsid w:val="005E2335"/>
    <w:rsid w:val="005E34CA"/>
    <w:rsid w:val="005E3C18"/>
    <w:rsid w:val="005E4250"/>
    <w:rsid w:val="005E44F2"/>
    <w:rsid w:val="005E4849"/>
    <w:rsid w:val="005E6812"/>
    <w:rsid w:val="005E7044"/>
    <w:rsid w:val="005E7881"/>
    <w:rsid w:val="005E78E0"/>
    <w:rsid w:val="005F0D9C"/>
    <w:rsid w:val="005F13D9"/>
    <w:rsid w:val="005F2093"/>
    <w:rsid w:val="005F22DB"/>
    <w:rsid w:val="005F284E"/>
    <w:rsid w:val="005F3401"/>
    <w:rsid w:val="005F3542"/>
    <w:rsid w:val="005F3C62"/>
    <w:rsid w:val="005F61BC"/>
    <w:rsid w:val="005F6BC0"/>
    <w:rsid w:val="005F770C"/>
    <w:rsid w:val="00600FD4"/>
    <w:rsid w:val="006015CE"/>
    <w:rsid w:val="0060243B"/>
    <w:rsid w:val="00602786"/>
    <w:rsid w:val="00604784"/>
    <w:rsid w:val="00606419"/>
    <w:rsid w:val="00607C1A"/>
    <w:rsid w:val="00607D29"/>
    <w:rsid w:val="00610482"/>
    <w:rsid w:val="00612952"/>
    <w:rsid w:val="00612F04"/>
    <w:rsid w:val="006140E8"/>
    <w:rsid w:val="006144B8"/>
    <w:rsid w:val="00614CC1"/>
    <w:rsid w:val="00615A9D"/>
    <w:rsid w:val="00617387"/>
    <w:rsid w:val="006205D6"/>
    <w:rsid w:val="006210A0"/>
    <w:rsid w:val="00623466"/>
    <w:rsid w:val="00623ABE"/>
    <w:rsid w:val="006252D8"/>
    <w:rsid w:val="006259BC"/>
    <w:rsid w:val="0062636B"/>
    <w:rsid w:val="00626C68"/>
    <w:rsid w:val="00626E98"/>
    <w:rsid w:val="0062739C"/>
    <w:rsid w:val="00632182"/>
    <w:rsid w:val="00632AE0"/>
    <w:rsid w:val="00632E89"/>
    <w:rsid w:val="00633C17"/>
    <w:rsid w:val="00634477"/>
    <w:rsid w:val="00634A12"/>
    <w:rsid w:val="00634AA1"/>
    <w:rsid w:val="00634D9E"/>
    <w:rsid w:val="00636E3E"/>
    <w:rsid w:val="006379F7"/>
    <w:rsid w:val="00637B8A"/>
    <w:rsid w:val="00637E4D"/>
    <w:rsid w:val="00640486"/>
    <w:rsid w:val="00640620"/>
    <w:rsid w:val="00641269"/>
    <w:rsid w:val="00641A1F"/>
    <w:rsid w:val="0064264A"/>
    <w:rsid w:val="00642836"/>
    <w:rsid w:val="00643EEE"/>
    <w:rsid w:val="00644D29"/>
    <w:rsid w:val="00645904"/>
    <w:rsid w:val="00647890"/>
    <w:rsid w:val="00647C41"/>
    <w:rsid w:val="006508BC"/>
    <w:rsid w:val="00651ACB"/>
    <w:rsid w:val="00651C47"/>
    <w:rsid w:val="00652AB2"/>
    <w:rsid w:val="006533F9"/>
    <w:rsid w:val="00653FED"/>
    <w:rsid w:val="00654EC0"/>
    <w:rsid w:val="0065525B"/>
    <w:rsid w:val="00655D00"/>
    <w:rsid w:val="00655D4F"/>
    <w:rsid w:val="00655E2D"/>
    <w:rsid w:val="00656D29"/>
    <w:rsid w:val="006640E5"/>
    <w:rsid w:val="006646F1"/>
    <w:rsid w:val="00664929"/>
    <w:rsid w:val="00664F62"/>
    <w:rsid w:val="006655E1"/>
    <w:rsid w:val="00665BF1"/>
    <w:rsid w:val="006672A6"/>
    <w:rsid w:val="0066794C"/>
    <w:rsid w:val="00671021"/>
    <w:rsid w:val="00671B0A"/>
    <w:rsid w:val="00672060"/>
    <w:rsid w:val="00672BFD"/>
    <w:rsid w:val="00673692"/>
    <w:rsid w:val="00675CB9"/>
    <w:rsid w:val="00675D8A"/>
    <w:rsid w:val="006770F4"/>
    <w:rsid w:val="00677A84"/>
    <w:rsid w:val="0068026D"/>
    <w:rsid w:val="00680A27"/>
    <w:rsid w:val="006816A4"/>
    <w:rsid w:val="006819B8"/>
    <w:rsid w:val="00681D53"/>
    <w:rsid w:val="00682342"/>
    <w:rsid w:val="006829A3"/>
    <w:rsid w:val="00684091"/>
    <w:rsid w:val="006840A6"/>
    <w:rsid w:val="006846EC"/>
    <w:rsid w:val="00684C0F"/>
    <w:rsid w:val="006850CD"/>
    <w:rsid w:val="00685A3B"/>
    <w:rsid w:val="00685AAB"/>
    <w:rsid w:val="00685E0E"/>
    <w:rsid w:val="00687DAC"/>
    <w:rsid w:val="006918BF"/>
    <w:rsid w:val="006924C8"/>
    <w:rsid w:val="00692D3F"/>
    <w:rsid w:val="0069420E"/>
    <w:rsid w:val="0069677B"/>
    <w:rsid w:val="0069725E"/>
    <w:rsid w:val="006A07AA"/>
    <w:rsid w:val="006A131D"/>
    <w:rsid w:val="006A1565"/>
    <w:rsid w:val="006A25E5"/>
    <w:rsid w:val="006A2B46"/>
    <w:rsid w:val="006A336D"/>
    <w:rsid w:val="006A37B9"/>
    <w:rsid w:val="006A440A"/>
    <w:rsid w:val="006A7AB8"/>
    <w:rsid w:val="006B04E2"/>
    <w:rsid w:val="006B14D5"/>
    <w:rsid w:val="006B204A"/>
    <w:rsid w:val="006B2672"/>
    <w:rsid w:val="006B3989"/>
    <w:rsid w:val="006B3C39"/>
    <w:rsid w:val="006B54BF"/>
    <w:rsid w:val="006B5F44"/>
    <w:rsid w:val="006B5F90"/>
    <w:rsid w:val="006B62E4"/>
    <w:rsid w:val="006B6426"/>
    <w:rsid w:val="006B786E"/>
    <w:rsid w:val="006C0146"/>
    <w:rsid w:val="006C141F"/>
    <w:rsid w:val="006C1BBA"/>
    <w:rsid w:val="006C2079"/>
    <w:rsid w:val="006C21D1"/>
    <w:rsid w:val="006C239A"/>
    <w:rsid w:val="006C26C6"/>
    <w:rsid w:val="006C3B2A"/>
    <w:rsid w:val="006C5A62"/>
    <w:rsid w:val="006C5D68"/>
    <w:rsid w:val="006C6976"/>
    <w:rsid w:val="006C6DD0"/>
    <w:rsid w:val="006C6F16"/>
    <w:rsid w:val="006D04EA"/>
    <w:rsid w:val="006D16C4"/>
    <w:rsid w:val="006D1B30"/>
    <w:rsid w:val="006D3E96"/>
    <w:rsid w:val="006D4515"/>
    <w:rsid w:val="006D4B99"/>
    <w:rsid w:val="006D4BB1"/>
    <w:rsid w:val="006D549B"/>
    <w:rsid w:val="006D6593"/>
    <w:rsid w:val="006D7A93"/>
    <w:rsid w:val="006E06F2"/>
    <w:rsid w:val="006E17E1"/>
    <w:rsid w:val="006E1E1D"/>
    <w:rsid w:val="006E3D9F"/>
    <w:rsid w:val="006E425F"/>
    <w:rsid w:val="006E5671"/>
    <w:rsid w:val="006E7CD1"/>
    <w:rsid w:val="006F03A8"/>
    <w:rsid w:val="006F0FD5"/>
    <w:rsid w:val="006F1A02"/>
    <w:rsid w:val="006F2ACA"/>
    <w:rsid w:val="006F2ADC"/>
    <w:rsid w:val="006F2BFE"/>
    <w:rsid w:val="006F31E9"/>
    <w:rsid w:val="006F6284"/>
    <w:rsid w:val="006F67C3"/>
    <w:rsid w:val="007002C5"/>
    <w:rsid w:val="00701F80"/>
    <w:rsid w:val="00704387"/>
    <w:rsid w:val="00707482"/>
    <w:rsid w:val="00707669"/>
    <w:rsid w:val="00710328"/>
    <w:rsid w:val="00711CBA"/>
    <w:rsid w:val="00711FB5"/>
    <w:rsid w:val="00712729"/>
    <w:rsid w:val="00712A01"/>
    <w:rsid w:val="0071352F"/>
    <w:rsid w:val="00713FCE"/>
    <w:rsid w:val="0071415F"/>
    <w:rsid w:val="00714258"/>
    <w:rsid w:val="00714F58"/>
    <w:rsid w:val="00715447"/>
    <w:rsid w:val="00715E8F"/>
    <w:rsid w:val="00717F59"/>
    <w:rsid w:val="007210FC"/>
    <w:rsid w:val="00721683"/>
    <w:rsid w:val="007220E7"/>
    <w:rsid w:val="00722E8F"/>
    <w:rsid w:val="00722FBF"/>
    <w:rsid w:val="00722FC2"/>
    <w:rsid w:val="00724E1B"/>
    <w:rsid w:val="007252E3"/>
    <w:rsid w:val="00725949"/>
    <w:rsid w:val="00726D94"/>
    <w:rsid w:val="00726DBE"/>
    <w:rsid w:val="00727FA2"/>
    <w:rsid w:val="00730A21"/>
    <w:rsid w:val="007322D9"/>
    <w:rsid w:val="00732BC0"/>
    <w:rsid w:val="007332B3"/>
    <w:rsid w:val="0073451F"/>
    <w:rsid w:val="0073453F"/>
    <w:rsid w:val="00734551"/>
    <w:rsid w:val="007345C5"/>
    <w:rsid w:val="00735C47"/>
    <w:rsid w:val="0073720F"/>
    <w:rsid w:val="00737796"/>
    <w:rsid w:val="007412FD"/>
    <w:rsid w:val="0074165C"/>
    <w:rsid w:val="00741D53"/>
    <w:rsid w:val="00742B35"/>
    <w:rsid w:val="00742C35"/>
    <w:rsid w:val="00742E0F"/>
    <w:rsid w:val="00743021"/>
    <w:rsid w:val="007432CA"/>
    <w:rsid w:val="007439EB"/>
    <w:rsid w:val="00743CB4"/>
    <w:rsid w:val="00743F0A"/>
    <w:rsid w:val="007444E8"/>
    <w:rsid w:val="0074514E"/>
    <w:rsid w:val="00745157"/>
    <w:rsid w:val="0074548E"/>
    <w:rsid w:val="00745773"/>
    <w:rsid w:val="00745C74"/>
    <w:rsid w:val="0074630B"/>
    <w:rsid w:val="00746800"/>
    <w:rsid w:val="007501A8"/>
    <w:rsid w:val="00750964"/>
    <w:rsid w:val="00750D61"/>
    <w:rsid w:val="00750EE1"/>
    <w:rsid w:val="0075284E"/>
    <w:rsid w:val="00752B4D"/>
    <w:rsid w:val="00754263"/>
    <w:rsid w:val="00755402"/>
    <w:rsid w:val="00756B26"/>
    <w:rsid w:val="00756EDF"/>
    <w:rsid w:val="00757CC0"/>
    <w:rsid w:val="00757E16"/>
    <w:rsid w:val="00757F47"/>
    <w:rsid w:val="007600E3"/>
    <w:rsid w:val="007643E6"/>
    <w:rsid w:val="00764C2B"/>
    <w:rsid w:val="007650B4"/>
    <w:rsid w:val="00765C43"/>
    <w:rsid w:val="00765EFB"/>
    <w:rsid w:val="0076649F"/>
    <w:rsid w:val="007671CA"/>
    <w:rsid w:val="00767C61"/>
    <w:rsid w:val="0077008A"/>
    <w:rsid w:val="007730F6"/>
    <w:rsid w:val="00773C1F"/>
    <w:rsid w:val="00773CCF"/>
    <w:rsid w:val="00773D59"/>
    <w:rsid w:val="00774DA4"/>
    <w:rsid w:val="00774E45"/>
    <w:rsid w:val="00776599"/>
    <w:rsid w:val="00780BBD"/>
    <w:rsid w:val="0078114B"/>
    <w:rsid w:val="007815AF"/>
    <w:rsid w:val="00781926"/>
    <w:rsid w:val="00781DD2"/>
    <w:rsid w:val="00782534"/>
    <w:rsid w:val="00782738"/>
    <w:rsid w:val="00783ECF"/>
    <w:rsid w:val="0078413A"/>
    <w:rsid w:val="007906B1"/>
    <w:rsid w:val="00791A4D"/>
    <w:rsid w:val="00792301"/>
    <w:rsid w:val="00795883"/>
    <w:rsid w:val="007959E8"/>
    <w:rsid w:val="00795E9C"/>
    <w:rsid w:val="00795FAA"/>
    <w:rsid w:val="00796032"/>
    <w:rsid w:val="0079664B"/>
    <w:rsid w:val="0079714A"/>
    <w:rsid w:val="0079737E"/>
    <w:rsid w:val="007A0521"/>
    <w:rsid w:val="007A2E12"/>
    <w:rsid w:val="007A2EA5"/>
    <w:rsid w:val="007A2F27"/>
    <w:rsid w:val="007A345C"/>
    <w:rsid w:val="007A3475"/>
    <w:rsid w:val="007A35CD"/>
    <w:rsid w:val="007A41C8"/>
    <w:rsid w:val="007A4F00"/>
    <w:rsid w:val="007A4F73"/>
    <w:rsid w:val="007A5191"/>
    <w:rsid w:val="007A54CE"/>
    <w:rsid w:val="007A570B"/>
    <w:rsid w:val="007A6FD9"/>
    <w:rsid w:val="007A7FFA"/>
    <w:rsid w:val="007B04EB"/>
    <w:rsid w:val="007B0D4F"/>
    <w:rsid w:val="007B2065"/>
    <w:rsid w:val="007B2868"/>
    <w:rsid w:val="007B34D0"/>
    <w:rsid w:val="007B3C80"/>
    <w:rsid w:val="007B5A3D"/>
    <w:rsid w:val="007B5B95"/>
    <w:rsid w:val="007B6032"/>
    <w:rsid w:val="007B68EA"/>
    <w:rsid w:val="007B731A"/>
    <w:rsid w:val="007B740D"/>
    <w:rsid w:val="007B7453"/>
    <w:rsid w:val="007C2D89"/>
    <w:rsid w:val="007C4593"/>
    <w:rsid w:val="007C5309"/>
    <w:rsid w:val="007C6069"/>
    <w:rsid w:val="007C7A5D"/>
    <w:rsid w:val="007D06C4"/>
    <w:rsid w:val="007D1352"/>
    <w:rsid w:val="007D2508"/>
    <w:rsid w:val="007D346A"/>
    <w:rsid w:val="007D4584"/>
    <w:rsid w:val="007D5E6A"/>
    <w:rsid w:val="007D6518"/>
    <w:rsid w:val="007D7332"/>
    <w:rsid w:val="007D76BD"/>
    <w:rsid w:val="007E0BF1"/>
    <w:rsid w:val="007E242C"/>
    <w:rsid w:val="007E2605"/>
    <w:rsid w:val="007E4619"/>
    <w:rsid w:val="007E46C9"/>
    <w:rsid w:val="007E4E78"/>
    <w:rsid w:val="007E52AC"/>
    <w:rsid w:val="007E65F8"/>
    <w:rsid w:val="007F03CA"/>
    <w:rsid w:val="007F0ED8"/>
    <w:rsid w:val="007F0F63"/>
    <w:rsid w:val="007F1960"/>
    <w:rsid w:val="007F218A"/>
    <w:rsid w:val="007F4C87"/>
    <w:rsid w:val="007F51E2"/>
    <w:rsid w:val="007F52EA"/>
    <w:rsid w:val="007F75CE"/>
    <w:rsid w:val="007F7DE8"/>
    <w:rsid w:val="008013A4"/>
    <w:rsid w:val="0080270E"/>
    <w:rsid w:val="008027CE"/>
    <w:rsid w:val="00802F42"/>
    <w:rsid w:val="00803A5F"/>
    <w:rsid w:val="00803FB4"/>
    <w:rsid w:val="00804383"/>
    <w:rsid w:val="00804BB7"/>
    <w:rsid w:val="00804D41"/>
    <w:rsid w:val="0080762C"/>
    <w:rsid w:val="008077F2"/>
    <w:rsid w:val="00810257"/>
    <w:rsid w:val="008102E5"/>
    <w:rsid w:val="008104F5"/>
    <w:rsid w:val="00811072"/>
    <w:rsid w:val="00811369"/>
    <w:rsid w:val="00812E32"/>
    <w:rsid w:val="008147D9"/>
    <w:rsid w:val="00814DA7"/>
    <w:rsid w:val="00815419"/>
    <w:rsid w:val="00815851"/>
    <w:rsid w:val="008163C8"/>
    <w:rsid w:val="008164A1"/>
    <w:rsid w:val="008167B8"/>
    <w:rsid w:val="00817325"/>
    <w:rsid w:val="008209E6"/>
    <w:rsid w:val="00823303"/>
    <w:rsid w:val="008233B2"/>
    <w:rsid w:val="008237A8"/>
    <w:rsid w:val="00823A9F"/>
    <w:rsid w:val="00823C85"/>
    <w:rsid w:val="00823CDB"/>
    <w:rsid w:val="00823DC3"/>
    <w:rsid w:val="00824493"/>
    <w:rsid w:val="00824640"/>
    <w:rsid w:val="00825138"/>
    <w:rsid w:val="0082534F"/>
    <w:rsid w:val="0082663A"/>
    <w:rsid w:val="008269DD"/>
    <w:rsid w:val="00830621"/>
    <w:rsid w:val="00830EE9"/>
    <w:rsid w:val="00831677"/>
    <w:rsid w:val="00832592"/>
    <w:rsid w:val="00832801"/>
    <w:rsid w:val="0083348C"/>
    <w:rsid w:val="008355BC"/>
    <w:rsid w:val="008373D3"/>
    <w:rsid w:val="00840303"/>
    <w:rsid w:val="00840617"/>
    <w:rsid w:val="00840F84"/>
    <w:rsid w:val="00842A47"/>
    <w:rsid w:val="00842AD5"/>
    <w:rsid w:val="00843C13"/>
    <w:rsid w:val="008454F8"/>
    <w:rsid w:val="00845ABE"/>
    <w:rsid w:val="00846AD5"/>
    <w:rsid w:val="0085173A"/>
    <w:rsid w:val="008523D9"/>
    <w:rsid w:val="00854216"/>
    <w:rsid w:val="008555AD"/>
    <w:rsid w:val="00855866"/>
    <w:rsid w:val="00855C46"/>
    <w:rsid w:val="0085615B"/>
    <w:rsid w:val="008561A7"/>
    <w:rsid w:val="008603CE"/>
    <w:rsid w:val="008620FC"/>
    <w:rsid w:val="008627A5"/>
    <w:rsid w:val="00863883"/>
    <w:rsid w:val="00863E05"/>
    <w:rsid w:val="00864B09"/>
    <w:rsid w:val="00865ACA"/>
    <w:rsid w:val="00865D28"/>
    <w:rsid w:val="00865F85"/>
    <w:rsid w:val="00866233"/>
    <w:rsid w:val="00867C10"/>
    <w:rsid w:val="00870439"/>
    <w:rsid w:val="00870DA1"/>
    <w:rsid w:val="008718C6"/>
    <w:rsid w:val="0087191C"/>
    <w:rsid w:val="00871FED"/>
    <w:rsid w:val="00873368"/>
    <w:rsid w:val="0087410E"/>
    <w:rsid w:val="008751ED"/>
    <w:rsid w:val="008770BE"/>
    <w:rsid w:val="00877C4C"/>
    <w:rsid w:val="00877F03"/>
    <w:rsid w:val="0088104B"/>
    <w:rsid w:val="008814CB"/>
    <w:rsid w:val="00882368"/>
    <w:rsid w:val="008829BC"/>
    <w:rsid w:val="00883F61"/>
    <w:rsid w:val="00883F93"/>
    <w:rsid w:val="00884AF2"/>
    <w:rsid w:val="00884DB3"/>
    <w:rsid w:val="00884F1C"/>
    <w:rsid w:val="00885A9D"/>
    <w:rsid w:val="008864F6"/>
    <w:rsid w:val="00887291"/>
    <w:rsid w:val="0089049D"/>
    <w:rsid w:val="008928C9"/>
    <w:rsid w:val="008930CB"/>
    <w:rsid w:val="008938DC"/>
    <w:rsid w:val="00893FD1"/>
    <w:rsid w:val="00894836"/>
    <w:rsid w:val="00895172"/>
    <w:rsid w:val="00895680"/>
    <w:rsid w:val="00895CCB"/>
    <w:rsid w:val="00896A32"/>
    <w:rsid w:val="00896DFF"/>
    <w:rsid w:val="0089762C"/>
    <w:rsid w:val="008A173B"/>
    <w:rsid w:val="008A1893"/>
    <w:rsid w:val="008A2BD0"/>
    <w:rsid w:val="008A32A3"/>
    <w:rsid w:val="008A38D7"/>
    <w:rsid w:val="008A4530"/>
    <w:rsid w:val="008A57E6"/>
    <w:rsid w:val="008A6F81"/>
    <w:rsid w:val="008A769A"/>
    <w:rsid w:val="008B0C9C"/>
    <w:rsid w:val="008B166D"/>
    <w:rsid w:val="008B17F4"/>
    <w:rsid w:val="008B2112"/>
    <w:rsid w:val="008B3615"/>
    <w:rsid w:val="008B4AC4"/>
    <w:rsid w:val="008B50C8"/>
    <w:rsid w:val="008B5281"/>
    <w:rsid w:val="008B5E53"/>
    <w:rsid w:val="008B731A"/>
    <w:rsid w:val="008B7E05"/>
    <w:rsid w:val="008C095D"/>
    <w:rsid w:val="008C1797"/>
    <w:rsid w:val="008C219C"/>
    <w:rsid w:val="008C462E"/>
    <w:rsid w:val="008C475E"/>
    <w:rsid w:val="008C5D08"/>
    <w:rsid w:val="008C619A"/>
    <w:rsid w:val="008C69A3"/>
    <w:rsid w:val="008C76DB"/>
    <w:rsid w:val="008D0CE8"/>
    <w:rsid w:val="008D2A1C"/>
    <w:rsid w:val="008D2D1D"/>
    <w:rsid w:val="008D4033"/>
    <w:rsid w:val="008D453D"/>
    <w:rsid w:val="008D45C2"/>
    <w:rsid w:val="008D4A08"/>
    <w:rsid w:val="008D5231"/>
    <w:rsid w:val="008D53AD"/>
    <w:rsid w:val="008D562B"/>
    <w:rsid w:val="008D5733"/>
    <w:rsid w:val="008D622B"/>
    <w:rsid w:val="008D666C"/>
    <w:rsid w:val="008D7B54"/>
    <w:rsid w:val="008E00CD"/>
    <w:rsid w:val="008E0C9D"/>
    <w:rsid w:val="008E1648"/>
    <w:rsid w:val="008E1B3E"/>
    <w:rsid w:val="008E2319"/>
    <w:rsid w:val="008E45A3"/>
    <w:rsid w:val="008E4BB6"/>
    <w:rsid w:val="008E4E71"/>
    <w:rsid w:val="008E5518"/>
    <w:rsid w:val="008E6A84"/>
    <w:rsid w:val="008F05D5"/>
    <w:rsid w:val="008F0CDC"/>
    <w:rsid w:val="008F15F3"/>
    <w:rsid w:val="008F17A3"/>
    <w:rsid w:val="008F1ED3"/>
    <w:rsid w:val="008F2265"/>
    <w:rsid w:val="008F2515"/>
    <w:rsid w:val="008F4C29"/>
    <w:rsid w:val="008F65C4"/>
    <w:rsid w:val="008F6A82"/>
    <w:rsid w:val="008F70BD"/>
    <w:rsid w:val="008F72FD"/>
    <w:rsid w:val="008F788F"/>
    <w:rsid w:val="008F7916"/>
    <w:rsid w:val="008F7EA2"/>
    <w:rsid w:val="00901420"/>
    <w:rsid w:val="00902722"/>
    <w:rsid w:val="009027BC"/>
    <w:rsid w:val="009062E6"/>
    <w:rsid w:val="00907624"/>
    <w:rsid w:val="00911BE5"/>
    <w:rsid w:val="009130BD"/>
    <w:rsid w:val="00913CA9"/>
    <w:rsid w:val="009145AE"/>
    <w:rsid w:val="009146CE"/>
    <w:rsid w:val="00914A97"/>
    <w:rsid w:val="00914CA7"/>
    <w:rsid w:val="00915C3E"/>
    <w:rsid w:val="009161A8"/>
    <w:rsid w:val="00916357"/>
    <w:rsid w:val="00920D25"/>
    <w:rsid w:val="0092172F"/>
    <w:rsid w:val="00921D66"/>
    <w:rsid w:val="00923E87"/>
    <w:rsid w:val="009245AE"/>
    <w:rsid w:val="009245F5"/>
    <w:rsid w:val="009249EC"/>
    <w:rsid w:val="009273B3"/>
    <w:rsid w:val="009305B5"/>
    <w:rsid w:val="0093148D"/>
    <w:rsid w:val="0093652B"/>
    <w:rsid w:val="009369B3"/>
    <w:rsid w:val="00937712"/>
    <w:rsid w:val="009378DD"/>
    <w:rsid w:val="009429D5"/>
    <w:rsid w:val="00942BF1"/>
    <w:rsid w:val="009443F8"/>
    <w:rsid w:val="00944728"/>
    <w:rsid w:val="009450CD"/>
    <w:rsid w:val="00945180"/>
    <w:rsid w:val="00945428"/>
    <w:rsid w:val="0094607B"/>
    <w:rsid w:val="00951B34"/>
    <w:rsid w:val="00953604"/>
    <w:rsid w:val="0095496B"/>
    <w:rsid w:val="009559C8"/>
    <w:rsid w:val="00956B10"/>
    <w:rsid w:val="00956DA8"/>
    <w:rsid w:val="009608B8"/>
    <w:rsid w:val="00960F1E"/>
    <w:rsid w:val="009610DC"/>
    <w:rsid w:val="00961490"/>
    <w:rsid w:val="009637B6"/>
    <w:rsid w:val="0096381A"/>
    <w:rsid w:val="00963FE6"/>
    <w:rsid w:val="009644C4"/>
    <w:rsid w:val="009654CD"/>
    <w:rsid w:val="00965E04"/>
    <w:rsid w:val="009674AD"/>
    <w:rsid w:val="00970CDC"/>
    <w:rsid w:val="009725E9"/>
    <w:rsid w:val="00972666"/>
    <w:rsid w:val="0097269D"/>
    <w:rsid w:val="00973CB2"/>
    <w:rsid w:val="00973D10"/>
    <w:rsid w:val="009747EB"/>
    <w:rsid w:val="00975727"/>
    <w:rsid w:val="009768FC"/>
    <w:rsid w:val="00976D8C"/>
    <w:rsid w:val="00977010"/>
    <w:rsid w:val="00977D02"/>
    <w:rsid w:val="00977FF9"/>
    <w:rsid w:val="009809BB"/>
    <w:rsid w:val="009821AC"/>
    <w:rsid w:val="009831E7"/>
    <w:rsid w:val="00983438"/>
    <w:rsid w:val="0098364B"/>
    <w:rsid w:val="00983F2C"/>
    <w:rsid w:val="00984E4E"/>
    <w:rsid w:val="00985F84"/>
    <w:rsid w:val="009908A3"/>
    <w:rsid w:val="009911AF"/>
    <w:rsid w:val="00991511"/>
    <w:rsid w:val="00991875"/>
    <w:rsid w:val="00991F92"/>
    <w:rsid w:val="00992985"/>
    <w:rsid w:val="00993243"/>
    <w:rsid w:val="00993889"/>
    <w:rsid w:val="0099551B"/>
    <w:rsid w:val="009961F1"/>
    <w:rsid w:val="00996BD2"/>
    <w:rsid w:val="00997914"/>
    <w:rsid w:val="00997BF1"/>
    <w:rsid w:val="009A089C"/>
    <w:rsid w:val="009A08AE"/>
    <w:rsid w:val="009A0A1F"/>
    <w:rsid w:val="009A118E"/>
    <w:rsid w:val="009A21CD"/>
    <w:rsid w:val="009A278C"/>
    <w:rsid w:val="009A2BC2"/>
    <w:rsid w:val="009A40EA"/>
    <w:rsid w:val="009A42C1"/>
    <w:rsid w:val="009A4A8B"/>
    <w:rsid w:val="009A5429"/>
    <w:rsid w:val="009A7000"/>
    <w:rsid w:val="009A72AD"/>
    <w:rsid w:val="009B09E0"/>
    <w:rsid w:val="009B0BC5"/>
    <w:rsid w:val="009B1247"/>
    <w:rsid w:val="009B3661"/>
    <w:rsid w:val="009B39B0"/>
    <w:rsid w:val="009B420C"/>
    <w:rsid w:val="009B4833"/>
    <w:rsid w:val="009B6029"/>
    <w:rsid w:val="009B6971"/>
    <w:rsid w:val="009B6BC5"/>
    <w:rsid w:val="009C27F1"/>
    <w:rsid w:val="009C3152"/>
    <w:rsid w:val="009C3257"/>
    <w:rsid w:val="009C342A"/>
    <w:rsid w:val="009C415A"/>
    <w:rsid w:val="009C4CFA"/>
    <w:rsid w:val="009C5070"/>
    <w:rsid w:val="009C5108"/>
    <w:rsid w:val="009C6628"/>
    <w:rsid w:val="009C71D8"/>
    <w:rsid w:val="009D112C"/>
    <w:rsid w:val="009D1385"/>
    <w:rsid w:val="009D168B"/>
    <w:rsid w:val="009D179E"/>
    <w:rsid w:val="009D3924"/>
    <w:rsid w:val="009D4526"/>
    <w:rsid w:val="009D47FA"/>
    <w:rsid w:val="009D4C5B"/>
    <w:rsid w:val="009D4F08"/>
    <w:rsid w:val="009D50D2"/>
    <w:rsid w:val="009D5452"/>
    <w:rsid w:val="009D5C4E"/>
    <w:rsid w:val="009D6BCA"/>
    <w:rsid w:val="009E021B"/>
    <w:rsid w:val="009E0F62"/>
    <w:rsid w:val="009E2E52"/>
    <w:rsid w:val="009E32BF"/>
    <w:rsid w:val="009E4A58"/>
    <w:rsid w:val="009E5746"/>
    <w:rsid w:val="009E5A2D"/>
    <w:rsid w:val="009E5AB2"/>
    <w:rsid w:val="009E6219"/>
    <w:rsid w:val="009E74B8"/>
    <w:rsid w:val="009E7DBC"/>
    <w:rsid w:val="009F03B3"/>
    <w:rsid w:val="009F4B93"/>
    <w:rsid w:val="009F5DF5"/>
    <w:rsid w:val="009F6682"/>
    <w:rsid w:val="00A0069E"/>
    <w:rsid w:val="00A0096C"/>
    <w:rsid w:val="00A01757"/>
    <w:rsid w:val="00A028C0"/>
    <w:rsid w:val="00A02BAE"/>
    <w:rsid w:val="00A04B78"/>
    <w:rsid w:val="00A06A6B"/>
    <w:rsid w:val="00A06D25"/>
    <w:rsid w:val="00A06DB8"/>
    <w:rsid w:val="00A07E47"/>
    <w:rsid w:val="00A10FCF"/>
    <w:rsid w:val="00A11D35"/>
    <w:rsid w:val="00A11E53"/>
    <w:rsid w:val="00A129D0"/>
    <w:rsid w:val="00A12C33"/>
    <w:rsid w:val="00A138BA"/>
    <w:rsid w:val="00A14C8E"/>
    <w:rsid w:val="00A153D9"/>
    <w:rsid w:val="00A1575E"/>
    <w:rsid w:val="00A15F09"/>
    <w:rsid w:val="00A169B6"/>
    <w:rsid w:val="00A1741E"/>
    <w:rsid w:val="00A17C5B"/>
    <w:rsid w:val="00A21C06"/>
    <w:rsid w:val="00A2271D"/>
    <w:rsid w:val="00A237D5"/>
    <w:rsid w:val="00A24BDD"/>
    <w:rsid w:val="00A2502C"/>
    <w:rsid w:val="00A2750B"/>
    <w:rsid w:val="00A27D81"/>
    <w:rsid w:val="00A30EFC"/>
    <w:rsid w:val="00A31083"/>
    <w:rsid w:val="00A31984"/>
    <w:rsid w:val="00A32D73"/>
    <w:rsid w:val="00A32E1B"/>
    <w:rsid w:val="00A3367B"/>
    <w:rsid w:val="00A33936"/>
    <w:rsid w:val="00A33E2E"/>
    <w:rsid w:val="00A34508"/>
    <w:rsid w:val="00A3597D"/>
    <w:rsid w:val="00A36DD1"/>
    <w:rsid w:val="00A4006C"/>
    <w:rsid w:val="00A40091"/>
    <w:rsid w:val="00A4030F"/>
    <w:rsid w:val="00A41C79"/>
    <w:rsid w:val="00A41CB5"/>
    <w:rsid w:val="00A42CDF"/>
    <w:rsid w:val="00A4452E"/>
    <w:rsid w:val="00A4472C"/>
    <w:rsid w:val="00A44E69"/>
    <w:rsid w:val="00A45032"/>
    <w:rsid w:val="00A46160"/>
    <w:rsid w:val="00A462EA"/>
    <w:rsid w:val="00A4661E"/>
    <w:rsid w:val="00A5171D"/>
    <w:rsid w:val="00A5212A"/>
    <w:rsid w:val="00A52B9A"/>
    <w:rsid w:val="00A5322A"/>
    <w:rsid w:val="00A55BD6"/>
    <w:rsid w:val="00A55D50"/>
    <w:rsid w:val="00A57142"/>
    <w:rsid w:val="00A60467"/>
    <w:rsid w:val="00A6198E"/>
    <w:rsid w:val="00A61E56"/>
    <w:rsid w:val="00A625C6"/>
    <w:rsid w:val="00A63D5C"/>
    <w:rsid w:val="00A64688"/>
    <w:rsid w:val="00A648CD"/>
    <w:rsid w:val="00A6537A"/>
    <w:rsid w:val="00A66E32"/>
    <w:rsid w:val="00A67866"/>
    <w:rsid w:val="00A70B07"/>
    <w:rsid w:val="00A716B5"/>
    <w:rsid w:val="00A7199B"/>
    <w:rsid w:val="00A71EE1"/>
    <w:rsid w:val="00A723F8"/>
    <w:rsid w:val="00A725D0"/>
    <w:rsid w:val="00A76FCB"/>
    <w:rsid w:val="00A77CCB"/>
    <w:rsid w:val="00A817EC"/>
    <w:rsid w:val="00A82CC1"/>
    <w:rsid w:val="00A83D8D"/>
    <w:rsid w:val="00A8446B"/>
    <w:rsid w:val="00A8473F"/>
    <w:rsid w:val="00A84F56"/>
    <w:rsid w:val="00A850D3"/>
    <w:rsid w:val="00A862D6"/>
    <w:rsid w:val="00A86AC8"/>
    <w:rsid w:val="00A8715E"/>
    <w:rsid w:val="00A877AE"/>
    <w:rsid w:val="00A91417"/>
    <w:rsid w:val="00A9295B"/>
    <w:rsid w:val="00A93B09"/>
    <w:rsid w:val="00A952D7"/>
    <w:rsid w:val="00A95364"/>
    <w:rsid w:val="00A963F7"/>
    <w:rsid w:val="00A96457"/>
    <w:rsid w:val="00A96AD8"/>
    <w:rsid w:val="00A97DBD"/>
    <w:rsid w:val="00AA052C"/>
    <w:rsid w:val="00AA1E45"/>
    <w:rsid w:val="00AA3060"/>
    <w:rsid w:val="00AA3773"/>
    <w:rsid w:val="00AA4286"/>
    <w:rsid w:val="00AA456B"/>
    <w:rsid w:val="00AA5114"/>
    <w:rsid w:val="00AA57F5"/>
    <w:rsid w:val="00AA672E"/>
    <w:rsid w:val="00AA6EC9"/>
    <w:rsid w:val="00AB138E"/>
    <w:rsid w:val="00AB2007"/>
    <w:rsid w:val="00AB2899"/>
    <w:rsid w:val="00AB30F1"/>
    <w:rsid w:val="00AB322D"/>
    <w:rsid w:val="00AB6309"/>
    <w:rsid w:val="00AB6C5F"/>
    <w:rsid w:val="00AB7129"/>
    <w:rsid w:val="00AC11B4"/>
    <w:rsid w:val="00AC27A6"/>
    <w:rsid w:val="00AC2D78"/>
    <w:rsid w:val="00AC30F7"/>
    <w:rsid w:val="00AC3A5A"/>
    <w:rsid w:val="00AC3BF6"/>
    <w:rsid w:val="00AC4D95"/>
    <w:rsid w:val="00AC4EFA"/>
    <w:rsid w:val="00AC5DF4"/>
    <w:rsid w:val="00AC76E0"/>
    <w:rsid w:val="00AD0AEF"/>
    <w:rsid w:val="00AD0E84"/>
    <w:rsid w:val="00AD11B7"/>
    <w:rsid w:val="00AD1A94"/>
    <w:rsid w:val="00AD1C05"/>
    <w:rsid w:val="00AD3DC5"/>
    <w:rsid w:val="00AD4126"/>
    <w:rsid w:val="00AD421C"/>
    <w:rsid w:val="00AD44FA"/>
    <w:rsid w:val="00AD49A0"/>
    <w:rsid w:val="00AD5BF6"/>
    <w:rsid w:val="00AE05F4"/>
    <w:rsid w:val="00AE070A"/>
    <w:rsid w:val="00AE101C"/>
    <w:rsid w:val="00AE1F28"/>
    <w:rsid w:val="00AE213E"/>
    <w:rsid w:val="00AE2245"/>
    <w:rsid w:val="00AE2A69"/>
    <w:rsid w:val="00AE37E5"/>
    <w:rsid w:val="00AE5EB4"/>
    <w:rsid w:val="00AE7DB6"/>
    <w:rsid w:val="00AF0C18"/>
    <w:rsid w:val="00AF2480"/>
    <w:rsid w:val="00AF2632"/>
    <w:rsid w:val="00AF29AF"/>
    <w:rsid w:val="00AF47C5"/>
    <w:rsid w:val="00AF4840"/>
    <w:rsid w:val="00AF4E00"/>
    <w:rsid w:val="00AF5398"/>
    <w:rsid w:val="00AF55C7"/>
    <w:rsid w:val="00AF7452"/>
    <w:rsid w:val="00B02874"/>
    <w:rsid w:val="00B02EB3"/>
    <w:rsid w:val="00B049AF"/>
    <w:rsid w:val="00B05B99"/>
    <w:rsid w:val="00B06835"/>
    <w:rsid w:val="00B06C96"/>
    <w:rsid w:val="00B07242"/>
    <w:rsid w:val="00B10088"/>
    <w:rsid w:val="00B10534"/>
    <w:rsid w:val="00B113DB"/>
    <w:rsid w:val="00B11494"/>
    <w:rsid w:val="00B11819"/>
    <w:rsid w:val="00B11D8A"/>
    <w:rsid w:val="00B12981"/>
    <w:rsid w:val="00B13182"/>
    <w:rsid w:val="00B13D05"/>
    <w:rsid w:val="00B147DD"/>
    <w:rsid w:val="00B14D15"/>
    <w:rsid w:val="00B151B7"/>
    <w:rsid w:val="00B156FD"/>
    <w:rsid w:val="00B161C8"/>
    <w:rsid w:val="00B172E9"/>
    <w:rsid w:val="00B20190"/>
    <w:rsid w:val="00B21F61"/>
    <w:rsid w:val="00B22549"/>
    <w:rsid w:val="00B227A2"/>
    <w:rsid w:val="00B22D2C"/>
    <w:rsid w:val="00B261F1"/>
    <w:rsid w:val="00B265BC"/>
    <w:rsid w:val="00B274C0"/>
    <w:rsid w:val="00B27A1C"/>
    <w:rsid w:val="00B27D7E"/>
    <w:rsid w:val="00B27FA6"/>
    <w:rsid w:val="00B30670"/>
    <w:rsid w:val="00B3075B"/>
    <w:rsid w:val="00B31FB1"/>
    <w:rsid w:val="00B32796"/>
    <w:rsid w:val="00B33952"/>
    <w:rsid w:val="00B33C5E"/>
    <w:rsid w:val="00B34267"/>
    <w:rsid w:val="00B342F4"/>
    <w:rsid w:val="00B34335"/>
    <w:rsid w:val="00B34369"/>
    <w:rsid w:val="00B3462A"/>
    <w:rsid w:val="00B34DC2"/>
    <w:rsid w:val="00B35F4A"/>
    <w:rsid w:val="00B378E5"/>
    <w:rsid w:val="00B4053E"/>
    <w:rsid w:val="00B41914"/>
    <w:rsid w:val="00B4295D"/>
    <w:rsid w:val="00B43162"/>
    <w:rsid w:val="00B4346D"/>
    <w:rsid w:val="00B437B7"/>
    <w:rsid w:val="00B440F4"/>
    <w:rsid w:val="00B447A5"/>
    <w:rsid w:val="00B4654C"/>
    <w:rsid w:val="00B47293"/>
    <w:rsid w:val="00B472D3"/>
    <w:rsid w:val="00B503AD"/>
    <w:rsid w:val="00B50E50"/>
    <w:rsid w:val="00B51212"/>
    <w:rsid w:val="00B52120"/>
    <w:rsid w:val="00B52EEB"/>
    <w:rsid w:val="00B546C9"/>
    <w:rsid w:val="00B54ABC"/>
    <w:rsid w:val="00B55FA0"/>
    <w:rsid w:val="00B56FBE"/>
    <w:rsid w:val="00B60ACF"/>
    <w:rsid w:val="00B60B08"/>
    <w:rsid w:val="00B618DB"/>
    <w:rsid w:val="00B62B58"/>
    <w:rsid w:val="00B6395B"/>
    <w:rsid w:val="00B65149"/>
    <w:rsid w:val="00B66567"/>
    <w:rsid w:val="00B66F52"/>
    <w:rsid w:val="00B66FE5"/>
    <w:rsid w:val="00B70FC3"/>
    <w:rsid w:val="00B712A8"/>
    <w:rsid w:val="00B71BDF"/>
    <w:rsid w:val="00B72880"/>
    <w:rsid w:val="00B755D8"/>
    <w:rsid w:val="00B758BF"/>
    <w:rsid w:val="00B76BAF"/>
    <w:rsid w:val="00B77BEA"/>
    <w:rsid w:val="00B77EC8"/>
    <w:rsid w:val="00B80320"/>
    <w:rsid w:val="00B80469"/>
    <w:rsid w:val="00B80559"/>
    <w:rsid w:val="00B81B2E"/>
    <w:rsid w:val="00B827A6"/>
    <w:rsid w:val="00B83157"/>
    <w:rsid w:val="00B831CE"/>
    <w:rsid w:val="00B86544"/>
    <w:rsid w:val="00B86677"/>
    <w:rsid w:val="00B87131"/>
    <w:rsid w:val="00B87494"/>
    <w:rsid w:val="00B902FB"/>
    <w:rsid w:val="00B91D05"/>
    <w:rsid w:val="00B93254"/>
    <w:rsid w:val="00B939B1"/>
    <w:rsid w:val="00B93F26"/>
    <w:rsid w:val="00B95806"/>
    <w:rsid w:val="00B964B1"/>
    <w:rsid w:val="00B96D40"/>
    <w:rsid w:val="00B97386"/>
    <w:rsid w:val="00BA069D"/>
    <w:rsid w:val="00BA0D68"/>
    <w:rsid w:val="00BA1701"/>
    <w:rsid w:val="00BA263B"/>
    <w:rsid w:val="00BA3FB6"/>
    <w:rsid w:val="00BA42B2"/>
    <w:rsid w:val="00BA58D4"/>
    <w:rsid w:val="00BA5B9E"/>
    <w:rsid w:val="00BA7C9A"/>
    <w:rsid w:val="00BB08FA"/>
    <w:rsid w:val="00BB25AB"/>
    <w:rsid w:val="00BB2E1E"/>
    <w:rsid w:val="00BB41E8"/>
    <w:rsid w:val="00BB5F8F"/>
    <w:rsid w:val="00BB657A"/>
    <w:rsid w:val="00BC0385"/>
    <w:rsid w:val="00BC05BD"/>
    <w:rsid w:val="00BC1A4E"/>
    <w:rsid w:val="00BC4A39"/>
    <w:rsid w:val="00BC5DC7"/>
    <w:rsid w:val="00BC648E"/>
    <w:rsid w:val="00BC6A5E"/>
    <w:rsid w:val="00BC6B8B"/>
    <w:rsid w:val="00BC6E4E"/>
    <w:rsid w:val="00BC73D8"/>
    <w:rsid w:val="00BD0179"/>
    <w:rsid w:val="00BD09ED"/>
    <w:rsid w:val="00BD1C14"/>
    <w:rsid w:val="00BD1E3C"/>
    <w:rsid w:val="00BD41FA"/>
    <w:rsid w:val="00BD4264"/>
    <w:rsid w:val="00BD52D7"/>
    <w:rsid w:val="00BD5AD2"/>
    <w:rsid w:val="00BE01C6"/>
    <w:rsid w:val="00BE09F8"/>
    <w:rsid w:val="00BE22F3"/>
    <w:rsid w:val="00BE2F8D"/>
    <w:rsid w:val="00BE3FA9"/>
    <w:rsid w:val="00BE570A"/>
    <w:rsid w:val="00BE5B52"/>
    <w:rsid w:val="00BE7B8D"/>
    <w:rsid w:val="00BE7C10"/>
    <w:rsid w:val="00BF0993"/>
    <w:rsid w:val="00BF10A9"/>
    <w:rsid w:val="00BF1703"/>
    <w:rsid w:val="00BF231C"/>
    <w:rsid w:val="00BF3621"/>
    <w:rsid w:val="00BF3A19"/>
    <w:rsid w:val="00BF51E5"/>
    <w:rsid w:val="00BF74A6"/>
    <w:rsid w:val="00C00603"/>
    <w:rsid w:val="00C013AD"/>
    <w:rsid w:val="00C01BFC"/>
    <w:rsid w:val="00C02C34"/>
    <w:rsid w:val="00C03F02"/>
    <w:rsid w:val="00C0418D"/>
    <w:rsid w:val="00C04204"/>
    <w:rsid w:val="00C04904"/>
    <w:rsid w:val="00C056B3"/>
    <w:rsid w:val="00C06094"/>
    <w:rsid w:val="00C0754F"/>
    <w:rsid w:val="00C103E5"/>
    <w:rsid w:val="00C10FAC"/>
    <w:rsid w:val="00C13319"/>
    <w:rsid w:val="00C13EE9"/>
    <w:rsid w:val="00C14FA5"/>
    <w:rsid w:val="00C152DE"/>
    <w:rsid w:val="00C15DC4"/>
    <w:rsid w:val="00C15E2A"/>
    <w:rsid w:val="00C160F4"/>
    <w:rsid w:val="00C17AA4"/>
    <w:rsid w:val="00C2005A"/>
    <w:rsid w:val="00C20A0D"/>
    <w:rsid w:val="00C21540"/>
    <w:rsid w:val="00C21906"/>
    <w:rsid w:val="00C21BFA"/>
    <w:rsid w:val="00C2285B"/>
    <w:rsid w:val="00C24C8D"/>
    <w:rsid w:val="00C25FE2"/>
    <w:rsid w:val="00C2651F"/>
    <w:rsid w:val="00C26B53"/>
    <w:rsid w:val="00C27336"/>
    <w:rsid w:val="00C279B2"/>
    <w:rsid w:val="00C3243D"/>
    <w:rsid w:val="00C33E50"/>
    <w:rsid w:val="00C34C20"/>
    <w:rsid w:val="00C35A3E"/>
    <w:rsid w:val="00C4006B"/>
    <w:rsid w:val="00C41592"/>
    <w:rsid w:val="00C42130"/>
    <w:rsid w:val="00C423A4"/>
    <w:rsid w:val="00C423E3"/>
    <w:rsid w:val="00C44BF5"/>
    <w:rsid w:val="00C459BE"/>
    <w:rsid w:val="00C46F4C"/>
    <w:rsid w:val="00C5036D"/>
    <w:rsid w:val="00C50EBA"/>
    <w:rsid w:val="00C516DE"/>
    <w:rsid w:val="00C521D6"/>
    <w:rsid w:val="00C52607"/>
    <w:rsid w:val="00C52953"/>
    <w:rsid w:val="00C55232"/>
    <w:rsid w:val="00C553A4"/>
    <w:rsid w:val="00C55652"/>
    <w:rsid w:val="00C55A06"/>
    <w:rsid w:val="00C55D03"/>
    <w:rsid w:val="00C5616D"/>
    <w:rsid w:val="00C601BC"/>
    <w:rsid w:val="00C60705"/>
    <w:rsid w:val="00C6155E"/>
    <w:rsid w:val="00C62A4E"/>
    <w:rsid w:val="00C6329F"/>
    <w:rsid w:val="00C63340"/>
    <w:rsid w:val="00C63FFC"/>
    <w:rsid w:val="00C643F9"/>
    <w:rsid w:val="00C64E95"/>
    <w:rsid w:val="00C65800"/>
    <w:rsid w:val="00C71372"/>
    <w:rsid w:val="00C72410"/>
    <w:rsid w:val="00C7287F"/>
    <w:rsid w:val="00C807EC"/>
    <w:rsid w:val="00C809E4"/>
    <w:rsid w:val="00C80A65"/>
    <w:rsid w:val="00C80CB8"/>
    <w:rsid w:val="00C811B8"/>
    <w:rsid w:val="00C819F8"/>
    <w:rsid w:val="00C8248C"/>
    <w:rsid w:val="00C84E33"/>
    <w:rsid w:val="00C86D6F"/>
    <w:rsid w:val="00C876C3"/>
    <w:rsid w:val="00C87864"/>
    <w:rsid w:val="00C905FC"/>
    <w:rsid w:val="00C90A7A"/>
    <w:rsid w:val="00C90F8C"/>
    <w:rsid w:val="00C92D03"/>
    <w:rsid w:val="00C9319C"/>
    <w:rsid w:val="00C9435D"/>
    <w:rsid w:val="00C946C7"/>
    <w:rsid w:val="00C94CB7"/>
    <w:rsid w:val="00C94DF2"/>
    <w:rsid w:val="00C95064"/>
    <w:rsid w:val="00C96741"/>
    <w:rsid w:val="00C96C28"/>
    <w:rsid w:val="00C97CFE"/>
    <w:rsid w:val="00CA2ADD"/>
    <w:rsid w:val="00CA2D1B"/>
    <w:rsid w:val="00CA375D"/>
    <w:rsid w:val="00CA44F7"/>
    <w:rsid w:val="00CA662A"/>
    <w:rsid w:val="00CA729D"/>
    <w:rsid w:val="00CA7A12"/>
    <w:rsid w:val="00CA7AFD"/>
    <w:rsid w:val="00CA7C3C"/>
    <w:rsid w:val="00CB0189"/>
    <w:rsid w:val="00CB0BA2"/>
    <w:rsid w:val="00CB1A42"/>
    <w:rsid w:val="00CB1B0C"/>
    <w:rsid w:val="00CB2C0B"/>
    <w:rsid w:val="00CB4473"/>
    <w:rsid w:val="00CB4A10"/>
    <w:rsid w:val="00CB4A7F"/>
    <w:rsid w:val="00CB517D"/>
    <w:rsid w:val="00CB60BA"/>
    <w:rsid w:val="00CB7052"/>
    <w:rsid w:val="00CC038D"/>
    <w:rsid w:val="00CC08DB"/>
    <w:rsid w:val="00CC1208"/>
    <w:rsid w:val="00CC1684"/>
    <w:rsid w:val="00CC1864"/>
    <w:rsid w:val="00CC23F0"/>
    <w:rsid w:val="00CC2B3A"/>
    <w:rsid w:val="00CC39FF"/>
    <w:rsid w:val="00CC3C2F"/>
    <w:rsid w:val="00CC3E76"/>
    <w:rsid w:val="00CC4AC8"/>
    <w:rsid w:val="00CC50DF"/>
    <w:rsid w:val="00CC5233"/>
    <w:rsid w:val="00CC5DE6"/>
    <w:rsid w:val="00CC6060"/>
    <w:rsid w:val="00CC6E4E"/>
    <w:rsid w:val="00CC6FE8"/>
    <w:rsid w:val="00CC7202"/>
    <w:rsid w:val="00CD246B"/>
    <w:rsid w:val="00CD2808"/>
    <w:rsid w:val="00CD28BF"/>
    <w:rsid w:val="00CD2E7C"/>
    <w:rsid w:val="00CD4092"/>
    <w:rsid w:val="00CD4A20"/>
    <w:rsid w:val="00CD50A1"/>
    <w:rsid w:val="00CD519E"/>
    <w:rsid w:val="00CD7CD2"/>
    <w:rsid w:val="00CE0C4F"/>
    <w:rsid w:val="00CE30EA"/>
    <w:rsid w:val="00CE316F"/>
    <w:rsid w:val="00CE544E"/>
    <w:rsid w:val="00CE5780"/>
    <w:rsid w:val="00CE61DB"/>
    <w:rsid w:val="00CE69EC"/>
    <w:rsid w:val="00CF048A"/>
    <w:rsid w:val="00CF155A"/>
    <w:rsid w:val="00CF2947"/>
    <w:rsid w:val="00CF38FF"/>
    <w:rsid w:val="00CF3B6D"/>
    <w:rsid w:val="00CF49BE"/>
    <w:rsid w:val="00CF4E32"/>
    <w:rsid w:val="00CF5AAA"/>
    <w:rsid w:val="00CF686F"/>
    <w:rsid w:val="00CF6E60"/>
    <w:rsid w:val="00CF714A"/>
    <w:rsid w:val="00CF7BCA"/>
    <w:rsid w:val="00CF7DC6"/>
    <w:rsid w:val="00D008FD"/>
    <w:rsid w:val="00D0321C"/>
    <w:rsid w:val="00D035EC"/>
    <w:rsid w:val="00D041DE"/>
    <w:rsid w:val="00D04598"/>
    <w:rsid w:val="00D05B65"/>
    <w:rsid w:val="00D0659B"/>
    <w:rsid w:val="00D06AB1"/>
    <w:rsid w:val="00D06FC1"/>
    <w:rsid w:val="00D072ED"/>
    <w:rsid w:val="00D07A16"/>
    <w:rsid w:val="00D10557"/>
    <w:rsid w:val="00D1067E"/>
    <w:rsid w:val="00D10BD8"/>
    <w:rsid w:val="00D10F50"/>
    <w:rsid w:val="00D11272"/>
    <w:rsid w:val="00D126F5"/>
    <w:rsid w:val="00D12D33"/>
    <w:rsid w:val="00D12E2D"/>
    <w:rsid w:val="00D140B3"/>
    <w:rsid w:val="00D1489E"/>
    <w:rsid w:val="00D17609"/>
    <w:rsid w:val="00D20737"/>
    <w:rsid w:val="00D21E81"/>
    <w:rsid w:val="00D223DE"/>
    <w:rsid w:val="00D25E37"/>
    <w:rsid w:val="00D2641B"/>
    <w:rsid w:val="00D2661A"/>
    <w:rsid w:val="00D26B05"/>
    <w:rsid w:val="00D27582"/>
    <w:rsid w:val="00D27EC4"/>
    <w:rsid w:val="00D314D6"/>
    <w:rsid w:val="00D32719"/>
    <w:rsid w:val="00D33333"/>
    <w:rsid w:val="00D352A2"/>
    <w:rsid w:val="00D356FF"/>
    <w:rsid w:val="00D412CC"/>
    <w:rsid w:val="00D41467"/>
    <w:rsid w:val="00D4162B"/>
    <w:rsid w:val="00D433EC"/>
    <w:rsid w:val="00D4514F"/>
    <w:rsid w:val="00D451E2"/>
    <w:rsid w:val="00D458B8"/>
    <w:rsid w:val="00D45E89"/>
    <w:rsid w:val="00D45E8D"/>
    <w:rsid w:val="00D466AE"/>
    <w:rsid w:val="00D4734F"/>
    <w:rsid w:val="00D51BF3"/>
    <w:rsid w:val="00D52FFA"/>
    <w:rsid w:val="00D5352A"/>
    <w:rsid w:val="00D53868"/>
    <w:rsid w:val="00D53871"/>
    <w:rsid w:val="00D53D5F"/>
    <w:rsid w:val="00D54058"/>
    <w:rsid w:val="00D55C13"/>
    <w:rsid w:val="00D56DB3"/>
    <w:rsid w:val="00D61282"/>
    <w:rsid w:val="00D6401F"/>
    <w:rsid w:val="00D64148"/>
    <w:rsid w:val="00D64B9F"/>
    <w:rsid w:val="00D66846"/>
    <w:rsid w:val="00D67466"/>
    <w:rsid w:val="00D675FB"/>
    <w:rsid w:val="00D7038B"/>
    <w:rsid w:val="00D71597"/>
    <w:rsid w:val="00D71F25"/>
    <w:rsid w:val="00D72A9C"/>
    <w:rsid w:val="00D757CE"/>
    <w:rsid w:val="00D76B20"/>
    <w:rsid w:val="00D77031"/>
    <w:rsid w:val="00D813F6"/>
    <w:rsid w:val="00D83877"/>
    <w:rsid w:val="00D8477C"/>
    <w:rsid w:val="00D84941"/>
    <w:rsid w:val="00D84FA1"/>
    <w:rsid w:val="00D851F0"/>
    <w:rsid w:val="00D862FB"/>
    <w:rsid w:val="00D86568"/>
    <w:rsid w:val="00D86DB7"/>
    <w:rsid w:val="00D87BF5"/>
    <w:rsid w:val="00D90721"/>
    <w:rsid w:val="00D91B44"/>
    <w:rsid w:val="00D91B4A"/>
    <w:rsid w:val="00D926D0"/>
    <w:rsid w:val="00D93030"/>
    <w:rsid w:val="00D93ACA"/>
    <w:rsid w:val="00D950E1"/>
    <w:rsid w:val="00D952A6"/>
    <w:rsid w:val="00D973CA"/>
    <w:rsid w:val="00D97F99"/>
    <w:rsid w:val="00DA18B1"/>
    <w:rsid w:val="00DA1E08"/>
    <w:rsid w:val="00DA24F8"/>
    <w:rsid w:val="00DA28E8"/>
    <w:rsid w:val="00DA29F4"/>
    <w:rsid w:val="00DA38D3"/>
    <w:rsid w:val="00DA3932"/>
    <w:rsid w:val="00DA3AFC"/>
    <w:rsid w:val="00DA3EDA"/>
    <w:rsid w:val="00DA4EED"/>
    <w:rsid w:val="00DA563E"/>
    <w:rsid w:val="00DA64F8"/>
    <w:rsid w:val="00DA6C15"/>
    <w:rsid w:val="00DA6CD4"/>
    <w:rsid w:val="00DA6DD8"/>
    <w:rsid w:val="00DB0258"/>
    <w:rsid w:val="00DB1975"/>
    <w:rsid w:val="00DB215E"/>
    <w:rsid w:val="00DB2F3B"/>
    <w:rsid w:val="00DB38EE"/>
    <w:rsid w:val="00DB498B"/>
    <w:rsid w:val="00DB58D2"/>
    <w:rsid w:val="00DB5F81"/>
    <w:rsid w:val="00DB66CA"/>
    <w:rsid w:val="00DB6A8A"/>
    <w:rsid w:val="00DB6BCA"/>
    <w:rsid w:val="00DB6F54"/>
    <w:rsid w:val="00DB73F7"/>
    <w:rsid w:val="00DC0321"/>
    <w:rsid w:val="00DC04B7"/>
    <w:rsid w:val="00DC3067"/>
    <w:rsid w:val="00DC3191"/>
    <w:rsid w:val="00DC370B"/>
    <w:rsid w:val="00DC3810"/>
    <w:rsid w:val="00DC3EA7"/>
    <w:rsid w:val="00DC4A88"/>
    <w:rsid w:val="00DC5400"/>
    <w:rsid w:val="00DC5B90"/>
    <w:rsid w:val="00DC6F72"/>
    <w:rsid w:val="00DC71E0"/>
    <w:rsid w:val="00DC7753"/>
    <w:rsid w:val="00DD00FF"/>
    <w:rsid w:val="00DD0619"/>
    <w:rsid w:val="00DD07FB"/>
    <w:rsid w:val="00DD12F1"/>
    <w:rsid w:val="00DD1A26"/>
    <w:rsid w:val="00DD1BB6"/>
    <w:rsid w:val="00DD24A2"/>
    <w:rsid w:val="00DD25C6"/>
    <w:rsid w:val="00DD34D1"/>
    <w:rsid w:val="00DD3B3A"/>
    <w:rsid w:val="00DD4FE5"/>
    <w:rsid w:val="00DD53C8"/>
    <w:rsid w:val="00DD54B0"/>
    <w:rsid w:val="00DD57EE"/>
    <w:rsid w:val="00DD6BCC"/>
    <w:rsid w:val="00DD7042"/>
    <w:rsid w:val="00DE075B"/>
    <w:rsid w:val="00DE0A4B"/>
    <w:rsid w:val="00DE1A94"/>
    <w:rsid w:val="00DE2410"/>
    <w:rsid w:val="00DE2939"/>
    <w:rsid w:val="00DE32D8"/>
    <w:rsid w:val="00DE3AA9"/>
    <w:rsid w:val="00DE3D27"/>
    <w:rsid w:val="00DE6E81"/>
    <w:rsid w:val="00DE703F"/>
    <w:rsid w:val="00DE7050"/>
    <w:rsid w:val="00DE7595"/>
    <w:rsid w:val="00DE7A40"/>
    <w:rsid w:val="00DF080D"/>
    <w:rsid w:val="00DF1961"/>
    <w:rsid w:val="00DF1EB9"/>
    <w:rsid w:val="00DF209C"/>
    <w:rsid w:val="00DF34B6"/>
    <w:rsid w:val="00DF3C41"/>
    <w:rsid w:val="00DF44DE"/>
    <w:rsid w:val="00DF62BF"/>
    <w:rsid w:val="00DF7459"/>
    <w:rsid w:val="00DF7B4D"/>
    <w:rsid w:val="00E005B5"/>
    <w:rsid w:val="00E009D4"/>
    <w:rsid w:val="00E01138"/>
    <w:rsid w:val="00E020A2"/>
    <w:rsid w:val="00E02AEF"/>
    <w:rsid w:val="00E02DFB"/>
    <w:rsid w:val="00E030E4"/>
    <w:rsid w:val="00E030F9"/>
    <w:rsid w:val="00E0311A"/>
    <w:rsid w:val="00E03138"/>
    <w:rsid w:val="00E03F68"/>
    <w:rsid w:val="00E04481"/>
    <w:rsid w:val="00E05106"/>
    <w:rsid w:val="00E06404"/>
    <w:rsid w:val="00E11A85"/>
    <w:rsid w:val="00E11BEB"/>
    <w:rsid w:val="00E12495"/>
    <w:rsid w:val="00E124D8"/>
    <w:rsid w:val="00E1263E"/>
    <w:rsid w:val="00E15CCD"/>
    <w:rsid w:val="00E15F09"/>
    <w:rsid w:val="00E17CFE"/>
    <w:rsid w:val="00E202EF"/>
    <w:rsid w:val="00E210B5"/>
    <w:rsid w:val="00E22376"/>
    <w:rsid w:val="00E24E21"/>
    <w:rsid w:val="00E2552F"/>
    <w:rsid w:val="00E270A1"/>
    <w:rsid w:val="00E3137A"/>
    <w:rsid w:val="00E32C15"/>
    <w:rsid w:val="00E32CCF"/>
    <w:rsid w:val="00E335C0"/>
    <w:rsid w:val="00E33CC4"/>
    <w:rsid w:val="00E34A98"/>
    <w:rsid w:val="00E35D1E"/>
    <w:rsid w:val="00E3607E"/>
    <w:rsid w:val="00E364F9"/>
    <w:rsid w:val="00E365FA"/>
    <w:rsid w:val="00E36789"/>
    <w:rsid w:val="00E36D48"/>
    <w:rsid w:val="00E410E4"/>
    <w:rsid w:val="00E433BB"/>
    <w:rsid w:val="00E440E4"/>
    <w:rsid w:val="00E44A83"/>
    <w:rsid w:val="00E45CE2"/>
    <w:rsid w:val="00E47CF9"/>
    <w:rsid w:val="00E47FAA"/>
    <w:rsid w:val="00E502C1"/>
    <w:rsid w:val="00E502DD"/>
    <w:rsid w:val="00E50D3A"/>
    <w:rsid w:val="00E5137E"/>
    <w:rsid w:val="00E51387"/>
    <w:rsid w:val="00E51E68"/>
    <w:rsid w:val="00E52EFD"/>
    <w:rsid w:val="00E538E8"/>
    <w:rsid w:val="00E53AEA"/>
    <w:rsid w:val="00E5408A"/>
    <w:rsid w:val="00E556C5"/>
    <w:rsid w:val="00E556FD"/>
    <w:rsid w:val="00E56800"/>
    <w:rsid w:val="00E60C63"/>
    <w:rsid w:val="00E61CBE"/>
    <w:rsid w:val="00E626AC"/>
    <w:rsid w:val="00E62FF9"/>
    <w:rsid w:val="00E63367"/>
    <w:rsid w:val="00E635D6"/>
    <w:rsid w:val="00E639BC"/>
    <w:rsid w:val="00E6572E"/>
    <w:rsid w:val="00E664CC"/>
    <w:rsid w:val="00E70388"/>
    <w:rsid w:val="00E70F92"/>
    <w:rsid w:val="00E71E3C"/>
    <w:rsid w:val="00E74313"/>
    <w:rsid w:val="00E74C54"/>
    <w:rsid w:val="00E7519B"/>
    <w:rsid w:val="00E769B7"/>
    <w:rsid w:val="00E77A03"/>
    <w:rsid w:val="00E8019F"/>
    <w:rsid w:val="00E80817"/>
    <w:rsid w:val="00E82102"/>
    <w:rsid w:val="00E822E8"/>
    <w:rsid w:val="00E82554"/>
    <w:rsid w:val="00E82606"/>
    <w:rsid w:val="00E831C1"/>
    <w:rsid w:val="00E846C8"/>
    <w:rsid w:val="00E84957"/>
    <w:rsid w:val="00E84A55"/>
    <w:rsid w:val="00E853BC"/>
    <w:rsid w:val="00E856F1"/>
    <w:rsid w:val="00E85BFF"/>
    <w:rsid w:val="00E86D19"/>
    <w:rsid w:val="00E877D8"/>
    <w:rsid w:val="00E90391"/>
    <w:rsid w:val="00E906C2"/>
    <w:rsid w:val="00E9311F"/>
    <w:rsid w:val="00E9347F"/>
    <w:rsid w:val="00E934D1"/>
    <w:rsid w:val="00E935B8"/>
    <w:rsid w:val="00E94AF0"/>
    <w:rsid w:val="00E95546"/>
    <w:rsid w:val="00E95D13"/>
    <w:rsid w:val="00E95DD3"/>
    <w:rsid w:val="00E969D5"/>
    <w:rsid w:val="00E9780F"/>
    <w:rsid w:val="00E97AE4"/>
    <w:rsid w:val="00EA1DC3"/>
    <w:rsid w:val="00EA267D"/>
    <w:rsid w:val="00EA32D7"/>
    <w:rsid w:val="00EA3541"/>
    <w:rsid w:val="00EA4229"/>
    <w:rsid w:val="00EA469D"/>
    <w:rsid w:val="00EA58D1"/>
    <w:rsid w:val="00EA58EF"/>
    <w:rsid w:val="00EA5FD8"/>
    <w:rsid w:val="00EA61BC"/>
    <w:rsid w:val="00EA681A"/>
    <w:rsid w:val="00EA72B2"/>
    <w:rsid w:val="00EA735B"/>
    <w:rsid w:val="00EB1E69"/>
    <w:rsid w:val="00EB2086"/>
    <w:rsid w:val="00EB2A3F"/>
    <w:rsid w:val="00EB31ED"/>
    <w:rsid w:val="00EB35FB"/>
    <w:rsid w:val="00EB4476"/>
    <w:rsid w:val="00EB5EDF"/>
    <w:rsid w:val="00EB60FE"/>
    <w:rsid w:val="00EB6D6B"/>
    <w:rsid w:val="00EB74DB"/>
    <w:rsid w:val="00EB7949"/>
    <w:rsid w:val="00EC10B3"/>
    <w:rsid w:val="00EC36C7"/>
    <w:rsid w:val="00EC4AA2"/>
    <w:rsid w:val="00EC5359"/>
    <w:rsid w:val="00EC558D"/>
    <w:rsid w:val="00EC562A"/>
    <w:rsid w:val="00EC57A2"/>
    <w:rsid w:val="00EC6A15"/>
    <w:rsid w:val="00EC6ECC"/>
    <w:rsid w:val="00ED067A"/>
    <w:rsid w:val="00ED1AA1"/>
    <w:rsid w:val="00ED1D31"/>
    <w:rsid w:val="00ED1E7B"/>
    <w:rsid w:val="00ED2B50"/>
    <w:rsid w:val="00ED39D4"/>
    <w:rsid w:val="00ED5CFC"/>
    <w:rsid w:val="00ED798C"/>
    <w:rsid w:val="00EE0092"/>
    <w:rsid w:val="00EE0350"/>
    <w:rsid w:val="00EE0620"/>
    <w:rsid w:val="00EE0719"/>
    <w:rsid w:val="00EE0C7E"/>
    <w:rsid w:val="00EE0E80"/>
    <w:rsid w:val="00EE1F2D"/>
    <w:rsid w:val="00EE4A7A"/>
    <w:rsid w:val="00EE6002"/>
    <w:rsid w:val="00EE613F"/>
    <w:rsid w:val="00EE7295"/>
    <w:rsid w:val="00EE7869"/>
    <w:rsid w:val="00EF054A"/>
    <w:rsid w:val="00EF2609"/>
    <w:rsid w:val="00EF3235"/>
    <w:rsid w:val="00EF3CE7"/>
    <w:rsid w:val="00EF6326"/>
    <w:rsid w:val="00EF6363"/>
    <w:rsid w:val="00EF69D7"/>
    <w:rsid w:val="00EF7AB4"/>
    <w:rsid w:val="00EF7E72"/>
    <w:rsid w:val="00F01202"/>
    <w:rsid w:val="00F0215E"/>
    <w:rsid w:val="00F022B8"/>
    <w:rsid w:val="00F05B2E"/>
    <w:rsid w:val="00F06D37"/>
    <w:rsid w:val="00F07200"/>
    <w:rsid w:val="00F07378"/>
    <w:rsid w:val="00F07B9D"/>
    <w:rsid w:val="00F10DAE"/>
    <w:rsid w:val="00F111DB"/>
    <w:rsid w:val="00F11586"/>
    <w:rsid w:val="00F1183B"/>
    <w:rsid w:val="00F11C9F"/>
    <w:rsid w:val="00F12263"/>
    <w:rsid w:val="00F1409D"/>
    <w:rsid w:val="00F140FB"/>
    <w:rsid w:val="00F14214"/>
    <w:rsid w:val="00F142DA"/>
    <w:rsid w:val="00F151C0"/>
    <w:rsid w:val="00F157A9"/>
    <w:rsid w:val="00F15EDB"/>
    <w:rsid w:val="00F160BF"/>
    <w:rsid w:val="00F16BA5"/>
    <w:rsid w:val="00F16F00"/>
    <w:rsid w:val="00F17DF5"/>
    <w:rsid w:val="00F20620"/>
    <w:rsid w:val="00F2453D"/>
    <w:rsid w:val="00F24648"/>
    <w:rsid w:val="00F25016"/>
    <w:rsid w:val="00F25BB6"/>
    <w:rsid w:val="00F25C54"/>
    <w:rsid w:val="00F26069"/>
    <w:rsid w:val="00F260C2"/>
    <w:rsid w:val="00F26B7E"/>
    <w:rsid w:val="00F27528"/>
    <w:rsid w:val="00F27871"/>
    <w:rsid w:val="00F27A3B"/>
    <w:rsid w:val="00F303EC"/>
    <w:rsid w:val="00F33817"/>
    <w:rsid w:val="00F3458B"/>
    <w:rsid w:val="00F34D7A"/>
    <w:rsid w:val="00F355C0"/>
    <w:rsid w:val="00F35B6B"/>
    <w:rsid w:val="00F366F2"/>
    <w:rsid w:val="00F36E51"/>
    <w:rsid w:val="00F420D5"/>
    <w:rsid w:val="00F4240D"/>
    <w:rsid w:val="00F443A1"/>
    <w:rsid w:val="00F44AF1"/>
    <w:rsid w:val="00F44AF5"/>
    <w:rsid w:val="00F451EA"/>
    <w:rsid w:val="00F45447"/>
    <w:rsid w:val="00F456C6"/>
    <w:rsid w:val="00F4577B"/>
    <w:rsid w:val="00F46496"/>
    <w:rsid w:val="00F474D0"/>
    <w:rsid w:val="00F50090"/>
    <w:rsid w:val="00F50179"/>
    <w:rsid w:val="00F515EE"/>
    <w:rsid w:val="00F52B37"/>
    <w:rsid w:val="00F56511"/>
    <w:rsid w:val="00F566DB"/>
    <w:rsid w:val="00F56903"/>
    <w:rsid w:val="00F57786"/>
    <w:rsid w:val="00F61052"/>
    <w:rsid w:val="00F613A6"/>
    <w:rsid w:val="00F6194E"/>
    <w:rsid w:val="00F61E59"/>
    <w:rsid w:val="00F623AC"/>
    <w:rsid w:val="00F63F6A"/>
    <w:rsid w:val="00F6412A"/>
    <w:rsid w:val="00F64978"/>
    <w:rsid w:val="00F65893"/>
    <w:rsid w:val="00F66A4A"/>
    <w:rsid w:val="00F67838"/>
    <w:rsid w:val="00F71E22"/>
    <w:rsid w:val="00F71EB7"/>
    <w:rsid w:val="00F71F90"/>
    <w:rsid w:val="00F72142"/>
    <w:rsid w:val="00F72AE7"/>
    <w:rsid w:val="00F7486B"/>
    <w:rsid w:val="00F751C9"/>
    <w:rsid w:val="00F8002D"/>
    <w:rsid w:val="00F81AAB"/>
    <w:rsid w:val="00F82A2F"/>
    <w:rsid w:val="00F82CEA"/>
    <w:rsid w:val="00F833BA"/>
    <w:rsid w:val="00F84FD0"/>
    <w:rsid w:val="00F859A8"/>
    <w:rsid w:val="00F86D87"/>
    <w:rsid w:val="00F87314"/>
    <w:rsid w:val="00F87860"/>
    <w:rsid w:val="00F91081"/>
    <w:rsid w:val="00F9108B"/>
    <w:rsid w:val="00F91349"/>
    <w:rsid w:val="00F916CB"/>
    <w:rsid w:val="00F93A8A"/>
    <w:rsid w:val="00F9452F"/>
    <w:rsid w:val="00F946D3"/>
    <w:rsid w:val="00F95248"/>
    <w:rsid w:val="00F95328"/>
    <w:rsid w:val="00F95623"/>
    <w:rsid w:val="00F956A9"/>
    <w:rsid w:val="00F9593F"/>
    <w:rsid w:val="00F963ED"/>
    <w:rsid w:val="00F966CF"/>
    <w:rsid w:val="00F96CAE"/>
    <w:rsid w:val="00F97C99"/>
    <w:rsid w:val="00FA0311"/>
    <w:rsid w:val="00FA0B29"/>
    <w:rsid w:val="00FA662D"/>
    <w:rsid w:val="00FA698F"/>
    <w:rsid w:val="00FA73B1"/>
    <w:rsid w:val="00FA7F0B"/>
    <w:rsid w:val="00FB0CB9"/>
    <w:rsid w:val="00FB1EEA"/>
    <w:rsid w:val="00FB231D"/>
    <w:rsid w:val="00FB30DD"/>
    <w:rsid w:val="00FB45F1"/>
    <w:rsid w:val="00FB4A72"/>
    <w:rsid w:val="00FB4DD3"/>
    <w:rsid w:val="00FB54E8"/>
    <w:rsid w:val="00FB5CEE"/>
    <w:rsid w:val="00FB7054"/>
    <w:rsid w:val="00FC0405"/>
    <w:rsid w:val="00FC0881"/>
    <w:rsid w:val="00FC0AA9"/>
    <w:rsid w:val="00FC1382"/>
    <w:rsid w:val="00FC17B7"/>
    <w:rsid w:val="00FC1BB1"/>
    <w:rsid w:val="00FC2CB7"/>
    <w:rsid w:val="00FC4090"/>
    <w:rsid w:val="00FC490F"/>
    <w:rsid w:val="00FC55B4"/>
    <w:rsid w:val="00FC6E2B"/>
    <w:rsid w:val="00FC7079"/>
    <w:rsid w:val="00FD00E6"/>
    <w:rsid w:val="00FD09A1"/>
    <w:rsid w:val="00FD1C76"/>
    <w:rsid w:val="00FD1CAF"/>
    <w:rsid w:val="00FD236C"/>
    <w:rsid w:val="00FD2A7C"/>
    <w:rsid w:val="00FD2E98"/>
    <w:rsid w:val="00FD4A46"/>
    <w:rsid w:val="00FD59EB"/>
    <w:rsid w:val="00FD6DED"/>
    <w:rsid w:val="00FD7211"/>
    <w:rsid w:val="00FD7299"/>
    <w:rsid w:val="00FD7657"/>
    <w:rsid w:val="00FE1FBE"/>
    <w:rsid w:val="00FE3901"/>
    <w:rsid w:val="00FE39D3"/>
    <w:rsid w:val="00FE4284"/>
    <w:rsid w:val="00FE4BCE"/>
    <w:rsid w:val="00FE4CB0"/>
    <w:rsid w:val="00FE54AE"/>
    <w:rsid w:val="00FE576A"/>
    <w:rsid w:val="00FE6268"/>
    <w:rsid w:val="00FE7E79"/>
    <w:rsid w:val="00FF073F"/>
    <w:rsid w:val="00FF1398"/>
    <w:rsid w:val="00FF3E7D"/>
    <w:rsid w:val="00FF4E3F"/>
    <w:rsid w:val="00FF5B99"/>
    <w:rsid w:val="00FF730C"/>
    <w:rsid w:val="00FF73F4"/>
    <w:rsid w:val="00FF7CE4"/>
    <w:rsid w:val="00FF7E30"/>
    <w:rsid w:val="00FF7E39"/>
    <w:rsid w:val="1F890B18"/>
    <w:rsid w:val="23186A6E"/>
    <w:rsid w:val="2344602E"/>
    <w:rsid w:val="268D3DCF"/>
    <w:rsid w:val="398510CF"/>
    <w:rsid w:val="41EC2F3D"/>
    <w:rsid w:val="67405C2F"/>
    <w:rsid w:val="71801361"/>
    <w:rsid w:val="79B930F9"/>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qFormat="1" w:uiPriority="39" w:semiHidden="0" w:name="toc 4"/>
    <w:lsdException w:qFormat="1" w:uiPriority="39" w:semiHidden="0" w:name="toc 5"/>
    <w:lsdException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semiHidden="0" w:name="annotation text"/>
    <w:lsdException w:unhideWhenUsed="0" w:uiPriority="99" w:semiHidden="0" w:name="header"/>
    <w:lsdException w:qFormat="1" w:unhideWhenUsed="0" w:uiPriority="99" w:semiHidden="0" w:name="footer"/>
    <w:lsdException w:uiPriority="99" w:name="index heading"/>
    <w:lsdException w:qFormat="1" w:uiPriority="35" w:semiHidden="0"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0"/>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1"/>
    <w:qFormat/>
    <w:uiPriority w:val="0"/>
    <w:pPr>
      <w:keepNext/>
      <w:keepLines/>
      <w:spacing w:before="260" w:after="260" w:line="416" w:lineRule="auto"/>
      <w:outlineLvl w:val="2"/>
    </w:pPr>
    <w:rPr>
      <w:b/>
      <w:bCs/>
      <w:sz w:val="32"/>
      <w:szCs w:val="32"/>
    </w:rPr>
  </w:style>
  <w:style w:type="paragraph" w:styleId="5">
    <w:name w:val="heading 4"/>
    <w:basedOn w:val="1"/>
    <w:next w:val="1"/>
    <w:link w:val="4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3"/>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4"/>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5"/>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6"/>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7"/>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unhideWhenUsed/>
    <w:uiPriority w:val="1"/>
  </w:style>
  <w:style w:type="table" w:default="1" w:styleId="37">
    <w:name w:val="Normal Table"/>
    <w:unhideWhenUsed/>
    <w:uiPriority w:val="99"/>
    <w:tblPr>
      <w:tblLayout w:type="fixed"/>
      <w:tblCellMar>
        <w:top w:w="0" w:type="dxa"/>
        <w:left w:w="108" w:type="dxa"/>
        <w:bottom w:w="0" w:type="dxa"/>
        <w:right w:w="108" w:type="dxa"/>
      </w:tblCellMar>
    </w:tblPr>
  </w:style>
  <w:style w:type="paragraph" w:styleId="11">
    <w:name w:val="annotation subject"/>
    <w:basedOn w:val="12"/>
    <w:next w:val="12"/>
    <w:link w:val="238"/>
    <w:unhideWhenUsed/>
    <w:qFormat/>
    <w:uiPriority w:val="99"/>
    <w:pPr>
      <w:adjustRightInd w:val="0"/>
      <w:spacing w:line="400" w:lineRule="exact"/>
    </w:pPr>
    <w:rPr>
      <w:rFonts w:ascii="Calibri" w:hAnsi="Calibri" w:cs="Times New Roman"/>
      <w:b/>
      <w:bCs/>
      <w:sz w:val="21"/>
      <w:szCs w:val="21"/>
    </w:rPr>
  </w:style>
  <w:style w:type="paragraph" w:styleId="12">
    <w:name w:val="annotation text"/>
    <w:basedOn w:val="1"/>
    <w:link w:val="235"/>
    <w:unhideWhenUsed/>
    <w:qFormat/>
    <w:uiPriority w:val="99"/>
    <w:pPr>
      <w:adjustRightInd/>
      <w:spacing w:line="360" w:lineRule="auto"/>
      <w:jc w:val="left"/>
    </w:pPr>
    <w:rPr>
      <w:rFonts w:ascii="Times New Roman" w:hAnsi="Times New Roman" w:cstheme="minorBidi"/>
      <w:sz w:val="24"/>
      <w:szCs w:val="22"/>
    </w:rPr>
  </w:style>
  <w:style w:type="paragraph" w:styleId="13">
    <w:name w:val="toc 7"/>
    <w:basedOn w:val="1"/>
    <w:next w:val="1"/>
    <w:unhideWhenUsed/>
    <w:qFormat/>
    <w:uiPriority w:val="39"/>
    <w:pPr>
      <w:tabs>
        <w:tab w:val="right" w:leader="dot" w:pos="9344"/>
      </w:tabs>
      <w:spacing w:line="300" w:lineRule="exact"/>
      <w:ind w:left="1259"/>
    </w:pPr>
    <w:rPr>
      <w:rFonts w:ascii="宋体"/>
    </w:rPr>
  </w:style>
  <w:style w:type="paragraph" w:styleId="14">
    <w:name w:val="Normal Indent"/>
    <w:basedOn w:val="1"/>
    <w:qFormat/>
    <w:uiPriority w:val="0"/>
    <w:pPr>
      <w:ind w:firstLine="420"/>
    </w:pPr>
  </w:style>
  <w:style w:type="paragraph" w:styleId="15">
    <w:name w:val="caption"/>
    <w:basedOn w:val="1"/>
    <w:next w:val="1"/>
    <w:unhideWhenUsed/>
    <w:qFormat/>
    <w:uiPriority w:val="35"/>
    <w:pPr>
      <w:spacing w:after="50" w:afterLines="50"/>
      <w:jc w:val="center"/>
    </w:pPr>
    <w:rPr>
      <w:rFonts w:ascii="黑体" w:hAnsi="黑体" w:eastAsia="黑体" w:cstheme="majorBidi"/>
      <w:szCs w:val="20"/>
    </w:rPr>
  </w:style>
  <w:style w:type="paragraph" w:styleId="16">
    <w:name w:val="Body Text"/>
    <w:basedOn w:val="1"/>
    <w:link w:val="91"/>
    <w:qFormat/>
    <w:uiPriority w:val="0"/>
    <w:pPr>
      <w:spacing w:after="120"/>
    </w:pPr>
  </w:style>
  <w:style w:type="paragraph" w:styleId="17">
    <w:name w:val="toc 5"/>
    <w:basedOn w:val="1"/>
    <w:next w:val="1"/>
    <w:unhideWhenUsed/>
    <w:qFormat/>
    <w:uiPriority w:val="39"/>
    <w:pPr>
      <w:ind w:left="839"/>
    </w:pPr>
    <w:rPr>
      <w:rFonts w:ascii="宋体"/>
    </w:rPr>
  </w:style>
  <w:style w:type="paragraph" w:styleId="18">
    <w:name w:val="toc 3"/>
    <w:basedOn w:val="1"/>
    <w:next w:val="1"/>
    <w:unhideWhenUsed/>
    <w:uiPriority w:val="39"/>
    <w:pPr>
      <w:spacing w:line="300" w:lineRule="exact"/>
      <w:ind w:left="420"/>
    </w:pPr>
    <w:rPr>
      <w:rFonts w:ascii="宋体"/>
    </w:rPr>
  </w:style>
  <w:style w:type="paragraph" w:styleId="19">
    <w:name w:val="Balloon Text"/>
    <w:basedOn w:val="1"/>
    <w:link w:val="50"/>
    <w:unhideWhenUsed/>
    <w:qFormat/>
    <w:uiPriority w:val="99"/>
    <w:rPr>
      <w:sz w:val="18"/>
      <w:szCs w:val="18"/>
    </w:rPr>
  </w:style>
  <w:style w:type="paragraph" w:styleId="20">
    <w:name w:val="footer"/>
    <w:basedOn w:val="1"/>
    <w:link w:val="49"/>
    <w:qFormat/>
    <w:uiPriority w:val="99"/>
    <w:pPr>
      <w:tabs>
        <w:tab w:val="center" w:pos="4153"/>
        <w:tab w:val="right" w:pos="8306"/>
      </w:tabs>
      <w:adjustRightInd/>
      <w:snapToGrid w:val="0"/>
      <w:spacing w:line="240" w:lineRule="auto"/>
      <w:jc w:val="right"/>
    </w:pPr>
    <w:rPr>
      <w:rFonts w:ascii="宋体"/>
      <w:sz w:val="18"/>
      <w:szCs w:val="18"/>
    </w:rPr>
  </w:style>
  <w:style w:type="paragraph" w:styleId="21">
    <w:name w:val="header"/>
    <w:basedOn w:val="1"/>
    <w:link w:val="48"/>
    <w:uiPriority w:val="99"/>
    <w:pPr>
      <w:tabs>
        <w:tab w:val="center" w:pos="4153"/>
        <w:tab w:val="right" w:pos="8306"/>
      </w:tabs>
      <w:adjustRightInd/>
      <w:snapToGrid w:val="0"/>
      <w:jc w:val="center"/>
    </w:pPr>
    <w:rPr>
      <w:sz w:val="18"/>
      <w:szCs w:val="18"/>
    </w:rPr>
  </w:style>
  <w:style w:type="paragraph" w:styleId="22">
    <w:name w:val="toc 1"/>
    <w:basedOn w:val="1"/>
    <w:next w:val="1"/>
    <w:unhideWhenUsed/>
    <w:qFormat/>
    <w:uiPriority w:val="39"/>
    <w:rPr>
      <w:rFonts w:ascii="宋体"/>
    </w:rPr>
  </w:style>
  <w:style w:type="paragraph" w:styleId="23">
    <w:name w:val="toc 4"/>
    <w:basedOn w:val="1"/>
    <w:next w:val="1"/>
    <w:unhideWhenUsed/>
    <w:qFormat/>
    <w:uiPriority w:val="39"/>
    <w:pPr>
      <w:tabs>
        <w:tab w:val="right" w:leader="dot" w:pos="9344"/>
      </w:tabs>
      <w:spacing w:line="300" w:lineRule="exact"/>
      <w:ind w:left="629"/>
    </w:pPr>
    <w:rPr>
      <w:rFonts w:ascii="宋体"/>
    </w:rPr>
  </w:style>
  <w:style w:type="paragraph" w:styleId="24">
    <w:name w:val="footnote text"/>
    <w:basedOn w:val="1"/>
    <w:next w:val="1"/>
    <w:link w:val="104"/>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5">
    <w:name w:val="toc 6"/>
    <w:basedOn w:val="1"/>
    <w:next w:val="1"/>
    <w:unhideWhenUsed/>
    <w:uiPriority w:val="39"/>
    <w:pPr>
      <w:spacing w:line="300" w:lineRule="exact"/>
      <w:ind w:left="1049"/>
    </w:pPr>
    <w:rPr>
      <w:rFonts w:ascii="宋体"/>
    </w:rPr>
  </w:style>
  <w:style w:type="paragraph" w:styleId="26">
    <w:name w:val="table of figures"/>
    <w:basedOn w:val="1"/>
    <w:next w:val="1"/>
    <w:semiHidden/>
    <w:qFormat/>
    <w:uiPriority w:val="0"/>
    <w:pPr>
      <w:adjustRightInd/>
      <w:spacing w:line="240" w:lineRule="auto"/>
      <w:jc w:val="left"/>
    </w:pPr>
    <w:rPr>
      <w:szCs w:val="24"/>
    </w:rPr>
  </w:style>
  <w:style w:type="paragraph" w:styleId="27">
    <w:name w:val="toc 2"/>
    <w:basedOn w:val="1"/>
    <w:next w:val="1"/>
    <w:unhideWhenUsed/>
    <w:qFormat/>
    <w:uiPriority w:val="39"/>
    <w:pPr>
      <w:tabs>
        <w:tab w:val="right" w:leader="dot" w:pos="9344"/>
      </w:tabs>
      <w:spacing w:line="300" w:lineRule="exact"/>
      <w:ind w:left="210"/>
    </w:pPr>
    <w:rPr>
      <w:rFonts w:ascii="宋体"/>
    </w:rPr>
  </w:style>
  <w:style w:type="paragraph" w:styleId="28">
    <w:name w:val="Normal (Web)"/>
    <w:basedOn w:val="1"/>
    <w:unhideWhenUsed/>
    <w:uiPriority w:val="99"/>
    <w:pPr>
      <w:widowControl/>
      <w:adjustRightInd/>
      <w:spacing w:before="100" w:beforeAutospacing="1" w:after="100" w:afterAutospacing="1" w:line="240" w:lineRule="auto"/>
      <w:jc w:val="left"/>
    </w:pPr>
    <w:rPr>
      <w:rFonts w:ascii="宋体" w:hAnsi="宋体" w:cs="宋体"/>
      <w:kern w:val="0"/>
      <w:sz w:val="24"/>
      <w:szCs w:val="24"/>
    </w:rPr>
  </w:style>
  <w:style w:type="paragraph" w:styleId="29">
    <w:name w:val="Title"/>
    <w:basedOn w:val="1"/>
    <w:link w:val="53"/>
    <w:qFormat/>
    <w:uiPriority w:val="0"/>
    <w:pPr>
      <w:spacing w:before="240" w:after="60"/>
      <w:jc w:val="center"/>
      <w:outlineLvl w:val="0"/>
    </w:pPr>
    <w:rPr>
      <w:rFonts w:ascii="Arial" w:hAnsi="Arial" w:cs="Arial"/>
      <w:b/>
      <w:bCs/>
      <w:sz w:val="32"/>
      <w:szCs w:val="32"/>
    </w:r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annotation reference"/>
    <w:basedOn w:val="30"/>
    <w:unhideWhenUsed/>
    <w:uiPriority w:val="99"/>
    <w:rPr>
      <w:sz w:val="21"/>
      <w:szCs w:val="21"/>
    </w:rPr>
  </w:style>
  <w:style w:type="character" w:styleId="36">
    <w:name w:val="footnote reference"/>
    <w:semiHidden/>
    <w:qFormat/>
    <w:uiPriority w:val="0"/>
    <w:rPr>
      <w:rFonts w:ascii="宋体" w:hAnsi="宋体" w:eastAsia="宋体" w:cs="Times New Roman"/>
      <w:spacing w:val="0"/>
      <w:sz w:val="18"/>
      <w:vertAlign w:val="superscript"/>
    </w:rPr>
  </w:style>
  <w:style w:type="table" w:styleId="38">
    <w:name w:val="Table Grid"/>
    <w:basedOn w:val="3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9">
    <w:name w:val="标题 1 字符"/>
    <w:link w:val="2"/>
    <w:qFormat/>
    <w:uiPriority w:val="0"/>
    <w:rPr>
      <w:rFonts w:ascii="Times New Roman" w:hAnsi="Times New Roman" w:eastAsia="宋体" w:cs="Times New Roman"/>
      <w:b/>
      <w:bCs/>
      <w:kern w:val="44"/>
      <w:sz w:val="44"/>
      <w:szCs w:val="44"/>
    </w:rPr>
  </w:style>
  <w:style w:type="character" w:customStyle="1" w:styleId="40">
    <w:name w:val="标题 2 字符"/>
    <w:link w:val="3"/>
    <w:uiPriority w:val="0"/>
    <w:rPr>
      <w:rFonts w:ascii="Arial" w:hAnsi="Arial" w:eastAsia="黑体" w:cs="Times New Roman"/>
      <w:b/>
      <w:bCs/>
      <w:sz w:val="32"/>
      <w:szCs w:val="32"/>
    </w:rPr>
  </w:style>
  <w:style w:type="character" w:customStyle="1" w:styleId="41">
    <w:name w:val="标题 3 字符"/>
    <w:link w:val="4"/>
    <w:qFormat/>
    <w:uiPriority w:val="0"/>
    <w:rPr>
      <w:rFonts w:ascii="Times New Roman" w:hAnsi="Times New Roman" w:eastAsia="宋体" w:cs="Times New Roman"/>
      <w:b/>
      <w:bCs/>
      <w:sz w:val="32"/>
      <w:szCs w:val="32"/>
    </w:rPr>
  </w:style>
  <w:style w:type="character" w:customStyle="1" w:styleId="42">
    <w:name w:val="标题 4 字符"/>
    <w:link w:val="5"/>
    <w:qFormat/>
    <w:uiPriority w:val="0"/>
    <w:rPr>
      <w:rFonts w:ascii="Arial" w:hAnsi="Arial" w:eastAsia="黑体" w:cs="Times New Roman"/>
      <w:b/>
      <w:bCs/>
      <w:sz w:val="28"/>
      <w:szCs w:val="28"/>
    </w:rPr>
  </w:style>
  <w:style w:type="character" w:customStyle="1" w:styleId="43">
    <w:name w:val="标题 5 字符"/>
    <w:link w:val="6"/>
    <w:qFormat/>
    <w:uiPriority w:val="0"/>
    <w:rPr>
      <w:rFonts w:ascii="Times New Roman" w:hAnsi="Times New Roman" w:eastAsia="宋体" w:cs="Times New Roman"/>
      <w:b/>
      <w:bCs/>
      <w:sz w:val="28"/>
      <w:szCs w:val="28"/>
    </w:rPr>
  </w:style>
  <w:style w:type="character" w:customStyle="1" w:styleId="44">
    <w:name w:val="标题 6 字符"/>
    <w:link w:val="7"/>
    <w:uiPriority w:val="0"/>
    <w:rPr>
      <w:rFonts w:ascii="Arial" w:hAnsi="Arial" w:eastAsia="黑体" w:cs="Times New Roman"/>
      <w:b/>
      <w:bCs/>
      <w:sz w:val="24"/>
      <w:szCs w:val="24"/>
    </w:rPr>
  </w:style>
  <w:style w:type="character" w:customStyle="1" w:styleId="45">
    <w:name w:val="标题 7 字符"/>
    <w:link w:val="8"/>
    <w:qFormat/>
    <w:uiPriority w:val="0"/>
    <w:rPr>
      <w:rFonts w:ascii="Times New Roman" w:hAnsi="Times New Roman" w:eastAsia="宋体" w:cs="Times New Roman"/>
      <w:b/>
      <w:bCs/>
      <w:sz w:val="24"/>
      <w:szCs w:val="24"/>
    </w:rPr>
  </w:style>
  <w:style w:type="character" w:customStyle="1" w:styleId="46">
    <w:name w:val="标题 8 字符"/>
    <w:link w:val="9"/>
    <w:uiPriority w:val="0"/>
    <w:rPr>
      <w:rFonts w:ascii="Arial" w:hAnsi="Arial" w:eastAsia="黑体" w:cs="Times New Roman"/>
      <w:sz w:val="24"/>
      <w:szCs w:val="24"/>
    </w:rPr>
  </w:style>
  <w:style w:type="character" w:customStyle="1" w:styleId="47">
    <w:name w:val="标题 9 字符"/>
    <w:link w:val="10"/>
    <w:qFormat/>
    <w:uiPriority w:val="0"/>
    <w:rPr>
      <w:rFonts w:ascii="Arial" w:hAnsi="Arial" w:eastAsia="黑体" w:cs="Times New Roman"/>
      <w:szCs w:val="21"/>
    </w:rPr>
  </w:style>
  <w:style w:type="character" w:customStyle="1" w:styleId="48">
    <w:name w:val="页眉 字符"/>
    <w:link w:val="21"/>
    <w:qFormat/>
    <w:uiPriority w:val="99"/>
    <w:rPr>
      <w:rFonts w:ascii="Times New Roman" w:hAnsi="Times New Roman" w:eastAsia="宋体" w:cs="Times New Roman"/>
      <w:sz w:val="18"/>
      <w:szCs w:val="18"/>
    </w:rPr>
  </w:style>
  <w:style w:type="character" w:customStyle="1" w:styleId="49">
    <w:name w:val="页脚 字符"/>
    <w:link w:val="20"/>
    <w:qFormat/>
    <w:uiPriority w:val="99"/>
    <w:rPr>
      <w:rFonts w:ascii="宋体" w:hAnsi="Times New Roman" w:eastAsia="宋体" w:cs="Times New Roman"/>
      <w:sz w:val="18"/>
      <w:szCs w:val="18"/>
    </w:rPr>
  </w:style>
  <w:style w:type="character" w:customStyle="1" w:styleId="50">
    <w:name w:val="批注框文本 字符"/>
    <w:link w:val="19"/>
    <w:semiHidden/>
    <w:qFormat/>
    <w:uiPriority w:val="99"/>
    <w:rPr>
      <w:sz w:val="18"/>
      <w:szCs w:val="18"/>
    </w:rPr>
  </w:style>
  <w:style w:type="paragraph" w:customStyle="1" w:styleId="51">
    <w:name w:val="Quote"/>
    <w:basedOn w:val="1"/>
    <w:next w:val="1"/>
    <w:link w:val="52"/>
    <w:qFormat/>
    <w:uiPriority w:val="29"/>
    <w:rPr>
      <w:i/>
      <w:iCs/>
      <w:color w:val="000000"/>
    </w:rPr>
  </w:style>
  <w:style w:type="character" w:customStyle="1" w:styleId="52">
    <w:name w:val="引用 字符"/>
    <w:link w:val="51"/>
    <w:qFormat/>
    <w:uiPriority w:val="29"/>
    <w:rPr>
      <w:i/>
      <w:iCs/>
      <w:color w:val="000000"/>
    </w:rPr>
  </w:style>
  <w:style w:type="character" w:customStyle="1" w:styleId="53">
    <w:name w:val="标题 字符"/>
    <w:link w:val="29"/>
    <w:qFormat/>
    <w:uiPriority w:val="0"/>
    <w:rPr>
      <w:rFonts w:ascii="Arial" w:hAnsi="Arial" w:eastAsia="宋体" w:cs="Arial"/>
      <w:b/>
      <w:bCs/>
      <w:sz w:val="32"/>
      <w:szCs w:val="32"/>
    </w:rPr>
  </w:style>
  <w:style w:type="paragraph" w:customStyle="1" w:styleId="54">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5">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6">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7">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8">
    <w:name w:val="标准书眉一"/>
    <w:qFormat/>
    <w:uiPriority w:val="0"/>
    <w:pPr>
      <w:jc w:val="both"/>
    </w:pPr>
    <w:rPr>
      <w:rFonts w:ascii="Times New Roman" w:hAnsi="Times New Roman" w:eastAsia="宋体" w:cs="Times New Roman"/>
      <w:lang w:val="en-US" w:eastAsia="zh-CN" w:bidi="ar-SA"/>
    </w:rPr>
  </w:style>
  <w:style w:type="paragraph" w:customStyle="1" w:styleId="59">
    <w:name w:val="标准文件_ICS"/>
    <w:basedOn w:val="1"/>
    <w:qFormat/>
    <w:uiPriority w:val="0"/>
    <w:pPr>
      <w:spacing w:line="0" w:lineRule="atLeast"/>
    </w:pPr>
    <w:rPr>
      <w:rFonts w:ascii="黑体" w:hAnsi="宋体" w:eastAsia="黑体"/>
    </w:rPr>
  </w:style>
  <w:style w:type="paragraph" w:customStyle="1" w:styleId="60">
    <w:name w:val="标准文件_标准正文"/>
    <w:basedOn w:val="1"/>
    <w:next w:val="61"/>
    <w:qFormat/>
    <w:uiPriority w:val="0"/>
    <w:pPr>
      <w:snapToGrid w:val="0"/>
      <w:ind w:firstLine="200" w:firstLineChars="200"/>
    </w:pPr>
    <w:rPr>
      <w:kern w:val="0"/>
    </w:rPr>
  </w:style>
  <w:style w:type="paragraph" w:customStyle="1" w:styleId="61">
    <w:name w:val="标准文件_段"/>
    <w:link w:val="189"/>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2">
    <w:name w:val="标准文件_版本"/>
    <w:basedOn w:val="60"/>
    <w:uiPriority w:val="0"/>
    <w:pPr>
      <w:adjustRightInd/>
      <w:snapToGrid/>
      <w:ind w:firstLine="0" w:firstLineChars="0"/>
    </w:pPr>
    <w:rPr>
      <w:rFonts w:ascii="宋体" w:hAnsi="宋体"/>
      <w:kern w:val="2"/>
    </w:rPr>
  </w:style>
  <w:style w:type="paragraph" w:customStyle="1" w:styleId="63">
    <w:name w:val="标准文件_标准部门"/>
    <w:basedOn w:val="1"/>
    <w:qFormat/>
    <w:uiPriority w:val="0"/>
    <w:pPr>
      <w:jc w:val="center"/>
    </w:pPr>
    <w:rPr>
      <w:rFonts w:ascii="黑体" w:eastAsia="黑体"/>
      <w:kern w:val="0"/>
      <w:sz w:val="44"/>
    </w:rPr>
  </w:style>
  <w:style w:type="paragraph" w:customStyle="1" w:styleId="64">
    <w:name w:val="标准文件_标准代替"/>
    <w:basedOn w:val="1"/>
    <w:next w:val="1"/>
    <w:qFormat/>
    <w:uiPriority w:val="0"/>
    <w:pPr>
      <w:spacing w:line="310" w:lineRule="exact"/>
      <w:jc w:val="right"/>
    </w:pPr>
    <w:rPr>
      <w:rFonts w:ascii="宋体" w:hAnsi="宋体"/>
      <w:kern w:val="0"/>
    </w:rPr>
  </w:style>
  <w:style w:type="paragraph" w:customStyle="1" w:styleId="65">
    <w:name w:val="标准文件_标准名称标题"/>
    <w:basedOn w:val="1"/>
    <w:next w:val="1"/>
    <w:uiPriority w:val="0"/>
    <w:pPr>
      <w:widowControl/>
      <w:shd w:val="clear" w:color="FFFFFF" w:fill="FFFFFF"/>
      <w:adjustRightInd/>
      <w:spacing w:before="640" w:after="100"/>
      <w:jc w:val="center"/>
    </w:pPr>
    <w:rPr>
      <w:rFonts w:ascii="黑体" w:eastAsia="黑体"/>
      <w:kern w:val="0"/>
      <w:sz w:val="32"/>
    </w:rPr>
  </w:style>
  <w:style w:type="paragraph" w:customStyle="1" w:styleId="66">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7">
    <w:name w:val="标准文件_页眉偶数页"/>
    <w:basedOn w:val="66"/>
    <w:next w:val="1"/>
    <w:qFormat/>
    <w:uiPriority w:val="0"/>
    <w:pPr>
      <w:jc w:val="left"/>
    </w:pPr>
  </w:style>
  <w:style w:type="paragraph" w:customStyle="1" w:styleId="68">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9">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0">
    <w:name w:val="标准文件_二级条标题"/>
    <w:next w:val="61"/>
    <w:qFormat/>
    <w:uiPriority w:val="0"/>
    <w:pPr>
      <w:widowControl w:val="0"/>
      <w:numPr>
        <w:ilvl w:val="3"/>
        <w:numId w:val="2"/>
      </w:numPr>
      <w:spacing w:before="50" w:beforeLines="50" w:after="50" w:afterLines="50"/>
      <w:jc w:val="both"/>
      <w:outlineLvl w:val="2"/>
    </w:pPr>
    <w:rPr>
      <w:rFonts w:ascii="Times New Roman" w:hAnsi="Times New Roman" w:eastAsia="黑体" w:cs="Times New Roman"/>
      <w:sz w:val="21"/>
      <w:lang w:val="en-US" w:eastAsia="zh-CN" w:bidi="ar-SA"/>
    </w:rPr>
  </w:style>
  <w:style w:type="character" w:customStyle="1" w:styleId="71">
    <w:name w:val="标准文件_发布"/>
    <w:qFormat/>
    <w:uiPriority w:val="0"/>
    <w:rPr>
      <w:rFonts w:ascii="黑体" w:eastAsia="黑体"/>
      <w:spacing w:val="0"/>
      <w:w w:val="100"/>
      <w:position w:val="3"/>
      <w:sz w:val="28"/>
    </w:rPr>
  </w:style>
  <w:style w:type="paragraph" w:customStyle="1" w:styleId="72">
    <w:name w:val="标准文件_方框数字列项"/>
    <w:basedOn w:val="61"/>
    <w:qFormat/>
    <w:uiPriority w:val="0"/>
    <w:pPr>
      <w:numPr>
        <w:ilvl w:val="0"/>
        <w:numId w:val="3"/>
      </w:numPr>
      <w:ind w:firstLine="0" w:firstLineChars="0"/>
    </w:pPr>
  </w:style>
  <w:style w:type="paragraph" w:customStyle="1" w:styleId="73">
    <w:name w:val="标准文件_封面标准编号"/>
    <w:basedOn w:val="1"/>
    <w:next w:val="64"/>
    <w:qFormat/>
    <w:uiPriority w:val="0"/>
    <w:pPr>
      <w:spacing w:line="310" w:lineRule="exact"/>
      <w:jc w:val="right"/>
    </w:pPr>
    <w:rPr>
      <w:rFonts w:ascii="黑体" w:eastAsia="黑体"/>
      <w:kern w:val="0"/>
      <w:sz w:val="28"/>
    </w:rPr>
  </w:style>
  <w:style w:type="paragraph" w:customStyle="1" w:styleId="74">
    <w:name w:val="标准文件_封面标准分类号"/>
    <w:basedOn w:val="1"/>
    <w:qFormat/>
    <w:uiPriority w:val="0"/>
    <w:rPr>
      <w:rFonts w:ascii="黑体" w:eastAsia="黑体"/>
      <w:b/>
      <w:kern w:val="0"/>
      <w:sz w:val="28"/>
    </w:rPr>
  </w:style>
  <w:style w:type="paragraph" w:customStyle="1" w:styleId="75">
    <w:name w:val="标准文件_封面标准名称"/>
    <w:basedOn w:val="1"/>
    <w:qFormat/>
    <w:uiPriority w:val="0"/>
    <w:pPr>
      <w:spacing w:line="240" w:lineRule="auto"/>
      <w:jc w:val="center"/>
    </w:pPr>
    <w:rPr>
      <w:rFonts w:ascii="黑体" w:eastAsia="黑体"/>
      <w:kern w:val="0"/>
      <w:sz w:val="52"/>
    </w:rPr>
  </w:style>
  <w:style w:type="paragraph" w:customStyle="1" w:styleId="76">
    <w:name w:val="标准文件_封面标准英文名称"/>
    <w:basedOn w:val="1"/>
    <w:qFormat/>
    <w:uiPriority w:val="0"/>
    <w:pPr>
      <w:spacing w:line="240" w:lineRule="auto"/>
      <w:jc w:val="center"/>
    </w:pPr>
    <w:rPr>
      <w:rFonts w:ascii="黑体" w:eastAsia="黑体"/>
      <w:b/>
      <w:sz w:val="28"/>
    </w:rPr>
  </w:style>
  <w:style w:type="paragraph" w:customStyle="1" w:styleId="77">
    <w:name w:val="标准文件_封面发布日期"/>
    <w:basedOn w:val="1"/>
    <w:qFormat/>
    <w:uiPriority w:val="0"/>
    <w:pPr>
      <w:spacing w:line="310" w:lineRule="exact"/>
    </w:pPr>
    <w:rPr>
      <w:rFonts w:ascii="黑体" w:eastAsia="黑体"/>
      <w:kern w:val="0"/>
      <w:sz w:val="28"/>
    </w:rPr>
  </w:style>
  <w:style w:type="paragraph" w:customStyle="1" w:styleId="78">
    <w:name w:val="标准文件_封面密级"/>
    <w:basedOn w:val="1"/>
    <w:qFormat/>
    <w:uiPriority w:val="0"/>
    <w:rPr>
      <w:rFonts w:eastAsia="黑体"/>
      <w:sz w:val="32"/>
    </w:rPr>
  </w:style>
  <w:style w:type="paragraph" w:customStyle="1" w:styleId="79">
    <w:name w:val="标准文件_封面实施日期"/>
    <w:basedOn w:val="1"/>
    <w:qFormat/>
    <w:uiPriority w:val="0"/>
    <w:pPr>
      <w:spacing w:line="310" w:lineRule="exact"/>
      <w:jc w:val="right"/>
    </w:pPr>
    <w:rPr>
      <w:rFonts w:ascii="黑体" w:eastAsia="黑体"/>
      <w:sz w:val="28"/>
    </w:rPr>
  </w:style>
  <w:style w:type="paragraph" w:customStyle="1" w:styleId="80">
    <w:name w:val="标准文件_封面抬头"/>
    <w:basedOn w:val="61"/>
    <w:qFormat/>
    <w:uiPriority w:val="0"/>
    <w:pPr>
      <w:adjustRightInd w:val="0"/>
      <w:spacing w:line="800" w:lineRule="exact"/>
      <w:ind w:firstLine="0" w:firstLineChars="0"/>
      <w:jc w:val="distribute"/>
    </w:pPr>
    <w:rPr>
      <w:rFonts w:ascii="黑体" w:eastAsia="黑体"/>
      <w:b/>
      <w:sz w:val="64"/>
    </w:rPr>
  </w:style>
  <w:style w:type="paragraph" w:customStyle="1" w:styleId="81">
    <w:name w:val="标准文件_附录标识"/>
    <w:next w:val="61"/>
    <w:qFormat/>
    <w:uiPriority w:val="0"/>
    <w:pPr>
      <w:numPr>
        <w:ilvl w:val="0"/>
        <w:numId w:val="4"/>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82">
    <w:name w:val="标准文件_附录表标题"/>
    <w:next w:val="61"/>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3">
    <w:name w:val="标准文件_附录一级条标题"/>
    <w:next w:val="61"/>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4">
    <w:name w:val="标准文件_附录二级条标题"/>
    <w:basedOn w:val="83"/>
    <w:next w:val="61"/>
    <w:qFormat/>
    <w:uiPriority w:val="0"/>
    <w:pPr>
      <w:widowControl/>
      <w:numPr>
        <w:ilvl w:val="2"/>
      </w:numPr>
      <w:wordWrap w:val="0"/>
      <w:overflowPunct w:val="0"/>
      <w:autoSpaceDE w:val="0"/>
      <w:autoSpaceDN w:val="0"/>
      <w:textAlignment w:val="baseline"/>
      <w:outlineLvl w:val="3"/>
    </w:pPr>
  </w:style>
  <w:style w:type="paragraph" w:customStyle="1" w:styleId="85">
    <w:name w:val="标准文件_附录公式"/>
    <w:basedOn w:val="60"/>
    <w:next w:val="60"/>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6">
    <w:name w:val="标准文件_附录三级条标题"/>
    <w:next w:val="61"/>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7">
    <w:name w:val="标准文件_附录四级条标题"/>
    <w:next w:val="61"/>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8">
    <w:name w:val="标准文件_附录图标题"/>
    <w:next w:val="61"/>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9">
    <w:name w:val="标准文件_附录五级条标题"/>
    <w:next w:val="61"/>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0">
    <w:name w:val="标准文件_附录英文标识"/>
    <w:next w:val="16"/>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1">
    <w:name w:val="正文文本 字符"/>
    <w:link w:val="16"/>
    <w:qFormat/>
    <w:uiPriority w:val="0"/>
    <w:rPr>
      <w:rFonts w:ascii="Times New Roman" w:hAnsi="Times New Roman" w:eastAsia="宋体" w:cs="Times New Roman"/>
      <w:szCs w:val="20"/>
    </w:rPr>
  </w:style>
  <w:style w:type="paragraph" w:customStyle="1" w:styleId="92">
    <w:name w:val="标准文件_附录章标题"/>
    <w:next w:val="61"/>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3">
    <w:name w:val="标准文件_公式后的破折号"/>
    <w:basedOn w:val="61"/>
    <w:next w:val="61"/>
    <w:qFormat/>
    <w:uiPriority w:val="0"/>
    <w:pPr>
      <w:ind w:left="488" w:leftChars="200" w:hanging="289" w:hangingChars="290"/>
    </w:pPr>
  </w:style>
  <w:style w:type="paragraph" w:customStyle="1" w:styleId="94">
    <w:name w:val="标准文件_前言、引言标题"/>
    <w:next w:val="1"/>
    <w:qFormat/>
    <w:uiPriority w:val="0"/>
    <w:pPr>
      <w:numPr>
        <w:ilvl w:val="0"/>
        <w:numId w:val="8"/>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5">
    <w:name w:val="标准文件_目次、标准名称标题"/>
    <w:basedOn w:val="94"/>
    <w:next w:val="61"/>
    <w:qFormat/>
    <w:uiPriority w:val="0"/>
    <w:pPr>
      <w:spacing w:line="460" w:lineRule="exact"/>
    </w:pPr>
  </w:style>
  <w:style w:type="paragraph" w:customStyle="1" w:styleId="96">
    <w:name w:val="标准文件_目录标题"/>
    <w:basedOn w:val="1"/>
    <w:qFormat/>
    <w:uiPriority w:val="0"/>
    <w:pPr>
      <w:spacing w:after="150" w:afterLines="150" w:line="240" w:lineRule="auto"/>
      <w:jc w:val="center"/>
    </w:pPr>
    <w:rPr>
      <w:rFonts w:ascii="黑体" w:eastAsia="黑体"/>
      <w:sz w:val="32"/>
    </w:rPr>
  </w:style>
  <w:style w:type="paragraph" w:customStyle="1" w:styleId="97">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8">
    <w:name w:val="标准文件_破折号列项（二级）"/>
    <w:basedOn w:val="97"/>
    <w:qFormat/>
    <w:uiPriority w:val="0"/>
    <w:pPr>
      <w:numPr>
        <w:numId w:val="10"/>
      </w:numPr>
      <w:ind w:left="0" w:firstLine="200"/>
    </w:pPr>
  </w:style>
  <w:style w:type="paragraph" w:customStyle="1" w:styleId="99">
    <w:name w:val="标准文件_三级条标题"/>
    <w:basedOn w:val="70"/>
    <w:next w:val="61"/>
    <w:qFormat/>
    <w:uiPriority w:val="0"/>
    <w:pPr>
      <w:widowControl/>
      <w:numPr>
        <w:ilvl w:val="4"/>
      </w:numPr>
      <w:outlineLvl w:val="3"/>
    </w:pPr>
  </w:style>
  <w:style w:type="character" w:customStyle="1" w:styleId="100">
    <w:name w:val="不明显参考1"/>
    <w:qFormat/>
    <w:uiPriority w:val="31"/>
    <w:rPr>
      <w:smallCaps/>
      <w:color w:val="C0504D"/>
      <w:u w:val="single"/>
    </w:rPr>
  </w:style>
  <w:style w:type="paragraph" w:customStyle="1" w:styleId="101">
    <w:name w:val="标准文件_示例后续"/>
    <w:basedOn w:val="1"/>
    <w:qFormat/>
    <w:uiPriority w:val="0"/>
    <w:pPr>
      <w:adjustRightInd/>
      <w:spacing w:line="240" w:lineRule="auto"/>
      <w:ind w:firstLine="200" w:firstLineChars="200"/>
    </w:pPr>
    <w:rPr>
      <w:sz w:val="18"/>
      <w:szCs w:val="24"/>
    </w:rPr>
  </w:style>
  <w:style w:type="paragraph" w:customStyle="1" w:styleId="102">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3">
    <w:name w:val="标准文件_四级条标题"/>
    <w:next w:val="61"/>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4">
    <w:name w:val="脚注文本 字符"/>
    <w:link w:val="24"/>
    <w:semiHidden/>
    <w:qFormat/>
    <w:uiPriority w:val="0"/>
    <w:rPr>
      <w:rFonts w:ascii="宋体" w:hAnsi="Times New Roman" w:eastAsia="宋体" w:cs="Times New Roman"/>
      <w:sz w:val="18"/>
      <w:szCs w:val="18"/>
    </w:rPr>
  </w:style>
  <w:style w:type="paragraph" w:customStyle="1" w:styleId="105">
    <w:name w:val="标准文件_条文脚注"/>
    <w:basedOn w:val="24"/>
    <w:qFormat/>
    <w:uiPriority w:val="0"/>
    <w:pPr>
      <w:adjustRightInd w:val="0"/>
      <w:spacing w:line="240" w:lineRule="auto"/>
      <w:ind w:left="0" w:leftChars="0" w:firstLine="200" w:firstLineChars="200"/>
      <w:jc w:val="both"/>
    </w:pPr>
    <w:rPr>
      <w:rFonts w:hAnsi="宋体"/>
    </w:rPr>
  </w:style>
  <w:style w:type="paragraph" w:customStyle="1" w:styleId="106">
    <w:name w:val="标准文件_图表脚注"/>
    <w:basedOn w:val="1"/>
    <w:next w:val="61"/>
    <w:qFormat/>
    <w:uiPriority w:val="0"/>
    <w:pPr>
      <w:numPr>
        <w:ilvl w:val="0"/>
        <w:numId w:val="12"/>
      </w:numPr>
      <w:spacing w:line="240" w:lineRule="auto"/>
      <w:jc w:val="left"/>
    </w:pPr>
    <w:rPr>
      <w:rFonts w:ascii="宋体" w:hAnsi="宋体"/>
      <w:sz w:val="18"/>
    </w:rPr>
  </w:style>
  <w:style w:type="character" w:customStyle="1" w:styleId="107">
    <w:name w:val="标准文件_图表脚注内容"/>
    <w:qFormat/>
    <w:uiPriority w:val="0"/>
    <w:rPr>
      <w:rFonts w:ascii="宋体" w:hAnsi="宋体" w:eastAsia="宋体" w:cs="Times New Roman"/>
      <w:spacing w:val="0"/>
      <w:sz w:val="18"/>
      <w:vertAlign w:val="superscript"/>
    </w:rPr>
  </w:style>
  <w:style w:type="paragraph" w:customStyle="1" w:styleId="108">
    <w:name w:val="标准文件_五级条标题"/>
    <w:next w:val="61"/>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9">
    <w:name w:val="标准文件_章标题"/>
    <w:next w:val="61"/>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10">
    <w:name w:val="标准文件_一级条标题"/>
    <w:basedOn w:val="109"/>
    <w:next w:val="61"/>
    <w:qFormat/>
    <w:uiPriority w:val="0"/>
    <w:pPr>
      <w:numPr>
        <w:ilvl w:val="2"/>
      </w:numPr>
      <w:spacing w:before="50" w:beforeLines="50" w:after="50" w:afterLines="50"/>
      <w:ind w:left="0"/>
      <w:outlineLvl w:val="1"/>
    </w:pPr>
  </w:style>
  <w:style w:type="paragraph" w:customStyle="1" w:styleId="111">
    <w:name w:val="标准文件_一致程度"/>
    <w:basedOn w:val="1"/>
    <w:qFormat/>
    <w:uiPriority w:val="0"/>
    <w:pPr>
      <w:spacing w:line="440" w:lineRule="exact"/>
      <w:jc w:val="center"/>
    </w:pPr>
    <w:rPr>
      <w:sz w:val="28"/>
    </w:rPr>
  </w:style>
  <w:style w:type="paragraph" w:customStyle="1" w:styleId="112">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3">
    <w:name w:val="标准文件_英文图表脚注"/>
    <w:basedOn w:val="60"/>
    <w:qFormat/>
    <w:uiPriority w:val="0"/>
    <w:pPr>
      <w:widowControl/>
      <w:adjustRightInd/>
      <w:snapToGrid/>
      <w:spacing w:line="240" w:lineRule="auto"/>
      <w:ind w:left="79" w:hanging="79" w:hangingChars="80"/>
    </w:pPr>
    <w:rPr>
      <w:rFonts w:ascii="宋体" w:hAnsi="宋体"/>
    </w:rPr>
  </w:style>
  <w:style w:type="paragraph" w:customStyle="1" w:styleId="114">
    <w:name w:val="标准文件_数字编号列项（二级）"/>
    <w:qFormat/>
    <w:uiPriority w:val="0"/>
    <w:pPr>
      <w:tabs>
        <w:tab w:val="left" w:pos="1135"/>
        <w:tab w:val="left" w:pos="1560"/>
      </w:tabs>
      <w:jc w:val="both"/>
    </w:pPr>
    <w:rPr>
      <w:rFonts w:ascii="宋体" w:hAnsi="Times New Roman" w:eastAsia="宋体" w:cs="Times New Roman"/>
      <w:sz w:val="21"/>
      <w:lang w:val="en-US" w:eastAsia="zh-CN" w:bidi="ar-SA"/>
    </w:rPr>
  </w:style>
  <w:style w:type="paragraph" w:customStyle="1" w:styleId="115">
    <w:name w:val="标准文件_英文注："/>
    <w:basedOn w:val="1"/>
    <w:next w:val="61"/>
    <w:qFormat/>
    <w:uiPriority w:val="0"/>
    <w:pPr>
      <w:numPr>
        <w:ilvl w:val="0"/>
        <w:numId w:val="13"/>
      </w:numPr>
      <w:tabs>
        <w:tab w:val="left" w:pos="420"/>
      </w:tabs>
      <w:autoSpaceDE w:val="0"/>
      <w:autoSpaceDN w:val="0"/>
      <w:spacing w:line="240" w:lineRule="auto"/>
    </w:pPr>
    <w:rPr>
      <w:rFonts w:ascii="宋体" w:hAnsi="宋体"/>
      <w:kern w:val="0"/>
      <w:sz w:val="18"/>
      <w:szCs w:val="20"/>
    </w:rPr>
  </w:style>
  <w:style w:type="paragraph" w:customStyle="1" w:styleId="116">
    <w:name w:val="标准文件_英文注×："/>
    <w:basedOn w:val="1"/>
    <w:qFormat/>
    <w:uiPriority w:val="0"/>
    <w:pPr>
      <w:numPr>
        <w:ilvl w:val="0"/>
        <w:numId w:val="14"/>
      </w:numPr>
      <w:tabs>
        <w:tab w:val="left" w:pos="210"/>
      </w:tabs>
      <w:autoSpaceDE w:val="0"/>
      <w:autoSpaceDN w:val="0"/>
      <w:spacing w:line="240" w:lineRule="auto"/>
    </w:pPr>
    <w:rPr>
      <w:rFonts w:ascii="宋体" w:hAnsi="宋体"/>
      <w:kern w:val="0"/>
      <w:szCs w:val="20"/>
    </w:rPr>
  </w:style>
  <w:style w:type="paragraph" w:customStyle="1" w:styleId="117">
    <w:name w:val="标准文件_正文表标题"/>
    <w:next w:val="61"/>
    <w:qFormat/>
    <w:uiPriority w:val="0"/>
    <w:pPr>
      <w:numPr>
        <w:ilvl w:val="0"/>
        <w:numId w:val="15"/>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公式"/>
    <w:basedOn w:val="1"/>
    <w:next w:val="60"/>
    <w:qFormat/>
    <w:uiPriority w:val="0"/>
    <w:pPr>
      <w:tabs>
        <w:tab w:val="center" w:pos="4678"/>
        <w:tab w:val="right" w:leader="middleDot" w:pos="9356"/>
      </w:tabs>
      <w:spacing w:line="240" w:lineRule="auto"/>
    </w:pPr>
    <w:rPr>
      <w:rFonts w:ascii="宋体" w:hAnsi="宋体"/>
    </w:rPr>
  </w:style>
  <w:style w:type="paragraph" w:customStyle="1" w:styleId="119">
    <w:name w:val="标准文件_正文图标题"/>
    <w:next w:val="61"/>
    <w:qFormat/>
    <w:uiPriority w:val="0"/>
    <w:pPr>
      <w:numPr>
        <w:ilvl w:val="0"/>
        <w:numId w:val="16"/>
      </w:numPr>
      <w:spacing w:before="50" w:beforeLines="50" w:after="50" w:afterLines="50"/>
      <w:jc w:val="center"/>
    </w:pPr>
    <w:rPr>
      <w:rFonts w:ascii="黑体" w:hAnsi="Times New Roman" w:eastAsia="黑体" w:cs="Times New Roman"/>
      <w:sz w:val="21"/>
      <w:lang w:val="en-US" w:eastAsia="zh-CN" w:bidi="ar-SA"/>
    </w:rPr>
  </w:style>
  <w:style w:type="paragraph" w:customStyle="1" w:styleId="120">
    <w:name w:val="标准文件_正文英文表标题"/>
    <w:next w:val="61"/>
    <w:qFormat/>
    <w:uiPriority w:val="0"/>
    <w:pPr>
      <w:numPr>
        <w:ilvl w:val="0"/>
        <w:numId w:val="17"/>
      </w:numPr>
      <w:jc w:val="center"/>
    </w:pPr>
    <w:rPr>
      <w:rFonts w:ascii="黑体" w:hAnsi="Times New Roman" w:eastAsia="黑体" w:cs="Times New Roman"/>
      <w:sz w:val="21"/>
      <w:lang w:val="en-US" w:eastAsia="zh-CN" w:bidi="ar-SA"/>
    </w:rPr>
  </w:style>
  <w:style w:type="paragraph" w:customStyle="1" w:styleId="121">
    <w:name w:val="标准文件_正文英文图标题"/>
    <w:next w:val="61"/>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2">
    <w:name w:val="标准文件_编号列项（三级）"/>
    <w:qFormat/>
    <w:uiPriority w:val="0"/>
    <w:pPr>
      <w:tabs>
        <w:tab w:val="left" w:pos="1135"/>
      </w:tabs>
    </w:pPr>
    <w:rPr>
      <w:rFonts w:ascii="宋体" w:hAnsi="Times New Roman" w:eastAsia="宋体" w:cs="Times New Roman"/>
      <w:sz w:val="21"/>
      <w:lang w:val="en-US" w:eastAsia="zh-CN" w:bidi="ar-SA"/>
    </w:rPr>
  </w:style>
  <w:style w:type="paragraph" w:customStyle="1" w:styleId="123">
    <w:name w:val="二级无标题条"/>
    <w:basedOn w:val="1"/>
    <w:qFormat/>
    <w:uiPriority w:val="0"/>
    <w:pPr>
      <w:numPr>
        <w:ilvl w:val="3"/>
        <w:numId w:val="19"/>
      </w:numPr>
      <w:adjustRightInd/>
      <w:spacing w:line="240" w:lineRule="auto"/>
    </w:pPr>
    <w:rPr>
      <w:rFonts w:ascii="宋体" w:hAnsi="宋体"/>
      <w:szCs w:val="24"/>
    </w:rPr>
  </w:style>
  <w:style w:type="paragraph" w:customStyle="1" w:styleId="124">
    <w:name w:val="发布部门"/>
    <w:next w:val="61"/>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5">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6">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7">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8">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9">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0">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1">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2">
    <w:name w:val="封面正文"/>
    <w:qFormat/>
    <w:uiPriority w:val="0"/>
    <w:pPr>
      <w:jc w:val="both"/>
    </w:pPr>
    <w:rPr>
      <w:rFonts w:ascii="Times New Roman" w:hAnsi="Times New Roman" w:eastAsia="宋体" w:cs="Times New Roman"/>
      <w:lang w:val="en-US" w:eastAsia="zh-CN" w:bidi="ar-SA"/>
    </w:rPr>
  </w:style>
  <w:style w:type="paragraph" w:customStyle="1" w:styleId="133">
    <w:name w:val="附录二级无标题条"/>
    <w:basedOn w:val="1"/>
    <w:next w:val="61"/>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4">
    <w:name w:val="附录三级无标题条"/>
    <w:basedOn w:val="133"/>
    <w:next w:val="61"/>
    <w:qFormat/>
    <w:uiPriority w:val="0"/>
    <w:pPr>
      <w:outlineLvl w:val="4"/>
    </w:pPr>
  </w:style>
  <w:style w:type="paragraph" w:customStyle="1" w:styleId="135">
    <w:name w:val="附录四级无标题条"/>
    <w:basedOn w:val="134"/>
    <w:next w:val="61"/>
    <w:qFormat/>
    <w:uiPriority w:val="0"/>
    <w:pPr>
      <w:outlineLvl w:val="5"/>
    </w:pPr>
  </w:style>
  <w:style w:type="paragraph" w:customStyle="1" w:styleId="136">
    <w:name w:val="附录图"/>
    <w:next w:val="61"/>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7">
    <w:name w:val="标准文件_一级项"/>
    <w:qFormat/>
    <w:uiPriority w:val="0"/>
    <w:pPr>
      <w:numPr>
        <w:ilvl w:val="0"/>
        <w:numId w:val="20"/>
      </w:numPr>
    </w:pPr>
    <w:rPr>
      <w:rFonts w:ascii="宋体" w:hAnsi="Times New Roman" w:eastAsia="宋体" w:cs="Times New Roman"/>
      <w:sz w:val="21"/>
      <w:lang w:val="en-US" w:eastAsia="zh-CN" w:bidi="ar-SA"/>
    </w:rPr>
  </w:style>
  <w:style w:type="paragraph" w:customStyle="1" w:styleId="138">
    <w:name w:val="附录五级无标题条"/>
    <w:basedOn w:val="135"/>
    <w:next w:val="61"/>
    <w:qFormat/>
    <w:uiPriority w:val="0"/>
    <w:pPr>
      <w:outlineLvl w:val="6"/>
    </w:pPr>
  </w:style>
  <w:style w:type="paragraph" w:customStyle="1" w:styleId="139">
    <w:name w:val="附录性质"/>
    <w:basedOn w:val="1"/>
    <w:qFormat/>
    <w:uiPriority w:val="0"/>
    <w:pPr>
      <w:widowControl/>
      <w:adjustRightInd/>
      <w:jc w:val="center"/>
    </w:pPr>
    <w:rPr>
      <w:rFonts w:ascii="黑体" w:eastAsia="黑体"/>
    </w:rPr>
  </w:style>
  <w:style w:type="paragraph" w:customStyle="1" w:styleId="140">
    <w:name w:val="附录一级无标题条"/>
    <w:basedOn w:val="92"/>
    <w:next w:val="61"/>
    <w:qFormat/>
    <w:uiPriority w:val="0"/>
    <w:pPr>
      <w:autoSpaceDN w:val="0"/>
      <w:outlineLvl w:val="2"/>
    </w:pPr>
    <w:rPr>
      <w:rFonts w:ascii="宋体" w:hAnsi="宋体" w:eastAsia="宋体"/>
    </w:rPr>
  </w:style>
  <w:style w:type="character" w:customStyle="1" w:styleId="141">
    <w:name w:val="个人答复风格"/>
    <w:qFormat/>
    <w:uiPriority w:val="0"/>
    <w:rPr>
      <w:rFonts w:ascii="Arial" w:hAnsi="Arial" w:eastAsia="宋体" w:cs="Arial"/>
      <w:color w:val="auto"/>
      <w:spacing w:val="0"/>
      <w:sz w:val="20"/>
    </w:rPr>
  </w:style>
  <w:style w:type="character" w:customStyle="1" w:styleId="142">
    <w:name w:val="个人撰写风格"/>
    <w:qFormat/>
    <w:uiPriority w:val="0"/>
    <w:rPr>
      <w:rFonts w:ascii="Arial" w:hAnsi="Arial" w:eastAsia="宋体" w:cs="Arial"/>
      <w:color w:val="auto"/>
      <w:spacing w:val="0"/>
      <w:sz w:val="20"/>
    </w:rPr>
  </w:style>
  <w:style w:type="paragraph" w:customStyle="1" w:styleId="143">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4">
    <w:name w:val="列项——"/>
    <w:qFormat/>
    <w:uiPriority w:val="0"/>
    <w:pPr>
      <w:widowControl w:val="0"/>
      <w:numPr>
        <w:ilvl w:val="0"/>
        <w:numId w:val="21"/>
      </w:numPr>
      <w:jc w:val="both"/>
    </w:pPr>
    <w:rPr>
      <w:rFonts w:ascii="宋体" w:hAnsi="宋体" w:eastAsia="宋体" w:cs="Times New Roman"/>
      <w:sz w:val="21"/>
      <w:lang w:val="en-US" w:eastAsia="zh-CN" w:bidi="ar-SA"/>
    </w:rPr>
  </w:style>
  <w:style w:type="paragraph" w:customStyle="1" w:styleId="145">
    <w:name w:val="列项·"/>
    <w:basedOn w:val="61"/>
    <w:qFormat/>
    <w:uiPriority w:val="0"/>
    <w:pPr>
      <w:tabs>
        <w:tab w:val="left" w:pos="840"/>
      </w:tabs>
    </w:pPr>
  </w:style>
  <w:style w:type="paragraph" w:customStyle="1" w:styleId="146">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7">
    <w:name w:val="目录 21"/>
    <w:basedOn w:val="1"/>
    <w:next w:val="1"/>
    <w:semiHidden/>
    <w:qFormat/>
    <w:uiPriority w:val="0"/>
    <w:pPr>
      <w:adjustRightInd/>
      <w:spacing w:line="240" w:lineRule="auto"/>
      <w:jc w:val="left"/>
    </w:pPr>
    <w:rPr>
      <w:bCs/>
      <w:iCs/>
    </w:rPr>
  </w:style>
  <w:style w:type="paragraph" w:customStyle="1" w:styleId="148">
    <w:name w:val="目录 31"/>
    <w:basedOn w:val="1"/>
    <w:next w:val="1"/>
    <w:semiHidden/>
    <w:qFormat/>
    <w:uiPriority w:val="0"/>
    <w:pPr>
      <w:spacing w:line="240" w:lineRule="auto"/>
    </w:pPr>
    <w:rPr>
      <w:rFonts w:ascii="宋体" w:hAnsi="宋体"/>
      <w:iCs/>
    </w:rPr>
  </w:style>
  <w:style w:type="paragraph" w:customStyle="1" w:styleId="149">
    <w:name w:val="目录 41"/>
    <w:basedOn w:val="1"/>
    <w:next w:val="1"/>
    <w:semiHidden/>
    <w:qFormat/>
    <w:uiPriority w:val="0"/>
    <w:pPr>
      <w:adjustRightInd/>
      <w:spacing w:line="240" w:lineRule="auto"/>
      <w:jc w:val="left"/>
    </w:pPr>
  </w:style>
  <w:style w:type="paragraph" w:customStyle="1" w:styleId="150">
    <w:name w:val="目录 51"/>
    <w:basedOn w:val="1"/>
    <w:next w:val="1"/>
    <w:semiHidden/>
    <w:qFormat/>
    <w:uiPriority w:val="0"/>
    <w:pPr>
      <w:spacing w:line="240" w:lineRule="auto"/>
    </w:pPr>
    <w:rPr>
      <w:rFonts w:ascii="宋体" w:hAnsi="宋体"/>
    </w:rPr>
  </w:style>
  <w:style w:type="paragraph" w:customStyle="1" w:styleId="151">
    <w:name w:val="目录 61"/>
    <w:basedOn w:val="1"/>
    <w:next w:val="1"/>
    <w:semiHidden/>
    <w:qFormat/>
    <w:uiPriority w:val="0"/>
    <w:pPr>
      <w:adjustRightInd/>
      <w:spacing w:line="240" w:lineRule="auto"/>
      <w:jc w:val="left"/>
    </w:pPr>
  </w:style>
  <w:style w:type="paragraph" w:customStyle="1" w:styleId="152">
    <w:name w:val="目录 71"/>
    <w:basedOn w:val="151"/>
    <w:semiHidden/>
    <w:qFormat/>
    <w:uiPriority w:val="0"/>
    <w:pPr>
      <w:ind w:left="1260"/>
    </w:pPr>
  </w:style>
  <w:style w:type="paragraph" w:customStyle="1" w:styleId="153">
    <w:name w:val="目录 81"/>
    <w:basedOn w:val="152"/>
    <w:semiHidden/>
    <w:qFormat/>
    <w:uiPriority w:val="0"/>
    <w:pPr>
      <w:ind w:left="1470"/>
    </w:pPr>
  </w:style>
  <w:style w:type="paragraph" w:customStyle="1" w:styleId="154">
    <w:name w:val="目录 91"/>
    <w:basedOn w:val="153"/>
    <w:semiHidden/>
    <w:qFormat/>
    <w:uiPriority w:val="0"/>
    <w:pPr>
      <w:ind w:left="1680"/>
    </w:pPr>
  </w:style>
  <w:style w:type="paragraph" w:customStyle="1" w:styleId="155">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6">
    <w:name w:val="其他发布部门"/>
    <w:basedOn w:val="124"/>
    <w:qFormat/>
    <w:uiPriority w:val="0"/>
    <w:pPr>
      <w:framePr/>
      <w:spacing w:line="0" w:lineRule="atLeast"/>
    </w:pPr>
    <w:rPr>
      <w:rFonts w:ascii="黑体" w:eastAsia="黑体"/>
      <w:b w:val="0"/>
    </w:rPr>
  </w:style>
  <w:style w:type="paragraph" w:customStyle="1" w:styleId="157">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8">
    <w:name w:val="三级无标题条"/>
    <w:basedOn w:val="1"/>
    <w:qFormat/>
    <w:uiPriority w:val="0"/>
    <w:pPr>
      <w:numPr>
        <w:ilvl w:val="4"/>
        <w:numId w:val="19"/>
      </w:numPr>
      <w:adjustRightInd/>
      <w:spacing w:line="240" w:lineRule="auto"/>
    </w:pPr>
    <w:rPr>
      <w:rFonts w:ascii="宋体" w:hAnsi="宋体"/>
      <w:szCs w:val="24"/>
    </w:rPr>
  </w:style>
  <w:style w:type="paragraph" w:customStyle="1" w:styleId="159">
    <w:name w:val="实施日期"/>
    <w:basedOn w:val="125"/>
    <w:qFormat/>
    <w:uiPriority w:val="0"/>
    <w:pPr>
      <w:framePr w:hSpace="0" w:xAlign="right"/>
      <w:jc w:val="right"/>
    </w:pPr>
  </w:style>
  <w:style w:type="paragraph" w:customStyle="1" w:styleId="160">
    <w:name w:val="四级无标题条"/>
    <w:basedOn w:val="1"/>
    <w:qFormat/>
    <w:uiPriority w:val="0"/>
    <w:pPr>
      <w:numPr>
        <w:ilvl w:val="5"/>
        <w:numId w:val="19"/>
      </w:numPr>
      <w:adjustRightInd/>
      <w:spacing w:line="240" w:lineRule="auto"/>
    </w:pPr>
    <w:rPr>
      <w:rFonts w:ascii="宋体" w:hAnsi="宋体"/>
      <w:szCs w:val="24"/>
    </w:rPr>
  </w:style>
  <w:style w:type="paragraph" w:customStyle="1" w:styleId="161">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2">
    <w:name w:val="无标题条"/>
    <w:next w:val="61"/>
    <w:qFormat/>
    <w:uiPriority w:val="0"/>
    <w:pPr>
      <w:jc w:val="both"/>
    </w:pPr>
    <w:rPr>
      <w:rFonts w:ascii="宋体" w:hAnsi="宋体" w:eastAsia="宋体" w:cs="Times New Roman"/>
      <w:sz w:val="21"/>
      <w:lang w:val="en-US" w:eastAsia="zh-CN" w:bidi="ar-SA"/>
    </w:rPr>
  </w:style>
  <w:style w:type="paragraph" w:customStyle="1" w:styleId="163">
    <w:name w:val="五级无标题条"/>
    <w:basedOn w:val="1"/>
    <w:qFormat/>
    <w:uiPriority w:val="0"/>
    <w:pPr>
      <w:numPr>
        <w:ilvl w:val="6"/>
        <w:numId w:val="19"/>
      </w:numPr>
      <w:adjustRightInd/>
    </w:pPr>
    <w:rPr>
      <w:szCs w:val="24"/>
    </w:rPr>
  </w:style>
  <w:style w:type="paragraph" w:customStyle="1" w:styleId="164">
    <w:name w:val="一级无标题条"/>
    <w:basedOn w:val="1"/>
    <w:qFormat/>
    <w:uiPriority w:val="0"/>
    <w:pPr>
      <w:numPr>
        <w:ilvl w:val="2"/>
        <w:numId w:val="19"/>
      </w:numPr>
      <w:adjustRightInd/>
      <w:spacing w:before="10" w:after="10" w:line="240" w:lineRule="auto"/>
    </w:pPr>
    <w:rPr>
      <w:rFonts w:ascii="宋体" w:hAnsi="宋体"/>
      <w:szCs w:val="24"/>
    </w:rPr>
  </w:style>
  <w:style w:type="paragraph" w:customStyle="1" w:styleId="165">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6">
    <w:name w:val="注×:后续"/>
    <w:basedOn w:val="165"/>
    <w:qFormat/>
    <w:uiPriority w:val="0"/>
    <w:pPr>
      <w:ind w:left="1406" w:leftChars="0" w:hanging="499" w:firstLineChars="0"/>
    </w:pPr>
  </w:style>
  <w:style w:type="paragraph" w:customStyle="1" w:styleId="167">
    <w:name w:val="标准文件_一级无标题"/>
    <w:basedOn w:val="110"/>
    <w:qFormat/>
    <w:uiPriority w:val="0"/>
    <w:pPr>
      <w:spacing w:before="0" w:beforeLines="0" w:after="0" w:afterLines="0"/>
      <w:outlineLvl w:val="9"/>
    </w:pPr>
    <w:rPr>
      <w:rFonts w:ascii="宋体" w:eastAsia="宋体"/>
    </w:rPr>
  </w:style>
  <w:style w:type="paragraph" w:customStyle="1" w:styleId="168">
    <w:name w:val="标准文件_五级无标题"/>
    <w:basedOn w:val="108"/>
    <w:qFormat/>
    <w:uiPriority w:val="0"/>
    <w:pPr>
      <w:spacing w:before="0" w:beforeLines="0" w:after="0" w:afterLines="0"/>
      <w:outlineLvl w:val="9"/>
    </w:pPr>
    <w:rPr>
      <w:rFonts w:ascii="宋体" w:eastAsia="宋体"/>
    </w:rPr>
  </w:style>
  <w:style w:type="paragraph" w:customStyle="1" w:styleId="169">
    <w:name w:val="标准文件_三级无标题"/>
    <w:basedOn w:val="99"/>
    <w:qFormat/>
    <w:uiPriority w:val="0"/>
    <w:pPr>
      <w:spacing w:before="0" w:beforeLines="0" w:after="0" w:afterLines="0" w:line="360" w:lineRule="auto"/>
      <w:outlineLvl w:val="9"/>
    </w:pPr>
    <w:rPr>
      <w:rFonts w:ascii="宋体" w:eastAsia="宋体"/>
    </w:rPr>
  </w:style>
  <w:style w:type="paragraph" w:customStyle="1" w:styleId="170">
    <w:name w:val="标准文件_二级无标题"/>
    <w:basedOn w:val="70"/>
    <w:qFormat/>
    <w:uiPriority w:val="0"/>
    <w:pPr>
      <w:spacing w:before="0" w:beforeLines="0" w:after="0" w:afterLines="0"/>
      <w:outlineLvl w:val="9"/>
    </w:pPr>
    <w:rPr>
      <w:rFonts w:ascii="宋体" w:eastAsia="宋体"/>
    </w:rPr>
  </w:style>
  <w:style w:type="paragraph" w:customStyle="1" w:styleId="171">
    <w:name w:val="标准_四级无标题"/>
    <w:basedOn w:val="103"/>
    <w:next w:val="61"/>
    <w:qFormat/>
    <w:uiPriority w:val="0"/>
    <w:rPr>
      <w:rFonts w:eastAsia="宋体"/>
    </w:rPr>
  </w:style>
  <w:style w:type="paragraph" w:customStyle="1" w:styleId="172">
    <w:name w:val="标准文件_四级无标题"/>
    <w:basedOn w:val="103"/>
    <w:qFormat/>
    <w:uiPriority w:val="0"/>
    <w:pPr>
      <w:spacing w:before="0" w:beforeLines="0" w:after="0" w:afterLines="0"/>
      <w:outlineLvl w:val="9"/>
    </w:pPr>
    <w:rPr>
      <w:rFonts w:ascii="宋体" w:hAnsi="黑体" w:eastAsia="宋体"/>
      <w:szCs w:val="52"/>
    </w:rPr>
  </w:style>
  <w:style w:type="paragraph" w:customStyle="1" w:styleId="173">
    <w:name w:val="标准文件_大写罗马数字编号列项"/>
    <w:basedOn w:val="61"/>
    <w:qFormat/>
    <w:uiPriority w:val="0"/>
    <w:pPr>
      <w:numPr>
        <w:ilvl w:val="0"/>
        <w:numId w:val="22"/>
      </w:numPr>
      <w:ind w:firstLine="0" w:firstLineChars="0"/>
    </w:pPr>
    <w:rPr>
      <w:rFonts w:ascii="Times New Roman" w:cs="Arial"/>
      <w:szCs w:val="28"/>
    </w:rPr>
  </w:style>
  <w:style w:type="paragraph" w:customStyle="1" w:styleId="174">
    <w:name w:val="标准文件_小写罗马数字编号列项"/>
    <w:basedOn w:val="61"/>
    <w:qFormat/>
    <w:uiPriority w:val="0"/>
    <w:pPr>
      <w:numPr>
        <w:ilvl w:val="0"/>
        <w:numId w:val="23"/>
      </w:numPr>
      <w:ind w:firstLine="0" w:firstLineChars="0"/>
    </w:pPr>
    <w:rPr>
      <w:rFonts w:cs="Arial"/>
      <w:szCs w:val="28"/>
    </w:rPr>
  </w:style>
  <w:style w:type="paragraph" w:customStyle="1" w:styleId="175">
    <w:name w:val="标准文件_附录标题"/>
    <w:basedOn w:val="81"/>
    <w:qFormat/>
    <w:uiPriority w:val="0"/>
    <w:pPr>
      <w:numPr>
        <w:numId w:val="0"/>
      </w:numPr>
      <w:spacing w:after="280"/>
      <w:outlineLvl w:val="9"/>
    </w:pPr>
  </w:style>
  <w:style w:type="paragraph" w:customStyle="1" w:styleId="176">
    <w:name w:val="标准文件_二级项"/>
    <w:qFormat/>
    <w:uiPriority w:val="0"/>
    <w:rPr>
      <w:rFonts w:ascii="宋体" w:hAnsi="Times New Roman" w:eastAsia="宋体" w:cs="Times New Roman"/>
      <w:sz w:val="21"/>
      <w:lang w:val="en-US" w:eastAsia="zh-CN" w:bidi="ar-SA"/>
    </w:rPr>
  </w:style>
  <w:style w:type="paragraph" w:customStyle="1" w:styleId="177">
    <w:name w:val="标准文件_三级项"/>
    <w:basedOn w:val="1"/>
    <w:qFormat/>
    <w:uiPriority w:val="0"/>
    <w:pPr>
      <w:numPr>
        <w:ilvl w:val="2"/>
        <w:numId w:val="20"/>
      </w:numPr>
      <w:spacing w:line="536870612" w:lineRule="auto"/>
    </w:pPr>
    <w:rPr>
      <w:rFonts w:ascii="Times New Roman" w:hAnsi="Times New Roman"/>
    </w:rPr>
  </w:style>
  <w:style w:type="paragraph" w:customStyle="1" w:styleId="178">
    <w:name w:val="图表脚注说明"/>
    <w:basedOn w:val="1"/>
    <w:next w:val="61"/>
    <w:qFormat/>
    <w:uiPriority w:val="0"/>
    <w:pPr>
      <w:numPr>
        <w:ilvl w:val="0"/>
        <w:numId w:val="24"/>
      </w:numPr>
      <w:adjustRightInd/>
      <w:spacing w:line="240" w:lineRule="auto"/>
      <w:ind w:left="783"/>
    </w:pPr>
    <w:rPr>
      <w:rFonts w:ascii="宋体" w:hAnsi="Times New Roman"/>
      <w:sz w:val="18"/>
      <w:szCs w:val="18"/>
    </w:rPr>
  </w:style>
  <w:style w:type="paragraph" w:customStyle="1" w:styleId="179">
    <w:name w:val="标准文件_字母编号列项（一级）"/>
    <w:qFormat/>
    <w:uiPriority w:val="0"/>
    <w:pPr>
      <w:tabs>
        <w:tab w:val="left" w:pos="1135"/>
      </w:tabs>
      <w:jc w:val="both"/>
    </w:pPr>
    <w:rPr>
      <w:rFonts w:ascii="Times New Roman" w:hAnsi="Times New Roman" w:eastAsia="宋体" w:cs="Times New Roman"/>
      <w:sz w:val="21"/>
      <w:lang w:val="en-US" w:eastAsia="zh-CN" w:bidi="ar-SA"/>
    </w:rPr>
  </w:style>
  <w:style w:type="paragraph" w:customStyle="1" w:styleId="180">
    <w:name w:val="标准文件_索引字母"/>
    <w:next w:val="61"/>
    <w:qFormat/>
    <w:uiPriority w:val="0"/>
    <w:pPr>
      <w:jc w:val="center"/>
    </w:pPr>
    <w:rPr>
      <w:rFonts w:ascii="宋体" w:hAnsi="宋体" w:eastAsia="Times New Roman" w:cs="Times New Roman"/>
      <w:b/>
      <w:kern w:val="2"/>
      <w:sz w:val="21"/>
      <w:lang w:val="en-US" w:eastAsia="zh-CN" w:bidi="ar-SA"/>
    </w:rPr>
  </w:style>
  <w:style w:type="paragraph" w:customStyle="1" w:styleId="181">
    <w:name w:val="标准文件_附录前"/>
    <w:next w:val="61"/>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2">
    <w:name w:val="标准文件_正文标准名称"/>
    <w:qFormat/>
    <w:uiPriority w:val="0"/>
    <w:pPr>
      <w:spacing w:after="640" w:line="400" w:lineRule="exact"/>
      <w:jc w:val="center"/>
    </w:pPr>
    <w:rPr>
      <w:rFonts w:ascii="黑体" w:hAnsi="黑体" w:eastAsia="黑体" w:cs="Times New Roman"/>
      <w:kern w:val="2"/>
      <w:sz w:val="32"/>
      <w:szCs w:val="32"/>
      <w:lang w:val="en-US" w:eastAsia="zh-CN" w:bidi="ar-SA"/>
    </w:rPr>
  </w:style>
  <w:style w:type="paragraph" w:customStyle="1" w:styleId="183">
    <w:name w:val="标准文件_表格"/>
    <w:basedOn w:val="61"/>
    <w:qFormat/>
    <w:uiPriority w:val="0"/>
    <w:pPr>
      <w:ind w:firstLine="0" w:firstLineChars="0"/>
      <w:jc w:val="center"/>
    </w:pPr>
    <w:rPr>
      <w:sz w:val="18"/>
    </w:rPr>
  </w:style>
  <w:style w:type="paragraph" w:customStyle="1" w:styleId="184">
    <w:name w:val="标准文件_注："/>
    <w:next w:val="61"/>
    <w:qFormat/>
    <w:uiPriority w:val="0"/>
    <w:pPr>
      <w:widowControl w:val="0"/>
      <w:numPr>
        <w:ilvl w:val="0"/>
        <w:numId w:val="25"/>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注×："/>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6">
    <w:name w:val="标准文件_示例："/>
    <w:next w:val="187"/>
    <w:qFormat/>
    <w:uiPriority w:val="0"/>
    <w:pPr>
      <w:widowControl w:val="0"/>
      <w:numPr>
        <w:ilvl w:val="0"/>
        <w:numId w:val="27"/>
      </w:numPr>
      <w:jc w:val="both"/>
    </w:pPr>
    <w:rPr>
      <w:rFonts w:ascii="宋体" w:hAnsi="Times New Roman" w:eastAsia="宋体" w:cs="Times New Roman"/>
      <w:sz w:val="18"/>
      <w:szCs w:val="18"/>
      <w:lang w:val="en-US" w:eastAsia="zh-CN" w:bidi="ar-SA"/>
    </w:rPr>
  </w:style>
  <w:style w:type="paragraph" w:customStyle="1" w:styleId="187">
    <w:name w:val="标准文件_示例内容"/>
    <w:basedOn w:val="61"/>
    <w:qFormat/>
    <w:uiPriority w:val="0"/>
    <w:pPr>
      <w:ind w:firstLine="420"/>
    </w:pPr>
    <w:rPr>
      <w:sz w:val="18"/>
    </w:rPr>
  </w:style>
  <w:style w:type="paragraph" w:customStyle="1" w:styleId="188">
    <w:name w:val="标准文件_示例×："/>
    <w:basedOn w:val="1"/>
    <w:next w:val="187"/>
    <w:qFormat/>
    <w:uiPriority w:val="0"/>
    <w:pPr>
      <w:widowControl/>
      <w:numPr>
        <w:ilvl w:val="0"/>
        <w:numId w:val="28"/>
      </w:numPr>
      <w:adjustRightInd/>
      <w:spacing w:line="240" w:lineRule="auto"/>
    </w:pPr>
    <w:rPr>
      <w:rFonts w:ascii="宋体" w:hAnsi="Times New Roman"/>
      <w:kern w:val="0"/>
      <w:sz w:val="18"/>
      <w:szCs w:val="18"/>
    </w:rPr>
  </w:style>
  <w:style w:type="character" w:customStyle="1" w:styleId="189">
    <w:name w:val="标准文件_段 Char"/>
    <w:link w:val="61"/>
    <w:qFormat/>
    <w:uiPriority w:val="0"/>
    <w:rPr>
      <w:rFonts w:ascii="宋体" w:hAnsi="Times New Roman"/>
      <w:sz w:val="21"/>
    </w:rPr>
  </w:style>
  <w:style w:type="paragraph" w:customStyle="1" w:styleId="190">
    <w:name w:val="标准文件_表格续"/>
    <w:basedOn w:val="61"/>
    <w:next w:val="61"/>
    <w:qFormat/>
    <w:uiPriority w:val="0"/>
    <w:pPr>
      <w:jc w:val="center"/>
    </w:pPr>
    <w:rPr>
      <w:rFonts w:ascii="黑体" w:hAnsi="黑体" w:eastAsia="黑体"/>
    </w:rPr>
  </w:style>
  <w:style w:type="character" w:customStyle="1" w:styleId="191">
    <w:name w:val="Placeholder Text"/>
    <w:basedOn w:val="30"/>
    <w:semiHidden/>
    <w:qFormat/>
    <w:uiPriority w:val="99"/>
    <w:rPr>
      <w:color w:val="808080"/>
    </w:rPr>
  </w:style>
  <w:style w:type="paragraph" w:customStyle="1" w:styleId="192">
    <w:name w:val="标准文件_二级项2"/>
    <w:basedOn w:val="61"/>
    <w:qFormat/>
    <w:uiPriority w:val="0"/>
    <w:pPr>
      <w:numPr>
        <w:ilvl w:val="1"/>
        <w:numId w:val="20"/>
      </w:numPr>
      <w:ind w:left="1271" w:hanging="420" w:firstLineChars="0"/>
    </w:pPr>
  </w:style>
  <w:style w:type="paragraph" w:customStyle="1" w:styleId="193">
    <w:name w:val="标准文件_三级项2"/>
    <w:basedOn w:val="61"/>
    <w:qFormat/>
    <w:uiPriority w:val="0"/>
    <w:pPr>
      <w:numPr>
        <w:ilvl w:val="0"/>
        <w:numId w:val="29"/>
      </w:numPr>
      <w:spacing w:line="300" w:lineRule="exact"/>
      <w:ind w:left="1276" w:hanging="425" w:firstLineChars="0"/>
    </w:pPr>
    <w:rPr>
      <w:rFonts w:ascii="Times New Roman"/>
    </w:rPr>
  </w:style>
  <w:style w:type="paragraph" w:customStyle="1" w:styleId="194">
    <w:name w:val="标准文件_一级项2"/>
    <w:basedOn w:val="61"/>
    <w:qFormat/>
    <w:uiPriority w:val="0"/>
    <w:pPr>
      <w:numPr>
        <w:ilvl w:val="0"/>
        <w:numId w:val="30"/>
      </w:numPr>
      <w:spacing w:line="300" w:lineRule="exact"/>
      <w:ind w:left="1271" w:hanging="420" w:firstLineChars="0"/>
    </w:pPr>
    <w:rPr>
      <w:rFonts w:ascii="Times New Roman"/>
    </w:rPr>
  </w:style>
  <w:style w:type="paragraph" w:customStyle="1" w:styleId="195">
    <w:name w:val="标准文件_提示"/>
    <w:basedOn w:val="61"/>
    <w:next w:val="61"/>
    <w:qFormat/>
    <w:uiPriority w:val="0"/>
    <w:pPr>
      <w:ind w:firstLine="420"/>
    </w:pPr>
    <w:rPr>
      <w:rFonts w:ascii="黑体" w:eastAsia="黑体"/>
    </w:rPr>
  </w:style>
  <w:style w:type="character" w:customStyle="1" w:styleId="196">
    <w:name w:val="标准文件_来源"/>
    <w:basedOn w:val="30"/>
    <w:qFormat/>
    <w:uiPriority w:val="1"/>
    <w:rPr>
      <w:rFonts w:eastAsia="宋体"/>
      <w:sz w:val="21"/>
    </w:rPr>
  </w:style>
  <w:style w:type="paragraph" w:customStyle="1" w:styleId="197">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8">
    <w:name w:val="其他发布日期"/>
    <w:basedOn w:val="125"/>
    <w:qFormat/>
    <w:uiPriority w:val="0"/>
    <w:pPr>
      <w:framePr w:w="3997" w:h="471" w:hRule="exact" w:hSpace="0" w:vSpace="181" w:vAnchor="page" w:hAnchor="page" w:x="1419" w:y="14097"/>
    </w:pPr>
  </w:style>
  <w:style w:type="paragraph" w:customStyle="1" w:styleId="199">
    <w:name w:val="其他实施日期"/>
    <w:basedOn w:val="159"/>
    <w:qFormat/>
    <w:uiPriority w:val="0"/>
    <w:pPr>
      <w:framePr w:w="3997" w:h="471" w:hRule="exact" w:vSpace="181" w:vAnchor="page" w:hAnchor="page" w:x="7089" w:y="14097"/>
    </w:pPr>
  </w:style>
  <w:style w:type="paragraph" w:customStyle="1" w:styleId="200">
    <w:name w:val="标准文件_文件编号"/>
    <w:basedOn w:val="61"/>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201">
    <w:name w:val="标准文件_替换文件编号"/>
    <w:basedOn w:val="200"/>
    <w:qFormat/>
    <w:uiPriority w:val="0"/>
    <w:pPr>
      <w:spacing w:before="57"/>
    </w:pPr>
    <w:rPr>
      <w:sz w:val="21"/>
    </w:rPr>
  </w:style>
  <w:style w:type="paragraph" w:customStyle="1" w:styleId="202">
    <w:name w:val="标准文件_文件名称"/>
    <w:basedOn w:val="61"/>
    <w:next w:val="61"/>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3">
    <w:name w:val="标准文件_附录图标号"/>
    <w:basedOn w:val="61"/>
    <w:next w:val="61"/>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4">
    <w:name w:val="标准文件_附录表标号"/>
    <w:basedOn w:val="61"/>
    <w:next w:val="61"/>
    <w:qFormat/>
    <w:uiPriority w:val="0"/>
    <w:pPr>
      <w:numPr>
        <w:ilvl w:val="0"/>
        <w:numId w:val="5"/>
      </w:numPr>
      <w:spacing w:line="14" w:lineRule="exact"/>
      <w:ind w:firstLine="0" w:firstLineChars="0"/>
      <w:jc w:val="center"/>
    </w:pPr>
    <w:rPr>
      <w:rFonts w:eastAsia="黑体"/>
      <w:vanish/>
      <w:sz w:val="2"/>
    </w:rPr>
  </w:style>
  <w:style w:type="paragraph" w:customStyle="1" w:styleId="205">
    <w:name w:val="标准文件_引言一级条标题"/>
    <w:basedOn w:val="61"/>
    <w:next w:val="61"/>
    <w:qFormat/>
    <w:uiPriority w:val="0"/>
    <w:pPr>
      <w:numPr>
        <w:ilvl w:val="1"/>
        <w:numId w:val="8"/>
      </w:numPr>
      <w:spacing w:before="50" w:beforeLines="50" w:after="50" w:afterLines="50"/>
      <w:ind w:firstLineChars="0"/>
    </w:pPr>
    <w:rPr>
      <w:rFonts w:ascii="黑体" w:eastAsia="黑体"/>
    </w:rPr>
  </w:style>
  <w:style w:type="paragraph" w:customStyle="1" w:styleId="206">
    <w:name w:val="标准文件_引言二级条标题"/>
    <w:basedOn w:val="61"/>
    <w:next w:val="61"/>
    <w:qFormat/>
    <w:uiPriority w:val="0"/>
    <w:pPr>
      <w:numPr>
        <w:ilvl w:val="2"/>
        <w:numId w:val="8"/>
      </w:numPr>
      <w:spacing w:before="50" w:beforeLines="50" w:after="50" w:afterLines="50"/>
      <w:ind w:firstLineChars="0"/>
    </w:pPr>
    <w:rPr>
      <w:rFonts w:ascii="黑体" w:eastAsia="黑体"/>
    </w:rPr>
  </w:style>
  <w:style w:type="paragraph" w:customStyle="1" w:styleId="207">
    <w:name w:val="标准文件_引言三级条标题"/>
    <w:basedOn w:val="61"/>
    <w:next w:val="61"/>
    <w:qFormat/>
    <w:uiPriority w:val="0"/>
    <w:pPr>
      <w:numPr>
        <w:ilvl w:val="3"/>
        <w:numId w:val="8"/>
      </w:numPr>
      <w:spacing w:before="50" w:beforeLines="50" w:after="50" w:afterLines="50"/>
      <w:ind w:firstLineChars="0"/>
    </w:pPr>
    <w:rPr>
      <w:rFonts w:ascii="黑体" w:eastAsia="黑体"/>
    </w:rPr>
  </w:style>
  <w:style w:type="paragraph" w:customStyle="1" w:styleId="208">
    <w:name w:val="标准文件_引言四级条标题"/>
    <w:basedOn w:val="61"/>
    <w:next w:val="61"/>
    <w:qFormat/>
    <w:uiPriority w:val="0"/>
    <w:pPr>
      <w:numPr>
        <w:ilvl w:val="4"/>
        <w:numId w:val="8"/>
      </w:numPr>
      <w:spacing w:before="50" w:beforeLines="50" w:after="50" w:afterLines="50"/>
      <w:ind w:firstLineChars="0"/>
    </w:pPr>
    <w:rPr>
      <w:rFonts w:ascii="黑体" w:eastAsia="黑体"/>
    </w:rPr>
  </w:style>
  <w:style w:type="paragraph" w:customStyle="1" w:styleId="209">
    <w:name w:val="标准文件_引言五级条标题"/>
    <w:basedOn w:val="61"/>
    <w:next w:val="61"/>
    <w:qFormat/>
    <w:uiPriority w:val="0"/>
    <w:pPr>
      <w:numPr>
        <w:ilvl w:val="5"/>
        <w:numId w:val="8"/>
      </w:numPr>
      <w:spacing w:before="50" w:beforeLines="50" w:after="50" w:afterLines="50"/>
      <w:ind w:firstLineChars="0"/>
    </w:pPr>
    <w:rPr>
      <w:rFonts w:ascii="黑体" w:eastAsia="黑体"/>
    </w:rPr>
  </w:style>
  <w:style w:type="paragraph" w:customStyle="1" w:styleId="210">
    <w:name w:val="标准文件_注后"/>
    <w:basedOn w:val="61"/>
    <w:qFormat/>
    <w:uiPriority w:val="0"/>
    <w:pPr>
      <w:ind w:left="811" w:firstLine="0" w:firstLineChars="0"/>
    </w:pPr>
    <w:rPr>
      <w:sz w:val="18"/>
    </w:rPr>
  </w:style>
  <w:style w:type="paragraph" w:customStyle="1" w:styleId="211">
    <w:name w:val="标准文件_注X后"/>
    <w:basedOn w:val="61"/>
    <w:qFormat/>
    <w:uiPriority w:val="0"/>
    <w:pPr>
      <w:ind w:left="811" w:firstLine="0" w:firstLineChars="0"/>
    </w:pPr>
    <w:rPr>
      <w:sz w:val="18"/>
    </w:rPr>
  </w:style>
  <w:style w:type="paragraph" w:customStyle="1" w:styleId="212">
    <w:name w:val="标准文件_示例后"/>
    <w:basedOn w:val="61"/>
    <w:qFormat/>
    <w:uiPriority w:val="0"/>
    <w:pPr>
      <w:ind w:left="964" w:firstLine="0" w:firstLineChars="0"/>
    </w:pPr>
    <w:rPr>
      <w:sz w:val="18"/>
    </w:rPr>
  </w:style>
  <w:style w:type="paragraph" w:customStyle="1" w:styleId="213">
    <w:name w:val="标准文件_示例X后"/>
    <w:basedOn w:val="61"/>
    <w:link w:val="214"/>
    <w:qFormat/>
    <w:uiPriority w:val="0"/>
    <w:pPr>
      <w:ind w:left="1049" w:firstLine="0" w:firstLineChars="0"/>
    </w:pPr>
    <w:rPr>
      <w:sz w:val="18"/>
    </w:rPr>
  </w:style>
  <w:style w:type="character" w:customStyle="1" w:styleId="214">
    <w:name w:val="标准文件_示例X后 字符"/>
    <w:basedOn w:val="189"/>
    <w:link w:val="213"/>
    <w:uiPriority w:val="0"/>
    <w:rPr>
      <w:rFonts w:ascii="宋体" w:hAnsi="Times New Roman"/>
      <w:sz w:val="18"/>
    </w:rPr>
  </w:style>
  <w:style w:type="paragraph" w:customStyle="1" w:styleId="215">
    <w:name w:val="标准文件_索引项"/>
    <w:basedOn w:val="61"/>
    <w:next w:val="61"/>
    <w:qFormat/>
    <w:uiPriority w:val="0"/>
    <w:pPr>
      <w:tabs>
        <w:tab w:val="right" w:leader="dot" w:pos="9356"/>
      </w:tabs>
      <w:ind w:left="210" w:hanging="210" w:firstLineChars="0"/>
      <w:jc w:val="left"/>
    </w:pPr>
  </w:style>
  <w:style w:type="paragraph" w:customStyle="1" w:styleId="216">
    <w:name w:val="标准文件_附录一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二级无标题"/>
    <w:basedOn w:val="84"/>
    <w:uiPriority w:val="0"/>
    <w:pPr>
      <w:spacing w:before="0" w:beforeLines="0" w:after="0" w:afterLines="0" w:line="276" w:lineRule="auto"/>
      <w:outlineLvl w:val="9"/>
    </w:pPr>
    <w:rPr>
      <w:rFonts w:ascii="宋体" w:eastAsia="宋体"/>
    </w:rPr>
  </w:style>
  <w:style w:type="paragraph" w:customStyle="1" w:styleId="218">
    <w:name w:val="标准文件_附录三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四级无标题"/>
    <w:basedOn w:val="87"/>
    <w:qFormat/>
    <w:uiPriority w:val="0"/>
    <w:pPr>
      <w:spacing w:before="0" w:beforeLines="0" w:after="0" w:afterLines="0" w:line="276" w:lineRule="auto"/>
      <w:outlineLvl w:val="9"/>
    </w:pPr>
    <w:rPr>
      <w:rFonts w:ascii="宋体" w:eastAsia="宋体"/>
    </w:rPr>
  </w:style>
  <w:style w:type="paragraph" w:customStyle="1" w:styleId="220">
    <w:name w:val="标准文件_附录五级无标题"/>
    <w:basedOn w:val="89"/>
    <w:qFormat/>
    <w:uiPriority w:val="0"/>
    <w:pPr>
      <w:spacing w:before="0" w:beforeLines="0" w:after="0" w:afterLines="0" w:line="276" w:lineRule="auto"/>
      <w:outlineLvl w:val="9"/>
    </w:pPr>
    <w:rPr>
      <w:rFonts w:ascii="宋体" w:eastAsia="宋体"/>
    </w:rPr>
  </w:style>
  <w:style w:type="paragraph" w:customStyle="1" w:styleId="221">
    <w:name w:val="标准文件_引言一级无标题"/>
    <w:basedOn w:val="205"/>
    <w:next w:val="61"/>
    <w:qFormat/>
    <w:uiPriority w:val="0"/>
    <w:pPr>
      <w:spacing w:before="0" w:beforeLines="0" w:after="0" w:afterLines="0" w:line="276" w:lineRule="auto"/>
    </w:pPr>
    <w:rPr>
      <w:rFonts w:ascii="宋体" w:eastAsia="宋体"/>
    </w:rPr>
  </w:style>
  <w:style w:type="paragraph" w:customStyle="1" w:styleId="222">
    <w:name w:val="标准文件_引言二级无标题"/>
    <w:basedOn w:val="206"/>
    <w:next w:val="61"/>
    <w:qFormat/>
    <w:uiPriority w:val="0"/>
    <w:pPr>
      <w:spacing w:before="0" w:beforeLines="0" w:after="0" w:afterLines="0" w:line="276" w:lineRule="auto"/>
    </w:pPr>
    <w:rPr>
      <w:rFonts w:ascii="宋体" w:eastAsia="宋体"/>
    </w:rPr>
  </w:style>
  <w:style w:type="paragraph" w:customStyle="1" w:styleId="223">
    <w:name w:val="标准文件_引言三级无标题"/>
    <w:basedOn w:val="207"/>
    <w:next w:val="61"/>
    <w:qFormat/>
    <w:uiPriority w:val="0"/>
    <w:pPr>
      <w:spacing w:before="0" w:beforeLines="0" w:after="0" w:afterLines="0" w:line="276" w:lineRule="auto"/>
    </w:pPr>
    <w:rPr>
      <w:rFonts w:ascii="宋体" w:eastAsia="宋体"/>
    </w:rPr>
  </w:style>
  <w:style w:type="paragraph" w:customStyle="1" w:styleId="224">
    <w:name w:val="标准文件_引言四级无标题"/>
    <w:basedOn w:val="208"/>
    <w:next w:val="61"/>
    <w:qFormat/>
    <w:uiPriority w:val="0"/>
    <w:pPr>
      <w:spacing w:before="0" w:beforeLines="0" w:after="0" w:afterLines="0" w:line="276" w:lineRule="auto"/>
    </w:pPr>
    <w:rPr>
      <w:rFonts w:ascii="宋体" w:eastAsia="宋体"/>
    </w:rPr>
  </w:style>
  <w:style w:type="paragraph" w:customStyle="1" w:styleId="225">
    <w:name w:val="标准文件_引言五级无标题"/>
    <w:basedOn w:val="209"/>
    <w:next w:val="61"/>
    <w:qFormat/>
    <w:uiPriority w:val="0"/>
    <w:pPr>
      <w:spacing w:before="0" w:beforeLines="0" w:after="0" w:afterLines="0" w:line="276" w:lineRule="auto"/>
    </w:pPr>
    <w:rPr>
      <w:rFonts w:ascii="宋体" w:eastAsia="宋体"/>
    </w:rPr>
  </w:style>
  <w:style w:type="paragraph" w:customStyle="1" w:styleId="226">
    <w:name w:val="标准文件_索引标题"/>
    <w:basedOn w:val="68"/>
    <w:next w:val="61"/>
    <w:qFormat/>
    <w:uiPriority w:val="0"/>
    <w:rPr>
      <w:rFonts w:hAnsi="黑体"/>
    </w:rPr>
  </w:style>
  <w:style w:type="paragraph" w:customStyle="1" w:styleId="227">
    <w:name w:val="标准文件_脚注内容"/>
    <w:basedOn w:val="61"/>
    <w:qFormat/>
    <w:uiPriority w:val="0"/>
    <w:pPr>
      <w:ind w:left="400" w:leftChars="200" w:hanging="200" w:hangingChars="200"/>
    </w:pPr>
    <w:rPr>
      <w:sz w:val="15"/>
    </w:rPr>
  </w:style>
  <w:style w:type="paragraph" w:customStyle="1" w:styleId="228">
    <w:name w:val="标准文件_术语条一"/>
    <w:basedOn w:val="167"/>
    <w:next w:val="61"/>
    <w:qFormat/>
    <w:uiPriority w:val="0"/>
    <w:pPr>
      <w:spacing w:line="360" w:lineRule="auto"/>
      <w:ind w:left="852"/>
    </w:pPr>
    <w:rPr>
      <w:rFonts w:ascii="Times New Roman"/>
    </w:rPr>
  </w:style>
  <w:style w:type="paragraph" w:customStyle="1" w:styleId="229">
    <w:name w:val="标准文件_术语条二"/>
    <w:basedOn w:val="170"/>
    <w:next w:val="61"/>
    <w:qFormat/>
    <w:uiPriority w:val="0"/>
  </w:style>
  <w:style w:type="paragraph" w:customStyle="1" w:styleId="230">
    <w:name w:val="标准文件_术语条三"/>
    <w:basedOn w:val="169"/>
    <w:next w:val="61"/>
    <w:qFormat/>
    <w:uiPriority w:val="0"/>
  </w:style>
  <w:style w:type="paragraph" w:customStyle="1" w:styleId="231">
    <w:name w:val="标准文件_术语条四"/>
    <w:basedOn w:val="172"/>
    <w:next w:val="61"/>
    <w:qFormat/>
    <w:uiPriority w:val="0"/>
  </w:style>
  <w:style w:type="paragraph" w:customStyle="1" w:styleId="232">
    <w:name w:val="标准文件_术语条五"/>
    <w:basedOn w:val="168"/>
    <w:next w:val="61"/>
    <w:qFormat/>
    <w:uiPriority w:val="0"/>
  </w:style>
  <w:style w:type="paragraph" w:customStyle="1" w:styleId="233">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4">
    <w:name w:val="发布"/>
    <w:basedOn w:val="30"/>
    <w:uiPriority w:val="0"/>
    <w:rPr>
      <w:rFonts w:ascii="黑体" w:eastAsia="黑体"/>
      <w:spacing w:val="85"/>
      <w:w w:val="100"/>
      <w:position w:val="3"/>
      <w:sz w:val="28"/>
      <w:szCs w:val="28"/>
    </w:rPr>
  </w:style>
  <w:style w:type="character" w:customStyle="1" w:styleId="235">
    <w:name w:val="批注文字 字符"/>
    <w:basedOn w:val="30"/>
    <w:link w:val="12"/>
    <w:uiPriority w:val="99"/>
    <w:rPr>
      <w:rFonts w:ascii="Times New Roman" w:hAnsi="Times New Roman" w:cstheme="minorBidi"/>
      <w:kern w:val="2"/>
      <w:sz w:val="24"/>
      <w:szCs w:val="22"/>
    </w:rPr>
  </w:style>
  <w:style w:type="character" w:customStyle="1" w:styleId="236">
    <w:name w:val="明显强调1"/>
    <w:basedOn w:val="30"/>
    <w:qFormat/>
    <w:uiPriority w:val="21"/>
    <w:rPr>
      <w:i/>
      <w:iCs/>
      <w:color w:val="4472C4" w:themeColor="accent1"/>
      <w14:textFill>
        <w14:solidFill>
          <w14:schemeClr w14:val="accent1"/>
        </w14:solidFill>
      </w14:textFill>
    </w:rPr>
  </w:style>
  <w:style w:type="paragraph" w:customStyle="1" w:styleId="237">
    <w:name w:val="修订1"/>
    <w:hidden/>
    <w:semiHidden/>
    <w:uiPriority w:val="99"/>
    <w:rPr>
      <w:rFonts w:ascii="Calibri" w:hAnsi="Calibri" w:eastAsia="宋体" w:cs="Times New Roman"/>
      <w:kern w:val="2"/>
      <w:sz w:val="21"/>
      <w:szCs w:val="21"/>
      <w:lang w:val="en-US" w:eastAsia="zh-CN" w:bidi="ar-SA"/>
    </w:rPr>
  </w:style>
  <w:style w:type="character" w:customStyle="1" w:styleId="238">
    <w:name w:val="批注主题 字符"/>
    <w:basedOn w:val="235"/>
    <w:link w:val="11"/>
    <w:semiHidden/>
    <w:uiPriority w:val="99"/>
    <w:rPr>
      <w:rFonts w:ascii="Times New Roman" w:hAnsi="Times New Roman" w:cstheme="minorBidi"/>
      <w:b/>
      <w:bCs/>
      <w:kern w:val="2"/>
      <w:sz w:val="21"/>
      <w:szCs w:val="21"/>
    </w:rPr>
  </w:style>
  <w:style w:type="paragraph" w:customStyle="1" w:styleId="239">
    <w:name w:val="List Paragraph"/>
    <w:basedOn w:val="1"/>
    <w:qFormat/>
    <w:uiPriority w:val="34"/>
    <w:pPr>
      <w:ind w:firstLine="420" w:firstLineChars="200"/>
    </w:pPr>
  </w:style>
  <w:style w:type="paragraph" w:customStyle="1" w:styleId="240">
    <w:name w:val="Revision"/>
    <w:hidden/>
    <w:unhideWhenUsed/>
    <w:uiPriority w:val="99"/>
    <w:rPr>
      <w:rFonts w:ascii="Calibri" w:hAnsi="Calibri" w:eastAsia="宋体" w:cs="Times New Roman"/>
      <w:kern w:val="2"/>
      <w:sz w:val="21"/>
      <w:szCs w:val="21"/>
      <w:lang w:val="en-US" w:eastAsia="zh-CN" w:bidi="ar-SA"/>
    </w:rPr>
  </w:style>
  <w:style w:type="paragraph" w:customStyle="1" w:styleId="241">
    <w:name w:val="Char1 Char Char Char Char Char Char"/>
    <w:basedOn w:val="1"/>
    <w:uiPriority w:val="0"/>
    <w:pPr>
      <w:adjustRightInd/>
      <w:spacing w:line="240" w:lineRule="auto"/>
    </w:pPr>
    <w:rPr>
      <w:rFonts w:ascii="等线" w:hAnsi="等线" w:eastAsia="等线"/>
      <w:szCs w:val="22"/>
    </w:rPr>
  </w:style>
  <w:style w:type="paragraph" w:customStyle="1" w:styleId="242">
    <w:name w:val="1正文"/>
    <w:basedOn w:val="1"/>
    <w:link w:val="243"/>
    <w:qFormat/>
    <w:uiPriority w:val="0"/>
    <w:pPr>
      <w:adjustRightInd/>
      <w:spacing w:line="360" w:lineRule="auto"/>
      <w:ind w:firstLine="200" w:firstLineChars="200"/>
    </w:pPr>
    <w:rPr>
      <w:rFonts w:ascii="仿宋" w:hAnsi="仿宋" w:cs="Arial"/>
      <w:sz w:val="24"/>
      <w:szCs w:val="24"/>
    </w:rPr>
  </w:style>
  <w:style w:type="character" w:customStyle="1" w:styleId="243">
    <w:name w:val="1正文 Char"/>
    <w:link w:val="242"/>
    <w:uiPriority w:val="0"/>
    <w:rPr>
      <w:rFonts w:ascii="仿宋" w:hAnsi="仿宋" w:cs="Arial"/>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glossaryDocument" Target="glossary/document.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4.jpeg"/><Relationship Id="rId38" Type="http://schemas.openxmlformats.org/officeDocument/2006/relationships/image" Target="media/image3.wmf"/><Relationship Id="rId37" Type="http://schemas.openxmlformats.org/officeDocument/2006/relationships/image" Target="media/image2.emf"/><Relationship Id="rId36" Type="http://schemas.openxmlformats.org/officeDocument/2006/relationships/oleObject" Target="embeddings/oleObject1.bin"/><Relationship Id="rId35" Type="http://schemas.openxmlformats.org/officeDocument/2006/relationships/image" Target="media/image1.wmf"/><Relationship Id="rId34" Type="http://schemas.openxmlformats.org/officeDocument/2006/relationships/image" Target="media/image1.tiff"/><Relationship Id="rId33" Type="http://schemas.openxmlformats.org/officeDocument/2006/relationships/theme" Target="theme/theme1.xml"/><Relationship Id="rId32" Type="http://schemas.openxmlformats.org/officeDocument/2006/relationships/footer" Target="footer15.xml"/><Relationship Id="rId31" Type="http://schemas.openxmlformats.org/officeDocument/2006/relationships/footer" Target="footer14.xml"/><Relationship Id="rId30" Type="http://schemas.openxmlformats.org/officeDocument/2006/relationships/header" Target="header15.xml"/><Relationship Id="rId3" Type="http://schemas.openxmlformats.org/officeDocument/2006/relationships/header" Target="header1.xml"/><Relationship Id="rId29" Type="http://schemas.openxmlformats.org/officeDocument/2006/relationships/header" Target="header14.xml"/><Relationship Id="rId28" Type="http://schemas.openxmlformats.org/officeDocument/2006/relationships/footer" Target="footer13.xml"/><Relationship Id="rId27" Type="http://schemas.openxmlformats.org/officeDocument/2006/relationships/footer" Target="footer12.xml"/><Relationship Id="rId26" Type="http://schemas.openxmlformats.org/officeDocument/2006/relationships/header" Target="header13.xml"/><Relationship Id="rId25" Type="http://schemas.openxmlformats.org/officeDocument/2006/relationships/header" Target="header12.xml"/><Relationship Id="rId24" Type="http://schemas.openxmlformats.org/officeDocument/2006/relationships/footer" Target="footer11.xml"/><Relationship Id="rId23" Type="http://schemas.openxmlformats.org/officeDocument/2006/relationships/footer" Target="footer10.xml"/><Relationship Id="rId22" Type="http://schemas.openxmlformats.org/officeDocument/2006/relationships/header" Target="header11.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DD45B264296455B920AADA68E2E92A8"/>
        <w:style w:val=""/>
        <w:category>
          <w:name w:val="常规"/>
          <w:gallery w:val="placeholder"/>
        </w:category>
        <w:types>
          <w:type w:val="bbPlcHdr"/>
        </w:types>
        <w:behaviors>
          <w:behavior w:val="content"/>
        </w:behaviors>
        <w:description w:val=""/>
        <w:guid w:val="{92CAD9D4-2E57-4400-B161-72E703A883B3}"/>
      </w:docPartPr>
      <w:docPartBody>
        <w:p>
          <w:pPr>
            <w:pStyle w:val="5"/>
            <w:rPr>
              <w:rFonts w:hint="eastAsia"/>
            </w:rPr>
          </w:pPr>
          <w:r>
            <w:rPr>
              <w:rStyle w:val="4"/>
              <w:rFonts w:hint="eastAsia"/>
            </w:rPr>
            <w:t>单击或点击此处输入文字。</w:t>
          </w:r>
        </w:p>
      </w:docPartBody>
    </w:docPart>
    <w:docPart>
      <w:docPartPr>
        <w:name w:val="349D2F252A8F4D5FAACD49DBF15E1669"/>
        <w:style w:val=""/>
        <w:category>
          <w:name w:val="常规"/>
          <w:gallery w:val="placeholder"/>
        </w:category>
        <w:types>
          <w:type w:val="bbPlcHdr"/>
        </w:types>
        <w:behaviors>
          <w:behavior w:val="content"/>
        </w:behaviors>
        <w:description w:val=""/>
        <w:guid w:val="{CDBEC289-992A-4690-8A40-45F8201441D2}"/>
      </w:docPartPr>
      <w:docPartBody>
        <w:p>
          <w:pPr>
            <w:pStyle w:val="6"/>
            <w:rPr>
              <w:rFonts w:hint="eastAsia"/>
            </w:rPr>
          </w:pPr>
          <w:r>
            <w:rPr>
              <w:rStyle w:val="4"/>
              <w:rFonts w:hint="eastAsia"/>
            </w:rPr>
            <w:t>选择一项。</w:t>
          </w:r>
        </w:p>
      </w:docPartBody>
    </w:docPart>
    <w:docPart>
      <w:docPartPr>
        <w:name w:val="883A0C0D3CA445EE942BB8F0DA7B2E54"/>
        <w:style w:val=""/>
        <w:category>
          <w:name w:val="常规"/>
          <w:gallery w:val="placeholder"/>
        </w:category>
        <w:types>
          <w:type w:val="bbPlcHdr"/>
        </w:types>
        <w:behaviors>
          <w:behavior w:val="content"/>
        </w:behaviors>
        <w:description w:val=""/>
        <w:guid w:val="{167517DA-212C-4308-8866-1D449C5A396B}"/>
      </w:docPartPr>
      <w:docPartBody>
        <w:p>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DokChampa">
    <w:panose1 w:val="020B0604020202020204"/>
    <w:charset w:val="00"/>
    <w:family w:val="swiss"/>
    <w:pitch w:val="default"/>
    <w:sig w:usb0="03000003" w:usb1="00000000" w:usb2="00000000" w:usb3="00000000" w:csb0="40010001" w:csb1="00000000"/>
  </w:font>
  <w:font w:name="仿宋">
    <w:panose1 w:val="02010609060101010101"/>
    <w:charset w:val="86"/>
    <w:family w:val="modern"/>
    <w:pitch w:val="default"/>
    <w:sig w:usb0="800002BF" w:usb1="38CF7CFA" w:usb2="00000016" w:usb3="00000000" w:csb0="00040001"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442"/>
    <w:rsid w:val="00007D20"/>
    <w:rsid w:val="0002776D"/>
    <w:rsid w:val="000304CF"/>
    <w:rsid w:val="00041525"/>
    <w:rsid w:val="0004240F"/>
    <w:rsid w:val="000452FA"/>
    <w:rsid w:val="00080772"/>
    <w:rsid w:val="00083A35"/>
    <w:rsid w:val="00086B7C"/>
    <w:rsid w:val="000C3770"/>
    <w:rsid w:val="000C43E7"/>
    <w:rsid w:val="000D1DF0"/>
    <w:rsid w:val="000D781C"/>
    <w:rsid w:val="00111E71"/>
    <w:rsid w:val="00121491"/>
    <w:rsid w:val="00145372"/>
    <w:rsid w:val="00160D47"/>
    <w:rsid w:val="00161AD4"/>
    <w:rsid w:val="00173DB2"/>
    <w:rsid w:val="00192A3E"/>
    <w:rsid w:val="001A0517"/>
    <w:rsid w:val="001C1917"/>
    <w:rsid w:val="001C68EC"/>
    <w:rsid w:val="001C6984"/>
    <w:rsid w:val="001E7BF2"/>
    <w:rsid w:val="001F2325"/>
    <w:rsid w:val="001F3030"/>
    <w:rsid w:val="00227037"/>
    <w:rsid w:val="002317D8"/>
    <w:rsid w:val="00234D78"/>
    <w:rsid w:val="00235698"/>
    <w:rsid w:val="00262F8E"/>
    <w:rsid w:val="002652F0"/>
    <w:rsid w:val="002B1BAA"/>
    <w:rsid w:val="002B62A4"/>
    <w:rsid w:val="002C2253"/>
    <w:rsid w:val="002F0DE9"/>
    <w:rsid w:val="002F58B6"/>
    <w:rsid w:val="003118CA"/>
    <w:rsid w:val="00313580"/>
    <w:rsid w:val="003218A6"/>
    <w:rsid w:val="00344EC7"/>
    <w:rsid w:val="00347779"/>
    <w:rsid w:val="0039573E"/>
    <w:rsid w:val="003A3A27"/>
    <w:rsid w:val="003E0CCF"/>
    <w:rsid w:val="00400F72"/>
    <w:rsid w:val="00427947"/>
    <w:rsid w:val="0043380E"/>
    <w:rsid w:val="004368D8"/>
    <w:rsid w:val="00441A54"/>
    <w:rsid w:val="0045510D"/>
    <w:rsid w:val="00461875"/>
    <w:rsid w:val="00476504"/>
    <w:rsid w:val="004845D5"/>
    <w:rsid w:val="00491F22"/>
    <w:rsid w:val="00495344"/>
    <w:rsid w:val="004A0439"/>
    <w:rsid w:val="004A2921"/>
    <w:rsid w:val="004B4B3A"/>
    <w:rsid w:val="004B68AA"/>
    <w:rsid w:val="004B7104"/>
    <w:rsid w:val="004E4819"/>
    <w:rsid w:val="005046C7"/>
    <w:rsid w:val="00513FB7"/>
    <w:rsid w:val="00514008"/>
    <w:rsid w:val="005146A8"/>
    <w:rsid w:val="00514E46"/>
    <w:rsid w:val="00517941"/>
    <w:rsid w:val="005733B6"/>
    <w:rsid w:val="005770C7"/>
    <w:rsid w:val="0058228D"/>
    <w:rsid w:val="00586D0B"/>
    <w:rsid w:val="00593926"/>
    <w:rsid w:val="005C11F5"/>
    <w:rsid w:val="005C28C2"/>
    <w:rsid w:val="005D0278"/>
    <w:rsid w:val="005E7044"/>
    <w:rsid w:val="005F7096"/>
    <w:rsid w:val="00610D18"/>
    <w:rsid w:val="00615C56"/>
    <w:rsid w:val="00682632"/>
    <w:rsid w:val="0068334B"/>
    <w:rsid w:val="0069126A"/>
    <w:rsid w:val="006A79EF"/>
    <w:rsid w:val="006B4AD0"/>
    <w:rsid w:val="006B786E"/>
    <w:rsid w:val="006C0506"/>
    <w:rsid w:val="006C26C6"/>
    <w:rsid w:val="006D731E"/>
    <w:rsid w:val="006D7A93"/>
    <w:rsid w:val="006F1A02"/>
    <w:rsid w:val="0070305A"/>
    <w:rsid w:val="007069BE"/>
    <w:rsid w:val="00711E2D"/>
    <w:rsid w:val="00715E8F"/>
    <w:rsid w:val="007225A8"/>
    <w:rsid w:val="00745427"/>
    <w:rsid w:val="00760E65"/>
    <w:rsid w:val="00765442"/>
    <w:rsid w:val="007730F6"/>
    <w:rsid w:val="00782F37"/>
    <w:rsid w:val="00787E69"/>
    <w:rsid w:val="0079714A"/>
    <w:rsid w:val="007A03C5"/>
    <w:rsid w:val="007A2EA5"/>
    <w:rsid w:val="007A2F27"/>
    <w:rsid w:val="007B2D24"/>
    <w:rsid w:val="007D2D43"/>
    <w:rsid w:val="007D5E6A"/>
    <w:rsid w:val="007F218A"/>
    <w:rsid w:val="00834F04"/>
    <w:rsid w:val="00837A39"/>
    <w:rsid w:val="008717A6"/>
    <w:rsid w:val="00871ACB"/>
    <w:rsid w:val="00873F21"/>
    <w:rsid w:val="00875DA3"/>
    <w:rsid w:val="00882368"/>
    <w:rsid w:val="00892E47"/>
    <w:rsid w:val="008A7C42"/>
    <w:rsid w:val="008B7A7C"/>
    <w:rsid w:val="008E339E"/>
    <w:rsid w:val="00914A97"/>
    <w:rsid w:val="00917CAA"/>
    <w:rsid w:val="00921D66"/>
    <w:rsid w:val="00933A39"/>
    <w:rsid w:val="00944728"/>
    <w:rsid w:val="00956DA8"/>
    <w:rsid w:val="00961590"/>
    <w:rsid w:val="009A0646"/>
    <w:rsid w:val="009C2CF9"/>
    <w:rsid w:val="009C342A"/>
    <w:rsid w:val="009C432F"/>
    <w:rsid w:val="009C5108"/>
    <w:rsid w:val="009E3549"/>
    <w:rsid w:val="009E5EAD"/>
    <w:rsid w:val="009F5DF5"/>
    <w:rsid w:val="00A12F8F"/>
    <w:rsid w:val="00A14EF1"/>
    <w:rsid w:val="00A21C06"/>
    <w:rsid w:val="00A36A2F"/>
    <w:rsid w:val="00A40A1E"/>
    <w:rsid w:val="00A55F21"/>
    <w:rsid w:val="00A6457B"/>
    <w:rsid w:val="00A74D73"/>
    <w:rsid w:val="00A76DBE"/>
    <w:rsid w:val="00AA0519"/>
    <w:rsid w:val="00AA09D1"/>
    <w:rsid w:val="00AA3773"/>
    <w:rsid w:val="00AA72CD"/>
    <w:rsid w:val="00AB6438"/>
    <w:rsid w:val="00AC0524"/>
    <w:rsid w:val="00AD3DC5"/>
    <w:rsid w:val="00B06C96"/>
    <w:rsid w:val="00B070EF"/>
    <w:rsid w:val="00B12E66"/>
    <w:rsid w:val="00B22B04"/>
    <w:rsid w:val="00B27AFB"/>
    <w:rsid w:val="00B5565C"/>
    <w:rsid w:val="00B60A97"/>
    <w:rsid w:val="00B90322"/>
    <w:rsid w:val="00B93B53"/>
    <w:rsid w:val="00B96FE9"/>
    <w:rsid w:val="00BB32B1"/>
    <w:rsid w:val="00BB784E"/>
    <w:rsid w:val="00BC7688"/>
    <w:rsid w:val="00BD09ED"/>
    <w:rsid w:val="00BD37A0"/>
    <w:rsid w:val="00BD4658"/>
    <w:rsid w:val="00BE1A40"/>
    <w:rsid w:val="00BE7EAC"/>
    <w:rsid w:val="00C11E68"/>
    <w:rsid w:val="00C1510E"/>
    <w:rsid w:val="00C362C0"/>
    <w:rsid w:val="00C3663C"/>
    <w:rsid w:val="00C60705"/>
    <w:rsid w:val="00C63B48"/>
    <w:rsid w:val="00C71042"/>
    <w:rsid w:val="00C97CFE"/>
    <w:rsid w:val="00D15F33"/>
    <w:rsid w:val="00D36BA1"/>
    <w:rsid w:val="00D4209D"/>
    <w:rsid w:val="00D5338B"/>
    <w:rsid w:val="00D92B34"/>
    <w:rsid w:val="00DA48E5"/>
    <w:rsid w:val="00DB1975"/>
    <w:rsid w:val="00DB2F3B"/>
    <w:rsid w:val="00DC43CA"/>
    <w:rsid w:val="00DC7753"/>
    <w:rsid w:val="00DD1575"/>
    <w:rsid w:val="00DF1414"/>
    <w:rsid w:val="00E02AEF"/>
    <w:rsid w:val="00E106F5"/>
    <w:rsid w:val="00E1263E"/>
    <w:rsid w:val="00E3607E"/>
    <w:rsid w:val="00E36D48"/>
    <w:rsid w:val="00E434BE"/>
    <w:rsid w:val="00E47FAA"/>
    <w:rsid w:val="00E95EDE"/>
    <w:rsid w:val="00EA2074"/>
    <w:rsid w:val="00EA469D"/>
    <w:rsid w:val="00ED59FE"/>
    <w:rsid w:val="00ED5CFC"/>
    <w:rsid w:val="00EE0FAF"/>
    <w:rsid w:val="00EF2C38"/>
    <w:rsid w:val="00EF6BBB"/>
    <w:rsid w:val="00F0497E"/>
    <w:rsid w:val="00F10DAE"/>
    <w:rsid w:val="00F140FB"/>
    <w:rsid w:val="00F20620"/>
    <w:rsid w:val="00F3017D"/>
    <w:rsid w:val="00F36E51"/>
    <w:rsid w:val="00F36F99"/>
    <w:rsid w:val="00F40252"/>
    <w:rsid w:val="00F74CF1"/>
    <w:rsid w:val="00F87B5C"/>
    <w:rsid w:val="00F95305"/>
    <w:rsid w:val="00F96328"/>
    <w:rsid w:val="00FB5CEE"/>
    <w:rsid w:val="00FB5F00"/>
    <w:rsid w:val="00FD219A"/>
    <w:rsid w:val="00FE0A06"/>
    <w:rsid w:val="00FE6268"/>
    <w:rsid w:val="00FF4E3F"/>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character" w:customStyle="1" w:styleId="4">
    <w:name w:val="Placeholder Text"/>
    <w:basedOn w:val="2"/>
    <w:semiHidden/>
    <w:uiPriority w:val="99"/>
    <w:rPr>
      <w:color w:val="808080"/>
    </w:rPr>
  </w:style>
  <w:style w:type="paragraph" w:customStyle="1" w:styleId="5">
    <w:name w:val="1DD45B264296455B920AADA68E2E92A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349D2F252A8F4D5FAACD49DBF15E1669"/>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883A0C0D3CA445EE942BB8F0DA7B2E54"/>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24BCA2-CD29-431B-A93A-E7CABF68ED2F}">
  <ds:schemaRefs/>
</ds:datastoreItem>
</file>

<file path=docProps/app.xml><?xml version="1.0" encoding="utf-8"?>
<Properties xmlns="http://schemas.openxmlformats.org/officeDocument/2006/extended-properties" xmlns:vt="http://schemas.openxmlformats.org/officeDocument/2006/docPropsVTypes">
  <Template>团体标准</Template>
  <Company>PCMI</Company>
  <Pages>1</Pages>
  <Words>1262</Words>
  <Characters>7197</Characters>
  <Lines>59</Lines>
  <Paragraphs>16</Paragraphs>
  <TotalTime>3010</TotalTime>
  <ScaleCrop>false</ScaleCrop>
  <LinksUpToDate>false</LinksUpToDate>
  <CharactersWithSpaces>8443</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2024-01-12T07:15:00Z</dcterms:created>
  <dc:creator>jin'mao</dc:creator>
  <dc:description>&lt;config cover="true" show_menu="true" version="1.0.0" doctype="SDKXY"&gt;_x000d_
&lt;/config&gt;</dc:description>
  <cp:lastModifiedBy>admin</cp:lastModifiedBy>
  <cp:lastPrinted>2026-09-04T07:29:00Z</cp:lastPrinted>
  <dcterms:modified xsi:type="dcterms:W3CDTF">2026-09-18T00:29:47Z</dcterms:modified>
  <dc:title>团体标准</dc:title>
  <cp:revision>206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2052-10.8.0.6423</vt:lpwstr>
  </property>
  <property fmtid="{D5CDD505-2E9C-101B-9397-08002B2CF9AE}" pid="16" name="ICV">
    <vt:lpwstr>861DCDB3B6164D13B22CE1F82B37EA55_12</vt:lpwstr>
  </property>
</Properties>
</file>