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6"/>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c>
          <w:tcPr>
            <w:tcW w:w="509" w:type="dxa"/>
          </w:tcPr>
          <w:p>
            <w:pPr>
              <w:pStyle w:val="21"/>
              <w:framePr w:wrap="notBeside" w:vAnchor="page" w:hAnchor="page" w:x="1372" w:y="568"/>
              <w:tabs>
                <w:tab w:val="clear" w:pos="4153"/>
                <w:tab w:val="clear" w:pos="8306"/>
              </w:tabs>
              <w:spacing w:line="240" w:lineRule="auto"/>
              <w:jc w:val="left"/>
              <w:rPr>
                <w:rFonts w:ascii="黑体" w:hAnsi="黑体" w:eastAsia="黑体"/>
                <w:color w:val="auto"/>
                <w:sz w:val="21"/>
                <w:szCs w:val="21"/>
              </w:rPr>
            </w:pPr>
            <w:r>
              <w:rPr>
                <w:rFonts w:ascii="黑体" w:hAnsi="黑体" w:eastAsia="黑体"/>
                <w:color w:val="auto"/>
                <w:sz w:val="21"/>
                <w:szCs w:val="21"/>
              </w:rPr>
              <w:t xml:space="preserve">ICS  </w:t>
            </w:r>
          </w:p>
        </w:tc>
        <w:tc>
          <w:tcPr>
            <w:tcW w:w="8855" w:type="dxa"/>
          </w:tcPr>
          <w:p>
            <w:pPr>
              <w:pStyle w:val="21"/>
              <w:framePr w:wrap="notBeside" w:vAnchor="page" w:hAnchor="page" w:x="1372" w:y="568"/>
              <w:tabs>
                <w:tab w:val="clear" w:pos="4153"/>
                <w:tab w:val="clear" w:pos="8306"/>
              </w:tabs>
              <w:spacing w:line="240" w:lineRule="auto"/>
              <w:jc w:val="both"/>
              <w:rPr>
                <w:rFonts w:hint="default" w:ascii="黑体" w:hAnsi="黑体" w:eastAsia="黑体"/>
                <w:color w:val="auto"/>
                <w:sz w:val="21"/>
                <w:szCs w:val="21"/>
                <w:lang w:val="en-US" w:eastAsia="zh-CN"/>
              </w:rPr>
            </w:pPr>
            <w:r>
              <w:rPr>
                <w:rFonts w:hint="eastAsia" w:ascii="黑体" w:hAnsi="黑体" w:eastAsia="黑体"/>
                <w:color w:val="auto"/>
                <w:sz w:val="21"/>
                <w:szCs w:val="21"/>
                <w:lang w:val="en-US" w:eastAsia="zh-CN"/>
              </w:rPr>
              <w:t>65.020.20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509" w:type="dxa"/>
          </w:tcPr>
          <w:p>
            <w:pPr>
              <w:pStyle w:val="21"/>
              <w:framePr w:wrap="notBeside" w:vAnchor="page" w:hAnchor="page" w:x="1372" w:y="568"/>
              <w:tabs>
                <w:tab w:val="clear" w:pos="4153"/>
                <w:tab w:val="clear" w:pos="8306"/>
              </w:tabs>
              <w:spacing w:before="40" w:line="240" w:lineRule="auto"/>
              <w:jc w:val="left"/>
              <w:rPr>
                <w:rFonts w:ascii="黑体" w:hAnsi="黑体" w:eastAsia="黑体"/>
                <w:color w:val="auto"/>
                <w:sz w:val="21"/>
                <w:szCs w:val="21"/>
              </w:rPr>
            </w:pPr>
            <w:r>
              <w:rPr>
                <w:rFonts w:ascii="黑体" w:hAnsi="黑体" w:eastAsia="黑体"/>
                <w:color w:val="auto"/>
                <w:sz w:val="21"/>
                <w:szCs w:val="21"/>
              </w:rPr>
              <w:t xml:space="preserve">CCS  </w:t>
            </w:r>
          </w:p>
        </w:tc>
        <w:tc>
          <w:tcPr>
            <w:tcW w:w="8855" w:type="dxa"/>
          </w:tcPr>
          <w:p>
            <w:pPr>
              <w:pStyle w:val="21"/>
              <w:framePr w:wrap="notBeside" w:vAnchor="page" w:hAnchor="page" w:x="1372" w:y="568"/>
              <w:tabs>
                <w:tab w:val="clear" w:pos="4153"/>
                <w:tab w:val="clear" w:pos="8306"/>
              </w:tabs>
              <w:spacing w:before="40" w:line="240" w:lineRule="auto"/>
              <w:jc w:val="left"/>
              <w:rPr>
                <w:rFonts w:hint="default" w:ascii="黑体" w:hAnsi="黑体" w:eastAsia="黑体"/>
                <w:color w:val="auto"/>
                <w:sz w:val="21"/>
                <w:szCs w:val="21"/>
                <w:lang w:val="en-US" w:eastAsia="zh-CN"/>
              </w:rPr>
            </w:pPr>
            <w:r>
              <w:rPr>
                <w:rFonts w:hint="eastAsia" w:ascii="黑体" w:hAnsi="黑体" w:eastAsia="黑体"/>
                <w:color w:val="auto"/>
                <w:sz w:val="21"/>
                <w:szCs w:val="21"/>
                <w:lang w:val="en-US" w:eastAsia="zh-CN"/>
              </w:rPr>
              <w:t>B13</w:t>
            </w:r>
          </w:p>
        </w:tc>
      </w:tr>
    </w:tbl>
    <w:tbl>
      <w:tblPr>
        <w:tblStyle w:val="36"/>
        <w:tblpPr w:leftFromText="180" w:rightFromText="180" w:vertAnchor="text" w:horzAnchor="margin" w:tblpX="2683" w:tblpY="578"/>
        <w:tblW w:w="6407"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PrEx>
        <w:tc>
          <w:tcPr>
            <w:tcW w:w="6407" w:type="dxa"/>
          </w:tcPr>
          <w:p>
            <w:pPr>
              <w:pStyle w:val="52"/>
              <w:framePr w:w="0" w:hRule="auto" w:wrap="auto" w:vAnchor="margin" w:hAnchor="text" w:xAlign="left" w:yAlign="inline"/>
              <w:rPr>
                <w:rFonts w:hint="default" w:ascii="宋体" w:hAnsi="宋体" w:eastAsia="宋体"/>
                <w:color w:val="auto"/>
                <w:sz w:val="28"/>
                <w:szCs w:val="28"/>
                <w:lang w:val="en-US" w:eastAsia="zh-CN"/>
              </w:rPr>
            </w:pPr>
            <w:bookmarkStart w:id="0" w:name="_Hlk26473981"/>
            <w:r>
              <w:rPr>
                <w:rFonts w:hint="eastAsia"/>
                <w:color w:val="auto"/>
              </w:rPr>
              <w:t>DB</w:t>
            </w:r>
            <w:r>
              <w:rPr>
                <w:rFonts w:hint="eastAsia"/>
                <w:color w:val="auto"/>
                <w:lang w:val="en-US" w:eastAsia="zh-CN"/>
              </w:rPr>
              <w:t>**</w:t>
            </w:r>
          </w:p>
        </w:tc>
      </w:tr>
    </w:tbl>
    <w:p>
      <w:pPr>
        <w:pStyle w:val="53"/>
        <w:framePr w:w="9639" w:h="624" w:hRule="exact" w:hSpace="181" w:vSpace="181" w:hAnchor="page" w:x="1305" w:y="2269"/>
        <w:rPr>
          <w:rFonts w:ascii="黑体" w:hAnsi="黑体" w:eastAsia="黑体"/>
          <w:b w:val="0"/>
          <w:bCs w:val="0"/>
          <w:color w:val="auto"/>
          <w:w w:val="100"/>
          <w:sz w:val="48"/>
          <w:szCs w:val="48"/>
        </w:rPr>
      </w:pPr>
      <w:r>
        <w:rPr>
          <w:rFonts w:ascii="黑体" w:eastAsia="黑体"/>
          <w:b w:val="0"/>
          <w:color w:val="auto"/>
          <w:w w:val="100"/>
          <w:sz w:val="48"/>
        </w:rPr>
        <w:fldChar w:fldCharType="begin">
          <w:ffData>
            <w:name w:val="c2"/>
            <w:enabled/>
            <w:calcOnExit w:val="0"/>
            <w:textInput/>
          </w:ffData>
        </w:fldChar>
      </w:r>
      <w:bookmarkStart w:id="1" w:name="c2"/>
      <w:r>
        <w:rPr>
          <w:rFonts w:ascii="黑体" w:eastAsia="黑体"/>
          <w:b w:val="0"/>
          <w:color w:val="auto"/>
          <w:w w:val="100"/>
          <w:sz w:val="48"/>
        </w:rPr>
        <w:instrText xml:space="preserve"> FORMTEXT </w:instrText>
      </w:r>
      <w:r>
        <w:rPr>
          <w:rFonts w:ascii="黑体" w:eastAsia="黑体"/>
          <w:b w:val="0"/>
          <w:color w:val="auto"/>
          <w:w w:val="100"/>
          <w:sz w:val="48"/>
        </w:rPr>
        <w:fldChar w:fldCharType="separate"/>
      </w:r>
      <w:r>
        <w:rPr>
          <w:rFonts w:ascii="黑体" w:eastAsia="黑体"/>
          <w:b w:val="0"/>
          <w:color w:val="auto"/>
          <w:w w:val="100"/>
          <w:sz w:val="48"/>
        </w:rPr>
        <w:t>湖</w:t>
      </w:r>
      <w:r>
        <w:rPr>
          <w:rFonts w:hint="eastAsia" w:ascii="黑体" w:eastAsia="黑体"/>
          <w:b w:val="0"/>
          <w:color w:val="auto"/>
          <w:w w:val="100"/>
          <w:sz w:val="48"/>
          <w:lang w:val="en-US" w:eastAsia="zh-CN"/>
        </w:rPr>
        <w:t>南</w:t>
      </w:r>
      <w:r>
        <w:rPr>
          <w:rFonts w:ascii="黑体" w:eastAsia="黑体"/>
          <w:b w:val="0"/>
          <w:color w:val="auto"/>
          <w:w w:val="100"/>
          <w:sz w:val="48"/>
        </w:rPr>
        <w:t>省</w:t>
      </w:r>
      <w:r>
        <w:rPr>
          <w:rFonts w:ascii="黑体" w:eastAsia="黑体"/>
          <w:b w:val="0"/>
          <w:color w:val="auto"/>
          <w:w w:val="100"/>
          <w:sz w:val="48"/>
        </w:rPr>
        <w:fldChar w:fldCharType="end"/>
      </w:r>
      <w:bookmarkEnd w:id="1"/>
      <w:r>
        <w:rPr>
          <w:rFonts w:hint="eastAsia" w:ascii="黑体" w:hAnsi="黑体" w:eastAsia="黑体"/>
          <w:b w:val="0"/>
          <w:bCs w:val="0"/>
          <w:color w:val="auto"/>
          <w:w w:val="100"/>
          <w:sz w:val="48"/>
          <w:szCs w:val="48"/>
        </w:rPr>
        <w:t>地方标准</w:t>
      </w:r>
    </w:p>
    <w:bookmarkEnd w:id="0"/>
    <w:p>
      <w:pPr>
        <w:pStyle w:val="198"/>
        <w:rPr>
          <w:color w:val="auto"/>
          <w:lang w:val="fr-FR"/>
        </w:rPr>
      </w:pPr>
      <w:r>
        <w:rPr>
          <w:color w:val="auto"/>
          <w:lang w:val="fr-FR"/>
        </w:rPr>
        <w:t>DB</w:t>
      </w:r>
      <w:r>
        <w:rPr>
          <w:color w:val="auto"/>
        </w:rPr>
        <w:fldChar w:fldCharType="begin">
          <w:ffData>
            <w:name w:val="文字1"/>
            <w:enabled/>
            <w:calcOnExit w:val="0"/>
            <w:textInput>
              <w:default w:val="XX/T"/>
            </w:textInput>
          </w:ffData>
        </w:fldChar>
      </w:r>
      <w:bookmarkStart w:id="2" w:name="文字1"/>
      <w:r>
        <w:rPr>
          <w:color w:val="auto"/>
          <w:lang w:val="fr-FR"/>
        </w:rPr>
        <w:instrText xml:space="preserve"> FORMTEXT </w:instrText>
      </w:r>
      <w:r>
        <w:rPr>
          <w:color w:val="auto"/>
        </w:rPr>
        <w:fldChar w:fldCharType="separate"/>
      </w:r>
      <w:r>
        <w:rPr>
          <w:rFonts w:hint="eastAsia"/>
          <w:color w:val="auto"/>
          <w:lang w:val="en-US" w:eastAsia="zh-CN"/>
        </w:rPr>
        <w:t>**</w:t>
      </w:r>
      <w:r>
        <w:rPr>
          <w:color w:val="auto"/>
          <w:lang w:val="fr-FR"/>
        </w:rPr>
        <w:t>/T</w:t>
      </w:r>
      <w:r>
        <w:rPr>
          <w:color w:val="auto"/>
        </w:rPr>
        <w:fldChar w:fldCharType="end"/>
      </w:r>
      <w:bookmarkEnd w:id="2"/>
      <w:r>
        <w:rPr>
          <w:color w:val="auto"/>
          <w:lang w:val="fr-FR"/>
        </w:rPr>
        <w:t xml:space="preserve"> </w:t>
      </w:r>
      <w:r>
        <w:rPr>
          <w:color w:val="auto"/>
        </w:rPr>
        <w:fldChar w:fldCharType="begin">
          <w:ffData>
            <w:name w:val="NSTD_CODE_F"/>
            <w:enabled/>
            <w:calcOnExit w:val="0"/>
            <w:textInput>
              <w:default w:val="XXXX"/>
            </w:textInput>
          </w:ffData>
        </w:fldChar>
      </w:r>
      <w:bookmarkStart w:id="3" w:name="NSTD_CODE_F"/>
      <w:r>
        <w:rPr>
          <w:color w:val="auto"/>
          <w:lang w:val="fr-FR"/>
        </w:rPr>
        <w:instrText xml:space="preserve"> FORMTEXT </w:instrText>
      </w:r>
      <w:r>
        <w:rPr>
          <w:color w:val="auto"/>
        </w:rPr>
        <w:fldChar w:fldCharType="separate"/>
      </w:r>
      <w:r>
        <w:rPr>
          <w:color w:val="auto"/>
        </w:rPr>
        <w:t>XXXX</w:t>
      </w:r>
      <w:r>
        <w:rPr>
          <w:color w:val="auto"/>
        </w:rPr>
        <w:fldChar w:fldCharType="end"/>
      </w:r>
      <w:bookmarkEnd w:id="3"/>
      <w:r>
        <w:rPr>
          <w:rFonts w:hAnsi="黑体"/>
          <w:color w:val="auto"/>
          <w:lang w:val="fr-FR"/>
        </w:rPr>
        <w:t>—</w:t>
      </w:r>
      <w:r>
        <w:rPr>
          <w:color w:val="auto"/>
        </w:rPr>
        <w:fldChar w:fldCharType="begin">
          <w:ffData>
            <w:name w:val="NSTD_CODE_B"/>
            <w:enabled/>
            <w:calcOnExit w:val="0"/>
            <w:textInput>
              <w:default w:val="XXXX"/>
            </w:textInput>
          </w:ffData>
        </w:fldChar>
      </w:r>
      <w:bookmarkStart w:id="4" w:name="NSTD_CODE_B"/>
      <w:r>
        <w:rPr>
          <w:color w:val="auto"/>
          <w:lang w:val="fr-FR"/>
        </w:rPr>
        <w:instrText xml:space="preserve"> FORMTEXT </w:instrText>
      </w:r>
      <w:r>
        <w:rPr>
          <w:color w:val="auto"/>
        </w:rPr>
        <w:fldChar w:fldCharType="separate"/>
      </w:r>
      <w:r>
        <w:rPr>
          <w:rFonts w:hint="eastAsia"/>
          <w:color w:val="auto"/>
        </w:rPr>
        <w:t>202</w:t>
      </w:r>
      <w:r>
        <w:rPr>
          <w:rFonts w:hint="eastAsia"/>
          <w:color w:val="auto"/>
          <w:lang w:val="en-US" w:eastAsia="zh-CN"/>
        </w:rPr>
        <w:t>6</w:t>
      </w:r>
      <w:r>
        <w:rPr>
          <w:color w:val="auto"/>
        </w:rPr>
        <w:fldChar w:fldCharType="end"/>
      </w:r>
      <w:bookmarkEnd w:id="4"/>
    </w:p>
    <w:p>
      <w:pPr>
        <w:pStyle w:val="199"/>
        <w:rPr>
          <w:rFonts w:hAnsi="黑体"/>
          <w:color w:val="auto"/>
        </w:rPr>
      </w:pPr>
      <w:r>
        <w:rPr>
          <w:rFonts w:hAnsi="黑体"/>
          <w:color w:val="auto"/>
        </w:rPr>
        <w:fldChar w:fldCharType="begin">
          <w:ffData>
            <w:name w:val="OSTD_CODE"/>
            <w:enabled/>
            <w:calcOnExit w:val="0"/>
            <w:textInput/>
          </w:ffData>
        </w:fldChar>
      </w:r>
      <w:bookmarkStart w:id="5" w:name="OSTD_CODE"/>
      <w:r>
        <w:rPr>
          <w:rFonts w:hAnsi="黑体"/>
          <w:color w:val="auto"/>
        </w:rPr>
        <w:instrText xml:space="preserve"> FORMTEXT </w:instrText>
      </w:r>
      <w:r>
        <w:rPr>
          <w:rFonts w:hAnsi="黑体"/>
          <w:color w:val="auto"/>
        </w:rPr>
        <w:fldChar w:fldCharType="separate"/>
      </w:r>
      <w:r>
        <w:rPr>
          <w:rFonts w:hAnsi="黑体"/>
          <w:color w:val="auto"/>
        </w:rPr>
        <w:t>     </w:t>
      </w:r>
      <w:r>
        <w:rPr>
          <w:rFonts w:hAnsi="黑体"/>
          <w:color w:val="auto"/>
        </w:rPr>
        <w:fldChar w:fldCharType="end"/>
      </w:r>
      <w:bookmarkEnd w:id="5"/>
    </w:p>
    <w:p>
      <w:pPr>
        <w:spacing w:line="240" w:lineRule="auto"/>
        <w:rPr>
          <w:rFonts w:ascii="黑体" w:hAnsi="黑体" w:eastAsia="黑体"/>
          <w:color w:val="auto"/>
          <w:kern w:val="0"/>
          <w:sz w:val="10"/>
          <w:szCs w:val="10"/>
        </w:rPr>
      </w:pPr>
      <w:r>
        <w:rPr>
          <w:rFonts w:ascii="黑体" w:hAnsi="黑体" w:eastAsia="黑体"/>
          <w:color w:val="auto"/>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ng0mW2AAAAAwBAAAPAAAAAAAAAAEAIAAAACIAAABkcnMv&#10;ZG93bnJldi54bWxQSwECFAAUAAAACACHTuJAeCbvfcoBAABeAwAADgAAAAAAAAABACAAAAAnAQAA&#10;ZHJzL2Uyb0RvYy54bWxQSwUGAAAAAAYABgBZAQAAYwUAAAAA&#10;">
                <v:fill on="f" focussize="0,0"/>
                <v:stroke color="#000000" joinstyle="round"/>
                <v:imagedata o:title=""/>
                <o:lock v:ext="edit" aspectratio="f"/>
              </v:line>
            </w:pict>
          </mc:Fallback>
        </mc:AlternateContent>
      </w:r>
    </w:p>
    <w:p>
      <w:pPr>
        <w:pStyle w:val="53"/>
        <w:framePr w:w="9639" w:h="6976" w:hRule="exact" w:hSpace="0" w:vSpace="0" w:hAnchor="page" w:y="6408"/>
        <w:jc w:val="center"/>
        <w:rPr>
          <w:rFonts w:ascii="黑体" w:hAnsi="黑体" w:eastAsia="黑体"/>
          <w:b w:val="0"/>
          <w:bCs w:val="0"/>
          <w:color w:val="auto"/>
          <w:w w:val="100"/>
        </w:rPr>
      </w:pPr>
    </w:p>
    <w:p>
      <w:pPr>
        <w:pStyle w:val="200"/>
        <w:keepNext w:val="0"/>
        <w:keepLines w:val="0"/>
        <w:pageBreakBefore w:val="0"/>
        <w:framePr w:h="6974" w:hRule="exact" w:x="1419" w:anchorLock="1"/>
        <w:kinsoku/>
        <w:wordWrap/>
        <w:overflowPunct/>
        <w:topLinePunct w:val="0"/>
        <w:autoSpaceDE/>
        <w:autoSpaceDN/>
        <w:bidi w:val="0"/>
        <w:adjustRightInd/>
        <w:snapToGrid/>
        <w:spacing w:line="360" w:lineRule="auto"/>
        <w:rPr>
          <w:rFonts w:hint="default" w:ascii="Times New Roman" w:hAnsi="Times New Roman" w:eastAsia="黑体" w:cs="Times New Roman"/>
          <w:color w:val="auto"/>
          <w:lang w:val="en-US" w:eastAsia="zh-CN"/>
        </w:rPr>
      </w:pPr>
      <w:r>
        <w:rPr>
          <w:rFonts w:hint="eastAsia" w:ascii="Times New Roman" w:hAnsi="Times New Roman" w:cs="Times New Roman"/>
          <w:color w:val="auto"/>
          <w:lang w:val="en-US" w:eastAsia="zh-CN"/>
        </w:rPr>
        <w:t>红壤旱地板黏改良技术规程</w:t>
      </w:r>
    </w:p>
    <w:p>
      <w:pPr>
        <w:pStyle w:val="128"/>
        <w:framePr w:w="9639" w:h="6974" w:hRule="exact" w:wrap="around" w:vAnchor="page" w:hAnchor="page" w:x="1419" w:y="6408" w:anchorLock="1"/>
        <w:textAlignment w:val="bottom"/>
        <w:rPr>
          <w:rFonts w:ascii="黑体" w:hAnsi="黑体" w:eastAsia="黑体"/>
          <w:color w:val="auto"/>
          <w:sz w:val="30"/>
          <w:szCs w:val="30"/>
        </w:rPr>
      </w:pPr>
      <w:r>
        <w:rPr>
          <w:rFonts w:hint="default" w:ascii="Times New Roman" w:hAnsi="Times New Roman" w:eastAsia="黑体" w:cs="Times New Roman"/>
          <w:color w:val="auto"/>
          <w:sz w:val="30"/>
          <w:szCs w:val="30"/>
        </w:rPr>
        <w:t xml:space="preserve">Code of </w:t>
      </w:r>
      <w:r>
        <w:rPr>
          <w:rFonts w:hint="eastAsia" w:eastAsia="黑体" w:cs="Times New Roman"/>
          <w:color w:val="auto"/>
          <w:sz w:val="30"/>
          <w:szCs w:val="30"/>
          <w:lang w:val="en-US" w:eastAsia="zh-CN"/>
        </w:rPr>
        <w:t>P</w:t>
      </w:r>
      <w:r>
        <w:rPr>
          <w:rFonts w:hint="default" w:ascii="Times New Roman" w:hAnsi="Times New Roman" w:eastAsia="黑体" w:cs="Times New Roman"/>
          <w:color w:val="auto"/>
          <w:sz w:val="30"/>
          <w:szCs w:val="30"/>
        </w:rPr>
        <w:t xml:space="preserve">ractice for </w:t>
      </w:r>
      <w:r>
        <w:rPr>
          <w:rFonts w:hint="eastAsia" w:eastAsia="黑体" w:cs="Times New Roman"/>
          <w:color w:val="auto"/>
          <w:sz w:val="30"/>
          <w:szCs w:val="30"/>
          <w:lang w:val="en-US" w:eastAsia="zh-CN"/>
        </w:rPr>
        <w:t>A</w:t>
      </w:r>
      <w:r>
        <w:rPr>
          <w:rFonts w:hint="default" w:ascii="Times New Roman" w:hAnsi="Times New Roman" w:eastAsia="黑体" w:cs="Times New Roman"/>
          <w:color w:val="auto"/>
          <w:sz w:val="30"/>
          <w:szCs w:val="30"/>
        </w:rPr>
        <w:t xml:space="preserve">melioration of </w:t>
      </w:r>
      <w:r>
        <w:rPr>
          <w:rFonts w:hint="eastAsia" w:eastAsia="黑体" w:cs="Times New Roman"/>
          <w:color w:val="auto"/>
          <w:sz w:val="30"/>
          <w:szCs w:val="30"/>
          <w:lang w:val="en-US" w:eastAsia="zh-CN"/>
        </w:rPr>
        <w:t>C</w:t>
      </w:r>
      <w:r>
        <w:rPr>
          <w:rFonts w:hint="default" w:ascii="Times New Roman" w:hAnsi="Times New Roman" w:eastAsia="黑体" w:cs="Times New Roman"/>
          <w:color w:val="auto"/>
          <w:sz w:val="30"/>
          <w:szCs w:val="30"/>
        </w:rPr>
        <w:t xml:space="preserve">ompacted and </w:t>
      </w:r>
      <w:r>
        <w:rPr>
          <w:rFonts w:hint="eastAsia" w:eastAsia="黑体" w:cs="Times New Roman"/>
          <w:color w:val="auto"/>
          <w:sz w:val="30"/>
          <w:szCs w:val="30"/>
          <w:lang w:val="en-US" w:eastAsia="zh-CN"/>
        </w:rPr>
        <w:t>S</w:t>
      </w:r>
      <w:r>
        <w:rPr>
          <w:rFonts w:hint="default" w:ascii="Times New Roman" w:hAnsi="Times New Roman" w:eastAsia="黑体" w:cs="Times New Roman"/>
          <w:color w:val="auto"/>
          <w:sz w:val="30"/>
          <w:szCs w:val="30"/>
        </w:rPr>
        <w:t xml:space="preserve">ticky </w:t>
      </w:r>
      <w:r>
        <w:rPr>
          <w:rFonts w:hint="eastAsia" w:eastAsia="黑体" w:cs="Times New Roman"/>
          <w:color w:val="auto"/>
          <w:sz w:val="30"/>
          <w:szCs w:val="30"/>
          <w:lang w:val="en-US" w:eastAsia="zh-CN"/>
        </w:rPr>
        <w:t>R</w:t>
      </w:r>
      <w:r>
        <w:rPr>
          <w:rFonts w:hint="default" w:ascii="Times New Roman" w:hAnsi="Times New Roman" w:eastAsia="黑体" w:cs="Times New Roman"/>
          <w:color w:val="auto"/>
          <w:sz w:val="30"/>
          <w:szCs w:val="30"/>
        </w:rPr>
        <w:t xml:space="preserve">ed </w:t>
      </w:r>
      <w:r>
        <w:rPr>
          <w:rFonts w:hint="eastAsia" w:eastAsia="黑体" w:cs="Times New Roman"/>
          <w:color w:val="auto"/>
          <w:sz w:val="30"/>
          <w:szCs w:val="30"/>
          <w:lang w:val="en-US" w:eastAsia="zh-CN"/>
        </w:rPr>
        <w:t>S</w:t>
      </w:r>
      <w:r>
        <w:rPr>
          <w:rFonts w:hint="default" w:ascii="Times New Roman" w:hAnsi="Times New Roman" w:eastAsia="黑体" w:cs="Times New Roman"/>
          <w:color w:val="auto"/>
          <w:sz w:val="30"/>
          <w:szCs w:val="30"/>
        </w:rPr>
        <w:t xml:space="preserve">oil </w:t>
      </w:r>
      <w:r>
        <w:rPr>
          <w:rFonts w:hint="eastAsia" w:eastAsia="黑体" w:cs="Times New Roman"/>
          <w:color w:val="auto"/>
          <w:sz w:val="30"/>
          <w:szCs w:val="30"/>
          <w:lang w:val="en-US" w:eastAsia="zh-CN"/>
        </w:rPr>
        <w:t>U</w:t>
      </w:r>
      <w:r>
        <w:rPr>
          <w:rFonts w:hint="default" w:ascii="Times New Roman" w:hAnsi="Times New Roman" w:eastAsia="黑体" w:cs="Times New Roman"/>
          <w:color w:val="auto"/>
          <w:sz w:val="30"/>
          <w:szCs w:val="30"/>
        </w:rPr>
        <w:t>plands</w:t>
      </w:r>
    </w:p>
    <w:p>
      <w:pPr>
        <w:framePr w:w="9639" w:h="6974" w:hRule="exact" w:wrap="around" w:vAnchor="page" w:hAnchor="page" w:x="1419" w:y="6408" w:anchorLock="1"/>
        <w:spacing w:line="760" w:lineRule="exact"/>
        <w:ind w:left="-1418"/>
        <w:rPr>
          <w:color w:val="auto"/>
        </w:rPr>
      </w:pPr>
    </w:p>
    <w:p>
      <w:pPr>
        <w:pStyle w:val="128"/>
        <w:framePr w:w="9639" w:h="6974" w:hRule="exact" w:wrap="around" w:vAnchor="page" w:hAnchor="page" w:x="1419" w:y="6408" w:anchorLock="1"/>
        <w:textAlignment w:val="bottom"/>
        <w:rPr>
          <w:rFonts w:eastAsia="黑体"/>
          <w:color w:val="auto"/>
          <w:szCs w:val="28"/>
        </w:rPr>
      </w:pPr>
    </w:p>
    <w:p>
      <w:pPr>
        <w:pStyle w:val="128"/>
        <w:framePr w:w="9639" w:h="6974" w:hRule="exact" w:wrap="around" w:vAnchor="page" w:hAnchor="page" w:x="1419" w:y="6408" w:anchorLock="1"/>
        <w:spacing w:before="440" w:after="160"/>
        <w:textAlignment w:val="bottom"/>
        <w:rPr>
          <w:color w:val="auto"/>
          <w:sz w:val="24"/>
          <w:szCs w:val="28"/>
        </w:rPr>
      </w:pPr>
    </w:p>
    <w:p>
      <w:pPr>
        <w:pStyle w:val="128"/>
        <w:framePr w:w="9639" w:h="6974" w:hRule="exact" w:wrap="around" w:vAnchor="page" w:hAnchor="page" w:x="1419" w:y="6408" w:anchorLock="1"/>
        <w:spacing w:before="180" w:line="240" w:lineRule="atLeast"/>
        <w:textAlignment w:val="bottom"/>
        <w:rPr>
          <w:rFonts w:hint="eastAsia" w:eastAsia="宋体"/>
          <w:color w:val="auto"/>
          <w:sz w:val="21"/>
          <w:szCs w:val="28"/>
          <w:lang w:eastAsia="zh-CN"/>
        </w:rPr>
      </w:pPr>
      <w:r>
        <w:rPr>
          <w:rFonts w:hint="eastAsia"/>
          <w:color w:val="auto"/>
          <w:sz w:val="21"/>
          <w:szCs w:val="28"/>
          <w:lang w:eastAsia="zh-CN"/>
        </w:rPr>
        <w:t>（征求意见稿）</w:t>
      </w:r>
    </w:p>
    <w:p>
      <w:pPr>
        <w:pStyle w:val="196"/>
        <w:framePr w:y="14176"/>
        <w:rPr>
          <w:color w:val="auto"/>
        </w:rPr>
      </w:pPr>
      <w:r>
        <w:rPr>
          <w:rFonts w:ascii="黑体"/>
          <w:color w:val="auto"/>
        </w:rPr>
        <w:fldChar w:fldCharType="begin">
          <w:ffData>
            <w:name w:val="PLSH_DATE_Y"/>
            <w:enabled/>
            <w:calcOnExit w:val="0"/>
            <w:textInput>
              <w:default w:val="XXXX"/>
              <w:maxLength w:val="4"/>
            </w:textInput>
          </w:ffData>
        </w:fldChar>
      </w:r>
      <w:bookmarkStart w:id="6" w:name="PLSH_DATE_Y"/>
      <w:r>
        <w:rPr>
          <w:rFonts w:ascii="黑体"/>
          <w:color w:val="auto"/>
        </w:rPr>
        <w:instrText xml:space="preserve"> FORMTEXT </w:instrText>
      </w:r>
      <w:r>
        <w:rPr>
          <w:rFonts w:ascii="黑体"/>
          <w:color w:val="auto"/>
        </w:rPr>
        <w:fldChar w:fldCharType="separate"/>
      </w:r>
      <w:r>
        <w:rPr>
          <w:rFonts w:ascii="黑体"/>
          <w:color w:val="auto"/>
        </w:rPr>
        <w:t>    </w:t>
      </w:r>
      <w:r>
        <w:rPr>
          <w:rFonts w:ascii="黑体"/>
          <w:color w:val="auto"/>
        </w:rPr>
        <w:fldChar w:fldCharType="end"/>
      </w:r>
      <w:bookmarkEnd w:id="6"/>
      <w:r>
        <w:rPr>
          <w:color w:val="auto"/>
        </w:rPr>
        <w:t xml:space="preserve"> </w:t>
      </w:r>
      <w:r>
        <w:rPr>
          <w:rFonts w:ascii="黑体"/>
          <w:color w:val="auto"/>
        </w:rPr>
        <w:t>-</w:t>
      </w:r>
      <w:r>
        <w:rPr>
          <w:color w:val="auto"/>
        </w:rPr>
        <w:t xml:space="preserve"> </w:t>
      </w:r>
      <w:r>
        <w:rPr>
          <w:rFonts w:ascii="黑体"/>
          <w:color w:val="auto"/>
        </w:rPr>
        <w:fldChar w:fldCharType="begin">
          <w:ffData>
            <w:name w:val="PLSH_DATE_M"/>
            <w:enabled/>
            <w:calcOnExit w:val="0"/>
            <w:textInput>
              <w:default w:val="XX"/>
              <w:maxLength w:val="2"/>
            </w:textInput>
          </w:ffData>
        </w:fldChar>
      </w:r>
      <w:bookmarkStart w:id="7" w:name="PLSH_DATE_M"/>
      <w:r>
        <w:rPr>
          <w:rFonts w:ascii="黑体"/>
          <w:color w:val="auto"/>
        </w:rPr>
        <w:instrText xml:space="preserve"> FORMTEXT </w:instrText>
      </w:r>
      <w:r>
        <w:rPr>
          <w:rFonts w:ascii="黑体"/>
          <w:color w:val="auto"/>
        </w:rPr>
        <w:fldChar w:fldCharType="separate"/>
      </w:r>
      <w:r>
        <w:rPr>
          <w:rFonts w:ascii="黑体"/>
          <w:color w:val="auto"/>
        </w:rPr>
        <w:t>XX</w:t>
      </w:r>
      <w:r>
        <w:rPr>
          <w:rFonts w:ascii="黑体"/>
          <w:color w:val="auto"/>
        </w:rPr>
        <w:fldChar w:fldCharType="end"/>
      </w:r>
      <w:bookmarkEnd w:id="7"/>
      <w:r>
        <w:rPr>
          <w:color w:val="auto"/>
        </w:rPr>
        <w:t xml:space="preserve"> </w:t>
      </w:r>
      <w:r>
        <w:rPr>
          <w:rFonts w:ascii="黑体"/>
          <w:color w:val="auto"/>
        </w:rPr>
        <w:t>-</w:t>
      </w:r>
      <w:r>
        <w:rPr>
          <w:color w:val="auto"/>
        </w:rPr>
        <w:t xml:space="preserve"> </w:t>
      </w:r>
      <w:r>
        <w:rPr>
          <w:rFonts w:ascii="黑体"/>
          <w:color w:val="auto"/>
        </w:rPr>
        <w:fldChar w:fldCharType="begin">
          <w:ffData>
            <w:name w:val="PLSH_DATE_D"/>
            <w:enabled/>
            <w:calcOnExit w:val="0"/>
            <w:textInput>
              <w:default w:val="XX"/>
              <w:maxLength w:val="2"/>
            </w:textInput>
          </w:ffData>
        </w:fldChar>
      </w:r>
      <w:bookmarkStart w:id="8" w:name="PLSH_DATE_D"/>
      <w:r>
        <w:rPr>
          <w:rFonts w:ascii="黑体"/>
          <w:color w:val="auto"/>
        </w:rPr>
        <w:instrText xml:space="preserve"> FORMTEXT </w:instrText>
      </w:r>
      <w:r>
        <w:rPr>
          <w:rFonts w:ascii="黑体"/>
          <w:color w:val="auto"/>
        </w:rPr>
        <w:fldChar w:fldCharType="separate"/>
      </w:r>
      <w:r>
        <w:rPr>
          <w:rFonts w:ascii="黑体"/>
          <w:color w:val="auto"/>
        </w:rPr>
        <w:t>XX</w:t>
      </w:r>
      <w:r>
        <w:rPr>
          <w:rFonts w:ascii="黑体"/>
          <w:color w:val="auto"/>
        </w:rPr>
        <w:fldChar w:fldCharType="end"/>
      </w:r>
      <w:bookmarkEnd w:id="8"/>
      <w:r>
        <w:rPr>
          <w:rFonts w:hint="eastAsia"/>
          <w:color w:val="auto"/>
        </w:rPr>
        <w:t>发布</w:t>
      </w:r>
    </w:p>
    <w:p>
      <w:pPr>
        <w:pStyle w:val="197"/>
        <w:framePr w:y="14176"/>
        <w:rPr>
          <w:color w:val="auto"/>
        </w:rPr>
      </w:pPr>
      <w:r>
        <w:rPr>
          <w:rFonts w:ascii="黑体"/>
          <w:color w:val="auto"/>
        </w:rPr>
        <w:fldChar w:fldCharType="begin">
          <w:ffData>
            <w:name w:val="CROT_DATE_Y"/>
            <w:enabled/>
            <w:calcOnExit w:val="0"/>
            <w:textInput>
              <w:default w:val="XXXX"/>
              <w:maxLength w:val="4"/>
            </w:textInput>
          </w:ffData>
        </w:fldChar>
      </w:r>
      <w:bookmarkStart w:id="9" w:name="CROT_DATE_Y"/>
      <w:r>
        <w:rPr>
          <w:rFonts w:ascii="黑体"/>
          <w:color w:val="auto"/>
        </w:rPr>
        <w:instrText xml:space="preserve"> FORMTEXT </w:instrText>
      </w:r>
      <w:r>
        <w:rPr>
          <w:rFonts w:ascii="黑体"/>
          <w:color w:val="auto"/>
        </w:rPr>
        <w:fldChar w:fldCharType="separate"/>
      </w:r>
      <w:r>
        <w:rPr>
          <w:rFonts w:ascii="黑体"/>
          <w:color w:val="auto"/>
        </w:rPr>
        <w:t>XXXX</w:t>
      </w:r>
      <w:r>
        <w:rPr>
          <w:rFonts w:ascii="黑体"/>
          <w:color w:val="auto"/>
        </w:rPr>
        <w:fldChar w:fldCharType="end"/>
      </w:r>
      <w:bookmarkEnd w:id="9"/>
      <w:r>
        <w:rPr>
          <w:color w:val="auto"/>
        </w:rPr>
        <w:t xml:space="preserve"> </w:t>
      </w:r>
      <w:r>
        <w:rPr>
          <w:rFonts w:ascii="黑体"/>
          <w:color w:val="auto"/>
        </w:rPr>
        <w:t>-</w:t>
      </w:r>
      <w:r>
        <w:rPr>
          <w:color w:val="auto"/>
        </w:rPr>
        <w:t xml:space="preserve"> </w:t>
      </w:r>
      <w:r>
        <w:rPr>
          <w:rFonts w:ascii="黑体"/>
          <w:color w:val="auto"/>
        </w:rPr>
        <w:fldChar w:fldCharType="begin">
          <w:ffData>
            <w:name w:val="CROT_DATE_M"/>
            <w:enabled/>
            <w:calcOnExit w:val="0"/>
            <w:textInput>
              <w:default w:val="XX"/>
              <w:maxLength w:val="2"/>
            </w:textInput>
          </w:ffData>
        </w:fldChar>
      </w:r>
      <w:bookmarkStart w:id="10" w:name="CROT_DATE_M"/>
      <w:r>
        <w:rPr>
          <w:rFonts w:ascii="黑体"/>
          <w:color w:val="auto"/>
        </w:rPr>
        <w:instrText xml:space="preserve"> FORMTEXT </w:instrText>
      </w:r>
      <w:r>
        <w:rPr>
          <w:rFonts w:ascii="黑体"/>
          <w:color w:val="auto"/>
        </w:rPr>
        <w:fldChar w:fldCharType="separate"/>
      </w:r>
      <w:r>
        <w:rPr>
          <w:rFonts w:ascii="黑体"/>
          <w:color w:val="auto"/>
        </w:rPr>
        <w:t>XX</w:t>
      </w:r>
      <w:r>
        <w:rPr>
          <w:rFonts w:ascii="黑体"/>
          <w:color w:val="auto"/>
        </w:rPr>
        <w:fldChar w:fldCharType="end"/>
      </w:r>
      <w:bookmarkEnd w:id="10"/>
      <w:r>
        <w:rPr>
          <w:color w:val="auto"/>
        </w:rPr>
        <w:t xml:space="preserve"> </w:t>
      </w:r>
      <w:r>
        <w:rPr>
          <w:rFonts w:ascii="黑体"/>
          <w:color w:val="auto"/>
        </w:rPr>
        <w:t>-</w:t>
      </w:r>
      <w:r>
        <w:rPr>
          <w:color w:val="auto"/>
        </w:rPr>
        <w:t xml:space="preserve"> </w:t>
      </w:r>
      <w:r>
        <w:rPr>
          <w:rFonts w:ascii="黑体"/>
          <w:color w:val="auto"/>
        </w:rPr>
        <w:fldChar w:fldCharType="begin">
          <w:ffData>
            <w:name w:val="CROT_DATE_D"/>
            <w:enabled/>
            <w:calcOnExit w:val="0"/>
            <w:textInput>
              <w:default w:val="XX"/>
              <w:maxLength w:val="2"/>
            </w:textInput>
          </w:ffData>
        </w:fldChar>
      </w:r>
      <w:bookmarkStart w:id="11" w:name="CROT_DATE_D"/>
      <w:r>
        <w:rPr>
          <w:rFonts w:ascii="黑体"/>
          <w:color w:val="auto"/>
        </w:rPr>
        <w:instrText xml:space="preserve"> FORMTEXT </w:instrText>
      </w:r>
      <w:r>
        <w:rPr>
          <w:rFonts w:ascii="黑体"/>
          <w:color w:val="auto"/>
        </w:rPr>
        <w:fldChar w:fldCharType="separate"/>
      </w:r>
      <w:r>
        <w:rPr>
          <w:rFonts w:ascii="黑体"/>
          <w:color w:val="auto"/>
        </w:rPr>
        <w:t>XX</w:t>
      </w:r>
      <w:r>
        <w:rPr>
          <w:rFonts w:ascii="黑体"/>
          <w:color w:val="auto"/>
        </w:rPr>
        <w:fldChar w:fldCharType="end"/>
      </w:r>
      <w:bookmarkEnd w:id="11"/>
      <w:r>
        <w:rPr>
          <w:rFonts w:hint="eastAsia"/>
          <w:color w:val="auto"/>
        </w:rPr>
        <w:t>实施</w:t>
      </w:r>
    </w:p>
    <w:p>
      <w:pPr>
        <w:pStyle w:val="154"/>
        <w:framePr w:h="584" w:hRule="exact" w:hSpace="181" w:vSpace="181" w:y="15027"/>
        <w:rPr>
          <w:rFonts w:hAnsi="黑体"/>
          <w:color w:val="auto"/>
        </w:rPr>
      </w:pPr>
      <w:r>
        <w:rPr>
          <w:rFonts w:hAnsi="黑体"/>
          <w:color w:val="auto"/>
          <w:spacing w:val="20"/>
          <w:sz w:val="28"/>
        </w:rPr>
        <w:fldChar w:fldCharType="begin">
          <w:ffData>
            <w:name w:val="fm"/>
            <w:enabled/>
            <w:calcOnExit w:val="0"/>
            <w:textInput/>
          </w:ffData>
        </w:fldChar>
      </w:r>
      <w:bookmarkStart w:id="12" w:name="fm"/>
      <w:r>
        <w:rPr>
          <w:rFonts w:hAnsi="黑体"/>
          <w:color w:val="auto"/>
          <w:spacing w:val="20"/>
          <w:sz w:val="28"/>
        </w:rPr>
        <w:instrText xml:space="preserve"> FORMTEXT </w:instrText>
      </w:r>
      <w:r>
        <w:rPr>
          <w:rFonts w:hAnsi="黑体"/>
          <w:color w:val="auto"/>
          <w:spacing w:val="20"/>
          <w:sz w:val="28"/>
        </w:rPr>
        <w:fldChar w:fldCharType="separate"/>
      </w:r>
      <w:r>
        <w:rPr>
          <w:rFonts w:hAnsi="黑体"/>
          <w:color w:val="auto"/>
          <w:spacing w:val="20"/>
          <w:sz w:val="28"/>
        </w:rPr>
        <w:t>湖</w:t>
      </w:r>
      <w:r>
        <w:rPr>
          <w:rFonts w:hint="eastAsia" w:hAnsi="黑体"/>
          <w:color w:val="auto"/>
          <w:spacing w:val="20"/>
          <w:sz w:val="28"/>
          <w:lang w:val="en-US" w:eastAsia="zh-CN"/>
        </w:rPr>
        <w:t>南</w:t>
      </w:r>
      <w:r>
        <w:rPr>
          <w:rFonts w:hAnsi="黑体"/>
          <w:color w:val="auto"/>
          <w:spacing w:val="20"/>
          <w:sz w:val="28"/>
        </w:rPr>
        <w:t>省市场监督管理局</w:t>
      </w:r>
      <w:r>
        <w:rPr>
          <w:rFonts w:hAnsi="黑体"/>
          <w:color w:val="auto"/>
          <w:spacing w:val="20"/>
          <w:sz w:val="28"/>
        </w:rPr>
        <w:fldChar w:fldCharType="end"/>
      </w:r>
      <w:bookmarkEnd w:id="12"/>
      <w:r>
        <w:rPr>
          <w:rFonts w:ascii="Times New Roman"/>
          <w:color w:val="auto"/>
          <w:w w:val="100"/>
          <w:sz w:val="28"/>
        </w:rPr>
        <w:t>  </w:t>
      </w:r>
      <w:r>
        <w:rPr>
          <w:rStyle w:val="232"/>
          <w:rFonts w:hint="eastAsia" w:hAnsi="黑体"/>
          <w:color w:val="auto"/>
          <w:position w:val="0"/>
        </w:rPr>
        <w:t>发</w:t>
      </w:r>
      <w:r>
        <w:rPr>
          <w:rStyle w:val="232"/>
          <w:rFonts w:hint="eastAsia" w:hAnsi="黑体"/>
          <w:color w:val="auto"/>
          <w:spacing w:val="0"/>
          <w:position w:val="0"/>
        </w:rPr>
        <w:t>布</w:t>
      </w:r>
    </w:p>
    <w:p>
      <w:pPr>
        <w:rPr>
          <w:rFonts w:ascii="宋体" w:hAnsi="宋体"/>
          <w:color w:val="auto"/>
          <w:sz w:val="28"/>
          <w:szCs w:val="28"/>
        </w:rPr>
        <w:sectPr>
          <w:headerReference r:id="rId5" w:type="first"/>
          <w:footerReference r:id="rId8" w:type="first"/>
          <w:headerReference r:id="rId3" w:type="default"/>
          <w:footerReference r:id="rId6" w:type="default"/>
          <w:headerReference r:id="rId4" w:type="even"/>
          <w:footerReference r:id="rId7" w:type="even"/>
          <w:type w:val="continuous"/>
          <w:pgSz w:w="11906" w:h="16838"/>
          <w:pgMar w:top="-338" w:right="1134" w:bottom="1021" w:left="1134" w:header="0" w:footer="0" w:gutter="284"/>
          <w:cols w:space="425" w:num="1"/>
          <w:titlePg/>
          <w:docGrid w:linePitch="312" w:charSpace="0"/>
        </w:sectPr>
      </w:pPr>
      <w:r>
        <w:rPr>
          <w:rFonts w:hint="eastAsia" w:ascii="宋体" w:hAnsi="宋体"/>
          <w:color w:val="auto"/>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rMxz71wAAAA4BAAAPAAAAAAAAAAEAIAAAACIAAABkcnMvZG93&#10;bnJldi54bWxQSwECFAAUAAAACACHTuJAqt0+T8gBAABcAwAADgAAAAAAAAABACAAAAAmAQAAZHJz&#10;L2Uyb0RvYy54bWxQSwUGAAAAAAYABgBZAQAAYAUAAAAA&#10;">
                <v:fill on="f" focussize="0,0"/>
                <v:stroke color="#000000" joinstyle="round"/>
                <v:imagedata o:title=""/>
                <o:lock v:ext="edit" aspectratio="f"/>
                <w10:anchorlock/>
              </v:line>
            </w:pict>
          </mc:Fallback>
        </mc:AlternateContent>
      </w:r>
    </w:p>
    <w:p>
      <w:pPr>
        <w:pStyle w:val="94"/>
        <w:spacing w:after="468"/>
        <w:rPr>
          <w:rFonts w:hint="eastAsia"/>
          <w:color w:val="auto"/>
        </w:rPr>
      </w:pPr>
      <w:bookmarkStart w:id="13" w:name="_Toc183772555"/>
      <w:bookmarkStart w:id="14" w:name="BookMark1"/>
      <w:bookmarkStart w:id="15" w:name="_Toc180423604"/>
      <w:bookmarkStart w:id="16" w:name="_Toc195632728"/>
      <w:r>
        <w:rPr>
          <w:rFonts w:hint="eastAsia"/>
          <w:color w:val="auto"/>
          <w:spacing w:val="320"/>
        </w:rPr>
        <w:t>目</w:t>
      </w:r>
      <w:r>
        <w:rPr>
          <w:rFonts w:hint="eastAsia"/>
          <w:color w:val="auto"/>
        </w:rPr>
        <w:t>次</w:t>
      </w:r>
    </w:p>
    <w:p>
      <w:pPr>
        <w:pStyle w:val="22"/>
        <w:tabs>
          <w:tab w:val="right" w:leader="dot" w:pos="9344"/>
        </w:tabs>
        <w:rPr>
          <w:rFonts w:asciiTheme="minorHAnsi" w:hAnsiTheme="minorHAnsi" w:eastAsiaTheme="minorEastAsia" w:cstheme="minorBidi"/>
          <w:color w:val="auto"/>
          <w:szCs w:val="22"/>
        </w:rPr>
      </w:pPr>
      <w:r>
        <w:rPr>
          <w:color w:val="auto"/>
        </w:rPr>
        <w:fldChar w:fldCharType="begin"/>
      </w:r>
      <w:r>
        <w:rPr>
          <w:color w:val="auto"/>
        </w:rPr>
        <w:instrText xml:space="preserve"> TOC \o "1-1" \h \t "标准文件_一级条标题,2,标准文件_附录一级条标题,2," </w:instrText>
      </w:r>
      <w:r>
        <w:rPr>
          <w:color w:val="auto"/>
        </w:rPr>
        <w:fldChar w:fldCharType="separate"/>
      </w:r>
      <w:r>
        <w:rPr>
          <w:color w:val="auto"/>
        </w:rPr>
        <w:fldChar w:fldCharType="begin"/>
      </w:r>
      <w:r>
        <w:rPr>
          <w:color w:val="auto"/>
        </w:rPr>
        <w:instrText xml:space="preserve"> HYPERLINK \l "_Toc195632766" </w:instrText>
      </w:r>
      <w:r>
        <w:rPr>
          <w:color w:val="auto"/>
        </w:rPr>
        <w:fldChar w:fldCharType="separate"/>
      </w:r>
      <w:r>
        <w:rPr>
          <w:rStyle w:val="33"/>
          <w:color w:val="auto"/>
        </w:rPr>
        <w:t>前言</w:t>
      </w:r>
      <w:r>
        <w:rPr>
          <w:color w:val="auto"/>
        </w:rPr>
        <w:tab/>
      </w:r>
      <w:r>
        <w:rPr>
          <w:color w:val="auto"/>
        </w:rPr>
        <w:fldChar w:fldCharType="begin"/>
      </w:r>
      <w:r>
        <w:rPr>
          <w:color w:val="auto"/>
        </w:rPr>
        <w:instrText xml:space="preserve"> PAGEREF _Toc195632766 \h </w:instrText>
      </w:r>
      <w:r>
        <w:rPr>
          <w:color w:val="auto"/>
        </w:rPr>
        <w:fldChar w:fldCharType="separate"/>
      </w:r>
      <w:r>
        <w:rPr>
          <w:color w:val="auto"/>
        </w:rPr>
        <w:t>II</w:t>
      </w:r>
      <w:r>
        <w:rPr>
          <w:color w:val="auto"/>
        </w:rPr>
        <w:fldChar w:fldCharType="end"/>
      </w:r>
      <w:r>
        <w:rPr>
          <w:color w:val="auto"/>
        </w:rPr>
        <w:fldChar w:fldCharType="end"/>
      </w:r>
    </w:p>
    <w:p>
      <w:pPr>
        <w:pStyle w:val="22"/>
        <w:tabs>
          <w:tab w:val="right" w:leader="dot" w:pos="9344"/>
        </w:tabs>
        <w:rPr>
          <w:rFonts w:asciiTheme="minorHAnsi" w:hAnsiTheme="minorHAnsi" w:eastAsiaTheme="minorEastAsia" w:cstheme="minorBidi"/>
          <w:color w:val="auto"/>
          <w:szCs w:val="22"/>
        </w:rPr>
      </w:pPr>
      <w:r>
        <w:rPr>
          <w:color w:val="auto"/>
        </w:rPr>
        <w:fldChar w:fldCharType="begin"/>
      </w:r>
      <w:r>
        <w:rPr>
          <w:color w:val="auto"/>
        </w:rPr>
        <w:instrText xml:space="preserve"> HYPERLINK \l "_Toc195632768" </w:instrText>
      </w:r>
      <w:r>
        <w:rPr>
          <w:color w:val="auto"/>
        </w:rPr>
        <w:fldChar w:fldCharType="separate"/>
      </w:r>
      <w:r>
        <w:rPr>
          <w:rStyle w:val="33"/>
          <w:color w:val="auto"/>
        </w:rPr>
        <w:t>1  范围</w:t>
      </w:r>
      <w:r>
        <w:rPr>
          <w:color w:val="auto"/>
        </w:rPr>
        <w:tab/>
      </w:r>
      <w:r>
        <w:rPr>
          <w:rFonts w:hint="eastAsia"/>
          <w:color w:val="auto"/>
          <w:lang w:val="en-US" w:eastAsia="zh-CN"/>
        </w:rPr>
        <w:t>2</w:t>
      </w:r>
      <w:r>
        <w:rPr>
          <w:color w:val="auto"/>
        </w:rPr>
        <w:fldChar w:fldCharType="end"/>
      </w:r>
    </w:p>
    <w:p>
      <w:pPr>
        <w:pStyle w:val="22"/>
        <w:tabs>
          <w:tab w:val="right" w:leader="dot" w:pos="9344"/>
        </w:tabs>
        <w:rPr>
          <w:rFonts w:asciiTheme="minorHAnsi" w:hAnsiTheme="minorHAnsi" w:eastAsiaTheme="minorEastAsia" w:cstheme="minorBidi"/>
          <w:color w:val="auto"/>
          <w:szCs w:val="22"/>
        </w:rPr>
      </w:pPr>
      <w:r>
        <w:rPr>
          <w:color w:val="auto"/>
        </w:rPr>
        <w:fldChar w:fldCharType="begin"/>
      </w:r>
      <w:r>
        <w:rPr>
          <w:color w:val="auto"/>
        </w:rPr>
        <w:instrText xml:space="preserve"> HYPERLINK \l "_Toc195632769" </w:instrText>
      </w:r>
      <w:r>
        <w:rPr>
          <w:color w:val="auto"/>
        </w:rPr>
        <w:fldChar w:fldCharType="separate"/>
      </w:r>
      <w:r>
        <w:rPr>
          <w:rStyle w:val="33"/>
          <w:color w:val="auto"/>
        </w:rPr>
        <w:t>2  规范性引用文件</w:t>
      </w:r>
      <w:r>
        <w:rPr>
          <w:color w:val="auto"/>
        </w:rPr>
        <w:tab/>
      </w:r>
      <w:r>
        <w:rPr>
          <w:rFonts w:hint="eastAsia"/>
          <w:color w:val="auto"/>
          <w:lang w:val="en-US" w:eastAsia="zh-CN"/>
        </w:rPr>
        <w:t>2</w:t>
      </w:r>
      <w:r>
        <w:rPr>
          <w:color w:val="auto"/>
        </w:rPr>
        <w:fldChar w:fldCharType="end"/>
      </w:r>
    </w:p>
    <w:p>
      <w:pPr>
        <w:pStyle w:val="22"/>
        <w:tabs>
          <w:tab w:val="right" w:leader="dot" w:pos="9344"/>
        </w:tabs>
        <w:rPr>
          <w:rFonts w:asciiTheme="minorHAnsi" w:hAnsiTheme="minorHAnsi" w:eastAsiaTheme="minorEastAsia" w:cstheme="minorBidi"/>
          <w:color w:val="auto"/>
          <w:szCs w:val="22"/>
        </w:rPr>
      </w:pPr>
      <w:r>
        <w:rPr>
          <w:color w:val="auto"/>
        </w:rPr>
        <w:fldChar w:fldCharType="begin"/>
      </w:r>
      <w:r>
        <w:rPr>
          <w:color w:val="auto"/>
        </w:rPr>
        <w:instrText xml:space="preserve"> HYPERLINK \l "_Toc195632770" </w:instrText>
      </w:r>
      <w:r>
        <w:rPr>
          <w:color w:val="auto"/>
        </w:rPr>
        <w:fldChar w:fldCharType="separate"/>
      </w:r>
      <w:r>
        <w:rPr>
          <w:rStyle w:val="33"/>
          <w:color w:val="auto"/>
        </w:rPr>
        <w:t>3  术语和定义</w:t>
      </w:r>
      <w:r>
        <w:rPr>
          <w:color w:val="auto"/>
        </w:rPr>
        <w:tab/>
      </w:r>
      <w:r>
        <w:rPr>
          <w:rFonts w:hint="eastAsia"/>
          <w:color w:val="auto"/>
          <w:lang w:val="en-US" w:eastAsia="zh-CN"/>
        </w:rPr>
        <w:t>2</w:t>
      </w:r>
      <w:r>
        <w:rPr>
          <w:color w:val="auto"/>
        </w:rPr>
        <w:fldChar w:fldCharType="end"/>
      </w:r>
    </w:p>
    <w:p>
      <w:pPr>
        <w:pStyle w:val="22"/>
        <w:tabs>
          <w:tab w:val="right" w:leader="dot" w:pos="9344"/>
        </w:tabs>
        <w:rPr>
          <w:rFonts w:asciiTheme="minorHAnsi" w:hAnsiTheme="minorHAnsi" w:eastAsiaTheme="minorEastAsia" w:cstheme="minorBidi"/>
          <w:color w:val="auto"/>
          <w:szCs w:val="22"/>
        </w:rPr>
      </w:pPr>
      <w:r>
        <w:rPr>
          <w:color w:val="auto"/>
        </w:rPr>
        <w:fldChar w:fldCharType="begin"/>
      </w:r>
      <w:r>
        <w:rPr>
          <w:color w:val="auto"/>
        </w:rPr>
        <w:instrText xml:space="preserve"> HYPERLINK \l "_Toc195632771" </w:instrText>
      </w:r>
      <w:r>
        <w:rPr>
          <w:color w:val="auto"/>
        </w:rPr>
        <w:fldChar w:fldCharType="separate"/>
      </w:r>
      <w:r>
        <w:rPr>
          <w:rStyle w:val="33"/>
          <w:color w:val="auto"/>
        </w:rPr>
        <w:t>4  基本要求</w:t>
      </w:r>
      <w:r>
        <w:rPr>
          <w:color w:val="auto"/>
        </w:rPr>
        <w:tab/>
      </w:r>
      <w:r>
        <w:rPr>
          <w:rFonts w:hint="eastAsia"/>
          <w:color w:val="auto"/>
          <w:lang w:val="en-US" w:eastAsia="zh-CN"/>
        </w:rPr>
        <w:t>3</w:t>
      </w:r>
      <w:r>
        <w:rPr>
          <w:color w:val="auto"/>
        </w:rPr>
        <w:fldChar w:fldCharType="end"/>
      </w:r>
    </w:p>
    <w:p>
      <w:pPr>
        <w:pStyle w:val="22"/>
        <w:tabs>
          <w:tab w:val="right" w:leader="dot" w:pos="9344"/>
        </w:tabs>
        <w:rPr>
          <w:rFonts w:asciiTheme="minorHAnsi" w:hAnsiTheme="minorHAnsi" w:eastAsiaTheme="minorEastAsia" w:cstheme="minorBidi"/>
          <w:color w:val="auto"/>
          <w:szCs w:val="22"/>
        </w:rPr>
      </w:pPr>
      <w:r>
        <w:rPr>
          <w:color w:val="auto"/>
        </w:rPr>
        <w:fldChar w:fldCharType="begin"/>
      </w:r>
      <w:r>
        <w:rPr>
          <w:color w:val="auto"/>
        </w:rPr>
        <w:instrText xml:space="preserve"> HYPERLINK \l "_Toc195632775" </w:instrText>
      </w:r>
      <w:r>
        <w:rPr>
          <w:color w:val="auto"/>
        </w:rPr>
        <w:fldChar w:fldCharType="separate"/>
      </w:r>
      <w:r>
        <w:rPr>
          <w:rStyle w:val="33"/>
          <w:color w:val="auto"/>
        </w:rPr>
        <w:t xml:space="preserve">5  </w:t>
      </w:r>
      <w:r>
        <w:rPr>
          <w:rStyle w:val="33"/>
          <w:rFonts w:hint="eastAsia"/>
          <w:color w:val="auto"/>
        </w:rPr>
        <w:t>板黏障碍诊断与分级</w:t>
      </w:r>
      <w:r>
        <w:rPr>
          <w:color w:val="auto"/>
        </w:rPr>
        <w:tab/>
      </w:r>
      <w:r>
        <w:rPr>
          <w:rFonts w:hint="eastAsia"/>
          <w:color w:val="auto"/>
          <w:lang w:val="en-US" w:eastAsia="zh-CN"/>
        </w:rPr>
        <w:t>3</w:t>
      </w:r>
      <w:r>
        <w:rPr>
          <w:color w:val="auto"/>
        </w:rPr>
        <w:fldChar w:fldCharType="end"/>
      </w:r>
    </w:p>
    <w:p>
      <w:pPr>
        <w:pStyle w:val="22"/>
        <w:tabs>
          <w:tab w:val="right" w:leader="dot" w:pos="9344"/>
        </w:tabs>
        <w:rPr>
          <w:rFonts w:asciiTheme="minorHAnsi" w:hAnsiTheme="minorHAnsi" w:eastAsiaTheme="minorEastAsia" w:cstheme="minorBidi"/>
          <w:color w:val="auto"/>
          <w:szCs w:val="22"/>
        </w:rPr>
      </w:pPr>
      <w:r>
        <w:rPr>
          <w:color w:val="auto"/>
        </w:rPr>
        <w:fldChar w:fldCharType="begin"/>
      </w:r>
      <w:r>
        <w:rPr>
          <w:color w:val="auto"/>
        </w:rPr>
        <w:instrText xml:space="preserve"> HYPERLINK \l "_Toc195632784" </w:instrText>
      </w:r>
      <w:r>
        <w:rPr>
          <w:color w:val="auto"/>
        </w:rPr>
        <w:fldChar w:fldCharType="separate"/>
      </w:r>
      <w:r>
        <w:rPr>
          <w:rStyle w:val="33"/>
          <w:color w:val="auto"/>
        </w:rPr>
        <w:t xml:space="preserve">6  </w:t>
      </w:r>
      <w:r>
        <w:rPr>
          <w:rStyle w:val="33"/>
          <w:rFonts w:hint="eastAsia"/>
          <w:color w:val="auto"/>
          <w:lang w:val="en-US" w:eastAsia="zh-CN"/>
        </w:rPr>
        <w:t>改良技术</w:t>
      </w:r>
      <w:r>
        <w:rPr>
          <w:color w:val="auto"/>
        </w:rPr>
        <w:tab/>
      </w:r>
      <w:r>
        <w:rPr>
          <w:rFonts w:hint="eastAsia"/>
          <w:color w:val="auto"/>
          <w:lang w:val="en-US" w:eastAsia="zh-CN"/>
        </w:rPr>
        <w:t>4</w:t>
      </w:r>
      <w:r>
        <w:rPr>
          <w:color w:val="auto"/>
        </w:rPr>
        <w:fldChar w:fldCharType="end"/>
      </w:r>
    </w:p>
    <w:p>
      <w:pPr>
        <w:pStyle w:val="22"/>
        <w:tabs>
          <w:tab w:val="right" w:leader="dot" w:pos="9344"/>
        </w:tabs>
        <w:rPr>
          <w:rFonts w:asciiTheme="minorHAnsi" w:hAnsiTheme="minorHAnsi" w:eastAsiaTheme="minorEastAsia" w:cstheme="minorBidi"/>
          <w:color w:val="auto"/>
          <w:szCs w:val="22"/>
        </w:rPr>
      </w:pPr>
      <w:r>
        <w:rPr>
          <w:color w:val="auto"/>
        </w:rPr>
        <w:fldChar w:fldCharType="begin"/>
      </w:r>
      <w:r>
        <w:rPr>
          <w:color w:val="auto"/>
        </w:rPr>
        <w:instrText xml:space="preserve"> HYPERLINK \l "_Toc195632792" </w:instrText>
      </w:r>
      <w:r>
        <w:rPr>
          <w:color w:val="auto"/>
        </w:rPr>
        <w:fldChar w:fldCharType="separate"/>
      </w:r>
      <w:r>
        <w:rPr>
          <w:rStyle w:val="33"/>
          <w:color w:val="auto"/>
        </w:rPr>
        <w:t xml:space="preserve">7  </w:t>
      </w:r>
      <w:r>
        <w:rPr>
          <w:rStyle w:val="33"/>
          <w:rFonts w:hint="eastAsia"/>
          <w:color w:val="auto"/>
          <w:lang w:val="en-US" w:eastAsia="zh-CN"/>
        </w:rPr>
        <w:t>田间管理</w:t>
      </w:r>
      <w:r>
        <w:rPr>
          <w:color w:val="auto"/>
        </w:rPr>
        <w:tab/>
      </w:r>
      <w:r>
        <w:rPr>
          <w:rFonts w:hint="eastAsia"/>
          <w:color w:val="auto"/>
          <w:lang w:val="en-US" w:eastAsia="zh-CN"/>
        </w:rPr>
        <w:t>5</w:t>
      </w:r>
      <w:r>
        <w:rPr>
          <w:color w:val="auto"/>
        </w:rPr>
        <w:fldChar w:fldCharType="end"/>
      </w:r>
    </w:p>
    <w:p>
      <w:pPr>
        <w:pStyle w:val="22"/>
        <w:tabs>
          <w:tab w:val="right" w:leader="dot" w:pos="9344"/>
        </w:tabs>
        <w:rPr>
          <w:color w:val="auto"/>
        </w:rPr>
      </w:pPr>
      <w:r>
        <w:rPr>
          <w:color w:val="auto"/>
        </w:rPr>
        <w:fldChar w:fldCharType="begin"/>
      </w:r>
      <w:r>
        <w:rPr>
          <w:color w:val="auto"/>
        </w:rPr>
        <w:instrText xml:space="preserve"> HYPERLINK \l "_Toc195632797" </w:instrText>
      </w:r>
      <w:r>
        <w:rPr>
          <w:color w:val="auto"/>
        </w:rPr>
        <w:fldChar w:fldCharType="separate"/>
      </w:r>
      <w:r>
        <w:rPr>
          <w:rStyle w:val="33"/>
          <w:color w:val="auto"/>
        </w:rPr>
        <w:t xml:space="preserve">8  </w:t>
      </w:r>
      <w:r>
        <w:rPr>
          <w:rStyle w:val="33"/>
          <w:rFonts w:hint="eastAsia"/>
          <w:color w:val="auto"/>
          <w:lang w:val="en-US" w:eastAsia="zh-CN"/>
        </w:rPr>
        <w:t>效果评价与持续</w:t>
      </w:r>
      <w:r>
        <w:rPr>
          <w:rStyle w:val="33"/>
          <w:color w:val="auto"/>
        </w:rPr>
        <w:t>管理</w:t>
      </w:r>
      <w:r>
        <w:rPr>
          <w:color w:val="auto"/>
        </w:rPr>
        <w:tab/>
      </w:r>
      <w:r>
        <w:rPr>
          <w:rFonts w:hint="eastAsia"/>
          <w:color w:val="auto"/>
          <w:lang w:val="en-US" w:eastAsia="zh-CN"/>
        </w:rPr>
        <w:t>6</w:t>
      </w:r>
      <w:r>
        <w:rPr>
          <w:color w:val="auto"/>
        </w:rPr>
        <w:fldChar w:fldCharType="end"/>
      </w:r>
    </w:p>
    <w:p>
      <w:pPr>
        <w:pStyle w:val="22"/>
        <w:tabs>
          <w:tab w:val="right" w:leader="dot" w:pos="9344"/>
        </w:tabs>
        <w:rPr>
          <w:rFonts w:hint="default" w:eastAsia="宋体"/>
          <w:lang w:val="en-US" w:eastAsia="zh-CN"/>
        </w:rPr>
      </w:pPr>
      <w:r>
        <w:rPr>
          <w:color w:val="auto"/>
        </w:rPr>
        <w:fldChar w:fldCharType="begin"/>
      </w:r>
      <w:r>
        <w:rPr>
          <w:color w:val="auto"/>
        </w:rPr>
        <w:instrText xml:space="preserve"> HYPERLINK \l "_Toc195632797" </w:instrText>
      </w:r>
      <w:r>
        <w:rPr>
          <w:color w:val="auto"/>
        </w:rPr>
        <w:fldChar w:fldCharType="separate"/>
      </w:r>
      <w:r>
        <w:rPr>
          <w:rStyle w:val="33"/>
          <w:rFonts w:hint="eastAsia"/>
          <w:color w:val="auto"/>
          <w:lang w:val="en-US" w:eastAsia="zh-CN"/>
        </w:rPr>
        <w:t>9</w:t>
      </w:r>
      <w:r>
        <w:rPr>
          <w:rStyle w:val="33"/>
          <w:color w:val="auto"/>
        </w:rPr>
        <w:t xml:space="preserve">  </w:t>
      </w:r>
      <w:r>
        <w:rPr>
          <w:rStyle w:val="33"/>
          <w:rFonts w:hint="eastAsia"/>
          <w:color w:val="auto"/>
          <w:lang w:val="en-US" w:eastAsia="zh-CN"/>
        </w:rPr>
        <w:t>档案记录</w:t>
      </w:r>
      <w:r>
        <w:rPr>
          <w:rFonts w:hint="eastAsia"/>
          <w:color w:val="auto"/>
          <w:lang w:val="en-US" w:eastAsia="zh-CN"/>
        </w:rPr>
        <w:tab/>
      </w:r>
      <w:r>
        <w:rPr>
          <w:color w:val="auto"/>
        </w:rPr>
        <w:fldChar w:fldCharType="begin"/>
      </w:r>
      <w:r>
        <w:rPr>
          <w:color w:val="auto"/>
        </w:rPr>
        <w:instrText xml:space="preserve"> PAGEREF _Toc195632797 \h </w:instrText>
      </w:r>
      <w:r>
        <w:rPr>
          <w:color w:val="auto"/>
        </w:rPr>
        <w:fldChar w:fldCharType="separate"/>
      </w:r>
      <w:r>
        <w:rPr>
          <w:color w:val="auto"/>
        </w:rPr>
        <w:t>7</w:t>
      </w:r>
      <w:r>
        <w:rPr>
          <w:color w:val="auto"/>
        </w:rPr>
        <w:fldChar w:fldCharType="end"/>
      </w:r>
      <w:r>
        <w:rPr>
          <w:color w:val="auto"/>
        </w:rPr>
        <w:fldChar w:fldCharType="end"/>
      </w:r>
    </w:p>
    <w:p>
      <w:pPr>
        <w:pStyle w:val="22"/>
        <w:tabs>
          <w:tab w:val="right" w:leader="dot" w:pos="9344"/>
        </w:tabs>
        <w:rPr>
          <w:color w:val="auto"/>
        </w:rPr>
      </w:pPr>
      <w:r>
        <w:rPr>
          <w:color w:val="auto"/>
        </w:rPr>
        <w:fldChar w:fldCharType="begin"/>
      </w:r>
      <w:r>
        <w:rPr>
          <w:color w:val="auto"/>
        </w:rPr>
        <w:instrText xml:space="preserve"> HYPERLINK \l "_Toc195632801" </w:instrText>
      </w:r>
      <w:r>
        <w:rPr>
          <w:color w:val="auto"/>
        </w:rPr>
        <w:fldChar w:fldCharType="separate"/>
      </w:r>
      <w:r>
        <w:rPr>
          <w:rStyle w:val="33"/>
          <w:color w:val="auto"/>
        </w:rPr>
        <w:t>附录A</w:t>
      </w:r>
      <w:r>
        <w:rPr>
          <w:color w:val="auto"/>
        </w:rPr>
        <w:fldChar w:fldCharType="end"/>
      </w:r>
      <w:r>
        <w:rPr>
          <w:color w:val="auto"/>
        </w:rPr>
        <w:fldChar w:fldCharType="begin"/>
      </w:r>
      <w:r>
        <w:rPr>
          <w:color w:val="auto"/>
        </w:rPr>
        <w:instrText xml:space="preserve"> HYPERLINK \l "_Toc195632802" </w:instrText>
      </w:r>
      <w:r>
        <w:rPr>
          <w:color w:val="auto"/>
        </w:rPr>
        <w:fldChar w:fldCharType="separate"/>
      </w:r>
      <w:r>
        <w:rPr>
          <w:rStyle w:val="33"/>
          <w:color w:val="auto"/>
        </w:rPr>
        <w:t>（资料性）</w:t>
      </w:r>
      <w:r>
        <w:rPr>
          <w:color w:val="auto"/>
        </w:rPr>
        <w:fldChar w:fldCharType="end"/>
      </w:r>
      <w:r>
        <w:rPr>
          <w:color w:val="auto"/>
        </w:rPr>
        <w:fldChar w:fldCharType="begin"/>
      </w:r>
      <w:r>
        <w:rPr>
          <w:color w:val="auto"/>
        </w:rPr>
        <w:instrText xml:space="preserve"> HYPERLINK \l "_Toc195632803" </w:instrText>
      </w:r>
      <w:r>
        <w:rPr>
          <w:color w:val="auto"/>
        </w:rPr>
        <w:fldChar w:fldCharType="separate"/>
      </w:r>
      <w:r>
        <w:rPr>
          <w:rStyle w:val="33"/>
          <w:rFonts w:hint="eastAsia"/>
          <w:color w:val="auto"/>
        </w:rPr>
        <w:t xml:space="preserve"> 板黏障碍诊断与分级参考</w:t>
      </w:r>
      <w:r>
        <w:rPr>
          <w:color w:val="auto"/>
        </w:rPr>
        <w:tab/>
      </w:r>
      <w:r>
        <w:rPr>
          <w:color w:val="auto"/>
        </w:rPr>
        <w:fldChar w:fldCharType="begin"/>
      </w:r>
      <w:r>
        <w:rPr>
          <w:color w:val="auto"/>
        </w:rPr>
        <w:instrText xml:space="preserve"> PAGEREF _Toc195632803 \h </w:instrText>
      </w:r>
      <w:r>
        <w:rPr>
          <w:color w:val="auto"/>
        </w:rPr>
        <w:fldChar w:fldCharType="separate"/>
      </w:r>
      <w:r>
        <w:rPr>
          <w:color w:val="auto"/>
        </w:rPr>
        <w:t>8</w:t>
      </w:r>
      <w:r>
        <w:rPr>
          <w:color w:val="auto"/>
        </w:rPr>
        <w:fldChar w:fldCharType="end"/>
      </w:r>
      <w:r>
        <w:rPr>
          <w:color w:val="auto"/>
        </w:rPr>
        <w:fldChar w:fldCharType="end"/>
      </w:r>
    </w:p>
    <w:p>
      <w:pPr>
        <w:pStyle w:val="22"/>
        <w:tabs>
          <w:tab w:val="right" w:leader="dot" w:pos="9344"/>
        </w:tabs>
        <w:rPr>
          <w:rFonts w:hint="default" w:eastAsia="宋体"/>
          <w:color w:val="auto"/>
          <w:lang w:val="en-US" w:eastAsia="zh-CN"/>
        </w:rPr>
      </w:pPr>
      <w:r>
        <w:rPr>
          <w:color w:val="auto"/>
        </w:rPr>
        <w:fldChar w:fldCharType="begin"/>
      </w:r>
      <w:r>
        <w:rPr>
          <w:color w:val="auto"/>
        </w:rPr>
        <w:instrText xml:space="preserve"> HYPERLINK \l "_Toc195632801" </w:instrText>
      </w:r>
      <w:r>
        <w:rPr>
          <w:color w:val="auto"/>
        </w:rPr>
        <w:fldChar w:fldCharType="separate"/>
      </w:r>
      <w:r>
        <w:rPr>
          <w:rStyle w:val="33"/>
          <w:color w:val="auto"/>
        </w:rPr>
        <w:t>附录</w:t>
      </w:r>
      <w:r>
        <w:rPr>
          <w:rStyle w:val="33"/>
          <w:rFonts w:hint="eastAsia"/>
          <w:color w:val="auto"/>
          <w:lang w:val="en-US" w:eastAsia="zh-CN"/>
        </w:rPr>
        <w:t>B</w:t>
      </w:r>
      <w:r>
        <w:rPr>
          <w:color w:val="auto"/>
        </w:rPr>
        <w:fldChar w:fldCharType="end"/>
      </w:r>
      <w:r>
        <w:rPr>
          <w:color w:val="auto"/>
        </w:rPr>
        <w:fldChar w:fldCharType="begin"/>
      </w:r>
      <w:r>
        <w:rPr>
          <w:color w:val="auto"/>
        </w:rPr>
        <w:instrText xml:space="preserve"> HYPERLINK \l "_Toc195632802" </w:instrText>
      </w:r>
      <w:r>
        <w:rPr>
          <w:color w:val="auto"/>
        </w:rPr>
        <w:fldChar w:fldCharType="separate"/>
      </w:r>
      <w:r>
        <w:rPr>
          <w:rStyle w:val="33"/>
          <w:color w:val="auto"/>
        </w:rPr>
        <w:t>（资料性）</w:t>
      </w:r>
      <w:r>
        <w:rPr>
          <w:color w:val="auto"/>
        </w:rPr>
        <w:fldChar w:fldCharType="end"/>
      </w:r>
      <w:r>
        <w:rPr>
          <w:rFonts w:hint="eastAsia"/>
          <w:color w:val="auto"/>
          <w:lang w:val="en-US" w:eastAsia="zh-CN"/>
        </w:rPr>
        <w:t>分级改良技术模式</w:t>
      </w:r>
      <w:r>
        <w:rPr>
          <w:color w:val="auto"/>
        </w:rPr>
        <w:tab/>
      </w:r>
      <w:r>
        <w:rPr>
          <w:rFonts w:hint="eastAsia"/>
          <w:color w:val="auto"/>
          <w:lang w:val="en-US" w:eastAsia="zh-CN"/>
        </w:rPr>
        <w:t>9</w:t>
      </w:r>
    </w:p>
    <w:p>
      <w:pPr>
        <w:pStyle w:val="22"/>
        <w:tabs>
          <w:tab w:val="right" w:leader="dot" w:pos="9344"/>
        </w:tabs>
        <w:rPr>
          <w:rFonts w:hint="eastAsia" w:eastAsia="宋体" w:asciiTheme="minorHAnsi" w:hAnsiTheme="minorHAnsi" w:cstheme="minorBidi"/>
          <w:color w:val="auto"/>
          <w:szCs w:val="22"/>
          <w:lang w:val="en-US" w:eastAsia="zh-CN"/>
        </w:rPr>
      </w:pPr>
      <w:r>
        <w:rPr>
          <w:color w:val="auto"/>
        </w:rPr>
        <w:fldChar w:fldCharType="begin"/>
      </w:r>
      <w:r>
        <w:rPr>
          <w:color w:val="auto"/>
        </w:rPr>
        <w:instrText xml:space="preserve"> HYPERLINK \l "_Toc195632801" </w:instrText>
      </w:r>
      <w:r>
        <w:rPr>
          <w:color w:val="auto"/>
        </w:rPr>
        <w:fldChar w:fldCharType="separate"/>
      </w:r>
      <w:r>
        <w:rPr>
          <w:rStyle w:val="33"/>
          <w:color w:val="auto"/>
        </w:rPr>
        <w:t>附录</w:t>
      </w:r>
      <w:r>
        <w:rPr>
          <w:rStyle w:val="33"/>
          <w:rFonts w:hint="eastAsia"/>
          <w:color w:val="auto"/>
          <w:lang w:val="en-US" w:eastAsia="zh-CN"/>
        </w:rPr>
        <w:t>C</w:t>
      </w:r>
      <w:r>
        <w:rPr>
          <w:color w:val="auto"/>
        </w:rPr>
        <w:fldChar w:fldCharType="end"/>
      </w:r>
      <w:r>
        <w:rPr>
          <w:color w:val="auto"/>
        </w:rPr>
        <w:fldChar w:fldCharType="begin"/>
      </w:r>
      <w:r>
        <w:rPr>
          <w:color w:val="auto"/>
        </w:rPr>
        <w:instrText xml:space="preserve"> HYPERLINK \l "_Toc195632802" </w:instrText>
      </w:r>
      <w:r>
        <w:rPr>
          <w:color w:val="auto"/>
        </w:rPr>
        <w:fldChar w:fldCharType="separate"/>
      </w:r>
      <w:r>
        <w:rPr>
          <w:rStyle w:val="33"/>
          <w:color w:val="auto"/>
        </w:rPr>
        <w:t>（资料性）</w:t>
      </w:r>
      <w:r>
        <w:rPr>
          <w:color w:val="auto"/>
        </w:rPr>
        <w:fldChar w:fldCharType="end"/>
      </w:r>
      <w:r>
        <w:rPr>
          <w:color w:val="auto"/>
        </w:rPr>
        <w:fldChar w:fldCharType="begin"/>
      </w:r>
      <w:r>
        <w:rPr>
          <w:color w:val="auto"/>
        </w:rPr>
        <w:instrText xml:space="preserve"> HYPERLINK \l "_Toc195632803" </w:instrText>
      </w:r>
      <w:r>
        <w:rPr>
          <w:color w:val="auto"/>
        </w:rPr>
        <w:fldChar w:fldCharType="separate"/>
      </w:r>
      <w:r>
        <w:rPr>
          <w:rStyle w:val="33"/>
          <w:rFonts w:hint="eastAsia"/>
          <w:color w:val="auto"/>
          <w:lang w:val="en-US" w:eastAsia="zh-CN"/>
        </w:rPr>
        <w:t>田间实施与监测记录表</w:t>
      </w:r>
      <w:r>
        <w:rPr>
          <w:color w:val="auto"/>
        </w:rPr>
        <w:tab/>
      </w:r>
      <w:r>
        <w:rPr>
          <w:rFonts w:hint="eastAsia"/>
          <w:color w:val="auto"/>
          <w:lang w:val="en-US" w:eastAsia="zh-CN"/>
        </w:rPr>
        <w:t>1</w:t>
      </w:r>
      <w:r>
        <w:rPr>
          <w:color w:val="auto"/>
        </w:rPr>
        <w:fldChar w:fldCharType="end"/>
      </w:r>
      <w:r>
        <w:rPr>
          <w:rFonts w:hint="eastAsia"/>
          <w:color w:val="auto"/>
          <w:lang w:val="en-US" w:eastAsia="zh-CN"/>
        </w:rPr>
        <w:t>0</w:t>
      </w:r>
    </w:p>
    <w:p>
      <w:pPr>
        <w:rPr>
          <w:color w:val="auto"/>
        </w:rPr>
      </w:pPr>
    </w:p>
    <w:p>
      <w:pPr>
        <w:pStyle w:val="94"/>
        <w:spacing w:after="468"/>
        <w:rPr>
          <w:color w:val="auto"/>
        </w:rPr>
        <w:sectPr>
          <w:headerReference r:id="rId9" w:type="default"/>
          <w:footerReference r:id="rId11" w:type="default"/>
          <w:headerReference r:id="rId10" w:type="even"/>
          <w:footerReference r:id="rId12" w:type="even"/>
          <w:pgSz w:w="11906" w:h="16838"/>
          <w:pgMar w:top="1928" w:right="1134" w:bottom="1134" w:left="1134" w:header="1418" w:footer="1134" w:gutter="284"/>
          <w:pgNumType w:fmt="upperRoman" w:start="1"/>
          <w:cols w:space="425" w:num="1"/>
          <w:formProt w:val="0"/>
          <w:docGrid w:type="lines" w:linePitch="312" w:charSpace="0"/>
        </w:sectPr>
      </w:pPr>
      <w:r>
        <w:rPr>
          <w:color w:val="auto"/>
        </w:rPr>
        <w:fldChar w:fldCharType="end"/>
      </w:r>
    </w:p>
    <w:bookmarkEnd w:id="13"/>
    <w:bookmarkEnd w:id="14"/>
    <w:bookmarkEnd w:id="15"/>
    <w:bookmarkEnd w:id="16"/>
    <w:p>
      <w:pPr>
        <w:pStyle w:val="92"/>
        <w:spacing w:after="468"/>
        <w:rPr>
          <w:color w:val="auto"/>
        </w:rPr>
      </w:pPr>
      <w:bookmarkStart w:id="17" w:name="_Toc184838336"/>
      <w:bookmarkStart w:id="18" w:name="BookMark2"/>
      <w:r>
        <w:rPr>
          <w:rFonts w:hint="eastAsia"/>
          <w:color w:val="auto"/>
          <w:spacing w:val="320"/>
        </w:rPr>
        <w:t>前</w:t>
      </w:r>
      <w:r>
        <w:rPr>
          <w:rFonts w:hint="eastAsia"/>
          <w:color w:val="auto"/>
        </w:rPr>
        <w:t>言</w:t>
      </w:r>
      <w:bookmarkEnd w:id="17"/>
    </w:p>
    <w:p>
      <w:pPr>
        <w:pStyle w:val="59"/>
        <w:keepLines w:val="0"/>
        <w:widowControl/>
      </w:pPr>
      <w:r>
        <w:rPr>
          <w:rFonts w:ascii="Times New Roman" w:hAnsi="Times New Roman" w:eastAsia="宋体"/>
        </w:rPr>
        <w:t>本文件按照GB/T 1.1—2020《标准化工作导则  第1部分：标准化文件的结构和起草规则》的规定起草。</w:t>
      </w:r>
    </w:p>
    <w:p>
      <w:pPr>
        <w:pStyle w:val="59"/>
        <w:keepLines w:val="0"/>
        <w:widowControl/>
      </w:pPr>
      <w:r>
        <w:rPr>
          <w:rFonts w:ascii="Times New Roman" w:hAnsi="Times New Roman" w:eastAsia="宋体"/>
        </w:rPr>
        <w:t>请注意本文件的某些内容可能涉及专利。本文件的发布机构不承担识别专利的责任。</w:t>
      </w:r>
    </w:p>
    <w:p>
      <w:pPr>
        <w:pStyle w:val="59"/>
        <w:ind w:firstLine="420"/>
      </w:pPr>
      <w:r>
        <w:rPr>
          <w:rFonts w:hint="eastAsia"/>
        </w:rPr>
        <w:t>本文件由湖南省农业农村厅提出。</w:t>
      </w:r>
    </w:p>
    <w:p>
      <w:pPr>
        <w:pStyle w:val="59"/>
        <w:ind w:firstLine="420"/>
        <w:rPr>
          <w:rFonts w:hint="eastAsia" w:eastAsia="宋体"/>
          <w:lang w:eastAsia="zh-CN"/>
        </w:rPr>
      </w:pPr>
      <w:r>
        <w:rPr>
          <w:rFonts w:hint="eastAsia"/>
        </w:rPr>
        <w:t>本文件由湖南省农业标准化技术委员会归口</w:t>
      </w:r>
      <w:r>
        <w:rPr>
          <w:rFonts w:hint="eastAsia"/>
          <w:lang w:eastAsia="zh-CN"/>
        </w:rPr>
        <w:t>。</w:t>
      </w:r>
    </w:p>
    <w:p>
      <w:pPr>
        <w:pStyle w:val="234"/>
        <w:rPr>
          <w:rFonts w:ascii="Times New Roman"/>
          <w:szCs w:val="21"/>
        </w:rPr>
      </w:pPr>
      <w:bookmarkStart w:id="65" w:name="_GoBack"/>
      <w:bookmarkEnd w:id="65"/>
      <w:r>
        <w:rPr>
          <w:rFonts w:hint="eastAsia"/>
        </w:rPr>
        <w:t>本文件起草单位：</w:t>
      </w:r>
      <w:r>
        <w:rPr>
          <w:rFonts w:hint="eastAsia" w:ascii="Times New Roman"/>
          <w:szCs w:val="21"/>
        </w:rPr>
        <w:t>中国农业科学院衡阳红壤实验站、</w:t>
      </w:r>
      <w:r>
        <w:rPr>
          <w:rFonts w:ascii="Times New Roman"/>
          <w:szCs w:val="21"/>
        </w:rPr>
        <w:t>湖南省</w:t>
      </w:r>
      <w:r>
        <w:rPr>
          <w:rFonts w:hint="eastAsia"/>
          <w:szCs w:val="21"/>
          <w:lang w:val="en-US" w:eastAsia="zh-CN"/>
        </w:rPr>
        <w:t>耕地与农业环境生态</w:t>
      </w:r>
      <w:r>
        <w:rPr>
          <w:rFonts w:ascii="Times New Roman"/>
          <w:szCs w:val="21"/>
        </w:rPr>
        <w:t>研究所</w:t>
      </w:r>
      <w:r>
        <w:rPr>
          <w:rFonts w:hint="eastAsia" w:ascii="Times New Roman"/>
          <w:szCs w:val="21"/>
        </w:rPr>
        <w:t>、衡阳市农业科学院、永州市农业科学研究所、岳阳市农业科学研究院、</w:t>
      </w:r>
      <w:r>
        <w:rPr>
          <w:rFonts w:hint="eastAsia"/>
          <w:szCs w:val="21"/>
          <w:lang w:val="en-US" w:eastAsia="zh-CN"/>
        </w:rPr>
        <w:t>永州市农业综合服务中心、</w:t>
      </w:r>
      <w:r>
        <w:rPr>
          <w:rFonts w:hint="eastAsia" w:ascii="Times New Roman"/>
          <w:szCs w:val="21"/>
        </w:rPr>
        <w:t>祁阳市农业农村局。</w:t>
      </w:r>
    </w:p>
    <w:p>
      <w:pPr>
        <w:pStyle w:val="234"/>
        <w:ind w:firstLine="392" w:firstLineChars="187"/>
        <w:rPr>
          <w:rFonts w:ascii="Times New Roman"/>
          <w:szCs w:val="21"/>
        </w:rPr>
        <w:sectPr>
          <w:pgSz w:w="11906" w:h="16838"/>
          <w:pgMar w:top="567" w:right="1134" w:bottom="1134" w:left="1134" w:header="1418" w:footer="1134" w:gutter="284"/>
          <w:pgBorders>
            <w:top w:val="none" w:sz="0" w:space="0"/>
            <w:left w:val="none" w:sz="0" w:space="0"/>
            <w:bottom w:val="none" w:sz="0" w:space="0"/>
            <w:right w:val="none" w:sz="0" w:space="0"/>
          </w:pgBorders>
          <w:pgNumType w:fmt="upperRoman"/>
          <w:cols w:space="425" w:num="1"/>
          <w:formProt w:val="0"/>
          <w:docGrid w:type="lines" w:linePitch="312" w:charSpace="0"/>
        </w:sectPr>
      </w:pPr>
      <w:r>
        <w:rPr>
          <w:rFonts w:hint="eastAsia"/>
        </w:rPr>
        <w:t>本文件主要起草人：</w:t>
      </w:r>
      <w:r>
        <w:rPr>
          <w:rFonts w:hint="eastAsia" w:ascii="Times New Roman"/>
          <w:szCs w:val="21"/>
        </w:rPr>
        <w:t>张会民、</w:t>
      </w:r>
      <w:r>
        <w:rPr>
          <w:rFonts w:ascii="Times New Roman"/>
          <w:szCs w:val="21"/>
        </w:rPr>
        <w:t>黄晶、孙耿、</w:t>
      </w:r>
      <w:r>
        <w:rPr>
          <w:rFonts w:hint="eastAsia" w:ascii="Times New Roman"/>
          <w:szCs w:val="21"/>
        </w:rPr>
        <w:t>刘淑军、</w:t>
      </w:r>
      <w:r>
        <w:rPr>
          <w:rFonts w:hint="eastAsia"/>
          <w:szCs w:val="21"/>
          <w:lang w:val="en-US" w:eastAsia="zh-CN"/>
        </w:rPr>
        <w:t>刘泽弦、</w:t>
      </w:r>
      <w:r>
        <w:rPr>
          <w:rFonts w:hint="eastAsia" w:ascii="Times New Roman"/>
          <w:szCs w:val="21"/>
        </w:rPr>
        <w:t>唐海明、</w:t>
      </w:r>
      <w:r>
        <w:rPr>
          <w:rFonts w:hint="eastAsia"/>
          <w:szCs w:val="21"/>
          <w:lang w:val="en-US" w:eastAsia="zh-CN"/>
        </w:rPr>
        <w:t>段英华、张明</w:t>
      </w:r>
      <w:r>
        <w:rPr>
          <w:rFonts w:hint="eastAsia" w:ascii="Times New Roman"/>
          <w:szCs w:val="21"/>
        </w:rPr>
        <w:t>、唐利忠、刘立生、</w:t>
      </w:r>
      <w:r>
        <w:rPr>
          <w:rFonts w:hint="eastAsia"/>
          <w:szCs w:val="21"/>
          <w:lang w:val="en-US" w:eastAsia="zh-CN"/>
        </w:rPr>
        <w:t>张江林</w:t>
      </w:r>
      <w:r>
        <w:rPr>
          <w:rFonts w:hint="eastAsia" w:ascii="Times New Roman"/>
          <w:szCs w:val="21"/>
        </w:rPr>
        <w:t>、</w:t>
      </w:r>
      <w:r>
        <w:rPr>
          <w:rFonts w:ascii="Times New Roman"/>
          <w:szCs w:val="21"/>
        </w:rPr>
        <w:t>孙梅、</w:t>
      </w:r>
      <w:r>
        <w:rPr>
          <w:rFonts w:hint="eastAsia" w:ascii="Times New Roman"/>
          <w:szCs w:val="21"/>
        </w:rPr>
        <w:t>龙泽东、李冬初、</w:t>
      </w:r>
      <w:r>
        <w:rPr>
          <w:rFonts w:hint="eastAsia"/>
          <w:szCs w:val="21"/>
          <w:lang w:val="en-US" w:eastAsia="zh-CN"/>
        </w:rPr>
        <w:t>吴岳廷</w:t>
      </w:r>
      <w:r>
        <w:rPr>
          <w:rFonts w:ascii="Times New Roman"/>
          <w:szCs w:val="21"/>
        </w:rPr>
        <w:t>、</w:t>
      </w:r>
      <w:r>
        <w:rPr>
          <w:rFonts w:hint="eastAsia" w:ascii="Times New Roman"/>
          <w:szCs w:val="21"/>
        </w:rPr>
        <w:t>文炯、方升亮、</w:t>
      </w:r>
      <w:r>
        <w:rPr>
          <w:rFonts w:hint="eastAsia"/>
          <w:szCs w:val="21"/>
          <w:lang w:val="en-US" w:eastAsia="zh-CN"/>
        </w:rPr>
        <w:t>余泓、邓岚、张艳峰</w:t>
      </w:r>
    </w:p>
    <w:p>
      <w:pPr>
        <w:widowControl/>
        <w:adjustRightInd/>
        <w:spacing w:line="240" w:lineRule="auto"/>
        <w:jc w:val="left"/>
        <w:rPr>
          <w:color w:val="auto"/>
        </w:rPr>
      </w:pPr>
    </w:p>
    <w:p>
      <w:pPr>
        <w:widowControl/>
        <w:adjustRightInd/>
        <w:spacing w:line="240" w:lineRule="auto"/>
        <w:jc w:val="left"/>
        <w:rPr>
          <w:color w:val="auto"/>
        </w:rPr>
      </w:pPr>
    </w:p>
    <w:p>
      <w:pPr>
        <w:widowControl/>
        <w:adjustRightInd/>
        <w:spacing w:line="240" w:lineRule="auto"/>
        <w:jc w:val="left"/>
        <w:rPr>
          <w:color w:val="auto"/>
        </w:rPr>
      </w:pPr>
    </w:p>
    <w:p>
      <w:pPr>
        <w:widowControl/>
        <w:adjustRightInd/>
        <w:spacing w:line="240" w:lineRule="auto"/>
        <w:jc w:val="left"/>
        <w:rPr>
          <w:color w:val="auto"/>
        </w:rPr>
      </w:pPr>
    </w:p>
    <w:p>
      <w:pPr>
        <w:widowControl/>
        <w:adjustRightInd/>
        <w:spacing w:line="240" w:lineRule="auto"/>
        <w:jc w:val="left"/>
        <w:rPr>
          <w:rFonts w:ascii="宋体" w:hAnsi="Times New Roman"/>
          <w:color w:val="auto"/>
          <w:kern w:val="0"/>
          <w:szCs w:val="20"/>
        </w:rPr>
      </w:pPr>
      <w:r>
        <w:rPr>
          <w:color w:val="auto"/>
        </w:rPr>
        <w:br w:type="page"/>
      </w:r>
    </w:p>
    <w:bookmarkEnd w:id="18"/>
    <w:p>
      <w:pPr>
        <w:spacing w:line="20" w:lineRule="exact"/>
        <w:jc w:val="center"/>
        <w:rPr>
          <w:rFonts w:ascii="黑体" w:hAnsi="黑体" w:eastAsia="黑体"/>
          <w:color w:val="auto"/>
          <w:sz w:val="32"/>
          <w:szCs w:val="32"/>
        </w:rPr>
      </w:pPr>
      <w:bookmarkStart w:id="19" w:name="BookMark4"/>
    </w:p>
    <w:p>
      <w:pPr>
        <w:spacing w:line="20" w:lineRule="exact"/>
        <w:jc w:val="center"/>
        <w:rPr>
          <w:rFonts w:ascii="黑体" w:hAnsi="黑体" w:eastAsia="黑体"/>
          <w:color w:val="auto"/>
          <w:sz w:val="32"/>
          <w:szCs w:val="32"/>
        </w:rPr>
      </w:pPr>
    </w:p>
    <w:sdt>
      <w:sdtPr>
        <w:rPr>
          <w:color w:val="auto"/>
        </w:rPr>
        <w:tag w:val="NEW_STAND_NAME"/>
        <w:id w:val="595910757"/>
        <w:lock w:val="sdtLocked"/>
        <w:placeholder>
          <w:docPart w:val="5F3E82E502CA4F6FA236F4F804C8C97D"/>
        </w:placeholder>
      </w:sdtPr>
      <w:sdtEndPr>
        <w:rPr>
          <w:color w:val="auto"/>
        </w:rPr>
      </w:sdtEndPr>
      <w:sdtContent>
        <w:p>
          <w:pPr>
            <w:pStyle w:val="180"/>
            <w:spacing w:before="312" w:beforeLines="100" w:after="686" w:afterLines="220"/>
            <w:rPr>
              <w:color w:val="auto"/>
            </w:rPr>
          </w:pPr>
          <w:bookmarkStart w:id="20" w:name="NEW_STAND_NAME"/>
          <w:r>
            <w:rPr>
              <w:rFonts w:hint="eastAsia"/>
              <w:color w:val="auto"/>
              <w:lang w:val="en-US" w:eastAsia="zh-CN"/>
            </w:rPr>
            <w:t>红壤旱地板黏改良技术</w:t>
          </w:r>
          <w:r>
            <w:rPr>
              <w:rFonts w:hint="eastAsia"/>
              <w:color w:val="auto"/>
            </w:rPr>
            <w:t>规程</w:t>
          </w:r>
        </w:p>
      </w:sdtContent>
    </w:sdt>
    <w:bookmarkEnd w:id="20"/>
    <w:p>
      <w:pPr>
        <w:pStyle w:val="107"/>
        <w:spacing w:before="312" w:after="312"/>
        <w:rPr>
          <w:color w:val="auto"/>
        </w:rPr>
      </w:pPr>
      <w:bookmarkStart w:id="21" w:name="_Toc26718930"/>
      <w:bookmarkStart w:id="22" w:name="_Toc183772556"/>
      <w:bookmarkStart w:id="23" w:name="_Toc26648465"/>
      <w:bookmarkStart w:id="24" w:name="_Toc195632730"/>
      <w:bookmarkStart w:id="25" w:name="_Toc17233333"/>
      <w:bookmarkStart w:id="26" w:name="_Toc26986530"/>
      <w:bookmarkStart w:id="27" w:name="_Toc24884211"/>
      <w:bookmarkStart w:id="28" w:name="_Toc17233325"/>
      <w:bookmarkStart w:id="29" w:name="_Toc97191423"/>
      <w:bookmarkStart w:id="30" w:name="_Toc26986771"/>
      <w:bookmarkStart w:id="31" w:name="_Toc180423605"/>
      <w:bookmarkStart w:id="32" w:name="_Toc195632768"/>
      <w:bookmarkStart w:id="33" w:name="_Toc24884218"/>
      <w:r>
        <w:rPr>
          <w:rFonts w:hint="eastAsia"/>
          <w:color w:val="auto"/>
        </w:rPr>
        <w:t>范围</w:t>
      </w:r>
      <w:bookmarkEnd w:id="21"/>
      <w:bookmarkEnd w:id="22"/>
      <w:bookmarkEnd w:id="23"/>
      <w:bookmarkEnd w:id="24"/>
      <w:bookmarkEnd w:id="25"/>
      <w:bookmarkEnd w:id="26"/>
      <w:bookmarkEnd w:id="27"/>
      <w:bookmarkEnd w:id="28"/>
      <w:bookmarkEnd w:id="29"/>
      <w:bookmarkEnd w:id="30"/>
      <w:bookmarkEnd w:id="31"/>
      <w:bookmarkEnd w:id="32"/>
      <w:bookmarkEnd w:id="33"/>
    </w:p>
    <w:p>
      <w:pPr>
        <w:pStyle w:val="59"/>
        <w:ind w:firstLine="420"/>
        <w:rPr>
          <w:rFonts w:hint="eastAsia"/>
          <w:color w:val="auto"/>
        </w:rPr>
      </w:pPr>
      <w:bookmarkStart w:id="34" w:name="_Toc24884219"/>
      <w:bookmarkStart w:id="35" w:name="_Toc24884212"/>
      <w:bookmarkStart w:id="36" w:name="_Toc26648466"/>
      <w:bookmarkStart w:id="37" w:name="_Toc17233326"/>
      <w:bookmarkStart w:id="38" w:name="_Toc17233334"/>
      <w:r>
        <w:rPr>
          <w:rFonts w:hint="eastAsia"/>
          <w:color w:val="auto"/>
        </w:rPr>
        <w:t>本文件规定了红壤旱地板黏障碍诊断与分级、基本要求、改良技术、田间管理、效果评价、持续管理和档案记录。</w:t>
      </w:r>
    </w:p>
    <w:p>
      <w:pPr>
        <w:pStyle w:val="59"/>
        <w:ind w:firstLine="420"/>
        <w:rPr>
          <w:rFonts w:hint="eastAsia"/>
          <w:color w:val="auto"/>
        </w:rPr>
      </w:pPr>
      <w:r>
        <w:rPr>
          <w:rFonts w:hint="eastAsia"/>
          <w:color w:val="auto"/>
        </w:rPr>
        <w:t>本文件适用于湖南省第四纪红色黏土、板页岩、石灰岩、紫色页岩及其他主要母质发育的红壤，包括坡耕地、缓坡地和梯田旱地；主要适用于玉米、油菜、花生和薯类等粮油作物，也可供果园、茶园等园地行间土壤改良参照使用。</w:t>
      </w:r>
    </w:p>
    <w:p>
      <w:pPr>
        <w:pStyle w:val="59"/>
        <w:ind w:firstLine="420"/>
        <w:rPr>
          <w:rFonts w:hint="eastAsia"/>
          <w:color w:val="auto"/>
        </w:rPr>
      </w:pPr>
      <w:r>
        <w:rPr>
          <w:rFonts w:hint="eastAsia"/>
          <w:color w:val="auto"/>
        </w:rPr>
        <w:t>本文件不适用于重金属污染土壤修复和以砂质土为主的红壤旱地。</w:t>
      </w:r>
    </w:p>
    <w:p>
      <w:pPr>
        <w:pStyle w:val="107"/>
        <w:spacing w:before="312" w:after="312"/>
        <w:rPr>
          <w:color w:val="auto"/>
        </w:rPr>
      </w:pPr>
      <w:bookmarkStart w:id="39" w:name="_Toc26986772"/>
      <w:bookmarkStart w:id="40" w:name="_Toc180423606"/>
      <w:bookmarkStart w:id="41" w:name="_Toc183772557"/>
      <w:bookmarkStart w:id="42" w:name="_Toc26986531"/>
      <w:bookmarkStart w:id="43" w:name="_Toc97191424"/>
      <w:bookmarkStart w:id="44" w:name="_Toc195632731"/>
      <w:bookmarkStart w:id="45" w:name="_Toc26718931"/>
      <w:bookmarkStart w:id="46" w:name="_Toc195632769"/>
      <w:r>
        <w:rPr>
          <w:rFonts w:hint="eastAsia"/>
          <w:color w:val="auto"/>
        </w:rPr>
        <w:t>规范性引用文件</w:t>
      </w:r>
      <w:bookmarkEnd w:id="34"/>
      <w:bookmarkEnd w:id="35"/>
      <w:bookmarkEnd w:id="36"/>
      <w:bookmarkEnd w:id="37"/>
      <w:bookmarkEnd w:id="38"/>
      <w:bookmarkEnd w:id="39"/>
      <w:bookmarkEnd w:id="40"/>
      <w:bookmarkEnd w:id="41"/>
      <w:bookmarkEnd w:id="42"/>
      <w:bookmarkEnd w:id="43"/>
      <w:bookmarkEnd w:id="44"/>
      <w:bookmarkEnd w:id="45"/>
      <w:bookmarkEnd w:id="46"/>
    </w:p>
    <w:sdt>
      <w:sdtPr>
        <w:rPr>
          <w:rFonts w:hint="eastAsia"/>
          <w:color w:val="auto"/>
        </w:rPr>
        <w:id w:val="715848253"/>
        <w:placeholder>
          <w:docPart w:val="401C9F6705B84978938AA067EE78D958"/>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color w:val="auto"/>
        </w:rPr>
      </w:sdtEndPr>
      <w:sdtContent>
        <w:p>
          <w:pPr>
            <w:pStyle w:val="59"/>
            <w:ind w:firstLine="420"/>
            <w:rPr>
              <w:color w:val="auto"/>
            </w:rPr>
          </w:pPr>
          <w:r>
            <w:rPr>
              <w:rFonts w:hint="eastAsia"/>
              <w:color w:val="auto"/>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59"/>
        <w:ind w:firstLine="420"/>
        <w:rPr>
          <w:rFonts w:hint="eastAsia"/>
          <w:color w:val="auto"/>
        </w:rPr>
      </w:pPr>
      <w:r>
        <w:rPr>
          <w:rFonts w:hint="eastAsia"/>
          <w:color w:val="auto"/>
        </w:rPr>
        <w:t>GB 5084  农田灌溉水质标准</w:t>
      </w:r>
    </w:p>
    <w:p>
      <w:pPr>
        <w:pStyle w:val="59"/>
        <w:ind w:firstLine="420"/>
        <w:rPr>
          <w:rFonts w:hint="eastAsia"/>
          <w:color w:val="auto"/>
        </w:rPr>
      </w:pPr>
      <w:r>
        <w:rPr>
          <w:rFonts w:hint="eastAsia"/>
          <w:color w:val="auto"/>
        </w:rPr>
        <w:t>GB/T 8321（所有部分）  农药合理使用准则</w:t>
      </w:r>
    </w:p>
    <w:p>
      <w:pPr>
        <w:pStyle w:val="59"/>
        <w:ind w:firstLine="420"/>
        <w:rPr>
          <w:rFonts w:hint="eastAsia"/>
          <w:color w:val="auto"/>
        </w:rPr>
      </w:pPr>
      <w:r>
        <w:rPr>
          <w:rFonts w:hint="eastAsia"/>
          <w:color w:val="auto"/>
        </w:rPr>
        <w:t>NY/T 496  肥料合理使用准则  通则</w:t>
      </w:r>
    </w:p>
    <w:p>
      <w:pPr>
        <w:pStyle w:val="59"/>
        <w:ind w:firstLine="420"/>
        <w:rPr>
          <w:rFonts w:hint="eastAsia"/>
          <w:color w:val="auto"/>
        </w:rPr>
      </w:pPr>
      <w:r>
        <w:rPr>
          <w:rFonts w:hint="eastAsia"/>
          <w:color w:val="auto"/>
        </w:rPr>
        <w:t>NY/T 525  有机肥料</w:t>
      </w:r>
    </w:p>
    <w:p>
      <w:pPr>
        <w:pStyle w:val="59"/>
        <w:ind w:firstLine="420"/>
        <w:rPr>
          <w:rFonts w:hint="eastAsia"/>
          <w:color w:val="auto"/>
        </w:rPr>
      </w:pPr>
      <w:r>
        <w:rPr>
          <w:rFonts w:hint="eastAsia"/>
          <w:color w:val="auto"/>
        </w:rPr>
        <w:t>NY/T 1121.2  土壤检测  第2部分：土壤pH的测定</w:t>
      </w:r>
    </w:p>
    <w:p>
      <w:pPr>
        <w:pStyle w:val="59"/>
        <w:ind w:firstLine="420"/>
        <w:rPr>
          <w:rFonts w:hint="eastAsia"/>
          <w:color w:val="auto"/>
        </w:rPr>
      </w:pPr>
      <w:r>
        <w:rPr>
          <w:rFonts w:hint="eastAsia"/>
          <w:color w:val="auto"/>
        </w:rPr>
        <w:t>NY/T 1121.3  土壤检测  第3部分：土壤机械组成的测定</w:t>
      </w:r>
    </w:p>
    <w:p>
      <w:pPr>
        <w:pStyle w:val="59"/>
        <w:ind w:firstLine="420"/>
        <w:rPr>
          <w:rFonts w:hint="eastAsia"/>
          <w:color w:val="auto"/>
        </w:rPr>
      </w:pPr>
      <w:r>
        <w:rPr>
          <w:rFonts w:hint="eastAsia"/>
          <w:color w:val="auto"/>
        </w:rPr>
        <w:t>NY/T 1121.4  土壤检测  第4部分：土壤容重的测定</w:t>
      </w:r>
    </w:p>
    <w:p>
      <w:pPr>
        <w:pStyle w:val="59"/>
        <w:ind w:firstLine="420"/>
        <w:rPr>
          <w:rFonts w:hint="eastAsia"/>
          <w:color w:val="auto"/>
        </w:rPr>
      </w:pPr>
      <w:r>
        <w:rPr>
          <w:rFonts w:hint="eastAsia"/>
          <w:color w:val="auto"/>
        </w:rPr>
        <w:t>NY/T 1121.6  土壤检测  第6部分：土壤有机质的测定</w:t>
      </w:r>
    </w:p>
    <w:p>
      <w:pPr>
        <w:pStyle w:val="59"/>
        <w:ind w:firstLine="420"/>
        <w:rPr>
          <w:rFonts w:hint="eastAsia"/>
          <w:color w:val="auto"/>
        </w:rPr>
      </w:pPr>
      <w:r>
        <w:rPr>
          <w:rFonts w:hint="eastAsia"/>
          <w:color w:val="auto"/>
        </w:rPr>
        <w:t>NY/T 1121.19  土壤检测  第19部分：土壤水稳性大团聚体组成的测定</w:t>
      </w:r>
    </w:p>
    <w:p>
      <w:pPr>
        <w:pStyle w:val="59"/>
        <w:ind w:firstLine="420"/>
        <w:rPr>
          <w:rFonts w:hint="eastAsia"/>
          <w:color w:val="auto"/>
        </w:rPr>
      </w:pPr>
      <w:r>
        <w:rPr>
          <w:rFonts w:hint="eastAsia"/>
          <w:color w:val="auto"/>
        </w:rPr>
        <w:t>NY/T 1868  肥料合理使用准则  有机肥料</w:t>
      </w:r>
    </w:p>
    <w:p>
      <w:pPr>
        <w:pStyle w:val="107"/>
        <w:spacing w:before="312" w:after="312"/>
        <w:rPr>
          <w:color w:val="auto"/>
        </w:rPr>
      </w:pPr>
      <w:bookmarkStart w:id="47" w:name="_Toc180423607"/>
      <w:bookmarkStart w:id="48" w:name="_Toc195632732"/>
      <w:bookmarkStart w:id="49" w:name="_Toc183772558"/>
      <w:bookmarkStart w:id="50" w:name="_Toc195632770"/>
      <w:bookmarkStart w:id="51" w:name="_Toc97191425"/>
      <w:r>
        <w:rPr>
          <w:rFonts w:hint="eastAsia"/>
          <w:color w:val="auto"/>
          <w:szCs w:val="21"/>
        </w:rPr>
        <w:t>术语和定义</w:t>
      </w:r>
      <w:bookmarkEnd w:id="47"/>
      <w:bookmarkEnd w:id="48"/>
      <w:bookmarkEnd w:id="49"/>
      <w:bookmarkEnd w:id="50"/>
      <w:bookmarkEnd w:id="51"/>
    </w:p>
    <w:sdt>
      <w:sdtPr>
        <w:rPr>
          <w:color w:val="auto"/>
        </w:rPr>
        <w:id w:val="-1"/>
        <w:placeholder>
          <w:docPart w:val="A3AAA07809BA4C149E35C73AD3610E3D"/>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color w:val="auto"/>
        </w:rPr>
      </w:sdtEndPr>
      <w:sdtContent>
        <w:p>
          <w:pPr>
            <w:pStyle w:val="59"/>
            <w:ind w:firstLine="420"/>
            <w:rPr>
              <w:color w:val="auto"/>
            </w:rPr>
          </w:pPr>
          <w:bookmarkStart w:id="52" w:name="_Toc26986532"/>
          <w:bookmarkEnd w:id="52"/>
          <w:bookmarkStart w:id="53" w:name="_Hlk188714369"/>
          <w:r>
            <w:rPr>
              <w:rFonts w:ascii="宋体" w:hAnsi="Times New Roman" w:eastAsia="宋体" w:cs="Times New Roman"/>
              <w:color w:val="auto"/>
              <w:sz w:val="21"/>
              <w:lang w:val="en-US" w:eastAsia="zh-CN" w:bidi="ar-SA"/>
            </w:rPr>
            <w:t>下列术语和定义适用于本文件。</w:t>
          </w:r>
        </w:p>
      </w:sdtContent>
    </w:sdt>
    <w:bookmarkEnd w:id="53"/>
    <w:p>
      <w:pPr>
        <w:pStyle w:val="108"/>
        <w:keepNext/>
      </w:pPr>
      <w:bookmarkStart w:id="54" w:name="_Toc195632733"/>
      <w:bookmarkStart w:id="55" w:name="_Toc180423608"/>
      <w:bookmarkStart w:id="56" w:name="_Toc183772559"/>
      <w:bookmarkStart w:id="57" w:name="_Toc195632771"/>
      <w:r>
        <w:rPr>
          <w:rFonts w:ascii="Times New Roman" w:hAnsi="Times New Roman" w:eastAsia="黑体"/>
        </w:rPr>
        <w:t>红壤旱地  red soil upland</w:t>
      </w:r>
    </w:p>
    <w:p>
      <w:pPr>
        <w:pStyle w:val="59"/>
        <w:keepLines w:val="0"/>
        <w:widowControl/>
      </w:pPr>
      <w:r>
        <w:rPr>
          <w:rFonts w:ascii="Times New Roman" w:hAnsi="Times New Roman" w:eastAsia="宋体"/>
        </w:rPr>
        <w:t>以红壤为主要土壤类型，依靠降水或旱作灌溉进行作物生产且不保持长期淹水状态的耕地。</w:t>
      </w:r>
    </w:p>
    <w:p>
      <w:pPr>
        <w:pStyle w:val="108"/>
        <w:keepNext/>
      </w:pPr>
      <w:r>
        <w:rPr>
          <w:rFonts w:ascii="Times New Roman" w:hAnsi="Times New Roman" w:eastAsia="黑体"/>
        </w:rPr>
        <w:t>板黏障碍  compaction and stickiness constraint</w:t>
      </w:r>
    </w:p>
    <w:p>
      <w:pPr>
        <w:pStyle w:val="59"/>
        <w:keepLines w:val="0"/>
        <w:widowControl/>
      </w:pPr>
      <w:r>
        <w:rPr>
          <w:rFonts w:ascii="Times New Roman" w:hAnsi="Times New Roman" w:eastAsia="宋体"/>
        </w:rPr>
        <w:t>土壤黏粒含量较高，并因机械压实、有机物料投入不足或不合理耕作等导致耕层浅薄、土体紧实、干时板结、湿时黏重，进而限制通气、入渗、根系生长和养分</w:t>
      </w:r>
      <w:r>
        <w:rPr>
          <w:rFonts w:hint="eastAsia"/>
          <w:lang w:val="en-US" w:eastAsia="zh-CN"/>
        </w:rPr>
        <w:t>高效</w:t>
      </w:r>
      <w:r>
        <w:rPr>
          <w:rFonts w:ascii="Times New Roman" w:hAnsi="Times New Roman" w:eastAsia="宋体"/>
        </w:rPr>
        <w:t>利用的结构性障碍。</w:t>
      </w:r>
    </w:p>
    <w:p>
      <w:pPr>
        <w:pStyle w:val="108"/>
        <w:keepNext/>
      </w:pPr>
      <w:r>
        <w:rPr>
          <w:rFonts w:ascii="Times New Roman" w:hAnsi="Times New Roman" w:eastAsia="黑体"/>
        </w:rPr>
        <w:t>水稳性团聚体  water-stable aggregate</w:t>
      </w:r>
    </w:p>
    <w:p>
      <w:pPr>
        <w:pStyle w:val="59"/>
        <w:keepLines w:val="0"/>
        <w:widowControl/>
      </w:pPr>
      <w:r>
        <w:rPr>
          <w:rFonts w:ascii="Times New Roman" w:hAnsi="Times New Roman" w:eastAsia="宋体"/>
        </w:rPr>
        <w:t>在水的作用下仍能保持结构稳定的土壤团聚体。</w:t>
      </w:r>
    </w:p>
    <w:p>
      <w:pPr>
        <w:pStyle w:val="108"/>
        <w:keepNext/>
      </w:pPr>
      <w:r>
        <w:rPr>
          <w:rFonts w:ascii="Times New Roman" w:hAnsi="Times New Roman" w:eastAsia="黑体"/>
        </w:rPr>
        <w:t>绿肥驱动型改良  green-manure-driven amelioration</w:t>
      </w:r>
    </w:p>
    <w:p>
      <w:pPr>
        <w:pStyle w:val="59"/>
        <w:keepLines w:val="0"/>
        <w:widowControl/>
      </w:pPr>
      <w:r>
        <w:rPr>
          <w:rFonts w:ascii="Times New Roman" w:hAnsi="Times New Roman" w:eastAsia="宋体"/>
        </w:rPr>
        <w:t>以冬季绿肥种植和适期翻压为核心，协同深松深翻、有机物料投入、养分与水分调控，促进有机碳积累和团聚体形成的土壤结构改良方式。</w:t>
      </w:r>
    </w:p>
    <w:p>
      <w:pPr>
        <w:pStyle w:val="107"/>
        <w:spacing w:before="312" w:after="312"/>
        <w:rPr>
          <w:color w:val="auto"/>
        </w:rPr>
      </w:pPr>
      <w:r>
        <w:rPr>
          <w:color w:val="auto"/>
        </w:rPr>
        <w:t>基本要求</w:t>
      </w:r>
      <w:bookmarkEnd w:id="54"/>
      <w:bookmarkEnd w:id="55"/>
      <w:bookmarkEnd w:id="56"/>
      <w:bookmarkEnd w:id="57"/>
    </w:p>
    <w:p>
      <w:pPr>
        <w:pStyle w:val="108"/>
        <w:keepNext/>
      </w:pPr>
      <w:bookmarkStart w:id="58" w:name="_Hlk188714409"/>
      <w:bookmarkStart w:id="59" w:name="_Toc180423611"/>
      <w:bookmarkStart w:id="60" w:name="_Toc183772562"/>
      <w:r>
        <w:rPr>
          <w:rFonts w:ascii="Times New Roman" w:hAnsi="Times New Roman" w:eastAsia="黑体"/>
        </w:rPr>
        <w:t>因地制宜</w:t>
      </w:r>
    </w:p>
    <w:p>
      <w:pPr>
        <w:pStyle w:val="59"/>
        <w:keepLines w:val="0"/>
        <w:widowControl/>
      </w:pPr>
      <w:r>
        <w:rPr>
          <w:rFonts w:ascii="Times New Roman" w:hAnsi="Times New Roman" w:eastAsia="宋体"/>
        </w:rPr>
        <w:t>改良前应调查成土母质、地形坡度、耕作制度、排灌条件、历史施肥和机械作业情况，并按第5章进行诊断。应根据障碍程度、作物制度和机械条件确定改良模式，不应仅依据单一指标作出结论。</w:t>
      </w:r>
    </w:p>
    <w:p>
      <w:pPr>
        <w:pStyle w:val="108"/>
        <w:keepNext/>
      </w:pPr>
      <w:r>
        <w:rPr>
          <w:rFonts w:ascii="Times New Roman" w:hAnsi="Times New Roman" w:eastAsia="黑体"/>
        </w:rPr>
        <w:t>农机作业条件</w:t>
      </w:r>
    </w:p>
    <w:p>
      <w:pPr>
        <w:pStyle w:val="59"/>
        <w:keepLines w:val="0"/>
        <w:widowControl/>
      </w:pPr>
      <w:r>
        <w:rPr>
          <w:rFonts w:ascii="Times New Roman" w:hAnsi="Times New Roman" w:eastAsia="宋体"/>
        </w:rPr>
        <w:t>深松、深翻和翻压作业应在土壤含水量适宜、机械不明显打滑且土体不黏附成块时进行。土壤过湿、积水或强降雨前不应进行重型机械作业。坡地作业应采取等高作业、保留地表覆盖等水土保持措施。</w:t>
      </w:r>
    </w:p>
    <w:p>
      <w:pPr>
        <w:pStyle w:val="108"/>
        <w:keepNext/>
      </w:pPr>
      <w:r>
        <w:rPr>
          <w:rFonts w:ascii="Times New Roman" w:hAnsi="Times New Roman" w:eastAsia="黑体"/>
        </w:rPr>
        <w:t>投入品安全</w:t>
      </w:r>
    </w:p>
    <w:p>
      <w:pPr>
        <w:pStyle w:val="59"/>
        <w:keepLines w:val="0"/>
        <w:widowControl/>
      </w:pPr>
      <w:r>
        <w:rPr>
          <w:rFonts w:ascii="Times New Roman" w:hAnsi="Times New Roman" w:eastAsia="宋体"/>
        </w:rPr>
        <w:t>绿肥种子应来源清楚，其纯度、净度、发芽率和水分应符合相应作物种子质量要求；商品有机肥料应符合NY/T 525的规定；肥料施用应符合NY/T 496和NY/T 1868的规定；灌溉水质量应符合GB 5084的规定。禁止施用未经无害化处理的畜禽粪便、城市污泥和来源不明的有机物料。</w:t>
      </w:r>
    </w:p>
    <w:p>
      <w:pPr>
        <w:pStyle w:val="108"/>
        <w:keepNext/>
      </w:pPr>
      <w:r>
        <w:rPr>
          <w:rFonts w:ascii="Times New Roman" w:hAnsi="Times New Roman" w:eastAsia="黑体"/>
        </w:rPr>
        <w:t>连续培育</w:t>
      </w:r>
    </w:p>
    <w:p>
      <w:pPr>
        <w:pStyle w:val="59"/>
        <w:keepLines w:val="0"/>
        <w:widowControl/>
      </w:pPr>
      <w:r>
        <w:rPr>
          <w:rFonts w:ascii="Times New Roman" w:hAnsi="Times New Roman" w:eastAsia="宋体"/>
        </w:rPr>
        <w:t>板黏改良宜连续实施2年～3年。深松深翻用于破除紧实层，绿肥和有机物料用于维持团聚体与有机碳，应</w:t>
      </w:r>
      <w:r>
        <w:rPr>
          <w:rFonts w:hint="eastAsia"/>
          <w:lang w:val="en-US" w:eastAsia="zh-CN"/>
        </w:rPr>
        <w:t>保持持续稳定增加有机物料投入</w:t>
      </w:r>
      <w:r>
        <w:rPr>
          <w:rFonts w:ascii="Times New Roman" w:hAnsi="Times New Roman" w:eastAsia="宋体"/>
        </w:rPr>
        <w:t>。</w:t>
      </w:r>
    </w:p>
    <w:bookmarkEnd w:id="58"/>
    <w:bookmarkEnd w:id="59"/>
    <w:bookmarkEnd w:id="60"/>
    <w:p>
      <w:pPr>
        <w:pStyle w:val="107"/>
        <w:spacing w:before="312" w:after="312"/>
      </w:pPr>
      <w:r>
        <w:rPr>
          <w:rFonts w:hint="eastAsia"/>
          <w:color w:val="auto"/>
        </w:rPr>
        <w:t>板黏障碍诊断与分级</w:t>
      </w:r>
    </w:p>
    <w:p>
      <w:pPr>
        <w:pStyle w:val="108"/>
        <w:keepNext/>
      </w:pPr>
      <w:r>
        <w:rPr>
          <w:rFonts w:ascii="Times New Roman" w:hAnsi="Times New Roman" w:eastAsia="黑体"/>
        </w:rPr>
        <w:t>调查与采样</w:t>
      </w:r>
    </w:p>
    <w:p>
      <w:pPr>
        <w:pStyle w:val="59"/>
        <w:keepLines w:val="0"/>
        <w:widowControl/>
      </w:pPr>
      <w:r>
        <w:rPr>
          <w:rFonts w:ascii="Times New Roman" w:hAnsi="Times New Roman" w:eastAsia="宋体"/>
        </w:rPr>
        <w:t>以相对一致的地形、土壤和管理单元作为一个评价单元。每个评价单元应采用“S”形或梅花形布点，设置不少于5个采样点；土壤样品采集深度为0～20 cm。耕层厚度和紧实层位置应在作物行间挖剖面或使用</w:t>
      </w:r>
      <w:r>
        <w:rPr>
          <w:rFonts w:hint="eastAsia"/>
          <w:lang w:val="en-US" w:eastAsia="zh-CN"/>
        </w:rPr>
        <w:t>紧实度仪</w:t>
      </w:r>
      <w:r>
        <w:rPr>
          <w:rFonts w:ascii="Times New Roman" w:hAnsi="Times New Roman" w:eastAsia="宋体"/>
        </w:rPr>
        <w:t>测定。</w:t>
      </w:r>
    </w:p>
    <w:p>
      <w:pPr>
        <w:pStyle w:val="108"/>
        <w:keepNext/>
      </w:pPr>
      <w:r>
        <w:rPr>
          <w:rFonts w:ascii="Times New Roman" w:hAnsi="Times New Roman" w:eastAsia="黑体"/>
        </w:rPr>
        <w:t>诊断指标</w:t>
      </w:r>
    </w:p>
    <w:p>
      <w:pPr>
        <w:pStyle w:val="59"/>
        <w:keepLines w:val="0"/>
        <w:widowControl/>
      </w:pPr>
      <w:r>
        <w:rPr>
          <w:rFonts w:ascii="Times New Roman" w:hAnsi="Times New Roman" w:eastAsia="宋体"/>
        </w:rPr>
        <w:t>主要指标包括耕层厚度、土壤容重和＞0.25 mm水稳性团聚体含量；辅助指标包括土壤黏粒含量、贯入阻力、总孔隙度、有机质和地表积水或径流状况。土壤容重、机械组成、有机质和水稳性团聚体分别按NY/T 1121.4、NY/T 1121.3、NY/T 1121.6和NY/T 1121.19测定。</w:t>
      </w:r>
    </w:p>
    <w:p>
      <w:pPr>
        <w:pStyle w:val="108"/>
        <w:keepNext/>
      </w:pPr>
      <w:r>
        <w:rPr>
          <w:rFonts w:ascii="Times New Roman" w:hAnsi="Times New Roman" w:eastAsia="黑体"/>
        </w:rPr>
        <w:t>障碍分级</w:t>
      </w:r>
    </w:p>
    <w:p>
      <w:pPr>
        <w:pStyle w:val="59"/>
        <w:keepLines w:val="0"/>
        <w:widowControl/>
      </w:pPr>
      <w:r>
        <w:rPr>
          <w:rFonts w:ascii="Times New Roman" w:hAnsi="Times New Roman" w:eastAsia="宋体"/>
        </w:rPr>
        <w:t>红壤旱地板黏障碍程度分为轻度、中度和重度，判定参考阈值见表1。一个评价单元中，主要指标有2项达到同一等级时，判定为该等级；主要指标等级不一致时，宜结合根系下扎、降雨后积水和贯入阻力等现场表现，按限制程度较高的等级确定。土壤黏粒含量≥35 %可作为黏重属性的佐证，不单独用于确定障碍等级。</w:t>
      </w:r>
    </w:p>
    <w:p>
      <w:pPr>
        <w:pStyle w:val="115"/>
        <w:keepNext/>
      </w:pPr>
      <w:r>
        <w:rPr>
          <w:rFonts w:ascii="Times New Roman" w:hAnsi="Times New Roman" w:eastAsia="黑体"/>
        </w:rPr>
        <w:t>红壤旱地板黏障碍程度判定参考阈值</w:t>
      </w:r>
    </w:p>
    <w:tbl>
      <w:tblPr>
        <w:tblStyle w:val="36"/>
        <w:tblW w:w="950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00"/>
        <w:gridCol w:w="1500"/>
        <w:gridCol w:w="1500"/>
        <w:gridCol w:w="1500"/>
        <w:gridCol w:w="27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blHeader/>
          <w:jc w:val="center"/>
        </w:trPr>
        <w:tc>
          <w:tcPr>
            <w:tcW w:w="2300" w:type="dxa"/>
            <w:shd w:val="clear" w:color="auto" w:fill="auto"/>
            <w:tcMar>
              <w:top w:w="80" w:type="dxa"/>
              <w:left w:w="100" w:type="dxa"/>
              <w:bottom w:w="80" w:type="dxa"/>
              <w:right w:w="100" w:type="dxa"/>
            </w:tcMar>
            <w:vAlign w:val="center"/>
          </w:tcPr>
          <w:p>
            <w:pPr>
              <w:spacing w:before="0" w:after="0" w:line="240" w:lineRule="auto"/>
              <w:jc w:val="center"/>
            </w:pPr>
            <w:r>
              <w:rPr>
                <w:rFonts w:ascii="Times New Roman" w:hAnsi="Times New Roman" w:eastAsia="黑体"/>
                <w:b/>
                <w:sz w:val="18"/>
              </w:rPr>
              <w:t>指标</w:t>
            </w:r>
          </w:p>
        </w:tc>
        <w:tc>
          <w:tcPr>
            <w:tcW w:w="1500" w:type="dxa"/>
            <w:shd w:val="clear" w:color="auto" w:fill="auto"/>
            <w:tcMar>
              <w:top w:w="80" w:type="dxa"/>
              <w:left w:w="100" w:type="dxa"/>
              <w:bottom w:w="80" w:type="dxa"/>
              <w:right w:w="100" w:type="dxa"/>
            </w:tcMar>
            <w:vAlign w:val="center"/>
          </w:tcPr>
          <w:p>
            <w:pPr>
              <w:spacing w:before="0" w:after="0" w:line="240" w:lineRule="auto"/>
              <w:jc w:val="center"/>
            </w:pPr>
            <w:r>
              <w:rPr>
                <w:rFonts w:ascii="Times New Roman" w:hAnsi="Times New Roman" w:eastAsia="黑体"/>
                <w:b/>
                <w:sz w:val="18"/>
              </w:rPr>
              <w:t>轻度</w:t>
            </w:r>
          </w:p>
        </w:tc>
        <w:tc>
          <w:tcPr>
            <w:tcW w:w="1500" w:type="dxa"/>
            <w:shd w:val="clear" w:color="auto" w:fill="auto"/>
            <w:tcMar>
              <w:top w:w="80" w:type="dxa"/>
              <w:left w:w="100" w:type="dxa"/>
              <w:bottom w:w="80" w:type="dxa"/>
              <w:right w:w="100" w:type="dxa"/>
            </w:tcMar>
            <w:vAlign w:val="center"/>
          </w:tcPr>
          <w:p>
            <w:pPr>
              <w:spacing w:before="0" w:after="0" w:line="240" w:lineRule="auto"/>
              <w:jc w:val="center"/>
            </w:pPr>
            <w:r>
              <w:rPr>
                <w:rFonts w:ascii="Times New Roman" w:hAnsi="Times New Roman" w:eastAsia="黑体"/>
                <w:b/>
                <w:sz w:val="18"/>
              </w:rPr>
              <w:t>中度</w:t>
            </w:r>
          </w:p>
        </w:tc>
        <w:tc>
          <w:tcPr>
            <w:tcW w:w="1500" w:type="dxa"/>
            <w:shd w:val="clear" w:color="auto" w:fill="auto"/>
            <w:tcMar>
              <w:top w:w="80" w:type="dxa"/>
              <w:left w:w="100" w:type="dxa"/>
              <w:bottom w:w="80" w:type="dxa"/>
              <w:right w:w="100" w:type="dxa"/>
            </w:tcMar>
            <w:vAlign w:val="center"/>
          </w:tcPr>
          <w:p>
            <w:pPr>
              <w:spacing w:before="0" w:after="0" w:line="240" w:lineRule="auto"/>
              <w:jc w:val="center"/>
            </w:pPr>
            <w:r>
              <w:rPr>
                <w:rFonts w:ascii="Times New Roman" w:hAnsi="Times New Roman" w:eastAsia="黑体"/>
                <w:b/>
                <w:sz w:val="18"/>
              </w:rPr>
              <w:t>重度</w:t>
            </w:r>
          </w:p>
        </w:tc>
        <w:tc>
          <w:tcPr>
            <w:tcW w:w="2700" w:type="dxa"/>
            <w:shd w:val="clear" w:color="auto" w:fill="auto"/>
            <w:tcMar>
              <w:top w:w="80" w:type="dxa"/>
              <w:left w:w="100" w:type="dxa"/>
              <w:bottom w:w="80" w:type="dxa"/>
              <w:right w:w="100" w:type="dxa"/>
            </w:tcMar>
            <w:vAlign w:val="center"/>
          </w:tcPr>
          <w:p>
            <w:pPr>
              <w:spacing w:before="0" w:after="0" w:line="240" w:lineRule="auto"/>
              <w:jc w:val="center"/>
            </w:pPr>
            <w:r>
              <w:rPr>
                <w:rFonts w:ascii="Times New Roman" w:hAnsi="Times New Roman" w:eastAsia="黑体"/>
                <w:b/>
                <w:sz w:val="18"/>
              </w:rPr>
              <w:t>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2300" w:type="dxa"/>
            <w:tcMar>
              <w:top w:w="80" w:type="dxa"/>
              <w:left w:w="100" w:type="dxa"/>
              <w:bottom w:w="80" w:type="dxa"/>
              <w:right w:w="100" w:type="dxa"/>
            </w:tcMar>
            <w:vAlign w:val="center"/>
          </w:tcPr>
          <w:p>
            <w:pPr>
              <w:spacing w:before="0" w:after="0" w:line="240" w:lineRule="auto"/>
              <w:jc w:val="center"/>
            </w:pPr>
            <w:r>
              <w:rPr>
                <w:rFonts w:ascii="Times New Roman" w:hAnsi="Times New Roman" w:eastAsia="宋体"/>
                <w:sz w:val="18"/>
              </w:rPr>
              <w:t>耕层厚度/cm</w:t>
            </w:r>
          </w:p>
        </w:tc>
        <w:tc>
          <w:tcPr>
            <w:tcW w:w="15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18～＜20</w:t>
            </w:r>
          </w:p>
        </w:tc>
        <w:tc>
          <w:tcPr>
            <w:tcW w:w="15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15～＜18</w:t>
            </w:r>
          </w:p>
        </w:tc>
        <w:tc>
          <w:tcPr>
            <w:tcW w:w="15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＜15</w:t>
            </w:r>
          </w:p>
        </w:tc>
        <w:tc>
          <w:tcPr>
            <w:tcW w:w="27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测至明显犁底层或紧实层上界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2300" w:type="dxa"/>
            <w:tcMar>
              <w:top w:w="80" w:type="dxa"/>
              <w:left w:w="100" w:type="dxa"/>
              <w:bottom w:w="80" w:type="dxa"/>
              <w:right w:w="100" w:type="dxa"/>
            </w:tcMar>
            <w:vAlign w:val="center"/>
          </w:tcPr>
          <w:p>
            <w:pPr>
              <w:spacing w:before="0" w:after="0" w:line="240" w:lineRule="auto"/>
              <w:jc w:val="center"/>
            </w:pPr>
            <w:r>
              <w:rPr>
                <w:rFonts w:ascii="Times New Roman" w:hAnsi="Times New Roman" w:eastAsia="宋体"/>
                <w:sz w:val="18"/>
              </w:rPr>
              <w:t>土壤容重/(g/cm³)</w:t>
            </w:r>
          </w:p>
        </w:tc>
        <w:tc>
          <w:tcPr>
            <w:tcW w:w="15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1.20～＜1.30</w:t>
            </w:r>
          </w:p>
        </w:tc>
        <w:tc>
          <w:tcPr>
            <w:tcW w:w="15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1.30～＜1.40</w:t>
            </w:r>
          </w:p>
        </w:tc>
        <w:tc>
          <w:tcPr>
            <w:tcW w:w="15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≥1.40</w:t>
            </w:r>
          </w:p>
        </w:tc>
        <w:tc>
          <w:tcPr>
            <w:tcW w:w="27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0～20 cm原状土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2300" w:type="dxa"/>
            <w:tcMar>
              <w:top w:w="80" w:type="dxa"/>
              <w:left w:w="100" w:type="dxa"/>
              <w:bottom w:w="80" w:type="dxa"/>
              <w:right w:w="100" w:type="dxa"/>
            </w:tcMar>
            <w:vAlign w:val="center"/>
          </w:tcPr>
          <w:p>
            <w:pPr>
              <w:spacing w:before="0" w:after="0" w:line="240" w:lineRule="auto"/>
              <w:jc w:val="center"/>
            </w:pPr>
            <w:r>
              <w:rPr>
                <w:rFonts w:ascii="Times New Roman" w:hAnsi="Times New Roman" w:eastAsia="宋体"/>
                <w:sz w:val="18"/>
              </w:rPr>
              <w:t>＞0.25 mm水稳性团聚体/%</w:t>
            </w:r>
          </w:p>
        </w:tc>
        <w:tc>
          <w:tcPr>
            <w:tcW w:w="15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50～＜60</w:t>
            </w:r>
          </w:p>
        </w:tc>
        <w:tc>
          <w:tcPr>
            <w:tcW w:w="15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40～＜50</w:t>
            </w:r>
          </w:p>
        </w:tc>
        <w:tc>
          <w:tcPr>
            <w:tcW w:w="15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＜40</w:t>
            </w:r>
          </w:p>
        </w:tc>
        <w:tc>
          <w:tcPr>
            <w:tcW w:w="27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按NY/T 1121.19测定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2300" w:type="dxa"/>
            <w:tcMar>
              <w:top w:w="80" w:type="dxa"/>
              <w:left w:w="100" w:type="dxa"/>
              <w:bottom w:w="80" w:type="dxa"/>
              <w:right w:w="100" w:type="dxa"/>
            </w:tcMar>
            <w:vAlign w:val="center"/>
          </w:tcPr>
          <w:p>
            <w:pPr>
              <w:spacing w:before="0" w:after="0" w:line="240" w:lineRule="auto"/>
              <w:jc w:val="center"/>
            </w:pPr>
            <w:r>
              <w:rPr>
                <w:rFonts w:ascii="Times New Roman" w:hAnsi="Times New Roman" w:eastAsia="宋体"/>
                <w:sz w:val="18"/>
              </w:rPr>
              <w:t>贯入阻力/MPa</w:t>
            </w:r>
          </w:p>
        </w:tc>
        <w:tc>
          <w:tcPr>
            <w:tcW w:w="15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1.0～＜2.0</w:t>
            </w:r>
          </w:p>
        </w:tc>
        <w:tc>
          <w:tcPr>
            <w:tcW w:w="15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2.0～＜3.0</w:t>
            </w:r>
          </w:p>
        </w:tc>
        <w:tc>
          <w:tcPr>
            <w:tcW w:w="15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≥3.0</w:t>
            </w:r>
          </w:p>
        </w:tc>
        <w:tc>
          <w:tcPr>
            <w:tcW w:w="27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在接近田间持水量时测定，作辅助指标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2300" w:type="dxa"/>
            <w:tcMar>
              <w:top w:w="80" w:type="dxa"/>
              <w:left w:w="100" w:type="dxa"/>
              <w:bottom w:w="80" w:type="dxa"/>
              <w:right w:w="100" w:type="dxa"/>
            </w:tcMar>
            <w:vAlign w:val="center"/>
          </w:tcPr>
          <w:p>
            <w:pPr>
              <w:spacing w:before="0" w:after="0" w:line="240" w:lineRule="auto"/>
              <w:jc w:val="center"/>
            </w:pPr>
            <w:r>
              <w:rPr>
                <w:rFonts w:ascii="Times New Roman" w:hAnsi="Times New Roman" w:eastAsia="宋体"/>
                <w:sz w:val="18"/>
              </w:rPr>
              <w:t>总孔隙度/%</w:t>
            </w:r>
          </w:p>
        </w:tc>
        <w:tc>
          <w:tcPr>
            <w:tcW w:w="15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50～＜55</w:t>
            </w:r>
          </w:p>
        </w:tc>
        <w:tc>
          <w:tcPr>
            <w:tcW w:w="15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45～＜50</w:t>
            </w:r>
          </w:p>
        </w:tc>
        <w:tc>
          <w:tcPr>
            <w:tcW w:w="15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＜45</w:t>
            </w:r>
          </w:p>
        </w:tc>
        <w:tc>
          <w:tcPr>
            <w:tcW w:w="27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作辅助指标</w:t>
            </w:r>
          </w:p>
        </w:tc>
      </w:tr>
    </w:tbl>
    <w:p>
      <w:pPr>
        <w:pStyle w:val="246"/>
        <w:keepLines w:val="0"/>
        <w:widowControl/>
      </w:pPr>
      <w:r>
        <w:rPr>
          <w:rFonts w:ascii="Times New Roman" w:hAnsi="Times New Roman" w:eastAsia="宋体"/>
        </w:rPr>
        <w:t>注：表中阈值用于改良前分类施策。对母质、作物制度或测定墒情差异较大的地块，宜结合当地长期监测资料校正。</w:t>
      </w:r>
    </w:p>
    <w:p>
      <w:pPr>
        <w:pStyle w:val="107"/>
        <w:spacing w:before="312" w:after="312"/>
        <w:rPr>
          <w:color w:val="auto"/>
        </w:rPr>
      </w:pPr>
      <w:bookmarkStart w:id="61" w:name="_Hlk188714532"/>
      <w:r>
        <w:rPr>
          <w:rFonts w:hint="eastAsia"/>
          <w:color w:val="auto"/>
          <w:lang w:val="en-US" w:eastAsia="zh-CN"/>
        </w:rPr>
        <w:t>改良技术</w:t>
      </w:r>
    </w:p>
    <w:p>
      <w:pPr>
        <w:pStyle w:val="108"/>
        <w:keepNext/>
      </w:pPr>
      <w:r>
        <w:rPr>
          <w:rFonts w:ascii="Times New Roman" w:hAnsi="Times New Roman" w:eastAsia="黑体"/>
        </w:rPr>
        <w:t>技术模式选择</w:t>
      </w:r>
    </w:p>
    <w:p>
      <w:pPr>
        <w:pStyle w:val="59"/>
        <w:keepLines w:val="0"/>
        <w:widowControl/>
      </w:pPr>
      <w:r>
        <w:rPr>
          <w:rFonts w:ascii="Times New Roman" w:hAnsi="Times New Roman" w:eastAsia="宋体"/>
        </w:rPr>
        <w:t>应以绿肥驱动型改良为基础，根据障碍程度配套深松深翻、有机物料和酸化协同调控。分级改良模式参见附录B。</w:t>
      </w:r>
    </w:p>
    <w:p>
      <w:pPr>
        <w:pStyle w:val="108"/>
        <w:keepNext/>
      </w:pPr>
      <w:r>
        <w:rPr>
          <w:rFonts w:ascii="Times New Roman" w:hAnsi="Times New Roman" w:eastAsia="黑体"/>
        </w:rPr>
        <w:t>机械破障</w:t>
      </w:r>
    </w:p>
    <w:p>
      <w:pPr>
        <w:pStyle w:val="68"/>
        <w:keepNext/>
      </w:pPr>
      <w:r>
        <w:rPr>
          <w:rFonts w:ascii="Times New Roman" w:hAnsi="Times New Roman" w:eastAsia="黑体"/>
        </w:rPr>
        <w:t>轻度障碍</w:t>
      </w:r>
    </w:p>
    <w:p>
      <w:pPr>
        <w:pStyle w:val="59"/>
        <w:keepLines w:val="0"/>
        <w:widowControl/>
      </w:pPr>
      <w:r>
        <w:rPr>
          <w:rFonts w:ascii="Times New Roman" w:hAnsi="Times New Roman" w:eastAsia="宋体"/>
        </w:rPr>
        <w:t>宜采用深翻或旋耕，作业深度18～22 cm；每2年～3年进行1次深松，深度25 cm左右。</w:t>
      </w:r>
    </w:p>
    <w:p>
      <w:pPr>
        <w:pStyle w:val="68"/>
        <w:keepNext/>
      </w:pPr>
      <w:r>
        <w:rPr>
          <w:rFonts w:ascii="Times New Roman" w:hAnsi="Times New Roman" w:eastAsia="黑体"/>
        </w:rPr>
        <w:t>中度障碍</w:t>
      </w:r>
    </w:p>
    <w:p>
      <w:pPr>
        <w:pStyle w:val="59"/>
        <w:keepLines w:val="0"/>
        <w:widowControl/>
      </w:pPr>
      <w:r>
        <w:rPr>
          <w:rFonts w:ascii="Times New Roman" w:hAnsi="Times New Roman" w:eastAsia="宋体"/>
        </w:rPr>
        <w:t>应进行深翻与深松配套作业。深翻深度20～25 cm；存在明显犁底层时，深松深度25～30 cm，深松间距根据机具和作物行距确定，作业后地表应基本平整。</w:t>
      </w:r>
    </w:p>
    <w:p>
      <w:pPr>
        <w:pStyle w:val="68"/>
        <w:keepNext/>
      </w:pPr>
      <w:r>
        <w:rPr>
          <w:rFonts w:ascii="Times New Roman" w:hAnsi="Times New Roman" w:eastAsia="黑体"/>
        </w:rPr>
        <w:t>重度障碍</w:t>
      </w:r>
    </w:p>
    <w:p>
      <w:pPr>
        <w:pStyle w:val="59"/>
        <w:keepLines w:val="0"/>
        <w:widowControl/>
      </w:pPr>
      <w:r>
        <w:rPr>
          <w:rFonts w:ascii="Times New Roman" w:hAnsi="Times New Roman" w:eastAsia="宋体"/>
        </w:rPr>
        <w:t>宜先深松后深翻。深松深度30～35 cm，深翻深度20～25 cm；不得将大量贫瘠心土翻至表层。坡度较大或侵蚀风险高的地块不宜全幅深翻，可采用条带深松、等高作业和覆盖保土。</w:t>
      </w:r>
    </w:p>
    <w:p>
      <w:pPr>
        <w:pStyle w:val="108"/>
        <w:keepNext/>
      </w:pPr>
      <w:r>
        <w:rPr>
          <w:rFonts w:ascii="Times New Roman" w:hAnsi="Times New Roman" w:eastAsia="黑体"/>
        </w:rPr>
        <w:t>冬季绿肥种植</w:t>
      </w:r>
    </w:p>
    <w:p>
      <w:pPr>
        <w:pStyle w:val="68"/>
        <w:keepNext/>
      </w:pPr>
      <w:r>
        <w:rPr>
          <w:rFonts w:ascii="Times New Roman" w:hAnsi="Times New Roman" w:eastAsia="黑体"/>
        </w:rPr>
        <w:t>品种选择</w:t>
      </w:r>
    </w:p>
    <w:p>
      <w:pPr>
        <w:pStyle w:val="59"/>
        <w:keepLines w:val="0"/>
        <w:widowControl/>
      </w:pPr>
      <w:r>
        <w:rPr>
          <w:rFonts w:ascii="Times New Roman" w:hAnsi="Times New Roman" w:eastAsia="宋体"/>
        </w:rPr>
        <w:t>宜选用</w:t>
      </w:r>
      <w:r>
        <w:rPr>
          <w:rFonts w:hint="eastAsia"/>
          <w:lang w:val="en-US" w:eastAsia="zh-CN"/>
        </w:rPr>
        <w:t>光</w:t>
      </w:r>
      <w:r>
        <w:rPr>
          <w:rFonts w:ascii="Times New Roman" w:hAnsi="Times New Roman" w:eastAsia="宋体"/>
        </w:rPr>
        <w:t>叶苕子等豆科绿肥、油菜等十字花科绿肥和黑麦草等禾本科绿肥。为兼顾生物固氮、深根破障和生物量供给，宜采用豆科与非豆科混播或轮换，避免多年连续单播同一绿肥。</w:t>
      </w:r>
    </w:p>
    <w:p>
      <w:pPr>
        <w:pStyle w:val="68"/>
        <w:keepNext/>
      </w:pPr>
      <w:r>
        <w:rPr>
          <w:rFonts w:ascii="Times New Roman" w:hAnsi="Times New Roman" w:eastAsia="黑体"/>
        </w:rPr>
        <w:t>播种</w:t>
      </w:r>
    </w:p>
    <w:p>
      <w:pPr>
        <w:pStyle w:val="59"/>
        <w:keepLines w:val="0"/>
        <w:widowControl/>
      </w:pPr>
      <w:r>
        <w:rPr>
          <w:rFonts w:ascii="Times New Roman" w:hAnsi="Times New Roman" w:eastAsia="宋体"/>
        </w:rPr>
        <w:t>宜于</w:t>
      </w:r>
      <w:r>
        <w:rPr>
          <w:rFonts w:hint="eastAsia"/>
          <w:lang w:val="en-US" w:eastAsia="zh-CN"/>
        </w:rPr>
        <w:t>9</w:t>
      </w:r>
      <w:r>
        <w:rPr>
          <w:rFonts w:ascii="Times New Roman" w:hAnsi="Times New Roman" w:eastAsia="宋体"/>
        </w:rPr>
        <w:t>月</w:t>
      </w:r>
      <w:r>
        <w:rPr>
          <w:rFonts w:hint="eastAsia"/>
          <w:lang w:val="en-US" w:eastAsia="zh-CN"/>
        </w:rPr>
        <w:t>下旬</w:t>
      </w:r>
      <w:r>
        <w:rPr>
          <w:rFonts w:ascii="Times New Roman" w:hAnsi="Times New Roman" w:eastAsia="宋体"/>
        </w:rPr>
        <w:t>～1</w:t>
      </w:r>
      <w:r>
        <w:rPr>
          <w:rFonts w:hint="eastAsia"/>
          <w:lang w:val="en-US" w:eastAsia="zh-CN"/>
        </w:rPr>
        <w:t>0</w:t>
      </w:r>
      <w:r>
        <w:rPr>
          <w:rFonts w:ascii="Times New Roman" w:hAnsi="Times New Roman" w:eastAsia="宋体"/>
        </w:rPr>
        <w:t>月</w:t>
      </w:r>
      <w:r>
        <w:rPr>
          <w:rFonts w:hint="eastAsia"/>
          <w:lang w:val="en-US" w:eastAsia="zh-CN"/>
        </w:rPr>
        <w:t>下旬</w:t>
      </w:r>
      <w:r>
        <w:rPr>
          <w:rFonts w:ascii="Times New Roman" w:hAnsi="Times New Roman" w:eastAsia="宋体"/>
        </w:rPr>
        <w:t>播种。前茬收获较早时宜适期早播；土壤过干时应造墒播种。播前应清除恶性杂草，整地达到表层细碎、下层疏松。绿肥参考播种量见表2。</w:t>
      </w:r>
    </w:p>
    <w:p>
      <w:pPr>
        <w:pStyle w:val="115"/>
        <w:keepNext/>
      </w:pPr>
      <w:r>
        <w:rPr>
          <w:rFonts w:ascii="Times New Roman" w:hAnsi="Times New Roman" w:eastAsia="黑体"/>
        </w:rPr>
        <w:t>主要绿肥参考播种量</w:t>
      </w:r>
    </w:p>
    <w:tbl>
      <w:tblPr>
        <w:tblStyle w:val="36"/>
        <w:tblpPr w:leftFromText="180" w:rightFromText="180" w:vertAnchor="text" w:horzAnchor="page" w:tblpX="1448" w:tblpY="475"/>
        <w:tblOverlap w:val="never"/>
        <w:tblW w:w="950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00"/>
        <w:gridCol w:w="1700"/>
        <w:gridCol w:w="1700"/>
        <w:gridCol w:w="45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blHeader/>
        </w:trPr>
        <w:tc>
          <w:tcPr>
            <w:tcW w:w="1600" w:type="dxa"/>
            <w:shd w:val="clear" w:color="auto" w:fill="auto"/>
            <w:tcMar>
              <w:top w:w="80" w:type="dxa"/>
              <w:left w:w="100" w:type="dxa"/>
              <w:bottom w:w="80" w:type="dxa"/>
              <w:right w:w="100" w:type="dxa"/>
            </w:tcMar>
            <w:vAlign w:val="center"/>
          </w:tcPr>
          <w:p>
            <w:pPr>
              <w:spacing w:before="0" w:after="0" w:line="240" w:lineRule="auto"/>
              <w:jc w:val="center"/>
            </w:pPr>
            <w:r>
              <w:rPr>
                <w:rFonts w:ascii="Times New Roman" w:hAnsi="Times New Roman" w:eastAsia="黑体"/>
                <w:b/>
                <w:sz w:val="18"/>
              </w:rPr>
              <w:t>绿肥类型</w:t>
            </w:r>
          </w:p>
        </w:tc>
        <w:tc>
          <w:tcPr>
            <w:tcW w:w="1700" w:type="dxa"/>
            <w:shd w:val="clear" w:color="auto" w:fill="auto"/>
            <w:tcMar>
              <w:top w:w="80" w:type="dxa"/>
              <w:left w:w="100" w:type="dxa"/>
              <w:bottom w:w="80" w:type="dxa"/>
              <w:right w:w="100" w:type="dxa"/>
            </w:tcMar>
            <w:vAlign w:val="center"/>
          </w:tcPr>
          <w:p>
            <w:pPr>
              <w:spacing w:before="0" w:after="0" w:line="240" w:lineRule="auto"/>
              <w:jc w:val="center"/>
            </w:pPr>
            <w:r>
              <w:rPr>
                <w:rFonts w:ascii="Times New Roman" w:hAnsi="Times New Roman" w:eastAsia="黑体"/>
                <w:b/>
                <w:sz w:val="18"/>
              </w:rPr>
              <w:t>单播量/(kg/hm²)</w:t>
            </w:r>
          </w:p>
        </w:tc>
        <w:tc>
          <w:tcPr>
            <w:tcW w:w="1700" w:type="dxa"/>
            <w:shd w:val="clear" w:color="auto" w:fill="auto"/>
            <w:tcMar>
              <w:top w:w="80" w:type="dxa"/>
              <w:left w:w="100" w:type="dxa"/>
              <w:bottom w:w="80" w:type="dxa"/>
              <w:right w:w="100" w:type="dxa"/>
            </w:tcMar>
            <w:vAlign w:val="center"/>
          </w:tcPr>
          <w:p>
            <w:pPr>
              <w:spacing w:before="0" w:after="0" w:line="240" w:lineRule="auto"/>
              <w:jc w:val="center"/>
            </w:pPr>
            <w:r>
              <w:rPr>
                <w:rFonts w:ascii="Times New Roman" w:hAnsi="Times New Roman" w:eastAsia="黑体"/>
                <w:b/>
                <w:sz w:val="18"/>
              </w:rPr>
              <w:t>混播量/(kg/hm²)</w:t>
            </w:r>
          </w:p>
        </w:tc>
        <w:tc>
          <w:tcPr>
            <w:tcW w:w="4500" w:type="dxa"/>
            <w:shd w:val="clear" w:color="auto" w:fill="auto"/>
            <w:tcMar>
              <w:top w:w="80" w:type="dxa"/>
              <w:left w:w="100" w:type="dxa"/>
              <w:bottom w:w="80" w:type="dxa"/>
              <w:right w:w="100" w:type="dxa"/>
            </w:tcMar>
            <w:vAlign w:val="center"/>
          </w:tcPr>
          <w:p>
            <w:pPr>
              <w:spacing w:before="0" w:after="0" w:line="240" w:lineRule="auto"/>
              <w:jc w:val="center"/>
            </w:pPr>
            <w:r>
              <w:rPr>
                <w:rFonts w:ascii="Times New Roman" w:hAnsi="Times New Roman" w:eastAsia="黑体"/>
                <w:b/>
                <w:sz w:val="18"/>
              </w:rPr>
              <w:t>主要功能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Pr>
        <w:tc>
          <w:tcPr>
            <w:tcW w:w="1600" w:type="dxa"/>
            <w:tcMar>
              <w:top w:w="80" w:type="dxa"/>
              <w:left w:w="100" w:type="dxa"/>
              <w:bottom w:w="80" w:type="dxa"/>
              <w:right w:w="100" w:type="dxa"/>
            </w:tcMar>
            <w:vAlign w:val="center"/>
          </w:tcPr>
          <w:p>
            <w:pPr>
              <w:spacing w:before="0" w:after="0" w:line="240" w:lineRule="auto"/>
              <w:jc w:val="center"/>
            </w:pPr>
            <w:r>
              <w:rPr>
                <w:rFonts w:ascii="Times New Roman" w:hAnsi="Times New Roman" w:eastAsia="宋体"/>
                <w:sz w:val="18"/>
              </w:rPr>
              <w:t>油菜</w:t>
            </w:r>
          </w:p>
        </w:tc>
        <w:tc>
          <w:tcPr>
            <w:tcW w:w="17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10～15</w:t>
            </w:r>
          </w:p>
        </w:tc>
        <w:tc>
          <w:tcPr>
            <w:tcW w:w="17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10～20</w:t>
            </w:r>
          </w:p>
        </w:tc>
        <w:tc>
          <w:tcPr>
            <w:tcW w:w="45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直根穿透、吸收活化养分、提供易腐解物料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Pr>
        <w:tc>
          <w:tcPr>
            <w:tcW w:w="1600" w:type="dxa"/>
            <w:tcMar>
              <w:top w:w="80" w:type="dxa"/>
              <w:left w:w="100" w:type="dxa"/>
              <w:bottom w:w="80" w:type="dxa"/>
              <w:right w:w="100" w:type="dxa"/>
            </w:tcMar>
            <w:vAlign w:val="center"/>
          </w:tcPr>
          <w:p>
            <w:pPr>
              <w:spacing w:before="0" w:after="0" w:line="240" w:lineRule="auto"/>
              <w:jc w:val="center"/>
            </w:pPr>
            <w:r>
              <w:rPr>
                <w:rFonts w:ascii="Times New Roman" w:hAnsi="Times New Roman" w:eastAsia="宋体"/>
                <w:sz w:val="18"/>
              </w:rPr>
              <w:t>黑麦草</w:t>
            </w:r>
          </w:p>
        </w:tc>
        <w:tc>
          <w:tcPr>
            <w:tcW w:w="17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22.5～30</w:t>
            </w:r>
          </w:p>
        </w:tc>
        <w:tc>
          <w:tcPr>
            <w:tcW w:w="17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10～20</w:t>
            </w:r>
          </w:p>
        </w:tc>
        <w:tc>
          <w:tcPr>
            <w:tcW w:w="45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须根密集、护土保墒、增加根际碳输入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Pr>
        <w:tc>
          <w:tcPr>
            <w:tcW w:w="1600" w:type="dxa"/>
            <w:tcMar>
              <w:top w:w="80" w:type="dxa"/>
              <w:left w:w="100" w:type="dxa"/>
              <w:bottom w:w="80" w:type="dxa"/>
              <w:right w:w="100" w:type="dxa"/>
            </w:tcMar>
            <w:vAlign w:val="center"/>
          </w:tcPr>
          <w:p>
            <w:pPr>
              <w:spacing w:before="0" w:after="0" w:line="240" w:lineRule="auto"/>
              <w:jc w:val="center"/>
            </w:pPr>
            <w:r>
              <w:rPr>
                <w:rFonts w:ascii="Times New Roman" w:hAnsi="Times New Roman" w:eastAsia="宋体"/>
                <w:sz w:val="18"/>
              </w:rPr>
              <w:t>毛叶苕子</w:t>
            </w:r>
          </w:p>
        </w:tc>
        <w:tc>
          <w:tcPr>
            <w:tcW w:w="17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45～60</w:t>
            </w:r>
          </w:p>
        </w:tc>
        <w:tc>
          <w:tcPr>
            <w:tcW w:w="17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20～30</w:t>
            </w:r>
          </w:p>
        </w:tc>
        <w:tc>
          <w:tcPr>
            <w:tcW w:w="45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生物固氮、提高有机碳与氮素供给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Pr>
        <w:tc>
          <w:tcPr>
            <w:tcW w:w="1600" w:type="dxa"/>
            <w:tcMar>
              <w:top w:w="80" w:type="dxa"/>
              <w:left w:w="100" w:type="dxa"/>
              <w:bottom w:w="80" w:type="dxa"/>
              <w:right w:w="100" w:type="dxa"/>
            </w:tcMar>
            <w:vAlign w:val="center"/>
          </w:tcPr>
          <w:p>
            <w:pPr>
              <w:spacing w:before="0" w:after="0" w:line="240" w:lineRule="auto"/>
              <w:jc w:val="center"/>
            </w:pPr>
            <w:r>
              <w:rPr>
                <w:rFonts w:ascii="Times New Roman" w:hAnsi="Times New Roman" w:eastAsia="宋体"/>
                <w:sz w:val="18"/>
              </w:rPr>
              <w:t>三者混播</w:t>
            </w:r>
          </w:p>
        </w:tc>
        <w:tc>
          <w:tcPr>
            <w:tcW w:w="17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w:t>
            </w:r>
          </w:p>
        </w:tc>
        <w:tc>
          <w:tcPr>
            <w:tcW w:w="17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总量45～60</w:t>
            </w:r>
          </w:p>
        </w:tc>
        <w:tc>
          <w:tcPr>
            <w:tcW w:w="45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宜按质量比1∶1∶1起配，并根据出苗和生物量调整</w:t>
            </w:r>
          </w:p>
        </w:tc>
      </w:tr>
    </w:tbl>
    <w:p/>
    <w:p>
      <w:pPr>
        <w:pStyle w:val="246"/>
        <w:keepLines w:val="0"/>
        <w:widowControl/>
      </w:pPr>
      <w:r>
        <w:rPr>
          <w:rFonts w:ascii="Times New Roman" w:hAnsi="Times New Roman" w:eastAsia="宋体"/>
        </w:rPr>
        <w:t>注：表中播种量以净度、发芽率符合要求的种子计；具体用量可根据千粒重、播种方式和当地出苗率调整。</w:t>
      </w:r>
    </w:p>
    <w:p>
      <w:pPr>
        <w:pStyle w:val="68"/>
        <w:keepNext/>
      </w:pPr>
      <w:r>
        <w:rPr>
          <w:rFonts w:ascii="Times New Roman" w:hAnsi="Times New Roman" w:eastAsia="黑体"/>
        </w:rPr>
        <w:t>绿肥田间管理</w:t>
      </w:r>
    </w:p>
    <w:p>
      <w:pPr>
        <w:pStyle w:val="59"/>
        <w:keepLines w:val="0"/>
        <w:widowControl/>
      </w:pPr>
      <w:r>
        <w:rPr>
          <w:rFonts w:ascii="Times New Roman" w:hAnsi="Times New Roman" w:eastAsia="宋体"/>
        </w:rPr>
        <w:t>绿肥生长期一般不追施氮肥。土壤肥力低、出苗弱时，可根据土壤测试和苗情少量施用磷、钾肥；豆科绿肥不得因过量施氮导致固氮能力下降。应及时排除田间积水，干旱影响出苗或生物量形成时</w:t>
      </w:r>
      <w:r>
        <w:rPr>
          <w:rFonts w:hint="eastAsia"/>
          <w:lang w:val="en-US" w:eastAsia="zh-CN"/>
        </w:rPr>
        <w:t>应及时灌溉</w:t>
      </w:r>
      <w:r>
        <w:rPr>
          <w:rFonts w:ascii="Times New Roman" w:hAnsi="Times New Roman" w:eastAsia="宋体"/>
        </w:rPr>
        <w:t>。</w:t>
      </w:r>
    </w:p>
    <w:p>
      <w:pPr>
        <w:pStyle w:val="68"/>
        <w:keepNext/>
      </w:pPr>
      <w:r>
        <w:rPr>
          <w:rFonts w:ascii="Times New Roman" w:hAnsi="Times New Roman" w:eastAsia="黑体"/>
        </w:rPr>
        <w:t>翻压还田</w:t>
      </w:r>
    </w:p>
    <w:p>
      <w:pPr>
        <w:pStyle w:val="59"/>
        <w:keepLines w:val="0"/>
        <w:widowControl/>
      </w:pPr>
      <w:r>
        <w:rPr>
          <w:rFonts w:ascii="Times New Roman" w:hAnsi="Times New Roman" w:eastAsia="宋体"/>
        </w:rPr>
        <w:t>绿肥宜在盛花期或下茬作物播种前15～30 d翻压。翻压前将植株切碎，均匀撒铺，翻埋深度15～20 cm。翻压时土壤含水量应适宜；土壤过干时翻压后应适量补水，土壤过湿时应先排水。鲜草量过大、下茬播种间隔不足时，应分次翻压或移出部分植株，防止还原性有害物质积累。</w:t>
      </w:r>
    </w:p>
    <w:p>
      <w:pPr>
        <w:pStyle w:val="108"/>
        <w:keepNext/>
      </w:pPr>
      <w:r>
        <w:rPr>
          <w:rFonts w:ascii="Times New Roman" w:hAnsi="Times New Roman" w:eastAsia="黑体"/>
        </w:rPr>
        <w:t>有机物料协同投入</w:t>
      </w:r>
    </w:p>
    <w:p>
      <w:pPr>
        <w:pStyle w:val="59"/>
        <w:keepLines w:val="0"/>
        <w:widowControl/>
      </w:pPr>
      <w:r>
        <w:rPr>
          <w:rFonts w:ascii="Times New Roman" w:hAnsi="Times New Roman" w:eastAsia="宋体"/>
        </w:rPr>
        <w:t>绿肥生物量不足或土壤有机质偏低时，宜配施秸秆或商品有机肥。秸秆应切碎至不大于10 cm，均匀还田，干物质量宜为4.5～7.5 t/hm²；商品有机肥用量宜为1.5～3.0 t/hm²，并按其养分含量计入施肥总量。秸秆和绿肥同时大量还田时，应控制单次还田量，并留足腐解时间。</w:t>
      </w:r>
    </w:p>
    <w:p>
      <w:pPr>
        <w:pStyle w:val="108"/>
        <w:keepNext/>
      </w:pPr>
      <w:r>
        <w:rPr>
          <w:rFonts w:ascii="Times New Roman" w:hAnsi="Times New Roman" w:eastAsia="黑体"/>
        </w:rPr>
        <w:t>酸化协同调控</w:t>
      </w:r>
    </w:p>
    <w:p>
      <w:pPr>
        <w:pStyle w:val="59"/>
        <w:keepLines w:val="0"/>
        <w:widowControl/>
      </w:pPr>
      <w:r>
        <w:rPr>
          <w:rFonts w:ascii="Times New Roman" w:hAnsi="Times New Roman" w:eastAsia="宋体"/>
        </w:rPr>
        <w:t>当0 ～20 cm土壤pH＜5.</w:t>
      </w:r>
      <w:r>
        <w:rPr>
          <w:rFonts w:hint="eastAsia"/>
          <w:lang w:val="en-US" w:eastAsia="zh-CN"/>
        </w:rPr>
        <w:t>50</w:t>
      </w:r>
      <w:r>
        <w:rPr>
          <w:rFonts w:ascii="Times New Roman" w:hAnsi="Times New Roman" w:eastAsia="宋体"/>
        </w:rPr>
        <w:t>时，应同步开展酸化调控。应依据土壤pH、缓冲性能和调理材料中和能力确定用量；缺少本地校准数据时，可先在小面积采用1～2 t/hm²</w:t>
      </w:r>
      <w:r>
        <w:rPr>
          <w:rFonts w:hint="eastAsia"/>
          <w:lang w:val="en-US" w:eastAsia="zh-CN"/>
        </w:rPr>
        <w:t>碱性物料</w:t>
      </w:r>
      <w:r>
        <w:rPr>
          <w:rFonts w:ascii="Times New Roman" w:hAnsi="Times New Roman" w:eastAsia="宋体"/>
        </w:rPr>
        <w:t>料进行验证，均匀撒施并与15～20 cm耕层充分混合。不得将石灰质材料与铵态氮肥、未腐熟有机物料集中同施。</w:t>
      </w:r>
    </w:p>
    <w:p>
      <w:pPr>
        <w:pStyle w:val="108"/>
        <w:keepNext/>
      </w:pPr>
      <w:r>
        <w:rPr>
          <w:rFonts w:ascii="Times New Roman" w:hAnsi="Times New Roman" w:eastAsia="黑体"/>
        </w:rPr>
        <w:t>养分管理</w:t>
      </w:r>
    </w:p>
    <w:p>
      <w:pPr>
        <w:pStyle w:val="59"/>
        <w:keepLines w:val="0"/>
        <w:widowControl/>
      </w:pPr>
      <w:r>
        <w:rPr>
          <w:rFonts w:ascii="Times New Roman" w:hAnsi="Times New Roman" w:eastAsia="宋体"/>
        </w:rPr>
        <w:t>主作物施肥应以测土配方和目标产量为依据。豆科绿肥或豆科占比较高的混播绿肥翻压后，首季主作物化学氮肥用量可在当地推荐量基础上减少10 %～20 %，并根据苗情、叶色和产量反馈调整；磷、钾肥应根据土壤测试和作物需肥量确定，不应简单等比例削减。</w:t>
      </w:r>
    </w:p>
    <w:p>
      <w:pPr>
        <w:pStyle w:val="107"/>
        <w:spacing w:before="312" w:after="312"/>
        <w:rPr>
          <w:color w:val="auto"/>
        </w:rPr>
      </w:pPr>
      <w:r>
        <w:rPr>
          <w:rFonts w:hint="eastAsia"/>
          <w:color w:val="auto"/>
          <w:lang w:val="en-US" w:eastAsia="zh-CN"/>
        </w:rPr>
        <w:t>田间管理</w:t>
      </w:r>
    </w:p>
    <w:p>
      <w:pPr>
        <w:pStyle w:val="108"/>
        <w:keepNext/>
      </w:pPr>
      <w:r>
        <w:rPr>
          <w:rFonts w:ascii="Times New Roman" w:hAnsi="Times New Roman" w:eastAsia="黑体"/>
        </w:rPr>
        <w:t>主作物种植</w:t>
      </w:r>
    </w:p>
    <w:p>
      <w:pPr>
        <w:pStyle w:val="59"/>
        <w:keepLines w:val="0"/>
        <w:widowControl/>
      </w:pPr>
      <w:r>
        <w:rPr>
          <w:rFonts w:ascii="Times New Roman" w:hAnsi="Times New Roman" w:eastAsia="宋体"/>
        </w:rPr>
        <w:t>绿肥充分腐解、土壤适耕后播种主作物。玉米可采用宽窄行种植，参考行距为60 cm×40 cm；其他作物按当地优良栽培方式确定种植密度。播种沟应疏松、无大块未腐解植株，种子不应与石灰质材料或高浓度肥料直接接触。</w:t>
      </w:r>
    </w:p>
    <w:p>
      <w:pPr>
        <w:pStyle w:val="108"/>
        <w:keepNext/>
      </w:pPr>
      <w:r>
        <w:rPr>
          <w:rFonts w:ascii="Times New Roman" w:hAnsi="Times New Roman" w:eastAsia="黑体"/>
        </w:rPr>
        <w:t>水分管理</w:t>
      </w:r>
    </w:p>
    <w:p>
      <w:pPr>
        <w:pStyle w:val="59"/>
        <w:keepLines w:val="0"/>
        <w:widowControl/>
      </w:pPr>
      <w:r>
        <w:rPr>
          <w:rFonts w:ascii="Times New Roman" w:hAnsi="Times New Roman" w:eastAsia="宋体"/>
        </w:rPr>
        <w:t>应完善排水沟系，做到暴雨后及时排水。季节性干旱地块宜采用秸秆覆盖、等高种植、集雨补灌等保墒措施；灌水以湿润根层为宜，避免大水漫灌造成表土沉实和径流。</w:t>
      </w:r>
    </w:p>
    <w:p>
      <w:pPr>
        <w:pStyle w:val="108"/>
        <w:keepNext/>
      </w:pPr>
      <w:r>
        <w:rPr>
          <w:rFonts w:ascii="Times New Roman" w:hAnsi="Times New Roman" w:eastAsia="黑体"/>
        </w:rPr>
        <w:t>机械交通管理</w:t>
      </w:r>
    </w:p>
    <w:p>
      <w:pPr>
        <w:pStyle w:val="59"/>
        <w:keepLines w:val="0"/>
        <w:widowControl/>
      </w:pPr>
      <w:r>
        <w:rPr>
          <w:rFonts w:ascii="Times New Roman" w:hAnsi="Times New Roman" w:eastAsia="宋体"/>
        </w:rPr>
        <w:t>应固定机械行走道，减少重复碾压；土壤湿润黏附时不应进地作业。收获、运输和深翻宜选用与地块承载能力相适应的机具，避免超载和多次往返。</w:t>
      </w:r>
    </w:p>
    <w:p>
      <w:pPr>
        <w:pStyle w:val="108"/>
        <w:keepNext/>
      </w:pPr>
      <w:r>
        <w:rPr>
          <w:rFonts w:ascii="Times New Roman" w:hAnsi="Times New Roman" w:eastAsia="黑体"/>
        </w:rPr>
        <w:t>病虫草害防控</w:t>
      </w:r>
    </w:p>
    <w:p>
      <w:pPr>
        <w:pStyle w:val="59"/>
        <w:keepLines w:val="0"/>
        <w:widowControl/>
      </w:pPr>
      <w:r>
        <w:rPr>
          <w:rFonts w:ascii="Times New Roman" w:hAnsi="Times New Roman" w:eastAsia="宋体"/>
        </w:rPr>
        <w:t>应优先采用轮作、健康种子、适期播种、机械或生物防控等措施。绿肥翻压前应清除严重病残体和恶性杂草。确需使用农药时，应符合GB/T 8321的规定。</w:t>
      </w:r>
    </w:p>
    <w:p>
      <w:pPr>
        <w:pStyle w:val="107"/>
        <w:keepNext/>
      </w:pPr>
      <w:r>
        <w:rPr>
          <w:rFonts w:ascii="Times New Roman" w:hAnsi="Times New Roman" w:eastAsia="黑体"/>
        </w:rPr>
        <w:t>效果评价与持续管理</w:t>
      </w:r>
    </w:p>
    <w:p>
      <w:pPr>
        <w:pStyle w:val="108"/>
        <w:keepNext/>
      </w:pPr>
      <w:r>
        <w:rPr>
          <w:rFonts w:ascii="Times New Roman" w:hAnsi="Times New Roman" w:eastAsia="黑体"/>
        </w:rPr>
        <w:t>监测时间与布点</w:t>
      </w:r>
    </w:p>
    <w:p>
      <w:pPr>
        <w:pStyle w:val="59"/>
        <w:keepLines w:val="0"/>
        <w:widowControl/>
      </w:pPr>
      <w:r>
        <w:rPr>
          <w:rFonts w:ascii="Times New Roman" w:hAnsi="Times New Roman" w:eastAsia="宋体"/>
        </w:rPr>
        <w:t>实施前应进行基线监测；实施后每年宜在主作物收获后、土壤水分相近时监测1次。连续实施2～3年后应开展综合评价。监测点应与改良前固定点位对应，并保留未改良对照或邻近同类地块作为参照。</w:t>
      </w:r>
    </w:p>
    <w:p>
      <w:pPr>
        <w:pStyle w:val="108"/>
        <w:keepNext/>
      </w:pPr>
      <w:r>
        <w:rPr>
          <w:rFonts w:ascii="Times New Roman" w:hAnsi="Times New Roman" w:eastAsia="黑体"/>
        </w:rPr>
        <w:t>评价指标</w:t>
      </w:r>
    </w:p>
    <w:p>
      <w:pPr>
        <w:pStyle w:val="59"/>
        <w:keepLines w:val="0"/>
        <w:widowControl/>
      </w:pPr>
      <w:r>
        <w:rPr>
          <w:rFonts w:ascii="Times New Roman" w:hAnsi="Times New Roman" w:eastAsia="宋体"/>
        </w:rPr>
        <w:t>核心指标为耕层厚度、土壤容重和＞0.25 mm水稳性团聚体含量；辅助指标为贯入阻力、土壤有机质、pH、作物产量和肥料投入量。有条件时可监测团聚体平均质量直径、几何平均直径、矿物结合态有机碳和入渗速率。</w:t>
      </w:r>
    </w:p>
    <w:p>
      <w:pPr>
        <w:pStyle w:val="108"/>
        <w:keepNext/>
      </w:pPr>
      <w:r>
        <w:rPr>
          <w:rFonts w:ascii="Times New Roman" w:hAnsi="Times New Roman" w:eastAsia="黑体"/>
        </w:rPr>
        <w:t>评价判定</w:t>
      </w:r>
    </w:p>
    <w:p>
      <w:pPr>
        <w:pStyle w:val="59"/>
        <w:keepLines w:val="0"/>
        <w:widowControl/>
      </w:pPr>
      <w:r>
        <w:rPr>
          <w:rFonts w:ascii="Times New Roman" w:hAnsi="Times New Roman" w:eastAsia="宋体"/>
        </w:rPr>
        <w:t>与实施前基线或未改良对照相比，连续2～3年后达到表3中任意2项核心指标改善要求，且作物产量不降低，可判定改良有效；达到3项核心指标改善要求，且有机质或产量同时提高，可判定改良效果良好。</w:t>
      </w:r>
    </w:p>
    <w:p>
      <w:pPr>
        <w:pStyle w:val="115"/>
        <w:keepNext/>
      </w:pPr>
      <w:r>
        <w:rPr>
          <w:rFonts w:ascii="Times New Roman" w:hAnsi="Times New Roman" w:eastAsia="黑体"/>
        </w:rPr>
        <w:t>板黏改良效果评价指标</w:t>
      </w:r>
    </w:p>
    <w:tbl>
      <w:tblPr>
        <w:tblStyle w:val="36"/>
        <w:tblW w:w="960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00"/>
        <w:gridCol w:w="2100"/>
        <w:gridCol w:w="3300"/>
        <w:gridCol w:w="30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blHeader/>
          <w:jc w:val="center"/>
        </w:trPr>
        <w:tc>
          <w:tcPr>
            <w:tcW w:w="1200" w:type="dxa"/>
            <w:shd w:val="clear" w:color="auto" w:fill="auto"/>
            <w:tcMar>
              <w:top w:w="80" w:type="dxa"/>
              <w:left w:w="100" w:type="dxa"/>
              <w:bottom w:w="80" w:type="dxa"/>
              <w:right w:w="100" w:type="dxa"/>
            </w:tcMar>
            <w:vAlign w:val="center"/>
          </w:tcPr>
          <w:p>
            <w:pPr>
              <w:spacing w:before="0" w:after="0" w:line="240" w:lineRule="auto"/>
              <w:jc w:val="center"/>
            </w:pPr>
            <w:r>
              <w:rPr>
                <w:rFonts w:ascii="Times New Roman" w:hAnsi="Times New Roman" w:eastAsia="黑体"/>
                <w:b/>
                <w:sz w:val="18"/>
              </w:rPr>
              <w:t>类别</w:t>
            </w:r>
          </w:p>
        </w:tc>
        <w:tc>
          <w:tcPr>
            <w:tcW w:w="2100" w:type="dxa"/>
            <w:shd w:val="clear" w:color="auto" w:fill="auto"/>
            <w:tcMar>
              <w:top w:w="80" w:type="dxa"/>
              <w:left w:w="100" w:type="dxa"/>
              <w:bottom w:w="80" w:type="dxa"/>
              <w:right w:w="100" w:type="dxa"/>
            </w:tcMar>
            <w:vAlign w:val="center"/>
          </w:tcPr>
          <w:p>
            <w:pPr>
              <w:spacing w:before="0" w:after="0" w:line="240" w:lineRule="auto"/>
              <w:jc w:val="center"/>
            </w:pPr>
            <w:r>
              <w:rPr>
                <w:rFonts w:ascii="Times New Roman" w:hAnsi="Times New Roman" w:eastAsia="黑体"/>
                <w:b/>
                <w:sz w:val="18"/>
              </w:rPr>
              <w:t>指标</w:t>
            </w:r>
          </w:p>
        </w:tc>
        <w:tc>
          <w:tcPr>
            <w:tcW w:w="3300" w:type="dxa"/>
            <w:shd w:val="clear" w:color="auto" w:fill="auto"/>
            <w:tcMar>
              <w:top w:w="80" w:type="dxa"/>
              <w:left w:w="100" w:type="dxa"/>
              <w:bottom w:w="80" w:type="dxa"/>
              <w:right w:w="100" w:type="dxa"/>
            </w:tcMar>
            <w:vAlign w:val="center"/>
          </w:tcPr>
          <w:p>
            <w:pPr>
              <w:spacing w:before="0" w:after="0" w:line="240" w:lineRule="auto"/>
              <w:jc w:val="center"/>
            </w:pPr>
            <w:r>
              <w:rPr>
                <w:rFonts w:ascii="Times New Roman" w:hAnsi="Times New Roman" w:eastAsia="黑体"/>
                <w:b/>
                <w:sz w:val="18"/>
              </w:rPr>
              <w:t>改善要求</w:t>
            </w:r>
          </w:p>
        </w:tc>
        <w:tc>
          <w:tcPr>
            <w:tcW w:w="3000" w:type="dxa"/>
            <w:shd w:val="clear" w:color="auto" w:fill="auto"/>
            <w:tcMar>
              <w:top w:w="80" w:type="dxa"/>
              <w:left w:w="100" w:type="dxa"/>
              <w:bottom w:w="80" w:type="dxa"/>
              <w:right w:w="100" w:type="dxa"/>
            </w:tcMar>
            <w:vAlign w:val="center"/>
          </w:tcPr>
          <w:p>
            <w:pPr>
              <w:spacing w:before="0" w:after="0" w:line="240" w:lineRule="auto"/>
              <w:jc w:val="center"/>
            </w:pPr>
            <w:r>
              <w:rPr>
                <w:rFonts w:ascii="Times New Roman" w:hAnsi="Times New Roman" w:eastAsia="黑体"/>
                <w:b/>
                <w:sz w:val="18"/>
              </w:rPr>
              <w:t>测定或记录方法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1200" w:type="dxa"/>
            <w:tcMar>
              <w:top w:w="80" w:type="dxa"/>
              <w:left w:w="100" w:type="dxa"/>
              <w:bottom w:w="80" w:type="dxa"/>
              <w:right w:w="100" w:type="dxa"/>
            </w:tcMar>
            <w:vAlign w:val="center"/>
          </w:tcPr>
          <w:p>
            <w:pPr>
              <w:spacing w:before="0" w:after="0" w:line="240" w:lineRule="auto"/>
              <w:jc w:val="center"/>
            </w:pPr>
            <w:r>
              <w:rPr>
                <w:rFonts w:ascii="Times New Roman" w:hAnsi="Times New Roman" w:eastAsia="宋体"/>
                <w:sz w:val="18"/>
              </w:rPr>
              <w:t>核心</w:t>
            </w:r>
          </w:p>
        </w:tc>
        <w:tc>
          <w:tcPr>
            <w:tcW w:w="21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耕层厚度</w:t>
            </w:r>
          </w:p>
        </w:tc>
        <w:tc>
          <w:tcPr>
            <w:tcW w:w="33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增加≥3 cm，且达到20 cm以上</w:t>
            </w:r>
          </w:p>
        </w:tc>
        <w:tc>
          <w:tcPr>
            <w:tcW w:w="30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剖面或土钻测定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1200" w:type="dxa"/>
            <w:tcMar>
              <w:top w:w="80" w:type="dxa"/>
              <w:left w:w="100" w:type="dxa"/>
              <w:bottom w:w="80" w:type="dxa"/>
              <w:right w:w="100" w:type="dxa"/>
            </w:tcMar>
            <w:vAlign w:val="center"/>
          </w:tcPr>
          <w:p>
            <w:pPr>
              <w:spacing w:before="0" w:after="0" w:line="240" w:lineRule="auto"/>
              <w:jc w:val="center"/>
            </w:pPr>
            <w:r>
              <w:rPr>
                <w:rFonts w:ascii="Times New Roman" w:hAnsi="Times New Roman" w:eastAsia="宋体"/>
                <w:sz w:val="18"/>
              </w:rPr>
              <w:t>核心</w:t>
            </w:r>
          </w:p>
        </w:tc>
        <w:tc>
          <w:tcPr>
            <w:tcW w:w="21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土壤容重</w:t>
            </w:r>
          </w:p>
        </w:tc>
        <w:tc>
          <w:tcPr>
            <w:tcW w:w="33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降低≥5 %，或降至＜1.30 g/cm³</w:t>
            </w:r>
          </w:p>
        </w:tc>
        <w:tc>
          <w:tcPr>
            <w:tcW w:w="30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按NY/T 1121.4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1200" w:type="dxa"/>
            <w:tcMar>
              <w:top w:w="80" w:type="dxa"/>
              <w:left w:w="100" w:type="dxa"/>
              <w:bottom w:w="80" w:type="dxa"/>
              <w:right w:w="100" w:type="dxa"/>
            </w:tcMar>
            <w:vAlign w:val="center"/>
          </w:tcPr>
          <w:p>
            <w:pPr>
              <w:spacing w:before="0" w:after="0" w:line="240" w:lineRule="auto"/>
              <w:jc w:val="center"/>
            </w:pPr>
            <w:r>
              <w:rPr>
                <w:rFonts w:ascii="Times New Roman" w:hAnsi="Times New Roman" w:eastAsia="宋体"/>
                <w:sz w:val="18"/>
              </w:rPr>
              <w:t>核心</w:t>
            </w:r>
          </w:p>
        </w:tc>
        <w:tc>
          <w:tcPr>
            <w:tcW w:w="21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＞0.25 mm水稳性团聚体</w:t>
            </w:r>
          </w:p>
        </w:tc>
        <w:tc>
          <w:tcPr>
            <w:tcW w:w="33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相对增加≥10 %</w:t>
            </w:r>
          </w:p>
        </w:tc>
        <w:tc>
          <w:tcPr>
            <w:tcW w:w="30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按NY/T 1121.19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1200" w:type="dxa"/>
            <w:tcMar>
              <w:top w:w="80" w:type="dxa"/>
              <w:left w:w="100" w:type="dxa"/>
              <w:bottom w:w="80" w:type="dxa"/>
              <w:right w:w="100" w:type="dxa"/>
            </w:tcMar>
            <w:vAlign w:val="center"/>
          </w:tcPr>
          <w:p>
            <w:pPr>
              <w:spacing w:before="0" w:after="0" w:line="240" w:lineRule="auto"/>
              <w:jc w:val="center"/>
            </w:pPr>
            <w:r>
              <w:rPr>
                <w:rFonts w:ascii="Times New Roman" w:hAnsi="Times New Roman" w:eastAsia="宋体"/>
                <w:sz w:val="18"/>
              </w:rPr>
              <w:t>辅助</w:t>
            </w:r>
          </w:p>
        </w:tc>
        <w:tc>
          <w:tcPr>
            <w:tcW w:w="21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土壤有机质</w:t>
            </w:r>
          </w:p>
        </w:tc>
        <w:tc>
          <w:tcPr>
            <w:tcW w:w="33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相对增加≥5 %</w:t>
            </w:r>
          </w:p>
        </w:tc>
        <w:tc>
          <w:tcPr>
            <w:tcW w:w="30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按NY/T 1121.6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1200" w:type="dxa"/>
            <w:tcMar>
              <w:top w:w="80" w:type="dxa"/>
              <w:left w:w="100" w:type="dxa"/>
              <w:bottom w:w="80" w:type="dxa"/>
              <w:right w:w="100" w:type="dxa"/>
            </w:tcMar>
            <w:vAlign w:val="center"/>
          </w:tcPr>
          <w:p>
            <w:pPr>
              <w:spacing w:before="0" w:after="0" w:line="240" w:lineRule="auto"/>
              <w:jc w:val="center"/>
            </w:pPr>
            <w:r>
              <w:rPr>
                <w:rFonts w:ascii="Times New Roman" w:hAnsi="Times New Roman" w:eastAsia="宋体"/>
                <w:sz w:val="18"/>
              </w:rPr>
              <w:t>辅助</w:t>
            </w:r>
          </w:p>
        </w:tc>
        <w:tc>
          <w:tcPr>
            <w:tcW w:w="21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主作物产量</w:t>
            </w:r>
          </w:p>
        </w:tc>
        <w:tc>
          <w:tcPr>
            <w:tcW w:w="33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不低于基线趋势或同类对照，宜增加≥5 %</w:t>
            </w:r>
          </w:p>
        </w:tc>
        <w:tc>
          <w:tcPr>
            <w:tcW w:w="30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同一面积、同一含水率计产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1200" w:type="dxa"/>
            <w:tcMar>
              <w:top w:w="80" w:type="dxa"/>
              <w:left w:w="100" w:type="dxa"/>
              <w:bottom w:w="80" w:type="dxa"/>
              <w:right w:w="100" w:type="dxa"/>
            </w:tcMar>
            <w:vAlign w:val="center"/>
          </w:tcPr>
          <w:p>
            <w:pPr>
              <w:spacing w:before="0" w:after="0" w:line="240" w:lineRule="auto"/>
              <w:jc w:val="center"/>
            </w:pPr>
            <w:r>
              <w:rPr>
                <w:rFonts w:ascii="Times New Roman" w:hAnsi="Times New Roman" w:eastAsia="宋体"/>
                <w:sz w:val="18"/>
              </w:rPr>
              <w:t>辅助</w:t>
            </w:r>
          </w:p>
        </w:tc>
        <w:tc>
          <w:tcPr>
            <w:tcW w:w="21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化肥投入</w:t>
            </w:r>
          </w:p>
        </w:tc>
        <w:tc>
          <w:tcPr>
            <w:tcW w:w="33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在不减产前提下逐步优化，氮肥宜减少10 %～20 %</w:t>
            </w:r>
          </w:p>
        </w:tc>
        <w:tc>
          <w:tcPr>
            <w:tcW w:w="30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生产档案核算</w:t>
            </w:r>
          </w:p>
        </w:tc>
      </w:tr>
    </w:tbl>
    <w:p/>
    <w:p>
      <w:pPr>
        <w:pStyle w:val="108"/>
        <w:keepNext/>
      </w:pPr>
      <w:r>
        <w:rPr>
          <w:rFonts w:ascii="Times New Roman" w:hAnsi="Times New Roman" w:eastAsia="黑体"/>
        </w:rPr>
        <w:t>持续管理</w:t>
      </w:r>
    </w:p>
    <w:p>
      <w:pPr>
        <w:pStyle w:val="59"/>
        <w:keepLines w:val="0"/>
        <w:widowControl/>
      </w:pPr>
      <w:r>
        <w:rPr>
          <w:rFonts w:ascii="Times New Roman" w:hAnsi="Times New Roman" w:eastAsia="宋体"/>
        </w:rPr>
        <w:t>改良有效后仍应保持冬季绿肥或有机物料投入，并根据容重、耕层厚度和贯入阻力变化确定再次深松时间。出现容重回升、雨后积水加重或根系下扎受阻时，应排查机械压实、排水不畅和有机碳投入不足等原因，针对性调整。</w:t>
      </w:r>
    </w:p>
    <w:p>
      <w:pPr>
        <w:pStyle w:val="107"/>
        <w:keepNext/>
      </w:pPr>
      <w:r>
        <w:rPr>
          <w:rFonts w:ascii="Times New Roman" w:hAnsi="Times New Roman" w:eastAsia="黑体"/>
        </w:rPr>
        <w:t>档案记录</w:t>
      </w:r>
    </w:p>
    <w:p>
      <w:pPr>
        <w:pStyle w:val="59"/>
        <w:keepLines w:val="0"/>
        <w:widowControl/>
      </w:pPr>
      <w:r>
        <w:rPr>
          <w:rFonts w:ascii="Times New Roman" w:hAnsi="Times New Roman" w:eastAsia="宋体"/>
        </w:rPr>
        <w:t>应建立实施档案，记录地块位置、面积、土壤类型、障碍等级、基线指标、绿肥品种和播种量、耕作机具及深度、有机物料和肥料用量、翻压日期、作物产量、监测结果及异常情况。记录表样式参见附录C。</w:t>
      </w:r>
    </w:p>
    <w:p>
      <w:pPr>
        <w:pStyle w:val="59"/>
        <w:ind w:left="0" w:leftChars="0" w:firstLine="0" w:firstLineChars="0"/>
      </w:pPr>
      <w:r>
        <w:rPr>
          <w:rFonts w:ascii="Times New Roman" w:hAnsi="Times New Roman" w:eastAsia="宋体"/>
        </w:rPr>
        <w:t>纸质或电子档案保存期限不宜少于5年。</w:t>
      </w:r>
    </w:p>
    <w:bookmarkEnd w:id="61"/>
    <w:p>
      <w:pPr>
        <w:pStyle w:val="59"/>
        <w:ind w:firstLine="420"/>
        <w:rPr>
          <w:rFonts w:hint="eastAsia"/>
          <w:color w:val="auto"/>
        </w:rPr>
      </w:pPr>
    </w:p>
    <w:p>
      <w:pPr>
        <w:pStyle w:val="59"/>
        <w:ind w:left="0" w:leftChars="0" w:firstLine="0" w:firstLineChars="0"/>
        <w:rPr>
          <w:rFonts w:hint="eastAsia"/>
          <w:color w:val="auto"/>
        </w:rPr>
      </w:pPr>
    </w:p>
    <w:p>
      <w:pPr>
        <w:rPr>
          <w:color w:val="auto"/>
        </w:rPr>
      </w:pPr>
      <w:r>
        <w:rPr>
          <w:color w:val="auto"/>
        </w:rPr>
        <w:br w:type="page"/>
      </w:r>
    </w:p>
    <w:p>
      <w:pPr>
        <w:pStyle w:val="79"/>
        <w:keepNext/>
        <w:jc w:val="center"/>
      </w:pPr>
      <w:bookmarkStart w:id="62" w:name="_Toc195632801"/>
      <w:bookmarkEnd w:id="62"/>
      <w:bookmarkStart w:id="63" w:name="_Toc195632763"/>
      <w:bookmarkEnd w:id="63"/>
      <w:r>
        <w:br w:type="textWrapping"/>
      </w:r>
      <w:r>
        <w:rPr>
          <w:rFonts w:ascii="Times New Roman" w:hAnsi="Times New Roman" w:eastAsia="宋体"/>
          <w:b w:val="0"/>
          <w:sz w:val="21"/>
        </w:rPr>
        <w:t>（资料性）</w:t>
      </w:r>
      <w:r>
        <w:rPr>
          <w:rFonts w:ascii="Times New Roman" w:hAnsi="Times New Roman" w:eastAsia="宋体"/>
          <w:b w:val="0"/>
          <w:sz w:val="21"/>
        </w:rPr>
        <w:br w:type="textWrapping"/>
      </w:r>
      <w:r>
        <w:rPr>
          <w:rFonts w:ascii="Times New Roman" w:hAnsi="Times New Roman" w:eastAsia="黑体"/>
          <w:b/>
          <w:sz w:val="24"/>
        </w:rPr>
        <w:t>板黏障碍诊断与分级参考</w:t>
      </w:r>
    </w:p>
    <w:p>
      <w:pPr>
        <w:pStyle w:val="59"/>
        <w:keepLines w:val="0"/>
        <w:widowControl/>
      </w:pPr>
      <w:r>
        <w:rPr>
          <w:rFonts w:ascii="Times New Roman" w:hAnsi="Times New Roman" w:eastAsia="宋体"/>
        </w:rPr>
        <w:t>红壤旱地板黏障碍现场诊断可按表A.1进行。</w:t>
      </w:r>
    </w:p>
    <w:p>
      <w:pPr>
        <w:pStyle w:val="234"/>
        <w:keepNext/>
        <w:jc w:val="center"/>
      </w:pPr>
      <w:r>
        <w:rPr>
          <w:rFonts w:ascii="Times New Roman" w:hAnsi="Times New Roman" w:eastAsia="黑体"/>
          <w:b/>
        </w:rPr>
        <w:t>表A.1  现场表现与分级参考</w:t>
      </w:r>
    </w:p>
    <w:tbl>
      <w:tblPr>
        <w:tblStyle w:val="36"/>
        <w:tblW w:w="960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00"/>
        <w:gridCol w:w="3300"/>
        <w:gridCol w:w="3000"/>
        <w:gridCol w:w="19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blHeader/>
          <w:jc w:val="center"/>
        </w:trPr>
        <w:tc>
          <w:tcPr>
            <w:tcW w:w="1400" w:type="dxa"/>
            <w:shd w:val="clear" w:color="auto" w:fill="auto"/>
            <w:tcMar>
              <w:top w:w="80" w:type="dxa"/>
              <w:left w:w="100" w:type="dxa"/>
              <w:bottom w:w="80" w:type="dxa"/>
              <w:right w:w="100" w:type="dxa"/>
            </w:tcMar>
            <w:vAlign w:val="center"/>
          </w:tcPr>
          <w:p>
            <w:pPr>
              <w:spacing w:before="0" w:after="0" w:line="240" w:lineRule="auto"/>
              <w:jc w:val="center"/>
            </w:pPr>
            <w:r>
              <w:rPr>
                <w:rFonts w:ascii="Times New Roman" w:hAnsi="Times New Roman" w:eastAsia="黑体"/>
                <w:b/>
                <w:sz w:val="18"/>
              </w:rPr>
              <w:t>障碍程度</w:t>
            </w:r>
          </w:p>
        </w:tc>
        <w:tc>
          <w:tcPr>
            <w:tcW w:w="3300" w:type="dxa"/>
            <w:shd w:val="clear" w:color="auto" w:fill="auto"/>
            <w:tcMar>
              <w:top w:w="80" w:type="dxa"/>
              <w:left w:w="100" w:type="dxa"/>
              <w:bottom w:w="80" w:type="dxa"/>
              <w:right w:w="100" w:type="dxa"/>
            </w:tcMar>
            <w:vAlign w:val="center"/>
          </w:tcPr>
          <w:p>
            <w:pPr>
              <w:spacing w:before="0" w:after="0" w:line="240" w:lineRule="auto"/>
              <w:jc w:val="center"/>
            </w:pPr>
            <w:r>
              <w:rPr>
                <w:rFonts w:ascii="Times New Roman" w:hAnsi="Times New Roman" w:eastAsia="黑体"/>
                <w:b/>
                <w:sz w:val="18"/>
              </w:rPr>
              <w:t>土体与耕作表现</w:t>
            </w:r>
          </w:p>
        </w:tc>
        <w:tc>
          <w:tcPr>
            <w:tcW w:w="3000" w:type="dxa"/>
            <w:shd w:val="clear" w:color="auto" w:fill="auto"/>
            <w:tcMar>
              <w:top w:w="80" w:type="dxa"/>
              <w:left w:w="100" w:type="dxa"/>
              <w:bottom w:w="80" w:type="dxa"/>
              <w:right w:w="100" w:type="dxa"/>
            </w:tcMar>
            <w:vAlign w:val="center"/>
          </w:tcPr>
          <w:p>
            <w:pPr>
              <w:spacing w:before="0" w:after="0" w:line="240" w:lineRule="auto"/>
              <w:jc w:val="center"/>
            </w:pPr>
            <w:r>
              <w:rPr>
                <w:rFonts w:ascii="Times New Roman" w:hAnsi="Times New Roman" w:eastAsia="黑体"/>
                <w:b/>
                <w:sz w:val="18"/>
              </w:rPr>
              <w:t>作物与水分表现</w:t>
            </w:r>
          </w:p>
        </w:tc>
        <w:tc>
          <w:tcPr>
            <w:tcW w:w="1900" w:type="dxa"/>
            <w:shd w:val="clear" w:color="auto" w:fill="auto"/>
            <w:tcMar>
              <w:top w:w="80" w:type="dxa"/>
              <w:left w:w="100" w:type="dxa"/>
              <w:bottom w:w="80" w:type="dxa"/>
              <w:right w:w="100" w:type="dxa"/>
            </w:tcMar>
            <w:vAlign w:val="center"/>
          </w:tcPr>
          <w:p>
            <w:pPr>
              <w:spacing w:before="0" w:after="0" w:line="240" w:lineRule="auto"/>
              <w:jc w:val="center"/>
            </w:pPr>
            <w:r>
              <w:rPr>
                <w:rFonts w:ascii="Times New Roman" w:hAnsi="Times New Roman" w:eastAsia="黑体"/>
                <w:b/>
                <w:sz w:val="18"/>
              </w:rPr>
              <w:t>建议核查指标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1400" w:type="dxa"/>
            <w:tcMar>
              <w:top w:w="80" w:type="dxa"/>
              <w:left w:w="100" w:type="dxa"/>
              <w:bottom w:w="80" w:type="dxa"/>
              <w:right w:w="100" w:type="dxa"/>
            </w:tcMar>
            <w:vAlign w:val="center"/>
          </w:tcPr>
          <w:p>
            <w:pPr>
              <w:spacing w:before="0" w:after="0" w:line="240" w:lineRule="auto"/>
              <w:jc w:val="center"/>
            </w:pPr>
            <w:r>
              <w:rPr>
                <w:rFonts w:ascii="Times New Roman" w:hAnsi="Times New Roman" w:eastAsia="宋体"/>
                <w:sz w:val="18"/>
              </w:rPr>
              <w:t>轻度</w:t>
            </w:r>
          </w:p>
        </w:tc>
        <w:tc>
          <w:tcPr>
            <w:tcW w:w="33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表层雨后易结皮；耕作阻力略增；偶见小土块</w:t>
            </w:r>
          </w:p>
        </w:tc>
        <w:tc>
          <w:tcPr>
            <w:tcW w:w="30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短期干旱时叶片轻度萎蔫，降雨后入渗稍慢</w:t>
            </w:r>
          </w:p>
        </w:tc>
        <w:tc>
          <w:tcPr>
            <w:tcW w:w="19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耕层厚度、容重、水稳性团聚体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1400" w:type="dxa"/>
            <w:tcMar>
              <w:top w:w="80" w:type="dxa"/>
              <w:left w:w="100" w:type="dxa"/>
              <w:bottom w:w="80" w:type="dxa"/>
              <w:right w:w="100" w:type="dxa"/>
            </w:tcMar>
            <w:vAlign w:val="center"/>
          </w:tcPr>
          <w:p>
            <w:pPr>
              <w:spacing w:before="0" w:after="0" w:line="240" w:lineRule="auto"/>
              <w:jc w:val="center"/>
            </w:pPr>
            <w:r>
              <w:rPr>
                <w:rFonts w:ascii="Times New Roman" w:hAnsi="Times New Roman" w:eastAsia="宋体"/>
                <w:sz w:val="18"/>
              </w:rPr>
              <w:t>中度</w:t>
            </w:r>
          </w:p>
        </w:tc>
        <w:tc>
          <w:tcPr>
            <w:tcW w:w="33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耕层偏浅，干时形成较硬土块，湿时黏附机具；可见犁底层</w:t>
            </w:r>
          </w:p>
        </w:tc>
        <w:tc>
          <w:tcPr>
            <w:tcW w:w="30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根系集中于表层，雨后局部积水或径流，干旱胁迫明显</w:t>
            </w:r>
          </w:p>
        </w:tc>
        <w:tc>
          <w:tcPr>
            <w:tcW w:w="19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增加贯入阻力、总孔隙度和有机质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1400" w:type="dxa"/>
            <w:tcMar>
              <w:top w:w="80" w:type="dxa"/>
              <w:left w:w="100" w:type="dxa"/>
              <w:bottom w:w="80" w:type="dxa"/>
              <w:right w:w="100" w:type="dxa"/>
            </w:tcMar>
            <w:vAlign w:val="center"/>
          </w:tcPr>
          <w:p>
            <w:pPr>
              <w:spacing w:before="0" w:after="0" w:line="240" w:lineRule="auto"/>
              <w:jc w:val="center"/>
            </w:pPr>
            <w:r>
              <w:rPr>
                <w:rFonts w:ascii="Times New Roman" w:hAnsi="Times New Roman" w:eastAsia="宋体"/>
                <w:sz w:val="18"/>
              </w:rPr>
              <w:t>重度</w:t>
            </w:r>
          </w:p>
        </w:tc>
        <w:tc>
          <w:tcPr>
            <w:tcW w:w="33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耕层明显浅薄，土块坚硬且难破碎，机械作业打滑或压陷</w:t>
            </w:r>
          </w:p>
        </w:tc>
        <w:tc>
          <w:tcPr>
            <w:tcW w:w="30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根系难以下扎，雨后积水或强径流，季节性干旱和减产突出</w:t>
            </w:r>
          </w:p>
        </w:tc>
        <w:tc>
          <w:tcPr>
            <w:tcW w:w="19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开展剖面调查，核查排水与侵蚀风险</w:t>
            </w:r>
          </w:p>
        </w:tc>
      </w:tr>
    </w:tbl>
    <w:p/>
    <w:p>
      <w:pPr>
        <w:pStyle w:val="246"/>
        <w:keepLines w:val="0"/>
        <w:widowControl/>
      </w:pPr>
      <w:r>
        <w:rPr>
          <w:rFonts w:ascii="Times New Roman" w:hAnsi="Times New Roman" w:eastAsia="宋体"/>
        </w:rPr>
        <w:t>注：现场表现只用于辅助判定，不代替第5章规定的指标测定。</w:t>
      </w:r>
    </w:p>
    <w:p>
      <w:r>
        <w:br w:type="page"/>
      </w:r>
    </w:p>
    <w:p>
      <w:pPr>
        <w:pStyle w:val="79"/>
        <w:keepNext/>
        <w:jc w:val="center"/>
      </w:pPr>
      <w:r>
        <w:br w:type="textWrapping"/>
      </w:r>
      <w:r>
        <w:rPr>
          <w:rFonts w:ascii="Times New Roman" w:hAnsi="Times New Roman" w:eastAsia="宋体"/>
          <w:b w:val="0"/>
          <w:sz w:val="21"/>
        </w:rPr>
        <w:t>（资料性）</w:t>
      </w:r>
      <w:r>
        <w:rPr>
          <w:rFonts w:ascii="Times New Roman" w:hAnsi="Times New Roman" w:eastAsia="宋体"/>
          <w:b w:val="0"/>
          <w:sz w:val="21"/>
        </w:rPr>
        <w:br w:type="textWrapping"/>
      </w:r>
      <w:r>
        <w:rPr>
          <w:rFonts w:ascii="Times New Roman" w:hAnsi="Times New Roman" w:eastAsia="黑体"/>
          <w:b/>
          <w:sz w:val="24"/>
        </w:rPr>
        <w:t>分级改良技术模式</w:t>
      </w:r>
    </w:p>
    <w:p>
      <w:pPr>
        <w:pStyle w:val="59"/>
        <w:keepLines w:val="0"/>
        <w:widowControl/>
      </w:pPr>
      <w:r>
        <w:rPr>
          <w:rFonts w:ascii="Times New Roman" w:hAnsi="Times New Roman" w:eastAsia="宋体"/>
        </w:rPr>
        <w:t>不同障碍程度的推荐技术组合见表B.1。</w:t>
      </w:r>
    </w:p>
    <w:p>
      <w:pPr>
        <w:pStyle w:val="234"/>
        <w:keepNext/>
        <w:jc w:val="center"/>
      </w:pPr>
      <w:r>
        <w:rPr>
          <w:rFonts w:ascii="Times New Roman" w:hAnsi="Times New Roman" w:eastAsia="黑体"/>
          <w:b/>
        </w:rPr>
        <w:t>表B.1  分级改良技术组合</w:t>
      </w:r>
    </w:p>
    <w:tbl>
      <w:tblPr>
        <w:tblStyle w:val="36"/>
        <w:tblW w:w="1000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00"/>
        <w:gridCol w:w="2450"/>
        <w:gridCol w:w="2550"/>
        <w:gridCol w:w="2650"/>
        <w:gridCol w:w="11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blHeader/>
          <w:jc w:val="center"/>
        </w:trPr>
        <w:tc>
          <w:tcPr>
            <w:tcW w:w="1200" w:type="dxa"/>
            <w:shd w:val="clear" w:color="auto" w:fill="auto"/>
            <w:tcMar>
              <w:top w:w="80" w:type="dxa"/>
              <w:left w:w="100" w:type="dxa"/>
              <w:bottom w:w="80" w:type="dxa"/>
              <w:right w:w="100" w:type="dxa"/>
            </w:tcMar>
            <w:vAlign w:val="center"/>
          </w:tcPr>
          <w:p>
            <w:pPr>
              <w:spacing w:before="0" w:after="0" w:line="240" w:lineRule="auto"/>
              <w:jc w:val="center"/>
            </w:pPr>
            <w:r>
              <w:rPr>
                <w:rFonts w:ascii="Times New Roman" w:hAnsi="Times New Roman" w:eastAsia="黑体"/>
                <w:b/>
                <w:sz w:val="17"/>
              </w:rPr>
              <w:t>障碍程度</w:t>
            </w:r>
          </w:p>
        </w:tc>
        <w:tc>
          <w:tcPr>
            <w:tcW w:w="2450" w:type="dxa"/>
            <w:shd w:val="clear" w:color="auto" w:fill="auto"/>
            <w:tcMar>
              <w:top w:w="80" w:type="dxa"/>
              <w:left w:w="100" w:type="dxa"/>
              <w:bottom w:w="80" w:type="dxa"/>
              <w:right w:w="100" w:type="dxa"/>
            </w:tcMar>
            <w:vAlign w:val="center"/>
          </w:tcPr>
          <w:p>
            <w:pPr>
              <w:spacing w:before="0" w:after="0" w:line="240" w:lineRule="auto"/>
              <w:jc w:val="center"/>
            </w:pPr>
            <w:r>
              <w:rPr>
                <w:rFonts w:ascii="Times New Roman" w:hAnsi="Times New Roman" w:eastAsia="黑体"/>
                <w:b/>
                <w:sz w:val="17"/>
              </w:rPr>
              <w:t>机械措施</w:t>
            </w:r>
          </w:p>
        </w:tc>
        <w:tc>
          <w:tcPr>
            <w:tcW w:w="2550" w:type="dxa"/>
            <w:shd w:val="clear" w:color="auto" w:fill="auto"/>
            <w:tcMar>
              <w:top w:w="80" w:type="dxa"/>
              <w:left w:w="100" w:type="dxa"/>
              <w:bottom w:w="80" w:type="dxa"/>
              <w:right w:w="100" w:type="dxa"/>
            </w:tcMar>
            <w:vAlign w:val="center"/>
          </w:tcPr>
          <w:p>
            <w:pPr>
              <w:spacing w:before="0" w:after="0" w:line="240" w:lineRule="auto"/>
              <w:jc w:val="center"/>
            </w:pPr>
            <w:r>
              <w:rPr>
                <w:rFonts w:ascii="Times New Roman" w:hAnsi="Times New Roman" w:eastAsia="黑体"/>
                <w:b/>
                <w:sz w:val="17"/>
              </w:rPr>
              <w:t>生物措施</w:t>
            </w:r>
          </w:p>
        </w:tc>
        <w:tc>
          <w:tcPr>
            <w:tcW w:w="2650" w:type="dxa"/>
            <w:shd w:val="clear" w:color="auto" w:fill="auto"/>
            <w:tcMar>
              <w:top w:w="80" w:type="dxa"/>
              <w:left w:w="100" w:type="dxa"/>
              <w:bottom w:w="80" w:type="dxa"/>
              <w:right w:w="100" w:type="dxa"/>
            </w:tcMar>
            <w:vAlign w:val="center"/>
          </w:tcPr>
          <w:p>
            <w:pPr>
              <w:spacing w:before="0" w:after="0" w:line="240" w:lineRule="auto"/>
              <w:jc w:val="center"/>
            </w:pPr>
            <w:r>
              <w:rPr>
                <w:rFonts w:ascii="Times New Roman" w:hAnsi="Times New Roman" w:eastAsia="黑体"/>
                <w:b/>
                <w:sz w:val="17"/>
              </w:rPr>
              <w:t>有机物料与酸化调控</w:t>
            </w:r>
          </w:p>
        </w:tc>
        <w:tc>
          <w:tcPr>
            <w:tcW w:w="1150" w:type="dxa"/>
            <w:shd w:val="clear" w:color="auto" w:fill="auto"/>
            <w:tcMar>
              <w:top w:w="80" w:type="dxa"/>
              <w:left w:w="100" w:type="dxa"/>
              <w:bottom w:w="80" w:type="dxa"/>
              <w:right w:w="100" w:type="dxa"/>
            </w:tcMar>
            <w:vAlign w:val="center"/>
          </w:tcPr>
          <w:p>
            <w:pPr>
              <w:spacing w:before="0" w:after="0" w:line="240" w:lineRule="auto"/>
              <w:jc w:val="center"/>
            </w:pPr>
            <w:r>
              <w:rPr>
                <w:rFonts w:ascii="Times New Roman" w:hAnsi="Times New Roman" w:eastAsia="黑体"/>
                <w:b/>
                <w:sz w:val="17"/>
              </w:rPr>
              <w:t>实施周期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1200" w:type="dxa"/>
            <w:tcMar>
              <w:top w:w="80" w:type="dxa"/>
              <w:left w:w="100" w:type="dxa"/>
              <w:bottom w:w="80" w:type="dxa"/>
              <w:right w:w="100" w:type="dxa"/>
            </w:tcMar>
            <w:vAlign w:val="center"/>
          </w:tcPr>
          <w:p>
            <w:pPr>
              <w:spacing w:before="0" w:after="0" w:line="240" w:lineRule="auto"/>
              <w:jc w:val="center"/>
            </w:pPr>
            <w:r>
              <w:rPr>
                <w:rFonts w:ascii="Times New Roman" w:hAnsi="Times New Roman" w:eastAsia="宋体"/>
                <w:sz w:val="17"/>
              </w:rPr>
              <w:t>轻度</w:t>
            </w:r>
          </w:p>
        </w:tc>
        <w:tc>
          <w:tcPr>
            <w:tcW w:w="245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7"/>
              </w:rPr>
              <w:t>18～22 cm深翻或旋耕；2年～3年深松1次</w:t>
            </w:r>
          </w:p>
        </w:tc>
        <w:tc>
          <w:tcPr>
            <w:tcW w:w="255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7"/>
              </w:rPr>
              <w:t>冬绿肥单播或豆科—非豆科轮换</w:t>
            </w:r>
          </w:p>
        </w:tc>
        <w:tc>
          <w:tcPr>
            <w:tcW w:w="265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7"/>
              </w:rPr>
              <w:t>秸秆覆盖还田；pH＜5.0时开展小面积调理验证</w:t>
            </w:r>
          </w:p>
        </w:tc>
        <w:tc>
          <w:tcPr>
            <w:tcW w:w="115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7"/>
              </w:rPr>
              <w:t>连续2年，年度监测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1200" w:type="dxa"/>
            <w:tcMar>
              <w:top w:w="80" w:type="dxa"/>
              <w:left w:w="100" w:type="dxa"/>
              <w:bottom w:w="80" w:type="dxa"/>
              <w:right w:w="100" w:type="dxa"/>
            </w:tcMar>
            <w:vAlign w:val="center"/>
          </w:tcPr>
          <w:p>
            <w:pPr>
              <w:spacing w:before="0" w:after="0" w:line="240" w:lineRule="auto"/>
              <w:jc w:val="center"/>
            </w:pPr>
            <w:r>
              <w:rPr>
                <w:rFonts w:ascii="Times New Roman" w:hAnsi="Times New Roman" w:eastAsia="宋体"/>
                <w:sz w:val="17"/>
              </w:rPr>
              <w:t>中度</w:t>
            </w:r>
          </w:p>
        </w:tc>
        <w:tc>
          <w:tcPr>
            <w:tcW w:w="245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7"/>
              </w:rPr>
              <w:t>20～25 cm深翻；25～30 cm深松</w:t>
            </w:r>
          </w:p>
        </w:tc>
        <w:tc>
          <w:tcPr>
            <w:tcW w:w="255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7"/>
              </w:rPr>
              <w:t>豆科与非豆科混播，盛花期翻压15～20 cm</w:t>
            </w:r>
          </w:p>
        </w:tc>
        <w:tc>
          <w:tcPr>
            <w:tcW w:w="265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7"/>
              </w:rPr>
              <w:t>绿肥不足时配施1.5～3.0 t/hm²商品有机肥；酸化同步调控</w:t>
            </w:r>
          </w:p>
        </w:tc>
        <w:tc>
          <w:tcPr>
            <w:tcW w:w="115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7"/>
              </w:rPr>
              <w:t>连续2年～3年，固定点监测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1200" w:type="dxa"/>
            <w:tcMar>
              <w:top w:w="80" w:type="dxa"/>
              <w:left w:w="100" w:type="dxa"/>
              <w:bottom w:w="80" w:type="dxa"/>
              <w:right w:w="100" w:type="dxa"/>
            </w:tcMar>
            <w:vAlign w:val="center"/>
          </w:tcPr>
          <w:p>
            <w:pPr>
              <w:spacing w:before="0" w:after="0" w:line="240" w:lineRule="auto"/>
              <w:jc w:val="center"/>
            </w:pPr>
            <w:r>
              <w:rPr>
                <w:rFonts w:ascii="Times New Roman" w:hAnsi="Times New Roman" w:eastAsia="宋体"/>
                <w:sz w:val="17"/>
              </w:rPr>
              <w:t>重度</w:t>
            </w:r>
          </w:p>
        </w:tc>
        <w:tc>
          <w:tcPr>
            <w:tcW w:w="245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7"/>
              </w:rPr>
              <w:t>30～35 cm深松后20～25 cm深翻；坡地采用条带或等高作业</w:t>
            </w:r>
          </w:p>
        </w:tc>
        <w:tc>
          <w:tcPr>
            <w:tcW w:w="255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7"/>
              </w:rPr>
              <w:t>高生物量混播绿肥，分次或适量翻压</w:t>
            </w:r>
          </w:p>
        </w:tc>
        <w:tc>
          <w:tcPr>
            <w:tcW w:w="265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7"/>
              </w:rPr>
              <w:t>秸秆、商品有机肥协同投入；先小区验证石灰质材料用量</w:t>
            </w:r>
          </w:p>
        </w:tc>
        <w:tc>
          <w:tcPr>
            <w:tcW w:w="115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7"/>
              </w:rPr>
              <w:t>不少于3年，逐年评价并调整</w:t>
            </w:r>
          </w:p>
        </w:tc>
      </w:tr>
    </w:tbl>
    <w:p/>
    <w:p>
      <w:r>
        <w:br w:type="page"/>
      </w:r>
    </w:p>
    <w:p/>
    <w:p>
      <w:pPr>
        <w:pStyle w:val="79"/>
        <w:keepNext/>
        <w:spacing w:before="600"/>
        <w:jc w:val="center"/>
      </w:pPr>
      <w:r>
        <w:br w:type="textWrapping"/>
      </w:r>
      <w:r>
        <w:rPr>
          <w:rFonts w:ascii="Times New Roman" w:hAnsi="Times New Roman" w:eastAsia="宋体"/>
          <w:b w:val="0"/>
          <w:sz w:val="21"/>
        </w:rPr>
        <w:t>（资料性）</w:t>
      </w:r>
      <w:r>
        <w:rPr>
          <w:rFonts w:ascii="Times New Roman" w:hAnsi="Times New Roman" w:eastAsia="宋体"/>
          <w:b w:val="0"/>
          <w:sz w:val="21"/>
        </w:rPr>
        <w:br w:type="textWrapping"/>
      </w:r>
      <w:r>
        <w:rPr>
          <w:rFonts w:ascii="Times New Roman" w:hAnsi="Times New Roman" w:eastAsia="黑体"/>
          <w:b/>
          <w:sz w:val="24"/>
        </w:rPr>
        <w:t>田间实施与监测记录表</w:t>
      </w:r>
    </w:p>
    <w:p>
      <w:pPr>
        <w:pStyle w:val="59"/>
        <w:keepLines w:val="0"/>
        <w:widowControl/>
      </w:pPr>
      <w:r>
        <w:rPr>
          <w:rFonts w:ascii="Times New Roman" w:hAnsi="Times New Roman" w:eastAsia="宋体"/>
        </w:rPr>
        <w:t>田间实施与监测信息可按表C.1记录。</w:t>
      </w:r>
    </w:p>
    <w:p>
      <w:pPr>
        <w:pStyle w:val="234"/>
        <w:keepNext/>
        <w:jc w:val="center"/>
      </w:pPr>
      <w:r>
        <w:rPr>
          <w:rFonts w:ascii="Times New Roman" w:hAnsi="Times New Roman" w:eastAsia="黑体"/>
          <w:b/>
        </w:rPr>
        <w:t>表C.1  红壤旱地板黏改良实施记录</w:t>
      </w:r>
    </w:p>
    <w:tbl>
      <w:tblPr>
        <w:tblStyle w:val="36"/>
        <w:tblW w:w="960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00"/>
        <w:gridCol w:w="5400"/>
        <w:gridCol w:w="25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blHeader/>
          <w:jc w:val="center"/>
        </w:trPr>
        <w:tc>
          <w:tcPr>
            <w:tcW w:w="1700" w:type="dxa"/>
            <w:shd w:val="clear" w:color="auto" w:fill="auto"/>
            <w:tcMar>
              <w:top w:w="80" w:type="dxa"/>
              <w:left w:w="100" w:type="dxa"/>
              <w:bottom w:w="80" w:type="dxa"/>
              <w:right w:w="100" w:type="dxa"/>
            </w:tcMar>
            <w:vAlign w:val="center"/>
          </w:tcPr>
          <w:p>
            <w:pPr>
              <w:spacing w:before="0" w:after="0" w:line="240" w:lineRule="auto"/>
              <w:jc w:val="center"/>
            </w:pPr>
            <w:r>
              <w:rPr>
                <w:rFonts w:ascii="Times New Roman" w:hAnsi="Times New Roman" w:eastAsia="黑体"/>
                <w:b/>
                <w:sz w:val="18"/>
              </w:rPr>
              <w:t>记录类别</w:t>
            </w:r>
          </w:p>
        </w:tc>
        <w:tc>
          <w:tcPr>
            <w:tcW w:w="5400" w:type="dxa"/>
            <w:shd w:val="clear" w:color="auto" w:fill="auto"/>
            <w:tcMar>
              <w:top w:w="80" w:type="dxa"/>
              <w:left w:w="100" w:type="dxa"/>
              <w:bottom w:w="80" w:type="dxa"/>
              <w:right w:w="100" w:type="dxa"/>
            </w:tcMar>
            <w:vAlign w:val="center"/>
          </w:tcPr>
          <w:p>
            <w:pPr>
              <w:spacing w:before="0" w:after="0" w:line="240" w:lineRule="auto"/>
              <w:jc w:val="left"/>
            </w:pPr>
            <w:r>
              <w:rPr>
                <w:rFonts w:ascii="Times New Roman" w:hAnsi="Times New Roman" w:eastAsia="黑体"/>
                <w:b/>
                <w:sz w:val="18"/>
              </w:rPr>
              <w:t>记录内容</w:t>
            </w:r>
          </w:p>
        </w:tc>
        <w:tc>
          <w:tcPr>
            <w:tcW w:w="2500" w:type="dxa"/>
            <w:shd w:val="clear" w:color="auto" w:fill="auto"/>
            <w:tcMar>
              <w:top w:w="80" w:type="dxa"/>
              <w:left w:w="100" w:type="dxa"/>
              <w:bottom w:w="80" w:type="dxa"/>
              <w:right w:w="100" w:type="dxa"/>
            </w:tcMar>
            <w:vAlign w:val="center"/>
          </w:tcPr>
          <w:p>
            <w:pPr>
              <w:spacing w:before="0" w:after="0" w:line="240" w:lineRule="auto"/>
              <w:jc w:val="left"/>
            </w:pPr>
            <w:r>
              <w:rPr>
                <w:rFonts w:ascii="Times New Roman" w:hAnsi="Times New Roman" w:eastAsia="黑体"/>
                <w:b/>
                <w:sz w:val="18"/>
              </w:rPr>
              <w:t>记录值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1700" w:type="dxa"/>
            <w:tcMar>
              <w:top w:w="80" w:type="dxa"/>
              <w:left w:w="100" w:type="dxa"/>
              <w:bottom w:w="80" w:type="dxa"/>
              <w:right w:w="100" w:type="dxa"/>
            </w:tcMar>
            <w:vAlign w:val="center"/>
          </w:tcPr>
          <w:p>
            <w:pPr>
              <w:spacing w:before="0" w:after="0" w:line="240" w:lineRule="auto"/>
              <w:jc w:val="center"/>
            </w:pPr>
            <w:r>
              <w:rPr>
                <w:rFonts w:ascii="Times New Roman" w:hAnsi="Times New Roman" w:eastAsia="宋体"/>
                <w:sz w:val="18"/>
              </w:rPr>
              <w:t>基本信息</w:t>
            </w:r>
          </w:p>
        </w:tc>
        <w:tc>
          <w:tcPr>
            <w:tcW w:w="54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地块编号、位置、面积、坡度、土壤母质</w:t>
            </w:r>
          </w:p>
        </w:tc>
        <w:tc>
          <w:tcPr>
            <w:tcW w:w="2500" w:type="dxa"/>
            <w:tcMar>
              <w:top w:w="80" w:type="dxa"/>
              <w:left w:w="100" w:type="dxa"/>
              <w:bottom w:w="80" w:type="dxa"/>
              <w:right w:w="100" w:type="dxa"/>
            </w:tcMar>
            <w:vAlign w:val="center"/>
          </w:tcPr>
          <w:p>
            <w:pPr>
              <w:spacing w:before="0" w:after="0" w:line="240" w:lineRule="auto"/>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1700" w:type="dxa"/>
            <w:tcMar>
              <w:top w:w="80" w:type="dxa"/>
              <w:left w:w="100" w:type="dxa"/>
              <w:bottom w:w="80" w:type="dxa"/>
              <w:right w:w="100" w:type="dxa"/>
            </w:tcMar>
            <w:vAlign w:val="center"/>
          </w:tcPr>
          <w:p>
            <w:pPr>
              <w:spacing w:before="0" w:after="0" w:line="240" w:lineRule="auto"/>
              <w:jc w:val="center"/>
            </w:pPr>
            <w:r>
              <w:rPr>
                <w:rFonts w:ascii="Times New Roman" w:hAnsi="Times New Roman" w:eastAsia="宋体"/>
                <w:sz w:val="18"/>
              </w:rPr>
              <w:t>基线诊断</w:t>
            </w:r>
          </w:p>
        </w:tc>
        <w:tc>
          <w:tcPr>
            <w:tcW w:w="54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日期；耕层厚度；容重；水稳性团聚体；pH；有机质；障碍等级</w:t>
            </w:r>
          </w:p>
        </w:tc>
        <w:tc>
          <w:tcPr>
            <w:tcW w:w="2500" w:type="dxa"/>
            <w:tcMar>
              <w:top w:w="80" w:type="dxa"/>
              <w:left w:w="100" w:type="dxa"/>
              <w:bottom w:w="80" w:type="dxa"/>
              <w:right w:w="100" w:type="dxa"/>
            </w:tcMar>
            <w:vAlign w:val="center"/>
          </w:tcPr>
          <w:p>
            <w:pPr>
              <w:spacing w:before="0" w:after="0" w:line="240" w:lineRule="auto"/>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1700" w:type="dxa"/>
            <w:tcMar>
              <w:top w:w="80" w:type="dxa"/>
              <w:left w:w="100" w:type="dxa"/>
              <w:bottom w:w="80" w:type="dxa"/>
              <w:right w:w="100" w:type="dxa"/>
            </w:tcMar>
            <w:vAlign w:val="center"/>
          </w:tcPr>
          <w:p>
            <w:pPr>
              <w:spacing w:before="0" w:after="0" w:line="240" w:lineRule="auto"/>
              <w:jc w:val="center"/>
            </w:pPr>
            <w:r>
              <w:rPr>
                <w:rFonts w:ascii="Times New Roman" w:hAnsi="Times New Roman" w:eastAsia="宋体"/>
                <w:sz w:val="18"/>
              </w:rPr>
              <w:t>机械作业</w:t>
            </w:r>
          </w:p>
        </w:tc>
        <w:tc>
          <w:tcPr>
            <w:tcW w:w="54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日期；机具；深松/深翻深度；作业方向；土壤墒情</w:t>
            </w:r>
          </w:p>
        </w:tc>
        <w:tc>
          <w:tcPr>
            <w:tcW w:w="2500" w:type="dxa"/>
            <w:tcMar>
              <w:top w:w="80" w:type="dxa"/>
              <w:left w:w="100" w:type="dxa"/>
              <w:bottom w:w="80" w:type="dxa"/>
              <w:right w:w="100" w:type="dxa"/>
            </w:tcMar>
            <w:vAlign w:val="center"/>
          </w:tcPr>
          <w:p>
            <w:pPr>
              <w:spacing w:before="0" w:after="0" w:line="240" w:lineRule="auto"/>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1700" w:type="dxa"/>
            <w:tcMar>
              <w:top w:w="80" w:type="dxa"/>
              <w:left w:w="100" w:type="dxa"/>
              <w:bottom w:w="80" w:type="dxa"/>
              <w:right w:w="100" w:type="dxa"/>
            </w:tcMar>
            <w:vAlign w:val="center"/>
          </w:tcPr>
          <w:p>
            <w:pPr>
              <w:spacing w:before="0" w:after="0" w:line="240" w:lineRule="auto"/>
              <w:jc w:val="center"/>
            </w:pPr>
            <w:r>
              <w:rPr>
                <w:rFonts w:ascii="Times New Roman" w:hAnsi="Times New Roman" w:eastAsia="宋体"/>
                <w:sz w:val="18"/>
              </w:rPr>
              <w:t>绿肥管理</w:t>
            </w:r>
          </w:p>
        </w:tc>
        <w:tc>
          <w:tcPr>
            <w:tcW w:w="54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品种；播种日期；播种量；出苗；鲜草量；翻压日期和深度</w:t>
            </w:r>
          </w:p>
        </w:tc>
        <w:tc>
          <w:tcPr>
            <w:tcW w:w="2500" w:type="dxa"/>
            <w:tcMar>
              <w:top w:w="80" w:type="dxa"/>
              <w:left w:w="100" w:type="dxa"/>
              <w:bottom w:w="80" w:type="dxa"/>
              <w:right w:w="100" w:type="dxa"/>
            </w:tcMar>
            <w:vAlign w:val="center"/>
          </w:tcPr>
          <w:p>
            <w:pPr>
              <w:spacing w:before="0" w:after="0" w:line="240" w:lineRule="auto"/>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1700" w:type="dxa"/>
            <w:tcMar>
              <w:top w:w="80" w:type="dxa"/>
              <w:left w:w="100" w:type="dxa"/>
              <w:bottom w:w="80" w:type="dxa"/>
              <w:right w:w="100" w:type="dxa"/>
            </w:tcMar>
            <w:vAlign w:val="center"/>
          </w:tcPr>
          <w:p>
            <w:pPr>
              <w:spacing w:before="0" w:after="0" w:line="240" w:lineRule="auto"/>
              <w:jc w:val="center"/>
            </w:pPr>
            <w:r>
              <w:rPr>
                <w:rFonts w:ascii="Times New Roman" w:hAnsi="Times New Roman" w:eastAsia="宋体"/>
                <w:sz w:val="18"/>
              </w:rPr>
              <w:t>物料投入</w:t>
            </w:r>
          </w:p>
        </w:tc>
        <w:tc>
          <w:tcPr>
            <w:tcW w:w="54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秸秆、有机肥、石灰质材料、化肥的名称和用量</w:t>
            </w:r>
          </w:p>
        </w:tc>
        <w:tc>
          <w:tcPr>
            <w:tcW w:w="2500" w:type="dxa"/>
            <w:tcMar>
              <w:top w:w="80" w:type="dxa"/>
              <w:left w:w="100" w:type="dxa"/>
              <w:bottom w:w="80" w:type="dxa"/>
              <w:right w:w="100" w:type="dxa"/>
            </w:tcMar>
            <w:vAlign w:val="center"/>
          </w:tcPr>
          <w:p>
            <w:pPr>
              <w:spacing w:before="0" w:after="0" w:line="240" w:lineRule="auto"/>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1700" w:type="dxa"/>
            <w:tcMar>
              <w:top w:w="80" w:type="dxa"/>
              <w:left w:w="100" w:type="dxa"/>
              <w:bottom w:w="80" w:type="dxa"/>
              <w:right w:w="100" w:type="dxa"/>
            </w:tcMar>
            <w:vAlign w:val="center"/>
          </w:tcPr>
          <w:p>
            <w:pPr>
              <w:spacing w:before="0" w:after="0" w:line="240" w:lineRule="auto"/>
              <w:jc w:val="center"/>
            </w:pPr>
            <w:r>
              <w:rPr>
                <w:rFonts w:ascii="Times New Roman" w:hAnsi="Times New Roman" w:eastAsia="宋体"/>
                <w:sz w:val="18"/>
              </w:rPr>
              <w:t>主作物管理</w:t>
            </w:r>
          </w:p>
        </w:tc>
        <w:tc>
          <w:tcPr>
            <w:tcW w:w="54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作物、品种、播种日期、密度、水肥和病虫草害防控</w:t>
            </w:r>
          </w:p>
        </w:tc>
        <w:tc>
          <w:tcPr>
            <w:tcW w:w="2500" w:type="dxa"/>
            <w:tcMar>
              <w:top w:w="80" w:type="dxa"/>
              <w:left w:w="100" w:type="dxa"/>
              <w:bottom w:w="80" w:type="dxa"/>
              <w:right w:w="100" w:type="dxa"/>
            </w:tcMar>
            <w:vAlign w:val="center"/>
          </w:tcPr>
          <w:p>
            <w:pPr>
              <w:spacing w:before="0" w:after="0" w:line="240" w:lineRule="auto"/>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1700" w:type="dxa"/>
            <w:tcMar>
              <w:top w:w="80" w:type="dxa"/>
              <w:left w:w="100" w:type="dxa"/>
              <w:bottom w:w="80" w:type="dxa"/>
              <w:right w:w="100" w:type="dxa"/>
            </w:tcMar>
            <w:vAlign w:val="center"/>
          </w:tcPr>
          <w:p>
            <w:pPr>
              <w:spacing w:before="0" w:after="0" w:line="240" w:lineRule="auto"/>
              <w:jc w:val="center"/>
            </w:pPr>
            <w:r>
              <w:rPr>
                <w:rFonts w:ascii="Times New Roman" w:hAnsi="Times New Roman" w:eastAsia="宋体"/>
                <w:sz w:val="18"/>
              </w:rPr>
              <w:t>收获与评价</w:t>
            </w:r>
          </w:p>
        </w:tc>
        <w:tc>
          <w:tcPr>
            <w:tcW w:w="54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收获日期；产量；监测指标；与基线/对照比较；评价结论</w:t>
            </w:r>
          </w:p>
        </w:tc>
        <w:tc>
          <w:tcPr>
            <w:tcW w:w="2500" w:type="dxa"/>
            <w:tcMar>
              <w:top w:w="80" w:type="dxa"/>
              <w:left w:w="100" w:type="dxa"/>
              <w:bottom w:w="80" w:type="dxa"/>
              <w:right w:w="100" w:type="dxa"/>
            </w:tcMar>
            <w:vAlign w:val="center"/>
          </w:tcPr>
          <w:p>
            <w:pPr>
              <w:spacing w:before="0" w:after="0" w:line="240" w:lineRule="auto"/>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1700" w:type="dxa"/>
            <w:tcMar>
              <w:top w:w="80" w:type="dxa"/>
              <w:left w:w="100" w:type="dxa"/>
              <w:bottom w:w="80" w:type="dxa"/>
              <w:right w:w="100" w:type="dxa"/>
            </w:tcMar>
            <w:vAlign w:val="center"/>
          </w:tcPr>
          <w:p>
            <w:pPr>
              <w:spacing w:before="0" w:after="0" w:line="240" w:lineRule="auto"/>
              <w:jc w:val="center"/>
            </w:pPr>
            <w:r>
              <w:rPr>
                <w:rFonts w:ascii="Times New Roman" w:hAnsi="Times New Roman" w:eastAsia="宋体"/>
                <w:sz w:val="18"/>
              </w:rPr>
              <w:t>异常及处置</w:t>
            </w:r>
          </w:p>
        </w:tc>
        <w:tc>
          <w:tcPr>
            <w:tcW w:w="54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积水、干旱、侵蚀、机械压实、病虫害等异常及处理</w:t>
            </w:r>
          </w:p>
        </w:tc>
        <w:tc>
          <w:tcPr>
            <w:tcW w:w="2500" w:type="dxa"/>
            <w:tcMar>
              <w:top w:w="80" w:type="dxa"/>
              <w:left w:w="100" w:type="dxa"/>
              <w:bottom w:w="80" w:type="dxa"/>
              <w:right w:w="100" w:type="dxa"/>
            </w:tcMar>
            <w:vAlign w:val="center"/>
          </w:tcPr>
          <w:p>
            <w:pPr>
              <w:spacing w:before="0" w:after="0" w:line="240" w:lineRule="auto"/>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jc w:val="center"/>
        </w:trPr>
        <w:tc>
          <w:tcPr>
            <w:tcW w:w="1700" w:type="dxa"/>
            <w:tcMar>
              <w:top w:w="80" w:type="dxa"/>
              <w:left w:w="100" w:type="dxa"/>
              <w:bottom w:w="80" w:type="dxa"/>
              <w:right w:w="100" w:type="dxa"/>
            </w:tcMar>
            <w:vAlign w:val="center"/>
          </w:tcPr>
          <w:p>
            <w:pPr>
              <w:spacing w:before="0" w:after="0" w:line="240" w:lineRule="auto"/>
              <w:jc w:val="center"/>
            </w:pPr>
            <w:r>
              <w:rPr>
                <w:rFonts w:ascii="Times New Roman" w:hAnsi="Times New Roman" w:eastAsia="宋体"/>
                <w:sz w:val="18"/>
              </w:rPr>
              <w:t>责任信息</w:t>
            </w:r>
          </w:p>
        </w:tc>
        <w:tc>
          <w:tcPr>
            <w:tcW w:w="5400" w:type="dxa"/>
            <w:tcMar>
              <w:top w:w="80" w:type="dxa"/>
              <w:left w:w="100" w:type="dxa"/>
              <w:bottom w:w="80" w:type="dxa"/>
              <w:right w:w="100" w:type="dxa"/>
            </w:tcMar>
            <w:vAlign w:val="center"/>
          </w:tcPr>
          <w:p>
            <w:pPr>
              <w:spacing w:before="0" w:after="0" w:line="240" w:lineRule="auto"/>
              <w:jc w:val="left"/>
            </w:pPr>
            <w:r>
              <w:rPr>
                <w:rFonts w:ascii="Times New Roman" w:hAnsi="Times New Roman" w:eastAsia="宋体"/>
                <w:sz w:val="18"/>
              </w:rPr>
              <w:t>实施人、监测人、审核人及日期</w:t>
            </w:r>
          </w:p>
        </w:tc>
        <w:tc>
          <w:tcPr>
            <w:tcW w:w="2500" w:type="dxa"/>
            <w:tcMar>
              <w:top w:w="80" w:type="dxa"/>
              <w:left w:w="100" w:type="dxa"/>
              <w:bottom w:w="80" w:type="dxa"/>
              <w:right w:w="100" w:type="dxa"/>
            </w:tcMar>
            <w:vAlign w:val="center"/>
          </w:tcPr>
          <w:p>
            <w:pPr>
              <w:spacing w:before="0" w:after="0" w:line="240" w:lineRule="auto"/>
              <w:jc w:val="left"/>
            </w:pPr>
          </w:p>
        </w:tc>
      </w:tr>
    </w:tbl>
    <w:p/>
    <w:p/>
    <w:p/>
    <w:p/>
    <w:bookmarkEnd w:id="19"/>
    <w:p>
      <w:pPr>
        <w:pStyle w:val="59"/>
        <w:ind w:firstLine="0" w:firstLineChars="0"/>
        <w:jc w:val="center"/>
        <w:rPr>
          <w:color w:val="auto"/>
        </w:rPr>
      </w:pPr>
      <w:bookmarkStart w:id="64" w:name="BookMark8"/>
      <w:r>
        <w:rPr>
          <w:color w:val="auto"/>
        </w:rPr>
        <w:drawing>
          <wp:inline distT="0" distB="0" distL="0" distR="0">
            <wp:extent cx="1485900" cy="317500"/>
            <wp:effectExtent l="0" t="0" r="0" b="635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8">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64"/>
    </w:p>
    <w:sectPr>
      <w:headerReference r:id="rId13" w:type="default"/>
      <w:footerReference r:id="rId15" w:type="default"/>
      <w:headerReference r:id="rId14" w:type="even"/>
      <w:footerReference r:id="rId16" w:type="even"/>
      <w:pgSz w:w="11906" w:h="16838"/>
      <w:pgMar w:top="1928" w:right="1134" w:bottom="1134" w:left="1134" w:header="1418" w:footer="1134" w:gutter="284"/>
      <w:pgNumType w:start="1"/>
      <w:cols w:space="425"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Segoe UI Symbol">
    <w:panose1 w:val="020B0502040204020203"/>
    <w:charset w:val="00"/>
    <w:family w:val="auto"/>
    <w:pitch w:val="default"/>
    <w:sig w:usb0="8000006F" w:usb1="1200FBEF" w:usb2="0064C000" w:usb3="00000002" w:csb0="00000001" w:csb1="40000000"/>
  </w:font>
  <w:font w:name="Arial">
    <w:panose1 w:val="020B0604020202020204"/>
    <w:charset w:val="00"/>
    <w:family w:val="auto"/>
    <w:pitch w:val="default"/>
    <w:sig w:usb0="E0002AFF" w:usb1="C0007843" w:usb2="00000009" w:usb3="00000000" w:csb0="400001FF" w:csb1="FFFF0000"/>
  </w:font>
  <w:font w:name="等线">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UI">
    <w:altName w:val="宋体"/>
    <w:panose1 w:val="020B0503020204020204"/>
    <w:charset w:val="86"/>
    <w:family w:val="auto"/>
    <w:pitch w:val="default"/>
    <w:sig w:usb0="00000000" w:usb1="0000000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fldChar w:fldCharType="begin"/>
    </w:r>
    <w:r>
      <w:instrText xml:space="preserve">PAGE   \* MERGEFORMAT</w:instrText>
    </w:r>
    <w:r>
      <w:fldChar w:fldCharType="separate"/>
    </w:r>
    <w:r>
      <w:rPr>
        <w:lang w:val="zh-CN"/>
      </w:rPr>
      <w:t>I</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pPr>
    <w:r>
      <w:fldChar w:fldCharType="begin"/>
    </w:r>
    <w:r>
      <w:instrText xml:space="preserve"> PAGE   \* MERGEFORMAT \* MERGEFORMAT </w:instrText>
    </w:r>
    <w:r>
      <w:fldChar w:fldCharType="separate"/>
    </w:r>
    <w:r>
      <w:t>II</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fldChar w:fldCharType="begin"/>
    </w:r>
    <w:r>
      <w:instrText xml:space="preserve">PAGE   \* MERGEFORMAT</w:instrText>
    </w:r>
    <w:r>
      <w:fldChar w:fldCharType="separate"/>
    </w:r>
    <w:r>
      <w:rPr>
        <w:lang w:val="zh-CN"/>
      </w:rPr>
      <w:t>7</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pPr>
    <w:r>
      <w:fldChar w:fldCharType="begin"/>
    </w:r>
    <w:r>
      <w:instrText xml:space="preserve"> PAGE   \* MERGEFORMAT \* MERGEFORMAT </w:instrText>
    </w:r>
    <w:r>
      <w:fldChar w:fldCharType="separate"/>
    </w:r>
    <w:r>
      <w:t>8</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4"/>
    </w:pPr>
    <w:r>
      <w:fldChar w:fldCharType="begin"/>
    </w:r>
    <w:r>
      <w:instrText xml:space="preserve"> STYLEREF  标准文件_文件编号  \* MERGEFORMAT </w:instrText>
    </w:r>
    <w:r>
      <w:fldChar w:fldCharType="separate"/>
    </w:r>
    <w:r>
      <w:t>DB**/T XXXX—2026</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pPr>
    <w:r>
      <w:fldChar w:fldCharType="begin"/>
    </w:r>
    <w:r>
      <w:instrText xml:space="preserve"> STYLEREF  标准文件_文件编号 \* MERGEFORMAT </w:instrText>
    </w:r>
    <w:r>
      <w:fldChar w:fldCharType="separate"/>
    </w:r>
    <w:r>
      <w:t>DB**/T XXXX—2026</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4"/>
    </w:pPr>
    <w:r>
      <w:fldChar w:fldCharType="begin"/>
    </w:r>
    <w:r>
      <w:instrText xml:space="preserve"> STYLEREF  标准文件_文件编号  \* MERGEFORMAT </w:instrText>
    </w:r>
    <w:r>
      <w:fldChar w:fldCharType="separate"/>
    </w:r>
    <w:r>
      <w:t>DB**/T XXXX—2026</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pPr>
    <w:r>
      <w:fldChar w:fldCharType="begin"/>
    </w:r>
    <w:r>
      <w:instrText xml:space="preserve"> STYLEREF  标准文件_文件编号 \* MERGEFORMAT </w:instrText>
    </w:r>
    <w:r>
      <w:fldChar w:fldCharType="separate"/>
    </w:r>
    <w:r>
      <w:t>DB**/T XXXX—2026</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37933"/>
    <w:multiLevelType w:val="multilevel"/>
    <w:tmpl w:val="02837933"/>
    <w:lvl w:ilvl="0" w:tentative="0">
      <w:start w:val="1"/>
      <w:numFmt w:val="decimal"/>
      <w:pStyle w:val="67"/>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2"/>
      <w:suff w:val="nothing"/>
      <w:lvlText w:val="%1%2.%3　"/>
      <w:lvlJc w:val="left"/>
      <w:pPr>
        <w:ind w:left="0" w:firstLine="0"/>
      </w:pPr>
    </w:lvl>
    <w:lvl w:ilvl="3" w:tentative="0">
      <w:start w:val="1"/>
      <w:numFmt w:val="decimal"/>
      <w:pStyle w:val="121"/>
      <w:suff w:val="nothing"/>
      <w:lvlText w:val="%1%2.%3.%4　"/>
      <w:lvlJc w:val="left"/>
      <w:pPr>
        <w:ind w:left="0" w:firstLine="0"/>
      </w:pPr>
    </w:lvl>
    <w:lvl w:ilvl="4" w:tentative="0">
      <w:start w:val="1"/>
      <w:numFmt w:val="decimal"/>
      <w:pStyle w:val="156"/>
      <w:suff w:val="nothing"/>
      <w:lvlText w:val="%1%2.%3.%4.%5　"/>
      <w:lvlJc w:val="left"/>
      <w:pPr>
        <w:ind w:left="0" w:firstLine="0"/>
      </w:pPr>
    </w:lvl>
    <w:lvl w:ilvl="5" w:tentative="0">
      <w:start w:val="1"/>
      <w:numFmt w:val="decimal"/>
      <w:pStyle w:val="158"/>
      <w:suff w:val="nothing"/>
      <w:lvlText w:val="%1%2.%3.%4.%5.%6　"/>
      <w:lvlJc w:val="left"/>
      <w:pPr>
        <w:ind w:left="0" w:firstLine="0"/>
      </w:pPr>
    </w:lvl>
    <w:lvl w:ilvl="6" w:tentative="0">
      <w:start w:val="1"/>
      <w:numFmt w:val="decimal"/>
      <w:pStyle w:val="161"/>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3"/>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2"/>
      <w:lvlText w:val="%1"/>
      <w:lvlJc w:val="left"/>
      <w:pPr>
        <w:ind w:left="425" w:hanging="425"/>
      </w:pPr>
      <w:rPr>
        <w:rFonts w:hint="eastAsia"/>
      </w:rPr>
    </w:lvl>
    <w:lvl w:ilvl="1" w:tentative="0">
      <w:start w:val="1"/>
      <w:numFmt w:val="decimal"/>
      <w:pStyle w:val="203"/>
      <w:suff w:val="nothing"/>
      <w:lvlText w:val="%10.%2 "/>
      <w:lvlJc w:val="left"/>
      <w:pPr>
        <w:ind w:left="0" w:firstLine="0"/>
      </w:pPr>
      <w:rPr>
        <w:rFonts w:hint="eastAsia" w:ascii="黑体" w:eastAsia="黑体" w:hAnsiTheme="minorHAnsi"/>
        <w:b w:val="0"/>
        <w:i w:val="0"/>
        <w:sz w:val="21"/>
      </w:rPr>
    </w:lvl>
    <w:lvl w:ilvl="2" w:tentative="0">
      <w:start w:val="1"/>
      <w:numFmt w:val="decimal"/>
      <w:pStyle w:val="204"/>
      <w:suff w:val="nothing"/>
      <w:lvlText w:val="%10.%2.%3 "/>
      <w:lvlJc w:val="left"/>
      <w:pPr>
        <w:ind w:left="0" w:firstLine="0"/>
      </w:pPr>
      <w:rPr>
        <w:rFonts w:hint="eastAsia" w:ascii="黑体" w:eastAsia="黑体" w:hAnsiTheme="minorHAnsi"/>
        <w:b w:val="0"/>
        <w:i w:val="0"/>
        <w:sz w:val="21"/>
      </w:rPr>
    </w:lvl>
    <w:lvl w:ilvl="3" w:tentative="0">
      <w:start w:val="1"/>
      <w:numFmt w:val="decimal"/>
      <w:pStyle w:val="205"/>
      <w:suff w:val="nothing"/>
      <w:lvlText w:val="%10.%2.%3.%4 "/>
      <w:lvlJc w:val="left"/>
      <w:pPr>
        <w:ind w:left="0" w:firstLine="0"/>
      </w:pPr>
      <w:rPr>
        <w:rFonts w:hint="eastAsia" w:ascii="黑体" w:eastAsia="黑体" w:hAnsiTheme="minorHAnsi"/>
        <w:b w:val="0"/>
        <w:i w:val="0"/>
        <w:sz w:val="21"/>
      </w:rPr>
    </w:lvl>
    <w:lvl w:ilvl="4" w:tentative="0">
      <w:start w:val="1"/>
      <w:numFmt w:val="decimal"/>
      <w:pStyle w:val="206"/>
      <w:suff w:val="nothing"/>
      <w:lvlText w:val="%10.%2.%3.%4.%5 "/>
      <w:lvlJc w:val="left"/>
      <w:pPr>
        <w:ind w:left="0" w:firstLine="0"/>
      </w:pPr>
      <w:rPr>
        <w:rFonts w:hint="eastAsia" w:ascii="黑体" w:eastAsia="黑体" w:hAnsiTheme="minorHAnsi"/>
        <w:b w:val="0"/>
        <w:i w:val="0"/>
        <w:sz w:val="21"/>
      </w:rPr>
    </w:lvl>
    <w:lvl w:ilvl="5" w:tentative="0">
      <w:start w:val="1"/>
      <w:numFmt w:val="decimal"/>
      <w:pStyle w:val="207"/>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4"/>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70"/>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2"/>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3"/>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8"/>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5"/>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1FC91163"/>
    <w:multiLevelType w:val="multilevel"/>
    <w:tmpl w:val="1FC91163"/>
    <w:lvl w:ilvl="0" w:tentative="0">
      <w:start w:val="1"/>
      <w:numFmt w:val="decimal"/>
      <w:pStyle w:val="233"/>
      <w:suff w:val="nothing"/>
      <w:lvlText w:val="%1　"/>
      <w:lvlJc w:val="left"/>
      <w:pPr>
        <w:ind w:left="0" w:firstLine="0"/>
      </w:pPr>
      <w:rPr>
        <w:rFonts w:hint="eastAsia" w:ascii="黑体" w:hAnsi="Times New Roman" w:eastAsia="黑体"/>
        <w:b w:val="0"/>
        <w:i w:val="0"/>
        <w:sz w:val="21"/>
        <w:szCs w:val="21"/>
      </w:rPr>
    </w:lvl>
    <w:lvl w:ilvl="1" w:tentative="0">
      <w:start w:val="1"/>
      <w:numFmt w:val="decimal"/>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1">
    <w:nsid w:val="2C5917C3"/>
    <w:multiLevelType w:val="multilevel"/>
    <w:tmpl w:val="2C5917C3"/>
    <w:lvl w:ilvl="0" w:tentative="0">
      <w:start w:val="1"/>
      <w:numFmt w:val="none"/>
      <w:pStyle w:val="135"/>
      <w:lvlText w:val="%1——"/>
      <w:lvlJc w:val="left"/>
      <w:pPr>
        <w:tabs>
          <w:tab w:val="left" w:pos="851"/>
        </w:tabs>
        <w:ind w:left="851" w:hanging="426"/>
      </w:pPr>
      <w:rPr>
        <w:rFonts w:hint="default" w:ascii="Arial" w:hAnsi="Arial" w:eastAsia="宋体" w:cs="Arial"/>
        <w:b w:val="0"/>
        <w:i w:val="0"/>
        <w:sz w:val="21"/>
      </w:rPr>
    </w:lvl>
    <w:lvl w:ilvl="1" w:tentative="0">
      <w:start w:val="1"/>
      <w:numFmt w:val="none"/>
      <w:pStyle w:val="190"/>
      <w:lvlText w:val=""/>
      <w:lvlJc w:val="left"/>
      <w:pPr>
        <w:ind w:left="851" w:hanging="431"/>
      </w:pPr>
      <w:rPr>
        <w:rFonts w:hint="default" w:ascii="Symbol" w:hAnsi="Symbol"/>
        <w:sz w:val="21"/>
      </w:rPr>
    </w:lvl>
    <w:lvl w:ilvl="2" w:tentative="0">
      <w:start w:val="1"/>
      <w:numFmt w:val="bullet"/>
      <w:pStyle w:val="175"/>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2">
    <w:nsid w:val="32F04FB2"/>
    <w:multiLevelType w:val="multilevel"/>
    <w:tmpl w:val="32F04FB2"/>
    <w:lvl w:ilvl="0" w:tentative="0">
      <w:start w:val="1"/>
      <w:numFmt w:val="lowerLetter"/>
      <w:pStyle w:val="104"/>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3">
    <w:nsid w:val="44C50F90"/>
    <w:multiLevelType w:val="multilevel"/>
    <w:tmpl w:val="44C50F90"/>
    <w:lvl w:ilvl="0" w:tentative="0">
      <w:start w:val="1"/>
      <w:numFmt w:val="lowerLetter"/>
      <w:pStyle w:val="177"/>
      <w:lvlText w:val="%1)"/>
      <w:lvlJc w:val="left"/>
      <w:pPr>
        <w:tabs>
          <w:tab w:val="left" w:pos="851"/>
        </w:tabs>
        <w:ind w:left="851" w:hanging="426"/>
      </w:pPr>
      <w:rPr>
        <w:rFonts w:hint="eastAsia" w:ascii="宋体" w:hAnsi="Times New Roman" w:eastAsia="宋体"/>
        <w:sz w:val="21"/>
      </w:rPr>
    </w:lvl>
    <w:lvl w:ilvl="1" w:tentative="0">
      <w:start w:val="1"/>
      <w:numFmt w:val="decimal"/>
      <w:pStyle w:val="112"/>
      <w:lvlText w:val="%2)"/>
      <w:lvlJc w:val="left"/>
      <w:pPr>
        <w:tabs>
          <w:tab w:val="left" w:pos="1276"/>
        </w:tabs>
        <w:ind w:left="1276" w:hanging="425"/>
      </w:pPr>
      <w:rPr>
        <w:rFonts w:hint="eastAsia" w:ascii="宋体" w:hAnsi="Times New Roman" w:eastAsia="宋体"/>
        <w:sz w:val="21"/>
      </w:rPr>
    </w:lvl>
    <w:lvl w:ilvl="2" w:tentative="0">
      <w:start w:val="1"/>
      <w:numFmt w:val="decimal"/>
      <w:pStyle w:val="120"/>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4">
    <w:nsid w:val="48802D1C"/>
    <w:multiLevelType w:val="multilevel"/>
    <w:tmpl w:val="48802D1C"/>
    <w:lvl w:ilvl="0" w:tentative="0">
      <w:start w:val="1"/>
      <w:numFmt w:val="upperLetter"/>
      <w:pStyle w:val="201"/>
      <w:lvlText w:val="%1"/>
      <w:lvlJc w:val="left"/>
      <w:pPr>
        <w:ind w:left="420" w:hanging="420"/>
      </w:pPr>
      <w:rPr>
        <w:rFonts w:hint="eastAsia"/>
      </w:rPr>
    </w:lvl>
    <w:lvl w:ilvl="1" w:tentative="0">
      <w:start w:val="1"/>
      <w:numFmt w:val="decimal"/>
      <w:pStyle w:val="86"/>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5">
    <w:nsid w:val="4B733A5F"/>
    <w:multiLevelType w:val="multilevel"/>
    <w:tmpl w:val="4B733A5F"/>
    <w:lvl w:ilvl="0" w:tentative="0">
      <w:start w:val="1"/>
      <w:numFmt w:val="decimal"/>
      <w:pStyle w:val="186"/>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6">
    <w:nsid w:val="4E5D0534"/>
    <w:multiLevelType w:val="multilevel"/>
    <w:tmpl w:val="4E5D0534"/>
    <w:lvl w:ilvl="0" w:tentative="0">
      <w:start w:val="1"/>
      <w:numFmt w:val="decimal"/>
      <w:pStyle w:val="119"/>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7">
    <w:nsid w:val="54632751"/>
    <w:multiLevelType w:val="multilevel"/>
    <w:tmpl w:val="54632751"/>
    <w:lvl w:ilvl="0" w:tentative="0">
      <w:start w:val="1"/>
      <w:numFmt w:val="none"/>
      <w:pStyle w:val="96"/>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8">
    <w:nsid w:val="557C2AF5"/>
    <w:multiLevelType w:val="multilevel"/>
    <w:tmpl w:val="557C2AF5"/>
    <w:lvl w:ilvl="0" w:tentative="0">
      <w:start w:val="1"/>
      <w:numFmt w:val="decimal"/>
      <w:pStyle w:val="117"/>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9">
    <w:nsid w:val="5603797C"/>
    <w:multiLevelType w:val="multilevel"/>
    <w:tmpl w:val="5603797C"/>
    <w:lvl w:ilvl="0" w:tentative="0">
      <w:start w:val="1"/>
      <w:numFmt w:val="upperLetter"/>
      <w:pStyle w:val="202"/>
      <w:suff w:val="space"/>
      <w:lvlText w:val="%1"/>
      <w:lvlJc w:val="left"/>
      <w:pPr>
        <w:ind w:left="425" w:hanging="425"/>
      </w:pPr>
      <w:rPr>
        <w:rFonts w:hint="eastAsia"/>
      </w:rPr>
    </w:lvl>
    <w:lvl w:ilvl="1" w:tentative="0">
      <w:start w:val="1"/>
      <w:numFmt w:val="decimal"/>
      <w:pStyle w:val="80"/>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0">
    <w:nsid w:val="564D2089"/>
    <w:multiLevelType w:val="multilevel"/>
    <w:tmpl w:val="564D2089"/>
    <w:lvl w:ilvl="0" w:tentative="0">
      <w:start w:val="1"/>
      <w:numFmt w:val="none"/>
      <w:pStyle w:val="114"/>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644622F9"/>
    <w:multiLevelType w:val="multilevel"/>
    <w:tmpl w:val="644622F9"/>
    <w:lvl w:ilvl="0" w:tentative="0">
      <w:start w:val="1"/>
      <w:numFmt w:val="upperRoman"/>
      <w:pStyle w:val="171"/>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2">
    <w:nsid w:val="646260FA"/>
    <w:multiLevelType w:val="multilevel"/>
    <w:tmpl w:val="646260FA"/>
    <w:lvl w:ilvl="0" w:tentative="0">
      <w:start w:val="1"/>
      <w:numFmt w:val="decimal"/>
      <w:pStyle w:val="115"/>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3">
    <w:nsid w:val="654A26C9"/>
    <w:multiLevelType w:val="multilevel"/>
    <w:tmpl w:val="654A26C9"/>
    <w:lvl w:ilvl="0" w:tentative="0">
      <w:start w:val="1"/>
      <w:numFmt w:val="none"/>
      <w:pStyle w:val="192"/>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4">
    <w:nsid w:val="657D3FBC"/>
    <w:multiLevelType w:val="multilevel"/>
    <w:tmpl w:val="657D3FBC"/>
    <w:lvl w:ilvl="0" w:tentative="0">
      <w:start w:val="1"/>
      <w:numFmt w:val="upperLetter"/>
      <w:pStyle w:val="79"/>
      <w:suff w:val="nothing"/>
      <w:lvlText w:val="附录%1"/>
      <w:lvlJc w:val="left"/>
      <w:pPr>
        <w:ind w:left="0" w:firstLine="0"/>
      </w:pPr>
      <w:rPr>
        <w:rFonts w:hint="eastAsia"/>
        <w:spacing w:val="100"/>
      </w:rPr>
    </w:lvl>
    <w:lvl w:ilvl="1" w:tentative="0">
      <w:start w:val="1"/>
      <w:numFmt w:val="decimal"/>
      <w:pStyle w:val="81"/>
      <w:suff w:val="nothing"/>
      <w:lvlText w:val="%1.%2　"/>
      <w:lvlJc w:val="left"/>
      <w:pPr>
        <w:ind w:left="0" w:firstLine="0"/>
      </w:pPr>
      <w:rPr>
        <w:rFonts w:hint="eastAsia" w:ascii="黑体" w:eastAsia="黑体"/>
        <w:b w:val="0"/>
        <w:i w:val="0"/>
        <w:sz w:val="21"/>
      </w:rPr>
    </w:lvl>
    <w:lvl w:ilvl="2" w:tentative="0">
      <w:start w:val="1"/>
      <w:numFmt w:val="decimal"/>
      <w:pStyle w:val="82"/>
      <w:suff w:val="nothing"/>
      <w:lvlText w:val="%1.%2.%3　"/>
      <w:lvlJc w:val="left"/>
      <w:pPr>
        <w:ind w:left="0" w:firstLine="0"/>
      </w:pPr>
      <w:rPr>
        <w:rFonts w:hint="eastAsia" w:ascii="黑体" w:eastAsia="黑体"/>
        <w:b w:val="0"/>
        <w:i w:val="0"/>
        <w:sz w:val="21"/>
      </w:rPr>
    </w:lvl>
    <w:lvl w:ilvl="3" w:tentative="0">
      <w:start w:val="1"/>
      <w:numFmt w:val="decimal"/>
      <w:pStyle w:val="84"/>
      <w:suff w:val="nothing"/>
      <w:lvlText w:val="%1.%2.%3.%4　"/>
      <w:lvlJc w:val="left"/>
      <w:pPr>
        <w:ind w:left="0" w:firstLine="0"/>
      </w:pPr>
      <w:rPr>
        <w:rFonts w:hint="eastAsia" w:ascii="黑体" w:eastAsia="黑体"/>
        <w:b w:val="0"/>
        <w:i w:val="0"/>
        <w:sz w:val="21"/>
      </w:rPr>
    </w:lvl>
    <w:lvl w:ilvl="4" w:tentative="0">
      <w:start w:val="1"/>
      <w:numFmt w:val="decimal"/>
      <w:pStyle w:val="85"/>
      <w:suff w:val="nothing"/>
      <w:lvlText w:val="%1.%2.%3.%4.%5　"/>
      <w:lvlJc w:val="left"/>
      <w:pPr>
        <w:ind w:left="0" w:firstLine="0"/>
      </w:pPr>
      <w:rPr>
        <w:rFonts w:hint="eastAsia" w:ascii="黑体" w:eastAsia="黑体"/>
        <w:b w:val="0"/>
        <w:i w:val="0"/>
        <w:sz w:val="21"/>
      </w:rPr>
    </w:lvl>
    <w:lvl w:ilvl="5" w:tentative="0">
      <w:start w:val="1"/>
      <w:numFmt w:val="decimal"/>
      <w:pStyle w:val="87"/>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5">
    <w:nsid w:val="69506ABF"/>
    <w:multiLevelType w:val="multilevel"/>
    <w:tmpl w:val="69506ABF"/>
    <w:lvl w:ilvl="0" w:tentative="0">
      <w:start w:val="1"/>
      <w:numFmt w:val="bullet"/>
      <w:pStyle w:val="191"/>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6">
    <w:nsid w:val="6CA41985"/>
    <w:multiLevelType w:val="multilevel"/>
    <w:tmpl w:val="6CA41985"/>
    <w:lvl w:ilvl="0" w:tentative="0">
      <w:start w:val="1"/>
      <w:numFmt w:val="decimal"/>
      <w:pStyle w:val="100"/>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6CE42AC1"/>
    <w:multiLevelType w:val="multilevel"/>
    <w:tmpl w:val="6CE42AC1"/>
    <w:lvl w:ilvl="0" w:tentative="0">
      <w:start w:val="1"/>
      <w:numFmt w:val="lowerLetter"/>
      <w:pStyle w:val="176"/>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6CEA2025"/>
    <w:multiLevelType w:val="multilevel"/>
    <w:tmpl w:val="6CEA2025"/>
    <w:lvl w:ilvl="0" w:tentative="0">
      <w:start w:val="1"/>
      <w:numFmt w:val="none"/>
      <w:pStyle w:val="155"/>
      <w:suff w:val="nothing"/>
      <w:lvlText w:val="%1"/>
      <w:lvlJc w:val="left"/>
      <w:pPr>
        <w:ind w:left="0" w:firstLine="0"/>
      </w:pPr>
      <w:rPr>
        <w:rFonts w:hint="eastAsia"/>
      </w:rPr>
    </w:lvl>
    <w:lvl w:ilvl="1" w:tentative="0">
      <w:start w:val="1"/>
      <w:numFmt w:val="decimal"/>
      <w:pStyle w:val="107"/>
      <w:suff w:val="nothing"/>
      <w:lvlText w:val="%1%2　"/>
      <w:lvlJc w:val="left"/>
      <w:pPr>
        <w:ind w:left="0" w:firstLine="0"/>
      </w:pPr>
      <w:rPr>
        <w:rFonts w:hint="eastAsia" w:ascii="黑体" w:eastAsia="黑体"/>
        <w:b w:val="0"/>
        <w:i w:val="0"/>
        <w:sz w:val="21"/>
      </w:rPr>
    </w:lvl>
    <w:lvl w:ilvl="2" w:tentative="0">
      <w:start w:val="1"/>
      <w:numFmt w:val="decimal"/>
      <w:pStyle w:val="108"/>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8"/>
      <w:suff w:val="nothing"/>
      <w:lvlText w:val="%1%2.%3.%4　"/>
      <w:lvlJc w:val="left"/>
      <w:pPr>
        <w:ind w:left="0" w:firstLine="0"/>
      </w:pPr>
      <w:rPr>
        <w:rFonts w:hint="eastAsia" w:ascii="黑体" w:eastAsia="黑体"/>
        <w:b w:val="0"/>
        <w:i w:val="0"/>
        <w:sz w:val="21"/>
      </w:rPr>
    </w:lvl>
    <w:lvl w:ilvl="4" w:tentative="0">
      <w:start w:val="1"/>
      <w:numFmt w:val="decimal"/>
      <w:pStyle w:val="97"/>
      <w:suff w:val="nothing"/>
      <w:lvlText w:val="%1%2.%3.%4.%5　"/>
      <w:lvlJc w:val="left"/>
      <w:pPr>
        <w:ind w:left="0" w:firstLine="0"/>
      </w:pPr>
      <w:rPr>
        <w:rFonts w:hint="eastAsia" w:ascii="黑体" w:eastAsia="黑体"/>
        <w:b w:val="0"/>
        <w:i w:val="0"/>
        <w:sz w:val="21"/>
      </w:rPr>
    </w:lvl>
    <w:lvl w:ilvl="5" w:tentative="0">
      <w:start w:val="1"/>
      <w:numFmt w:val="decimal"/>
      <w:pStyle w:val="101"/>
      <w:suff w:val="nothing"/>
      <w:lvlText w:val="%1%2.%3.%4.%5.%6　"/>
      <w:lvlJc w:val="left"/>
      <w:pPr>
        <w:ind w:left="0" w:firstLine="0"/>
      </w:pPr>
      <w:rPr>
        <w:rFonts w:hint="eastAsia" w:ascii="黑体" w:eastAsia="黑体"/>
        <w:b w:val="0"/>
        <w:i w:val="0"/>
        <w:sz w:val="21"/>
      </w:rPr>
    </w:lvl>
    <w:lvl w:ilvl="6" w:tentative="0">
      <w:start w:val="1"/>
      <w:numFmt w:val="decimal"/>
      <w:pStyle w:val="106"/>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9">
    <w:nsid w:val="6DBF04F4"/>
    <w:multiLevelType w:val="multilevel"/>
    <w:tmpl w:val="6DBF04F4"/>
    <w:lvl w:ilvl="0" w:tentative="0">
      <w:start w:val="1"/>
      <w:numFmt w:val="none"/>
      <w:pStyle w:val="182"/>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0">
    <w:nsid w:val="6DF35F19"/>
    <w:multiLevelType w:val="multilevel"/>
    <w:tmpl w:val="6DF35F19"/>
    <w:lvl w:ilvl="0" w:tentative="0">
      <w:start w:val="1"/>
      <w:numFmt w:val="decimal"/>
      <w:pStyle w:val="118"/>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1">
    <w:nsid w:val="76933334"/>
    <w:multiLevelType w:val="multilevel"/>
    <w:tmpl w:val="76933334"/>
    <w:lvl w:ilvl="0" w:tentative="0">
      <w:start w:val="1"/>
      <w:numFmt w:val="none"/>
      <w:pStyle w:val="142"/>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8"/>
  </w:num>
  <w:num w:numId="3">
    <w:abstractNumId w:val="5"/>
  </w:num>
  <w:num w:numId="4">
    <w:abstractNumId w:val="24"/>
  </w:num>
  <w:num w:numId="5">
    <w:abstractNumId w:val="19"/>
  </w:num>
  <w:num w:numId="6">
    <w:abstractNumId w:val="14"/>
  </w:num>
  <w:num w:numId="7">
    <w:abstractNumId w:val="8"/>
  </w:num>
  <w:num w:numId="8">
    <w:abstractNumId w:val="3"/>
  </w:num>
  <w:num w:numId="9">
    <w:abstractNumId w:val="9"/>
  </w:num>
  <w:num w:numId="10">
    <w:abstractNumId w:val="17"/>
  </w:num>
  <w:num w:numId="11">
    <w:abstractNumId w:val="26"/>
  </w:num>
  <w:num w:numId="12">
    <w:abstractNumId w:val="12"/>
  </w:num>
  <w:num w:numId="13">
    <w:abstractNumId w:val="13"/>
  </w:num>
  <w:num w:numId="14">
    <w:abstractNumId w:val="7"/>
  </w:num>
  <w:num w:numId="15">
    <w:abstractNumId w:val="20"/>
  </w:num>
  <w:num w:numId="16">
    <w:abstractNumId w:val="22"/>
  </w:num>
  <w:num w:numId="17">
    <w:abstractNumId w:val="18"/>
  </w:num>
  <w:num w:numId="18">
    <w:abstractNumId w:val="30"/>
  </w:num>
  <w:num w:numId="19">
    <w:abstractNumId w:val="16"/>
  </w:num>
  <w:num w:numId="20">
    <w:abstractNumId w:val="1"/>
  </w:num>
  <w:num w:numId="21">
    <w:abstractNumId w:val="11"/>
  </w:num>
  <w:num w:numId="22">
    <w:abstractNumId w:val="31"/>
  </w:num>
  <w:num w:numId="23">
    <w:abstractNumId w:val="21"/>
  </w:num>
  <w:num w:numId="24">
    <w:abstractNumId w:val="6"/>
  </w:num>
  <w:num w:numId="25">
    <w:abstractNumId w:val="27"/>
  </w:num>
  <w:num w:numId="26">
    <w:abstractNumId w:val="29"/>
  </w:num>
  <w:num w:numId="27">
    <w:abstractNumId w:val="2"/>
  </w:num>
  <w:num w:numId="28">
    <w:abstractNumId w:val="4"/>
  </w:num>
  <w:num w:numId="29">
    <w:abstractNumId w:val="15"/>
  </w:num>
  <w:num w:numId="30">
    <w:abstractNumId w:val="25"/>
  </w:num>
  <w:num w:numId="31">
    <w:abstractNumId w:val="23"/>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bordersDoNotSurroundHeader w:val="0"/>
  <w:bordersDoNotSurroundFooter w:val="0"/>
  <w:attachedTemplate r:id="rId1"/>
  <w:documentProtection w:edit="forms"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A88"/>
    <w:rsid w:val="0000040A"/>
    <w:rsid w:val="00000A94"/>
    <w:rsid w:val="00001972"/>
    <w:rsid w:val="00001D9A"/>
    <w:rsid w:val="00005768"/>
    <w:rsid w:val="00007B3A"/>
    <w:rsid w:val="000107E0"/>
    <w:rsid w:val="00011FDE"/>
    <w:rsid w:val="00012FFD"/>
    <w:rsid w:val="00014162"/>
    <w:rsid w:val="00014340"/>
    <w:rsid w:val="00016A9C"/>
    <w:rsid w:val="00016D69"/>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1766"/>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00A9"/>
    <w:rsid w:val="00131543"/>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2BB6"/>
    <w:rsid w:val="001642FA"/>
    <w:rsid w:val="001649EB"/>
    <w:rsid w:val="00164BAF"/>
    <w:rsid w:val="00164FA8"/>
    <w:rsid w:val="00165065"/>
    <w:rsid w:val="00165434"/>
    <w:rsid w:val="0016580B"/>
    <w:rsid w:val="00165F49"/>
    <w:rsid w:val="00166B88"/>
    <w:rsid w:val="0016770A"/>
    <w:rsid w:val="00170804"/>
    <w:rsid w:val="001708E9"/>
    <w:rsid w:val="00170A8E"/>
    <w:rsid w:val="0017340B"/>
    <w:rsid w:val="00173FB1"/>
    <w:rsid w:val="00176DFD"/>
    <w:rsid w:val="001829FA"/>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0756"/>
    <w:rsid w:val="0020107D"/>
    <w:rsid w:val="00201C37"/>
    <w:rsid w:val="00202AA4"/>
    <w:rsid w:val="002031F7"/>
    <w:rsid w:val="002040E6"/>
    <w:rsid w:val="0020527B"/>
    <w:rsid w:val="00205F2C"/>
    <w:rsid w:val="0020688F"/>
    <w:rsid w:val="00210B15"/>
    <w:rsid w:val="002142EA"/>
    <w:rsid w:val="002204BB"/>
    <w:rsid w:val="00221B79"/>
    <w:rsid w:val="00221C6B"/>
    <w:rsid w:val="002253A1"/>
    <w:rsid w:val="00225CF8"/>
    <w:rsid w:val="0022794E"/>
    <w:rsid w:val="00230D17"/>
    <w:rsid w:val="002314BC"/>
    <w:rsid w:val="0023259F"/>
    <w:rsid w:val="00233D64"/>
    <w:rsid w:val="0023482A"/>
    <w:rsid w:val="002359CB"/>
    <w:rsid w:val="00235D82"/>
    <w:rsid w:val="00243540"/>
    <w:rsid w:val="0024497B"/>
    <w:rsid w:val="0024515B"/>
    <w:rsid w:val="00246021"/>
    <w:rsid w:val="0024666E"/>
    <w:rsid w:val="002467B1"/>
    <w:rsid w:val="00247F52"/>
    <w:rsid w:val="00250B25"/>
    <w:rsid w:val="00250BBE"/>
    <w:rsid w:val="00251104"/>
    <w:rsid w:val="002515C2"/>
    <w:rsid w:val="0025194F"/>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70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216"/>
    <w:rsid w:val="002B4508"/>
    <w:rsid w:val="002B5779"/>
    <w:rsid w:val="002B6885"/>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07A88"/>
    <w:rsid w:val="00313B85"/>
    <w:rsid w:val="00317988"/>
    <w:rsid w:val="003221B4"/>
    <w:rsid w:val="0032258D"/>
    <w:rsid w:val="00322E62"/>
    <w:rsid w:val="00324D13"/>
    <w:rsid w:val="00324D2A"/>
    <w:rsid w:val="00324EDD"/>
    <w:rsid w:val="003331E4"/>
    <w:rsid w:val="00336C64"/>
    <w:rsid w:val="00337162"/>
    <w:rsid w:val="0034185D"/>
    <w:rsid w:val="0034194F"/>
    <w:rsid w:val="00344605"/>
    <w:rsid w:val="00344A2C"/>
    <w:rsid w:val="00346916"/>
    <w:rsid w:val="003474AA"/>
    <w:rsid w:val="00350D1D"/>
    <w:rsid w:val="00352C83"/>
    <w:rsid w:val="003615D2"/>
    <w:rsid w:val="00363EB7"/>
    <w:rsid w:val="0036429C"/>
    <w:rsid w:val="00364A53"/>
    <w:rsid w:val="003654CB"/>
    <w:rsid w:val="00365AA9"/>
    <w:rsid w:val="00365F86"/>
    <w:rsid w:val="00365F87"/>
    <w:rsid w:val="00366E89"/>
    <w:rsid w:val="003679AA"/>
    <w:rsid w:val="003705F4"/>
    <w:rsid w:val="00370BCE"/>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A7330"/>
    <w:rsid w:val="003B09AD"/>
    <w:rsid w:val="003B1F18"/>
    <w:rsid w:val="003B5BF0"/>
    <w:rsid w:val="003B60BF"/>
    <w:rsid w:val="003B6BE3"/>
    <w:rsid w:val="003C010C"/>
    <w:rsid w:val="003C0A6C"/>
    <w:rsid w:val="003C14F8"/>
    <w:rsid w:val="003C199E"/>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237"/>
    <w:rsid w:val="00404869"/>
    <w:rsid w:val="00405884"/>
    <w:rsid w:val="00406A88"/>
    <w:rsid w:val="00407D39"/>
    <w:rsid w:val="0041444C"/>
    <w:rsid w:val="0041477A"/>
    <w:rsid w:val="004167A3"/>
    <w:rsid w:val="00432DAA"/>
    <w:rsid w:val="00434305"/>
    <w:rsid w:val="00435DF7"/>
    <w:rsid w:val="0044083F"/>
    <w:rsid w:val="00441AE7"/>
    <w:rsid w:val="00445574"/>
    <w:rsid w:val="004467FB"/>
    <w:rsid w:val="004527ED"/>
    <w:rsid w:val="00452D6B"/>
    <w:rsid w:val="00454484"/>
    <w:rsid w:val="0045517B"/>
    <w:rsid w:val="00463B77"/>
    <w:rsid w:val="00463C7B"/>
    <w:rsid w:val="004644A6"/>
    <w:rsid w:val="004659BD"/>
    <w:rsid w:val="00465F15"/>
    <w:rsid w:val="00470775"/>
    <w:rsid w:val="004746B1"/>
    <w:rsid w:val="0047583F"/>
    <w:rsid w:val="00475DE8"/>
    <w:rsid w:val="0048070A"/>
    <w:rsid w:val="00481C44"/>
    <w:rsid w:val="00484936"/>
    <w:rsid w:val="00485C89"/>
    <w:rsid w:val="00486BE3"/>
    <w:rsid w:val="004905E4"/>
    <w:rsid w:val="00490A89"/>
    <w:rsid w:val="00490AB4"/>
    <w:rsid w:val="00492F02"/>
    <w:rsid w:val="004939AE"/>
    <w:rsid w:val="00497368"/>
    <w:rsid w:val="004A12DF"/>
    <w:rsid w:val="004A17E6"/>
    <w:rsid w:val="004A1BA8"/>
    <w:rsid w:val="004A4B57"/>
    <w:rsid w:val="004A63FA"/>
    <w:rsid w:val="004B0272"/>
    <w:rsid w:val="004B2701"/>
    <w:rsid w:val="004B2E1B"/>
    <w:rsid w:val="004B3AA8"/>
    <w:rsid w:val="004B3E93"/>
    <w:rsid w:val="004C18FB"/>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131E"/>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17DC"/>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3E71"/>
    <w:rsid w:val="005A4A1B"/>
    <w:rsid w:val="005A6FF3"/>
    <w:rsid w:val="005A7830"/>
    <w:rsid w:val="005A7FCE"/>
    <w:rsid w:val="005B0F3F"/>
    <w:rsid w:val="005B4903"/>
    <w:rsid w:val="005B51CE"/>
    <w:rsid w:val="005B52A7"/>
    <w:rsid w:val="005B5885"/>
    <w:rsid w:val="005B5CD7"/>
    <w:rsid w:val="005B6CF6"/>
    <w:rsid w:val="005B7422"/>
    <w:rsid w:val="005C0E0C"/>
    <w:rsid w:val="005C29B8"/>
    <w:rsid w:val="005C4CFF"/>
    <w:rsid w:val="005C5F21"/>
    <w:rsid w:val="005C7156"/>
    <w:rsid w:val="005D0C75"/>
    <w:rsid w:val="005D4171"/>
    <w:rsid w:val="005D6A95"/>
    <w:rsid w:val="005D6B2C"/>
    <w:rsid w:val="005D6D9C"/>
    <w:rsid w:val="005E1711"/>
    <w:rsid w:val="005E2335"/>
    <w:rsid w:val="005E34CA"/>
    <w:rsid w:val="005E3C18"/>
    <w:rsid w:val="005E6812"/>
    <w:rsid w:val="005E76F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707"/>
    <w:rsid w:val="006259BC"/>
    <w:rsid w:val="0062636B"/>
    <w:rsid w:val="00632182"/>
    <w:rsid w:val="00632AE0"/>
    <w:rsid w:val="00633C17"/>
    <w:rsid w:val="00634D9E"/>
    <w:rsid w:val="00636E3E"/>
    <w:rsid w:val="006379F7"/>
    <w:rsid w:val="00637E4D"/>
    <w:rsid w:val="00640620"/>
    <w:rsid w:val="00641A1F"/>
    <w:rsid w:val="00642217"/>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4BB"/>
    <w:rsid w:val="006D4515"/>
    <w:rsid w:val="006D4BB1"/>
    <w:rsid w:val="006D6593"/>
    <w:rsid w:val="006E23EA"/>
    <w:rsid w:val="006F03A8"/>
    <w:rsid w:val="006F2ACA"/>
    <w:rsid w:val="006F2ADC"/>
    <w:rsid w:val="006F2BFE"/>
    <w:rsid w:val="006F31E9"/>
    <w:rsid w:val="006F6284"/>
    <w:rsid w:val="007002C5"/>
    <w:rsid w:val="00704387"/>
    <w:rsid w:val="00707669"/>
    <w:rsid w:val="00711CBA"/>
    <w:rsid w:val="00711FB5"/>
    <w:rsid w:val="00712A01"/>
    <w:rsid w:val="00714F58"/>
    <w:rsid w:val="007219AB"/>
    <w:rsid w:val="007221A8"/>
    <w:rsid w:val="00722FBF"/>
    <w:rsid w:val="00722FC2"/>
    <w:rsid w:val="00724879"/>
    <w:rsid w:val="00724E1B"/>
    <w:rsid w:val="00725949"/>
    <w:rsid w:val="00727FA2"/>
    <w:rsid w:val="007322D9"/>
    <w:rsid w:val="00732BC0"/>
    <w:rsid w:val="0073720F"/>
    <w:rsid w:val="00737796"/>
    <w:rsid w:val="0074165C"/>
    <w:rsid w:val="00742C35"/>
    <w:rsid w:val="007432CA"/>
    <w:rsid w:val="007435EC"/>
    <w:rsid w:val="007439EB"/>
    <w:rsid w:val="00743CB4"/>
    <w:rsid w:val="00743F0A"/>
    <w:rsid w:val="007444E8"/>
    <w:rsid w:val="0074548E"/>
    <w:rsid w:val="00745773"/>
    <w:rsid w:val="00746800"/>
    <w:rsid w:val="007501A8"/>
    <w:rsid w:val="00750D61"/>
    <w:rsid w:val="00750EE1"/>
    <w:rsid w:val="00752B4D"/>
    <w:rsid w:val="00755402"/>
    <w:rsid w:val="007565C2"/>
    <w:rsid w:val="00756B26"/>
    <w:rsid w:val="00756EDF"/>
    <w:rsid w:val="007600E3"/>
    <w:rsid w:val="00764B67"/>
    <w:rsid w:val="007653FE"/>
    <w:rsid w:val="00765C43"/>
    <w:rsid w:val="00765EFB"/>
    <w:rsid w:val="007671CA"/>
    <w:rsid w:val="00767C61"/>
    <w:rsid w:val="0077008A"/>
    <w:rsid w:val="00773C1F"/>
    <w:rsid w:val="00774DA4"/>
    <w:rsid w:val="00776599"/>
    <w:rsid w:val="0078114B"/>
    <w:rsid w:val="00781DD2"/>
    <w:rsid w:val="00783ECF"/>
    <w:rsid w:val="0078413A"/>
    <w:rsid w:val="00794F12"/>
    <w:rsid w:val="007959E8"/>
    <w:rsid w:val="00795E9C"/>
    <w:rsid w:val="007A0521"/>
    <w:rsid w:val="007A2E12"/>
    <w:rsid w:val="007A3475"/>
    <w:rsid w:val="007A41C8"/>
    <w:rsid w:val="007A466F"/>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1880"/>
    <w:rsid w:val="00815419"/>
    <w:rsid w:val="008163C8"/>
    <w:rsid w:val="008164A1"/>
    <w:rsid w:val="00817325"/>
    <w:rsid w:val="008209E6"/>
    <w:rsid w:val="00823303"/>
    <w:rsid w:val="008233B2"/>
    <w:rsid w:val="00823A9F"/>
    <w:rsid w:val="00823C85"/>
    <w:rsid w:val="0082447E"/>
    <w:rsid w:val="00825138"/>
    <w:rsid w:val="008269DD"/>
    <w:rsid w:val="00830621"/>
    <w:rsid w:val="00832CB8"/>
    <w:rsid w:val="008332B0"/>
    <w:rsid w:val="0083348C"/>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3F2D"/>
    <w:rsid w:val="008E4BB6"/>
    <w:rsid w:val="008E5518"/>
    <w:rsid w:val="008E6A84"/>
    <w:rsid w:val="008F0CDC"/>
    <w:rsid w:val="008F17A3"/>
    <w:rsid w:val="008F1ED3"/>
    <w:rsid w:val="008F23A5"/>
    <w:rsid w:val="008F4C29"/>
    <w:rsid w:val="008F70BD"/>
    <w:rsid w:val="008F788F"/>
    <w:rsid w:val="008F7EA2"/>
    <w:rsid w:val="00902722"/>
    <w:rsid w:val="009027BC"/>
    <w:rsid w:val="0090291A"/>
    <w:rsid w:val="00903FCE"/>
    <w:rsid w:val="00904911"/>
    <w:rsid w:val="009062E6"/>
    <w:rsid w:val="00911BE5"/>
    <w:rsid w:val="00913CA9"/>
    <w:rsid w:val="009145AE"/>
    <w:rsid w:val="009146CE"/>
    <w:rsid w:val="00914CA7"/>
    <w:rsid w:val="00915C3E"/>
    <w:rsid w:val="009161A8"/>
    <w:rsid w:val="009245F5"/>
    <w:rsid w:val="009249EC"/>
    <w:rsid w:val="009273B3"/>
    <w:rsid w:val="009305B5"/>
    <w:rsid w:val="00932E89"/>
    <w:rsid w:val="009429D5"/>
    <w:rsid w:val="00942BF1"/>
    <w:rsid w:val="00945180"/>
    <w:rsid w:val="00945428"/>
    <w:rsid w:val="0094607B"/>
    <w:rsid w:val="0095144D"/>
    <w:rsid w:val="00953604"/>
    <w:rsid w:val="0095496B"/>
    <w:rsid w:val="009610DC"/>
    <w:rsid w:val="00961490"/>
    <w:rsid w:val="0096381A"/>
    <w:rsid w:val="00965E04"/>
    <w:rsid w:val="009674AD"/>
    <w:rsid w:val="00970CDC"/>
    <w:rsid w:val="009716E8"/>
    <w:rsid w:val="00977010"/>
    <w:rsid w:val="00977D02"/>
    <w:rsid w:val="009809BB"/>
    <w:rsid w:val="0098364B"/>
    <w:rsid w:val="009911AF"/>
    <w:rsid w:val="00991875"/>
    <w:rsid w:val="00991BBA"/>
    <w:rsid w:val="00991F92"/>
    <w:rsid w:val="00992985"/>
    <w:rsid w:val="009937B7"/>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2CB1"/>
    <w:rsid w:val="009C3152"/>
    <w:rsid w:val="009C4CFA"/>
    <w:rsid w:val="009C5070"/>
    <w:rsid w:val="009D112C"/>
    <w:rsid w:val="009D47FA"/>
    <w:rsid w:val="009D4C5B"/>
    <w:rsid w:val="009D50D2"/>
    <w:rsid w:val="009D6BCA"/>
    <w:rsid w:val="009D6F47"/>
    <w:rsid w:val="009E0F62"/>
    <w:rsid w:val="009E4A58"/>
    <w:rsid w:val="009E5A2D"/>
    <w:rsid w:val="009E5AB2"/>
    <w:rsid w:val="009E5F43"/>
    <w:rsid w:val="009E6219"/>
    <w:rsid w:val="009F03B3"/>
    <w:rsid w:val="009F33C8"/>
    <w:rsid w:val="00A0096C"/>
    <w:rsid w:val="00A01757"/>
    <w:rsid w:val="00A028C0"/>
    <w:rsid w:val="00A02BAE"/>
    <w:rsid w:val="00A06A6B"/>
    <w:rsid w:val="00A07E47"/>
    <w:rsid w:val="00A1232B"/>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67D58"/>
    <w:rsid w:val="00A70B07"/>
    <w:rsid w:val="00A723F8"/>
    <w:rsid w:val="00A77CCB"/>
    <w:rsid w:val="00A83D8D"/>
    <w:rsid w:val="00A8446B"/>
    <w:rsid w:val="00A8473F"/>
    <w:rsid w:val="00A862D6"/>
    <w:rsid w:val="00A8715E"/>
    <w:rsid w:val="00A9295B"/>
    <w:rsid w:val="00A93132"/>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11E"/>
    <w:rsid w:val="00AC5DF4"/>
    <w:rsid w:val="00AC6007"/>
    <w:rsid w:val="00AD0AEF"/>
    <w:rsid w:val="00AD11B7"/>
    <w:rsid w:val="00AD1A94"/>
    <w:rsid w:val="00AD1C05"/>
    <w:rsid w:val="00AD4126"/>
    <w:rsid w:val="00AD421C"/>
    <w:rsid w:val="00AD44FA"/>
    <w:rsid w:val="00AE070A"/>
    <w:rsid w:val="00AE101C"/>
    <w:rsid w:val="00AE37E5"/>
    <w:rsid w:val="00AE5EB4"/>
    <w:rsid w:val="00AF0C18"/>
    <w:rsid w:val="00AF47C5"/>
    <w:rsid w:val="00AF5398"/>
    <w:rsid w:val="00B049AF"/>
    <w:rsid w:val="00B07242"/>
    <w:rsid w:val="00B10534"/>
    <w:rsid w:val="00B113DB"/>
    <w:rsid w:val="00B11D8A"/>
    <w:rsid w:val="00B12981"/>
    <w:rsid w:val="00B147DD"/>
    <w:rsid w:val="00B156FD"/>
    <w:rsid w:val="00B1660F"/>
    <w:rsid w:val="00B21F61"/>
    <w:rsid w:val="00B261F1"/>
    <w:rsid w:val="00B265BC"/>
    <w:rsid w:val="00B31FB1"/>
    <w:rsid w:val="00B33952"/>
    <w:rsid w:val="00B33C5E"/>
    <w:rsid w:val="00B342F4"/>
    <w:rsid w:val="00B34369"/>
    <w:rsid w:val="00B34DC2"/>
    <w:rsid w:val="00B378E5"/>
    <w:rsid w:val="00B4346D"/>
    <w:rsid w:val="00B440F4"/>
    <w:rsid w:val="00B447A5"/>
    <w:rsid w:val="00B44EB1"/>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C7BA3"/>
    <w:rsid w:val="00BD52D7"/>
    <w:rsid w:val="00BD5AD2"/>
    <w:rsid w:val="00BE22F3"/>
    <w:rsid w:val="00BE5B52"/>
    <w:rsid w:val="00BE7B8D"/>
    <w:rsid w:val="00BF05C6"/>
    <w:rsid w:val="00BF0993"/>
    <w:rsid w:val="00BF10A9"/>
    <w:rsid w:val="00BF1703"/>
    <w:rsid w:val="00BF231C"/>
    <w:rsid w:val="00BF51E5"/>
    <w:rsid w:val="00BF74A6"/>
    <w:rsid w:val="00C013AD"/>
    <w:rsid w:val="00C04904"/>
    <w:rsid w:val="00C056B3"/>
    <w:rsid w:val="00C103E5"/>
    <w:rsid w:val="00C1155B"/>
    <w:rsid w:val="00C13319"/>
    <w:rsid w:val="00C13EE9"/>
    <w:rsid w:val="00C21540"/>
    <w:rsid w:val="00C21906"/>
    <w:rsid w:val="00C21BFA"/>
    <w:rsid w:val="00C22148"/>
    <w:rsid w:val="00C24C8D"/>
    <w:rsid w:val="00C25FE2"/>
    <w:rsid w:val="00C26B53"/>
    <w:rsid w:val="00C279B2"/>
    <w:rsid w:val="00C33E50"/>
    <w:rsid w:val="00C34C20"/>
    <w:rsid w:val="00C35A3E"/>
    <w:rsid w:val="00C42130"/>
    <w:rsid w:val="00C423A4"/>
    <w:rsid w:val="00C44BF5"/>
    <w:rsid w:val="00C50162"/>
    <w:rsid w:val="00C521D6"/>
    <w:rsid w:val="00C55232"/>
    <w:rsid w:val="00C553A4"/>
    <w:rsid w:val="00C55A06"/>
    <w:rsid w:val="00C55D03"/>
    <w:rsid w:val="00C601BC"/>
    <w:rsid w:val="00C6329F"/>
    <w:rsid w:val="00C63340"/>
    <w:rsid w:val="00C643F9"/>
    <w:rsid w:val="00C64E95"/>
    <w:rsid w:val="00C64F83"/>
    <w:rsid w:val="00C71372"/>
    <w:rsid w:val="00C72410"/>
    <w:rsid w:val="00C7287F"/>
    <w:rsid w:val="00C80982"/>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B69DC"/>
    <w:rsid w:val="00CC038D"/>
    <w:rsid w:val="00CC08DB"/>
    <w:rsid w:val="00CC39FF"/>
    <w:rsid w:val="00CC3C2F"/>
    <w:rsid w:val="00CC4AC8"/>
    <w:rsid w:val="00CC5233"/>
    <w:rsid w:val="00CC5DE6"/>
    <w:rsid w:val="00CC6E4E"/>
    <w:rsid w:val="00CC6FE8"/>
    <w:rsid w:val="00CC7202"/>
    <w:rsid w:val="00CD0FC6"/>
    <w:rsid w:val="00CD2808"/>
    <w:rsid w:val="00CD28BF"/>
    <w:rsid w:val="00CD4092"/>
    <w:rsid w:val="00CD4A20"/>
    <w:rsid w:val="00CD50A1"/>
    <w:rsid w:val="00CD519E"/>
    <w:rsid w:val="00CD561D"/>
    <w:rsid w:val="00CE0C4F"/>
    <w:rsid w:val="00CE30EA"/>
    <w:rsid w:val="00CE56BB"/>
    <w:rsid w:val="00CF048A"/>
    <w:rsid w:val="00CF155A"/>
    <w:rsid w:val="00CF1EDB"/>
    <w:rsid w:val="00CF2947"/>
    <w:rsid w:val="00CF686F"/>
    <w:rsid w:val="00CF6E60"/>
    <w:rsid w:val="00CF7BCA"/>
    <w:rsid w:val="00D008FD"/>
    <w:rsid w:val="00D0321C"/>
    <w:rsid w:val="00D035EC"/>
    <w:rsid w:val="00D06AB1"/>
    <w:rsid w:val="00D072ED"/>
    <w:rsid w:val="00D07A16"/>
    <w:rsid w:val="00D1067E"/>
    <w:rsid w:val="00D10F50"/>
    <w:rsid w:val="00D11109"/>
    <w:rsid w:val="00D11272"/>
    <w:rsid w:val="00D126F5"/>
    <w:rsid w:val="00D1489E"/>
    <w:rsid w:val="00D20737"/>
    <w:rsid w:val="00D21E81"/>
    <w:rsid w:val="00D223DE"/>
    <w:rsid w:val="00D25E37"/>
    <w:rsid w:val="00D25FB7"/>
    <w:rsid w:val="00D2661A"/>
    <w:rsid w:val="00D27582"/>
    <w:rsid w:val="00D27EC4"/>
    <w:rsid w:val="00D32719"/>
    <w:rsid w:val="00D33333"/>
    <w:rsid w:val="00D33457"/>
    <w:rsid w:val="00D352A2"/>
    <w:rsid w:val="00D3660F"/>
    <w:rsid w:val="00D4162B"/>
    <w:rsid w:val="00D4514F"/>
    <w:rsid w:val="00D451E2"/>
    <w:rsid w:val="00D45E89"/>
    <w:rsid w:val="00D45E8D"/>
    <w:rsid w:val="00D466AE"/>
    <w:rsid w:val="00D4734F"/>
    <w:rsid w:val="00D51BF3"/>
    <w:rsid w:val="00D51D8B"/>
    <w:rsid w:val="00D576EE"/>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434B"/>
    <w:rsid w:val="00DC5B90"/>
    <w:rsid w:val="00DD00FF"/>
    <w:rsid w:val="00DD0619"/>
    <w:rsid w:val="00DD07FB"/>
    <w:rsid w:val="00DD1624"/>
    <w:rsid w:val="00DD25C6"/>
    <w:rsid w:val="00DD4FE5"/>
    <w:rsid w:val="00DD54B0"/>
    <w:rsid w:val="00DD57EE"/>
    <w:rsid w:val="00DD6BCC"/>
    <w:rsid w:val="00DE0A4B"/>
    <w:rsid w:val="00DE2410"/>
    <w:rsid w:val="00DE2939"/>
    <w:rsid w:val="00DE3A05"/>
    <w:rsid w:val="00DE6E81"/>
    <w:rsid w:val="00DE703F"/>
    <w:rsid w:val="00DE7595"/>
    <w:rsid w:val="00DF1961"/>
    <w:rsid w:val="00DF44DE"/>
    <w:rsid w:val="00DF5F11"/>
    <w:rsid w:val="00E01138"/>
    <w:rsid w:val="00E02DFB"/>
    <w:rsid w:val="00E030F9"/>
    <w:rsid w:val="00E0311A"/>
    <w:rsid w:val="00E03138"/>
    <w:rsid w:val="00E06404"/>
    <w:rsid w:val="00E065D2"/>
    <w:rsid w:val="00E0695D"/>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1327"/>
    <w:rsid w:val="00E44313"/>
    <w:rsid w:val="00E44A83"/>
    <w:rsid w:val="00E4694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0581"/>
    <w:rsid w:val="00EA58D1"/>
    <w:rsid w:val="00EA61BC"/>
    <w:rsid w:val="00EA681A"/>
    <w:rsid w:val="00EA735B"/>
    <w:rsid w:val="00EB17DE"/>
    <w:rsid w:val="00EB1E69"/>
    <w:rsid w:val="00EB2086"/>
    <w:rsid w:val="00EB26F9"/>
    <w:rsid w:val="00EB5EDF"/>
    <w:rsid w:val="00EB60FE"/>
    <w:rsid w:val="00EB74DB"/>
    <w:rsid w:val="00EC18F5"/>
    <w:rsid w:val="00EC5359"/>
    <w:rsid w:val="00EC562A"/>
    <w:rsid w:val="00ED067A"/>
    <w:rsid w:val="00ED0A70"/>
    <w:rsid w:val="00ED2B50"/>
    <w:rsid w:val="00ED7D8C"/>
    <w:rsid w:val="00EE0350"/>
    <w:rsid w:val="00EE0719"/>
    <w:rsid w:val="00EE0D95"/>
    <w:rsid w:val="00EE0E80"/>
    <w:rsid w:val="00EE54A6"/>
    <w:rsid w:val="00EE613F"/>
    <w:rsid w:val="00EE7295"/>
    <w:rsid w:val="00EE7869"/>
    <w:rsid w:val="00EF054A"/>
    <w:rsid w:val="00EF3235"/>
    <w:rsid w:val="00EF4585"/>
    <w:rsid w:val="00EF7E72"/>
    <w:rsid w:val="00F06154"/>
    <w:rsid w:val="00F06D37"/>
    <w:rsid w:val="00F07B9D"/>
    <w:rsid w:val="00F11586"/>
    <w:rsid w:val="00F1183B"/>
    <w:rsid w:val="00F11C9F"/>
    <w:rsid w:val="00F12263"/>
    <w:rsid w:val="00F1409D"/>
    <w:rsid w:val="00F14214"/>
    <w:rsid w:val="00F157A9"/>
    <w:rsid w:val="00F22CAA"/>
    <w:rsid w:val="00F25769"/>
    <w:rsid w:val="00F25BB6"/>
    <w:rsid w:val="00F26B7E"/>
    <w:rsid w:val="00F27A3B"/>
    <w:rsid w:val="00F32A1D"/>
    <w:rsid w:val="00F33817"/>
    <w:rsid w:val="00F346A3"/>
    <w:rsid w:val="00F420D5"/>
    <w:rsid w:val="00F451EA"/>
    <w:rsid w:val="00F45447"/>
    <w:rsid w:val="00F456C6"/>
    <w:rsid w:val="00F4577B"/>
    <w:rsid w:val="00F46496"/>
    <w:rsid w:val="00F474D0"/>
    <w:rsid w:val="00F50179"/>
    <w:rsid w:val="00F515EE"/>
    <w:rsid w:val="00F52D26"/>
    <w:rsid w:val="00F56511"/>
    <w:rsid w:val="00F6194E"/>
    <w:rsid w:val="00F623AC"/>
    <w:rsid w:val="00F6412A"/>
    <w:rsid w:val="00F65893"/>
    <w:rsid w:val="00F66A4A"/>
    <w:rsid w:val="00F71E22"/>
    <w:rsid w:val="00F72142"/>
    <w:rsid w:val="00F72AE7"/>
    <w:rsid w:val="00F7495B"/>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15F"/>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26C1"/>
    <w:rsid w:val="00FF3E7D"/>
    <w:rsid w:val="00FF5B99"/>
    <w:rsid w:val="00FF730C"/>
    <w:rsid w:val="00FF73F4"/>
    <w:rsid w:val="00FF7CE4"/>
    <w:rsid w:val="00FF7E39"/>
    <w:rsid w:val="010875D6"/>
    <w:rsid w:val="01793FF5"/>
    <w:rsid w:val="033F1B50"/>
    <w:rsid w:val="03A17D8C"/>
    <w:rsid w:val="04572B96"/>
    <w:rsid w:val="05251F86"/>
    <w:rsid w:val="053B3859"/>
    <w:rsid w:val="05D00B3B"/>
    <w:rsid w:val="061D0761"/>
    <w:rsid w:val="06900B3E"/>
    <w:rsid w:val="089F1C5C"/>
    <w:rsid w:val="08EB230C"/>
    <w:rsid w:val="09842C00"/>
    <w:rsid w:val="0A13317D"/>
    <w:rsid w:val="0B1306DF"/>
    <w:rsid w:val="0B2E6DF8"/>
    <w:rsid w:val="0BA90513"/>
    <w:rsid w:val="0BB974D9"/>
    <w:rsid w:val="0CB70ECC"/>
    <w:rsid w:val="0CE265BB"/>
    <w:rsid w:val="0D5352D5"/>
    <w:rsid w:val="0D6945E7"/>
    <w:rsid w:val="0DB33895"/>
    <w:rsid w:val="0DF71E52"/>
    <w:rsid w:val="0EA855E3"/>
    <w:rsid w:val="0F0E3698"/>
    <w:rsid w:val="0F454596"/>
    <w:rsid w:val="11657D67"/>
    <w:rsid w:val="121A5CE8"/>
    <w:rsid w:val="12B207DE"/>
    <w:rsid w:val="12B65388"/>
    <w:rsid w:val="13073820"/>
    <w:rsid w:val="136178EF"/>
    <w:rsid w:val="14997EA7"/>
    <w:rsid w:val="16726C02"/>
    <w:rsid w:val="16AD7C3A"/>
    <w:rsid w:val="16D66890"/>
    <w:rsid w:val="16FA2753"/>
    <w:rsid w:val="17CC0C98"/>
    <w:rsid w:val="17F65611"/>
    <w:rsid w:val="19305F04"/>
    <w:rsid w:val="19E03E83"/>
    <w:rsid w:val="19F416DC"/>
    <w:rsid w:val="1AAE3F81"/>
    <w:rsid w:val="1AF5570C"/>
    <w:rsid w:val="1BEC6B0F"/>
    <w:rsid w:val="1C2E67B5"/>
    <w:rsid w:val="1C67304C"/>
    <w:rsid w:val="1CCB534B"/>
    <w:rsid w:val="1D011F0A"/>
    <w:rsid w:val="1D254DE8"/>
    <w:rsid w:val="1E430AD9"/>
    <w:rsid w:val="1EF26B32"/>
    <w:rsid w:val="1EF80AFA"/>
    <w:rsid w:val="1FA92F69"/>
    <w:rsid w:val="201C7E0D"/>
    <w:rsid w:val="2021020D"/>
    <w:rsid w:val="20517249"/>
    <w:rsid w:val="215869F4"/>
    <w:rsid w:val="21D95D87"/>
    <w:rsid w:val="223E5434"/>
    <w:rsid w:val="22835CF3"/>
    <w:rsid w:val="22FA367E"/>
    <w:rsid w:val="23B220FA"/>
    <w:rsid w:val="247973AD"/>
    <w:rsid w:val="24BA7B31"/>
    <w:rsid w:val="24CC12E3"/>
    <w:rsid w:val="24FC4DD4"/>
    <w:rsid w:val="263A2B6C"/>
    <w:rsid w:val="26DE048C"/>
    <w:rsid w:val="272D447F"/>
    <w:rsid w:val="2749750B"/>
    <w:rsid w:val="275575BC"/>
    <w:rsid w:val="27D019DA"/>
    <w:rsid w:val="28D10A95"/>
    <w:rsid w:val="28D752C2"/>
    <w:rsid w:val="29081444"/>
    <w:rsid w:val="29B5668F"/>
    <w:rsid w:val="29E97C7C"/>
    <w:rsid w:val="2A830A81"/>
    <w:rsid w:val="2B6A7A50"/>
    <w:rsid w:val="2B9B5E5B"/>
    <w:rsid w:val="2BB56899"/>
    <w:rsid w:val="2C22032B"/>
    <w:rsid w:val="2C2B6B1C"/>
    <w:rsid w:val="2C730B86"/>
    <w:rsid w:val="2D4F15F3"/>
    <w:rsid w:val="2D6055AE"/>
    <w:rsid w:val="2D940DB4"/>
    <w:rsid w:val="2E3B56D4"/>
    <w:rsid w:val="2EDA6C9B"/>
    <w:rsid w:val="2F1A5D91"/>
    <w:rsid w:val="309D08C8"/>
    <w:rsid w:val="30CB4551"/>
    <w:rsid w:val="31DE5AF3"/>
    <w:rsid w:val="326506AF"/>
    <w:rsid w:val="328F5FEE"/>
    <w:rsid w:val="33242BDA"/>
    <w:rsid w:val="33C341A1"/>
    <w:rsid w:val="33CC3856"/>
    <w:rsid w:val="33F36E1B"/>
    <w:rsid w:val="34B71A10"/>
    <w:rsid w:val="356075E1"/>
    <w:rsid w:val="35D20016"/>
    <w:rsid w:val="36DF3D38"/>
    <w:rsid w:val="38105A30"/>
    <w:rsid w:val="38807FBA"/>
    <w:rsid w:val="38875604"/>
    <w:rsid w:val="38D32489"/>
    <w:rsid w:val="38E4672D"/>
    <w:rsid w:val="38EA0422"/>
    <w:rsid w:val="39660961"/>
    <w:rsid w:val="398C3287"/>
    <w:rsid w:val="39C12F31"/>
    <w:rsid w:val="3A0123B0"/>
    <w:rsid w:val="3A797A06"/>
    <w:rsid w:val="3A9A1F1D"/>
    <w:rsid w:val="3AD5540F"/>
    <w:rsid w:val="3AFD443D"/>
    <w:rsid w:val="3B7D6458"/>
    <w:rsid w:val="3BA82BFD"/>
    <w:rsid w:val="3C6D73A0"/>
    <w:rsid w:val="3C78554D"/>
    <w:rsid w:val="3CD27089"/>
    <w:rsid w:val="3D17252A"/>
    <w:rsid w:val="40183AC7"/>
    <w:rsid w:val="40460634"/>
    <w:rsid w:val="411E4AB9"/>
    <w:rsid w:val="41BF1749"/>
    <w:rsid w:val="423F533B"/>
    <w:rsid w:val="427D7D38"/>
    <w:rsid w:val="433848E7"/>
    <w:rsid w:val="443363E1"/>
    <w:rsid w:val="44DE52DF"/>
    <w:rsid w:val="46244F73"/>
    <w:rsid w:val="46456C98"/>
    <w:rsid w:val="47553FD4"/>
    <w:rsid w:val="48376AB4"/>
    <w:rsid w:val="49E1317B"/>
    <w:rsid w:val="4A01737A"/>
    <w:rsid w:val="4B7025B0"/>
    <w:rsid w:val="4BCA036B"/>
    <w:rsid w:val="4C9044C1"/>
    <w:rsid w:val="4DA04407"/>
    <w:rsid w:val="4E067654"/>
    <w:rsid w:val="4E7445BE"/>
    <w:rsid w:val="4F98252E"/>
    <w:rsid w:val="4FC7696F"/>
    <w:rsid w:val="4FEF6288"/>
    <w:rsid w:val="501E0BFD"/>
    <w:rsid w:val="50631B0B"/>
    <w:rsid w:val="50A351D9"/>
    <w:rsid w:val="51C27A95"/>
    <w:rsid w:val="51EA7BD9"/>
    <w:rsid w:val="52B95344"/>
    <w:rsid w:val="52C06024"/>
    <w:rsid w:val="53AE2320"/>
    <w:rsid w:val="54DF1675"/>
    <w:rsid w:val="555D1CEE"/>
    <w:rsid w:val="557B2AAF"/>
    <w:rsid w:val="564C08B8"/>
    <w:rsid w:val="56E45852"/>
    <w:rsid w:val="577C44E3"/>
    <w:rsid w:val="57CC7219"/>
    <w:rsid w:val="57CE20A0"/>
    <w:rsid w:val="57D15B2F"/>
    <w:rsid w:val="57DA4672"/>
    <w:rsid w:val="5853793A"/>
    <w:rsid w:val="5875165E"/>
    <w:rsid w:val="593C7221"/>
    <w:rsid w:val="59C95329"/>
    <w:rsid w:val="5B0A031D"/>
    <w:rsid w:val="5B4C4A3D"/>
    <w:rsid w:val="5C201A7A"/>
    <w:rsid w:val="5C430CDA"/>
    <w:rsid w:val="5C6E34AD"/>
    <w:rsid w:val="5C8D1C5F"/>
    <w:rsid w:val="5DC80482"/>
    <w:rsid w:val="5E0D40E7"/>
    <w:rsid w:val="5E973782"/>
    <w:rsid w:val="5F166FCB"/>
    <w:rsid w:val="5F750196"/>
    <w:rsid w:val="600E3DBC"/>
    <w:rsid w:val="608D3516"/>
    <w:rsid w:val="629B6D1C"/>
    <w:rsid w:val="63A6642A"/>
    <w:rsid w:val="64504D2E"/>
    <w:rsid w:val="64F60BAC"/>
    <w:rsid w:val="65075D34"/>
    <w:rsid w:val="65470E93"/>
    <w:rsid w:val="66BA4565"/>
    <w:rsid w:val="66ED0F5A"/>
    <w:rsid w:val="66F658EC"/>
    <w:rsid w:val="678E732F"/>
    <w:rsid w:val="67CF6087"/>
    <w:rsid w:val="6A0D6157"/>
    <w:rsid w:val="6A3E1D60"/>
    <w:rsid w:val="6C132AF4"/>
    <w:rsid w:val="6CB77C01"/>
    <w:rsid w:val="6D066EDB"/>
    <w:rsid w:val="6D1C4FE3"/>
    <w:rsid w:val="6DDA4829"/>
    <w:rsid w:val="6E5A77A7"/>
    <w:rsid w:val="6E9A34DA"/>
    <w:rsid w:val="6EFA74DB"/>
    <w:rsid w:val="6F9248F7"/>
    <w:rsid w:val="702261AC"/>
    <w:rsid w:val="70231548"/>
    <w:rsid w:val="70567B70"/>
    <w:rsid w:val="709F5073"/>
    <w:rsid w:val="71CB1E97"/>
    <w:rsid w:val="72680C6E"/>
    <w:rsid w:val="736FBD67"/>
    <w:rsid w:val="751F2C26"/>
    <w:rsid w:val="76876CD5"/>
    <w:rsid w:val="76E949CF"/>
    <w:rsid w:val="77163BB5"/>
    <w:rsid w:val="77275DC2"/>
    <w:rsid w:val="77866F8C"/>
    <w:rsid w:val="77DD3BF2"/>
    <w:rsid w:val="784120E7"/>
    <w:rsid w:val="7ACF53AC"/>
    <w:rsid w:val="7AE83ABA"/>
    <w:rsid w:val="7B1329D1"/>
    <w:rsid w:val="7B551150"/>
    <w:rsid w:val="7B6D4C3F"/>
    <w:rsid w:val="7C9F63FA"/>
    <w:rsid w:val="7CEA105F"/>
    <w:rsid w:val="7D382AD7"/>
    <w:rsid w:val="7D7C8CAB"/>
    <w:rsid w:val="7E0A4B00"/>
    <w:rsid w:val="7E17B289"/>
    <w:rsid w:val="7E447259"/>
    <w:rsid w:val="7EB4116A"/>
    <w:rsid w:val="93E75A6C"/>
    <w:rsid w:val="DFFF0025"/>
    <w:rsid w:val="E3D7D427"/>
    <w:rsid w:val="EF4D7265"/>
    <w:rsid w:val="EFDF660D"/>
    <w:rsid w:val="FAFF10B8"/>
    <w:rsid w:val="FBFF68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qFormat="1" w:unhideWhenUsed="0" w:uiPriority="99" w:semiHidden="0"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8"/>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9"/>
    <w:qFormat/>
    <w:uiPriority w:val="0"/>
    <w:pPr>
      <w:keepNext/>
      <w:keepLines/>
      <w:spacing w:before="260" w:after="260" w:line="416" w:lineRule="auto"/>
      <w:outlineLvl w:val="2"/>
    </w:pPr>
    <w:rPr>
      <w:b/>
      <w:bCs/>
      <w:sz w:val="32"/>
      <w:szCs w:val="32"/>
    </w:rPr>
  </w:style>
  <w:style w:type="paragraph" w:styleId="5">
    <w:name w:val="heading 4"/>
    <w:basedOn w:val="1"/>
    <w:next w:val="1"/>
    <w:link w:val="40"/>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1"/>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2"/>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3"/>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4"/>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5"/>
    <w:qFormat/>
    <w:uiPriority w:val="0"/>
    <w:pPr>
      <w:keepNext/>
      <w:keepLines/>
      <w:adjustRightInd/>
      <w:spacing w:before="240" w:after="64" w:line="320" w:lineRule="auto"/>
      <w:outlineLvl w:val="8"/>
    </w:pPr>
    <w:rPr>
      <w:rFonts w:ascii="Arial" w:hAnsi="Arial" w:eastAsia="黑体"/>
    </w:rPr>
  </w:style>
  <w:style w:type="character" w:default="1" w:styleId="29">
    <w:name w:val="Default Paragraph Font"/>
    <w:unhideWhenUsed/>
    <w:qFormat/>
    <w:uiPriority w:val="1"/>
  </w:style>
  <w:style w:type="table" w:default="1" w:styleId="35">
    <w:name w:val="Normal Table"/>
    <w:unhideWhenUsed/>
    <w:qFormat/>
    <w:uiPriority w:val="99"/>
    <w:tblPr>
      <w:tblLayout w:type="fixed"/>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next w:val="13"/>
    <w:qFormat/>
    <w:uiPriority w:val="0"/>
    <w:pPr>
      <w:ind w:firstLine="420"/>
    </w:pPr>
  </w:style>
  <w:style w:type="paragraph" w:styleId="13">
    <w:name w:val="index 6"/>
    <w:basedOn w:val="1"/>
    <w:next w:val="1"/>
    <w:qFormat/>
    <w:uiPriority w:val="99"/>
    <w:pPr>
      <w:ind w:left="1000" w:leftChars="1000"/>
    </w:pPr>
  </w:style>
  <w:style w:type="paragraph" w:styleId="14">
    <w:name w:val="annotation text"/>
    <w:basedOn w:val="1"/>
    <w:unhideWhenUsed/>
    <w:qFormat/>
    <w:uiPriority w:val="99"/>
    <w:pPr>
      <w:jc w:val="left"/>
    </w:pPr>
  </w:style>
  <w:style w:type="paragraph" w:styleId="15">
    <w:name w:val="Body Text"/>
    <w:basedOn w:val="1"/>
    <w:link w:val="89"/>
    <w:qFormat/>
    <w:uiPriority w:val="0"/>
    <w:pPr>
      <w:spacing w:after="120"/>
    </w:pPr>
  </w:style>
  <w:style w:type="paragraph" w:styleId="16">
    <w:name w:val="toc 5"/>
    <w:basedOn w:val="1"/>
    <w:next w:val="1"/>
    <w:unhideWhenUsed/>
    <w:qFormat/>
    <w:uiPriority w:val="39"/>
    <w:pPr>
      <w:ind w:left="839"/>
    </w:pPr>
    <w:rPr>
      <w:rFonts w:ascii="宋体"/>
    </w:rPr>
  </w:style>
  <w:style w:type="paragraph" w:styleId="17">
    <w:name w:val="toc 3"/>
    <w:basedOn w:val="1"/>
    <w:next w:val="1"/>
    <w:unhideWhenUsed/>
    <w:qFormat/>
    <w:uiPriority w:val="39"/>
    <w:pPr>
      <w:spacing w:line="300" w:lineRule="exact"/>
      <w:ind w:left="420"/>
    </w:pPr>
    <w:rPr>
      <w:rFonts w:ascii="宋体"/>
    </w:rPr>
  </w:style>
  <w:style w:type="paragraph" w:styleId="18">
    <w:name w:val="Plain Text"/>
    <w:qFormat/>
    <w:uiPriority w:val="0"/>
    <w:pPr>
      <w:spacing w:before="100" w:beforeAutospacing="1" w:after="100" w:afterAutospacing="1"/>
    </w:pPr>
    <w:rPr>
      <w:rFonts w:ascii="宋体" w:hAnsi="宋体" w:eastAsia="宋体" w:cs="Times New Roman"/>
      <w:sz w:val="24"/>
      <w:szCs w:val="24"/>
      <w:lang w:val="en-US" w:eastAsia="zh-CN" w:bidi="ar-SA"/>
    </w:rPr>
  </w:style>
  <w:style w:type="paragraph" w:styleId="19">
    <w:name w:val="Balloon Text"/>
    <w:basedOn w:val="1"/>
    <w:link w:val="48"/>
    <w:unhideWhenUsed/>
    <w:qFormat/>
    <w:uiPriority w:val="99"/>
    <w:rPr>
      <w:sz w:val="18"/>
      <w:szCs w:val="18"/>
    </w:rPr>
  </w:style>
  <w:style w:type="paragraph" w:styleId="20">
    <w:name w:val="footer"/>
    <w:basedOn w:val="1"/>
    <w:link w:val="47"/>
    <w:qFormat/>
    <w:uiPriority w:val="99"/>
    <w:pPr>
      <w:tabs>
        <w:tab w:val="center" w:pos="4153"/>
        <w:tab w:val="right" w:pos="8306"/>
      </w:tabs>
      <w:adjustRightInd/>
      <w:snapToGrid w:val="0"/>
      <w:spacing w:line="240" w:lineRule="auto"/>
      <w:jc w:val="right"/>
    </w:pPr>
    <w:rPr>
      <w:rFonts w:ascii="宋体"/>
      <w:sz w:val="18"/>
      <w:szCs w:val="18"/>
    </w:rPr>
  </w:style>
  <w:style w:type="paragraph" w:styleId="21">
    <w:name w:val="header"/>
    <w:basedOn w:val="1"/>
    <w:link w:val="46"/>
    <w:qFormat/>
    <w:uiPriority w:val="99"/>
    <w:pPr>
      <w:tabs>
        <w:tab w:val="center" w:pos="4153"/>
        <w:tab w:val="right" w:pos="8306"/>
      </w:tabs>
      <w:adjustRightInd/>
      <w:snapToGrid w:val="0"/>
      <w:jc w:val="center"/>
    </w:pPr>
    <w:rPr>
      <w:sz w:val="18"/>
      <w:szCs w:val="18"/>
    </w:rPr>
  </w:style>
  <w:style w:type="paragraph" w:styleId="22">
    <w:name w:val="toc 1"/>
    <w:basedOn w:val="1"/>
    <w:next w:val="1"/>
    <w:unhideWhenUsed/>
    <w:qFormat/>
    <w:uiPriority w:val="39"/>
    <w:rPr>
      <w:rFonts w:ascii="宋体"/>
    </w:rPr>
  </w:style>
  <w:style w:type="paragraph" w:styleId="23">
    <w:name w:val="toc 4"/>
    <w:basedOn w:val="1"/>
    <w:next w:val="1"/>
    <w:unhideWhenUsed/>
    <w:qFormat/>
    <w:uiPriority w:val="39"/>
    <w:pPr>
      <w:tabs>
        <w:tab w:val="right" w:leader="dot" w:pos="9344"/>
      </w:tabs>
      <w:spacing w:line="300" w:lineRule="exact"/>
      <w:ind w:left="629"/>
    </w:pPr>
    <w:rPr>
      <w:rFonts w:ascii="宋体"/>
    </w:rPr>
  </w:style>
  <w:style w:type="paragraph" w:styleId="24">
    <w:name w:val="footnote text"/>
    <w:basedOn w:val="1"/>
    <w:next w:val="1"/>
    <w:link w:val="102"/>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5">
    <w:name w:val="toc 6"/>
    <w:basedOn w:val="1"/>
    <w:next w:val="1"/>
    <w:unhideWhenUsed/>
    <w:qFormat/>
    <w:uiPriority w:val="39"/>
    <w:pPr>
      <w:spacing w:line="300" w:lineRule="exact"/>
      <w:ind w:left="1049"/>
    </w:pPr>
    <w:rPr>
      <w:rFonts w:ascii="宋体"/>
    </w:rPr>
  </w:style>
  <w:style w:type="paragraph" w:styleId="26">
    <w:name w:val="table of figures"/>
    <w:basedOn w:val="1"/>
    <w:next w:val="1"/>
    <w:semiHidden/>
    <w:qFormat/>
    <w:uiPriority w:val="0"/>
    <w:pPr>
      <w:adjustRightInd/>
      <w:spacing w:line="240" w:lineRule="auto"/>
      <w:jc w:val="left"/>
    </w:pPr>
    <w:rPr>
      <w:szCs w:val="24"/>
    </w:rPr>
  </w:style>
  <w:style w:type="paragraph" w:styleId="27">
    <w:name w:val="toc 2"/>
    <w:basedOn w:val="1"/>
    <w:next w:val="1"/>
    <w:unhideWhenUsed/>
    <w:qFormat/>
    <w:uiPriority w:val="39"/>
    <w:pPr>
      <w:tabs>
        <w:tab w:val="right" w:leader="dot" w:pos="9344"/>
      </w:tabs>
      <w:spacing w:line="300" w:lineRule="exact"/>
      <w:ind w:left="210"/>
    </w:pPr>
    <w:rPr>
      <w:rFonts w:ascii="宋体"/>
    </w:rPr>
  </w:style>
  <w:style w:type="paragraph" w:styleId="28">
    <w:name w:val="Title"/>
    <w:basedOn w:val="1"/>
    <w:link w:val="51"/>
    <w:qFormat/>
    <w:uiPriority w:val="0"/>
    <w:pPr>
      <w:spacing w:before="240" w:after="60"/>
      <w:jc w:val="center"/>
      <w:outlineLvl w:val="0"/>
    </w:pPr>
    <w:rPr>
      <w:rFonts w:ascii="Arial" w:hAnsi="Arial" w:cs="Arial"/>
      <w:b/>
      <w:bCs/>
      <w:sz w:val="32"/>
      <w:szCs w:val="32"/>
    </w:rPr>
  </w:style>
  <w:style w:type="character" w:styleId="30">
    <w:name w:val="Strong"/>
    <w:basedOn w:val="29"/>
    <w:qFormat/>
    <w:uiPriority w:val="22"/>
    <w:rPr>
      <w:b/>
      <w:bCs/>
    </w:rPr>
  </w:style>
  <w:style w:type="character" w:styleId="31">
    <w:name w:val="page number"/>
    <w:qFormat/>
    <w:uiPriority w:val="0"/>
    <w:rPr>
      <w:rFonts w:ascii="宋体" w:hAnsi="Times New Roman" w:eastAsia="宋体"/>
      <w:sz w:val="18"/>
    </w:rPr>
  </w:style>
  <w:style w:type="character" w:styleId="32">
    <w:name w:val="Emphasis"/>
    <w:qFormat/>
    <w:uiPriority w:val="20"/>
    <w:rPr>
      <w:i/>
      <w:iCs/>
    </w:rPr>
  </w:style>
  <w:style w:type="character" w:styleId="33">
    <w:name w:val="Hyperlink"/>
    <w:qFormat/>
    <w:uiPriority w:val="99"/>
    <w:rPr>
      <w:rFonts w:ascii="宋体" w:hAnsi="Times New Roman" w:eastAsia="宋体"/>
      <w:color w:val="auto"/>
      <w:spacing w:val="0"/>
      <w:w w:val="100"/>
      <w:position w:val="0"/>
      <w:sz w:val="21"/>
      <w:u w:val="none"/>
      <w:vertAlign w:val="baseline"/>
    </w:rPr>
  </w:style>
  <w:style w:type="character" w:styleId="34">
    <w:name w:val="footnote reference"/>
    <w:semiHidden/>
    <w:qFormat/>
    <w:uiPriority w:val="0"/>
    <w:rPr>
      <w:rFonts w:ascii="宋体" w:hAnsi="宋体" w:eastAsia="宋体" w:cs="Times New Roman"/>
      <w:spacing w:val="0"/>
      <w:sz w:val="18"/>
      <w:vertAlign w:val="superscript"/>
    </w:rPr>
  </w:style>
  <w:style w:type="table" w:styleId="36">
    <w:name w:val="Table Grid"/>
    <w:basedOn w:val="3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37">
    <w:name w:val="标题 1 字符"/>
    <w:link w:val="2"/>
    <w:qFormat/>
    <w:uiPriority w:val="0"/>
    <w:rPr>
      <w:b/>
      <w:bCs/>
      <w:kern w:val="44"/>
      <w:sz w:val="44"/>
      <w:szCs w:val="44"/>
    </w:rPr>
  </w:style>
  <w:style w:type="character" w:customStyle="1" w:styleId="38">
    <w:name w:val="标题 2 字符"/>
    <w:link w:val="3"/>
    <w:qFormat/>
    <w:uiPriority w:val="0"/>
    <w:rPr>
      <w:rFonts w:ascii="Arial" w:hAnsi="Arial" w:eastAsia="黑体"/>
      <w:b/>
      <w:bCs/>
      <w:kern w:val="2"/>
      <w:sz w:val="32"/>
      <w:szCs w:val="32"/>
    </w:rPr>
  </w:style>
  <w:style w:type="character" w:customStyle="1" w:styleId="39">
    <w:name w:val="标题 3 字符"/>
    <w:link w:val="4"/>
    <w:qFormat/>
    <w:uiPriority w:val="0"/>
    <w:rPr>
      <w:b/>
      <w:bCs/>
      <w:kern w:val="2"/>
      <w:sz w:val="32"/>
      <w:szCs w:val="32"/>
    </w:rPr>
  </w:style>
  <w:style w:type="character" w:customStyle="1" w:styleId="40">
    <w:name w:val="标题 4 字符"/>
    <w:link w:val="5"/>
    <w:qFormat/>
    <w:uiPriority w:val="0"/>
    <w:rPr>
      <w:rFonts w:ascii="Arial" w:hAnsi="Arial" w:eastAsia="黑体"/>
      <w:b/>
      <w:bCs/>
      <w:kern w:val="2"/>
      <w:sz w:val="28"/>
      <w:szCs w:val="28"/>
    </w:rPr>
  </w:style>
  <w:style w:type="character" w:customStyle="1" w:styleId="41">
    <w:name w:val="标题 5 字符"/>
    <w:link w:val="6"/>
    <w:qFormat/>
    <w:uiPriority w:val="0"/>
    <w:rPr>
      <w:b/>
      <w:bCs/>
      <w:kern w:val="2"/>
      <w:sz w:val="28"/>
      <w:szCs w:val="28"/>
    </w:rPr>
  </w:style>
  <w:style w:type="character" w:customStyle="1" w:styleId="42">
    <w:name w:val="标题 6 字符"/>
    <w:link w:val="7"/>
    <w:qFormat/>
    <w:uiPriority w:val="0"/>
    <w:rPr>
      <w:rFonts w:ascii="Arial" w:hAnsi="Arial" w:eastAsia="黑体"/>
      <w:b/>
      <w:bCs/>
      <w:kern w:val="2"/>
      <w:sz w:val="24"/>
      <w:szCs w:val="24"/>
    </w:rPr>
  </w:style>
  <w:style w:type="character" w:customStyle="1" w:styleId="43">
    <w:name w:val="标题 7 字符"/>
    <w:link w:val="8"/>
    <w:qFormat/>
    <w:uiPriority w:val="0"/>
    <w:rPr>
      <w:b/>
      <w:bCs/>
      <w:kern w:val="2"/>
      <w:sz w:val="24"/>
      <w:szCs w:val="24"/>
    </w:rPr>
  </w:style>
  <w:style w:type="character" w:customStyle="1" w:styleId="44">
    <w:name w:val="标题 8 字符"/>
    <w:link w:val="9"/>
    <w:qFormat/>
    <w:uiPriority w:val="0"/>
    <w:rPr>
      <w:rFonts w:ascii="Arial" w:hAnsi="Arial" w:eastAsia="黑体"/>
      <w:kern w:val="2"/>
      <w:sz w:val="24"/>
      <w:szCs w:val="24"/>
    </w:rPr>
  </w:style>
  <w:style w:type="character" w:customStyle="1" w:styleId="45">
    <w:name w:val="标题 9 字符"/>
    <w:link w:val="10"/>
    <w:qFormat/>
    <w:uiPriority w:val="0"/>
    <w:rPr>
      <w:rFonts w:ascii="Arial" w:hAnsi="Arial" w:eastAsia="黑体"/>
      <w:kern w:val="2"/>
      <w:sz w:val="21"/>
      <w:szCs w:val="21"/>
    </w:rPr>
  </w:style>
  <w:style w:type="character" w:customStyle="1" w:styleId="46">
    <w:name w:val="页眉 字符"/>
    <w:link w:val="21"/>
    <w:qFormat/>
    <w:uiPriority w:val="99"/>
    <w:rPr>
      <w:kern w:val="2"/>
      <w:sz w:val="18"/>
      <w:szCs w:val="18"/>
    </w:rPr>
  </w:style>
  <w:style w:type="character" w:customStyle="1" w:styleId="47">
    <w:name w:val="页脚 字符"/>
    <w:link w:val="20"/>
    <w:qFormat/>
    <w:uiPriority w:val="99"/>
    <w:rPr>
      <w:rFonts w:ascii="宋体"/>
      <w:kern w:val="2"/>
      <w:sz w:val="18"/>
      <w:szCs w:val="18"/>
    </w:rPr>
  </w:style>
  <w:style w:type="character" w:customStyle="1" w:styleId="48">
    <w:name w:val="批注框文本 字符"/>
    <w:link w:val="19"/>
    <w:semiHidden/>
    <w:qFormat/>
    <w:uiPriority w:val="99"/>
    <w:rPr>
      <w:kern w:val="2"/>
      <w:sz w:val="18"/>
      <w:szCs w:val="18"/>
    </w:rPr>
  </w:style>
  <w:style w:type="paragraph" w:customStyle="1" w:styleId="49">
    <w:name w:val="Quote"/>
    <w:basedOn w:val="1"/>
    <w:next w:val="1"/>
    <w:link w:val="50"/>
    <w:qFormat/>
    <w:uiPriority w:val="29"/>
    <w:rPr>
      <w:i/>
      <w:iCs/>
      <w:color w:val="000000"/>
    </w:rPr>
  </w:style>
  <w:style w:type="character" w:customStyle="1" w:styleId="50">
    <w:name w:val="引用 字符"/>
    <w:link w:val="49"/>
    <w:qFormat/>
    <w:uiPriority w:val="29"/>
    <w:rPr>
      <w:i/>
      <w:iCs/>
      <w:color w:val="000000"/>
      <w:kern w:val="2"/>
      <w:sz w:val="21"/>
      <w:szCs w:val="21"/>
    </w:rPr>
  </w:style>
  <w:style w:type="character" w:customStyle="1" w:styleId="51">
    <w:name w:val="标题 字符"/>
    <w:link w:val="28"/>
    <w:qFormat/>
    <w:uiPriority w:val="0"/>
    <w:rPr>
      <w:rFonts w:ascii="Arial" w:hAnsi="Arial" w:cs="Arial"/>
      <w:b/>
      <w:bCs/>
      <w:kern w:val="2"/>
      <w:sz w:val="32"/>
      <w:szCs w:val="32"/>
    </w:rPr>
  </w:style>
  <w:style w:type="paragraph" w:customStyle="1" w:styleId="52">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3">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4">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5">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6">
    <w:name w:val="标准书眉一"/>
    <w:qFormat/>
    <w:uiPriority w:val="0"/>
    <w:pPr>
      <w:jc w:val="both"/>
    </w:pPr>
    <w:rPr>
      <w:rFonts w:ascii="Times New Roman" w:hAnsi="Times New Roman" w:eastAsia="宋体" w:cs="Times New Roman"/>
      <w:lang w:val="en-US" w:eastAsia="zh-CN" w:bidi="ar-SA"/>
    </w:rPr>
  </w:style>
  <w:style w:type="paragraph" w:customStyle="1" w:styleId="57">
    <w:name w:val="标准文件_ICS"/>
    <w:basedOn w:val="1"/>
    <w:qFormat/>
    <w:uiPriority w:val="0"/>
    <w:pPr>
      <w:spacing w:line="0" w:lineRule="atLeast"/>
    </w:pPr>
    <w:rPr>
      <w:rFonts w:ascii="黑体" w:hAnsi="宋体" w:eastAsia="黑体"/>
    </w:rPr>
  </w:style>
  <w:style w:type="paragraph" w:customStyle="1" w:styleId="58">
    <w:name w:val="标准文件_标准正文"/>
    <w:basedOn w:val="1"/>
    <w:next w:val="59"/>
    <w:qFormat/>
    <w:uiPriority w:val="0"/>
    <w:pPr>
      <w:snapToGrid w:val="0"/>
      <w:ind w:firstLine="200" w:firstLineChars="200"/>
    </w:pPr>
    <w:rPr>
      <w:kern w:val="0"/>
    </w:rPr>
  </w:style>
  <w:style w:type="paragraph" w:customStyle="1" w:styleId="59">
    <w:name w:val="标准文件_段"/>
    <w:link w:val="187"/>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0">
    <w:name w:val="标准文件_版本"/>
    <w:basedOn w:val="58"/>
    <w:qFormat/>
    <w:uiPriority w:val="0"/>
    <w:pPr>
      <w:adjustRightInd/>
      <w:snapToGrid/>
      <w:ind w:firstLine="0" w:firstLineChars="0"/>
    </w:pPr>
    <w:rPr>
      <w:rFonts w:ascii="宋体" w:hAnsi="宋体"/>
      <w:kern w:val="2"/>
    </w:rPr>
  </w:style>
  <w:style w:type="paragraph" w:customStyle="1" w:styleId="61">
    <w:name w:val="标准文件_标准部门"/>
    <w:basedOn w:val="1"/>
    <w:qFormat/>
    <w:uiPriority w:val="0"/>
    <w:pPr>
      <w:jc w:val="center"/>
    </w:pPr>
    <w:rPr>
      <w:rFonts w:ascii="黑体" w:eastAsia="黑体"/>
      <w:kern w:val="0"/>
      <w:sz w:val="44"/>
    </w:rPr>
  </w:style>
  <w:style w:type="paragraph" w:customStyle="1" w:styleId="62">
    <w:name w:val="标准文件_标准代替"/>
    <w:basedOn w:val="1"/>
    <w:next w:val="1"/>
    <w:qFormat/>
    <w:uiPriority w:val="0"/>
    <w:pPr>
      <w:spacing w:line="310" w:lineRule="exact"/>
      <w:jc w:val="right"/>
    </w:pPr>
    <w:rPr>
      <w:rFonts w:ascii="宋体" w:hAnsi="宋体"/>
      <w:kern w:val="0"/>
    </w:rPr>
  </w:style>
  <w:style w:type="paragraph" w:customStyle="1" w:styleId="63">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4">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5">
    <w:name w:val="标准文件_页眉偶数页"/>
    <w:basedOn w:val="64"/>
    <w:next w:val="1"/>
    <w:qFormat/>
    <w:uiPriority w:val="0"/>
    <w:pPr>
      <w:jc w:val="left"/>
    </w:pPr>
  </w:style>
  <w:style w:type="paragraph" w:customStyle="1" w:styleId="66">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7">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8">
    <w:name w:val="标准文件_二级条标题"/>
    <w:next w:val="59"/>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9">
    <w:name w:val="标准文件_发布"/>
    <w:qFormat/>
    <w:uiPriority w:val="0"/>
    <w:rPr>
      <w:rFonts w:ascii="黑体" w:eastAsia="黑体"/>
      <w:spacing w:val="0"/>
      <w:w w:val="100"/>
      <w:position w:val="3"/>
      <w:sz w:val="28"/>
    </w:rPr>
  </w:style>
  <w:style w:type="paragraph" w:customStyle="1" w:styleId="70">
    <w:name w:val="标准文件_方框数字列项"/>
    <w:basedOn w:val="59"/>
    <w:qFormat/>
    <w:uiPriority w:val="0"/>
    <w:pPr>
      <w:numPr>
        <w:ilvl w:val="0"/>
        <w:numId w:val="3"/>
      </w:numPr>
      <w:ind w:firstLine="0" w:firstLineChars="0"/>
    </w:pPr>
  </w:style>
  <w:style w:type="paragraph" w:customStyle="1" w:styleId="71">
    <w:name w:val="标准文件_封面标准编号"/>
    <w:basedOn w:val="1"/>
    <w:next w:val="62"/>
    <w:qFormat/>
    <w:uiPriority w:val="0"/>
    <w:pPr>
      <w:spacing w:line="310" w:lineRule="exact"/>
      <w:jc w:val="right"/>
    </w:pPr>
    <w:rPr>
      <w:rFonts w:ascii="黑体" w:eastAsia="黑体"/>
      <w:kern w:val="0"/>
      <w:sz w:val="28"/>
    </w:rPr>
  </w:style>
  <w:style w:type="paragraph" w:customStyle="1" w:styleId="72">
    <w:name w:val="标准文件_封面标准分类号"/>
    <w:basedOn w:val="1"/>
    <w:qFormat/>
    <w:uiPriority w:val="0"/>
    <w:rPr>
      <w:rFonts w:ascii="黑体" w:eastAsia="黑体"/>
      <w:b/>
      <w:kern w:val="0"/>
      <w:sz w:val="28"/>
    </w:rPr>
  </w:style>
  <w:style w:type="paragraph" w:customStyle="1" w:styleId="73">
    <w:name w:val="标准文件_封面标准名称"/>
    <w:basedOn w:val="1"/>
    <w:qFormat/>
    <w:uiPriority w:val="0"/>
    <w:pPr>
      <w:spacing w:line="240" w:lineRule="auto"/>
      <w:jc w:val="center"/>
    </w:pPr>
    <w:rPr>
      <w:rFonts w:ascii="黑体" w:eastAsia="黑体"/>
      <w:kern w:val="0"/>
      <w:sz w:val="52"/>
    </w:rPr>
  </w:style>
  <w:style w:type="paragraph" w:customStyle="1" w:styleId="74">
    <w:name w:val="标准文件_封面标准英文名称"/>
    <w:basedOn w:val="1"/>
    <w:qFormat/>
    <w:uiPriority w:val="0"/>
    <w:pPr>
      <w:spacing w:line="240" w:lineRule="auto"/>
      <w:jc w:val="center"/>
    </w:pPr>
    <w:rPr>
      <w:rFonts w:ascii="黑体" w:eastAsia="黑体"/>
      <w:b/>
      <w:sz w:val="28"/>
    </w:rPr>
  </w:style>
  <w:style w:type="paragraph" w:customStyle="1" w:styleId="75">
    <w:name w:val="标准文件_封面发布日期"/>
    <w:basedOn w:val="1"/>
    <w:qFormat/>
    <w:uiPriority w:val="0"/>
    <w:pPr>
      <w:spacing w:line="310" w:lineRule="exact"/>
    </w:pPr>
    <w:rPr>
      <w:rFonts w:ascii="黑体" w:eastAsia="黑体"/>
      <w:kern w:val="0"/>
      <w:sz w:val="28"/>
    </w:rPr>
  </w:style>
  <w:style w:type="paragraph" w:customStyle="1" w:styleId="76">
    <w:name w:val="标准文件_封面密级"/>
    <w:basedOn w:val="1"/>
    <w:qFormat/>
    <w:uiPriority w:val="0"/>
    <w:rPr>
      <w:rFonts w:eastAsia="黑体"/>
      <w:sz w:val="32"/>
    </w:rPr>
  </w:style>
  <w:style w:type="paragraph" w:customStyle="1" w:styleId="77">
    <w:name w:val="标准文件_封面实施日期"/>
    <w:basedOn w:val="1"/>
    <w:qFormat/>
    <w:uiPriority w:val="0"/>
    <w:pPr>
      <w:spacing w:line="310" w:lineRule="exact"/>
      <w:jc w:val="right"/>
    </w:pPr>
    <w:rPr>
      <w:rFonts w:ascii="黑体" w:eastAsia="黑体"/>
      <w:sz w:val="28"/>
    </w:rPr>
  </w:style>
  <w:style w:type="paragraph" w:customStyle="1" w:styleId="78">
    <w:name w:val="标准文件_封面抬头"/>
    <w:basedOn w:val="59"/>
    <w:qFormat/>
    <w:uiPriority w:val="0"/>
    <w:pPr>
      <w:adjustRightInd w:val="0"/>
      <w:spacing w:line="800" w:lineRule="exact"/>
      <w:ind w:firstLine="0" w:firstLineChars="0"/>
      <w:jc w:val="distribute"/>
    </w:pPr>
    <w:rPr>
      <w:rFonts w:ascii="黑体" w:eastAsia="黑体"/>
      <w:b/>
      <w:sz w:val="64"/>
    </w:rPr>
  </w:style>
  <w:style w:type="paragraph" w:customStyle="1" w:styleId="79">
    <w:name w:val="标准文件_附录标识"/>
    <w:next w:val="59"/>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80">
    <w:name w:val="标准文件_附录表标题"/>
    <w:next w:val="59"/>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1">
    <w:name w:val="标准文件_附录一级条标题"/>
    <w:next w:val="59"/>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2">
    <w:name w:val="标准文件_附录二级条标题"/>
    <w:basedOn w:val="81"/>
    <w:next w:val="59"/>
    <w:qFormat/>
    <w:uiPriority w:val="0"/>
    <w:pPr>
      <w:widowControl/>
      <w:numPr>
        <w:ilvl w:val="2"/>
      </w:numPr>
      <w:wordWrap w:val="0"/>
      <w:overflowPunct w:val="0"/>
      <w:autoSpaceDE w:val="0"/>
      <w:autoSpaceDN w:val="0"/>
      <w:textAlignment w:val="baseline"/>
      <w:outlineLvl w:val="3"/>
    </w:pPr>
  </w:style>
  <w:style w:type="paragraph" w:customStyle="1" w:styleId="83">
    <w:name w:val="标准文件_附录公式"/>
    <w:basedOn w:val="58"/>
    <w:next w:val="58"/>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4">
    <w:name w:val="标准文件_附录三级条标题"/>
    <w:next w:val="59"/>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5">
    <w:name w:val="标准文件_附录四级条标题"/>
    <w:next w:val="59"/>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6">
    <w:name w:val="标准文件_附录图标题"/>
    <w:next w:val="59"/>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7">
    <w:name w:val="标准文件_附录五级条标题"/>
    <w:next w:val="59"/>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8">
    <w:name w:val="标准文件_附录英文标识"/>
    <w:next w:val="15"/>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9">
    <w:name w:val="正文文本 字符"/>
    <w:link w:val="15"/>
    <w:qFormat/>
    <w:uiPriority w:val="0"/>
    <w:rPr>
      <w:kern w:val="2"/>
      <w:sz w:val="21"/>
      <w:szCs w:val="21"/>
    </w:rPr>
  </w:style>
  <w:style w:type="paragraph" w:customStyle="1" w:styleId="90">
    <w:name w:val="标准文件_附录章标题"/>
    <w:next w:val="59"/>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1">
    <w:name w:val="标准文件_公式后的破折号"/>
    <w:basedOn w:val="59"/>
    <w:next w:val="59"/>
    <w:qFormat/>
    <w:uiPriority w:val="0"/>
    <w:pPr>
      <w:ind w:left="488" w:leftChars="200" w:hanging="289" w:hangingChars="290"/>
    </w:pPr>
  </w:style>
  <w:style w:type="paragraph" w:customStyle="1" w:styleId="92">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3">
    <w:name w:val="标准文件_目次、标准名称标题"/>
    <w:basedOn w:val="92"/>
    <w:next w:val="59"/>
    <w:qFormat/>
    <w:uiPriority w:val="0"/>
    <w:pPr>
      <w:spacing w:line="460" w:lineRule="exact"/>
      <w:ind w:left="0" w:firstLine="0"/>
    </w:pPr>
  </w:style>
  <w:style w:type="paragraph" w:customStyle="1" w:styleId="94">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5">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6">
    <w:name w:val="标准文件_破折号列项（二级）"/>
    <w:basedOn w:val="95"/>
    <w:qFormat/>
    <w:uiPriority w:val="0"/>
    <w:pPr>
      <w:numPr>
        <w:numId w:val="10"/>
      </w:numPr>
    </w:pPr>
  </w:style>
  <w:style w:type="paragraph" w:customStyle="1" w:styleId="97">
    <w:name w:val="标准文件_三级条标题"/>
    <w:basedOn w:val="68"/>
    <w:next w:val="59"/>
    <w:qFormat/>
    <w:uiPriority w:val="0"/>
    <w:pPr>
      <w:widowControl/>
      <w:numPr>
        <w:ilvl w:val="4"/>
      </w:numPr>
      <w:outlineLvl w:val="3"/>
    </w:pPr>
  </w:style>
  <w:style w:type="character" w:customStyle="1" w:styleId="98">
    <w:name w:val="不明显参考1"/>
    <w:qFormat/>
    <w:uiPriority w:val="31"/>
    <w:rPr>
      <w:smallCaps/>
      <w:color w:val="C0504D"/>
      <w:u w:val="single"/>
    </w:rPr>
  </w:style>
  <w:style w:type="paragraph" w:customStyle="1" w:styleId="99">
    <w:name w:val="标准文件_示例后续"/>
    <w:basedOn w:val="1"/>
    <w:qFormat/>
    <w:uiPriority w:val="0"/>
    <w:pPr>
      <w:adjustRightInd/>
      <w:spacing w:line="240" w:lineRule="auto"/>
      <w:ind w:firstLine="200" w:firstLineChars="200"/>
    </w:pPr>
    <w:rPr>
      <w:sz w:val="18"/>
      <w:szCs w:val="24"/>
    </w:rPr>
  </w:style>
  <w:style w:type="paragraph" w:customStyle="1" w:styleId="100">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1">
    <w:name w:val="标准文件_四级条标题"/>
    <w:next w:val="59"/>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2">
    <w:name w:val="脚注文本 字符"/>
    <w:link w:val="24"/>
    <w:semiHidden/>
    <w:qFormat/>
    <w:uiPriority w:val="0"/>
    <w:rPr>
      <w:rFonts w:ascii="宋体"/>
      <w:kern w:val="2"/>
      <w:sz w:val="18"/>
      <w:szCs w:val="18"/>
    </w:rPr>
  </w:style>
  <w:style w:type="paragraph" w:customStyle="1" w:styleId="103">
    <w:name w:val="标准文件_条文脚注"/>
    <w:basedOn w:val="24"/>
    <w:qFormat/>
    <w:uiPriority w:val="0"/>
    <w:pPr>
      <w:adjustRightInd w:val="0"/>
      <w:spacing w:line="240" w:lineRule="auto"/>
      <w:ind w:left="0" w:leftChars="0" w:firstLine="200" w:firstLineChars="200"/>
      <w:jc w:val="both"/>
    </w:pPr>
    <w:rPr>
      <w:rFonts w:hAnsi="宋体"/>
    </w:rPr>
  </w:style>
  <w:style w:type="paragraph" w:customStyle="1" w:styleId="104">
    <w:name w:val="标准文件_图表脚注"/>
    <w:basedOn w:val="1"/>
    <w:next w:val="59"/>
    <w:qFormat/>
    <w:uiPriority w:val="0"/>
    <w:pPr>
      <w:numPr>
        <w:ilvl w:val="0"/>
        <w:numId w:val="12"/>
      </w:numPr>
      <w:spacing w:line="240" w:lineRule="auto"/>
      <w:jc w:val="left"/>
    </w:pPr>
    <w:rPr>
      <w:rFonts w:ascii="宋体" w:hAnsi="宋体"/>
      <w:sz w:val="18"/>
    </w:rPr>
  </w:style>
  <w:style w:type="character" w:customStyle="1" w:styleId="105">
    <w:name w:val="标准文件_图表脚注内容"/>
    <w:qFormat/>
    <w:uiPriority w:val="0"/>
    <w:rPr>
      <w:rFonts w:ascii="宋体" w:hAnsi="宋体" w:eastAsia="宋体" w:cs="Times New Roman"/>
      <w:spacing w:val="0"/>
      <w:sz w:val="18"/>
      <w:vertAlign w:val="superscript"/>
    </w:rPr>
  </w:style>
  <w:style w:type="paragraph" w:customStyle="1" w:styleId="106">
    <w:name w:val="标准文件_五级条标题"/>
    <w:next w:val="59"/>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7">
    <w:name w:val="标准文件_章标题"/>
    <w:next w:val="59"/>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8">
    <w:name w:val="标准文件_一级条标题"/>
    <w:basedOn w:val="107"/>
    <w:next w:val="59"/>
    <w:qFormat/>
    <w:uiPriority w:val="0"/>
    <w:pPr>
      <w:numPr>
        <w:ilvl w:val="2"/>
      </w:numPr>
      <w:spacing w:before="50" w:beforeLines="50" w:after="50" w:afterLines="50"/>
      <w:outlineLvl w:val="1"/>
    </w:pPr>
  </w:style>
  <w:style w:type="paragraph" w:customStyle="1" w:styleId="109">
    <w:name w:val="标准文件_一致程度"/>
    <w:basedOn w:val="1"/>
    <w:qFormat/>
    <w:uiPriority w:val="0"/>
    <w:pPr>
      <w:spacing w:line="440" w:lineRule="exact"/>
      <w:jc w:val="center"/>
    </w:pPr>
    <w:rPr>
      <w:sz w:val="28"/>
    </w:rPr>
  </w:style>
  <w:style w:type="paragraph" w:customStyle="1" w:styleId="110">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1">
    <w:name w:val="标准文件_英文图表脚注"/>
    <w:basedOn w:val="58"/>
    <w:qFormat/>
    <w:uiPriority w:val="0"/>
    <w:pPr>
      <w:widowControl/>
      <w:adjustRightInd/>
      <w:snapToGrid/>
      <w:spacing w:line="240" w:lineRule="auto"/>
      <w:ind w:left="79" w:hanging="79" w:hangingChars="80"/>
    </w:pPr>
    <w:rPr>
      <w:rFonts w:ascii="宋体" w:hAnsi="宋体"/>
    </w:rPr>
  </w:style>
  <w:style w:type="paragraph" w:customStyle="1" w:styleId="112">
    <w:name w:val="标准文件_数字编号列项（二级）"/>
    <w:qFormat/>
    <w:uiPriority w:val="0"/>
    <w:pPr>
      <w:numPr>
        <w:ilvl w:val="1"/>
        <w:numId w:val="13"/>
      </w:numPr>
      <w:tabs>
        <w:tab w:val="left" w:pos="851"/>
      </w:tabs>
      <w:jc w:val="both"/>
    </w:pPr>
    <w:rPr>
      <w:rFonts w:ascii="宋体" w:hAnsi="Times New Roman" w:eastAsia="宋体" w:cs="Times New Roman"/>
      <w:sz w:val="21"/>
      <w:lang w:val="en-US" w:eastAsia="zh-CN" w:bidi="ar-SA"/>
    </w:rPr>
  </w:style>
  <w:style w:type="paragraph" w:customStyle="1" w:styleId="113">
    <w:name w:val="标准文件_英文注："/>
    <w:basedOn w:val="1"/>
    <w:next w:val="59"/>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4">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5">
    <w:name w:val="标准文件_正文表标题"/>
    <w:next w:val="59"/>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6">
    <w:name w:val="标准文件_正文公式"/>
    <w:basedOn w:val="1"/>
    <w:next w:val="58"/>
    <w:qFormat/>
    <w:uiPriority w:val="0"/>
    <w:pPr>
      <w:tabs>
        <w:tab w:val="center" w:pos="4678"/>
        <w:tab w:val="right" w:leader="middleDot" w:pos="9356"/>
      </w:tabs>
      <w:spacing w:line="240" w:lineRule="auto"/>
    </w:pPr>
    <w:rPr>
      <w:rFonts w:ascii="宋体" w:hAnsi="宋体"/>
    </w:rPr>
  </w:style>
  <w:style w:type="paragraph" w:customStyle="1" w:styleId="117">
    <w:name w:val="标准文件_正文图标题"/>
    <w:next w:val="59"/>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8">
    <w:name w:val="标准文件_正文英文表标题"/>
    <w:next w:val="59"/>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9">
    <w:name w:val="标准文件_正文英文图标题"/>
    <w:next w:val="59"/>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0">
    <w:name w:val="标准文件_编号列项（三级）"/>
    <w:qFormat/>
    <w:uiPriority w:val="0"/>
    <w:pPr>
      <w:numPr>
        <w:ilvl w:val="2"/>
        <w:numId w:val="13"/>
      </w:numPr>
      <w:tabs>
        <w:tab w:val="left" w:pos="851"/>
      </w:tabs>
    </w:pPr>
    <w:rPr>
      <w:rFonts w:ascii="宋体" w:hAnsi="Times New Roman" w:eastAsia="宋体" w:cs="Times New Roman"/>
      <w:sz w:val="21"/>
      <w:lang w:val="en-US" w:eastAsia="zh-CN" w:bidi="ar-SA"/>
    </w:rPr>
  </w:style>
  <w:style w:type="paragraph" w:customStyle="1" w:styleId="121">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2">
    <w:name w:val="发布部门"/>
    <w:next w:val="59"/>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3">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4">
    <w:name w:val="封面标准代替信息"/>
    <w:basedOn w:val="1"/>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5">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6">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7">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8">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9">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0">
    <w:name w:val="封面正文"/>
    <w:qFormat/>
    <w:uiPriority w:val="0"/>
    <w:pPr>
      <w:jc w:val="both"/>
    </w:pPr>
    <w:rPr>
      <w:rFonts w:ascii="Times New Roman" w:hAnsi="Times New Roman" w:eastAsia="宋体" w:cs="Times New Roman"/>
      <w:lang w:val="en-US" w:eastAsia="zh-CN" w:bidi="ar-SA"/>
    </w:rPr>
  </w:style>
  <w:style w:type="paragraph" w:customStyle="1" w:styleId="131">
    <w:name w:val="附录二级无标题条"/>
    <w:basedOn w:val="1"/>
    <w:next w:val="59"/>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2">
    <w:name w:val="附录三级无标题条"/>
    <w:basedOn w:val="131"/>
    <w:next w:val="59"/>
    <w:qFormat/>
    <w:uiPriority w:val="0"/>
    <w:pPr>
      <w:outlineLvl w:val="4"/>
    </w:pPr>
  </w:style>
  <w:style w:type="paragraph" w:customStyle="1" w:styleId="133">
    <w:name w:val="附录四级无标题条"/>
    <w:basedOn w:val="132"/>
    <w:next w:val="59"/>
    <w:qFormat/>
    <w:uiPriority w:val="0"/>
    <w:pPr>
      <w:outlineLvl w:val="5"/>
    </w:pPr>
  </w:style>
  <w:style w:type="paragraph" w:customStyle="1" w:styleId="134">
    <w:name w:val="附录图"/>
    <w:next w:val="59"/>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5">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6">
    <w:name w:val="附录五级无标题条"/>
    <w:basedOn w:val="133"/>
    <w:next w:val="59"/>
    <w:qFormat/>
    <w:uiPriority w:val="0"/>
    <w:pPr>
      <w:outlineLvl w:val="6"/>
    </w:pPr>
  </w:style>
  <w:style w:type="paragraph" w:customStyle="1" w:styleId="137">
    <w:name w:val="附录性质"/>
    <w:basedOn w:val="1"/>
    <w:qFormat/>
    <w:uiPriority w:val="0"/>
    <w:pPr>
      <w:widowControl/>
      <w:adjustRightInd/>
      <w:jc w:val="center"/>
    </w:pPr>
    <w:rPr>
      <w:rFonts w:ascii="黑体" w:eastAsia="黑体"/>
    </w:rPr>
  </w:style>
  <w:style w:type="paragraph" w:customStyle="1" w:styleId="138">
    <w:name w:val="附录一级无标题条"/>
    <w:basedOn w:val="90"/>
    <w:next w:val="59"/>
    <w:qFormat/>
    <w:uiPriority w:val="0"/>
    <w:pPr>
      <w:autoSpaceDN w:val="0"/>
      <w:outlineLvl w:val="2"/>
    </w:pPr>
    <w:rPr>
      <w:rFonts w:ascii="宋体" w:hAnsi="宋体" w:eastAsia="宋体"/>
    </w:rPr>
  </w:style>
  <w:style w:type="character" w:customStyle="1" w:styleId="139">
    <w:name w:val="个人答复风格"/>
    <w:qFormat/>
    <w:uiPriority w:val="0"/>
    <w:rPr>
      <w:rFonts w:ascii="Arial" w:hAnsi="Arial" w:eastAsia="宋体" w:cs="Arial"/>
      <w:color w:val="auto"/>
      <w:spacing w:val="0"/>
      <w:sz w:val="20"/>
    </w:rPr>
  </w:style>
  <w:style w:type="character" w:customStyle="1" w:styleId="140">
    <w:name w:val="个人撰写风格"/>
    <w:qFormat/>
    <w:uiPriority w:val="0"/>
    <w:rPr>
      <w:rFonts w:ascii="Arial" w:hAnsi="Arial" w:eastAsia="宋体" w:cs="Arial"/>
      <w:color w:val="auto"/>
      <w:spacing w:val="0"/>
      <w:sz w:val="20"/>
    </w:rPr>
  </w:style>
  <w:style w:type="paragraph" w:customStyle="1" w:styleId="141">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2">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3">
    <w:name w:val="列项·"/>
    <w:basedOn w:val="59"/>
    <w:qFormat/>
    <w:uiPriority w:val="0"/>
    <w:pPr>
      <w:tabs>
        <w:tab w:val="left" w:pos="840"/>
      </w:tabs>
    </w:pPr>
  </w:style>
  <w:style w:type="paragraph" w:customStyle="1" w:styleId="144">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5">
    <w:name w:val="目录 21"/>
    <w:basedOn w:val="1"/>
    <w:next w:val="1"/>
    <w:semiHidden/>
    <w:qFormat/>
    <w:uiPriority w:val="0"/>
    <w:pPr>
      <w:adjustRightInd/>
      <w:spacing w:line="240" w:lineRule="auto"/>
      <w:jc w:val="left"/>
    </w:pPr>
    <w:rPr>
      <w:bCs/>
      <w:iCs/>
    </w:rPr>
  </w:style>
  <w:style w:type="paragraph" w:customStyle="1" w:styleId="146">
    <w:name w:val="目录 31"/>
    <w:basedOn w:val="1"/>
    <w:next w:val="1"/>
    <w:semiHidden/>
    <w:qFormat/>
    <w:uiPriority w:val="0"/>
    <w:pPr>
      <w:spacing w:line="240" w:lineRule="auto"/>
    </w:pPr>
    <w:rPr>
      <w:rFonts w:ascii="宋体" w:hAnsi="宋体"/>
      <w:iCs/>
    </w:rPr>
  </w:style>
  <w:style w:type="paragraph" w:customStyle="1" w:styleId="147">
    <w:name w:val="目录 41"/>
    <w:basedOn w:val="1"/>
    <w:next w:val="1"/>
    <w:semiHidden/>
    <w:qFormat/>
    <w:uiPriority w:val="0"/>
    <w:pPr>
      <w:adjustRightInd/>
      <w:spacing w:line="240" w:lineRule="auto"/>
      <w:jc w:val="left"/>
    </w:pPr>
  </w:style>
  <w:style w:type="paragraph" w:customStyle="1" w:styleId="148">
    <w:name w:val="目录 51"/>
    <w:basedOn w:val="1"/>
    <w:next w:val="1"/>
    <w:semiHidden/>
    <w:qFormat/>
    <w:uiPriority w:val="0"/>
    <w:pPr>
      <w:spacing w:line="240" w:lineRule="auto"/>
    </w:pPr>
    <w:rPr>
      <w:rFonts w:ascii="宋体" w:hAnsi="宋体"/>
    </w:rPr>
  </w:style>
  <w:style w:type="paragraph" w:customStyle="1" w:styleId="149">
    <w:name w:val="目录 61"/>
    <w:basedOn w:val="1"/>
    <w:next w:val="1"/>
    <w:semiHidden/>
    <w:qFormat/>
    <w:uiPriority w:val="0"/>
    <w:pPr>
      <w:adjustRightInd/>
      <w:spacing w:line="240" w:lineRule="auto"/>
      <w:jc w:val="left"/>
    </w:pPr>
  </w:style>
  <w:style w:type="paragraph" w:customStyle="1" w:styleId="150">
    <w:name w:val="目录 71"/>
    <w:basedOn w:val="149"/>
    <w:semiHidden/>
    <w:qFormat/>
    <w:uiPriority w:val="0"/>
    <w:pPr>
      <w:ind w:left="1260"/>
    </w:pPr>
  </w:style>
  <w:style w:type="paragraph" w:customStyle="1" w:styleId="151">
    <w:name w:val="目录 81"/>
    <w:basedOn w:val="150"/>
    <w:semiHidden/>
    <w:qFormat/>
    <w:uiPriority w:val="0"/>
    <w:pPr>
      <w:ind w:left="1470"/>
    </w:pPr>
  </w:style>
  <w:style w:type="paragraph" w:customStyle="1" w:styleId="152">
    <w:name w:val="目录 91"/>
    <w:basedOn w:val="151"/>
    <w:semiHidden/>
    <w:qFormat/>
    <w:uiPriority w:val="0"/>
    <w:pPr>
      <w:ind w:left="1680"/>
    </w:pPr>
  </w:style>
  <w:style w:type="paragraph" w:customStyle="1" w:styleId="153">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4">
    <w:name w:val="其他发布部门"/>
    <w:basedOn w:val="122"/>
    <w:qFormat/>
    <w:uiPriority w:val="0"/>
    <w:pPr>
      <w:framePr/>
      <w:spacing w:line="0" w:lineRule="atLeast"/>
    </w:pPr>
    <w:rPr>
      <w:rFonts w:ascii="黑体" w:eastAsia="黑体"/>
      <w:b w:val="0"/>
    </w:rPr>
  </w:style>
  <w:style w:type="paragraph" w:customStyle="1" w:styleId="155">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6">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7">
    <w:name w:val="实施日期"/>
    <w:basedOn w:val="123"/>
    <w:qFormat/>
    <w:uiPriority w:val="0"/>
    <w:pPr>
      <w:framePr w:hSpace="0" w:xAlign="right"/>
      <w:jc w:val="right"/>
    </w:pPr>
  </w:style>
  <w:style w:type="paragraph" w:customStyle="1" w:styleId="158">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9">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0">
    <w:name w:val="无标题条"/>
    <w:next w:val="59"/>
    <w:qFormat/>
    <w:uiPriority w:val="0"/>
    <w:pPr>
      <w:jc w:val="both"/>
    </w:pPr>
    <w:rPr>
      <w:rFonts w:ascii="宋体" w:hAnsi="宋体" w:eastAsia="宋体" w:cs="Times New Roman"/>
      <w:sz w:val="21"/>
      <w:lang w:val="en-US" w:eastAsia="zh-CN" w:bidi="ar-SA"/>
    </w:rPr>
  </w:style>
  <w:style w:type="paragraph" w:customStyle="1" w:styleId="161">
    <w:name w:val="五级无标题条"/>
    <w:basedOn w:val="1"/>
    <w:qFormat/>
    <w:uiPriority w:val="0"/>
    <w:pPr>
      <w:numPr>
        <w:ilvl w:val="6"/>
        <w:numId w:val="20"/>
      </w:numPr>
      <w:adjustRightInd/>
    </w:pPr>
    <w:rPr>
      <w:szCs w:val="24"/>
    </w:rPr>
  </w:style>
  <w:style w:type="paragraph" w:customStyle="1" w:styleId="162">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3">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4">
    <w:name w:val="注×:后续"/>
    <w:basedOn w:val="163"/>
    <w:qFormat/>
    <w:uiPriority w:val="0"/>
    <w:pPr>
      <w:ind w:left="1406" w:leftChars="0" w:hanging="499" w:firstLineChars="0"/>
    </w:pPr>
  </w:style>
  <w:style w:type="paragraph" w:customStyle="1" w:styleId="165">
    <w:name w:val="标准文件_一级无标题"/>
    <w:basedOn w:val="108"/>
    <w:qFormat/>
    <w:uiPriority w:val="0"/>
    <w:pPr>
      <w:spacing w:before="0" w:beforeLines="0" w:after="0" w:afterLines="0"/>
      <w:outlineLvl w:val="9"/>
    </w:pPr>
    <w:rPr>
      <w:rFonts w:ascii="宋体" w:eastAsia="宋体"/>
    </w:rPr>
  </w:style>
  <w:style w:type="paragraph" w:customStyle="1" w:styleId="166">
    <w:name w:val="标准文件_五级无标题"/>
    <w:basedOn w:val="106"/>
    <w:qFormat/>
    <w:uiPriority w:val="0"/>
    <w:pPr>
      <w:spacing w:before="0" w:beforeLines="0" w:after="0" w:afterLines="0"/>
      <w:outlineLvl w:val="9"/>
    </w:pPr>
    <w:rPr>
      <w:rFonts w:ascii="宋体" w:eastAsia="宋体"/>
    </w:rPr>
  </w:style>
  <w:style w:type="paragraph" w:customStyle="1" w:styleId="167">
    <w:name w:val="标准文件_三级无标题"/>
    <w:basedOn w:val="97"/>
    <w:qFormat/>
    <w:uiPriority w:val="0"/>
    <w:pPr>
      <w:spacing w:before="0" w:beforeLines="0" w:after="0" w:afterLines="0"/>
      <w:outlineLvl w:val="9"/>
    </w:pPr>
    <w:rPr>
      <w:rFonts w:ascii="宋体" w:eastAsia="宋体"/>
    </w:rPr>
  </w:style>
  <w:style w:type="paragraph" w:customStyle="1" w:styleId="168">
    <w:name w:val="标准文件_二级无标题"/>
    <w:basedOn w:val="68"/>
    <w:qFormat/>
    <w:uiPriority w:val="0"/>
    <w:pPr>
      <w:spacing w:before="0" w:beforeLines="0" w:after="0" w:afterLines="0"/>
      <w:outlineLvl w:val="9"/>
    </w:pPr>
    <w:rPr>
      <w:rFonts w:ascii="宋体" w:eastAsia="宋体"/>
    </w:rPr>
  </w:style>
  <w:style w:type="paragraph" w:customStyle="1" w:styleId="169">
    <w:name w:val="标准_四级无标题"/>
    <w:basedOn w:val="101"/>
    <w:next w:val="59"/>
    <w:qFormat/>
    <w:uiPriority w:val="0"/>
    <w:rPr>
      <w:rFonts w:eastAsia="宋体"/>
    </w:rPr>
  </w:style>
  <w:style w:type="paragraph" w:customStyle="1" w:styleId="170">
    <w:name w:val="标准文件_四级无标题"/>
    <w:basedOn w:val="101"/>
    <w:qFormat/>
    <w:uiPriority w:val="0"/>
    <w:pPr>
      <w:spacing w:before="0" w:beforeLines="0" w:after="0" w:afterLines="0"/>
      <w:outlineLvl w:val="9"/>
    </w:pPr>
    <w:rPr>
      <w:rFonts w:ascii="宋体" w:hAnsi="黑体" w:eastAsia="宋体"/>
      <w:szCs w:val="52"/>
    </w:rPr>
  </w:style>
  <w:style w:type="paragraph" w:customStyle="1" w:styleId="171">
    <w:name w:val="标准文件_大写罗马数字编号列项"/>
    <w:basedOn w:val="59"/>
    <w:qFormat/>
    <w:uiPriority w:val="0"/>
    <w:pPr>
      <w:numPr>
        <w:ilvl w:val="0"/>
        <w:numId w:val="23"/>
      </w:numPr>
      <w:ind w:firstLine="0" w:firstLineChars="0"/>
    </w:pPr>
    <w:rPr>
      <w:rFonts w:ascii="Times New Roman" w:cs="Arial"/>
      <w:szCs w:val="28"/>
    </w:rPr>
  </w:style>
  <w:style w:type="paragraph" w:customStyle="1" w:styleId="172">
    <w:name w:val="标准文件_小写罗马数字编号列项"/>
    <w:basedOn w:val="59"/>
    <w:qFormat/>
    <w:uiPriority w:val="0"/>
    <w:pPr>
      <w:numPr>
        <w:ilvl w:val="0"/>
        <w:numId w:val="24"/>
      </w:numPr>
      <w:ind w:firstLine="0" w:firstLineChars="0"/>
    </w:pPr>
    <w:rPr>
      <w:rFonts w:cs="Arial"/>
      <w:szCs w:val="28"/>
    </w:rPr>
  </w:style>
  <w:style w:type="paragraph" w:customStyle="1" w:styleId="173">
    <w:name w:val="标准文件_附录标题"/>
    <w:basedOn w:val="79"/>
    <w:qFormat/>
    <w:uiPriority w:val="0"/>
    <w:pPr>
      <w:numPr>
        <w:numId w:val="0"/>
      </w:numPr>
      <w:spacing w:after="280"/>
      <w:outlineLvl w:val="9"/>
    </w:pPr>
  </w:style>
  <w:style w:type="paragraph" w:customStyle="1" w:styleId="174">
    <w:name w:val="标准文件_二级项"/>
    <w:qFormat/>
    <w:uiPriority w:val="0"/>
    <w:rPr>
      <w:rFonts w:ascii="宋体" w:hAnsi="Times New Roman" w:eastAsia="宋体" w:cs="Times New Roman"/>
      <w:sz w:val="21"/>
      <w:lang w:val="en-US" w:eastAsia="zh-CN" w:bidi="ar-SA"/>
    </w:rPr>
  </w:style>
  <w:style w:type="paragraph" w:customStyle="1" w:styleId="175">
    <w:name w:val="标准文件_三级项"/>
    <w:basedOn w:val="1"/>
    <w:qFormat/>
    <w:uiPriority w:val="0"/>
    <w:pPr>
      <w:numPr>
        <w:ilvl w:val="2"/>
        <w:numId w:val="21"/>
      </w:numPr>
      <w:spacing w:line="536870612" w:lineRule="auto"/>
    </w:pPr>
    <w:rPr>
      <w:rFonts w:ascii="Times New Roman" w:hAnsi="Times New Roman"/>
    </w:rPr>
  </w:style>
  <w:style w:type="paragraph" w:customStyle="1" w:styleId="176">
    <w:name w:val="图表脚注说明"/>
    <w:basedOn w:val="1"/>
    <w:next w:val="59"/>
    <w:qFormat/>
    <w:uiPriority w:val="0"/>
    <w:pPr>
      <w:numPr>
        <w:ilvl w:val="0"/>
        <w:numId w:val="25"/>
      </w:numPr>
      <w:adjustRightInd/>
      <w:spacing w:line="240" w:lineRule="auto"/>
    </w:pPr>
    <w:rPr>
      <w:rFonts w:ascii="宋体" w:hAnsi="Times New Roman"/>
      <w:sz w:val="18"/>
      <w:szCs w:val="18"/>
    </w:rPr>
  </w:style>
  <w:style w:type="paragraph" w:customStyle="1" w:styleId="177">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8">
    <w:name w:val="标准文件_索引字母"/>
    <w:next w:val="59"/>
    <w:qFormat/>
    <w:uiPriority w:val="0"/>
    <w:pPr>
      <w:jc w:val="center"/>
    </w:pPr>
    <w:rPr>
      <w:rFonts w:ascii="宋体" w:hAnsi="宋体" w:eastAsia="Times New Roman" w:cs="Times New Roman"/>
      <w:b/>
      <w:kern w:val="2"/>
      <w:sz w:val="21"/>
      <w:lang w:val="en-US" w:eastAsia="zh-CN" w:bidi="ar-SA"/>
    </w:rPr>
  </w:style>
  <w:style w:type="paragraph" w:customStyle="1" w:styleId="179">
    <w:name w:val="标准文件_附录前"/>
    <w:next w:val="59"/>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0">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1">
    <w:name w:val="标准文件_表格"/>
    <w:basedOn w:val="59"/>
    <w:qFormat/>
    <w:uiPriority w:val="0"/>
    <w:pPr>
      <w:ind w:firstLine="0" w:firstLineChars="0"/>
      <w:jc w:val="center"/>
    </w:pPr>
    <w:rPr>
      <w:sz w:val="18"/>
    </w:rPr>
  </w:style>
  <w:style w:type="paragraph" w:customStyle="1" w:styleId="182">
    <w:name w:val="标准文件_注："/>
    <w:next w:val="59"/>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3">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4">
    <w:name w:val="标准文件_示例："/>
    <w:next w:val="185"/>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5">
    <w:name w:val="标准文件_示例内容"/>
    <w:basedOn w:val="59"/>
    <w:qFormat/>
    <w:uiPriority w:val="0"/>
    <w:pPr>
      <w:ind w:firstLine="420"/>
    </w:pPr>
    <w:rPr>
      <w:sz w:val="18"/>
    </w:rPr>
  </w:style>
  <w:style w:type="paragraph" w:customStyle="1" w:styleId="186">
    <w:name w:val="标准文件_示例×："/>
    <w:basedOn w:val="1"/>
    <w:next w:val="185"/>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7">
    <w:name w:val="标准文件_段 Char"/>
    <w:link w:val="59"/>
    <w:qFormat/>
    <w:uiPriority w:val="0"/>
    <w:rPr>
      <w:rFonts w:ascii="宋体" w:hAnsi="Times New Roman"/>
      <w:sz w:val="21"/>
    </w:rPr>
  </w:style>
  <w:style w:type="paragraph" w:customStyle="1" w:styleId="188">
    <w:name w:val="标准文件_表格续"/>
    <w:basedOn w:val="59"/>
    <w:next w:val="59"/>
    <w:qFormat/>
    <w:uiPriority w:val="0"/>
    <w:pPr>
      <w:jc w:val="center"/>
    </w:pPr>
    <w:rPr>
      <w:rFonts w:ascii="黑体" w:hAnsi="黑体" w:eastAsia="黑体"/>
    </w:rPr>
  </w:style>
  <w:style w:type="character" w:customStyle="1" w:styleId="189">
    <w:name w:val="Placeholder Text"/>
    <w:basedOn w:val="29"/>
    <w:semiHidden/>
    <w:qFormat/>
    <w:uiPriority w:val="99"/>
    <w:rPr>
      <w:color w:val="808080"/>
    </w:rPr>
  </w:style>
  <w:style w:type="paragraph" w:customStyle="1" w:styleId="190">
    <w:name w:val="标准文件_二级项2"/>
    <w:basedOn w:val="59"/>
    <w:qFormat/>
    <w:uiPriority w:val="0"/>
    <w:pPr>
      <w:numPr>
        <w:ilvl w:val="1"/>
        <w:numId w:val="21"/>
      </w:numPr>
      <w:ind w:firstLine="0" w:firstLineChars="0"/>
    </w:pPr>
  </w:style>
  <w:style w:type="paragraph" w:customStyle="1" w:styleId="191">
    <w:name w:val="标准文件_三级项2"/>
    <w:basedOn w:val="59"/>
    <w:qFormat/>
    <w:uiPriority w:val="0"/>
    <w:pPr>
      <w:numPr>
        <w:ilvl w:val="0"/>
        <w:numId w:val="30"/>
      </w:numPr>
      <w:spacing w:line="300" w:lineRule="exact"/>
      <w:ind w:firstLineChars="0"/>
    </w:pPr>
    <w:rPr>
      <w:rFonts w:ascii="Times New Roman"/>
    </w:rPr>
  </w:style>
  <w:style w:type="paragraph" w:customStyle="1" w:styleId="192">
    <w:name w:val="标准文件_一级项2"/>
    <w:basedOn w:val="59"/>
    <w:qFormat/>
    <w:uiPriority w:val="0"/>
    <w:pPr>
      <w:numPr>
        <w:ilvl w:val="0"/>
        <w:numId w:val="31"/>
      </w:numPr>
      <w:spacing w:line="300" w:lineRule="exact"/>
      <w:ind w:firstLineChars="0"/>
    </w:pPr>
    <w:rPr>
      <w:rFonts w:ascii="Times New Roman"/>
    </w:rPr>
  </w:style>
  <w:style w:type="paragraph" w:customStyle="1" w:styleId="193">
    <w:name w:val="标准文件_提示"/>
    <w:basedOn w:val="59"/>
    <w:next w:val="59"/>
    <w:qFormat/>
    <w:uiPriority w:val="0"/>
    <w:pPr>
      <w:ind w:firstLine="420"/>
    </w:pPr>
    <w:rPr>
      <w:rFonts w:ascii="黑体" w:eastAsia="黑体"/>
    </w:rPr>
  </w:style>
  <w:style w:type="character" w:customStyle="1" w:styleId="194">
    <w:name w:val="标准文件_来源"/>
    <w:basedOn w:val="29"/>
    <w:qFormat/>
    <w:uiPriority w:val="1"/>
    <w:rPr>
      <w:rFonts w:eastAsia="宋体"/>
      <w:sz w:val="21"/>
    </w:rPr>
  </w:style>
  <w:style w:type="paragraph" w:customStyle="1" w:styleId="195">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6">
    <w:name w:val="其他发布日期"/>
    <w:basedOn w:val="123"/>
    <w:qFormat/>
    <w:uiPriority w:val="0"/>
    <w:pPr>
      <w:framePr w:w="3997" w:h="471" w:hRule="exact" w:hSpace="0" w:vSpace="181" w:vAnchor="page" w:hAnchor="page" w:x="1419" w:y="14097"/>
    </w:pPr>
  </w:style>
  <w:style w:type="paragraph" w:customStyle="1" w:styleId="197">
    <w:name w:val="其他实施日期"/>
    <w:basedOn w:val="157"/>
    <w:qFormat/>
    <w:uiPriority w:val="0"/>
    <w:pPr>
      <w:framePr w:w="3997" w:h="471" w:hRule="exact" w:vSpace="181" w:vAnchor="page" w:hAnchor="page" w:x="7089" w:y="14097"/>
    </w:pPr>
  </w:style>
  <w:style w:type="paragraph" w:customStyle="1" w:styleId="198">
    <w:name w:val="标准文件_文件编号"/>
    <w:basedOn w:val="59"/>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199">
    <w:name w:val="标准文件_替换文件编号"/>
    <w:basedOn w:val="198"/>
    <w:qFormat/>
    <w:uiPriority w:val="0"/>
    <w:pPr>
      <w:spacing w:before="57"/>
    </w:pPr>
    <w:rPr>
      <w:sz w:val="21"/>
    </w:rPr>
  </w:style>
  <w:style w:type="paragraph" w:customStyle="1" w:styleId="200">
    <w:name w:val="标准文件_文件名称"/>
    <w:basedOn w:val="59"/>
    <w:next w:val="59"/>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201">
    <w:name w:val="标准文件_附录图标号"/>
    <w:basedOn w:val="59"/>
    <w:next w:val="59"/>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2">
    <w:name w:val="标准文件_附录表标号"/>
    <w:basedOn w:val="59"/>
    <w:next w:val="59"/>
    <w:qFormat/>
    <w:uiPriority w:val="0"/>
    <w:pPr>
      <w:numPr>
        <w:ilvl w:val="0"/>
        <w:numId w:val="5"/>
      </w:numPr>
      <w:spacing w:line="14" w:lineRule="exact"/>
      <w:ind w:firstLine="0" w:firstLineChars="0"/>
      <w:jc w:val="center"/>
    </w:pPr>
    <w:rPr>
      <w:rFonts w:eastAsia="黑体"/>
      <w:vanish/>
      <w:sz w:val="2"/>
    </w:rPr>
  </w:style>
  <w:style w:type="paragraph" w:customStyle="1" w:styleId="203">
    <w:name w:val="标准文件_引言一级条标题"/>
    <w:basedOn w:val="59"/>
    <w:next w:val="59"/>
    <w:qFormat/>
    <w:uiPriority w:val="0"/>
    <w:pPr>
      <w:numPr>
        <w:ilvl w:val="1"/>
        <w:numId w:val="8"/>
      </w:numPr>
      <w:spacing w:before="50" w:beforeLines="50" w:after="50" w:afterLines="50"/>
      <w:ind w:firstLineChars="0"/>
    </w:pPr>
    <w:rPr>
      <w:rFonts w:ascii="黑体" w:eastAsia="黑体"/>
    </w:rPr>
  </w:style>
  <w:style w:type="paragraph" w:customStyle="1" w:styleId="204">
    <w:name w:val="标准文件_引言二级条标题"/>
    <w:basedOn w:val="59"/>
    <w:next w:val="59"/>
    <w:qFormat/>
    <w:uiPriority w:val="0"/>
    <w:pPr>
      <w:numPr>
        <w:ilvl w:val="2"/>
        <w:numId w:val="8"/>
      </w:numPr>
      <w:spacing w:before="50" w:beforeLines="50" w:after="50" w:afterLines="50"/>
      <w:ind w:firstLineChars="0"/>
    </w:pPr>
    <w:rPr>
      <w:rFonts w:ascii="黑体" w:eastAsia="黑体"/>
    </w:rPr>
  </w:style>
  <w:style w:type="paragraph" w:customStyle="1" w:styleId="205">
    <w:name w:val="标准文件_引言三级条标题"/>
    <w:basedOn w:val="59"/>
    <w:next w:val="59"/>
    <w:qFormat/>
    <w:uiPriority w:val="0"/>
    <w:pPr>
      <w:numPr>
        <w:ilvl w:val="3"/>
        <w:numId w:val="8"/>
      </w:numPr>
      <w:spacing w:before="50" w:beforeLines="50" w:after="50" w:afterLines="50"/>
      <w:ind w:firstLineChars="0"/>
    </w:pPr>
    <w:rPr>
      <w:rFonts w:ascii="黑体" w:eastAsia="黑体"/>
    </w:rPr>
  </w:style>
  <w:style w:type="paragraph" w:customStyle="1" w:styleId="206">
    <w:name w:val="标准文件_引言四级条标题"/>
    <w:basedOn w:val="59"/>
    <w:next w:val="59"/>
    <w:qFormat/>
    <w:uiPriority w:val="0"/>
    <w:pPr>
      <w:numPr>
        <w:ilvl w:val="4"/>
        <w:numId w:val="8"/>
      </w:numPr>
      <w:spacing w:before="50" w:beforeLines="50" w:after="50" w:afterLines="50"/>
      <w:ind w:firstLineChars="0"/>
    </w:pPr>
    <w:rPr>
      <w:rFonts w:ascii="黑体" w:eastAsia="黑体"/>
    </w:rPr>
  </w:style>
  <w:style w:type="paragraph" w:customStyle="1" w:styleId="207">
    <w:name w:val="标准文件_引言五级条标题"/>
    <w:basedOn w:val="59"/>
    <w:next w:val="59"/>
    <w:qFormat/>
    <w:uiPriority w:val="0"/>
    <w:pPr>
      <w:numPr>
        <w:ilvl w:val="5"/>
        <w:numId w:val="8"/>
      </w:numPr>
      <w:spacing w:before="50" w:beforeLines="50" w:after="50" w:afterLines="50"/>
      <w:ind w:firstLineChars="0"/>
    </w:pPr>
    <w:rPr>
      <w:rFonts w:ascii="黑体" w:eastAsia="黑体"/>
    </w:rPr>
  </w:style>
  <w:style w:type="paragraph" w:customStyle="1" w:styleId="208">
    <w:name w:val="标准文件_注后"/>
    <w:basedOn w:val="59"/>
    <w:qFormat/>
    <w:uiPriority w:val="0"/>
    <w:pPr>
      <w:ind w:left="811" w:firstLine="0" w:firstLineChars="0"/>
    </w:pPr>
    <w:rPr>
      <w:sz w:val="18"/>
    </w:rPr>
  </w:style>
  <w:style w:type="paragraph" w:customStyle="1" w:styleId="209">
    <w:name w:val="标准文件_注X后"/>
    <w:basedOn w:val="59"/>
    <w:qFormat/>
    <w:uiPriority w:val="0"/>
    <w:pPr>
      <w:ind w:left="811" w:firstLine="0" w:firstLineChars="0"/>
    </w:pPr>
    <w:rPr>
      <w:sz w:val="18"/>
    </w:rPr>
  </w:style>
  <w:style w:type="paragraph" w:customStyle="1" w:styleId="210">
    <w:name w:val="标准文件_示例后"/>
    <w:basedOn w:val="59"/>
    <w:qFormat/>
    <w:uiPriority w:val="0"/>
    <w:pPr>
      <w:ind w:left="964" w:firstLine="0" w:firstLineChars="0"/>
    </w:pPr>
    <w:rPr>
      <w:sz w:val="18"/>
    </w:rPr>
  </w:style>
  <w:style w:type="paragraph" w:customStyle="1" w:styleId="211">
    <w:name w:val="标准文件_示例X后"/>
    <w:basedOn w:val="59"/>
    <w:link w:val="212"/>
    <w:qFormat/>
    <w:uiPriority w:val="0"/>
    <w:pPr>
      <w:ind w:left="1049" w:firstLine="0" w:firstLineChars="0"/>
    </w:pPr>
    <w:rPr>
      <w:sz w:val="18"/>
    </w:rPr>
  </w:style>
  <w:style w:type="character" w:customStyle="1" w:styleId="212">
    <w:name w:val="标准文件_示例X后 字符"/>
    <w:basedOn w:val="187"/>
    <w:link w:val="211"/>
    <w:qFormat/>
    <w:uiPriority w:val="0"/>
    <w:rPr>
      <w:rFonts w:ascii="宋体" w:hAnsi="Times New Roman"/>
      <w:sz w:val="18"/>
    </w:rPr>
  </w:style>
  <w:style w:type="paragraph" w:customStyle="1" w:styleId="213">
    <w:name w:val="标准文件_索引项"/>
    <w:basedOn w:val="59"/>
    <w:next w:val="59"/>
    <w:qFormat/>
    <w:uiPriority w:val="0"/>
    <w:pPr>
      <w:tabs>
        <w:tab w:val="right" w:leader="dot" w:pos="9356"/>
      </w:tabs>
      <w:ind w:left="210" w:hanging="210" w:firstLineChars="0"/>
      <w:jc w:val="left"/>
    </w:pPr>
  </w:style>
  <w:style w:type="paragraph" w:customStyle="1" w:styleId="214">
    <w:name w:val="标准文件_附录一级无标题"/>
    <w:basedOn w:val="81"/>
    <w:qFormat/>
    <w:uiPriority w:val="0"/>
    <w:pPr>
      <w:spacing w:before="0" w:beforeLines="0" w:after="0" w:afterLines="0" w:line="276" w:lineRule="auto"/>
      <w:outlineLvl w:val="9"/>
    </w:pPr>
    <w:rPr>
      <w:rFonts w:ascii="宋体" w:eastAsia="宋体"/>
    </w:rPr>
  </w:style>
  <w:style w:type="paragraph" w:customStyle="1" w:styleId="215">
    <w:name w:val="标准文件_附录二级无标题"/>
    <w:basedOn w:val="82"/>
    <w:qFormat/>
    <w:uiPriority w:val="0"/>
    <w:pPr>
      <w:spacing w:before="0" w:beforeLines="0" w:after="0" w:afterLines="0" w:line="276" w:lineRule="auto"/>
      <w:outlineLvl w:val="9"/>
    </w:pPr>
    <w:rPr>
      <w:rFonts w:ascii="宋体" w:eastAsia="宋体"/>
    </w:rPr>
  </w:style>
  <w:style w:type="paragraph" w:customStyle="1" w:styleId="216">
    <w:name w:val="标准文件_附录三级无标题"/>
    <w:basedOn w:val="84"/>
    <w:qFormat/>
    <w:uiPriority w:val="0"/>
    <w:pPr>
      <w:spacing w:before="0" w:beforeLines="0" w:after="0" w:afterLines="0" w:line="276" w:lineRule="auto"/>
      <w:outlineLvl w:val="9"/>
    </w:pPr>
    <w:rPr>
      <w:rFonts w:ascii="宋体" w:eastAsia="宋体"/>
    </w:rPr>
  </w:style>
  <w:style w:type="paragraph" w:customStyle="1" w:styleId="217">
    <w:name w:val="标准文件_附录四级无标题"/>
    <w:basedOn w:val="85"/>
    <w:qFormat/>
    <w:uiPriority w:val="0"/>
    <w:pPr>
      <w:spacing w:before="0" w:beforeLines="0" w:after="0" w:afterLines="0" w:line="276" w:lineRule="auto"/>
      <w:outlineLvl w:val="9"/>
    </w:pPr>
    <w:rPr>
      <w:rFonts w:ascii="宋体" w:eastAsia="宋体"/>
    </w:rPr>
  </w:style>
  <w:style w:type="paragraph" w:customStyle="1" w:styleId="218">
    <w:name w:val="标准文件_附录五级无标题"/>
    <w:basedOn w:val="87"/>
    <w:qFormat/>
    <w:uiPriority w:val="0"/>
    <w:pPr>
      <w:spacing w:before="0" w:beforeLines="0" w:after="0" w:afterLines="0" w:line="276" w:lineRule="auto"/>
      <w:outlineLvl w:val="9"/>
    </w:pPr>
    <w:rPr>
      <w:rFonts w:ascii="宋体" w:eastAsia="宋体"/>
    </w:rPr>
  </w:style>
  <w:style w:type="paragraph" w:customStyle="1" w:styleId="219">
    <w:name w:val="标准文件_引言一级无标题"/>
    <w:basedOn w:val="203"/>
    <w:next w:val="59"/>
    <w:qFormat/>
    <w:uiPriority w:val="0"/>
    <w:pPr>
      <w:spacing w:before="0" w:beforeLines="0" w:after="0" w:afterLines="0" w:line="276" w:lineRule="auto"/>
    </w:pPr>
    <w:rPr>
      <w:rFonts w:ascii="宋体" w:eastAsia="宋体"/>
    </w:rPr>
  </w:style>
  <w:style w:type="paragraph" w:customStyle="1" w:styleId="220">
    <w:name w:val="标准文件_引言二级无标题"/>
    <w:basedOn w:val="204"/>
    <w:next w:val="59"/>
    <w:qFormat/>
    <w:uiPriority w:val="0"/>
    <w:pPr>
      <w:spacing w:before="0" w:beforeLines="0" w:after="0" w:afterLines="0" w:line="276" w:lineRule="auto"/>
    </w:pPr>
    <w:rPr>
      <w:rFonts w:ascii="宋体" w:eastAsia="宋体"/>
    </w:rPr>
  </w:style>
  <w:style w:type="paragraph" w:customStyle="1" w:styleId="221">
    <w:name w:val="标准文件_引言三级无标题"/>
    <w:basedOn w:val="205"/>
    <w:qFormat/>
    <w:uiPriority w:val="0"/>
    <w:pPr>
      <w:spacing w:before="0" w:beforeLines="0" w:after="0" w:afterLines="0" w:line="276" w:lineRule="auto"/>
    </w:pPr>
    <w:rPr>
      <w:rFonts w:ascii="宋体" w:eastAsia="宋体"/>
    </w:rPr>
  </w:style>
  <w:style w:type="paragraph" w:customStyle="1" w:styleId="222">
    <w:name w:val="标准文件_引言四级无标题"/>
    <w:basedOn w:val="206"/>
    <w:next w:val="59"/>
    <w:qFormat/>
    <w:uiPriority w:val="0"/>
    <w:pPr>
      <w:spacing w:before="0" w:beforeLines="0" w:after="0" w:afterLines="0" w:line="276" w:lineRule="auto"/>
    </w:pPr>
    <w:rPr>
      <w:rFonts w:ascii="宋体" w:eastAsia="宋体"/>
    </w:rPr>
  </w:style>
  <w:style w:type="paragraph" w:customStyle="1" w:styleId="223">
    <w:name w:val="标准文件_引言五级无标题"/>
    <w:basedOn w:val="207"/>
    <w:next w:val="59"/>
    <w:qFormat/>
    <w:uiPriority w:val="0"/>
    <w:pPr>
      <w:spacing w:before="0" w:beforeLines="0" w:after="0" w:afterLines="0" w:line="276" w:lineRule="auto"/>
    </w:pPr>
    <w:rPr>
      <w:rFonts w:ascii="宋体" w:eastAsia="宋体"/>
    </w:rPr>
  </w:style>
  <w:style w:type="paragraph" w:customStyle="1" w:styleId="224">
    <w:name w:val="标准文件_索引标题"/>
    <w:basedOn w:val="66"/>
    <w:next w:val="59"/>
    <w:qFormat/>
    <w:uiPriority w:val="0"/>
    <w:rPr>
      <w:rFonts w:hAnsi="黑体"/>
    </w:rPr>
  </w:style>
  <w:style w:type="paragraph" w:customStyle="1" w:styleId="225">
    <w:name w:val="标准文件_脚注内容"/>
    <w:basedOn w:val="59"/>
    <w:qFormat/>
    <w:uiPriority w:val="0"/>
    <w:pPr>
      <w:ind w:left="400" w:leftChars="200" w:hanging="200" w:hangingChars="200"/>
    </w:pPr>
    <w:rPr>
      <w:sz w:val="15"/>
    </w:rPr>
  </w:style>
  <w:style w:type="paragraph" w:customStyle="1" w:styleId="226">
    <w:name w:val="标准文件_术语条一"/>
    <w:basedOn w:val="165"/>
    <w:next w:val="59"/>
    <w:qFormat/>
    <w:uiPriority w:val="0"/>
  </w:style>
  <w:style w:type="paragraph" w:customStyle="1" w:styleId="227">
    <w:name w:val="标准文件_术语条二"/>
    <w:basedOn w:val="168"/>
    <w:next w:val="59"/>
    <w:qFormat/>
    <w:uiPriority w:val="0"/>
  </w:style>
  <w:style w:type="paragraph" w:customStyle="1" w:styleId="228">
    <w:name w:val="标准文件_术语条三"/>
    <w:basedOn w:val="167"/>
    <w:next w:val="59"/>
    <w:qFormat/>
    <w:uiPriority w:val="0"/>
  </w:style>
  <w:style w:type="paragraph" w:customStyle="1" w:styleId="229">
    <w:name w:val="标准文件_术语条四"/>
    <w:basedOn w:val="170"/>
    <w:next w:val="59"/>
    <w:qFormat/>
    <w:uiPriority w:val="0"/>
  </w:style>
  <w:style w:type="paragraph" w:customStyle="1" w:styleId="230">
    <w:name w:val="标准文件_术语条五"/>
    <w:basedOn w:val="166"/>
    <w:next w:val="59"/>
    <w:qFormat/>
    <w:uiPriority w:val="0"/>
  </w:style>
  <w:style w:type="paragraph" w:customStyle="1" w:styleId="231">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2">
    <w:name w:val="发布"/>
    <w:basedOn w:val="29"/>
    <w:qFormat/>
    <w:uiPriority w:val="0"/>
    <w:rPr>
      <w:rFonts w:ascii="黑体" w:eastAsia="黑体"/>
      <w:spacing w:val="85"/>
      <w:w w:val="100"/>
      <w:position w:val="3"/>
      <w:sz w:val="28"/>
      <w:szCs w:val="28"/>
    </w:rPr>
  </w:style>
  <w:style w:type="paragraph" w:customStyle="1" w:styleId="233">
    <w:name w:val="章标题"/>
    <w:next w:val="234"/>
    <w:qFormat/>
    <w:uiPriority w:val="0"/>
    <w:pPr>
      <w:numPr>
        <w:ilvl w:val="0"/>
        <w:numId w:val="3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234">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table" w:customStyle="1" w:styleId="235">
    <w:name w:val="Table Normal11"/>
    <w:basedOn w:val="35"/>
    <w:qFormat/>
    <w:uiPriority w:val="0"/>
    <w:rPr>
      <w:rFonts w:ascii="Times New Roman" w:hAnsi="Times New Roman" w:eastAsia="Times New Roman"/>
    </w:rPr>
    <w:tblPr>
      <w:tblLayout w:type="fixed"/>
      <w:tblCellMar>
        <w:left w:w="0" w:type="dxa"/>
        <w:right w:w="0" w:type="dxa"/>
      </w:tblCellMar>
    </w:tblPr>
  </w:style>
  <w:style w:type="paragraph" w:customStyle="1" w:styleId="236">
    <w:name w:val="List Paragraph"/>
    <w:basedOn w:val="1"/>
    <w:qFormat/>
    <w:uiPriority w:val="34"/>
    <w:pPr>
      <w:adjustRightInd/>
      <w:spacing w:after="160" w:line="278" w:lineRule="auto"/>
      <w:ind w:firstLine="420" w:firstLineChars="200"/>
      <w:jc w:val="left"/>
    </w:pPr>
    <w:rPr>
      <w:rFonts w:asciiTheme="minorHAnsi" w:hAnsiTheme="minorHAnsi" w:eastAsiaTheme="minorEastAsia" w:cstheme="minorBidi"/>
      <w:sz w:val="22"/>
      <w:szCs w:val="24"/>
      <w14:ligatures w14:val="standardContextual"/>
    </w:rPr>
  </w:style>
  <w:style w:type="character" w:customStyle="1" w:styleId="237">
    <w:name w:val="font71"/>
    <w:basedOn w:val="29"/>
    <w:qFormat/>
    <w:uiPriority w:val="0"/>
    <w:rPr>
      <w:rFonts w:hint="eastAsia" w:ascii="宋体" w:hAnsi="宋体" w:eastAsia="宋体" w:cs="宋体"/>
      <w:color w:val="000000"/>
      <w:sz w:val="20"/>
      <w:szCs w:val="20"/>
      <w:u w:val="none"/>
    </w:rPr>
  </w:style>
  <w:style w:type="character" w:customStyle="1" w:styleId="238">
    <w:name w:val="font91"/>
    <w:basedOn w:val="29"/>
    <w:qFormat/>
    <w:uiPriority w:val="0"/>
    <w:rPr>
      <w:rFonts w:ascii="Segoe UI Symbol" w:hAnsi="Segoe UI Symbol" w:eastAsia="Segoe UI Symbol" w:cs="Segoe UI Symbol"/>
      <w:color w:val="000000"/>
      <w:sz w:val="20"/>
      <w:szCs w:val="20"/>
      <w:u w:val="none"/>
    </w:rPr>
  </w:style>
  <w:style w:type="character" w:customStyle="1" w:styleId="239">
    <w:name w:val="font61"/>
    <w:basedOn w:val="29"/>
    <w:qFormat/>
    <w:uiPriority w:val="0"/>
    <w:rPr>
      <w:rFonts w:hint="default" w:ascii="Times New Roman" w:hAnsi="Times New Roman" w:cs="Times New Roman"/>
      <w:color w:val="000000"/>
      <w:sz w:val="20"/>
      <w:szCs w:val="20"/>
      <w:u w:val="none"/>
    </w:rPr>
  </w:style>
  <w:style w:type="character" w:customStyle="1" w:styleId="240">
    <w:name w:val="font81"/>
    <w:basedOn w:val="29"/>
    <w:qFormat/>
    <w:uiPriority w:val="0"/>
    <w:rPr>
      <w:rFonts w:hint="default" w:ascii="Times New Roman" w:hAnsi="Times New Roman" w:cs="Times New Roman"/>
      <w:color w:val="000000"/>
      <w:sz w:val="20"/>
      <w:szCs w:val="20"/>
      <w:u w:val="none"/>
    </w:rPr>
  </w:style>
  <w:style w:type="character" w:customStyle="1" w:styleId="241">
    <w:name w:val="font11"/>
    <w:basedOn w:val="29"/>
    <w:qFormat/>
    <w:uiPriority w:val="0"/>
    <w:rPr>
      <w:rFonts w:hint="eastAsia" w:ascii="宋体" w:hAnsi="宋体" w:eastAsia="宋体" w:cs="宋体"/>
      <w:color w:val="0F1115"/>
      <w:sz w:val="23"/>
      <w:szCs w:val="23"/>
      <w:u w:val="none"/>
    </w:rPr>
  </w:style>
  <w:style w:type="character" w:customStyle="1" w:styleId="242">
    <w:name w:val="font51"/>
    <w:basedOn w:val="29"/>
    <w:qFormat/>
    <w:uiPriority w:val="0"/>
    <w:rPr>
      <w:rFonts w:hint="eastAsia" w:ascii="宋体" w:hAnsi="宋体" w:eastAsia="宋体" w:cs="宋体"/>
      <w:color w:val="0F1115"/>
      <w:sz w:val="22"/>
      <w:szCs w:val="22"/>
      <w:u w:val="none"/>
    </w:rPr>
  </w:style>
  <w:style w:type="character" w:customStyle="1" w:styleId="243">
    <w:name w:val="font21"/>
    <w:basedOn w:val="29"/>
    <w:qFormat/>
    <w:uiPriority w:val="0"/>
    <w:rPr>
      <w:rFonts w:hint="default" w:ascii="Times New Roman" w:hAnsi="Times New Roman" w:cs="Times New Roman"/>
      <w:color w:val="0F1115"/>
      <w:sz w:val="23"/>
      <w:szCs w:val="23"/>
      <w:u w:val="none"/>
    </w:rPr>
  </w:style>
  <w:style w:type="character" w:customStyle="1" w:styleId="244">
    <w:name w:val="font31"/>
    <w:basedOn w:val="29"/>
    <w:qFormat/>
    <w:uiPriority w:val="0"/>
    <w:rPr>
      <w:rFonts w:hint="default" w:ascii="Times New Roman" w:hAnsi="Times New Roman" w:cs="Times New Roman"/>
      <w:color w:val="0F1115"/>
      <w:sz w:val="22"/>
      <w:szCs w:val="22"/>
      <w:u w:val="none"/>
    </w:rPr>
  </w:style>
  <w:style w:type="character" w:customStyle="1" w:styleId="245">
    <w:name w:val="font01"/>
    <w:basedOn w:val="29"/>
    <w:qFormat/>
    <w:uiPriority w:val="0"/>
    <w:rPr>
      <w:rFonts w:hint="eastAsia" w:ascii="宋体" w:hAnsi="宋体" w:eastAsia="宋体" w:cs="宋体"/>
      <w:color w:val="000000"/>
      <w:sz w:val="22"/>
      <w:szCs w:val="22"/>
      <w:u w:val="none"/>
    </w:rPr>
  </w:style>
  <w:style w:type="paragraph" w:customStyle="1" w:styleId="246">
    <w:name w:val="注×："/>
    <w:qFormat/>
    <w:uiPriority w:val="0"/>
    <w:pPr>
      <w:widowControl w:val="0"/>
      <w:numPr>
        <w:ilvl w:val="0"/>
        <w:numId w:val="9"/>
      </w:numPr>
      <w:autoSpaceDE w:val="0"/>
      <w:autoSpaceDN w:val="0"/>
      <w:jc w:val="both"/>
    </w:pPr>
    <w:rPr>
      <w:rFonts w:ascii="宋体" w:hAnsi="Times New Roman" w:eastAsia="宋体" w:cs="Times New Roman"/>
      <w:sz w:val="18"/>
      <w:szCs w:val="1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glossaryDocument" Target="glossary/document.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jpeg"/><Relationship Id="rId17" Type="http://schemas.openxmlformats.org/officeDocument/2006/relationships/theme" Target="theme/theme1.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home\greatwall\C:\home\greatwall\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5F3E82E502CA4F6FA236F4F804C8C97D"/>
        <w:style w:val=""/>
        <w:category>
          <w:name w:val="常规"/>
          <w:gallery w:val="placeholder"/>
        </w:category>
        <w:types>
          <w:type w:val="bbPlcHdr"/>
        </w:types>
        <w:behaviors>
          <w:behavior w:val="content"/>
        </w:behaviors>
        <w:description w:val=""/>
        <w:guid w:val="{150E6A14-4667-42AE-9E8D-1F4AC4CB0D9C}"/>
      </w:docPartPr>
      <w:docPartBody>
        <w:p>
          <w:pPr>
            <w:pStyle w:val="5"/>
          </w:pPr>
          <w:r>
            <w:rPr>
              <w:rStyle w:val="4"/>
              <w:rFonts w:hint="eastAsia"/>
            </w:rPr>
            <w:t>单击或点击此处输入文字。</w:t>
          </w:r>
        </w:p>
      </w:docPartBody>
    </w:docPart>
    <w:docPart>
      <w:docPartPr>
        <w:name w:val="401C9F6705B84978938AA067EE78D958"/>
        <w:style w:val=""/>
        <w:category>
          <w:name w:val="常规"/>
          <w:gallery w:val="placeholder"/>
        </w:category>
        <w:types>
          <w:type w:val="bbPlcHdr"/>
        </w:types>
        <w:behaviors>
          <w:behavior w:val="content"/>
        </w:behaviors>
        <w:description w:val=""/>
        <w:guid w:val="{1467BA95-1A7F-4E29-B16D-CB9240EA7583}"/>
      </w:docPartPr>
      <w:docPartBody>
        <w:p>
          <w:pPr>
            <w:pStyle w:val="6"/>
          </w:pPr>
          <w:r>
            <w:rPr>
              <w:rStyle w:val="4"/>
              <w:rFonts w:hint="eastAsia"/>
            </w:rPr>
            <w:t>选择一项。</w:t>
          </w:r>
        </w:p>
      </w:docPartBody>
    </w:docPart>
    <w:docPart>
      <w:docPartPr>
        <w:name w:val="A3AAA07809BA4C149E35C73AD3610E3D"/>
        <w:style w:val=""/>
        <w:category>
          <w:name w:val="常规"/>
          <w:gallery w:val="placeholder"/>
        </w:category>
        <w:types>
          <w:type w:val="bbPlcHdr"/>
        </w:types>
        <w:behaviors>
          <w:behavior w:val="content"/>
        </w:behaviors>
        <w:description w:val=""/>
        <w:guid w:val="{FACEF409-0C11-4ADB-9B80-087FE18FD575}"/>
      </w:docPartPr>
      <w:docPartBody>
        <w:p>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0000000000000000000"/>
    <w:charset w:val="86"/>
    <w:family w:val="auto"/>
    <w:pitch w:val="default"/>
    <w:sig w:usb0="00000000" w:usb1="00000000" w:usb2="00000000" w:usb3="00000000" w:csb0="00000000" w:csb1="00000000"/>
  </w:font>
  <w:font w:name="等线">
    <w:altName w:val="宋体"/>
    <w:panose1 w:val="00000000000000000000"/>
    <w:charset w:val="86"/>
    <w:family w:val="auto"/>
    <w:pitch w:val="default"/>
    <w:sig w:usb0="00000000" w:usb1="00000000" w:usb2="00000000" w:usb3="00000000" w:csb0="00000000" w:csb1="00000000"/>
  </w:font>
  <w:font w:name="等线">
    <w:altName w:val="Segoe Print"/>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doNotDisplayPageBoundaries w:val="1"/>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047"/>
    <w:rsid w:val="00155800"/>
    <w:rsid w:val="006C115D"/>
    <w:rsid w:val="006D47B1"/>
    <w:rsid w:val="006E6E9B"/>
    <w:rsid w:val="00991BBA"/>
    <w:rsid w:val="00A20BA0"/>
    <w:rsid w:val="00A21E57"/>
    <w:rsid w:val="00BE5047"/>
    <w:rsid w:val="00BF6F57"/>
    <w:rsid w:val="00C6440D"/>
    <w:rsid w:val="00F23E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qFormat/>
    <w:uiPriority w:val="1"/>
  </w:style>
  <w:style w:type="table" w:default="1" w:styleId="3">
    <w:name w:val="Normal Table"/>
    <w:unhideWhenUsed/>
    <w:qFormat/>
    <w:uiPriority w:val="99"/>
    <w:tblPr>
      <w:tblLayout w:type="fixed"/>
      <w:tblCellMar>
        <w:top w:w="0" w:type="dxa"/>
        <w:left w:w="108" w:type="dxa"/>
        <w:bottom w:w="0" w:type="dxa"/>
        <w:right w:w="108" w:type="dxa"/>
      </w:tblCellMar>
    </w:tblPr>
  </w:style>
  <w:style w:type="character" w:customStyle="1" w:styleId="4">
    <w:name w:val="Placeholder Text"/>
    <w:basedOn w:val="2"/>
    <w:semiHidden/>
    <w:qFormat/>
    <w:uiPriority w:val="99"/>
    <w:rPr>
      <w:color w:val="808080"/>
    </w:rPr>
  </w:style>
  <w:style w:type="paragraph" w:customStyle="1" w:styleId="5">
    <w:name w:val="5F3E82E502CA4F6FA236F4F804C8C97D"/>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401C9F6705B84978938AA067EE78D958"/>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A3AAA07809BA4C149E35C73AD3610E3D"/>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85EB5B-F0AA-4740-ACBA-541763532E46}">
  <ds:schemaRefs/>
</ds:datastoreItem>
</file>

<file path=docProps/app.xml><?xml version="1.0" encoding="utf-8"?>
<Properties xmlns="http://schemas.openxmlformats.org/officeDocument/2006/extended-properties" xmlns:vt="http://schemas.openxmlformats.org/officeDocument/2006/docPropsVTypes">
  <Template>地方标准.dotx</Template>
  <Company>PCMI</Company>
  <Pages>14</Pages>
  <Words>7894</Words>
  <Characters>8308</Characters>
  <Lines>71</Lines>
  <Paragraphs>20</Paragraphs>
  <TotalTime>0</TotalTime>
  <ScaleCrop>false</ScaleCrop>
  <LinksUpToDate>false</LinksUpToDate>
  <CharactersWithSpaces>8975</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2024-10-23T00:27:00Z</dcterms:created>
  <dc:creator>曹鹏</dc:creator>
  <dc:description>&lt;config cover="true" show_menu="true" version="1.0.0" doctype="SDKXY"&gt;_x000d_
&lt;/config&gt;</dc:description>
  <cp:lastModifiedBy>admin</cp:lastModifiedBy>
  <cp:lastPrinted>2020-09-01T02:00:00Z</cp:lastPrinted>
  <dcterms:modified xsi:type="dcterms:W3CDTF">2026-09-17T08:16:37Z</dcterms:modified>
  <dc:title>地方标准</dc:title>
  <cp:revision>144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2052-10.8.0.6423</vt:lpwstr>
  </property>
  <property fmtid="{D5CDD505-2E9C-101B-9397-08002B2CF9AE}" pid="15" name="ICV">
    <vt:lpwstr>96E0DE8FD0A04DFB94AF5BE374C8505F_13</vt:lpwstr>
  </property>
  <property fmtid="{D5CDD505-2E9C-101B-9397-08002B2CF9AE}" pid="16" name="KSOTemplateDocerSaveRecord">
    <vt:lpwstr>eyJoZGlkIjoiMjIyODBlZTE1YjYxMGRkMmZlMTY5Yzk4Y2U0NWFlZWEiLCJ1c2VySWQiOiI3NDU1NzIxMjQifQ==</vt:lpwstr>
  </property>
  <property fmtid="{D5CDD505-2E9C-101B-9397-08002B2CF9AE}" pid="17" name="DoublePage">
    <vt:lpwstr>true</vt:lpwstr>
  </property>
</Properties>
</file>