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-32385</wp:posOffset>
                </wp:positionV>
                <wp:extent cx="3730625" cy="580390"/>
                <wp:effectExtent l="0" t="0" r="0" b="0"/>
                <wp:wrapNone/>
                <wp:docPr id="1" name="文本框 ICS/CSS/备案号" title="ICS/CSS/备案号"/>
                <wp:cNvGraphicFramePr/>
                <a:graphic xmlns:a="http://schemas.openxmlformats.org/drawingml/2006/main">
                  <a:graphicData uri="http://schemas.microsoft.com/office/word/2010/wordprocessingShape">
                    <wps:wsp>
                      <wps:cNvSpPr txBox="1"/>
                      <wps:spPr>
                        <a:xfrm>
                          <a:off x="2338705" y="980440"/>
                          <a:ext cx="3730625" cy="580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wordWrap/>
                              <w:adjustRightInd w:val="0"/>
                              <w:snapToGrid w:val="0"/>
                            </w:pPr>
                            <w:r>
                              <w:rPr>
                                <w:rFonts w:ascii="Times New Roman" w:hAnsi="Times New Roman" w:eastAsia="黑体" w:cs="Times New Roman"/>
                              </w:rPr>
                              <w:t>ICS</w:t>
                            </w:r>
                            <w:r>
                              <w:rPr>
                                <w:rFonts w:hint="eastAsia" w:ascii="Times New Roman" w:hAnsi="Times New Roman" w:eastAsia="黑体" w:cs="Times New Roman"/>
                              </w:rPr>
                              <w:tab/>
                            </w:r>
                            <w:r>
                              <w:rPr>
                                <w:rFonts w:hint="eastAsia" w:ascii="黑体" w:hAnsi="黑体" w:eastAsia="黑体" w:cs="黑体"/>
                              </w:rPr>
                              <w:t>65.150</w:t>
                            </w:r>
                            <w:r>
                              <w:br w:type="textWrapping"/>
                            </w:r>
                            <w:r>
                              <w:rPr>
                                <w:rFonts w:ascii="Times New Roman" w:hAnsi="Times New Roman" w:eastAsia="黑体" w:cs="Times New Roman"/>
                              </w:rPr>
                              <w:t>CCS</w:t>
                            </w:r>
                            <w:r>
                              <w:rPr>
                                <w:rFonts w:hint="eastAsia" w:ascii="Times New Roman" w:hAnsi="Times New Roman" w:eastAsia="黑体" w:cs="Times New Roman"/>
                              </w:rPr>
                              <w:tab/>
                            </w:r>
                            <w:r>
                              <w:rPr>
                                <w:rFonts w:hint="eastAsia" w:ascii="黑体" w:hAnsi="黑体" w:eastAsia="黑体" w:cs="黑体"/>
                              </w:rPr>
                              <w:t>B52</w:t>
                            </w:r>
                            <w:r>
                              <w:br w:type="textWrapping"/>
                            </w:r>
                          </w:p>
                        </w:txbxContent>
                      </wps:txbx>
                      <wps:bodyPr rot="0" spcFirstLastPara="0" vertOverflow="overflow" horzOverflow="overflow" vert="horz" wrap="square" lIns="0" tIns="0" rIns="36000" bIns="0" numCol="1" spcCol="0" rtlCol="0" fromWordArt="0" anchor="t" anchorCtr="0" forceAA="0" compatLnSpc="1">
                        <a:noAutofit/>
                      </wps:bodyPr>
                    </wps:wsp>
                  </a:graphicData>
                </a:graphic>
              </wp:anchor>
            </w:drawing>
          </mc:Choice>
          <mc:Fallback>
            <w:pict>
              <v:shape id="文本框 ICS/CSS/备案号" o:spid="_x0000_s1026" o:spt="202" type="#_x0000_t202" style="position:absolute;left:0pt;margin-left:-0.55pt;margin-top:-2.55pt;height:45.7pt;width:293.75pt;z-index:251659264;mso-width-relative:page;mso-height-relative:page;" filled="f" stroked="f" coordsize="21600,21600" o:gfxdata="UEsDBAoAAAAAAIdO4kAAAAAAAAAAAAAAAAAEAAAAZHJzL1BLAwQUAAAACACHTuJADM7HCdcAAAAI&#10;AQAADwAAAGRycy9kb3ducmV2LnhtbE2PzWrDMBCE74W+g9hCb4nkNjHGsRxoaHIrpWmhPSqWYplY&#10;KyEpf2/f7ak5DcsMs980y4sb2cnENHiUUEwFMIOd1wP2Er4+15MKWMoKtRo9GglXk2DZ3t81qtb+&#10;jB/mtM09oxJMtZJgcw4156mzxqk09cEgeXsfncp0xp7rqM5U7kb+JETJnRqQPlgVzMqa7rA9Ogmb&#10;/TW6H7tCETbh++395XW27oWUjw+FWADL5pL/w/CHT+jQEtPOH1EnNkqYFAUlSeek5M+rcgZsJ6Eq&#10;n4G3Db8d0P4CUEsDBBQAAAAIAIdO4kD6zkayQgIAAEEEAAAOAAAAZHJzL2Uyb0RvYy54bWytU7Fu&#10;2zAQ3Qv0HwjujRQrdhwjcuA6SBEgaAK4RWeaomwBFMmStCX3A5ps3Tp1CdCxe78o/o4+0nJSNJ2K&#10;LtTp3vEd793d6VlbS7IW1lVa5fTwIKVEKK6LSi1y+v7dxashJc4zVTCplcjpRjh6Nn754rQxI9HT&#10;Sy0LYQlIlBs1JqdL780oSRxfipq5A22EAlhqWzOPX7tICssasNcy6aXpIGm0LYzVXDgH7/kOpOPI&#10;X5aC++uydMITmVO8zcfTxnMezmR8ykYLy8yy4t0z2D+8omaVQtJHqnPmGVnZ6hlVXXGrnS79Add1&#10;osuy4iLWgGoO0z+qmS2ZEbEWiOPMo0zu/9Hyt+sbS6oCvaNEsRot2n693X77sb3/TC6ns2Q6myUP&#10;32+393cPX35CwMpLxDxHIGRj3Ah8MwNG377WbSDt/A7OoE9b2jp8UTkB3suy4XHap2ST05NhenTU&#10;dUS0nnDg2XGWDnrAOQL6wzQ7iQHJE5Gxzr8RuibByKlFx2Mj2PrKeSRH6D4k5FX6opIydl0q0uR0&#10;kPXTeOERwQ2pcDGUs3t2sHw7b7ta5rrYoESrd9PkDL+okPyKOX/DLMYHg4aV8Nc4SqmRRHcWJUtt&#10;P/3NH+LRVaCUNBjHnLqPK2YFJfJSod9hdveGjUY2SFN453uvWtVTjSlHH/GiaAK2Xu7N0ur6A7Zl&#10;EjIBYoojX0793pz63WJg27iYTGIQptQwf6VmhgfqnYSTlddlFdUN0uz06BTDnEbRu50Ki/D7f4x6&#10;2vzx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zOxwnXAAAACAEAAA8AAAAAAAAAAQAgAAAAIgAA&#10;AGRycy9kb3ducmV2LnhtbFBLAQIUABQAAAAIAIdO4kD6zkayQgIAAEEEAAAOAAAAAAAAAAEAIAAA&#10;ACYBAABkcnMvZTJvRG9jLnhtbFBLBQYAAAAABgAGAFkBAADaBQAAAAA=&#10;">
                <v:fill on="f" focussize="0,0"/>
                <v:stroke on="f" weight="0.5pt"/>
                <v:imagedata o:title=""/>
                <o:lock v:ext="edit" aspectratio="f"/>
                <v:textbox inset="0mm,0mm,1mm,0mm">
                  <w:txbxContent>
                    <w:p>
                      <w:pPr>
                        <w:wordWrap/>
                        <w:adjustRightInd w:val="0"/>
                        <w:snapToGrid w:val="0"/>
                      </w:pPr>
                      <w:r>
                        <w:rPr>
                          <w:rFonts w:ascii="Times New Roman" w:hAnsi="Times New Roman" w:eastAsia="黑体" w:cs="Times New Roman"/>
                        </w:rPr>
                        <w:t>ICS</w:t>
                      </w:r>
                      <w:r>
                        <w:rPr>
                          <w:rFonts w:hint="eastAsia" w:ascii="Times New Roman" w:hAnsi="Times New Roman" w:eastAsia="黑体" w:cs="Times New Roman"/>
                        </w:rPr>
                        <w:tab/>
                      </w:r>
                      <w:r>
                        <w:rPr>
                          <w:rFonts w:hint="eastAsia" w:ascii="黑体" w:hAnsi="黑体" w:eastAsia="黑体" w:cs="黑体"/>
                        </w:rPr>
                        <w:t>65.150</w:t>
                      </w:r>
                      <w:r>
                        <w:br w:type="textWrapping"/>
                      </w:r>
                      <w:r>
                        <w:rPr>
                          <w:rFonts w:ascii="Times New Roman" w:hAnsi="Times New Roman" w:eastAsia="黑体" w:cs="Times New Roman"/>
                        </w:rPr>
                        <w:t>CCS</w:t>
                      </w:r>
                      <w:r>
                        <w:rPr>
                          <w:rFonts w:hint="eastAsia" w:ascii="Times New Roman" w:hAnsi="Times New Roman" w:eastAsia="黑体" w:cs="Times New Roman"/>
                        </w:rPr>
                        <w:tab/>
                      </w:r>
                      <w:r>
                        <w:rPr>
                          <w:rFonts w:hint="eastAsia" w:ascii="黑体" w:hAnsi="黑体" w:eastAsia="黑体" w:cs="黑体"/>
                        </w:rPr>
                        <w:t>B52</w:t>
                      </w:r>
                      <w:r>
                        <w:br w:type="textWrapping"/>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1214755</wp:posOffset>
                </wp:positionH>
                <wp:positionV relativeFrom="paragraph">
                  <wp:posOffset>52070</wp:posOffset>
                </wp:positionV>
                <wp:extent cx="4523740" cy="882650"/>
                <wp:effectExtent l="0" t="0" r="0" b="0"/>
                <wp:wrapNone/>
                <wp:docPr id="2" name="文本框 标准代码" title="标准代码"/>
                <wp:cNvGraphicFramePr/>
                <a:graphic xmlns:a="http://schemas.openxmlformats.org/drawingml/2006/main">
                  <a:graphicData uri="http://schemas.microsoft.com/office/word/2010/wordprocessingShape">
                    <wps:wsp>
                      <wps:cNvSpPr txBox="1"/>
                      <wps:spPr>
                        <a:xfrm>
                          <a:off x="0" y="0"/>
                          <a:ext cx="4523740" cy="882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right"/>
                              <w:rPr>
                                <w:rFonts w:ascii="Times New Roman" w:hAnsi="Times New Roman" w:cs="Times New Roman"/>
                                <w:sz w:val="84"/>
                                <w:szCs w:val="84"/>
                              </w:rPr>
                            </w:pPr>
                            <w:r>
                              <w:drawing>
                                <wp:inline distT="0" distB="0" distL="114935" distR="114935">
                                  <wp:extent cx="1028700" cy="466725"/>
                                  <wp:effectExtent l="19050" t="0" r="0" b="0"/>
                                  <wp:docPr id="2000" name="图标 2000" descr="图标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图标 2000" descr="图标 2000"/>
                                          <pic:cNvPicPr>
                                            <a:picLocks noChangeAspect="1"/>
                                          </pic:cNvPicPr>
                                        </pic:nvPicPr>
                                        <pic:blipFill>
                                          <a:blip r:embed="rId10"/>
                                          <a:stretch>
                                            <a:fillRect/>
                                          </a:stretch>
                                        </pic:blipFill>
                                        <pic:spPr>
                                          <a:xfrm>
                                            <a:off x="0" y="0"/>
                                            <a:ext cx="1028844" cy="466776"/>
                                          </a:xfrm>
                                          <a:prstGeom prst="rect">
                                            <a:avLst/>
                                          </a:prstGeom>
                                        </pic:spPr>
                                      </pic:pic>
                                    </a:graphicData>
                                  </a:graphic>
                                </wp:inline>
                              </w:drawing>
                            </w:r>
                            <w:r>
                              <w:rPr>
                                <w:rFonts w:hint="eastAsia" w:ascii="Times New Roman" w:hAnsi="Times New Roman" w:cs="Times New Roman"/>
                                <w:b/>
                                <w:bCs/>
                                <w:sz w:val="112"/>
                                <w:szCs w:val="112"/>
                              </w:rPr>
                              <w:t>43</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标准代码" o:spid="_x0000_s1026" o:spt="202" type="#_x0000_t202" style="position:absolute;left:0pt;margin-left:95.65pt;margin-top:4.1pt;height:69.5pt;width:356.2pt;z-index:251660288;mso-width-relative:page;mso-height-relative:page;" filled="f" stroked="f" coordsize="21600,21600" o:gfxdata="UEsDBAoAAAAAAIdO4kAAAAAAAAAAAAAAAAAEAAAAZHJzL1BLAwQUAAAACACHTuJASPaX8dcAAAAJ&#10;AQAADwAAAGRycy9kb3ducmV2LnhtbE2Py07DMBBF90j8gzVI7KidFNE2xOmCx45nAQl2TjwkEfE4&#10;sp20/D3DCpZX5+rOmXJ7cIOYMcTek4ZsoUAgNd721Gp4fbk9W4OIyZA1gyfU8I0RttXxUWkK6/f0&#10;jPMutYJHKBZGQ5fSWEgZmw6diQs/IjH79MGZxDG00gaz53E3yFypC+lMT3yhMyNeddh87SanYXiP&#10;4a5W6WO+bu/T06Oc3m6yB61PTzJ1CSLhIf2V4Vef1aFip9pPZKMYOG+yJVc1rHMQzDdquQJRMzhf&#10;5SCrUv7/oPoBUEsDBBQAAAAIAIdO4kCQfVJaLwIAACgEAAAOAAAAZHJzL2Uyb0RvYy54bWytU81u&#10;EzEQviPxDpbvZJO0DVGUTRVaBSFFtFJAnB2vnaxke4ztZDfcuDRvwIlDEVfegNeB8BqMnWxSfk6I&#10;i3d2xv5m5ptvhpe1VmQtnC/B5LTTalMiDIeiNIucvn41edKnxAdmCqbAiJxuhKeXo8ePhpUdiC4s&#10;QRXCEQQxflDZnC5DsIMs83wpNPMtsMJgUILTLOCvW2SFYxWia5V12+1eVoErrAMuvEfv9T5IRwlf&#10;SsHDjZReBKJyirWFdLp0zuOZjYZssHDMLkt+KIP9QxWalQaTHqGuWWBk5co/oHTJHXiQocVBZyBl&#10;yUXqAbvptH/rZrZkVqRekBxvjzT5/wfLX65vHSmLnHYpMUzjiHYftruPX3af7sjufvt9e/ft6+cf&#10;9++RuzKoGH7oRPoq6weIMrOIE+pnUKMMIq3R79EZWaml0/GL/RKM4yA2R/JFHQhH5/lF9+zpOYY4&#10;xvr9bu8iTSc7vbbOh+cCNIlGTh0ON3HO1lMfMCNeba7EZAYmpVJpwMqQKqe9M4T8JYIvlMGHp1qj&#10;Fep5fWhgDsUG+3KwF463fFJi8inz4ZY5VArWi+oPN3hIBZgEDhYlS3Dv/uaP93GAGKWkQuXl1L9d&#10;MScoUS8MjjbKtDFcY8wbw6z0FaCYO7hXlicTH7igGlM60G9wKcYxC4aY4Zgrp6Exr8Je/7hUXIzH&#10;6RKK0bIwNTPLI/SepPEqgCwTs5GWPRcHtlCOifDD6kS9P/xPt04LPvo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PaX8dcAAAAJAQAADwAAAAAAAAABACAAAAAiAAAAZHJzL2Rvd25yZXYueG1sUEsB&#10;AhQAFAAAAAgAh07iQJB9UlovAgAAKAQAAA4AAAAAAAAAAQAgAAAAJgEAAGRycy9lMm9Eb2MueG1s&#10;UEsFBgAAAAAGAAYAWQEAAMcFAAAAAA==&#10;">
                <v:fill on="f" focussize="0,0"/>
                <v:stroke on="f" weight="0.5pt"/>
                <v:imagedata o:title=""/>
                <o:lock v:ext="edit" aspectratio="f"/>
                <v:textbox inset="0mm,0mm,0mm,0mm">
                  <w:txbxContent>
                    <w:p>
                      <w:pPr>
                        <w:jc w:val="right"/>
                        <w:rPr>
                          <w:rFonts w:ascii="Times New Roman" w:hAnsi="Times New Roman" w:cs="Times New Roman"/>
                          <w:sz w:val="84"/>
                          <w:szCs w:val="84"/>
                        </w:rPr>
                      </w:pPr>
                      <w:r>
                        <w:drawing>
                          <wp:inline distT="0" distB="0" distL="114935" distR="114935">
                            <wp:extent cx="1028700" cy="466725"/>
                            <wp:effectExtent l="19050" t="0" r="0" b="0"/>
                            <wp:docPr id="2000" name="图标 2000" descr="图标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 name="图标 2000" descr="图标 2000"/>
                                    <pic:cNvPicPr>
                                      <a:picLocks noChangeAspect="1"/>
                                    </pic:cNvPicPr>
                                  </pic:nvPicPr>
                                  <pic:blipFill>
                                    <a:blip r:embed="rId10"/>
                                    <a:stretch>
                                      <a:fillRect/>
                                    </a:stretch>
                                  </pic:blipFill>
                                  <pic:spPr>
                                    <a:xfrm>
                                      <a:off x="0" y="0"/>
                                      <a:ext cx="1028844" cy="466776"/>
                                    </a:xfrm>
                                    <a:prstGeom prst="rect">
                                      <a:avLst/>
                                    </a:prstGeom>
                                  </pic:spPr>
                                </pic:pic>
                              </a:graphicData>
                            </a:graphic>
                          </wp:inline>
                        </w:drawing>
                      </w:r>
                      <w:r>
                        <w:rPr>
                          <w:rFonts w:hint="eastAsia" w:ascii="Times New Roman" w:hAnsi="Times New Roman" w:cs="Times New Roman"/>
                          <w:b/>
                          <w:bCs/>
                          <w:sz w:val="112"/>
                          <w:szCs w:val="112"/>
                        </w:rPr>
                        <w:t>43</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-71120</wp:posOffset>
                </wp:positionH>
                <wp:positionV relativeFrom="paragraph">
                  <wp:posOffset>963295</wp:posOffset>
                </wp:positionV>
                <wp:extent cx="6216650" cy="658495"/>
                <wp:effectExtent l="0" t="0" r="0" b="0"/>
                <wp:wrapNone/>
                <wp:docPr id="3" name="文本框 标准抬头" title="标准抬头"/>
                <wp:cNvGraphicFramePr/>
                <a:graphic xmlns:a="http://schemas.openxmlformats.org/drawingml/2006/main">
                  <a:graphicData uri="http://schemas.microsoft.com/office/word/2010/wordprocessingShape">
                    <wps:wsp>
                      <wps:cNvSpPr txBox="1"/>
                      <wps:spPr>
                        <a:xfrm>
                          <a:off x="0" y="0"/>
                          <a:ext cx="6216650" cy="658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wordWrap/>
                              <w:adjustRightInd w:val="0"/>
                              <w:snapToGrid w:val="0"/>
                              <w:jc w:val="distribute"/>
                            </w:pPr>
                            <w:r>
                              <w:rPr>
                                <w:rFonts w:hint="eastAsia" w:ascii="黑体" w:hAnsi="黑体" w:eastAsia="黑体" w:cs="黑体"/>
                                <w:sz w:val="51"/>
                                <w:szCs w:val="51"/>
                              </w:rPr>
                              <w:t>湖南省地方标准</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文本框 标准抬头" o:spid="_x0000_s1026" o:spt="202" type="#_x0000_t202" style="position:absolute;left:0pt;margin-left:-5.6pt;margin-top:75.85pt;height:51.85pt;width:489.5pt;z-index:251661312;v-text-anchor:middle;mso-width-relative:page;mso-height-relative:page;" filled="f" stroked="f" coordsize="21600,21600" o:gfxdata="UEsDBAoAAAAAAIdO4kAAAAAAAAAAAAAAAAAEAAAAZHJzL1BLAwQUAAAACACHTuJA6SD8XtoAAAAL&#10;AQAADwAAAGRycy9kb3ducmV2LnhtbE2PQU7DMBBF90jcwRokdq3jiLQQ4nSBRClIINFyADeZxmni&#10;cRS7abk9wwqWo//05/1idXG9mHAMrScNap6AQKp83VKj4Wv3PLsHEaKh2vSeUMM3BliV11eFyWt/&#10;pk+ctrERXEIhNxpsjEMuZagsOhPmfkDi7OBHZyKfYyPr0Zy53PUyTZKFdKYl/mDNgE8Wq257chrW&#10;7UHtPqauGWz3+rJ+27wfN8eo9e2NSh5BRLzEPxh+9VkdSnba+xPVQfQaZkqljHKQqSUIJh4WSx6z&#10;15Bm2R3IspD/N5Q/UEsDBBQAAAAIAIdO4kB2SMvHLwIAACoEAAAOAAAAZHJzL2Uyb0RvYy54bWyt&#10;U82O0zAQviPxDpbvNG2XVkvUdFV2VYRUsSsVxNl1nI0l22Nst0l5gK3EA3DiABLHPfJK2+dgnDTt&#10;8nNCXJzxjPPNzDffTC5qrchGOC/BZHTQ61MiDIdcmtuMvns7f3ZOiQ/M5EyBERndCk8vpk+fTCqb&#10;iiGUoHLhCIIYn1Y2o2UINk0Sz0uhme+BFQaDBTjNAl7dbZI7ViG6Vsmw3x8nFbjcOuDCe/RetUE6&#10;bfCLQvBwXRReBKIyirWF5nTNuYpnMp2w9NYxW0p+KIP9QxWaSYNJj1BXLDCydvIPKC25Aw9F6HHQ&#10;CRSF5KLpAbsZ9H/rZlkyK5pekBxvjzT5/wfL32xuHJF5Rs8oMUzjiPafd/sv9/tvd2T/dfewu9t/&#10;un/4/gO5k0HF8GMn0ldZnyLK0iJOqF9CjTKItEa/R2dkpS6cjl/sl2AcB7E9ki/qQDg6x8PBeDzC&#10;EMfYeHT+/MUowiSnv63z4ZUATaKRUYfDbThnm4UP7dPuSUxmYC6VQj9LlSEVgp4h/C8RBFcGc5xq&#10;jVaoV/WhgRXkW+zLQSscb/lcYvIF8+GGOVQK1ovqD9d4FAowCRwsSkpwH//mj+9xgBilpELlZdR/&#10;WDMnKFGvDY42yrQzXGesOsOs9SWgmAe4V5Y3Jv7ggurMwoF+j0sxi1kwxAzHXBnlwXWXy9BuAK4V&#10;F7NZ8wzlaFlYmKXlEbylabYOUMiG20hMy8aBLxRkM53D8kTFP743r04rPv0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6SD8XtoAAAALAQAADwAAAAAAAAABACAAAAAiAAAAZHJzL2Rvd25yZXYueG1s&#10;UEsBAhQAFAAAAAgAh07iQHZIy8cvAgAAKgQAAA4AAAAAAAAAAQAgAAAAKQEAAGRycy9lMm9Eb2Mu&#10;eG1sUEsFBgAAAAAGAAYAWQEAAMoFAAAAAA==&#10;">
                <v:fill on="f" focussize="0,0"/>
                <v:stroke on="f" weight="0.5pt"/>
                <v:imagedata o:title=""/>
                <o:lock v:ext="edit" aspectratio="f"/>
                <v:textbox inset="0mm,0mm,0mm,0mm">
                  <w:txbxContent>
                    <w:p>
                      <w:pPr>
                        <w:wordWrap/>
                        <w:adjustRightInd w:val="0"/>
                        <w:snapToGrid w:val="0"/>
                        <w:jc w:val="distribute"/>
                      </w:pPr>
                      <w:r>
                        <w:rPr>
                          <w:rFonts w:hint="eastAsia" w:ascii="黑体" w:hAnsi="黑体" w:eastAsia="黑体" w:cs="黑体"/>
                          <w:sz w:val="51"/>
                          <w:szCs w:val="51"/>
                        </w:rPr>
                        <w:t>湖南省地方标准</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1720850</wp:posOffset>
                </wp:positionV>
                <wp:extent cx="5975985" cy="278130"/>
                <wp:effectExtent l="0" t="0" r="0" b="0"/>
                <wp:wrapNone/>
                <wp:docPr id="4" name="文本框 标准编号" title="标准编号"/>
                <wp:cNvGraphicFramePr/>
                <a:graphic xmlns:a="http://schemas.openxmlformats.org/drawingml/2006/main">
                  <a:graphicData uri="http://schemas.microsoft.com/office/word/2010/wordprocessingShape">
                    <wps:wsp>
                      <wps:cNvSpPr txBox="1"/>
                      <wps:spPr>
                        <a:xfrm>
                          <a:off x="0" y="0"/>
                          <a:ext cx="5975985" cy="278130"/>
                        </a:xfrm>
                        <a:prstGeom prst="rect">
                          <a:avLst/>
                        </a:prstGeom>
                        <a:noFill/>
                        <a:ln w="6350">
                          <a:noFill/>
                        </a:ln>
                      </wps:spPr>
                      <wps:txbx>
                        <w:txbxContent>
                          <w:p>
                            <w:pPr>
                              <w:wordWrap/>
                              <w:adjustRightInd w:val="0"/>
                              <w:snapToGrid w:val="0"/>
                              <w:jc w:val="right"/>
                              <w:rPr>
                                <w:rFonts w:ascii="黑体" w:hAnsi="黑体" w:eastAsia="黑体" w:cs="黑体"/>
                                <w:sz w:val="28"/>
                                <w:szCs w:val="28"/>
                              </w:rPr>
                            </w:pPr>
                            <w:r>
                              <w:rPr>
                                <w:rFonts w:hint="eastAsia" w:ascii="黑体" w:hAnsi="黑体" w:eastAsia="黑体" w:cs="黑体"/>
                                <w:sz w:val="28"/>
                                <w:szCs w:val="28"/>
                              </w:rPr>
                              <w:t>DB43/T XXXX—XXXX</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id="文本框 标准编号" o:spid="_x0000_s1026" o:spt="202" type="#_x0000_t202" style="position:absolute;left:0pt;margin-left:-0.25pt;margin-top:135.5pt;height:21.9pt;width:470.55pt;z-index:251662336;v-text-anchor:middle;mso-width-relative:page;mso-height-relative:page;" filled="f" stroked="f" coordsize="21600,21600" o:gfxdata="UEsDBAoAAAAAAIdO4kAAAAAAAAAAAAAAAAAEAAAAZHJzL1BLAwQUAAAACACHTuJAKQkuHdwAAAAJ&#10;AQAADwAAAGRycy9kb3ducmV2LnhtbE2PzU7DMBCE70i8g7VIXKrWSVtKCNlUIqWHSkhAQeLqxksS&#10;NV5HtvsDT485wXE0o5lviuXZ9OJIzneWEdJJAoK4trrjBuH9bT3OQPigWKveMiF8kYdleXlRqFzb&#10;E7/ScRsaEUvY5wqhDWHIpfR1S0b5iR2Io/dpnVEhStdI7dQplpteTpNkIY3qOC60aqCqpXq/PRiE&#10;h9HqUX6MVm798vS8qdx3Xc32GeL1VZrcgwh0Dn9h+MWP6FBGpp09sPaiRxjfxCDC9DaNl6J/N08W&#10;IHYIs3SegSwL+f9B+QNQSwMEFAAAAAgAh07iQM9xukk0AgAAMgQAAA4AAABkcnMvZTJvRG9jLnht&#10;bK1TvY4TMRDukXgHyz3ZTUJyuSibU7hTEFLEnRQQteO1E0v+w3ayGx7gUl53FQX09DS8zoXXYOz8&#10;CqgQjT2eX8833wyuaiXRijkvjC5ws5FjxDQ1pdDzAr9/N37Rw8gHoksijWYFXjOPr4bPnw0q22ct&#10;szCyZA5BEu37lS3wIgTbzzJPF0wR3zCWaTBy4xQJ8HTzrHSkguxKZq0872aVcaV1hjLvQXuzM+Jh&#10;ys85o+GWc88CkgWGv4V0unTO4pkNB6Q/d8QuBN1/g/zDLxQRGooeU92QQNDSiT9SKUGd8YaHBjUq&#10;M5wLylIP0E0z/62b6YJYlnoBcLw9wuT/X1r6dnXnkCgL/BIjTRSMaPu42X7+tv16j7ZfNk+b+58/&#10;Hp8evgN2IshoPlcCfJX1fcgytZAn1K9MDTSIsEa9B2VEpeZOxRv6RWCHQayP4LM6IArKzuVF57LX&#10;wYiCrXXRa7bTdLJTtHU+vGZGoSgU2MFwE+ZkNfEBKoLrwSUW02YspEwDlhpVBe62O3kKOFogQmoI&#10;PP01SqGe1fsGZqZcQ1/O7IjjLR0LKD4hPtwRB0yBVoD94RYOLg0UMXsJo4Vxn/6mj/4wQLBiVAHz&#10;Cuw/LoljGMk3Gkbb7uZ5pGp6gODOtbODVi/VtQFSN2G/LE1i9A3yIHJn1AdYjlGsBiaiKdQsMA3u&#10;8LgOu02A9aJsNEpuQEtLwkRPLY3Jd0COlsFwkTCOAO1Q2eMGxEzQ75coMv/8nbxOqz7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kJLh3cAAAACQEAAA8AAAAAAAAAAQAgAAAAIgAAAGRycy9kb3du&#10;cmV2LnhtbFBLAQIUABQAAAAIAIdO4kDPcbpJNAIAADIEAAAOAAAAAAAAAAEAIAAAACsBAABkcnMv&#10;ZTJvRG9jLnhtbFBLBQYAAAAABgAGAFkBAADRBQAAAAA=&#10;">
                <v:fill on="f" focussize="0,0"/>
                <v:stroke on="f" weight="0.5pt"/>
                <v:imagedata o:title=""/>
                <o:lock v:ext="edit" aspectratio="f"/>
                <v:textbox inset="1mm,0mm,1mm,0mm">
                  <w:txbxContent>
                    <w:p>
                      <w:pPr>
                        <w:wordWrap/>
                        <w:adjustRightInd w:val="0"/>
                        <w:snapToGrid w:val="0"/>
                        <w:jc w:val="right"/>
                        <w:rPr>
                          <w:rFonts w:ascii="黑体" w:hAnsi="黑体" w:eastAsia="黑体" w:cs="黑体"/>
                          <w:sz w:val="28"/>
                          <w:szCs w:val="28"/>
                        </w:rPr>
                      </w:pPr>
                      <w:r>
                        <w:rPr>
                          <w:rFonts w:hint="eastAsia" w:ascii="黑体" w:hAnsi="黑体" w:eastAsia="黑体" w:cs="黑体"/>
                          <w:sz w:val="28"/>
                          <w:szCs w:val="28"/>
                        </w:rPr>
                        <w:t>DB43/T XXXX—XXXX</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1905</wp:posOffset>
                </wp:positionH>
                <wp:positionV relativeFrom="paragraph">
                  <wp:posOffset>1955800</wp:posOffset>
                </wp:positionV>
                <wp:extent cx="6007735" cy="278130"/>
                <wp:effectExtent l="0" t="0" r="0" b="0"/>
                <wp:wrapNone/>
                <wp:docPr id="5" name="文本框 代替标准编号" title="代替标准编号"/>
                <wp:cNvGraphicFramePr/>
                <a:graphic xmlns:a="http://schemas.openxmlformats.org/drawingml/2006/main">
                  <a:graphicData uri="http://schemas.microsoft.com/office/word/2010/wordprocessingShape">
                    <wps:wsp>
                      <wps:cNvSpPr txBox="1"/>
                      <wps:spPr>
                        <a:xfrm>
                          <a:off x="0" y="0"/>
                          <a:ext cx="6007735" cy="278130"/>
                        </a:xfrm>
                        <a:prstGeom prst="rect">
                          <a:avLst/>
                        </a:prstGeom>
                        <a:noFill/>
                        <a:ln w="6350">
                          <a:noFill/>
                        </a:ln>
                      </wps:spPr>
                      <wps:txbx>
                        <w:txbxContent>
                          <w:p>
                            <w:pPr>
                              <w:wordWrap/>
                              <w:adjustRightInd w:val="0"/>
                              <w:snapToGrid w:val="0"/>
                              <w:jc w:val="right"/>
                            </w:pP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id="文本框 代替标准编号" o:spid="_x0000_s1026" o:spt="202" type="#_x0000_t202" style="position:absolute;left:0pt;margin-left:0.15pt;margin-top:154pt;height:21.9pt;width:473.05pt;z-index:251663360;v-text-anchor:middle;mso-width-relative:page;mso-height-relative:page;" filled="f" stroked="f" coordsize="21600,21600" o:gfxdata="UEsDBAoAAAAAAIdO4kAAAAAAAAAAAAAAAAAEAAAAZHJzL1BLAwQUAAAACACHTuJA+r/L8toAAAAI&#10;AQAADwAAAGRycy9kb3ducmV2LnhtbE2PT0vDQBDF74LfYRnBS7G7sbXEmE3B1B4EQa2C1212TEKz&#10;s2F3+0c/veNJLwMz7/Hm98rlyQ3igCH2njRkUwUCqfG2p1bD+9v6KgcRkyFrBk+o4QsjLKvzs9IU&#10;1h/pFQ+b1AoOoVgYDV1KYyFlbDp0Jk79iMTapw/OJF5DK20wRw53g7xWaiGd6Yk/dGbEusNmt9k7&#10;DfeT1YP8mKzC+uXp+bEO30092+VaX15k6g5EwlP6M8MvPqNDxUxbvycbxaBhxj6eKudGLN/OF3MQ&#10;W77cZDnIqpT/C1Q/UEsDBBQAAAAIAIdO4kAczADlPgIAAD4EAAAOAAAAZHJzL2Uyb0RvYy54bWyt&#10;U81uEzEQviPxDpbvZDeJ+qOomyq0CkKKaKWCODteb3Ylr21sJ7vhAdojt17gAOLKnQNIvAwNr8Fn&#10;56+CnhAXezwz/mbmm5mT07aWZCGsq7TKaLeTUiIU13mlZhl99XL85JgS55nKmdRKZHQpHD0dPn50&#10;0piB6OlSy1xYAhDlBo3JaOm9GSSJ46WometoIxSMhbY183jaWZJb1gC9lkkvTQ+TRtvcWM2Fc9Ce&#10;r410GPGLQnB/URROeCIzitx8PG08p+FMhidsMLPMlBXfpMH+IYuaVQpBd1DnzDMyt9VfUHXFrXa6&#10;8B2u60QXRcVFrAHVdNM/qrkqmRGxFpDjzI4m9/9g+YvFpSVVntEDShSr0aLV7c3qw5fVp2vy89vn&#10;1fsfq483dzfXv77f3r37CgYrL+H0gAlUNsYNgHhlgOnbp7rFSASKg95BGRhqC1uHG7UT2NGU5a4R&#10;ovWEQ3mYpkdHfWTEYesdHXf7sVPJ/rexzj8TuiZByKhFoyP/bDFxHhHhunUJwZQeV1LGZktFGkTo&#10;H6Txw86CH1Lh4z7XIPl22m4KmOp8ibqsXg+RM3xcIfiEOX/JLKYGpWAT/AWOQmoE0RuJklLbtw/p&#10;gz+aCSslDaYwo+7NnFlBiXyu0OY+mAhjGx8Q7H3tdKtV8/pMY8C72DXDoxh8vdyKhdX1ayzKKESD&#10;iSmOmBnl3m4fZ369FVg1Lkaj6IYRNcxP1JXhAXxN5GjudVFFjgNBa1Y2vGFII/WbhQpbcP8dvfZr&#10;P/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L8toAAAAIAQAADwAAAAAAAAABACAAAAAiAAAA&#10;ZHJzL2Rvd25yZXYueG1sUEsBAhQAFAAAAAgAh07iQBzMAOU+AgAAPgQAAA4AAAAAAAAAAQAgAAAA&#10;KQEAAGRycy9lMm9Eb2MueG1sUEsFBgAAAAAGAAYAWQEAANkFAAAAAA==&#10;">
                <v:fill on="f" focussize="0,0"/>
                <v:stroke on="f" weight="0.5pt"/>
                <v:imagedata o:title=""/>
                <o:lock v:ext="edit" aspectratio="f"/>
                <v:textbox inset="1mm,0mm,1mm,0mm">
                  <w:txbxContent>
                    <w:p>
                      <w:pPr>
                        <w:wordWrap/>
                        <w:adjustRightInd w:val="0"/>
                        <w:snapToGrid w:val="0"/>
                        <w:jc w:val="right"/>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1270</wp:posOffset>
                </wp:positionH>
                <wp:positionV relativeFrom="paragraph">
                  <wp:posOffset>2345055</wp:posOffset>
                </wp:positionV>
                <wp:extent cx="6124575" cy="0"/>
                <wp:effectExtent l="0" t="0" r="0" b="0"/>
                <wp:wrapNone/>
                <wp:docPr id="10" name="上横线"/>
                <wp:cNvGraphicFramePr/>
                <a:graphic xmlns:a="http://schemas.openxmlformats.org/drawingml/2006/main">
                  <a:graphicData uri="http://schemas.microsoft.com/office/word/2010/wordprocessingShape">
                    <wps:wsp>
                      <wps:cNvCnPr/>
                      <wps:spPr>
                        <a:xfrm>
                          <a:off x="979170" y="2911475"/>
                          <a:ext cx="6124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上横线" o:spid="_x0000_s1026" o:spt="20" style="position:absolute;left:0pt;margin-left:0.1pt;margin-top:184.65pt;height:0pt;width:482.25pt;z-index:251667456;mso-width-relative:page;mso-height-relative:page;" filled="f" stroked="t" coordsize="21600,21600" o:gfxdata="UEsDBAoAAAAAAIdO4kAAAAAAAAAAAAAAAAAEAAAAZHJzL1BLAwQUAAAACACHTuJA/jnUmtYAAAAI&#10;AQAADwAAAGRycy9kb3ducmV2LnhtbE2PwU7DMAyG70i8Q2QkbizdhtqtNN0BiQMSElA4cMwar+mW&#10;OCXJ2vL2BAkJjvb/6/Pnajdbw0b0oXckYLnIgCG1TvXUCXh/e7jZAAtRkpLGEQr4wgC7+vKikqVy&#10;E73i2MSOJQiFUgrQMQ4l56HVaGVYuAEpZQfnrYxp9B1XXk4Jbg1fZVnOrewpXdBywHuN7ak520Sh&#10;4vMwG//x8vykN810xMexQCGur5bZHbCIc/wrw49+Uoc6Oe3dmVRgRsAq9QSs8+0aWIq3+W0BbP+7&#10;4XXF/z9QfwNQSwMEFAAAAAgAh07iQPRUONvOAQAAZwMAAA4AAABkcnMvZTJvRG9jLnhtbK1TS44T&#10;MRDdI3EHy3vS6TCZTFrpzGKiYYMgEnCAitvutuSfXCadXIGTIE6A2HAZBNeg7ISZYWaH6IXbriq/&#10;qveqvLo+WMP2MqL2ruX1ZMqZdMJ32vUt//D+9sUVZ5jAdWC8ky0/SuTX6+fPVmNo5MwP3nQyMgJx&#10;2Iyh5UNKoakqFIO0gBMfpCOn8tFComPsqy7CSOjWVLPp9LIafexC9EIiknVzcvJ1wVdKivRWKZSJ&#10;mZZTbamssay7vFbrFTR9hDBocS4D/qEKC9pR0juoDSRgH6N+AmW1iB69ShPhbeWV0kIWDsSmnj5i&#10;826AIAsXEgfDnUz4/2DFm/02Mt1R70geB5Z69OPrp5+fv/z69j2rMwZsKOjGbeP5hGEbM9WDijb/&#10;iQQ7tHy5WNYLwji2fLas64vF/CSuPCQmyH9Zzy7mZGSCIorw1T1GiJheSW9Z3rTcaJd5QwP715go&#10;L4X+Cclm52+1MaV3xrGRwF/OKbUAmiBlINHWBuKErucMTE+jKVIsiOiN7vLtjIOx392YyPaQx6N8&#10;uWjK9ldYTr0BHE5xxXXiZnWi6TXatvzq4W3jCCQrd9Iq73a+OxYJi526WdKcJy+Py8NzuX3/Pt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P451JrWAAAACAEAAA8AAAAAAAAAAQAgAAAAIgAAAGRy&#10;cy9kb3ducmV2LnhtbFBLAQIUABQAAAAIAIdO4kD0VDjbzgEAAGcDAAAOAAAAAAAAAAEAIAAAACUB&#10;AABkcnMvZTJvRG9jLnhtbFBLBQYAAAAABgAGAFkBAABlBQAAAAA=&#10;">
                <v:fill on="f" focussize="0,0"/>
                <v:stroke weight="0.5pt" color="#000000 [3200]" miterlimit="8" joinstyle="miter"/>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-6985</wp:posOffset>
                </wp:positionH>
                <wp:positionV relativeFrom="paragraph">
                  <wp:posOffset>3709035</wp:posOffset>
                </wp:positionV>
                <wp:extent cx="6137275" cy="4199255"/>
                <wp:effectExtent l="0" t="0" r="0" b="0"/>
                <wp:wrapNone/>
                <wp:docPr id="6" name="文本框 标准名称" title="标准名称"/>
                <wp:cNvGraphicFramePr/>
                <a:graphic xmlns:a="http://schemas.openxmlformats.org/drawingml/2006/main">
                  <a:graphicData uri="http://schemas.microsoft.com/office/word/2010/wordprocessingShape">
                    <wps:wsp>
                      <wps:cNvSpPr txBox="1"/>
                      <wps:spPr>
                        <a:xfrm>
                          <a:off x="0" y="0"/>
                          <a:ext cx="6137275" cy="41992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wordWrap/>
                              <w:adjustRightInd w:val="0"/>
                              <w:snapToGrid w:val="0"/>
                              <w:spacing w:before="370" w:line="400" w:lineRule="exact"/>
                              <w:jc w:val="center"/>
                              <w:rPr>
                                <w:rFonts w:ascii="Times New Roman" w:hAnsi="Times New Roman" w:cs="Times New Roman"/>
                                <w:sz w:val="28"/>
                                <w:szCs w:val="28"/>
                              </w:rPr>
                            </w:pPr>
                            <w:r>
                              <w:rPr>
                                <w:rFonts w:hint="eastAsia" w:ascii="黑体" w:hAnsi="黑体" w:eastAsia="黑体" w:cs="黑体"/>
                                <w:sz w:val="55"/>
                                <w:szCs w:val="55"/>
                              </w:rPr>
                              <w:t>大口黑鲈与胭脂鱼池塘混养技术规范</w:t>
                            </w:r>
                            <w:r>
                              <w:rPr>
                                <w:rFonts w:hint="eastAsia" w:ascii="Times New Roman" w:hAnsi="Times New Roman" w:cs="Times New Roman"/>
                                <w:sz w:val="28"/>
                                <w:szCs w:val="28"/>
                              </w:rPr>
                              <w:t>Technical specification for cultivation of Micropterus salmoides intercropping with Myxocyprinus asiaticus</w:t>
                            </w:r>
                          </w:p>
                          <w:p>
                            <w:pPr>
                              <w:spacing w:before="640" w:line="400" w:lineRule="exact"/>
                              <w:jc w:val="center"/>
                              <w:rPr>
                                <w:rFonts w:ascii="Times New Roman" w:hAnsi="Times New Roman" w:cs="Times New Roman"/>
                                <w:sz w:val="28"/>
                                <w:szCs w:val="28"/>
                              </w:rPr>
                            </w:pPr>
                          </w:p>
                          <w:p>
                            <w:pPr>
                              <w:spacing w:before="500" w:after="240" w:line="400" w:lineRule="exact"/>
                              <w:jc w:val="center"/>
                              <w:rPr>
                                <w:rFonts w:ascii="宋体" w:hAnsi="宋体" w:eastAsia="宋体" w:cs="宋体"/>
                                <w:sz w:val="24"/>
                              </w:rPr>
                            </w:pPr>
                            <w:r>
                              <w:rPr>
                                <w:rFonts w:hint="eastAsia" w:ascii="宋体" w:hAnsi="宋体" w:eastAsia="宋体" w:cs="宋体"/>
                                <w:sz w:val="24"/>
                                <w:lang w:val="en-US" w:eastAsia="zh-CN"/>
                              </w:rPr>
                              <w:t>征求意见稿</w:t>
                            </w:r>
                            <w:r>
                              <w:br w:type="textWrapping"/>
                            </w:r>
                          </w:p>
                          <w:p>
                            <w:pPr>
                              <w:spacing w:before="567"/>
                              <w:jc w:val="center"/>
                              <w:rPr>
                                <w:rFonts w:ascii="宋体" w:hAnsi="宋体" w:eastAsia="宋体" w:cs="宋体"/>
                                <w:sz w:val="24"/>
                              </w:rPr>
                            </w:pPr>
                          </w:p>
                        </w:txbxContent>
                      </wps:txbx>
                      <wps:bodyPr rot="0" spcFirstLastPara="0" vertOverflow="overflow" horzOverflow="overflow" vert="horz" wrap="square" lIns="36000" tIns="0" rIns="36000" bIns="0" numCol="1" spcCol="0" rtlCol="0" fromWordArt="0" anchor="t" anchorCtr="0" forceAA="0" compatLnSpc="1">
                        <a:noAutofit/>
                      </wps:bodyPr>
                    </wps:wsp>
                  </a:graphicData>
                </a:graphic>
              </wp:anchor>
            </w:drawing>
          </mc:Choice>
          <mc:Fallback>
            <w:pict>
              <v:shape id="文本框 标准名称" o:spid="_x0000_s1026" o:spt="202" type="#_x0000_t202" style="position:absolute;left:0pt;margin-left:-0.55pt;margin-top:292.05pt;height:330.65pt;width:483.25pt;z-index:251664384;mso-width-relative:page;mso-height-relative:page;" filled="f" stroked="f" coordsize="21600,21600" o:gfxdata="UEsDBAoAAAAAAIdO4kAAAAAAAAAAAAAAAAAEAAAAZHJzL1BLAwQUAAAACACHTuJAj7kAEdgAAAAL&#10;AQAADwAAAGRycy9kb3ducmV2LnhtbE2PTU/DMAyG70j8h8hI3La0o6u20nQHpN4AiYI4p43XFhqn&#10;SrIP9usxJ3Z7LT96/bjcne0kjujD6EhBukxAIHXOjNQr+HivFxsQIWoyenKECn4wwK66vSl1YdyJ&#10;3vDYxF5wCYVCKxhinAspQzeg1WHpZiTe7Z23OvLoe2m8PnG5neQqSXJp9Uh8YdAzPg3YfTcHq+Dl&#10;1T9f9nk9TqHddnX7eYkPzZdS93dp8ggi4jn+w/Cnz+pQsVPrDmSCmBQs0pRJBetNxoGBbb7OQLRM&#10;rjJOsirl9Q/VL1BLAwQUAAAACACHTuJAiBVIyDYCAAAxBAAADgAAAGRycy9lMm9Eb2MueG1srVPN&#10;jtMwEL4j8Q6W7zRpS7ts1HRVdlWEVLErFcTZdZzGkv+w3SblAbYnJE6cOMCJCwdeastrMHb6J+CE&#10;uDjjmck3nm++GV01UqA1s45rleNuJ8WIKaoLrpY5fvN6+uQZRs4TVRChFcvxhjl8NX78aFSbjPV0&#10;pUXBLAIQ5bLa5Ljy3mRJ4mjFJHEdbZiCYKmtJB6udpkUltSALkXSS9NhUmtbGKspcw68N20QjyN+&#10;WTLqb8vSMY9EjuFtPp42notwJuMRyZaWmIrT/TPIP7xCEq6g6BHqhniCVpb/ASU5tdrp0neoloku&#10;S05Z7AG66aa/dTOviGGxFyDHmSNN7v/B0lfrO4t4keMhRopIGNHu03b3+fvu6z3afdk+bO8fPn74&#10;+e0HcMe9COFzJ9BXG5cBytwAjm+e6wZkEGgNfgfOwEpTWhm+0C+COAxicySfNR5RcA67/YvexQAj&#10;CrGn3cvL3mAQcJLT78Y6/4JpiYKRYwvTjaST9cz5NvWQEqopPeVCgJ9kQqEaSvQHafzhGAFwoaDG&#10;6bHB8s2i2Xew0MUGGrO6VY4zdMqh+Iw4f0csSAV6Afn7WzhKoaGI3lsYVdq+/5s/5MMEIYpRDdLL&#10;sXu3IpZhJF4qmG1/mKZBq/EChj33Lg5etZLXGlTdhQUzNJoh14uDWVot38J2TEI1CBFFoWaO/cG8&#10;9u0iwHZRNpnEJFClIX6m5oYG6JbGycrrkkeGAz0tJ3vWQJdxRvsdCsI/v8es06aP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PuQAR2AAAAAsBAAAPAAAAAAAAAAEAIAAAACIAAABkcnMvZG93bnJl&#10;di54bWxQSwECFAAUAAAACACHTuJAiBVIyDYCAAAxBAAADgAAAAAAAAABACAAAAAnAQAAZHJzL2Uy&#10;b0RvYy54bWxQSwUGAAAAAAYABgBZAQAAzwUAAAAA&#10;">
                <v:fill on="f" focussize="0,0"/>
                <v:stroke on="f" weight="0.5pt"/>
                <v:imagedata o:title=""/>
                <o:lock v:ext="edit" aspectratio="f"/>
                <v:textbox inset="1mm,0mm,1mm,0mm">
                  <w:txbxContent>
                    <w:p>
                      <w:pPr>
                        <w:wordWrap/>
                        <w:adjustRightInd w:val="0"/>
                        <w:snapToGrid w:val="0"/>
                        <w:spacing w:before="370" w:line="400" w:lineRule="exact"/>
                        <w:jc w:val="center"/>
                        <w:rPr>
                          <w:rFonts w:ascii="Times New Roman" w:hAnsi="Times New Roman" w:cs="Times New Roman"/>
                          <w:sz w:val="28"/>
                          <w:szCs w:val="28"/>
                        </w:rPr>
                      </w:pPr>
                      <w:r>
                        <w:rPr>
                          <w:rFonts w:hint="eastAsia" w:ascii="黑体" w:hAnsi="黑体" w:eastAsia="黑体" w:cs="黑体"/>
                          <w:sz w:val="55"/>
                          <w:szCs w:val="55"/>
                        </w:rPr>
                        <w:t>大口黑鲈与胭脂鱼池塘混养技术规范</w:t>
                      </w:r>
                      <w:r>
                        <w:rPr>
                          <w:rFonts w:hint="eastAsia" w:ascii="Times New Roman" w:hAnsi="Times New Roman" w:cs="Times New Roman"/>
                          <w:sz w:val="28"/>
                          <w:szCs w:val="28"/>
                        </w:rPr>
                        <w:t>Technical specification for cultivation of Micropterus salmoides intercropping with Myxocyprinus asiaticus</w:t>
                      </w:r>
                    </w:p>
                    <w:p>
                      <w:pPr>
                        <w:spacing w:before="640" w:line="400" w:lineRule="exact"/>
                        <w:jc w:val="center"/>
                        <w:rPr>
                          <w:rFonts w:ascii="Times New Roman" w:hAnsi="Times New Roman" w:cs="Times New Roman"/>
                          <w:sz w:val="28"/>
                          <w:szCs w:val="28"/>
                        </w:rPr>
                      </w:pPr>
                    </w:p>
                    <w:p>
                      <w:pPr>
                        <w:spacing w:before="500" w:after="240" w:line="400" w:lineRule="exact"/>
                        <w:jc w:val="center"/>
                        <w:rPr>
                          <w:rFonts w:ascii="宋体" w:hAnsi="宋体" w:eastAsia="宋体" w:cs="宋体"/>
                          <w:sz w:val="24"/>
                        </w:rPr>
                      </w:pPr>
                      <w:r>
                        <w:rPr>
                          <w:rFonts w:hint="eastAsia" w:ascii="宋体" w:hAnsi="宋体" w:eastAsia="宋体" w:cs="宋体"/>
                          <w:sz w:val="24"/>
                          <w:lang w:val="en-US" w:eastAsia="zh-CN"/>
                        </w:rPr>
                        <w:t>征求意见稿</w:t>
                      </w:r>
                      <w:r>
                        <w:br w:type="textWrapping"/>
                      </w:r>
                    </w:p>
                    <w:p>
                      <w:pPr>
                        <w:spacing w:before="567"/>
                        <w:jc w:val="center"/>
                        <w:rPr>
                          <w:rFonts w:ascii="宋体" w:hAnsi="宋体" w:eastAsia="宋体" w:cs="宋体"/>
                          <w:sz w:val="24"/>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-7620</wp:posOffset>
                </wp:positionH>
                <wp:positionV relativeFrom="paragraph">
                  <wp:posOffset>8877935</wp:posOffset>
                </wp:positionV>
                <wp:extent cx="6136005" cy="0"/>
                <wp:effectExtent l="0" t="0" r="0" b="0"/>
                <wp:wrapNone/>
                <wp:docPr id="11" name="下横线"/>
                <wp:cNvGraphicFramePr/>
                <a:graphic xmlns:a="http://schemas.openxmlformats.org/drawingml/2006/main">
                  <a:graphicData uri="http://schemas.microsoft.com/office/word/2010/wordprocessingShape">
                    <wps:wsp>
                      <wps:cNvCnPr/>
                      <wps:spPr>
                        <a:xfrm>
                          <a:off x="0" y="0"/>
                          <a:ext cx="6136005" cy="0"/>
                        </a:xfrm>
                        <a:prstGeom prst="line">
                          <a:avLst/>
                        </a:prstGeom>
                        <a:ln w="12700" cmpd="sng">
                          <a:solidFill>
                            <a:schemeClr val="tx1"/>
                          </a:solidFill>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下横线" o:spid="_x0000_s1026" o:spt="20" style="position:absolute;left:0pt;margin-left:-0.6pt;margin-top:699.05pt;height:0pt;width:483.15pt;z-index:251668480;mso-width-relative:page;mso-height-relative:page;" filled="f" stroked="t" coordsize="21600,21600" o:gfxdata="UEsDBAoAAAAAAIdO4kAAAAAAAAAAAAAAAAAEAAAAZHJzL1BLAwQUAAAACACHTuJArcgFD9kAAAAM&#10;AQAADwAAAGRycy9kb3ducmV2LnhtbE2PQU/DMAyF70j8h8hI3La0K4ytNJ0QaOLAaWMCjllj2mqN&#10;UyVZV/j1eAcEN/u9p+fPxWq0nRjQh9aRgnSagECqnGmpVrB7XU8WIELUZHTnCBV8YYBVeXlR6Ny4&#10;E21w2MZacAmFXCtoYuxzKUPVoNVh6nok9j6dtzry6mtpvD5xue3kLEnm0uqW+EKje3xssDpsj1bB&#10;28PdIRufn27WcbP78G7IXvD7XanrqzS5BxFxjH9hOOMzOpTMtHdHMkF0CibpjJOsZ8tFCoITy/kt&#10;D/tfSZaF/P9E+QNQSwMEFAAAAAgAh07iQKyq+f3AAQAAXQMAAA4AAABkcnMvZTJvRG9jLnhtbK1T&#10;S44TMRDdI3EHy3vSnSDCqJXOLCYaNggiAQeouN3dlvxTlUknZ+AiiBMgNlwGwTUoO5nMDOwQWTh2&#10;fV7Ve1W9uj44K/YayQTfyvmslkJ7FTrjh1Z+eH/77EoKSuA7sMHrVh41yev10yerKTZ6EcZgO42C&#10;QTw1U2zlmFJsqorUqB3QLETt2dkHdJD4iUPVIUyM7my1qOtlNQXsIgalidi6OTnluuD3vVbpbd+T&#10;TsK2kntL5cRy7vJZrVfQDAhxNOrcBvxDFw6M56IXqA0kEB/R/AXljMJAoU8zFVwV+t4oXTgwm3n9&#10;B5t3I0RduLA4FC8y0f+DVW/2WxSm49nNpfDgeEY/vn76+fnLr2/fszpTpIaDbvwWzy+KW8xUDz26&#10;/M8kxKEoerwoqg9JKDYu58+Xdf1CCnXnq+4TI1J6pYMT+dJKa3wmCw3sX1PiYhx6F5LNPtwaa8vA&#10;rBcTd7x4WfNMFfDe9BYSX11kJuQHKcAOvJAqYYGkYE2X0zMQ4bC7sSj2kJei/DJTLvcoLNfeAI2n&#10;uOI6rYsziXfWGtfKq4fZ1jNI1uukUL7tQncswhU7z7CUOe9bXpKH75J9/1Ws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tyAUP2QAAAAwBAAAPAAAAAAAAAAEAIAAAACIAAABkcnMvZG93bnJldi54&#10;bWxQSwECFAAUAAAACACHTuJArKr5/cABAABdAwAADgAAAAAAAAABACAAAAAoAQAAZHJzL2Uyb0Rv&#10;Yy54bWxQSwUGAAAAAAYABgBZAQAAWgUAAAAA&#10;">
                <v:fill on="f" focussize="0,0"/>
                <v:stroke weight="1pt" color="#000000 [3213]" miterlimit="8" joinstyle="miter"/>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-28575</wp:posOffset>
                </wp:positionH>
                <wp:positionV relativeFrom="paragraph">
                  <wp:posOffset>8566150</wp:posOffset>
                </wp:positionV>
                <wp:extent cx="2613660" cy="360045"/>
                <wp:effectExtent l="0" t="0" r="0" b="0"/>
                <wp:wrapNone/>
                <wp:docPr id="7" name="文本框 发布日期" title="发布日期"/>
                <wp:cNvGraphicFramePr/>
                <a:graphic xmlns:a="http://schemas.openxmlformats.org/drawingml/2006/main">
                  <a:graphicData uri="http://schemas.microsoft.com/office/word/2010/wordprocessingShape">
                    <wps:wsp>
                      <wps:cNvSpPr txBox="1"/>
                      <wps:spPr>
                        <a:xfrm>
                          <a:off x="0" y="0"/>
                          <a:ext cx="261366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wordWrap/>
                              <w:snapToGrid w:val="0"/>
                              <w:jc w:val="left"/>
                            </w:pPr>
                            <w:r>
                              <w:rPr>
                                <w:rFonts w:hint="eastAsia" w:ascii="黑体" w:hAnsi="黑体" w:eastAsia="黑体" w:cs="黑体"/>
                                <w:sz w:val="28"/>
                                <w:szCs w:val="28"/>
                              </w:rPr>
                              <w:t>XXXX-XX-XX 发布</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id="文本框 发布日期" o:spid="_x0000_s1026" o:spt="202" type="#_x0000_t202" style="position:absolute;left:0pt;margin-left:-2.25pt;margin-top:674.5pt;height:28.35pt;width:205.8pt;z-index:251664384;v-text-anchor:middle;mso-width-relative:page;mso-height-relative:page;" filled="f" stroked="f" coordsize="21600,21600" o:gfxdata="UEsDBAoAAAAAAIdO4kAAAAAAAAAAAAAAAAAEAAAAZHJzL1BLAwQUAAAACACHTuJAtQ028d0AAAAM&#10;AQAADwAAAGRycy9kb3ducmV2LnhtbE2Py07DMBBF90j8gzVIbKrWDk1pCXEqkdJFJSSgILF1kyGJ&#10;Go8j233A1zOsYDl3ju4jX55tL47oQ+dIQzJRIJAqV3fUaHh/W48XIEI0VJveEWr4wgDL4vIiN1nt&#10;TvSKx21sBJtQyIyGNsYhkzJULVoTJm5A4t+n89ZEPn0ja29ObG57eaPUrbSmI05ozYBli9V+e7Aa&#10;HkarR/kxWvn1y9PzpvTfVTndL7S+vkrUPYiI5/gHw299rg4Fd9q5A9VB9BrG6YxJ1qfpHY9iIlXz&#10;BMSOpVTN5iCLXP4fUfwAUEsDBBQAAAAIAIdO4kCZQieyNQIAADIEAAAOAAAAZHJzL2Uyb0RvYy54&#10;bWytU82O0zAQviPxDpbvNGnLFhQ1XZVdFSFV7EoFcXYdu7HkP2y3SbkiwRFxgctKiAM3HoAX2j4H&#10;Y6c/y88JcXHGM5NvPN98Mz5vlUQb5rwwusT9Xo4R09RUQq9K/PLF7MFjjHwguiLSaFbiLfP4fHL/&#10;3rixBRuY2siKOQQg2heNLXEdgi2yzNOaKeJ7xjINQW6cIgGubpVVjjSArmQ2yPNR1hhXWWco8x68&#10;l10QTxI+54yGK849C0iWGN4W0unSuYxnNhmTYuWIrQXdP4P8wysUERqKHqEuSSBo7cQfUEpQZ7zh&#10;oUeNygzngrLUA3TTz3/rZlETy1IvQI63R5r8/4OlzzfXDomqxI8w0kTBiHaf3u9uvu++vkO3Hz7e&#10;/ni7+/xtd/MFuBNBQvgXJ9DXWF8AysICTmifmBZkEGmNfg/OyErLnYpf6BdBHAaxPZLP2oAoOAej&#10;/nA0ghCF2HCU5w/PIkx2+ts6H54yo1A0SuxguIlzspn70KUeUmIxbWZCSvCTQmrUlHg0PMvTD8cI&#10;gEsNNU5vjVZol+2+gaWpttCXM51wvKUzAcXnxIdr4kAp8F5Qf7iCg0sDRczewqg27s3f/DEfBghR&#10;jBpQXon96zVxDCP5TMNoY+9RqukChrvrXR68eq0uDIi6D/tlaTJjbpAHkzujXsFyTGM1CBFNoWaJ&#10;aXCHy0XoNgHWi7LpNKWBLC0Jc72wNIJ3RE7XwXCROI4EdazseQNhpintlygq/+49ZZ1WffI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tQ028d0AAAAMAQAADwAAAAAAAAABACAAAAAiAAAAZHJzL2Rv&#10;d25yZXYueG1sUEsBAhQAFAAAAAgAh07iQJlCJ7I1AgAAMgQAAA4AAAAAAAAAAQAgAAAALAEAAGRy&#10;cy9lMm9Eb2MueG1sUEsFBgAAAAAGAAYAWQEAANMFAAAAAA==&#10;">
                <v:fill on="f" focussize="0,0"/>
                <v:stroke on="f" weight="0.5pt"/>
                <v:imagedata o:title=""/>
                <o:lock v:ext="edit" aspectratio="f"/>
                <v:textbox inset="1mm,0mm,1mm,0mm">
                  <w:txbxContent>
                    <w:p>
                      <w:pPr>
                        <w:wordWrap/>
                        <w:snapToGrid w:val="0"/>
                        <w:jc w:val="left"/>
                      </w:pPr>
                      <w:r>
                        <w:rPr>
                          <w:rFonts w:hint="eastAsia" w:ascii="黑体" w:hAnsi="黑体" w:eastAsia="黑体" w:cs="黑体"/>
                          <w:sz w:val="28"/>
                          <w:szCs w:val="28"/>
                        </w:rPr>
                        <w:t>XXXX-XX-XX 发布</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3553460</wp:posOffset>
                </wp:positionH>
                <wp:positionV relativeFrom="paragraph">
                  <wp:posOffset>8566150</wp:posOffset>
                </wp:positionV>
                <wp:extent cx="2613660" cy="360045"/>
                <wp:effectExtent l="0" t="0" r="0" b="0"/>
                <wp:wrapNone/>
                <wp:docPr id="8" name="文本框 实施日期" title="实施日期"/>
                <wp:cNvGraphicFramePr/>
                <a:graphic xmlns:a="http://schemas.openxmlformats.org/drawingml/2006/main">
                  <a:graphicData uri="http://schemas.microsoft.com/office/word/2010/wordprocessingShape">
                    <wps:wsp>
                      <wps:cNvSpPr txBox="1"/>
                      <wps:spPr>
                        <a:xfrm>
                          <a:off x="0" y="0"/>
                          <a:ext cx="2613660" cy="3600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right"/>
                            </w:pPr>
                            <w:r>
                              <w:rPr>
                                <w:rFonts w:hint="eastAsia" w:ascii="黑体" w:hAnsi="黑体" w:eastAsia="黑体" w:cs="黑体"/>
                                <w:sz w:val="28"/>
                              </w:rPr>
                              <w:t>XXXX-XX-XX 实施</w:t>
                            </w:r>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id="文本框 实施日期" o:spid="_x0000_s1026" o:spt="202" type="#_x0000_t202" style="position:absolute;left:0pt;margin-left:279.8pt;margin-top:674.5pt;height:28.35pt;width:205.8pt;z-index:251665408;v-text-anchor:middle;mso-width-relative:page;mso-height-relative:page;" filled="f" stroked="f" coordsize="21600,21600" o:gfxdata="UEsDBAoAAAAAAIdO4kAAAAAAAAAAAAAAAAAEAAAAZHJzL1BLAwQUAAAACACHTuJAjxIb0d8AAAAN&#10;AQAADwAAAGRycy9kb3ducmV2LnhtbE2PzU7DMBCE70i8g7VIXCpqp23aJsSpREoPlZCAgsTVjU0S&#10;NV5HtvsDT89yguPOfJqdKVYX27OT8aFzKCEZC2AGa6c7bCS8v23ulsBCVKhV79BI+DIBVuX1VaFy&#10;7c74ak672DAKwZArCW2MQ855qFtjVRi7wSB5n85bFen0DddenSnc9nwixJxb1SF9aNVgqtbUh93R&#10;SngYrR/5x2jtNy9Pz9vKf9fV9LCU8vYmEffAornEPxh+61N1KKnT3h1RB9ZLSNNsTigZ01lGqwjJ&#10;FskE2J6kmUgXwMuC/19R/gBQSwMEFAAAAAgAh07iQNFiirczAgAAMgQAAA4AAABkcnMvZTJvRG9j&#10;LnhtbK1TS44TMRDdI3EHy3vSnQzTQq10RmFGQUgRM1JArB23nbbkH7aT7nAAuMGwGYFYsEPcgOOQ&#10;c1B25zN8VoiNu1xV/cr16tX4olMSbZjzwugKDwc5RkxTUwu9qvCrl7NHTzDygeiaSKNZhbfM44vJ&#10;wwfj1pZsZBoja+YQgGhftrbCTQi2zDJPG6aIHxjLNAS5cYoEuLpVVjvSArqS2SjPi6w1rrbOUOY9&#10;eK/6IJ4kfM4ZDdecexaQrDC8LaTTpXMZz2wyJuXKEdsIun8G+YdXKCI0FD1CXZFA0NqJP6CUoM54&#10;w8OAGpUZzgVlqQfoZpj/1s2iIZalXoAcb480+f8HS19sbhwSdYVhUJooGNHu9v3u7uvu8zv049vH&#10;3e333Ycvu7tPwJ0IEsK/OIG+1voSUBYWcEL31HQgg0hr9HtwRlY67lT8Qr8I4jCI7ZF81gVEwTkq&#10;hmdFASEKsbMizx+fR5js9Ld1PjxjRqFoVNjBcBPnZDP3oU89pMRi2syElOAnpdSorXBxdp6nH44R&#10;AJcaapzeGq3QLbt9A0tTb6EvZ3rheEtnAorPiQ83xIFS4L2g/nANB5cGipi9hVFj3Nu/+WM+DBCi&#10;GLWgvAr7N2viGEbyuYbRxt6jVNMFDHffuzx49VpdGhD1EPbL0mTG3CAPJndGvYblmMZqECKaQs0K&#10;0+AOl8vQbwKsF2XTaUoDWVoS5nphaQTviZyug+EicRwJ6lnZ8wbCTFPaL1FU/v17yjqt+uQ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jxIb0d8AAAANAQAADwAAAAAAAAABACAAAAAiAAAAZHJzL2Rv&#10;d25yZXYueG1sUEsBAhQAFAAAAAgAh07iQNFiirczAgAAMgQAAA4AAAAAAAAAAQAgAAAALgEAAGRy&#10;cy9lMm9Eb2MueG1sUEsFBgAAAAAGAAYAWQEAANMFAAAAAA==&#10;">
                <v:fill on="f" focussize="0,0"/>
                <v:stroke on="f" weight="0.5pt"/>
                <v:imagedata o:title=""/>
                <o:lock v:ext="edit" aspectratio="f"/>
                <v:textbox inset="1mm,0mm,1mm,0mm">
                  <w:txbxContent>
                    <w:p>
                      <w:pPr>
                        <w:jc w:val="right"/>
                      </w:pPr>
                      <w:r>
                        <w:rPr>
                          <w:rFonts w:hint="eastAsia" w:ascii="黑体" w:hAnsi="黑体" w:eastAsia="黑体" w:cs="黑体"/>
                          <w:sz w:val="28"/>
                        </w:rPr>
                        <w:t>XXXX-XX-XX 实施</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1905</wp:posOffset>
                </wp:positionH>
                <wp:positionV relativeFrom="paragraph">
                  <wp:posOffset>9217025</wp:posOffset>
                </wp:positionV>
                <wp:extent cx="6129020" cy="842010"/>
                <wp:effectExtent l="0" t="0" r="0" b="0"/>
                <wp:wrapNone/>
                <wp:docPr id="9" name="文本框 发布单位" title="发布单位"/>
                <wp:cNvGraphicFramePr/>
                <a:graphic xmlns:a="http://schemas.openxmlformats.org/drawingml/2006/main">
                  <a:graphicData uri="http://schemas.microsoft.com/office/word/2010/wordprocessingShape">
                    <wps:wsp>
                      <wps:cNvSpPr txBox="1"/>
                      <wps:spPr>
                        <a:xfrm>
                          <a:off x="0" y="0"/>
                          <a:ext cx="6129020" cy="842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22"/>
                              <w:tblW w:w="5010" w:type="dxa"/>
                              <w:jc w:val="center"/>
                              <w:tblInd w:w="0" w:type="dxa"/>
                              <w:tblLayout w:type="fixed"/>
                              <w:tblCellMar>
                                <w:top w:w="85" w:type="dxa"/>
                                <w:left w:w="0" w:type="dxa"/>
                                <w:bottom w:w="85" w:type="dxa"/>
                                <w:right w:w="108" w:type="dxa"/>
                              </w:tblCellMar>
                            </w:tblPr>
                            <w:tblGrid>
                              <w:gridCol w:w="3600"/>
                              <w:gridCol w:w="1410"/>
                            </w:tblGrid>
                            <w:tr>
                              <w:tblPrEx>
                                <w:tblLayout w:type="fixed"/>
                                <w:tblCellMar>
                                  <w:top w:w="85" w:type="dxa"/>
                                  <w:left w:w="0" w:type="dxa"/>
                                  <w:bottom w:w="85" w:type="dxa"/>
                                  <w:right w:w="108" w:type="dxa"/>
                                </w:tblCellMar>
                              </w:tblPrEx>
                              <w:trPr>
                                <w:jc w:val="center"/>
                              </w:trPr>
                              <w:tc>
                                <w:tcPr>
                                  <w:tcW w:w="3600" w:type="dxa"/>
                                  <w:tcBorders>
                                    <w:tl2br w:val="nil"/>
                                    <w:tr2bl w:val="nil"/>
                                  </w:tcBorders>
                                  <w:tcMar>
                                    <w:top w:w="85" w:type="dxa"/>
                                    <w:left w:w="0" w:type="dxa"/>
                                    <w:bottom w:w="85" w:type="dxa"/>
                                    <w:right w:w="0" w:type="dxa"/>
                                  </w:tcMar>
                                  <w:vAlign w:val="center"/>
                                </w:tcPr>
                                <w:p>
                                  <w:pPr>
                                    <w:wordWrap/>
                                    <w:snapToGrid w:val="0"/>
                                    <w:spacing w:line="200" w:lineRule="auto"/>
                                    <w:jc w:val="distribute"/>
                                    <w:rPr>
                                      <w:spacing w:val="34"/>
                                      <w:w w:val="75"/>
                                    </w:rPr>
                                  </w:pPr>
                                  <w:r>
                                    <w:rPr>
                                      <w:rFonts w:hint="eastAsia" w:ascii="黑体" w:hAnsi="黑体" w:eastAsia="黑体" w:cs="黑体"/>
                                      <w:sz w:val="36"/>
                                      <w:szCs w:val="36"/>
                                    </w:rPr>
                                    <w:t>湖南省市场监督管理局</w:t>
                                  </w:r>
                                </w:p>
                              </w:tc>
                              <w:tc>
                                <w:tcPr>
                                  <w:tcW w:w="1410" w:type="dxa"/>
                                  <w:tcBorders>
                                    <w:tl2br w:val="nil"/>
                                    <w:tr2bl w:val="nil"/>
                                  </w:tcBorders>
                                  <w:tcMar>
                                    <w:top w:w="85" w:type="dxa"/>
                                    <w:left w:w="510" w:type="dxa"/>
                                    <w:bottom w:w="85" w:type="dxa"/>
                                    <w:right w:w="0" w:type="dxa"/>
                                  </w:tcMar>
                                  <w:vAlign w:val="center"/>
                                </w:tcPr>
                                <w:p>
                                  <w:pPr>
                                    <w:jc w:val="center"/>
                                  </w:pPr>
                                  <w:r>
                                    <w:rPr>
                                      <w:rFonts w:hint="eastAsia" w:ascii="黑体" w:hAnsi="黑体" w:eastAsia="黑体" w:cs="黑体"/>
                                      <w:spacing w:val="85"/>
                                      <w:sz w:val="28"/>
                                      <w:szCs w:val="28"/>
                                    </w:rPr>
                                    <w:t>发布</w:t>
                                  </w:r>
                                </w:p>
                              </w:tc>
                            </w:tr>
                          </w:tbl>
                          <w:p/>
                        </w:txbxContent>
                      </wps:txbx>
                      <wps:bodyPr rot="0" spcFirstLastPara="0" vertOverflow="overflow" horzOverflow="overflow" vert="horz" wrap="square" lIns="36000" tIns="0" rIns="36000" bIns="0" numCol="1" spcCol="0" rtlCol="0" fromWordArt="0" anchor="ctr" anchorCtr="0" forceAA="0" compatLnSpc="1">
                        <a:noAutofit/>
                      </wps:bodyPr>
                    </wps:wsp>
                  </a:graphicData>
                </a:graphic>
              </wp:anchor>
            </w:drawing>
          </mc:Choice>
          <mc:Fallback>
            <w:pict>
              <v:shape id="文本框 发布单位" o:spid="_x0000_s1026" o:spt="202" type="#_x0000_t202" style="position:absolute;left:0pt;margin-left:0.15pt;margin-top:725.75pt;height:66.3pt;width:482.6pt;z-index:251666432;v-text-anchor:middle;mso-width-relative:page;mso-height-relative:page;" filled="f" stroked="f" coordsize="21600,21600" o:gfxdata="UEsDBAoAAAAAAIdO4kAAAAAAAAAAAAAAAAAEAAAAZHJzL1BLAwQUAAAACACHTuJAv+2P49wAAAAK&#10;AQAADwAAAGRycy9kb3ducmV2LnhtbE2PzU7DMBCE70i8g7VIXCrqhDZVCHEqkdIDUiWgIHF14yWJ&#10;Gq8j2/2Bp2c5wW13ZjT7bbk820Ec0YfekYJ0moBAapzpqVXw/ra+yUGEqMnowREq+MIAy+ryotSF&#10;cSd6xeM2toJLKBRaQRfjWEgZmg6tDlM3IrH36bzVkVffSuP1icvtIG+TZCGt7okvdHrEusNmvz1Y&#10;BQ+T1aP8mKz8+mXz/FT776ae7XOlrq/S5B5ExHP8C8MvPqNDxUw7dyATxKBgxjlW51magWD/bpHx&#10;sGMpy+cpyKqU/1+ofgBQSwMEFAAAAAgAh07iQNRMM182AgAAMgQAAA4AAABkcnMvZTJvRG9jLnht&#10;bK1TvY4TMRDukXgHyz3ZTQ6iu1U2p3CnIKSIOykgasdr31ryH7aT3dAiQXVCFFDR0PMANLwNyXMw&#10;9ubn+KkQjXc8M/uN55tvRuetkmjFnBdGl7jfyzFimppK6JsSv3g+fXCKkQ9EV0QazUq8Zh6fj+/f&#10;GzW2YANTG1kxhwBE+6KxJa5DsEWWeVozRXzPWKYhyI1TJMDV3WSVIw2gK5kN8nyYNcZV1hnKvAfv&#10;ZRfE44TPOaPhinPPApIlhreFdLp0LuKZjUekuHHE1oLunkH+4RWKCA1FD1CXJBC0dOIPKCWoM97w&#10;0KNGZYZzQVnqAbrp5791M6+JZakXIMfbA03+/8HSZ6trh0RV4jOMNFEwou2nd9vPX7df3qLN+w+b&#10;b282tx9/fL8F7kSQEP7FCfQ11heAMreAE9rHpgUZRFqj34MzstJyp+IX+kUQh0GsD+SzNiAKzmF/&#10;cJYPIEQhdvow0hFhsuPf1vnwhBmFolFiB8NNnJPVzIcudZ8Si2kzFVKCnxRSowYqnDzK0w+HCIBL&#10;DTWOb41WaBftroGFqdbQlzOdcLylUwHFZ8SHa+JAKfBeUH+4goNLA0XMzsKoNu713/wxHwYIUYwa&#10;UF6J/aslcQwj+VTDaE+GeR6lmi5guLvexd6rl+rCgKj7sF+WJjPmBrk3uTPqJSzHJFaDENEUapaY&#10;Bre/XIRuE2C9KJtMUhrI0pIw03NLI3hH5GQZDBeJ40hQx8qONxBmmtJuiaLy795T1nHVx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v+2P49wAAAAKAQAADwAAAAAAAAABACAAAAAiAAAAZHJzL2Rv&#10;d25yZXYueG1sUEsBAhQAFAAAAAgAh07iQNRMM182AgAAMgQAAA4AAAAAAAAAAQAgAAAAKwEAAGRy&#10;cy9lMm9Eb2MueG1sUEsFBgAAAAAGAAYAWQEAANMFAAAAAA==&#10;">
                <v:fill on="f" focussize="0,0"/>
                <v:stroke on="f" weight="0.5pt"/>
                <v:imagedata o:title=""/>
                <o:lock v:ext="edit" aspectratio="f"/>
                <v:textbox inset="1mm,0mm,1mm,0mm">
                  <w:txbxContent>
                    <w:tbl>
                      <w:tblPr>
                        <w:tblStyle w:val="22"/>
                        <w:tblW w:w="5010" w:type="dxa"/>
                        <w:jc w:val="center"/>
                        <w:tblInd w:w="0" w:type="dxa"/>
                        <w:tblLayout w:type="fixed"/>
                        <w:tblCellMar>
                          <w:top w:w="85" w:type="dxa"/>
                          <w:left w:w="0" w:type="dxa"/>
                          <w:bottom w:w="85" w:type="dxa"/>
                          <w:right w:w="108" w:type="dxa"/>
                        </w:tblCellMar>
                      </w:tblPr>
                      <w:tblGrid>
                        <w:gridCol w:w="3600"/>
                        <w:gridCol w:w="1410"/>
                      </w:tblGrid>
                      <w:tr>
                        <w:tblPrEx>
                          <w:tblLayout w:type="fixed"/>
                          <w:tblCellMar>
                            <w:top w:w="85" w:type="dxa"/>
                            <w:left w:w="0" w:type="dxa"/>
                            <w:bottom w:w="85" w:type="dxa"/>
                            <w:right w:w="108" w:type="dxa"/>
                          </w:tblCellMar>
                        </w:tblPrEx>
                        <w:trPr>
                          <w:jc w:val="center"/>
                        </w:trPr>
                        <w:tc>
                          <w:tcPr>
                            <w:tcW w:w="3600" w:type="dxa"/>
                            <w:tcBorders>
                              <w:tl2br w:val="nil"/>
                              <w:tr2bl w:val="nil"/>
                            </w:tcBorders>
                            <w:tcMar>
                              <w:top w:w="85" w:type="dxa"/>
                              <w:left w:w="0" w:type="dxa"/>
                              <w:bottom w:w="85" w:type="dxa"/>
                              <w:right w:w="0" w:type="dxa"/>
                            </w:tcMar>
                            <w:vAlign w:val="center"/>
                          </w:tcPr>
                          <w:p>
                            <w:pPr>
                              <w:wordWrap/>
                              <w:snapToGrid w:val="0"/>
                              <w:spacing w:line="200" w:lineRule="auto"/>
                              <w:jc w:val="distribute"/>
                              <w:rPr>
                                <w:spacing w:val="34"/>
                                <w:w w:val="75"/>
                              </w:rPr>
                            </w:pPr>
                            <w:r>
                              <w:rPr>
                                <w:rFonts w:hint="eastAsia" w:ascii="黑体" w:hAnsi="黑体" w:eastAsia="黑体" w:cs="黑体"/>
                                <w:sz w:val="36"/>
                                <w:szCs w:val="36"/>
                              </w:rPr>
                              <w:t>湖南省市场监督管理局</w:t>
                            </w:r>
                          </w:p>
                        </w:tc>
                        <w:tc>
                          <w:tcPr>
                            <w:tcW w:w="1410" w:type="dxa"/>
                            <w:tcBorders>
                              <w:tl2br w:val="nil"/>
                              <w:tr2bl w:val="nil"/>
                            </w:tcBorders>
                            <w:tcMar>
                              <w:top w:w="85" w:type="dxa"/>
                              <w:left w:w="510" w:type="dxa"/>
                              <w:bottom w:w="85" w:type="dxa"/>
                              <w:right w:w="0" w:type="dxa"/>
                            </w:tcMar>
                            <w:vAlign w:val="center"/>
                          </w:tcPr>
                          <w:p>
                            <w:pPr>
                              <w:jc w:val="center"/>
                            </w:pPr>
                            <w:r>
                              <w:rPr>
                                <w:rFonts w:hint="eastAsia" w:ascii="黑体" w:hAnsi="黑体" w:eastAsia="黑体" w:cs="黑体"/>
                                <w:spacing w:val="85"/>
                                <w:sz w:val="28"/>
                                <w:szCs w:val="28"/>
                              </w:rPr>
                              <w:t>发布</w:t>
                            </w:r>
                          </w:p>
                        </w:tc>
                      </w:tr>
                    </w:tbl>
                    <w:p/>
                  </w:txbxContent>
                </v:textbox>
              </v:shape>
            </w:pict>
          </mc:Fallback>
        </mc:AlternateContent>
      </w:r>
    </w:p>
    <w:p>
      <w:pPr>
        <w:sectPr>
          <w:pgSz w:w="11906" w:h="16838"/>
          <w:pgMar w:top="567" w:right="850" w:bottom="1111" w:left="1417" w:header="850" w:footer="850" w:gutter="0"/>
          <w:pgNumType w:fmt="upperRoman"/>
          <w:cols w:space="425" w:num="1"/>
          <w:docGrid w:type="lines" w:linePitch="312" w:charSpace="0"/>
        </w:sectPr>
      </w:pPr>
    </w:p>
    <w:p>
      <w:pPr>
        <w:pStyle w:val="36"/>
      </w:pPr>
      <w:r>
        <w:rPr>
          <w:rFonts w:hint="eastAsia" w:hAnsi="黑体" w:cs="黑体"/>
        </w:rPr>
        <w:t>目</w:t>
      </w:r>
      <w:r>
        <w:rPr>
          <w:rFonts w:hint="eastAsia" w:ascii="MS Mincho" w:hAnsi="MS Mincho" w:eastAsia="MS Mincho" w:cs="MS Mincho"/>
        </w:rPr>
        <w:t>  </w:t>
      </w:r>
      <w:r>
        <w:rPr>
          <w:rFonts w:hint="eastAsia" w:hAnsi="黑体" w:cs="黑体"/>
        </w:rPr>
        <w:t>次</w:t>
      </w:r>
    </w:p>
    <w:p>
      <w:pPr>
        <w:pStyle w:val="13"/>
        <w:tabs>
          <w:tab w:val="right" w:leader="dot" w:pos="9242"/>
          <w:tab w:val="clear" w:pos="9241"/>
        </w:tabs>
        <w:spacing w:before="78" w:after="78"/>
      </w:pPr>
      <w:r>
        <w:rPr>
          <w:rFonts w:hint="eastAsia"/>
        </w:rPr>
        <w:fldChar w:fldCharType="begin"/>
      </w:r>
      <w:r>
        <w:rPr>
          <w:rFonts w:hint="eastAsia"/>
        </w:rPr>
        <w:instrText xml:space="preserve">TOC \o "1-3" \h \u </w:instrText>
      </w:r>
      <w:r>
        <w:rPr>
          <w:rFonts w:hint="eastAsia"/>
        </w:rPr>
        <w:fldChar w:fldCharType="separate"/>
      </w:r>
      <w:r>
        <w:rPr>
          <w:rFonts w:hint="eastAsia"/>
        </w:rPr>
        <w:fldChar w:fldCharType="begin"/>
      </w:r>
      <w:r>
        <w:rPr>
          <w:rFonts w:hint="eastAsia"/>
        </w:rPr>
        <w:instrText xml:space="preserve"> HYPERLINK \l _Toc14080 </w:instrText>
      </w:r>
      <w:r>
        <w:rPr>
          <w:rFonts w:hint="eastAsia"/>
        </w:rPr>
        <w:fldChar w:fldCharType="separate"/>
      </w:r>
      <w:r>
        <w:rPr>
          <w:rFonts w:hint="eastAsia"/>
        </w:rPr>
        <w:t>前  言</w:t>
      </w:r>
      <w:r>
        <w:tab/>
      </w:r>
      <w:r>
        <w:fldChar w:fldCharType="begin"/>
      </w:r>
      <w:r>
        <w:instrText xml:space="preserve"> PAGEREF _Toc14080 \h </w:instrText>
      </w:r>
      <w:r>
        <w:fldChar w:fldCharType="separate"/>
      </w:r>
      <w:r>
        <w:t>II</w:t>
      </w:r>
      <w:r>
        <w:fldChar w:fldCharType="end"/>
      </w:r>
      <w:r>
        <w:rPr>
          <w:rFonts w:hint="eastAsia"/>
        </w:rPr>
        <w:fldChar w:fldCharType="end"/>
      </w:r>
    </w:p>
    <w:p>
      <w:pPr>
        <w:pStyle w:val="13"/>
        <w:tabs>
          <w:tab w:val="right" w:leader="dot" w:pos="9242"/>
          <w:tab w:val="clear" w:pos="9241"/>
        </w:tabs>
        <w:spacing w:before="78" w:after="78"/>
      </w:pPr>
      <w:r>
        <w:rPr>
          <w:rFonts w:hint="eastAsia"/>
        </w:rPr>
        <w:fldChar w:fldCharType="begin"/>
      </w:r>
      <w:r>
        <w:rPr>
          <w:rFonts w:hint="eastAsia"/>
        </w:rPr>
        <w:instrText xml:space="preserve"> HYPERLINK \l _Toc23304 </w:instrText>
      </w:r>
      <w:r>
        <w:rPr>
          <w:rFonts w:hint="eastAsia"/>
        </w:rPr>
        <w:fldChar w:fldCharType="separate"/>
      </w:r>
      <w:r>
        <w:rPr>
          <w:rFonts w:hint="default"/>
        </w:rPr>
        <w:t xml:space="preserve">1 </w:t>
      </w:r>
      <w:r>
        <w:rPr>
          <w:rFonts w:hint="eastAsia"/>
        </w:rPr>
        <w:t>范围</w:t>
      </w:r>
      <w:r>
        <w:tab/>
      </w:r>
      <w:r>
        <w:fldChar w:fldCharType="begin"/>
      </w:r>
      <w:r>
        <w:instrText xml:space="preserve"> PAGEREF _Toc23304 \h </w:instrText>
      </w:r>
      <w:r>
        <w:fldChar w:fldCharType="separate"/>
      </w:r>
      <w:r>
        <w:t>1</w:t>
      </w:r>
      <w:r>
        <w:fldChar w:fldCharType="end"/>
      </w:r>
      <w:r>
        <w:rPr>
          <w:rFonts w:hint="eastAsia"/>
        </w:rPr>
        <w:fldChar w:fldCharType="end"/>
      </w:r>
    </w:p>
    <w:p>
      <w:pPr>
        <w:pStyle w:val="13"/>
        <w:tabs>
          <w:tab w:val="right" w:leader="dot" w:pos="9242"/>
          <w:tab w:val="clear" w:pos="9241"/>
        </w:tabs>
        <w:spacing w:before="78" w:after="78"/>
      </w:pPr>
      <w:r>
        <w:rPr>
          <w:rFonts w:hint="eastAsia"/>
        </w:rPr>
        <w:fldChar w:fldCharType="begin"/>
      </w:r>
      <w:r>
        <w:rPr>
          <w:rFonts w:hint="eastAsia"/>
        </w:rPr>
        <w:instrText xml:space="preserve"> HYPERLINK \l _Toc14957 </w:instrText>
      </w:r>
      <w:r>
        <w:rPr>
          <w:rFonts w:hint="eastAsia"/>
        </w:rPr>
        <w:fldChar w:fldCharType="separate"/>
      </w:r>
      <w:r>
        <w:rPr>
          <w:rFonts w:hint="default"/>
        </w:rPr>
        <w:t xml:space="preserve">2 </w:t>
      </w:r>
      <w:r>
        <w:rPr>
          <w:rFonts w:hint="eastAsia"/>
        </w:rPr>
        <w:t>规范性引用文件</w:t>
      </w:r>
      <w:r>
        <w:tab/>
      </w:r>
      <w:r>
        <w:fldChar w:fldCharType="begin"/>
      </w:r>
      <w:r>
        <w:instrText xml:space="preserve"> PAGEREF _Toc14957 \h </w:instrText>
      </w:r>
      <w:r>
        <w:fldChar w:fldCharType="separate"/>
      </w:r>
      <w:r>
        <w:t>1</w:t>
      </w:r>
      <w:r>
        <w:fldChar w:fldCharType="end"/>
      </w:r>
      <w:r>
        <w:rPr>
          <w:rFonts w:hint="eastAsia"/>
        </w:rPr>
        <w:fldChar w:fldCharType="end"/>
      </w:r>
    </w:p>
    <w:p>
      <w:pPr>
        <w:pStyle w:val="13"/>
        <w:tabs>
          <w:tab w:val="right" w:leader="dot" w:pos="9242"/>
          <w:tab w:val="clear" w:pos="9241"/>
        </w:tabs>
        <w:spacing w:before="78" w:after="78"/>
      </w:pPr>
      <w:r>
        <w:rPr>
          <w:rFonts w:hint="eastAsia"/>
        </w:rPr>
        <w:fldChar w:fldCharType="begin"/>
      </w:r>
      <w:r>
        <w:rPr>
          <w:rFonts w:hint="eastAsia"/>
        </w:rPr>
        <w:instrText xml:space="preserve"> HYPERLINK \l _Toc12725 </w:instrText>
      </w:r>
      <w:r>
        <w:rPr>
          <w:rFonts w:hint="eastAsia"/>
        </w:rPr>
        <w:fldChar w:fldCharType="separate"/>
      </w:r>
      <w:r>
        <w:rPr>
          <w:rFonts w:hint="default"/>
        </w:rPr>
        <w:t xml:space="preserve">3 </w:t>
      </w:r>
      <w:r>
        <w:rPr>
          <w:rFonts w:hint="eastAsia"/>
        </w:rPr>
        <w:t>术语和定义</w:t>
      </w:r>
      <w:r>
        <w:tab/>
      </w:r>
      <w:r>
        <w:fldChar w:fldCharType="begin"/>
      </w:r>
      <w:r>
        <w:instrText xml:space="preserve"> PAGEREF _Toc12725 \h </w:instrText>
      </w:r>
      <w:r>
        <w:fldChar w:fldCharType="separate"/>
      </w:r>
      <w:r>
        <w:t>1</w:t>
      </w:r>
      <w:r>
        <w:fldChar w:fldCharType="end"/>
      </w:r>
      <w:r>
        <w:rPr>
          <w:rFonts w:hint="eastAsia"/>
        </w:rPr>
        <w:fldChar w:fldCharType="end"/>
      </w:r>
    </w:p>
    <w:p>
      <w:pPr>
        <w:pStyle w:val="13"/>
        <w:tabs>
          <w:tab w:val="right" w:leader="dot" w:pos="9242"/>
          <w:tab w:val="clear" w:pos="9241"/>
        </w:tabs>
        <w:spacing w:before="78" w:after="78"/>
      </w:pPr>
      <w:r>
        <w:rPr>
          <w:rFonts w:hint="eastAsia"/>
        </w:rPr>
        <w:fldChar w:fldCharType="begin"/>
      </w:r>
      <w:r>
        <w:rPr>
          <w:rFonts w:hint="eastAsia"/>
        </w:rPr>
        <w:instrText xml:space="preserve"> HYPERLINK \l _Toc25509 </w:instrText>
      </w:r>
      <w:r>
        <w:rPr>
          <w:rFonts w:hint="eastAsia"/>
        </w:rPr>
        <w:fldChar w:fldCharType="separate"/>
      </w:r>
      <w:r>
        <w:rPr>
          <w:rFonts w:hint="default"/>
        </w:rPr>
        <w:t xml:space="preserve">4 </w:t>
      </w:r>
      <w:r>
        <w:rPr>
          <w:rFonts w:hint="eastAsia"/>
        </w:rPr>
        <w:t>环境条件</w:t>
      </w:r>
      <w:r>
        <w:tab/>
      </w:r>
      <w:r>
        <w:fldChar w:fldCharType="begin"/>
      </w:r>
      <w:r>
        <w:instrText xml:space="preserve"> PAGEREF _Toc25509 \h </w:instrText>
      </w:r>
      <w:r>
        <w:fldChar w:fldCharType="separate"/>
      </w:r>
      <w:r>
        <w:t>1</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_Toc15855 </w:instrText>
      </w:r>
      <w:r>
        <w:rPr>
          <w:rFonts w:hint="eastAsia"/>
        </w:rPr>
        <w:fldChar w:fldCharType="separate"/>
      </w:r>
      <w:r>
        <w:rPr>
          <w:rFonts w:hint="eastAsia"/>
        </w:rPr>
        <w:t>4.1 水源水质</w:t>
      </w:r>
      <w:r>
        <w:tab/>
      </w:r>
      <w:r>
        <w:fldChar w:fldCharType="begin"/>
      </w:r>
      <w:r>
        <w:instrText xml:space="preserve"> PAGEREF _Toc15855 \h </w:instrText>
      </w:r>
      <w:r>
        <w:fldChar w:fldCharType="separate"/>
      </w:r>
      <w:r>
        <w:t>1</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_Toc30832 </w:instrText>
      </w:r>
      <w:r>
        <w:rPr>
          <w:rFonts w:hint="eastAsia"/>
        </w:rPr>
        <w:fldChar w:fldCharType="separate"/>
      </w:r>
      <w:r>
        <w:rPr>
          <w:rFonts w:hint="eastAsia"/>
        </w:rPr>
        <w:t>4.2 池塘要求</w:t>
      </w:r>
      <w:r>
        <w:tab/>
      </w:r>
      <w:r>
        <w:fldChar w:fldCharType="begin"/>
      </w:r>
      <w:r>
        <w:instrText xml:space="preserve"> PAGEREF _Toc30832 \h </w:instrText>
      </w:r>
      <w:r>
        <w:fldChar w:fldCharType="separate"/>
      </w:r>
      <w:r>
        <w:t>1</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_Toc24510 </w:instrText>
      </w:r>
      <w:r>
        <w:rPr>
          <w:rFonts w:hint="eastAsia"/>
        </w:rPr>
        <w:fldChar w:fldCharType="separate"/>
      </w:r>
      <w:r>
        <w:rPr>
          <w:rFonts w:hint="eastAsia"/>
        </w:rPr>
        <w:t>4.3 增氧设备</w:t>
      </w:r>
      <w:r>
        <w:tab/>
      </w:r>
      <w:r>
        <w:fldChar w:fldCharType="begin"/>
      </w:r>
      <w:r>
        <w:instrText xml:space="preserve"> PAGEREF _Toc24510 \h </w:instrText>
      </w:r>
      <w:r>
        <w:fldChar w:fldCharType="separate"/>
      </w:r>
      <w:r>
        <w:t>2</w:t>
      </w:r>
      <w:r>
        <w:fldChar w:fldCharType="end"/>
      </w:r>
      <w:r>
        <w:rPr>
          <w:rFonts w:hint="eastAsia"/>
        </w:rPr>
        <w:fldChar w:fldCharType="end"/>
      </w:r>
    </w:p>
    <w:p>
      <w:pPr>
        <w:pStyle w:val="13"/>
        <w:tabs>
          <w:tab w:val="right" w:leader="dot" w:pos="9242"/>
          <w:tab w:val="clear" w:pos="9241"/>
        </w:tabs>
        <w:spacing w:before="78" w:after="78"/>
      </w:pPr>
      <w:r>
        <w:rPr>
          <w:rFonts w:hint="eastAsia"/>
        </w:rPr>
        <w:fldChar w:fldCharType="begin"/>
      </w:r>
      <w:r>
        <w:rPr>
          <w:rFonts w:hint="eastAsia"/>
        </w:rPr>
        <w:instrText xml:space="preserve"> HYPERLINK \l _Toc19603 </w:instrText>
      </w:r>
      <w:r>
        <w:rPr>
          <w:rFonts w:hint="eastAsia"/>
        </w:rPr>
        <w:fldChar w:fldCharType="separate"/>
      </w:r>
      <w:r>
        <w:rPr>
          <w:rFonts w:hint="default"/>
        </w:rPr>
        <w:t xml:space="preserve">5 </w:t>
      </w:r>
      <w:r>
        <w:rPr>
          <w:rFonts w:hint="eastAsia"/>
        </w:rPr>
        <w:t>放养前准备</w:t>
      </w:r>
      <w:r>
        <w:tab/>
      </w:r>
      <w:r>
        <w:fldChar w:fldCharType="begin"/>
      </w:r>
      <w:r>
        <w:instrText xml:space="preserve"> PAGEREF _Toc19603 \h </w:instrText>
      </w:r>
      <w:r>
        <w:fldChar w:fldCharType="separate"/>
      </w:r>
      <w:r>
        <w:t>2</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_Toc10311 </w:instrText>
      </w:r>
      <w:r>
        <w:rPr>
          <w:rFonts w:hint="eastAsia"/>
        </w:rPr>
        <w:fldChar w:fldCharType="separate"/>
      </w:r>
      <w:r>
        <w:rPr>
          <w:rFonts w:hint="eastAsia"/>
        </w:rPr>
        <w:t>5.1 清塘消毒</w:t>
      </w:r>
      <w:r>
        <w:tab/>
      </w:r>
      <w:r>
        <w:fldChar w:fldCharType="begin"/>
      </w:r>
      <w:r>
        <w:instrText xml:space="preserve"> PAGEREF _Toc10311 \h </w:instrText>
      </w:r>
      <w:r>
        <w:fldChar w:fldCharType="separate"/>
      </w:r>
      <w:r>
        <w:t>2</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_Toc20297 </w:instrText>
      </w:r>
      <w:r>
        <w:rPr>
          <w:rFonts w:hint="eastAsia"/>
        </w:rPr>
        <w:fldChar w:fldCharType="separate"/>
      </w:r>
      <w:r>
        <w:rPr>
          <w:rFonts w:hint="eastAsia"/>
        </w:rPr>
        <w:t>5.2 水质培肥</w:t>
      </w:r>
      <w:r>
        <w:tab/>
      </w:r>
      <w:r>
        <w:fldChar w:fldCharType="begin"/>
      </w:r>
      <w:r>
        <w:instrText xml:space="preserve"> PAGEREF _Toc20297 \h </w:instrText>
      </w:r>
      <w:r>
        <w:fldChar w:fldCharType="separate"/>
      </w:r>
      <w:r>
        <w:t>2</w:t>
      </w:r>
      <w:r>
        <w:fldChar w:fldCharType="end"/>
      </w:r>
      <w:r>
        <w:rPr>
          <w:rFonts w:hint="eastAsia"/>
        </w:rPr>
        <w:fldChar w:fldCharType="end"/>
      </w:r>
    </w:p>
    <w:p>
      <w:pPr>
        <w:pStyle w:val="13"/>
        <w:tabs>
          <w:tab w:val="right" w:leader="dot" w:pos="9242"/>
          <w:tab w:val="clear" w:pos="9241"/>
        </w:tabs>
        <w:spacing w:before="78" w:after="78"/>
      </w:pPr>
      <w:r>
        <w:rPr>
          <w:rFonts w:hint="eastAsia"/>
        </w:rPr>
        <w:fldChar w:fldCharType="begin"/>
      </w:r>
      <w:r>
        <w:rPr>
          <w:rFonts w:hint="eastAsia"/>
        </w:rPr>
        <w:instrText xml:space="preserve"> HYPERLINK \l _Toc2518 </w:instrText>
      </w:r>
      <w:r>
        <w:rPr>
          <w:rFonts w:hint="eastAsia"/>
        </w:rPr>
        <w:fldChar w:fldCharType="separate"/>
      </w:r>
      <w:r>
        <w:rPr>
          <w:rFonts w:hint="default"/>
        </w:rPr>
        <w:t xml:space="preserve">6 </w:t>
      </w:r>
      <w:r>
        <w:rPr>
          <w:rFonts w:hint="eastAsia"/>
        </w:rPr>
        <w:t>苗种放养</w:t>
      </w:r>
      <w:r>
        <w:tab/>
      </w:r>
      <w:r>
        <w:fldChar w:fldCharType="begin"/>
      </w:r>
      <w:r>
        <w:instrText xml:space="preserve"> PAGEREF _Toc2518 \h </w:instrText>
      </w:r>
      <w:r>
        <w:fldChar w:fldCharType="separate"/>
      </w:r>
      <w:r>
        <w:t>2</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_Toc29092 </w:instrText>
      </w:r>
      <w:r>
        <w:rPr>
          <w:rFonts w:hint="eastAsia"/>
        </w:rPr>
        <w:fldChar w:fldCharType="separate"/>
      </w:r>
      <w:r>
        <w:rPr>
          <w:rFonts w:hint="eastAsia"/>
        </w:rPr>
        <w:t>6.1 苗种质量和来源</w:t>
      </w:r>
      <w:r>
        <w:tab/>
      </w:r>
      <w:r>
        <w:fldChar w:fldCharType="begin"/>
      </w:r>
      <w:r>
        <w:instrText xml:space="preserve"> PAGEREF _Toc29092 \h </w:instrText>
      </w:r>
      <w:r>
        <w:fldChar w:fldCharType="separate"/>
      </w:r>
      <w:r>
        <w:t>2</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_Toc16715 </w:instrText>
      </w:r>
      <w:r>
        <w:rPr>
          <w:rFonts w:hint="eastAsia"/>
        </w:rPr>
        <w:fldChar w:fldCharType="separate"/>
      </w:r>
      <w:r>
        <w:rPr>
          <w:rFonts w:hint="eastAsia"/>
        </w:rPr>
        <w:t>6.2 苗种规格</w:t>
      </w:r>
      <w:r>
        <w:tab/>
      </w:r>
      <w:r>
        <w:fldChar w:fldCharType="begin"/>
      </w:r>
      <w:r>
        <w:instrText xml:space="preserve"> PAGEREF _Toc16715 \h </w:instrText>
      </w:r>
      <w:r>
        <w:fldChar w:fldCharType="separate"/>
      </w:r>
      <w:r>
        <w:t>2</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_Toc5328 </w:instrText>
      </w:r>
      <w:r>
        <w:rPr>
          <w:rFonts w:hint="eastAsia"/>
        </w:rPr>
        <w:fldChar w:fldCharType="separate"/>
      </w:r>
      <w:r>
        <w:rPr>
          <w:rFonts w:hint="eastAsia"/>
        </w:rPr>
        <w:t>6.3 放养密度</w:t>
      </w:r>
      <w:r>
        <w:tab/>
      </w:r>
      <w:r>
        <w:fldChar w:fldCharType="begin"/>
      </w:r>
      <w:r>
        <w:instrText xml:space="preserve"> PAGEREF _Toc5328 \h </w:instrText>
      </w:r>
      <w:r>
        <w:fldChar w:fldCharType="separate"/>
      </w:r>
      <w:r>
        <w:t>2</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_Toc3013 </w:instrText>
      </w:r>
      <w:r>
        <w:rPr>
          <w:rFonts w:hint="eastAsia"/>
        </w:rPr>
        <w:fldChar w:fldCharType="separate"/>
      </w:r>
      <w:r>
        <w:rPr>
          <w:rFonts w:hint="eastAsia"/>
        </w:rPr>
        <w:t>6.4 放养时间</w:t>
      </w:r>
      <w:r>
        <w:tab/>
      </w:r>
      <w:r>
        <w:fldChar w:fldCharType="begin"/>
      </w:r>
      <w:r>
        <w:instrText xml:space="preserve"> PAGEREF _Toc3013 \h </w:instrText>
      </w:r>
      <w:r>
        <w:fldChar w:fldCharType="separate"/>
      </w:r>
      <w:r>
        <w:t>2</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_Toc26505 </w:instrText>
      </w:r>
      <w:r>
        <w:rPr>
          <w:rFonts w:hint="eastAsia"/>
        </w:rPr>
        <w:fldChar w:fldCharType="separate"/>
      </w:r>
      <w:r>
        <w:rPr>
          <w:rFonts w:hint="eastAsia"/>
        </w:rPr>
        <w:t>6.5 鱼种消毒</w:t>
      </w:r>
      <w:r>
        <w:tab/>
      </w:r>
      <w:r>
        <w:fldChar w:fldCharType="begin"/>
      </w:r>
      <w:r>
        <w:instrText xml:space="preserve"> PAGEREF _Toc26505 \h </w:instrText>
      </w:r>
      <w:r>
        <w:fldChar w:fldCharType="separate"/>
      </w:r>
      <w:r>
        <w:t>2</w:t>
      </w:r>
      <w:r>
        <w:fldChar w:fldCharType="end"/>
      </w:r>
      <w:r>
        <w:rPr>
          <w:rFonts w:hint="eastAsia"/>
        </w:rPr>
        <w:fldChar w:fldCharType="end"/>
      </w:r>
    </w:p>
    <w:p>
      <w:pPr>
        <w:pStyle w:val="13"/>
        <w:tabs>
          <w:tab w:val="right" w:leader="dot" w:pos="9242"/>
          <w:tab w:val="clear" w:pos="9241"/>
        </w:tabs>
        <w:spacing w:before="78" w:after="78"/>
      </w:pPr>
      <w:r>
        <w:rPr>
          <w:rFonts w:hint="eastAsia"/>
        </w:rPr>
        <w:fldChar w:fldCharType="begin"/>
      </w:r>
      <w:r>
        <w:rPr>
          <w:rFonts w:hint="eastAsia"/>
        </w:rPr>
        <w:instrText xml:space="preserve"> HYPERLINK \l _Toc4798 </w:instrText>
      </w:r>
      <w:r>
        <w:rPr>
          <w:rFonts w:hint="eastAsia"/>
        </w:rPr>
        <w:fldChar w:fldCharType="separate"/>
      </w:r>
      <w:r>
        <w:rPr>
          <w:rFonts w:hint="default"/>
        </w:rPr>
        <w:t xml:space="preserve">7 </w:t>
      </w:r>
      <w:r>
        <w:rPr>
          <w:rFonts w:hint="eastAsia"/>
        </w:rPr>
        <w:t>饲料投喂</w:t>
      </w:r>
      <w:r>
        <w:tab/>
      </w:r>
      <w:r>
        <w:fldChar w:fldCharType="begin"/>
      </w:r>
      <w:r>
        <w:instrText xml:space="preserve"> PAGEREF _Toc4798 \h </w:instrText>
      </w:r>
      <w:r>
        <w:fldChar w:fldCharType="separate"/>
      </w:r>
      <w:r>
        <w:t>2</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_Toc5201 </w:instrText>
      </w:r>
      <w:r>
        <w:rPr>
          <w:rFonts w:hint="eastAsia"/>
        </w:rPr>
        <w:fldChar w:fldCharType="separate"/>
      </w:r>
      <w:r>
        <w:rPr>
          <w:rFonts w:hint="eastAsia"/>
        </w:rPr>
        <w:t>7.1 饲料质量</w:t>
      </w:r>
      <w:r>
        <w:tab/>
      </w:r>
      <w:r>
        <w:fldChar w:fldCharType="begin"/>
      </w:r>
      <w:r>
        <w:instrText xml:space="preserve"> PAGEREF _Toc5201 \h </w:instrText>
      </w:r>
      <w:r>
        <w:fldChar w:fldCharType="separate"/>
      </w:r>
      <w:r>
        <w:t>3</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_Toc2550 </w:instrText>
      </w:r>
      <w:r>
        <w:rPr>
          <w:rFonts w:hint="eastAsia"/>
        </w:rPr>
        <w:fldChar w:fldCharType="separate"/>
      </w:r>
      <w:r>
        <w:rPr>
          <w:rFonts w:hint="eastAsia"/>
        </w:rPr>
        <w:t>7.2 投喂方法</w:t>
      </w:r>
      <w:r>
        <w:tab/>
      </w:r>
      <w:r>
        <w:fldChar w:fldCharType="begin"/>
      </w:r>
      <w:r>
        <w:instrText xml:space="preserve"> PAGEREF _Toc2550 \h </w:instrText>
      </w:r>
      <w:r>
        <w:fldChar w:fldCharType="separate"/>
      </w:r>
      <w:r>
        <w:t>3</w:t>
      </w:r>
      <w:r>
        <w:fldChar w:fldCharType="end"/>
      </w:r>
      <w:r>
        <w:rPr>
          <w:rFonts w:hint="eastAsia"/>
        </w:rPr>
        <w:fldChar w:fldCharType="end"/>
      </w:r>
    </w:p>
    <w:p>
      <w:pPr>
        <w:pStyle w:val="13"/>
        <w:tabs>
          <w:tab w:val="right" w:leader="dot" w:pos="9242"/>
          <w:tab w:val="clear" w:pos="9241"/>
        </w:tabs>
        <w:spacing w:before="78" w:after="78"/>
      </w:pPr>
      <w:r>
        <w:rPr>
          <w:rFonts w:hint="eastAsia"/>
        </w:rPr>
        <w:fldChar w:fldCharType="begin"/>
      </w:r>
      <w:r>
        <w:rPr>
          <w:rFonts w:hint="eastAsia"/>
        </w:rPr>
        <w:instrText xml:space="preserve"> HYPERLINK \l _Toc28186 </w:instrText>
      </w:r>
      <w:r>
        <w:rPr>
          <w:rFonts w:hint="eastAsia"/>
        </w:rPr>
        <w:fldChar w:fldCharType="separate"/>
      </w:r>
      <w:r>
        <w:rPr>
          <w:rFonts w:hint="default"/>
        </w:rPr>
        <w:t xml:space="preserve">8 </w:t>
      </w:r>
      <w:r>
        <w:rPr>
          <w:rFonts w:hint="eastAsia"/>
        </w:rPr>
        <w:t>养殖管理</w:t>
      </w:r>
      <w:r>
        <w:tab/>
      </w:r>
      <w:r>
        <w:fldChar w:fldCharType="begin"/>
      </w:r>
      <w:r>
        <w:instrText xml:space="preserve"> PAGEREF _Toc28186 \h </w:instrText>
      </w:r>
      <w:r>
        <w:fldChar w:fldCharType="separate"/>
      </w:r>
      <w:r>
        <w:t>3</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_Toc5606 </w:instrText>
      </w:r>
      <w:r>
        <w:rPr>
          <w:rFonts w:hint="eastAsia"/>
        </w:rPr>
        <w:fldChar w:fldCharType="separate"/>
      </w:r>
      <w:r>
        <w:rPr>
          <w:rFonts w:hint="eastAsia"/>
        </w:rPr>
        <w:t>8.1 水位调控</w:t>
      </w:r>
      <w:r>
        <w:tab/>
      </w:r>
      <w:r>
        <w:fldChar w:fldCharType="begin"/>
      </w:r>
      <w:r>
        <w:instrText xml:space="preserve"> PAGEREF _Toc5606 \h </w:instrText>
      </w:r>
      <w:r>
        <w:fldChar w:fldCharType="separate"/>
      </w:r>
      <w:r>
        <w:t>3</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_Toc30597 </w:instrText>
      </w:r>
      <w:r>
        <w:rPr>
          <w:rFonts w:hint="eastAsia"/>
        </w:rPr>
        <w:fldChar w:fldCharType="separate"/>
      </w:r>
      <w:r>
        <w:rPr>
          <w:rFonts w:hint="eastAsia"/>
        </w:rPr>
        <w:t>8.2 水质调控</w:t>
      </w:r>
      <w:r>
        <w:tab/>
      </w:r>
      <w:r>
        <w:fldChar w:fldCharType="begin"/>
      </w:r>
      <w:r>
        <w:instrText xml:space="preserve"> PAGEREF _Toc30597 \h </w:instrText>
      </w:r>
      <w:r>
        <w:fldChar w:fldCharType="separate"/>
      </w:r>
      <w:r>
        <w:t>3</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_Toc1680 </w:instrText>
      </w:r>
      <w:r>
        <w:rPr>
          <w:rFonts w:hint="eastAsia"/>
        </w:rPr>
        <w:fldChar w:fldCharType="separate"/>
      </w:r>
      <w:r>
        <w:rPr>
          <w:rFonts w:hint="eastAsia"/>
        </w:rPr>
        <w:t>8.3 巡塘</w:t>
      </w:r>
      <w:r>
        <w:tab/>
      </w:r>
      <w:r>
        <w:fldChar w:fldCharType="begin"/>
      </w:r>
      <w:r>
        <w:instrText xml:space="preserve"> PAGEREF _Toc1680 \h </w:instrText>
      </w:r>
      <w:r>
        <w:fldChar w:fldCharType="separate"/>
      </w:r>
      <w:r>
        <w:t>3</w:t>
      </w:r>
      <w:r>
        <w:fldChar w:fldCharType="end"/>
      </w:r>
      <w:r>
        <w:rPr>
          <w:rFonts w:hint="eastAsia"/>
        </w:rPr>
        <w:fldChar w:fldCharType="end"/>
      </w:r>
    </w:p>
    <w:p>
      <w:pPr>
        <w:pStyle w:val="13"/>
        <w:tabs>
          <w:tab w:val="right" w:leader="dot" w:pos="9242"/>
          <w:tab w:val="clear" w:pos="9241"/>
        </w:tabs>
        <w:spacing w:before="78" w:after="78"/>
      </w:pPr>
      <w:r>
        <w:rPr>
          <w:rFonts w:hint="eastAsia"/>
        </w:rPr>
        <w:fldChar w:fldCharType="begin"/>
      </w:r>
      <w:r>
        <w:rPr>
          <w:rFonts w:hint="eastAsia"/>
        </w:rPr>
        <w:instrText xml:space="preserve"> HYPERLINK \l _Toc16619 </w:instrText>
      </w:r>
      <w:r>
        <w:rPr>
          <w:rFonts w:hint="eastAsia"/>
        </w:rPr>
        <w:fldChar w:fldCharType="separate"/>
      </w:r>
      <w:r>
        <w:rPr>
          <w:rFonts w:hint="default"/>
        </w:rPr>
        <w:t xml:space="preserve">9 </w:t>
      </w:r>
      <w:r>
        <w:rPr>
          <w:rFonts w:hint="eastAsia"/>
        </w:rPr>
        <w:t>病害防治</w:t>
      </w:r>
      <w:r>
        <w:tab/>
      </w:r>
      <w:r>
        <w:fldChar w:fldCharType="begin"/>
      </w:r>
      <w:r>
        <w:instrText xml:space="preserve"> PAGEREF _Toc16619 \h </w:instrText>
      </w:r>
      <w:r>
        <w:fldChar w:fldCharType="separate"/>
      </w:r>
      <w:r>
        <w:t>3</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_Toc4569 </w:instrText>
      </w:r>
      <w:r>
        <w:rPr>
          <w:rFonts w:hint="eastAsia"/>
        </w:rPr>
        <w:fldChar w:fldCharType="separate"/>
      </w:r>
      <w:r>
        <w:rPr>
          <w:rFonts w:hint="eastAsia"/>
        </w:rPr>
        <w:t>9.1 病害预防</w:t>
      </w:r>
      <w:r>
        <w:tab/>
      </w:r>
      <w:r>
        <w:fldChar w:fldCharType="begin"/>
      </w:r>
      <w:r>
        <w:instrText xml:space="preserve"> PAGEREF _Toc4569 \h </w:instrText>
      </w:r>
      <w:r>
        <w:fldChar w:fldCharType="separate"/>
      </w:r>
      <w:r>
        <w:t>3</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_Toc15297 </w:instrText>
      </w:r>
      <w:r>
        <w:rPr>
          <w:rFonts w:hint="eastAsia"/>
        </w:rPr>
        <w:fldChar w:fldCharType="separate"/>
      </w:r>
      <w:r>
        <w:rPr>
          <w:rFonts w:hint="eastAsia"/>
        </w:rPr>
        <w:t>9.2 常见鱼病治疗</w:t>
      </w:r>
      <w:r>
        <w:tab/>
      </w:r>
      <w:r>
        <w:fldChar w:fldCharType="begin"/>
      </w:r>
      <w:r>
        <w:instrText xml:space="preserve"> PAGEREF _Toc15297 \h </w:instrText>
      </w:r>
      <w:r>
        <w:fldChar w:fldCharType="separate"/>
      </w:r>
      <w:r>
        <w:t>3</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_Toc20962 </w:instrText>
      </w:r>
      <w:r>
        <w:rPr>
          <w:rFonts w:hint="eastAsia"/>
        </w:rPr>
        <w:fldChar w:fldCharType="separate"/>
      </w:r>
      <w:r>
        <w:rPr>
          <w:rFonts w:hint="eastAsia"/>
        </w:rPr>
        <w:t>9.3 渔药使用</w:t>
      </w:r>
      <w:r>
        <w:tab/>
      </w:r>
      <w:r>
        <w:fldChar w:fldCharType="begin"/>
      </w:r>
      <w:r>
        <w:instrText xml:space="preserve"> PAGEREF _Toc20962 \h </w:instrText>
      </w:r>
      <w:r>
        <w:fldChar w:fldCharType="separate"/>
      </w:r>
      <w:r>
        <w:t>4</w:t>
      </w:r>
      <w:r>
        <w:fldChar w:fldCharType="end"/>
      </w:r>
      <w:r>
        <w:rPr>
          <w:rFonts w:hint="eastAsia"/>
        </w:rPr>
        <w:fldChar w:fldCharType="end"/>
      </w:r>
    </w:p>
    <w:p>
      <w:pPr>
        <w:pStyle w:val="8"/>
        <w:tabs>
          <w:tab w:val="right" w:leader="dot" w:pos="9242"/>
          <w:tab w:val="clear" w:pos="9241"/>
        </w:tabs>
        <w:ind w:firstLine="420"/>
      </w:pPr>
      <w:r>
        <w:rPr>
          <w:rFonts w:hint="eastAsia"/>
        </w:rPr>
        <w:fldChar w:fldCharType="begin"/>
      </w:r>
      <w:r>
        <w:rPr>
          <w:rFonts w:hint="eastAsia"/>
        </w:rPr>
        <w:instrText xml:space="preserve"> HYPERLINK \l _Toc22048 </w:instrText>
      </w:r>
      <w:r>
        <w:rPr>
          <w:rFonts w:hint="eastAsia"/>
        </w:rPr>
        <w:fldChar w:fldCharType="separate"/>
      </w:r>
      <w:r>
        <w:rPr>
          <w:rFonts w:hint="eastAsia"/>
        </w:rPr>
        <w:t>9.4 病死鱼处理</w:t>
      </w:r>
      <w:r>
        <w:tab/>
      </w:r>
      <w:r>
        <w:fldChar w:fldCharType="begin"/>
      </w:r>
      <w:r>
        <w:instrText xml:space="preserve"> PAGEREF _Toc22048 \h </w:instrText>
      </w:r>
      <w:r>
        <w:fldChar w:fldCharType="separate"/>
      </w:r>
      <w:r>
        <w:t>4</w:t>
      </w:r>
      <w:r>
        <w:fldChar w:fldCharType="end"/>
      </w:r>
      <w:r>
        <w:rPr>
          <w:rFonts w:hint="eastAsia"/>
        </w:rPr>
        <w:fldChar w:fldCharType="end"/>
      </w:r>
    </w:p>
    <w:p>
      <w:pPr>
        <w:pStyle w:val="13"/>
        <w:tabs>
          <w:tab w:val="right" w:leader="dot" w:pos="9242"/>
          <w:tab w:val="clear" w:pos="9241"/>
        </w:tabs>
        <w:spacing w:before="78" w:after="78"/>
      </w:pPr>
      <w:r>
        <w:rPr>
          <w:rFonts w:hint="eastAsia"/>
        </w:rPr>
        <w:fldChar w:fldCharType="begin"/>
      </w:r>
      <w:r>
        <w:rPr>
          <w:rFonts w:hint="eastAsia"/>
        </w:rPr>
        <w:instrText xml:space="preserve"> HYPERLINK \l _Toc12023 </w:instrText>
      </w:r>
      <w:r>
        <w:rPr>
          <w:rFonts w:hint="eastAsia"/>
        </w:rPr>
        <w:fldChar w:fldCharType="separate"/>
      </w:r>
      <w:r>
        <w:rPr>
          <w:rFonts w:hint="default"/>
        </w:rPr>
        <w:t xml:space="preserve">10 </w:t>
      </w:r>
      <w:r>
        <w:rPr>
          <w:rFonts w:hint="eastAsia"/>
        </w:rPr>
        <w:t>捕捞上市</w:t>
      </w:r>
      <w:r>
        <w:tab/>
      </w:r>
      <w:r>
        <w:fldChar w:fldCharType="begin"/>
      </w:r>
      <w:r>
        <w:instrText xml:space="preserve"> PAGEREF _Toc12023 \h </w:instrText>
      </w:r>
      <w:r>
        <w:fldChar w:fldCharType="separate"/>
      </w:r>
      <w:r>
        <w:t>4</w:t>
      </w:r>
      <w:r>
        <w:fldChar w:fldCharType="end"/>
      </w:r>
      <w:r>
        <w:rPr>
          <w:rFonts w:hint="eastAsia"/>
        </w:rPr>
        <w:fldChar w:fldCharType="end"/>
      </w:r>
    </w:p>
    <w:p>
      <w:pPr>
        <w:pStyle w:val="13"/>
        <w:tabs>
          <w:tab w:val="right" w:leader="dot" w:pos="9242"/>
          <w:tab w:val="clear" w:pos="9241"/>
        </w:tabs>
        <w:spacing w:before="78" w:after="78"/>
      </w:pPr>
      <w:r>
        <w:rPr>
          <w:rFonts w:hint="eastAsia"/>
        </w:rPr>
        <w:fldChar w:fldCharType="begin"/>
      </w:r>
      <w:r>
        <w:rPr>
          <w:rFonts w:hint="eastAsia"/>
        </w:rPr>
        <w:instrText xml:space="preserve"> HYPERLINK \l _Toc1902 </w:instrText>
      </w:r>
      <w:r>
        <w:rPr>
          <w:rFonts w:hint="eastAsia"/>
        </w:rPr>
        <w:fldChar w:fldCharType="separate"/>
      </w:r>
      <w:r>
        <w:rPr>
          <w:rFonts w:hint="default"/>
        </w:rPr>
        <w:t xml:space="preserve">11 </w:t>
      </w:r>
      <w:r>
        <w:rPr>
          <w:rFonts w:hint="eastAsia"/>
        </w:rPr>
        <w:t>档案记录</w:t>
      </w:r>
      <w:r>
        <w:tab/>
      </w:r>
      <w:r>
        <w:fldChar w:fldCharType="begin"/>
      </w:r>
      <w:r>
        <w:instrText xml:space="preserve"> PAGEREF _Toc1902 \h </w:instrText>
      </w:r>
      <w:r>
        <w:fldChar w:fldCharType="separate"/>
      </w:r>
      <w:r>
        <w:t>4</w:t>
      </w:r>
      <w:r>
        <w:fldChar w:fldCharType="end"/>
      </w:r>
      <w:r>
        <w:rPr>
          <w:rFonts w:hint="eastAsia"/>
        </w:rPr>
        <w:fldChar w:fldCharType="end"/>
      </w:r>
    </w:p>
    <w:p>
      <w:pPr>
        <w:spacing w:line="270" w:lineRule="auto"/>
        <w:sectPr>
          <w:headerReference r:id="rId3" w:type="default"/>
          <w:footerReference r:id="rId4" w:type="default"/>
          <w:pgSz w:w="11906" w:h="16838"/>
          <w:pgMar w:top="1134" w:right="1134" w:bottom="1134" w:left="1417" w:header="850" w:footer="680" w:gutter="0"/>
          <w:pgNumType w:fmt="upperRoman" w:start="1"/>
          <w:cols w:space="425" w:num="1"/>
          <w:docGrid w:type="lines" w:linePitch="312" w:charSpace="0"/>
        </w:sectPr>
      </w:pPr>
      <w:r>
        <w:rPr>
          <w:rFonts w:hint="eastAsia"/>
        </w:rPr>
        <w:fldChar w:fldCharType="end"/>
      </w:r>
    </w:p>
    <w:p>
      <w:pPr>
        <w:pStyle w:val="49"/>
      </w:pPr>
      <w:bookmarkStart w:id="0" w:name="_Toc14080"/>
      <w:bookmarkStart w:id="1" w:name="_Toc497c6337-d909-4856-863a-67d2683c2864"/>
      <w:r>
        <w:rPr>
          <w:rFonts w:hint="eastAsia" w:hAnsi="黑体" w:cs="黑体"/>
        </w:rPr>
        <w:t>前</w:t>
      </w:r>
      <w:r>
        <w:rPr>
          <w:rFonts w:hint="eastAsia" w:ascii="MS Mincho" w:hAnsi="MS Mincho" w:eastAsia="MS Mincho" w:cs="MS Mincho"/>
        </w:rPr>
        <w:t>  </w:t>
      </w:r>
      <w:r>
        <w:rPr>
          <w:rFonts w:hint="eastAsia" w:hAnsi="黑体" w:cs="黑体"/>
        </w:rPr>
        <w:t>言</w:t>
      </w:r>
      <w:bookmarkEnd w:id="0"/>
      <w:bookmarkEnd w:id="1"/>
    </w:p>
    <w:p>
      <w:pPr>
        <w:pStyle w:val="52"/>
        <w:wordWrap w:val="0"/>
        <w:jc w:val="both"/>
        <w:rPr>
          <w:rFonts w:hint="eastAsia" w:hAnsi="宋体" w:cs="宋体"/>
          <w:szCs w:val="21"/>
        </w:rPr>
      </w:pPr>
      <w:r>
        <w:rPr>
          <w:rFonts w:hint="eastAsia" w:hAnsi="宋体" w:cs="宋体"/>
          <w:szCs w:val="21"/>
        </w:rPr>
        <w:t>本标准按GB/T1.1-2020《标准化工作导则 第1部分：标准化文件的结构和起草规则》的规定起草。</w:t>
      </w:r>
    </w:p>
    <w:p>
      <w:pPr>
        <w:pStyle w:val="52"/>
        <w:wordWrap w:val="0"/>
        <w:jc w:val="both"/>
        <w:rPr>
          <w:rFonts w:hint="eastAsia" w:hAnsi="宋体" w:cs="宋体"/>
          <w:szCs w:val="21"/>
        </w:rPr>
      </w:pPr>
      <w:r>
        <w:rPr>
          <w:rFonts w:hint="eastAsia" w:hAnsi="宋体" w:cs="宋体"/>
          <w:szCs w:val="21"/>
        </w:rPr>
        <w:t>本标准某些内容可能涉及专利，本标准发布机构不承担识别这些专利的责任。</w:t>
      </w:r>
    </w:p>
    <w:p>
      <w:pPr>
        <w:pStyle w:val="52"/>
        <w:wordWrap w:val="0"/>
        <w:jc w:val="both"/>
        <w:rPr>
          <w:rFonts w:hint="eastAsia" w:hAnsi="宋体" w:cs="宋体"/>
          <w:szCs w:val="21"/>
        </w:rPr>
      </w:pPr>
      <w:r>
        <w:rPr>
          <w:rFonts w:hint="eastAsia" w:hAnsi="宋体" w:cs="宋体"/>
          <w:szCs w:val="21"/>
        </w:rPr>
        <w:t>本标准由湖南省农业</w:t>
      </w:r>
      <w:r>
        <w:rPr>
          <w:rFonts w:hint="eastAsia" w:hAnsi="宋体" w:cs="宋体"/>
          <w:szCs w:val="21"/>
          <w:lang w:eastAsia="zh-CN"/>
        </w:rPr>
        <w:t>农村厅</w:t>
      </w:r>
      <w:r>
        <w:rPr>
          <w:rFonts w:hint="eastAsia" w:hAnsi="宋体" w:cs="宋体"/>
          <w:szCs w:val="21"/>
        </w:rPr>
        <w:t>提出。</w:t>
      </w:r>
      <w:bookmarkStart w:id="68" w:name="_GoBack"/>
      <w:bookmarkEnd w:id="68"/>
    </w:p>
    <w:p>
      <w:pPr>
        <w:pStyle w:val="52"/>
        <w:wordWrap w:val="0"/>
        <w:jc w:val="both"/>
        <w:rPr>
          <w:rFonts w:hint="eastAsia" w:hAnsi="宋体" w:cs="宋体"/>
          <w:szCs w:val="21"/>
        </w:rPr>
      </w:pPr>
      <w:r>
        <w:rPr>
          <w:rFonts w:hint="eastAsia" w:hAnsi="宋体" w:cs="宋体"/>
          <w:szCs w:val="21"/>
        </w:rPr>
        <w:t>本标准由湖南省农业标准化技术委员会归口。</w:t>
      </w:r>
    </w:p>
    <w:p>
      <w:pPr>
        <w:pStyle w:val="52"/>
        <w:wordWrap w:val="0"/>
        <w:jc w:val="both"/>
        <w:rPr>
          <w:rFonts w:hint="eastAsia" w:hAnsi="宋体" w:cs="宋体"/>
          <w:szCs w:val="21"/>
        </w:rPr>
      </w:pPr>
      <w:r>
        <w:rPr>
          <w:rFonts w:hint="eastAsia" w:hAnsi="宋体" w:cs="宋体"/>
          <w:szCs w:val="21"/>
        </w:rPr>
        <w:t>本标准起草单位：湖南师范大学省部共建淡水鱼类发育生物学国家重点实验室、岳麓山实验室水产品种创制中心、湖南岳麓山水产育种科技有限公司。</w:t>
      </w:r>
    </w:p>
    <w:p>
      <w:pPr>
        <w:pStyle w:val="52"/>
        <w:wordWrap w:val="0"/>
        <w:jc w:val="both"/>
        <w:rPr>
          <w:rFonts w:hint="eastAsia" w:eastAsia="宋体"/>
          <w:lang w:eastAsia="zh-CN"/>
        </w:rPr>
        <w:sectPr>
          <w:headerReference r:id="rId5" w:type="default"/>
          <w:footerReference r:id="rId6" w:type="default"/>
          <w:pgSz w:w="11906" w:h="16838"/>
          <w:pgMar w:top="1417" w:right="1134" w:bottom="1134" w:left="1417" w:header="850" w:footer="680" w:gutter="0"/>
          <w:pgNumType w:fmt="upperRoman"/>
          <w:cols w:space="425" w:num="1"/>
          <w:docGrid w:type="lines" w:linePitch="312" w:charSpace="0"/>
        </w:sectPr>
      </w:pPr>
      <w:r>
        <w:rPr>
          <w:rFonts w:hint="eastAsia" w:hAnsi="宋体" w:cs="宋体"/>
          <w:szCs w:val="21"/>
        </w:rPr>
        <w:t>本标准主要起草人：罗凯坤、张纯、刘少军、胡方舟、蒋银军、吴昌。</w:t>
      </w:r>
    </w:p>
    <w:p>
      <w:pPr>
        <w:pStyle w:val="48"/>
      </w:pPr>
      <w:r>
        <w:rPr>
          <w:rFonts w:hint="eastAsia" w:hAnsi="黑体" w:cs="黑体"/>
        </w:rPr>
        <w:t>大口黑鲈与胭脂鱼池塘混养技术规范</w:t>
      </w:r>
    </w:p>
    <w:p>
      <w:pPr>
        <w:pStyle w:val="65"/>
      </w:pPr>
      <w:bookmarkStart w:id="2" w:name="_Toc23304"/>
      <w:bookmarkStart w:id="3" w:name="_Toc26335"/>
      <w:r>
        <w:rPr>
          <w:rFonts w:hint="eastAsia"/>
        </w:rPr>
        <w:t>范围</w:t>
      </w:r>
      <w:bookmarkEnd w:id="2"/>
      <w:bookmarkEnd w:id="3"/>
    </w:p>
    <w:p>
      <w:pPr>
        <w:pStyle w:val="63"/>
        <w:spacing w:line="360" w:lineRule="auto"/>
      </w:pPr>
      <w:r>
        <w:rPr>
          <w:rFonts w:hint="eastAsia"/>
        </w:rPr>
        <w:t>本标准规定了大口黑鲈（Micropterus salmoides）与胭脂鱼（Myxocyprinus asiaticus）混养的环境条件、放养前准备、苗种放养、饲料投喂、养殖管理、病害防治及捕捞上市。</w:t>
      </w:r>
    </w:p>
    <w:p>
      <w:pPr>
        <w:pStyle w:val="65"/>
      </w:pPr>
      <w:bookmarkStart w:id="4" w:name="_Toc14957"/>
      <w:bookmarkStart w:id="5" w:name="_Toc4796"/>
      <w:r>
        <w:rPr>
          <w:rFonts w:hint="eastAsia"/>
        </w:rPr>
        <w:t>规范性引用文件</w:t>
      </w:r>
      <w:bookmarkEnd w:id="4"/>
      <w:bookmarkEnd w:id="5"/>
    </w:p>
    <w:p>
      <w:pPr>
        <w:pStyle w:val="63"/>
        <w:spacing w:line="360" w:lineRule="auto"/>
        <w:ind w:firstLine="558" w:firstLineChars="266"/>
        <w:rPr>
          <w:rFonts w:ascii="Times New Roman"/>
          <w:szCs w:val="21"/>
        </w:rPr>
      </w:pPr>
      <w:r>
        <w:rPr>
          <w:rFonts w:hint="eastAsia"/>
          <w:szCs w:val="21"/>
        </w:rPr>
        <w:t>下列文件对于本文件的应用是必不可少的。凡是注日期的引用文件，仅注日期的版</w:t>
      </w:r>
      <w:r>
        <w:rPr>
          <w:rFonts w:ascii="Times New Roman"/>
          <w:szCs w:val="21"/>
        </w:rPr>
        <w:t>本适用于本文件。凡是不注日期的引用文件，其最新版本（包括所有的修改单）适用于本文件。</w:t>
      </w:r>
    </w:p>
    <w:p>
      <w:pPr>
        <w:pStyle w:val="63"/>
        <w:spacing w:line="360" w:lineRule="auto"/>
        <w:ind w:firstLine="424" w:firstLineChars="202"/>
        <w:rPr>
          <w:rFonts w:hint="eastAsia"/>
        </w:rPr>
      </w:pPr>
      <w:r>
        <w:rPr>
          <w:rFonts w:hint="eastAsia"/>
        </w:rPr>
        <w:t>GB 3838 地表水环境质量标准</w:t>
      </w:r>
    </w:p>
    <w:p>
      <w:pPr>
        <w:pStyle w:val="63"/>
        <w:spacing w:line="360" w:lineRule="auto"/>
        <w:ind w:firstLine="424" w:firstLineChars="202"/>
        <w:rPr>
          <w:rFonts w:hint="eastAsia"/>
        </w:rPr>
      </w:pPr>
      <w:r>
        <w:rPr>
          <w:rFonts w:hint="eastAsia"/>
        </w:rPr>
        <w:t>GB 11607 渔业水质标准</w:t>
      </w:r>
    </w:p>
    <w:p>
      <w:pPr>
        <w:pStyle w:val="63"/>
        <w:spacing w:line="360" w:lineRule="auto"/>
        <w:ind w:firstLine="424" w:firstLineChars="202"/>
        <w:rPr>
          <w:rFonts w:hint="eastAsia"/>
        </w:rPr>
      </w:pPr>
      <w:r>
        <w:rPr>
          <w:rFonts w:hint="eastAsia"/>
        </w:rPr>
        <w:t>GB/T 13087 饲料卫生标准</w:t>
      </w:r>
    </w:p>
    <w:p>
      <w:pPr>
        <w:pStyle w:val="63"/>
        <w:spacing w:line="360" w:lineRule="auto"/>
        <w:ind w:firstLine="424" w:firstLineChars="202"/>
        <w:rPr>
          <w:rFonts w:hint="eastAsia" w:eastAsia="宋体"/>
          <w:lang w:val="en-US" w:eastAsia="zh-CN"/>
        </w:rPr>
      </w:pPr>
      <w:r>
        <w:rPr>
          <w:rFonts w:hint="eastAsia"/>
        </w:rPr>
        <w:t>GB/T 22213 水产养殖术语</w:t>
      </w:r>
    </w:p>
    <w:p>
      <w:pPr>
        <w:pStyle w:val="63"/>
        <w:spacing w:line="360" w:lineRule="auto"/>
        <w:ind w:firstLine="424" w:firstLineChars="202"/>
        <w:rPr>
          <w:rFonts w:hint="eastAsia"/>
        </w:rPr>
      </w:pPr>
      <w:r>
        <w:rPr>
          <w:rFonts w:hint="eastAsia"/>
        </w:rPr>
        <w:t>SC/T 1098 大口黑鲈 亲鱼、鱼苗和鱼种</w:t>
      </w:r>
    </w:p>
    <w:p>
      <w:pPr>
        <w:pStyle w:val="63"/>
        <w:spacing w:line="360" w:lineRule="auto"/>
        <w:ind w:firstLine="424" w:firstLineChars="202"/>
        <w:rPr>
          <w:rFonts w:hint="eastAsia"/>
        </w:rPr>
      </w:pPr>
      <w:r>
        <w:rPr>
          <w:rFonts w:hint="eastAsia"/>
        </w:rPr>
        <w:t>SC/T 1157 胭脂鱼</w:t>
      </w:r>
    </w:p>
    <w:p>
      <w:pPr>
        <w:pStyle w:val="63"/>
        <w:spacing w:line="360" w:lineRule="auto"/>
        <w:ind w:firstLine="424" w:firstLineChars="202"/>
        <w:rPr>
          <w:rFonts w:hint="eastAsia"/>
        </w:rPr>
      </w:pPr>
      <w:r>
        <w:rPr>
          <w:rFonts w:hint="eastAsia"/>
        </w:rPr>
        <w:t>SC/T 1132 渔药使用规范</w:t>
      </w:r>
    </w:p>
    <w:p>
      <w:pPr>
        <w:pStyle w:val="63"/>
        <w:spacing w:line="360" w:lineRule="auto"/>
        <w:ind w:firstLine="424" w:firstLineChars="202"/>
        <w:rPr>
          <w:rFonts w:hint="eastAsia"/>
        </w:rPr>
      </w:pPr>
      <w:r>
        <w:rPr>
          <w:rFonts w:hint="eastAsia"/>
        </w:rPr>
        <w:t>SC/T 2029 鲈鱼配合饲料</w:t>
      </w:r>
    </w:p>
    <w:p>
      <w:pPr>
        <w:pStyle w:val="63"/>
        <w:spacing w:line="360" w:lineRule="auto"/>
        <w:ind w:firstLine="424" w:firstLineChars="202"/>
        <w:rPr>
          <w:rFonts w:hint="eastAsia"/>
        </w:rPr>
      </w:pPr>
      <w:r>
        <w:rPr>
          <w:rFonts w:hint="eastAsia"/>
        </w:rPr>
        <w:t>SC/T 7015 病死水生动物及病害水生动物产品无害化处理规范</w:t>
      </w:r>
    </w:p>
    <w:p>
      <w:pPr>
        <w:pStyle w:val="63"/>
        <w:spacing w:line="360" w:lineRule="auto"/>
        <w:ind w:firstLine="424" w:firstLineChars="202"/>
        <w:rPr>
          <w:rFonts w:ascii="Times New Roman"/>
          <w:sz w:val="24"/>
          <w:szCs w:val="24"/>
        </w:rPr>
      </w:pPr>
      <w:r>
        <w:rPr>
          <w:rFonts w:hint="eastAsia"/>
        </w:rPr>
        <w:t>DB 43/T 634 畜禽水产养殖档案记录规范</w:t>
      </w:r>
    </w:p>
    <w:p>
      <w:pPr>
        <w:pStyle w:val="65"/>
      </w:pPr>
      <w:bookmarkStart w:id="6" w:name="_Toc12725"/>
      <w:bookmarkStart w:id="7" w:name="_Toc29464"/>
      <w:r>
        <w:rPr>
          <w:rFonts w:hint="eastAsia"/>
        </w:rPr>
        <w:t>术语和定义</w:t>
      </w:r>
      <w:bookmarkEnd w:id="6"/>
      <w:bookmarkEnd w:id="7"/>
    </w:p>
    <w:p>
      <w:pPr>
        <w:pStyle w:val="63"/>
        <w:spacing w:line="360" w:lineRule="auto"/>
        <w:rPr>
          <w:rFonts w:hint="eastAsia" w:hAnsi="宋体" w:cs="宋体"/>
          <w:szCs w:val="21"/>
        </w:rPr>
      </w:pPr>
      <w:r>
        <w:rPr>
          <w:rFonts w:hint="eastAsia" w:hAnsi="宋体" w:cs="宋体"/>
          <w:szCs w:val="21"/>
        </w:rPr>
        <w:t>GB/T 22213界定的术语和定义适用于本文件。</w:t>
      </w:r>
    </w:p>
    <w:p>
      <w:pPr>
        <w:pStyle w:val="65"/>
      </w:pPr>
      <w:bookmarkStart w:id="8" w:name="_Toc515869051"/>
      <w:bookmarkEnd w:id="8"/>
      <w:bookmarkStart w:id="9" w:name="_Toc25509"/>
      <w:bookmarkStart w:id="10" w:name="_Toc18201"/>
      <w:r>
        <w:rPr>
          <w:rFonts w:hint="eastAsia"/>
        </w:rPr>
        <w:t>环境条件</w:t>
      </w:r>
      <w:bookmarkEnd w:id="9"/>
      <w:bookmarkEnd w:id="10"/>
    </w:p>
    <w:p>
      <w:pPr>
        <w:pStyle w:val="64"/>
        <w:numPr>
          <w:ilvl w:val="1"/>
          <w:numId w:val="2"/>
        </w:numPr>
      </w:pPr>
      <w:bookmarkStart w:id="11" w:name="_Toc15855"/>
      <w:bookmarkStart w:id="12" w:name="_Toc18694"/>
      <w:r>
        <w:rPr>
          <w:rFonts w:hint="eastAsia"/>
        </w:rPr>
        <w:t>水源水质</w:t>
      </w:r>
      <w:bookmarkEnd w:id="11"/>
      <w:bookmarkEnd w:id="12"/>
    </w:p>
    <w:p>
      <w:pPr>
        <w:pStyle w:val="63"/>
      </w:pPr>
      <w:r>
        <w:rPr>
          <w:rFonts w:hint="eastAsia"/>
        </w:rPr>
        <w:t>水源充足，排灌方便，水源水质应符合GB 3838 Ⅲ类的规定，养殖水质应符合GB 11607的规定。</w:t>
      </w:r>
    </w:p>
    <w:p>
      <w:pPr>
        <w:pStyle w:val="64"/>
        <w:numPr>
          <w:ilvl w:val="1"/>
          <w:numId w:val="2"/>
        </w:numPr>
      </w:pPr>
      <w:bookmarkStart w:id="13" w:name="_Toc30832"/>
      <w:bookmarkStart w:id="14" w:name="_Toc29152"/>
      <w:r>
        <w:rPr>
          <w:rFonts w:hint="eastAsia"/>
        </w:rPr>
        <w:t>池塘要求</w:t>
      </w:r>
      <w:bookmarkEnd w:id="13"/>
      <w:bookmarkEnd w:id="14"/>
    </w:p>
    <w:p>
      <w:pPr>
        <w:pStyle w:val="63"/>
        <w:spacing w:line="360" w:lineRule="auto"/>
        <w:rPr>
          <w:rFonts w:hAnsi="宋体"/>
          <w:color w:val="000000"/>
          <w:sz w:val="24"/>
        </w:rPr>
      </w:pPr>
      <w:r>
        <w:rPr>
          <w:rFonts w:hint="eastAsia"/>
        </w:rPr>
        <w:t>池塘一般为长方形土池，水泥斜坡、泥底，坡度70°</w:t>
      </w:r>
      <w:r>
        <w:rPr>
          <w:rFonts w:hAnsi="宋体" w:cs="宋体"/>
        </w:rPr>
        <w:t>～</w:t>
      </w:r>
      <w:r>
        <w:rPr>
          <w:rFonts w:hint="eastAsia"/>
        </w:rPr>
        <w:t>80°，淤泥厚度≤0.2m，池底平坦；土池面积（3000</w:t>
      </w:r>
      <w:r>
        <w:rPr>
          <w:rFonts w:hAnsi="宋体" w:cs="宋体"/>
        </w:rPr>
        <w:t>～</w:t>
      </w:r>
      <w:r>
        <w:rPr>
          <w:rFonts w:hint="eastAsia"/>
        </w:rPr>
        <w:t>8000）m</w:t>
      </w:r>
      <w:r>
        <w:rPr>
          <w:rFonts w:hint="eastAsia"/>
          <w:vertAlign w:val="superscript"/>
        </w:rPr>
        <w:t>2</w:t>
      </w:r>
      <w:r>
        <w:rPr>
          <w:rFonts w:hint="eastAsia"/>
        </w:rPr>
        <w:t>，池深2.5</w:t>
      </w:r>
      <w:r>
        <w:rPr>
          <w:rFonts w:hAnsi="宋体" w:cs="宋体"/>
        </w:rPr>
        <w:t>～</w:t>
      </w:r>
      <w:r>
        <w:rPr>
          <w:rFonts w:hint="eastAsia"/>
        </w:rPr>
        <w:t>3.0m，水深2.0</w:t>
      </w:r>
      <w:r>
        <w:rPr>
          <w:rFonts w:hAnsi="宋体" w:cs="宋体"/>
        </w:rPr>
        <w:t>～</w:t>
      </w:r>
      <w:r>
        <w:rPr>
          <w:rFonts w:hint="eastAsia"/>
        </w:rPr>
        <w:t>2.5m</w:t>
      </w:r>
      <w:r>
        <w:rPr>
          <w:rFonts w:hint="eastAsia" w:hAnsi="宋体"/>
          <w:color w:val="000000"/>
          <w:sz w:val="24"/>
        </w:rPr>
        <w:t>。</w:t>
      </w:r>
    </w:p>
    <w:p>
      <w:pPr>
        <w:pStyle w:val="64"/>
        <w:numPr>
          <w:ilvl w:val="1"/>
          <w:numId w:val="2"/>
        </w:numPr>
      </w:pPr>
      <w:bookmarkStart w:id="15" w:name="_Toc24510"/>
      <w:bookmarkStart w:id="16" w:name="_Toc12830"/>
      <w:r>
        <w:rPr>
          <w:rFonts w:hint="eastAsia"/>
        </w:rPr>
        <w:t>增氧设备</w:t>
      </w:r>
      <w:bookmarkEnd w:id="15"/>
      <w:bookmarkEnd w:id="16"/>
    </w:p>
    <w:p>
      <w:pPr>
        <w:pStyle w:val="63"/>
        <w:spacing w:line="360" w:lineRule="auto"/>
        <w:rPr>
          <w:rFonts w:hAnsi="宋体" w:cs="宋体"/>
          <w:sz w:val="24"/>
          <w:szCs w:val="24"/>
        </w:rPr>
      </w:pPr>
      <w:r>
        <w:rPr>
          <w:rFonts w:hint="eastAsia" w:hAnsi="宋体" w:cs="宋体"/>
        </w:rPr>
        <w:t>采用盘式微孔增氧或线型微孔增氧；池塘每2000m</w:t>
      </w:r>
      <w:r>
        <w:rPr>
          <w:rFonts w:hint="eastAsia" w:hAnsi="宋体" w:cs="宋体"/>
          <w:vertAlign w:val="superscript"/>
        </w:rPr>
        <w:t>2</w:t>
      </w:r>
      <w:r>
        <w:rPr>
          <w:rFonts w:hint="eastAsia" w:hAnsi="宋体" w:cs="宋体"/>
          <w:lang w:eastAsia="zh-CN"/>
        </w:rPr>
        <w:t>～</w:t>
      </w:r>
      <w:r>
        <w:rPr>
          <w:rFonts w:hint="eastAsia" w:hAnsi="宋体" w:cs="宋体"/>
        </w:rPr>
        <w:t>3000m</w:t>
      </w:r>
      <w:r>
        <w:rPr>
          <w:rFonts w:hint="eastAsia" w:hAnsi="宋体" w:cs="宋体"/>
          <w:vertAlign w:val="superscript"/>
        </w:rPr>
        <w:t>2</w:t>
      </w:r>
      <w:r>
        <w:rPr>
          <w:rFonts w:hint="eastAsia" w:hAnsi="宋体" w:cs="宋体"/>
        </w:rPr>
        <w:t>面积配置1.5kw或2.2kw增氧机1台</w:t>
      </w:r>
      <w:r>
        <w:rPr>
          <w:rFonts w:hint="eastAsia" w:hAnsi="宋体" w:cs="宋体"/>
          <w:sz w:val="24"/>
          <w:szCs w:val="24"/>
        </w:rPr>
        <w:t>。</w:t>
      </w:r>
    </w:p>
    <w:p>
      <w:pPr>
        <w:pStyle w:val="65"/>
      </w:pPr>
      <w:bookmarkStart w:id="17" w:name="_Toc11509"/>
      <w:bookmarkStart w:id="18" w:name="_Toc19603"/>
      <w:r>
        <w:rPr>
          <w:rFonts w:hint="eastAsia"/>
        </w:rPr>
        <w:t>放养前准备</w:t>
      </w:r>
      <w:bookmarkEnd w:id="17"/>
      <w:bookmarkEnd w:id="18"/>
    </w:p>
    <w:p>
      <w:pPr>
        <w:pStyle w:val="64"/>
        <w:numPr>
          <w:ilvl w:val="1"/>
          <w:numId w:val="2"/>
        </w:numPr>
      </w:pPr>
      <w:bookmarkStart w:id="19" w:name="_Toc1517"/>
      <w:bookmarkStart w:id="20" w:name="_Toc10311"/>
      <w:r>
        <w:rPr>
          <w:rFonts w:hint="eastAsia"/>
        </w:rPr>
        <w:t>清塘消毒</w:t>
      </w:r>
      <w:bookmarkEnd w:id="19"/>
      <w:bookmarkEnd w:id="20"/>
    </w:p>
    <w:p>
      <w:pPr>
        <w:pStyle w:val="63"/>
        <w:rPr>
          <w:rFonts w:hAnsi="宋体" w:cs="宋体"/>
        </w:rPr>
      </w:pPr>
      <w:r>
        <w:rPr>
          <w:rFonts w:hint="eastAsia" w:hAnsi="宋体" w:cs="宋体"/>
        </w:rPr>
        <w:t>池塘曝晒20d</w:t>
      </w:r>
      <w:r>
        <w:rPr>
          <w:rFonts w:hAnsi="宋体" w:cs="宋体"/>
        </w:rPr>
        <w:t>～</w:t>
      </w:r>
      <w:r>
        <w:rPr>
          <w:rFonts w:hint="eastAsia" w:hAnsi="宋体" w:cs="宋体"/>
        </w:rPr>
        <w:t>30d后，使用100kg/亩</w:t>
      </w:r>
      <w:r>
        <w:rPr>
          <w:rFonts w:hAnsi="宋体" w:cs="宋体"/>
        </w:rPr>
        <w:t>～</w:t>
      </w:r>
      <w:r>
        <w:rPr>
          <w:rFonts w:hint="eastAsia" w:hAnsi="宋体" w:cs="宋体"/>
        </w:rPr>
        <w:t>150kg/亩生石灰，化浆后全池泼洒；或用25kg/亩</w:t>
      </w:r>
      <w:r>
        <w:rPr>
          <w:rFonts w:hAnsi="宋体" w:cs="宋体"/>
        </w:rPr>
        <w:t>～</w:t>
      </w:r>
      <w:r>
        <w:rPr>
          <w:rFonts w:hint="eastAsia" w:hAnsi="宋体" w:cs="宋体"/>
        </w:rPr>
        <w:t>40kg/亩漂白粉（有效氯含量＞25%）化水全池泼洒。</w:t>
      </w:r>
    </w:p>
    <w:p>
      <w:pPr>
        <w:pStyle w:val="64"/>
        <w:numPr>
          <w:ilvl w:val="1"/>
          <w:numId w:val="2"/>
        </w:numPr>
        <w:rPr>
          <w:rFonts w:hint="eastAsia"/>
        </w:rPr>
      </w:pPr>
      <w:bookmarkStart w:id="21" w:name="_Toc20297"/>
      <w:bookmarkStart w:id="22" w:name="_Toc27136"/>
      <w:r>
        <w:rPr>
          <w:rFonts w:hint="eastAsia"/>
        </w:rPr>
        <w:t>水质培肥</w:t>
      </w:r>
      <w:bookmarkEnd w:id="21"/>
      <w:bookmarkEnd w:id="22"/>
    </w:p>
    <w:p>
      <w:pPr>
        <w:pStyle w:val="9"/>
        <w:spacing w:line="360" w:lineRule="auto"/>
        <w:ind w:firstLine="420" w:firstLineChars="200"/>
        <w:rPr>
          <w:rFonts w:hAnsi="宋体" w:eastAsia="宋体" w:cs="宋体"/>
          <w:kern w:val="0"/>
          <w:szCs w:val="20"/>
        </w:rPr>
      </w:pPr>
      <w:r>
        <w:rPr>
          <w:rFonts w:hint="eastAsia" w:hAnsi="宋体" w:eastAsia="宋体" w:cs="宋体"/>
          <w:kern w:val="0"/>
          <w:szCs w:val="20"/>
        </w:rPr>
        <w:t>鱼种下塘前5d</w:t>
      </w:r>
      <w:r>
        <w:rPr>
          <w:rFonts w:hint="eastAsia" w:hAnsi="宋体" w:eastAsia="宋体" w:cs="宋体"/>
          <w:kern w:val="0"/>
          <w:szCs w:val="20"/>
          <w:lang w:eastAsia="zh-CN"/>
        </w:rPr>
        <w:t>～</w:t>
      </w:r>
      <w:r>
        <w:rPr>
          <w:rFonts w:hint="eastAsia" w:hAnsi="宋体" w:eastAsia="宋体" w:cs="宋体"/>
          <w:kern w:val="0"/>
          <w:szCs w:val="20"/>
        </w:rPr>
        <w:t>7d，宜加水至60cm深，施基肥培水。</w:t>
      </w:r>
    </w:p>
    <w:p>
      <w:pPr>
        <w:pStyle w:val="65"/>
      </w:pPr>
      <w:bookmarkStart w:id="23" w:name="_Toc2518"/>
      <w:bookmarkStart w:id="24" w:name="_Toc20101"/>
      <w:r>
        <w:rPr>
          <w:rFonts w:hint="eastAsia"/>
        </w:rPr>
        <w:t>苗种放养</w:t>
      </w:r>
      <w:bookmarkEnd w:id="23"/>
      <w:bookmarkEnd w:id="24"/>
    </w:p>
    <w:p>
      <w:pPr>
        <w:pStyle w:val="64"/>
        <w:numPr>
          <w:ilvl w:val="1"/>
          <w:numId w:val="2"/>
        </w:numPr>
      </w:pPr>
      <w:bookmarkStart w:id="25" w:name="_Toc5551"/>
      <w:bookmarkStart w:id="26" w:name="_Toc29092"/>
      <w:r>
        <w:rPr>
          <w:rFonts w:hint="eastAsia"/>
        </w:rPr>
        <w:t>苗种质量和来源</w:t>
      </w:r>
      <w:bookmarkEnd w:id="25"/>
      <w:bookmarkEnd w:id="26"/>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大口黑鲈苗种质量应符合SC/T 1098的要求，胭脂鱼苗种质量应符合SC/T 1157的规定。胭脂鱼苗种及大口黑鲈苗种应从具水产苗种生产许可相关资质的苗种场采购或自行培育的苗种。</w:t>
      </w:r>
    </w:p>
    <w:p>
      <w:pPr>
        <w:pStyle w:val="64"/>
        <w:numPr>
          <w:ilvl w:val="1"/>
          <w:numId w:val="2"/>
        </w:numPr>
        <w:rPr>
          <w:rFonts w:hint="eastAsia"/>
        </w:rPr>
      </w:pPr>
      <w:bookmarkStart w:id="27" w:name="_Toc11573"/>
      <w:bookmarkStart w:id="28" w:name="_Toc16715"/>
      <w:r>
        <w:rPr>
          <w:rFonts w:hint="eastAsia"/>
        </w:rPr>
        <w:t>苗种规格</w:t>
      </w:r>
      <w:bookmarkEnd w:id="27"/>
      <w:bookmarkEnd w:id="28"/>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大口黑鲈苗种</w:t>
      </w:r>
      <w:r>
        <w:rPr>
          <w:rFonts w:hint="eastAsia" w:hAnsi="宋体" w:eastAsia="宋体" w:cs="宋体"/>
          <w:kern w:val="0"/>
          <w:szCs w:val="20"/>
          <w:lang w:val="en-US" w:eastAsia="zh-CN"/>
        </w:rPr>
        <w:t>体长</w:t>
      </w:r>
      <w:r>
        <w:rPr>
          <w:rFonts w:hint="eastAsia" w:hAnsi="宋体" w:eastAsia="宋体" w:cs="宋体"/>
          <w:kern w:val="0"/>
          <w:szCs w:val="20"/>
        </w:rPr>
        <w:t>5cm</w:t>
      </w:r>
      <w:r>
        <w:rPr>
          <w:rFonts w:hint="eastAsia" w:hAnsi="宋体" w:eastAsia="宋体" w:cs="宋体"/>
          <w:kern w:val="0"/>
          <w:szCs w:val="20"/>
          <w:lang w:eastAsia="zh-CN"/>
        </w:rPr>
        <w:t>～</w:t>
      </w:r>
      <w:r>
        <w:rPr>
          <w:rFonts w:hint="eastAsia" w:hAnsi="宋体" w:eastAsia="宋体" w:cs="宋体"/>
          <w:kern w:val="0"/>
          <w:szCs w:val="20"/>
        </w:rPr>
        <w:t>10cm/尾；胭脂鱼</w:t>
      </w:r>
      <w:r>
        <w:rPr>
          <w:rFonts w:hint="eastAsia" w:hAnsi="宋体" w:eastAsia="宋体" w:cs="宋体"/>
          <w:kern w:val="0"/>
          <w:szCs w:val="20"/>
          <w:lang w:val="en-US" w:eastAsia="zh-CN"/>
        </w:rPr>
        <w:t>体重</w:t>
      </w:r>
      <w:r>
        <w:rPr>
          <w:rFonts w:hint="eastAsia" w:hAnsi="宋体" w:eastAsia="宋体" w:cs="宋体"/>
          <w:kern w:val="0"/>
          <w:szCs w:val="20"/>
        </w:rPr>
        <w:t>100g</w:t>
      </w:r>
      <w:r>
        <w:rPr>
          <w:rFonts w:hint="eastAsia" w:hAnsi="宋体" w:eastAsia="宋体" w:cs="宋体"/>
          <w:kern w:val="0"/>
          <w:szCs w:val="20"/>
          <w:lang w:eastAsia="zh-CN"/>
        </w:rPr>
        <w:t>～</w:t>
      </w:r>
      <w:r>
        <w:rPr>
          <w:rFonts w:hint="eastAsia" w:hAnsi="宋体" w:eastAsia="宋体" w:cs="宋体"/>
          <w:kern w:val="0"/>
          <w:szCs w:val="20"/>
        </w:rPr>
        <w:t>250g/尾。</w:t>
      </w:r>
    </w:p>
    <w:p>
      <w:pPr>
        <w:pStyle w:val="64"/>
        <w:numPr>
          <w:ilvl w:val="1"/>
          <w:numId w:val="2"/>
        </w:numPr>
        <w:rPr>
          <w:rFonts w:hint="eastAsia"/>
        </w:rPr>
      </w:pPr>
      <w:bookmarkStart w:id="29" w:name="_Toc5328"/>
      <w:bookmarkStart w:id="30" w:name="_Toc32261"/>
      <w:r>
        <w:rPr>
          <w:rFonts w:hint="eastAsia"/>
        </w:rPr>
        <w:t>放养密度</w:t>
      </w:r>
      <w:bookmarkEnd w:id="29"/>
      <w:bookmarkEnd w:id="30"/>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大口黑鲈1600尾/亩</w:t>
      </w:r>
      <w:r>
        <w:rPr>
          <w:rFonts w:hint="eastAsia" w:hAnsi="宋体" w:eastAsia="宋体" w:cs="宋体"/>
          <w:kern w:val="0"/>
          <w:szCs w:val="20"/>
          <w:lang w:eastAsia="zh-CN"/>
        </w:rPr>
        <w:t>～</w:t>
      </w:r>
      <w:r>
        <w:rPr>
          <w:rFonts w:hint="eastAsia" w:hAnsi="宋体" w:eastAsia="宋体" w:cs="宋体"/>
          <w:kern w:val="0"/>
          <w:szCs w:val="20"/>
        </w:rPr>
        <w:t>2000尾/亩；胭脂鱼30尾/亩</w:t>
      </w:r>
      <w:r>
        <w:rPr>
          <w:rFonts w:hint="eastAsia" w:hAnsi="宋体" w:eastAsia="宋体" w:cs="宋体"/>
          <w:kern w:val="0"/>
          <w:szCs w:val="20"/>
          <w:lang w:eastAsia="zh-CN"/>
        </w:rPr>
        <w:t>～</w:t>
      </w:r>
      <w:r>
        <w:rPr>
          <w:rFonts w:hint="eastAsia" w:hAnsi="宋体" w:eastAsia="宋体" w:cs="宋体"/>
          <w:kern w:val="0"/>
          <w:szCs w:val="20"/>
        </w:rPr>
        <w:t>40尾/亩。</w:t>
      </w:r>
    </w:p>
    <w:p>
      <w:pPr>
        <w:pStyle w:val="64"/>
        <w:numPr>
          <w:ilvl w:val="1"/>
          <w:numId w:val="2"/>
        </w:numPr>
        <w:rPr>
          <w:rFonts w:hint="eastAsia"/>
        </w:rPr>
      </w:pPr>
      <w:bookmarkStart w:id="31" w:name="_Toc27168"/>
      <w:bookmarkStart w:id="32" w:name="_Toc3013"/>
      <w:r>
        <w:rPr>
          <w:rFonts w:hint="eastAsia"/>
        </w:rPr>
        <w:t>放养时间</w:t>
      </w:r>
      <w:bookmarkEnd w:id="31"/>
      <w:bookmarkEnd w:id="32"/>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在4月上旬放养大口黑鲈和胭脂鱼，</w:t>
      </w:r>
      <w:r>
        <w:rPr>
          <w:rFonts w:hint="eastAsia" w:hAnsi="宋体" w:eastAsia="宋体" w:cs="宋体"/>
          <w:kern w:val="0"/>
          <w:szCs w:val="20"/>
          <w:lang w:val="en-US" w:eastAsia="zh-CN"/>
        </w:rPr>
        <w:t>宜</w:t>
      </w:r>
      <w:r>
        <w:rPr>
          <w:rFonts w:hint="eastAsia" w:hAnsi="宋体" w:eastAsia="宋体" w:cs="宋体"/>
          <w:kern w:val="0"/>
          <w:szCs w:val="20"/>
        </w:rPr>
        <w:t>选择晴天傍晚放养。苗种放养应在漂白粉清塘消毒后7d或生石灰清塘消毒15d后进行。</w:t>
      </w:r>
    </w:p>
    <w:p>
      <w:pPr>
        <w:pStyle w:val="64"/>
        <w:numPr>
          <w:ilvl w:val="1"/>
          <w:numId w:val="2"/>
        </w:numPr>
        <w:rPr>
          <w:rFonts w:hint="eastAsia"/>
        </w:rPr>
      </w:pPr>
      <w:bookmarkStart w:id="33" w:name="_Toc26505"/>
      <w:bookmarkStart w:id="34" w:name="_Toc23580"/>
      <w:r>
        <w:rPr>
          <w:rFonts w:hint="eastAsia"/>
        </w:rPr>
        <w:t>鱼种消毒</w:t>
      </w:r>
      <w:bookmarkEnd w:id="33"/>
      <w:bookmarkEnd w:id="34"/>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苗种放养前，用2%</w:t>
      </w:r>
      <w:r>
        <w:rPr>
          <w:rFonts w:hint="eastAsia" w:hAnsi="宋体" w:eastAsia="宋体" w:cs="宋体"/>
          <w:kern w:val="0"/>
          <w:szCs w:val="20"/>
          <w:lang w:eastAsia="zh-CN"/>
        </w:rPr>
        <w:t>～</w:t>
      </w:r>
      <w:r>
        <w:rPr>
          <w:rFonts w:hint="eastAsia" w:hAnsi="宋体" w:eastAsia="宋体" w:cs="宋体"/>
          <w:kern w:val="0"/>
          <w:szCs w:val="20"/>
        </w:rPr>
        <w:t>3%的盐水浸浴5min</w:t>
      </w:r>
      <w:r>
        <w:rPr>
          <w:rFonts w:hint="eastAsia" w:hAnsi="宋体" w:eastAsia="宋体" w:cs="宋体"/>
          <w:kern w:val="0"/>
          <w:szCs w:val="20"/>
          <w:lang w:eastAsia="zh-CN"/>
        </w:rPr>
        <w:t>～</w:t>
      </w:r>
      <w:r>
        <w:rPr>
          <w:rFonts w:hint="eastAsia" w:hAnsi="宋体" w:eastAsia="宋体" w:cs="宋体"/>
          <w:kern w:val="0"/>
          <w:szCs w:val="20"/>
        </w:rPr>
        <w:t>10min或用20mg/L</w:t>
      </w:r>
      <w:r>
        <w:rPr>
          <w:rFonts w:hint="eastAsia" w:hAnsi="宋体" w:eastAsia="宋体" w:cs="宋体"/>
          <w:kern w:val="0"/>
          <w:szCs w:val="20"/>
          <w:lang w:eastAsia="zh-CN"/>
        </w:rPr>
        <w:t>～</w:t>
      </w:r>
      <w:r>
        <w:rPr>
          <w:rFonts w:hint="eastAsia" w:hAnsi="宋体" w:eastAsia="宋体" w:cs="宋体"/>
          <w:kern w:val="0"/>
          <w:szCs w:val="20"/>
        </w:rPr>
        <w:t>30mg/L聚维酮碘（有效碘1%）溶液浸浴10min</w:t>
      </w:r>
      <w:r>
        <w:rPr>
          <w:rFonts w:hint="eastAsia" w:hAnsi="宋体" w:eastAsia="宋体" w:cs="宋体"/>
          <w:kern w:val="0"/>
          <w:szCs w:val="20"/>
          <w:lang w:eastAsia="zh-CN"/>
        </w:rPr>
        <w:t>～</w:t>
      </w:r>
      <w:r>
        <w:rPr>
          <w:rFonts w:hint="eastAsia" w:hAnsi="宋体" w:eastAsia="宋体" w:cs="宋体"/>
          <w:kern w:val="0"/>
          <w:szCs w:val="20"/>
        </w:rPr>
        <w:t>20min。用碘浸浴后运输用水加大增氧量，运输用水、消毒用水与池塘水水温温差应在2.5℃以内。</w:t>
      </w:r>
    </w:p>
    <w:p>
      <w:pPr>
        <w:pStyle w:val="65"/>
      </w:pPr>
      <w:bookmarkStart w:id="35" w:name="_Toc4798"/>
      <w:bookmarkStart w:id="36" w:name="_Toc11632"/>
      <w:bookmarkStart w:id="37" w:name="_Toc390874778"/>
      <w:bookmarkStart w:id="38" w:name="_Toc390875094"/>
      <w:bookmarkStart w:id="39" w:name="_Toc6900"/>
      <w:bookmarkStart w:id="40" w:name="_Toc390873256"/>
      <w:bookmarkStart w:id="41" w:name="_Toc390873480"/>
      <w:r>
        <w:rPr>
          <w:rFonts w:hint="eastAsia"/>
        </w:rPr>
        <w:t>饲料投喂</w:t>
      </w:r>
      <w:bookmarkEnd w:id="35"/>
      <w:bookmarkEnd w:id="36"/>
    </w:p>
    <w:bookmarkEnd w:id="37"/>
    <w:bookmarkEnd w:id="38"/>
    <w:bookmarkEnd w:id="39"/>
    <w:bookmarkEnd w:id="40"/>
    <w:bookmarkEnd w:id="41"/>
    <w:p>
      <w:pPr>
        <w:pStyle w:val="64"/>
        <w:numPr>
          <w:ilvl w:val="1"/>
          <w:numId w:val="2"/>
        </w:numPr>
        <w:rPr>
          <w:rFonts w:hint="eastAsia"/>
        </w:rPr>
      </w:pPr>
      <w:bookmarkStart w:id="42" w:name="_Toc9480"/>
      <w:bookmarkStart w:id="43" w:name="_Toc5201"/>
      <w:r>
        <w:rPr>
          <w:rFonts w:hint="eastAsia"/>
        </w:rPr>
        <w:t>饲料质量</w:t>
      </w:r>
      <w:bookmarkEnd w:id="42"/>
      <w:bookmarkEnd w:id="43"/>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饲料卫生应符合GB/T 13087的规定。大口黑鲈配合饲料应符合SC/T 2029的规定。</w:t>
      </w:r>
    </w:p>
    <w:p>
      <w:pPr>
        <w:pStyle w:val="64"/>
        <w:numPr>
          <w:ilvl w:val="1"/>
          <w:numId w:val="2"/>
        </w:numPr>
        <w:rPr>
          <w:rFonts w:hint="eastAsia"/>
        </w:rPr>
      </w:pPr>
      <w:bookmarkStart w:id="44" w:name="_Toc5942"/>
      <w:bookmarkStart w:id="45" w:name="_Toc2550"/>
      <w:r>
        <w:rPr>
          <w:rFonts w:hint="eastAsia"/>
        </w:rPr>
        <w:t>投喂方法</w:t>
      </w:r>
      <w:bookmarkEnd w:id="44"/>
      <w:bookmarkEnd w:id="45"/>
    </w:p>
    <w:p>
      <w:pPr>
        <w:pStyle w:val="66"/>
        <w:ind w:left="210" w:leftChars="0" w:firstLineChars="0"/>
        <w:rPr>
          <w:rFonts w:hint="eastAsia"/>
        </w:rPr>
      </w:pPr>
      <w:r>
        <w:rPr>
          <w:rFonts w:hint="eastAsia"/>
        </w:rPr>
        <w:t>鲈鱼</w:t>
      </w:r>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大口黑鲈全程投喂大口黑鲈专用浮性配合饲料。前期驯化阶段每日投喂4次，早晨开始投喂，</w:t>
      </w:r>
      <w:r>
        <w:rPr>
          <w:rFonts w:hint="eastAsia" w:hAnsi="宋体" w:eastAsia="宋体" w:cs="宋体"/>
          <w:kern w:val="0"/>
          <w:szCs w:val="20"/>
          <w:lang w:val="en-US" w:eastAsia="zh-CN"/>
        </w:rPr>
        <w:t>每</w:t>
      </w:r>
      <w:r>
        <w:rPr>
          <w:rFonts w:hint="eastAsia" w:hAnsi="宋体" w:eastAsia="宋体" w:cs="宋体"/>
          <w:kern w:val="0"/>
          <w:szCs w:val="20"/>
        </w:rPr>
        <w:t>3h后投喂一次；驯化完成后阶段，每日投喂2次，选择在早晨和傍晚弱光时投喂，日投喂量为</w:t>
      </w:r>
      <w:r>
        <w:rPr>
          <w:rFonts w:hint="eastAsia" w:hAnsi="宋体" w:eastAsia="宋体" w:cs="宋体"/>
          <w:kern w:val="0"/>
          <w:szCs w:val="20"/>
          <w:lang w:val="en-US" w:eastAsia="zh-CN"/>
        </w:rPr>
        <w:t>大口黑鲈</w:t>
      </w:r>
      <w:r>
        <w:rPr>
          <w:rFonts w:hint="eastAsia" w:hAnsi="宋体" w:eastAsia="宋体" w:cs="宋体"/>
          <w:kern w:val="0"/>
          <w:szCs w:val="20"/>
        </w:rPr>
        <w:t>体重的2%</w:t>
      </w:r>
      <w:r>
        <w:rPr>
          <w:rFonts w:hint="eastAsia" w:hAnsi="宋体" w:eastAsia="宋体" w:cs="宋体"/>
          <w:kern w:val="0"/>
          <w:szCs w:val="20"/>
          <w:lang w:eastAsia="zh-CN"/>
        </w:rPr>
        <w:t>～</w:t>
      </w:r>
      <w:r>
        <w:rPr>
          <w:rFonts w:hint="eastAsia" w:hAnsi="宋体" w:eastAsia="宋体" w:cs="宋体"/>
          <w:kern w:val="0"/>
          <w:szCs w:val="20"/>
        </w:rPr>
        <w:t>3%，早晨占投喂量的1/3。根据气温变化以及</w:t>
      </w:r>
      <w:r>
        <w:rPr>
          <w:rFonts w:hint="eastAsia" w:hAnsi="宋体" w:eastAsia="宋体" w:cs="宋体"/>
          <w:kern w:val="0"/>
          <w:szCs w:val="20"/>
          <w:lang w:val="en-US" w:eastAsia="zh-CN"/>
        </w:rPr>
        <w:t>大口黑鲈</w:t>
      </w:r>
      <w:r>
        <w:rPr>
          <w:rFonts w:hint="eastAsia" w:hAnsi="宋体" w:eastAsia="宋体" w:cs="宋体"/>
          <w:kern w:val="0"/>
          <w:szCs w:val="20"/>
        </w:rPr>
        <w:t>摄食活跃程度和体重的增加适当改变投喂量。</w:t>
      </w:r>
    </w:p>
    <w:p>
      <w:pPr>
        <w:pStyle w:val="66"/>
        <w:ind w:left="210" w:leftChars="0" w:firstLineChars="0"/>
        <w:rPr>
          <w:rFonts w:hint="eastAsia"/>
        </w:rPr>
      </w:pPr>
      <w:r>
        <w:rPr>
          <w:rFonts w:hint="eastAsia"/>
        </w:rPr>
        <w:t>胭脂鱼</w:t>
      </w:r>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胭脂鱼全程投喂胭脂鱼专用沉性配合饲料。配合饲料每天投喂一次，错开大口黑鲈投喂时间，宜在日落前后投喂，定时定点，日投喂量为胭脂鱼体重的1.0%</w:t>
      </w:r>
      <w:r>
        <w:rPr>
          <w:rFonts w:hint="eastAsia" w:hAnsi="宋体" w:eastAsia="宋体" w:cs="宋体"/>
          <w:kern w:val="0"/>
          <w:szCs w:val="20"/>
          <w:lang w:eastAsia="zh-CN"/>
        </w:rPr>
        <w:t>～</w:t>
      </w:r>
      <w:r>
        <w:rPr>
          <w:rFonts w:hint="eastAsia" w:hAnsi="宋体" w:eastAsia="宋体" w:cs="宋体"/>
          <w:kern w:val="0"/>
          <w:szCs w:val="20"/>
        </w:rPr>
        <w:t>2.0%，根据气温变化以及</w:t>
      </w:r>
      <w:r>
        <w:rPr>
          <w:rFonts w:hint="eastAsia" w:hAnsi="宋体" w:eastAsia="宋体" w:cs="宋体"/>
          <w:kern w:val="0"/>
          <w:szCs w:val="20"/>
          <w:lang w:val="en-US" w:eastAsia="zh-CN"/>
        </w:rPr>
        <w:t>胭脂鱼</w:t>
      </w:r>
      <w:r>
        <w:rPr>
          <w:rFonts w:hint="eastAsia" w:hAnsi="宋体" w:eastAsia="宋体" w:cs="宋体"/>
          <w:kern w:val="0"/>
          <w:szCs w:val="20"/>
        </w:rPr>
        <w:t>摄食活跃程度适当改变投喂量和次数。</w:t>
      </w:r>
    </w:p>
    <w:p>
      <w:pPr>
        <w:pStyle w:val="65"/>
        <w:rPr>
          <w:rFonts w:hint="eastAsia"/>
        </w:rPr>
      </w:pPr>
      <w:bookmarkStart w:id="46" w:name="_Toc8891"/>
      <w:bookmarkStart w:id="47" w:name="_Toc28186"/>
      <w:r>
        <w:rPr>
          <w:rFonts w:hint="eastAsia"/>
        </w:rPr>
        <w:t>养殖管理</w:t>
      </w:r>
      <w:bookmarkEnd w:id="46"/>
      <w:bookmarkEnd w:id="47"/>
    </w:p>
    <w:p>
      <w:pPr>
        <w:pStyle w:val="64"/>
        <w:numPr>
          <w:ilvl w:val="1"/>
          <w:numId w:val="2"/>
        </w:numPr>
        <w:rPr>
          <w:rFonts w:hint="eastAsia"/>
        </w:rPr>
      </w:pPr>
      <w:bookmarkStart w:id="48" w:name="_Toc5606"/>
      <w:bookmarkStart w:id="49" w:name="_Toc21302"/>
      <w:r>
        <w:rPr>
          <w:rFonts w:hint="eastAsia"/>
        </w:rPr>
        <w:t>水位调控</w:t>
      </w:r>
      <w:bookmarkEnd w:id="48"/>
      <w:bookmarkEnd w:id="49"/>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放养初期，水位应维持在0.8m，随着气温的上升，加注新水至池塘水深且稳定在2.0m以上。</w:t>
      </w:r>
    </w:p>
    <w:p>
      <w:pPr>
        <w:pStyle w:val="64"/>
        <w:numPr>
          <w:ilvl w:val="1"/>
          <w:numId w:val="2"/>
        </w:numPr>
        <w:rPr>
          <w:rFonts w:hint="eastAsia"/>
        </w:rPr>
      </w:pPr>
      <w:bookmarkStart w:id="50" w:name="_Toc7446"/>
      <w:bookmarkStart w:id="51" w:name="_Toc30597"/>
      <w:r>
        <w:rPr>
          <w:rFonts w:hint="eastAsia"/>
        </w:rPr>
        <w:t>水质调控</w:t>
      </w:r>
      <w:bookmarkEnd w:id="50"/>
      <w:bookmarkEnd w:id="51"/>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使用增氧设备保持池塘溶解氧≥5mg/L。池水透明度保持在0.4m左右，pH值控制在7.0～8.5之间。</w:t>
      </w:r>
    </w:p>
    <w:p>
      <w:pPr>
        <w:pStyle w:val="64"/>
        <w:numPr>
          <w:ilvl w:val="1"/>
          <w:numId w:val="2"/>
        </w:numPr>
        <w:rPr>
          <w:rFonts w:hint="eastAsia"/>
        </w:rPr>
      </w:pPr>
      <w:bookmarkStart w:id="52" w:name="_Toc28722"/>
      <w:bookmarkStart w:id="53" w:name="_Toc1680"/>
      <w:r>
        <w:rPr>
          <w:rFonts w:hint="eastAsia"/>
        </w:rPr>
        <w:t>巡塘</w:t>
      </w:r>
      <w:bookmarkEnd w:id="52"/>
      <w:bookmarkEnd w:id="53"/>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早晚巡视，投饵后观察鱼类的摄食、活动、水质及水位变化情况，发现异常及时采取相应措施。高温天气应加强夜间巡查，检查鱼类活动情况。</w:t>
      </w:r>
    </w:p>
    <w:p>
      <w:pPr>
        <w:pStyle w:val="65"/>
        <w:rPr>
          <w:rFonts w:hint="eastAsia"/>
        </w:rPr>
      </w:pPr>
      <w:bookmarkStart w:id="54" w:name="_Toc16619"/>
      <w:bookmarkStart w:id="55" w:name="_Toc23701"/>
      <w:r>
        <w:rPr>
          <w:rFonts w:hint="eastAsia"/>
        </w:rPr>
        <w:t>病害防治</w:t>
      </w:r>
      <w:bookmarkEnd w:id="54"/>
      <w:bookmarkEnd w:id="55"/>
    </w:p>
    <w:p>
      <w:pPr>
        <w:pStyle w:val="64"/>
        <w:numPr>
          <w:ilvl w:val="1"/>
          <w:numId w:val="2"/>
        </w:numPr>
        <w:rPr>
          <w:rFonts w:hint="eastAsia"/>
        </w:rPr>
      </w:pPr>
      <w:bookmarkStart w:id="56" w:name="_Toc15989"/>
      <w:bookmarkStart w:id="57" w:name="_Toc4569"/>
      <w:r>
        <w:rPr>
          <w:rFonts w:hint="eastAsia"/>
        </w:rPr>
        <w:t>病害预防</w:t>
      </w:r>
      <w:bookmarkEnd w:id="56"/>
      <w:bookmarkEnd w:id="57"/>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在鱼病流行季节，采用全池泼洒消毒剂的方式对养殖水体进行消毒。定期使用符合国家规定的免疫增强剂拌料投喂，增强鱼体免疫力。</w:t>
      </w:r>
    </w:p>
    <w:p>
      <w:pPr>
        <w:pStyle w:val="64"/>
        <w:numPr>
          <w:ilvl w:val="1"/>
          <w:numId w:val="2"/>
        </w:numPr>
        <w:rPr>
          <w:rFonts w:hint="eastAsia"/>
        </w:rPr>
      </w:pPr>
      <w:bookmarkStart w:id="58" w:name="_Toc23344"/>
      <w:bookmarkStart w:id="59" w:name="_Toc15297"/>
      <w:r>
        <w:rPr>
          <w:rFonts w:hint="eastAsia"/>
        </w:rPr>
        <w:t>常见鱼病治疗</w:t>
      </w:r>
      <w:bookmarkEnd w:id="58"/>
      <w:bookmarkEnd w:id="59"/>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主要病害有弹状病毒病、蛙虹彩病毒病、诺卡氏菌病、水霉病、指环虫病、车轮虫病、斜管虫病等。预防措施包括：放养前进行鱼种病毒检测，养殖过程中定期对水体消毒。治疗措施应根据具体病原选用国家规定的渔药，通过拌料内服或全池泼洒等方式给药。</w:t>
      </w:r>
    </w:p>
    <w:p>
      <w:pPr>
        <w:pStyle w:val="64"/>
        <w:numPr>
          <w:ilvl w:val="1"/>
          <w:numId w:val="2"/>
        </w:numPr>
        <w:rPr>
          <w:rFonts w:hint="eastAsia"/>
        </w:rPr>
      </w:pPr>
      <w:bookmarkStart w:id="60" w:name="_Toc22429"/>
      <w:bookmarkStart w:id="61" w:name="_Toc20962"/>
      <w:r>
        <w:rPr>
          <w:rFonts w:hint="eastAsia"/>
        </w:rPr>
        <w:t>渔药使用</w:t>
      </w:r>
      <w:bookmarkEnd w:id="60"/>
      <w:bookmarkEnd w:id="61"/>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符合SC/T 1132的规定。</w:t>
      </w:r>
    </w:p>
    <w:p>
      <w:pPr>
        <w:pStyle w:val="64"/>
        <w:numPr>
          <w:ilvl w:val="1"/>
          <w:numId w:val="2"/>
        </w:numPr>
        <w:rPr>
          <w:rFonts w:hint="eastAsia"/>
        </w:rPr>
      </w:pPr>
      <w:bookmarkStart w:id="62" w:name="_Toc22048"/>
      <w:bookmarkStart w:id="63" w:name="_Toc23911"/>
      <w:r>
        <w:rPr>
          <w:rFonts w:hint="eastAsia"/>
        </w:rPr>
        <w:t>病死鱼处理</w:t>
      </w:r>
      <w:bookmarkEnd w:id="62"/>
      <w:bookmarkEnd w:id="63"/>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发现病死鱼应及时从池中捞出，并按照SC/T 7015的规定进行处理。</w:t>
      </w:r>
    </w:p>
    <w:p>
      <w:pPr>
        <w:pStyle w:val="65"/>
        <w:rPr>
          <w:rFonts w:hint="eastAsia"/>
        </w:rPr>
      </w:pPr>
      <w:bookmarkStart w:id="64" w:name="_Toc16904"/>
      <w:bookmarkStart w:id="65" w:name="_Toc12023"/>
      <w:r>
        <w:rPr>
          <w:rFonts w:hint="eastAsia"/>
        </w:rPr>
        <w:t>捕捞上市</w:t>
      </w:r>
      <w:bookmarkEnd w:id="64"/>
      <w:bookmarkEnd w:id="65"/>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大口黑鲈：当个体体重达400g及以上时，即可进行拉网起捕上市。</w:t>
      </w:r>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胭脂鱼：</w:t>
      </w:r>
      <w:r>
        <w:rPr>
          <w:rFonts w:hint="eastAsia" w:hAnsi="宋体" w:eastAsia="宋体" w:cs="宋体"/>
          <w:kern w:val="0"/>
          <w:szCs w:val="20"/>
          <w:lang w:val="en-US" w:eastAsia="zh-CN"/>
        </w:rPr>
        <w:t>当年个体体重可达</w:t>
      </w:r>
      <w:r>
        <w:rPr>
          <w:rFonts w:hint="eastAsia" w:hAnsi="宋体" w:eastAsia="宋体" w:cs="宋体"/>
          <w:kern w:val="0"/>
          <w:szCs w:val="20"/>
        </w:rPr>
        <w:t>1</w:t>
      </w:r>
      <w:r>
        <w:rPr>
          <w:rFonts w:hint="eastAsia" w:hAnsi="宋体" w:eastAsia="宋体" w:cs="宋体"/>
          <w:kern w:val="0"/>
          <w:szCs w:val="20"/>
          <w:lang w:val="en-US" w:eastAsia="zh-CN"/>
        </w:rPr>
        <w:t>2</w:t>
      </w:r>
      <w:r>
        <w:rPr>
          <w:rFonts w:hint="eastAsia" w:hAnsi="宋体" w:eastAsia="宋体" w:cs="宋体"/>
          <w:kern w:val="0"/>
          <w:szCs w:val="20"/>
        </w:rPr>
        <w:t>00～1300g/尾，此时既可捕捞上市，</w:t>
      </w:r>
      <w:r>
        <w:rPr>
          <w:rFonts w:hint="eastAsia" w:hAnsi="宋体" w:eastAsia="宋体" w:cs="宋体"/>
          <w:kern w:val="0"/>
          <w:szCs w:val="20"/>
          <w:lang w:val="en-US" w:eastAsia="zh-CN"/>
        </w:rPr>
        <w:t>也</w:t>
      </w:r>
      <w:r>
        <w:rPr>
          <w:rFonts w:hint="eastAsia" w:hAnsi="宋体" w:eastAsia="宋体" w:cs="宋体"/>
          <w:kern w:val="0"/>
          <w:szCs w:val="20"/>
        </w:rPr>
        <w:t>可留作亲本。</w:t>
      </w:r>
    </w:p>
    <w:p>
      <w:pPr>
        <w:pStyle w:val="65"/>
        <w:rPr>
          <w:rFonts w:hint="eastAsia"/>
        </w:rPr>
      </w:pPr>
      <w:bookmarkStart w:id="66" w:name="_Toc15510"/>
      <w:bookmarkStart w:id="67" w:name="_Toc1902"/>
      <w:r>
        <w:rPr>
          <w:rFonts w:hint="eastAsia"/>
        </w:rPr>
        <w:t>档案记录</w:t>
      </w:r>
      <w:bookmarkEnd w:id="66"/>
      <w:bookmarkEnd w:id="67"/>
    </w:p>
    <w:p>
      <w:pPr>
        <w:pStyle w:val="9"/>
        <w:spacing w:line="360" w:lineRule="auto"/>
        <w:ind w:firstLine="420" w:firstLineChars="200"/>
        <w:rPr>
          <w:rFonts w:hint="eastAsia" w:hAnsi="宋体" w:eastAsia="宋体" w:cs="宋体"/>
          <w:kern w:val="0"/>
          <w:szCs w:val="20"/>
        </w:rPr>
      </w:pPr>
      <w:r>
        <w:rPr>
          <w:rFonts w:hint="eastAsia" w:hAnsi="宋体" w:eastAsia="宋体" w:cs="宋体"/>
          <w:kern w:val="0"/>
          <w:szCs w:val="20"/>
        </w:rPr>
        <w:t>按照DB 43/T 634的规定执行。应重点记录：苗种来源、饲料投喂量、水质监测结果（水温、pH、溶氧）、渔药使用情况（种类、用量、休药期）、病死鱼数量及处理方式等。</w:t>
      </w:r>
    </w:p>
    <w:sectPr>
      <w:headerReference r:id="rId7" w:type="default"/>
      <w:footerReference r:id="rId8" w:type="default"/>
      <w:pgSz w:w="11906" w:h="16838"/>
      <w:pgMar w:top="1417" w:right="1134" w:bottom="1134" w:left="1417" w:header="850" w:footer="68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MS Mincho">
    <w:panose1 w:val="02020609040205080304"/>
    <w:charset w:val="80"/>
    <w:family w:val="modern"/>
    <w:pitch w:val="default"/>
    <w:sig w:usb0="E00002FF" w:usb1="6AC7FDFB" w:usb2="00000012" w:usb3="00000000" w:csb0="4002009F" w:csb1="DFD70000"/>
  </w:font>
  <w:font w:name="Yu Gothic UI">
    <w:altName w:val="Meiryo UI"/>
    <w:panose1 w:val="020B0500000000000000"/>
    <w:charset w:val="80"/>
    <w:family w:val="auto"/>
    <w:pitch w:val="default"/>
    <w:sig w:usb0="00000000" w:usb1="00000000" w:usb2="00000016" w:usb3="00000000" w:csb0="2002009F"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Meiryo UI">
    <w:panose1 w:val="020B0604030504040204"/>
    <w:charset w:val="80"/>
    <w:family w:val="auto"/>
    <w:pitch w:val="default"/>
    <w:sig w:usb0="E10102FF" w:usb1="EAC7FFFF" w:usb2="00010012" w:usb3="00000000" w:csb0="6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oYlDwQAgAACQQAAA4AAABkcnMvZTJvRG9jLnhtbK1TzY7TMBC+I/EO&#10;lu80aVes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SuzuihLNFHZ0+vH99PP36dc3Ah8Iaq2fIW9jkRm6d6ZD8uD3cMa5&#10;u8qp+MVEBHFQfbzQK7pAeLw0nUynOUIcseEH+NnTdet8eC+MItEoqMP+Eq3ssPahTx1SYjVtVo2U&#10;aYdSk7ag11dv83ThEgG41KgRh+ibjVbott15sq0pjxjMmV4b3vJVg+Jr5sMDcxADGobAwz2OShoU&#10;MWeLktq4r3/zx3zsCFFKWoiroBrqp0R+0Nhd1OFguMHYDobeq1sDtY7xcCxPJi64IAezckZ9geqX&#10;sQZCTHNUKmgYzNvQCxyvhovlMiVBbZaFtd5YHqEjed4u9wEEJl4jKT0TZ66gt7SZ89uIgv7zP2U9&#10;veDFI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KGJQ8EAIAAAkEAAAOAAAAAAAAAAEAIAAA&#10;AB8BAABkcnMvZTJvRG9jLnhtbFBLBQYAAAAABgAGAFkBAACh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jc w:val="cent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XSYQAgAACQQAAA4AAABkcnMvZTJvRG9jLnhtbK1TzY7TMBC+I/EO&#10;lu80aYFVVT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Ert7Q4lmCjs6/fh++vlw+vWNwAeCWutnyNtYZIbunemQPPg9nHHu&#10;rnIqfjERQRxUHy/0ii4QHi9NJ9NpjhBHbPgBfvZ43Tof3gujSDQK6rC/RCs7rH3oU4eUWE2bVSNl&#10;2qHUpC3o1eu3ebpwiQBcatSIQ/TNRit02+482daURwzmTK8Nb/mqQfE18+GeOYgBDUPg4Q5HJQ2K&#10;mLNFSW3c17/5Yz52hCglLcRVUA31UyI/aOwu6nAw3GBsB0Pv1Y2BWsd4OJYnExdckINZOaO+QPXL&#10;WAMhpjkqFTQM5k3oBY5Xw8VymZKgNsvCWm8sj9CRPG+X+wACE6+RlJ6JM1fQW9rM+W1EQT/9T1mP&#10;L3jx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T/l0mEAIAAAkEAAAOAAAAAAAAAAEAIAAA&#10;AB8BAABkcnMvZTJvRG9jLnhtbFBLBQYAAAAABgAGAFkBAAChBQAAAAA=&#10;">
              <v:fill on="f" focussize="0,0"/>
              <v:stroke on="f" weight="0.5pt"/>
              <v:imagedata o:title=""/>
              <o:lock v:ext="edit" aspectratio="f"/>
              <v:textbox inset="0mm,0mm,0mm,0mm" style="mso-fit-shape-to-text:t;">
                <w:txbxContent>
                  <w:p>
                    <w:pPr>
                      <w:pStyle w:val="11"/>
                      <w:jc w:val="center"/>
                    </w:pPr>
                  </w:p>
                </w:txbxContent>
              </v:textbox>
            </v:shape>
          </w:pict>
        </mc:Fallback>
      </mc:AlternateContent>
    </w:r>
    <w:r>
      <w:rPr>
        <w:rFonts w:ascii="宋体" w:hAnsi="宋体" w:cs="宋体"/>
        <w:bCs/>
      </w:rPr>
      <w:t>Ⅱ</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paJMP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2pZnCji5fv1y+/bh8/0zgA0Gt9Qvk7SwyQ/fadEge/R7OOHdX&#10;ORW/mIggDqrPV3pFFwiPl+az+TxHiCM2/gA/e7punQ9vhFEkGgV12F+ilZ22PvSpY0qsps2mkTLt&#10;UGrSFvTm5as8XbhGAC41asQh+majFbp9N0y2N+UZgznTa8NbvmlQfMt8eGQOYkDDEHh4wFFJgyJm&#10;sCipjfv0N3/Mx44QpaSFuAqqoX5K5FuN3UUdjoYbjf1o6KO6M1DrFA/H8mTiggtyNCtn1Eeofh1r&#10;IMQ0R6WChtG8C73A8Wq4WK9TEtRmWdjqneUROpLn7foYQGDiNZLSMzFwBb2lzQxvIwr61/+U9fSC&#10;V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DGpaJMPAgAACQQAAA4AAAAAAAAAAQAgAAAA&#10;HwEAAGRycy9lMm9Eb2MueG1sUEsFBgAAAAAGAAYAWQEAAKA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rFonts w:hint="eastAsia" w:ascii="黑体" w:hAnsi="黑体" w:cs="黑体"/>
        <w:szCs w:val="21"/>
      </w:rPr>
      <w:t>DB43/T XXXX</w:t>
    </w:r>
    <w:r>
      <w:rPr>
        <w:rFonts w:ascii="黑体" w:hAnsi="黑体" w:cs="黑体"/>
        <w:szCs w:val="21"/>
      </w:rPr>
      <w:t>—</w:t>
    </w:r>
    <w:r>
      <w:rPr>
        <w:rFonts w:hint="eastAsia" w:ascii="黑体" w:hAnsi="黑体" w:cs="黑体"/>
        <w:szCs w:val="21"/>
      </w:rP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rFonts w:hint="eastAsia" w:ascii="黑体" w:hAnsi="黑体" w:cs="黑体"/>
        <w:szCs w:val="21"/>
      </w:rPr>
      <w:t>DB43/T XXXX</w:t>
    </w:r>
    <w:r>
      <w:rPr>
        <w:rFonts w:ascii="黑体" w:hAnsi="黑体" w:cs="黑体"/>
        <w:szCs w:val="21"/>
      </w:rPr>
      <w:t>—</w:t>
    </w:r>
    <w:r>
      <w:rPr>
        <w:rFonts w:hint="eastAsia" w:ascii="黑体" w:hAnsi="黑体" w:cs="黑体"/>
        <w:szCs w:val="21"/>
      </w:rP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rFonts w:hint="eastAsia" w:ascii="黑体" w:hAnsi="黑体" w:cs="黑体"/>
        <w:szCs w:val="21"/>
      </w:rPr>
      <w:t>DB43/T XXXX</w:t>
    </w:r>
    <w:r>
      <w:rPr>
        <w:rFonts w:ascii="黑体" w:hAnsi="黑体" w:cs="黑体"/>
        <w:szCs w:val="21"/>
      </w:rPr>
      <w:t>—</w:t>
    </w:r>
    <w:r>
      <w:rPr>
        <w:rFonts w:hint="eastAsia" w:ascii="黑体" w:hAnsi="黑体" w:cs="黑体"/>
        <w:szCs w:val="21"/>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C50FF"/>
    <w:multiLevelType w:val="multilevel"/>
    <w:tmpl w:val="0E9C50FF"/>
    <w:lvl w:ilvl="0" w:tentative="0">
      <w:start w:val="1"/>
      <w:numFmt w:val="decimal"/>
      <w:pStyle w:val="65"/>
      <w:suff w:val="space"/>
      <w:lvlText w:val="%1　"/>
      <w:lvlJc w:val="left"/>
      <w:pPr>
        <w:tabs>
          <w:tab w:val="left" w:pos="0"/>
        </w:tabs>
        <w:ind w:left="0" w:firstLine="0"/>
      </w:pPr>
      <w:rPr>
        <w:rFonts w:hint="default" w:ascii="黑体" w:hAnsi="Times New Roman" w:eastAsia="黑体"/>
        <w:b/>
        <w:i w:val="0"/>
        <w:sz w:val="21"/>
        <w:szCs w:val="21"/>
      </w:rPr>
    </w:lvl>
    <w:lvl w:ilvl="1" w:tentative="0">
      <w:start w:val="1"/>
      <w:numFmt w:val="decimal"/>
      <w:suff w:val="nothing"/>
      <w:lvlText w:val="%1.%2　"/>
      <w:lvlJc w:val="left"/>
      <w:pPr>
        <w:ind w:left="142"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66"/>
      <w:suff w:val="nothing"/>
      <w:lvlText w:val="%1.%2.%3　"/>
      <w:lvlJc w:val="left"/>
      <w:pPr>
        <w:ind w:left="210" w:firstLine="0"/>
      </w:pPr>
      <w:rPr>
        <w:rFonts w:hint="eastAsia" w:ascii="黑体" w:hAnsi="Times New Roman" w:eastAsia="黑体"/>
        <w:b w:val="0"/>
        <w:i w:val="0"/>
        <w:sz w:val="21"/>
      </w:rPr>
    </w:lvl>
    <w:lvl w:ilvl="3" w:tentative="0">
      <w:start w:val="1"/>
      <w:numFmt w:val="decimal"/>
      <w:pStyle w:val="6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3E665983"/>
    <w:multiLevelType w:val="multilevel"/>
    <w:tmpl w:val="3E665983"/>
    <w:lvl w:ilvl="0" w:tentative="0">
      <w:start w:val="1"/>
      <w:numFmt w:val="decimal"/>
      <w:suff w:val="space"/>
      <w:lvlText w:val="%1　"/>
      <w:lvlJc w:val="left"/>
      <w:pPr>
        <w:ind w:left="0" w:firstLine="0"/>
      </w:pPr>
      <w:rPr>
        <w:rFonts w:hint="eastAsia" w:ascii="黑体" w:hAnsi="Times New Roman" w:eastAsia="黑体"/>
        <w:b/>
        <w:i w:val="0"/>
        <w:sz w:val="21"/>
        <w:szCs w:val="21"/>
      </w:rPr>
    </w:lvl>
    <w:lvl w:ilvl="1" w:tentative="0">
      <w:start w:val="1"/>
      <w:numFmt w:val="decimal"/>
      <w:pStyle w:val="64"/>
      <w:suff w:val="nothing"/>
      <w:lvlText w:val="%1.%2　"/>
      <w:lvlJc w:val="left"/>
      <w:pPr>
        <w:tabs>
          <w:tab w:val="left" w:pos="0"/>
        </w:tabs>
        <w:ind w:left="142" w:firstLine="0"/>
      </w:pPr>
      <w:rPr>
        <w:rFonts w:hint="default"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557C2AF5"/>
    <w:multiLevelType w:val="multilevel"/>
    <w:tmpl w:val="557C2AF5"/>
    <w:lvl w:ilvl="0" w:tentative="0">
      <w:start w:val="1"/>
      <w:numFmt w:val="decimal"/>
      <w:pStyle w:val="69"/>
      <w:suff w:val="nothing"/>
      <w:lvlText w:val="图%1　"/>
      <w:lvlJc w:val="left"/>
      <w:pPr>
        <w:ind w:left="3403" w:firstLine="0"/>
      </w:pPr>
      <w:rPr>
        <w:rFonts w:hint="eastAsia" w:ascii="黑体" w:hAnsi="Times New Roman" w:eastAsia="黑体"/>
        <w:b w:val="0"/>
        <w:i w:val="0"/>
        <w:sz w:val="21"/>
      </w:rPr>
    </w:lvl>
    <w:lvl w:ilvl="1" w:tentative="0">
      <w:start w:val="1"/>
      <w:numFmt w:val="decimal"/>
      <w:suff w:val="nothing"/>
      <w:lvlText w:val="%1%2　"/>
      <w:lvlJc w:val="left"/>
      <w:pPr>
        <w:ind w:left="3403" w:firstLine="0"/>
      </w:pPr>
      <w:rPr>
        <w:rFonts w:hint="default" w:ascii="Times New Roman" w:hAnsi="Times New Roman" w:eastAsia="黑体"/>
        <w:b w:val="0"/>
        <w:i w:val="0"/>
        <w:sz w:val="21"/>
      </w:rPr>
    </w:lvl>
    <w:lvl w:ilvl="2" w:tentative="0">
      <w:start w:val="1"/>
      <w:numFmt w:val="decimal"/>
      <w:suff w:val="nothing"/>
      <w:lvlText w:val="%1%2.%3　"/>
      <w:lvlJc w:val="left"/>
      <w:pPr>
        <w:ind w:left="3403" w:firstLine="0"/>
      </w:pPr>
      <w:rPr>
        <w:rFonts w:hint="default" w:ascii="Times New Roman" w:hAnsi="Times New Roman" w:eastAsia="黑体"/>
        <w:b w:val="0"/>
        <w:i w:val="0"/>
        <w:sz w:val="21"/>
      </w:rPr>
    </w:lvl>
    <w:lvl w:ilvl="3" w:tentative="0">
      <w:start w:val="1"/>
      <w:numFmt w:val="decimal"/>
      <w:suff w:val="nothing"/>
      <w:lvlText w:val="%1%2.%3.%4　"/>
      <w:lvlJc w:val="left"/>
      <w:pPr>
        <w:ind w:left="3403" w:firstLine="0"/>
      </w:pPr>
      <w:rPr>
        <w:rFonts w:hint="default" w:ascii="Times New Roman" w:hAnsi="Times New Roman" w:eastAsia="黑体"/>
        <w:b w:val="0"/>
        <w:i w:val="0"/>
        <w:sz w:val="21"/>
      </w:rPr>
    </w:lvl>
    <w:lvl w:ilvl="4" w:tentative="0">
      <w:start w:val="1"/>
      <w:numFmt w:val="decimal"/>
      <w:suff w:val="nothing"/>
      <w:lvlText w:val="%1%2.%3.%4.%5　"/>
      <w:lvlJc w:val="left"/>
      <w:pPr>
        <w:ind w:left="3403" w:firstLine="0"/>
      </w:pPr>
      <w:rPr>
        <w:rFonts w:hint="default" w:ascii="Times New Roman" w:hAnsi="Times New Roman" w:eastAsia="黑体"/>
        <w:b w:val="0"/>
        <w:i w:val="0"/>
        <w:sz w:val="21"/>
      </w:rPr>
    </w:lvl>
    <w:lvl w:ilvl="5" w:tentative="0">
      <w:start w:val="1"/>
      <w:numFmt w:val="decimal"/>
      <w:suff w:val="nothing"/>
      <w:lvlText w:val="%1%2.%3.%4.%5.%6　"/>
      <w:lvlJc w:val="left"/>
      <w:pPr>
        <w:ind w:left="3403" w:firstLine="0"/>
      </w:pPr>
      <w:rPr>
        <w:rFonts w:hint="default" w:ascii="Times New Roman" w:hAnsi="Times New Roman" w:eastAsia="黑体"/>
        <w:b w:val="0"/>
        <w:i w:val="0"/>
        <w:sz w:val="21"/>
      </w:rPr>
    </w:lvl>
    <w:lvl w:ilvl="6" w:tentative="0">
      <w:start w:val="1"/>
      <w:numFmt w:val="decimal"/>
      <w:suff w:val="nothing"/>
      <w:lvlText w:val="%1%2.%3.%4.%5.%6.%7　"/>
      <w:lvlJc w:val="left"/>
      <w:pPr>
        <w:ind w:left="3403" w:firstLine="0"/>
      </w:pPr>
      <w:rPr>
        <w:rFonts w:hint="default" w:ascii="Times New Roman" w:hAnsi="Times New Roman" w:eastAsia="黑体"/>
        <w:b w:val="0"/>
        <w:i w:val="0"/>
        <w:sz w:val="21"/>
      </w:rPr>
    </w:lvl>
    <w:lvl w:ilvl="7" w:tentative="0">
      <w:start w:val="1"/>
      <w:numFmt w:val="decimal"/>
      <w:lvlText w:val="%1.%2.%3.%4.%5.%6.%7.%8"/>
      <w:lvlJc w:val="left"/>
      <w:pPr>
        <w:tabs>
          <w:tab w:val="left" w:pos="7754"/>
        </w:tabs>
        <w:ind w:left="7372" w:hanging="1418"/>
      </w:pPr>
      <w:rPr>
        <w:rFonts w:hint="eastAsia"/>
      </w:rPr>
    </w:lvl>
    <w:lvl w:ilvl="8" w:tentative="0">
      <w:start w:val="1"/>
      <w:numFmt w:val="decimal"/>
      <w:lvlText w:val="%1.%2.%3.%4.%5.%6.%7.%8.%9"/>
      <w:lvlJc w:val="left"/>
      <w:pPr>
        <w:tabs>
          <w:tab w:val="left" w:pos="8180"/>
        </w:tabs>
        <w:ind w:left="8080" w:hanging="1700"/>
      </w:pPr>
      <w:rPr>
        <w:rFonts w:hint="eastAsia"/>
      </w:rPr>
    </w:lvl>
  </w:abstractNum>
  <w:abstractNum w:abstractNumId="3">
    <w:nsid w:val="657D3FBC"/>
    <w:multiLevelType w:val="multilevel"/>
    <w:tmpl w:val="657D3FBC"/>
    <w:lvl w:ilvl="0" w:tentative="0">
      <w:start w:val="1"/>
      <w:numFmt w:val="upperLetter"/>
      <w:pStyle w:val="68"/>
      <w:suff w:val="nothing"/>
      <w:lvlText w:val="附　录　%1"/>
      <w:lvlJc w:val="left"/>
      <w:pPr>
        <w:ind w:left="4395" w:firstLine="0"/>
      </w:pPr>
      <w:rPr>
        <w:rFonts w:hint="eastAsia" w:ascii="黑体" w:hAnsi="Times New Roman" w:eastAsia="黑体"/>
        <w:b/>
        <w:i w:val="0"/>
        <w:spacing w:val="0"/>
        <w:w w:val="100"/>
        <w:sz w:val="21"/>
        <w:lang w:val="en-US"/>
      </w:rPr>
    </w:lvl>
    <w:lvl w:ilvl="1" w:tentative="0">
      <w:start w:val="1"/>
      <w:numFmt w:val="decimal"/>
      <w:suff w:val="nothing"/>
      <w:lvlText w:val="%1.%2　"/>
      <w:lvlJc w:val="left"/>
      <w:pPr>
        <w:ind w:left="5104"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5104" w:firstLine="0"/>
      </w:pPr>
      <w:rPr>
        <w:rFonts w:hint="eastAsia" w:ascii="黑体" w:hAnsi="Times New Roman" w:eastAsia="黑体"/>
        <w:b w:val="0"/>
        <w:i w:val="0"/>
        <w:sz w:val="21"/>
      </w:rPr>
    </w:lvl>
    <w:lvl w:ilvl="3" w:tentative="0">
      <w:start w:val="1"/>
      <w:numFmt w:val="decimal"/>
      <w:suff w:val="nothing"/>
      <w:lvlText w:val="%1.%2.%3.%4　"/>
      <w:lvlJc w:val="left"/>
      <w:pPr>
        <w:ind w:left="5104" w:firstLine="0"/>
      </w:pPr>
      <w:rPr>
        <w:rFonts w:hint="eastAsia" w:ascii="黑体" w:hAnsi="Times New Roman" w:eastAsia="黑体"/>
        <w:b w:val="0"/>
        <w:i w:val="0"/>
        <w:sz w:val="21"/>
      </w:rPr>
    </w:lvl>
    <w:lvl w:ilvl="4" w:tentative="0">
      <w:start w:val="1"/>
      <w:numFmt w:val="decimal"/>
      <w:suff w:val="nothing"/>
      <w:lvlText w:val="%1.%2.%3.%4.%5　"/>
      <w:lvlJc w:val="left"/>
      <w:pPr>
        <w:ind w:left="5104" w:firstLine="0"/>
      </w:pPr>
      <w:rPr>
        <w:rFonts w:hint="eastAsia" w:ascii="黑体" w:hAnsi="Times New Roman" w:eastAsia="黑体"/>
        <w:b w:val="0"/>
        <w:i w:val="0"/>
        <w:sz w:val="21"/>
      </w:rPr>
    </w:lvl>
    <w:lvl w:ilvl="5" w:tentative="0">
      <w:start w:val="1"/>
      <w:numFmt w:val="decimal"/>
      <w:suff w:val="nothing"/>
      <w:lvlText w:val="%1.%2.%3.%4.%5.%6　"/>
      <w:lvlJc w:val="left"/>
      <w:pPr>
        <w:ind w:left="5104" w:firstLine="0"/>
      </w:pPr>
      <w:rPr>
        <w:rFonts w:hint="eastAsia" w:ascii="黑体" w:hAnsi="Times New Roman" w:eastAsia="黑体"/>
        <w:b w:val="0"/>
        <w:i w:val="0"/>
        <w:sz w:val="21"/>
      </w:rPr>
    </w:lvl>
    <w:lvl w:ilvl="6" w:tentative="0">
      <w:start w:val="1"/>
      <w:numFmt w:val="decimal"/>
      <w:suff w:val="nothing"/>
      <w:lvlText w:val="%1.%2.%3.%4.%5.%6.%7　"/>
      <w:lvlJc w:val="left"/>
      <w:pPr>
        <w:ind w:left="5104" w:firstLine="0"/>
      </w:pPr>
      <w:rPr>
        <w:rFonts w:hint="eastAsia" w:ascii="黑体" w:hAnsi="Times New Roman" w:eastAsia="黑体"/>
        <w:b w:val="0"/>
        <w:i w:val="0"/>
        <w:sz w:val="21"/>
      </w:rPr>
    </w:lvl>
    <w:lvl w:ilvl="7" w:tentative="0">
      <w:start w:val="1"/>
      <w:numFmt w:val="decimal"/>
      <w:lvlText w:val="%1.%2.%3.%4.%5.%6.%7.%8"/>
      <w:lvlJc w:val="left"/>
      <w:pPr>
        <w:tabs>
          <w:tab w:val="left" w:pos="9498"/>
        </w:tabs>
        <w:ind w:left="9498" w:hanging="1418"/>
      </w:pPr>
      <w:rPr>
        <w:rFonts w:hint="eastAsia"/>
      </w:rPr>
    </w:lvl>
    <w:lvl w:ilvl="8" w:tentative="0">
      <w:start w:val="1"/>
      <w:numFmt w:val="decimal"/>
      <w:lvlText w:val="%1.%2.%3.%4.%5.%6.%7.%8.%9"/>
      <w:lvlJc w:val="left"/>
      <w:pPr>
        <w:tabs>
          <w:tab w:val="left" w:pos="10206"/>
        </w:tabs>
        <w:ind w:left="10206" w:hanging="1700"/>
      </w:pPr>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cxOTA2ZmEzNjkyNzBlYTg0OGNjOTM1NmY5ZDk0OTkifQ=="/>
  </w:docVars>
  <w:rsids>
    <w:rsidRoot w:val="00525FCA"/>
    <w:rsid w:val="000331AF"/>
    <w:rsid w:val="000634F8"/>
    <w:rsid w:val="00112506"/>
    <w:rsid w:val="001A2A0A"/>
    <w:rsid w:val="001C5BCC"/>
    <w:rsid w:val="002A4C12"/>
    <w:rsid w:val="002B57CA"/>
    <w:rsid w:val="00373D01"/>
    <w:rsid w:val="00525FCA"/>
    <w:rsid w:val="00652D22"/>
    <w:rsid w:val="007C5D12"/>
    <w:rsid w:val="007E6C16"/>
    <w:rsid w:val="00887947"/>
    <w:rsid w:val="008D1653"/>
    <w:rsid w:val="00991482"/>
    <w:rsid w:val="00AE35B7"/>
    <w:rsid w:val="00CC66AF"/>
    <w:rsid w:val="00CF1E78"/>
    <w:rsid w:val="00D16F00"/>
    <w:rsid w:val="00D406D7"/>
    <w:rsid w:val="00DC0B22"/>
    <w:rsid w:val="00E26651"/>
    <w:rsid w:val="00E33232"/>
    <w:rsid w:val="00F36E21"/>
    <w:rsid w:val="00F4555D"/>
    <w:rsid w:val="00FB47B8"/>
    <w:rsid w:val="018C1643"/>
    <w:rsid w:val="01C605F1"/>
    <w:rsid w:val="01E54008"/>
    <w:rsid w:val="02D05560"/>
    <w:rsid w:val="034B2E38"/>
    <w:rsid w:val="05D053B0"/>
    <w:rsid w:val="08B620C2"/>
    <w:rsid w:val="09671EA2"/>
    <w:rsid w:val="0B1701D0"/>
    <w:rsid w:val="0B3F575F"/>
    <w:rsid w:val="0C3D42AE"/>
    <w:rsid w:val="0C992E66"/>
    <w:rsid w:val="0D0A78C0"/>
    <w:rsid w:val="0D405F42"/>
    <w:rsid w:val="0DC21CB9"/>
    <w:rsid w:val="0E0407B3"/>
    <w:rsid w:val="12745F08"/>
    <w:rsid w:val="131363AF"/>
    <w:rsid w:val="13C4457F"/>
    <w:rsid w:val="147F0B94"/>
    <w:rsid w:val="14CA5CFF"/>
    <w:rsid w:val="17303311"/>
    <w:rsid w:val="17AD4997"/>
    <w:rsid w:val="1A591AF2"/>
    <w:rsid w:val="1A8A22DC"/>
    <w:rsid w:val="1BC81072"/>
    <w:rsid w:val="1DCD2970"/>
    <w:rsid w:val="1E4654EC"/>
    <w:rsid w:val="1E9F5EE9"/>
    <w:rsid w:val="21DF0EC4"/>
    <w:rsid w:val="22200187"/>
    <w:rsid w:val="230A01C2"/>
    <w:rsid w:val="2355694E"/>
    <w:rsid w:val="242A6A39"/>
    <w:rsid w:val="247457AB"/>
    <w:rsid w:val="257D5D37"/>
    <w:rsid w:val="27D83146"/>
    <w:rsid w:val="28321134"/>
    <w:rsid w:val="285A344B"/>
    <w:rsid w:val="289A6582"/>
    <w:rsid w:val="2A125EC5"/>
    <w:rsid w:val="2A7C1C44"/>
    <w:rsid w:val="2AC073E7"/>
    <w:rsid w:val="2BF71372"/>
    <w:rsid w:val="2CD23AFF"/>
    <w:rsid w:val="2D735A67"/>
    <w:rsid w:val="2E13393F"/>
    <w:rsid w:val="2E2A218D"/>
    <w:rsid w:val="2E7C0C48"/>
    <w:rsid w:val="2E871C59"/>
    <w:rsid w:val="2F4503F5"/>
    <w:rsid w:val="2F8B290C"/>
    <w:rsid w:val="2FD22068"/>
    <w:rsid w:val="304B425B"/>
    <w:rsid w:val="30FC739C"/>
    <w:rsid w:val="34A8074F"/>
    <w:rsid w:val="351F3D24"/>
    <w:rsid w:val="358B263D"/>
    <w:rsid w:val="35CC45F8"/>
    <w:rsid w:val="36CD4475"/>
    <w:rsid w:val="40301595"/>
    <w:rsid w:val="40700811"/>
    <w:rsid w:val="407778FF"/>
    <w:rsid w:val="42220C2D"/>
    <w:rsid w:val="42EB7390"/>
    <w:rsid w:val="4461674D"/>
    <w:rsid w:val="47C54534"/>
    <w:rsid w:val="48286871"/>
    <w:rsid w:val="48476FE9"/>
    <w:rsid w:val="4AA04DE4"/>
    <w:rsid w:val="4AB8212E"/>
    <w:rsid w:val="4ADD1913"/>
    <w:rsid w:val="4B602D79"/>
    <w:rsid w:val="4BBC79FC"/>
    <w:rsid w:val="4E3B540A"/>
    <w:rsid w:val="50BE3DA5"/>
    <w:rsid w:val="50FE2865"/>
    <w:rsid w:val="522B72F5"/>
    <w:rsid w:val="53656BCB"/>
    <w:rsid w:val="544A4A25"/>
    <w:rsid w:val="56951575"/>
    <w:rsid w:val="579B3999"/>
    <w:rsid w:val="58EF1411"/>
    <w:rsid w:val="58F362F1"/>
    <w:rsid w:val="5B971A19"/>
    <w:rsid w:val="5DC15346"/>
    <w:rsid w:val="5E9A1E1F"/>
    <w:rsid w:val="5F6A264B"/>
    <w:rsid w:val="638B7F88"/>
    <w:rsid w:val="65E47E23"/>
    <w:rsid w:val="662607E8"/>
    <w:rsid w:val="666B65A1"/>
    <w:rsid w:val="66977F59"/>
    <w:rsid w:val="674B1305"/>
    <w:rsid w:val="67597C71"/>
    <w:rsid w:val="69A949A2"/>
    <w:rsid w:val="6B944E92"/>
    <w:rsid w:val="6BFA00AB"/>
    <w:rsid w:val="6D2A511A"/>
    <w:rsid w:val="6E355EE3"/>
    <w:rsid w:val="6ECF435F"/>
    <w:rsid w:val="6F8C56DF"/>
    <w:rsid w:val="7072709A"/>
    <w:rsid w:val="707834FA"/>
    <w:rsid w:val="70A77558"/>
    <w:rsid w:val="71B240A5"/>
    <w:rsid w:val="72860731"/>
    <w:rsid w:val="73830C7C"/>
    <w:rsid w:val="74AF129E"/>
    <w:rsid w:val="753C7334"/>
    <w:rsid w:val="75F3717F"/>
    <w:rsid w:val="767C5C48"/>
    <w:rsid w:val="7BDC5EBE"/>
    <w:rsid w:val="7C966FEC"/>
    <w:rsid w:val="7D6A0B9A"/>
    <w:rsid w:val="7F897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unhideWhenUsed="0" w:uiPriority="0" w:name="toc 6"/>
    <w:lsdException w:unhideWhenUsed="0" w:uiPriority="0" w:name="toc 7"/>
    <w:lsdException w:unhideWhenUsed="0" w:uiPriority="0" w:name="toc 8"/>
    <w:lsdException w:unhideWhenUsed="0" w:uiPriority="0" w:name="toc 9"/>
    <w:lsdException w:uiPriority="99"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wordWrap w:val="0"/>
      <w:autoSpaceDE w:val="0"/>
      <w:autoSpaceDN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4"/>
    <w:qFormat/>
    <w:uiPriority w:val="0"/>
    <w:pPr>
      <w:keepNext/>
      <w:keepLines/>
      <w:spacing w:before="340" w:after="330" w:line="576" w:lineRule="auto"/>
      <w:outlineLvl w:val="0"/>
    </w:pPr>
    <w:rPr>
      <w:b/>
      <w:kern w:val="44"/>
      <w:sz w:val="44"/>
    </w:rPr>
  </w:style>
  <w:style w:type="paragraph" w:styleId="3">
    <w:name w:val="heading 2"/>
    <w:basedOn w:val="1"/>
    <w:next w:val="1"/>
    <w:link w:val="25"/>
    <w:unhideWhenUsed/>
    <w:qFormat/>
    <w:uiPriority w:val="0"/>
    <w:pPr>
      <w:keepNext/>
      <w:keepLines/>
      <w:spacing w:before="260" w:after="260" w:line="413" w:lineRule="auto"/>
      <w:outlineLvl w:val="1"/>
    </w:pPr>
    <w:rPr>
      <w:rFonts w:ascii="Arial" w:hAnsi="Arial" w:eastAsia="黑体"/>
      <w:b/>
      <w:sz w:val="32"/>
    </w:rPr>
  </w:style>
  <w:style w:type="character" w:default="1" w:styleId="17">
    <w:name w:val="Default Paragraph Font"/>
    <w:unhideWhenUsed/>
    <w:qFormat/>
    <w:uiPriority w:val="1"/>
  </w:style>
  <w:style w:type="table" w:default="1" w:styleId="22">
    <w:name w:val="Normal Table"/>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31"/>
    <w:unhideWhenUsed/>
    <w:qFormat/>
    <w:uiPriority w:val="99"/>
    <w:rPr>
      <w:b/>
      <w:bCs/>
    </w:rPr>
  </w:style>
  <w:style w:type="paragraph" w:styleId="5">
    <w:name w:val="annotation text"/>
    <w:basedOn w:val="1"/>
    <w:link w:val="30"/>
    <w:unhideWhenUsed/>
    <w:qFormat/>
    <w:uiPriority w:val="99"/>
    <w:pPr>
      <w:jc w:val="left"/>
    </w:pPr>
  </w:style>
  <w:style w:type="paragraph" w:styleId="6">
    <w:name w:val="caption"/>
    <w:basedOn w:val="1"/>
    <w:next w:val="1"/>
    <w:link w:val="21"/>
    <w:unhideWhenUsed/>
    <w:qFormat/>
    <w:uiPriority w:val="35"/>
    <w:rPr>
      <w:rFonts w:ascii="Arial" w:hAnsi="Arial" w:eastAsia="黑体"/>
      <w:sz w:val="20"/>
    </w:rPr>
  </w:style>
  <w:style w:type="paragraph" w:styleId="7">
    <w:name w:val="toc 5"/>
    <w:next w:val="1"/>
    <w:semiHidden/>
    <w:qFormat/>
    <w:uiPriority w:val="0"/>
    <w:pPr>
      <w:widowControl w:val="0"/>
      <w:tabs>
        <w:tab w:val="right" w:leader="dot" w:pos="9241"/>
      </w:tabs>
      <w:wordWrap w:val="0"/>
      <w:autoSpaceDE w:val="0"/>
      <w:autoSpaceDN w:val="0"/>
      <w:ind w:firstLine="400" w:firstLineChars="400"/>
    </w:pPr>
    <w:rPr>
      <w:rFonts w:ascii="宋体" w:hAnsi="宋体" w:eastAsia="宋体" w:cs="Times New Roman"/>
      <w:lang w:val="en-US" w:eastAsia="zh-CN" w:bidi="ar-SA"/>
    </w:rPr>
  </w:style>
  <w:style w:type="paragraph" w:styleId="8">
    <w:name w:val="toc 3"/>
    <w:basedOn w:val="1"/>
    <w:next w:val="1"/>
    <w:semiHidden/>
    <w:qFormat/>
    <w:uiPriority w:val="0"/>
    <w:pPr>
      <w:tabs>
        <w:tab w:val="right" w:leader="dot" w:pos="9241"/>
      </w:tabs>
      <w:ind w:firstLine="200" w:firstLineChars="200"/>
      <w:jc w:val="left"/>
    </w:pPr>
    <w:rPr>
      <w:rFonts w:ascii="宋体" w:hAnsi="宋体" w:eastAsia="宋体" w:cs="Times New Roman"/>
    </w:rPr>
  </w:style>
  <w:style w:type="paragraph" w:styleId="9">
    <w:name w:val="Plain Text"/>
    <w:basedOn w:val="1"/>
    <w:qFormat/>
    <w:uiPriority w:val="0"/>
    <w:rPr>
      <w:rFonts w:ascii="宋体" w:hAnsi="Courier New"/>
      <w:szCs w:val="21"/>
    </w:rPr>
  </w:style>
  <w:style w:type="paragraph" w:styleId="10">
    <w:name w:val="Balloon Text"/>
    <w:basedOn w:val="1"/>
    <w:link w:val="32"/>
    <w:unhideWhenUsed/>
    <w:qFormat/>
    <w:uiPriority w:val="99"/>
    <w:rPr>
      <w:sz w:val="18"/>
      <w:szCs w:val="18"/>
    </w:rPr>
  </w:style>
  <w:style w:type="paragraph" w:styleId="11">
    <w:name w:val="footer"/>
    <w:basedOn w:val="1"/>
    <w:unhideWhenUsed/>
    <w:qFormat/>
    <w:uiPriority w:val="99"/>
    <w:pPr>
      <w:tabs>
        <w:tab w:val="center" w:pos="4153"/>
        <w:tab w:val="right" w:pos="8306"/>
      </w:tabs>
      <w:jc w:val="right"/>
    </w:pPr>
    <w:rPr>
      <w:sz w:val="18"/>
      <w:szCs w:val="18"/>
    </w:rPr>
  </w:style>
  <w:style w:type="paragraph" w:styleId="12">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qFormat/>
    <w:uiPriority w:val="0"/>
    <w:pPr>
      <w:tabs>
        <w:tab w:val="right" w:leader="dot" w:pos="9241"/>
      </w:tabs>
      <w:spacing w:before="25" w:beforeLines="25" w:after="25" w:afterLines="25"/>
    </w:pPr>
    <w:rPr>
      <w:rFonts w:ascii="宋体" w:hAnsi="宋体" w:eastAsia="宋体" w:cs="Times New Roman"/>
      <w:szCs w:val="21"/>
    </w:rPr>
  </w:style>
  <w:style w:type="paragraph" w:styleId="14">
    <w:name w:val="toc 4"/>
    <w:next w:val="1"/>
    <w:semiHidden/>
    <w:qFormat/>
    <w:uiPriority w:val="0"/>
    <w:pPr>
      <w:widowControl w:val="0"/>
      <w:tabs>
        <w:tab w:val="right" w:leader="dot" w:pos="9241"/>
      </w:tabs>
      <w:wordWrap w:val="0"/>
      <w:autoSpaceDE w:val="0"/>
      <w:autoSpaceDN w:val="0"/>
      <w:ind w:firstLine="300" w:firstLineChars="300"/>
    </w:pPr>
    <w:rPr>
      <w:rFonts w:ascii="宋体" w:hAnsi="宋体" w:eastAsia="宋体" w:cs="Times New Roman"/>
      <w:lang w:val="en-US" w:eastAsia="zh-CN" w:bidi="ar-SA"/>
    </w:rPr>
  </w:style>
  <w:style w:type="paragraph" w:styleId="15">
    <w:name w:val="footnote text"/>
    <w:qFormat/>
    <w:uiPriority w:val="0"/>
    <w:pPr>
      <w:widowControl w:val="0"/>
      <w:snapToGrid w:val="0"/>
      <w:ind w:left="635" w:hanging="272"/>
    </w:pPr>
    <w:rPr>
      <w:rFonts w:ascii="宋体" w:hAnsi="Times New Roman" w:eastAsia="宋体" w:cs="Times New Roman"/>
      <w:sz w:val="18"/>
      <w:szCs w:val="18"/>
      <w:lang w:val="en-US" w:eastAsia="zh-CN" w:bidi="ar-SA"/>
    </w:rPr>
  </w:style>
  <w:style w:type="paragraph" w:styleId="16">
    <w:name w:val="toc 2"/>
    <w:next w:val="1"/>
    <w:semiHidden/>
    <w:qFormat/>
    <w:uiPriority w:val="0"/>
    <w:pPr>
      <w:widowControl w:val="0"/>
      <w:tabs>
        <w:tab w:val="right" w:leader="dot" w:pos="9241"/>
      </w:tabs>
      <w:wordWrap w:val="0"/>
      <w:autoSpaceDE w:val="0"/>
      <w:autoSpaceDN w:val="0"/>
      <w:ind w:firstLine="102" w:firstLineChars="100"/>
    </w:pPr>
    <w:rPr>
      <w:rFonts w:ascii="宋体" w:hAnsi="宋体" w:eastAsia="宋体" w:cs="Times New Roman"/>
      <w:sz w:val="21"/>
      <w:szCs w:val="21"/>
      <w:lang w:val="en-US" w:eastAsia="zh-CN" w:bidi="ar-SA"/>
    </w:rPr>
  </w:style>
  <w:style w:type="character" w:styleId="18">
    <w:name w:val="Hyperlink"/>
    <w:qFormat/>
    <w:uiPriority w:val="99"/>
    <w:rPr>
      <w:color w:val="0000FF"/>
      <w:spacing w:val="0"/>
      <w:w w:val="100"/>
      <w:szCs w:val="21"/>
      <w:u w:val="single"/>
    </w:rPr>
  </w:style>
  <w:style w:type="character" w:styleId="19">
    <w:name w:val="annotation reference"/>
    <w:basedOn w:val="17"/>
    <w:unhideWhenUsed/>
    <w:qFormat/>
    <w:uiPriority w:val="99"/>
    <w:rPr>
      <w:sz w:val="21"/>
      <w:szCs w:val="21"/>
    </w:rPr>
  </w:style>
  <w:style w:type="character" w:styleId="20">
    <w:name w:val="footnote reference"/>
    <w:basedOn w:val="21"/>
    <w:unhideWhenUsed/>
    <w:qFormat/>
    <w:uiPriority w:val="99"/>
    <w:rPr>
      <w:sz w:val="18"/>
      <w:szCs w:val="18"/>
      <w:vertAlign w:val="superscript"/>
    </w:rPr>
  </w:style>
  <w:style w:type="character" w:customStyle="1" w:styleId="21">
    <w:name w:val="题注 字符"/>
    <w:basedOn w:val="17"/>
    <w:link w:val="6"/>
    <w:semiHidden/>
    <w:qFormat/>
    <w:uiPriority w:val="99"/>
    <w:rPr>
      <w:sz w:val="18"/>
      <w:szCs w:val="18"/>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0" w:type="dxa"/>
        <w:right w:w="100" w:type="dxa"/>
      </w:tblCellMar>
    </w:tblPr>
  </w:style>
  <w:style w:type="character" w:customStyle="1" w:styleId="24">
    <w:name w:val="标题 1 字符"/>
    <w:basedOn w:val="17"/>
    <w:link w:val="2"/>
    <w:qFormat/>
    <w:uiPriority w:val="0"/>
    <w:rPr>
      <w:b/>
      <w:kern w:val="44"/>
      <w:sz w:val="44"/>
      <w:szCs w:val="24"/>
    </w:rPr>
  </w:style>
  <w:style w:type="character" w:customStyle="1" w:styleId="25">
    <w:name w:val="标题 2 字符"/>
    <w:basedOn w:val="17"/>
    <w:link w:val="3"/>
    <w:qFormat/>
    <w:uiPriority w:val="0"/>
    <w:rPr>
      <w:rFonts w:ascii="Arial" w:hAnsi="Arial" w:eastAsia="黑体"/>
      <w:b/>
      <w:sz w:val="32"/>
      <w:szCs w:val="24"/>
    </w:rPr>
  </w:style>
  <w:style w:type="character" w:customStyle="1" w:styleId="26">
    <w:name w:val="页眉 字符"/>
    <w:basedOn w:val="17"/>
    <w:link w:val="12"/>
    <w:qFormat/>
    <w:uiPriority w:val="99"/>
    <w:rPr>
      <w:sz w:val="18"/>
      <w:szCs w:val="18"/>
    </w:rPr>
  </w:style>
  <w:style w:type="character" w:customStyle="1" w:styleId="27">
    <w:name w:val="页脚 Char"/>
    <w:basedOn w:val="17"/>
    <w:link w:val="28"/>
    <w:qFormat/>
    <w:uiPriority w:val="99"/>
    <w:rPr>
      <w:sz w:val="18"/>
      <w:szCs w:val="18"/>
    </w:rPr>
  </w:style>
  <w:style w:type="paragraph" w:customStyle="1" w:styleId="28">
    <w:name w:val="图脚注"/>
    <w:link w:val="27"/>
    <w:unhideWhenUsed/>
    <w:qFormat/>
    <w:uiPriority w:val="99"/>
    <w:pPr>
      <w:widowControl w:val="0"/>
      <w:wordWrap w:val="0"/>
      <w:autoSpaceDE w:val="0"/>
      <w:autoSpaceDN w:val="0"/>
      <w:ind w:left="765" w:leftChars="300" w:hanging="135" w:hangingChars="75"/>
    </w:pPr>
    <w:rPr>
      <w:rFonts w:hint="eastAsia" w:ascii="宋体" w:hAnsi="宋体" w:eastAsia="宋体" w:cs="宋体"/>
      <w:sz w:val="18"/>
      <w:szCs w:val="18"/>
      <w:lang w:val="en-US" w:eastAsia="zh-CN" w:bidi="ar-SA"/>
    </w:rPr>
  </w:style>
  <w:style w:type="paragraph" w:customStyle="1" w:styleId="29">
    <w:name w:val="List Paragraph"/>
    <w:basedOn w:val="1"/>
    <w:qFormat/>
    <w:uiPriority w:val="34"/>
    <w:pPr>
      <w:ind w:firstLine="420" w:firstLineChars="200"/>
    </w:pPr>
  </w:style>
  <w:style w:type="character" w:customStyle="1" w:styleId="30">
    <w:name w:val="批注文字 字符"/>
    <w:basedOn w:val="17"/>
    <w:link w:val="5"/>
    <w:semiHidden/>
    <w:qFormat/>
    <w:uiPriority w:val="99"/>
    <w:rPr>
      <w:szCs w:val="24"/>
    </w:rPr>
  </w:style>
  <w:style w:type="character" w:customStyle="1" w:styleId="31">
    <w:name w:val="批注主题 字符"/>
    <w:basedOn w:val="30"/>
    <w:link w:val="4"/>
    <w:semiHidden/>
    <w:qFormat/>
    <w:uiPriority w:val="99"/>
    <w:rPr>
      <w:b/>
      <w:bCs/>
      <w:szCs w:val="24"/>
    </w:rPr>
  </w:style>
  <w:style w:type="character" w:customStyle="1" w:styleId="32">
    <w:name w:val="批注框文本 字符"/>
    <w:basedOn w:val="17"/>
    <w:link w:val="10"/>
    <w:semiHidden/>
    <w:qFormat/>
    <w:uiPriority w:val="99"/>
    <w:rPr>
      <w:sz w:val="18"/>
      <w:szCs w:val="18"/>
    </w:rPr>
  </w:style>
  <w:style w:type="paragraph" w:customStyle="1" w:styleId="33">
    <w:name w:val="WPSOffice手动目录 1"/>
    <w:qFormat/>
    <w:uiPriority w:val="0"/>
    <w:rPr>
      <w:rFonts w:asciiTheme="minorHAnsi" w:hAnsiTheme="minorHAnsi" w:eastAsiaTheme="minorEastAsia" w:cstheme="minorBidi"/>
      <w:lang w:val="en-US" w:eastAsia="zh-CN" w:bidi="ar-SA"/>
    </w:rPr>
  </w:style>
  <w:style w:type="paragraph" w:customStyle="1" w:styleId="34">
    <w:name w:val="WPSOffice手动目录 2"/>
    <w:qFormat/>
    <w:uiPriority w:val="0"/>
    <w:pPr>
      <w:widowControl w:val="0"/>
      <w:wordWrap w:val="0"/>
      <w:autoSpaceDE w:val="0"/>
      <w:autoSpaceDN w:val="0"/>
      <w:ind w:left="200" w:leftChars="200"/>
    </w:pPr>
    <w:rPr>
      <w:rFonts w:asciiTheme="minorHAnsi" w:hAnsiTheme="minorHAnsi" w:eastAsiaTheme="minorEastAsia" w:cstheme="minorBidi"/>
      <w:lang w:val="en-US" w:eastAsia="zh-CN" w:bidi="ar-SA"/>
    </w:rPr>
  </w:style>
  <w:style w:type="paragraph" w:customStyle="1" w:styleId="35">
    <w:name w:val="正文标题"/>
    <w:qFormat/>
    <w:uiPriority w:val="0"/>
    <w:pPr>
      <w:keepNext/>
      <w:pageBreakBefore/>
      <w:widowControl w:val="0"/>
      <w:wordWrap w:val="0"/>
      <w:autoSpaceDE w:val="0"/>
      <w:autoSpaceDN w:val="0"/>
      <w:spacing w:before="360" w:after="440" w:line="360" w:lineRule="auto"/>
      <w:jc w:val="center"/>
    </w:pPr>
    <w:rPr>
      <w:rFonts w:ascii="黑体" w:hAnsi="黑体" w:eastAsia="黑体" w:cstheme="minorBidi"/>
      <w:color w:val="000000"/>
      <w:szCs w:val="22"/>
      <w:lang w:val="en-US" w:eastAsia="en-US" w:bidi="ar-SA"/>
    </w:rPr>
  </w:style>
  <w:style w:type="paragraph" w:customStyle="1" w:styleId="36">
    <w:name w:val="目次标题"/>
    <w:qFormat/>
    <w:uiPriority w:val="0"/>
    <w:pPr>
      <w:keepNext/>
      <w:pageBreakBefore/>
      <w:widowControl w:val="0"/>
      <w:shd w:val="clear" w:color="FFFFFF" w:fill="FFFFFF"/>
      <w:spacing w:before="640" w:after="560" w:line="460" w:lineRule="exact"/>
      <w:jc w:val="center"/>
      <w:outlineLvl w:val="3"/>
    </w:pPr>
    <w:rPr>
      <w:rFonts w:ascii="黑体" w:hAnsi="Times New Roman" w:eastAsia="黑体" w:cs="Times New Roman"/>
      <w:sz w:val="32"/>
      <w:szCs w:val="32"/>
      <w:lang w:val="en-US" w:eastAsia="zh-CN" w:bidi="ar-SA"/>
    </w:rPr>
  </w:style>
  <w:style w:type="paragraph" w:customStyle="1" w:styleId="37">
    <w:name w:val="目次标题级"/>
    <w:next w:val="2"/>
    <w:link w:val="74"/>
    <w:qFormat/>
    <w:uiPriority w:val="39"/>
    <w:pPr>
      <w:tabs>
        <w:tab w:val="right" w:leader="dot" w:pos="9241"/>
      </w:tabs>
      <w:wordWrap w:val="0"/>
      <w:spacing w:before="25" w:beforeLines="25" w:after="25" w:afterLines="25"/>
      <w:outlineLvl w:val="0"/>
    </w:pPr>
    <w:rPr>
      <w:rFonts w:ascii="宋体" w:hAnsi="宋体" w:eastAsia="宋体" w:cs="Times New Roman"/>
      <w:sz w:val="21"/>
      <w:szCs w:val="21"/>
      <w:lang w:val="en-US" w:eastAsia="zh-CN" w:bidi="ar-SA"/>
    </w:rPr>
  </w:style>
  <w:style w:type="paragraph" w:customStyle="1" w:styleId="38">
    <w:name w:val="目次第1级"/>
    <w:next w:val="2"/>
    <w:qFormat/>
    <w:uiPriority w:val="39"/>
    <w:pPr>
      <w:tabs>
        <w:tab w:val="right" w:leader="dot" w:pos="9241"/>
      </w:tabs>
      <w:wordWrap w:val="0"/>
      <w:spacing w:before="25" w:beforeLines="25" w:after="25" w:afterLines="25"/>
    </w:pPr>
    <w:rPr>
      <w:rFonts w:ascii="宋体" w:hAnsi="宋体" w:eastAsia="宋体" w:cs="宋体"/>
      <w:sz w:val="21"/>
      <w:szCs w:val="21"/>
      <w:lang w:val="en-US" w:eastAsia="zh-CN" w:bidi="ar-SA"/>
    </w:rPr>
  </w:style>
  <w:style w:type="paragraph" w:customStyle="1" w:styleId="39">
    <w:name w:val="目次第2级"/>
    <w:qFormat/>
    <w:uiPriority w:val="39"/>
    <w:pPr>
      <w:tabs>
        <w:tab w:val="right" w:leader="dot" w:pos="9241"/>
      </w:tabs>
      <w:wordWrap w:val="0"/>
      <w:ind w:firstLine="100" w:firstLineChars="100"/>
    </w:pPr>
    <w:rPr>
      <w:rFonts w:ascii="宋体" w:hAnsi="宋体" w:eastAsia="宋体" w:cs="宋体"/>
      <w:sz w:val="21"/>
      <w:szCs w:val="21"/>
      <w:lang w:val="en-US" w:eastAsia="zh-CN" w:bidi="ar-SA"/>
    </w:rPr>
  </w:style>
  <w:style w:type="paragraph" w:customStyle="1" w:styleId="40">
    <w:name w:val="目次第3级"/>
    <w:qFormat/>
    <w:uiPriority w:val="39"/>
    <w:pPr>
      <w:tabs>
        <w:tab w:val="right" w:leader="dot" w:pos="9241"/>
      </w:tabs>
      <w:wordWrap w:val="0"/>
      <w:ind w:firstLine="200" w:firstLineChars="200"/>
    </w:pPr>
    <w:rPr>
      <w:rFonts w:ascii="宋体" w:hAnsi="宋体" w:eastAsia="宋体" w:cs="宋体"/>
      <w:sz w:val="21"/>
      <w:szCs w:val="21"/>
      <w:lang w:val="en-US" w:eastAsia="zh-CN" w:bidi="ar-SA"/>
    </w:rPr>
  </w:style>
  <w:style w:type="paragraph" w:customStyle="1" w:styleId="41">
    <w:name w:val="目次第4级"/>
    <w:qFormat/>
    <w:uiPriority w:val="39"/>
    <w:pPr>
      <w:tabs>
        <w:tab w:val="right" w:leader="dot" w:pos="9241"/>
      </w:tabs>
      <w:wordWrap w:val="0"/>
      <w:ind w:firstLine="300" w:firstLineChars="300"/>
    </w:pPr>
    <w:rPr>
      <w:rFonts w:ascii="宋体" w:hAnsi="宋体" w:eastAsia="宋体" w:cs="宋体"/>
      <w:sz w:val="21"/>
      <w:szCs w:val="21"/>
      <w:lang w:val="en-US" w:eastAsia="zh-CN" w:bidi="ar-SA"/>
    </w:rPr>
  </w:style>
  <w:style w:type="paragraph" w:customStyle="1" w:styleId="42">
    <w:name w:val="目次第5级"/>
    <w:qFormat/>
    <w:uiPriority w:val="39"/>
    <w:pPr>
      <w:tabs>
        <w:tab w:val="right" w:leader="dot" w:pos="9241"/>
      </w:tabs>
      <w:wordWrap w:val="0"/>
      <w:ind w:firstLine="400" w:firstLineChars="400"/>
    </w:pPr>
    <w:rPr>
      <w:rFonts w:ascii="宋体" w:hAnsi="宋体" w:eastAsia="宋体" w:cs="宋体"/>
      <w:sz w:val="21"/>
      <w:szCs w:val="21"/>
      <w:lang w:val="en-US" w:eastAsia="zh-CN" w:bidi="ar-SA"/>
    </w:rPr>
  </w:style>
  <w:style w:type="paragraph" w:customStyle="1" w:styleId="43">
    <w:name w:val="目次第6级"/>
    <w:qFormat/>
    <w:uiPriority w:val="39"/>
    <w:pPr>
      <w:tabs>
        <w:tab w:val="right" w:leader="dot" w:pos="9241"/>
      </w:tabs>
      <w:wordWrap w:val="0"/>
      <w:ind w:firstLine="500" w:firstLineChars="500"/>
    </w:pPr>
    <w:rPr>
      <w:rFonts w:ascii="宋体" w:hAnsi="宋体" w:eastAsia="宋体" w:cs="宋体"/>
      <w:sz w:val="21"/>
      <w:szCs w:val="21"/>
      <w:lang w:val="en-US" w:eastAsia="zh-CN" w:bidi="ar-SA"/>
    </w:rPr>
  </w:style>
  <w:style w:type="paragraph" w:customStyle="1" w:styleId="44">
    <w:name w:val="目次第7级"/>
    <w:qFormat/>
    <w:uiPriority w:val="39"/>
    <w:pPr>
      <w:tabs>
        <w:tab w:val="right" w:leader="dot" w:pos="9241"/>
      </w:tabs>
      <w:wordWrap w:val="0"/>
      <w:ind w:firstLine="600" w:firstLineChars="600"/>
    </w:pPr>
    <w:rPr>
      <w:rFonts w:ascii="宋体" w:hAnsi="宋体" w:eastAsia="宋体" w:cs="宋体"/>
      <w:sz w:val="21"/>
      <w:szCs w:val="21"/>
      <w:lang w:val="en-US" w:eastAsia="zh-CN" w:bidi="ar-SA"/>
    </w:rPr>
  </w:style>
  <w:style w:type="paragraph" w:customStyle="1" w:styleId="45">
    <w:name w:val="目次第8级"/>
    <w:qFormat/>
    <w:uiPriority w:val="39"/>
    <w:pPr>
      <w:tabs>
        <w:tab w:val="right" w:leader="dot" w:pos="9241"/>
      </w:tabs>
      <w:wordWrap w:val="0"/>
      <w:ind w:firstLine="700" w:firstLineChars="700"/>
    </w:pPr>
    <w:rPr>
      <w:rFonts w:ascii="宋体" w:hAnsi="宋体" w:eastAsia="宋体" w:cs="宋体"/>
      <w:sz w:val="21"/>
      <w:szCs w:val="21"/>
      <w:lang w:val="en-US" w:eastAsia="zh-CN" w:bidi="ar-SA"/>
    </w:rPr>
  </w:style>
  <w:style w:type="paragraph" w:customStyle="1" w:styleId="46">
    <w:name w:val="目次、索引正文"/>
    <w:qFormat/>
    <w:uiPriority w:val="0"/>
    <w:pPr>
      <w:widowControl w:val="0"/>
      <w:spacing w:line="320" w:lineRule="exact"/>
      <w:jc w:val="both"/>
    </w:pPr>
    <w:rPr>
      <w:rFonts w:ascii="宋体" w:hAnsi="宋体" w:eastAsia="宋体" w:cs="宋体"/>
      <w:sz w:val="21"/>
      <w:lang w:val="en-US" w:eastAsia="zh-CN" w:bidi="ar-SA"/>
    </w:rPr>
  </w:style>
  <w:style w:type="character" w:customStyle="1" w:styleId="47">
    <w:name w:val="书籍标题1"/>
    <w:basedOn w:val="17"/>
    <w:qFormat/>
    <w:uiPriority w:val="33"/>
    <w:rPr>
      <w:b/>
      <w:bCs/>
      <w:smallCaps/>
      <w:spacing w:val="5"/>
    </w:rPr>
  </w:style>
  <w:style w:type="paragraph" w:customStyle="1" w:styleId="48">
    <w:name w:val="文档名称标题"/>
    <w:qFormat/>
    <w:uiPriority w:val="0"/>
    <w:pPr>
      <w:widowControl w:val="0"/>
      <w:wordWrap w:val="0"/>
      <w:autoSpaceDE w:val="0"/>
      <w:autoSpaceDN w:val="0"/>
      <w:spacing w:before="640" w:after="560" w:line="460" w:lineRule="exact"/>
      <w:jc w:val="center"/>
    </w:pPr>
    <w:rPr>
      <w:rFonts w:ascii="黑体" w:hAnsi="Times New Roman" w:eastAsia="黑体" w:cs="Times New Roman"/>
      <w:sz w:val="32"/>
      <w:szCs w:val="32"/>
      <w:lang w:val="en-US" w:eastAsia="zh-CN" w:bidi="ar-SA"/>
    </w:rPr>
  </w:style>
  <w:style w:type="paragraph" w:customStyle="1" w:styleId="49">
    <w:name w:val="章节页面标题"/>
    <w:qFormat/>
    <w:uiPriority w:val="0"/>
    <w:pPr>
      <w:widowControl w:val="0"/>
      <w:wordWrap w:val="0"/>
      <w:autoSpaceDE w:val="0"/>
      <w:autoSpaceDN w:val="0"/>
      <w:spacing w:before="640" w:after="560" w:line="460" w:lineRule="exact"/>
      <w:jc w:val="center"/>
      <w:outlineLvl w:val="0"/>
    </w:pPr>
    <w:rPr>
      <w:rFonts w:ascii="黑体" w:hAnsi="Times New Roman" w:eastAsia="黑体" w:cs="Times New Roman"/>
      <w:sz w:val="32"/>
      <w:szCs w:val="32"/>
      <w:lang w:val="en-US" w:eastAsia="zh-CN" w:bidi="ar-SA"/>
    </w:rPr>
  </w:style>
  <w:style w:type="paragraph" w:customStyle="1" w:styleId="50">
    <w:name w:val="附录页面标题"/>
    <w:qFormat/>
    <w:uiPriority w:val="0"/>
    <w:pPr>
      <w:widowControl w:val="0"/>
      <w:wordWrap w:val="0"/>
      <w:autoSpaceDE w:val="0"/>
      <w:autoSpaceDN w:val="0"/>
      <w:spacing w:before="640" w:after="280"/>
      <w:contextualSpacing/>
      <w:jc w:val="center"/>
    </w:pPr>
    <w:rPr>
      <w:rFonts w:ascii="黑体" w:hAnsi="黑体" w:eastAsia="黑体" w:cs="黑体"/>
      <w:sz w:val="21"/>
      <w:szCs w:val="21"/>
      <w:lang w:val="en-US" w:eastAsia="zh-CN" w:bidi="ar-SA"/>
    </w:rPr>
  </w:style>
  <w:style w:type="paragraph" w:customStyle="1" w:styleId="51">
    <w:name w:val="其他页面标题"/>
    <w:qFormat/>
    <w:uiPriority w:val="0"/>
    <w:pPr>
      <w:widowControl w:val="0"/>
      <w:wordWrap w:val="0"/>
      <w:autoSpaceDE w:val="0"/>
      <w:autoSpaceDN w:val="0"/>
      <w:spacing w:before="640" w:after="200"/>
      <w:jc w:val="center"/>
      <w:outlineLvl w:val="0"/>
    </w:pPr>
    <w:rPr>
      <w:rFonts w:ascii="黑体" w:hAnsi="Times New Roman" w:eastAsia="黑体" w:cs="Times New Roman"/>
      <w:sz w:val="21"/>
      <w:szCs w:val="21"/>
      <w:lang w:val="en-US" w:eastAsia="zh-CN" w:bidi="ar-SA"/>
    </w:rPr>
  </w:style>
  <w:style w:type="paragraph" w:customStyle="1" w:styleId="52">
    <w:name w:val="段落"/>
    <w:qFormat/>
    <w:uiPriority w:val="0"/>
    <w:pPr>
      <w:widowControl w:val="0"/>
      <w:autoSpaceDE w:val="0"/>
      <w:autoSpaceDN w:val="0"/>
      <w:ind w:firstLine="420" w:firstLineChars="200"/>
    </w:pPr>
    <w:rPr>
      <w:rFonts w:ascii="宋体" w:hAnsi="Times New Roman" w:eastAsia="宋体" w:cs="Times New Roman"/>
      <w:sz w:val="21"/>
      <w:lang w:val="en-US" w:eastAsia="zh-CN" w:bidi="ar-SA"/>
    </w:rPr>
  </w:style>
  <w:style w:type="paragraph" w:customStyle="1" w:styleId="53">
    <w:name w:val="一级首章标题"/>
    <w:qFormat/>
    <w:uiPriority w:val="0"/>
    <w:pPr>
      <w:widowControl w:val="0"/>
      <w:wordWrap w:val="0"/>
      <w:autoSpaceDE w:val="0"/>
      <w:autoSpaceDN w:val="0"/>
      <w:snapToGrid w:val="0"/>
      <w:spacing w:after="100" w:afterLines="100"/>
      <w:jc w:val="both"/>
    </w:pPr>
    <w:rPr>
      <w:rFonts w:ascii="黑体" w:hAnsi="黑体" w:eastAsia="黑体" w:cs="Times New Roman"/>
      <w:sz w:val="21"/>
      <w:lang w:val="en-US" w:eastAsia="zh-CN" w:bidi="ar-SA"/>
    </w:rPr>
  </w:style>
  <w:style w:type="paragraph" w:customStyle="1" w:styleId="54">
    <w:name w:val="二级首章标题"/>
    <w:qFormat/>
    <w:uiPriority w:val="0"/>
    <w:pPr>
      <w:widowControl w:val="0"/>
      <w:wordWrap w:val="0"/>
      <w:autoSpaceDE w:val="0"/>
      <w:autoSpaceDN w:val="0"/>
      <w:snapToGrid w:val="0"/>
      <w:spacing w:after="50" w:afterLines="50"/>
      <w:jc w:val="both"/>
    </w:pPr>
    <w:rPr>
      <w:rFonts w:ascii="黑体" w:hAnsi="黑体" w:eastAsia="黑体" w:cs="Times New Roman"/>
      <w:sz w:val="21"/>
      <w:lang w:val="en-US" w:eastAsia="zh-CN" w:bidi="ar-SA"/>
    </w:rPr>
  </w:style>
  <w:style w:type="paragraph" w:customStyle="1" w:styleId="55">
    <w:name w:val="一级章标题"/>
    <w:qFormat/>
    <w:uiPriority w:val="0"/>
    <w:pPr>
      <w:widowControl w:val="0"/>
      <w:wordWrap w:val="0"/>
      <w:autoSpaceDE w:val="0"/>
      <w:autoSpaceDN w:val="0"/>
      <w:snapToGrid w:val="0"/>
      <w:spacing w:before="312" w:beforeLines="100" w:after="312" w:afterLines="100"/>
      <w:jc w:val="both"/>
    </w:pPr>
    <w:rPr>
      <w:rFonts w:ascii="黑体" w:hAnsi="黑体" w:eastAsia="黑体" w:cs="Times New Roman"/>
      <w:sz w:val="21"/>
      <w:lang w:val="en-US" w:eastAsia="zh-CN" w:bidi="ar-SA"/>
    </w:rPr>
  </w:style>
  <w:style w:type="paragraph" w:customStyle="1" w:styleId="56">
    <w:name w:val="章节条款"/>
    <w:qFormat/>
    <w:uiPriority w:val="0"/>
    <w:pPr>
      <w:widowControl w:val="0"/>
      <w:wordWrap w:val="0"/>
      <w:autoSpaceDE w:val="0"/>
      <w:autoSpaceDN w:val="0"/>
      <w:snapToGrid w:val="0"/>
      <w:spacing w:before="50" w:beforeLines="50" w:after="50" w:afterLines="50"/>
      <w:jc w:val="both"/>
    </w:pPr>
    <w:rPr>
      <w:rFonts w:ascii="黑体" w:hAnsi="黑体" w:eastAsia="黑体" w:cs="Times New Roman"/>
      <w:sz w:val="21"/>
      <w:lang w:val="en-US" w:eastAsia="zh-CN" w:bidi="ar-SA"/>
    </w:rPr>
  </w:style>
  <w:style w:type="paragraph" w:customStyle="1" w:styleId="57">
    <w:name w:val="章标题-无条题"/>
    <w:qFormat/>
    <w:uiPriority w:val="0"/>
    <w:pPr>
      <w:widowControl w:val="0"/>
      <w:wordWrap w:val="0"/>
      <w:autoSpaceDE w:val="0"/>
      <w:autoSpaceDN w:val="0"/>
    </w:pPr>
    <w:rPr>
      <w:rFonts w:ascii="宋体" w:hAnsi="宋体" w:eastAsia="宋体" w:cs="Times New Roman"/>
      <w:lang w:val="en-US" w:eastAsia="zh-CN" w:bidi="ar-SA"/>
    </w:rPr>
  </w:style>
  <w:style w:type="paragraph" w:customStyle="1" w:styleId="58">
    <w:name w:val="附录章标题-有条题"/>
    <w:qFormat/>
    <w:uiPriority w:val="0"/>
    <w:pPr>
      <w:widowControl w:val="0"/>
      <w:wordWrap w:val="0"/>
      <w:autoSpaceDE w:val="0"/>
      <w:autoSpaceDN w:val="0"/>
      <w:snapToGrid w:val="0"/>
      <w:spacing w:before="50" w:beforeLines="50" w:after="50" w:afterLines="50"/>
    </w:pPr>
    <w:rPr>
      <w:rFonts w:ascii="宋体" w:hAnsi="宋体" w:eastAsia="宋体" w:cs="Times New Roman"/>
      <w:lang w:val="en-US" w:eastAsia="zh-CN" w:bidi="ar-SA"/>
    </w:rPr>
  </w:style>
  <w:style w:type="paragraph" w:customStyle="1" w:styleId="59">
    <w:name w:val="表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60">
    <w:name w:val="图标题"/>
    <w:qFormat/>
    <w:uiPriority w:val="0"/>
    <w:pPr>
      <w:widowControl w:val="0"/>
      <w:wordWrap w:val="0"/>
      <w:autoSpaceDE w:val="0"/>
      <w:autoSpaceDN w:val="0"/>
      <w:spacing w:before="50" w:beforeLines="50" w:after="50" w:afterLines="50"/>
      <w:jc w:val="center"/>
    </w:pPr>
    <w:rPr>
      <w:rFonts w:ascii="黑体" w:hAnsi="黑体" w:eastAsia="黑体" w:cs="Times New Roman"/>
      <w:sz w:val="21"/>
      <w:lang w:val="en-US" w:eastAsia="zh-CN" w:bidi="ar-SA"/>
    </w:rPr>
  </w:style>
  <w:style w:type="paragraph" w:customStyle="1" w:styleId="61">
    <w:name w:val="公式居中"/>
    <w:next w:val="2"/>
    <w:qFormat/>
    <w:uiPriority w:val="0"/>
    <w:pPr>
      <w:tabs>
        <w:tab w:val="center" w:pos="4620"/>
        <w:tab w:val="right" w:pos="6510"/>
        <w:tab w:val="right" w:leader="middleDot" w:pos="9240"/>
      </w:tabs>
      <w:wordWrap w:val="0"/>
      <w:autoSpaceDE w:val="0"/>
      <w:autoSpaceDN w:val="0"/>
      <w:snapToGrid w:val="0"/>
      <w:jc w:val="center"/>
      <w:textAlignment w:val="center"/>
    </w:pPr>
    <w:rPr>
      <w:rFonts w:ascii="Times New Roman" w:hAnsi="Times New Roman" w:eastAsia="宋体" w:cs="Times New Roman"/>
      <w:kern w:val="2"/>
      <w:lang w:val="en-US" w:eastAsia="zh-CN" w:bidi="ar-SA"/>
    </w:rPr>
  </w:style>
  <w:style w:type="paragraph" w:customStyle="1" w:styleId="62">
    <w:name w:val="终结线"/>
    <w:qFormat/>
    <w:uiPriority w:val="0"/>
    <w:pPr>
      <w:tabs>
        <w:tab w:val="center" w:pos="4620"/>
        <w:tab w:val="right" w:pos="6510"/>
        <w:tab w:val="right" w:leader="middleDot" w:pos="9240"/>
      </w:tabs>
      <w:wordWrap w:val="0"/>
      <w:autoSpaceDE w:val="0"/>
      <w:autoSpaceDN w:val="0"/>
      <w:jc w:val="center"/>
      <w:textAlignment w:val="center"/>
    </w:pPr>
    <w:rPr>
      <w:rFonts w:ascii="Times New Roman" w:hAnsi="Times New Roman" w:eastAsia="宋体" w:cs="Times New Roman"/>
      <w:lang w:val="en-US" w:eastAsia="zh-CN" w:bidi="ar-SA"/>
    </w:rPr>
  </w:style>
  <w:style w:type="paragraph" w:customStyle="1" w:styleId="6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64">
    <w:name w:val="一级条标题"/>
    <w:next w:val="63"/>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65">
    <w:name w:val="章标题"/>
    <w:next w:val="63"/>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66">
    <w:name w:val="二级条标题"/>
    <w:basedOn w:val="64"/>
    <w:next w:val="63"/>
    <w:link w:val="75"/>
    <w:qFormat/>
    <w:uiPriority w:val="0"/>
    <w:pPr>
      <w:numPr>
        <w:ilvl w:val="2"/>
        <w:numId w:val="2"/>
      </w:numPr>
      <w:outlineLvl w:val="3"/>
    </w:pPr>
  </w:style>
  <w:style w:type="paragraph" w:customStyle="1" w:styleId="67">
    <w:name w:val="三级条标题"/>
    <w:basedOn w:val="66"/>
    <w:next w:val="63"/>
    <w:link w:val="76"/>
    <w:qFormat/>
    <w:uiPriority w:val="0"/>
    <w:pPr>
      <w:numPr>
        <w:ilvl w:val="3"/>
      </w:numPr>
      <w:outlineLvl w:val="4"/>
    </w:pPr>
  </w:style>
  <w:style w:type="paragraph" w:customStyle="1" w:styleId="68">
    <w:name w:val="附录标识"/>
    <w:basedOn w:val="1"/>
    <w:next w:val="63"/>
    <w:qFormat/>
    <w:uiPriority w:val="0"/>
    <w:pPr>
      <w:keepNext/>
      <w:widowControl/>
      <w:numPr>
        <w:ilvl w:val="0"/>
        <w:numId w:val="3"/>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69">
    <w:name w:val="正文图标题"/>
    <w:next w:val="63"/>
    <w:qFormat/>
    <w:uiPriority w:val="0"/>
    <w:pPr>
      <w:numPr>
        <w:ilvl w:val="0"/>
        <w:numId w:val="4"/>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70">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71">
    <w:name w:val="标准书眉_偶数页"/>
    <w:basedOn w:val="70"/>
    <w:next w:val="1"/>
    <w:qFormat/>
    <w:uiPriority w:val="0"/>
    <w:pPr>
      <w:jc w:val="left"/>
    </w:pPr>
  </w:style>
  <w:style w:type="paragraph" w:customStyle="1" w:styleId="72">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73">
    <w:name w:val="标准书脚_偶数页"/>
    <w:qFormat/>
    <w:uiPriority w:val="0"/>
    <w:pPr>
      <w:spacing w:before="120"/>
      <w:ind w:left="221"/>
    </w:pPr>
    <w:rPr>
      <w:rFonts w:ascii="宋体" w:hAnsi="Times New Roman" w:eastAsia="宋体" w:cs="Times New Roman"/>
      <w:sz w:val="18"/>
      <w:szCs w:val="18"/>
      <w:lang w:val="en-US" w:eastAsia="zh-CN" w:bidi="ar-SA"/>
    </w:rPr>
  </w:style>
  <w:style w:type="character" w:customStyle="1" w:styleId="74">
    <w:name w:val="目次标题级 Char"/>
    <w:link w:val="37"/>
    <w:qFormat/>
    <w:uiPriority w:val="39"/>
    <w:rPr>
      <w:rFonts w:ascii="宋体" w:hAnsi="宋体" w:eastAsia="宋体" w:cs="Times New Roman"/>
      <w:sz w:val="21"/>
      <w:szCs w:val="21"/>
      <w:lang w:val="en-US" w:eastAsia="zh-CN" w:bidi="ar-SA"/>
    </w:rPr>
  </w:style>
  <w:style w:type="character" w:customStyle="1" w:styleId="75">
    <w:name w:val="二级条标题 Char"/>
    <w:link w:val="66"/>
    <w:qFormat/>
    <w:uiPriority w:val="0"/>
  </w:style>
  <w:style w:type="character" w:customStyle="1" w:styleId="76">
    <w:name w:val="三级条标题 Char"/>
    <w:link w:val="67"/>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1978</Words>
  <Characters>2349</Characters>
  <Lines>37</Lines>
  <Paragraphs>10</Paragraphs>
  <TotalTime>1</TotalTime>
  <ScaleCrop>false</ScaleCrop>
  <LinksUpToDate>false</LinksUpToDate>
  <CharactersWithSpaces>2447</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2021-11-06T13:46:00Z</dcterms:created>
  <dc:creator>sam</dc:creator>
  <cp:lastModifiedBy>admin</cp:lastModifiedBy>
  <dcterms:modified xsi:type="dcterms:W3CDTF">2026-08-31T02:04:10Z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D355E09412134BDDA1483DEAACA0F853_13</vt:lpwstr>
  </property>
  <property fmtid="{D5CDD505-2E9C-101B-9397-08002B2CF9AE}" pid="4" name="KSOTemplateDocerSaveRecord">
    <vt:lpwstr>eyJoZGlkIjoiMjBlMWQ4YmQzZTU5ZTkyMmNhZmIwOTVlNTc1MjQ1ZmQiLCJ1c2VySWQiOiI5MTE4NzEwNDkifQ==</vt:lpwstr>
  </property>
</Properties>
</file>