
<file path=[Content_Types].xml><?xml version="1.0" encoding="utf-8"?>
<Types xmlns="http://schemas.openxmlformats.org/package/2006/content-types">
  <Default Extension="xml" ContentType="application/xml"/>
  <Default Extension="wdp" ContentType="image/vnd.ms-photo"/>
  <Default Extension="png" ContentType="image/png"/>
  <Default Extension="tiff" ContentType="image/tiff"/>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3"/>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67.080.20</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B</w:t>
            </w:r>
            <w:r>
              <w:rPr>
                <w:rFonts w:hint="eastAsia" w:ascii="黑体" w:hAnsi="黑体" w:eastAsia="黑体"/>
                <w:sz w:val="21"/>
                <w:szCs w:val="21"/>
              </w:rPr>
              <w:t xml:space="preserve"> </w:t>
            </w:r>
            <w:r>
              <w:rPr>
                <w:rFonts w:ascii="黑体" w:hAnsi="黑体" w:eastAsia="黑体"/>
                <w:sz w:val="21"/>
                <w:szCs w:val="21"/>
              </w:rPr>
              <w:t>31</w:t>
            </w:r>
            <w:r>
              <w:rPr>
                <w:rFonts w:ascii="黑体" w:hAnsi="黑体" w:eastAsia="黑体"/>
                <w:sz w:val="21"/>
                <w:szCs w:val="21"/>
              </w:rPr>
              <w:fldChar w:fldCharType="end"/>
            </w:r>
            <w:bookmarkEnd w:id="1"/>
          </w:p>
        </w:tc>
      </w:tr>
    </w:tbl>
    <w:tbl>
      <w:tblPr>
        <w:tblStyle w:val="33"/>
        <w:tblpPr w:leftFromText="180" w:rightFromText="180" w:vertAnchor="text" w:horzAnchor="margin" w:tblpX="2683" w:tblpY="578"/>
        <w:tblW w:w="6407"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PrEx>
        <w:tc>
          <w:tcPr>
            <w:tcW w:w="6407" w:type="dxa"/>
          </w:tcPr>
          <w:p>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43</w:t>
            </w:r>
            <w:r>
              <w:fldChar w:fldCharType="end"/>
            </w:r>
            <w:bookmarkEnd w:id="3"/>
          </w:p>
        </w:tc>
      </w:tr>
    </w:tbl>
    <w:p>
      <w:pPr>
        <w:pStyle w:val="50"/>
        <w:framePr w:w="9639" w:h="624" w:hRule="exact" w:hSpace="181" w:vSpace="181"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湖南省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pPr>
        <w:pStyle w:val="195"/>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43/T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pPr>
        <w:pStyle w:val="196"/>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ng0mW2AAAAAwBAAAPAAAAAAAAAAEAIAAAACIAAABkcnMv&#10;ZG93bnJldi54bWxQSwECFAAUAAAACACHTuJAeCbvfcoBAABeAwAADgAAAAAAAAABACAAAAAnAQAA&#10;ZHJzL2Uyb0RvYy54bWxQSwUGAAAAAAYABgBZAQAAYwUAAAAA&#10;">
                <v:fill on="f" focussize="0,0"/>
                <v:stroke color="#000000" joinstyle="round"/>
                <v:imagedata o:title=""/>
                <o:lock v:ext="edit" aspectratio="f"/>
              </v:line>
            </w:pict>
          </mc:Fallback>
        </mc:AlternateContent>
      </w:r>
    </w:p>
    <w:p>
      <w:pPr>
        <w:pStyle w:val="50"/>
        <w:framePr w:w="9639" w:h="6976" w:hRule="exact" w:hSpace="0" w:vSpace="0" w:hAnchor="page" w:y="6408"/>
        <w:jc w:val="center"/>
        <w:rPr>
          <w:rFonts w:ascii="黑体" w:hAnsi="黑体" w:eastAsia="黑体"/>
          <w:b w:val="0"/>
          <w:bCs w:val="0"/>
          <w:w w:val="100"/>
        </w:rPr>
      </w:pPr>
    </w:p>
    <w:p>
      <w:pPr>
        <w:pStyle w:val="197"/>
        <w:framePr w:h="6974" w:hRule="exact"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地理标志产品质量要求 九华红菜薹</w:t>
      </w:r>
      <w: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eastAsia="黑体"/>
          <w:b/>
          <w:szCs w:val="28"/>
        </w:rPr>
      </w:pPr>
      <w:r>
        <w:rPr>
          <w:rFonts w:eastAsia="黑体"/>
          <w:b/>
          <w:szCs w:val="28"/>
        </w:rPr>
        <w:fldChar w:fldCharType="begin">
          <w:ffData>
            <w:name w:val="ESTD_NAME"/>
            <w:enabled/>
            <w:calcOnExit w:val="0"/>
            <w:textInput>
              <w:default w:val="点击此处添加标准名称的英文译名"/>
            </w:textInput>
          </w:ffData>
        </w:fldChar>
      </w:r>
      <w:bookmarkStart w:id="10" w:name="ESTD_NAME"/>
      <w:r>
        <w:rPr>
          <w:rFonts w:eastAsia="黑体"/>
          <w:b/>
          <w:szCs w:val="28"/>
        </w:rPr>
        <w:instrText xml:space="preserve"> FORMTEXT </w:instrText>
      </w:r>
      <w:r>
        <w:rPr>
          <w:rFonts w:eastAsia="黑体"/>
          <w:b/>
          <w:szCs w:val="28"/>
        </w:rPr>
        <w:fldChar w:fldCharType="separate"/>
      </w:r>
      <w:r>
        <w:rPr>
          <w:rFonts w:eastAsia="黑体"/>
          <w:b/>
          <w:szCs w:val="28"/>
        </w:rPr>
        <w:t>Quality requirements for product of geographical indication—jiuhua purple tsai-tai</w:t>
      </w:r>
      <w:r>
        <w:rPr>
          <w:rFonts w:eastAsia="黑体"/>
          <w:b/>
          <w:szCs w:val="28"/>
        </w:rPr>
        <w:fldChar w:fldCharType="end"/>
      </w:r>
      <w:bookmarkEnd w:id="10"/>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sz w:val="24"/>
          <w:szCs w:val="28"/>
        </w:rPr>
      </w:pPr>
      <w:bookmarkStart w:id="67" w:name="_GoBack"/>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67"/>
      <w:bookmarkEnd w:id="11"/>
    </w:p>
    <w:p>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pPr>
        <w:pStyle w:val="193"/>
        <w:framePr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pPr>
        <w:pStyle w:val="194"/>
        <w:framePr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pPr>
        <w:pStyle w:val="151"/>
        <w:framePr w:h="584" w:hRule="exact" w:hSpace="181" w:vSpace="181" w:y="15027"/>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湖南省市场监督管理局</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ascii="宋体" w:hAnsi="宋体"/>
          <w:sz w:val="28"/>
          <w:szCs w:val="28"/>
        </w:rPr>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3360"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3360;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rMxz71wAAAA4BAAAPAAAAAAAAAAEAIAAAACIAAABkcnMvZG93&#10;bnJldi54bWxQSwECFAAUAAAACACHTuJAqt0+T8gBAABcAwAADgAAAAAAAAABACAAAAAmAQAAZHJz&#10;L2Uyb0RvYy54bWxQSwUGAAAAAAYABgBZAQAAYAUAAAAA&#10;">
                <v:fill on="f" focussize="0,0"/>
                <v:stroke color="#000000" joinstyle="round"/>
                <v:imagedata o:title=""/>
                <o:lock v:ext="edit" aspectratio="f"/>
                <w10:anchorlock/>
              </v:line>
            </w:pict>
          </mc:Fallback>
        </mc:AlternateContent>
      </w:r>
    </w:p>
    <w:p>
      <w:pPr>
        <w:pStyle w:val="91"/>
        <w:spacing w:after="468"/>
      </w:pPr>
      <w:bookmarkStart w:id="21" w:name="BookMark1"/>
      <w:r>
        <w:rPr>
          <w:rFonts w:hint="eastAsia"/>
          <w:spacing w:val="320"/>
        </w:rPr>
        <w:t>目</w:t>
      </w:r>
      <w:r>
        <w:rPr>
          <w:rFonts w:hint="eastAsia"/>
        </w:rPr>
        <w:t>次</w:t>
      </w:r>
    </w:p>
    <w:p>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TOC \o "1-1" \h </w:instrText>
      </w:r>
      <w:r>
        <w:fldChar w:fldCharType="separate"/>
      </w:r>
      <w:r>
        <w:fldChar w:fldCharType="begin"/>
      </w:r>
      <w:r>
        <w:instrText xml:space="preserve"> HYPERLINK \l "_Toc236489755" </w:instrText>
      </w:r>
      <w:r>
        <w:fldChar w:fldCharType="separate"/>
      </w:r>
      <w:r>
        <w:rPr>
          <w:rStyle w:val="30"/>
        </w:rPr>
        <w:t>前言</w:t>
      </w:r>
      <w:r>
        <w:rPr>
          <w:rFonts w:hint="eastAsia"/>
        </w:rPr>
        <w:tab/>
      </w:r>
      <w:r>
        <w:rPr>
          <w:rFonts w:hint="eastAsia"/>
        </w:rPr>
        <w:fldChar w:fldCharType="begin"/>
      </w:r>
      <w:r>
        <w:rPr>
          <w:rFonts w:hint="eastAsia"/>
        </w:rPr>
        <w:instrText xml:space="preserve"> </w:instrText>
      </w:r>
      <w:r>
        <w:instrText xml:space="preserve">PAGEREF _Toc236489755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"_Toc236489756" </w:instrText>
      </w:r>
      <w:r>
        <w:fldChar w:fldCharType="separate"/>
      </w:r>
      <w:r>
        <w:rPr>
          <w:rStyle w:val="30"/>
        </w:rPr>
        <w:t>引言</w:t>
      </w:r>
      <w:r>
        <w:rPr>
          <w:rFonts w:hint="eastAsia"/>
        </w:rPr>
        <w:tab/>
      </w:r>
      <w:r>
        <w:rPr>
          <w:rFonts w:hint="eastAsia"/>
        </w:rPr>
        <w:fldChar w:fldCharType="begin"/>
      </w:r>
      <w:r>
        <w:rPr>
          <w:rFonts w:hint="eastAsia"/>
        </w:rPr>
        <w:instrText xml:space="preserve"> </w:instrText>
      </w:r>
      <w:r>
        <w:instrText xml:space="preserve">PAGEREF _Toc236489756 \h</w:instrText>
      </w:r>
      <w:r>
        <w:rPr>
          <w:rFonts w:hint="eastAsia"/>
        </w:rPr>
        <w:instrText xml:space="preserve"> </w:instrText>
      </w:r>
      <w:r>
        <w:rPr>
          <w:rFonts w:hint="eastAsia"/>
        </w:rPr>
        <w:fldChar w:fldCharType="separate"/>
      </w:r>
      <w:r>
        <w:t>III</w:t>
      </w:r>
      <w:r>
        <w:rPr>
          <w:rFonts w:hint="eastAsia"/>
        </w:rPr>
        <w:fldChar w:fldCharType="end"/>
      </w:r>
      <w:r>
        <w:rPr>
          <w:rFonts w:hint="eastAsia"/>
        </w:rPr>
        <w:fldChar w:fldCharType="end"/>
      </w:r>
    </w:p>
    <w:p>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"_Toc236489757" </w:instrText>
      </w:r>
      <w:r>
        <w:fldChar w:fldCharType="separate"/>
      </w:r>
      <w:r>
        <w:rPr>
          <w:rStyle w:val="30"/>
        </w:rPr>
        <w:t>1  范围</w:t>
      </w:r>
      <w:r>
        <w:rPr>
          <w:rFonts w:hint="eastAsia"/>
        </w:rPr>
        <w:tab/>
      </w:r>
      <w:r>
        <w:rPr>
          <w:rFonts w:hint="eastAsia"/>
        </w:rPr>
        <w:fldChar w:fldCharType="begin"/>
      </w:r>
      <w:r>
        <w:rPr>
          <w:rFonts w:hint="eastAsia"/>
        </w:rPr>
        <w:instrText xml:space="preserve"> </w:instrText>
      </w:r>
      <w:r>
        <w:instrText xml:space="preserve">PAGEREF _Toc236489757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"_Toc236489758" </w:instrText>
      </w:r>
      <w:r>
        <w:fldChar w:fldCharType="separate"/>
      </w:r>
      <w:r>
        <w:rPr>
          <w:rStyle w:val="30"/>
        </w:rPr>
        <w:t>2  规范性引用文件</w:t>
      </w:r>
      <w:r>
        <w:rPr>
          <w:rFonts w:hint="eastAsia"/>
        </w:rPr>
        <w:tab/>
      </w:r>
      <w:r>
        <w:rPr>
          <w:rFonts w:hint="eastAsia"/>
        </w:rPr>
        <w:fldChar w:fldCharType="begin"/>
      </w:r>
      <w:r>
        <w:rPr>
          <w:rFonts w:hint="eastAsia"/>
        </w:rPr>
        <w:instrText xml:space="preserve"> </w:instrText>
      </w:r>
      <w:r>
        <w:instrText xml:space="preserve">PAGEREF _Toc236489758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"_Toc236489759" </w:instrText>
      </w:r>
      <w:r>
        <w:fldChar w:fldCharType="separate"/>
      </w:r>
      <w:r>
        <w:rPr>
          <w:rStyle w:val="30"/>
        </w:rPr>
        <w:t>3  术语和定义</w:t>
      </w:r>
      <w:r>
        <w:rPr>
          <w:rFonts w:hint="eastAsia"/>
        </w:rPr>
        <w:tab/>
      </w:r>
      <w:r>
        <w:rPr>
          <w:rFonts w:hint="eastAsia"/>
        </w:rPr>
        <w:fldChar w:fldCharType="begin"/>
      </w:r>
      <w:r>
        <w:rPr>
          <w:rFonts w:hint="eastAsia"/>
        </w:rPr>
        <w:instrText xml:space="preserve"> </w:instrText>
      </w:r>
      <w:r>
        <w:instrText xml:space="preserve">PAGEREF _Toc236489759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"_Toc236489760" </w:instrText>
      </w:r>
      <w:r>
        <w:fldChar w:fldCharType="separate"/>
      </w:r>
      <w:r>
        <w:rPr>
          <w:rStyle w:val="30"/>
        </w:rPr>
        <w:t>4  产地范围</w:t>
      </w:r>
      <w:r>
        <w:rPr>
          <w:rFonts w:hint="eastAsia"/>
        </w:rPr>
        <w:tab/>
      </w:r>
      <w:r>
        <w:rPr>
          <w:rFonts w:hint="eastAsia"/>
        </w:rPr>
        <w:fldChar w:fldCharType="begin"/>
      </w:r>
      <w:r>
        <w:rPr>
          <w:rFonts w:hint="eastAsia"/>
        </w:rPr>
        <w:instrText xml:space="preserve"> </w:instrText>
      </w:r>
      <w:r>
        <w:instrText xml:space="preserve">PAGEREF _Toc236489760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"_Toc236489761" </w:instrText>
      </w:r>
      <w:r>
        <w:fldChar w:fldCharType="separate"/>
      </w:r>
      <w:r>
        <w:rPr>
          <w:rStyle w:val="30"/>
        </w:rPr>
        <w:t>5  产地环境</w:t>
      </w:r>
      <w:r>
        <w:rPr>
          <w:rFonts w:hint="eastAsia"/>
        </w:rPr>
        <w:tab/>
      </w:r>
      <w:r>
        <w:rPr>
          <w:rFonts w:hint="eastAsia"/>
        </w:rPr>
        <w:fldChar w:fldCharType="begin"/>
      </w:r>
      <w:r>
        <w:rPr>
          <w:rFonts w:hint="eastAsia"/>
        </w:rPr>
        <w:instrText xml:space="preserve"> </w:instrText>
      </w:r>
      <w:r>
        <w:instrText xml:space="preserve">PAGEREF _Toc236489761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"_Toc236489762" </w:instrText>
      </w:r>
      <w:r>
        <w:fldChar w:fldCharType="separate"/>
      </w:r>
      <w:r>
        <w:rPr>
          <w:rStyle w:val="30"/>
        </w:rPr>
        <w:t>6  技术要求</w:t>
      </w:r>
      <w:r>
        <w:rPr>
          <w:rFonts w:hint="eastAsia"/>
        </w:rPr>
        <w:tab/>
      </w:r>
      <w:r>
        <w:rPr>
          <w:rFonts w:hint="eastAsia"/>
        </w:rPr>
        <w:fldChar w:fldCharType="begin"/>
      </w:r>
      <w:r>
        <w:rPr>
          <w:rFonts w:hint="eastAsia"/>
        </w:rPr>
        <w:instrText xml:space="preserve"> </w:instrText>
      </w:r>
      <w:r>
        <w:instrText xml:space="preserve">PAGEREF _Toc236489762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"_Toc236489763" </w:instrText>
      </w:r>
      <w:r>
        <w:fldChar w:fldCharType="separate"/>
      </w:r>
      <w:r>
        <w:rPr>
          <w:rStyle w:val="30"/>
        </w:rPr>
        <w:t>7  质量要求</w:t>
      </w:r>
      <w:r>
        <w:rPr>
          <w:rFonts w:hint="eastAsia"/>
        </w:rPr>
        <w:tab/>
      </w:r>
      <w:r>
        <w:rPr>
          <w:rFonts w:hint="eastAsia"/>
        </w:rPr>
        <w:fldChar w:fldCharType="begin"/>
      </w:r>
      <w:r>
        <w:rPr>
          <w:rFonts w:hint="eastAsia"/>
        </w:rPr>
        <w:instrText xml:space="preserve"> </w:instrText>
      </w:r>
      <w:r>
        <w:instrText xml:space="preserve">PAGEREF _Toc236489763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"_Toc236489764" </w:instrText>
      </w:r>
      <w:r>
        <w:fldChar w:fldCharType="separate"/>
      </w:r>
      <w:r>
        <w:rPr>
          <w:rStyle w:val="30"/>
        </w:rPr>
        <w:t>8  检验方法</w:t>
      </w:r>
      <w:r>
        <w:rPr>
          <w:rFonts w:hint="eastAsia"/>
        </w:rPr>
        <w:tab/>
      </w:r>
      <w:r>
        <w:rPr>
          <w:rFonts w:hint="eastAsia"/>
        </w:rPr>
        <w:fldChar w:fldCharType="begin"/>
      </w:r>
      <w:r>
        <w:rPr>
          <w:rFonts w:hint="eastAsia"/>
        </w:rPr>
        <w:instrText xml:space="preserve"> </w:instrText>
      </w:r>
      <w:r>
        <w:instrText xml:space="preserve">PAGEREF _Toc236489764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"_Toc236489765" </w:instrText>
      </w:r>
      <w:r>
        <w:fldChar w:fldCharType="separate"/>
      </w:r>
      <w:r>
        <w:rPr>
          <w:rStyle w:val="30"/>
        </w:rPr>
        <w:t>9  检验规则</w:t>
      </w:r>
      <w:r>
        <w:rPr>
          <w:rFonts w:hint="eastAsia"/>
        </w:rPr>
        <w:tab/>
      </w:r>
      <w:r>
        <w:rPr>
          <w:rFonts w:hint="eastAsia"/>
        </w:rPr>
        <w:fldChar w:fldCharType="begin"/>
      </w:r>
      <w:r>
        <w:rPr>
          <w:rFonts w:hint="eastAsia"/>
        </w:rPr>
        <w:instrText xml:space="preserve"> </w:instrText>
      </w:r>
      <w:r>
        <w:instrText xml:space="preserve">PAGEREF _Toc236489765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"_Toc236489766" </w:instrText>
      </w:r>
      <w:r>
        <w:fldChar w:fldCharType="separate"/>
      </w:r>
      <w:r>
        <w:rPr>
          <w:rStyle w:val="30"/>
        </w:rPr>
        <w:t>10  标志、标签</w:t>
      </w:r>
      <w:r>
        <w:rPr>
          <w:rFonts w:hint="eastAsia"/>
        </w:rPr>
        <w:tab/>
      </w:r>
      <w:r>
        <w:rPr>
          <w:rFonts w:hint="eastAsia"/>
        </w:rPr>
        <w:fldChar w:fldCharType="begin"/>
      </w:r>
      <w:r>
        <w:rPr>
          <w:rFonts w:hint="eastAsia"/>
        </w:rPr>
        <w:instrText xml:space="preserve"> </w:instrText>
      </w:r>
      <w:r>
        <w:instrText xml:space="preserve">PAGEREF _Toc236489766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"_Toc236489767" </w:instrText>
      </w:r>
      <w:r>
        <w:fldChar w:fldCharType="separate"/>
      </w:r>
      <w:r>
        <w:rPr>
          <w:rStyle w:val="30"/>
        </w:rPr>
        <w:t>11  包装、运输、贮存</w:t>
      </w:r>
      <w:r>
        <w:rPr>
          <w:rFonts w:hint="eastAsia"/>
        </w:rPr>
        <w:tab/>
      </w:r>
      <w:r>
        <w:rPr>
          <w:rFonts w:hint="eastAsia"/>
        </w:rPr>
        <w:fldChar w:fldCharType="begin"/>
      </w:r>
      <w:r>
        <w:rPr>
          <w:rFonts w:hint="eastAsia"/>
        </w:rPr>
        <w:instrText xml:space="preserve"> </w:instrText>
      </w:r>
      <w:r>
        <w:instrText xml:space="preserve">PAGEREF _Toc236489767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"_Toc236489768" </w:instrText>
      </w:r>
      <w:r>
        <w:fldChar w:fldCharType="separate"/>
      </w:r>
      <w:r>
        <w:rPr>
          <w:rStyle w:val="30"/>
        </w:rPr>
        <w:t>12  生产档案管理</w:t>
      </w:r>
      <w:r>
        <w:rPr>
          <w:rFonts w:hint="eastAsia"/>
        </w:rPr>
        <w:tab/>
      </w:r>
      <w:r>
        <w:rPr>
          <w:rFonts w:hint="eastAsia"/>
        </w:rPr>
        <w:fldChar w:fldCharType="begin"/>
      </w:r>
      <w:r>
        <w:rPr>
          <w:rFonts w:hint="eastAsia"/>
        </w:rPr>
        <w:instrText xml:space="preserve"> </w:instrText>
      </w:r>
      <w:r>
        <w:instrText xml:space="preserve">PAGEREF _Toc236489768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pPr>
        <w:pStyle w:val="91"/>
        <w:spacing w:after="468"/>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21"/>
    <w:p>
      <w:pPr>
        <w:pStyle w:val="89"/>
        <w:spacing w:before="900" w:after="468"/>
      </w:pPr>
      <w:bookmarkStart w:id="22" w:name="_Toc236489755"/>
      <w:bookmarkStart w:id="23" w:name="BookMark2"/>
      <w:r>
        <w:rPr>
          <w:spacing w:val="320"/>
        </w:rPr>
        <w:t>前</w:t>
      </w:r>
      <w:r>
        <w:t>言</w:t>
      </w:r>
      <w:bookmarkEnd w:id="22"/>
    </w:p>
    <w:p>
      <w:pPr>
        <w:pStyle w:val="56"/>
        <w:autoSpaceDE/>
        <w:autoSpaceDN/>
        <w:ind w:firstLine="420"/>
        <w:rPr>
          <w:rFonts w:ascii="Times New Roman"/>
        </w:rPr>
      </w:pPr>
      <w:r>
        <w:rPr>
          <w:rFonts w:ascii="Times New Roman"/>
        </w:rPr>
        <w:t>本文件按照GB/T 1.1—2020《标准化工作导则  第1部分：标准化文件的结构和起草规则》的规定起草。</w:t>
      </w:r>
    </w:p>
    <w:p>
      <w:pPr>
        <w:pStyle w:val="56"/>
        <w:autoSpaceDE/>
        <w:autoSpaceDN/>
        <w:ind w:firstLine="420"/>
        <w:rPr>
          <w:rFonts w:ascii="Times New Roman"/>
        </w:rPr>
      </w:pPr>
      <w:r>
        <w:rPr>
          <w:rFonts w:ascii="Times New Roman"/>
        </w:rPr>
        <w:t>本文件规定了食品质量相关技术要求,食品安全相关要求见有关法律法规、政策和食品安全标准等文件。</w:t>
      </w:r>
    </w:p>
    <w:p>
      <w:pPr>
        <w:pStyle w:val="56"/>
        <w:autoSpaceDE/>
        <w:autoSpaceDN/>
        <w:ind w:firstLine="420"/>
        <w:rPr>
          <w:rFonts w:ascii="Times New Roman"/>
        </w:rPr>
      </w:pPr>
      <w:r>
        <w:rPr>
          <w:rFonts w:ascii="Times New Roman"/>
        </w:rPr>
        <w:t>请注意本文件的某些内容可能涉及专利。本文件的发布机构不承担识别专利的责任。</w:t>
      </w:r>
    </w:p>
    <w:p>
      <w:pPr>
        <w:pStyle w:val="56"/>
        <w:autoSpaceDE/>
        <w:autoSpaceDN/>
        <w:ind w:firstLine="420"/>
        <w:rPr>
          <w:rFonts w:ascii="Times New Roman"/>
        </w:rPr>
      </w:pPr>
      <w:r>
        <w:rPr>
          <w:rFonts w:ascii="Times New Roman"/>
        </w:rPr>
        <w:t>本文件由湖南省市场监督管理局（知识产权局）提出。</w:t>
      </w:r>
    </w:p>
    <w:p>
      <w:pPr>
        <w:pStyle w:val="56"/>
        <w:autoSpaceDE/>
        <w:autoSpaceDN/>
        <w:ind w:firstLine="420"/>
        <w:rPr>
          <w:rFonts w:ascii="Times New Roman"/>
        </w:rPr>
      </w:pPr>
      <w:r>
        <w:rPr>
          <w:rFonts w:ascii="Times New Roman"/>
        </w:rPr>
        <w:t>本文件由湖南省地理标志标准化技术委员会归口。</w:t>
      </w:r>
    </w:p>
    <w:p>
      <w:pPr>
        <w:pStyle w:val="56"/>
        <w:autoSpaceDE/>
        <w:autoSpaceDN/>
        <w:ind w:firstLine="420"/>
        <w:rPr>
          <w:rFonts w:ascii="Times New Roman"/>
        </w:rPr>
      </w:pPr>
      <w:r>
        <w:rPr>
          <w:rFonts w:ascii="Times New Roman"/>
        </w:rPr>
        <w:t>本文件起草单位：湘潭市市场监督管理局、湘潭市农业科学研究所、湘潭市标准化协会、湘潭市知识产权保护中心、湘潭市雨湖区姜畲镇政府农业综合服务中心、湖南湘艺源生态农业发展有限公司。</w:t>
      </w:r>
    </w:p>
    <w:p>
      <w:pPr>
        <w:pStyle w:val="56"/>
        <w:autoSpaceDE/>
        <w:autoSpaceDN/>
        <w:ind w:firstLine="420"/>
        <w:rPr>
          <w:rFonts w:ascii="Times New Roman"/>
        </w:rPr>
      </w:pPr>
      <w:r>
        <w:rPr>
          <w:rFonts w:ascii="Times New Roman"/>
        </w:rPr>
        <w:t>本文件主要起草人：施章、何刀山、荣玫、王雨青、任兴华、谭诤、邹凯、陈湘宇、赵鑫、赵婧。</w:t>
      </w:r>
    </w:p>
    <w:p>
      <w:pPr>
        <w:pStyle w:val="56"/>
        <w:ind w:firstLine="420"/>
      </w:pPr>
    </w:p>
    <w:p>
      <w:pPr>
        <w:pStyle w:val="56"/>
        <w:ind w:firstLine="420"/>
        <w:sectPr>
          <w:pgSz w:w="11906" w:h="16838"/>
          <w:pgMar w:top="1928" w:right="1134" w:bottom="1134" w:left="1134" w:header="1418" w:footer="1134" w:gutter="284"/>
          <w:pgNumType w:fmt="upperRoman"/>
          <w:cols w:space="425" w:num="1"/>
          <w:formProt w:val="0"/>
          <w:docGrid w:type="lines" w:linePitch="312" w:charSpace="0"/>
        </w:sectPr>
      </w:pPr>
    </w:p>
    <w:bookmarkEnd w:id="23"/>
    <w:p>
      <w:pPr>
        <w:pStyle w:val="89"/>
        <w:spacing w:after="468"/>
      </w:pPr>
      <w:bookmarkStart w:id="24" w:name="_Toc236489756"/>
      <w:bookmarkStart w:id="25" w:name="BookMark3"/>
      <w:r>
        <w:rPr>
          <w:spacing w:val="320"/>
        </w:rPr>
        <w:t>引</w:t>
      </w:r>
      <w:r>
        <w:t>言</w:t>
      </w:r>
      <w:bookmarkEnd w:id="24"/>
    </w:p>
    <w:p>
      <w:pPr>
        <w:pStyle w:val="56"/>
        <w:ind w:firstLine="420"/>
      </w:pPr>
      <w:r>
        <w:rPr>
          <w:rFonts w:hint="eastAsia"/>
        </w:rPr>
        <w:t>湘潭市地处湘中丘陵盆地北部，属亚热带季风湿润气候，湘江水系贯穿全境，土壤肥沃、水源洁净、光照充足，独特的自然地理环境孕育了优质地方蔬菜品种——九华红菜薹。</w:t>
      </w:r>
    </w:p>
    <w:p>
      <w:pPr>
        <w:pStyle w:val="56"/>
        <w:ind w:firstLine="420"/>
      </w:pPr>
      <w:r>
        <w:rPr>
          <w:rFonts w:hint="eastAsia"/>
        </w:rPr>
        <w:t>九华红菜薹栽培历史近百年，最早见于清乾隆丙子年（1756年）《湘潭县志•物产》记载；2017年获国家农产品地理标志登记保护，2025年转化为地理标志产品。该品种菜薹紫红光亮、粗壮无蜡粉、香甜脆嫩、菜汁鲜浓，兼具营养与风味，深受市场青睐。</w:t>
      </w:r>
    </w:p>
    <w:p>
      <w:pPr>
        <w:pStyle w:val="56"/>
        <w:ind w:firstLine="420"/>
      </w:pPr>
    </w:p>
    <w:p>
      <w:pPr>
        <w:pStyle w:val="56"/>
        <w:ind w:firstLine="420"/>
        <w:sectPr>
          <w:pgSz w:w="11906" w:h="16838"/>
          <w:pgMar w:top="1928" w:right="1134" w:bottom="1134" w:left="1134" w:header="1418" w:footer="1134" w:gutter="284"/>
          <w:pgNumType w:fmt="upperRoman"/>
          <w:cols w:space="425" w:num="1"/>
          <w:formProt w:val="0"/>
          <w:docGrid w:type="lines" w:linePitch="312" w:charSpace="0"/>
        </w:sectPr>
      </w:pPr>
    </w:p>
    <w:bookmarkEnd w:id="25"/>
    <w:p>
      <w:pPr>
        <w:spacing w:line="20" w:lineRule="exact"/>
        <w:jc w:val="center"/>
        <w:rPr>
          <w:rFonts w:ascii="黑体" w:hAnsi="黑体" w:eastAsia="黑体"/>
          <w:sz w:val="32"/>
          <w:szCs w:val="32"/>
        </w:rPr>
      </w:pPr>
      <w:bookmarkStart w:id="26" w:name="BookMark4"/>
    </w:p>
    <w:p>
      <w:pPr>
        <w:spacing w:line="20" w:lineRule="exact"/>
        <w:jc w:val="center"/>
        <w:rPr>
          <w:rFonts w:ascii="黑体" w:hAnsi="黑体" w:eastAsia="黑体"/>
          <w:sz w:val="32"/>
          <w:szCs w:val="32"/>
        </w:rPr>
      </w:pPr>
    </w:p>
    <w:sdt>
      <w:sdtPr>
        <w:tag w:val="NEW_STAND_NAME"/>
        <w:id w:val="595910757"/>
        <w:lock w:val="sdtLocked"/>
        <w:placeholder>
          <w:docPart w:val="089796A47C0B434C8E0EE3E9362B314D"/>
        </w:placeholder>
      </w:sdtPr>
      <w:sdtContent>
        <w:p>
          <w:pPr>
            <w:pStyle w:val="177"/>
            <w:spacing w:before="312" w:beforeLines="100" w:after="686" w:afterLines="220"/>
          </w:pPr>
          <w:bookmarkStart w:id="27" w:name="NEW_STAND_NAME"/>
          <w:r>
            <w:rPr>
              <w:rFonts w:hint="eastAsia"/>
            </w:rPr>
            <w:t>地理标志产品质量要求</w:t>
          </w:r>
          <w:r>
            <w:t xml:space="preserve"> 九华红菜薹</w:t>
          </w:r>
        </w:p>
      </w:sdtContent>
    </w:sdt>
    <w:bookmarkEnd w:id="27"/>
    <w:p>
      <w:pPr>
        <w:pStyle w:val="104"/>
        <w:spacing w:before="312" w:after="312"/>
      </w:pPr>
      <w:bookmarkStart w:id="28" w:name="_Toc26648465"/>
      <w:bookmarkStart w:id="29" w:name="_Toc26986771"/>
      <w:bookmarkStart w:id="30" w:name="_Toc236489757"/>
      <w:bookmarkStart w:id="31" w:name="_Toc17233333"/>
      <w:bookmarkStart w:id="32" w:name="_Toc17233325"/>
      <w:bookmarkStart w:id="33" w:name="_Toc24884218"/>
      <w:bookmarkStart w:id="34" w:name="_Toc24884211"/>
      <w:bookmarkStart w:id="35" w:name="_Toc97191423"/>
      <w:bookmarkStart w:id="36" w:name="_Toc26718930"/>
      <w:bookmarkStart w:id="37" w:name="_Toc26986530"/>
      <w:r>
        <w:rPr>
          <w:rFonts w:hint="eastAsia"/>
        </w:rPr>
        <w:t>范围</w:t>
      </w:r>
      <w:bookmarkEnd w:id="28"/>
      <w:bookmarkEnd w:id="29"/>
      <w:bookmarkEnd w:id="30"/>
      <w:bookmarkEnd w:id="31"/>
      <w:bookmarkEnd w:id="32"/>
      <w:bookmarkEnd w:id="33"/>
      <w:bookmarkEnd w:id="34"/>
      <w:bookmarkEnd w:id="35"/>
      <w:bookmarkEnd w:id="36"/>
      <w:bookmarkEnd w:id="37"/>
    </w:p>
    <w:p>
      <w:pPr>
        <w:pStyle w:val="56"/>
        <w:ind w:firstLine="420"/>
      </w:pPr>
      <w:bookmarkStart w:id="38" w:name="_Toc17233326"/>
      <w:bookmarkStart w:id="39" w:name="_Toc17233334"/>
      <w:bookmarkStart w:id="40" w:name="_Toc24884212"/>
      <w:bookmarkStart w:id="41" w:name="_Toc24884219"/>
      <w:bookmarkStart w:id="42" w:name="_Toc26648466"/>
      <w:r>
        <w:rPr>
          <w:rFonts w:hint="eastAsia"/>
        </w:rPr>
        <w:t>本文件界定了地理标志产品九华红菜薹的术语和定义，规定了产地范围、产地环境、技术要求、质量要求、检验方法、检验规则及标志、标签、包装、运输和贮存的要求，描述了相应的检验方法。</w:t>
      </w:r>
    </w:p>
    <w:p>
      <w:pPr>
        <w:pStyle w:val="56"/>
        <w:ind w:firstLine="420"/>
      </w:pPr>
      <w:r>
        <w:rPr>
          <w:rFonts w:hint="eastAsia"/>
        </w:rPr>
        <w:t>本文件适用于地理标志产品九华红菜薹的生产、加工、流通、检验</w:t>
      </w:r>
      <w:r>
        <w:t>，</w:t>
      </w:r>
      <w:r>
        <w:rPr>
          <w:rFonts w:hint="eastAsia"/>
        </w:rPr>
        <w:t>亦</w:t>
      </w:r>
      <w:r>
        <w:t>适用于地理标志产品九华红菜薹的保护和管理</w:t>
      </w:r>
      <w:r>
        <w:rPr>
          <w:rFonts w:hint="eastAsia"/>
        </w:rPr>
        <w:t>。</w:t>
      </w:r>
    </w:p>
    <w:p>
      <w:pPr>
        <w:pStyle w:val="104"/>
        <w:spacing w:before="312" w:after="312"/>
      </w:pPr>
      <w:bookmarkStart w:id="43" w:name="_Toc26986531"/>
      <w:bookmarkStart w:id="44" w:name="_Toc26986772"/>
      <w:bookmarkStart w:id="45" w:name="_Toc97191424"/>
      <w:bookmarkStart w:id="46" w:name="_Toc236489758"/>
      <w:bookmarkStart w:id="47" w:name="_Toc26718931"/>
      <w:r>
        <w:rPr>
          <w:rFonts w:hint="eastAsia"/>
        </w:rPr>
        <w:t>规范性引用文件</w:t>
      </w:r>
      <w:bookmarkEnd w:id="38"/>
      <w:bookmarkEnd w:id="39"/>
      <w:bookmarkEnd w:id="40"/>
      <w:bookmarkEnd w:id="41"/>
      <w:bookmarkEnd w:id="42"/>
      <w:bookmarkEnd w:id="43"/>
      <w:bookmarkEnd w:id="44"/>
      <w:bookmarkEnd w:id="45"/>
      <w:bookmarkEnd w:id="46"/>
      <w:bookmarkEnd w:id="47"/>
    </w:p>
    <w:sdt>
      <w:sdtPr>
        <w:rPr>
          <w:rFonts w:hint="eastAsia"/>
        </w:rPr>
        <w:id w:val="715848253"/>
        <w:placeholder>
          <w:docPart w:val="9D0AA585CDA1418ABAC48C5220BC45E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rPr>
          <w:rFonts w:ascii="Times New Roman"/>
        </w:rPr>
      </w:pPr>
      <w:r>
        <w:rPr>
          <w:rFonts w:ascii="Times New Roman"/>
        </w:rPr>
        <w:t>GB 2762  食品安全国家标准  食品中污染物限量</w:t>
      </w:r>
    </w:p>
    <w:p>
      <w:pPr>
        <w:pStyle w:val="56"/>
        <w:ind w:firstLine="420"/>
        <w:rPr>
          <w:rFonts w:ascii="Times New Roman"/>
        </w:rPr>
      </w:pPr>
      <w:r>
        <w:rPr>
          <w:rFonts w:ascii="Times New Roman"/>
        </w:rPr>
        <w:t>GB 2763  食品安全国家标准  食品中农药最大残留限量</w:t>
      </w:r>
    </w:p>
    <w:p>
      <w:pPr>
        <w:pStyle w:val="56"/>
        <w:ind w:firstLine="420"/>
        <w:rPr>
          <w:rFonts w:ascii="Times New Roman"/>
        </w:rPr>
      </w:pPr>
      <w:r>
        <w:rPr>
          <w:rFonts w:ascii="Times New Roman"/>
        </w:rPr>
        <w:t>GB 5009.5  食品安全国家标准  食品中蛋白质的测定</w:t>
      </w:r>
    </w:p>
    <w:p>
      <w:pPr>
        <w:pStyle w:val="56"/>
        <w:ind w:firstLine="420"/>
        <w:rPr>
          <w:rFonts w:ascii="Times New Roman"/>
        </w:rPr>
      </w:pPr>
      <w:r>
        <w:rPr>
          <w:rFonts w:ascii="Times New Roman"/>
        </w:rPr>
        <w:t>GB 5009.6  食品安全国家标准  食品中膳食纤维的测定</w:t>
      </w:r>
    </w:p>
    <w:p>
      <w:pPr>
        <w:pStyle w:val="56"/>
        <w:ind w:firstLine="420"/>
        <w:rPr>
          <w:rFonts w:ascii="Times New Roman"/>
        </w:rPr>
      </w:pPr>
      <w:r>
        <w:rPr>
          <w:rFonts w:ascii="Times New Roman"/>
        </w:rPr>
        <w:t>GB 5009.14  食品安全国家标准  食品中锌的测定</w:t>
      </w:r>
    </w:p>
    <w:p>
      <w:pPr>
        <w:pStyle w:val="56"/>
        <w:ind w:firstLine="420"/>
        <w:rPr>
          <w:rFonts w:ascii="Times New Roman"/>
        </w:rPr>
      </w:pPr>
      <w:r>
        <w:rPr>
          <w:rFonts w:ascii="Times New Roman"/>
        </w:rPr>
        <w:t>GB 5009.82  食品安全国家标准  食品中维生素A、D、E的测定</w:t>
      </w:r>
    </w:p>
    <w:p>
      <w:pPr>
        <w:pStyle w:val="56"/>
        <w:ind w:firstLine="420"/>
        <w:rPr>
          <w:rFonts w:ascii="Times New Roman"/>
        </w:rPr>
      </w:pPr>
      <w:r>
        <w:rPr>
          <w:rFonts w:ascii="Times New Roman"/>
        </w:rPr>
        <w:t>GB 5009.86  食品安全国家标准  食品中抗坏血酸的测定</w:t>
      </w:r>
    </w:p>
    <w:p>
      <w:pPr>
        <w:pStyle w:val="56"/>
        <w:ind w:firstLine="420"/>
        <w:rPr>
          <w:rFonts w:ascii="Times New Roman"/>
        </w:rPr>
      </w:pPr>
      <w:r>
        <w:rPr>
          <w:rFonts w:ascii="Times New Roman"/>
        </w:rPr>
        <w:t>GB 5009.87  食品安全国家标准  食品中磷的测定</w:t>
      </w:r>
    </w:p>
    <w:p>
      <w:pPr>
        <w:pStyle w:val="56"/>
        <w:ind w:firstLine="420"/>
        <w:rPr>
          <w:rFonts w:ascii="Times New Roman"/>
        </w:rPr>
      </w:pPr>
      <w:r>
        <w:rPr>
          <w:rFonts w:ascii="Times New Roman"/>
        </w:rPr>
        <w:t>GB 5009.90  食品安全国家标准  食品中铁的测定</w:t>
      </w:r>
    </w:p>
    <w:p>
      <w:pPr>
        <w:pStyle w:val="56"/>
        <w:ind w:firstLine="420"/>
        <w:rPr>
          <w:rFonts w:ascii="Times New Roman"/>
        </w:rPr>
      </w:pPr>
      <w:r>
        <w:rPr>
          <w:rFonts w:ascii="Times New Roman"/>
        </w:rPr>
        <w:t>GB 5009.92  食品安全国家标准  食品中钙的测定</w:t>
      </w:r>
    </w:p>
    <w:p>
      <w:pPr>
        <w:pStyle w:val="56"/>
        <w:ind w:firstLine="420"/>
        <w:rPr>
          <w:rFonts w:ascii="Times New Roman"/>
        </w:rPr>
      </w:pPr>
      <w:r>
        <w:rPr>
          <w:rFonts w:ascii="Times New Roman"/>
        </w:rPr>
        <w:t>GB/T 8321（所有部分）  农药合理使用准则</w:t>
      </w:r>
    </w:p>
    <w:p>
      <w:pPr>
        <w:pStyle w:val="56"/>
        <w:ind w:firstLine="420"/>
        <w:rPr>
          <w:rFonts w:ascii="Times New Roman"/>
        </w:rPr>
      </w:pPr>
      <w:r>
        <w:rPr>
          <w:rFonts w:ascii="Times New Roman"/>
        </w:rPr>
        <w:t>GB 16715.2  瓜菜作物种子  第2部分：白菜类</w:t>
      </w:r>
    </w:p>
    <w:p>
      <w:pPr>
        <w:pStyle w:val="56"/>
        <w:ind w:firstLine="420"/>
        <w:rPr>
          <w:rFonts w:ascii="Times New Roman"/>
        </w:rPr>
      </w:pPr>
      <w:r>
        <w:rPr>
          <w:rFonts w:ascii="Times New Roman"/>
        </w:rPr>
        <w:t>GB/T 33129  新鲜水果和蔬菜  包装和冷链运输通用操作规程</w:t>
      </w:r>
    </w:p>
    <w:p>
      <w:pPr>
        <w:pStyle w:val="56"/>
        <w:ind w:firstLine="420"/>
        <w:rPr>
          <w:rFonts w:ascii="Times New Roman"/>
        </w:rPr>
      </w:pPr>
      <w:r>
        <w:rPr>
          <w:rFonts w:ascii="Times New Roman"/>
        </w:rPr>
        <w:t>NY/T 391  绿色食品  产地环境质量</w:t>
      </w:r>
    </w:p>
    <w:p>
      <w:pPr>
        <w:pStyle w:val="56"/>
        <w:ind w:firstLine="420"/>
        <w:rPr>
          <w:rFonts w:ascii="Times New Roman"/>
        </w:rPr>
      </w:pPr>
      <w:r>
        <w:rPr>
          <w:rFonts w:ascii="Times New Roman"/>
        </w:rPr>
        <w:t>NY/T 393  绿色食品  农药使用准则</w:t>
      </w:r>
    </w:p>
    <w:p>
      <w:pPr>
        <w:pStyle w:val="56"/>
        <w:ind w:firstLine="420"/>
        <w:rPr>
          <w:rFonts w:ascii="Times New Roman"/>
        </w:rPr>
      </w:pPr>
      <w:r>
        <w:rPr>
          <w:rFonts w:ascii="Times New Roman"/>
        </w:rPr>
        <w:t>NY/T 394  绿色食品  肥料使用准则</w:t>
      </w:r>
    </w:p>
    <w:p>
      <w:pPr>
        <w:pStyle w:val="56"/>
        <w:ind w:firstLine="420"/>
        <w:rPr>
          <w:rFonts w:ascii="Times New Roman"/>
        </w:rPr>
      </w:pPr>
      <w:bookmarkStart w:id="48" w:name="OLE_LINK24"/>
      <w:bookmarkStart w:id="49" w:name="OLE_LINK23"/>
      <w:r>
        <w:rPr>
          <w:rFonts w:ascii="Times New Roman"/>
        </w:rPr>
        <w:t>NY/T 2103-2011</w:t>
      </w:r>
      <w:bookmarkEnd w:id="48"/>
      <w:bookmarkEnd w:id="49"/>
      <w:r>
        <w:rPr>
          <w:rFonts w:ascii="Times New Roman"/>
        </w:rPr>
        <w:t xml:space="preserve">  蔬菜抽样技术规范</w:t>
      </w:r>
    </w:p>
    <w:p>
      <w:pPr>
        <w:pStyle w:val="104"/>
        <w:spacing w:before="312" w:after="312"/>
      </w:pPr>
      <w:bookmarkStart w:id="50" w:name="_Toc97191425"/>
      <w:bookmarkStart w:id="51" w:name="_Toc236489759"/>
      <w:r>
        <w:rPr>
          <w:rFonts w:hint="eastAsia"/>
          <w:szCs w:val="21"/>
        </w:rPr>
        <w:t>术语和定义</w:t>
      </w:r>
      <w:bookmarkEnd w:id="50"/>
      <w:bookmarkEnd w:id="51"/>
    </w:p>
    <w:sdt>
      <w:sdtPr>
        <w:id w:val="-1909835108"/>
        <w:placeholder>
          <w:docPart w:val="6CF61E71D84547F7943319871E98A872"/>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6"/>
            <w:ind w:firstLine="420"/>
          </w:pPr>
          <w:bookmarkStart w:id="52" w:name="_Toc26986532"/>
          <w:bookmarkEnd w:id="52"/>
          <w:r>
            <w:t>下列术语和定义适用于本文件。</w:t>
          </w:r>
        </w:p>
      </w:sdtContent>
    </w:sdt>
    <w:p>
      <w:pPr>
        <w:pStyle w:val="223"/>
        <w:ind w:left="420" w:hanging="420" w:hangingChars="200"/>
        <w:rPr>
          <w:rFonts w:ascii="Times New Roman" w:eastAsia="黑体"/>
          <w:b/>
        </w:rPr>
      </w:pPr>
      <w:r>
        <w:rPr>
          <w:rFonts w:ascii="黑体" w:hAnsi="黑体" w:eastAsia="黑体"/>
        </w:rPr>
        <w:br w:type="textWrapping"/>
      </w:r>
      <w:r>
        <w:rPr>
          <w:rFonts w:hint="eastAsia" w:ascii="黑体" w:hAnsi="黑体" w:eastAsia="黑体"/>
        </w:rPr>
        <w:t xml:space="preserve">九华红菜薹 </w:t>
      </w:r>
      <w:r>
        <w:rPr>
          <w:rFonts w:ascii="Times New Roman" w:eastAsia="黑体"/>
          <w:b/>
        </w:rPr>
        <w:t>jiuhua purple tsai-tai</w:t>
      </w:r>
    </w:p>
    <w:p>
      <w:pPr>
        <w:pStyle w:val="56"/>
        <w:ind w:firstLine="420"/>
      </w:pPr>
      <w:bookmarkStart w:id="53" w:name="OLE_LINK25"/>
      <w:bookmarkStart w:id="54" w:name="OLE_LINK26"/>
      <w:r>
        <w:rPr>
          <w:rFonts w:hint="eastAsia"/>
        </w:rPr>
        <w:t>根系浅，须根发达；菜薹粗壮，呈紫红色；叶柄细长，植株开展度大；食用口感香甜脆嫩，菜汁鲜浓爽口，具独特清香味。</w:t>
      </w:r>
      <w:bookmarkEnd w:id="53"/>
      <w:bookmarkEnd w:id="54"/>
      <w:r>
        <w:rPr>
          <w:rFonts w:hint="eastAsia"/>
        </w:rPr>
        <w:t>实物图见图1</w:t>
      </w:r>
      <w:r>
        <w:t>。</w:t>
      </w:r>
    </w:p>
    <w:p>
      <w:pPr>
        <w:pStyle w:val="56"/>
        <w:ind w:firstLine="0" w:firstLineChars="0"/>
        <w:jc w:val="center"/>
      </w:pPr>
      <w:r>
        <w:drawing>
          <wp:inline distT="0" distB="0" distL="0" distR="0">
            <wp:extent cx="2367280" cy="4056380"/>
            <wp:effectExtent l="0" t="0" r="0" b="1270"/>
            <wp:docPr id="4" name="图片 4" descr="F:\weixinTemp\xwechat_files\wxid_xx76uyq6ldm522_bded\temp\RWTemp\2026-05\0c362cf5b0146fd6204dd80d617ba6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weixinTemp\xwechat_files\wxid_xx76uyq6ldm522_bded\temp\RWTemp\2026-05\0c362cf5b0146fd6204dd80d617ba6c2.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t="3568"/>
                    <a:stretch>
                      <a:fillRect/>
                    </a:stretch>
                  </pic:blipFill>
                  <pic:spPr>
                    <a:xfrm>
                      <a:off x="0" y="0"/>
                      <a:ext cx="2377726" cy="4074889"/>
                    </a:xfrm>
                    <a:prstGeom prst="rect">
                      <a:avLst/>
                    </a:prstGeom>
                    <a:noFill/>
                    <a:ln>
                      <a:noFill/>
                    </a:ln>
                  </pic:spPr>
                </pic:pic>
              </a:graphicData>
            </a:graphic>
          </wp:inline>
        </w:drawing>
      </w:r>
    </w:p>
    <w:p>
      <w:pPr>
        <w:pStyle w:val="114"/>
        <w:spacing w:before="156" w:after="156"/>
      </w:pPr>
      <w:r>
        <w:t>九华红菜薹</w:t>
      </w:r>
      <w:r>
        <w:rPr>
          <w:rFonts w:hint="eastAsia"/>
        </w:rPr>
        <w:t>实物</w:t>
      </w:r>
      <w:r>
        <w:t>照片</w:t>
      </w:r>
    </w:p>
    <w:p>
      <w:pPr>
        <w:pStyle w:val="104"/>
        <w:spacing w:before="312" w:after="312"/>
      </w:pPr>
      <w:bookmarkStart w:id="55" w:name="_Toc236489760"/>
      <w:r>
        <w:rPr>
          <w:rFonts w:hint="eastAsia"/>
        </w:rPr>
        <w:t>产地范围</w:t>
      </w:r>
      <w:bookmarkEnd w:id="55"/>
    </w:p>
    <w:p>
      <w:pPr>
        <w:pStyle w:val="56"/>
        <w:autoSpaceDE/>
        <w:autoSpaceDN/>
        <w:ind w:firstLine="420"/>
        <w:rPr>
          <w:rFonts w:ascii="Times New Roman"/>
        </w:rPr>
      </w:pPr>
      <w:r>
        <w:rPr>
          <w:rFonts w:ascii="Times New Roman"/>
        </w:rPr>
        <w:t>地理标志产品九华红菜薹产地范围限定于国务院知识产权行政管理部门发布的地理标志产品认定公告中的产地范围，即湖南省湘潭市雨湖区响水乡、鹤岭镇、姜畲镇，湘潭县易俗河镇、射埠镇、杨嘉桥镇，韶山市银田镇、韶山乡共8个乡镇现辖行政区域。地理坐标：东经111°58′01″～113°05′05″，北纬27°20′55″～28°05′40″。</w:t>
      </w:r>
    </w:p>
    <w:p>
      <w:pPr>
        <w:pStyle w:val="179"/>
        <w:autoSpaceDE/>
        <w:autoSpaceDN/>
        <w:rPr>
          <w:rFonts w:ascii="Times New Roman"/>
        </w:rPr>
      </w:pPr>
      <w:r>
        <w:rPr>
          <w:rFonts w:ascii="Times New Roman"/>
        </w:rPr>
        <w:t>行政区域调整，原湘潭县响水乡、姜畲镇成建制划归雨湖区管辖；原湘潭县鹤岭镇与响塘乡成建制合并设立新的鹤岭镇，并划归雨湖区管辖；原湘潭县易俗河镇与梅林桥镇成建制合并设立新的易俗河镇；原韶山市韶山乡与大坪乡成建制合并设立新的韶山乡。其中，鹤岭镇的原响塘乡涵盖区域、易俗河镇的原梅林桥镇涵盖区域、韶山乡的原大坪乡涵盖区域，不在保护范围内。</w:t>
      </w:r>
    </w:p>
    <w:p>
      <w:pPr>
        <w:pStyle w:val="104"/>
        <w:spacing w:before="312" w:after="312"/>
      </w:pPr>
      <w:bookmarkStart w:id="56" w:name="_Toc236489761"/>
      <w:r>
        <w:rPr>
          <w:rFonts w:hint="eastAsia"/>
        </w:rPr>
        <w:t>产地环境</w:t>
      </w:r>
      <w:bookmarkEnd w:id="56"/>
    </w:p>
    <w:p>
      <w:pPr>
        <w:pStyle w:val="56"/>
        <w:autoSpaceDE/>
        <w:autoSpaceDN/>
        <w:ind w:firstLine="420"/>
        <w:rPr>
          <w:rFonts w:ascii="Times New Roman"/>
        </w:rPr>
      </w:pPr>
      <w:r>
        <w:rPr>
          <w:rFonts w:ascii="Times New Roman"/>
        </w:rPr>
        <w:t>土壤类型为黄砂壤土、水田土等，土质疏松，有机质含量丰富，土壤pH值6.5～7.5。</w:t>
      </w:r>
    </w:p>
    <w:p>
      <w:pPr>
        <w:pStyle w:val="104"/>
        <w:spacing w:before="312" w:after="312"/>
        <w:rPr>
          <w:rFonts w:ascii="Times New Roman"/>
        </w:rPr>
      </w:pPr>
      <w:bookmarkStart w:id="57" w:name="_Toc236489762"/>
      <w:r>
        <w:rPr>
          <w:rFonts w:ascii="Times New Roman"/>
        </w:rPr>
        <w:t>技术要求</w:t>
      </w:r>
      <w:bookmarkEnd w:id="57"/>
    </w:p>
    <w:p>
      <w:pPr>
        <w:pStyle w:val="105"/>
        <w:spacing w:before="156" w:after="156"/>
        <w:rPr>
          <w:rFonts w:ascii="Times New Roman"/>
        </w:rPr>
      </w:pPr>
      <w:r>
        <w:rPr>
          <w:rFonts w:ascii="Times New Roman"/>
        </w:rPr>
        <w:t>品种</w:t>
      </w:r>
    </w:p>
    <w:p>
      <w:pPr>
        <w:pStyle w:val="56"/>
        <w:autoSpaceDE/>
        <w:autoSpaceDN/>
        <w:ind w:firstLine="420"/>
        <w:rPr>
          <w:rFonts w:ascii="Times New Roman"/>
        </w:rPr>
      </w:pPr>
      <w:r>
        <w:rPr>
          <w:rFonts w:ascii="Times New Roman"/>
        </w:rPr>
        <w:t>选用九华红菜薹地方传统品种，种子质量应符合GB 16715.2要求。</w:t>
      </w:r>
    </w:p>
    <w:p>
      <w:pPr>
        <w:pStyle w:val="105"/>
        <w:spacing w:before="156" w:after="156"/>
        <w:rPr>
          <w:rFonts w:ascii="Times New Roman"/>
        </w:rPr>
      </w:pPr>
      <w:r>
        <w:rPr>
          <w:rFonts w:ascii="Times New Roman"/>
        </w:rPr>
        <w:t>种植环境</w:t>
      </w:r>
    </w:p>
    <w:p>
      <w:pPr>
        <w:pStyle w:val="56"/>
        <w:autoSpaceDE/>
        <w:autoSpaceDN/>
        <w:ind w:firstLine="420"/>
        <w:rPr>
          <w:rFonts w:ascii="Times New Roman"/>
        </w:rPr>
      </w:pPr>
      <w:r>
        <w:rPr>
          <w:rFonts w:ascii="Times New Roman"/>
        </w:rPr>
        <w:t>种植环境应符合NY/T 391的规定。</w:t>
      </w:r>
    </w:p>
    <w:p>
      <w:pPr>
        <w:pStyle w:val="105"/>
        <w:spacing w:before="156" w:after="156"/>
        <w:rPr>
          <w:rFonts w:ascii="Times New Roman"/>
        </w:rPr>
      </w:pPr>
      <w:r>
        <w:rPr>
          <w:rFonts w:ascii="Times New Roman"/>
        </w:rPr>
        <w:t>栽培管理</w:t>
      </w:r>
    </w:p>
    <w:p>
      <w:pPr>
        <w:pStyle w:val="94"/>
        <w:spacing w:before="156" w:after="156"/>
        <w:rPr>
          <w:rFonts w:ascii="Times New Roman"/>
        </w:rPr>
      </w:pPr>
      <w:r>
        <w:rPr>
          <w:rFonts w:ascii="Times New Roman"/>
        </w:rPr>
        <w:t>苗床准备</w:t>
      </w:r>
    </w:p>
    <w:p>
      <w:pPr>
        <w:pStyle w:val="56"/>
        <w:autoSpaceDE/>
        <w:autoSpaceDN/>
        <w:ind w:firstLine="420"/>
        <w:rPr>
          <w:rFonts w:ascii="Times New Roman"/>
        </w:rPr>
      </w:pPr>
      <w:r>
        <w:rPr>
          <w:rFonts w:ascii="Times New Roman"/>
        </w:rPr>
        <w:t>选择排灌方便、肥沃疏松地块，深耕晒土至白板状态，施腐熟有机肥与生石灰消毒，整成规范苗床。</w:t>
      </w:r>
    </w:p>
    <w:p>
      <w:pPr>
        <w:pStyle w:val="94"/>
        <w:spacing w:before="156" w:after="156"/>
        <w:rPr>
          <w:rFonts w:ascii="Times New Roman"/>
        </w:rPr>
      </w:pPr>
      <w:r>
        <w:rPr>
          <w:rFonts w:ascii="Times New Roman"/>
        </w:rPr>
        <w:t>播种</w:t>
      </w:r>
    </w:p>
    <w:p>
      <w:pPr>
        <w:pStyle w:val="56"/>
        <w:autoSpaceDE/>
        <w:autoSpaceDN/>
        <w:ind w:firstLine="420"/>
        <w:rPr>
          <w:rFonts w:ascii="Times New Roman"/>
        </w:rPr>
      </w:pPr>
      <w:r>
        <w:rPr>
          <w:rFonts w:ascii="Times New Roman"/>
        </w:rPr>
        <w:t>播种期：7月下旬至9月下旬；播种量：0.8 g/m²～1.0 g/m²，每亩大田用种约30 g，播后盖土浇透水。</w:t>
      </w:r>
    </w:p>
    <w:p>
      <w:pPr>
        <w:pStyle w:val="94"/>
        <w:spacing w:before="156" w:after="156"/>
        <w:rPr>
          <w:rFonts w:ascii="Times New Roman"/>
        </w:rPr>
      </w:pPr>
      <w:r>
        <w:rPr>
          <w:rFonts w:ascii="Times New Roman"/>
        </w:rPr>
        <w:t>苗床管理</w:t>
      </w:r>
    </w:p>
    <w:p>
      <w:pPr>
        <w:pStyle w:val="56"/>
        <w:autoSpaceDE/>
        <w:autoSpaceDN/>
        <w:ind w:firstLine="420"/>
        <w:rPr>
          <w:rFonts w:ascii="Times New Roman"/>
        </w:rPr>
      </w:pPr>
      <w:r>
        <w:rPr>
          <w:rFonts w:ascii="Times New Roman"/>
        </w:rPr>
        <w:t>出苗前早晚各浇水一次，保持床土湿润；每隔3 d～4 d施一次有机肥水；苗龄25 d左右、3片～5片真叶时定植。</w:t>
      </w:r>
    </w:p>
    <w:p>
      <w:pPr>
        <w:pStyle w:val="65"/>
        <w:spacing w:before="156" w:after="156"/>
        <w:rPr>
          <w:rFonts w:ascii="Times New Roman"/>
        </w:rPr>
      </w:pPr>
      <w:r>
        <w:rPr>
          <w:rFonts w:ascii="Times New Roman"/>
        </w:rPr>
        <w:t>定植</w:t>
      </w:r>
    </w:p>
    <w:p>
      <w:pPr>
        <w:pStyle w:val="94"/>
        <w:spacing w:before="156" w:after="156"/>
        <w:rPr>
          <w:rFonts w:ascii="Times New Roman"/>
        </w:rPr>
      </w:pPr>
      <w:r>
        <w:rPr>
          <w:rFonts w:ascii="Times New Roman"/>
        </w:rPr>
        <w:t>定植时间</w:t>
      </w:r>
    </w:p>
    <w:p>
      <w:pPr>
        <w:pStyle w:val="56"/>
        <w:autoSpaceDE/>
        <w:autoSpaceDN/>
        <w:ind w:firstLine="420"/>
        <w:rPr>
          <w:rFonts w:ascii="Times New Roman"/>
        </w:rPr>
      </w:pPr>
      <w:r>
        <w:rPr>
          <w:rFonts w:ascii="Times New Roman"/>
        </w:rPr>
        <w:t>8月中旬至10月中旬，阴天或傍晚定植。</w:t>
      </w:r>
    </w:p>
    <w:p>
      <w:pPr>
        <w:pStyle w:val="94"/>
        <w:spacing w:before="156" w:after="156"/>
        <w:rPr>
          <w:rFonts w:ascii="Times New Roman"/>
        </w:rPr>
      </w:pPr>
      <w:r>
        <w:rPr>
          <w:rFonts w:ascii="Times New Roman"/>
        </w:rPr>
        <w:t>定植密度</w:t>
      </w:r>
    </w:p>
    <w:p>
      <w:pPr>
        <w:pStyle w:val="56"/>
        <w:autoSpaceDE/>
        <w:autoSpaceDN/>
        <w:ind w:firstLine="420"/>
        <w:rPr>
          <w:rFonts w:ascii="Times New Roman"/>
        </w:rPr>
      </w:pPr>
      <w:r>
        <w:rPr>
          <w:rFonts w:ascii="Times New Roman"/>
        </w:rPr>
        <w:t>每公顷（1公顷=15亩）栽45000株～60000株，每畦4行，株行距30 cm×(40 cm～50 cm)，栽后浇透定根水，1 d～3 d内补苗。</w:t>
      </w:r>
    </w:p>
    <w:p>
      <w:pPr>
        <w:pStyle w:val="65"/>
        <w:spacing w:before="156" w:after="156"/>
      </w:pPr>
      <w:r>
        <w:rPr>
          <w:rFonts w:hint="eastAsia"/>
        </w:rPr>
        <w:t>田间管理</w:t>
      </w:r>
    </w:p>
    <w:p>
      <w:pPr>
        <w:pStyle w:val="94"/>
        <w:spacing w:before="156" w:after="156"/>
      </w:pPr>
      <w:r>
        <w:rPr>
          <w:rFonts w:hint="eastAsia"/>
        </w:rPr>
        <w:t>施肥</w:t>
      </w:r>
    </w:p>
    <w:p>
      <w:pPr>
        <w:pStyle w:val="56"/>
        <w:autoSpaceDE/>
        <w:autoSpaceDN/>
        <w:ind w:firstLine="420"/>
        <w:rPr>
          <w:rFonts w:ascii="Times New Roman"/>
        </w:rPr>
      </w:pPr>
      <w:r>
        <w:rPr>
          <w:rFonts w:ascii="Times New Roman"/>
        </w:rPr>
        <w:t>施肥应符合NY/T 394要求，施肥要求如下：</w:t>
      </w:r>
    </w:p>
    <w:p>
      <w:pPr>
        <w:pStyle w:val="174"/>
        <w:rPr>
          <w:rFonts w:ascii="Times New Roman"/>
        </w:rPr>
      </w:pPr>
      <w:r>
        <w:rPr>
          <w:rFonts w:ascii="Times New Roman"/>
        </w:rPr>
        <w:t>提苗肥。定植苗成活后，用稀人粪尿加每亩 5 kg 尿素提苗；</w:t>
      </w:r>
    </w:p>
    <w:p>
      <w:pPr>
        <w:pStyle w:val="174"/>
        <w:rPr>
          <w:rFonts w:ascii="Times New Roman"/>
        </w:rPr>
      </w:pPr>
      <w:r>
        <w:rPr>
          <w:rFonts w:ascii="Times New Roman"/>
        </w:rPr>
        <w:t>培株肥。移栽后 15 d～20 d，亩施尿素7 kg～10 kg；</w:t>
      </w:r>
    </w:p>
    <w:p>
      <w:pPr>
        <w:pStyle w:val="174"/>
        <w:rPr>
          <w:rFonts w:ascii="Times New Roman"/>
        </w:rPr>
      </w:pPr>
      <w:r>
        <w:rPr>
          <w:rFonts w:ascii="Times New Roman"/>
        </w:rPr>
        <w:t>现蕾肥。植株现蕾时，亩穴施 10 kg N、P、K 含量 3 个15%的复合肥；</w:t>
      </w:r>
    </w:p>
    <w:p>
      <w:pPr>
        <w:pStyle w:val="174"/>
        <w:rPr>
          <w:rFonts w:ascii="Times New Roman"/>
        </w:rPr>
      </w:pPr>
      <w:r>
        <w:rPr>
          <w:rFonts w:ascii="Times New Roman"/>
        </w:rPr>
        <w:t>菜薹肥。菜薹期间每 10 d～15 d追施一次沼液或 5 kg～10 kg 复合肥；</w:t>
      </w:r>
    </w:p>
    <w:p>
      <w:pPr>
        <w:pStyle w:val="174"/>
        <w:rPr>
          <w:rFonts w:ascii="Times New Roman"/>
        </w:rPr>
      </w:pPr>
      <w:r>
        <w:rPr>
          <w:rFonts w:ascii="Times New Roman"/>
        </w:rPr>
        <w:t>采收前10 d～15 d停止施肥。</w:t>
      </w:r>
    </w:p>
    <w:p>
      <w:pPr>
        <w:pStyle w:val="94"/>
        <w:spacing w:before="156" w:after="156"/>
        <w:rPr>
          <w:rFonts w:ascii="Times New Roman"/>
        </w:rPr>
      </w:pPr>
      <w:r>
        <w:rPr>
          <w:rFonts w:ascii="Times New Roman"/>
        </w:rPr>
        <w:t>水分管理</w:t>
      </w:r>
    </w:p>
    <w:p>
      <w:pPr>
        <w:pStyle w:val="56"/>
        <w:autoSpaceDE/>
        <w:autoSpaceDN/>
        <w:ind w:firstLine="420"/>
        <w:rPr>
          <w:rFonts w:ascii="Times New Roman"/>
        </w:rPr>
      </w:pPr>
      <w:r>
        <w:rPr>
          <w:rFonts w:ascii="Times New Roman"/>
        </w:rPr>
        <w:t>保持土壤湿润，及时排涝，干旱时畦间浸润灌溉，忌大水漫灌。</w:t>
      </w:r>
    </w:p>
    <w:p>
      <w:pPr>
        <w:pStyle w:val="94"/>
        <w:spacing w:before="156" w:after="156"/>
        <w:rPr>
          <w:rFonts w:ascii="Times New Roman"/>
        </w:rPr>
      </w:pPr>
      <w:r>
        <w:rPr>
          <w:rFonts w:ascii="Times New Roman"/>
        </w:rPr>
        <w:t>杂草防治</w:t>
      </w:r>
    </w:p>
    <w:p>
      <w:pPr>
        <w:pStyle w:val="56"/>
        <w:autoSpaceDE/>
        <w:autoSpaceDN/>
        <w:ind w:firstLine="420"/>
        <w:rPr>
          <w:rFonts w:ascii="Times New Roman"/>
        </w:rPr>
      </w:pPr>
      <w:r>
        <w:rPr>
          <w:rFonts w:ascii="Times New Roman"/>
        </w:rPr>
        <w:t>人工除草，禁止使用除草剂。</w:t>
      </w:r>
    </w:p>
    <w:p>
      <w:pPr>
        <w:pStyle w:val="65"/>
        <w:spacing w:before="156" w:after="156"/>
        <w:rPr>
          <w:rFonts w:ascii="Times New Roman"/>
        </w:rPr>
      </w:pPr>
      <w:r>
        <w:rPr>
          <w:rFonts w:ascii="Times New Roman"/>
        </w:rPr>
        <w:t>病虫害防治</w:t>
      </w:r>
    </w:p>
    <w:p>
      <w:pPr>
        <w:pStyle w:val="94"/>
        <w:spacing w:before="156" w:after="156"/>
        <w:rPr>
          <w:rFonts w:ascii="Times New Roman"/>
        </w:rPr>
      </w:pPr>
      <w:r>
        <w:rPr>
          <w:rFonts w:ascii="Times New Roman"/>
        </w:rPr>
        <w:t>防治原则</w:t>
      </w:r>
    </w:p>
    <w:p>
      <w:pPr>
        <w:pStyle w:val="56"/>
        <w:autoSpaceDE/>
        <w:autoSpaceDN/>
        <w:ind w:firstLine="420"/>
        <w:rPr>
          <w:rFonts w:ascii="Times New Roman"/>
        </w:rPr>
      </w:pPr>
      <w:r>
        <w:rPr>
          <w:rFonts w:ascii="Times New Roman"/>
        </w:rPr>
        <w:t>坚持“预防为主、综合防治”，优先农业、物理、生物防治，科学化学防治，符合GB/T 8321（所有部分）与NY/T 393要求。</w:t>
      </w:r>
    </w:p>
    <w:p>
      <w:pPr>
        <w:pStyle w:val="94"/>
        <w:spacing w:before="156" w:after="156"/>
        <w:rPr>
          <w:rFonts w:ascii="Times New Roman"/>
        </w:rPr>
      </w:pPr>
      <w:r>
        <w:rPr>
          <w:rFonts w:ascii="Times New Roman"/>
        </w:rPr>
        <w:t>农业防治</w:t>
      </w:r>
    </w:p>
    <w:p>
      <w:pPr>
        <w:pStyle w:val="56"/>
        <w:autoSpaceDE/>
        <w:autoSpaceDN/>
        <w:ind w:firstLine="420"/>
        <w:rPr>
          <w:rFonts w:ascii="Times New Roman"/>
        </w:rPr>
      </w:pPr>
      <w:r>
        <w:rPr>
          <w:rFonts w:ascii="Times New Roman"/>
        </w:rPr>
        <w:t>合理轮作、深耕晒土、清洁田园，土壤撒生石灰消毒。</w:t>
      </w:r>
    </w:p>
    <w:p>
      <w:pPr>
        <w:pStyle w:val="94"/>
        <w:spacing w:before="156" w:after="156"/>
        <w:rPr>
          <w:rFonts w:ascii="Times New Roman"/>
        </w:rPr>
      </w:pPr>
      <w:r>
        <w:rPr>
          <w:rFonts w:ascii="Times New Roman"/>
        </w:rPr>
        <w:t>物理与生物防治</w:t>
      </w:r>
    </w:p>
    <w:p>
      <w:pPr>
        <w:pStyle w:val="56"/>
        <w:autoSpaceDE/>
        <w:autoSpaceDN/>
        <w:ind w:firstLine="420"/>
        <w:rPr>
          <w:rFonts w:ascii="Times New Roman"/>
        </w:rPr>
      </w:pPr>
      <w:r>
        <w:rPr>
          <w:rFonts w:ascii="Times New Roman"/>
        </w:rPr>
        <w:t>采用黄板、杀虫灯、防虫网、释放天敌等绿色防控措施。</w:t>
      </w:r>
    </w:p>
    <w:p>
      <w:pPr>
        <w:pStyle w:val="65"/>
        <w:spacing w:before="156" w:after="156"/>
        <w:rPr>
          <w:rFonts w:ascii="Times New Roman"/>
        </w:rPr>
      </w:pPr>
      <w:r>
        <w:rPr>
          <w:rFonts w:ascii="Times New Roman"/>
        </w:rPr>
        <w:t>田园清洁</w:t>
      </w:r>
    </w:p>
    <w:p>
      <w:pPr>
        <w:pStyle w:val="56"/>
        <w:autoSpaceDE/>
        <w:autoSpaceDN/>
        <w:ind w:firstLine="420"/>
        <w:rPr>
          <w:rFonts w:ascii="Times New Roman"/>
        </w:rPr>
      </w:pPr>
      <w:r>
        <w:rPr>
          <w:rFonts w:ascii="Times New Roman"/>
        </w:rPr>
        <w:t>采收后及时清除残株、农膜等废弃物，无害化处理。</w:t>
      </w:r>
    </w:p>
    <w:p>
      <w:pPr>
        <w:pStyle w:val="65"/>
        <w:spacing w:before="156" w:after="156"/>
        <w:rPr>
          <w:rFonts w:ascii="Times New Roman"/>
        </w:rPr>
      </w:pPr>
      <w:r>
        <w:rPr>
          <w:rFonts w:ascii="Times New Roman"/>
        </w:rPr>
        <w:t>采收</w:t>
      </w:r>
    </w:p>
    <w:p>
      <w:pPr>
        <w:pStyle w:val="94"/>
        <w:spacing w:before="156" w:after="156"/>
        <w:rPr>
          <w:rFonts w:ascii="Times New Roman"/>
        </w:rPr>
      </w:pPr>
      <w:r>
        <w:rPr>
          <w:rFonts w:ascii="Times New Roman"/>
        </w:rPr>
        <w:t>采收时间</w:t>
      </w:r>
    </w:p>
    <w:p>
      <w:pPr>
        <w:pStyle w:val="56"/>
        <w:autoSpaceDE/>
        <w:autoSpaceDN/>
        <w:ind w:firstLine="420"/>
        <w:rPr>
          <w:rFonts w:ascii="Times New Roman"/>
        </w:rPr>
      </w:pPr>
      <w:r>
        <w:rPr>
          <w:rFonts w:ascii="Times New Roman"/>
        </w:rPr>
        <w:t>菜薹长25 cm～35 cm、花蕾将开未开时采收主薹，适时采收侧薹。</w:t>
      </w:r>
    </w:p>
    <w:p>
      <w:pPr>
        <w:pStyle w:val="94"/>
        <w:spacing w:before="156" w:after="156"/>
        <w:rPr>
          <w:rFonts w:ascii="Times New Roman"/>
        </w:rPr>
      </w:pPr>
      <w:r>
        <w:rPr>
          <w:rFonts w:ascii="Times New Roman"/>
        </w:rPr>
        <w:t>采收方法</w:t>
      </w:r>
    </w:p>
    <w:p>
      <w:pPr>
        <w:pStyle w:val="56"/>
        <w:autoSpaceDE/>
        <w:autoSpaceDN/>
        <w:ind w:firstLine="420"/>
        <w:rPr>
          <w:rFonts w:ascii="Times New Roman"/>
        </w:rPr>
      </w:pPr>
      <w:r>
        <w:rPr>
          <w:rFonts w:ascii="Times New Roman"/>
        </w:rPr>
        <w:t>刀斜切采收，主薹不留桩，侧薹留1个～2个叶芽；去除黄叶、病虫叶、泥沙，保持产品整洁。</w:t>
      </w:r>
    </w:p>
    <w:p>
      <w:pPr>
        <w:pStyle w:val="65"/>
        <w:spacing w:before="156" w:after="156"/>
        <w:rPr>
          <w:rFonts w:ascii="Times New Roman"/>
        </w:rPr>
      </w:pPr>
      <w:r>
        <w:rPr>
          <w:rFonts w:ascii="Times New Roman"/>
        </w:rPr>
        <w:t>留种</w:t>
      </w:r>
    </w:p>
    <w:p>
      <w:pPr>
        <w:pStyle w:val="56"/>
        <w:autoSpaceDE/>
        <w:autoSpaceDN/>
        <w:ind w:firstLine="420"/>
        <w:rPr>
          <w:rFonts w:ascii="Times New Roman"/>
        </w:rPr>
      </w:pPr>
      <w:r>
        <w:rPr>
          <w:rFonts w:ascii="Times New Roman"/>
        </w:rPr>
        <w:t>冬至前后选定优良健壮单株留种。</w:t>
      </w:r>
    </w:p>
    <w:p>
      <w:pPr>
        <w:pStyle w:val="104"/>
        <w:spacing w:before="312" w:after="312"/>
        <w:rPr>
          <w:rFonts w:ascii="Times New Roman"/>
        </w:rPr>
      </w:pPr>
      <w:bookmarkStart w:id="58" w:name="_Toc236489763"/>
      <w:r>
        <w:rPr>
          <w:rFonts w:ascii="Times New Roman"/>
        </w:rPr>
        <w:t>质量要求</w:t>
      </w:r>
      <w:bookmarkEnd w:id="58"/>
    </w:p>
    <w:p>
      <w:pPr>
        <w:pStyle w:val="105"/>
        <w:spacing w:before="156" w:after="156"/>
        <w:rPr>
          <w:rFonts w:ascii="Times New Roman"/>
        </w:rPr>
      </w:pPr>
      <w:r>
        <w:rPr>
          <w:rFonts w:ascii="Times New Roman"/>
        </w:rPr>
        <w:t>感官要求</w:t>
      </w:r>
    </w:p>
    <w:p>
      <w:pPr>
        <w:pStyle w:val="56"/>
        <w:autoSpaceDE/>
        <w:autoSpaceDN/>
        <w:ind w:firstLine="420"/>
        <w:rPr>
          <w:rFonts w:ascii="Times New Roman"/>
        </w:rPr>
      </w:pPr>
      <w:r>
        <w:rPr>
          <w:rFonts w:ascii="Times New Roman"/>
        </w:rPr>
        <w:t>植株生长势旺盛，植株开展度大；根系浅，须根发达；平均株高 50 cm～55 cm；叶片全缘卵圆形，光亮无毛，叶柄细长，叶柄和叶脉深紫红色；菜苔粗壮，紫红色，光亮无蜡粉，苔生叶细小狭长，表面平滑，呈尖三角形，淡紫色；基茎肥壮、匀称无鼠尾，薹茎肥壮，纤维细，食用口感香甜脆嫩，菜汁鲜浓爽口，粗纤维少。</w:t>
      </w:r>
    </w:p>
    <w:p>
      <w:pPr>
        <w:pStyle w:val="105"/>
        <w:spacing w:before="156" w:after="156"/>
      </w:pPr>
      <w:r>
        <w:rPr>
          <w:rFonts w:hint="eastAsia"/>
        </w:rPr>
        <w:t>理化指标</w:t>
      </w:r>
    </w:p>
    <w:p>
      <w:pPr>
        <w:pStyle w:val="56"/>
        <w:ind w:firstLine="420"/>
      </w:pPr>
      <w:r>
        <w:rPr>
          <w:rFonts w:hint="eastAsia"/>
        </w:rPr>
        <w:t>九华红菜薹理化指标应符合表1规定。</w:t>
      </w:r>
    </w:p>
    <w:p>
      <w:pPr>
        <w:pStyle w:val="112"/>
        <w:spacing w:before="156" w:after="156"/>
      </w:pPr>
      <w:r>
        <w:rPr>
          <w:rFonts w:hint="eastAsia"/>
        </w:rPr>
        <w:t>理化指标</w:t>
      </w:r>
    </w:p>
    <w:tbl>
      <w:tblPr>
        <w:tblStyle w:val="33"/>
        <w:tblW w:w="9374"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687"/>
        <w:gridCol w:w="46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c>
          <w:tcPr>
            <w:tcW w:w="4687" w:type="dxa"/>
            <w:tcBorders>
              <w:top w:val="single" w:color="auto" w:sz="8" w:space="0"/>
              <w:bottom w:val="single" w:color="auto" w:sz="8" w:space="0"/>
            </w:tcBorders>
            <w:vAlign w:val="center"/>
          </w:tcPr>
          <w:p>
            <w:pPr>
              <w:spacing w:line="240" w:lineRule="auto"/>
              <w:jc w:val="center"/>
              <w:rPr>
                <w:rFonts w:ascii="宋体" w:hAnsi="宋体"/>
                <w:sz w:val="18"/>
              </w:rPr>
            </w:pPr>
            <w:r>
              <w:rPr>
                <w:rFonts w:ascii="宋体" w:hAnsi="宋体"/>
                <w:sz w:val="18"/>
              </w:rPr>
              <w:t>项目</w:t>
            </w:r>
          </w:p>
        </w:tc>
        <w:tc>
          <w:tcPr>
            <w:tcW w:w="4687" w:type="dxa"/>
            <w:tcBorders>
              <w:top w:val="single" w:color="auto" w:sz="8" w:space="0"/>
              <w:bottom w:val="single" w:color="auto" w:sz="8" w:space="0"/>
            </w:tcBorders>
            <w:vAlign w:val="center"/>
          </w:tcPr>
          <w:p>
            <w:pPr>
              <w:spacing w:line="240" w:lineRule="auto"/>
              <w:jc w:val="center"/>
              <w:rPr>
                <w:rFonts w:ascii="宋体" w:hAnsi="宋体"/>
                <w:sz w:val="18"/>
              </w:rPr>
            </w:pPr>
            <w:r>
              <w:rPr>
                <w:rFonts w:ascii="宋体" w:hAnsi="宋体"/>
                <w:sz w:val="18"/>
              </w:rPr>
              <w:t>指标值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c>
          <w:tcPr>
            <w:tcW w:w="4687" w:type="dxa"/>
            <w:tcBorders>
              <w:top w:val="single" w:color="auto" w:sz="4" w:space="0"/>
            </w:tcBorders>
            <w:vAlign w:val="center"/>
          </w:tcPr>
          <w:p>
            <w:pPr>
              <w:spacing w:line="240" w:lineRule="auto"/>
              <w:jc w:val="center"/>
              <w:rPr>
                <w:rFonts w:ascii="Times New Roman" w:hAnsi="Times New Roman"/>
                <w:sz w:val="18"/>
              </w:rPr>
            </w:pPr>
            <w:r>
              <w:rPr>
                <w:rFonts w:ascii="Times New Roman" w:hAnsi="Times New Roman"/>
                <w:sz w:val="18"/>
              </w:rPr>
              <w:t xml:space="preserve">膳食纤维/（g/100g） </w:t>
            </w:r>
          </w:p>
        </w:tc>
        <w:tc>
          <w:tcPr>
            <w:tcW w:w="4687" w:type="dxa"/>
            <w:tcBorders>
              <w:top w:val="single" w:color="auto" w:sz="4" w:space="0"/>
            </w:tcBorders>
            <w:vAlign w:val="center"/>
          </w:tcPr>
          <w:p>
            <w:pPr>
              <w:spacing w:line="240" w:lineRule="auto"/>
              <w:jc w:val="center"/>
              <w:rPr>
                <w:rFonts w:ascii="Times New Roman" w:hAnsi="Times New Roman"/>
                <w:sz w:val="18"/>
              </w:rPr>
            </w:pPr>
            <w:r>
              <w:rPr>
                <w:rFonts w:ascii="宋体" w:hAnsi="宋体"/>
                <w:sz w:val="18"/>
              </w:rPr>
              <w:t>≥</w:t>
            </w:r>
            <w:r>
              <w:rPr>
                <w:rFonts w:ascii="Times New Roman" w:hAnsi="Times New Roman"/>
                <w:sz w:val="18"/>
              </w:rPr>
              <w:t>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c>
          <w:tcPr>
            <w:tcW w:w="4687" w:type="dxa"/>
            <w:vAlign w:val="center"/>
          </w:tcPr>
          <w:p>
            <w:pPr>
              <w:spacing w:line="240" w:lineRule="auto"/>
              <w:jc w:val="center"/>
              <w:rPr>
                <w:rFonts w:ascii="Times New Roman" w:hAnsi="Times New Roman"/>
                <w:sz w:val="18"/>
              </w:rPr>
            </w:pPr>
            <w:r>
              <w:rPr>
                <w:rFonts w:ascii="Times New Roman" w:hAnsi="Times New Roman"/>
                <w:sz w:val="18"/>
              </w:rPr>
              <w:t>蛋白质/（g/100g）</w:t>
            </w:r>
          </w:p>
        </w:tc>
        <w:tc>
          <w:tcPr>
            <w:tcW w:w="4687" w:type="dxa"/>
            <w:vAlign w:val="center"/>
          </w:tcPr>
          <w:p>
            <w:pPr>
              <w:spacing w:line="240" w:lineRule="auto"/>
              <w:jc w:val="center"/>
              <w:rPr>
                <w:rFonts w:ascii="Times New Roman" w:hAnsi="Times New Roman"/>
                <w:sz w:val="18"/>
              </w:rPr>
            </w:pPr>
            <w:r>
              <w:rPr>
                <w:rFonts w:ascii="宋体" w:hAnsi="宋体"/>
                <w:sz w:val="18"/>
              </w:rPr>
              <w:t>≥</w:t>
            </w:r>
            <w:r>
              <w:rPr>
                <w:rFonts w:ascii="Times New Roman" w:hAnsi="Times New Roman"/>
                <w:sz w:val="18"/>
              </w:rPr>
              <w:t>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c>
          <w:tcPr>
            <w:tcW w:w="4687" w:type="dxa"/>
            <w:vAlign w:val="center"/>
          </w:tcPr>
          <w:p>
            <w:pPr>
              <w:spacing w:line="240" w:lineRule="auto"/>
              <w:jc w:val="center"/>
              <w:rPr>
                <w:rFonts w:ascii="Times New Roman" w:hAnsi="Times New Roman"/>
                <w:sz w:val="18"/>
              </w:rPr>
            </w:pPr>
            <w:r>
              <w:rPr>
                <w:rFonts w:ascii="Times New Roman" w:hAnsi="Times New Roman"/>
                <w:sz w:val="18"/>
              </w:rPr>
              <w:t>钙/（mg/100g）</w:t>
            </w:r>
          </w:p>
        </w:tc>
        <w:tc>
          <w:tcPr>
            <w:tcW w:w="4687" w:type="dxa"/>
            <w:vAlign w:val="center"/>
          </w:tcPr>
          <w:p>
            <w:pPr>
              <w:spacing w:line="240" w:lineRule="auto"/>
              <w:jc w:val="center"/>
              <w:rPr>
                <w:rFonts w:ascii="Times New Roman" w:hAnsi="Times New Roman"/>
                <w:sz w:val="18"/>
              </w:rPr>
            </w:pPr>
            <w:r>
              <w:rPr>
                <w:rFonts w:ascii="宋体" w:hAnsi="宋体"/>
                <w:sz w:val="18"/>
              </w:rPr>
              <w:t>≥</w:t>
            </w:r>
            <w:r>
              <w:rPr>
                <w:rFonts w:ascii="Times New Roman" w:hAnsi="Times New Roman"/>
                <w:sz w:val="18"/>
              </w:rPr>
              <w:t>60.0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c>
          <w:tcPr>
            <w:tcW w:w="4687" w:type="dxa"/>
            <w:vAlign w:val="center"/>
          </w:tcPr>
          <w:p>
            <w:pPr>
              <w:spacing w:line="240" w:lineRule="auto"/>
              <w:jc w:val="center"/>
              <w:rPr>
                <w:rFonts w:ascii="Times New Roman" w:hAnsi="Times New Roman"/>
                <w:sz w:val="18"/>
              </w:rPr>
            </w:pPr>
            <w:r>
              <w:rPr>
                <w:rFonts w:ascii="Times New Roman" w:hAnsi="Times New Roman"/>
                <w:sz w:val="18"/>
              </w:rPr>
              <w:t>磷/（mg/100g）</w:t>
            </w:r>
          </w:p>
        </w:tc>
        <w:tc>
          <w:tcPr>
            <w:tcW w:w="4687" w:type="dxa"/>
            <w:vAlign w:val="center"/>
          </w:tcPr>
          <w:p>
            <w:pPr>
              <w:spacing w:line="240" w:lineRule="auto"/>
              <w:jc w:val="center"/>
              <w:rPr>
                <w:rFonts w:ascii="Times New Roman" w:hAnsi="Times New Roman"/>
                <w:sz w:val="18"/>
              </w:rPr>
            </w:pPr>
            <w:r>
              <w:rPr>
                <w:rFonts w:ascii="宋体" w:hAnsi="宋体"/>
                <w:sz w:val="18"/>
              </w:rPr>
              <w:t>≥</w:t>
            </w:r>
            <w:r>
              <w:rPr>
                <w:rFonts w:ascii="Times New Roman" w:hAnsi="Times New Roman"/>
                <w:sz w:val="18"/>
              </w:rPr>
              <w:t>50.0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c>
          <w:tcPr>
            <w:tcW w:w="4687" w:type="dxa"/>
            <w:vAlign w:val="center"/>
          </w:tcPr>
          <w:p>
            <w:pPr>
              <w:spacing w:line="240" w:lineRule="auto"/>
              <w:jc w:val="center"/>
              <w:rPr>
                <w:rFonts w:ascii="Times New Roman" w:hAnsi="Times New Roman"/>
                <w:sz w:val="18"/>
              </w:rPr>
            </w:pPr>
            <w:r>
              <w:rPr>
                <w:rFonts w:ascii="Times New Roman" w:hAnsi="Times New Roman"/>
                <w:sz w:val="18"/>
              </w:rPr>
              <w:t>铁/（mg/100g）</w:t>
            </w:r>
          </w:p>
        </w:tc>
        <w:tc>
          <w:tcPr>
            <w:tcW w:w="4687" w:type="dxa"/>
            <w:vAlign w:val="center"/>
          </w:tcPr>
          <w:p>
            <w:pPr>
              <w:spacing w:line="240" w:lineRule="auto"/>
              <w:jc w:val="center"/>
              <w:rPr>
                <w:rFonts w:ascii="Times New Roman" w:hAnsi="Times New Roman"/>
                <w:sz w:val="18"/>
              </w:rPr>
            </w:pPr>
            <w:r>
              <w:rPr>
                <w:rFonts w:ascii="宋体" w:hAnsi="宋体"/>
                <w:sz w:val="18"/>
              </w:rPr>
              <w:t>≥</w:t>
            </w:r>
            <w:r>
              <w:rPr>
                <w:rFonts w:ascii="Times New Roman" w:hAnsi="Times New Roman"/>
                <w:sz w:val="18"/>
              </w:rPr>
              <w:t>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c>
          <w:tcPr>
            <w:tcW w:w="4687" w:type="dxa"/>
            <w:vAlign w:val="center"/>
          </w:tcPr>
          <w:p>
            <w:pPr>
              <w:spacing w:line="240" w:lineRule="auto"/>
              <w:jc w:val="center"/>
              <w:rPr>
                <w:rFonts w:ascii="Times New Roman" w:hAnsi="Times New Roman"/>
                <w:sz w:val="18"/>
              </w:rPr>
            </w:pPr>
            <w:r>
              <w:rPr>
                <w:rFonts w:ascii="Times New Roman" w:hAnsi="Times New Roman"/>
                <w:sz w:val="18"/>
              </w:rPr>
              <w:t xml:space="preserve">锌/（mg/100g） </w:t>
            </w:r>
          </w:p>
        </w:tc>
        <w:tc>
          <w:tcPr>
            <w:tcW w:w="4687" w:type="dxa"/>
            <w:vAlign w:val="center"/>
          </w:tcPr>
          <w:p>
            <w:pPr>
              <w:spacing w:line="240" w:lineRule="auto"/>
              <w:jc w:val="center"/>
              <w:rPr>
                <w:rFonts w:ascii="Times New Roman" w:hAnsi="Times New Roman"/>
                <w:sz w:val="18"/>
              </w:rPr>
            </w:pPr>
            <w:r>
              <w:rPr>
                <w:rFonts w:ascii="宋体" w:hAnsi="宋体"/>
                <w:sz w:val="18"/>
              </w:rPr>
              <w:t>≥</w:t>
            </w:r>
            <w:r>
              <w:rPr>
                <w:rFonts w:ascii="Times New Roman" w:hAnsi="Times New Roman"/>
                <w:sz w:val="18"/>
              </w:rPr>
              <w:t>0.45</w:t>
            </w:r>
          </w:p>
        </w:tc>
      </w:tr>
    </w:tbl>
    <w:p>
      <w:pPr>
        <w:pStyle w:val="56"/>
        <w:pageBreakBefore/>
        <w:spacing w:before="156" w:beforeLines="50" w:after="156" w:afterLines="50"/>
        <w:ind w:firstLine="0" w:firstLineChars="0"/>
        <w:jc w:val="center"/>
        <w:rPr>
          <w:rFonts w:ascii="Times New Roman" w:eastAsia="黑体"/>
        </w:rPr>
      </w:pPr>
      <w:r>
        <w:rPr>
          <w:rFonts w:ascii="Times New Roman" w:eastAsia="黑体"/>
        </w:rPr>
        <w:t>表1  理化指标</w:t>
      </w:r>
      <w:r>
        <w:rPr>
          <w:rFonts w:ascii="Times New Roman"/>
        </w:rPr>
        <w:t>（续）</w:t>
      </w:r>
    </w:p>
    <w:tbl>
      <w:tblPr>
        <w:tblStyle w:val="33"/>
        <w:tblW w:w="9374"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687"/>
        <w:gridCol w:w="46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c>
          <w:tcPr>
            <w:tcW w:w="4687" w:type="dxa"/>
            <w:tcBorders>
              <w:top w:val="single" w:color="auto" w:sz="8" w:space="0"/>
              <w:bottom w:val="single" w:color="auto" w:sz="8" w:space="0"/>
            </w:tcBorders>
            <w:vAlign w:val="center"/>
          </w:tcPr>
          <w:p>
            <w:pPr>
              <w:spacing w:line="240" w:lineRule="auto"/>
              <w:jc w:val="center"/>
              <w:rPr>
                <w:rFonts w:ascii="Times New Roman" w:hAnsi="Times New Roman"/>
                <w:sz w:val="18"/>
              </w:rPr>
            </w:pPr>
            <w:r>
              <w:rPr>
                <w:rFonts w:ascii="Times New Roman" w:hAnsi="Times New Roman"/>
                <w:sz w:val="18"/>
              </w:rPr>
              <w:t>项目</w:t>
            </w:r>
          </w:p>
        </w:tc>
        <w:tc>
          <w:tcPr>
            <w:tcW w:w="4687" w:type="dxa"/>
            <w:tcBorders>
              <w:top w:val="single" w:color="auto" w:sz="8" w:space="0"/>
              <w:bottom w:val="single" w:color="auto" w:sz="8" w:space="0"/>
            </w:tcBorders>
            <w:vAlign w:val="center"/>
          </w:tcPr>
          <w:p>
            <w:pPr>
              <w:spacing w:line="240" w:lineRule="auto"/>
              <w:jc w:val="center"/>
              <w:rPr>
                <w:rFonts w:ascii="Times New Roman" w:hAnsi="Times New Roman"/>
                <w:sz w:val="18"/>
              </w:rPr>
            </w:pPr>
            <w:r>
              <w:rPr>
                <w:rFonts w:ascii="Times New Roman" w:hAnsi="Times New Roman"/>
                <w:sz w:val="18"/>
              </w:rPr>
              <w:t>指标值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c>
          <w:tcPr>
            <w:tcW w:w="4687" w:type="dxa"/>
            <w:vAlign w:val="center"/>
          </w:tcPr>
          <w:p>
            <w:pPr>
              <w:spacing w:line="240" w:lineRule="auto"/>
              <w:jc w:val="center"/>
              <w:rPr>
                <w:rFonts w:ascii="Times New Roman" w:hAnsi="Times New Roman"/>
                <w:sz w:val="18"/>
              </w:rPr>
            </w:pPr>
            <w:r>
              <w:rPr>
                <w:rFonts w:ascii="Times New Roman" w:hAnsi="Times New Roman"/>
                <w:sz w:val="18"/>
              </w:rPr>
              <w:t xml:space="preserve">维生素C/（mg/100g） </w:t>
            </w:r>
          </w:p>
        </w:tc>
        <w:tc>
          <w:tcPr>
            <w:tcW w:w="4687" w:type="dxa"/>
            <w:vAlign w:val="center"/>
          </w:tcPr>
          <w:p>
            <w:pPr>
              <w:spacing w:line="240" w:lineRule="auto"/>
              <w:jc w:val="center"/>
              <w:rPr>
                <w:rFonts w:ascii="Times New Roman" w:hAnsi="Times New Roman"/>
                <w:sz w:val="18"/>
              </w:rPr>
            </w:pPr>
            <w:r>
              <w:rPr>
                <w:rFonts w:ascii="宋体" w:hAnsi="宋体"/>
                <w:sz w:val="18"/>
              </w:rPr>
              <w:t>≥</w:t>
            </w:r>
            <w:r>
              <w:rPr>
                <w:rFonts w:ascii="Times New Roman" w:hAnsi="Times New Roman"/>
                <w:sz w:val="18"/>
              </w:rPr>
              <w:t>70.0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c>
          <w:tcPr>
            <w:tcW w:w="4687" w:type="dxa"/>
            <w:vAlign w:val="center"/>
          </w:tcPr>
          <w:p>
            <w:pPr>
              <w:spacing w:line="240" w:lineRule="auto"/>
              <w:jc w:val="center"/>
              <w:rPr>
                <w:rFonts w:ascii="Times New Roman" w:hAnsi="Times New Roman"/>
                <w:sz w:val="18"/>
              </w:rPr>
            </w:pPr>
            <w:r>
              <w:rPr>
                <w:rFonts w:ascii="Times New Roman" w:hAnsi="Times New Roman"/>
                <w:sz w:val="18"/>
              </w:rPr>
              <w:t xml:space="preserve">维生素E/（mg/100g） </w:t>
            </w:r>
          </w:p>
        </w:tc>
        <w:tc>
          <w:tcPr>
            <w:tcW w:w="4687" w:type="dxa"/>
            <w:vAlign w:val="center"/>
          </w:tcPr>
          <w:p>
            <w:pPr>
              <w:spacing w:line="240" w:lineRule="auto"/>
              <w:jc w:val="center"/>
              <w:rPr>
                <w:rFonts w:ascii="Times New Roman" w:hAnsi="Times New Roman"/>
                <w:sz w:val="18"/>
              </w:rPr>
            </w:pPr>
            <w:r>
              <w:rPr>
                <w:rFonts w:ascii="宋体" w:hAnsi="宋体"/>
                <w:sz w:val="18"/>
              </w:rPr>
              <w:t>≥</w:t>
            </w:r>
            <w:r>
              <w:rPr>
                <w:rFonts w:ascii="Times New Roman" w:hAnsi="Times New Roman"/>
                <w:sz w:val="18"/>
              </w:rPr>
              <w:t>0.1</w:t>
            </w:r>
          </w:p>
        </w:tc>
      </w:tr>
    </w:tbl>
    <w:p>
      <w:pPr>
        <w:pStyle w:val="104"/>
        <w:spacing w:before="312" w:after="312"/>
      </w:pPr>
      <w:bookmarkStart w:id="59" w:name="_Toc236489764"/>
      <w:r>
        <w:rPr>
          <w:rFonts w:hint="eastAsia"/>
        </w:rPr>
        <w:t>检验方法</w:t>
      </w:r>
      <w:bookmarkEnd w:id="59"/>
    </w:p>
    <w:p>
      <w:pPr>
        <w:pStyle w:val="105"/>
        <w:spacing w:before="156" w:after="156"/>
      </w:pPr>
      <w:r>
        <w:rPr>
          <w:rFonts w:hint="eastAsia"/>
        </w:rPr>
        <w:t>感官检验</w:t>
      </w:r>
    </w:p>
    <w:p>
      <w:pPr>
        <w:pStyle w:val="56"/>
        <w:ind w:firstLine="420"/>
      </w:pPr>
      <w:r>
        <w:rPr>
          <w:rFonts w:hint="eastAsia"/>
        </w:rPr>
        <w:t>自然光下目测外观、手感质地、品尝风味。</w:t>
      </w:r>
    </w:p>
    <w:p>
      <w:pPr>
        <w:pStyle w:val="105"/>
        <w:spacing w:before="156" w:after="156"/>
      </w:pPr>
      <w:r>
        <w:rPr>
          <w:rFonts w:hint="eastAsia"/>
        </w:rPr>
        <w:t>理化检验</w:t>
      </w:r>
    </w:p>
    <w:p>
      <w:pPr>
        <w:pStyle w:val="65"/>
        <w:spacing w:before="156" w:after="156"/>
        <w:rPr>
          <w:rFonts w:ascii="Times New Roman"/>
        </w:rPr>
      </w:pPr>
      <w:r>
        <w:rPr>
          <w:rFonts w:ascii="Times New Roman"/>
        </w:rPr>
        <w:t>膳食纤维</w:t>
      </w:r>
    </w:p>
    <w:p>
      <w:pPr>
        <w:pStyle w:val="56"/>
        <w:autoSpaceDE/>
        <w:autoSpaceDN/>
        <w:ind w:firstLine="420"/>
        <w:rPr>
          <w:rFonts w:ascii="Times New Roman"/>
        </w:rPr>
      </w:pPr>
      <w:r>
        <w:rPr>
          <w:rFonts w:ascii="Times New Roman"/>
        </w:rPr>
        <w:t>按</w:t>
      </w:r>
      <w:bookmarkStart w:id="60" w:name="OLE_LINK2"/>
      <w:bookmarkStart w:id="61" w:name="OLE_LINK3"/>
      <w:r>
        <w:rPr>
          <w:rFonts w:ascii="Times New Roman"/>
        </w:rPr>
        <w:t>GB 5009.6</w:t>
      </w:r>
      <w:bookmarkEnd w:id="60"/>
      <w:bookmarkEnd w:id="61"/>
      <w:r>
        <w:rPr>
          <w:rFonts w:hint="eastAsia" w:ascii="Times New Roman"/>
        </w:rPr>
        <w:t>执行</w:t>
      </w:r>
      <w:r>
        <w:rPr>
          <w:rFonts w:ascii="Times New Roman"/>
        </w:rPr>
        <w:t>。</w:t>
      </w:r>
    </w:p>
    <w:p>
      <w:pPr>
        <w:pStyle w:val="65"/>
        <w:spacing w:before="156" w:after="156"/>
        <w:rPr>
          <w:rFonts w:ascii="Times New Roman"/>
        </w:rPr>
      </w:pPr>
      <w:r>
        <w:rPr>
          <w:rFonts w:ascii="Times New Roman"/>
        </w:rPr>
        <w:t>蛋白质</w:t>
      </w:r>
    </w:p>
    <w:p>
      <w:pPr>
        <w:pStyle w:val="56"/>
        <w:autoSpaceDE/>
        <w:autoSpaceDN/>
        <w:ind w:firstLine="420"/>
        <w:rPr>
          <w:rFonts w:ascii="Times New Roman"/>
        </w:rPr>
      </w:pPr>
      <w:r>
        <w:rPr>
          <w:rFonts w:ascii="Times New Roman"/>
        </w:rPr>
        <w:t>按GB 5009.5执行。</w:t>
      </w:r>
    </w:p>
    <w:p>
      <w:pPr>
        <w:pStyle w:val="65"/>
        <w:spacing w:before="156" w:after="156"/>
        <w:rPr>
          <w:rFonts w:ascii="Times New Roman"/>
        </w:rPr>
      </w:pPr>
      <w:r>
        <w:rPr>
          <w:rFonts w:ascii="Times New Roman"/>
        </w:rPr>
        <w:t>锌</w:t>
      </w:r>
    </w:p>
    <w:p>
      <w:pPr>
        <w:pStyle w:val="56"/>
        <w:autoSpaceDE/>
        <w:autoSpaceDN/>
        <w:ind w:firstLine="420"/>
        <w:rPr>
          <w:rFonts w:ascii="Times New Roman"/>
        </w:rPr>
      </w:pPr>
      <w:r>
        <w:rPr>
          <w:rFonts w:ascii="Times New Roman"/>
        </w:rPr>
        <w:t>按GB 5009.14执行。</w:t>
      </w:r>
    </w:p>
    <w:p>
      <w:pPr>
        <w:pStyle w:val="65"/>
        <w:spacing w:before="156" w:after="156"/>
        <w:rPr>
          <w:rFonts w:ascii="Times New Roman"/>
        </w:rPr>
      </w:pPr>
      <w:r>
        <w:rPr>
          <w:rFonts w:ascii="Times New Roman"/>
        </w:rPr>
        <w:t>磷</w:t>
      </w:r>
    </w:p>
    <w:p>
      <w:pPr>
        <w:pStyle w:val="56"/>
        <w:autoSpaceDE/>
        <w:autoSpaceDN/>
        <w:ind w:firstLine="420"/>
        <w:rPr>
          <w:rFonts w:ascii="Times New Roman"/>
        </w:rPr>
      </w:pPr>
      <w:r>
        <w:rPr>
          <w:rFonts w:ascii="Times New Roman"/>
        </w:rPr>
        <w:t>按GB 5009.87执行。</w:t>
      </w:r>
    </w:p>
    <w:p>
      <w:pPr>
        <w:pStyle w:val="65"/>
        <w:spacing w:before="156" w:after="156"/>
        <w:rPr>
          <w:rFonts w:ascii="Times New Roman"/>
        </w:rPr>
      </w:pPr>
      <w:r>
        <w:rPr>
          <w:rFonts w:ascii="Times New Roman"/>
        </w:rPr>
        <w:t>铁</w:t>
      </w:r>
    </w:p>
    <w:p>
      <w:pPr>
        <w:pStyle w:val="56"/>
        <w:autoSpaceDE/>
        <w:autoSpaceDN/>
        <w:ind w:firstLine="420"/>
        <w:rPr>
          <w:rFonts w:ascii="Times New Roman"/>
        </w:rPr>
      </w:pPr>
      <w:r>
        <w:rPr>
          <w:rFonts w:ascii="Times New Roman"/>
        </w:rPr>
        <w:t>按GB 5009.90执行。</w:t>
      </w:r>
    </w:p>
    <w:p>
      <w:pPr>
        <w:pStyle w:val="65"/>
        <w:spacing w:before="156" w:after="156"/>
        <w:rPr>
          <w:rFonts w:ascii="Times New Roman"/>
        </w:rPr>
      </w:pPr>
      <w:r>
        <w:rPr>
          <w:rFonts w:ascii="Times New Roman"/>
        </w:rPr>
        <w:t>钙</w:t>
      </w:r>
    </w:p>
    <w:p>
      <w:pPr>
        <w:pStyle w:val="56"/>
        <w:autoSpaceDE/>
        <w:autoSpaceDN/>
        <w:ind w:firstLine="420"/>
        <w:rPr>
          <w:rFonts w:ascii="Times New Roman"/>
        </w:rPr>
      </w:pPr>
      <w:r>
        <w:rPr>
          <w:rFonts w:ascii="Times New Roman"/>
        </w:rPr>
        <w:t>按GB 5009.92执行。</w:t>
      </w:r>
    </w:p>
    <w:p>
      <w:pPr>
        <w:pStyle w:val="65"/>
        <w:spacing w:before="156" w:after="156"/>
        <w:rPr>
          <w:rFonts w:ascii="Times New Roman"/>
        </w:rPr>
      </w:pPr>
      <w:r>
        <w:rPr>
          <w:rFonts w:ascii="Times New Roman"/>
        </w:rPr>
        <w:t>维生素C</w:t>
      </w:r>
    </w:p>
    <w:p>
      <w:pPr>
        <w:pStyle w:val="56"/>
        <w:autoSpaceDE/>
        <w:autoSpaceDN/>
        <w:ind w:firstLine="420"/>
        <w:rPr>
          <w:rFonts w:ascii="Times New Roman"/>
        </w:rPr>
      </w:pPr>
      <w:r>
        <w:rPr>
          <w:rFonts w:ascii="Times New Roman"/>
        </w:rPr>
        <w:t>按GB 5009.86执行。</w:t>
      </w:r>
    </w:p>
    <w:p>
      <w:pPr>
        <w:pStyle w:val="65"/>
        <w:spacing w:before="156" w:after="156"/>
        <w:rPr>
          <w:rFonts w:ascii="Times New Roman"/>
        </w:rPr>
      </w:pPr>
      <w:r>
        <w:rPr>
          <w:rFonts w:ascii="Times New Roman"/>
        </w:rPr>
        <w:t>维生素E</w:t>
      </w:r>
    </w:p>
    <w:p>
      <w:pPr>
        <w:pStyle w:val="56"/>
        <w:autoSpaceDE/>
        <w:autoSpaceDN/>
        <w:ind w:firstLine="420"/>
        <w:rPr>
          <w:rFonts w:ascii="Times New Roman"/>
        </w:rPr>
      </w:pPr>
      <w:r>
        <w:rPr>
          <w:rFonts w:ascii="Times New Roman"/>
        </w:rPr>
        <w:t>按GB 5009.82执行。</w:t>
      </w:r>
    </w:p>
    <w:p>
      <w:pPr>
        <w:pStyle w:val="104"/>
        <w:spacing w:before="312" w:after="312"/>
      </w:pPr>
      <w:bookmarkStart w:id="62" w:name="_Toc236489765"/>
      <w:r>
        <w:rPr>
          <w:rFonts w:hint="eastAsia"/>
        </w:rPr>
        <w:t>检验规则</w:t>
      </w:r>
      <w:bookmarkEnd w:id="62"/>
    </w:p>
    <w:p>
      <w:pPr>
        <w:pStyle w:val="105"/>
        <w:spacing w:before="156" w:after="156"/>
      </w:pPr>
      <w:r>
        <w:rPr>
          <w:rFonts w:hint="eastAsia"/>
        </w:rPr>
        <w:t>组批</w:t>
      </w:r>
    </w:p>
    <w:p>
      <w:pPr>
        <w:pStyle w:val="56"/>
        <w:autoSpaceDE/>
        <w:autoSpaceDN/>
        <w:ind w:firstLine="420"/>
        <w:rPr>
          <w:rFonts w:ascii="Times New Roman"/>
        </w:rPr>
      </w:pPr>
      <w:r>
        <w:rPr>
          <w:rFonts w:ascii="Times New Roman"/>
        </w:rPr>
        <w:t>同一产地、同一品种、同一栽培方式、同一采收期为一个检验批。</w:t>
      </w:r>
    </w:p>
    <w:p>
      <w:pPr>
        <w:pStyle w:val="105"/>
        <w:spacing w:before="156" w:after="156"/>
        <w:rPr>
          <w:rFonts w:ascii="Times New Roman"/>
        </w:rPr>
      </w:pPr>
      <w:r>
        <w:rPr>
          <w:rFonts w:ascii="Times New Roman"/>
        </w:rPr>
        <w:t>抽样</w:t>
      </w:r>
    </w:p>
    <w:p>
      <w:pPr>
        <w:pStyle w:val="56"/>
        <w:autoSpaceDE/>
        <w:autoSpaceDN/>
        <w:ind w:firstLine="420"/>
        <w:rPr>
          <w:rFonts w:ascii="Times New Roman"/>
        </w:rPr>
      </w:pPr>
      <w:r>
        <w:rPr>
          <w:rFonts w:ascii="Times New Roman"/>
        </w:rPr>
        <w:t>按</w:t>
      </w:r>
      <w:bookmarkStart w:id="63" w:name="OLE_LINK1"/>
      <w:r>
        <w:rPr>
          <w:rFonts w:ascii="Times New Roman"/>
        </w:rPr>
        <w:t>NY/T 2103</w:t>
      </w:r>
      <w:bookmarkEnd w:id="63"/>
      <w:r>
        <w:rPr>
          <w:rFonts w:ascii="Times New Roman"/>
        </w:rPr>
        <w:t>-2011的规定执行。</w:t>
      </w:r>
    </w:p>
    <w:p>
      <w:pPr>
        <w:pStyle w:val="105"/>
        <w:spacing w:before="156" w:after="156"/>
      </w:pPr>
      <w:r>
        <w:rPr>
          <w:rFonts w:hint="eastAsia"/>
        </w:rPr>
        <w:t>检验分类</w:t>
      </w:r>
    </w:p>
    <w:p>
      <w:pPr>
        <w:pStyle w:val="65"/>
        <w:spacing w:before="156" w:after="156"/>
      </w:pPr>
      <w:r>
        <w:rPr>
          <w:rFonts w:hint="eastAsia"/>
        </w:rPr>
        <w:t>出厂检验</w:t>
      </w:r>
    </w:p>
    <w:p>
      <w:pPr>
        <w:pStyle w:val="56"/>
        <w:ind w:firstLine="420"/>
      </w:pPr>
      <w:r>
        <w:rPr>
          <w:rFonts w:hint="eastAsia"/>
        </w:rPr>
        <w:t>检验项目：感官、净含量；合格后方可出厂。</w:t>
      </w:r>
    </w:p>
    <w:p>
      <w:pPr>
        <w:pStyle w:val="65"/>
        <w:spacing w:before="156" w:after="156"/>
      </w:pPr>
      <w:r>
        <w:rPr>
          <w:rFonts w:hint="eastAsia"/>
        </w:rPr>
        <w:t>型式检验</w:t>
      </w:r>
    </w:p>
    <w:p>
      <w:pPr>
        <w:pStyle w:val="56"/>
        <w:autoSpaceDE/>
        <w:autoSpaceDN/>
        <w:ind w:firstLine="420"/>
        <w:rPr>
          <w:rFonts w:ascii="Times New Roman"/>
        </w:rPr>
      </w:pPr>
      <w:r>
        <w:rPr>
          <w:rFonts w:ascii="Times New Roman"/>
        </w:rPr>
        <w:t>每年至少一次，涵盖本文件第8章全部项目；环境、技术重大变化或监管部门要求时应检验。</w:t>
      </w:r>
    </w:p>
    <w:p>
      <w:pPr>
        <w:pStyle w:val="105"/>
        <w:spacing w:before="156" w:after="156"/>
      </w:pPr>
      <w:r>
        <w:rPr>
          <w:rFonts w:hint="eastAsia"/>
        </w:rPr>
        <w:t>判定规则</w:t>
      </w:r>
    </w:p>
    <w:p>
      <w:pPr>
        <w:pStyle w:val="56"/>
        <w:ind w:firstLine="420"/>
      </w:pPr>
      <w:r>
        <w:rPr>
          <w:rFonts w:hint="eastAsia"/>
        </w:rPr>
        <w:t>全部指标合格判为合格；安全指标不合格直接判不合格；其他指标不合格可加倍复检，复检仍不合格判不合格。</w:t>
      </w:r>
    </w:p>
    <w:p>
      <w:pPr>
        <w:pStyle w:val="104"/>
        <w:spacing w:before="312" w:after="312"/>
      </w:pPr>
      <w:bookmarkStart w:id="64" w:name="_Toc236489766"/>
      <w:r>
        <w:rPr>
          <w:rFonts w:hint="eastAsia"/>
        </w:rPr>
        <w:t>标志、标签</w:t>
      </w:r>
      <w:bookmarkEnd w:id="64"/>
    </w:p>
    <w:p>
      <w:pPr>
        <w:pStyle w:val="56"/>
        <w:ind w:firstLine="420"/>
      </w:pPr>
      <w:r>
        <w:rPr>
          <w:rFonts w:hint="eastAsia"/>
        </w:rPr>
        <w:t>符合本文件要求的产品方可在产品标签或包装物上标注地理标志产品名称及本文件编号，并应同时使用经国务院知识产权行政管理部门核准公告的地理标志专用标志。</w:t>
      </w:r>
    </w:p>
    <w:p>
      <w:pPr>
        <w:pStyle w:val="104"/>
        <w:spacing w:before="312" w:after="312"/>
      </w:pPr>
      <w:bookmarkStart w:id="65" w:name="_Toc236489767"/>
      <w:r>
        <w:rPr>
          <w:rFonts w:hint="eastAsia"/>
        </w:rPr>
        <w:t>包装、运输、贮存</w:t>
      </w:r>
      <w:bookmarkEnd w:id="65"/>
    </w:p>
    <w:p>
      <w:pPr>
        <w:pStyle w:val="105"/>
        <w:spacing w:before="156" w:after="156"/>
      </w:pPr>
      <w:r>
        <w:rPr>
          <w:rFonts w:hint="eastAsia"/>
        </w:rPr>
        <w:t>包装</w:t>
      </w:r>
    </w:p>
    <w:p>
      <w:pPr>
        <w:pStyle w:val="56"/>
        <w:autoSpaceDE/>
        <w:autoSpaceDN/>
        <w:ind w:firstLine="420"/>
        <w:rPr>
          <w:rFonts w:ascii="Times New Roman"/>
        </w:rPr>
      </w:pPr>
      <w:r>
        <w:rPr>
          <w:rFonts w:ascii="Times New Roman"/>
        </w:rPr>
        <w:t>包装材料无毒、洁净、透气，符合食品接触要求，按GB/T 33129执行。</w:t>
      </w:r>
    </w:p>
    <w:p>
      <w:pPr>
        <w:pStyle w:val="105"/>
        <w:spacing w:before="156" w:after="156"/>
      </w:pPr>
      <w:r>
        <w:rPr>
          <w:rFonts w:hint="eastAsia"/>
        </w:rPr>
        <w:t>运输</w:t>
      </w:r>
    </w:p>
    <w:p>
      <w:pPr>
        <w:pStyle w:val="56"/>
        <w:autoSpaceDE/>
        <w:autoSpaceDN/>
        <w:ind w:firstLine="420"/>
        <w:rPr>
          <w:rFonts w:ascii="Times New Roman"/>
        </w:rPr>
      </w:pPr>
      <w:r>
        <w:rPr>
          <w:rFonts w:ascii="Times New Roman"/>
        </w:rPr>
        <w:t>运输工具清洁卫生、防雨防晒，温度0 ℃～5 ℃，不与有毒有害物品混运，按GB/T 33129执行。</w:t>
      </w:r>
    </w:p>
    <w:p>
      <w:pPr>
        <w:pStyle w:val="105"/>
        <w:spacing w:before="156" w:after="156"/>
      </w:pPr>
      <w:r>
        <w:rPr>
          <w:rFonts w:hint="eastAsia"/>
        </w:rPr>
        <w:t>贮存</w:t>
      </w:r>
    </w:p>
    <w:p>
      <w:pPr>
        <w:pStyle w:val="56"/>
        <w:autoSpaceDE/>
        <w:autoSpaceDN/>
        <w:ind w:firstLine="420"/>
        <w:rPr>
          <w:rFonts w:ascii="Times New Roman"/>
        </w:rPr>
      </w:pPr>
      <w:r>
        <w:rPr>
          <w:rFonts w:ascii="Times New Roman"/>
        </w:rPr>
        <w:t>贮存于0 ℃～4 ℃、相对湿度90 %～95 %环境，清洁通风、无异味，防止腐烂变质。</w:t>
      </w:r>
    </w:p>
    <w:bookmarkEnd w:id="26"/>
    <w:p>
      <w:pPr>
        <w:pStyle w:val="56"/>
        <w:ind w:firstLine="0" w:firstLineChars="0"/>
        <w:jc w:val="center"/>
      </w:pPr>
      <w:bookmarkStart w:id="66" w:name="BookMark8"/>
      <w: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66"/>
    </w:p>
    <w:sectPr>
      <w:pgSz w:w="11906" w:h="16838"/>
      <w:pgMar w:top="1928" w:right="1134" w:bottom="1134" w:left="1134" w:header="1418" w:footer="1134" w:gutter="284"/>
      <w:pgNumType w:start="1"/>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43/T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 XX/T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dit="forms" w:enforcement="1" w:cryptProviderType="rsaAES" w:cryptAlgorithmClass="hash" w:cryptAlgorithmType="typeAny" w:cryptAlgorithmSid="14" w:cryptSpinCount="100000" w:hash="gfl2ZZ3p4RKJ8GjvUOfSEQbXt8Yx/2f9DgAjDghGYCReNkjensWvaaAu7si3niQvyBOuNenmchIVEXe4Q8J/yg==" w:salt="A6hZaV1utjZ9KgZOU9fUWw=="/>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C9B"/>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379"/>
    <w:rsid w:val="0002595E"/>
    <w:rsid w:val="000268D8"/>
    <w:rsid w:val="00027494"/>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2515"/>
    <w:rsid w:val="00072DE6"/>
    <w:rsid w:val="00073C8C"/>
    <w:rsid w:val="00077B64"/>
    <w:rsid w:val="00080A1C"/>
    <w:rsid w:val="00082317"/>
    <w:rsid w:val="00083D2C"/>
    <w:rsid w:val="00086AA1"/>
    <w:rsid w:val="0008759A"/>
    <w:rsid w:val="00087A77"/>
    <w:rsid w:val="00090CA6"/>
    <w:rsid w:val="00092B8A"/>
    <w:rsid w:val="00092FB0"/>
    <w:rsid w:val="000934C5"/>
    <w:rsid w:val="00093D25"/>
    <w:rsid w:val="00093DAB"/>
    <w:rsid w:val="00094D73"/>
    <w:rsid w:val="00096D63"/>
    <w:rsid w:val="000A0B60"/>
    <w:rsid w:val="000A0EB8"/>
    <w:rsid w:val="000A19FC"/>
    <w:rsid w:val="000A26AB"/>
    <w:rsid w:val="000A296B"/>
    <w:rsid w:val="000A4FFB"/>
    <w:rsid w:val="000A7311"/>
    <w:rsid w:val="000B060F"/>
    <w:rsid w:val="000B101E"/>
    <w:rsid w:val="000B1592"/>
    <w:rsid w:val="000B1FF2"/>
    <w:rsid w:val="000B3CDA"/>
    <w:rsid w:val="000B674F"/>
    <w:rsid w:val="000B6A0B"/>
    <w:rsid w:val="000C0773"/>
    <w:rsid w:val="000C0F6C"/>
    <w:rsid w:val="000C11DB"/>
    <w:rsid w:val="000C1492"/>
    <w:rsid w:val="000C2FBD"/>
    <w:rsid w:val="000C4B41"/>
    <w:rsid w:val="000C5618"/>
    <w:rsid w:val="000C57D6"/>
    <w:rsid w:val="000C6362"/>
    <w:rsid w:val="000C7666"/>
    <w:rsid w:val="000D0A9C"/>
    <w:rsid w:val="000D1795"/>
    <w:rsid w:val="000D329A"/>
    <w:rsid w:val="000D4B9C"/>
    <w:rsid w:val="000D4EB6"/>
    <w:rsid w:val="000D753B"/>
    <w:rsid w:val="000D75AE"/>
    <w:rsid w:val="000D7AA2"/>
    <w:rsid w:val="000E3883"/>
    <w:rsid w:val="000E4C9E"/>
    <w:rsid w:val="000E6FD7"/>
    <w:rsid w:val="000F06E1"/>
    <w:rsid w:val="000F0E3C"/>
    <w:rsid w:val="000F19D5"/>
    <w:rsid w:val="000F4AEA"/>
    <w:rsid w:val="000F4F31"/>
    <w:rsid w:val="000F633F"/>
    <w:rsid w:val="000F67E9"/>
    <w:rsid w:val="00104926"/>
    <w:rsid w:val="00113B1E"/>
    <w:rsid w:val="001161E3"/>
    <w:rsid w:val="0011711C"/>
    <w:rsid w:val="0012059C"/>
    <w:rsid w:val="00123F5F"/>
    <w:rsid w:val="00124E4F"/>
    <w:rsid w:val="001260B7"/>
    <w:rsid w:val="001265CB"/>
    <w:rsid w:val="001321C6"/>
    <w:rsid w:val="001325C4"/>
    <w:rsid w:val="00133010"/>
    <w:rsid w:val="001338EE"/>
    <w:rsid w:val="00133AAE"/>
    <w:rsid w:val="00135323"/>
    <w:rsid w:val="001356C4"/>
    <w:rsid w:val="00136FB9"/>
    <w:rsid w:val="00141114"/>
    <w:rsid w:val="00142969"/>
    <w:rsid w:val="001446C2"/>
    <w:rsid w:val="001457E7"/>
    <w:rsid w:val="00145D9D"/>
    <w:rsid w:val="00146388"/>
    <w:rsid w:val="001529E5"/>
    <w:rsid w:val="00152C63"/>
    <w:rsid w:val="001532C6"/>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6EBD"/>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40DA"/>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E7BE0"/>
    <w:rsid w:val="001F092D"/>
    <w:rsid w:val="001F143A"/>
    <w:rsid w:val="001F1605"/>
    <w:rsid w:val="001F2508"/>
    <w:rsid w:val="001F4816"/>
    <w:rsid w:val="001F4CDE"/>
    <w:rsid w:val="001F4EE9"/>
    <w:rsid w:val="001F69B4"/>
    <w:rsid w:val="001F77C7"/>
    <w:rsid w:val="00200183"/>
    <w:rsid w:val="00200333"/>
    <w:rsid w:val="0020107D"/>
    <w:rsid w:val="00202AA4"/>
    <w:rsid w:val="002031F7"/>
    <w:rsid w:val="002040E6"/>
    <w:rsid w:val="0020527B"/>
    <w:rsid w:val="00205F2C"/>
    <w:rsid w:val="00210B15"/>
    <w:rsid w:val="0021207C"/>
    <w:rsid w:val="002142EA"/>
    <w:rsid w:val="002204BB"/>
    <w:rsid w:val="00221B79"/>
    <w:rsid w:val="00221C6B"/>
    <w:rsid w:val="002253A1"/>
    <w:rsid w:val="00225CF8"/>
    <w:rsid w:val="0022794E"/>
    <w:rsid w:val="00233B1A"/>
    <w:rsid w:val="00233D64"/>
    <w:rsid w:val="0023482A"/>
    <w:rsid w:val="002359CB"/>
    <w:rsid w:val="00243540"/>
    <w:rsid w:val="0024497B"/>
    <w:rsid w:val="0024515B"/>
    <w:rsid w:val="00246021"/>
    <w:rsid w:val="0024666E"/>
    <w:rsid w:val="00247F52"/>
    <w:rsid w:val="00250B25"/>
    <w:rsid w:val="00250BBE"/>
    <w:rsid w:val="002515C2"/>
    <w:rsid w:val="0025194F"/>
    <w:rsid w:val="00251B3C"/>
    <w:rsid w:val="0026148A"/>
    <w:rsid w:val="00262696"/>
    <w:rsid w:val="00263D25"/>
    <w:rsid w:val="002643C3"/>
    <w:rsid w:val="00264A0C"/>
    <w:rsid w:val="00266EEB"/>
    <w:rsid w:val="00267187"/>
    <w:rsid w:val="00267EF4"/>
    <w:rsid w:val="00270CB8"/>
    <w:rsid w:val="00271B64"/>
    <w:rsid w:val="00272B08"/>
    <w:rsid w:val="002771AC"/>
    <w:rsid w:val="00281BB8"/>
    <w:rsid w:val="00281E9E"/>
    <w:rsid w:val="00282405"/>
    <w:rsid w:val="00285170"/>
    <w:rsid w:val="00285361"/>
    <w:rsid w:val="00292D60"/>
    <w:rsid w:val="00293B30"/>
    <w:rsid w:val="00294D34"/>
    <w:rsid w:val="00294E3B"/>
    <w:rsid w:val="00296193"/>
    <w:rsid w:val="0029677F"/>
    <w:rsid w:val="00296C66"/>
    <w:rsid w:val="00296EBE"/>
    <w:rsid w:val="002974E3"/>
    <w:rsid w:val="002977BA"/>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6E2D"/>
    <w:rsid w:val="002B727E"/>
    <w:rsid w:val="002B7332"/>
    <w:rsid w:val="002B7F51"/>
    <w:rsid w:val="002C09E7"/>
    <w:rsid w:val="002C1E06"/>
    <w:rsid w:val="002C1E1C"/>
    <w:rsid w:val="002C3F07"/>
    <w:rsid w:val="002C5278"/>
    <w:rsid w:val="002C7EBB"/>
    <w:rsid w:val="002D06C1"/>
    <w:rsid w:val="002D42B5"/>
    <w:rsid w:val="002D4EDD"/>
    <w:rsid w:val="002D4F1A"/>
    <w:rsid w:val="002D6EC6"/>
    <w:rsid w:val="002D79AC"/>
    <w:rsid w:val="002D79AF"/>
    <w:rsid w:val="002E039D"/>
    <w:rsid w:val="002E4D5A"/>
    <w:rsid w:val="002E6326"/>
    <w:rsid w:val="002F30E0"/>
    <w:rsid w:val="002F35E4"/>
    <w:rsid w:val="002F3730"/>
    <w:rsid w:val="002F38E1"/>
    <w:rsid w:val="002F7AF6"/>
    <w:rsid w:val="00300E63"/>
    <w:rsid w:val="00302F5F"/>
    <w:rsid w:val="0030441D"/>
    <w:rsid w:val="00306063"/>
    <w:rsid w:val="003070E2"/>
    <w:rsid w:val="00313B85"/>
    <w:rsid w:val="00317988"/>
    <w:rsid w:val="00317F1C"/>
    <w:rsid w:val="003221B4"/>
    <w:rsid w:val="0032258D"/>
    <w:rsid w:val="00322E62"/>
    <w:rsid w:val="00324D13"/>
    <w:rsid w:val="00324D2A"/>
    <w:rsid w:val="00324EDD"/>
    <w:rsid w:val="00324FDF"/>
    <w:rsid w:val="003331E4"/>
    <w:rsid w:val="00336C64"/>
    <w:rsid w:val="00337162"/>
    <w:rsid w:val="0034194F"/>
    <w:rsid w:val="00344605"/>
    <w:rsid w:val="003474AA"/>
    <w:rsid w:val="00350D1D"/>
    <w:rsid w:val="00351BB2"/>
    <w:rsid w:val="00352C83"/>
    <w:rsid w:val="003615D2"/>
    <w:rsid w:val="0036429C"/>
    <w:rsid w:val="00364A53"/>
    <w:rsid w:val="003654CB"/>
    <w:rsid w:val="00365AA9"/>
    <w:rsid w:val="00365F86"/>
    <w:rsid w:val="00365F87"/>
    <w:rsid w:val="003662A1"/>
    <w:rsid w:val="00366E89"/>
    <w:rsid w:val="003705F4"/>
    <w:rsid w:val="00370D58"/>
    <w:rsid w:val="00371316"/>
    <w:rsid w:val="00376713"/>
    <w:rsid w:val="00381815"/>
    <w:rsid w:val="003819AF"/>
    <w:rsid w:val="003820E9"/>
    <w:rsid w:val="00382DE7"/>
    <w:rsid w:val="00384FFC"/>
    <w:rsid w:val="00386902"/>
    <w:rsid w:val="003872FC"/>
    <w:rsid w:val="00387ADC"/>
    <w:rsid w:val="00390020"/>
    <w:rsid w:val="003903D6"/>
    <w:rsid w:val="00390EE6"/>
    <w:rsid w:val="0039118F"/>
    <w:rsid w:val="00392AD7"/>
    <w:rsid w:val="003938D9"/>
    <w:rsid w:val="00394376"/>
    <w:rsid w:val="003943FF"/>
    <w:rsid w:val="00394D8E"/>
    <w:rsid w:val="00395700"/>
    <w:rsid w:val="003974EB"/>
    <w:rsid w:val="00397CC5"/>
    <w:rsid w:val="003A0E6E"/>
    <w:rsid w:val="003A1582"/>
    <w:rsid w:val="003A3690"/>
    <w:rsid w:val="003A4077"/>
    <w:rsid w:val="003B09AD"/>
    <w:rsid w:val="003B1F18"/>
    <w:rsid w:val="003B5BF0"/>
    <w:rsid w:val="003B60BF"/>
    <w:rsid w:val="003B6BE3"/>
    <w:rsid w:val="003C010C"/>
    <w:rsid w:val="003C0A6C"/>
    <w:rsid w:val="003C14F8"/>
    <w:rsid w:val="003C5A43"/>
    <w:rsid w:val="003D0519"/>
    <w:rsid w:val="003D0FF6"/>
    <w:rsid w:val="003D262C"/>
    <w:rsid w:val="003D3965"/>
    <w:rsid w:val="003D6D61"/>
    <w:rsid w:val="003D79C6"/>
    <w:rsid w:val="003E091D"/>
    <w:rsid w:val="003E1B10"/>
    <w:rsid w:val="003E1C53"/>
    <w:rsid w:val="003E2A69"/>
    <w:rsid w:val="003E2D49"/>
    <w:rsid w:val="003E2FD4"/>
    <w:rsid w:val="003E49F6"/>
    <w:rsid w:val="003E660F"/>
    <w:rsid w:val="003F026B"/>
    <w:rsid w:val="003F0841"/>
    <w:rsid w:val="003F1F31"/>
    <w:rsid w:val="003F23D3"/>
    <w:rsid w:val="003F3F08"/>
    <w:rsid w:val="003F45F5"/>
    <w:rsid w:val="003F49F1"/>
    <w:rsid w:val="003F6272"/>
    <w:rsid w:val="00400E72"/>
    <w:rsid w:val="00401400"/>
    <w:rsid w:val="00401D1A"/>
    <w:rsid w:val="00404869"/>
    <w:rsid w:val="00405884"/>
    <w:rsid w:val="00407D39"/>
    <w:rsid w:val="00411B32"/>
    <w:rsid w:val="0041477A"/>
    <w:rsid w:val="004167A3"/>
    <w:rsid w:val="004254BD"/>
    <w:rsid w:val="00432DAA"/>
    <w:rsid w:val="00434305"/>
    <w:rsid w:val="00435DF7"/>
    <w:rsid w:val="0044083F"/>
    <w:rsid w:val="00441AE7"/>
    <w:rsid w:val="00445574"/>
    <w:rsid w:val="004467FB"/>
    <w:rsid w:val="00452D6B"/>
    <w:rsid w:val="00454484"/>
    <w:rsid w:val="0045517B"/>
    <w:rsid w:val="00463B77"/>
    <w:rsid w:val="00463C7B"/>
    <w:rsid w:val="004644A6"/>
    <w:rsid w:val="0046497A"/>
    <w:rsid w:val="004659BD"/>
    <w:rsid w:val="00470775"/>
    <w:rsid w:val="00471D30"/>
    <w:rsid w:val="004746B1"/>
    <w:rsid w:val="0047583F"/>
    <w:rsid w:val="00475DE8"/>
    <w:rsid w:val="00481C44"/>
    <w:rsid w:val="00481F15"/>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B4FC4"/>
    <w:rsid w:val="004C1FBC"/>
    <w:rsid w:val="004C3F1D"/>
    <w:rsid w:val="004C458D"/>
    <w:rsid w:val="004C7556"/>
    <w:rsid w:val="004C7E8B"/>
    <w:rsid w:val="004C7E9D"/>
    <w:rsid w:val="004C7F67"/>
    <w:rsid w:val="004D076D"/>
    <w:rsid w:val="004D0EF1"/>
    <w:rsid w:val="004D14BD"/>
    <w:rsid w:val="004D2253"/>
    <w:rsid w:val="004D4406"/>
    <w:rsid w:val="004D6C92"/>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173C2"/>
    <w:rsid w:val="005220EC"/>
    <w:rsid w:val="00523F95"/>
    <w:rsid w:val="005242D3"/>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73F6C"/>
    <w:rsid w:val="005744C3"/>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2B22"/>
    <w:rsid w:val="005A4A1B"/>
    <w:rsid w:val="005A7830"/>
    <w:rsid w:val="005A7FCE"/>
    <w:rsid w:val="005B0F3F"/>
    <w:rsid w:val="005B25FE"/>
    <w:rsid w:val="005B4903"/>
    <w:rsid w:val="005B51CE"/>
    <w:rsid w:val="005B5885"/>
    <w:rsid w:val="005B5CD7"/>
    <w:rsid w:val="005B6CF6"/>
    <w:rsid w:val="005B7422"/>
    <w:rsid w:val="005B7E40"/>
    <w:rsid w:val="005C29B8"/>
    <w:rsid w:val="005C5F21"/>
    <w:rsid w:val="005C7156"/>
    <w:rsid w:val="005D003A"/>
    <w:rsid w:val="005D0C75"/>
    <w:rsid w:val="005D279C"/>
    <w:rsid w:val="005D4171"/>
    <w:rsid w:val="005D6A95"/>
    <w:rsid w:val="005D6B2C"/>
    <w:rsid w:val="005D6D9C"/>
    <w:rsid w:val="005E2335"/>
    <w:rsid w:val="005E34CA"/>
    <w:rsid w:val="005E3C18"/>
    <w:rsid w:val="005E6812"/>
    <w:rsid w:val="005E7881"/>
    <w:rsid w:val="005E78E0"/>
    <w:rsid w:val="005F0D9C"/>
    <w:rsid w:val="005F284E"/>
    <w:rsid w:val="005F4712"/>
    <w:rsid w:val="005F6018"/>
    <w:rsid w:val="006015CE"/>
    <w:rsid w:val="0060329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449"/>
    <w:rsid w:val="00645904"/>
    <w:rsid w:val="006514C6"/>
    <w:rsid w:val="00651ACB"/>
    <w:rsid w:val="00651C47"/>
    <w:rsid w:val="00651E0F"/>
    <w:rsid w:val="00652AB2"/>
    <w:rsid w:val="00653FED"/>
    <w:rsid w:val="00654EC0"/>
    <w:rsid w:val="0065525B"/>
    <w:rsid w:val="00655D4F"/>
    <w:rsid w:val="00656D29"/>
    <w:rsid w:val="006640E5"/>
    <w:rsid w:val="006646F1"/>
    <w:rsid w:val="00664929"/>
    <w:rsid w:val="00664AA1"/>
    <w:rsid w:val="00664F62"/>
    <w:rsid w:val="006655E1"/>
    <w:rsid w:val="00672060"/>
    <w:rsid w:val="00672BFD"/>
    <w:rsid w:val="006770F4"/>
    <w:rsid w:val="0067797B"/>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1D3"/>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36C5"/>
    <w:rsid w:val="00755402"/>
    <w:rsid w:val="00756B26"/>
    <w:rsid w:val="00756EDF"/>
    <w:rsid w:val="007600E3"/>
    <w:rsid w:val="00762536"/>
    <w:rsid w:val="00765C2A"/>
    <w:rsid w:val="00765C43"/>
    <w:rsid w:val="00765EFB"/>
    <w:rsid w:val="007671CA"/>
    <w:rsid w:val="00767C61"/>
    <w:rsid w:val="00767E7B"/>
    <w:rsid w:val="0077008A"/>
    <w:rsid w:val="00773C1F"/>
    <w:rsid w:val="00774DA4"/>
    <w:rsid w:val="00776599"/>
    <w:rsid w:val="0078114B"/>
    <w:rsid w:val="00781DD2"/>
    <w:rsid w:val="00783ECF"/>
    <w:rsid w:val="0078413A"/>
    <w:rsid w:val="007846C8"/>
    <w:rsid w:val="00790138"/>
    <w:rsid w:val="007959E8"/>
    <w:rsid w:val="00795E9C"/>
    <w:rsid w:val="00797F4D"/>
    <w:rsid w:val="007A0521"/>
    <w:rsid w:val="007A2E12"/>
    <w:rsid w:val="007A3475"/>
    <w:rsid w:val="007A41C8"/>
    <w:rsid w:val="007A54CE"/>
    <w:rsid w:val="007A6FD9"/>
    <w:rsid w:val="007A7FFA"/>
    <w:rsid w:val="007B04EB"/>
    <w:rsid w:val="007B0D4F"/>
    <w:rsid w:val="007B3D58"/>
    <w:rsid w:val="007B5A3D"/>
    <w:rsid w:val="007B5B95"/>
    <w:rsid w:val="007B68EA"/>
    <w:rsid w:val="007B7453"/>
    <w:rsid w:val="007C1E8B"/>
    <w:rsid w:val="007C1FD0"/>
    <w:rsid w:val="007C2D89"/>
    <w:rsid w:val="007C4593"/>
    <w:rsid w:val="007C5309"/>
    <w:rsid w:val="007C6069"/>
    <w:rsid w:val="007D06C4"/>
    <w:rsid w:val="007D1352"/>
    <w:rsid w:val="007D2508"/>
    <w:rsid w:val="007D346A"/>
    <w:rsid w:val="007D6518"/>
    <w:rsid w:val="007D76BD"/>
    <w:rsid w:val="007E008F"/>
    <w:rsid w:val="007E0BF1"/>
    <w:rsid w:val="007E1603"/>
    <w:rsid w:val="007E6A34"/>
    <w:rsid w:val="007F073F"/>
    <w:rsid w:val="007F0ED8"/>
    <w:rsid w:val="007F0F63"/>
    <w:rsid w:val="007F75CE"/>
    <w:rsid w:val="008013A4"/>
    <w:rsid w:val="008027CE"/>
    <w:rsid w:val="0080299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569"/>
    <w:rsid w:val="008269DD"/>
    <w:rsid w:val="00827A68"/>
    <w:rsid w:val="00830621"/>
    <w:rsid w:val="0083348C"/>
    <w:rsid w:val="008339DB"/>
    <w:rsid w:val="00834787"/>
    <w:rsid w:val="008373D3"/>
    <w:rsid w:val="00840617"/>
    <w:rsid w:val="00840F84"/>
    <w:rsid w:val="00842A47"/>
    <w:rsid w:val="00842E7A"/>
    <w:rsid w:val="00843C13"/>
    <w:rsid w:val="008454F8"/>
    <w:rsid w:val="0085173A"/>
    <w:rsid w:val="00853F89"/>
    <w:rsid w:val="00856316"/>
    <w:rsid w:val="008603CE"/>
    <w:rsid w:val="0086065C"/>
    <w:rsid w:val="008620FC"/>
    <w:rsid w:val="008627A5"/>
    <w:rsid w:val="00863E05"/>
    <w:rsid w:val="00865ACA"/>
    <w:rsid w:val="00865D28"/>
    <w:rsid w:val="00865F85"/>
    <w:rsid w:val="00867C10"/>
    <w:rsid w:val="00870439"/>
    <w:rsid w:val="00870DA1"/>
    <w:rsid w:val="00873467"/>
    <w:rsid w:val="0087555E"/>
    <w:rsid w:val="00877AEF"/>
    <w:rsid w:val="00880869"/>
    <w:rsid w:val="00883F93"/>
    <w:rsid w:val="00884DB3"/>
    <w:rsid w:val="00885A9D"/>
    <w:rsid w:val="008864F6"/>
    <w:rsid w:val="00886739"/>
    <w:rsid w:val="0089049D"/>
    <w:rsid w:val="008928C9"/>
    <w:rsid w:val="008930CB"/>
    <w:rsid w:val="008938DC"/>
    <w:rsid w:val="00893FD1"/>
    <w:rsid w:val="00894836"/>
    <w:rsid w:val="00895172"/>
    <w:rsid w:val="00895680"/>
    <w:rsid w:val="00896DFF"/>
    <w:rsid w:val="0089762C"/>
    <w:rsid w:val="008A1893"/>
    <w:rsid w:val="008A3215"/>
    <w:rsid w:val="008A57E6"/>
    <w:rsid w:val="008A629E"/>
    <w:rsid w:val="008A6F81"/>
    <w:rsid w:val="008A769A"/>
    <w:rsid w:val="008B0C9C"/>
    <w:rsid w:val="008B166D"/>
    <w:rsid w:val="008B17F4"/>
    <w:rsid w:val="008B3615"/>
    <w:rsid w:val="008B4AC4"/>
    <w:rsid w:val="008B50C8"/>
    <w:rsid w:val="008B5281"/>
    <w:rsid w:val="008B6C9A"/>
    <w:rsid w:val="008B7E05"/>
    <w:rsid w:val="008C0CF2"/>
    <w:rsid w:val="008C1797"/>
    <w:rsid w:val="008C219C"/>
    <w:rsid w:val="008C475E"/>
    <w:rsid w:val="008C619A"/>
    <w:rsid w:val="008D0CE8"/>
    <w:rsid w:val="008D18ED"/>
    <w:rsid w:val="008D2D1D"/>
    <w:rsid w:val="008D453D"/>
    <w:rsid w:val="008D53AD"/>
    <w:rsid w:val="008D562B"/>
    <w:rsid w:val="008D5733"/>
    <w:rsid w:val="008D622B"/>
    <w:rsid w:val="008D666C"/>
    <w:rsid w:val="008D66D4"/>
    <w:rsid w:val="008D7B54"/>
    <w:rsid w:val="008E0C9D"/>
    <w:rsid w:val="008E1648"/>
    <w:rsid w:val="008E1B3E"/>
    <w:rsid w:val="008E1BD6"/>
    <w:rsid w:val="008E2319"/>
    <w:rsid w:val="008E4BB6"/>
    <w:rsid w:val="008E5518"/>
    <w:rsid w:val="008E6A84"/>
    <w:rsid w:val="008F0CDC"/>
    <w:rsid w:val="008F17A3"/>
    <w:rsid w:val="008F1ED3"/>
    <w:rsid w:val="008F23A5"/>
    <w:rsid w:val="008F26B2"/>
    <w:rsid w:val="008F3FBB"/>
    <w:rsid w:val="008F4998"/>
    <w:rsid w:val="008F4C29"/>
    <w:rsid w:val="008F70BD"/>
    <w:rsid w:val="008F788F"/>
    <w:rsid w:val="008F7EA2"/>
    <w:rsid w:val="00902722"/>
    <w:rsid w:val="009027BC"/>
    <w:rsid w:val="009062E6"/>
    <w:rsid w:val="00911BE5"/>
    <w:rsid w:val="00913CA9"/>
    <w:rsid w:val="009145AE"/>
    <w:rsid w:val="009146CE"/>
    <w:rsid w:val="00914C05"/>
    <w:rsid w:val="00914CA7"/>
    <w:rsid w:val="00915C3E"/>
    <w:rsid w:val="009161A8"/>
    <w:rsid w:val="009245F5"/>
    <w:rsid w:val="009249EC"/>
    <w:rsid w:val="009273B3"/>
    <w:rsid w:val="009273F1"/>
    <w:rsid w:val="009305B5"/>
    <w:rsid w:val="009429D5"/>
    <w:rsid w:val="00942BF1"/>
    <w:rsid w:val="00945180"/>
    <w:rsid w:val="00945428"/>
    <w:rsid w:val="0094607B"/>
    <w:rsid w:val="00946846"/>
    <w:rsid w:val="00953604"/>
    <w:rsid w:val="0095496B"/>
    <w:rsid w:val="009610DC"/>
    <w:rsid w:val="00961490"/>
    <w:rsid w:val="00961F8F"/>
    <w:rsid w:val="0096381A"/>
    <w:rsid w:val="00965E04"/>
    <w:rsid w:val="009674AD"/>
    <w:rsid w:val="00970CDC"/>
    <w:rsid w:val="00975C15"/>
    <w:rsid w:val="00977010"/>
    <w:rsid w:val="00977D02"/>
    <w:rsid w:val="009809BB"/>
    <w:rsid w:val="0098364B"/>
    <w:rsid w:val="00984455"/>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01D4"/>
    <w:rsid w:val="009D112C"/>
    <w:rsid w:val="009D47FA"/>
    <w:rsid w:val="009D4C5B"/>
    <w:rsid w:val="009D50D2"/>
    <w:rsid w:val="009D6BCA"/>
    <w:rsid w:val="009E0F62"/>
    <w:rsid w:val="009E11F0"/>
    <w:rsid w:val="009E2492"/>
    <w:rsid w:val="009E4A58"/>
    <w:rsid w:val="009E5A2D"/>
    <w:rsid w:val="009E5AB2"/>
    <w:rsid w:val="009E6219"/>
    <w:rsid w:val="009F03B3"/>
    <w:rsid w:val="009F4CFE"/>
    <w:rsid w:val="009F607F"/>
    <w:rsid w:val="00A0096C"/>
    <w:rsid w:val="00A01757"/>
    <w:rsid w:val="00A028C0"/>
    <w:rsid w:val="00A02BAE"/>
    <w:rsid w:val="00A02D0C"/>
    <w:rsid w:val="00A06A6B"/>
    <w:rsid w:val="00A07E47"/>
    <w:rsid w:val="00A10065"/>
    <w:rsid w:val="00A129D0"/>
    <w:rsid w:val="00A12C33"/>
    <w:rsid w:val="00A138BA"/>
    <w:rsid w:val="00A14C8E"/>
    <w:rsid w:val="00A153D9"/>
    <w:rsid w:val="00A15C9B"/>
    <w:rsid w:val="00A15F09"/>
    <w:rsid w:val="00A169B6"/>
    <w:rsid w:val="00A17B1B"/>
    <w:rsid w:val="00A217B3"/>
    <w:rsid w:val="00A2271D"/>
    <w:rsid w:val="00A237D5"/>
    <w:rsid w:val="00A30BB4"/>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91E"/>
    <w:rsid w:val="00A55BD6"/>
    <w:rsid w:val="00A55D50"/>
    <w:rsid w:val="00A56A00"/>
    <w:rsid w:val="00A57142"/>
    <w:rsid w:val="00A648CD"/>
    <w:rsid w:val="00A6537A"/>
    <w:rsid w:val="00A67866"/>
    <w:rsid w:val="00A70B07"/>
    <w:rsid w:val="00A723F8"/>
    <w:rsid w:val="00A77CCB"/>
    <w:rsid w:val="00A82981"/>
    <w:rsid w:val="00A83D8D"/>
    <w:rsid w:val="00A8446B"/>
    <w:rsid w:val="00A8473F"/>
    <w:rsid w:val="00A862D6"/>
    <w:rsid w:val="00A8715E"/>
    <w:rsid w:val="00A9295B"/>
    <w:rsid w:val="00A93B09"/>
    <w:rsid w:val="00A94247"/>
    <w:rsid w:val="00A952D7"/>
    <w:rsid w:val="00A963F7"/>
    <w:rsid w:val="00A96AD8"/>
    <w:rsid w:val="00AA052C"/>
    <w:rsid w:val="00AA0C14"/>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3F23"/>
    <w:rsid w:val="00AD4126"/>
    <w:rsid w:val="00AD421C"/>
    <w:rsid w:val="00AD44FA"/>
    <w:rsid w:val="00AE070A"/>
    <w:rsid w:val="00AE101C"/>
    <w:rsid w:val="00AE37E5"/>
    <w:rsid w:val="00AE5EB4"/>
    <w:rsid w:val="00AF0C18"/>
    <w:rsid w:val="00AF47C5"/>
    <w:rsid w:val="00AF5398"/>
    <w:rsid w:val="00B020A8"/>
    <w:rsid w:val="00B02989"/>
    <w:rsid w:val="00B049AF"/>
    <w:rsid w:val="00B07242"/>
    <w:rsid w:val="00B10534"/>
    <w:rsid w:val="00B113DB"/>
    <w:rsid w:val="00B11D8A"/>
    <w:rsid w:val="00B12981"/>
    <w:rsid w:val="00B147DD"/>
    <w:rsid w:val="00B156FD"/>
    <w:rsid w:val="00B21F61"/>
    <w:rsid w:val="00B252F4"/>
    <w:rsid w:val="00B261F1"/>
    <w:rsid w:val="00B265BC"/>
    <w:rsid w:val="00B31FB1"/>
    <w:rsid w:val="00B33952"/>
    <w:rsid w:val="00B33C5E"/>
    <w:rsid w:val="00B342F4"/>
    <w:rsid w:val="00B34369"/>
    <w:rsid w:val="00B34DC2"/>
    <w:rsid w:val="00B350ED"/>
    <w:rsid w:val="00B378E5"/>
    <w:rsid w:val="00B4346D"/>
    <w:rsid w:val="00B440F4"/>
    <w:rsid w:val="00B447A5"/>
    <w:rsid w:val="00B4654C"/>
    <w:rsid w:val="00B46AF0"/>
    <w:rsid w:val="00B47293"/>
    <w:rsid w:val="00B50E50"/>
    <w:rsid w:val="00B52120"/>
    <w:rsid w:val="00B54ABC"/>
    <w:rsid w:val="00B54DDE"/>
    <w:rsid w:val="00B56FBE"/>
    <w:rsid w:val="00B5700E"/>
    <w:rsid w:val="00B60ACF"/>
    <w:rsid w:val="00B62A3F"/>
    <w:rsid w:val="00B62B58"/>
    <w:rsid w:val="00B65149"/>
    <w:rsid w:val="00B66567"/>
    <w:rsid w:val="00B66F52"/>
    <w:rsid w:val="00B66FE5"/>
    <w:rsid w:val="00B72880"/>
    <w:rsid w:val="00B758BF"/>
    <w:rsid w:val="00B77EC8"/>
    <w:rsid w:val="00B827A6"/>
    <w:rsid w:val="00B831CE"/>
    <w:rsid w:val="00B86677"/>
    <w:rsid w:val="00B87131"/>
    <w:rsid w:val="00B8717E"/>
    <w:rsid w:val="00B939B1"/>
    <w:rsid w:val="00B96D40"/>
    <w:rsid w:val="00B97386"/>
    <w:rsid w:val="00BA07A4"/>
    <w:rsid w:val="00BA263B"/>
    <w:rsid w:val="00BA42B2"/>
    <w:rsid w:val="00BA58D4"/>
    <w:rsid w:val="00BA5B9E"/>
    <w:rsid w:val="00BA7C9A"/>
    <w:rsid w:val="00BB203B"/>
    <w:rsid w:val="00BB5F8F"/>
    <w:rsid w:val="00BB657A"/>
    <w:rsid w:val="00BC0CC1"/>
    <w:rsid w:val="00BC1A4E"/>
    <w:rsid w:val="00BC27AA"/>
    <w:rsid w:val="00BC4790"/>
    <w:rsid w:val="00BC5DC7"/>
    <w:rsid w:val="00BC6B8B"/>
    <w:rsid w:val="00BC73D8"/>
    <w:rsid w:val="00BD52D7"/>
    <w:rsid w:val="00BD5AD2"/>
    <w:rsid w:val="00BE22F3"/>
    <w:rsid w:val="00BE508B"/>
    <w:rsid w:val="00BE5B52"/>
    <w:rsid w:val="00BE7B8D"/>
    <w:rsid w:val="00BF0993"/>
    <w:rsid w:val="00BF10A9"/>
    <w:rsid w:val="00BF1703"/>
    <w:rsid w:val="00BF231C"/>
    <w:rsid w:val="00BF51E5"/>
    <w:rsid w:val="00BF74A6"/>
    <w:rsid w:val="00C00C84"/>
    <w:rsid w:val="00C013AD"/>
    <w:rsid w:val="00C03CC2"/>
    <w:rsid w:val="00C04904"/>
    <w:rsid w:val="00C056B3"/>
    <w:rsid w:val="00C103E5"/>
    <w:rsid w:val="00C1239E"/>
    <w:rsid w:val="00C13319"/>
    <w:rsid w:val="00C13EE9"/>
    <w:rsid w:val="00C21540"/>
    <w:rsid w:val="00C21906"/>
    <w:rsid w:val="00C21BFA"/>
    <w:rsid w:val="00C22148"/>
    <w:rsid w:val="00C24C8D"/>
    <w:rsid w:val="00C25FE2"/>
    <w:rsid w:val="00C26B53"/>
    <w:rsid w:val="00C279B2"/>
    <w:rsid w:val="00C33E50"/>
    <w:rsid w:val="00C34C20"/>
    <w:rsid w:val="00C35A3E"/>
    <w:rsid w:val="00C3683C"/>
    <w:rsid w:val="00C42130"/>
    <w:rsid w:val="00C423A4"/>
    <w:rsid w:val="00C44BF5"/>
    <w:rsid w:val="00C521D6"/>
    <w:rsid w:val="00C55232"/>
    <w:rsid w:val="00C553A4"/>
    <w:rsid w:val="00C55A06"/>
    <w:rsid w:val="00C55D03"/>
    <w:rsid w:val="00C601BC"/>
    <w:rsid w:val="00C61EE3"/>
    <w:rsid w:val="00C6329F"/>
    <w:rsid w:val="00C63340"/>
    <w:rsid w:val="00C643F9"/>
    <w:rsid w:val="00C64927"/>
    <w:rsid w:val="00C64E95"/>
    <w:rsid w:val="00C71372"/>
    <w:rsid w:val="00C72410"/>
    <w:rsid w:val="00C7287F"/>
    <w:rsid w:val="00C73941"/>
    <w:rsid w:val="00C80982"/>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0FB"/>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E52FA"/>
    <w:rsid w:val="00CF048A"/>
    <w:rsid w:val="00CF155A"/>
    <w:rsid w:val="00CF2947"/>
    <w:rsid w:val="00CF686F"/>
    <w:rsid w:val="00CF6E60"/>
    <w:rsid w:val="00CF7274"/>
    <w:rsid w:val="00CF7BCA"/>
    <w:rsid w:val="00D008FD"/>
    <w:rsid w:val="00D0321C"/>
    <w:rsid w:val="00D035EC"/>
    <w:rsid w:val="00D06AB1"/>
    <w:rsid w:val="00D072ED"/>
    <w:rsid w:val="00D07A16"/>
    <w:rsid w:val="00D1067E"/>
    <w:rsid w:val="00D10F50"/>
    <w:rsid w:val="00D11272"/>
    <w:rsid w:val="00D126F5"/>
    <w:rsid w:val="00D1489E"/>
    <w:rsid w:val="00D16872"/>
    <w:rsid w:val="00D20737"/>
    <w:rsid w:val="00D21E81"/>
    <w:rsid w:val="00D223DE"/>
    <w:rsid w:val="00D25DED"/>
    <w:rsid w:val="00D25E37"/>
    <w:rsid w:val="00D2661A"/>
    <w:rsid w:val="00D27582"/>
    <w:rsid w:val="00D27EC4"/>
    <w:rsid w:val="00D32719"/>
    <w:rsid w:val="00D33333"/>
    <w:rsid w:val="00D33457"/>
    <w:rsid w:val="00D352A2"/>
    <w:rsid w:val="00D3660F"/>
    <w:rsid w:val="00D4162B"/>
    <w:rsid w:val="00D4514F"/>
    <w:rsid w:val="00D451E2"/>
    <w:rsid w:val="00D45E89"/>
    <w:rsid w:val="00D45E8D"/>
    <w:rsid w:val="00D466AE"/>
    <w:rsid w:val="00D4734F"/>
    <w:rsid w:val="00D51BF3"/>
    <w:rsid w:val="00D553FB"/>
    <w:rsid w:val="00D557BC"/>
    <w:rsid w:val="00D6682A"/>
    <w:rsid w:val="00D66846"/>
    <w:rsid w:val="00D675FB"/>
    <w:rsid w:val="00D71F25"/>
    <w:rsid w:val="00D72A9C"/>
    <w:rsid w:val="00D77031"/>
    <w:rsid w:val="00D8412A"/>
    <w:rsid w:val="00D84941"/>
    <w:rsid w:val="00D84FA1"/>
    <w:rsid w:val="00D851F0"/>
    <w:rsid w:val="00D86DB7"/>
    <w:rsid w:val="00D91B32"/>
    <w:rsid w:val="00D926D0"/>
    <w:rsid w:val="00D93030"/>
    <w:rsid w:val="00D950E1"/>
    <w:rsid w:val="00D952A6"/>
    <w:rsid w:val="00D97F99"/>
    <w:rsid w:val="00DA1E08"/>
    <w:rsid w:val="00DA24F8"/>
    <w:rsid w:val="00DA28E8"/>
    <w:rsid w:val="00DA38D3"/>
    <w:rsid w:val="00DA3932"/>
    <w:rsid w:val="00DA3AFC"/>
    <w:rsid w:val="00DA5191"/>
    <w:rsid w:val="00DA62CB"/>
    <w:rsid w:val="00DA64F8"/>
    <w:rsid w:val="00DA6C15"/>
    <w:rsid w:val="00DB0258"/>
    <w:rsid w:val="00DB0E02"/>
    <w:rsid w:val="00DB38EE"/>
    <w:rsid w:val="00DB498B"/>
    <w:rsid w:val="00DB66CA"/>
    <w:rsid w:val="00DB6BCA"/>
    <w:rsid w:val="00DB73F7"/>
    <w:rsid w:val="00DC0321"/>
    <w:rsid w:val="00DC3067"/>
    <w:rsid w:val="00DC370B"/>
    <w:rsid w:val="00DC5B90"/>
    <w:rsid w:val="00DD00FF"/>
    <w:rsid w:val="00DD0619"/>
    <w:rsid w:val="00DD07FB"/>
    <w:rsid w:val="00DD1E7C"/>
    <w:rsid w:val="00DD25C6"/>
    <w:rsid w:val="00DD4FE5"/>
    <w:rsid w:val="00DD54B0"/>
    <w:rsid w:val="00DD57EE"/>
    <w:rsid w:val="00DD6BCC"/>
    <w:rsid w:val="00DE0A4B"/>
    <w:rsid w:val="00DE1492"/>
    <w:rsid w:val="00DE2410"/>
    <w:rsid w:val="00DE2939"/>
    <w:rsid w:val="00DE4A86"/>
    <w:rsid w:val="00DE6E81"/>
    <w:rsid w:val="00DE703F"/>
    <w:rsid w:val="00DE7595"/>
    <w:rsid w:val="00DF1961"/>
    <w:rsid w:val="00DF418D"/>
    <w:rsid w:val="00DF44DE"/>
    <w:rsid w:val="00DF5F11"/>
    <w:rsid w:val="00E01138"/>
    <w:rsid w:val="00E02DFB"/>
    <w:rsid w:val="00E030F9"/>
    <w:rsid w:val="00E0311A"/>
    <w:rsid w:val="00E03138"/>
    <w:rsid w:val="00E04323"/>
    <w:rsid w:val="00E06404"/>
    <w:rsid w:val="00E065D2"/>
    <w:rsid w:val="00E11A85"/>
    <w:rsid w:val="00E12495"/>
    <w:rsid w:val="00E15CCD"/>
    <w:rsid w:val="00E202EF"/>
    <w:rsid w:val="00E210B5"/>
    <w:rsid w:val="00E23D99"/>
    <w:rsid w:val="00E24821"/>
    <w:rsid w:val="00E2552F"/>
    <w:rsid w:val="00E3137A"/>
    <w:rsid w:val="00E32787"/>
    <w:rsid w:val="00E32CCF"/>
    <w:rsid w:val="00E34A98"/>
    <w:rsid w:val="00E35D1E"/>
    <w:rsid w:val="00E364F9"/>
    <w:rsid w:val="00E365FA"/>
    <w:rsid w:val="00E36789"/>
    <w:rsid w:val="00E43EB5"/>
    <w:rsid w:val="00E44A83"/>
    <w:rsid w:val="00E45FEA"/>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1C7E"/>
    <w:rsid w:val="00E74C54"/>
    <w:rsid w:val="00E77A03"/>
    <w:rsid w:val="00E801BE"/>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97A10"/>
    <w:rsid w:val="00EA3BB7"/>
    <w:rsid w:val="00EA58D1"/>
    <w:rsid w:val="00EA603C"/>
    <w:rsid w:val="00EA61BC"/>
    <w:rsid w:val="00EA681A"/>
    <w:rsid w:val="00EA735B"/>
    <w:rsid w:val="00EB17DE"/>
    <w:rsid w:val="00EB1D7E"/>
    <w:rsid w:val="00EB1E69"/>
    <w:rsid w:val="00EB2086"/>
    <w:rsid w:val="00EB5EDF"/>
    <w:rsid w:val="00EB60FE"/>
    <w:rsid w:val="00EB66CF"/>
    <w:rsid w:val="00EB74DB"/>
    <w:rsid w:val="00EC3F8A"/>
    <w:rsid w:val="00EC5359"/>
    <w:rsid w:val="00EC562A"/>
    <w:rsid w:val="00ED067A"/>
    <w:rsid w:val="00ED2B50"/>
    <w:rsid w:val="00EE0350"/>
    <w:rsid w:val="00EE0719"/>
    <w:rsid w:val="00EE0E80"/>
    <w:rsid w:val="00EE54A6"/>
    <w:rsid w:val="00EE613F"/>
    <w:rsid w:val="00EE7295"/>
    <w:rsid w:val="00EE7637"/>
    <w:rsid w:val="00EE7869"/>
    <w:rsid w:val="00EF054A"/>
    <w:rsid w:val="00EF2A69"/>
    <w:rsid w:val="00EF3235"/>
    <w:rsid w:val="00EF7E72"/>
    <w:rsid w:val="00F06D37"/>
    <w:rsid w:val="00F07B9D"/>
    <w:rsid w:val="00F10832"/>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CE6"/>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2B5C"/>
    <w:rsid w:val="00FB2D0D"/>
    <w:rsid w:val="00FB45F1"/>
    <w:rsid w:val="00FB4A3B"/>
    <w:rsid w:val="00FB4A72"/>
    <w:rsid w:val="00FB5202"/>
    <w:rsid w:val="00FB54E8"/>
    <w:rsid w:val="00FB7054"/>
    <w:rsid w:val="00FC0645"/>
    <w:rsid w:val="00FC17B7"/>
    <w:rsid w:val="00FC2CB7"/>
    <w:rsid w:val="00FC4090"/>
    <w:rsid w:val="00FC55B4"/>
    <w:rsid w:val="00FD00E6"/>
    <w:rsid w:val="00FD09A1"/>
    <w:rsid w:val="00FD2A7C"/>
    <w:rsid w:val="00FD59EB"/>
    <w:rsid w:val="00FD7299"/>
    <w:rsid w:val="00FE1FBE"/>
    <w:rsid w:val="00FE32D0"/>
    <w:rsid w:val="00FE3901"/>
    <w:rsid w:val="00FE39D3"/>
    <w:rsid w:val="00FE4BCE"/>
    <w:rsid w:val="00FE54AE"/>
    <w:rsid w:val="00FE576A"/>
    <w:rsid w:val="00FE7E79"/>
    <w:rsid w:val="00FF3E7D"/>
    <w:rsid w:val="00FF5B99"/>
    <w:rsid w:val="00FF730C"/>
    <w:rsid w:val="00FF73F4"/>
    <w:rsid w:val="00FF7CE4"/>
    <w:rsid w:val="00FF7E39"/>
    <w:rsid w:val="29C41283"/>
    <w:rsid w:val="2E300C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6">
    <w:name w:val="Default Paragraph Font"/>
    <w:unhideWhenUsed/>
    <w:qFormat/>
    <w:uiPriority w:val="1"/>
  </w:style>
  <w:style w:type="table" w:default="1" w:styleId="32">
    <w:name w:val="Normal Table"/>
    <w:unhideWhenUsed/>
    <w:qFormat/>
    <w:uiPriority w:val="99"/>
    <w:tblPr>
      <w:tblLayout w:type="fixed"/>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uiPriority w:val="39"/>
    <w:pPr>
      <w:spacing w:line="300" w:lineRule="exact"/>
      <w:ind w:left="420"/>
    </w:pPr>
    <w:rPr>
      <w:rFonts w:ascii="宋体"/>
    </w:rPr>
  </w:style>
  <w:style w:type="paragraph" w:styleId="16">
    <w:name w:val="Balloon Text"/>
    <w:basedOn w:val="1"/>
    <w:link w:val="45"/>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character" w:styleId="27">
    <w:name w:val="Strong"/>
    <w:qFormat/>
    <w:uiPriority w:val="22"/>
    <w:rPr>
      <w:b/>
      <w:bCs/>
    </w:rPr>
  </w:style>
  <w:style w:type="character" w:styleId="28">
    <w:name w:val="page number"/>
    <w:qFormat/>
    <w:uiPriority w:val="0"/>
    <w:rPr>
      <w:rFonts w:ascii="宋体" w:hAnsi="Times New Roman" w:eastAsia="宋体"/>
      <w:sz w:val="18"/>
    </w:rPr>
  </w:style>
  <w:style w:type="character" w:styleId="29">
    <w:name w:val="Emphasis"/>
    <w:qFormat/>
    <w:uiPriority w:val="20"/>
    <w:rPr>
      <w:i/>
      <w:iCs/>
    </w:rPr>
  </w:style>
  <w:style w:type="character" w:styleId="30">
    <w:name w:val="Hyperlink"/>
    <w:qFormat/>
    <w:uiPriority w:val="99"/>
    <w:rPr>
      <w:rFonts w:ascii="宋体" w:hAnsi="Times New Roman" w:eastAsia="宋体"/>
      <w:color w:val="auto"/>
      <w:spacing w:val="0"/>
      <w:w w:val="100"/>
      <w:position w:val="0"/>
      <w:sz w:val="21"/>
      <w:u w:val="none"/>
      <w:vertAlign w:val="baseline"/>
    </w:rPr>
  </w:style>
  <w:style w:type="character" w:styleId="31">
    <w:name w:val="footnote reference"/>
    <w:semiHidden/>
    <w:qFormat/>
    <w:uiPriority w:val="0"/>
    <w:rPr>
      <w:rFonts w:ascii="宋体" w:hAnsi="宋体" w:eastAsia="宋体" w:cs="Times New Roman"/>
      <w:spacing w:val="0"/>
      <w:sz w:val="18"/>
      <w:vertAlign w:val="superscript"/>
    </w:rPr>
  </w:style>
  <w:style w:type="table" w:styleId="33">
    <w:name w:val="Table Grid"/>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qFormat/>
    <w:uiPriority w:val="0"/>
    <w:rPr>
      <w:b/>
      <w:bCs/>
      <w:kern w:val="2"/>
      <w:sz w:val="28"/>
      <w:szCs w:val="28"/>
    </w:rPr>
  </w:style>
  <w:style w:type="character" w:customStyle="1" w:styleId="39">
    <w:name w:val="标题 6 Char"/>
    <w:link w:val="7"/>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qFormat/>
    <w:uiPriority w:val="0"/>
    <w:rPr>
      <w:rFonts w:ascii="Arial" w:hAnsi="Arial" w:eastAsia="黑体"/>
      <w:kern w:val="2"/>
      <w:sz w:val="24"/>
      <w:szCs w:val="24"/>
    </w:rPr>
  </w:style>
  <w:style w:type="character" w:customStyle="1" w:styleId="42">
    <w:name w:val="标题 9 Char"/>
    <w:link w:val="10"/>
    <w:uiPriority w:val="0"/>
    <w:rPr>
      <w:rFonts w:ascii="Arial" w:hAnsi="Arial" w:eastAsia="黑体"/>
      <w:kern w:val="2"/>
      <w:sz w:val="21"/>
      <w:szCs w:val="21"/>
    </w:rPr>
  </w:style>
  <w:style w:type="character" w:customStyle="1" w:styleId="43">
    <w:name w:val="页眉 Char"/>
    <w:link w:val="18"/>
    <w:qFormat/>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uiPriority w:val="99"/>
    <w:rPr>
      <w:kern w:val="2"/>
      <w:sz w:val="18"/>
      <w:szCs w:val="18"/>
    </w:rPr>
  </w:style>
  <w:style w:type="paragraph" w:customStyle="1"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kern w:val="2"/>
      <w:sz w:val="21"/>
      <w:szCs w:val="21"/>
    </w:rPr>
  </w:style>
  <w:style w:type="character" w:customStyle="1" w:styleId="48">
    <w:name w:val="标题 Char"/>
    <w:link w:val="25"/>
    <w:uiPriority w:val="0"/>
    <w:rPr>
      <w:rFonts w:ascii="Arial" w:hAnsi="Arial" w:cs="Arial"/>
      <w:b/>
      <w:bCs/>
      <w:kern w:val="2"/>
      <w:sz w:val="32"/>
      <w:szCs w:val="32"/>
    </w:rPr>
  </w:style>
  <w:style w:type="paragraph" w:customStyle="1" w:styleId="49">
    <w:name w:val="标准标志"/>
    <w:next w:val="1"/>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customStyle="1" w:styleId="186">
    <w:name w:val="Placeholder Text"/>
    <w:basedOn w:val="26"/>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6"/>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uiPriority w:val="0"/>
    <w:pPr>
      <w:framePr w:w="3997" w:h="471" w:hRule="exact" w:hSpace="0" w:vSpace="181" w:vAnchor="page" w:hAnchor="page" w:x="1419" w:y="14097"/>
    </w:pPr>
  </w:style>
  <w:style w:type="paragraph" w:customStyle="1" w:styleId="194">
    <w:name w:val="其他实施日期"/>
    <w:basedOn w:val="154"/>
    <w:uiPriority w:val="0"/>
    <w:pPr>
      <w:framePr w:w="3997" w:h="471" w:hRule="exact" w:vSpace="181" w:vAnchor="page" w:hAnchor="page" w:x="7089" w:y="14097"/>
    </w:pPr>
  </w:style>
  <w:style w:type="paragraph" w:customStyle="1" w:styleId="195">
    <w:name w:val="标准文件_文件编号"/>
    <w:basedOn w:val="56"/>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6"/>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jpeg"/><Relationship Id="rId15" Type="http://schemas.microsoft.com/office/2007/relationships/hdphoto" Target="media/hdphoto1.wdp"/><Relationship Id="rId14" Type="http://schemas.openxmlformats.org/officeDocument/2006/relationships/image" Target="media/image1.png"/><Relationship Id="rId13" Type="http://schemas.openxmlformats.org/officeDocument/2006/relationships/image" Target="media/image1.tiff"/><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89796A47C0B434C8E0EE3E9362B314D"/>
        <w:style w:val=""/>
        <w:category>
          <w:name w:val="常规"/>
          <w:gallery w:val="placeholder"/>
        </w:category>
        <w:types>
          <w:type w:val="bbPlcHdr"/>
        </w:types>
        <w:behaviors>
          <w:behavior w:val="content"/>
        </w:behaviors>
        <w:description w:val=""/>
        <w:guid w:val="{212020B4-CCF2-4455-8C61-24674C3E38E3}"/>
      </w:docPartPr>
      <w:docPartBody>
        <w:p>
          <w:pPr>
            <w:pStyle w:val="5"/>
          </w:pPr>
          <w:r>
            <w:rPr>
              <w:rStyle w:val="4"/>
              <w:rFonts w:hint="eastAsia"/>
            </w:rPr>
            <w:t>单击或点击此处输入文字。</w:t>
          </w:r>
        </w:p>
      </w:docPartBody>
    </w:docPart>
    <w:docPart>
      <w:docPartPr>
        <w:name w:val="9D0AA585CDA1418ABAC48C5220BC45E1"/>
        <w:style w:val=""/>
        <w:category>
          <w:name w:val="常规"/>
          <w:gallery w:val="placeholder"/>
        </w:category>
        <w:types>
          <w:type w:val="bbPlcHdr"/>
        </w:types>
        <w:behaviors>
          <w:behavior w:val="content"/>
        </w:behaviors>
        <w:description w:val=""/>
        <w:guid w:val="{CBFCF104-C3A8-4D30-8F70-4A532193316E}"/>
      </w:docPartPr>
      <w:docPartBody>
        <w:p>
          <w:pPr>
            <w:pStyle w:val="6"/>
          </w:pPr>
          <w:r>
            <w:rPr>
              <w:rStyle w:val="4"/>
              <w:rFonts w:hint="eastAsia"/>
            </w:rPr>
            <w:t>选择一项。</w:t>
          </w:r>
        </w:p>
      </w:docPartBody>
    </w:docPart>
    <w:docPart>
      <w:docPartPr>
        <w:name w:val="6CF61E71D84547F7943319871E98A872"/>
        <w:style w:val=""/>
        <w:category>
          <w:name w:val="常规"/>
          <w:gallery w:val="placeholder"/>
        </w:category>
        <w:types>
          <w:type w:val="bbPlcHdr"/>
        </w:types>
        <w:behaviors>
          <w:behavior w:val="content"/>
        </w:behaviors>
        <w:description w:val=""/>
        <w:guid w:val="{F5A09E01-4FBB-4840-B14F-9C19F05540A5}"/>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0000000000000000000"/>
    <w:charset w:val="86"/>
    <w:family w:val="auto"/>
    <w:pitch w:val="default"/>
    <w:sig w:usb0="00000000" w:usb1="00000000" w:usb2="00000000" w:usb3="00000000" w:csb0="00000000" w:csb1="00000000"/>
  </w:font>
  <w:font w:name="等线">
    <w:altName w:val="宋体"/>
    <w:panose1 w:val="00000000000000000000"/>
    <w:charset w:val="86"/>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等线">
    <w:altName w:val="Segoe Print"/>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NotDisplayPageBoundaries w:val="1"/>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155"/>
    <w:rsid w:val="000174F3"/>
    <w:rsid w:val="000A52AC"/>
    <w:rsid w:val="00122A17"/>
    <w:rsid w:val="0012715F"/>
    <w:rsid w:val="0014778F"/>
    <w:rsid w:val="001B40DA"/>
    <w:rsid w:val="002F026C"/>
    <w:rsid w:val="00365A34"/>
    <w:rsid w:val="003C5241"/>
    <w:rsid w:val="003D3907"/>
    <w:rsid w:val="003F0688"/>
    <w:rsid w:val="0046499C"/>
    <w:rsid w:val="004B0D90"/>
    <w:rsid w:val="00577171"/>
    <w:rsid w:val="005B0155"/>
    <w:rsid w:val="0067273D"/>
    <w:rsid w:val="007637AC"/>
    <w:rsid w:val="007D5230"/>
    <w:rsid w:val="007F3EBF"/>
    <w:rsid w:val="0081428D"/>
    <w:rsid w:val="008249E1"/>
    <w:rsid w:val="0084034E"/>
    <w:rsid w:val="008E64EA"/>
    <w:rsid w:val="009427A0"/>
    <w:rsid w:val="00B86664"/>
    <w:rsid w:val="00BA02CF"/>
    <w:rsid w:val="00C754F0"/>
    <w:rsid w:val="00D740D2"/>
    <w:rsid w:val="00EF3DC1"/>
    <w:rsid w:val="00F055C7"/>
    <w:rsid w:val="00F81F02"/>
    <w:rsid w:val="00FA3385"/>
    <w:rsid w:val="00FB4A3B"/>
    <w:rsid w:val="00FC5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semiHidden="0" w:name="Default Paragraph Font"/>
    <w:lsdException w:qFormat="1" w:uiPriority="99" w:semiHidden="0"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 w:type="character" w:customStyle="1" w:styleId="4">
    <w:name w:val="Placeholder Text"/>
    <w:basedOn w:val="2"/>
    <w:semiHidden/>
    <w:uiPriority w:val="99"/>
    <w:rPr>
      <w:color w:val="808080"/>
    </w:rPr>
  </w:style>
  <w:style w:type="paragraph" w:customStyle="1" w:styleId="5">
    <w:name w:val="089796A47C0B434C8E0EE3E9362B314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9D0AA585CDA1418ABAC48C5220BC45E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6CF61E71D84547F7943319871E98A872"/>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7E9FE3-6D7E-479F-A64B-E9AF13523775}">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10</Pages>
  <Words>780</Words>
  <Characters>4452</Characters>
  <Lines>37</Lines>
  <Paragraphs>10</Paragraphs>
  <TotalTime>653</TotalTime>
  <ScaleCrop>false</ScaleCrop>
  <LinksUpToDate>false</LinksUpToDate>
  <CharactersWithSpaces>5222</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2026-04-01T08:40:00Z</dcterms:created>
  <dc:creator>微软用户</dc:creator>
  <dc:description>&lt;config cover="true" show_menu="true" version="1.0.0" doctype="SDKXY"&gt;_x000d_
&lt;/config&gt;</dc:description>
  <cp:lastModifiedBy>admin</cp:lastModifiedBy>
  <cp:lastPrinted>2020-08-30T10:00:00Z</cp:lastPrinted>
  <dcterms:modified xsi:type="dcterms:W3CDTF">2026-08-27T03:09:57Z</dcterms:modified>
  <dc:title>地方标准</dc:title>
  <cp:revision>157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2052-10.8.0.6423</vt:lpwstr>
  </property>
</Properties>
</file>