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bookmarkStart w:id="0" w:name="_Toc17105"/>
      <w:bookmarkStart w:id="1" w:name="_Toc20129"/>
      <w:r>
        <w:rPr>
          <w:rFonts w:hint="eastAsia" w:ascii="黑体" w:hAnsi="黑体" w:eastAsia="黑体" w:cs="黑体"/>
          <w:sz w:val="32"/>
          <w:szCs w:val="32"/>
          <w:lang w:val="en-US" w:eastAsia="zh-CN"/>
        </w:rPr>
        <w:t>附件2</w:t>
      </w:r>
    </w:p>
    <w:p>
      <w:pPr>
        <w:spacing w:beforeLines="0" w:afterLines="0" w:line="560" w:lineRule="exact"/>
        <w:ind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2026年长江中游三省标准化应用</w:t>
      </w:r>
    </w:p>
    <w:p>
      <w:pPr>
        <w:spacing w:beforeLines="0" w:afterLines="0" w:line="560" w:lineRule="exact"/>
        <w:ind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典型案例汇编</w:t>
      </w:r>
      <w:bookmarkEnd w:id="0"/>
      <w:bookmarkEnd w:id="1"/>
    </w:p>
    <w:p>
      <w:pPr>
        <w:spacing w:beforeLines="0" w:afterLines="0" w:line="560" w:lineRule="exact"/>
        <w:ind w:firstLine="880" w:firstLineChars="200"/>
        <w:jc w:val="center"/>
        <w:rPr>
          <w:rFonts w:hint="eastAsia" w:ascii="方正小标宋简体" w:hAnsi="方正小标宋简体" w:eastAsia="方正小标宋简体" w:cs="方正小标宋简体"/>
          <w:b/>
          <w:sz w:val="44"/>
          <w:szCs w:val="44"/>
          <w:lang w:val="en-US" w:eastAsia="zh-CN"/>
        </w:rPr>
      </w:pPr>
    </w:p>
    <w:p>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lang w:val="en-US" w:eastAsia="zh-CN"/>
        </w:rPr>
      </w:pPr>
      <w:bookmarkStart w:id="2" w:name="_Toc20616"/>
      <w:r>
        <w:rPr>
          <w:rFonts w:hint="eastAsia" w:ascii="黑体" w:hAnsi="黑体" w:eastAsia="黑体" w:cs="黑体"/>
          <w:b w:val="0"/>
          <w:bCs/>
          <w:lang w:val="en-US" w:eastAsia="zh-CN"/>
        </w:rPr>
        <w:t>一、湖北省</w:t>
      </w:r>
      <w:bookmarkEnd w:id="2"/>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3" w:name="_Toc9517"/>
      <w:r>
        <w:rPr>
          <w:rFonts w:hint="eastAsia" w:ascii="仿宋" w:hAnsi="仿宋" w:eastAsia="仿宋" w:cs="仿宋"/>
          <w:sz w:val="32"/>
          <w:szCs w:val="32"/>
          <w:lang w:val="en-US" w:eastAsia="zh-CN"/>
        </w:rPr>
        <w:t>案例一：</w:t>
      </w:r>
      <w:r>
        <w:rPr>
          <w:rFonts w:hint="eastAsia" w:ascii="仿宋" w:hAnsi="仿宋" w:eastAsia="仿宋" w:cs="仿宋"/>
          <w:b w:val="0"/>
          <w:bCs w:val="0"/>
          <w:sz w:val="32"/>
          <w:szCs w:val="32"/>
          <w:lang w:val="en-US" w:eastAsia="zh-CN"/>
        </w:rPr>
        <w:t>湖北省全域卫星遥感数字正射影像产品快速更新标准化应用案例</w:t>
      </w:r>
      <w:bookmarkEnd w:id="3"/>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湖北省航测遥感院</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湖北省自然资源厅</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湖北省航测遥感院牵头制定省级地方标准</w:t>
      </w:r>
      <w:r>
        <w:rPr>
          <w:rFonts w:hint="eastAsia" w:ascii="仿宋" w:hAnsi="仿宋" w:eastAsia="仿宋" w:cs="仿宋"/>
          <w:b w:val="0"/>
          <w:bCs w:val="0"/>
          <w:sz w:val="32"/>
          <w:szCs w:val="32"/>
          <w:highlight w:val="none"/>
          <w:lang w:val="en-US" w:eastAsia="zh-CN"/>
        </w:rPr>
        <w:t>《卫星遥感影像制作数字正射影像图技术规程》（DB42/T 1546-2020）</w:t>
      </w:r>
      <w:r>
        <w:rPr>
          <w:rFonts w:hint="eastAsia" w:ascii="仿宋" w:hAnsi="仿宋" w:eastAsia="仿宋" w:cs="仿宋"/>
          <w:b w:val="0"/>
          <w:bCs w:val="0"/>
          <w:sz w:val="32"/>
          <w:szCs w:val="32"/>
          <w:lang w:val="en-US" w:eastAsia="zh-CN"/>
        </w:rPr>
        <w:t>，有效填补了该领域省级技术规范空白。基于该规程提供的数据建设依据，积极开展全域卫星遥感数字正射影像产品快速更新标准化应用，构建了全国产化标准作业范式；推动了全省卫星应用技术体系的整合联动，实现技术协同、数据共享与资源统筹；创新了产业服务模式，有力培育了以卫星遥感数据为核心的地理信息新业态。该规程的实施显著提升了数据生产效率与成果质量，累计创造数据服务价值逾21亿元，为国土空间规划、自然资源调查监测等业务领域提供了标准化、高效化、一体化与智能化的有力支撑。</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4" w:name="_Toc20070"/>
      <w:r>
        <w:rPr>
          <w:rFonts w:hint="eastAsia" w:ascii="仿宋" w:hAnsi="仿宋" w:eastAsia="仿宋" w:cs="仿宋"/>
          <w:sz w:val="32"/>
          <w:szCs w:val="32"/>
          <w:lang w:val="en-US" w:eastAsia="zh-CN"/>
        </w:rPr>
        <w:t>案例二：</w:t>
      </w:r>
      <w:r>
        <w:rPr>
          <w:rFonts w:hint="eastAsia" w:ascii="仿宋" w:hAnsi="仿宋" w:eastAsia="仿宋" w:cs="仿宋"/>
          <w:b w:val="0"/>
          <w:bCs w:val="0"/>
          <w:sz w:val="32"/>
          <w:szCs w:val="32"/>
          <w:lang w:val="en-US" w:eastAsia="zh-CN"/>
        </w:rPr>
        <w:t>以气象标准支撑保障光伏产业发展</w:t>
      </w:r>
      <w:bookmarkEnd w:id="4"/>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湖北省气象服务中心</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湖北省气象局</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湖北省气象服务中心牵头</w:t>
      </w:r>
      <w:r>
        <w:rPr>
          <w:rFonts w:hint="eastAsia" w:ascii="仿宋" w:hAnsi="仿宋" w:eastAsia="仿宋" w:cs="仿宋"/>
          <w:b w:val="0"/>
          <w:bCs w:val="0"/>
          <w:sz w:val="32"/>
          <w:szCs w:val="32"/>
          <w:lang w:val="en-US" w:eastAsia="zh-CN"/>
        </w:rPr>
        <w:t>制定行业标准</w:t>
      </w:r>
      <w:r>
        <w:rPr>
          <w:rFonts w:hint="default" w:ascii="仿宋" w:hAnsi="仿宋" w:eastAsia="仿宋" w:cs="仿宋"/>
          <w:b w:val="0"/>
          <w:bCs w:val="0"/>
          <w:sz w:val="32"/>
          <w:szCs w:val="32"/>
          <w:lang w:val="en-US" w:eastAsia="zh-CN"/>
        </w:rPr>
        <w:t>《太阳能光伏发电功率短期预报方法》（QX/T 244</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2014）</w:t>
      </w:r>
      <w:r>
        <w:rPr>
          <w:rFonts w:hint="eastAsia" w:ascii="仿宋" w:hAnsi="仿宋" w:eastAsia="仿宋" w:cs="仿宋"/>
          <w:b w:val="0"/>
          <w:bCs w:val="0"/>
          <w:sz w:val="32"/>
          <w:szCs w:val="32"/>
          <w:lang w:val="en-US" w:eastAsia="zh-CN"/>
        </w:rPr>
        <w:t>，也</w:t>
      </w:r>
      <w:r>
        <w:rPr>
          <w:rFonts w:hint="default" w:ascii="仿宋" w:hAnsi="仿宋" w:eastAsia="仿宋" w:cs="仿宋"/>
          <w:b w:val="0"/>
          <w:bCs w:val="0"/>
          <w:sz w:val="32"/>
          <w:szCs w:val="32"/>
          <w:lang w:val="en-US" w:eastAsia="zh-CN"/>
        </w:rPr>
        <w:t>是我国光伏发电预报领域首</w:t>
      </w:r>
      <w:r>
        <w:rPr>
          <w:rFonts w:hint="eastAsia" w:ascii="仿宋" w:hAnsi="仿宋" w:eastAsia="仿宋" w:cs="仿宋"/>
          <w:b w:val="0"/>
          <w:bCs w:val="0"/>
          <w:sz w:val="32"/>
          <w:szCs w:val="32"/>
          <w:lang w:val="en-US" w:eastAsia="zh-CN"/>
        </w:rPr>
        <w:t>个</w:t>
      </w:r>
      <w:r>
        <w:rPr>
          <w:rFonts w:hint="default" w:ascii="仿宋" w:hAnsi="仿宋" w:eastAsia="仿宋" w:cs="仿宋"/>
          <w:b w:val="0"/>
          <w:bCs w:val="0"/>
          <w:sz w:val="32"/>
          <w:szCs w:val="32"/>
          <w:lang w:val="en-US" w:eastAsia="zh-CN"/>
        </w:rPr>
        <w:t>行业标准，创新构建了涵盖四种预报方法的统一技术框架。实施过程中，气象部门联合电网企业建立多主体协同机制：通过全国性培训、技术交流群及“新能源卫士”公众号</w:t>
      </w:r>
      <w:r>
        <w:rPr>
          <w:rFonts w:hint="eastAsia" w:ascii="仿宋" w:hAnsi="仿宋" w:eastAsia="仿宋" w:cs="仿宋"/>
          <w:b w:val="0"/>
          <w:bCs w:val="0"/>
          <w:sz w:val="32"/>
          <w:szCs w:val="32"/>
          <w:lang w:val="en-US" w:eastAsia="zh-CN"/>
        </w:rPr>
        <w:t>等多渠道</w:t>
      </w:r>
      <w:r>
        <w:rPr>
          <w:rFonts w:hint="default" w:ascii="仿宋" w:hAnsi="仿宋" w:eastAsia="仿宋" w:cs="仿宋"/>
          <w:b w:val="0"/>
          <w:bCs w:val="0"/>
          <w:sz w:val="32"/>
          <w:szCs w:val="32"/>
          <w:lang w:val="en-US" w:eastAsia="zh-CN"/>
        </w:rPr>
        <w:t>开展宣贯，累计培训超2000人次；同时将标准化要求嵌入预报业务全流程，与电网调度考核体系深度融合，形成强制实施动力。</w:t>
      </w:r>
      <w:r>
        <w:rPr>
          <w:rFonts w:hint="eastAsia" w:ascii="仿宋" w:hAnsi="仿宋" w:eastAsia="仿宋" w:cs="仿宋"/>
          <w:b w:val="0"/>
          <w:bCs w:val="0"/>
          <w:sz w:val="32"/>
          <w:szCs w:val="32"/>
          <w:lang w:val="en-US" w:eastAsia="zh-CN"/>
        </w:rPr>
        <w:t>通过推进</w:t>
      </w:r>
      <w:r>
        <w:rPr>
          <w:rFonts w:hint="default" w:ascii="仿宋" w:hAnsi="仿宋" w:eastAsia="仿宋" w:cs="仿宋"/>
          <w:b w:val="0"/>
          <w:bCs w:val="0"/>
          <w:sz w:val="32"/>
          <w:szCs w:val="32"/>
          <w:lang w:val="en-US" w:eastAsia="zh-CN"/>
        </w:rPr>
        <w:t>业务流程标准化改造和</w:t>
      </w:r>
      <w:r>
        <w:rPr>
          <w:rFonts w:hint="eastAsia" w:ascii="仿宋" w:hAnsi="仿宋" w:eastAsia="仿宋" w:cs="仿宋"/>
          <w:b w:val="0"/>
          <w:bCs w:val="0"/>
          <w:sz w:val="32"/>
          <w:szCs w:val="32"/>
          <w:lang w:val="en-US" w:eastAsia="zh-CN"/>
        </w:rPr>
        <w:t>实施</w:t>
      </w:r>
      <w:r>
        <w:rPr>
          <w:rFonts w:hint="default" w:ascii="仿宋" w:hAnsi="仿宋" w:eastAsia="仿宋" w:cs="仿宋"/>
          <w:b w:val="0"/>
          <w:bCs w:val="0"/>
          <w:sz w:val="32"/>
          <w:szCs w:val="32"/>
          <w:lang w:val="en-US" w:eastAsia="zh-CN"/>
        </w:rPr>
        <w:t>分层分类技术适配，成功推动湖北华电新能源公司下属光伏电站功率预报准确率提升至90%以上，助力甘肃等地区弃光率从30%降至4%以下，为南方电网减少辅助服务成本数亿元。该标准</w:t>
      </w:r>
      <w:r>
        <w:rPr>
          <w:rFonts w:hint="eastAsia" w:ascii="仿宋" w:hAnsi="仿宋" w:eastAsia="仿宋" w:cs="仿宋"/>
          <w:b w:val="0"/>
          <w:bCs w:val="0"/>
          <w:sz w:val="32"/>
          <w:szCs w:val="32"/>
          <w:lang w:val="en-US" w:eastAsia="zh-CN"/>
        </w:rPr>
        <w:t>打造</w:t>
      </w:r>
      <w:r>
        <w:rPr>
          <w:rFonts w:hint="default" w:ascii="仿宋" w:hAnsi="仿宋" w:eastAsia="仿宋" w:cs="仿宋"/>
          <w:b w:val="0"/>
          <w:bCs w:val="0"/>
          <w:sz w:val="32"/>
          <w:szCs w:val="32"/>
          <w:lang w:val="en-US" w:eastAsia="zh-CN"/>
        </w:rPr>
        <w:t>了“气象—电力”跨行业协同</w:t>
      </w:r>
      <w:r>
        <w:rPr>
          <w:rFonts w:hint="eastAsia" w:ascii="仿宋" w:hAnsi="仿宋" w:eastAsia="仿宋" w:cs="仿宋"/>
          <w:b w:val="0"/>
          <w:bCs w:val="0"/>
          <w:sz w:val="32"/>
          <w:szCs w:val="32"/>
          <w:lang w:val="en-US" w:eastAsia="zh-CN"/>
        </w:rPr>
        <w:t>样板</w:t>
      </w:r>
      <w:r>
        <w:rPr>
          <w:rFonts w:hint="default" w:ascii="仿宋" w:hAnsi="仿宋" w:eastAsia="仿宋" w:cs="仿宋"/>
          <w:b w:val="0"/>
          <w:bCs w:val="0"/>
          <w:sz w:val="32"/>
          <w:szCs w:val="32"/>
          <w:lang w:val="en-US" w:eastAsia="zh-CN"/>
        </w:rPr>
        <w:t>，为其他领域技术标准的制定与推广提供了可复制的</w:t>
      </w:r>
      <w:r>
        <w:rPr>
          <w:rFonts w:hint="eastAsia" w:ascii="仿宋" w:hAnsi="仿宋" w:eastAsia="仿宋" w:cs="仿宋"/>
          <w:b w:val="0"/>
          <w:bCs w:val="0"/>
          <w:sz w:val="32"/>
          <w:szCs w:val="32"/>
          <w:lang w:val="en-US" w:eastAsia="zh-CN"/>
        </w:rPr>
        <w:t>实践路径。</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5" w:name="_Toc31408"/>
      <w:r>
        <w:rPr>
          <w:rFonts w:hint="eastAsia" w:ascii="仿宋" w:hAnsi="仿宋" w:eastAsia="仿宋" w:cs="仿宋"/>
          <w:sz w:val="32"/>
          <w:szCs w:val="32"/>
          <w:lang w:val="en-US" w:eastAsia="zh-CN"/>
        </w:rPr>
        <w:t>案例三：</w:t>
      </w:r>
      <w:r>
        <w:rPr>
          <w:rFonts w:hint="eastAsia" w:ascii="仿宋" w:hAnsi="仿宋" w:eastAsia="仿宋" w:cs="仿宋"/>
          <w:b w:val="0"/>
          <w:bCs w:val="0"/>
          <w:sz w:val="32"/>
          <w:szCs w:val="32"/>
          <w:lang w:val="en-US" w:eastAsia="zh-CN"/>
        </w:rPr>
        <w:t>时空智能数据标注标准化实践</w:t>
      </w:r>
      <w:bookmarkEnd w:id="5"/>
    </w:p>
    <w:p>
      <w:pPr>
        <w:spacing w:beforeLines="0" w:afterLines="0" w:line="560" w:lineRule="exact"/>
        <w:ind w:firstLine="643" w:firstLineChars="200"/>
        <w:jc w:val="both"/>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sz w:val="32"/>
          <w:szCs w:val="32"/>
          <w:lang w:val="en-US" w:eastAsia="zh-CN"/>
        </w:rPr>
        <w:t>武汉大学</w:t>
      </w:r>
    </w:p>
    <w:p>
      <w:pPr>
        <w:spacing w:beforeLines="0" w:afterLines="0" w:line="560" w:lineRule="exact"/>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武汉市市场监督管理局</w:t>
      </w:r>
    </w:p>
    <w:p>
      <w:pPr>
        <w:spacing w:beforeLines="0" w:afterLines="0" w:line="56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武汉大学聚焦时空数据来源多元、质量参差、标注规范不统一等行业痛点，率先</w:t>
      </w:r>
      <w:r>
        <w:rPr>
          <w:rFonts w:hint="eastAsia" w:ascii="仿宋" w:hAnsi="仿宋" w:eastAsia="仿宋" w:cs="仿宋"/>
          <w:sz w:val="32"/>
          <w:szCs w:val="32"/>
          <w:lang w:eastAsia="zh-CN"/>
        </w:rPr>
        <w:t>开展系统性</w:t>
      </w:r>
      <w:r>
        <w:rPr>
          <w:rFonts w:hint="eastAsia" w:ascii="仿宋" w:hAnsi="仿宋" w:eastAsia="仿宋" w:cs="仿宋"/>
          <w:sz w:val="32"/>
          <w:szCs w:val="32"/>
        </w:rPr>
        <w:t>标准体系建设，牵头搭建“国际标准—国家标准—行业规范”三级标准架构。</w:t>
      </w:r>
      <w:r>
        <w:rPr>
          <w:rFonts w:hint="eastAsia" w:ascii="仿宋" w:hAnsi="仿宋" w:eastAsia="仿宋" w:cs="仿宋"/>
          <w:sz w:val="32"/>
          <w:szCs w:val="32"/>
          <w:lang w:val="en-US" w:eastAsia="zh-CN"/>
        </w:rPr>
        <w:t>制定国际标准4项、国家标准4项、行</w:t>
      </w:r>
      <w:r>
        <w:rPr>
          <w:rFonts w:hint="eastAsia" w:ascii="仿宋" w:hAnsi="仿宋" w:eastAsia="仿宋" w:cs="仿宋"/>
          <w:sz w:val="32"/>
          <w:szCs w:val="32"/>
          <w:highlight w:val="none"/>
          <w:lang w:val="en-US" w:eastAsia="zh-CN"/>
        </w:rPr>
        <w:t>业规范1</w:t>
      </w:r>
      <w:r>
        <w:rPr>
          <w:rFonts w:hint="eastAsia" w:ascii="仿宋" w:hAnsi="仿宋" w:eastAsia="仿宋" w:cs="仿宋"/>
          <w:sz w:val="32"/>
          <w:szCs w:val="32"/>
          <w:lang w:val="en-US" w:eastAsia="zh-CN"/>
        </w:rPr>
        <w:t>项，覆盖概念模型、数据编码和样本建库等内容，推动自然资源等领域国家、省市遥感数据标注标准化工作，满足国家与行业急需。研发样本标注工具软件和大规模遥感样本库LuoJiaSET，实现产业化应用。</w:t>
      </w:r>
      <w:r>
        <w:rPr>
          <w:rFonts w:hint="eastAsia" w:ascii="仿宋" w:hAnsi="仿宋" w:eastAsia="仿宋" w:cs="仿宋"/>
          <w:sz w:val="32"/>
          <w:szCs w:val="32"/>
          <w:highlight w:val="none"/>
          <w:lang w:val="en-US" w:eastAsia="zh-CN"/>
        </w:rPr>
        <w:t>制定</w:t>
      </w:r>
      <w:r>
        <w:rPr>
          <w:rFonts w:hint="eastAsia" w:ascii="仿宋" w:hAnsi="仿宋" w:eastAsia="仿宋" w:cs="仿宋"/>
          <w:sz w:val="32"/>
          <w:szCs w:val="32"/>
          <w:lang w:val="en-US" w:eastAsia="zh-CN"/>
        </w:rPr>
        <w:t>ISO和OGC首个地理人工智能国际标准，获全球认可，并由此获OGC国际影响力奖，当选ISO地理信息服务工作组召集人，统筹全球地理信息服务体系建设。</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6" w:name="_Toc26015"/>
      <w:r>
        <w:rPr>
          <w:rFonts w:hint="eastAsia" w:ascii="仿宋" w:hAnsi="仿宋" w:eastAsia="仿宋" w:cs="仿宋"/>
          <w:sz w:val="32"/>
          <w:szCs w:val="32"/>
          <w:lang w:val="en-US" w:eastAsia="zh-CN"/>
        </w:rPr>
        <w:t>案例四：</w:t>
      </w:r>
      <w:r>
        <w:rPr>
          <w:rFonts w:hint="eastAsia" w:ascii="仿宋" w:hAnsi="仿宋" w:eastAsia="仿宋" w:cs="仿宋"/>
          <w:b w:val="0"/>
          <w:bCs w:val="0"/>
          <w:sz w:val="32"/>
          <w:szCs w:val="32"/>
          <w:lang w:val="en-US" w:eastAsia="zh-CN"/>
        </w:rPr>
        <w:t>以标准拓单品，以单品带整装，以整装促集群</w:t>
      </w:r>
      <w:bookmarkEnd w:id="6"/>
    </w:p>
    <w:p>
      <w:pPr>
        <w:spacing w:beforeLines="0" w:afterLines="0" w:line="560" w:lineRule="exact"/>
        <w:ind w:firstLine="643" w:firstLineChars="200"/>
        <w:jc w:val="both"/>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sz w:val="32"/>
          <w:szCs w:val="32"/>
          <w:lang w:val="en-US" w:eastAsia="zh-CN"/>
        </w:rPr>
        <w:t>武汉船用机械有限责任公司</w:t>
      </w:r>
    </w:p>
    <w:p>
      <w:pPr>
        <w:spacing w:beforeLines="0" w:afterLines="0" w:line="560" w:lineRule="exact"/>
        <w:ind w:firstLine="643" w:firstLineChars="200"/>
        <w:jc w:val="both"/>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sz w:val="32"/>
          <w:szCs w:val="32"/>
          <w:lang w:val="en-US" w:eastAsia="zh-CN"/>
        </w:rPr>
        <w:t>武汉市市场监督管理局</w:t>
      </w:r>
    </w:p>
    <w:p>
      <w:pPr>
        <w:spacing w:beforeLines="0" w:afterLines="0" w:line="56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武汉船用机械有限责任公司以平台升降为突破口开拓市场，将核心技术转化为标准，以“产品与标准协同”为核心赋能产业链发展：一是牵头制定国际标准，以标准叩开市场大门。紧扣市场核心需求，编制平台升降首个通用标准ISO 4864，产品凭借“标准合规、技术领先”的优势，实现市场转化。二是实施精准适配，以卓越交付赢得深度信任。依据ISO 4864等标准进行制造与验收，适配中东海洋环境，作业效率提升20%。赢得沙特JANA Marine Service等客户的认可，成功承接后续整座海洋平台的EPC总包任务，实现了从单一设备供应商到系统集成商的角色跃升。三是构建互认，以系统解决方案拉动关联产品。依托整座平台总包项目，将海工起重机纳入平台设计方案，在平台订单中直接锁定起重机，形成协同效应。</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7" w:name="_Toc24154"/>
      <w:r>
        <w:rPr>
          <w:rFonts w:hint="eastAsia" w:ascii="仿宋" w:hAnsi="仿宋" w:eastAsia="仿宋" w:cs="仿宋"/>
          <w:sz w:val="32"/>
          <w:szCs w:val="32"/>
          <w:lang w:val="en-US" w:eastAsia="zh-CN"/>
        </w:rPr>
        <w:t>案例五：</w:t>
      </w:r>
      <w:r>
        <w:rPr>
          <w:rFonts w:hint="eastAsia" w:ascii="仿宋" w:hAnsi="仿宋" w:eastAsia="仿宋" w:cs="仿宋"/>
          <w:b w:val="0"/>
          <w:bCs w:val="0"/>
          <w:sz w:val="32"/>
          <w:szCs w:val="32"/>
          <w:lang w:val="en-US" w:eastAsia="zh-CN"/>
        </w:rPr>
        <w:t>以《苦荞酒》行业标准引领新品类高质量发展</w:t>
      </w:r>
      <w:bookmarkEnd w:id="7"/>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劲牌有限公司</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黄石市市场监督管理局</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劲牌有限公司牵头制定</w:t>
      </w:r>
      <w:r>
        <w:rPr>
          <w:rFonts w:hint="eastAsia" w:ascii="仿宋" w:hAnsi="仿宋" w:eastAsia="仿宋" w:cs="仿宋"/>
          <w:sz w:val="32"/>
          <w:szCs w:val="32"/>
        </w:rPr>
        <w:t>行业标准《</w:t>
      </w:r>
      <w:bookmarkStart w:id="8" w:name="OLE_LINK1"/>
      <w:r>
        <w:rPr>
          <w:rFonts w:hint="eastAsia" w:ascii="仿宋" w:hAnsi="仿宋" w:eastAsia="仿宋" w:cs="仿宋"/>
          <w:sz w:val="32"/>
          <w:szCs w:val="32"/>
        </w:rPr>
        <w:t>苦荞酒</w:t>
      </w:r>
      <w:bookmarkEnd w:id="8"/>
      <w:r>
        <w:rPr>
          <w:rFonts w:hint="eastAsia" w:ascii="仿宋" w:hAnsi="仿宋" w:eastAsia="仿宋" w:cs="仿宋"/>
          <w:sz w:val="32"/>
          <w:szCs w:val="32"/>
        </w:rPr>
        <w:t>》（QB/T 5959-2023）</w:t>
      </w:r>
      <w:r>
        <w:rPr>
          <w:rFonts w:hint="eastAsia" w:ascii="仿宋" w:hAnsi="仿宋" w:eastAsia="仿宋" w:cs="仿宋"/>
          <w:sz w:val="32"/>
          <w:szCs w:val="32"/>
          <w:lang w:eastAsia="zh-CN"/>
        </w:rPr>
        <w:t>，并</w:t>
      </w:r>
      <w:r>
        <w:rPr>
          <w:rFonts w:hint="eastAsia" w:ascii="仿宋" w:hAnsi="仿宋" w:eastAsia="仿宋" w:cs="仿宋"/>
          <w:sz w:val="32"/>
          <w:szCs w:val="32"/>
        </w:rPr>
        <w:t>于2024年7月正式实施。</w:t>
      </w:r>
      <w:r>
        <w:rPr>
          <w:rFonts w:hint="eastAsia" w:ascii="仿宋" w:hAnsi="仿宋" w:eastAsia="仿宋" w:cs="仿宋"/>
          <w:sz w:val="32"/>
          <w:szCs w:val="32"/>
          <w:lang w:eastAsia="zh-CN"/>
        </w:rPr>
        <w:t>针对劲牌</w:t>
      </w:r>
      <w:r>
        <w:rPr>
          <w:rFonts w:hint="eastAsia" w:ascii="仿宋" w:hAnsi="仿宋" w:eastAsia="仿宋" w:cs="仿宋"/>
          <w:sz w:val="32"/>
          <w:szCs w:val="32"/>
        </w:rPr>
        <w:t>2013年开创苦荞酒品类</w:t>
      </w:r>
      <w:r>
        <w:rPr>
          <w:rFonts w:hint="eastAsia" w:ascii="仿宋" w:hAnsi="仿宋" w:eastAsia="仿宋" w:cs="仿宋"/>
          <w:sz w:val="32"/>
          <w:szCs w:val="32"/>
          <w:lang w:eastAsia="zh-CN"/>
        </w:rPr>
        <w:t>后</w:t>
      </w:r>
      <w:r>
        <w:rPr>
          <w:rFonts w:hint="eastAsia" w:ascii="仿宋" w:hAnsi="仿宋" w:eastAsia="仿宋" w:cs="仿宋"/>
          <w:sz w:val="32"/>
          <w:szCs w:val="32"/>
        </w:rPr>
        <w:t>全国涌现近200个品牌、产品良莠不齐的乱象，于2018年主动</w:t>
      </w:r>
      <w:r>
        <w:rPr>
          <w:rFonts w:hint="eastAsia" w:ascii="仿宋" w:hAnsi="仿宋" w:eastAsia="仿宋" w:cs="仿宋"/>
          <w:sz w:val="32"/>
          <w:szCs w:val="32"/>
          <w:lang w:eastAsia="zh-CN"/>
        </w:rPr>
        <w:t>申请</w:t>
      </w:r>
      <w:r>
        <w:rPr>
          <w:rFonts w:hint="eastAsia" w:ascii="仿宋" w:hAnsi="仿宋" w:eastAsia="仿宋" w:cs="仿宋"/>
          <w:sz w:val="32"/>
          <w:szCs w:val="32"/>
        </w:rPr>
        <w:t>立项，历时</w:t>
      </w:r>
      <w:r>
        <w:rPr>
          <w:rFonts w:hint="eastAsia" w:ascii="仿宋" w:hAnsi="仿宋" w:eastAsia="仿宋" w:cs="仿宋"/>
          <w:sz w:val="32"/>
          <w:szCs w:val="32"/>
          <w:lang w:eastAsia="zh-CN"/>
        </w:rPr>
        <w:t>五</w:t>
      </w:r>
      <w:r>
        <w:rPr>
          <w:rFonts w:hint="eastAsia" w:ascii="仿宋" w:hAnsi="仿宋" w:eastAsia="仿宋" w:cs="仿宋"/>
          <w:sz w:val="32"/>
          <w:szCs w:val="32"/>
        </w:rPr>
        <w:t>年</w:t>
      </w:r>
      <w:r>
        <w:rPr>
          <w:rFonts w:hint="eastAsia" w:ascii="仿宋" w:hAnsi="仿宋" w:eastAsia="仿宋" w:cs="仿宋"/>
          <w:sz w:val="32"/>
          <w:szCs w:val="32"/>
          <w:lang w:eastAsia="zh-CN"/>
        </w:rPr>
        <w:t>系统攻关，</w:t>
      </w:r>
      <w:r>
        <w:rPr>
          <w:rFonts w:hint="eastAsia" w:ascii="仿宋" w:hAnsi="仿宋" w:eastAsia="仿宋" w:cs="仿宋"/>
          <w:b w:val="0"/>
          <w:bCs w:val="0"/>
          <w:sz w:val="32"/>
          <w:szCs w:val="32"/>
          <w:lang w:val="en-US" w:eastAsia="zh-CN"/>
        </w:rPr>
        <w:t>提出了一系列核心技术创新：一是科学界定产品属性，明确苦荞酒以苦荞麦为主要原料；二是首创总黄酮量化指标，规定含量须达30mg/L方为优级产品；三是依托劲牌6700余项企业标准及59个道地药材种植基地，实现全链条质量管控。该标准实施成效显著，经济效益上巩固劲牌领先地位，引导市场向头部集中；社会效益上为消费者提供清晰选购依据；质量效益上倒逼企业优化工艺、淘汰劣质产品；生态效益上推动原料规范化种植。该标准为新品类发展提供了可复制路径，有力支撑长江中游三省标准协同及产业转型升级。</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9" w:name="_Toc27842"/>
      <w:r>
        <w:rPr>
          <w:rFonts w:hint="eastAsia" w:ascii="仿宋" w:hAnsi="仿宋" w:eastAsia="仿宋" w:cs="仿宋"/>
          <w:sz w:val="32"/>
          <w:szCs w:val="32"/>
          <w:lang w:val="en-US" w:eastAsia="zh-CN"/>
        </w:rPr>
        <w:t>案例六：</w:t>
      </w:r>
      <w:r>
        <w:rPr>
          <w:rFonts w:hint="eastAsia" w:ascii="仿宋" w:hAnsi="仿宋" w:eastAsia="仿宋" w:cs="仿宋"/>
          <w:b w:val="0"/>
          <w:bCs w:val="0"/>
          <w:sz w:val="32"/>
          <w:szCs w:val="32"/>
          <w:lang w:val="en-US" w:eastAsia="zh-CN"/>
        </w:rPr>
        <w:t>酒曲标准化驱动黄酒产业提质增效与乡村振兴</w:t>
      </w:r>
      <w:bookmarkEnd w:id="9"/>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十堰市农业科学院</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十堰市市场监督管理局</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十堰市农业科学院</w:t>
      </w:r>
      <w:r>
        <w:rPr>
          <w:rFonts w:hint="eastAsia" w:ascii="仿宋" w:hAnsi="仿宋" w:eastAsia="仿宋" w:cs="仿宋"/>
          <w:b w:val="0"/>
          <w:bCs w:val="0"/>
          <w:sz w:val="32"/>
          <w:szCs w:val="32"/>
          <w:highlight w:val="none"/>
          <w:lang w:val="en-US" w:eastAsia="zh-CN"/>
        </w:rPr>
        <w:t>聚焦长江中游三省特色优势黄酒产业，针对制约产业高质量发展的酒曲生产杂菌污染高等核心痛点，以标准化为突破口，创新构建“标准先行、科技赋能、平台共建、人才支撑”四位一体工作体系。</w:t>
      </w:r>
      <w:r>
        <w:rPr>
          <w:rFonts w:hint="eastAsia" w:ascii="仿宋" w:hAnsi="仿宋" w:eastAsia="仿宋" w:cs="仿宋"/>
          <w:b w:val="0"/>
          <w:bCs w:val="0"/>
          <w:sz w:val="32"/>
          <w:szCs w:val="32"/>
          <w:lang w:val="en-US" w:eastAsia="zh-CN"/>
        </w:rPr>
        <w:t>牵头制定市级地方标准《房县黄酒小曲生产技术规程》（DB4203/T 247-2024）等关键黄酒标准，依托房县黄酒产业研究院、企校联合创新中心等科研机构及平台，凝聚院士专家团队智力，推动工艺智能化升级及全产业链培训。全面推进标准落地应用，预计每年减少直接经济损失超1200万元、提升厂区利用率近1倍、节约综合能耗约20%，并成功开发高附加值新品，有力支撑“房县黄酒”区域品牌建设与乡村振兴。该模式为长江中游乃至全国特色发酵食品产业提供了可复制、可推广的标准化赋能高质量发展实践路径。</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10" w:name="_Toc10287"/>
      <w:r>
        <w:rPr>
          <w:rFonts w:hint="eastAsia" w:ascii="仿宋" w:hAnsi="仿宋" w:eastAsia="仿宋" w:cs="仿宋"/>
          <w:sz w:val="32"/>
          <w:szCs w:val="32"/>
          <w:lang w:val="en-US" w:eastAsia="zh-CN"/>
        </w:rPr>
        <w:t>案例七：</w:t>
      </w:r>
      <w:r>
        <w:rPr>
          <w:rFonts w:hint="eastAsia" w:ascii="仿宋" w:hAnsi="仿宋" w:eastAsia="仿宋" w:cs="仿宋"/>
          <w:b w:val="0"/>
          <w:bCs w:val="0"/>
          <w:sz w:val="32"/>
          <w:szCs w:val="32"/>
          <w:lang w:val="en-US" w:eastAsia="zh-CN"/>
        </w:rPr>
        <w:t>标准创新领跑“襄阳织造”美好愿景</w:t>
      </w:r>
      <w:bookmarkEnd w:id="10"/>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际华三五四二纺织有限公司</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襄阳市市场监督管理局</w:t>
      </w:r>
    </w:p>
    <w:p>
      <w:pPr>
        <w:spacing w:beforeLines="0" w:afterLines="0" w:line="560" w:lineRule="exact"/>
        <w:ind w:firstLine="640"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际华三五四二纺织有限公司是纺织行业的龙头企业，以“标准稳链、引领产业提质升级”为核心，构建“研发－标准－生产－检测”闭环体系，衔接国际、国内相关标准，形成闭环管控。先后参与制定国家标准6项、行业标准26项、团体标准10项、湖北省地方标准2项、企业标准3项，标准实施应用后2款面料入选国家级创新产品目录，产品达标率100%，助力纺织产业向高端化、绿色化、功能化转型。</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default" w:ascii="仿宋" w:hAnsi="仿宋" w:eastAsia="仿宋" w:cs="仿宋"/>
          <w:b w:val="0"/>
          <w:bCs w:val="0"/>
          <w:sz w:val="32"/>
          <w:szCs w:val="32"/>
          <w:lang w:val="en-US" w:eastAsia="zh-CN"/>
        </w:rPr>
      </w:pPr>
      <w:bookmarkStart w:id="11" w:name="_Toc4268"/>
      <w:r>
        <w:rPr>
          <w:rFonts w:hint="eastAsia" w:ascii="仿宋" w:hAnsi="仿宋" w:eastAsia="仿宋" w:cs="仿宋"/>
          <w:sz w:val="32"/>
          <w:szCs w:val="32"/>
          <w:lang w:val="en-US" w:eastAsia="zh-CN"/>
        </w:rPr>
        <w:t>案例八：</w:t>
      </w:r>
      <w:r>
        <w:rPr>
          <w:rFonts w:hint="eastAsia" w:ascii="仿宋" w:hAnsi="仿宋" w:eastAsia="仿宋" w:cs="仿宋"/>
          <w:b w:val="0"/>
          <w:bCs w:val="0"/>
          <w:sz w:val="32"/>
          <w:szCs w:val="32"/>
          <w:lang w:val="en-US" w:eastAsia="zh-CN"/>
        </w:rPr>
        <w:t>中国标准海外应用：打造中国—印尼产业文化交流示范工程</w:t>
      </w:r>
      <w:bookmarkEnd w:id="11"/>
    </w:p>
    <w:p>
      <w:pPr>
        <w:spacing w:beforeLines="0" w:afterLines="0" w:line="560" w:lineRule="exact"/>
        <w:ind w:firstLine="643" w:firstLineChars="200"/>
        <w:jc w:val="both"/>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sz w:val="32"/>
          <w:szCs w:val="32"/>
          <w:lang w:val="en-US" w:eastAsia="zh-CN"/>
        </w:rPr>
        <w:t>荆门市格林美新材料有限公司</w:t>
      </w:r>
    </w:p>
    <w:p>
      <w:pPr>
        <w:spacing w:beforeLines="0" w:afterLines="0" w:line="560" w:lineRule="exact"/>
        <w:ind w:firstLine="643" w:firstLineChars="200"/>
        <w:jc w:val="both"/>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sz w:val="32"/>
          <w:szCs w:val="32"/>
          <w:lang w:val="en-US" w:eastAsia="zh-CN"/>
        </w:rPr>
        <w:t>荆门市市场监督管理局</w:t>
      </w:r>
    </w:p>
    <w:p>
      <w:pPr>
        <w:spacing w:beforeLines="0" w:afterLines="0" w:line="560" w:lineRule="exact"/>
        <w:ind w:firstLine="640" w:firstLineChars="200"/>
        <w:jc w:val="both"/>
        <w:rPr>
          <w:rFonts w:hint="default" w:ascii="仿宋" w:hAnsi="仿宋" w:eastAsia="仿宋" w:cs="仿宋"/>
          <w:sz w:val="32"/>
          <w:szCs w:val="32"/>
          <w:lang w:val="en-US" w:eastAsia="zh-CN"/>
        </w:rPr>
      </w:pPr>
      <w:bookmarkStart w:id="12" w:name="OLE_LINK2"/>
      <w:r>
        <w:rPr>
          <w:rFonts w:hint="eastAsia" w:ascii="仿宋" w:hAnsi="仿宋" w:eastAsia="仿宋" w:cs="仿宋"/>
          <w:sz w:val="32"/>
          <w:szCs w:val="32"/>
          <w:lang w:val="en-US" w:eastAsia="zh-CN"/>
        </w:rPr>
        <w:t>荆门市格林美新材料有限公司</w:t>
      </w:r>
      <w:r>
        <w:rPr>
          <w:rFonts w:hint="default" w:ascii="仿宋" w:hAnsi="仿宋" w:eastAsia="仿宋" w:cs="仿宋"/>
          <w:sz w:val="32"/>
          <w:szCs w:val="32"/>
          <w:lang w:val="en-US" w:eastAsia="zh-CN"/>
        </w:rPr>
        <w:t>在全球绿色转型与</w:t>
      </w:r>
      <w:r>
        <w:rPr>
          <w:rFonts w:hint="eastAsia" w:ascii="仿宋" w:hAnsi="仿宋" w:eastAsia="仿宋" w:cs="仿宋"/>
          <w:sz w:val="32"/>
          <w:szCs w:val="32"/>
          <w:lang w:val="en-US" w:eastAsia="zh-CN"/>
        </w:rPr>
        <w:t>“一带一路”倡议</w:t>
      </w:r>
      <w:r>
        <w:rPr>
          <w:rFonts w:hint="default" w:ascii="仿宋" w:hAnsi="仿宋" w:eastAsia="仿宋" w:cs="仿宋"/>
          <w:sz w:val="32"/>
          <w:szCs w:val="32"/>
          <w:lang w:val="en-US" w:eastAsia="zh-CN"/>
        </w:rPr>
        <w:t>深入推进背景下，积极响应国家战略，在印度尼西亚合资建立青美邦能源材料公司，以标准</w:t>
      </w:r>
      <w:r>
        <w:rPr>
          <w:rFonts w:hint="eastAsia" w:ascii="仿宋" w:hAnsi="仿宋" w:eastAsia="仿宋" w:cs="仿宋"/>
          <w:sz w:val="32"/>
          <w:szCs w:val="32"/>
          <w:lang w:val="en-US" w:eastAsia="zh-CN"/>
        </w:rPr>
        <w:t>“软联通”</w:t>
      </w:r>
      <w:r>
        <w:rPr>
          <w:rFonts w:hint="default" w:ascii="仿宋" w:hAnsi="仿宋" w:eastAsia="仿宋" w:cs="仿宋"/>
          <w:sz w:val="32"/>
          <w:szCs w:val="32"/>
          <w:lang w:val="en-US" w:eastAsia="zh-CN"/>
        </w:rPr>
        <w:t>促进产业链深度合作，打造中国新能源材料企业出海标杆。核心创新做法：核心产品执行中国标准，建立精细化管控体系，打造</w:t>
      </w:r>
      <w:r>
        <w:rPr>
          <w:rFonts w:hint="eastAsia" w:ascii="仿宋" w:hAnsi="仿宋" w:eastAsia="仿宋" w:cs="仿宋"/>
          <w:sz w:val="32"/>
          <w:szCs w:val="32"/>
          <w:lang w:val="en-US" w:eastAsia="zh-CN"/>
        </w:rPr>
        <w:t>“一带一路”</w:t>
      </w:r>
      <w:r>
        <w:rPr>
          <w:rFonts w:hint="default" w:ascii="仿宋" w:hAnsi="仿宋" w:eastAsia="仿宋" w:cs="仿宋"/>
          <w:sz w:val="32"/>
          <w:szCs w:val="32"/>
          <w:lang w:val="en-US" w:eastAsia="zh-CN"/>
        </w:rPr>
        <w:t>绿色标杆工厂。关键创新突破：推动印尼从资源出口国向关键矿产材料基地转型，构建柔性出海模式。显著应用成效：青美邦2024年净利润超12亿元；湿法冶金较传统火法减少碳排放65%；攻克低品位红土镍矿提炼难题，实现95%以上有价金属再生利用。战略推广价值：打破欧美技术垄断，提供</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中国技术+中国标准</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系统解决方案；建立</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海外资源基地+全产业链布局</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资源安全保障模式，提升中国在全球关键矿产资源治理中的</w:t>
      </w:r>
      <w:r>
        <w:rPr>
          <w:rFonts w:hint="eastAsia" w:ascii="仿宋" w:hAnsi="仿宋" w:eastAsia="仿宋" w:cs="仿宋"/>
          <w:sz w:val="32"/>
          <w:szCs w:val="32"/>
          <w:lang w:val="en-US" w:eastAsia="zh-CN"/>
        </w:rPr>
        <w:t>贡献度</w:t>
      </w:r>
      <w:r>
        <w:rPr>
          <w:rFonts w:hint="default" w:ascii="仿宋" w:hAnsi="仿宋" w:eastAsia="仿宋" w:cs="仿宋"/>
          <w:sz w:val="32"/>
          <w:szCs w:val="32"/>
          <w:lang w:val="en-US" w:eastAsia="zh-CN"/>
        </w:rPr>
        <w:t>。</w:t>
      </w:r>
    </w:p>
    <w:bookmarkEnd w:id="12"/>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13" w:name="_Toc23256"/>
      <w:r>
        <w:rPr>
          <w:rFonts w:hint="eastAsia" w:ascii="仿宋" w:hAnsi="仿宋" w:eastAsia="仿宋" w:cs="仿宋"/>
          <w:sz w:val="32"/>
          <w:szCs w:val="32"/>
          <w:lang w:val="en-US" w:eastAsia="zh-CN"/>
        </w:rPr>
        <w:t>案例九：</w:t>
      </w:r>
      <w:r>
        <w:rPr>
          <w:rFonts w:hint="eastAsia" w:ascii="仿宋" w:hAnsi="仿宋" w:eastAsia="仿宋" w:cs="仿宋"/>
          <w:b w:val="0"/>
          <w:bCs w:val="0"/>
          <w:sz w:val="32"/>
          <w:szCs w:val="32"/>
          <w:lang w:val="en-US" w:eastAsia="zh-CN"/>
        </w:rPr>
        <w:t>国产缓蚀剂标准研究与应用</w:t>
      </w:r>
      <w:bookmarkEnd w:id="13"/>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中国特种飞行器研究所</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荆门市市场监督管理局</w:t>
      </w:r>
    </w:p>
    <w:p>
      <w:pPr>
        <w:spacing w:beforeLines="0" w:afterLines="0" w:line="560" w:lineRule="exact"/>
        <w:ind w:firstLine="640" w:firstLineChars="200"/>
        <w:jc w:val="both"/>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中国特种飞行器研究所针对航空装备腐蚀防护需求，历经十余年攻关，构建了“产品研制—标准制定—性能验证—工程应用”全链条标准化模式。通过对标国际、自主创新，研制出硬膜、软膜、电子电气三类国产缓蚀剂，关键性能指标达到或超越进口产品；</w:t>
      </w:r>
      <w:r>
        <w:rPr>
          <w:rFonts w:hint="eastAsia" w:ascii="仿宋" w:hAnsi="仿宋" w:eastAsia="仿宋" w:cs="仿宋"/>
          <w:b w:val="0"/>
          <w:bCs w:val="0"/>
          <w:sz w:val="32"/>
          <w:szCs w:val="32"/>
          <w:lang w:val="en-US" w:eastAsia="zh-CN"/>
        </w:rPr>
        <w:t>制定</w:t>
      </w:r>
      <w:r>
        <w:rPr>
          <w:rFonts w:hint="default" w:ascii="仿宋" w:hAnsi="仿宋" w:eastAsia="仿宋" w:cs="仿宋"/>
          <w:b w:val="0"/>
          <w:bCs w:val="0"/>
          <w:sz w:val="32"/>
          <w:szCs w:val="32"/>
          <w:lang w:val="en-US" w:eastAsia="zh-CN"/>
        </w:rPr>
        <w:t>企业标准并</w:t>
      </w:r>
      <w:r>
        <w:rPr>
          <w:rFonts w:hint="eastAsia" w:ascii="仿宋" w:hAnsi="仿宋" w:eastAsia="仿宋" w:cs="仿宋"/>
          <w:b w:val="0"/>
          <w:bCs w:val="0"/>
          <w:sz w:val="32"/>
          <w:szCs w:val="32"/>
          <w:lang w:val="en-US" w:eastAsia="zh-CN"/>
        </w:rPr>
        <w:t>进行</w:t>
      </w:r>
      <w:r>
        <w:rPr>
          <w:rFonts w:hint="default" w:ascii="仿宋" w:hAnsi="仿宋" w:eastAsia="仿宋" w:cs="仿宋"/>
          <w:b w:val="0"/>
          <w:bCs w:val="0"/>
          <w:sz w:val="32"/>
          <w:szCs w:val="32"/>
          <w:lang w:val="en-US" w:eastAsia="zh-CN"/>
        </w:rPr>
        <w:t>自我声明公开，</w:t>
      </w:r>
      <w:r>
        <w:rPr>
          <w:rFonts w:hint="eastAsia" w:ascii="仿宋" w:hAnsi="仿宋" w:eastAsia="仿宋" w:cs="仿宋"/>
          <w:b w:val="0"/>
          <w:bCs w:val="0"/>
          <w:sz w:val="32"/>
          <w:szCs w:val="32"/>
          <w:lang w:val="en-US" w:eastAsia="zh-CN"/>
        </w:rPr>
        <w:t>牵头</w:t>
      </w:r>
      <w:r>
        <w:rPr>
          <w:rFonts w:hint="default" w:ascii="仿宋" w:hAnsi="仿宋" w:eastAsia="仿宋" w:cs="仿宋"/>
          <w:b w:val="0"/>
          <w:bCs w:val="0"/>
          <w:sz w:val="32"/>
          <w:szCs w:val="32"/>
          <w:lang w:val="en-US" w:eastAsia="zh-CN"/>
        </w:rPr>
        <w:t>制定民航行业标准《飞机缓蚀剂技术规范》（MH/T 6133</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2024），填补国内空白。成果已应用于AG600大型水陆两栖飞机及多型现役直升机，累计销售额1150万元，有效保障飞机结构安全，打破进口垄断，显著提升航空装备自主保障能力。该模式可在船舶、海洋工程等领域复制推广，具有广阔应用前景。</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14" w:name="_Toc13722"/>
      <w:r>
        <w:rPr>
          <w:rFonts w:hint="eastAsia" w:ascii="仿宋" w:hAnsi="仿宋" w:eastAsia="仿宋" w:cs="仿宋"/>
          <w:sz w:val="32"/>
          <w:szCs w:val="32"/>
          <w:lang w:val="en-US" w:eastAsia="zh-CN"/>
        </w:rPr>
        <w:t>案例十：</w:t>
      </w:r>
      <w:r>
        <w:rPr>
          <w:rFonts w:hint="eastAsia" w:ascii="仿宋" w:hAnsi="仿宋" w:eastAsia="仿宋" w:cs="仿宋"/>
          <w:b w:val="0"/>
          <w:bCs w:val="0"/>
          <w:sz w:val="32"/>
          <w:szCs w:val="32"/>
          <w:lang w:val="en-US" w:eastAsia="zh-CN"/>
        </w:rPr>
        <w:t>高附加值富硒产品精深加工标准化试点项目</w:t>
      </w:r>
      <w:bookmarkEnd w:id="14"/>
    </w:p>
    <w:p>
      <w:pPr>
        <w:spacing w:beforeLines="0" w:afterLines="0" w:line="560" w:lineRule="exact"/>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恩施德源硒材料工程科技有限公司</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恩施州市场监督管理局</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b w:val="0"/>
          <w:bCs w:val="0"/>
          <w:sz w:val="32"/>
          <w:szCs w:val="32"/>
          <w:lang w:val="en-US" w:eastAsia="zh-CN"/>
        </w:rPr>
        <w:t>恩施德源硒材料工程科技有限公司以</w:t>
      </w:r>
      <w:r>
        <w:rPr>
          <w:rFonts w:hint="eastAsia" w:ascii="仿宋" w:hAnsi="仿宋" w:eastAsia="仿宋" w:cs="仿宋"/>
          <w:b w:val="0"/>
          <w:bCs w:val="0"/>
          <w:kern w:val="0"/>
          <w:sz w:val="32"/>
          <w:szCs w:val="32"/>
          <w:highlight w:val="none"/>
          <w:lang w:val="en-US" w:eastAsia="zh-CN" w:bidi="ar"/>
        </w:rPr>
        <w:t>《植物硒肽粉》</w:t>
      </w:r>
      <w:r>
        <w:rPr>
          <w:rFonts w:hint="eastAsia" w:ascii="仿宋" w:hAnsi="仿宋" w:eastAsia="仿宋" w:cs="仿宋"/>
          <w:b w:val="0"/>
          <w:bCs w:val="0"/>
          <w:kern w:val="0"/>
          <w:sz w:val="32"/>
          <w:szCs w:val="32"/>
          <w:lang w:val="en-US" w:eastAsia="zh-CN" w:bidi="ar"/>
        </w:rPr>
        <w:t>《</w:t>
      </w:r>
      <w:bookmarkStart w:id="15" w:name="OLE_LINK3"/>
      <w:r>
        <w:rPr>
          <w:rFonts w:hint="eastAsia" w:ascii="仿宋" w:hAnsi="仿宋" w:eastAsia="仿宋" w:cs="仿宋"/>
          <w:b w:val="0"/>
          <w:bCs w:val="0"/>
          <w:kern w:val="0"/>
          <w:sz w:val="32"/>
          <w:szCs w:val="32"/>
          <w:lang w:val="en-US" w:eastAsia="zh-CN" w:bidi="ar"/>
        </w:rPr>
        <w:t>植物有机硒肽粉</w:t>
      </w:r>
      <w:bookmarkEnd w:id="15"/>
      <w:r>
        <w:rPr>
          <w:rFonts w:hint="eastAsia" w:ascii="仿宋" w:hAnsi="仿宋" w:eastAsia="仿宋" w:cs="仿宋"/>
          <w:b w:val="0"/>
          <w:bCs w:val="0"/>
          <w:kern w:val="0"/>
          <w:sz w:val="32"/>
          <w:szCs w:val="32"/>
          <w:lang w:val="en-US" w:eastAsia="zh-CN" w:bidi="ar"/>
        </w:rPr>
        <w:t>》《</w:t>
      </w:r>
      <w:r>
        <w:rPr>
          <w:rFonts w:hint="eastAsia" w:ascii="仿宋" w:hAnsi="仿宋" w:eastAsia="仿宋" w:cs="仿宋"/>
          <w:b w:val="0"/>
          <w:bCs w:val="0"/>
          <w:kern w:val="0"/>
          <w:sz w:val="32"/>
          <w:szCs w:val="32"/>
          <w:highlight w:val="none"/>
          <w:lang w:val="en-US" w:eastAsia="zh-CN" w:bidi="ar"/>
        </w:rPr>
        <w:t>土壤硒含量分级及划定</w:t>
      </w:r>
      <w:r>
        <w:rPr>
          <w:rFonts w:hint="eastAsia" w:ascii="仿宋" w:hAnsi="仿宋" w:eastAsia="仿宋" w:cs="仿宋"/>
          <w:b w:val="0"/>
          <w:bCs w:val="0"/>
          <w:kern w:val="0"/>
          <w:sz w:val="32"/>
          <w:szCs w:val="32"/>
          <w:lang w:val="en-US" w:eastAsia="zh-CN" w:bidi="ar"/>
        </w:rPr>
        <w:t>》</w:t>
      </w:r>
      <w:r>
        <w:rPr>
          <w:rFonts w:hint="eastAsia" w:ascii="仿宋" w:hAnsi="仿宋" w:eastAsia="仿宋" w:cs="仿宋"/>
          <w:b w:val="0"/>
          <w:bCs w:val="0"/>
          <w:kern w:val="0"/>
          <w:sz w:val="32"/>
          <w:szCs w:val="32"/>
          <w:highlight w:val="none"/>
          <w:lang w:val="en-US" w:eastAsia="zh-CN" w:bidi="ar"/>
        </w:rPr>
        <w:t>《堇叶碎米荠蛋白粉》《富有机硒青钱柳叶速溶茶粉》</w:t>
      </w:r>
      <w:r>
        <w:rPr>
          <w:rFonts w:hint="eastAsia" w:ascii="仿宋" w:hAnsi="仿宋" w:eastAsia="仿宋" w:cs="仿宋"/>
          <w:b w:val="0"/>
          <w:bCs w:val="0"/>
          <w:kern w:val="0"/>
          <w:sz w:val="32"/>
          <w:szCs w:val="32"/>
          <w:lang w:val="en-US" w:eastAsia="zh-CN" w:bidi="ar"/>
        </w:rPr>
        <w:t>等标准</w:t>
      </w:r>
      <w:r>
        <w:rPr>
          <w:rFonts w:hint="eastAsia" w:ascii="仿宋" w:hAnsi="仿宋" w:eastAsia="仿宋" w:cs="仿宋"/>
          <w:b w:val="0"/>
          <w:bCs w:val="0"/>
          <w:sz w:val="32"/>
          <w:szCs w:val="32"/>
          <w:lang w:val="en-US" w:eastAsia="zh-CN"/>
        </w:rPr>
        <w:t>为核心，系统构建富硒产业标准体系。在落实相关国家和行业标准的基础上，配套制定了覆盖生产、加工、监督、改进等全流程的</w:t>
      </w:r>
      <w:r>
        <w:rPr>
          <w:rFonts w:hint="eastAsia" w:ascii="仿宋" w:hAnsi="仿宋" w:eastAsia="仿宋" w:cs="仿宋"/>
          <w:b w:val="0"/>
          <w:bCs w:val="0"/>
          <w:kern w:val="0"/>
          <w:sz w:val="32"/>
          <w:szCs w:val="32"/>
          <w:highlight w:val="none"/>
          <w:lang w:val="en-US" w:eastAsia="zh-CN" w:bidi="ar"/>
        </w:rPr>
        <w:t>实施规程</w:t>
      </w:r>
      <w:r>
        <w:rPr>
          <w:rFonts w:hint="eastAsia" w:ascii="仿宋" w:hAnsi="仿宋" w:eastAsia="仿宋" w:cs="仿宋"/>
          <w:b w:val="0"/>
          <w:bCs w:val="0"/>
          <w:kern w:val="0"/>
          <w:sz w:val="32"/>
          <w:szCs w:val="32"/>
          <w:lang w:val="en-US" w:eastAsia="zh-CN" w:bidi="ar"/>
        </w:rPr>
        <w:t>、工</w:t>
      </w:r>
      <w:r>
        <w:rPr>
          <w:rFonts w:hint="eastAsia" w:ascii="仿宋" w:hAnsi="仿宋" w:eastAsia="仿宋" w:cs="仿宋"/>
          <w:b w:val="0"/>
          <w:bCs w:val="0"/>
          <w:sz w:val="32"/>
          <w:szCs w:val="32"/>
          <w:lang w:val="en-US" w:eastAsia="zh-CN"/>
        </w:rPr>
        <w:t>作</w:t>
      </w:r>
      <w:r>
        <w:rPr>
          <w:rFonts w:hint="eastAsia" w:ascii="仿宋" w:hAnsi="仿宋" w:eastAsia="仿宋" w:cs="仿宋"/>
          <w:b w:val="0"/>
          <w:bCs w:val="0"/>
          <w:kern w:val="0"/>
          <w:sz w:val="32"/>
          <w:szCs w:val="32"/>
          <w:lang w:val="en-US" w:eastAsia="zh-CN" w:bidi="ar"/>
        </w:rPr>
        <w:t>规范与</w:t>
      </w:r>
      <w:r>
        <w:rPr>
          <w:rFonts w:hint="eastAsia" w:ascii="仿宋" w:hAnsi="仿宋" w:eastAsia="仿宋" w:cs="仿宋"/>
          <w:b w:val="0"/>
          <w:bCs w:val="0"/>
          <w:sz w:val="32"/>
          <w:szCs w:val="32"/>
          <w:lang w:val="en-US" w:eastAsia="zh-CN"/>
        </w:rPr>
        <w:t>管理标准，</w:t>
      </w:r>
      <w:r>
        <w:rPr>
          <w:rFonts w:hint="eastAsia" w:ascii="仿宋" w:hAnsi="仿宋" w:eastAsia="仿宋" w:cs="仿宋"/>
          <w:sz w:val="32"/>
          <w:szCs w:val="32"/>
        </w:rPr>
        <w:t>实现产业各环节标准化管控全覆盖，有效提升富硒产业规范化、标准化生产水平</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rPr>
        <w:t>依托成套标准体系落地应用</w:t>
      </w:r>
      <w:r>
        <w:rPr>
          <w:rFonts w:hint="eastAsia" w:ascii="仿宋" w:hAnsi="仿宋" w:eastAsia="仿宋" w:cs="仿宋"/>
          <w:sz w:val="32"/>
          <w:szCs w:val="32"/>
          <w:lang w:eastAsia="zh-CN"/>
        </w:rPr>
        <w:t>，项目</w:t>
      </w:r>
      <w:r>
        <w:rPr>
          <w:rFonts w:hint="eastAsia" w:ascii="仿宋" w:hAnsi="仿宋" w:eastAsia="仿宋" w:cs="仿宋"/>
          <w:b w:val="0"/>
          <w:bCs w:val="0"/>
          <w:sz w:val="32"/>
          <w:szCs w:val="32"/>
          <w:lang w:val="en-US" w:eastAsia="zh-CN"/>
        </w:rPr>
        <w:t>完成多款精深加工产品开发及升级，产生1.07亿元经济效益。</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lang w:val="en-US" w:eastAsia="zh-CN"/>
        </w:rPr>
      </w:pPr>
      <w:bookmarkStart w:id="16" w:name="_Toc27890"/>
      <w:r>
        <w:rPr>
          <w:rFonts w:hint="eastAsia" w:ascii="黑体" w:hAnsi="黑体" w:eastAsia="黑体" w:cs="黑体"/>
          <w:b w:val="0"/>
          <w:bCs/>
          <w:lang w:val="en-US" w:eastAsia="zh-CN"/>
        </w:rPr>
        <w:t>二</w:t>
      </w:r>
      <w:r>
        <w:rPr>
          <w:rFonts w:hint="eastAsia" w:ascii="黑体" w:hAnsi="黑体" w:cs="黑体"/>
          <w:b w:val="0"/>
          <w:bCs/>
          <w:lang w:val="en-US" w:eastAsia="zh-CN"/>
        </w:rPr>
        <w:t>、</w:t>
      </w:r>
      <w:r>
        <w:rPr>
          <w:rFonts w:hint="eastAsia" w:ascii="黑体" w:hAnsi="黑体" w:eastAsia="黑体" w:cs="黑体"/>
          <w:b w:val="0"/>
          <w:bCs/>
          <w:lang w:val="en-US" w:eastAsia="zh-CN"/>
        </w:rPr>
        <w:t>湖南省</w:t>
      </w:r>
      <w:bookmarkEnd w:id="16"/>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17" w:name="_Toc21954"/>
      <w:r>
        <w:rPr>
          <w:rFonts w:hint="eastAsia" w:ascii="仿宋" w:hAnsi="仿宋" w:eastAsia="仿宋" w:cs="仿宋"/>
          <w:sz w:val="32"/>
          <w:szCs w:val="32"/>
          <w:lang w:val="en-US" w:eastAsia="zh-CN"/>
        </w:rPr>
        <w:t>案例一：</w:t>
      </w:r>
      <w:r>
        <w:rPr>
          <w:rFonts w:hint="eastAsia" w:ascii="仿宋" w:hAnsi="仿宋" w:eastAsia="仿宋" w:cs="仿宋"/>
          <w:b w:val="0"/>
          <w:bCs w:val="0"/>
          <w:sz w:val="32"/>
          <w:szCs w:val="32"/>
          <w:lang w:val="en-US" w:eastAsia="zh-CN"/>
        </w:rPr>
        <w:t>基于镉含量的稻谷分级收储技术规程</w:t>
      </w:r>
      <w:bookmarkEnd w:id="17"/>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湖南省粮油产品质量监测中心</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湖南省农业农村厅</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湖南省粮油产品质量监测中心牵头制定省级地方标准《基于镉含量的稻谷分级收储技术规程》（DB43/T 1577-2024），聚焦长江中游水稻主产区稻谷镉污染防控与粮食收储规范化核心痛点，构建“宣贯+指导+示范+监管”闭环体系，创新轻量化实操模式与全链条闭环管控机制，推动标准在全省粮库全面落地应用。标准实施后有效阻断超标稻谷流入口粮市场，落实优粮优价，降低粮食损耗，兼顾社会效益、经济效益与生态效益。案例契合区域产业共性需求，模式可复制、易推广，可为长江中游三省粮食质量安全协同管控、粮食收储行业标准化升级提供典型示范。</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18" w:name="_Toc32187"/>
      <w:r>
        <w:rPr>
          <w:rFonts w:hint="eastAsia" w:ascii="仿宋" w:hAnsi="仿宋" w:eastAsia="仿宋" w:cs="仿宋"/>
          <w:sz w:val="32"/>
          <w:szCs w:val="32"/>
          <w:lang w:val="en-US" w:eastAsia="zh-CN"/>
        </w:rPr>
        <w:t>案例二：</w:t>
      </w:r>
      <w:r>
        <w:rPr>
          <w:rFonts w:hint="eastAsia" w:ascii="仿宋" w:hAnsi="仿宋" w:eastAsia="仿宋" w:cs="仿宋"/>
          <w:b w:val="0"/>
          <w:bCs w:val="0"/>
          <w:sz w:val="32"/>
          <w:szCs w:val="32"/>
          <w:lang w:val="en-US" w:eastAsia="zh-CN"/>
        </w:rPr>
        <w:t>水稻绿色生产技术集成研究与示范</w:t>
      </w:r>
      <w:bookmarkEnd w:id="18"/>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长沙市农业技术推广中心</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湖南省农业农村厅</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kern w:val="0"/>
          <w:sz w:val="32"/>
          <w:szCs w:val="32"/>
          <w:lang w:val="en-US" w:eastAsia="zh-CN" w:bidi="ar"/>
        </w:rPr>
        <w:t>长沙市农业技术推广中心牵头制定湖南省农业技术规程</w:t>
      </w:r>
      <w:r>
        <w:rPr>
          <w:rFonts w:hint="eastAsia" w:ascii="仿宋" w:hAnsi="仿宋" w:eastAsia="仿宋" w:cs="仿宋"/>
          <w:b w:val="0"/>
          <w:bCs w:val="0"/>
          <w:kern w:val="0"/>
          <w:sz w:val="32"/>
          <w:szCs w:val="32"/>
          <w:highlight w:val="none"/>
          <w:lang w:val="en-US" w:eastAsia="zh-CN" w:bidi="ar"/>
        </w:rPr>
        <w:t>《</w:t>
      </w:r>
      <w:bookmarkStart w:id="19" w:name="OLE_LINK4"/>
      <w:r>
        <w:rPr>
          <w:rFonts w:hint="eastAsia" w:ascii="仿宋" w:hAnsi="仿宋" w:eastAsia="仿宋" w:cs="仿宋"/>
          <w:b w:val="0"/>
          <w:bCs w:val="0"/>
          <w:kern w:val="0"/>
          <w:sz w:val="32"/>
          <w:szCs w:val="32"/>
          <w:highlight w:val="none"/>
          <w:lang w:val="en-US" w:eastAsia="zh-CN" w:bidi="ar"/>
        </w:rPr>
        <w:t>双季稻绿色生产技术规程</w:t>
      </w:r>
      <w:bookmarkEnd w:id="19"/>
      <w:r>
        <w:rPr>
          <w:rFonts w:hint="eastAsia" w:ascii="仿宋" w:hAnsi="仿宋" w:eastAsia="仿宋" w:cs="仿宋"/>
          <w:b w:val="0"/>
          <w:bCs w:val="0"/>
          <w:kern w:val="0"/>
          <w:sz w:val="32"/>
          <w:szCs w:val="32"/>
          <w:highlight w:val="none"/>
          <w:lang w:val="en-US" w:eastAsia="zh-CN" w:bidi="ar"/>
        </w:rPr>
        <w:t>》（HNNY 407-2023）</w:t>
      </w:r>
      <w:r>
        <w:rPr>
          <w:rFonts w:hint="eastAsia" w:ascii="仿宋" w:hAnsi="仿宋" w:eastAsia="仿宋" w:cs="仿宋"/>
          <w:b w:val="0"/>
          <w:bCs w:val="0"/>
          <w:kern w:val="0"/>
          <w:sz w:val="32"/>
          <w:szCs w:val="32"/>
          <w:lang w:val="en-US" w:eastAsia="zh-CN" w:bidi="ar"/>
        </w:rPr>
        <w:t>,</w:t>
      </w:r>
      <w:r>
        <w:rPr>
          <w:rFonts w:hint="eastAsia" w:ascii="仿宋" w:hAnsi="仿宋" w:eastAsia="仿宋" w:cs="仿宋"/>
          <w:b w:val="0"/>
          <w:bCs w:val="0"/>
          <w:sz w:val="32"/>
          <w:szCs w:val="32"/>
          <w:lang w:val="en-US" w:eastAsia="zh-CN"/>
        </w:rPr>
        <w:t>针对长沙水稻品种多乱杂、化肥农药过量、面源污染严重及产业效益低等问题，创新构建“政府引导－科研支撑－企业主体－产业经营”四位一体推广模式，集成了丰产优质良种、“增苗节氮”栽培、绿肥稻草还田培肥及病虫草害绿色防控等六大技术体系，大力推广集成绿色生产技术，推动稻米产业提质增效。近三年来，累计推广绿色生产技术模式76.4万亩，生产优质稻谷6.7亿公斤，新增稻谷4139万公斤；实现总经济效益21.28亿元，新增纯收益4.13亿元，带动农民增收3亿元。稻米品质普遍提升1个等级，农药化肥使用量显著减少，面源污染得到有效控制。项目形成的系统性技术方案和创新推广机制，为南方双季稻区绿色生产提供了可复制的样板。</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20" w:name="_Toc29119"/>
      <w:r>
        <w:rPr>
          <w:rFonts w:hint="eastAsia" w:ascii="仿宋" w:hAnsi="仿宋" w:eastAsia="仿宋" w:cs="仿宋"/>
          <w:sz w:val="32"/>
          <w:szCs w:val="32"/>
          <w:lang w:val="en-US" w:eastAsia="zh-CN"/>
        </w:rPr>
        <w:t>案例三：</w:t>
      </w:r>
      <w:r>
        <w:rPr>
          <w:rFonts w:hint="eastAsia" w:ascii="仿宋" w:hAnsi="仿宋" w:eastAsia="仿宋" w:cs="仿宋"/>
          <w:b w:val="0"/>
          <w:bCs w:val="0"/>
          <w:sz w:val="32"/>
          <w:szCs w:val="32"/>
          <w:lang w:val="en-US" w:eastAsia="zh-CN"/>
        </w:rPr>
        <w:t>以标准软联通赋能长江中游三省工程机械产业高质量发展与制度型开放</w:t>
      </w:r>
      <w:bookmarkEnd w:id="20"/>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长沙市工程机械行业协会</w:t>
      </w:r>
    </w:p>
    <w:p>
      <w:pPr>
        <w:spacing w:beforeLines="0" w:afterLines="0" w:line="560" w:lineRule="exact"/>
        <w:ind w:firstLine="643" w:firstLineChars="2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湖南省市场监督管理局</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长沙市工程机械行业协会聚焦长江中游三省特色优势的工程机械产业，针对国内二手设备流通无序、国际交易壁垒突出等痛点，打造全国首个工程机械二手设备出口标准化体系。构建四层全流程标准框架，研制8项团体标准并推动2项升级为湘琼地方标准，同步制定标准外文版，与马来西亚实现标准互认，还与多国商协会开展战略合作并布局海外办事机构。该体系打通二手设备出口渠道，企业海外销售提升20%，带动超万人就业，形成产业集群，为长江中游三省产业协同、制度型开放提供示范，也为全国相关行业治理提供可复制路径。</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21" w:name="_Toc22616"/>
      <w:r>
        <w:rPr>
          <w:rFonts w:hint="eastAsia" w:ascii="仿宋" w:hAnsi="仿宋" w:eastAsia="仿宋" w:cs="仿宋"/>
          <w:sz w:val="32"/>
          <w:szCs w:val="32"/>
          <w:lang w:val="en-US" w:eastAsia="zh-CN"/>
        </w:rPr>
        <w:t>案例四：</w:t>
      </w:r>
      <w:r>
        <w:rPr>
          <w:rFonts w:hint="eastAsia" w:ascii="仿宋" w:hAnsi="仿宋" w:eastAsia="仿宋" w:cs="仿宋"/>
          <w:b w:val="0"/>
          <w:bCs w:val="0"/>
          <w:sz w:val="32"/>
          <w:szCs w:val="32"/>
          <w:lang w:val="en-US" w:eastAsia="zh-CN"/>
        </w:rPr>
        <w:t>粮食产业链标准创新与研发融合示范</w:t>
      </w:r>
      <w:bookmarkEnd w:id="21"/>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湖南助农米业有限公司</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益阳市市场监督管理局</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bookmarkStart w:id="22" w:name="OLE_LINK5"/>
      <w:r>
        <w:rPr>
          <w:rFonts w:hint="eastAsia" w:ascii="仿宋" w:hAnsi="仿宋" w:eastAsia="仿宋" w:cs="仿宋"/>
          <w:b w:val="0"/>
          <w:bCs w:val="0"/>
          <w:sz w:val="32"/>
          <w:szCs w:val="32"/>
          <w:lang w:val="en-US" w:eastAsia="zh-CN"/>
        </w:rPr>
        <w:t>湖南助农米业有限公司专注于稻虾米精深加工，构建“产学研用”协同创新机制，联合中南林业科技大学、长沙理工大学等高校成立标准化创新研发中心，聚焦米珍、胚芽等高值化产品研发，以标准化引领产</w:t>
      </w:r>
      <w:r>
        <w:rPr>
          <w:rFonts w:hint="eastAsia" w:ascii="仿宋" w:hAnsi="仿宋" w:eastAsia="仿宋" w:cs="仿宋"/>
          <w:b w:val="0"/>
          <w:bCs w:val="0"/>
          <w:sz w:val="32"/>
          <w:szCs w:val="32"/>
          <w:highlight w:val="none"/>
          <w:lang w:val="en-US" w:eastAsia="zh-CN"/>
        </w:rPr>
        <w:t>业升级。牵头制定团体</w:t>
      </w:r>
      <w:r>
        <w:rPr>
          <w:rFonts w:hint="eastAsia" w:ascii="仿宋" w:hAnsi="仿宋" w:eastAsia="仿宋" w:cs="仿宋"/>
          <w:b w:val="0"/>
          <w:bCs w:val="0"/>
          <w:sz w:val="32"/>
          <w:szCs w:val="32"/>
          <w:lang w:val="en-US" w:eastAsia="zh-CN"/>
        </w:rPr>
        <w:t>标准《大米胚芽》（T/HNLJXH 0003-2025），参与制定团体标准5项、企业标准12项，并荣获首批国家粮油适度加工标准化试点企业。通过标准化生产技术提质创新，2025年产值较标准实施应用前增长30%以上，依托米珍、胚芽、米糠等稻谷副产物各品类适度加工技术标准，实现了从“粗放加工”向“精准加工”转型，稻谷出米率提高2个百分点，单位产品能耗下降10%，年减少粮食损耗约300吨。米胚芽、米糠等副产物实现全方位资源化利用，经济效益与质量效益双提升，为农产品粮食精深加工行业提供可复制的标准化发展路径。</w:t>
      </w:r>
    </w:p>
    <w:bookmarkEnd w:id="22"/>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23" w:name="_Toc2387"/>
      <w:r>
        <w:rPr>
          <w:rFonts w:hint="eastAsia" w:ascii="仿宋" w:hAnsi="仿宋" w:eastAsia="仿宋" w:cs="仿宋"/>
          <w:sz w:val="32"/>
          <w:szCs w:val="32"/>
          <w:lang w:val="en-US" w:eastAsia="zh-CN"/>
        </w:rPr>
        <w:t>案例五：</w:t>
      </w:r>
      <w:r>
        <w:rPr>
          <w:rFonts w:hint="eastAsia" w:ascii="仿宋" w:hAnsi="仿宋" w:eastAsia="仿宋" w:cs="仿宋"/>
          <w:b w:val="0"/>
          <w:bCs w:val="0"/>
          <w:sz w:val="32"/>
          <w:szCs w:val="32"/>
          <w:lang w:val="en-US" w:eastAsia="zh-CN"/>
        </w:rPr>
        <w:t>郴州市北湖区自驾游发展标准化工作案例</w:t>
      </w:r>
      <w:bookmarkEnd w:id="23"/>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湖南省自驾旅游与露营房车标准化技术委员会</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郴州市市场监督管理局</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湖南省自驾旅游与露营房车标准化技术委员会以标准化为突破口，针对自驾游发展中的产业功能边界固化、服务供给分散、区域市场分割等“壁垒”，探索出“标准破壁”的创新路径。一是打破产业功能边界之壁。依托《自驾游服务标准体系》，将40公里郴仰公路改造为集交通、旅游、休憩于一体的标准化景观大道，沿线建设自驾游服务中心、驿站、观景台等设施，催生“公路+”新业态。二是打破服务系统分散之壁。以《涉旅企业旅游服务规范》为指导，对沿线民宿、农庄、商店进行标准化提质，引导服务供给从无序经营向规范升级转变，带动50亿元资本涌入，形成露营地、乡村民宿等多元业态集群。三是打破区域市场分割之壁。联合大湾区九城成立“9+1”自驾旅游标准化战略联盟，通过标准“互认、共享、共建”，统一市场规则，畅通黄金自驾线路，全区70%游客来自大湾区。北湖区因此获评全国旅游标准化示范单位，游客满意度达97%，为旅游新业态标准化建设提供了“先立标准、再破壁垒”的实践经验。</w:t>
      </w:r>
    </w:p>
    <w:p>
      <w:pPr>
        <w:spacing w:beforeLines="0" w:afterLines="0" w:line="560" w:lineRule="exact"/>
        <w:ind w:firstLine="640" w:firstLineChars="200"/>
        <w:jc w:val="left"/>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br w:type="page"/>
      </w:r>
    </w:p>
    <w:p>
      <w:pPr>
        <w:pStyle w:val="2"/>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lang w:val="en-US" w:eastAsia="zh-CN"/>
        </w:rPr>
      </w:pPr>
      <w:bookmarkStart w:id="24" w:name="_Toc511"/>
      <w:r>
        <w:rPr>
          <w:rFonts w:hint="eastAsia" w:ascii="黑体" w:hAnsi="黑体" w:eastAsia="黑体" w:cs="黑体"/>
          <w:b w:val="0"/>
          <w:bCs/>
          <w:lang w:val="en-US" w:eastAsia="zh-CN"/>
        </w:rPr>
        <w:t>三</w:t>
      </w:r>
      <w:r>
        <w:rPr>
          <w:rFonts w:hint="eastAsia" w:ascii="黑体" w:hAnsi="黑体" w:cs="黑体"/>
          <w:b w:val="0"/>
          <w:bCs/>
          <w:lang w:val="en-US" w:eastAsia="zh-CN"/>
        </w:rPr>
        <w:t>、</w:t>
      </w:r>
      <w:r>
        <w:rPr>
          <w:rFonts w:hint="eastAsia" w:ascii="黑体" w:hAnsi="黑体" w:eastAsia="黑体" w:cs="黑体"/>
          <w:b w:val="0"/>
          <w:bCs/>
          <w:lang w:val="en-US" w:eastAsia="zh-CN"/>
        </w:rPr>
        <w:t>江西省</w:t>
      </w:r>
      <w:bookmarkEnd w:id="24"/>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25" w:name="_Toc1873"/>
      <w:r>
        <w:rPr>
          <w:rFonts w:hint="eastAsia" w:ascii="仿宋" w:hAnsi="仿宋" w:eastAsia="仿宋" w:cs="仿宋"/>
          <w:sz w:val="32"/>
          <w:szCs w:val="32"/>
          <w:lang w:val="en-US" w:eastAsia="zh-CN"/>
        </w:rPr>
        <w:t>案例一：</w:t>
      </w:r>
      <w:r>
        <w:rPr>
          <w:rFonts w:hint="eastAsia" w:ascii="仿宋" w:hAnsi="仿宋" w:eastAsia="仿宋" w:cs="仿宋"/>
          <w:b w:val="0"/>
          <w:bCs w:val="0"/>
          <w:sz w:val="32"/>
          <w:szCs w:val="32"/>
          <w:lang w:val="en-US" w:eastAsia="zh-CN"/>
        </w:rPr>
        <w:t>从“被动处置”到“主动预防”：困境儿童监护风险干预标准化体系构建与实施</w:t>
      </w:r>
      <w:bookmarkEnd w:id="25"/>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江西省未成年人保护中心</w:t>
      </w:r>
    </w:p>
    <w:p>
      <w:pPr>
        <w:spacing w:beforeLines="0" w:afterLines="0" w:line="560" w:lineRule="exact"/>
        <w:ind w:firstLine="643" w:firstLineChars="200"/>
        <w:jc w:val="both"/>
        <w:outlineLvl w:val="0"/>
        <w:rPr>
          <w:rFonts w:hint="eastAsia" w:ascii="仿宋" w:hAnsi="仿宋" w:eastAsia="仿宋" w:cs="仿宋"/>
          <w:b/>
          <w:bCs/>
          <w:sz w:val="32"/>
          <w:szCs w:val="32"/>
          <w:lang w:val="en-US" w:eastAsia="zh-CN"/>
        </w:rPr>
      </w:pPr>
      <w:bookmarkStart w:id="26" w:name="_Toc13007"/>
      <w:bookmarkStart w:id="27" w:name="_Toc18683"/>
      <w:bookmarkStart w:id="28" w:name="_Toc27180"/>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江西省民政厅</w:t>
      </w:r>
      <w:bookmarkEnd w:id="26"/>
      <w:bookmarkEnd w:id="27"/>
      <w:bookmarkEnd w:id="28"/>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江西省未成年人保护中心牵头制定省级地方标准《困境儿童监护风险干预指南》（DB36/T 1855-2023），为全国首个聚焦困境儿童监护风险干预的省级地方标准。标准创新构建“风险核查—评估分级—服务干预—效果评估”全流程闭环模式，建立涵盖8大领域、39项指标的“8+39”分级干预体系，配套四级风险分级响应机制，实现高风险儿童24小时内介入、中风险一周内跟进。为推进标准落地，江西省将其纳入省政府民生实事，财政统筹保障，累计评估4.36万人次，并对中、高风险儿童实施干预。同时，研制配套地方标准7项及行业标准1项，开展31家省级试点并获国家级标准化突破。配齐2.36万基层儿童工作者并培训2万人次，有效提升监护干预能力。山东、安徽、湖北等多省民政部门来赣交流转化，为长江中游三省儿童保护协同发展提供可复制的制度样本。</w:t>
      </w:r>
      <w:bookmarkStart w:id="29" w:name="_Toc8612"/>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案例二：</w:t>
      </w:r>
      <w:r>
        <w:rPr>
          <w:rFonts w:hint="eastAsia" w:ascii="仿宋" w:hAnsi="仿宋" w:eastAsia="仿宋" w:cs="仿宋"/>
          <w:b w:val="0"/>
          <w:bCs w:val="0"/>
          <w:sz w:val="32"/>
          <w:szCs w:val="32"/>
          <w:lang w:val="en-US" w:eastAsia="zh-CN"/>
        </w:rPr>
        <w:t>从“达标排放”到“利用优先”：全链条标准化引领农村生活污水治理的江西实践</w:t>
      </w:r>
      <w:bookmarkEnd w:id="29"/>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30" w:name="_Toc6883"/>
      <w:bookmarkStart w:id="31" w:name="_Toc22054"/>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江西省生态环境科学研究与规划院</w:t>
      </w:r>
      <w:bookmarkEnd w:id="30"/>
      <w:bookmarkEnd w:id="31"/>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江西省生态环境厅</w:t>
      </w:r>
    </w:p>
    <w:p>
      <w:pPr>
        <w:spacing w:beforeLines="0" w:afterLines="0" w:line="560" w:lineRule="exact"/>
        <w:ind w:firstLine="640" w:firstLineChars="200"/>
        <w:jc w:val="both"/>
        <w:rPr>
          <w:rFonts w:hint="default" w:ascii="仿宋" w:hAnsi="仿宋" w:eastAsia="仿宋" w:cs="仿宋"/>
          <w:b w:val="0"/>
          <w:bCs w:val="0"/>
          <w:sz w:val="32"/>
          <w:szCs w:val="32"/>
          <w:lang w:val="en-US" w:eastAsia="zh-CN"/>
        </w:rPr>
      </w:pPr>
      <w:bookmarkStart w:id="32" w:name="OLE_LINK6"/>
      <w:r>
        <w:rPr>
          <w:rFonts w:hint="eastAsia" w:ascii="仿宋" w:hAnsi="仿宋" w:eastAsia="仿宋" w:cs="仿宋"/>
          <w:b w:val="0"/>
          <w:bCs w:val="0"/>
          <w:sz w:val="32"/>
          <w:szCs w:val="32"/>
          <w:lang w:val="en-US" w:eastAsia="zh-CN"/>
        </w:rPr>
        <w:t>江西省生态环境科学研究与规划院</w:t>
      </w:r>
      <w:r>
        <w:rPr>
          <w:rFonts w:hint="default" w:ascii="仿宋" w:hAnsi="仿宋" w:eastAsia="仿宋" w:cs="仿宋"/>
          <w:b w:val="0"/>
          <w:bCs w:val="0"/>
          <w:sz w:val="32"/>
          <w:szCs w:val="32"/>
          <w:lang w:val="en-US" w:eastAsia="zh-CN"/>
        </w:rPr>
        <w:t>针对农村生活污水治理难题，系统研制了</w:t>
      </w:r>
      <w:r>
        <w:rPr>
          <w:rFonts w:hint="eastAsia" w:ascii="仿宋" w:hAnsi="仿宋" w:eastAsia="仿宋" w:cs="仿宋"/>
          <w:b w:val="0"/>
          <w:bCs w:val="0"/>
          <w:sz w:val="32"/>
          <w:szCs w:val="32"/>
          <w:lang w:val="en-US" w:eastAsia="zh-CN"/>
        </w:rPr>
        <w:t>6</w:t>
      </w:r>
      <w:r>
        <w:rPr>
          <w:rFonts w:hint="default" w:ascii="仿宋" w:hAnsi="仿宋" w:eastAsia="仿宋" w:cs="仿宋"/>
          <w:b w:val="0"/>
          <w:bCs w:val="0"/>
          <w:sz w:val="32"/>
          <w:szCs w:val="32"/>
          <w:lang w:val="en-US" w:eastAsia="zh-CN"/>
        </w:rPr>
        <w:t>项</w:t>
      </w:r>
      <w:r>
        <w:rPr>
          <w:rFonts w:hint="eastAsia" w:ascii="仿宋" w:hAnsi="仿宋" w:eastAsia="仿宋" w:cs="仿宋"/>
          <w:b w:val="0"/>
          <w:bCs w:val="0"/>
          <w:sz w:val="32"/>
          <w:szCs w:val="32"/>
          <w:lang w:val="en-US" w:eastAsia="zh-CN"/>
        </w:rPr>
        <w:t>省级</w:t>
      </w:r>
      <w:r>
        <w:rPr>
          <w:rFonts w:hint="default" w:ascii="仿宋" w:hAnsi="仿宋" w:eastAsia="仿宋" w:cs="仿宋"/>
          <w:b w:val="0"/>
          <w:bCs w:val="0"/>
          <w:sz w:val="32"/>
          <w:szCs w:val="32"/>
          <w:lang w:val="en-US" w:eastAsia="zh-CN"/>
        </w:rPr>
        <w:t>地方标准，构建了覆盖“规划—设计—建设—验收—运维—利用”的全链条标准体系。该系列标准创新性地提出了因地制宜的分类治理模式和“农水农用”的资源化路径，提供了量化可操作的技术指标。标准实施后，显著降低了农村生活污水治理设施建设和运维成本，大幅提升了全省农村污水治理（管控）率和农村人居环境质量，并有效支撑了鄱阳湖水生态环境质量改善</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其系统性和适用性为长江中游及南方地区提供了可复制的“江西样板”。</w:t>
      </w:r>
    </w:p>
    <w:bookmarkEnd w:id="32"/>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33" w:name="_Toc30420"/>
      <w:r>
        <w:rPr>
          <w:rFonts w:hint="eastAsia" w:ascii="仿宋" w:hAnsi="仿宋" w:eastAsia="仿宋" w:cs="仿宋"/>
          <w:sz w:val="32"/>
          <w:szCs w:val="32"/>
          <w:lang w:val="en-US" w:eastAsia="zh-CN"/>
        </w:rPr>
        <w:t>案例三：</w:t>
      </w:r>
      <w:bookmarkStart w:id="34" w:name="OLE_LINK7"/>
      <w:r>
        <w:rPr>
          <w:rFonts w:hint="eastAsia" w:ascii="仿宋" w:hAnsi="仿宋" w:eastAsia="仿宋" w:cs="仿宋"/>
          <w:b w:val="0"/>
          <w:bCs w:val="0"/>
          <w:sz w:val="32"/>
          <w:szCs w:val="32"/>
          <w:lang w:val="en-US" w:eastAsia="zh-CN"/>
        </w:rPr>
        <w:t>标准化助力锂电产业高质量发展</w:t>
      </w:r>
      <w:bookmarkEnd w:id="33"/>
      <w:bookmarkEnd w:id="34"/>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宜春市公路事业发展中心</w:t>
      </w:r>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江西省交通运输厅</w:t>
      </w:r>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宜春市公路事业发展中心牵头制定省级地方标准《公路路基工程利用锂渣技术规范（试行）》（DB36/T 1968-2024），聚焦锂电产业发展伴生固废处置痛点，创新构建锂渣在公路路基工程中的标准化应用路径，实现绿色闭环，具备良好示范价值。通过政企研协同攻关，经室内试验及试验路段铺筑验证，创新了物理化学改良及“金包银”防护工艺，实施全生命周期管控，筑牢环保底线，填补行业空白。标准实施后，累计消纳锂渣近30万吨，降低公路建设成本15%以上，节省处置费用超千万元，减少碳排放20%以上，有效破解锂电产业发展的固废处置卡脖子难题。</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35" w:name="_Toc22171"/>
      <w:r>
        <w:rPr>
          <w:rFonts w:hint="eastAsia" w:ascii="仿宋" w:hAnsi="仿宋" w:eastAsia="仿宋" w:cs="仿宋"/>
          <w:sz w:val="32"/>
          <w:szCs w:val="32"/>
          <w:lang w:val="en-US" w:eastAsia="zh-CN"/>
        </w:rPr>
        <w:t>案例四：</w:t>
      </w:r>
      <w:r>
        <w:rPr>
          <w:rFonts w:hint="eastAsia" w:ascii="仿宋" w:hAnsi="仿宋" w:eastAsia="仿宋" w:cs="仿宋"/>
          <w:b w:val="0"/>
          <w:bCs w:val="0"/>
          <w:sz w:val="32"/>
          <w:szCs w:val="32"/>
          <w:lang w:val="en-US" w:eastAsia="zh-CN"/>
        </w:rPr>
        <w:t>江西河湖“健康体检”全覆盖——江西省健康河湖评估标准系统构建与实践</w:t>
      </w:r>
      <w:bookmarkEnd w:id="35"/>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江西省水利科学院</w:t>
      </w:r>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36" w:name="_Toc30181"/>
      <w:bookmarkStart w:id="37" w:name="_Toc15485"/>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江西省水利厅</w:t>
      </w:r>
      <w:bookmarkEnd w:id="36"/>
      <w:bookmarkEnd w:id="37"/>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江西省水利科学院针对江西河湖健康诊断需求与技术瓶颈，历时10年研制省级地方标准《河湖（水库）健康评价导则》（DB36/T 1404-2021），获省河长办、省水利厅采纳应用。该成果被纳入《江西省推进新时代水生态文明建设高质量发展五年行动计划（2021-2025年）》，评价结果作为河长制考核依据，支撑全省11个设区市、100个县（市、区）河湖健康评价与问题诊断全覆盖。该标准的应用为精准识别河湖问题、科学施策及功能提升提供关键技术支撑，助力全省水利工程生态流量保障率达到100%，显著改善鄱阳湖水质，有力提升河湖管护效能。同时，项目培养约30名专业技术人才及100余名河长制工作骨干，为江西省河湖保护与管理提供持续支撑，取得显著的社会、生态和环境效益。</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38" w:name="_Toc23329"/>
      <w:r>
        <w:rPr>
          <w:rFonts w:hint="eastAsia" w:ascii="仿宋" w:hAnsi="仿宋" w:eastAsia="仿宋" w:cs="仿宋"/>
          <w:sz w:val="32"/>
          <w:szCs w:val="32"/>
          <w:lang w:val="en-US" w:eastAsia="zh-CN"/>
        </w:rPr>
        <w:t>案例五：</w:t>
      </w:r>
      <w:r>
        <w:rPr>
          <w:rFonts w:hint="eastAsia" w:ascii="仿宋" w:hAnsi="仿宋" w:eastAsia="仿宋" w:cs="仿宋"/>
          <w:b w:val="0"/>
          <w:bCs w:val="0"/>
          <w:sz w:val="32"/>
          <w:szCs w:val="32"/>
          <w:lang w:val="en-US" w:eastAsia="zh-CN"/>
        </w:rPr>
        <w:t>标准引领绿色转型 打造公共机构节能“江西样板”</w:t>
      </w:r>
      <w:bookmarkEnd w:id="38"/>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39" w:name="_Toc11910"/>
      <w:bookmarkStart w:id="40" w:name="_Toc14555"/>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江西省机关事务管理局</w:t>
      </w:r>
      <w:bookmarkEnd w:id="39"/>
      <w:bookmarkEnd w:id="40"/>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41" w:name="_Toc1492"/>
      <w:bookmarkStart w:id="42" w:name="_Toc24948"/>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江西省机关事务管理局</w:t>
      </w:r>
      <w:bookmarkEnd w:id="41"/>
      <w:bookmarkEnd w:id="42"/>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江西省机关事务管理局坚持以标准为引领，助力江西打造国家生态文明建设高地，先后研制</w:t>
      </w:r>
      <w:r>
        <w:rPr>
          <w:rFonts w:hint="eastAsia" w:ascii="仿宋" w:hAnsi="仿宋" w:eastAsia="仿宋" w:cs="仿宋"/>
          <w:sz w:val="32"/>
          <w:szCs w:val="32"/>
        </w:rPr>
        <w:t>《公共机构能耗定额》</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rPr>
        <w:t>DB36/T 1343-2020</w:t>
      </w:r>
      <w:r>
        <w:rPr>
          <w:rFonts w:hint="eastAsia" w:ascii="仿宋" w:hAnsi="仿宋" w:eastAsia="仿宋" w:cs="仿宋"/>
          <w:b w:val="0"/>
          <w:bCs w:val="0"/>
          <w:sz w:val="32"/>
          <w:szCs w:val="32"/>
          <w:lang w:val="en-US" w:eastAsia="zh-CN"/>
        </w:rPr>
        <w:t>）等8项省级地方标准，其中能耗定额标准被列为全国机关事务标准化试点项目，并入选</w:t>
      </w:r>
      <w:bookmarkStart w:id="43" w:name="OLE_LINK8"/>
      <w:r>
        <w:rPr>
          <w:rFonts w:hint="eastAsia" w:ascii="仿宋" w:hAnsi="仿宋" w:eastAsia="仿宋" w:cs="仿宋"/>
          <w:b w:val="0"/>
          <w:bCs w:val="0"/>
          <w:sz w:val="32"/>
          <w:szCs w:val="32"/>
          <w:lang w:val="en-US" w:eastAsia="zh-CN"/>
        </w:rPr>
        <w:t>国管局、市场监管总局“第一批机关事务标准化试点范例”</w:t>
      </w:r>
      <w:bookmarkEnd w:id="43"/>
      <w:r>
        <w:rPr>
          <w:rFonts w:hint="eastAsia" w:ascii="仿宋" w:hAnsi="仿宋" w:eastAsia="仿宋" w:cs="仿宋"/>
          <w:b w:val="0"/>
          <w:bCs w:val="0"/>
          <w:sz w:val="32"/>
          <w:szCs w:val="32"/>
          <w:lang w:val="en-US" w:eastAsia="zh-CN"/>
        </w:rPr>
        <w:t>。该标准设定了精准细分的能耗定额分类，考虑不同类型公共机构用能特点，适配多样化用能需求，解决传统节能管理“一刀切”问题。通过标准化与信息化融合，依托数字化手段实现能耗精准监测，建立闭环管理机制。标准实施以来，江西省公共机构节能降碳工作成效显著，能源资源利用效率持续提升，在国家发展改革委、国管局组织的省级人民政府节能目标责任评价考核中，江西省公共机构节能领域连续多年获得满分。</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44" w:name="_Toc11557"/>
      <w:r>
        <w:rPr>
          <w:rFonts w:hint="eastAsia" w:ascii="仿宋" w:hAnsi="仿宋" w:eastAsia="仿宋" w:cs="仿宋"/>
          <w:sz w:val="32"/>
          <w:szCs w:val="32"/>
          <w:lang w:val="en-US" w:eastAsia="zh-CN"/>
        </w:rPr>
        <w:t>案例六：</w:t>
      </w:r>
      <w:bookmarkStart w:id="45" w:name="OLE_LINK9"/>
      <w:r>
        <w:rPr>
          <w:rFonts w:hint="eastAsia" w:ascii="仿宋" w:hAnsi="仿宋" w:eastAsia="仿宋" w:cs="仿宋"/>
          <w:b w:val="0"/>
          <w:bCs w:val="0"/>
          <w:sz w:val="32"/>
          <w:szCs w:val="32"/>
          <w:lang w:val="en-US" w:eastAsia="zh-CN"/>
        </w:rPr>
        <w:t>基于水性漆木家具标准化方法研究与应用</w:t>
      </w:r>
      <w:bookmarkEnd w:id="44"/>
      <w:bookmarkEnd w:id="45"/>
    </w:p>
    <w:p>
      <w:pPr>
        <w:spacing w:beforeLines="0" w:afterLines="0" w:line="560" w:lineRule="exact"/>
        <w:ind w:firstLine="643" w:firstLineChars="200"/>
        <w:jc w:val="both"/>
        <w:outlineLvl w:val="0"/>
        <w:rPr>
          <w:rFonts w:hint="eastAsia" w:ascii="仿宋" w:hAnsi="仿宋" w:eastAsia="仿宋" w:cs="仿宋"/>
          <w:b/>
          <w:bCs/>
          <w:sz w:val="32"/>
          <w:szCs w:val="32"/>
          <w:lang w:val="en-US" w:eastAsia="zh-CN"/>
        </w:rPr>
      </w:pPr>
      <w:bookmarkStart w:id="46" w:name="_Toc2796"/>
      <w:bookmarkStart w:id="47" w:name="_Toc2676"/>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江西团团圆家具有限公司</w:t>
      </w:r>
      <w:bookmarkEnd w:id="46"/>
      <w:bookmarkEnd w:id="47"/>
    </w:p>
    <w:p>
      <w:pPr>
        <w:spacing w:beforeLines="0" w:afterLines="0" w:line="560" w:lineRule="exact"/>
        <w:ind w:firstLine="643" w:firstLineChars="200"/>
        <w:jc w:val="both"/>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江西省工商业联合会</w:t>
      </w:r>
    </w:p>
    <w:p>
      <w:pPr>
        <w:spacing w:beforeLines="0" w:afterLines="0" w:line="560" w:lineRule="exact"/>
        <w:ind w:firstLine="640" w:firstLineChars="200"/>
        <w:jc w:val="both"/>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江西团团圆家具有限公司积极响应国家“双碳”战略与环保政策要求</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深耕家具产业绿色低碳转型，先行先试“油改水”源头替代，</w:t>
      </w:r>
      <w:r>
        <w:rPr>
          <w:rFonts w:hint="eastAsia" w:ascii="仿宋" w:hAnsi="仿宋" w:eastAsia="仿宋" w:cs="仿宋"/>
          <w:b w:val="0"/>
          <w:bCs w:val="0"/>
          <w:sz w:val="32"/>
          <w:szCs w:val="32"/>
          <w:lang w:val="en-US" w:eastAsia="zh-CN"/>
        </w:rPr>
        <w:t>创新</w:t>
      </w:r>
      <w:r>
        <w:rPr>
          <w:rFonts w:hint="default" w:ascii="仿宋" w:hAnsi="仿宋" w:eastAsia="仿宋" w:cs="仿宋"/>
          <w:b w:val="0"/>
          <w:bCs w:val="0"/>
          <w:sz w:val="32"/>
          <w:szCs w:val="32"/>
          <w:lang w:val="en-US" w:eastAsia="zh-CN"/>
        </w:rPr>
        <w:t>研发应用基于水性漆与实木家具融合工艺，</w:t>
      </w:r>
      <w:r>
        <w:rPr>
          <w:rFonts w:hint="eastAsia" w:ascii="仿宋" w:hAnsi="仿宋" w:eastAsia="仿宋" w:cs="仿宋"/>
          <w:b w:val="0"/>
          <w:bCs w:val="0"/>
          <w:sz w:val="32"/>
          <w:szCs w:val="32"/>
          <w:lang w:val="en-US" w:eastAsia="zh-CN"/>
        </w:rPr>
        <w:t>并</w:t>
      </w:r>
      <w:r>
        <w:rPr>
          <w:rFonts w:hint="default" w:ascii="仿宋" w:hAnsi="仿宋" w:eastAsia="仿宋" w:cs="仿宋"/>
          <w:b w:val="0"/>
          <w:bCs w:val="0"/>
          <w:sz w:val="32"/>
          <w:szCs w:val="32"/>
          <w:lang w:val="en-US" w:eastAsia="zh-CN"/>
        </w:rPr>
        <w:t>参与制定团体标准《江西绿色生态 水性漆木家具》</w:t>
      </w:r>
      <w:r>
        <w:rPr>
          <w:rFonts w:hint="eastAsia" w:ascii="仿宋" w:hAnsi="仿宋" w:eastAsia="仿宋" w:cs="仿宋"/>
          <w:b w:val="0"/>
          <w:bCs w:val="0"/>
          <w:sz w:val="32"/>
          <w:szCs w:val="32"/>
          <w:lang w:val="en-US" w:eastAsia="zh-CN"/>
        </w:rPr>
        <w:t>（</w:t>
      </w:r>
      <w:r>
        <w:rPr>
          <w:rFonts w:ascii="仿宋" w:hAnsi="仿宋" w:eastAsia="仿宋" w:cs="仿宋"/>
          <w:i w:val="0"/>
          <w:iCs w:val="0"/>
          <w:caps w:val="0"/>
          <w:color w:val="auto"/>
          <w:spacing w:val="0"/>
          <w:sz w:val="32"/>
          <w:szCs w:val="32"/>
          <w:shd w:val="clear" w:fill="auto"/>
        </w:rPr>
        <w:t>T/JGE 0128-2024）</w:t>
      </w:r>
      <w:r>
        <w:rPr>
          <w:rFonts w:hint="default" w:ascii="仿宋" w:hAnsi="仿宋" w:eastAsia="仿宋" w:cs="仿宋"/>
          <w:b w:val="0"/>
          <w:bCs w:val="0"/>
          <w:sz w:val="32"/>
          <w:szCs w:val="32"/>
          <w:lang w:val="en-US" w:eastAsia="zh-CN"/>
        </w:rPr>
        <w:t>，打造了可复制、可推广的样</w:t>
      </w:r>
      <w:r>
        <w:rPr>
          <w:rFonts w:hint="eastAsia" w:ascii="仿宋" w:hAnsi="仿宋" w:eastAsia="仿宋" w:cs="仿宋"/>
          <w:b w:val="0"/>
          <w:bCs w:val="0"/>
          <w:sz w:val="32"/>
          <w:szCs w:val="32"/>
          <w:lang w:val="en-US" w:eastAsia="zh-CN"/>
        </w:rPr>
        <w:t>板</w:t>
      </w:r>
      <w:r>
        <w:rPr>
          <w:rFonts w:hint="default" w:ascii="仿宋" w:hAnsi="仿宋" w:eastAsia="仿宋" w:cs="仿宋"/>
          <w:b w:val="0"/>
          <w:bCs w:val="0"/>
          <w:sz w:val="32"/>
          <w:szCs w:val="32"/>
          <w:lang w:val="en-US" w:eastAsia="zh-CN"/>
        </w:rPr>
        <w:t>车间，</w:t>
      </w:r>
      <w:r>
        <w:rPr>
          <w:rFonts w:hint="eastAsia" w:ascii="仿宋" w:hAnsi="仿宋" w:eastAsia="仿宋" w:cs="仿宋"/>
          <w:b w:val="0"/>
          <w:bCs w:val="0"/>
          <w:sz w:val="32"/>
          <w:szCs w:val="32"/>
          <w:lang w:val="en-US" w:eastAsia="zh-CN"/>
        </w:rPr>
        <w:t>引领</w:t>
      </w:r>
      <w:r>
        <w:rPr>
          <w:rFonts w:hint="default" w:ascii="仿宋" w:hAnsi="仿宋" w:eastAsia="仿宋" w:cs="仿宋"/>
          <w:b w:val="0"/>
          <w:bCs w:val="0"/>
          <w:sz w:val="32"/>
          <w:szCs w:val="32"/>
          <w:lang w:val="en-US" w:eastAsia="zh-CN"/>
        </w:rPr>
        <w:t>实木行业</w:t>
      </w:r>
      <w:r>
        <w:rPr>
          <w:rFonts w:hint="eastAsia" w:ascii="仿宋" w:hAnsi="仿宋" w:eastAsia="仿宋" w:cs="仿宋"/>
          <w:b w:val="0"/>
          <w:bCs w:val="0"/>
          <w:sz w:val="32"/>
          <w:szCs w:val="32"/>
          <w:lang w:val="en-US" w:eastAsia="zh-CN"/>
        </w:rPr>
        <w:t>实现</w:t>
      </w:r>
      <w:r>
        <w:rPr>
          <w:rFonts w:hint="default" w:ascii="仿宋" w:hAnsi="仿宋" w:eastAsia="仿宋" w:cs="仿宋"/>
          <w:b w:val="0"/>
          <w:bCs w:val="0"/>
          <w:sz w:val="32"/>
          <w:szCs w:val="32"/>
          <w:lang w:val="en-US" w:eastAsia="zh-CN"/>
        </w:rPr>
        <w:t>由油性漆改为水性漆生产工艺</w:t>
      </w:r>
      <w:r>
        <w:rPr>
          <w:rFonts w:hint="eastAsia" w:ascii="仿宋" w:hAnsi="仿宋" w:eastAsia="仿宋" w:cs="仿宋"/>
          <w:b w:val="0"/>
          <w:bCs w:val="0"/>
          <w:sz w:val="32"/>
          <w:szCs w:val="32"/>
          <w:lang w:val="en-US" w:eastAsia="zh-CN"/>
        </w:rPr>
        <w:t>的转变</w:t>
      </w:r>
      <w:r>
        <w:rPr>
          <w:rFonts w:hint="default" w:ascii="仿宋" w:hAnsi="仿宋" w:eastAsia="仿宋" w:cs="仿宋"/>
          <w:b w:val="0"/>
          <w:bCs w:val="0"/>
          <w:sz w:val="32"/>
          <w:szCs w:val="32"/>
          <w:lang w:val="en-US" w:eastAsia="zh-CN"/>
        </w:rPr>
        <w:t>。标准</w:t>
      </w:r>
      <w:r>
        <w:rPr>
          <w:rFonts w:hint="eastAsia" w:ascii="仿宋" w:hAnsi="仿宋" w:eastAsia="仿宋" w:cs="仿宋"/>
          <w:b w:val="0"/>
          <w:bCs w:val="0"/>
          <w:sz w:val="32"/>
          <w:szCs w:val="32"/>
          <w:lang w:val="en-US" w:eastAsia="zh-CN"/>
        </w:rPr>
        <w:t>实施后</w:t>
      </w:r>
      <w:r>
        <w:rPr>
          <w:rFonts w:hint="default" w:ascii="仿宋" w:hAnsi="仿宋" w:eastAsia="仿宋" w:cs="仿宋"/>
          <w:b w:val="0"/>
          <w:bCs w:val="0"/>
          <w:sz w:val="32"/>
          <w:szCs w:val="32"/>
          <w:lang w:val="en-US" w:eastAsia="zh-CN"/>
        </w:rPr>
        <w:t>，南康区1717家</w:t>
      </w:r>
      <w:r>
        <w:rPr>
          <w:rFonts w:hint="eastAsia" w:ascii="仿宋" w:hAnsi="仿宋" w:eastAsia="仿宋" w:cs="仿宋"/>
          <w:b w:val="0"/>
          <w:bCs w:val="0"/>
          <w:sz w:val="32"/>
          <w:szCs w:val="32"/>
          <w:lang w:val="en-US" w:eastAsia="zh-CN"/>
        </w:rPr>
        <w:t>企业</w:t>
      </w:r>
      <w:r>
        <w:rPr>
          <w:rFonts w:hint="default" w:ascii="仿宋" w:hAnsi="仿宋" w:eastAsia="仿宋" w:cs="仿宋"/>
          <w:b w:val="0"/>
          <w:bCs w:val="0"/>
          <w:sz w:val="32"/>
          <w:szCs w:val="32"/>
          <w:lang w:val="en-US" w:eastAsia="zh-CN"/>
        </w:rPr>
        <w:t>完成水性漆源头替代、83家企业产品获得SGS环保认证</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形成健康环保南康好家具的行业共识。</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48" w:name="_Toc10224"/>
      <w:r>
        <w:rPr>
          <w:rFonts w:hint="eastAsia" w:ascii="仿宋" w:hAnsi="仿宋" w:eastAsia="仿宋" w:cs="仿宋"/>
          <w:sz w:val="32"/>
          <w:szCs w:val="32"/>
          <w:lang w:val="en-US" w:eastAsia="zh-CN"/>
        </w:rPr>
        <w:t>案例七：</w:t>
      </w:r>
      <w:r>
        <w:rPr>
          <w:rFonts w:hint="eastAsia" w:ascii="仿宋" w:hAnsi="仿宋" w:eastAsia="仿宋" w:cs="仿宋"/>
          <w:b w:val="0"/>
          <w:bCs w:val="0"/>
          <w:sz w:val="32"/>
          <w:szCs w:val="32"/>
          <w:lang w:val="en-US" w:eastAsia="zh-CN"/>
        </w:rPr>
        <w:t>创新“验证+研制+实施+评价”四位一体验证模式——江西省标准综合验证点建设实践</w:t>
      </w:r>
      <w:bookmarkEnd w:id="48"/>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江西省检验检测认证总院检测认证技术发展研究院</w:t>
      </w:r>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49" w:name="_Toc25006"/>
      <w:bookmarkStart w:id="50" w:name="_Toc32176"/>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江西省检验检测认证总院</w:t>
      </w:r>
      <w:bookmarkEnd w:id="49"/>
      <w:bookmarkEnd w:id="50"/>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江西省检验检测认证总院检测认证技术发展研究院于2022年获批设立第一个江西省标准综合验证点，依托江西省检验检测标准化技术委员会、数字经济标准化技术委员会等智库资源，与科研院所深度合作，将标准验证与标准研制、技术审查、实施评估全流程深度融合，形成“研制前技术论证－研制中指标验证－发布前质量审查－实施后效果评估”的标准全生命周期闭环管理，以系统性、全流程的验证技术服务，高质量保障江西省标准供给，助力经济社会高质量发展。</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sz w:val="32"/>
          <w:szCs w:val="32"/>
          <w:lang w:val="en-US" w:eastAsia="zh-CN"/>
        </w:rPr>
      </w:pPr>
      <w:bookmarkStart w:id="51" w:name="_Toc9870"/>
      <w:r>
        <w:rPr>
          <w:rFonts w:hint="eastAsia" w:ascii="仿宋" w:hAnsi="仿宋" w:eastAsia="仿宋" w:cs="仿宋"/>
          <w:sz w:val="32"/>
          <w:szCs w:val="32"/>
          <w:lang w:val="en-US" w:eastAsia="zh-CN"/>
        </w:rPr>
        <w:t>案例八：</w:t>
      </w:r>
      <w:r>
        <w:rPr>
          <w:rFonts w:hint="eastAsia" w:ascii="仿宋" w:hAnsi="仿宋" w:eastAsia="仿宋" w:cs="仿宋"/>
          <w:b w:val="0"/>
          <w:bCs w:val="0"/>
          <w:sz w:val="32"/>
          <w:szCs w:val="32"/>
          <w:lang w:val="en-US" w:eastAsia="zh-CN"/>
        </w:rPr>
        <w:t>授人以鱼更授人以渔——《赤道几内亚水稻人工插秧栽培技术规程》等水稻种植团体标准研制推广案例</w:t>
      </w:r>
      <w:bookmarkEnd w:id="51"/>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52" w:name="_Toc18326"/>
      <w:bookmarkStart w:id="53" w:name="_Toc3345"/>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江西赣粮实业有限公司</w:t>
      </w:r>
      <w:bookmarkEnd w:id="52"/>
      <w:bookmarkEnd w:id="53"/>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54" w:name="_Toc18516"/>
      <w:bookmarkStart w:id="55" w:name="_Toc956"/>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南昌市市场监督管理局</w:t>
      </w:r>
      <w:bookmarkEnd w:id="54"/>
      <w:bookmarkEnd w:id="55"/>
    </w:p>
    <w:p>
      <w:pPr>
        <w:spacing w:beforeLines="0" w:afterLines="0" w:line="560" w:lineRule="exact"/>
        <w:ind w:firstLine="640" w:firstLineChars="200"/>
        <w:jc w:val="both"/>
        <w:rPr>
          <w:rFonts w:hint="default" w:ascii="仿宋" w:hAnsi="仿宋" w:eastAsia="仿宋" w:cs="仿宋"/>
          <w:b w:val="0"/>
          <w:bCs w:val="0"/>
          <w:sz w:val="32"/>
          <w:szCs w:val="32"/>
          <w:lang w:val="en-US" w:eastAsia="zh-CN"/>
        </w:rPr>
      </w:pPr>
      <w:r>
        <w:rPr>
          <w:rFonts w:hint="default" w:ascii="仿宋" w:hAnsi="仿宋" w:eastAsia="仿宋" w:cs="仿宋"/>
          <w:b w:val="0"/>
          <w:bCs w:val="0"/>
          <w:sz w:val="32"/>
          <w:szCs w:val="32"/>
          <w:lang w:val="en-US" w:eastAsia="zh-CN"/>
        </w:rPr>
        <w:t>江西赣粮实业有限公司</w:t>
      </w:r>
      <w:r>
        <w:rPr>
          <w:rFonts w:hint="eastAsia" w:ascii="仿宋" w:hAnsi="仿宋" w:eastAsia="仿宋" w:cs="仿宋"/>
          <w:b w:val="0"/>
          <w:bCs w:val="0"/>
          <w:sz w:val="32"/>
          <w:szCs w:val="32"/>
          <w:lang w:val="en-US" w:eastAsia="zh-CN"/>
        </w:rPr>
        <w:t>于</w:t>
      </w:r>
      <w:r>
        <w:rPr>
          <w:rFonts w:hint="default" w:ascii="仿宋" w:hAnsi="仿宋" w:eastAsia="仿宋" w:cs="仿宋"/>
          <w:b w:val="0"/>
          <w:bCs w:val="0"/>
          <w:sz w:val="32"/>
          <w:szCs w:val="32"/>
          <w:lang w:val="en-US" w:eastAsia="zh-CN"/>
        </w:rPr>
        <w:t>2017年5月</w:t>
      </w:r>
      <w:r>
        <w:rPr>
          <w:rFonts w:hint="eastAsia" w:ascii="仿宋" w:hAnsi="仿宋" w:eastAsia="仿宋" w:cs="仿宋"/>
          <w:b w:val="0"/>
          <w:bCs w:val="0"/>
          <w:sz w:val="32"/>
          <w:szCs w:val="32"/>
          <w:lang w:val="en-US" w:eastAsia="zh-CN"/>
        </w:rPr>
        <w:t>获</w:t>
      </w:r>
      <w:r>
        <w:rPr>
          <w:rFonts w:hint="default" w:ascii="仿宋" w:hAnsi="仿宋" w:eastAsia="仿宋" w:cs="仿宋"/>
          <w:b w:val="0"/>
          <w:bCs w:val="0"/>
          <w:sz w:val="32"/>
          <w:szCs w:val="32"/>
          <w:lang w:val="en-US" w:eastAsia="zh-CN"/>
        </w:rPr>
        <w:t>商务部批准</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实施中国援赤道几内亚示范农场技术援助项目</w:t>
      </w:r>
      <w:r>
        <w:rPr>
          <w:rFonts w:hint="eastAsia" w:ascii="仿宋" w:hAnsi="仿宋" w:eastAsia="仿宋" w:cs="仿宋"/>
          <w:b w:val="0"/>
          <w:bCs w:val="0"/>
          <w:sz w:val="32"/>
          <w:szCs w:val="32"/>
          <w:lang w:val="en-US" w:eastAsia="zh-CN"/>
        </w:rPr>
        <w:t>。</w:t>
      </w:r>
      <w:r>
        <w:rPr>
          <w:rFonts w:hint="default" w:ascii="仿宋" w:hAnsi="仿宋" w:eastAsia="仿宋" w:cs="仿宋"/>
          <w:b w:val="0"/>
          <w:bCs w:val="0"/>
          <w:sz w:val="32"/>
          <w:szCs w:val="32"/>
          <w:lang w:val="en-US" w:eastAsia="zh-CN"/>
        </w:rPr>
        <w:t>立足赤几独特气候与技术空白现状，通过反复试验筛选适配品种、研发配套栽培技术，将中国成熟水稻技术与当地环境深度融合，</w:t>
      </w:r>
      <w:r>
        <w:rPr>
          <w:rFonts w:hint="eastAsia" w:ascii="仿宋" w:hAnsi="仿宋" w:eastAsia="仿宋" w:cs="仿宋"/>
          <w:b w:val="0"/>
          <w:bCs w:val="0"/>
          <w:sz w:val="32"/>
          <w:szCs w:val="32"/>
          <w:lang w:val="en-US" w:eastAsia="zh-CN"/>
        </w:rPr>
        <w:t>牵头</w:t>
      </w:r>
      <w:r>
        <w:rPr>
          <w:rFonts w:hint="default" w:ascii="仿宋" w:hAnsi="仿宋" w:eastAsia="仿宋" w:cs="仿宋"/>
          <w:b w:val="0"/>
          <w:bCs w:val="0"/>
          <w:sz w:val="32"/>
          <w:szCs w:val="32"/>
          <w:lang w:val="en-US" w:eastAsia="zh-CN"/>
        </w:rPr>
        <w:t>制定</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rPr>
        <w:t>赤道几内亚水稻人工插秧栽培技术规程</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rPr>
        <w:t>T/JPAIAE 001</w:t>
      </w:r>
      <w:r>
        <w:rPr>
          <w:rFonts w:hint="eastAsia" w:ascii="仿宋" w:hAnsi="仿宋" w:eastAsia="仿宋" w:cs="仿宋"/>
          <w:sz w:val="32"/>
          <w:szCs w:val="32"/>
          <w:lang w:eastAsia="zh-CN"/>
        </w:rPr>
        <w:t>-</w:t>
      </w:r>
      <w:r>
        <w:rPr>
          <w:rFonts w:hint="eastAsia" w:ascii="仿宋" w:hAnsi="仿宋" w:eastAsia="仿宋" w:cs="仿宋"/>
          <w:sz w:val="32"/>
          <w:szCs w:val="32"/>
        </w:rPr>
        <w:t>2020</w:t>
      </w:r>
      <w:r>
        <w:rPr>
          <w:rFonts w:hint="eastAsia" w:ascii="仿宋" w:hAnsi="仿宋" w:eastAsia="仿宋" w:cs="仿宋"/>
          <w:b w:val="0"/>
          <w:bCs w:val="0"/>
          <w:sz w:val="32"/>
          <w:szCs w:val="32"/>
          <w:lang w:val="en-US" w:eastAsia="zh-CN"/>
        </w:rPr>
        <w:t>）等3项团体</w:t>
      </w:r>
      <w:r>
        <w:rPr>
          <w:rFonts w:hint="default" w:ascii="仿宋" w:hAnsi="仿宋" w:eastAsia="仿宋" w:cs="仿宋"/>
          <w:b w:val="0"/>
          <w:bCs w:val="0"/>
          <w:sz w:val="32"/>
          <w:szCs w:val="32"/>
          <w:lang w:val="en-US" w:eastAsia="zh-CN"/>
        </w:rPr>
        <w:t>标准。以“试验示范+品种适配+技术本土化”为核心，构建“引进-改良-标准化-推广”全链条体系，创新“标准+培训+示范”推广机制</w:t>
      </w:r>
      <w:r>
        <w:rPr>
          <w:rFonts w:hint="eastAsia" w:ascii="仿宋" w:hAnsi="仿宋" w:eastAsia="仿宋" w:cs="仿宋"/>
          <w:b w:val="0"/>
          <w:bCs w:val="0"/>
          <w:sz w:val="32"/>
          <w:szCs w:val="32"/>
          <w:lang w:val="en-US" w:eastAsia="zh-CN"/>
        </w:rPr>
        <w:t>，推动</w:t>
      </w:r>
      <w:r>
        <w:rPr>
          <w:rFonts w:hint="default" w:ascii="仿宋" w:hAnsi="仿宋" w:eastAsia="仿宋" w:cs="仿宋"/>
          <w:sz w:val="32"/>
          <w:szCs w:val="32"/>
        </w:rPr>
        <w:t>当地水稻单产从0提升至600kg/亩（为非洲平均产量3倍以上），且连续7年稳定，农户户均增收40万中非法郎，</w:t>
      </w:r>
      <w:r>
        <w:rPr>
          <w:rFonts w:hint="eastAsia" w:ascii="仿宋" w:hAnsi="仿宋" w:eastAsia="仿宋" w:cs="仿宋"/>
          <w:sz w:val="32"/>
          <w:szCs w:val="32"/>
          <w:lang w:eastAsia="zh-CN"/>
        </w:rPr>
        <w:t>实现</w:t>
      </w:r>
      <w:r>
        <w:rPr>
          <w:rFonts w:hint="default" w:ascii="仿宋" w:hAnsi="仿宋" w:eastAsia="仿宋" w:cs="仿宋"/>
          <w:sz w:val="32"/>
          <w:szCs w:val="32"/>
        </w:rPr>
        <w:t>农业技术、品种</w:t>
      </w:r>
      <w:r>
        <w:rPr>
          <w:rFonts w:hint="eastAsia" w:ascii="仿宋" w:hAnsi="仿宋" w:eastAsia="仿宋" w:cs="仿宋"/>
          <w:sz w:val="32"/>
          <w:szCs w:val="32"/>
          <w:lang w:eastAsia="zh-CN"/>
        </w:rPr>
        <w:t>、人才</w:t>
      </w:r>
      <w:r>
        <w:rPr>
          <w:rFonts w:hint="default" w:ascii="仿宋" w:hAnsi="仿宋" w:eastAsia="仿宋" w:cs="仿宋"/>
          <w:sz w:val="32"/>
          <w:szCs w:val="32"/>
        </w:rPr>
        <w:t>输出</w:t>
      </w:r>
      <w:r>
        <w:rPr>
          <w:rFonts w:hint="eastAsia" w:ascii="仿宋" w:hAnsi="仿宋" w:eastAsia="仿宋" w:cs="仿宋"/>
          <w:sz w:val="32"/>
          <w:szCs w:val="32"/>
          <w:lang w:eastAsia="zh-CN"/>
        </w:rPr>
        <w:t>，</w:t>
      </w:r>
      <w:r>
        <w:rPr>
          <w:rFonts w:hint="default" w:ascii="仿宋" w:hAnsi="仿宋" w:eastAsia="仿宋" w:cs="仿宋"/>
          <w:sz w:val="32"/>
          <w:szCs w:val="32"/>
        </w:rPr>
        <w:t>获赤几总统、副总统及农业部门高度认可，被誉为中赤几友好合作典范。</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56" w:name="_Toc26366"/>
      <w:r>
        <w:rPr>
          <w:rFonts w:hint="eastAsia" w:ascii="仿宋" w:hAnsi="仿宋" w:eastAsia="仿宋" w:cs="仿宋"/>
          <w:sz w:val="32"/>
          <w:szCs w:val="32"/>
          <w:lang w:val="en-US" w:eastAsia="zh-CN"/>
        </w:rPr>
        <w:t>案例九：</w:t>
      </w:r>
      <w:r>
        <w:rPr>
          <w:rFonts w:hint="eastAsia" w:ascii="仿宋" w:hAnsi="仿宋" w:eastAsia="仿宋" w:cs="仿宋"/>
          <w:b w:val="0"/>
          <w:bCs w:val="0"/>
          <w:sz w:val="32"/>
          <w:szCs w:val="32"/>
          <w:lang w:val="en-US" w:eastAsia="zh-CN"/>
        </w:rPr>
        <w:t>脱硫脱硝装备用高抗鳞爆高氧搪瓷钢带标准化构建与应用实践</w:t>
      </w:r>
      <w:bookmarkEnd w:id="56"/>
    </w:p>
    <w:p>
      <w:pPr>
        <w:spacing w:beforeLines="0" w:afterLines="0" w:line="560" w:lineRule="exact"/>
        <w:ind w:firstLine="643"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新余钢铁股份有限公司</w:t>
      </w:r>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57" w:name="_Toc21964"/>
      <w:bookmarkStart w:id="58" w:name="_Toc14595"/>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新余市市场监督管理局</w:t>
      </w:r>
      <w:bookmarkEnd w:id="57"/>
      <w:bookmarkEnd w:id="58"/>
    </w:p>
    <w:p>
      <w:pPr>
        <w:spacing w:beforeLines="0" w:afterLines="0" w:line="560" w:lineRule="exact"/>
        <w:ind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新余钢铁股份有限公司牵头制定团体标准《</w:t>
      </w:r>
      <w:r>
        <w:rPr>
          <w:rFonts w:hint="eastAsia" w:ascii="仿宋" w:hAnsi="仿宋" w:eastAsia="仿宋" w:cs="仿宋"/>
          <w:sz w:val="32"/>
          <w:szCs w:val="32"/>
        </w:rPr>
        <w:t>搪瓷用高氧低碳钢冷轧钢板及钢带</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rPr>
        <w:t>T/SSEA 0261-2023</w:t>
      </w:r>
      <w:r>
        <w:rPr>
          <w:rFonts w:hint="eastAsia" w:ascii="仿宋" w:hAnsi="仿宋" w:eastAsia="仿宋" w:cs="仿宋"/>
          <w:b w:val="0"/>
          <w:bCs w:val="0"/>
          <w:sz w:val="32"/>
          <w:szCs w:val="32"/>
          <w:lang w:val="en-US" w:eastAsia="zh-CN"/>
        </w:rPr>
        <w:t>），针对国内高氧搪瓷钢市场被国外产品垄断、现有材料抗鳞爆性不足、行业标准空白等问题，依托自主专利技术开发高氧搪瓷钢产品，攻克炼钢精准控氧、连铸稳定浇注等技术瓶颈；通过全氧窄范围控制、第二相粒子调控等技术，解决板坯缺陷问题，实现热送热装，有效缩短交货周期。标准实施后，2023-2025年合计创效2415.7万元，打破国外技术垄断，替代进口产品，降低生产成本，提升新钢市场竞争力，助力脱硫脱硝环保元件升级，推动</w:t>
      </w:r>
      <w:bookmarkStart w:id="59" w:name="OLE_LINK10"/>
      <w:r>
        <w:rPr>
          <w:rFonts w:hint="eastAsia" w:ascii="仿宋" w:hAnsi="仿宋" w:eastAsia="仿宋" w:cs="仿宋"/>
          <w:b w:val="0"/>
          <w:bCs w:val="0"/>
          <w:sz w:val="32"/>
          <w:szCs w:val="32"/>
          <w:lang w:val="en-US" w:eastAsia="zh-CN"/>
        </w:rPr>
        <w:t>搪瓷行业</w:t>
      </w:r>
      <w:bookmarkEnd w:id="59"/>
      <w:r>
        <w:rPr>
          <w:rFonts w:hint="eastAsia" w:ascii="仿宋" w:hAnsi="仿宋" w:eastAsia="仿宋" w:cs="仿宋"/>
          <w:b w:val="0"/>
          <w:bCs w:val="0"/>
          <w:sz w:val="32"/>
          <w:szCs w:val="32"/>
          <w:lang w:val="en-US" w:eastAsia="zh-CN"/>
        </w:rPr>
        <w:t>及环保产业绿色低碳发展。</w:t>
      </w:r>
    </w:p>
    <w:p>
      <w:pPr>
        <w:pStyle w:val="3"/>
        <w:keepNext w:val="0"/>
        <w:keepLines w:val="0"/>
        <w:pageBreakBefore w:val="0"/>
        <w:widowControl w:val="0"/>
        <w:kinsoku/>
        <w:wordWrap/>
        <w:overflowPunct/>
        <w:topLinePunct w:val="0"/>
        <w:autoSpaceDE/>
        <w:autoSpaceDN/>
        <w:bidi w:val="0"/>
        <w:adjustRightInd/>
        <w:snapToGrid/>
        <w:spacing w:beforeLines="0" w:beforeAutospacing="0" w:afterLines="0" w:afterAutospacing="0" w:line="560" w:lineRule="exact"/>
        <w:ind w:firstLine="643" w:firstLineChars="200"/>
        <w:textAlignment w:val="auto"/>
        <w:rPr>
          <w:rFonts w:hint="eastAsia" w:ascii="仿宋" w:hAnsi="仿宋" w:eastAsia="仿宋" w:cs="仿宋"/>
          <w:b w:val="0"/>
          <w:bCs w:val="0"/>
          <w:sz w:val="32"/>
          <w:szCs w:val="32"/>
          <w:lang w:val="en-US" w:eastAsia="zh-CN"/>
        </w:rPr>
      </w:pPr>
      <w:bookmarkStart w:id="60" w:name="_Toc24726"/>
      <w:r>
        <w:rPr>
          <w:rFonts w:hint="eastAsia" w:ascii="仿宋" w:hAnsi="仿宋" w:eastAsia="仿宋" w:cs="仿宋"/>
          <w:sz w:val="32"/>
          <w:szCs w:val="32"/>
          <w:lang w:val="en-US" w:eastAsia="zh-CN"/>
        </w:rPr>
        <w:t>案例十：</w:t>
      </w:r>
      <w:r>
        <w:rPr>
          <w:rFonts w:hint="eastAsia" w:ascii="仿宋" w:hAnsi="仿宋" w:eastAsia="仿宋" w:cs="仿宋"/>
          <w:b w:val="0"/>
          <w:bCs w:val="0"/>
          <w:sz w:val="32"/>
          <w:szCs w:val="32"/>
          <w:lang w:val="en-US" w:eastAsia="zh-CN"/>
        </w:rPr>
        <w:t>企业标准“小切口”撬动产业“大变革” 引领电缆技术创新实践</w:t>
      </w:r>
      <w:bookmarkEnd w:id="60"/>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61" w:name="_Toc9088"/>
      <w:bookmarkStart w:id="62" w:name="_Toc6086"/>
      <w:r>
        <w:rPr>
          <w:rFonts w:hint="eastAsia" w:ascii="仿宋" w:hAnsi="仿宋" w:eastAsia="仿宋" w:cs="仿宋"/>
          <w:b/>
          <w:bCs/>
          <w:sz w:val="32"/>
          <w:szCs w:val="32"/>
          <w:lang w:val="en-US" w:eastAsia="zh-CN"/>
        </w:rPr>
        <w:t>申报单位：</w:t>
      </w:r>
      <w:r>
        <w:rPr>
          <w:rFonts w:hint="eastAsia" w:ascii="仿宋" w:hAnsi="仿宋" w:eastAsia="仿宋" w:cs="仿宋"/>
          <w:b w:val="0"/>
          <w:bCs w:val="0"/>
          <w:sz w:val="32"/>
          <w:szCs w:val="32"/>
          <w:lang w:val="en-US" w:eastAsia="zh-CN"/>
        </w:rPr>
        <w:t>江西瑞金金字电线电缆有限公司</w:t>
      </w:r>
      <w:bookmarkEnd w:id="61"/>
      <w:bookmarkEnd w:id="62"/>
    </w:p>
    <w:p>
      <w:pPr>
        <w:spacing w:beforeLines="0" w:afterLines="0" w:line="560" w:lineRule="exact"/>
        <w:ind w:firstLine="643" w:firstLineChars="200"/>
        <w:jc w:val="both"/>
        <w:outlineLvl w:val="0"/>
        <w:rPr>
          <w:rFonts w:hint="eastAsia" w:ascii="仿宋" w:hAnsi="仿宋" w:eastAsia="仿宋" w:cs="仿宋"/>
          <w:b w:val="0"/>
          <w:bCs w:val="0"/>
          <w:sz w:val="32"/>
          <w:szCs w:val="32"/>
          <w:lang w:val="en-US" w:eastAsia="zh-CN"/>
        </w:rPr>
      </w:pPr>
      <w:bookmarkStart w:id="63" w:name="_Toc5113"/>
      <w:bookmarkStart w:id="64" w:name="_Toc674"/>
      <w:r>
        <w:rPr>
          <w:rFonts w:hint="eastAsia" w:ascii="仿宋" w:hAnsi="仿宋" w:eastAsia="仿宋" w:cs="仿宋"/>
          <w:b/>
          <w:bCs/>
          <w:sz w:val="32"/>
          <w:szCs w:val="32"/>
          <w:lang w:val="en-US" w:eastAsia="zh-CN"/>
        </w:rPr>
        <w:t>推荐单位：</w:t>
      </w:r>
      <w:r>
        <w:rPr>
          <w:rFonts w:hint="eastAsia" w:ascii="仿宋" w:hAnsi="仿宋" w:eastAsia="仿宋" w:cs="仿宋"/>
          <w:b w:val="0"/>
          <w:bCs w:val="0"/>
          <w:sz w:val="32"/>
          <w:szCs w:val="32"/>
          <w:lang w:val="en-US" w:eastAsia="zh-CN"/>
        </w:rPr>
        <w:t>赣州市市场监督管理局</w:t>
      </w:r>
      <w:bookmarkEnd w:id="63"/>
      <w:bookmarkEnd w:id="64"/>
    </w:p>
    <w:p>
      <w:pPr>
        <w:spacing w:beforeLines="0" w:afterLines="0" w:line="560" w:lineRule="exact"/>
        <w:ind w:firstLine="640" w:firstLineChars="200"/>
        <w:jc w:val="both"/>
        <w:outlineLvl w:val="9"/>
        <w:rPr>
          <w:rFonts w:hint="default"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江西瑞金金字电线电缆有限公司制定《</w:t>
      </w:r>
      <w:r>
        <w:rPr>
          <w:rFonts w:hint="eastAsia" w:ascii="仿宋" w:hAnsi="仿宋" w:eastAsia="仿宋" w:cs="仿宋"/>
          <w:color w:val="auto"/>
          <w:sz w:val="32"/>
          <w:szCs w:val="32"/>
          <w:highlight w:val="none"/>
          <w:lang w:val="en-US" w:eastAsia="zh-CN"/>
        </w:rPr>
        <w:t>额定电压1kV(Um=1.2kV)到30kV(Um=36kV)挤包绝缘电力电缆</w:t>
      </w:r>
      <w:r>
        <w:rPr>
          <w:rFonts w:hint="eastAsia" w:ascii="仿宋" w:hAnsi="仿宋" w:eastAsia="仿宋" w:cs="仿宋"/>
          <w:b w:val="0"/>
          <w:bCs w:val="0"/>
          <w:sz w:val="32"/>
          <w:szCs w:val="32"/>
          <w:lang w:val="en-US" w:eastAsia="zh-CN"/>
        </w:rPr>
        <w:t>》（Q/RX 044-2022）系列企业标准，通过技术指标升级和场景化设计，解决了传统电缆标准在新型电力系统中的适应性难题，为行业高质量发展提供关键技术遵循。标准实施后，</w:t>
      </w:r>
      <w:r>
        <w:rPr>
          <w:rFonts w:hint="eastAsia" w:ascii="仿宋" w:hAnsi="仿宋" w:eastAsia="仿宋" w:cs="仿宋"/>
          <w:sz w:val="32"/>
          <w:szCs w:val="32"/>
        </w:rPr>
        <w:t>铜材利用率从95%提升至98%，单吨电缆成本降低约1200元</w:t>
      </w:r>
      <w:r>
        <w:rPr>
          <w:rFonts w:hint="eastAsia" w:ascii="仿宋" w:hAnsi="仿宋" w:eastAsia="仿宋" w:cs="仿宋"/>
          <w:sz w:val="32"/>
          <w:szCs w:val="32"/>
          <w:lang w:eastAsia="zh-CN"/>
        </w:rPr>
        <w:t>；</w:t>
      </w:r>
      <w:r>
        <w:rPr>
          <w:rFonts w:hint="eastAsia" w:ascii="仿宋" w:hAnsi="仿宋" w:eastAsia="仿宋" w:cs="仿宋"/>
          <w:sz w:val="32"/>
          <w:szCs w:val="32"/>
        </w:rPr>
        <w:t>能耗减少15%，年节省电费超20万元</w:t>
      </w:r>
      <w:r>
        <w:rPr>
          <w:rFonts w:hint="eastAsia" w:ascii="仿宋" w:hAnsi="仿宋" w:eastAsia="仿宋" w:cs="仿宋"/>
          <w:sz w:val="32"/>
          <w:szCs w:val="32"/>
          <w:lang w:eastAsia="zh-CN"/>
        </w:rPr>
        <w:t>；</w:t>
      </w:r>
      <w:r>
        <w:rPr>
          <w:rFonts w:hint="eastAsia" w:ascii="仿宋" w:hAnsi="仿宋" w:eastAsia="仿宋" w:cs="仿宋"/>
          <w:sz w:val="32"/>
          <w:szCs w:val="32"/>
        </w:rPr>
        <w:t>高紧压导体工艺使铜材用量减少8%，年节约铜资源3.6吨。</w:t>
      </w:r>
      <w:r>
        <w:rPr>
          <w:rFonts w:hint="eastAsia" w:ascii="仿宋" w:hAnsi="仿宋" w:eastAsia="仿宋" w:cs="仿宋"/>
          <w:sz w:val="32"/>
          <w:szCs w:val="32"/>
          <w:lang w:eastAsia="zh-CN"/>
        </w:rPr>
        <w:t>标准的</w:t>
      </w:r>
      <w:r>
        <w:rPr>
          <w:rFonts w:hint="eastAsia" w:ascii="仿宋" w:hAnsi="仿宋" w:eastAsia="仿宋" w:cs="仿宋"/>
          <w:b w:val="0"/>
          <w:bCs w:val="0"/>
          <w:sz w:val="32"/>
          <w:szCs w:val="32"/>
          <w:lang w:val="en-US" w:eastAsia="zh-CN"/>
        </w:rPr>
        <w:t>推广应用不仅提升了国产电缆的国际市场份额，更为智能电网建设、能源结构转型提供了可靠技术保障。</w:t>
      </w:r>
    </w:p>
    <w:p/>
    <w:p>
      <w:bookmarkStart w:id="65" w:name="_GoBack"/>
      <w:bookmarkEnd w:id="65"/>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3000509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EB3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2026-08-11T00:37:23Z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