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hint="eastAsia"/>
          <w:lang w:val="en-US" w:eastAsia="zh-CN"/>
        </w:rPr>
      </w:pPr>
      <w:r>
        <w:rPr>
          <w:rFonts w:hint="eastAsia" w:ascii="黑体" w:hAnsi="黑体" w:eastAsia="黑体" w:cs="黑体"/>
          <w:sz w:val="32"/>
          <w:szCs w:val="32"/>
          <w:lang w:val="en-US" w:eastAsia="zh-CN"/>
        </w:rPr>
        <w:t>附件1</w:t>
      </w:r>
    </w:p>
    <w:p>
      <w:pPr>
        <w:pStyle w:val="2"/>
        <w:bidi w:val="0"/>
        <w:spacing w:before="0" w:after="0" w:line="560" w:lineRule="exact"/>
        <w:ind w:firstLine="0" w:firstLineChars="0"/>
        <w:jc w:val="center"/>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2026年长江中游三省标准化应用</w:t>
      </w:r>
    </w:p>
    <w:p>
      <w:pPr>
        <w:pStyle w:val="2"/>
        <w:bidi w:val="0"/>
        <w:spacing w:before="0" w:after="0" w:line="560" w:lineRule="exact"/>
        <w:ind w:firstLine="0" w:firstLineChars="0"/>
        <w:jc w:val="center"/>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典型案例名单</w:t>
      </w:r>
    </w:p>
    <w:p>
      <w:pPr>
        <w:pStyle w:val="2"/>
        <w:bidi w:val="0"/>
        <w:spacing w:before="0" w:after="0" w:line="560" w:lineRule="exact"/>
        <w:ind w:firstLine="0" w:firstLineChars="0"/>
        <w:jc w:val="center"/>
        <w:rPr>
          <w:rFonts w:hint="eastAsia" w:ascii="方正小标宋简体" w:hAnsi="方正小标宋简体" w:eastAsia="方正小标宋简体" w:cs="方正小标宋简体"/>
          <w:sz w:val="44"/>
          <w:szCs w:val="44"/>
          <w:lang w:val="en-US" w:eastAsia="zh-CN"/>
        </w:rPr>
      </w:pPr>
    </w:p>
    <w:p>
      <w:pPr>
        <w:pStyle w:val="3"/>
        <w:keepNext/>
        <w:keepLines/>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hint="eastAsia" w:ascii="黑体" w:hAnsi="黑体" w:eastAsia="黑体" w:cs="黑体"/>
          <w:b w:val="0"/>
          <w:bCs/>
          <w:lang w:val="en-US" w:eastAsia="zh-CN"/>
        </w:rPr>
      </w:pPr>
      <w:bookmarkStart w:id="0" w:name="_Toc27772"/>
      <w:r>
        <w:rPr>
          <w:rFonts w:hint="eastAsia" w:ascii="黑体" w:hAnsi="黑体" w:eastAsia="黑体" w:cs="黑体"/>
          <w:b w:val="0"/>
          <w:bCs/>
          <w:lang w:val="en-US" w:eastAsia="zh-CN"/>
        </w:rPr>
        <w:t>一、湖北省</w:t>
      </w:r>
      <w:bookmarkEnd w:id="0"/>
    </w:p>
    <w:tbl>
      <w:tblPr>
        <w:tblStyle w:val="8"/>
        <w:tblW w:w="94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3336"/>
        <w:gridCol w:w="2686"/>
        <w:gridCol w:w="2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17" w:type="dxa"/>
            <w:vAlign w:val="center"/>
          </w:tcPr>
          <w:p>
            <w:pPr>
              <w:ind w:left="0" w:leftChars="0" w:right="0" w:rightChars="0" w:firstLine="0" w:firstLineChars="0"/>
              <w:jc w:val="center"/>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序号</w:t>
            </w:r>
          </w:p>
        </w:tc>
        <w:tc>
          <w:tcPr>
            <w:tcW w:w="3336" w:type="dxa"/>
            <w:vAlign w:val="center"/>
          </w:tcPr>
          <w:p>
            <w:pPr>
              <w:ind w:left="0" w:leftChars="0" w:right="0" w:rightChars="0" w:firstLine="0" w:firstLineChars="0"/>
              <w:jc w:val="center"/>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案例名称</w:t>
            </w:r>
          </w:p>
        </w:tc>
        <w:tc>
          <w:tcPr>
            <w:tcW w:w="2686" w:type="dxa"/>
            <w:vAlign w:val="center"/>
          </w:tcPr>
          <w:p>
            <w:pPr>
              <w:ind w:left="0" w:leftChars="0" w:right="0" w:rightChars="0" w:firstLine="0" w:firstLineChars="0"/>
              <w:jc w:val="center"/>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推荐单位</w:t>
            </w:r>
          </w:p>
        </w:tc>
        <w:tc>
          <w:tcPr>
            <w:tcW w:w="2721" w:type="dxa"/>
            <w:vAlign w:val="center"/>
          </w:tcPr>
          <w:p>
            <w:pPr>
              <w:ind w:left="0" w:leftChars="0" w:right="0" w:rightChars="0" w:firstLine="0" w:firstLineChars="0"/>
              <w:jc w:val="center"/>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申报单位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17"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1</w:t>
            </w:r>
          </w:p>
        </w:tc>
        <w:tc>
          <w:tcPr>
            <w:tcW w:w="333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湖北省全域卫星遥感数字正射影像产品快速更新标准化应用案例</w:t>
            </w:r>
          </w:p>
        </w:tc>
        <w:tc>
          <w:tcPr>
            <w:tcW w:w="268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湖北省自然资源厅</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湖北省航测遥感院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17"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2</w:t>
            </w:r>
          </w:p>
        </w:tc>
        <w:tc>
          <w:tcPr>
            <w:tcW w:w="333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以气象标准支撑保障光伏产业发展</w:t>
            </w:r>
          </w:p>
        </w:tc>
        <w:tc>
          <w:tcPr>
            <w:tcW w:w="268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湖北省气象局</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湖北省气象服务中心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17"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3</w:t>
            </w:r>
          </w:p>
        </w:tc>
        <w:tc>
          <w:tcPr>
            <w:tcW w:w="333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时空智能数据标注标准化实践</w:t>
            </w:r>
          </w:p>
        </w:tc>
        <w:tc>
          <w:tcPr>
            <w:tcW w:w="268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武汉市市场监督管理局</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武汉大学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17"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4</w:t>
            </w:r>
          </w:p>
        </w:tc>
        <w:tc>
          <w:tcPr>
            <w:tcW w:w="333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以标准拓单品，以单品带整装，以整装促集群</w:t>
            </w:r>
          </w:p>
        </w:tc>
        <w:tc>
          <w:tcPr>
            <w:tcW w:w="268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武汉市市场监督管理局</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武汉船用机械有限责任公司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17"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5</w:t>
            </w:r>
          </w:p>
        </w:tc>
        <w:tc>
          <w:tcPr>
            <w:tcW w:w="333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以《苦荞酒》行业标准引领新品类高质量发展</w:t>
            </w:r>
          </w:p>
        </w:tc>
        <w:tc>
          <w:tcPr>
            <w:tcW w:w="268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黄石市市场监督管理局</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劲牌有限公司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17"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6</w:t>
            </w:r>
          </w:p>
        </w:tc>
        <w:tc>
          <w:tcPr>
            <w:tcW w:w="333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酒曲标准化驱动黄酒产业提质增效与乡村振兴</w:t>
            </w:r>
          </w:p>
        </w:tc>
        <w:tc>
          <w:tcPr>
            <w:tcW w:w="268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十堰市市场监督管理局</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十堰市农业科学院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17"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7</w:t>
            </w:r>
          </w:p>
        </w:tc>
        <w:tc>
          <w:tcPr>
            <w:tcW w:w="333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标准创新领跑“襄阳织造”美好愿景</w:t>
            </w:r>
          </w:p>
        </w:tc>
        <w:tc>
          <w:tcPr>
            <w:tcW w:w="268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襄阳市市场监督管理局</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际华三五四二纺织有限公司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17"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8</w:t>
            </w:r>
          </w:p>
        </w:tc>
        <w:tc>
          <w:tcPr>
            <w:tcW w:w="3336" w:type="dxa"/>
            <w:vAlign w:val="center"/>
          </w:tcPr>
          <w:p>
            <w:pPr>
              <w:ind w:left="0" w:leftChars="0" w:right="0" w:rightChars="0" w:firstLine="0" w:firstLineChars="0"/>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中国标准海外应用：打造中国—印尼产业文化交流示范工程</w:t>
            </w:r>
          </w:p>
        </w:tc>
        <w:tc>
          <w:tcPr>
            <w:tcW w:w="2686" w:type="dxa"/>
            <w:vAlign w:val="center"/>
          </w:tcPr>
          <w:p>
            <w:pPr>
              <w:ind w:left="0" w:leftChars="0" w:right="0" w:rightChars="0" w:firstLine="0" w:firstLineChars="0"/>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荆门市市场监督管理局</w:t>
            </w:r>
          </w:p>
        </w:tc>
        <w:tc>
          <w:tcPr>
            <w:tcW w:w="2721" w:type="dxa"/>
            <w:vAlign w:val="center"/>
          </w:tcPr>
          <w:p>
            <w:pPr>
              <w:ind w:left="0" w:leftChars="0" w:right="0" w:rightChars="0" w:firstLine="0" w:firstLineChars="0"/>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荆门市格林美新材料有限公司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17"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9</w:t>
            </w:r>
          </w:p>
        </w:tc>
        <w:tc>
          <w:tcPr>
            <w:tcW w:w="333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国产缓蚀剂标准研究与应用</w:t>
            </w:r>
          </w:p>
        </w:tc>
        <w:tc>
          <w:tcPr>
            <w:tcW w:w="268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荆门市市场监督管理局</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中国特种飞行器研究所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17"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10</w:t>
            </w:r>
          </w:p>
        </w:tc>
        <w:tc>
          <w:tcPr>
            <w:tcW w:w="333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高附加值富硒产品精深加工标准化试点项目</w:t>
            </w:r>
          </w:p>
        </w:tc>
        <w:tc>
          <w:tcPr>
            <w:tcW w:w="268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恩施州市场监督管理局</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恩施德源硒材料工程科技有限公司</w:t>
            </w:r>
          </w:p>
        </w:tc>
      </w:tr>
    </w:tbl>
    <w:p>
      <w:pPr>
        <w:ind w:firstLine="640" w:firstLineChars="200"/>
        <w:rPr>
          <w:rFonts w:hint="eastAsia" w:ascii="楷体" w:hAnsi="楷体" w:eastAsia="楷体" w:cs="楷体"/>
          <w:sz w:val="32"/>
          <w:szCs w:val="32"/>
          <w:lang w:val="en-US" w:eastAsia="zh-CN"/>
        </w:rPr>
        <w:sectPr>
          <w:footerReference r:id="rId3" w:type="default"/>
          <w:pgSz w:w="11906" w:h="16838"/>
          <w:pgMar w:top="2098" w:right="1531" w:bottom="1984" w:left="1531" w:header="851" w:footer="992" w:gutter="0"/>
          <w:pgNumType w:fmt="decimal" w:start="1"/>
          <w:cols w:space="425" w:num="1"/>
          <w:docGrid w:type="lines" w:linePitch="312" w:charSpace="0"/>
        </w:sectPr>
      </w:pPr>
    </w:p>
    <w:p>
      <w:pPr>
        <w:pStyle w:val="3"/>
        <w:keepNext/>
        <w:keepLines/>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hint="eastAsia" w:ascii="黑体" w:hAnsi="黑体" w:eastAsia="黑体" w:cs="黑体"/>
          <w:b w:val="0"/>
          <w:bCs/>
          <w:lang w:val="en-US" w:eastAsia="zh-CN"/>
        </w:rPr>
      </w:pPr>
      <w:bookmarkStart w:id="1" w:name="_Toc26555"/>
      <w:r>
        <w:rPr>
          <w:rFonts w:hint="eastAsia" w:ascii="黑体" w:hAnsi="黑体" w:eastAsia="黑体" w:cs="黑体"/>
          <w:b w:val="0"/>
          <w:bCs/>
          <w:lang w:val="en-US" w:eastAsia="zh-CN"/>
        </w:rPr>
        <w:t>二</w:t>
      </w:r>
      <w:r>
        <w:rPr>
          <w:rFonts w:hint="eastAsia" w:ascii="黑体" w:hAnsi="黑体" w:cs="黑体"/>
          <w:b w:val="0"/>
          <w:bCs/>
          <w:lang w:val="en-US" w:eastAsia="zh-CN"/>
        </w:rPr>
        <w:t>、</w:t>
      </w:r>
      <w:r>
        <w:rPr>
          <w:rFonts w:hint="eastAsia" w:ascii="黑体" w:hAnsi="黑体" w:eastAsia="黑体" w:cs="黑体"/>
          <w:b w:val="0"/>
          <w:bCs/>
          <w:lang w:val="en-US" w:eastAsia="zh-CN"/>
        </w:rPr>
        <w:t>湖南省</w:t>
      </w:r>
      <w:bookmarkEnd w:id="1"/>
    </w:p>
    <w:tbl>
      <w:tblPr>
        <w:tblStyle w:val="8"/>
        <w:tblW w:w="94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216"/>
        <w:gridCol w:w="2743"/>
        <w:gridCol w:w="2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16" w:type="dxa"/>
            <w:vAlign w:val="center"/>
          </w:tcPr>
          <w:p>
            <w:pPr>
              <w:ind w:left="0" w:leftChars="0" w:right="0" w:rightChars="0" w:firstLine="0" w:firstLineChars="0"/>
              <w:jc w:val="center"/>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序号</w:t>
            </w:r>
          </w:p>
        </w:tc>
        <w:tc>
          <w:tcPr>
            <w:tcW w:w="3216" w:type="dxa"/>
            <w:vAlign w:val="center"/>
          </w:tcPr>
          <w:p>
            <w:pPr>
              <w:ind w:left="0" w:leftChars="0" w:right="0" w:rightChars="0" w:firstLine="0" w:firstLineChars="0"/>
              <w:jc w:val="center"/>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案例名称</w:t>
            </w:r>
          </w:p>
        </w:tc>
        <w:tc>
          <w:tcPr>
            <w:tcW w:w="2743" w:type="dxa"/>
            <w:vAlign w:val="center"/>
          </w:tcPr>
          <w:p>
            <w:pPr>
              <w:ind w:left="0" w:leftChars="0" w:right="0" w:rightChars="0" w:firstLine="0" w:firstLineChars="0"/>
              <w:jc w:val="center"/>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推荐单位</w:t>
            </w:r>
          </w:p>
        </w:tc>
        <w:tc>
          <w:tcPr>
            <w:tcW w:w="2721" w:type="dxa"/>
            <w:vAlign w:val="center"/>
          </w:tcPr>
          <w:p>
            <w:pPr>
              <w:ind w:left="0" w:leftChars="0" w:right="0" w:rightChars="0" w:firstLine="0" w:firstLineChars="0"/>
              <w:jc w:val="center"/>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申报单位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16"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1</w:t>
            </w:r>
          </w:p>
        </w:tc>
        <w:tc>
          <w:tcPr>
            <w:tcW w:w="321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基于镉含量的稻谷分级收储技术规程</w:t>
            </w:r>
          </w:p>
        </w:tc>
        <w:tc>
          <w:tcPr>
            <w:tcW w:w="2743"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湖南省农业农村厅</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湖南省粮油产品质量监测中心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16"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2</w:t>
            </w:r>
          </w:p>
        </w:tc>
        <w:tc>
          <w:tcPr>
            <w:tcW w:w="321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水稻绿色生产技术集成研究与示范</w:t>
            </w:r>
          </w:p>
        </w:tc>
        <w:tc>
          <w:tcPr>
            <w:tcW w:w="2743"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湖南省农业农村厅</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长沙市农业技术推广中心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16"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3</w:t>
            </w:r>
          </w:p>
        </w:tc>
        <w:tc>
          <w:tcPr>
            <w:tcW w:w="321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以标准软联通赋能长江中游三省工程机械产业高质量发展与制度型开放</w:t>
            </w:r>
          </w:p>
        </w:tc>
        <w:tc>
          <w:tcPr>
            <w:tcW w:w="2743"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湖南省市场监督管理局</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长沙市工程机械行业协会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16"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4</w:t>
            </w:r>
          </w:p>
        </w:tc>
        <w:tc>
          <w:tcPr>
            <w:tcW w:w="321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粮食产业链标准创新与研发融合示范</w:t>
            </w:r>
          </w:p>
        </w:tc>
        <w:tc>
          <w:tcPr>
            <w:tcW w:w="2743" w:type="dxa"/>
            <w:shd w:val="clear" w:color="auto" w:fill="auto"/>
            <w:vAlign w:val="center"/>
          </w:tcPr>
          <w:p>
            <w:pPr>
              <w:jc w:val="center"/>
              <w:rPr>
                <w:rFonts w:hint="eastAsia" w:asciiTheme="minorHAnsi" w:hAnsiTheme="minorHAnsi" w:eastAsiaTheme="minorEastAsia" w:cstheme="minorBidi"/>
                <w:kern w:val="2"/>
                <w:sz w:val="21"/>
                <w:szCs w:val="24"/>
                <w:lang w:val="en-US" w:eastAsia="zh-CN" w:bidi="ar-SA"/>
              </w:rPr>
            </w:pPr>
            <w:r>
              <w:rPr>
                <w:rFonts w:hint="default" w:ascii="仿宋" w:hAnsi="仿宋" w:eastAsia="仿宋" w:cs="仿宋"/>
                <w:b w:val="0"/>
                <w:bCs w:val="0"/>
                <w:sz w:val="24"/>
                <w:szCs w:val="24"/>
                <w:lang w:val="en-US" w:eastAsia="zh-CN"/>
              </w:rPr>
              <w:fldChar w:fldCharType="begin"/>
            </w:r>
            <w:r>
              <w:rPr>
                <w:rFonts w:hint="default" w:ascii="仿宋" w:hAnsi="仿宋" w:eastAsia="仿宋" w:cs="仿宋"/>
                <w:b w:val="0"/>
                <w:bCs w:val="0"/>
                <w:sz w:val="24"/>
                <w:szCs w:val="24"/>
                <w:lang w:val="en-US" w:eastAsia="zh-CN"/>
              </w:rPr>
              <w:instrText xml:space="preserve"> HYPERLINK "https://www.so.com/link?m=w1pegM3ECu0gdWf2M2WJR8ljj4NwhEYjxCDRIoN4Qe5Sk4xP8fA1qYko/NnV+C6Da9FQP1S33EuJlkFlFDB0Jek9pdg9DZSdSWBaflE6h0bubkJfRc82M69lPOit1OEt1uzBqhNEaQirB/MpL79rp+A7gJXP8S+d62fOXDJyOqcq7mLAt" \t "https://www.so.com/_blank" </w:instrText>
            </w:r>
            <w:r>
              <w:rPr>
                <w:rFonts w:hint="default" w:ascii="仿宋" w:hAnsi="仿宋" w:eastAsia="仿宋" w:cs="仿宋"/>
                <w:b w:val="0"/>
                <w:bCs w:val="0"/>
                <w:sz w:val="24"/>
                <w:szCs w:val="24"/>
                <w:lang w:val="en-US" w:eastAsia="zh-CN"/>
              </w:rPr>
              <w:fldChar w:fldCharType="separate"/>
            </w:r>
            <w:r>
              <w:rPr>
                <w:rFonts w:hint="default" w:ascii="仿宋" w:hAnsi="仿宋" w:eastAsia="仿宋" w:cs="仿宋"/>
                <w:b w:val="0"/>
                <w:bCs w:val="0"/>
                <w:sz w:val="24"/>
                <w:szCs w:val="24"/>
                <w:lang w:val="en-US" w:eastAsia="zh-CN"/>
              </w:rPr>
              <w:t>益阳市市场监督管理局</w:t>
            </w:r>
            <w:r>
              <w:rPr>
                <w:rFonts w:hint="default" w:ascii="仿宋" w:hAnsi="仿宋" w:eastAsia="仿宋" w:cs="仿宋"/>
                <w:b w:val="0"/>
                <w:bCs w:val="0"/>
                <w:sz w:val="24"/>
                <w:szCs w:val="24"/>
                <w:lang w:val="en-US" w:eastAsia="zh-CN"/>
              </w:rPr>
              <w:fldChar w:fldCharType="end"/>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湖南助农米业有限公司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16" w:type="dxa"/>
            <w:vAlign w:val="center"/>
          </w:tcPr>
          <w:p>
            <w:pPr>
              <w:ind w:left="0" w:leftChars="0" w:right="0" w:rightChars="0" w:firstLine="0" w:firstLine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p>
        </w:tc>
        <w:tc>
          <w:tcPr>
            <w:tcW w:w="321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郴州市北湖区自驾游发展标准化工作案例</w:t>
            </w:r>
          </w:p>
        </w:tc>
        <w:tc>
          <w:tcPr>
            <w:tcW w:w="2743"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郴州市市场监督管理局</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湖南省自驾旅游与露营房车标准化技术委员会</w:t>
            </w:r>
          </w:p>
        </w:tc>
      </w:tr>
    </w:tbl>
    <w:p>
      <w:pPr>
        <w:ind w:firstLine="0" w:firstLine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br w:type="page"/>
      </w:r>
    </w:p>
    <w:p>
      <w:pPr>
        <w:pStyle w:val="3"/>
        <w:keepNext/>
        <w:keepLines/>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hint="eastAsia" w:ascii="黑体" w:hAnsi="黑体" w:eastAsia="黑体" w:cs="黑体"/>
          <w:b w:val="0"/>
          <w:bCs/>
          <w:lang w:val="en-US" w:eastAsia="zh-CN"/>
        </w:rPr>
      </w:pPr>
      <w:bookmarkStart w:id="2" w:name="_Toc21555"/>
      <w:r>
        <w:rPr>
          <w:rFonts w:hint="eastAsia" w:ascii="黑体" w:hAnsi="黑体" w:eastAsia="黑体" w:cs="黑体"/>
          <w:b w:val="0"/>
          <w:bCs/>
          <w:lang w:val="en-US" w:eastAsia="zh-CN"/>
        </w:rPr>
        <w:t>三</w:t>
      </w:r>
      <w:r>
        <w:rPr>
          <w:rFonts w:hint="eastAsia" w:ascii="黑体" w:hAnsi="黑体" w:cs="黑体"/>
          <w:b w:val="0"/>
          <w:bCs/>
          <w:lang w:val="en-US" w:eastAsia="zh-CN"/>
        </w:rPr>
        <w:t>、</w:t>
      </w:r>
      <w:r>
        <w:rPr>
          <w:rFonts w:hint="eastAsia" w:ascii="黑体" w:hAnsi="黑体" w:eastAsia="黑体" w:cs="黑体"/>
          <w:b w:val="0"/>
          <w:bCs/>
          <w:lang w:val="en-US" w:eastAsia="zh-CN"/>
        </w:rPr>
        <w:t>江西省</w:t>
      </w:r>
      <w:bookmarkEnd w:id="2"/>
    </w:p>
    <w:tbl>
      <w:tblPr>
        <w:tblStyle w:val="8"/>
        <w:tblW w:w="945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3096"/>
        <w:gridCol w:w="2843"/>
        <w:gridCol w:w="2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97" w:type="dxa"/>
            <w:vAlign w:val="center"/>
          </w:tcPr>
          <w:p>
            <w:pPr>
              <w:ind w:left="0" w:leftChars="0" w:right="0" w:rightChars="0" w:firstLine="0" w:firstLineChars="0"/>
              <w:jc w:val="center"/>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序号</w:t>
            </w:r>
          </w:p>
        </w:tc>
        <w:tc>
          <w:tcPr>
            <w:tcW w:w="3096" w:type="dxa"/>
            <w:vAlign w:val="center"/>
          </w:tcPr>
          <w:p>
            <w:pPr>
              <w:ind w:left="0" w:leftChars="0" w:right="0" w:rightChars="0" w:firstLine="0" w:firstLineChars="0"/>
              <w:jc w:val="center"/>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案例名称</w:t>
            </w:r>
          </w:p>
        </w:tc>
        <w:tc>
          <w:tcPr>
            <w:tcW w:w="2843" w:type="dxa"/>
            <w:vAlign w:val="center"/>
          </w:tcPr>
          <w:p>
            <w:pPr>
              <w:ind w:left="0" w:leftChars="0" w:right="0" w:rightChars="0" w:firstLine="0" w:firstLineChars="0"/>
              <w:jc w:val="center"/>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推荐单位</w:t>
            </w:r>
          </w:p>
        </w:tc>
        <w:tc>
          <w:tcPr>
            <w:tcW w:w="2721" w:type="dxa"/>
            <w:vAlign w:val="center"/>
          </w:tcPr>
          <w:p>
            <w:pPr>
              <w:ind w:left="0" w:leftChars="0" w:right="0" w:rightChars="0" w:firstLine="0" w:firstLineChars="0"/>
              <w:jc w:val="center"/>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申报单位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97" w:type="dxa"/>
            <w:vAlign w:val="center"/>
          </w:tcPr>
          <w:p>
            <w:pPr>
              <w:ind w:left="0" w:leftChars="0" w:right="0" w:rightChars="0" w:firstLine="0" w:firstLineChars="0"/>
              <w:jc w:val="center"/>
              <w:rPr>
                <w:rFonts w:hint="eastAsia" w:ascii="黑体" w:hAnsi="黑体" w:eastAsia="黑体" w:cs="黑体"/>
                <w:b w:val="0"/>
                <w:bCs w:val="0"/>
                <w:sz w:val="24"/>
                <w:szCs w:val="24"/>
                <w:vertAlign w:val="baseline"/>
                <w:lang w:eastAsia="zh-CN"/>
              </w:rPr>
            </w:pPr>
            <w:r>
              <w:rPr>
                <w:rFonts w:hint="eastAsia" w:ascii="仿宋" w:hAnsi="仿宋" w:eastAsia="仿宋" w:cs="仿宋"/>
                <w:sz w:val="24"/>
                <w:szCs w:val="24"/>
                <w:vertAlign w:val="baseline"/>
                <w:lang w:val="en-US" w:eastAsia="zh-CN"/>
              </w:rPr>
              <w:t>1</w:t>
            </w:r>
          </w:p>
        </w:tc>
        <w:tc>
          <w:tcPr>
            <w:tcW w:w="309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从“被动处置”到“主动预防”：困境儿童监护风险干预标准化体系构建与实施</w:t>
            </w:r>
          </w:p>
        </w:tc>
        <w:tc>
          <w:tcPr>
            <w:tcW w:w="2843"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江西省民政厅</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江西省未成年人保护中心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97"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2</w:t>
            </w:r>
          </w:p>
        </w:tc>
        <w:tc>
          <w:tcPr>
            <w:tcW w:w="309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从“达标排放”到“利用优先”：全链条标准化引领农村生活污水治理的江西实践</w:t>
            </w:r>
          </w:p>
        </w:tc>
        <w:tc>
          <w:tcPr>
            <w:tcW w:w="2843"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江西省生态环境厅</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江西省生态环境科学研究与规划院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97"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3</w:t>
            </w:r>
          </w:p>
        </w:tc>
        <w:tc>
          <w:tcPr>
            <w:tcW w:w="309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标准化助力锂电产业高质量发展</w:t>
            </w:r>
          </w:p>
        </w:tc>
        <w:tc>
          <w:tcPr>
            <w:tcW w:w="2843"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江西省交通运输厅</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宜春市公路事业发展中心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97"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4</w:t>
            </w:r>
          </w:p>
        </w:tc>
        <w:tc>
          <w:tcPr>
            <w:tcW w:w="309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江西河湖“健康体检”全覆盖——江西省健康河湖评估标准系统构建与实践</w:t>
            </w:r>
          </w:p>
        </w:tc>
        <w:tc>
          <w:tcPr>
            <w:tcW w:w="2843"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江西省水利厅</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江西省水利科学院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97"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5</w:t>
            </w:r>
          </w:p>
        </w:tc>
        <w:tc>
          <w:tcPr>
            <w:tcW w:w="3096" w:type="dxa"/>
            <w:shd w:val="clear" w:color="auto" w:fill="auto"/>
            <w:vAlign w:val="center"/>
          </w:tcPr>
          <w:p>
            <w:pPr>
              <w:ind w:left="0" w:leftChars="0" w:right="0" w:rightChars="0" w:firstLine="0" w:firstLineChars="0"/>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标准引领绿色转型 打造公共机构节能“江西样板”</w:t>
            </w:r>
          </w:p>
        </w:tc>
        <w:tc>
          <w:tcPr>
            <w:tcW w:w="2843" w:type="dxa"/>
            <w:shd w:val="clear" w:color="auto" w:fill="auto"/>
            <w:vAlign w:val="center"/>
          </w:tcPr>
          <w:p>
            <w:pPr>
              <w:ind w:left="0" w:leftChars="0" w:right="0" w:rightChars="0" w:firstLine="0" w:firstLineChars="0"/>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江西省机关事务管理局</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江西省机关事务管理局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97"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6</w:t>
            </w:r>
          </w:p>
        </w:tc>
        <w:tc>
          <w:tcPr>
            <w:tcW w:w="309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基于水性漆木家具标准化方法研究与应用</w:t>
            </w:r>
          </w:p>
        </w:tc>
        <w:tc>
          <w:tcPr>
            <w:tcW w:w="2843"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江西省工商业联合会</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江西团团圆家具有限公司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97"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7</w:t>
            </w:r>
          </w:p>
        </w:tc>
        <w:tc>
          <w:tcPr>
            <w:tcW w:w="3096" w:type="dxa"/>
            <w:shd w:val="clear" w:color="auto" w:fill="auto"/>
            <w:vAlign w:val="center"/>
          </w:tcPr>
          <w:p>
            <w:pPr>
              <w:ind w:left="0" w:leftChars="0" w:right="0" w:rightChars="0" w:firstLine="0" w:firstLineChars="0"/>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创新“验证+研制+实施+评价”四位一体验证模式——江西省标准综合验证点建设实践</w:t>
            </w:r>
          </w:p>
        </w:tc>
        <w:tc>
          <w:tcPr>
            <w:tcW w:w="2843" w:type="dxa"/>
            <w:shd w:val="clear" w:color="auto" w:fill="auto"/>
            <w:vAlign w:val="center"/>
          </w:tcPr>
          <w:p>
            <w:pPr>
              <w:ind w:left="0" w:leftChars="0" w:right="0" w:rightChars="0" w:firstLine="0" w:firstLineChars="0"/>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江西省检验检测认证总院</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江西省检验检测认证总院检测认证技术发展研究院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97"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8</w:t>
            </w:r>
          </w:p>
        </w:tc>
        <w:tc>
          <w:tcPr>
            <w:tcW w:w="309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授人以鱼更授人以渔——《赤道几内亚水稻人工插秧栽培技术规程》等水稻种植团体标准研制推广案例</w:t>
            </w:r>
          </w:p>
        </w:tc>
        <w:tc>
          <w:tcPr>
            <w:tcW w:w="2843"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南昌市市场监督管理局</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江西赣粮实业有限公司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97"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9</w:t>
            </w:r>
          </w:p>
        </w:tc>
        <w:tc>
          <w:tcPr>
            <w:tcW w:w="309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脱硫脱硝装备用高抗鳞爆高氧搪瓷钢带标准化构建与应用实践</w:t>
            </w:r>
          </w:p>
        </w:tc>
        <w:tc>
          <w:tcPr>
            <w:tcW w:w="2843"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新余市市场监督管理局</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新余钢铁股份有限公司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97" w:type="dxa"/>
            <w:shd w:val="clear" w:color="auto" w:fill="auto"/>
            <w:vAlign w:val="center"/>
          </w:tcPr>
          <w:p>
            <w:pPr>
              <w:ind w:left="0" w:leftChars="0" w:right="0" w:righ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10</w:t>
            </w:r>
          </w:p>
        </w:tc>
        <w:tc>
          <w:tcPr>
            <w:tcW w:w="3096"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企业标准“小切口”撬动产业“大变革” 引领电缆技术创新实践</w:t>
            </w:r>
          </w:p>
        </w:tc>
        <w:tc>
          <w:tcPr>
            <w:tcW w:w="2843"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赣州市市场监督管理局</w:t>
            </w:r>
          </w:p>
        </w:tc>
        <w:tc>
          <w:tcPr>
            <w:tcW w:w="2721" w:type="dxa"/>
            <w:shd w:val="clear" w:color="auto" w:fill="auto"/>
            <w:vAlign w:val="center"/>
          </w:tcPr>
          <w:p>
            <w:pPr>
              <w:ind w:left="0" w:leftChars="0" w:right="0" w:rightChars="0"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江西瑞金金字电线电缆有限公司</w:t>
            </w:r>
          </w:p>
        </w:tc>
      </w:tr>
    </w:tbl>
    <w:p>
      <w:bookmarkStart w:id="3" w:name="_GoBack"/>
      <w:bookmarkEnd w:id="3"/>
    </w:p>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3000509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公文小标宋">
    <w:altName w:val="宋体"/>
    <w:panose1 w:val="02000500000000000000"/>
    <w:charset w:val="86"/>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76510D"/>
    <w:rsid w:val="783D7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admin</cp:lastModifiedBy>
  <dcterms:modified xsi:type="dcterms:W3CDTF">2026-08-11T00:37:04Z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