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43/T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2026</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湘东黑山羊传染性胸膜肺炎风险评估技术规范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Technical Specification for Risk Assessmentl of infectious pleuropneumonia in Xiangdong black goats</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bookmarkStart w:id="133" w:name="_GoBack"/>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bookmarkEnd w:id="133"/>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1"/>
        <w:spacing w:after="468"/>
      </w:pPr>
      <w:bookmarkStart w:id="21" w:name="BookMark1"/>
      <w:bookmarkStart w:id="22" w:name="_Toc231560326"/>
      <w:bookmarkStart w:id="23" w:name="_Toc231560303"/>
      <w:bookmarkStart w:id="24" w:name="_Toc231561868"/>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"_Toc232598592" </w:instrText>
      </w:r>
      <w:r>
        <w:fldChar w:fldCharType="separate"/>
      </w:r>
      <w:r>
        <w:rPr>
          <w:rStyle w:val="30"/>
        </w:rPr>
        <w:t>前言</w:t>
      </w:r>
      <w:r>
        <w:tab/>
      </w:r>
      <w:r>
        <w:fldChar w:fldCharType="begin"/>
      </w:r>
      <w:r>
        <w:instrText xml:space="preserve"> PAGEREF _Toc232598592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"_Toc232598593" </w:instrText>
      </w:r>
      <w:r>
        <w:fldChar w:fldCharType="separate"/>
      </w:r>
      <w:r>
        <w:rPr>
          <w:rStyle w:val="30"/>
        </w:rPr>
        <w:t>1  范围</w:t>
      </w:r>
      <w:r>
        <w:tab/>
      </w:r>
      <w:r>
        <w:fldChar w:fldCharType="begin"/>
      </w:r>
      <w:r>
        <w:instrText xml:space="preserve"> PAGEREF _Toc232598593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"_Toc232598594" </w:instrText>
      </w:r>
      <w:r>
        <w:fldChar w:fldCharType="separate"/>
      </w:r>
      <w:r>
        <w:rPr>
          <w:rStyle w:val="30"/>
        </w:rPr>
        <w:t>2  规范性引用文件</w:t>
      </w:r>
      <w:r>
        <w:tab/>
      </w:r>
      <w:r>
        <w:fldChar w:fldCharType="begin"/>
      </w:r>
      <w:r>
        <w:instrText xml:space="preserve"> PAGEREF _Toc232598594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"_Toc232598595" </w:instrText>
      </w:r>
      <w:r>
        <w:fldChar w:fldCharType="separate"/>
      </w:r>
      <w:r>
        <w:rPr>
          <w:rStyle w:val="30"/>
        </w:rPr>
        <w:t>3  术语和定义</w:t>
      </w:r>
      <w:r>
        <w:tab/>
      </w:r>
      <w:r>
        <w:fldChar w:fldCharType="begin"/>
      </w:r>
      <w:r>
        <w:instrText xml:space="preserve"> PAGEREF _Toc232598595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"_Toc232598596" </w:instrText>
      </w:r>
      <w:r>
        <w:fldChar w:fldCharType="separate"/>
      </w:r>
      <w:r>
        <w:rPr>
          <w:rStyle w:val="30"/>
        </w:rPr>
        <w:t>4  评估组织</w:t>
      </w:r>
      <w:r>
        <w:tab/>
      </w:r>
      <w:r>
        <w:fldChar w:fldCharType="begin"/>
      </w:r>
      <w:r>
        <w:instrText xml:space="preserve"> PAGEREF _Toc232598596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"_Toc232598597" </w:instrText>
      </w:r>
      <w:r>
        <w:fldChar w:fldCharType="separate"/>
      </w:r>
      <w:r>
        <w:rPr>
          <w:rStyle w:val="30"/>
        </w:rPr>
        <w:t>5  风险识别</w:t>
      </w:r>
      <w:r>
        <w:tab/>
      </w:r>
      <w:r>
        <w:fldChar w:fldCharType="begin"/>
      </w:r>
      <w:r>
        <w:instrText xml:space="preserve"> PAGEREF _Toc232598597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"_Toc232598598" </w:instrText>
      </w:r>
      <w:r>
        <w:fldChar w:fldCharType="separate"/>
      </w:r>
      <w:r>
        <w:rPr>
          <w:rStyle w:val="30"/>
        </w:rPr>
        <w:t>6  风险评估</w:t>
      </w:r>
      <w:r>
        <w:tab/>
      </w:r>
      <w:r>
        <w:fldChar w:fldCharType="begin"/>
      </w:r>
      <w:r>
        <w:instrText xml:space="preserve"> PAGEREF _Toc232598598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"_Toc232598599" </w:instrText>
      </w:r>
      <w:r>
        <w:fldChar w:fldCharType="separate"/>
      </w:r>
      <w:r>
        <w:rPr>
          <w:rStyle w:val="30"/>
        </w:rPr>
        <w:t>7  评估报告</w:t>
      </w:r>
      <w:r>
        <w:tab/>
      </w:r>
      <w:r>
        <w:fldChar w:fldCharType="begin"/>
      </w:r>
      <w:r>
        <w:instrText xml:space="preserve"> PAGEREF _Toc232598599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"_Toc232598600" </w:instrText>
      </w:r>
      <w:r>
        <w:fldChar w:fldCharType="separate"/>
      </w:r>
      <w:r>
        <w:rPr>
          <w:rStyle w:val="30"/>
        </w:rPr>
        <w:t>附录A（资料性）  湘东黑山羊饲养密度</w:t>
      </w:r>
      <w:r>
        <w:tab/>
      </w:r>
      <w:r>
        <w:fldChar w:fldCharType="begin"/>
      </w:r>
      <w:r>
        <w:instrText xml:space="preserve"> PAGEREF _Toc232598600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"_Toc232598601" </w:instrText>
      </w:r>
      <w:r>
        <w:fldChar w:fldCharType="separate"/>
      </w:r>
      <w:r>
        <w:rPr>
          <w:rStyle w:val="30"/>
        </w:rPr>
        <w:t>附录B（资料性）  湘东黑山羊传染性胸膜肺炎风险评估表</w:t>
      </w:r>
      <w:r>
        <w:tab/>
      </w:r>
      <w:r>
        <w:fldChar w:fldCharType="begin"/>
      </w:r>
      <w:r>
        <w:instrText xml:space="preserve"> PAGEREF _Toc232598601 \h </w:instrText>
      </w:r>
      <w:r>
        <w:fldChar w:fldCharType="separate"/>
      </w:r>
      <w:r>
        <w:t>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"_Toc232598602" </w:instrText>
      </w:r>
      <w:r>
        <w:fldChar w:fldCharType="separate"/>
      </w:r>
      <w:r>
        <w:rPr>
          <w:rStyle w:val="30"/>
        </w:rPr>
        <w:t>附录C（资料性）  湘东黑山羊传染性胸膜肺炎风险评估报告</w:t>
      </w:r>
      <w:r>
        <w:tab/>
      </w:r>
      <w:r>
        <w:fldChar w:fldCharType="begin"/>
      </w:r>
      <w:r>
        <w:instrText xml:space="preserve"> PAGEREF _Toc232598602 \h </w:instrText>
      </w:r>
      <w:r>
        <w:fldChar w:fldCharType="separate"/>
      </w:r>
      <w:r>
        <w:t>9</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"_Toc232598603" </w:instrText>
      </w:r>
      <w:r>
        <w:fldChar w:fldCharType="separate"/>
      </w:r>
      <w:r>
        <w:rPr>
          <w:rStyle w:val="30"/>
        </w:rPr>
        <w:t>参考文献</w:t>
      </w:r>
      <w:r>
        <w:tab/>
      </w:r>
      <w:r>
        <w:fldChar w:fldCharType="begin"/>
      </w:r>
      <w:r>
        <w:instrText xml:space="preserve"> PAGEREF _Toc232598603 \h </w:instrText>
      </w:r>
      <w:r>
        <w:fldChar w:fldCharType="separate"/>
      </w:r>
      <w:r>
        <w:t>10</w:t>
      </w:r>
      <w:r>
        <w:fldChar w:fldCharType="end"/>
      </w:r>
      <w:r>
        <w:fldChar w:fldCharType="end"/>
      </w:r>
    </w:p>
    <w:p>
      <w:pPr>
        <w:pStyle w:val="91"/>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25" w:name="_Toc232598592"/>
      <w:bookmarkStart w:id="26" w:name="BookMark2"/>
      <w:r>
        <w:rPr>
          <w:spacing w:val="320"/>
        </w:rPr>
        <w:t>前</w:t>
      </w:r>
      <w:r>
        <w:t>言</w:t>
      </w:r>
      <w:bookmarkEnd w:id="22"/>
      <w:bookmarkEnd w:id="23"/>
      <w:bookmarkEnd w:id="24"/>
      <w:bookmarkEnd w:id="25"/>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请注意本文件某些内容可能涉及专利。本文件的发布机构不承担识别专利的责任。</w:t>
      </w:r>
    </w:p>
    <w:p>
      <w:pPr>
        <w:pStyle w:val="56"/>
        <w:ind w:firstLine="420"/>
      </w:pPr>
      <w:r>
        <w:rPr>
          <w:rFonts w:hint="eastAsia"/>
        </w:rPr>
        <w:t>本文件由湖南省农业农村厅提出。</w:t>
      </w:r>
    </w:p>
    <w:p>
      <w:pPr>
        <w:pStyle w:val="56"/>
        <w:ind w:firstLine="420"/>
      </w:pPr>
      <w:r>
        <w:rPr>
          <w:rFonts w:hint="eastAsia"/>
        </w:rPr>
        <w:t>本文件由湖南省农业标准化技术委员会归口。</w:t>
      </w:r>
    </w:p>
    <w:p>
      <w:pPr>
        <w:pStyle w:val="56"/>
        <w:ind w:firstLine="420"/>
        <w:rPr>
          <w:rFonts w:hint="eastAsia" w:ascii="宋体" w:hAnsi="Times New Roman" w:eastAsia="宋体" w:cs="Times New Roman"/>
        </w:rPr>
      </w:pPr>
      <w:r>
        <w:rPr>
          <w:rFonts w:hint="eastAsia" w:ascii="宋体" w:hAnsi="Times New Roman" w:eastAsia="宋体" w:cs="Times New Roman"/>
        </w:rPr>
        <w:t>本文件起草单位：浏阳市动物疫病预防控制中心</w:t>
      </w:r>
      <w:r>
        <w:rPr>
          <w:rFonts w:hint="eastAsia" w:ascii="宋体" w:hAnsi="Times New Roman" w:eastAsia="宋体" w:cs="Times New Roman"/>
          <w:lang w:eastAsia="zh-CN"/>
        </w:rPr>
        <w:t>、长沙市动物疫病预防控制中心、湖南省动物疫病预防控制中心、湖南农业大学</w:t>
      </w:r>
      <w:r>
        <w:rPr>
          <w:rFonts w:hint="eastAsia" w:ascii="宋体" w:hAnsi="Times New Roman" w:eastAsia="宋体" w:cs="Times New Roman"/>
        </w:rPr>
        <w:t>。</w:t>
      </w:r>
    </w:p>
    <w:p>
      <w:pPr>
        <w:pStyle w:val="56"/>
        <w:ind w:firstLine="420"/>
        <w:rPr>
          <w:rFonts w:hint="eastAsia" w:eastAsia="宋体"/>
          <w:lang w:eastAsia="zh-CN"/>
        </w:rPr>
        <w:sectPr>
          <w:pgSz w:w="11906" w:h="16838"/>
          <w:pgMar w:top="1928" w:right="1134" w:bottom="1134" w:left="1134" w:header="1418" w:footer="1134" w:gutter="284"/>
          <w:pgNumType w:fmt="upperRoman"/>
          <w:cols w:space="425" w:num="1"/>
          <w:formProt w:val="0"/>
          <w:docGrid w:type="lines" w:linePitch="312" w:charSpace="0"/>
        </w:sectPr>
      </w:pPr>
      <w:r>
        <w:rPr>
          <w:rFonts w:hint="eastAsia"/>
        </w:rPr>
        <w:t>本文件主要起草人：张建超</w:t>
      </w:r>
      <w:r>
        <w:rPr>
          <w:rFonts w:hint="eastAsia"/>
          <w:lang w:eastAsia="zh-CN"/>
        </w:rPr>
        <w:t>、任杰、赵琴、伍国强、</w:t>
      </w:r>
      <w:r>
        <w:rPr>
          <w:rFonts w:hint="eastAsia"/>
        </w:rPr>
        <w:t>刘浩</w:t>
      </w:r>
      <w:r>
        <w:rPr>
          <w:rFonts w:hint="eastAsia"/>
          <w:lang w:eastAsia="zh-CN"/>
        </w:rPr>
        <w:t>、</w:t>
      </w:r>
      <w:r>
        <w:rPr>
          <w:rFonts w:hint="eastAsia"/>
        </w:rPr>
        <w:t>李敏</w:t>
      </w:r>
      <w:r>
        <w:rPr>
          <w:rFonts w:hint="eastAsia"/>
          <w:lang w:eastAsia="zh-CN"/>
        </w:rPr>
        <w:t>、</w:t>
      </w:r>
      <w:r>
        <w:rPr>
          <w:rFonts w:hint="eastAsia"/>
        </w:rPr>
        <w:t>奉佳</w:t>
      </w:r>
      <w:r>
        <w:rPr>
          <w:rFonts w:hint="eastAsia"/>
          <w:lang w:eastAsia="zh-CN"/>
        </w:rPr>
        <w:t>、</w:t>
      </w:r>
      <w:r>
        <w:rPr>
          <w:rFonts w:hint="eastAsia"/>
        </w:rPr>
        <w:t>马攀</w:t>
      </w:r>
      <w:r>
        <w:rPr>
          <w:rFonts w:hint="eastAsia"/>
          <w:lang w:eastAsia="zh-CN"/>
        </w:rPr>
        <w:t>、</w:t>
      </w:r>
      <w:r>
        <w:rPr>
          <w:rFonts w:hint="eastAsia"/>
        </w:rPr>
        <w:t>汤亚</w:t>
      </w:r>
      <w:r>
        <w:rPr>
          <w:rFonts w:hint="eastAsia"/>
          <w:lang w:eastAsia="zh-CN"/>
        </w:rPr>
        <w:t>、</w:t>
      </w:r>
      <w:r>
        <w:rPr>
          <w:rFonts w:hint="eastAsia"/>
        </w:rPr>
        <w:t>陈功</w:t>
      </w:r>
      <w:r>
        <w:rPr>
          <w:rFonts w:hint="eastAsia"/>
          <w:lang w:eastAsia="zh-CN"/>
        </w:rPr>
        <w:t>、</w:t>
      </w:r>
      <w:r>
        <w:rPr>
          <w:rFonts w:hint="eastAsia"/>
        </w:rPr>
        <w:t>尚柳保</w:t>
      </w:r>
      <w:r>
        <w:rPr>
          <w:rFonts w:hint="eastAsia"/>
          <w:lang w:eastAsia="zh-CN"/>
        </w:rPr>
        <w:t>、</w:t>
      </w:r>
      <w:r>
        <w:rPr>
          <w:rFonts w:hint="eastAsia"/>
        </w:rPr>
        <w:t>欧阳佳宁</w:t>
      </w:r>
      <w:r>
        <w:rPr>
          <w:rFonts w:hint="eastAsia"/>
          <w:lang w:eastAsia="zh-CN"/>
        </w:rPr>
        <w:t>、</w:t>
      </w:r>
      <w:r>
        <w:rPr>
          <w:rFonts w:hint="eastAsia"/>
        </w:rPr>
        <w:t>张佩华</w:t>
      </w:r>
      <w:r>
        <w:rPr>
          <w:rFonts w:hint="eastAsia"/>
          <w:lang w:eastAsia="zh-CN"/>
        </w:rPr>
        <w:t>、</w:t>
      </w:r>
      <w:r>
        <w:rPr>
          <w:rFonts w:hint="eastAsia"/>
        </w:rPr>
        <w:t>范斯琴</w:t>
      </w:r>
      <w:r>
        <w:rPr>
          <w:rFonts w:hint="eastAsia"/>
          <w:lang w:eastAsia="zh-CN"/>
        </w:rPr>
        <w:t>、</w:t>
      </w:r>
      <w:r>
        <w:rPr>
          <w:rFonts w:hint="eastAsia"/>
        </w:rPr>
        <w:t>张</w:t>
      </w:r>
      <w:r>
        <w:rPr>
          <w:rFonts w:hint="eastAsia"/>
          <w:lang w:eastAsia="zh-CN"/>
        </w:rPr>
        <w:t>朝</w:t>
      </w:r>
      <w:r>
        <w:rPr>
          <w:rFonts w:hint="eastAsia"/>
        </w:rPr>
        <w:t>阳</w:t>
      </w:r>
      <w:r>
        <w:rPr>
          <w:rFonts w:hint="eastAsia"/>
          <w:lang w:eastAsia="zh-CN"/>
        </w:rPr>
        <w:t>、黄建龙、</w:t>
      </w:r>
      <w:r>
        <w:rPr>
          <w:rFonts w:hint="eastAsia"/>
        </w:rPr>
        <w:t>朱红刚</w:t>
      </w:r>
      <w:r>
        <w:rPr>
          <w:rFonts w:hint="eastAsia"/>
          <w:lang w:eastAsia="zh-CN"/>
        </w:rPr>
        <w:t>、卓玛央宗。</w:t>
      </w:r>
    </w:p>
    <w:bookmarkEnd w:id="26"/>
    <w:p>
      <w:pPr>
        <w:spacing w:line="20" w:lineRule="exact"/>
        <w:jc w:val="center"/>
        <w:rPr>
          <w:rFonts w:ascii="黑体" w:hAnsi="黑体" w:eastAsia="黑体"/>
          <w:sz w:val="32"/>
          <w:szCs w:val="32"/>
        </w:rPr>
      </w:pPr>
      <w:bookmarkStart w:id="27" w:name="BookMark4"/>
    </w:p>
    <w:p>
      <w:pPr>
        <w:spacing w:line="20" w:lineRule="exact"/>
        <w:jc w:val="center"/>
        <w:rPr>
          <w:rFonts w:ascii="黑体" w:hAnsi="黑体" w:eastAsia="黑体"/>
          <w:sz w:val="32"/>
          <w:szCs w:val="32"/>
        </w:rPr>
      </w:pPr>
    </w:p>
    <w:sdt>
      <w:sdtPr>
        <w:tag w:val="NEW_STAND_NAME"/>
        <w:id w:val="595910757"/>
        <w:lock w:val="sdtLocked"/>
        <w:placeholder>
          <w:docPart w:val="BF8901597C704BB2B7581CAADAE4FCD3"/>
        </w:placeholder>
      </w:sdtPr>
      <w:sdtContent>
        <w:p>
          <w:pPr>
            <w:pStyle w:val="177"/>
            <w:spacing w:before="3" w:beforeLines="1" w:after="686" w:afterLines="220"/>
          </w:pPr>
          <w:bookmarkStart w:id="28" w:name="NEW_STAND_NAME"/>
          <w:r>
            <w:rPr>
              <w:rFonts w:hint="eastAsia"/>
            </w:rPr>
            <w:t>湘东黑山羊传染性胸膜肺炎风险评估技术规范</w:t>
          </w:r>
        </w:p>
      </w:sdtContent>
    </w:sdt>
    <w:bookmarkEnd w:id="28"/>
    <w:p>
      <w:pPr>
        <w:pStyle w:val="104"/>
        <w:spacing w:before="312" w:after="312"/>
      </w:pPr>
      <w:bookmarkStart w:id="29" w:name="_Toc216979656"/>
      <w:bookmarkStart w:id="30" w:name="_Toc231560327"/>
      <w:bookmarkStart w:id="31" w:name="_Toc24884211"/>
      <w:bookmarkStart w:id="32" w:name="_Toc231560304"/>
      <w:bookmarkStart w:id="33" w:name="_Toc26718930"/>
      <w:bookmarkStart w:id="34" w:name="_Toc231561869"/>
      <w:bookmarkStart w:id="35" w:name="_Toc216979676"/>
      <w:bookmarkStart w:id="36" w:name="_Toc232598593"/>
      <w:bookmarkStart w:id="37" w:name="_Toc26986771"/>
      <w:bookmarkStart w:id="38" w:name="_Toc17233325"/>
      <w:bookmarkStart w:id="39" w:name="_Toc17233333"/>
      <w:bookmarkStart w:id="40" w:name="_Toc26986530"/>
      <w:bookmarkStart w:id="41" w:name="_Toc24884218"/>
      <w:bookmarkStart w:id="42" w:name="_Toc97191423"/>
      <w:bookmarkStart w:id="43" w:name="_Toc26648465"/>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pStyle w:val="56"/>
        <w:ind w:firstLine="420"/>
      </w:pPr>
      <w:bookmarkStart w:id="44" w:name="_Toc17233334"/>
      <w:bookmarkStart w:id="45" w:name="_Toc24884212"/>
      <w:bookmarkStart w:id="46" w:name="_Toc26648466"/>
      <w:bookmarkStart w:id="47" w:name="_Toc24884219"/>
      <w:bookmarkStart w:id="48" w:name="_Toc17233326"/>
      <w:r>
        <w:rPr>
          <w:rFonts w:hint="eastAsia"/>
        </w:rPr>
        <w:t>本标准规定了湘东黑山羊传染性胸膜肺炎风险评估组织、风险识别、风险评估和评估报告等内容。</w:t>
      </w:r>
    </w:p>
    <w:p>
      <w:pPr>
        <w:pStyle w:val="56"/>
        <w:ind w:firstLine="420"/>
      </w:pPr>
      <w:r>
        <w:rPr>
          <w:rFonts w:hint="eastAsia"/>
        </w:rPr>
        <w:t>本标准适用于湘东黑山羊传染性胸膜肺炎风险评估。</w:t>
      </w:r>
    </w:p>
    <w:p>
      <w:pPr>
        <w:pStyle w:val="104"/>
        <w:spacing w:before="312" w:after="312"/>
      </w:pPr>
      <w:bookmarkStart w:id="49" w:name="_Toc231560305"/>
      <w:bookmarkStart w:id="50" w:name="_Toc232598594"/>
      <w:bookmarkStart w:id="51" w:name="_Toc216979657"/>
      <w:bookmarkStart w:id="52" w:name="_Toc231561870"/>
      <w:bookmarkStart w:id="53" w:name="_Toc97191424"/>
      <w:bookmarkStart w:id="54" w:name="_Toc26986772"/>
      <w:bookmarkStart w:id="55" w:name="_Toc231560328"/>
      <w:bookmarkStart w:id="56" w:name="_Toc26986531"/>
      <w:bookmarkStart w:id="57" w:name="_Toc216979677"/>
      <w:bookmarkStart w:id="58" w:name="_Toc26718931"/>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sdt>
      <w:sdtPr>
        <w:rPr>
          <w:rFonts w:hint="eastAsia"/>
        </w:rPr>
        <w:id w:val="715848253"/>
        <w:placeholder>
          <w:docPart w:val="DD1602D470EE401181EB3022EE06FBA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5749 生活饮用水卫生标准</w:t>
      </w:r>
    </w:p>
    <w:p>
      <w:pPr>
        <w:pStyle w:val="56"/>
        <w:ind w:firstLine="420"/>
      </w:pPr>
      <w:r>
        <w:rPr>
          <w:rFonts w:hint="eastAsia"/>
        </w:rPr>
        <w:t>GB 18596 畜禽养殖业污染物排放标准</w:t>
      </w:r>
    </w:p>
    <w:p>
      <w:pPr>
        <w:pStyle w:val="56"/>
        <w:ind w:firstLine="420"/>
      </w:pPr>
      <w:r>
        <w:rPr>
          <w:rFonts w:hint="eastAsia"/>
        </w:rPr>
        <w:t>NY/T 682 畜禽场场区设计技术规范</w:t>
      </w:r>
    </w:p>
    <w:p>
      <w:pPr>
        <w:pStyle w:val="104"/>
        <w:spacing w:before="312" w:after="312"/>
      </w:pPr>
      <w:bookmarkStart w:id="59" w:name="_Toc97191425"/>
      <w:bookmarkStart w:id="60" w:name="_Toc232598595"/>
      <w:bookmarkStart w:id="61" w:name="_Toc231560329"/>
      <w:bookmarkStart w:id="62" w:name="_Toc231560306"/>
      <w:bookmarkStart w:id="63" w:name="_Toc231561871"/>
      <w:bookmarkStart w:id="64" w:name="_Toc216979678"/>
      <w:bookmarkStart w:id="65" w:name="_Toc216979658"/>
      <w:r>
        <w:rPr>
          <w:rFonts w:hint="eastAsia"/>
          <w:szCs w:val="21"/>
        </w:rPr>
        <w:t>术语和定义</w:t>
      </w:r>
      <w:bookmarkEnd w:id="59"/>
      <w:bookmarkEnd w:id="60"/>
      <w:bookmarkEnd w:id="61"/>
      <w:bookmarkEnd w:id="62"/>
      <w:bookmarkEnd w:id="63"/>
      <w:bookmarkEnd w:id="64"/>
      <w:bookmarkEnd w:id="65"/>
    </w:p>
    <w:sdt>
      <w:sdtPr>
        <w:id w:val="-1909835108"/>
        <w:placeholder>
          <w:docPart w:val="B990EC9C1DC241DC87EC693BE2840BA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66" w:name="_Toc26986532"/>
          <w:bookmarkEnd w:id="66"/>
          <w:r>
            <w:t>下列术语和定义适用于本文件。</w:t>
          </w:r>
        </w:p>
      </w:sdtContent>
    </w:sdt>
    <w:p>
      <w:pPr>
        <w:pStyle w:val="105"/>
        <w:spacing w:before="156" w:after="156"/>
      </w:pPr>
      <w:bookmarkStart w:id="67" w:name="_Toc231560307"/>
      <w:bookmarkEnd w:id="67"/>
      <w:bookmarkStart w:id="68" w:name="_Toc216979659"/>
      <w:bookmarkEnd w:id="68"/>
    </w:p>
    <w:p>
      <w:pPr>
        <w:pStyle w:val="56"/>
        <w:ind w:firstLine="420"/>
      </w:pPr>
      <w:r>
        <w:rPr>
          <w:rFonts w:hint="eastAsia"/>
        </w:rPr>
        <w:t>羊传染性胸膜肺炎  contagious caprine pleuropneumonia</w:t>
      </w:r>
    </w:p>
    <w:p>
      <w:pPr>
        <w:pStyle w:val="56"/>
        <w:ind w:firstLine="420"/>
      </w:pPr>
      <w:r>
        <w:rPr>
          <w:rFonts w:hint="eastAsia"/>
        </w:rPr>
        <w:t>又称支原体肺炎，是由支原体引起的一种接触性呼吸道传染病，典型临床表现为高热、咳嗽及浆液性、纤维素性胸膜肺炎，发病率、致死率高。</w:t>
      </w:r>
    </w:p>
    <w:p>
      <w:pPr>
        <w:pStyle w:val="105"/>
        <w:spacing w:before="156" w:after="156"/>
      </w:pPr>
      <w:bookmarkStart w:id="69" w:name="_Toc231560308"/>
      <w:bookmarkEnd w:id="69"/>
      <w:bookmarkStart w:id="70" w:name="_Toc216979660"/>
      <w:bookmarkEnd w:id="70"/>
    </w:p>
    <w:p>
      <w:pPr>
        <w:pStyle w:val="56"/>
        <w:ind w:firstLine="420"/>
      </w:pPr>
      <w:r>
        <w:rPr>
          <w:rFonts w:hint="eastAsia"/>
        </w:rPr>
        <w:t>风险因子 risk factor</w:t>
      </w:r>
    </w:p>
    <w:p>
      <w:pPr>
        <w:pStyle w:val="56"/>
        <w:ind w:firstLine="420"/>
      </w:pPr>
      <w:r>
        <w:rPr>
          <w:rFonts w:hint="eastAsia"/>
        </w:rPr>
        <w:t>在养殖过程中，能引起或增加湘东黑山羊传染性胸膜肺炎感染、传播或扩散，造成生物学和经济学损失的各种生物、环境、管理等不确定因素。</w:t>
      </w:r>
    </w:p>
    <w:p>
      <w:pPr>
        <w:pStyle w:val="105"/>
        <w:spacing w:before="156" w:after="156"/>
      </w:pPr>
      <w:bookmarkStart w:id="71" w:name="_Toc231560309"/>
      <w:bookmarkEnd w:id="71"/>
      <w:bookmarkStart w:id="72" w:name="_Toc216979661"/>
      <w:bookmarkEnd w:id="72"/>
    </w:p>
    <w:p>
      <w:pPr>
        <w:pStyle w:val="56"/>
        <w:ind w:firstLine="420"/>
      </w:pPr>
      <w:r>
        <w:rPr>
          <w:rFonts w:hint="eastAsia"/>
        </w:rPr>
        <w:t>风险识别 risk identification</w:t>
      </w:r>
    </w:p>
    <w:p>
      <w:pPr>
        <w:pStyle w:val="56"/>
        <w:ind w:firstLine="420"/>
      </w:pPr>
      <w:r>
        <w:rPr>
          <w:rFonts w:hint="eastAsia"/>
        </w:rPr>
        <w:t>对湘东黑山羊传染性胸膜肺炎防控状况产生的风险因子进行识别和确认的过程。</w:t>
      </w:r>
    </w:p>
    <w:p>
      <w:pPr>
        <w:pStyle w:val="105"/>
        <w:spacing w:before="156" w:after="156"/>
      </w:pPr>
      <w:bookmarkStart w:id="73" w:name="_Toc216979662"/>
      <w:bookmarkEnd w:id="73"/>
      <w:bookmarkStart w:id="74" w:name="_Toc231560310"/>
      <w:bookmarkEnd w:id="74"/>
    </w:p>
    <w:p>
      <w:pPr>
        <w:pStyle w:val="56"/>
        <w:ind w:firstLine="420"/>
      </w:pPr>
      <w:r>
        <w:rPr>
          <w:rFonts w:hint="eastAsia"/>
        </w:rPr>
        <w:t>风险评估 risk assessment</w:t>
      </w:r>
    </w:p>
    <w:p>
      <w:pPr>
        <w:pStyle w:val="56"/>
        <w:ind w:firstLine="420"/>
      </w:pPr>
      <w:r>
        <w:rPr>
          <w:rFonts w:hint="eastAsia"/>
        </w:rPr>
        <w:t>湘东黑山羊传染性胸膜肺炎发生之前，对养殖场诸多方面发生传染性胸膜肺炎的可能程度或潜在影响进行评估、管理的过程。</w:t>
      </w:r>
    </w:p>
    <w:p>
      <w:pPr>
        <w:pStyle w:val="105"/>
        <w:spacing w:before="156" w:after="156"/>
      </w:pPr>
      <w:bookmarkStart w:id="75" w:name="_Toc231560311"/>
      <w:bookmarkEnd w:id="75"/>
      <w:bookmarkStart w:id="76" w:name="_Toc216979663"/>
      <w:bookmarkEnd w:id="76"/>
    </w:p>
    <w:p>
      <w:pPr>
        <w:pStyle w:val="56"/>
        <w:ind w:firstLine="420"/>
      </w:pPr>
      <w:r>
        <w:rPr>
          <w:rFonts w:hint="eastAsia"/>
        </w:rPr>
        <w:t>风险管理 risk management</w:t>
      </w:r>
    </w:p>
    <w:p>
      <w:pPr>
        <w:pStyle w:val="56"/>
        <w:ind w:firstLine="420"/>
      </w:pPr>
      <w:r>
        <w:rPr>
          <w:rFonts w:hint="eastAsia"/>
        </w:rPr>
        <w:t>在风险评估的基础上，确定、选择和实施能够降低风险水平的措施，并对措施实施效果开展评价的过程。</w:t>
      </w:r>
    </w:p>
    <w:p>
      <w:pPr>
        <w:pStyle w:val="104"/>
        <w:spacing w:before="312" w:after="312"/>
      </w:pPr>
      <w:bookmarkStart w:id="77" w:name="_Toc216979679"/>
      <w:bookmarkStart w:id="78" w:name="_Toc232598596"/>
      <w:bookmarkStart w:id="79" w:name="_Toc231561872"/>
      <w:bookmarkStart w:id="80" w:name="_Toc216979664"/>
      <w:bookmarkStart w:id="81" w:name="_Toc231560312"/>
      <w:bookmarkStart w:id="82" w:name="_Toc231560330"/>
      <w:r>
        <w:rPr>
          <w:rFonts w:hint="eastAsia"/>
        </w:rPr>
        <w:t>评估组织</w:t>
      </w:r>
      <w:bookmarkEnd w:id="77"/>
      <w:bookmarkEnd w:id="78"/>
      <w:bookmarkEnd w:id="79"/>
      <w:bookmarkEnd w:id="80"/>
      <w:bookmarkEnd w:id="81"/>
      <w:bookmarkEnd w:id="82"/>
    </w:p>
    <w:p>
      <w:pPr>
        <w:pStyle w:val="105"/>
        <w:spacing w:before="156" w:after="156"/>
      </w:pPr>
      <w:bookmarkStart w:id="83" w:name="_Toc216979665"/>
      <w:bookmarkStart w:id="84" w:name="_Toc231560313"/>
      <w:r>
        <w:rPr>
          <w:rFonts w:hint="eastAsia"/>
        </w:rPr>
        <w:t>成立评估小组</w:t>
      </w:r>
      <w:bookmarkEnd w:id="83"/>
      <w:bookmarkEnd w:id="84"/>
    </w:p>
    <w:p>
      <w:pPr>
        <w:pStyle w:val="56"/>
        <w:ind w:firstLine="420"/>
      </w:pPr>
      <w:r>
        <w:rPr>
          <w:rFonts w:hint="eastAsia"/>
        </w:rPr>
        <w:t>由养殖场负责人、驻场兽医、生产负责人、生物安全责任人等组成评估小组，宜由驻场兽医担任组长。</w:t>
      </w:r>
    </w:p>
    <w:p>
      <w:pPr>
        <w:pStyle w:val="105"/>
        <w:spacing w:before="156" w:after="156"/>
      </w:pPr>
      <w:bookmarkStart w:id="85" w:name="_Toc216979666"/>
      <w:bookmarkStart w:id="86" w:name="_Toc231560314"/>
      <w:r>
        <w:rPr>
          <w:rFonts w:hint="eastAsia"/>
        </w:rPr>
        <w:t>制定评估</w:t>
      </w:r>
      <w:bookmarkEnd w:id="85"/>
      <w:r>
        <w:rPr>
          <w:rFonts w:hint="eastAsia"/>
        </w:rPr>
        <w:t>方案</w:t>
      </w:r>
      <w:bookmarkEnd w:id="86"/>
    </w:p>
    <w:p>
      <w:pPr>
        <w:pStyle w:val="56"/>
        <w:ind w:firstLine="420"/>
      </w:pPr>
      <w:r>
        <w:rPr>
          <w:rFonts w:hint="eastAsia"/>
        </w:rPr>
        <w:t>根据评估内容，制定评估方案，合理安排评估小组及相关人员的任务分工、时间分配及评估周期等。</w:t>
      </w:r>
    </w:p>
    <w:p>
      <w:pPr>
        <w:pStyle w:val="104"/>
        <w:spacing w:before="312" w:after="312"/>
      </w:pPr>
      <w:bookmarkStart w:id="87" w:name="_Toc232598597"/>
      <w:bookmarkStart w:id="88" w:name="_Toc231560331"/>
      <w:bookmarkStart w:id="89" w:name="_Toc231560315"/>
      <w:bookmarkStart w:id="90" w:name="_Toc231561873"/>
      <w:bookmarkStart w:id="91" w:name="_Toc216979667"/>
      <w:bookmarkStart w:id="92" w:name="_Toc216979680"/>
      <w:r>
        <w:rPr>
          <w:rFonts w:hint="eastAsia"/>
        </w:rPr>
        <w:t>风险识别</w:t>
      </w:r>
      <w:bookmarkEnd w:id="87"/>
      <w:bookmarkEnd w:id="88"/>
      <w:bookmarkEnd w:id="89"/>
      <w:bookmarkEnd w:id="90"/>
      <w:bookmarkEnd w:id="91"/>
      <w:bookmarkEnd w:id="92"/>
    </w:p>
    <w:p>
      <w:pPr>
        <w:pStyle w:val="105"/>
        <w:spacing w:before="156" w:after="156"/>
      </w:pPr>
      <w:bookmarkStart w:id="93" w:name="_Toc216979668"/>
      <w:bookmarkStart w:id="94" w:name="_Toc231560316"/>
      <w:r>
        <w:rPr>
          <w:rFonts w:hint="eastAsia"/>
        </w:rPr>
        <w:t>风险识别方法</w:t>
      </w:r>
      <w:bookmarkEnd w:id="93"/>
      <w:bookmarkEnd w:id="94"/>
    </w:p>
    <w:p>
      <w:pPr>
        <w:pStyle w:val="56"/>
        <w:ind w:firstLine="420"/>
      </w:pPr>
      <w:r>
        <w:rPr>
          <w:rFonts w:hint="eastAsia"/>
        </w:rPr>
        <w:t>采用问卷识别和现场评估方式对风险主体进行风险识别。</w:t>
      </w:r>
    </w:p>
    <w:p>
      <w:pPr>
        <w:pStyle w:val="105"/>
        <w:spacing w:before="156" w:after="156"/>
      </w:pPr>
      <w:bookmarkStart w:id="95" w:name="_Toc231560317"/>
      <w:bookmarkStart w:id="96" w:name="_Toc216979669"/>
      <w:r>
        <w:rPr>
          <w:rFonts w:hint="eastAsia"/>
        </w:rPr>
        <w:t>风险因子</w:t>
      </w:r>
      <w:bookmarkEnd w:id="95"/>
      <w:bookmarkEnd w:id="96"/>
    </w:p>
    <w:p>
      <w:pPr>
        <w:pStyle w:val="65"/>
        <w:spacing w:before="156" w:after="156"/>
      </w:pPr>
      <w:r>
        <w:rPr>
          <w:rFonts w:hint="eastAsia"/>
        </w:rPr>
        <w:t>限制项</w:t>
      </w:r>
    </w:p>
    <w:p>
      <w:pPr>
        <w:pStyle w:val="56"/>
        <w:ind w:firstLine="420"/>
      </w:pPr>
      <w:r>
        <w:rPr>
          <w:rFonts w:hint="eastAsia"/>
        </w:rPr>
        <w:t>本场湘东黑山羊传染性胸膜肺炎病原学检测结果为阳性。</w:t>
      </w:r>
    </w:p>
    <w:p>
      <w:pPr>
        <w:pStyle w:val="65"/>
        <w:spacing w:before="156" w:after="156"/>
      </w:pPr>
      <w:r>
        <w:rPr>
          <w:rFonts w:hint="eastAsia"/>
        </w:rPr>
        <w:t>关键项</w:t>
      </w:r>
    </w:p>
    <w:p>
      <w:pPr>
        <w:pStyle w:val="94"/>
        <w:spacing w:before="156" w:after="156"/>
      </w:pPr>
      <w:r>
        <w:rPr>
          <w:rFonts w:hint="eastAsia"/>
        </w:rPr>
        <w:t>规范免疫</w:t>
      </w:r>
    </w:p>
    <w:p>
      <w:pPr>
        <w:pStyle w:val="56"/>
        <w:ind w:firstLine="420"/>
      </w:pPr>
      <w:r>
        <w:rPr>
          <w:rFonts w:hint="eastAsia"/>
        </w:rPr>
        <w:t>制定并严格执行针对湘东黑山羊传染性胸膜肺炎的免疫程序，确保免疫抗体合格率持续达标。</w:t>
      </w:r>
    </w:p>
    <w:p>
      <w:pPr>
        <w:pStyle w:val="94"/>
        <w:spacing w:before="156" w:after="156"/>
      </w:pPr>
      <w:r>
        <w:rPr>
          <w:rFonts w:hint="eastAsia"/>
        </w:rPr>
        <w:t>引种管理</w:t>
      </w:r>
    </w:p>
    <w:p>
      <w:pPr>
        <w:pStyle w:val="56"/>
        <w:ind w:firstLine="420"/>
      </w:pPr>
      <w:r>
        <w:rPr>
          <w:rFonts w:hint="eastAsia"/>
        </w:rPr>
        <w:t>引入的种羊、精液及胚胎均具备有效的动物检疫合格证明，入场前是经传染性胸膜肺炎病原学检测且结果均为阴性，并严格执行了隔离观察制度。</w:t>
      </w:r>
    </w:p>
    <w:p>
      <w:pPr>
        <w:pStyle w:val="94"/>
        <w:spacing w:before="156" w:after="156"/>
      </w:pPr>
      <w:r>
        <w:rPr>
          <w:rFonts w:hint="eastAsia"/>
        </w:rPr>
        <w:t>物理隔离</w:t>
      </w:r>
    </w:p>
    <w:p>
      <w:pPr>
        <w:pStyle w:val="56"/>
        <w:ind w:firstLine="420"/>
      </w:pPr>
      <w:r>
        <w:rPr>
          <w:rFonts w:hint="eastAsia"/>
        </w:rPr>
        <w:t>确保场区规划布局科学合理，实现生产区、生活区与隔离区的有效分离；严格落实场外人员、车辆禁入生产区、场内运输车辆专用且不出场的规定。</w:t>
      </w:r>
    </w:p>
    <w:p>
      <w:pPr>
        <w:pStyle w:val="94"/>
        <w:spacing w:before="156" w:after="156"/>
      </w:pPr>
      <w:r>
        <w:rPr>
          <w:rFonts w:hint="eastAsia"/>
        </w:rPr>
        <w:t>病畜处置</w:t>
      </w:r>
    </w:p>
    <w:p>
      <w:pPr>
        <w:pStyle w:val="56"/>
        <w:ind w:firstLine="420"/>
      </w:pPr>
      <w:r>
        <w:rPr>
          <w:rFonts w:hint="eastAsia"/>
        </w:rPr>
        <w:t>严格落实发病羊只即时隔离制度，对病死羊及其污染物依照《病死畜禽和病害畜禽产品无害化处理管理办法》实施规范化无害化处理。</w:t>
      </w:r>
    </w:p>
    <w:p>
      <w:pPr>
        <w:pStyle w:val="65"/>
        <w:spacing w:before="156" w:after="156"/>
      </w:pPr>
      <w:r>
        <w:rPr>
          <w:rFonts w:hint="eastAsia"/>
        </w:rPr>
        <w:t>普通项</w:t>
      </w:r>
    </w:p>
    <w:p>
      <w:pPr>
        <w:pStyle w:val="94"/>
        <w:spacing w:before="156" w:after="156"/>
      </w:pPr>
      <w:r>
        <w:rPr>
          <w:rFonts w:hint="eastAsia"/>
        </w:rPr>
        <w:t>场址选择</w:t>
      </w:r>
    </w:p>
    <w:p>
      <w:pPr>
        <w:pStyle w:val="56"/>
        <w:ind w:firstLine="420"/>
      </w:pPr>
      <w:r>
        <w:rPr>
          <w:rFonts w:hint="eastAsia"/>
        </w:rPr>
        <w:t>见《动物防疫条件审查办法》。</w:t>
      </w:r>
    </w:p>
    <w:p>
      <w:pPr>
        <w:pStyle w:val="94"/>
        <w:spacing w:before="156" w:after="156"/>
      </w:pPr>
      <w:r>
        <w:rPr>
          <w:rFonts w:hint="eastAsia"/>
        </w:rPr>
        <w:t>结构布局</w:t>
      </w:r>
    </w:p>
    <w:p>
      <w:pPr>
        <w:pStyle w:val="56"/>
        <w:ind w:firstLine="420"/>
      </w:pPr>
      <w:r>
        <w:rPr>
          <w:rFonts w:hint="eastAsia"/>
        </w:rPr>
        <w:t>应符合NY/T 682的规定。</w:t>
      </w:r>
    </w:p>
    <w:p>
      <w:pPr>
        <w:pStyle w:val="94"/>
        <w:spacing w:before="156" w:after="156"/>
      </w:pPr>
      <w:r>
        <w:rPr>
          <w:rFonts w:hint="eastAsia"/>
        </w:rPr>
        <w:t>设施设备</w:t>
      </w:r>
    </w:p>
    <w:p>
      <w:pPr>
        <w:pStyle w:val="56"/>
        <w:ind w:firstLine="420"/>
      </w:pPr>
      <w:r>
        <w:rPr>
          <w:rFonts w:hint="eastAsia"/>
        </w:rPr>
        <w:t>设有兽医室，配备诊疗与消毒设备；各出入口设置消毒池、消毒通道及更衣室，并悬挂明显防疫警示标志。场内实行雨污分流，舍内通风温控设施运转正常，并建有专用青贮设备与干草棚。同时，严格落实生物安全管控，羊舍具备防鸟、防鼠、防虫及防犬猫进入的设施，场内运输工具专用且严禁出场。</w:t>
      </w:r>
    </w:p>
    <w:p>
      <w:pPr>
        <w:pStyle w:val="94"/>
        <w:spacing w:before="156" w:after="156"/>
      </w:pPr>
      <w:r>
        <w:rPr>
          <w:rFonts w:hint="eastAsia"/>
        </w:rPr>
        <w:t>饲养管理</w:t>
      </w:r>
    </w:p>
    <w:p>
      <w:pPr>
        <w:pStyle w:val="56"/>
        <w:ind w:firstLine="420"/>
      </w:pPr>
      <w:r>
        <w:rPr>
          <w:rFonts w:hint="eastAsia"/>
        </w:rPr>
        <w:t xml:space="preserve">坚持自繁自养管理模式，种公羊不对外配种。严格执行场外人员禁入生产区制度。饲料营养达标且源头可控，饲养密度合理，见附录A。杜绝畜禽混养及牧场共用。羊只饮用水符合GB 5749标准。同时，建立员工人畜共患病定期筛查与饲养管理常态化培训制度。 </w:t>
      </w:r>
    </w:p>
    <w:p>
      <w:pPr>
        <w:pStyle w:val="94"/>
        <w:spacing w:before="156" w:after="156"/>
      </w:pPr>
      <w:r>
        <w:rPr>
          <w:rFonts w:hint="eastAsia"/>
        </w:rPr>
        <w:t>种源管理</w:t>
      </w:r>
    </w:p>
    <w:p>
      <w:pPr>
        <w:pStyle w:val="56"/>
        <w:ind w:firstLine="420"/>
      </w:pPr>
      <w:r>
        <w:rPr>
          <w:rFonts w:hint="eastAsia"/>
        </w:rPr>
        <w:t>场内制定并执行规范的引种管理制度，配套设立独立的隔离场所。引种时严格筛选具备《种畜禽经营许可证》的种畜场，引入后按规程落实消毒、隔离、观察和检测等综合管控措施。</w:t>
      </w:r>
    </w:p>
    <w:p>
      <w:pPr>
        <w:pStyle w:val="94"/>
        <w:spacing w:before="156" w:after="156"/>
      </w:pPr>
      <w:r>
        <w:rPr>
          <w:rFonts w:hint="eastAsia"/>
        </w:rPr>
        <w:t>防疫管理</w:t>
      </w:r>
    </w:p>
    <w:p>
      <w:pPr>
        <w:pStyle w:val="56"/>
        <w:ind w:firstLine="420"/>
      </w:pPr>
      <w:r>
        <w:rPr>
          <w:rFonts w:hint="eastAsia"/>
        </w:rPr>
        <w:t xml:space="preserve"> 制定并严格执行适合本场的免疫方案，免疫后详细记录免疫时间、疫苗信息等内容；同时，规范建立兽医诊疗、隔离观察及用药等全过程档案记录。 </w:t>
      </w:r>
    </w:p>
    <w:p>
      <w:pPr>
        <w:pStyle w:val="94"/>
        <w:spacing w:before="156" w:after="156"/>
      </w:pPr>
      <w:r>
        <w:rPr>
          <w:rFonts w:hint="eastAsia"/>
        </w:rPr>
        <w:t>疫病监测</w:t>
      </w:r>
    </w:p>
    <w:p>
      <w:pPr>
        <w:pStyle w:val="56"/>
        <w:ind w:firstLine="420"/>
      </w:pPr>
      <w:r>
        <w:rPr>
          <w:rFonts w:hint="eastAsia"/>
        </w:rPr>
        <w:t>制定并严格执行适合本场的监测方案；病死羊剖检严格符合生物安全要求；确保场内羊传染性胸膜肺炎免疫抗体水平持续达标。</w:t>
      </w:r>
    </w:p>
    <w:p>
      <w:pPr>
        <w:pStyle w:val="94"/>
        <w:spacing w:before="156" w:after="156"/>
      </w:pPr>
      <w:r>
        <w:rPr>
          <w:rFonts w:hint="eastAsia"/>
        </w:rPr>
        <w:t>消毒管理</w:t>
      </w:r>
    </w:p>
    <w:p>
      <w:pPr>
        <w:pStyle w:val="56"/>
        <w:ind w:firstLine="420"/>
      </w:pPr>
      <w:r>
        <w:rPr>
          <w:rFonts w:hint="eastAsia"/>
        </w:rPr>
        <w:t>制定涵盖场内与外来人员、车辆、物资的准入消毒及出入登记制度，规范日常清洁处理流程与标准化操作程序，严格执行到位并做好记录。</w:t>
      </w:r>
    </w:p>
    <w:p>
      <w:pPr>
        <w:pStyle w:val="94"/>
        <w:spacing w:before="156" w:after="156"/>
      </w:pPr>
      <w:r>
        <w:rPr>
          <w:rFonts w:hint="eastAsia"/>
        </w:rPr>
        <w:t>无害化处理</w:t>
      </w:r>
    </w:p>
    <w:p>
      <w:pPr>
        <w:pStyle w:val="56"/>
        <w:ind w:firstLine="420"/>
      </w:pPr>
      <w:r>
        <w:rPr>
          <w:rFonts w:hint="eastAsia"/>
        </w:rPr>
        <w:t>建立并严格执行无害化处理制度，规范处置病死羊、排泄物及污水等全场废弃物，实现无害化管理全覆盖，确保污染物排放符合GB 18596规定。</w:t>
      </w:r>
    </w:p>
    <w:p>
      <w:pPr>
        <w:pStyle w:val="104"/>
        <w:spacing w:before="312" w:after="312"/>
      </w:pPr>
      <w:bookmarkStart w:id="97" w:name="_Toc231560318"/>
      <w:bookmarkStart w:id="98" w:name="_Toc231561874"/>
      <w:bookmarkStart w:id="99" w:name="_Toc216979670"/>
      <w:bookmarkStart w:id="100" w:name="_Toc231560332"/>
      <w:bookmarkStart w:id="101" w:name="_Toc216979681"/>
      <w:bookmarkStart w:id="102" w:name="_Toc232598598"/>
      <w:r>
        <w:rPr>
          <w:rFonts w:hint="eastAsia"/>
        </w:rPr>
        <w:t>风险评估</w:t>
      </w:r>
      <w:bookmarkEnd w:id="97"/>
      <w:bookmarkEnd w:id="98"/>
      <w:bookmarkEnd w:id="99"/>
      <w:bookmarkEnd w:id="100"/>
      <w:bookmarkEnd w:id="101"/>
      <w:bookmarkEnd w:id="102"/>
    </w:p>
    <w:p>
      <w:pPr>
        <w:pStyle w:val="105"/>
        <w:spacing w:before="156" w:after="156"/>
      </w:pPr>
      <w:bookmarkStart w:id="103" w:name="_Toc216979671"/>
      <w:bookmarkStart w:id="104" w:name="_Toc231560319"/>
      <w:r>
        <w:rPr>
          <w:rFonts w:hint="eastAsia"/>
        </w:rPr>
        <w:t>风险等级</w:t>
      </w:r>
      <w:bookmarkEnd w:id="103"/>
      <w:bookmarkEnd w:id="104"/>
    </w:p>
    <w:p>
      <w:pPr>
        <w:pStyle w:val="56"/>
        <w:ind w:firstLine="420"/>
        <w:rPr>
          <w:rFonts w:hint="eastAsia"/>
        </w:rPr>
      </w:pPr>
      <w:r>
        <w:rPr>
          <w:rFonts w:hint="eastAsia"/>
          <w:color w:val="000000" w:themeColor="text1"/>
          <w14:textFill>
            <w14:solidFill>
              <w14:schemeClr w14:val="tx1"/>
            </w14:solidFill>
          </w14:textFill>
        </w:rPr>
        <w:t>根据生产中的实际情况，将各项风险因子的判定标准分为符合要求（是）和不符合要求（否）2个档次。按照湘东黑山羊传染性胸膜肺炎传入的可能性及其产生后果的严重性，将风险等级分为“</w:t>
      </w:r>
      <w:r>
        <w:rPr>
          <w:rFonts w:hint="eastAsia"/>
        </w:rPr>
        <w:t>高风险”、“中风险”、“低风险”3个级别，见表1。</w:t>
      </w:r>
    </w:p>
    <w:p>
      <w:pPr>
        <w:pStyle w:val="56"/>
        <w:ind w:firstLine="420"/>
        <w:rPr>
          <w:rFonts w:hint="eastAsia"/>
        </w:rPr>
      </w:pPr>
    </w:p>
    <w:p>
      <w:pPr>
        <w:pStyle w:val="56"/>
        <w:ind w:firstLine="420"/>
        <w:rPr>
          <w:rFonts w:hint="eastAsia"/>
        </w:rPr>
      </w:pPr>
    </w:p>
    <w:p>
      <w:pPr>
        <w:pStyle w:val="112"/>
        <w:spacing w:before="156" w:after="156"/>
      </w:pPr>
      <w:r>
        <w:rPr>
          <w:rFonts w:hint="eastAsia"/>
        </w:rPr>
        <w:t>风险等级表</w:t>
      </w:r>
    </w:p>
    <w:tbl>
      <w:tblPr>
        <w:tblStyle w:val="33"/>
        <w:tblW w:w="934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501"/>
        <w:gridCol w:w="48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4501" w:type="dxa"/>
            <w:tcBorders>
              <w:top w:val="single" w:color="auto" w:sz="8" w:space="0"/>
              <w:bottom w:val="single" w:color="auto" w:sz="8" w:space="0"/>
            </w:tcBorders>
            <w:shd w:val="clear" w:color="auto" w:fill="auto"/>
            <w:vAlign w:val="center"/>
          </w:tcPr>
          <w:p>
            <w:pPr>
              <w:pStyle w:val="178"/>
            </w:pPr>
            <w:r>
              <w:rPr>
                <w:rFonts w:hint="eastAsia"/>
              </w:rPr>
              <w:t>风险等级</w:t>
            </w:r>
          </w:p>
        </w:tc>
        <w:tc>
          <w:tcPr>
            <w:tcW w:w="4843" w:type="dxa"/>
            <w:tcBorders>
              <w:top w:val="single" w:color="auto" w:sz="8" w:space="0"/>
              <w:bottom w:val="single" w:color="auto" w:sz="8" w:space="0"/>
            </w:tcBorders>
            <w:shd w:val="clear" w:color="auto" w:fill="auto"/>
            <w:vAlign w:val="center"/>
          </w:tcPr>
          <w:p>
            <w:pPr>
              <w:pStyle w:val="178"/>
            </w:pPr>
            <w:r>
              <w:rPr>
                <w:rFonts w:hint="eastAsia"/>
              </w:rPr>
              <w:t>定义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01" w:type="dxa"/>
            <w:tcBorders>
              <w:top w:val="single" w:color="auto" w:sz="8" w:space="0"/>
            </w:tcBorders>
            <w:shd w:val="clear" w:color="auto" w:fill="auto"/>
            <w:vAlign w:val="center"/>
          </w:tcPr>
          <w:p>
            <w:pPr>
              <w:pStyle w:val="178"/>
            </w:pPr>
            <w:r>
              <w:rPr>
                <w:rFonts w:hint="eastAsia"/>
              </w:rPr>
              <w:t>高风险</w:t>
            </w:r>
          </w:p>
        </w:tc>
        <w:tc>
          <w:tcPr>
            <w:tcW w:w="4843" w:type="dxa"/>
            <w:tcBorders>
              <w:top w:val="single" w:color="auto" w:sz="8" w:space="0"/>
            </w:tcBorders>
            <w:shd w:val="clear" w:color="auto" w:fill="auto"/>
            <w:vAlign w:val="center"/>
          </w:tcPr>
          <w:p>
            <w:pPr>
              <w:pStyle w:val="178"/>
            </w:pPr>
            <w:r>
              <w:rPr>
                <w:rFonts w:hint="eastAsia"/>
              </w:rPr>
              <w:t>发生疫病的风险可能性很大，需要立即采取相应的防范措施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01" w:type="dxa"/>
            <w:shd w:val="clear" w:color="auto" w:fill="auto"/>
            <w:vAlign w:val="center"/>
          </w:tcPr>
          <w:p>
            <w:pPr>
              <w:pStyle w:val="178"/>
            </w:pPr>
            <w:r>
              <w:rPr>
                <w:rFonts w:hint="eastAsia"/>
              </w:rPr>
              <w:t>中风险</w:t>
            </w:r>
          </w:p>
        </w:tc>
        <w:tc>
          <w:tcPr>
            <w:tcW w:w="4843" w:type="dxa"/>
            <w:shd w:val="clear" w:color="auto" w:fill="auto"/>
            <w:vAlign w:val="center"/>
          </w:tcPr>
          <w:p>
            <w:pPr>
              <w:pStyle w:val="178"/>
              <w:jc w:val="left"/>
            </w:pPr>
            <w:r>
              <w:rPr>
                <w:rFonts w:hint="eastAsia"/>
              </w:rPr>
              <w:t>发生疫病的风险可能性较，大应逐步采取相应的措施进行防范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01" w:type="dxa"/>
            <w:shd w:val="clear" w:color="auto" w:fill="auto"/>
            <w:vAlign w:val="center"/>
          </w:tcPr>
          <w:p>
            <w:pPr>
              <w:pStyle w:val="178"/>
            </w:pPr>
            <w:r>
              <w:rPr>
                <w:rFonts w:hint="eastAsia"/>
              </w:rPr>
              <w:t>低风险</w:t>
            </w:r>
          </w:p>
        </w:tc>
        <w:tc>
          <w:tcPr>
            <w:tcW w:w="4843" w:type="dxa"/>
            <w:shd w:val="clear" w:color="auto" w:fill="auto"/>
            <w:vAlign w:val="center"/>
          </w:tcPr>
          <w:p>
            <w:pPr>
              <w:pStyle w:val="178"/>
              <w:jc w:val="left"/>
            </w:pPr>
            <w:r>
              <w:rPr>
                <w:rFonts w:hint="eastAsia"/>
              </w:rPr>
              <w:t>发生疫病的风险可能性不大，已具较好的防范措施</w:t>
            </w:r>
          </w:p>
        </w:tc>
      </w:tr>
    </w:tbl>
    <w:p>
      <w:pPr>
        <w:pStyle w:val="56"/>
        <w:ind w:firstLine="420"/>
      </w:pPr>
    </w:p>
    <w:p>
      <w:pPr>
        <w:pStyle w:val="105"/>
        <w:spacing w:before="156" w:after="156"/>
      </w:pPr>
      <w:bookmarkStart w:id="105" w:name="_Toc216979672"/>
      <w:bookmarkStart w:id="106" w:name="_Toc231560320"/>
      <w:r>
        <w:rPr>
          <w:rFonts w:hint="eastAsia"/>
        </w:rPr>
        <w:t>评估程序</w:t>
      </w:r>
      <w:bookmarkEnd w:id="105"/>
      <w:bookmarkEnd w:id="106"/>
    </w:p>
    <w:p>
      <w:pPr>
        <w:pStyle w:val="56"/>
        <w:ind w:firstLine="420"/>
      </w:pPr>
      <w:r>
        <w:rPr>
          <w:rFonts w:hint="eastAsia"/>
        </w:rPr>
        <w:t>按照附录B对评估目标进行湘东黑山羊传染性胸膜肺炎风险评估。</w:t>
      </w:r>
    </w:p>
    <w:p>
      <w:pPr>
        <w:pStyle w:val="105"/>
        <w:spacing w:before="156" w:after="156"/>
      </w:pPr>
      <w:bookmarkStart w:id="107" w:name="_Toc231560321"/>
      <w:bookmarkStart w:id="108" w:name="_Toc216979673"/>
      <w:r>
        <w:rPr>
          <w:rFonts w:hint="eastAsia"/>
        </w:rPr>
        <w:t>风险评估结果的判定</w:t>
      </w:r>
      <w:bookmarkEnd w:id="107"/>
      <w:bookmarkEnd w:id="108"/>
    </w:p>
    <w:p>
      <w:pPr>
        <w:pStyle w:val="65"/>
        <w:spacing w:before="156" w:after="156"/>
      </w:pPr>
      <w:r>
        <w:rPr>
          <w:rFonts w:hint="eastAsia"/>
        </w:rPr>
        <w:t>风险因子结果判定</w:t>
      </w:r>
    </w:p>
    <w:p>
      <w:pPr>
        <w:pStyle w:val="56"/>
        <w:ind w:firstLine="420"/>
      </w:pPr>
      <w:r>
        <w:rPr>
          <w:rFonts w:hint="eastAsia"/>
        </w:rPr>
        <w:t>根据附录中各项“风险因子”对湘东黑山羊场的实际情况进行评估。</w:t>
      </w:r>
    </w:p>
    <w:p>
      <w:pPr>
        <w:pStyle w:val="65"/>
        <w:spacing w:before="156" w:after="156"/>
      </w:pPr>
      <w:r>
        <w:rPr>
          <w:rFonts w:hint="eastAsia"/>
        </w:rPr>
        <w:t>风险确定</w:t>
      </w:r>
    </w:p>
    <w:p>
      <w:pPr>
        <w:pStyle w:val="94"/>
        <w:spacing w:before="156" w:after="156"/>
      </w:pPr>
      <w:r>
        <w:rPr>
          <w:rFonts w:hint="eastAsia"/>
        </w:rPr>
        <w:t>高风险</w:t>
      </w:r>
    </w:p>
    <w:p>
      <w:pPr>
        <w:pStyle w:val="56"/>
        <w:ind w:firstLine="420"/>
      </w:pPr>
      <w:r>
        <w:rPr>
          <w:rFonts w:hint="eastAsia"/>
        </w:rPr>
        <w:t>风险因子判定结果符合以下情况之一的，判定为高风险：</w:t>
      </w:r>
    </w:p>
    <w:p>
      <w:pPr>
        <w:pStyle w:val="56"/>
        <w:ind w:firstLine="420"/>
        <w:rPr>
          <w:color w:val="000000" w:themeColor="text1"/>
          <w14:textFill>
            <w14:solidFill>
              <w14:schemeClr w14:val="tx1"/>
            </w14:solidFill>
          </w14:textFill>
        </w:rPr>
      </w:pPr>
      <w:r>
        <w:rPr>
          <w:rFonts w:hint="eastAsia"/>
        </w:rPr>
        <w:t>——</w:t>
      </w:r>
      <w:r>
        <w:rPr>
          <w:rFonts w:hint="eastAsia"/>
          <w:color w:val="000000" w:themeColor="text1"/>
          <w14:textFill>
            <w14:solidFill>
              <w14:schemeClr w14:val="tx1"/>
            </w14:solidFill>
          </w14:textFill>
        </w:rPr>
        <w:t>出现限制项；</w:t>
      </w:r>
    </w:p>
    <w:p>
      <w:pPr>
        <w:pStyle w:val="56"/>
        <w:ind w:firstLine="420"/>
      </w:pPr>
      <w:r>
        <w:rPr>
          <w:rFonts w:hint="eastAsia"/>
          <w:color w:val="000000" w:themeColor="text1"/>
          <w14:textFill>
            <w14:solidFill>
              <w14:schemeClr w14:val="tx1"/>
            </w14:solidFill>
          </w14:textFill>
        </w:rPr>
        <w:t>——关键项有2项以上</w:t>
      </w:r>
      <w:r>
        <w:rPr>
          <w:rFonts w:hint="eastAsia"/>
        </w:rPr>
        <w:t>不符合要求。</w:t>
      </w:r>
    </w:p>
    <w:p>
      <w:pPr>
        <w:pStyle w:val="94"/>
        <w:spacing w:before="156" w:after="156"/>
      </w:pPr>
      <w:r>
        <w:rPr>
          <w:rFonts w:hint="eastAsia"/>
        </w:rPr>
        <w:t>中分险</w:t>
      </w:r>
    </w:p>
    <w:p>
      <w:pPr>
        <w:pStyle w:val="56"/>
        <w:ind w:firstLine="420"/>
      </w:pPr>
      <w:r>
        <w:rPr>
          <w:rFonts w:hint="eastAsia"/>
        </w:rPr>
        <w:t>风险因子判定结果符合以下情况之一的，判定为中风险：</w:t>
      </w:r>
    </w:p>
    <w:p>
      <w:pPr>
        <w:pStyle w:val="56"/>
        <w:ind w:firstLine="420"/>
      </w:pPr>
      <w:r>
        <w:rPr>
          <w:rFonts w:hint="eastAsia"/>
        </w:rPr>
        <w:t>——关键项有1项</w:t>
      </w:r>
      <w:r>
        <w:rPr>
          <w:rFonts w:hint="eastAsia"/>
          <w:color w:val="000000" w:themeColor="text1"/>
          <w14:textFill>
            <w14:solidFill>
              <w14:schemeClr w14:val="tx1"/>
            </w14:solidFill>
          </w14:textFill>
        </w:rPr>
        <w:t>以上</w:t>
      </w:r>
      <w:r>
        <w:rPr>
          <w:rFonts w:hint="eastAsia"/>
        </w:rPr>
        <w:t>不符合要求；</w:t>
      </w:r>
    </w:p>
    <w:p>
      <w:pPr>
        <w:pStyle w:val="56"/>
        <w:ind w:firstLine="420"/>
      </w:pPr>
      <w:r>
        <w:rPr>
          <w:rFonts w:hint="eastAsia"/>
        </w:rPr>
        <w:t>——普通项不符合要求的6项以上。</w:t>
      </w:r>
    </w:p>
    <w:p>
      <w:pPr>
        <w:pStyle w:val="94"/>
        <w:spacing w:before="156" w:after="156"/>
      </w:pPr>
      <w:r>
        <w:rPr>
          <w:rFonts w:hint="eastAsia"/>
        </w:rPr>
        <w:t>低风险</w:t>
      </w:r>
    </w:p>
    <w:p>
      <w:pPr>
        <w:pStyle w:val="56"/>
        <w:ind w:firstLine="420"/>
      </w:pPr>
      <w:r>
        <w:rPr>
          <w:rFonts w:hint="eastAsia"/>
        </w:rPr>
        <w:t>不符合“高风险”和“中风险”判定条件的，均判定为低风险。</w:t>
      </w:r>
    </w:p>
    <w:p>
      <w:pPr>
        <w:pStyle w:val="104"/>
        <w:spacing w:before="312" w:after="312"/>
      </w:pPr>
      <w:bookmarkStart w:id="109" w:name="_Toc216979674"/>
      <w:bookmarkStart w:id="110" w:name="_Toc232598599"/>
      <w:bookmarkStart w:id="111" w:name="_Toc231561875"/>
      <w:bookmarkStart w:id="112" w:name="_Toc216979682"/>
      <w:bookmarkStart w:id="113" w:name="_Toc231560333"/>
      <w:bookmarkStart w:id="114" w:name="_Toc231560322"/>
      <w:r>
        <w:rPr>
          <w:rFonts w:hint="eastAsia"/>
        </w:rPr>
        <w:t>评估报告</w:t>
      </w:r>
      <w:bookmarkEnd w:id="109"/>
      <w:bookmarkEnd w:id="110"/>
      <w:bookmarkEnd w:id="111"/>
      <w:bookmarkEnd w:id="112"/>
      <w:bookmarkEnd w:id="113"/>
      <w:bookmarkEnd w:id="114"/>
    </w:p>
    <w:p>
      <w:pPr>
        <w:pStyle w:val="56"/>
        <w:ind w:firstLine="420"/>
      </w:pPr>
      <w:r>
        <w:rPr>
          <w:rFonts w:hint="eastAsia"/>
        </w:rPr>
        <w:t>根据附录B的判定标准，风险评估小组核查生产实际情况，对相应的风险因子判定其符合、不符合。各风险因子判定结果由评估小组集体评判，出具风险评估报告见附录C</w:t>
      </w:r>
      <w:r>
        <w:t>,</w:t>
      </w:r>
      <w:r>
        <w:rPr>
          <w:rFonts w:hint="eastAsia"/>
        </w:rPr>
        <w:t>评估资料记录保存2年。</w:t>
      </w:r>
    </w:p>
    <w:p>
      <w:pPr>
        <w:pStyle w:val="56"/>
        <w:ind w:firstLine="420"/>
      </w:pPr>
    </w:p>
    <w:p>
      <w:pPr>
        <w:pStyle w:val="56"/>
        <w:ind w:firstLine="420"/>
      </w:pPr>
    </w:p>
    <w:p>
      <w:pPr>
        <w:pStyle w:val="56"/>
        <w:ind w:firstLine="420"/>
      </w:pPr>
    </w:p>
    <w:p>
      <w:pPr>
        <w:pStyle w:val="56"/>
        <w:ind w:firstLine="420"/>
        <w:sectPr>
          <w:pgSz w:w="11906" w:h="16838"/>
          <w:pgMar w:top="1928" w:right="1134" w:bottom="1134" w:left="1134" w:header="1418" w:footer="1134" w:gutter="284"/>
          <w:pgNumType w:start="1"/>
          <w:cols w:space="425" w:num="1"/>
          <w:formProt w:val="0"/>
          <w:docGrid w:type="lines" w:linePitch="312" w:charSpace="0"/>
        </w:sectPr>
      </w:pPr>
    </w:p>
    <w:bookmarkEnd w:id="27"/>
    <w:p>
      <w:pPr>
        <w:pStyle w:val="198"/>
        <w:rPr>
          <w:vanish w:val="0"/>
        </w:rPr>
      </w:pPr>
      <w:bookmarkStart w:id="115" w:name="BookMark5"/>
    </w:p>
    <w:p>
      <w:pPr>
        <w:pStyle w:val="199"/>
        <w:rPr>
          <w:vanish w:val="0"/>
        </w:rPr>
      </w:pPr>
    </w:p>
    <w:p>
      <w:pPr>
        <w:pStyle w:val="76"/>
        <w:spacing w:after="156"/>
      </w:pPr>
      <w:r>
        <w:br w:type="textWrapping"/>
      </w:r>
      <w:bookmarkStart w:id="116" w:name="_Toc231560334"/>
      <w:bookmarkStart w:id="117" w:name="_Toc231560323"/>
      <w:bookmarkStart w:id="118" w:name="_Toc231561876"/>
      <w:bookmarkStart w:id="119" w:name="_Toc232598600"/>
      <w:r>
        <w:rPr>
          <w:rFonts w:hint="eastAsia"/>
        </w:rPr>
        <w:t>（资料性）</w:t>
      </w:r>
      <w:r>
        <w:br w:type="textWrapping"/>
      </w:r>
      <w:r>
        <w:rPr>
          <w:rFonts w:hint="eastAsia"/>
        </w:rPr>
        <w:t>湘东黑山羊饲养密度</w:t>
      </w:r>
      <w:bookmarkEnd w:id="116"/>
      <w:bookmarkEnd w:id="117"/>
      <w:bookmarkEnd w:id="118"/>
      <w:bookmarkEnd w:id="119"/>
    </w:p>
    <w:tbl>
      <w:tblPr>
        <w:tblStyle w:val="33"/>
        <w:tblW w:w="934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114"/>
        <w:gridCol w:w="3115"/>
        <w:gridCol w:w="31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3114" w:type="dxa"/>
            <w:tcBorders>
              <w:top w:val="single" w:color="auto" w:sz="8" w:space="0"/>
              <w:bottom w:val="single" w:color="auto" w:sz="8" w:space="0"/>
            </w:tcBorders>
            <w:shd w:val="clear" w:color="auto" w:fill="auto"/>
            <w:vAlign w:val="center"/>
          </w:tcPr>
          <w:p>
            <w:pPr>
              <w:pStyle w:val="178"/>
            </w:pPr>
            <w:r>
              <w:rPr>
                <w:rFonts w:hint="eastAsia"/>
              </w:rPr>
              <w:t>序号</w:t>
            </w:r>
          </w:p>
        </w:tc>
        <w:tc>
          <w:tcPr>
            <w:tcW w:w="3115" w:type="dxa"/>
            <w:tcBorders>
              <w:top w:val="single" w:color="auto" w:sz="8" w:space="0"/>
              <w:bottom w:val="single" w:color="auto" w:sz="8" w:space="0"/>
            </w:tcBorders>
            <w:shd w:val="clear" w:color="auto" w:fill="auto"/>
            <w:vAlign w:val="center"/>
          </w:tcPr>
          <w:p>
            <w:pPr>
              <w:pStyle w:val="178"/>
            </w:pPr>
            <w:r>
              <w:rPr>
                <w:rFonts w:hint="eastAsia"/>
              </w:rPr>
              <w:t>类别</w:t>
            </w:r>
          </w:p>
        </w:tc>
        <w:tc>
          <w:tcPr>
            <w:tcW w:w="3115" w:type="dxa"/>
            <w:tcBorders>
              <w:top w:val="single" w:color="auto" w:sz="8" w:space="0"/>
              <w:bottom w:val="single" w:color="auto" w:sz="8" w:space="0"/>
            </w:tcBorders>
            <w:shd w:val="clear" w:color="auto" w:fill="auto"/>
            <w:vAlign w:val="center"/>
          </w:tcPr>
          <w:p>
            <w:pPr>
              <w:pStyle w:val="178"/>
            </w:pPr>
            <w:r>
              <w:rPr>
                <w:rFonts w:hint="eastAsia"/>
              </w:rPr>
              <w:t>密度</w:t>
            </w:r>
          </w:p>
          <w:p>
            <w:pPr>
              <w:pStyle w:val="178"/>
            </w:pPr>
            <w:r>
              <w:rPr>
                <w:rFonts w:hint="eastAsia" w:hAnsi="宋体"/>
              </w:rPr>
              <w:t>㎡/只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4" w:type="dxa"/>
            <w:tcBorders>
              <w:top w:val="single" w:color="auto" w:sz="8" w:space="0"/>
            </w:tcBorders>
            <w:shd w:val="clear" w:color="auto" w:fill="auto"/>
            <w:vAlign w:val="center"/>
          </w:tcPr>
          <w:p>
            <w:pPr>
              <w:pStyle w:val="178"/>
            </w:pPr>
            <w:r>
              <w:rPr>
                <w:rFonts w:hint="eastAsia"/>
              </w:rPr>
              <w:t>1</w:t>
            </w:r>
          </w:p>
        </w:tc>
        <w:tc>
          <w:tcPr>
            <w:tcW w:w="3115" w:type="dxa"/>
            <w:tcBorders>
              <w:top w:val="single" w:color="auto" w:sz="8" w:space="0"/>
            </w:tcBorders>
            <w:shd w:val="clear" w:color="auto" w:fill="auto"/>
            <w:vAlign w:val="center"/>
          </w:tcPr>
          <w:p>
            <w:pPr>
              <w:pStyle w:val="178"/>
            </w:pPr>
            <w:r>
              <w:rPr>
                <w:rFonts w:hint="eastAsia"/>
              </w:rPr>
              <w:t>空怀、妊娠母羊</w:t>
            </w:r>
          </w:p>
        </w:tc>
        <w:tc>
          <w:tcPr>
            <w:tcW w:w="3115" w:type="dxa"/>
            <w:tcBorders>
              <w:top w:val="single" w:color="auto" w:sz="8" w:space="0"/>
            </w:tcBorders>
            <w:shd w:val="clear" w:color="auto" w:fill="auto"/>
            <w:vAlign w:val="center"/>
          </w:tcPr>
          <w:p>
            <w:pPr>
              <w:pStyle w:val="178"/>
            </w:pPr>
            <w:r>
              <w:rPr>
                <w:rFonts w:hint="eastAsia"/>
              </w:rPr>
              <w:t>1</w:t>
            </w:r>
            <w:r>
              <w:t>.8</w:t>
            </w:r>
            <w:r>
              <w:rPr>
                <w:rFonts w:hint="eastAsia"/>
              </w:rPr>
              <w:t>～2</w:t>
            </w:r>
            <w: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4" w:type="dxa"/>
            <w:shd w:val="clear" w:color="auto" w:fill="auto"/>
            <w:vAlign w:val="center"/>
          </w:tcPr>
          <w:p>
            <w:pPr>
              <w:pStyle w:val="178"/>
            </w:pPr>
            <w:r>
              <w:rPr>
                <w:rFonts w:hint="eastAsia"/>
              </w:rPr>
              <w:t>2</w:t>
            </w:r>
          </w:p>
        </w:tc>
        <w:tc>
          <w:tcPr>
            <w:tcW w:w="3115" w:type="dxa"/>
            <w:shd w:val="clear" w:color="auto" w:fill="auto"/>
            <w:vAlign w:val="center"/>
          </w:tcPr>
          <w:p>
            <w:pPr>
              <w:pStyle w:val="178"/>
            </w:pPr>
            <w:r>
              <w:rPr>
                <w:rFonts w:hint="eastAsia"/>
              </w:rPr>
              <w:t>哺乳母羊</w:t>
            </w:r>
          </w:p>
        </w:tc>
        <w:tc>
          <w:tcPr>
            <w:tcW w:w="3115" w:type="dxa"/>
            <w:shd w:val="clear" w:color="auto" w:fill="auto"/>
            <w:vAlign w:val="center"/>
          </w:tcPr>
          <w:p>
            <w:pPr>
              <w:pStyle w:val="178"/>
            </w:pPr>
            <w:r>
              <w:rPr>
                <w:rFonts w:hint="eastAsia"/>
              </w:rPr>
              <w:t>3</w:t>
            </w:r>
            <w:r>
              <w:t>.7</w:t>
            </w:r>
            <w:r>
              <w:rPr>
                <w:rFonts w:hint="eastAsia"/>
              </w:rPr>
              <w:t>～4</w:t>
            </w:r>
            <w: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4" w:type="dxa"/>
            <w:shd w:val="clear" w:color="auto" w:fill="auto"/>
            <w:vAlign w:val="center"/>
          </w:tcPr>
          <w:p>
            <w:pPr>
              <w:pStyle w:val="178"/>
            </w:pPr>
            <w:r>
              <w:rPr>
                <w:rFonts w:hint="eastAsia"/>
              </w:rPr>
              <w:t>3</w:t>
            </w:r>
          </w:p>
        </w:tc>
        <w:tc>
          <w:tcPr>
            <w:tcW w:w="3115" w:type="dxa"/>
            <w:shd w:val="clear" w:color="auto" w:fill="auto"/>
            <w:vAlign w:val="center"/>
          </w:tcPr>
          <w:p>
            <w:pPr>
              <w:pStyle w:val="178"/>
            </w:pPr>
            <w:r>
              <w:rPr>
                <w:rFonts w:hint="eastAsia"/>
              </w:rPr>
              <w:t>后备母羊</w:t>
            </w:r>
          </w:p>
        </w:tc>
        <w:tc>
          <w:tcPr>
            <w:tcW w:w="3115" w:type="dxa"/>
            <w:shd w:val="clear" w:color="auto" w:fill="auto"/>
            <w:vAlign w:val="center"/>
          </w:tcPr>
          <w:p>
            <w:pPr>
              <w:pStyle w:val="178"/>
            </w:pPr>
            <w:r>
              <w:rPr>
                <w:rFonts w:hint="eastAsia"/>
              </w:rPr>
              <w:t>1</w:t>
            </w:r>
            <w:r>
              <w:t>.0</w:t>
            </w:r>
            <w:r>
              <w:rPr>
                <w:rFonts w:hint="eastAsia"/>
              </w:rPr>
              <w:t>～1</w:t>
            </w:r>
            <w: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4" w:type="dxa"/>
            <w:shd w:val="clear" w:color="auto" w:fill="auto"/>
            <w:vAlign w:val="center"/>
          </w:tcPr>
          <w:p>
            <w:pPr>
              <w:pStyle w:val="178"/>
            </w:pPr>
            <w:r>
              <w:rPr>
                <w:rFonts w:hint="eastAsia"/>
              </w:rPr>
              <w:t>4</w:t>
            </w:r>
          </w:p>
        </w:tc>
        <w:tc>
          <w:tcPr>
            <w:tcW w:w="3115" w:type="dxa"/>
            <w:shd w:val="clear" w:color="auto" w:fill="auto"/>
            <w:vAlign w:val="center"/>
          </w:tcPr>
          <w:p>
            <w:pPr>
              <w:pStyle w:val="178"/>
            </w:pPr>
            <w:r>
              <w:rPr>
                <w:rFonts w:hint="eastAsia"/>
              </w:rPr>
              <w:t>种公羊</w:t>
            </w:r>
          </w:p>
        </w:tc>
        <w:tc>
          <w:tcPr>
            <w:tcW w:w="3115" w:type="dxa"/>
            <w:shd w:val="clear" w:color="auto" w:fill="auto"/>
            <w:vAlign w:val="center"/>
          </w:tcPr>
          <w:p>
            <w:pPr>
              <w:pStyle w:val="178"/>
            </w:pPr>
            <w:r>
              <w:rPr>
                <w:rFonts w:hint="eastAsia"/>
              </w:rPr>
              <w:t>5</w:t>
            </w:r>
            <w:r>
              <w:t>.5</w:t>
            </w:r>
            <w:r>
              <w:rPr>
                <w:rFonts w:hint="eastAsia"/>
              </w:rPr>
              <w:t>～7</w:t>
            </w:r>
            <w: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4" w:type="dxa"/>
            <w:shd w:val="clear" w:color="auto" w:fill="auto"/>
            <w:vAlign w:val="center"/>
          </w:tcPr>
          <w:p>
            <w:pPr>
              <w:pStyle w:val="178"/>
            </w:pPr>
            <w:r>
              <w:rPr>
                <w:rFonts w:hint="eastAsia"/>
              </w:rPr>
              <w:t>5</w:t>
            </w:r>
          </w:p>
        </w:tc>
        <w:tc>
          <w:tcPr>
            <w:tcW w:w="3115" w:type="dxa"/>
            <w:shd w:val="clear" w:color="auto" w:fill="auto"/>
            <w:vAlign w:val="center"/>
          </w:tcPr>
          <w:p>
            <w:pPr>
              <w:pStyle w:val="178"/>
            </w:pPr>
            <w:r>
              <w:rPr>
                <w:rFonts w:hint="eastAsia"/>
              </w:rPr>
              <w:t>保育羊</w:t>
            </w:r>
          </w:p>
        </w:tc>
        <w:tc>
          <w:tcPr>
            <w:tcW w:w="3115" w:type="dxa"/>
            <w:shd w:val="clear" w:color="auto" w:fill="auto"/>
            <w:vAlign w:val="center"/>
          </w:tcPr>
          <w:p>
            <w:pPr>
              <w:pStyle w:val="178"/>
            </w:pPr>
            <w:r>
              <w:rPr>
                <w:rFonts w:hint="eastAsia"/>
              </w:rPr>
              <w:t>0</w:t>
            </w:r>
            <w:r>
              <w:t>.3</w:t>
            </w:r>
            <w:r>
              <w:rPr>
                <w:rFonts w:hint="eastAsia"/>
              </w:rPr>
              <w:t>～0</w:t>
            </w:r>
            <w: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4" w:type="dxa"/>
            <w:shd w:val="clear" w:color="auto" w:fill="auto"/>
            <w:vAlign w:val="center"/>
          </w:tcPr>
          <w:p>
            <w:pPr>
              <w:pStyle w:val="178"/>
            </w:pPr>
            <w:r>
              <w:rPr>
                <w:rFonts w:hint="eastAsia"/>
              </w:rPr>
              <w:t>6</w:t>
            </w:r>
          </w:p>
        </w:tc>
        <w:tc>
          <w:tcPr>
            <w:tcW w:w="3115" w:type="dxa"/>
            <w:shd w:val="clear" w:color="auto" w:fill="auto"/>
            <w:vAlign w:val="center"/>
          </w:tcPr>
          <w:p>
            <w:pPr>
              <w:pStyle w:val="178"/>
            </w:pPr>
            <w:r>
              <w:rPr>
                <w:rFonts w:hint="eastAsia"/>
              </w:rPr>
              <w:t>育成羊</w:t>
            </w:r>
          </w:p>
        </w:tc>
        <w:tc>
          <w:tcPr>
            <w:tcW w:w="3115" w:type="dxa"/>
            <w:shd w:val="clear" w:color="auto" w:fill="auto"/>
            <w:vAlign w:val="center"/>
          </w:tcPr>
          <w:p>
            <w:pPr>
              <w:pStyle w:val="178"/>
            </w:pPr>
            <w:r>
              <w:rPr>
                <w:rFonts w:hint="eastAsia"/>
              </w:rPr>
              <w:t>0</w:t>
            </w:r>
            <w:r>
              <w:t>.5</w:t>
            </w:r>
            <w:r>
              <w:rPr>
                <w:rFonts w:hint="eastAsia"/>
              </w:rPr>
              <w:t>～0</w:t>
            </w:r>
            <w: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4" w:type="dxa"/>
            <w:shd w:val="clear" w:color="auto" w:fill="auto"/>
            <w:vAlign w:val="center"/>
          </w:tcPr>
          <w:p>
            <w:pPr>
              <w:pStyle w:val="178"/>
            </w:pPr>
            <w:r>
              <w:t>7</w:t>
            </w:r>
          </w:p>
        </w:tc>
        <w:tc>
          <w:tcPr>
            <w:tcW w:w="3115" w:type="dxa"/>
            <w:shd w:val="clear" w:color="auto" w:fill="auto"/>
            <w:vAlign w:val="center"/>
          </w:tcPr>
          <w:p>
            <w:pPr>
              <w:pStyle w:val="178"/>
            </w:pPr>
            <w:r>
              <w:rPr>
                <w:rFonts w:hint="eastAsia"/>
              </w:rPr>
              <w:t>育肥羊</w:t>
            </w:r>
          </w:p>
        </w:tc>
        <w:tc>
          <w:tcPr>
            <w:tcW w:w="3115" w:type="dxa"/>
            <w:shd w:val="clear" w:color="auto" w:fill="auto"/>
            <w:vAlign w:val="center"/>
          </w:tcPr>
          <w:p>
            <w:pPr>
              <w:pStyle w:val="178"/>
            </w:pPr>
            <w:r>
              <w:rPr>
                <w:rFonts w:hint="eastAsia"/>
              </w:rPr>
              <w:t>0</w:t>
            </w:r>
            <w:r>
              <w:t>.7</w:t>
            </w:r>
            <w:r>
              <w:rPr>
                <w:rFonts w:hint="eastAsia"/>
              </w:rPr>
              <w:t>～1</w:t>
            </w:r>
            <w: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4" w:type="dxa"/>
            <w:shd w:val="clear" w:color="auto" w:fill="auto"/>
            <w:vAlign w:val="center"/>
          </w:tcPr>
          <w:p>
            <w:pPr>
              <w:pStyle w:val="178"/>
            </w:pPr>
            <w:r>
              <w:rPr>
                <w:rFonts w:hint="eastAsia"/>
              </w:rPr>
              <w:t>8</w:t>
            </w:r>
          </w:p>
        </w:tc>
        <w:tc>
          <w:tcPr>
            <w:tcW w:w="3115" w:type="dxa"/>
            <w:shd w:val="clear" w:color="auto" w:fill="auto"/>
            <w:vAlign w:val="center"/>
          </w:tcPr>
          <w:p>
            <w:pPr>
              <w:pStyle w:val="178"/>
            </w:pPr>
            <w:r>
              <w:rPr>
                <w:rFonts w:hint="eastAsia"/>
              </w:rPr>
              <w:t>配种栏</w:t>
            </w:r>
          </w:p>
        </w:tc>
        <w:tc>
          <w:tcPr>
            <w:tcW w:w="3115" w:type="dxa"/>
            <w:shd w:val="clear" w:color="auto" w:fill="auto"/>
            <w:vAlign w:val="center"/>
          </w:tcPr>
          <w:p>
            <w:pPr>
              <w:pStyle w:val="178"/>
            </w:pPr>
            <w:r>
              <w:rPr>
                <w:rFonts w:hint="eastAsia"/>
              </w:rPr>
              <w:t>5</w:t>
            </w:r>
            <w:r>
              <w:t>.5</w:t>
            </w:r>
            <w:r>
              <w:rPr>
                <w:rFonts w:hint="eastAsia"/>
              </w:rPr>
              <w:t>～7</w:t>
            </w:r>
            <w:r>
              <w:t>.5</w:t>
            </w:r>
          </w:p>
        </w:tc>
      </w:tr>
    </w:tbl>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after="156"/>
      </w:pPr>
      <w:r>
        <w:br w:type="textWrapping"/>
      </w:r>
      <w:bookmarkStart w:id="120" w:name="_Toc232598601"/>
      <w:r>
        <w:rPr>
          <w:rFonts w:hint="eastAsia"/>
        </w:rPr>
        <w:t>（资料性）</w:t>
      </w:r>
      <w:r>
        <w:br w:type="textWrapping"/>
      </w:r>
      <w:r>
        <w:rPr>
          <w:rFonts w:hint="eastAsia"/>
        </w:rPr>
        <w:t>湘东黑山羊传染性胸膜肺炎风险评估表</w:t>
      </w:r>
      <w:bookmarkEnd w:id="120"/>
    </w:p>
    <w:p>
      <w:pPr>
        <w:pStyle w:val="56"/>
        <w:ind w:firstLine="420"/>
      </w:pPr>
      <w:r>
        <w:rPr>
          <w:rFonts w:hint="eastAsia"/>
        </w:rPr>
        <w:t>本表由场址选择、结构布局、设施设备、饲养管理、种源管理、防疫管理、疫病监测、消毒管理、无害化处理共9部分组成。具体内容见下表。</w:t>
      </w:r>
    </w:p>
    <w:tbl>
      <w:tblPr>
        <w:tblStyle w:val="33"/>
        <w:tblW w:w="917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03"/>
        <w:gridCol w:w="4288"/>
        <w:gridCol w:w="992"/>
        <w:gridCol w:w="996"/>
        <w:gridCol w:w="851"/>
        <w:gridCol w:w="850"/>
        <w:gridCol w:w="6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503" w:type="dxa"/>
            <w:vMerge w:val="restart"/>
            <w:tcBorders>
              <w:top w:val="single" w:color="auto" w:sz="8" w:space="0"/>
            </w:tcBorders>
            <w:shd w:val="clear" w:color="auto" w:fill="auto"/>
            <w:vAlign w:val="center"/>
          </w:tcPr>
          <w:p>
            <w:pPr>
              <w:pStyle w:val="178"/>
            </w:pPr>
            <w:r>
              <w:rPr>
                <w:rFonts w:hint="eastAsia"/>
              </w:rPr>
              <w:t>条</w:t>
            </w:r>
          </w:p>
          <w:p>
            <w:pPr>
              <w:pStyle w:val="178"/>
            </w:pPr>
            <w:r>
              <w:rPr>
                <w:rFonts w:hint="eastAsia"/>
              </w:rPr>
              <w:t>款</w:t>
            </w:r>
          </w:p>
        </w:tc>
        <w:tc>
          <w:tcPr>
            <w:tcW w:w="4288" w:type="dxa"/>
            <w:vMerge w:val="restart"/>
            <w:tcBorders>
              <w:top w:val="single" w:color="auto" w:sz="8" w:space="0"/>
            </w:tcBorders>
            <w:shd w:val="clear" w:color="auto" w:fill="auto"/>
            <w:vAlign w:val="center"/>
          </w:tcPr>
          <w:p>
            <w:pPr>
              <w:pStyle w:val="178"/>
            </w:pPr>
            <w:r>
              <w:rPr>
                <w:rFonts w:hint="eastAsia"/>
              </w:rPr>
              <w:t>风险因子</w:t>
            </w:r>
          </w:p>
        </w:tc>
        <w:tc>
          <w:tcPr>
            <w:tcW w:w="1988" w:type="dxa"/>
            <w:gridSpan w:val="2"/>
            <w:tcBorders>
              <w:top w:val="single" w:color="auto" w:sz="8" w:space="0"/>
              <w:bottom w:val="single" w:color="auto" w:sz="8" w:space="0"/>
            </w:tcBorders>
            <w:shd w:val="clear" w:color="auto" w:fill="auto"/>
            <w:vAlign w:val="center"/>
          </w:tcPr>
          <w:p>
            <w:pPr>
              <w:pStyle w:val="178"/>
            </w:pPr>
            <w:r>
              <w:rPr>
                <w:rFonts w:hint="eastAsia"/>
              </w:rPr>
              <w:t>判定标准</w:t>
            </w:r>
          </w:p>
        </w:tc>
        <w:tc>
          <w:tcPr>
            <w:tcW w:w="1701" w:type="dxa"/>
            <w:gridSpan w:val="2"/>
            <w:tcBorders>
              <w:top w:val="single" w:color="auto" w:sz="8" w:space="0"/>
              <w:bottom w:val="single" w:color="auto" w:sz="8" w:space="0"/>
            </w:tcBorders>
            <w:shd w:val="clear" w:color="auto" w:fill="auto"/>
            <w:vAlign w:val="center"/>
          </w:tcPr>
          <w:p>
            <w:pPr>
              <w:pStyle w:val="178"/>
            </w:pPr>
            <w:r>
              <w:rPr>
                <w:rFonts w:hint="eastAsia"/>
              </w:rPr>
              <w:t>判定结果</w:t>
            </w:r>
          </w:p>
        </w:tc>
        <w:tc>
          <w:tcPr>
            <w:tcW w:w="697" w:type="dxa"/>
            <w:tcBorders>
              <w:top w:val="single" w:color="auto" w:sz="8" w:space="0"/>
              <w:bottom w:val="single" w:color="auto" w:sz="8" w:space="0"/>
            </w:tcBorders>
            <w:shd w:val="clear" w:color="auto" w:fill="auto"/>
            <w:vAlign w:val="center"/>
          </w:tcPr>
          <w:p>
            <w:pPr>
              <w:pStyle w:val="178"/>
            </w:pPr>
            <w:r>
              <w:rPr>
                <w:rFonts w:hint="eastAsia"/>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vMerge w:val="continue"/>
            <w:shd w:val="clear" w:color="auto" w:fill="auto"/>
            <w:vAlign w:val="center"/>
          </w:tcPr>
          <w:p>
            <w:pPr>
              <w:pStyle w:val="178"/>
            </w:pPr>
          </w:p>
        </w:tc>
        <w:tc>
          <w:tcPr>
            <w:tcW w:w="4288" w:type="dxa"/>
            <w:vMerge w:val="continue"/>
            <w:shd w:val="clear" w:color="auto" w:fill="auto"/>
            <w:vAlign w:val="center"/>
          </w:tcPr>
          <w:p>
            <w:pPr>
              <w:pStyle w:val="178"/>
            </w:pPr>
          </w:p>
        </w:tc>
        <w:tc>
          <w:tcPr>
            <w:tcW w:w="992" w:type="dxa"/>
            <w:tcBorders>
              <w:top w:val="single" w:color="auto" w:sz="8" w:space="0"/>
            </w:tcBorders>
            <w:shd w:val="clear" w:color="auto" w:fill="auto"/>
            <w:vAlign w:val="center"/>
          </w:tcPr>
          <w:p>
            <w:pPr>
              <w:pStyle w:val="178"/>
            </w:pPr>
            <w:r>
              <w:rPr>
                <w:rFonts w:hint="eastAsia"/>
              </w:rPr>
              <w:t>符合</w:t>
            </w:r>
          </w:p>
        </w:tc>
        <w:tc>
          <w:tcPr>
            <w:tcW w:w="996" w:type="dxa"/>
            <w:tcBorders>
              <w:top w:val="single" w:color="auto" w:sz="8" w:space="0"/>
            </w:tcBorders>
            <w:shd w:val="clear" w:color="auto" w:fill="auto"/>
            <w:vAlign w:val="center"/>
          </w:tcPr>
          <w:p>
            <w:pPr>
              <w:pStyle w:val="178"/>
            </w:pPr>
            <w:r>
              <w:rPr>
                <w:rFonts w:hint="eastAsia"/>
              </w:rPr>
              <w:t>不符合</w:t>
            </w:r>
          </w:p>
        </w:tc>
        <w:tc>
          <w:tcPr>
            <w:tcW w:w="851" w:type="dxa"/>
            <w:tcBorders>
              <w:top w:val="single" w:color="auto" w:sz="8" w:space="0"/>
            </w:tcBorders>
            <w:shd w:val="clear" w:color="auto" w:fill="auto"/>
            <w:vAlign w:val="center"/>
          </w:tcPr>
          <w:p>
            <w:pPr>
              <w:pStyle w:val="178"/>
            </w:pPr>
            <w:r>
              <w:rPr>
                <w:rFonts w:hint="eastAsia"/>
              </w:rPr>
              <w:t>A</w:t>
            </w:r>
          </w:p>
        </w:tc>
        <w:tc>
          <w:tcPr>
            <w:tcW w:w="850" w:type="dxa"/>
            <w:tcBorders>
              <w:top w:val="single" w:color="auto" w:sz="8" w:space="0"/>
            </w:tcBorders>
            <w:shd w:val="clear" w:color="auto" w:fill="auto"/>
            <w:vAlign w:val="center"/>
          </w:tcPr>
          <w:p>
            <w:pPr>
              <w:pStyle w:val="178"/>
            </w:pPr>
            <w:r>
              <w:rPr>
                <w:rFonts w:hint="eastAsia"/>
              </w:rPr>
              <w:t>B</w:t>
            </w:r>
          </w:p>
        </w:tc>
        <w:tc>
          <w:tcPr>
            <w:tcW w:w="697" w:type="dxa"/>
            <w:tcBorders>
              <w:top w:val="single" w:color="auto" w:sz="8" w:space="0"/>
            </w:tcBorders>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177" w:type="dxa"/>
            <w:gridSpan w:val="7"/>
            <w:shd w:val="clear" w:color="auto" w:fill="auto"/>
            <w:vAlign w:val="center"/>
          </w:tcPr>
          <w:p>
            <w:pPr>
              <w:pStyle w:val="178"/>
              <w:jc w:val="left"/>
            </w:pPr>
            <w:r>
              <w:rPr>
                <w:rFonts w:hint="eastAsia"/>
              </w:rPr>
              <w:t>一、场址选择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shd w:val="clear" w:color="auto" w:fill="auto"/>
            <w:vAlign w:val="center"/>
          </w:tcPr>
          <w:p>
            <w:pPr>
              <w:pStyle w:val="178"/>
            </w:pPr>
            <w:r>
              <w:rPr>
                <w:rFonts w:hint="eastAsia"/>
              </w:rPr>
              <w:t>1</w:t>
            </w:r>
          </w:p>
        </w:tc>
        <w:tc>
          <w:tcPr>
            <w:tcW w:w="4288" w:type="dxa"/>
            <w:shd w:val="clear" w:color="auto" w:fill="auto"/>
            <w:vAlign w:val="center"/>
          </w:tcPr>
          <w:p>
            <w:pPr>
              <w:pStyle w:val="178"/>
              <w:jc w:val="left"/>
            </w:pPr>
            <w:r>
              <w:rPr>
                <w:rFonts w:hint="eastAsia"/>
              </w:rPr>
              <w:t>场区位置独立，与生活饮用水源地、动物饲养场、无害化处理场所、动物屠宰加工场所、动物诊疗场所、动物隔离场所等的距离符合《动物防疫条件审查办法》。</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shd w:val="clear" w:color="auto" w:fill="auto"/>
            <w:vAlign w:val="center"/>
          </w:tcPr>
          <w:p>
            <w:pPr>
              <w:pStyle w:val="178"/>
            </w:pPr>
            <w:r>
              <w:rPr>
                <w:rFonts w:hint="eastAsia"/>
              </w:rPr>
              <w:t>2</w:t>
            </w:r>
          </w:p>
        </w:tc>
        <w:tc>
          <w:tcPr>
            <w:tcW w:w="4288" w:type="dxa"/>
            <w:shd w:val="clear" w:color="auto" w:fill="auto"/>
            <w:vAlign w:val="center"/>
          </w:tcPr>
          <w:p>
            <w:pPr>
              <w:pStyle w:val="178"/>
              <w:jc w:val="left"/>
            </w:pPr>
            <w:r>
              <w:rPr>
                <w:rFonts w:hint="eastAsia"/>
              </w:rPr>
              <w:t>与其他牛羊养殖场所的距离符合《动物防疫条件审查办法》。</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shd w:val="clear" w:color="auto" w:fill="auto"/>
            <w:vAlign w:val="center"/>
          </w:tcPr>
          <w:p>
            <w:pPr>
              <w:pStyle w:val="178"/>
            </w:pPr>
            <w:r>
              <w:rPr>
                <w:rFonts w:hint="eastAsia"/>
              </w:rPr>
              <w:t>3</w:t>
            </w:r>
          </w:p>
        </w:tc>
        <w:tc>
          <w:tcPr>
            <w:tcW w:w="4288" w:type="dxa"/>
            <w:shd w:val="clear" w:color="auto" w:fill="auto"/>
            <w:vAlign w:val="center"/>
          </w:tcPr>
          <w:p>
            <w:pPr>
              <w:pStyle w:val="178"/>
              <w:jc w:val="left"/>
            </w:pPr>
            <w:r>
              <w:rPr>
                <w:rFonts w:hint="eastAsia"/>
              </w:rPr>
              <w:t>与主干道或居民区的距离符合《动物防疫条件审查办法》。</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shd w:val="clear" w:color="auto" w:fill="auto"/>
            <w:vAlign w:val="center"/>
          </w:tcPr>
          <w:p>
            <w:pPr>
              <w:pStyle w:val="178"/>
            </w:pPr>
            <w:r>
              <w:rPr>
                <w:rFonts w:hint="eastAsia"/>
              </w:rPr>
              <w:t>4</w:t>
            </w:r>
          </w:p>
        </w:tc>
        <w:tc>
          <w:tcPr>
            <w:tcW w:w="4288" w:type="dxa"/>
            <w:shd w:val="clear" w:color="auto" w:fill="auto"/>
            <w:vAlign w:val="center"/>
          </w:tcPr>
          <w:p>
            <w:pPr>
              <w:pStyle w:val="178"/>
              <w:jc w:val="left"/>
            </w:pPr>
            <w:r>
              <w:rPr>
                <w:rFonts w:hint="eastAsia"/>
              </w:rPr>
              <w:t>周边有天然或人工隔离屏障。</w:t>
            </w:r>
          </w:p>
        </w:tc>
        <w:tc>
          <w:tcPr>
            <w:tcW w:w="992" w:type="dxa"/>
            <w:tcBorders>
              <w:tl2br w:val="nil"/>
              <w:tr2bl w:val="nil"/>
            </w:tcBorders>
            <w:vAlign w:val="center"/>
          </w:tcPr>
          <w:p>
            <w:pPr>
              <w:widowControl/>
              <w:spacing w:line="240" w:lineRule="auto"/>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是</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177" w:type="dxa"/>
            <w:gridSpan w:val="7"/>
            <w:shd w:val="clear" w:color="auto" w:fill="auto"/>
            <w:vAlign w:val="center"/>
          </w:tcPr>
          <w:p>
            <w:pPr>
              <w:pStyle w:val="178"/>
              <w:jc w:val="left"/>
            </w:pPr>
            <w:r>
              <w:rPr>
                <w:rFonts w:hint="eastAsia"/>
              </w:rPr>
              <w:t>二、结构布局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w:t>
            </w:r>
          </w:p>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场区规划布局科学合理，生产区、办公区、生活区、粪污处理区和无害化处理区严格分开；生产区与其它功能区间隔 50 m 以上或通过物理屏障有效隔离。</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场区入口处应设明显的警示标志。</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lang w:eastAsia="zh-CN"/>
              </w:rPr>
              <w:t>是</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生产区内场地、道路及栋舍内地面、墙壁坚硬，便于清扫、消毒。</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是</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生产区内净道和污道分开；如部分交叉，按规定进行消毒。</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是</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具有与生产区间隔300m以上或通过物理屏障有效隔离的专用隔离治疗舍。</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lang w:eastAsia="zh-CN"/>
              </w:rPr>
              <w:t>是</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具有独立的引种隔离舍。</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lang w:eastAsia="zh-CN"/>
              </w:rPr>
              <w:t>是</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展示厅和装畜台在生产区边缘，下风口，设有专用通道。</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177" w:type="dxa"/>
            <w:gridSpan w:val="7"/>
            <w:tcBorders>
              <w:tl2br w:val="nil"/>
              <w:tr2bl w:val="nil"/>
            </w:tcBorders>
            <w:vAlign w:val="center"/>
          </w:tcPr>
          <w:p>
            <w:pPr>
              <w:pStyle w:val="178"/>
              <w:jc w:val="left"/>
            </w:pPr>
            <w:r>
              <w:rPr>
                <w:rFonts w:hint="eastAsia"/>
              </w:rPr>
              <w:t>三、设施设备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设有兽医室、配备诊疗与消毒设备。</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lang w:eastAsia="zh-CN"/>
              </w:rPr>
              <w:t>是</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各出入口设置消毒池、消毒通道及更衣室，并悬挂明显防疫警示标志。</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lang w:eastAsia="zh-CN"/>
              </w:rPr>
              <w:t>是</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4288" w:type="dxa"/>
            <w:tcBorders>
              <w:tl2br w:val="nil"/>
              <w:tr2bl w:val="nil"/>
            </w:tcBorders>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场内实行雨污分流，符合NY/T 682要求。</w:t>
            </w:r>
          </w:p>
        </w:tc>
        <w:tc>
          <w:tcPr>
            <w:tcW w:w="992"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山羊舍通风、换气和温控等设施运转良好。</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建有专用青贮设备与干草棚。</w:t>
            </w:r>
          </w:p>
        </w:tc>
        <w:tc>
          <w:tcPr>
            <w:tcW w:w="992" w:type="dxa"/>
            <w:tcBorders>
              <w:tl2br w:val="nil"/>
              <w:tr2bl w:val="nil"/>
            </w:tcBorders>
            <w:vAlign w:val="center"/>
          </w:tcPr>
          <w:p>
            <w:pPr>
              <w:widowControl/>
              <w:spacing w:line="240" w:lineRule="auto"/>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是</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4288" w:type="dxa"/>
            <w:tcBorders>
              <w:tl2br w:val="nil"/>
              <w:tr2bl w:val="nil"/>
            </w:tcBorders>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具备防鸟、防鼠、防虫和防犬猫进入的设施或措施。</w:t>
            </w:r>
          </w:p>
        </w:tc>
        <w:tc>
          <w:tcPr>
            <w:tcW w:w="992" w:type="dxa"/>
            <w:tcBorders>
              <w:tl2br w:val="nil"/>
              <w:tr2bl w:val="nil"/>
            </w:tcBorders>
            <w:shd w:val="clear" w:color="auto" w:fill="auto"/>
            <w:vAlign w:val="center"/>
          </w:tcPr>
          <w:p>
            <w:pPr>
              <w:widowControl/>
              <w:spacing w:line="240" w:lineRule="auto"/>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是</w:t>
            </w:r>
          </w:p>
        </w:tc>
        <w:tc>
          <w:tcPr>
            <w:tcW w:w="996"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场内运输车辆应专用且严禁出场</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177" w:type="dxa"/>
            <w:gridSpan w:val="7"/>
            <w:tcBorders>
              <w:tl2br w:val="nil"/>
              <w:tr2bl w:val="nil"/>
            </w:tcBorders>
            <w:vAlign w:val="center"/>
          </w:tcPr>
          <w:p>
            <w:pPr>
              <w:pStyle w:val="178"/>
              <w:jc w:val="left"/>
            </w:pPr>
            <w:r>
              <w:rPr>
                <w:rFonts w:hint="eastAsia"/>
              </w:rPr>
              <w:t>四、饲养管理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坚持自繁自养管理模式。</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是</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种公羊不对外配种。</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是</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 21*</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场外人员禁入生产区。</w:t>
            </w:r>
          </w:p>
        </w:tc>
        <w:tc>
          <w:tcPr>
            <w:tcW w:w="992"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4288" w:type="dxa"/>
            <w:tcBorders>
              <w:tl2br w:val="nil"/>
              <w:tr2bl w:val="nil"/>
            </w:tcBorders>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饲料营养达标且源头可控。</w:t>
            </w:r>
          </w:p>
        </w:tc>
        <w:tc>
          <w:tcPr>
            <w:tcW w:w="992"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4288" w:type="dxa"/>
            <w:tcBorders>
              <w:tl2br w:val="nil"/>
              <w:tr2bl w:val="nil"/>
            </w:tcBorders>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饲养密度适宜（见附录A）。</w:t>
            </w:r>
          </w:p>
        </w:tc>
        <w:tc>
          <w:tcPr>
            <w:tcW w:w="992"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4288" w:type="dxa"/>
            <w:tcBorders>
              <w:tl2br w:val="nil"/>
              <w:tr2bl w:val="nil"/>
            </w:tcBorders>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与他人共用牧场。</w:t>
            </w:r>
          </w:p>
        </w:tc>
        <w:tc>
          <w:tcPr>
            <w:tcW w:w="992"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是</w:t>
            </w:r>
          </w:p>
        </w:tc>
        <w:tc>
          <w:tcPr>
            <w:tcW w:w="996"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场内其他畜禽混养。</w:t>
            </w:r>
          </w:p>
        </w:tc>
        <w:tc>
          <w:tcPr>
            <w:tcW w:w="992"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是</w:t>
            </w:r>
          </w:p>
        </w:tc>
        <w:tc>
          <w:tcPr>
            <w:tcW w:w="996"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4288" w:type="dxa"/>
            <w:tcBorders>
              <w:tl2br w:val="nil"/>
              <w:tr2bl w:val="nil"/>
            </w:tcBorders>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羊只饮用水符合 GB 5749 要求。</w:t>
            </w:r>
          </w:p>
        </w:tc>
        <w:tc>
          <w:tcPr>
            <w:tcW w:w="992"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4288" w:type="dxa"/>
            <w:tcBorders>
              <w:tl2br w:val="nil"/>
              <w:tr2bl w:val="nil"/>
            </w:tcBorders>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建立员工人畜共患病定期筛查与饲养管理常态化培训制度。</w:t>
            </w:r>
          </w:p>
        </w:tc>
        <w:tc>
          <w:tcPr>
            <w:tcW w:w="992"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是</w:t>
            </w:r>
          </w:p>
        </w:tc>
        <w:tc>
          <w:tcPr>
            <w:tcW w:w="996"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177" w:type="dxa"/>
            <w:gridSpan w:val="7"/>
            <w:tcBorders>
              <w:tl2br w:val="nil"/>
              <w:tr2bl w:val="nil"/>
            </w:tcBorders>
            <w:vAlign w:val="center"/>
          </w:tcPr>
          <w:p>
            <w:pPr>
              <w:pStyle w:val="178"/>
              <w:jc w:val="left"/>
            </w:pPr>
            <w:r>
              <w:rPr>
                <w:rFonts w:hint="eastAsia"/>
              </w:rPr>
              <w:t>五、种源管理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28</w:t>
            </w:r>
          </w:p>
        </w:tc>
        <w:tc>
          <w:tcPr>
            <w:tcW w:w="4288" w:type="dxa"/>
            <w:tcBorders>
              <w:tl2br w:val="nil"/>
              <w:tr2bl w:val="nil"/>
            </w:tcBorders>
            <w:vAlign w:val="center"/>
          </w:tcPr>
          <w:p>
            <w:pPr>
              <w:pStyle w:val="230"/>
              <w:tabs>
                <w:tab w:val="center" w:pos="709"/>
                <w:tab w:val="clear" w:pos="4201"/>
                <w:tab w:val="clear" w:pos="9298"/>
              </w:tabs>
              <w:ind w:firstLine="0" w:firstLineChars="0"/>
              <w:jc w:val="left"/>
              <w:rPr>
                <w:rFonts w:hAnsi="宋体"/>
                <w:color w:val="000000"/>
                <w:sz w:val="18"/>
                <w:szCs w:val="18"/>
              </w:rPr>
            </w:pPr>
            <w:r>
              <w:rPr>
                <w:rFonts w:hint="eastAsia" w:hAnsi="宋体"/>
                <w:sz w:val="18"/>
                <w:szCs w:val="18"/>
              </w:rPr>
              <w:t>场内制定并执行规范的引种管理制度。</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是</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4288" w:type="dxa"/>
            <w:tcBorders>
              <w:tl2br w:val="nil"/>
              <w:tr2bl w:val="nil"/>
            </w:tcBorders>
            <w:vAlign w:val="center"/>
          </w:tcPr>
          <w:p>
            <w:pPr>
              <w:pStyle w:val="230"/>
              <w:tabs>
                <w:tab w:val="center" w:pos="709"/>
                <w:tab w:val="clear" w:pos="4201"/>
                <w:tab w:val="clear" w:pos="9298"/>
              </w:tabs>
              <w:ind w:firstLine="0" w:firstLineChars="0"/>
              <w:jc w:val="left"/>
              <w:rPr>
                <w:rFonts w:hAnsi="宋体"/>
                <w:color w:val="000000"/>
                <w:sz w:val="18"/>
                <w:szCs w:val="18"/>
              </w:rPr>
            </w:pPr>
            <w:r>
              <w:rPr>
                <w:rFonts w:hint="eastAsia" w:hAnsi="宋体"/>
                <w:sz w:val="18"/>
                <w:szCs w:val="18"/>
              </w:rPr>
              <w:t>配套独立的隔离场所，按规程落实消毒、隔离、观察和检测等综合管控措施。</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288" w:type="dxa"/>
            <w:tcBorders>
              <w:tl2br w:val="nil"/>
              <w:tr2bl w:val="nil"/>
            </w:tcBorders>
            <w:vAlign w:val="center"/>
          </w:tcPr>
          <w:p>
            <w:pPr>
              <w:pStyle w:val="230"/>
              <w:tabs>
                <w:tab w:val="center" w:pos="709"/>
                <w:tab w:val="clear" w:pos="4201"/>
                <w:tab w:val="clear" w:pos="9298"/>
              </w:tabs>
              <w:ind w:firstLine="0" w:firstLineChars="0"/>
              <w:jc w:val="left"/>
              <w:rPr>
                <w:rFonts w:hAnsi="宋体"/>
                <w:color w:val="000000"/>
                <w:sz w:val="18"/>
                <w:szCs w:val="18"/>
              </w:rPr>
            </w:pPr>
            <w:r>
              <w:rPr>
                <w:rFonts w:hint="eastAsia" w:hAnsi="宋体"/>
                <w:sz w:val="18"/>
                <w:szCs w:val="18"/>
              </w:rPr>
              <w:t>种羊场种源来自有《种畜禽经营许可证》的种羊场。</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31</w:t>
            </w:r>
          </w:p>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w:t>
            </w:r>
          </w:p>
        </w:tc>
        <w:tc>
          <w:tcPr>
            <w:tcW w:w="4288" w:type="dxa"/>
            <w:tcBorders>
              <w:tl2br w:val="nil"/>
              <w:tr2bl w:val="nil"/>
            </w:tcBorders>
            <w:vAlign w:val="center"/>
          </w:tcPr>
          <w:p>
            <w:pPr>
              <w:pStyle w:val="230"/>
              <w:tabs>
                <w:tab w:val="center" w:pos="709"/>
                <w:tab w:val="clear" w:pos="4201"/>
                <w:tab w:val="clear" w:pos="9298"/>
              </w:tabs>
              <w:ind w:firstLine="0" w:firstLineChars="0"/>
              <w:jc w:val="left"/>
              <w:rPr>
                <w:rFonts w:hAnsi="宋体"/>
                <w:color w:val="000000"/>
                <w:sz w:val="18"/>
                <w:szCs w:val="18"/>
              </w:rPr>
            </w:pPr>
            <w:r>
              <w:rPr>
                <w:rFonts w:hint="eastAsia" w:hAnsi="宋体"/>
                <w:sz w:val="18"/>
                <w:szCs w:val="18"/>
              </w:rPr>
              <w:t>引种的种羊、精液或胚胎应具有检疫合格证明，入场前经过传染性胸膜肺炎病原学检测且结果为阴性。</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177" w:type="dxa"/>
            <w:gridSpan w:val="7"/>
            <w:tcBorders>
              <w:tl2br w:val="nil"/>
              <w:tr2bl w:val="nil"/>
            </w:tcBorders>
            <w:vAlign w:val="center"/>
          </w:tcPr>
          <w:p>
            <w:pPr>
              <w:pStyle w:val="178"/>
              <w:jc w:val="left"/>
            </w:pPr>
            <w:r>
              <w:rPr>
                <w:rFonts w:hint="eastAsia"/>
              </w:rPr>
              <w:t>六、防疫管理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制定并严格执行针对湘东黑山羊传染性胸膜肺炎免疫程序，免疫抗体合格率持续达标。</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是</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制定并严格执行适合本场的免疫方案，免疫后详细记录免疫时间、疫苗信息等内容。</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是</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建立兽医诊疗、隔离观察及用药等全过程档案记录。</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是</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177" w:type="dxa"/>
            <w:gridSpan w:val="7"/>
            <w:tcBorders>
              <w:tl2br w:val="nil"/>
              <w:tr2bl w:val="nil"/>
            </w:tcBorders>
            <w:vAlign w:val="center"/>
          </w:tcPr>
          <w:p>
            <w:pPr>
              <w:pStyle w:val="178"/>
              <w:jc w:val="left"/>
            </w:pPr>
            <w:r>
              <w:rPr>
                <w:rFonts w:hint="eastAsia"/>
              </w:rPr>
              <w:t>七、疫病监测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5</w:t>
            </w:r>
          </w:p>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传染性胸膜肺炎病原学监测结果为</w:t>
            </w:r>
            <w:r>
              <w:rPr>
                <w:rFonts w:hint="eastAsia" w:ascii="宋体" w:hAnsi="宋体" w:cs="宋体"/>
                <w:color w:val="000000" w:themeColor="text1"/>
                <w:kern w:val="0"/>
                <w:sz w:val="18"/>
                <w:szCs w:val="18"/>
                <w14:textFill>
                  <w14:solidFill>
                    <w14:schemeClr w14:val="tx1"/>
                  </w14:solidFill>
                </w14:textFill>
              </w:rPr>
              <w:t>阳性</w:t>
            </w:r>
            <w:r>
              <w:rPr>
                <w:rFonts w:hint="eastAsia" w:ascii="宋体" w:hAnsi="宋体" w:cs="宋体"/>
                <w:color w:val="000000"/>
                <w:kern w:val="0"/>
                <w:sz w:val="18"/>
                <w:szCs w:val="18"/>
              </w:rPr>
              <w:t>。</w:t>
            </w:r>
          </w:p>
        </w:tc>
        <w:tc>
          <w:tcPr>
            <w:tcW w:w="992" w:type="dxa"/>
            <w:tcBorders>
              <w:tl2br w:val="nil"/>
              <w:tr2bl w:val="nil"/>
            </w:tcBorders>
            <w:vAlign w:val="center"/>
          </w:tcPr>
          <w:p>
            <w:pPr>
              <w:widowControl/>
              <w:spacing w:line="240" w:lineRule="auto"/>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是</w:t>
            </w:r>
          </w:p>
        </w:tc>
        <w:tc>
          <w:tcPr>
            <w:tcW w:w="996" w:type="dxa"/>
            <w:tcBorders>
              <w:tl2br w:val="nil"/>
              <w:tr2bl w:val="nil"/>
            </w:tcBorders>
            <w:vAlign w:val="center"/>
          </w:tcPr>
          <w:p>
            <w:pPr>
              <w:widowControl/>
              <w:spacing w:line="240" w:lineRule="auto"/>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制定并严格执行适合本场的监测方案。</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是</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37</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病死羊剖检严格符合生物安全要求</w:t>
            </w:r>
          </w:p>
        </w:tc>
        <w:tc>
          <w:tcPr>
            <w:tcW w:w="992"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177" w:type="dxa"/>
            <w:gridSpan w:val="7"/>
            <w:tcBorders>
              <w:tl2br w:val="nil"/>
              <w:tr2bl w:val="nil"/>
            </w:tcBorders>
            <w:vAlign w:val="center"/>
          </w:tcPr>
          <w:p>
            <w:pPr>
              <w:pStyle w:val="178"/>
              <w:jc w:val="both"/>
            </w:pPr>
            <w:r>
              <w:rPr>
                <w:rFonts w:hint="eastAsia"/>
              </w:rPr>
              <w:t>八、消毒管理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制定涵盖场内外与外来人员、车辆、物资的准入消毒及出入登记制度。</w:t>
            </w:r>
          </w:p>
        </w:tc>
        <w:tc>
          <w:tcPr>
            <w:tcW w:w="992" w:type="dxa"/>
            <w:tcBorders>
              <w:tl2br w:val="nil"/>
              <w:tr2bl w:val="nil"/>
            </w:tcBorders>
            <w:vAlign w:val="center"/>
          </w:tcPr>
          <w:p>
            <w:pPr>
              <w:widowControl/>
              <w:spacing w:line="240" w:lineRule="auto"/>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是</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39</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规范日常清洁处理流程与标准化操作操作程序，严格执行到位并做好记录。</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177" w:type="dxa"/>
            <w:gridSpan w:val="7"/>
            <w:tcBorders>
              <w:tl2br w:val="nil"/>
              <w:tr2bl w:val="nil"/>
            </w:tcBorders>
            <w:vAlign w:val="center"/>
          </w:tcPr>
          <w:p>
            <w:pPr>
              <w:pStyle w:val="178"/>
              <w:jc w:val="left"/>
            </w:pPr>
            <w:r>
              <w:rPr>
                <w:rFonts w:hint="eastAsia"/>
              </w:rPr>
              <w:t>九、无害化处理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建立并严格执行无害化处理制度，规范处置病死羊、排泄物及污水等全场废弃物，污染排放符合 GB 18596 的要求。</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3"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41</w:t>
            </w:r>
          </w:p>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w:t>
            </w:r>
          </w:p>
        </w:tc>
        <w:tc>
          <w:tcPr>
            <w:tcW w:w="4288" w:type="dxa"/>
            <w:tcBorders>
              <w:tl2br w:val="nil"/>
              <w:tr2bl w:val="nil"/>
            </w:tcBorders>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严格落实发病羊只即时隔离制度，对病死羊及其污染物处理过程符合《病死畜禽和病害畜禽产品无害化处理管理办法》要求。</w:t>
            </w:r>
          </w:p>
        </w:tc>
        <w:tc>
          <w:tcPr>
            <w:tcW w:w="992"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符合要求</w:t>
            </w:r>
          </w:p>
        </w:tc>
        <w:tc>
          <w:tcPr>
            <w:tcW w:w="996" w:type="dxa"/>
            <w:tcBorders>
              <w:tl2br w:val="nil"/>
              <w:tr2bl w:val="nil"/>
            </w:tcBorders>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不符合要求</w:t>
            </w:r>
          </w:p>
        </w:tc>
        <w:tc>
          <w:tcPr>
            <w:tcW w:w="851" w:type="dxa"/>
            <w:shd w:val="clear" w:color="auto" w:fill="auto"/>
            <w:vAlign w:val="center"/>
          </w:tcPr>
          <w:p>
            <w:pPr>
              <w:pStyle w:val="178"/>
            </w:pPr>
          </w:p>
        </w:tc>
        <w:tc>
          <w:tcPr>
            <w:tcW w:w="850" w:type="dxa"/>
            <w:shd w:val="clear" w:color="auto" w:fill="auto"/>
            <w:vAlign w:val="center"/>
          </w:tcPr>
          <w:p>
            <w:pPr>
              <w:pStyle w:val="178"/>
            </w:pPr>
          </w:p>
        </w:tc>
        <w:tc>
          <w:tcPr>
            <w:tcW w:w="697"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177" w:type="dxa"/>
            <w:gridSpan w:val="7"/>
            <w:tcBorders>
              <w:tl2br w:val="nil"/>
              <w:tr2bl w:val="nil"/>
            </w:tcBorders>
            <w:vAlign w:val="center"/>
          </w:tcPr>
          <w:p>
            <w:pPr>
              <w:pStyle w:val="178"/>
              <w:jc w:val="left"/>
            </w:pPr>
            <w:r>
              <w:rPr>
                <w:rFonts w:hint="eastAsia"/>
              </w:rPr>
              <w:t>注：* * :限制项；  *关键项</w:t>
            </w:r>
          </w:p>
        </w:tc>
      </w:tr>
    </w:tbl>
    <w:p>
      <w:pPr>
        <w:pStyle w:val="56"/>
        <w:ind w:firstLine="420"/>
      </w:pPr>
    </w:p>
    <w:p>
      <w:pPr>
        <w:pStyle w:val="76"/>
        <w:spacing w:after="156"/>
      </w:pPr>
      <w:r>
        <w:br w:type="textWrapping"/>
      </w:r>
      <w:bookmarkStart w:id="121" w:name="_Toc231561877"/>
      <w:bookmarkStart w:id="122" w:name="_Toc231560335"/>
      <w:bookmarkStart w:id="123" w:name="_Toc231560324"/>
      <w:bookmarkStart w:id="124" w:name="_Toc216979683"/>
      <w:bookmarkStart w:id="125" w:name="_Toc216979675"/>
      <w:bookmarkStart w:id="126" w:name="_Toc232598602"/>
      <w:r>
        <w:rPr>
          <w:rFonts w:hint="eastAsia"/>
        </w:rPr>
        <w:t>（资料性）</w:t>
      </w:r>
      <w:r>
        <w:br w:type="textWrapping"/>
      </w:r>
      <w:r>
        <w:rPr>
          <w:rFonts w:hint="eastAsia"/>
        </w:rPr>
        <w:t>湘东黑山羊传染性胸膜肺炎风险评估</w:t>
      </w:r>
      <w:bookmarkEnd w:id="121"/>
      <w:bookmarkEnd w:id="122"/>
      <w:bookmarkEnd w:id="123"/>
      <w:bookmarkEnd w:id="124"/>
      <w:bookmarkEnd w:id="125"/>
      <w:r>
        <w:rPr>
          <w:rFonts w:hint="eastAsia"/>
        </w:rPr>
        <w:t>报告</w:t>
      </w:r>
      <w:bookmarkEnd w:id="126"/>
    </w:p>
    <w:p>
      <w:pPr>
        <w:pStyle w:val="56"/>
        <w:ind w:firstLine="420"/>
      </w:pPr>
    </w:p>
    <w:p>
      <w:pPr>
        <w:pStyle w:val="56"/>
        <w:ind w:firstLine="420"/>
      </w:pPr>
      <w:r>
        <w:rPr>
          <w:rFonts w:hint="eastAsia"/>
        </w:rPr>
        <w:t>湘东黑山羊传染性胸膜肺炎风险评估报告见图C</w:t>
      </w:r>
      <w:r>
        <w:t>.1</w:t>
      </w:r>
      <w:r>
        <w:rPr>
          <w:rFonts w:hint="eastAsia"/>
        </w:rPr>
        <w:t>。</w:t>
      </w:r>
    </w:p>
    <w:p>
      <w:pPr>
        <w:pStyle w:val="56"/>
        <w:ind w:firstLine="420"/>
      </w:pPr>
    </w:p>
    <w:tbl>
      <w:tblPr>
        <w:tblStyle w:val="33"/>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45" w:hRule="atLeast"/>
          <w:tblHeader/>
          <w:jc w:val="center"/>
        </w:trPr>
        <w:tc>
          <w:tcPr>
            <w:tcW w:w="9334" w:type="dxa"/>
            <w:tcBorders>
              <w:top w:val="single" w:color="auto" w:sz="8" w:space="0"/>
              <w:bottom w:val="single" w:color="auto" w:sz="8" w:space="0"/>
            </w:tcBorders>
            <w:shd w:val="clear" w:color="auto" w:fill="auto"/>
            <w:vAlign w:val="center"/>
          </w:tcPr>
          <w:p>
            <w:pPr>
              <w:pStyle w:val="178"/>
              <w:numPr>
                <w:ilvl w:val="0"/>
                <w:numId w:val="32"/>
              </w:numPr>
              <w:jc w:val="left"/>
            </w:pPr>
            <w:r>
              <w:rPr>
                <w:rFonts w:hint="eastAsia"/>
              </w:rPr>
              <w:t>风险识别情况</w:t>
            </w:r>
          </w:p>
          <w:p>
            <w:pPr>
              <w:pStyle w:val="178"/>
              <w:ind w:left="360"/>
              <w:jc w:val="left"/>
            </w:pPr>
            <w:r>
              <w:rPr>
                <w:rFonts w:hint="eastAsia"/>
              </w:rPr>
              <w:t>根据《湘东黑山羊传染性胸膜肺炎风险评估表》进行风险评估，评估结果如下：</w:t>
            </w:r>
          </w:p>
          <w:p>
            <w:pPr>
              <w:pStyle w:val="178"/>
              <w:numPr>
                <w:ilvl w:val="0"/>
                <w:numId w:val="33"/>
              </w:numPr>
              <w:jc w:val="left"/>
            </w:pPr>
            <w:r>
              <w:rPr>
                <w:rFonts w:hint="eastAsia"/>
              </w:rPr>
              <w:t>限制项符合</w:t>
            </w:r>
            <w:r>
              <w:t>* * *</w:t>
            </w:r>
            <w:r>
              <w:rPr>
                <w:rFonts w:hint="eastAsia"/>
              </w:rPr>
              <w:t>个，不符合* * *个。</w:t>
            </w:r>
          </w:p>
          <w:p>
            <w:pPr>
              <w:pStyle w:val="231"/>
              <w:numPr>
                <w:ilvl w:val="0"/>
                <w:numId w:val="33"/>
              </w:numPr>
              <w:ind w:firstLineChars="0"/>
              <w:rPr>
                <w:rFonts w:ascii="宋体" w:hAnsi="Times New Roman"/>
                <w:kern w:val="0"/>
                <w:sz w:val="18"/>
                <w:szCs w:val="20"/>
              </w:rPr>
            </w:pPr>
            <w:r>
              <w:rPr>
                <w:rFonts w:hint="eastAsia" w:ascii="宋体" w:hAnsi="Times New Roman"/>
                <w:kern w:val="0"/>
                <w:sz w:val="18"/>
                <w:szCs w:val="20"/>
              </w:rPr>
              <w:t>关键项符合* * *个，不符合* * *个。</w:t>
            </w:r>
          </w:p>
          <w:p>
            <w:pPr>
              <w:pStyle w:val="231"/>
              <w:numPr>
                <w:ilvl w:val="0"/>
                <w:numId w:val="33"/>
              </w:numPr>
              <w:ind w:firstLineChars="0"/>
              <w:rPr>
                <w:rFonts w:ascii="宋体" w:hAnsi="Times New Roman"/>
                <w:kern w:val="0"/>
                <w:sz w:val="18"/>
                <w:szCs w:val="20"/>
              </w:rPr>
            </w:pPr>
            <w:r>
              <w:rPr>
                <w:rFonts w:hint="eastAsia" w:ascii="宋体" w:hAnsi="Times New Roman"/>
                <w:kern w:val="0"/>
                <w:sz w:val="18"/>
                <w:szCs w:val="20"/>
              </w:rPr>
              <w:t>普通项符合* * *个，不符合* * *个。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27" w:hRule="atLeast"/>
          <w:jc w:val="center"/>
        </w:trPr>
        <w:tc>
          <w:tcPr>
            <w:tcW w:w="9334" w:type="dxa"/>
            <w:tcBorders>
              <w:top w:val="single" w:color="auto" w:sz="8" w:space="0"/>
            </w:tcBorders>
            <w:shd w:val="clear" w:color="auto" w:fill="auto"/>
            <w:vAlign w:val="center"/>
          </w:tcPr>
          <w:p>
            <w:pPr>
              <w:pStyle w:val="178"/>
              <w:numPr>
                <w:ilvl w:val="0"/>
                <w:numId w:val="32"/>
              </w:numPr>
              <w:jc w:val="left"/>
            </w:pPr>
            <w:r>
              <w:rPr>
                <w:rFonts w:hint="eastAsia"/>
              </w:rPr>
              <w:t>风险确认</w:t>
            </w:r>
          </w:p>
          <w:p>
            <w:pPr>
              <w:pStyle w:val="178"/>
              <w:ind w:left="360"/>
              <w:jc w:val="left"/>
            </w:pPr>
            <w:r>
              <w:rPr>
                <w:rFonts w:hint="eastAsia"/>
              </w:rPr>
              <w:t>根据“风险确认”分类情况，本次风险评估结果判定为</w:t>
            </w:r>
            <w:r>
              <w:t>* *</w:t>
            </w:r>
            <w:r>
              <w:rPr>
                <w:rFonts w:hint="eastAsia"/>
              </w:rPr>
              <w:t>风险。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385" w:hRule="atLeast"/>
          <w:jc w:val="center"/>
        </w:trPr>
        <w:tc>
          <w:tcPr>
            <w:tcW w:w="9334" w:type="dxa"/>
            <w:shd w:val="clear" w:color="auto" w:fill="auto"/>
            <w:vAlign w:val="center"/>
          </w:tcPr>
          <w:p>
            <w:pPr>
              <w:pStyle w:val="178"/>
              <w:numPr>
                <w:ilvl w:val="0"/>
                <w:numId w:val="32"/>
              </w:numPr>
              <w:jc w:val="left"/>
            </w:pPr>
            <w:r>
              <w:rPr>
                <w:rFonts w:hint="eastAsia"/>
              </w:rPr>
              <w:t>风险管控</w:t>
            </w:r>
          </w:p>
          <w:tbl>
            <w:tblPr>
              <w:tblStyle w:val="33"/>
              <w:tblW w:w="89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747"/>
              <w:gridCol w:w="850"/>
              <w:gridCol w:w="993"/>
              <w:gridCol w:w="992"/>
              <w:gridCol w:w="1134"/>
              <w:gridCol w:w="1077"/>
              <w:gridCol w:w="895"/>
              <w:gridCol w:w="895"/>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6" w:type="dxa"/>
                  <w:vAlign w:val="center"/>
                </w:tcPr>
                <w:p>
                  <w:pPr>
                    <w:pStyle w:val="178"/>
                  </w:pPr>
                  <w:r>
                    <w:rPr>
                      <w:rFonts w:hint="eastAsia"/>
                    </w:rPr>
                    <w:t>序</w:t>
                  </w:r>
                </w:p>
                <w:p>
                  <w:pPr>
                    <w:pStyle w:val="178"/>
                  </w:pPr>
                  <w:r>
                    <w:rPr>
                      <w:rFonts w:hint="eastAsia"/>
                    </w:rPr>
                    <w:t>号</w:t>
                  </w:r>
                </w:p>
              </w:tc>
              <w:tc>
                <w:tcPr>
                  <w:tcW w:w="1597" w:type="dxa"/>
                  <w:gridSpan w:val="2"/>
                  <w:vAlign w:val="center"/>
                </w:tcPr>
                <w:p>
                  <w:pPr>
                    <w:pStyle w:val="178"/>
                  </w:pPr>
                  <w:r>
                    <w:rPr>
                      <w:rFonts w:hint="eastAsia"/>
                    </w:rPr>
                    <w:t>风险因子</w:t>
                  </w:r>
                </w:p>
              </w:tc>
              <w:tc>
                <w:tcPr>
                  <w:tcW w:w="993" w:type="dxa"/>
                  <w:vAlign w:val="center"/>
                </w:tcPr>
                <w:p>
                  <w:pPr>
                    <w:pStyle w:val="178"/>
                  </w:pPr>
                  <w:r>
                    <w:rPr>
                      <w:rFonts w:hint="eastAsia"/>
                    </w:rPr>
                    <w:t>判定标准</w:t>
                  </w:r>
                </w:p>
              </w:tc>
              <w:tc>
                <w:tcPr>
                  <w:tcW w:w="992" w:type="dxa"/>
                  <w:vAlign w:val="center"/>
                </w:tcPr>
                <w:p>
                  <w:pPr>
                    <w:pStyle w:val="178"/>
                  </w:pPr>
                  <w:r>
                    <w:rPr>
                      <w:rFonts w:hint="eastAsia"/>
                    </w:rPr>
                    <w:t>判定结果</w:t>
                  </w:r>
                </w:p>
              </w:tc>
              <w:tc>
                <w:tcPr>
                  <w:tcW w:w="1134" w:type="dxa"/>
                  <w:vAlign w:val="center"/>
                </w:tcPr>
                <w:p>
                  <w:pPr>
                    <w:pStyle w:val="178"/>
                  </w:pPr>
                  <w:r>
                    <w:rPr>
                      <w:rFonts w:hint="eastAsia"/>
                    </w:rPr>
                    <w:t>关键控制点</w:t>
                  </w:r>
                </w:p>
              </w:tc>
              <w:tc>
                <w:tcPr>
                  <w:tcW w:w="1077" w:type="dxa"/>
                  <w:vAlign w:val="center"/>
                </w:tcPr>
                <w:p>
                  <w:pPr>
                    <w:pStyle w:val="178"/>
                  </w:pPr>
                  <w:r>
                    <w:rPr>
                      <w:rFonts w:hint="eastAsia"/>
                    </w:rPr>
                    <w:t>生物安全措施</w:t>
                  </w:r>
                </w:p>
              </w:tc>
              <w:tc>
                <w:tcPr>
                  <w:tcW w:w="895" w:type="dxa"/>
                  <w:vAlign w:val="center"/>
                </w:tcPr>
                <w:p>
                  <w:pPr>
                    <w:pStyle w:val="178"/>
                  </w:pPr>
                  <w:r>
                    <w:rPr>
                      <w:rFonts w:hint="eastAsia"/>
                    </w:rPr>
                    <w:t>整改人</w:t>
                  </w:r>
                </w:p>
              </w:tc>
              <w:tc>
                <w:tcPr>
                  <w:tcW w:w="895" w:type="dxa"/>
                  <w:vAlign w:val="center"/>
                </w:tcPr>
                <w:p>
                  <w:pPr>
                    <w:pStyle w:val="178"/>
                  </w:pPr>
                  <w:r>
                    <w:rPr>
                      <w:rFonts w:hint="eastAsia"/>
                    </w:rPr>
                    <w:t>责任人</w:t>
                  </w:r>
                </w:p>
              </w:tc>
              <w:tc>
                <w:tcPr>
                  <w:tcW w:w="895" w:type="dxa"/>
                  <w:vAlign w:val="center"/>
                </w:tcPr>
                <w:p>
                  <w:pPr>
                    <w:pStyle w:val="178"/>
                  </w:pPr>
                  <w:r>
                    <w:rPr>
                      <w:rFonts w:hint="eastAsia"/>
                    </w:rPr>
                    <w:t>整改</w:t>
                  </w:r>
                </w:p>
                <w:p>
                  <w:pPr>
                    <w:pStyle w:val="178"/>
                  </w:pPr>
                  <w:r>
                    <w:rPr>
                      <w:rFonts w:hint="eastAsia"/>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6" w:type="dxa"/>
                  <w:vAlign w:val="center"/>
                </w:tcPr>
                <w:p>
                  <w:pPr>
                    <w:pStyle w:val="178"/>
                  </w:pPr>
                  <w:r>
                    <w:rPr>
                      <w:rFonts w:hint="eastAsia"/>
                    </w:rPr>
                    <w:t>1</w:t>
                  </w:r>
                </w:p>
              </w:tc>
              <w:tc>
                <w:tcPr>
                  <w:tcW w:w="747" w:type="dxa"/>
                  <w:vMerge w:val="restart"/>
                  <w:vAlign w:val="center"/>
                </w:tcPr>
                <w:p>
                  <w:pPr>
                    <w:pStyle w:val="178"/>
                  </w:pPr>
                  <w:r>
                    <w:t>* * *</w:t>
                  </w:r>
                </w:p>
              </w:tc>
              <w:tc>
                <w:tcPr>
                  <w:tcW w:w="850" w:type="dxa"/>
                  <w:vAlign w:val="center"/>
                </w:tcPr>
                <w:p>
                  <w:pPr>
                    <w:pStyle w:val="178"/>
                  </w:pPr>
                  <w:r>
                    <w:rPr>
                      <w:rFonts w:hint="eastAsia"/>
                    </w:rPr>
                    <w:t>实际</w:t>
                  </w:r>
                </w:p>
                <w:p>
                  <w:pPr>
                    <w:pStyle w:val="178"/>
                  </w:pPr>
                  <w:r>
                    <w:rPr>
                      <w:rFonts w:hint="eastAsia"/>
                    </w:rPr>
                    <w:t>情况</w:t>
                  </w:r>
                </w:p>
              </w:tc>
              <w:tc>
                <w:tcPr>
                  <w:tcW w:w="993" w:type="dxa"/>
                  <w:vAlign w:val="center"/>
                </w:tcPr>
                <w:p>
                  <w:pPr>
                    <w:pStyle w:val="178"/>
                  </w:pPr>
                  <w:r>
                    <w:t>* * *</w:t>
                  </w:r>
                </w:p>
              </w:tc>
              <w:tc>
                <w:tcPr>
                  <w:tcW w:w="992" w:type="dxa"/>
                  <w:vAlign w:val="center"/>
                </w:tcPr>
                <w:p>
                  <w:pPr>
                    <w:pStyle w:val="178"/>
                  </w:pPr>
                  <w:r>
                    <w:rPr>
                      <w:rFonts w:hint="eastAsia"/>
                    </w:rPr>
                    <w:t>A</w:t>
                  </w:r>
                  <w:r>
                    <w:t>/B</w:t>
                  </w:r>
                </w:p>
              </w:tc>
              <w:tc>
                <w:tcPr>
                  <w:tcW w:w="1134" w:type="dxa"/>
                  <w:vAlign w:val="center"/>
                </w:tcPr>
                <w:p>
                  <w:pPr>
                    <w:pStyle w:val="178"/>
                  </w:pPr>
                  <w:r>
                    <w:t>* * *</w:t>
                  </w:r>
                  <w:r>
                    <w:rPr>
                      <w:rFonts w:hint="eastAsia"/>
                    </w:rPr>
                    <w:t>（管控措施）</w:t>
                  </w:r>
                </w:p>
              </w:tc>
              <w:tc>
                <w:tcPr>
                  <w:tcW w:w="1077" w:type="dxa"/>
                  <w:vAlign w:val="center"/>
                </w:tcPr>
                <w:p>
                  <w:pPr>
                    <w:pStyle w:val="178"/>
                  </w:pPr>
                  <w:r>
                    <w:t>* * *</w:t>
                  </w:r>
                  <w:r>
                    <w:rPr>
                      <w:rFonts w:hint="eastAsia"/>
                    </w:rPr>
                    <w:t>（详细操作流程）</w:t>
                  </w:r>
                </w:p>
              </w:tc>
              <w:tc>
                <w:tcPr>
                  <w:tcW w:w="895" w:type="dxa"/>
                  <w:vAlign w:val="center"/>
                </w:tcPr>
                <w:p>
                  <w:pPr>
                    <w:pStyle w:val="178"/>
                  </w:pPr>
                  <w:r>
                    <w:t>* * *</w:t>
                  </w:r>
                </w:p>
              </w:tc>
              <w:tc>
                <w:tcPr>
                  <w:tcW w:w="895" w:type="dxa"/>
                  <w:vAlign w:val="center"/>
                </w:tcPr>
                <w:p>
                  <w:pPr>
                    <w:pStyle w:val="178"/>
                  </w:pPr>
                  <w:r>
                    <w:t>* * *</w:t>
                  </w:r>
                </w:p>
              </w:tc>
              <w:tc>
                <w:tcPr>
                  <w:tcW w:w="895" w:type="dxa"/>
                  <w:vAlign w:val="center"/>
                </w:tcPr>
                <w:p>
                  <w:pPr>
                    <w:pStyle w:val="178"/>
                  </w:pPr>
                  <w: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6" w:type="dxa"/>
                  <w:vAlign w:val="center"/>
                </w:tcPr>
                <w:p>
                  <w:pPr>
                    <w:pStyle w:val="178"/>
                  </w:pPr>
                  <w:r>
                    <w:rPr>
                      <w:rFonts w:hint="eastAsia"/>
                    </w:rPr>
                    <w:t>2</w:t>
                  </w:r>
                </w:p>
              </w:tc>
              <w:tc>
                <w:tcPr>
                  <w:tcW w:w="747" w:type="dxa"/>
                  <w:vMerge w:val="continue"/>
                  <w:vAlign w:val="center"/>
                </w:tcPr>
                <w:p>
                  <w:pPr>
                    <w:pStyle w:val="178"/>
                  </w:pPr>
                </w:p>
              </w:tc>
              <w:tc>
                <w:tcPr>
                  <w:tcW w:w="850" w:type="dxa"/>
                  <w:vAlign w:val="center"/>
                </w:tcPr>
                <w:p>
                  <w:pPr>
                    <w:pStyle w:val="178"/>
                  </w:pPr>
                  <w:r>
                    <w:rPr>
                      <w:rFonts w:hint="eastAsia"/>
                    </w:rPr>
                    <w:t>实际</w:t>
                  </w:r>
                </w:p>
                <w:p>
                  <w:pPr>
                    <w:pStyle w:val="178"/>
                  </w:pPr>
                  <w:r>
                    <w:rPr>
                      <w:rFonts w:hint="eastAsia"/>
                    </w:rPr>
                    <w:t>情况</w:t>
                  </w:r>
                </w:p>
              </w:tc>
              <w:tc>
                <w:tcPr>
                  <w:tcW w:w="993" w:type="dxa"/>
                  <w:vAlign w:val="center"/>
                </w:tcPr>
                <w:p>
                  <w:pPr>
                    <w:pStyle w:val="178"/>
                  </w:pPr>
                  <w:r>
                    <w:t>* * *</w:t>
                  </w:r>
                </w:p>
              </w:tc>
              <w:tc>
                <w:tcPr>
                  <w:tcW w:w="992" w:type="dxa"/>
                  <w:vAlign w:val="center"/>
                </w:tcPr>
                <w:p>
                  <w:pPr>
                    <w:pStyle w:val="178"/>
                  </w:pPr>
                  <w:r>
                    <w:rPr>
                      <w:rFonts w:hint="eastAsia"/>
                    </w:rPr>
                    <w:t>A</w:t>
                  </w:r>
                  <w:r>
                    <w:t>/B</w:t>
                  </w:r>
                </w:p>
              </w:tc>
              <w:tc>
                <w:tcPr>
                  <w:tcW w:w="1134" w:type="dxa"/>
                  <w:vAlign w:val="center"/>
                </w:tcPr>
                <w:p>
                  <w:pPr>
                    <w:pStyle w:val="178"/>
                  </w:pPr>
                  <w:r>
                    <w:t>* * *</w:t>
                  </w:r>
                  <w:r>
                    <w:rPr>
                      <w:rFonts w:hint="eastAsia"/>
                    </w:rPr>
                    <w:t>（管控措施）</w:t>
                  </w:r>
                </w:p>
              </w:tc>
              <w:tc>
                <w:tcPr>
                  <w:tcW w:w="1077" w:type="dxa"/>
                  <w:vAlign w:val="center"/>
                </w:tcPr>
                <w:p>
                  <w:pPr>
                    <w:pStyle w:val="178"/>
                  </w:pPr>
                  <w:r>
                    <w:t>* * *</w:t>
                  </w:r>
                  <w:r>
                    <w:rPr>
                      <w:rFonts w:hint="eastAsia"/>
                    </w:rPr>
                    <w:t>（详细操作流程）</w:t>
                  </w:r>
                </w:p>
              </w:tc>
              <w:tc>
                <w:tcPr>
                  <w:tcW w:w="895" w:type="dxa"/>
                  <w:vAlign w:val="center"/>
                </w:tcPr>
                <w:p>
                  <w:pPr>
                    <w:pStyle w:val="178"/>
                  </w:pPr>
                  <w:r>
                    <w:t>* * *</w:t>
                  </w:r>
                </w:p>
              </w:tc>
              <w:tc>
                <w:tcPr>
                  <w:tcW w:w="895" w:type="dxa"/>
                  <w:vAlign w:val="center"/>
                </w:tcPr>
                <w:p>
                  <w:pPr>
                    <w:pStyle w:val="178"/>
                  </w:pPr>
                  <w:r>
                    <w:t>* * *</w:t>
                  </w:r>
                </w:p>
              </w:tc>
              <w:tc>
                <w:tcPr>
                  <w:tcW w:w="895" w:type="dxa"/>
                  <w:vAlign w:val="center"/>
                </w:tcPr>
                <w:p>
                  <w:pPr>
                    <w:pStyle w:val="178"/>
                  </w:pPr>
                  <w: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6" w:type="dxa"/>
                  <w:vAlign w:val="center"/>
                </w:tcPr>
                <w:p>
                  <w:pPr>
                    <w:pStyle w:val="178"/>
                  </w:pPr>
                  <w:r>
                    <w:rPr>
                      <w:rFonts w:hint="eastAsia"/>
                    </w:rPr>
                    <w:t>3</w:t>
                  </w:r>
                </w:p>
              </w:tc>
              <w:tc>
                <w:tcPr>
                  <w:tcW w:w="747" w:type="dxa"/>
                  <w:vMerge w:val="restart"/>
                  <w:vAlign w:val="center"/>
                </w:tcPr>
                <w:p>
                  <w:pPr>
                    <w:pStyle w:val="178"/>
                  </w:pPr>
                  <w:r>
                    <w:t>* * *</w:t>
                  </w:r>
                </w:p>
              </w:tc>
              <w:tc>
                <w:tcPr>
                  <w:tcW w:w="850" w:type="dxa"/>
                  <w:vAlign w:val="center"/>
                </w:tcPr>
                <w:p>
                  <w:pPr>
                    <w:pStyle w:val="178"/>
                  </w:pPr>
                  <w:r>
                    <w:rPr>
                      <w:rFonts w:hint="eastAsia"/>
                    </w:rPr>
                    <w:t>实际</w:t>
                  </w:r>
                </w:p>
                <w:p>
                  <w:pPr>
                    <w:pStyle w:val="178"/>
                  </w:pPr>
                  <w:r>
                    <w:rPr>
                      <w:rFonts w:hint="eastAsia"/>
                    </w:rPr>
                    <w:t>情况</w:t>
                  </w:r>
                </w:p>
              </w:tc>
              <w:tc>
                <w:tcPr>
                  <w:tcW w:w="993" w:type="dxa"/>
                  <w:vAlign w:val="center"/>
                </w:tcPr>
                <w:p>
                  <w:pPr>
                    <w:pStyle w:val="178"/>
                  </w:pPr>
                  <w:r>
                    <w:t>* * *</w:t>
                  </w:r>
                </w:p>
              </w:tc>
              <w:tc>
                <w:tcPr>
                  <w:tcW w:w="992" w:type="dxa"/>
                  <w:vAlign w:val="center"/>
                </w:tcPr>
                <w:p>
                  <w:pPr>
                    <w:pStyle w:val="178"/>
                  </w:pPr>
                  <w:r>
                    <w:rPr>
                      <w:rFonts w:hint="eastAsia"/>
                    </w:rPr>
                    <w:t>A</w:t>
                  </w:r>
                  <w:r>
                    <w:t>/B</w:t>
                  </w:r>
                </w:p>
              </w:tc>
              <w:tc>
                <w:tcPr>
                  <w:tcW w:w="1134" w:type="dxa"/>
                  <w:vAlign w:val="center"/>
                </w:tcPr>
                <w:p>
                  <w:pPr>
                    <w:pStyle w:val="178"/>
                  </w:pPr>
                  <w:r>
                    <w:t>* * *</w:t>
                  </w:r>
                  <w:r>
                    <w:rPr>
                      <w:rFonts w:hint="eastAsia"/>
                    </w:rPr>
                    <w:t>（管控措施）</w:t>
                  </w:r>
                </w:p>
              </w:tc>
              <w:tc>
                <w:tcPr>
                  <w:tcW w:w="1077" w:type="dxa"/>
                  <w:vAlign w:val="center"/>
                </w:tcPr>
                <w:p>
                  <w:pPr>
                    <w:pStyle w:val="178"/>
                  </w:pPr>
                  <w:r>
                    <w:t>* * *</w:t>
                  </w:r>
                  <w:r>
                    <w:rPr>
                      <w:rFonts w:hint="eastAsia"/>
                    </w:rPr>
                    <w:t>（详细操作流程）</w:t>
                  </w:r>
                </w:p>
              </w:tc>
              <w:tc>
                <w:tcPr>
                  <w:tcW w:w="895" w:type="dxa"/>
                  <w:vAlign w:val="center"/>
                </w:tcPr>
                <w:p>
                  <w:pPr>
                    <w:pStyle w:val="178"/>
                  </w:pPr>
                  <w:r>
                    <w:t>* * *</w:t>
                  </w:r>
                </w:p>
              </w:tc>
              <w:tc>
                <w:tcPr>
                  <w:tcW w:w="895" w:type="dxa"/>
                  <w:vAlign w:val="center"/>
                </w:tcPr>
                <w:p>
                  <w:pPr>
                    <w:pStyle w:val="178"/>
                  </w:pPr>
                  <w:r>
                    <w:t>* * *</w:t>
                  </w:r>
                </w:p>
              </w:tc>
              <w:tc>
                <w:tcPr>
                  <w:tcW w:w="895" w:type="dxa"/>
                  <w:vAlign w:val="center"/>
                </w:tcPr>
                <w:p>
                  <w:pPr>
                    <w:pStyle w:val="178"/>
                  </w:pPr>
                  <w: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6" w:type="dxa"/>
                  <w:vAlign w:val="center"/>
                </w:tcPr>
                <w:p>
                  <w:pPr>
                    <w:pStyle w:val="178"/>
                  </w:pPr>
                  <w:r>
                    <w:rPr>
                      <w:rFonts w:hint="eastAsia"/>
                    </w:rPr>
                    <w:t>4</w:t>
                  </w:r>
                </w:p>
              </w:tc>
              <w:tc>
                <w:tcPr>
                  <w:tcW w:w="747" w:type="dxa"/>
                  <w:vMerge w:val="continue"/>
                  <w:vAlign w:val="center"/>
                </w:tcPr>
                <w:p>
                  <w:pPr>
                    <w:pStyle w:val="178"/>
                  </w:pPr>
                </w:p>
              </w:tc>
              <w:tc>
                <w:tcPr>
                  <w:tcW w:w="850" w:type="dxa"/>
                  <w:vAlign w:val="center"/>
                </w:tcPr>
                <w:p>
                  <w:pPr>
                    <w:pStyle w:val="178"/>
                  </w:pPr>
                  <w:r>
                    <w:rPr>
                      <w:rFonts w:hint="eastAsia"/>
                    </w:rPr>
                    <w:t>实际</w:t>
                  </w:r>
                </w:p>
                <w:p>
                  <w:pPr>
                    <w:pStyle w:val="178"/>
                  </w:pPr>
                  <w:r>
                    <w:rPr>
                      <w:rFonts w:hint="eastAsia"/>
                    </w:rPr>
                    <w:t>情况</w:t>
                  </w:r>
                </w:p>
              </w:tc>
              <w:tc>
                <w:tcPr>
                  <w:tcW w:w="993" w:type="dxa"/>
                  <w:vAlign w:val="center"/>
                </w:tcPr>
                <w:p>
                  <w:pPr>
                    <w:pStyle w:val="178"/>
                  </w:pPr>
                  <w:r>
                    <w:t>* * *</w:t>
                  </w:r>
                </w:p>
              </w:tc>
              <w:tc>
                <w:tcPr>
                  <w:tcW w:w="992" w:type="dxa"/>
                  <w:vAlign w:val="center"/>
                </w:tcPr>
                <w:p>
                  <w:pPr>
                    <w:pStyle w:val="178"/>
                  </w:pPr>
                  <w:r>
                    <w:rPr>
                      <w:rFonts w:hint="eastAsia"/>
                    </w:rPr>
                    <w:t>A</w:t>
                  </w:r>
                  <w:r>
                    <w:t>/B</w:t>
                  </w:r>
                </w:p>
              </w:tc>
              <w:tc>
                <w:tcPr>
                  <w:tcW w:w="1134" w:type="dxa"/>
                  <w:vAlign w:val="center"/>
                </w:tcPr>
                <w:p>
                  <w:pPr>
                    <w:pStyle w:val="178"/>
                  </w:pPr>
                  <w:r>
                    <w:t>* * *</w:t>
                  </w:r>
                  <w:r>
                    <w:rPr>
                      <w:rFonts w:hint="eastAsia"/>
                    </w:rPr>
                    <w:t>（管控措施）</w:t>
                  </w:r>
                </w:p>
              </w:tc>
              <w:tc>
                <w:tcPr>
                  <w:tcW w:w="1077" w:type="dxa"/>
                  <w:vAlign w:val="center"/>
                </w:tcPr>
                <w:p>
                  <w:pPr>
                    <w:pStyle w:val="178"/>
                  </w:pPr>
                  <w:r>
                    <w:t>* * *</w:t>
                  </w:r>
                  <w:r>
                    <w:rPr>
                      <w:rFonts w:hint="eastAsia"/>
                    </w:rPr>
                    <w:t>（详细操作流程）</w:t>
                  </w:r>
                </w:p>
              </w:tc>
              <w:tc>
                <w:tcPr>
                  <w:tcW w:w="895" w:type="dxa"/>
                  <w:vAlign w:val="center"/>
                </w:tcPr>
                <w:p>
                  <w:pPr>
                    <w:pStyle w:val="178"/>
                  </w:pPr>
                  <w:r>
                    <w:t>* * *</w:t>
                  </w:r>
                </w:p>
              </w:tc>
              <w:tc>
                <w:tcPr>
                  <w:tcW w:w="895" w:type="dxa"/>
                  <w:vAlign w:val="center"/>
                </w:tcPr>
                <w:p>
                  <w:pPr>
                    <w:pStyle w:val="178"/>
                  </w:pPr>
                  <w:r>
                    <w:t>* * *</w:t>
                  </w:r>
                </w:p>
              </w:tc>
              <w:tc>
                <w:tcPr>
                  <w:tcW w:w="895" w:type="dxa"/>
                  <w:vAlign w:val="center"/>
                </w:tcPr>
                <w:p>
                  <w:pPr>
                    <w:pStyle w:val="178"/>
                  </w:pPr>
                  <w: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6" w:type="dxa"/>
                </w:tcPr>
                <w:p>
                  <w:pPr>
                    <w:pStyle w:val="178"/>
                  </w:pPr>
                  <w:r>
                    <w:t>…</w:t>
                  </w:r>
                </w:p>
              </w:tc>
              <w:tc>
                <w:tcPr>
                  <w:tcW w:w="747" w:type="dxa"/>
                </w:tcPr>
                <w:p>
                  <w:pPr>
                    <w:pStyle w:val="178"/>
                  </w:pPr>
                  <w:r>
                    <w:t>……</w:t>
                  </w:r>
                </w:p>
              </w:tc>
              <w:tc>
                <w:tcPr>
                  <w:tcW w:w="850" w:type="dxa"/>
                </w:tcPr>
                <w:p>
                  <w:pPr>
                    <w:pStyle w:val="178"/>
                  </w:pPr>
                  <w:r>
                    <w:t>……</w:t>
                  </w:r>
                </w:p>
              </w:tc>
              <w:tc>
                <w:tcPr>
                  <w:tcW w:w="993" w:type="dxa"/>
                </w:tcPr>
                <w:p>
                  <w:pPr>
                    <w:pStyle w:val="178"/>
                  </w:pPr>
                  <w:r>
                    <w:t>……</w:t>
                  </w:r>
                </w:p>
              </w:tc>
              <w:tc>
                <w:tcPr>
                  <w:tcW w:w="992" w:type="dxa"/>
                </w:tcPr>
                <w:p>
                  <w:pPr>
                    <w:pStyle w:val="178"/>
                  </w:pPr>
                  <w:r>
                    <w:t>…..</w:t>
                  </w:r>
                </w:p>
              </w:tc>
              <w:tc>
                <w:tcPr>
                  <w:tcW w:w="1134" w:type="dxa"/>
                </w:tcPr>
                <w:p>
                  <w:pPr>
                    <w:pStyle w:val="178"/>
                  </w:pPr>
                  <w:r>
                    <w:t>……</w:t>
                  </w:r>
                </w:p>
              </w:tc>
              <w:tc>
                <w:tcPr>
                  <w:tcW w:w="1077" w:type="dxa"/>
                </w:tcPr>
                <w:p>
                  <w:pPr>
                    <w:pStyle w:val="178"/>
                  </w:pPr>
                  <w:r>
                    <w:t>……</w:t>
                  </w:r>
                </w:p>
              </w:tc>
              <w:tc>
                <w:tcPr>
                  <w:tcW w:w="895" w:type="dxa"/>
                </w:tcPr>
                <w:p>
                  <w:pPr>
                    <w:pStyle w:val="178"/>
                  </w:pPr>
                  <w:r>
                    <w:t>…</w:t>
                  </w:r>
                </w:p>
              </w:tc>
              <w:tc>
                <w:tcPr>
                  <w:tcW w:w="895" w:type="dxa"/>
                </w:tcPr>
                <w:p>
                  <w:pPr>
                    <w:pStyle w:val="178"/>
                  </w:pPr>
                  <w:r>
                    <w:t>…</w:t>
                  </w:r>
                </w:p>
              </w:tc>
              <w:tc>
                <w:tcPr>
                  <w:tcW w:w="895" w:type="dxa"/>
                </w:tcPr>
                <w:p>
                  <w:pPr>
                    <w:pStyle w:val="178"/>
                  </w:pPr>
                  <w:r>
                    <w:t>……</w:t>
                  </w:r>
                </w:p>
              </w:tc>
            </w:tr>
          </w:tbl>
          <w:p>
            <w:pPr>
              <w:pStyle w:val="178"/>
              <w:ind w:left="36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83" w:hRule="atLeast"/>
          <w:jc w:val="center"/>
        </w:trPr>
        <w:tc>
          <w:tcPr>
            <w:tcW w:w="9334" w:type="dxa"/>
            <w:shd w:val="clear" w:color="auto" w:fill="auto"/>
            <w:vAlign w:val="center"/>
          </w:tcPr>
          <w:p>
            <w:pPr>
              <w:pStyle w:val="178"/>
              <w:numPr>
                <w:ilvl w:val="0"/>
                <w:numId w:val="32"/>
              </w:numPr>
              <w:jc w:val="left"/>
            </w:pPr>
            <w:r>
              <w:rPr>
                <w:rFonts w:hint="eastAsia"/>
              </w:rPr>
              <w:t>评估人员</w:t>
            </w:r>
          </w:p>
          <w:p>
            <w:pPr>
              <w:pStyle w:val="178"/>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176" w:hRule="atLeast"/>
          <w:jc w:val="center"/>
        </w:trPr>
        <w:tc>
          <w:tcPr>
            <w:tcW w:w="9334" w:type="dxa"/>
            <w:shd w:val="clear" w:color="auto" w:fill="auto"/>
            <w:vAlign w:val="center"/>
          </w:tcPr>
          <w:p>
            <w:pPr>
              <w:pStyle w:val="178"/>
              <w:numPr>
                <w:ilvl w:val="0"/>
                <w:numId w:val="32"/>
              </w:numPr>
              <w:jc w:val="left"/>
            </w:pPr>
            <w:r>
              <w:rPr>
                <w:rFonts w:hint="eastAsia"/>
              </w:rPr>
              <w:t>附件</w:t>
            </w:r>
          </w:p>
          <w:p>
            <w:pPr>
              <w:pStyle w:val="178"/>
              <w:ind w:left="360"/>
              <w:jc w:val="left"/>
            </w:pPr>
            <w:r>
              <w:rPr>
                <w:rFonts w:hint="eastAsia"/>
              </w:rPr>
              <w:t>湘东黑山羊传染性胸膜肺炎风险评估表</w:t>
            </w:r>
          </w:p>
          <w:p>
            <w:pPr>
              <w:pStyle w:val="178"/>
              <w:jc w:val="left"/>
            </w:pPr>
            <w:r>
              <w:rPr>
                <w:rFonts w:hint="eastAsia"/>
              </w:rPr>
              <w:t xml:space="preserve"> </w:t>
            </w:r>
            <w:r>
              <w:t xml:space="preserve">                                                                                  * * *</w:t>
            </w:r>
            <w:r>
              <w:rPr>
                <w:rFonts w:hint="eastAsia"/>
              </w:rPr>
              <w:t>年</w:t>
            </w:r>
            <w:r>
              <w:t xml:space="preserve">* * </w:t>
            </w:r>
            <w:r>
              <w:rPr>
                <w:rFonts w:hint="eastAsia"/>
              </w:rPr>
              <w:t>月</w:t>
            </w:r>
            <w:r>
              <w:t xml:space="preserve">* * </w:t>
            </w:r>
            <w:r>
              <w:rPr>
                <w:rFonts w:hint="eastAsia"/>
              </w:rPr>
              <w:t>日</w:t>
            </w:r>
          </w:p>
        </w:tc>
      </w:tr>
    </w:tbl>
    <w:p>
      <w:pPr>
        <w:pStyle w:val="83"/>
        <w:numPr>
          <w:ilvl w:val="0"/>
          <w:numId w:val="0"/>
        </w:numPr>
        <w:spacing w:before="156" w:after="156"/>
      </w:pPr>
      <w:r>
        <w:rPr>
          <w:rFonts w:hint="eastAsia"/>
        </w:rPr>
        <w:t>图C</w:t>
      </w:r>
      <w:r>
        <w:t>.1</w:t>
      </w:r>
      <w:r>
        <w:rPr>
          <w:rFonts w:hint="eastAsia"/>
        </w:rPr>
        <w:t>湘东黑山羊传染性胸膜肺炎风险评估报告</w:t>
      </w:r>
    </w:p>
    <w:p>
      <w:pPr>
        <w:pStyle w:val="83"/>
        <w:spacing w:before="156" w:after="156"/>
        <w:sectPr>
          <w:pgSz w:w="11906" w:h="16838"/>
          <w:pgMar w:top="1928" w:right="1134" w:bottom="1134" w:left="1134" w:header="1418" w:footer="1134" w:gutter="284"/>
          <w:cols w:space="425" w:num="1"/>
          <w:formProt w:val="0"/>
          <w:docGrid w:type="lines" w:linePitch="312" w:charSpace="0"/>
        </w:sectPr>
      </w:pPr>
    </w:p>
    <w:bookmarkEnd w:id="115"/>
    <w:p>
      <w:pPr>
        <w:pStyle w:val="63"/>
        <w:spacing w:after="156"/>
      </w:pPr>
      <w:bookmarkStart w:id="127" w:name="_Toc232598603"/>
      <w:bookmarkStart w:id="128" w:name="_Toc231561878"/>
      <w:bookmarkStart w:id="129" w:name="_Toc231560336"/>
      <w:bookmarkStart w:id="130" w:name="_Toc231560325"/>
      <w:bookmarkStart w:id="131" w:name="BookMark6"/>
      <w:r>
        <w:rPr>
          <w:rFonts w:hint="eastAsia"/>
          <w:spacing w:val="105"/>
        </w:rPr>
        <w:t>参考文</w:t>
      </w:r>
      <w:r>
        <w:rPr>
          <w:rFonts w:hint="eastAsia"/>
        </w:rPr>
        <w:t>献</w:t>
      </w:r>
      <w:bookmarkEnd w:id="127"/>
      <w:bookmarkEnd w:id="128"/>
      <w:bookmarkEnd w:id="129"/>
      <w:bookmarkEnd w:id="130"/>
    </w:p>
    <w:p>
      <w:pPr>
        <w:pStyle w:val="56"/>
        <w:ind w:firstLine="420"/>
      </w:pPr>
      <w:r>
        <w:rPr>
          <w:rFonts w:hint="eastAsia"/>
        </w:rPr>
        <w:t>[1]  病死畜禽和病害畜禽产品无害化处理管理办法（农业农村部令2</w:t>
      </w:r>
      <w:r>
        <w:t>022</w:t>
      </w:r>
      <w:r>
        <w:rPr>
          <w:rFonts w:hint="eastAsia"/>
        </w:rPr>
        <w:t>年第3号）</w:t>
      </w:r>
    </w:p>
    <w:p>
      <w:pPr>
        <w:pStyle w:val="56"/>
        <w:ind w:firstLine="420"/>
      </w:pPr>
      <w:r>
        <w:rPr>
          <w:rFonts w:hint="eastAsia"/>
        </w:rPr>
        <w:t>[2]  动物防疫条件审查办法（农业农村部令2</w:t>
      </w:r>
      <w:r>
        <w:t>022</w:t>
      </w:r>
      <w:r>
        <w:rPr>
          <w:rFonts w:hint="eastAsia"/>
        </w:rPr>
        <w:t>年第8号）</w:t>
      </w:r>
    </w:p>
    <w:p>
      <w:pPr>
        <w:pStyle w:val="56"/>
        <w:ind w:firstLine="420"/>
      </w:pPr>
    </w:p>
    <w:p>
      <w:pPr>
        <w:pStyle w:val="56"/>
        <w:ind w:firstLine="420"/>
      </w:pPr>
    </w:p>
    <w:p>
      <w:pPr>
        <w:pStyle w:val="56"/>
        <w:ind w:firstLine="420"/>
      </w:pPr>
    </w:p>
    <w:bookmarkEnd w:id="131"/>
    <w:p>
      <w:pPr>
        <w:pStyle w:val="56"/>
        <w:ind w:firstLine="420"/>
      </w:pPr>
    </w:p>
    <w:p>
      <w:pPr>
        <w:pStyle w:val="56"/>
        <w:ind w:firstLine="0" w:firstLineChars="0"/>
        <w:jc w:val="center"/>
      </w:pPr>
      <w:bookmarkStart w:id="132"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2"/>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43/T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572C3"/>
    <w:multiLevelType w:val="multilevel"/>
    <w:tmpl w:val="1FC572C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2411"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DC125EF"/>
    <w:multiLevelType w:val="multilevel"/>
    <w:tmpl w:val="7DC125EF"/>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3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5FuaUwTQpfDNOiwl85G7jWVG++6d7dK0dOUySdQSBJQJJT/wrpVOyyHsNV+4xnbkAPB2yhXQ7/2NegcG+rALCg==" w:salt="5x0n5H3BdK4Frzg3hHjJYA=="/>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7C"/>
    <w:rsid w:val="0000040A"/>
    <w:rsid w:val="00000A94"/>
    <w:rsid w:val="00001972"/>
    <w:rsid w:val="00001D9A"/>
    <w:rsid w:val="00007B3A"/>
    <w:rsid w:val="000107E0"/>
    <w:rsid w:val="0001136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55AA"/>
    <w:rsid w:val="000B6A0B"/>
    <w:rsid w:val="000C0F6C"/>
    <w:rsid w:val="000C11DB"/>
    <w:rsid w:val="000C1492"/>
    <w:rsid w:val="000C2FBD"/>
    <w:rsid w:val="000C4B41"/>
    <w:rsid w:val="000C57D6"/>
    <w:rsid w:val="000C6362"/>
    <w:rsid w:val="000C7666"/>
    <w:rsid w:val="000D0A9C"/>
    <w:rsid w:val="000D1795"/>
    <w:rsid w:val="000D329A"/>
    <w:rsid w:val="000D4B50"/>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7B9C"/>
    <w:rsid w:val="0026148A"/>
    <w:rsid w:val="00262696"/>
    <w:rsid w:val="00263D25"/>
    <w:rsid w:val="002643C3"/>
    <w:rsid w:val="00264A0C"/>
    <w:rsid w:val="00266506"/>
    <w:rsid w:val="00266EEB"/>
    <w:rsid w:val="00267EF4"/>
    <w:rsid w:val="00270CB8"/>
    <w:rsid w:val="00272B08"/>
    <w:rsid w:val="00276154"/>
    <w:rsid w:val="002771AC"/>
    <w:rsid w:val="00281BB8"/>
    <w:rsid w:val="00281E9E"/>
    <w:rsid w:val="00282405"/>
    <w:rsid w:val="00285170"/>
    <w:rsid w:val="00285361"/>
    <w:rsid w:val="00287386"/>
    <w:rsid w:val="00287B26"/>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03C"/>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500"/>
    <w:rsid w:val="00324D13"/>
    <w:rsid w:val="00324D2A"/>
    <w:rsid w:val="00324EDD"/>
    <w:rsid w:val="003331E4"/>
    <w:rsid w:val="00336C64"/>
    <w:rsid w:val="00337162"/>
    <w:rsid w:val="0034194F"/>
    <w:rsid w:val="00341EA5"/>
    <w:rsid w:val="00344605"/>
    <w:rsid w:val="003474AA"/>
    <w:rsid w:val="00350D1D"/>
    <w:rsid w:val="00352C83"/>
    <w:rsid w:val="003615D2"/>
    <w:rsid w:val="0036429C"/>
    <w:rsid w:val="00364A53"/>
    <w:rsid w:val="003654CB"/>
    <w:rsid w:val="00365AA9"/>
    <w:rsid w:val="00365F86"/>
    <w:rsid w:val="00365F87"/>
    <w:rsid w:val="00366E89"/>
    <w:rsid w:val="00366FBA"/>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4C60"/>
    <w:rsid w:val="003B5BF0"/>
    <w:rsid w:val="003B60BF"/>
    <w:rsid w:val="003B6BE3"/>
    <w:rsid w:val="003C010C"/>
    <w:rsid w:val="003C0A6C"/>
    <w:rsid w:val="003C14F8"/>
    <w:rsid w:val="003C468C"/>
    <w:rsid w:val="003C5A43"/>
    <w:rsid w:val="003D0519"/>
    <w:rsid w:val="003D0CD5"/>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750F"/>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10"/>
    <w:rsid w:val="004D0EF1"/>
    <w:rsid w:val="004D2253"/>
    <w:rsid w:val="004D4406"/>
    <w:rsid w:val="004D7C42"/>
    <w:rsid w:val="004E0465"/>
    <w:rsid w:val="004E127B"/>
    <w:rsid w:val="004E1C0A"/>
    <w:rsid w:val="004E2B06"/>
    <w:rsid w:val="004E30C5"/>
    <w:rsid w:val="004E319D"/>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2E77"/>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4CBD"/>
    <w:rsid w:val="00596160"/>
    <w:rsid w:val="005966E2"/>
    <w:rsid w:val="005967E5"/>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211"/>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867"/>
    <w:rsid w:val="00672060"/>
    <w:rsid w:val="00672BFD"/>
    <w:rsid w:val="006770F4"/>
    <w:rsid w:val="00677A84"/>
    <w:rsid w:val="0068026D"/>
    <w:rsid w:val="006805F8"/>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2DC7"/>
    <w:rsid w:val="00755402"/>
    <w:rsid w:val="00756B26"/>
    <w:rsid w:val="00756EDF"/>
    <w:rsid w:val="007600E3"/>
    <w:rsid w:val="00765C43"/>
    <w:rsid w:val="00765EFB"/>
    <w:rsid w:val="007671CA"/>
    <w:rsid w:val="00767C61"/>
    <w:rsid w:val="0077008A"/>
    <w:rsid w:val="00773C1F"/>
    <w:rsid w:val="00774DA4"/>
    <w:rsid w:val="00776599"/>
    <w:rsid w:val="00780457"/>
    <w:rsid w:val="0078114B"/>
    <w:rsid w:val="00781DD2"/>
    <w:rsid w:val="00783ECF"/>
    <w:rsid w:val="0078413A"/>
    <w:rsid w:val="0078572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0EC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5199"/>
    <w:rsid w:val="008269DD"/>
    <w:rsid w:val="00830621"/>
    <w:rsid w:val="0083348C"/>
    <w:rsid w:val="008373D3"/>
    <w:rsid w:val="00840617"/>
    <w:rsid w:val="00840683"/>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0FDE"/>
    <w:rsid w:val="00911BE5"/>
    <w:rsid w:val="00913CA9"/>
    <w:rsid w:val="009145AE"/>
    <w:rsid w:val="009146CE"/>
    <w:rsid w:val="00914CA7"/>
    <w:rsid w:val="00915C3E"/>
    <w:rsid w:val="009161A8"/>
    <w:rsid w:val="009245F5"/>
    <w:rsid w:val="009249EC"/>
    <w:rsid w:val="009273B3"/>
    <w:rsid w:val="009305B5"/>
    <w:rsid w:val="009429D5"/>
    <w:rsid w:val="00942BF1"/>
    <w:rsid w:val="009435BF"/>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3D84"/>
    <w:rsid w:val="0099551B"/>
    <w:rsid w:val="00997BF1"/>
    <w:rsid w:val="009A089C"/>
    <w:rsid w:val="009A118E"/>
    <w:rsid w:val="009A21CD"/>
    <w:rsid w:val="009A278C"/>
    <w:rsid w:val="009A2BC2"/>
    <w:rsid w:val="009A42C1"/>
    <w:rsid w:val="009A5429"/>
    <w:rsid w:val="009A72AD"/>
    <w:rsid w:val="009B09E0"/>
    <w:rsid w:val="009B0B6C"/>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0E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1C9D"/>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5447"/>
    <w:rsid w:val="00A963F7"/>
    <w:rsid w:val="00A96AD8"/>
    <w:rsid w:val="00AA052C"/>
    <w:rsid w:val="00AA1E45"/>
    <w:rsid w:val="00AA4286"/>
    <w:rsid w:val="00AA456B"/>
    <w:rsid w:val="00AA57F5"/>
    <w:rsid w:val="00AA672E"/>
    <w:rsid w:val="00AA6EC9"/>
    <w:rsid w:val="00AB41D5"/>
    <w:rsid w:val="00AB6309"/>
    <w:rsid w:val="00AB6C5F"/>
    <w:rsid w:val="00AB7129"/>
    <w:rsid w:val="00AB7723"/>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E6BFD"/>
    <w:rsid w:val="00AF0C18"/>
    <w:rsid w:val="00AF47C5"/>
    <w:rsid w:val="00AF5398"/>
    <w:rsid w:val="00B049AF"/>
    <w:rsid w:val="00B06D7C"/>
    <w:rsid w:val="00B07242"/>
    <w:rsid w:val="00B10534"/>
    <w:rsid w:val="00B113DB"/>
    <w:rsid w:val="00B11D8A"/>
    <w:rsid w:val="00B12981"/>
    <w:rsid w:val="00B147DD"/>
    <w:rsid w:val="00B156FD"/>
    <w:rsid w:val="00B21F61"/>
    <w:rsid w:val="00B261F1"/>
    <w:rsid w:val="00B265BC"/>
    <w:rsid w:val="00B31FB1"/>
    <w:rsid w:val="00B33952"/>
    <w:rsid w:val="00B33C5E"/>
    <w:rsid w:val="00B3415B"/>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115C"/>
    <w:rsid w:val="00B62B58"/>
    <w:rsid w:val="00B65149"/>
    <w:rsid w:val="00B66567"/>
    <w:rsid w:val="00B66F52"/>
    <w:rsid w:val="00B66FE5"/>
    <w:rsid w:val="00B71824"/>
    <w:rsid w:val="00B72880"/>
    <w:rsid w:val="00B758BF"/>
    <w:rsid w:val="00B77EC8"/>
    <w:rsid w:val="00B827A6"/>
    <w:rsid w:val="00B831CE"/>
    <w:rsid w:val="00B86677"/>
    <w:rsid w:val="00B87131"/>
    <w:rsid w:val="00B907C7"/>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425A"/>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6C09"/>
    <w:rsid w:val="00CC038D"/>
    <w:rsid w:val="00CC08DB"/>
    <w:rsid w:val="00CC39FF"/>
    <w:rsid w:val="00CC3C2F"/>
    <w:rsid w:val="00CC4AC8"/>
    <w:rsid w:val="00CC5233"/>
    <w:rsid w:val="00CC5DE6"/>
    <w:rsid w:val="00CC6280"/>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01"/>
    <w:rsid w:val="00D06AB1"/>
    <w:rsid w:val="00D072ED"/>
    <w:rsid w:val="00D07A16"/>
    <w:rsid w:val="00D1067E"/>
    <w:rsid w:val="00D10F50"/>
    <w:rsid w:val="00D11272"/>
    <w:rsid w:val="00D126F5"/>
    <w:rsid w:val="00D1489E"/>
    <w:rsid w:val="00D20737"/>
    <w:rsid w:val="00D21E81"/>
    <w:rsid w:val="00D2239D"/>
    <w:rsid w:val="00D223DE"/>
    <w:rsid w:val="00D2348F"/>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52406"/>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0843"/>
    <w:rsid w:val="00DB38EE"/>
    <w:rsid w:val="00DB498B"/>
    <w:rsid w:val="00DB66CA"/>
    <w:rsid w:val="00DB6BCA"/>
    <w:rsid w:val="00DB73F7"/>
    <w:rsid w:val="00DC000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497D"/>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7118"/>
    <w:rsid w:val="00EA34D7"/>
    <w:rsid w:val="00EA58D1"/>
    <w:rsid w:val="00EA61BC"/>
    <w:rsid w:val="00EA681A"/>
    <w:rsid w:val="00EA735B"/>
    <w:rsid w:val="00EB17DE"/>
    <w:rsid w:val="00EB1E69"/>
    <w:rsid w:val="00EB2086"/>
    <w:rsid w:val="00EB4208"/>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E7BDE"/>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1A7E"/>
    <w:rsid w:val="00F56511"/>
    <w:rsid w:val="00F6194E"/>
    <w:rsid w:val="00F623AC"/>
    <w:rsid w:val="00F6412A"/>
    <w:rsid w:val="00F65893"/>
    <w:rsid w:val="00F66A4A"/>
    <w:rsid w:val="00F71E22"/>
    <w:rsid w:val="00F72142"/>
    <w:rsid w:val="00F72AE7"/>
    <w:rsid w:val="00F733F3"/>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E84"/>
    <w:rsid w:val="00FD59EB"/>
    <w:rsid w:val="00FD7299"/>
    <w:rsid w:val="00FE1FBE"/>
    <w:rsid w:val="00FE3901"/>
    <w:rsid w:val="00FE39D3"/>
    <w:rsid w:val="00FE4BCE"/>
    <w:rsid w:val="00FE54AE"/>
    <w:rsid w:val="00FE576A"/>
    <w:rsid w:val="00FE62D3"/>
    <w:rsid w:val="00FE7E79"/>
    <w:rsid w:val="00FF3E7D"/>
    <w:rsid w:val="00FF5B99"/>
    <w:rsid w:val="00FF730C"/>
    <w:rsid w:val="00FF73F4"/>
    <w:rsid w:val="00FF7CE4"/>
    <w:rsid w:val="00FF7E39"/>
    <w:rsid w:val="017D31AE"/>
    <w:rsid w:val="02936A01"/>
    <w:rsid w:val="02FC1D07"/>
    <w:rsid w:val="05753204"/>
    <w:rsid w:val="057630B9"/>
    <w:rsid w:val="05C80080"/>
    <w:rsid w:val="06A25465"/>
    <w:rsid w:val="092E1232"/>
    <w:rsid w:val="0C032502"/>
    <w:rsid w:val="0C590374"/>
    <w:rsid w:val="0D6D057B"/>
    <w:rsid w:val="0DB937C0"/>
    <w:rsid w:val="0E2B3F92"/>
    <w:rsid w:val="11007963"/>
    <w:rsid w:val="13490A5E"/>
    <w:rsid w:val="14BC5944"/>
    <w:rsid w:val="14FA3E83"/>
    <w:rsid w:val="15461A98"/>
    <w:rsid w:val="155D7127"/>
    <w:rsid w:val="160C28FB"/>
    <w:rsid w:val="17AC1CA0"/>
    <w:rsid w:val="17B9260F"/>
    <w:rsid w:val="17DA4A5F"/>
    <w:rsid w:val="17E551B2"/>
    <w:rsid w:val="1A08155D"/>
    <w:rsid w:val="1A6F1597"/>
    <w:rsid w:val="1A840CB2"/>
    <w:rsid w:val="1A8D0208"/>
    <w:rsid w:val="1AB84DFF"/>
    <w:rsid w:val="1B100797"/>
    <w:rsid w:val="1B4B5C73"/>
    <w:rsid w:val="1BB05AD7"/>
    <w:rsid w:val="1BF548BC"/>
    <w:rsid w:val="1C4701E9"/>
    <w:rsid w:val="1C550B58"/>
    <w:rsid w:val="1DE008F5"/>
    <w:rsid w:val="1E195BB5"/>
    <w:rsid w:val="1E636E30"/>
    <w:rsid w:val="1F3423DD"/>
    <w:rsid w:val="1F7237CF"/>
    <w:rsid w:val="1F8C277B"/>
    <w:rsid w:val="1F971487"/>
    <w:rsid w:val="1FA31BDA"/>
    <w:rsid w:val="20D12777"/>
    <w:rsid w:val="20E701EC"/>
    <w:rsid w:val="216B2BCB"/>
    <w:rsid w:val="22CE51C0"/>
    <w:rsid w:val="22E9024C"/>
    <w:rsid w:val="22F24DA2"/>
    <w:rsid w:val="237D0994"/>
    <w:rsid w:val="23FF75FB"/>
    <w:rsid w:val="255E0351"/>
    <w:rsid w:val="25716FE5"/>
    <w:rsid w:val="263317DE"/>
    <w:rsid w:val="281713B7"/>
    <w:rsid w:val="285E6FE6"/>
    <w:rsid w:val="2B8B450B"/>
    <w:rsid w:val="2CB5119F"/>
    <w:rsid w:val="2E312AA7"/>
    <w:rsid w:val="2E47051C"/>
    <w:rsid w:val="2ED578D6"/>
    <w:rsid w:val="2FC55B9D"/>
    <w:rsid w:val="308C66BA"/>
    <w:rsid w:val="30BD6874"/>
    <w:rsid w:val="315076E8"/>
    <w:rsid w:val="32F10A57"/>
    <w:rsid w:val="337E678E"/>
    <w:rsid w:val="34897199"/>
    <w:rsid w:val="35892BCD"/>
    <w:rsid w:val="35A26038"/>
    <w:rsid w:val="361C55FE"/>
    <w:rsid w:val="36730100"/>
    <w:rsid w:val="37D921E5"/>
    <w:rsid w:val="38A31579"/>
    <w:rsid w:val="38B4055C"/>
    <w:rsid w:val="391159AF"/>
    <w:rsid w:val="3A4B3142"/>
    <w:rsid w:val="3A5B3385"/>
    <w:rsid w:val="3B457B92"/>
    <w:rsid w:val="3B8E1539"/>
    <w:rsid w:val="3BED2703"/>
    <w:rsid w:val="3C2854E9"/>
    <w:rsid w:val="3CF8135F"/>
    <w:rsid w:val="3D74475E"/>
    <w:rsid w:val="3D8726E3"/>
    <w:rsid w:val="3D9A41C5"/>
    <w:rsid w:val="3DA2751D"/>
    <w:rsid w:val="3DC15BF5"/>
    <w:rsid w:val="3E05686D"/>
    <w:rsid w:val="3ECB6600"/>
    <w:rsid w:val="40A23390"/>
    <w:rsid w:val="4114603C"/>
    <w:rsid w:val="415B202F"/>
    <w:rsid w:val="41731A9F"/>
    <w:rsid w:val="41A75258"/>
    <w:rsid w:val="41B238D6"/>
    <w:rsid w:val="4255690C"/>
    <w:rsid w:val="44F85C75"/>
    <w:rsid w:val="456A7B04"/>
    <w:rsid w:val="46D71FE6"/>
    <w:rsid w:val="46E36784"/>
    <w:rsid w:val="47460F19"/>
    <w:rsid w:val="49942410"/>
    <w:rsid w:val="4AB16FF2"/>
    <w:rsid w:val="4B321EE0"/>
    <w:rsid w:val="4B6127C6"/>
    <w:rsid w:val="4C2C2DD4"/>
    <w:rsid w:val="4C4475EA"/>
    <w:rsid w:val="4DDF3E76"/>
    <w:rsid w:val="4E6F51FA"/>
    <w:rsid w:val="4E9609D8"/>
    <w:rsid w:val="4F865E8F"/>
    <w:rsid w:val="4F9E1F79"/>
    <w:rsid w:val="4FE85264"/>
    <w:rsid w:val="51257DF2"/>
    <w:rsid w:val="51DB6702"/>
    <w:rsid w:val="55CA71B9"/>
    <w:rsid w:val="55FF6E63"/>
    <w:rsid w:val="56F50266"/>
    <w:rsid w:val="57014E5D"/>
    <w:rsid w:val="5A474FB8"/>
    <w:rsid w:val="5CFB2328"/>
    <w:rsid w:val="5D4D2BAA"/>
    <w:rsid w:val="5D6D6DA8"/>
    <w:rsid w:val="5DC32E6C"/>
    <w:rsid w:val="5E4D0988"/>
    <w:rsid w:val="61330309"/>
    <w:rsid w:val="62214605"/>
    <w:rsid w:val="64D8544F"/>
    <w:rsid w:val="64DB0A9B"/>
    <w:rsid w:val="673F17B5"/>
    <w:rsid w:val="689E7921"/>
    <w:rsid w:val="68A7131B"/>
    <w:rsid w:val="6A222CC8"/>
    <w:rsid w:val="6AC02C0D"/>
    <w:rsid w:val="6AEF52A0"/>
    <w:rsid w:val="6B712159"/>
    <w:rsid w:val="6B963D79"/>
    <w:rsid w:val="6B9B2D32"/>
    <w:rsid w:val="6BC32289"/>
    <w:rsid w:val="6C702411"/>
    <w:rsid w:val="6D194857"/>
    <w:rsid w:val="6F5558EE"/>
    <w:rsid w:val="72802C82"/>
    <w:rsid w:val="744523E7"/>
    <w:rsid w:val="767B20DE"/>
    <w:rsid w:val="76E863E9"/>
    <w:rsid w:val="7A682979"/>
    <w:rsid w:val="7C217284"/>
    <w:rsid w:val="7CF93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qFormat/>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footnote reference"/>
    <w:semiHidden/>
    <w:qFormat/>
    <w:uiPriority w:val="0"/>
    <w:rPr>
      <w:rFonts w:ascii="宋体" w:hAnsi="宋体" w:eastAsia="宋体" w:cs="Times New Roman"/>
      <w:spacing w:val="0"/>
      <w:sz w:val="18"/>
      <w:vertAlign w:val="superscript"/>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customStyle="1"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left="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Placeholder Text"/>
    <w:basedOn w:val="26"/>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qFormat/>
    <w:uiPriority w:val="0"/>
    <w:rPr>
      <w:rFonts w:ascii="黑体" w:eastAsia="黑体"/>
      <w:spacing w:val="85"/>
      <w:w w:val="100"/>
      <w:position w:val="3"/>
      <w:sz w:val="28"/>
      <w:szCs w:val="28"/>
    </w:rPr>
  </w:style>
  <w:style w:type="paragraph" w:customStyle="1" w:styleId="230">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customStyle="1" w:styleId="2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F8901597C704BB2B7581CAADAE4FCD3"/>
        <w:style w:val=""/>
        <w:category>
          <w:name w:val="常规"/>
          <w:gallery w:val="placeholder"/>
        </w:category>
        <w:types>
          <w:type w:val="bbPlcHdr"/>
        </w:types>
        <w:behaviors>
          <w:behavior w:val="content"/>
        </w:behaviors>
        <w:description w:val=""/>
        <w:guid w:val="{8C9A7DCE-B469-4E9B-BC0F-E3C36E8FA7FD}"/>
      </w:docPartPr>
      <w:docPartBody>
        <w:p>
          <w:pPr>
            <w:pStyle w:val="5"/>
          </w:pPr>
          <w:r>
            <w:rPr>
              <w:rStyle w:val="4"/>
              <w:rFonts w:hint="eastAsia"/>
            </w:rPr>
            <w:t>单击或点击此处输入文字。</w:t>
          </w:r>
        </w:p>
      </w:docPartBody>
    </w:docPart>
    <w:docPart>
      <w:docPartPr>
        <w:name w:val="DD1602D470EE401181EB3022EE06FBA6"/>
        <w:style w:val=""/>
        <w:category>
          <w:name w:val="常规"/>
          <w:gallery w:val="placeholder"/>
        </w:category>
        <w:types>
          <w:type w:val="bbPlcHdr"/>
        </w:types>
        <w:behaviors>
          <w:behavior w:val="content"/>
        </w:behaviors>
        <w:description w:val=""/>
        <w:guid w:val="{A75B3075-C394-4D20-9D1E-774BFC9EDFD6}"/>
      </w:docPartPr>
      <w:docPartBody>
        <w:p>
          <w:pPr>
            <w:pStyle w:val="6"/>
          </w:pPr>
          <w:r>
            <w:rPr>
              <w:rStyle w:val="4"/>
              <w:rFonts w:hint="eastAsia"/>
            </w:rPr>
            <w:t>选择一项。</w:t>
          </w:r>
        </w:p>
      </w:docPartBody>
    </w:docPart>
    <w:docPart>
      <w:docPartPr>
        <w:name w:val="B990EC9C1DC241DC87EC693BE2840BA3"/>
        <w:style w:val=""/>
        <w:category>
          <w:name w:val="常规"/>
          <w:gallery w:val="placeholder"/>
        </w:category>
        <w:types>
          <w:type w:val="bbPlcHdr"/>
        </w:types>
        <w:behaviors>
          <w:behavior w:val="content"/>
        </w:behaviors>
        <w:description w:val=""/>
        <w:guid w:val="{253B868C-C15A-418A-AE5F-EC659AFAF82D}"/>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98"/>
    <w:rsid w:val="000D4BDD"/>
    <w:rsid w:val="000F367B"/>
    <w:rsid w:val="0025350E"/>
    <w:rsid w:val="0072573A"/>
    <w:rsid w:val="009B25CD"/>
    <w:rsid w:val="00D63012"/>
    <w:rsid w:val="00E87698"/>
    <w:rsid w:val="00F26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BF8901597C704BB2B7581CAADAE4FC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D1602D470EE401181EB3022EE06FBA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990EC9C1DC241DC87EC693BE2840BA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75AA3F-D470-4154-B5A9-1802775739ED}">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12</Pages>
  <Words>2673</Words>
  <Characters>2937</Characters>
  <Lines>49</Lines>
  <Paragraphs>13</Paragraphs>
  <TotalTime>0</TotalTime>
  <ScaleCrop>false</ScaleCrop>
  <LinksUpToDate>false</LinksUpToDate>
  <CharactersWithSpaces>3023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2025-12-17T15:19:00Z</dcterms:created>
  <dc:creator>徐</dc:creator>
  <dc:description>&lt;config cover="true" show_menu="true" version="1.0.0" doctype="SDKXY"&gt;_x000d_
&lt;/config&gt;</dc:description>
  <cp:lastModifiedBy>admin</cp:lastModifiedBy>
  <cp:lastPrinted>2020-08-30T10:00:00Z</cp:lastPrinted>
  <dcterms:modified xsi:type="dcterms:W3CDTF">2026-07-09T08:17:01Z</dcterms:modified>
  <dc:title>地方标准</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eyJoZGlkIjoiYWI2OTEzZTIwMjVlMzI0ZWI5NDQ0OGFhNTViYjk2OGMiLCJ1c2VySWQiOiIzNTkxODU4NjcifQ==</vt:lpwstr>
  </property>
  <property fmtid="{D5CDD505-2E9C-101B-9397-08002B2CF9AE}" pid="15" name="KSOProductBuildVer">
    <vt:lpwstr>2052-10.8.0.6423</vt:lpwstr>
  </property>
  <property fmtid="{D5CDD505-2E9C-101B-9397-08002B2CF9AE}" pid="16" name="ICV">
    <vt:lpwstr>B6A636F22C8540FDA239358F0F57A6DD_13</vt:lpwstr>
  </property>
</Properties>
</file>