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6"/>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509" w:type="dxa"/>
          </w:tcPr>
          <w:p>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03.220.20</w:t>
            </w:r>
            <w:r>
              <w:rPr>
                <w:rFonts w:ascii="黑体" w:hAnsi="黑体" w:eastAsia="黑体"/>
                <w:sz w:val="21"/>
                <w:szCs w:val="21"/>
              </w:rPr>
              <w:t xml:space="preserve"> </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R 10</w:t>
            </w:r>
            <w:r>
              <w:rPr>
                <w:rFonts w:ascii="黑体" w:hAnsi="黑体" w:eastAsia="黑体"/>
                <w:sz w:val="21"/>
                <w:szCs w:val="21"/>
              </w:rPr>
              <w:fldChar w:fldCharType="end"/>
            </w:r>
            <w:bookmarkEnd w:id="1"/>
          </w:p>
        </w:tc>
      </w:tr>
    </w:tbl>
    <w:tbl>
      <w:tblPr>
        <w:tblStyle w:val="36"/>
        <w:tblpPr w:leftFromText="180" w:rightFromText="180" w:vertAnchor="text" w:horzAnchor="margin" w:tblpX="2683" w:tblpY="578"/>
        <w:tblW w:w="640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PrEx>
        <w:tc>
          <w:tcPr>
            <w:tcW w:w="6407" w:type="dxa"/>
          </w:tcPr>
          <w:p>
            <w:pPr>
              <w:pStyle w:val="59"/>
              <w:framePr w:w="0" w:hRule="auto" w:wrap="auto" w:vAnchor="margin" w:hAnchor="text" w:xAlign="left" w:yAlign="inline"/>
              <w:rPr>
                <w:rFonts w:hint="eastAsia"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 xml:space="preserve">  43</w:t>
            </w:r>
            <w:r>
              <w:fldChar w:fldCharType="end"/>
            </w:r>
            <w:bookmarkEnd w:id="3"/>
          </w:p>
        </w:tc>
      </w:tr>
    </w:tbl>
    <w:p>
      <w:pPr>
        <w:pStyle w:val="60"/>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湖</w:t>
      </w:r>
      <w:r>
        <w:rPr>
          <w:rFonts w:hint="eastAsia" w:ascii="黑体" w:eastAsia="黑体"/>
          <w:b w:val="0"/>
          <w:w w:val="100"/>
          <w:sz w:val="48"/>
        </w:rPr>
        <w:t>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8"/>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 xml:space="preserve"> 43</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rFonts w:hint="eastAsia"/>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rFonts w:hint="eastAsia"/>
        </w:rPr>
        <w:t>2026</w:t>
      </w:r>
      <w:r>
        <w:fldChar w:fldCharType="end"/>
      </w:r>
      <w:bookmarkEnd w:id="7"/>
    </w:p>
    <w:p>
      <w:pPr>
        <w:pStyle w:val="199"/>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pPr>
        <w:pStyle w:val="60"/>
        <w:framePr w:w="9639" w:h="6976" w:hRule="exact" w:hSpace="0" w:vSpace="0" w:hAnchor="page" w:y="6408"/>
        <w:jc w:val="center"/>
        <w:rPr>
          <w:rFonts w:hint="eastAsia" w:ascii="黑体" w:hAnsi="黑体" w:eastAsia="黑体"/>
          <w:b w:val="0"/>
          <w:bCs w:val="0"/>
          <w:w w:val="100"/>
        </w:rPr>
      </w:pPr>
    </w:p>
    <w:p>
      <w:pPr>
        <w:pStyle w:val="200"/>
        <w:framePr w:h="6974" w:hRule="exact"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 xml:space="preserve">高速公路智慧收费站技术规范 </w:t>
      </w:r>
      <w:r>
        <w:fldChar w:fldCharType="end"/>
      </w:r>
      <w:bookmarkEnd w:id="9"/>
    </w:p>
    <w:p>
      <w:pPr>
        <w:framePr w:w="9639" w:h="6974" w:hRule="exact" w:wrap="around" w:vAnchor="page" w:hAnchor="page" w:x="1419" w:y="6408" w:anchorLock="1"/>
        <w:ind w:left="-1418"/>
      </w:pPr>
    </w:p>
    <w:p>
      <w:pPr>
        <w:pStyle w:val="12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 xml:space="preserve">     Technical </w:t>
      </w:r>
      <w:r>
        <w:rPr>
          <w:rFonts w:hint="eastAsia" w:eastAsia="黑体"/>
          <w:szCs w:val="28"/>
          <w:lang w:val="en-US" w:eastAsia="zh-CN"/>
        </w:rPr>
        <w:t>s</w:t>
      </w:r>
      <w:r>
        <w:rPr>
          <w:rFonts w:hint="eastAsia" w:eastAsia="黑体"/>
          <w:szCs w:val="28"/>
        </w:rPr>
        <w:t xml:space="preserve">pecification </w:t>
      </w:r>
      <w:r>
        <w:rPr>
          <w:rFonts w:hint="eastAsia" w:eastAsia="黑体"/>
          <w:szCs w:val="28"/>
          <w:lang w:val="en-US" w:eastAsia="zh-CN"/>
        </w:rPr>
        <w:t>f</w:t>
      </w:r>
      <w:r>
        <w:rPr>
          <w:rFonts w:hint="eastAsia" w:eastAsia="黑体"/>
          <w:szCs w:val="28"/>
        </w:rPr>
        <w:t xml:space="preserve">or </w:t>
      </w:r>
      <w:r>
        <w:rPr>
          <w:rFonts w:hint="eastAsia" w:eastAsia="黑体"/>
          <w:szCs w:val="28"/>
          <w:lang w:val="en-US" w:eastAsia="zh-CN"/>
        </w:rPr>
        <w:t>e</w:t>
      </w:r>
      <w:r>
        <w:rPr>
          <w:rFonts w:hint="eastAsia" w:eastAsia="黑体"/>
          <w:szCs w:val="28"/>
        </w:rPr>
        <w:t xml:space="preserve">xpressway </w:t>
      </w:r>
      <w:r>
        <w:rPr>
          <w:rFonts w:hint="eastAsia" w:eastAsia="黑体"/>
          <w:szCs w:val="28"/>
          <w:lang w:val="en-US" w:eastAsia="zh-CN"/>
        </w:rPr>
        <w:t>s</w:t>
      </w:r>
      <w:r>
        <w:rPr>
          <w:rFonts w:hint="eastAsia" w:eastAsia="黑体"/>
          <w:szCs w:val="28"/>
        </w:rPr>
        <w:t xml:space="preserve">mart </w:t>
      </w:r>
      <w:r>
        <w:rPr>
          <w:rFonts w:hint="eastAsia" w:eastAsia="黑体"/>
          <w:szCs w:val="28"/>
          <w:lang w:val="en-US" w:eastAsia="zh-CN"/>
        </w:rPr>
        <w:t>t</w:t>
      </w:r>
      <w:r>
        <w:rPr>
          <w:rFonts w:hint="eastAsia" w:eastAsia="黑体"/>
          <w:szCs w:val="28"/>
        </w:rPr>
        <w:t xml:space="preserve">oll </w:t>
      </w:r>
      <w:r>
        <w:rPr>
          <w:rFonts w:hint="eastAsia" w:eastAsia="黑体"/>
          <w:szCs w:val="28"/>
          <w:lang w:val="en-US" w:eastAsia="zh-CN"/>
        </w:rPr>
        <w:t>s</w:t>
      </w:r>
      <w:r>
        <w:rPr>
          <w:rFonts w:hint="eastAsia" w:eastAsia="黑体"/>
          <w:szCs w:val="28"/>
        </w:rPr>
        <w:t xml:space="preserve">tation                              </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8"/>
        <w:framePr w:w="9639" w:h="6974" w:hRule="exact" w:wrap="around" w:vAnchor="page" w:hAnchor="page" w:x="1419" w:y="6408" w:anchorLock="1"/>
        <w:textAlignment w:val="bottom"/>
        <w:rPr>
          <w:rFonts w:eastAsia="黑体"/>
          <w:szCs w:val="28"/>
        </w:rPr>
      </w:pPr>
    </w:p>
    <w:p>
      <w:pPr>
        <w:pStyle w:val="12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 xml:space="preserve">（本草案完成时间：2026 年 </w:t>
      </w:r>
      <w:r>
        <w:rPr>
          <w:rFonts w:hint="eastAsia"/>
          <w:sz w:val="21"/>
          <w:szCs w:val="28"/>
          <w:lang w:val="en-US" w:eastAsia="zh-CN"/>
        </w:rPr>
        <w:t>5</w:t>
      </w:r>
      <w:r>
        <w:rPr>
          <w:rFonts w:hint="eastAsia"/>
          <w:sz w:val="21"/>
          <w:szCs w:val="28"/>
        </w:rPr>
        <w:t xml:space="preserve"> 月 </w:t>
      </w:r>
      <w:r>
        <w:rPr>
          <w:rFonts w:hint="eastAsia"/>
          <w:sz w:val="21"/>
          <w:szCs w:val="28"/>
          <w:lang w:val="en-US" w:eastAsia="zh-CN"/>
        </w:rPr>
        <w:t>19</w:t>
      </w:r>
      <w:r>
        <w:rPr>
          <w:rFonts w:hint="eastAsia"/>
          <w:sz w:val="21"/>
          <w:szCs w:val="28"/>
        </w:rPr>
        <w:t xml:space="preserve"> 日）</w:t>
      </w:r>
      <w:r>
        <w:rPr>
          <w:sz w:val="21"/>
          <w:szCs w:val="28"/>
        </w:rPr>
        <w:t>     </w:t>
      </w:r>
      <w:r>
        <w:rPr>
          <w:sz w:val="21"/>
          <w:szCs w:val="28"/>
        </w:rPr>
        <w:fldChar w:fldCharType="end"/>
      </w:r>
      <w:bookmarkEnd w:id="12"/>
    </w:p>
    <w:p>
      <w:pPr>
        <w:pStyle w:val="128"/>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6"/>
        <w:framePr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bookmarkStart w:id="98" w:name="_GoBack"/>
      <w:bookmarkEnd w:id="98"/>
      <w:r>
        <w:rPr>
          <w:rFonts w:hint="eastAsia" w:ascii="黑体"/>
          <w:lang w:eastAsia="zh-CN"/>
        </w:rPr>
        <w:t>2</w:t>
      </w:r>
      <w:r>
        <w:rPr>
          <w:rFonts w:hint="eastAsia" w:ascii="黑体"/>
          <w:lang w:val="en-US" w:eastAsia="zh-CN"/>
        </w:rPr>
        <w:t>026</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7"/>
        <w:framePr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hint="eastAsia" w:ascii="黑体"/>
          <w:lang w:eastAsia="zh-CN"/>
        </w:rPr>
        <w:t>2</w:t>
      </w:r>
      <w:r>
        <w:rPr>
          <w:rFonts w:hint="eastAsia" w:ascii="黑体"/>
          <w:lang w:val="en-US" w:eastAsia="zh-CN"/>
        </w:rPr>
        <w:t>026</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4"/>
        <w:framePr w:h="584" w:hRule="exact" w:hSpace="181" w:vSpace="181" w:y="15027"/>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湖</w:t>
      </w:r>
      <w:r>
        <w:rPr>
          <w:rFonts w:hint="eastAsia" w:hAnsi="黑体"/>
          <w:w w:val="100"/>
          <w:sz w:val="28"/>
        </w:rPr>
        <w:t>南省市场监督管理局</w:t>
      </w:r>
      <w:r>
        <w:rPr>
          <w:rFonts w:hAnsi="黑体"/>
          <w:w w:val="100"/>
          <w:sz w:val="28"/>
        </w:rPr>
        <w:fldChar w:fldCharType="end"/>
      </w:r>
      <w:bookmarkEnd w:id="20"/>
      <w:r>
        <w:rPr>
          <w:rFonts w:ascii="Times New Roman"/>
          <w:w w:val="100"/>
          <w:sz w:val="28"/>
        </w:rPr>
        <w:t>  </w:t>
      </w:r>
      <w:r>
        <w:rPr>
          <w:rStyle w:val="232"/>
          <w:rFonts w:hint="eastAsia" w:hAnsi="黑体"/>
          <w:position w:val="0"/>
        </w:rPr>
        <w:t>发</w:t>
      </w:r>
      <w:r>
        <w:rPr>
          <w:rStyle w:val="232"/>
          <w:rFonts w:hint="eastAsia" w:hAnsi="黑体"/>
          <w:spacing w:val="0"/>
          <w:position w:val="0"/>
        </w:rPr>
        <w:t>布</w:t>
      </w:r>
    </w:p>
    <w:p>
      <w:pPr>
        <w:rPr>
          <w:rFonts w:hint="eastAsia" w:ascii="宋体" w:hAnsi="宋体"/>
          <w:sz w:val="28"/>
          <w:szCs w:val="28"/>
        </w:rPr>
        <w:sectPr>
          <w:headerReference r:id="rId5" w:type="first"/>
          <w:footerReference r:id="rId7" w:type="first"/>
          <w:headerReference r:id="rId4" w:type="default"/>
          <w:footerReference r:id="rId6"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pPr>
        <w:pStyle w:val="99"/>
        <w:spacing w:after="468"/>
      </w:pPr>
      <w:bookmarkStart w:id="21" w:name="BookMark1"/>
      <w:bookmarkStart w:id="22" w:name="_Toc101278502"/>
      <w:r>
        <w:rPr>
          <w:rFonts w:hint="eastAsia"/>
          <w:spacing w:val="320"/>
        </w:rPr>
        <w:t>目</w:t>
      </w:r>
      <w:r>
        <w:rPr>
          <w:rFonts w:hint="eastAsia"/>
        </w:rPr>
        <w:t>次</w:t>
      </w:r>
    </w:p>
    <w:p>
      <w:pPr>
        <w:pStyle w:val="20"/>
        <w:tabs>
          <w:tab w:val="right" w:leader="dot" w:pos="9354"/>
        </w:tabs>
      </w:pPr>
      <w:r>
        <w:rPr>
          <w:highlight w:val="yellow"/>
        </w:rPr>
        <w:fldChar w:fldCharType="begin"/>
      </w:r>
      <w:r>
        <w:rPr>
          <w:highlight w:val="yellow"/>
        </w:rPr>
        <w:instrText xml:space="preserve"> TOC \o "1-1" \h \t "标准文件_一级条标题,2,标准文件_附录一级条标题,2," </w:instrText>
      </w:r>
      <w:r>
        <w:rPr>
          <w:highlight w:val="yellow"/>
        </w:rPr>
        <w:fldChar w:fldCharType="separate"/>
      </w:r>
      <w:r>
        <w:fldChar w:fldCharType="begin"/>
      </w:r>
      <w:r>
        <w:instrText xml:space="preserve"> HYPERLINK \l "_Toc2813" </w:instrText>
      </w:r>
      <w:r>
        <w:fldChar w:fldCharType="separate"/>
      </w:r>
      <w:r>
        <w:rPr>
          <w:spacing w:val="320"/>
        </w:rPr>
        <w:t>前</w:t>
      </w:r>
      <w:r>
        <w:t>言</w:t>
      </w:r>
      <w:r>
        <w:tab/>
      </w:r>
      <w:r>
        <w:fldChar w:fldCharType="begin"/>
      </w:r>
      <w:r>
        <w:instrText xml:space="preserve"> PAGEREF _Toc2813 \h </w:instrText>
      </w:r>
      <w:r>
        <w:fldChar w:fldCharType="separate"/>
      </w:r>
      <w:r>
        <w:t>II</w:t>
      </w:r>
      <w:r>
        <w:fldChar w:fldCharType="end"/>
      </w:r>
      <w:r>
        <w:fldChar w:fldCharType="end"/>
      </w:r>
    </w:p>
    <w:p>
      <w:pPr>
        <w:pStyle w:val="20"/>
        <w:tabs>
          <w:tab w:val="right" w:leader="dot" w:pos="9354"/>
        </w:tabs>
      </w:pPr>
      <w:r>
        <w:fldChar w:fldCharType="begin"/>
      </w:r>
      <w:r>
        <w:instrText xml:space="preserve"> HYPERLINK \l "_Toc11413" </w:instrText>
      </w:r>
      <w:r>
        <w:fldChar w:fldCharType="separate"/>
      </w:r>
      <w:r>
        <w:rPr>
          <w:rFonts w:hint="eastAsia" w:ascii="黑体" w:eastAsia="黑体"/>
        </w:rPr>
        <w:t xml:space="preserve">1 </w:t>
      </w:r>
      <w:r>
        <w:rPr>
          <w:rFonts w:hint="eastAsia"/>
        </w:rPr>
        <w:t>范围</w:t>
      </w:r>
      <w:r>
        <w:tab/>
      </w:r>
      <w:r>
        <w:fldChar w:fldCharType="begin"/>
      </w:r>
      <w:r>
        <w:instrText xml:space="preserve"> PAGEREF _Toc11413 \h </w:instrText>
      </w:r>
      <w:r>
        <w:fldChar w:fldCharType="separate"/>
      </w:r>
      <w:r>
        <w:t>3</w:t>
      </w:r>
      <w:r>
        <w:fldChar w:fldCharType="end"/>
      </w:r>
      <w:r>
        <w:fldChar w:fldCharType="end"/>
      </w:r>
    </w:p>
    <w:p>
      <w:pPr>
        <w:pStyle w:val="20"/>
        <w:tabs>
          <w:tab w:val="right" w:leader="dot" w:pos="9354"/>
        </w:tabs>
      </w:pPr>
      <w:r>
        <w:fldChar w:fldCharType="begin"/>
      </w:r>
      <w:r>
        <w:instrText xml:space="preserve"> HYPERLINK \l "_Toc21273"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_Toc21273 \h </w:instrText>
      </w:r>
      <w:r>
        <w:fldChar w:fldCharType="separate"/>
      </w:r>
      <w:r>
        <w:t>3</w:t>
      </w:r>
      <w:r>
        <w:fldChar w:fldCharType="end"/>
      </w:r>
      <w:r>
        <w:fldChar w:fldCharType="end"/>
      </w:r>
    </w:p>
    <w:p>
      <w:pPr>
        <w:pStyle w:val="20"/>
        <w:tabs>
          <w:tab w:val="right" w:leader="dot" w:pos="9354"/>
        </w:tabs>
      </w:pPr>
      <w:r>
        <w:fldChar w:fldCharType="begin"/>
      </w:r>
      <w:r>
        <w:instrText xml:space="preserve"> HYPERLINK \l "_Toc24084"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_Toc24084 \h </w:instrText>
      </w:r>
      <w:r>
        <w:fldChar w:fldCharType="separate"/>
      </w:r>
      <w:r>
        <w:t>3</w:t>
      </w:r>
      <w:r>
        <w:fldChar w:fldCharType="end"/>
      </w:r>
      <w:r>
        <w:fldChar w:fldCharType="end"/>
      </w:r>
    </w:p>
    <w:p>
      <w:pPr>
        <w:pStyle w:val="20"/>
        <w:tabs>
          <w:tab w:val="right" w:leader="dot" w:pos="9354"/>
        </w:tabs>
      </w:pPr>
      <w:r>
        <w:fldChar w:fldCharType="begin"/>
      </w:r>
      <w:r>
        <w:instrText xml:space="preserve"> HYPERLINK \l "_Toc8251" </w:instrText>
      </w:r>
      <w:r>
        <w:fldChar w:fldCharType="separate"/>
      </w:r>
      <w:r>
        <w:rPr>
          <w:rFonts w:hint="eastAsia" w:ascii="黑体" w:eastAsia="黑体"/>
        </w:rPr>
        <w:t xml:space="preserve">4 </w:t>
      </w:r>
      <w:r>
        <w:rPr>
          <w:rFonts w:hint="eastAsia"/>
        </w:rPr>
        <w:t>缩略语</w:t>
      </w:r>
      <w:r>
        <w:tab/>
      </w:r>
      <w:r>
        <w:fldChar w:fldCharType="begin"/>
      </w:r>
      <w:r>
        <w:instrText xml:space="preserve"> PAGEREF _Toc8251 \h </w:instrText>
      </w:r>
      <w:r>
        <w:fldChar w:fldCharType="separate"/>
      </w:r>
      <w:r>
        <w:t>4</w:t>
      </w:r>
      <w:r>
        <w:fldChar w:fldCharType="end"/>
      </w:r>
      <w:r>
        <w:fldChar w:fldCharType="end"/>
      </w:r>
    </w:p>
    <w:p>
      <w:pPr>
        <w:pStyle w:val="20"/>
        <w:tabs>
          <w:tab w:val="right" w:leader="dot" w:pos="9354"/>
        </w:tabs>
      </w:pPr>
      <w:r>
        <w:fldChar w:fldCharType="begin"/>
      </w:r>
      <w:r>
        <w:instrText xml:space="preserve"> HYPERLINK \l "_Toc21613" </w:instrText>
      </w:r>
      <w:r>
        <w:fldChar w:fldCharType="separate"/>
      </w:r>
      <w:r>
        <w:rPr>
          <w:rFonts w:hint="eastAsia" w:ascii="黑体" w:eastAsia="黑体"/>
        </w:rPr>
        <w:t xml:space="preserve">5 </w:t>
      </w:r>
      <w:r>
        <w:rPr>
          <w:rFonts w:hint="eastAsia"/>
        </w:rPr>
        <w:t>基本规定</w:t>
      </w:r>
      <w:r>
        <w:tab/>
      </w:r>
      <w:r>
        <w:fldChar w:fldCharType="begin"/>
      </w:r>
      <w:r>
        <w:instrText xml:space="preserve"> PAGEREF _Toc21613 \h </w:instrText>
      </w:r>
      <w:r>
        <w:fldChar w:fldCharType="separate"/>
      </w:r>
      <w:r>
        <w:t>4</w:t>
      </w:r>
      <w:r>
        <w:fldChar w:fldCharType="end"/>
      </w:r>
      <w:r>
        <w:fldChar w:fldCharType="end"/>
      </w:r>
    </w:p>
    <w:p>
      <w:pPr>
        <w:pStyle w:val="20"/>
        <w:tabs>
          <w:tab w:val="right" w:leader="dot" w:pos="9354"/>
        </w:tabs>
      </w:pPr>
      <w:r>
        <w:fldChar w:fldCharType="begin"/>
      </w:r>
      <w:r>
        <w:instrText xml:space="preserve"> HYPERLINK \l "_Toc1917" </w:instrText>
      </w:r>
      <w:r>
        <w:fldChar w:fldCharType="separate"/>
      </w:r>
      <w:r>
        <w:rPr>
          <w:rFonts w:hint="eastAsia" w:ascii="黑体" w:eastAsia="黑体"/>
        </w:rPr>
        <w:t xml:space="preserve">6 </w:t>
      </w:r>
      <w:r>
        <w:rPr>
          <w:rFonts w:hint="eastAsia"/>
        </w:rPr>
        <w:t>机电设施</w:t>
      </w:r>
      <w:r>
        <w:tab/>
      </w:r>
      <w:r>
        <w:fldChar w:fldCharType="begin"/>
      </w:r>
      <w:r>
        <w:instrText xml:space="preserve"> PAGEREF _Toc1917 \h </w:instrText>
      </w:r>
      <w:r>
        <w:fldChar w:fldCharType="separate"/>
      </w:r>
      <w:r>
        <w:t>4</w:t>
      </w:r>
      <w:r>
        <w:fldChar w:fldCharType="end"/>
      </w:r>
      <w:r>
        <w:fldChar w:fldCharType="end"/>
      </w:r>
    </w:p>
    <w:p>
      <w:pPr>
        <w:pStyle w:val="25"/>
        <w:tabs>
          <w:tab w:val="right" w:leader="dot" w:pos="9354"/>
          <w:tab w:val="clear" w:pos="9344"/>
        </w:tabs>
      </w:pPr>
      <w:r>
        <w:fldChar w:fldCharType="begin"/>
      </w:r>
      <w:r>
        <w:instrText xml:space="preserve"> HYPERLINK \l "_Toc31618" </w:instrText>
      </w:r>
      <w:r>
        <w:fldChar w:fldCharType="separate"/>
      </w:r>
      <w:r>
        <w:rPr>
          <w:rFonts w:hint="eastAsia" w:ascii="黑体" w:hAnsi="Times New Roman" w:eastAsia="黑体"/>
          <w:kern w:val="0"/>
          <w14:scene3d>
            <w14:lightRig w14:rig="threePt" w14:dir="t">
              <w14:rot w14:lat="0" w14:lon="0" w14:rev="0"/>
            </w14:lightRig>
          </w14:scene3d>
        </w:rPr>
        <w:t xml:space="preserve">6.1 </w:t>
      </w:r>
      <w:r>
        <w:rPr>
          <w:rFonts w:hint="eastAsia"/>
        </w:rPr>
        <w:t>站级云收费系统</w:t>
      </w:r>
      <w:r>
        <w:tab/>
      </w:r>
      <w:r>
        <w:fldChar w:fldCharType="begin"/>
      </w:r>
      <w:r>
        <w:instrText xml:space="preserve"> PAGEREF _Toc31618 \h </w:instrText>
      </w:r>
      <w:r>
        <w:fldChar w:fldCharType="separate"/>
      </w:r>
      <w:r>
        <w:t>4</w:t>
      </w:r>
      <w:r>
        <w:fldChar w:fldCharType="end"/>
      </w:r>
      <w:r>
        <w:fldChar w:fldCharType="end"/>
      </w:r>
    </w:p>
    <w:p>
      <w:pPr>
        <w:pStyle w:val="25"/>
        <w:tabs>
          <w:tab w:val="right" w:leader="dot" w:pos="9354"/>
          <w:tab w:val="clear" w:pos="9344"/>
        </w:tabs>
      </w:pPr>
      <w:r>
        <w:fldChar w:fldCharType="begin"/>
      </w:r>
      <w:r>
        <w:instrText xml:space="preserve"> HYPERLINK \l "_Toc26773" </w:instrText>
      </w:r>
      <w:r>
        <w:fldChar w:fldCharType="separate"/>
      </w:r>
      <w:r>
        <w:rPr>
          <w:rFonts w:hint="eastAsia" w:ascii="黑体" w:hAnsi="Times New Roman" w:eastAsia="黑体"/>
          <w:kern w:val="0"/>
          <w14:scene3d>
            <w14:lightRig w14:rig="threePt" w14:dir="t">
              <w14:rot w14:lat="0" w14:lon="0" w14:rev="0"/>
            </w14:lightRig>
          </w14:scene3d>
        </w:rPr>
        <w:t xml:space="preserve">6.2 </w:t>
      </w:r>
      <w:r>
        <w:rPr>
          <w:rFonts w:hint="eastAsia"/>
        </w:rPr>
        <w:t>车道系统</w:t>
      </w:r>
      <w:r>
        <w:tab/>
      </w:r>
      <w:r>
        <w:fldChar w:fldCharType="begin"/>
      </w:r>
      <w:r>
        <w:instrText xml:space="preserve"> PAGEREF _Toc26773 \h </w:instrText>
      </w:r>
      <w:r>
        <w:fldChar w:fldCharType="separate"/>
      </w:r>
      <w:r>
        <w:t>5</w:t>
      </w:r>
      <w:r>
        <w:fldChar w:fldCharType="end"/>
      </w:r>
      <w:r>
        <w:fldChar w:fldCharType="end"/>
      </w:r>
    </w:p>
    <w:p>
      <w:pPr>
        <w:pStyle w:val="25"/>
        <w:tabs>
          <w:tab w:val="right" w:leader="dot" w:pos="9354"/>
          <w:tab w:val="clear" w:pos="9344"/>
        </w:tabs>
      </w:pPr>
      <w:r>
        <w:fldChar w:fldCharType="begin"/>
      </w:r>
      <w:r>
        <w:instrText xml:space="preserve"> HYPERLINK \l "_Toc26661" </w:instrText>
      </w:r>
      <w:r>
        <w:fldChar w:fldCharType="separate"/>
      </w:r>
      <w:r>
        <w:rPr>
          <w:rFonts w:hint="eastAsia" w:ascii="黑体" w:hAnsi="Times New Roman" w:eastAsia="黑体"/>
          <w:kern w:val="0"/>
          <w14:scene3d>
            <w14:lightRig w14:rig="threePt" w14:dir="t">
              <w14:rot w14:lat="0" w14:lon="0" w14:rev="0"/>
            </w14:lightRig>
          </w14:scene3d>
        </w:rPr>
        <w:t xml:space="preserve">6.3 </w:t>
      </w:r>
      <w:r>
        <w:rPr>
          <w:rFonts w:hint="eastAsia"/>
        </w:rPr>
        <w:t>站前预交易系统</w:t>
      </w:r>
      <w:r>
        <w:tab/>
      </w:r>
      <w:r>
        <w:fldChar w:fldCharType="begin"/>
      </w:r>
      <w:r>
        <w:instrText xml:space="preserve"> PAGEREF _Toc26661 \h </w:instrText>
      </w:r>
      <w:r>
        <w:fldChar w:fldCharType="separate"/>
      </w:r>
      <w:r>
        <w:t>6</w:t>
      </w:r>
      <w:r>
        <w:fldChar w:fldCharType="end"/>
      </w:r>
      <w:r>
        <w:fldChar w:fldCharType="end"/>
      </w:r>
    </w:p>
    <w:p>
      <w:pPr>
        <w:pStyle w:val="20"/>
        <w:tabs>
          <w:tab w:val="right" w:leader="dot" w:pos="9354"/>
        </w:tabs>
      </w:pPr>
      <w:r>
        <w:fldChar w:fldCharType="begin"/>
      </w:r>
      <w:r>
        <w:instrText xml:space="preserve"> HYPERLINK \l "_Toc28302" </w:instrText>
      </w:r>
      <w:r>
        <w:fldChar w:fldCharType="separate"/>
      </w:r>
      <w:r>
        <w:rPr>
          <w:rFonts w:hint="eastAsia" w:ascii="黑体" w:eastAsia="黑体"/>
        </w:rPr>
        <w:t xml:space="preserve">7 </w:t>
      </w:r>
      <w:r>
        <w:rPr>
          <w:rFonts w:hint="eastAsia"/>
        </w:rPr>
        <w:t>收费岛及收费天棚</w:t>
      </w:r>
      <w:r>
        <w:tab/>
      </w:r>
      <w:r>
        <w:fldChar w:fldCharType="begin"/>
      </w:r>
      <w:r>
        <w:instrText xml:space="preserve"> PAGEREF _Toc28302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"_Toc32697" </w:instrText>
      </w:r>
      <w:r>
        <w:fldChar w:fldCharType="separate"/>
      </w:r>
      <w:r>
        <w:rPr>
          <w:rFonts w:hint="eastAsia" w:ascii="黑体" w:hAnsi="Times New Roman" w:eastAsia="黑体"/>
          <w:kern w:val="0"/>
          <w14:scene3d>
            <w14:lightRig w14:rig="threePt" w14:dir="t">
              <w14:rot w14:lat="0" w14:lon="0" w14:rev="0"/>
            </w14:lightRig>
          </w14:scene3d>
        </w:rPr>
        <w:t xml:space="preserve">7.1 </w:t>
      </w:r>
      <w:r>
        <w:rPr>
          <w:rFonts w:hint="eastAsia"/>
        </w:rPr>
        <w:t>收费岛</w:t>
      </w:r>
      <w:r>
        <w:tab/>
      </w:r>
      <w:r>
        <w:fldChar w:fldCharType="begin"/>
      </w:r>
      <w:r>
        <w:instrText xml:space="preserve"> PAGEREF _Toc32697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"_Toc1018" </w:instrText>
      </w:r>
      <w:r>
        <w:fldChar w:fldCharType="separate"/>
      </w:r>
      <w:r>
        <w:rPr>
          <w:rFonts w:hint="eastAsia" w:ascii="黑体" w:hAnsi="Times New Roman" w:eastAsia="黑体"/>
          <w:kern w:val="0"/>
          <w14:scene3d>
            <w14:lightRig w14:rig="threePt" w14:dir="t">
              <w14:rot w14:lat="0" w14:lon="0" w14:rev="0"/>
            </w14:lightRig>
          </w14:scene3d>
        </w:rPr>
        <w:t xml:space="preserve">7.2 </w:t>
      </w:r>
      <w:r>
        <w:rPr>
          <w:rFonts w:hint="eastAsia"/>
        </w:rPr>
        <w:t>天棚</w:t>
      </w:r>
      <w:r>
        <w:tab/>
      </w:r>
      <w:r>
        <w:fldChar w:fldCharType="begin"/>
      </w:r>
      <w:r>
        <w:instrText xml:space="preserve"> PAGEREF _Toc1018 \h </w:instrText>
      </w:r>
      <w:r>
        <w:fldChar w:fldCharType="separate"/>
      </w:r>
      <w:r>
        <w:t>7</w:t>
      </w:r>
      <w:r>
        <w:fldChar w:fldCharType="end"/>
      </w:r>
      <w:r>
        <w:fldChar w:fldCharType="end"/>
      </w:r>
    </w:p>
    <w:p>
      <w:pPr>
        <w:pStyle w:val="20"/>
        <w:tabs>
          <w:tab w:val="right" w:leader="dot" w:pos="9354"/>
        </w:tabs>
      </w:pPr>
      <w:r>
        <w:fldChar w:fldCharType="begin"/>
      </w:r>
      <w:r>
        <w:instrText xml:space="preserve"> HYPERLINK \l "_Toc8478" </w:instrText>
      </w:r>
      <w:r>
        <w:fldChar w:fldCharType="separate"/>
      </w:r>
      <w:r>
        <w:rPr>
          <w:rFonts w:hint="eastAsia" w:ascii="黑体" w:eastAsia="黑体"/>
        </w:rPr>
        <w:t xml:space="preserve">8 </w:t>
      </w:r>
      <w:r>
        <w:rPr>
          <w:rFonts w:hint="eastAsia"/>
        </w:rPr>
        <w:t>房屋建筑设施</w:t>
      </w:r>
      <w:r>
        <w:tab/>
      </w:r>
      <w:r>
        <w:fldChar w:fldCharType="begin"/>
      </w:r>
      <w:r>
        <w:instrText xml:space="preserve"> PAGEREF _Toc8478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"_Toc6248" </w:instrText>
      </w:r>
      <w:r>
        <w:fldChar w:fldCharType="separate"/>
      </w:r>
      <w:r>
        <w:rPr>
          <w:rFonts w:hint="eastAsia" w:ascii="黑体" w:hAnsi="Times New Roman" w:eastAsia="黑体"/>
          <w:kern w:val="0"/>
          <w14:scene3d>
            <w14:lightRig w14:rig="threePt" w14:dir="t">
              <w14:rot w14:lat="0" w14:lon="0" w14:rev="0"/>
            </w14:lightRig>
          </w14:scene3d>
        </w:rPr>
        <w:t xml:space="preserve">8.1 </w:t>
      </w:r>
      <w:r>
        <w:rPr>
          <w:rFonts w:hint="eastAsia"/>
        </w:rPr>
        <w:t>一般规定</w:t>
      </w:r>
      <w:r>
        <w:tab/>
      </w:r>
      <w:r>
        <w:fldChar w:fldCharType="begin"/>
      </w:r>
      <w:r>
        <w:instrText xml:space="preserve"> PAGEREF _Toc6248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"_Toc8471" </w:instrText>
      </w:r>
      <w:r>
        <w:fldChar w:fldCharType="separate"/>
      </w:r>
      <w:r>
        <w:rPr>
          <w:rFonts w:hint="eastAsia" w:ascii="黑体" w:hAnsi="Times New Roman" w:eastAsia="黑体"/>
          <w:kern w:val="0"/>
          <w14:scene3d>
            <w14:lightRig w14:rig="threePt" w14:dir="t">
              <w14:rot w14:lat="0" w14:lon="0" w14:rev="0"/>
            </w14:lightRig>
          </w14:scene3d>
        </w:rPr>
        <w:t xml:space="preserve">8.2 </w:t>
      </w:r>
      <w:r>
        <w:rPr>
          <w:rFonts w:hint="eastAsia"/>
        </w:rPr>
        <w:t>收费小站</w:t>
      </w:r>
      <w:r>
        <w:tab/>
      </w:r>
      <w:r>
        <w:fldChar w:fldCharType="begin"/>
      </w:r>
      <w:r>
        <w:instrText xml:space="preserve"> PAGEREF _Toc8471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"_Toc27479" </w:instrText>
      </w:r>
      <w:r>
        <w:fldChar w:fldCharType="separate"/>
      </w:r>
      <w:r>
        <w:rPr>
          <w:rFonts w:hint="eastAsia" w:ascii="黑体" w:hAnsi="Times New Roman" w:eastAsia="黑体"/>
          <w:kern w:val="0"/>
          <w14:scene3d>
            <w14:lightRig w14:rig="threePt" w14:dir="t">
              <w14:rot w14:lat="0" w14:lon="0" w14:rev="0"/>
            </w14:lightRig>
          </w14:scene3d>
        </w:rPr>
        <w:t xml:space="preserve">8.3 </w:t>
      </w:r>
      <w:r>
        <w:rPr>
          <w:rFonts w:hint="eastAsia"/>
        </w:rPr>
        <w:t>收费独立站</w:t>
      </w:r>
      <w:r>
        <w:tab/>
      </w:r>
      <w:r>
        <w:fldChar w:fldCharType="begin"/>
      </w:r>
      <w:r>
        <w:instrText xml:space="preserve"> PAGEREF _Toc27479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"_Toc4059" </w:instrText>
      </w:r>
      <w:r>
        <w:fldChar w:fldCharType="separate"/>
      </w:r>
      <w:r>
        <w:rPr>
          <w:rFonts w:hint="eastAsia" w:ascii="黑体" w:hAnsi="Times New Roman" w:eastAsia="黑体"/>
          <w:kern w:val="0"/>
          <w14:scene3d>
            <w14:lightRig w14:rig="threePt" w14:dir="t">
              <w14:rot w14:lat="0" w14:lon="0" w14:rev="0"/>
            </w14:lightRig>
          </w14:scene3d>
        </w:rPr>
        <w:t xml:space="preserve">8.4 </w:t>
      </w:r>
      <w:r>
        <w:rPr>
          <w:rFonts w:hint="eastAsia"/>
        </w:rPr>
        <w:t>中心收费站</w:t>
      </w:r>
      <w:r>
        <w:tab/>
      </w:r>
      <w:r>
        <w:fldChar w:fldCharType="begin"/>
      </w:r>
      <w:r>
        <w:instrText xml:space="preserve"> PAGEREF _Toc4059 \h </w:instrText>
      </w:r>
      <w:r>
        <w:fldChar w:fldCharType="separate"/>
      </w:r>
      <w:r>
        <w:t>7</w:t>
      </w:r>
      <w:r>
        <w:fldChar w:fldCharType="end"/>
      </w:r>
      <w:r>
        <w:fldChar w:fldCharType="end"/>
      </w:r>
    </w:p>
    <w:p>
      <w:pPr>
        <w:pStyle w:val="25"/>
        <w:tabs>
          <w:tab w:val="right" w:leader="dot" w:pos="9354"/>
          <w:tab w:val="clear" w:pos="9344"/>
        </w:tabs>
      </w:pPr>
      <w:r>
        <w:fldChar w:fldCharType="begin"/>
      </w:r>
      <w:r>
        <w:instrText xml:space="preserve"> HYPERLINK \l "_Toc18417" </w:instrText>
      </w:r>
      <w:r>
        <w:fldChar w:fldCharType="separate"/>
      </w:r>
      <w:r>
        <w:rPr>
          <w:rFonts w:hint="eastAsia" w:ascii="黑体" w:hAnsi="Times New Roman" w:eastAsia="黑体"/>
          <w:kern w:val="0"/>
          <w14:scene3d>
            <w14:lightRig w14:rig="threePt" w14:dir="t">
              <w14:rot w14:lat="0" w14:lon="0" w14:rev="0"/>
            </w14:lightRig>
          </w14:scene3d>
        </w:rPr>
        <w:t xml:space="preserve">8.5 </w:t>
      </w:r>
      <w:r>
        <w:rPr>
          <w:rFonts w:hint="eastAsia"/>
        </w:rPr>
        <w:t>智慧云舱</w:t>
      </w:r>
      <w:r>
        <w:tab/>
      </w:r>
      <w:r>
        <w:fldChar w:fldCharType="begin"/>
      </w:r>
      <w:r>
        <w:instrText xml:space="preserve"> PAGEREF _Toc18417 \h </w:instrText>
      </w:r>
      <w:r>
        <w:fldChar w:fldCharType="separate"/>
      </w:r>
      <w:r>
        <w:t>7</w:t>
      </w:r>
      <w:r>
        <w:fldChar w:fldCharType="end"/>
      </w:r>
      <w:r>
        <w:fldChar w:fldCharType="end"/>
      </w:r>
    </w:p>
    <w:p>
      <w:pPr>
        <w:pStyle w:val="20"/>
        <w:tabs>
          <w:tab w:val="right" w:leader="dot" w:pos="9354"/>
        </w:tabs>
      </w:pPr>
      <w:r>
        <w:fldChar w:fldCharType="begin"/>
      </w:r>
      <w:r>
        <w:instrText xml:space="preserve"> HYPERLINK \l "_Toc24702" </w:instrText>
      </w:r>
      <w:r>
        <w:fldChar w:fldCharType="separate"/>
      </w:r>
      <w:r>
        <w:rPr>
          <w:rFonts w:hint="eastAsia" w:ascii="黑体" w:eastAsia="黑体"/>
        </w:rPr>
        <w:t xml:space="preserve">9 </w:t>
      </w:r>
      <w:r>
        <w:rPr>
          <w:rFonts w:hint="eastAsia"/>
        </w:rPr>
        <w:t>匝道预交易交通安全设施</w:t>
      </w:r>
      <w:r>
        <w:tab/>
      </w:r>
      <w:r>
        <w:fldChar w:fldCharType="begin"/>
      </w:r>
      <w:r>
        <w:instrText xml:space="preserve"> PAGEREF _Toc24702 \h </w:instrText>
      </w:r>
      <w:r>
        <w:fldChar w:fldCharType="separate"/>
      </w:r>
      <w:r>
        <w:t>8</w:t>
      </w:r>
      <w:r>
        <w:fldChar w:fldCharType="end"/>
      </w:r>
      <w:r>
        <w:fldChar w:fldCharType="end"/>
      </w:r>
    </w:p>
    <w:p>
      <w:pPr>
        <w:pStyle w:val="25"/>
        <w:tabs>
          <w:tab w:val="right" w:leader="dot" w:pos="9354"/>
          <w:tab w:val="clear" w:pos="9344"/>
        </w:tabs>
      </w:pPr>
      <w:r>
        <w:fldChar w:fldCharType="begin"/>
      </w:r>
      <w:r>
        <w:instrText xml:space="preserve"> HYPERLINK \l "_Toc32604" </w:instrText>
      </w:r>
      <w:r>
        <w:fldChar w:fldCharType="separate"/>
      </w:r>
      <w:r>
        <w:rPr>
          <w:rFonts w:hint="eastAsia" w:ascii="黑体" w:hAnsi="Times New Roman" w:eastAsia="黑体"/>
          <w:kern w:val="0"/>
          <w14:scene3d>
            <w14:lightRig w14:rig="threePt" w14:dir="t">
              <w14:rot w14:lat="0" w14:lon="0" w14:rev="0"/>
            </w14:lightRig>
          </w14:scene3d>
        </w:rPr>
        <w:t xml:space="preserve">9.1 </w:t>
      </w:r>
      <w:r>
        <w:rPr>
          <w:rFonts w:hint="eastAsia"/>
        </w:rPr>
        <w:t>基本规定</w:t>
      </w:r>
      <w:r>
        <w:tab/>
      </w:r>
      <w:r>
        <w:fldChar w:fldCharType="begin"/>
      </w:r>
      <w:r>
        <w:instrText xml:space="preserve"> PAGEREF _Toc32604 \h </w:instrText>
      </w:r>
      <w:r>
        <w:fldChar w:fldCharType="separate"/>
      </w:r>
      <w:r>
        <w:t>8</w:t>
      </w:r>
      <w:r>
        <w:fldChar w:fldCharType="end"/>
      </w:r>
      <w:r>
        <w:fldChar w:fldCharType="end"/>
      </w:r>
    </w:p>
    <w:p>
      <w:pPr>
        <w:pStyle w:val="25"/>
        <w:tabs>
          <w:tab w:val="right" w:leader="dot" w:pos="9354"/>
          <w:tab w:val="clear" w:pos="9344"/>
        </w:tabs>
      </w:pPr>
      <w:r>
        <w:fldChar w:fldCharType="begin"/>
      </w:r>
      <w:r>
        <w:instrText xml:space="preserve"> HYPERLINK \l "_Toc10337" </w:instrText>
      </w:r>
      <w:r>
        <w:fldChar w:fldCharType="separate"/>
      </w:r>
      <w:r>
        <w:rPr>
          <w:rFonts w:hint="eastAsia" w:ascii="黑体" w:hAnsi="Times New Roman" w:eastAsia="黑体"/>
          <w:kern w:val="0"/>
          <w14:scene3d>
            <w14:lightRig w14:rig="threePt" w14:dir="t">
              <w14:rot w14:lat="0" w14:lon="0" w14:rev="0"/>
            </w14:lightRig>
          </w14:scene3d>
        </w:rPr>
        <w:t xml:space="preserve">9.2 </w:t>
      </w:r>
      <w:r>
        <w:rPr>
          <w:rFonts w:hint="eastAsia"/>
        </w:rPr>
        <w:t>交通标志</w:t>
      </w:r>
      <w:r>
        <w:tab/>
      </w:r>
      <w:r>
        <w:fldChar w:fldCharType="begin"/>
      </w:r>
      <w:r>
        <w:instrText xml:space="preserve"> PAGEREF _Toc10337 \h </w:instrText>
      </w:r>
      <w:r>
        <w:fldChar w:fldCharType="separate"/>
      </w:r>
      <w:r>
        <w:t>8</w:t>
      </w:r>
      <w:r>
        <w:fldChar w:fldCharType="end"/>
      </w:r>
      <w:r>
        <w:fldChar w:fldCharType="end"/>
      </w:r>
    </w:p>
    <w:p>
      <w:pPr>
        <w:pStyle w:val="25"/>
        <w:tabs>
          <w:tab w:val="right" w:leader="dot" w:pos="9354"/>
          <w:tab w:val="clear" w:pos="9344"/>
        </w:tabs>
      </w:pPr>
      <w:r>
        <w:fldChar w:fldCharType="begin"/>
      </w:r>
      <w:r>
        <w:instrText xml:space="preserve"> HYPERLINK \l "_Toc7913" </w:instrText>
      </w:r>
      <w:r>
        <w:fldChar w:fldCharType="separate"/>
      </w:r>
      <w:r>
        <w:rPr>
          <w:rFonts w:hint="eastAsia" w:ascii="黑体" w:hAnsi="Times New Roman" w:eastAsia="黑体"/>
          <w:kern w:val="0"/>
          <w14:scene3d>
            <w14:lightRig w14:rig="threePt" w14:dir="t">
              <w14:rot w14:lat="0" w14:lon="0" w14:rev="0"/>
            </w14:lightRig>
          </w14:scene3d>
        </w:rPr>
        <w:t xml:space="preserve">9.3 </w:t>
      </w:r>
      <w:r>
        <w:rPr>
          <w:rFonts w:hint="eastAsia"/>
        </w:rPr>
        <w:t>交通标线</w:t>
      </w:r>
      <w:r>
        <w:tab/>
      </w:r>
      <w:r>
        <w:fldChar w:fldCharType="begin"/>
      </w:r>
      <w:r>
        <w:instrText xml:space="preserve"> PAGEREF _Toc7913 \h </w:instrText>
      </w:r>
      <w:r>
        <w:fldChar w:fldCharType="separate"/>
      </w:r>
      <w:r>
        <w:t>9</w:t>
      </w:r>
      <w:r>
        <w:fldChar w:fldCharType="end"/>
      </w:r>
      <w:r>
        <w:fldChar w:fldCharType="end"/>
      </w:r>
    </w:p>
    <w:p>
      <w:pPr>
        <w:pStyle w:val="25"/>
        <w:tabs>
          <w:tab w:val="right" w:leader="dot" w:pos="9354"/>
          <w:tab w:val="clear" w:pos="9344"/>
        </w:tabs>
      </w:pPr>
      <w:r>
        <w:fldChar w:fldCharType="begin"/>
      </w:r>
      <w:r>
        <w:instrText xml:space="preserve"> HYPERLINK \l "_Toc7997" </w:instrText>
      </w:r>
      <w:r>
        <w:fldChar w:fldCharType="separate"/>
      </w:r>
      <w:r>
        <w:rPr>
          <w:rFonts w:hint="eastAsia" w:ascii="黑体" w:hAnsi="Times New Roman" w:eastAsia="黑体"/>
          <w:kern w:val="0"/>
          <w14:scene3d>
            <w14:lightRig w14:rig="threePt" w14:dir="t">
              <w14:rot w14:lat="0" w14:lon="0" w14:rev="0"/>
            </w14:lightRig>
          </w14:scene3d>
        </w:rPr>
        <w:t xml:space="preserve">9.4 </w:t>
      </w:r>
      <w:r>
        <w:rPr>
          <w:rFonts w:hint="eastAsia"/>
        </w:rPr>
        <w:t>防撞设施</w:t>
      </w:r>
      <w:r>
        <w:tab/>
      </w:r>
      <w:r>
        <w:fldChar w:fldCharType="begin"/>
      </w:r>
      <w:r>
        <w:instrText xml:space="preserve"> PAGEREF _Toc7997 \h </w:instrText>
      </w:r>
      <w:r>
        <w:fldChar w:fldCharType="separate"/>
      </w:r>
      <w:r>
        <w:t>11</w:t>
      </w:r>
      <w:r>
        <w:fldChar w:fldCharType="end"/>
      </w:r>
      <w:r>
        <w:fldChar w:fldCharType="end"/>
      </w:r>
    </w:p>
    <w:p>
      <w:pPr>
        <w:pStyle w:val="20"/>
        <w:tabs>
          <w:tab w:val="right" w:leader="dot" w:pos="9354"/>
        </w:tabs>
      </w:pPr>
      <w:r>
        <w:fldChar w:fldCharType="begin"/>
      </w:r>
      <w:r>
        <w:instrText xml:space="preserve"> HYPERLINK \l "_Toc2155" </w:instrText>
      </w:r>
      <w:r>
        <w:fldChar w:fldCharType="separate"/>
      </w:r>
      <w:r>
        <w:rPr>
          <w:rFonts w:hint="eastAsia"/>
          <w:spacing w:val="100"/>
        </w:rPr>
        <w:t xml:space="preserve">附录A </w:t>
      </w:r>
      <w:r>
        <w:t xml:space="preserve"> </w:t>
      </w:r>
      <w:r>
        <w:rPr>
          <w:rFonts w:hint="eastAsia"/>
        </w:rPr>
        <w:t>（资料性）</w:t>
      </w:r>
      <w:r>
        <w:t xml:space="preserve"> </w:t>
      </w:r>
      <w:r>
        <w:rPr>
          <w:rFonts w:hint="eastAsia"/>
        </w:rPr>
        <w:t>ETC专用车道布局示意图</w:t>
      </w:r>
      <w:r>
        <w:tab/>
      </w:r>
      <w:r>
        <w:fldChar w:fldCharType="begin"/>
      </w:r>
      <w:r>
        <w:instrText xml:space="preserve"> PAGEREF _Toc2155 \h </w:instrText>
      </w:r>
      <w:r>
        <w:fldChar w:fldCharType="separate"/>
      </w:r>
      <w:r>
        <w:t>12</w:t>
      </w:r>
      <w:r>
        <w:fldChar w:fldCharType="end"/>
      </w:r>
      <w:r>
        <w:fldChar w:fldCharType="end"/>
      </w:r>
    </w:p>
    <w:p>
      <w:pPr>
        <w:pStyle w:val="20"/>
        <w:tabs>
          <w:tab w:val="right" w:leader="dot" w:pos="9354"/>
        </w:tabs>
      </w:pPr>
      <w:r>
        <w:fldChar w:fldCharType="begin"/>
      </w:r>
      <w:r>
        <w:instrText xml:space="preserve"> HYPERLINK \l "_Toc3220" </w:instrText>
      </w:r>
      <w:r>
        <w:fldChar w:fldCharType="separate"/>
      </w:r>
      <w:r>
        <w:rPr>
          <w:rFonts w:hint="eastAsia"/>
          <w:spacing w:val="100"/>
        </w:rPr>
        <w:t xml:space="preserve">附录B </w:t>
      </w:r>
      <w:r>
        <w:t xml:space="preserve"> </w:t>
      </w:r>
      <w:r>
        <w:rPr>
          <w:rFonts w:hint="eastAsia"/>
        </w:rPr>
        <w:t>（资料性）</w:t>
      </w:r>
      <w:r>
        <w:t xml:space="preserve"> </w:t>
      </w:r>
      <w:r>
        <w:rPr>
          <w:rFonts w:hint="eastAsia"/>
        </w:rPr>
        <w:t>入口自助/ETC混合车道布局示意图</w:t>
      </w:r>
      <w:r>
        <w:tab/>
      </w:r>
      <w:r>
        <w:fldChar w:fldCharType="begin"/>
      </w:r>
      <w:r>
        <w:instrText xml:space="preserve"> PAGEREF _Toc3220 \h </w:instrText>
      </w:r>
      <w:r>
        <w:fldChar w:fldCharType="separate"/>
      </w:r>
      <w:r>
        <w:t>13</w:t>
      </w:r>
      <w:r>
        <w:fldChar w:fldCharType="end"/>
      </w:r>
      <w:r>
        <w:fldChar w:fldCharType="end"/>
      </w:r>
    </w:p>
    <w:p>
      <w:pPr>
        <w:pStyle w:val="20"/>
        <w:tabs>
          <w:tab w:val="right" w:leader="dot" w:pos="9354"/>
        </w:tabs>
      </w:pPr>
      <w:r>
        <w:fldChar w:fldCharType="begin"/>
      </w:r>
      <w:r>
        <w:instrText xml:space="preserve"> HYPERLINK \l "_Toc1648" </w:instrText>
      </w:r>
      <w:r>
        <w:fldChar w:fldCharType="separate"/>
      </w:r>
      <w:r>
        <w:rPr>
          <w:rFonts w:hint="eastAsia"/>
          <w:spacing w:val="100"/>
        </w:rPr>
        <w:t xml:space="preserve">附录C </w:t>
      </w:r>
      <w:r>
        <w:t xml:space="preserve"> </w:t>
      </w:r>
      <w:r>
        <w:rPr>
          <w:rFonts w:hint="eastAsia"/>
        </w:rPr>
        <w:t>（资料性）</w:t>
      </w:r>
      <w:r>
        <w:t xml:space="preserve"> </w:t>
      </w:r>
      <w:r>
        <w:rPr>
          <w:rFonts w:hint="eastAsia"/>
        </w:rPr>
        <w:t>出口自助/ETC混合车道布局示意图</w:t>
      </w:r>
      <w:r>
        <w:tab/>
      </w:r>
      <w:r>
        <w:fldChar w:fldCharType="begin"/>
      </w:r>
      <w:r>
        <w:instrText xml:space="preserve"> PAGEREF _Toc1648 \h </w:instrText>
      </w:r>
      <w:r>
        <w:fldChar w:fldCharType="separate"/>
      </w:r>
      <w:r>
        <w:t>14</w:t>
      </w:r>
      <w:r>
        <w:fldChar w:fldCharType="end"/>
      </w:r>
      <w:r>
        <w:fldChar w:fldCharType="end"/>
      </w:r>
    </w:p>
    <w:p>
      <w:pPr>
        <w:pStyle w:val="20"/>
        <w:tabs>
          <w:tab w:val="right" w:leader="dot" w:pos="9354"/>
        </w:tabs>
      </w:pPr>
      <w:r>
        <w:fldChar w:fldCharType="begin"/>
      </w:r>
      <w:r>
        <w:instrText xml:space="preserve"> HYPERLINK \l "_Toc30084" </w:instrText>
      </w:r>
      <w:r>
        <w:fldChar w:fldCharType="separate"/>
      </w:r>
      <w:r>
        <w:rPr>
          <w:rFonts w:hint="eastAsia"/>
          <w:spacing w:val="100"/>
        </w:rPr>
        <w:t xml:space="preserve">附录D </w:t>
      </w:r>
      <w:r>
        <w:t xml:space="preserve"> </w:t>
      </w:r>
      <w:r>
        <w:rPr>
          <w:rFonts w:hint="eastAsia"/>
        </w:rPr>
        <w:t>（资料性）</w:t>
      </w:r>
      <w:r>
        <w:t xml:space="preserve"> </w:t>
      </w:r>
      <w:r>
        <w:rPr>
          <w:rFonts w:hint="eastAsia"/>
        </w:rPr>
        <w:t>收费广场标志标线设置示例</w:t>
      </w:r>
      <w:r>
        <w:tab/>
      </w:r>
      <w:r>
        <w:fldChar w:fldCharType="begin"/>
      </w:r>
      <w:r>
        <w:instrText xml:space="preserve"> PAGEREF _Toc30084 \h </w:instrText>
      </w:r>
      <w:r>
        <w:fldChar w:fldCharType="separate"/>
      </w:r>
      <w:r>
        <w:t>15</w:t>
      </w:r>
      <w:r>
        <w:fldChar w:fldCharType="end"/>
      </w:r>
      <w:r>
        <w:fldChar w:fldCharType="end"/>
      </w:r>
    </w:p>
    <w:p>
      <w:pPr>
        <w:pStyle w:val="20"/>
        <w:tabs>
          <w:tab w:val="right" w:leader="dot" w:pos="9354"/>
        </w:tabs>
      </w:pPr>
      <w:r>
        <w:fldChar w:fldCharType="begin"/>
      </w:r>
      <w:r>
        <w:instrText xml:space="preserve"> HYPERLINK \l "_Toc832" </w:instrText>
      </w:r>
      <w:r>
        <w:fldChar w:fldCharType="separate"/>
      </w:r>
      <w:r>
        <w:rPr>
          <w:rFonts w:hint="eastAsia"/>
          <w:spacing w:val="100"/>
        </w:rPr>
        <w:t xml:space="preserve">附录E </w:t>
      </w:r>
      <w:r>
        <w:t xml:space="preserve"> </w:t>
      </w:r>
      <w:r>
        <w:rPr>
          <w:rFonts w:hint="eastAsia"/>
        </w:rPr>
        <w:t>（资料性）</w:t>
      </w:r>
      <w:r>
        <w:t xml:space="preserve"> </w:t>
      </w:r>
      <w:r>
        <w:rPr>
          <w:rFonts w:hint="eastAsia"/>
        </w:rPr>
        <w:t>收费广场常见标志示例</w:t>
      </w:r>
      <w:r>
        <w:tab/>
      </w:r>
      <w:r>
        <w:fldChar w:fldCharType="begin"/>
      </w:r>
      <w:r>
        <w:instrText xml:space="preserve"> PAGEREF _Toc832 \h </w:instrText>
      </w:r>
      <w:r>
        <w:fldChar w:fldCharType="separate"/>
      </w:r>
      <w:r>
        <w:t>16</w:t>
      </w:r>
      <w:r>
        <w:fldChar w:fldCharType="end"/>
      </w:r>
      <w:r>
        <w:fldChar w:fldCharType="end"/>
      </w:r>
    </w:p>
    <w:p>
      <w:pPr>
        <w:pStyle w:val="20"/>
        <w:tabs>
          <w:tab w:val="right" w:leader="dot" w:pos="9354"/>
        </w:tabs>
      </w:pPr>
      <w:r>
        <w:fldChar w:fldCharType="begin"/>
      </w:r>
      <w:r>
        <w:instrText xml:space="preserve"> HYPERLINK \l "_Toc13903" </w:instrText>
      </w:r>
      <w:r>
        <w:fldChar w:fldCharType="separate"/>
      </w:r>
      <w:r>
        <w:rPr>
          <w:rFonts w:hint="eastAsia"/>
          <w:spacing w:val="105"/>
        </w:rPr>
        <w:t>参考文</w:t>
      </w:r>
      <w:r>
        <w:rPr>
          <w:rFonts w:hint="eastAsia"/>
        </w:rPr>
        <w:t>献</w:t>
      </w:r>
      <w:r>
        <w:tab/>
      </w:r>
      <w:r>
        <w:fldChar w:fldCharType="begin"/>
      </w:r>
      <w:r>
        <w:instrText xml:space="preserve"> PAGEREF _Toc13903 \h </w:instrText>
      </w:r>
      <w:r>
        <w:fldChar w:fldCharType="separate"/>
      </w:r>
      <w:r>
        <w:t>19</w:t>
      </w:r>
      <w:r>
        <w:fldChar w:fldCharType="end"/>
      </w:r>
      <w:r>
        <w:fldChar w:fldCharType="end"/>
      </w:r>
    </w:p>
    <w:p>
      <w:pPr>
        <w:pStyle w:val="99"/>
        <w:spacing w:after="468"/>
        <w:sectPr>
          <w:headerReference r:id="rId8" w:type="default"/>
          <w:footerReference r:id="rId10" w:type="default"/>
          <w:headerReference r:id="rId9" w:type="even"/>
          <w:pgSz w:w="11906" w:h="16838"/>
          <w:pgMar w:top="1928" w:right="1134" w:bottom="1134" w:left="1134" w:header="1418" w:footer="1134" w:gutter="284"/>
          <w:pgNumType w:fmt="upperRoman" w:start="1"/>
          <w:cols w:space="425" w:num="1"/>
          <w:formProt w:val="0"/>
          <w:docGrid w:type="lines" w:linePitch="312" w:charSpace="0"/>
        </w:sectPr>
      </w:pPr>
      <w:r>
        <w:rPr>
          <w:highlight w:val="yellow"/>
        </w:rPr>
        <w:fldChar w:fldCharType="end"/>
      </w:r>
    </w:p>
    <w:bookmarkEnd w:id="21"/>
    <w:p>
      <w:pPr>
        <w:pStyle w:val="97"/>
        <w:spacing w:before="900" w:after="468"/>
        <w:rPr>
          <w:rFonts w:eastAsia="宋体"/>
        </w:rPr>
      </w:pPr>
      <w:bookmarkStart w:id="23" w:name="_Toc2813"/>
      <w:bookmarkStart w:id="24" w:name="BookMark2"/>
      <w:r>
        <w:rPr>
          <w:spacing w:val="320"/>
        </w:rPr>
        <w:t>前</w:t>
      </w:r>
      <w:r>
        <w:t>言</w:t>
      </w:r>
      <w:bookmarkEnd w:id="22"/>
      <w:bookmarkEnd w:id="23"/>
    </w:p>
    <w:p>
      <w:pPr>
        <w:pStyle w:val="38"/>
        <w:ind w:firstLine="420"/>
      </w:pPr>
      <w:r>
        <w:rPr>
          <w:rFonts w:hint="eastAsia"/>
        </w:rPr>
        <w:t>本文件按照GB/T 1.1—2020《标准化工作导则  第1部分：标准化文件的结构和起草规则》的规定起草。</w:t>
      </w:r>
    </w:p>
    <w:p>
      <w:pPr>
        <w:pStyle w:val="38"/>
        <w:ind w:firstLine="420"/>
      </w:pPr>
      <w:r>
        <w:rPr>
          <w:rFonts w:hint="eastAsia"/>
        </w:rPr>
        <w:t>请注意本文件的某些内容可能涉及专利。本文件的发布机构不承担识别专利的责任。</w:t>
      </w:r>
    </w:p>
    <w:p>
      <w:pPr>
        <w:pStyle w:val="38"/>
        <w:ind w:firstLine="420"/>
      </w:pPr>
      <w:r>
        <w:rPr>
          <w:rFonts w:hint="eastAsia"/>
        </w:rPr>
        <w:t>本文件由</w:t>
      </w:r>
      <w:r>
        <w:rPr>
          <w:rFonts w:hint="eastAsia" w:hAnsi="宋体"/>
        </w:rPr>
        <w:t>湖南省交通运输厅</w:t>
      </w:r>
      <w:r>
        <w:rPr>
          <w:rFonts w:hint="eastAsia"/>
        </w:rPr>
        <w:t>提出并归口。</w:t>
      </w:r>
    </w:p>
    <w:p>
      <w:pPr>
        <w:pStyle w:val="38"/>
        <w:ind w:firstLine="420"/>
      </w:pPr>
      <w:r>
        <w:rPr>
          <w:rFonts w:hint="eastAsia"/>
        </w:rPr>
        <w:t>本文件起草单位：湖南省高速公路集团有限公司、湖南高速设计咨询集团有限公司</w:t>
      </w:r>
      <w:r>
        <w:rPr>
          <w:rFonts w:hint="eastAsia"/>
          <w:lang w:eastAsia="zh-CN"/>
        </w:rPr>
        <w:t>、</w:t>
      </w:r>
      <w:r>
        <w:rPr>
          <w:rFonts w:hint="eastAsia"/>
        </w:rPr>
        <w:t>湖南高速工程咨询有限公司、湖南省交通规划勘察设计院有限公司、湖南高速信息科技有限公司、湖南省高速公路联网收费中心。</w:t>
      </w:r>
    </w:p>
    <w:p>
      <w:pPr>
        <w:pStyle w:val="38"/>
        <w:ind w:firstLine="420"/>
        <w:rPr>
          <w:rFonts w:hint="eastAsia" w:ascii="宋体" w:hAnsi="Times New Roman" w:eastAsia="宋体" w:cs="Times New Roman"/>
          <w:lang w:eastAsia="zh-CN"/>
        </w:rPr>
        <w:sectPr>
          <w:pgSz w:w="11906" w:h="16838"/>
          <w:pgMar w:top="1928" w:right="1134" w:bottom="1134" w:left="1134" w:header="1418" w:footer="1134" w:gutter="284"/>
          <w:pgNumType w:fmt="upperRoman"/>
          <w:cols w:space="425" w:num="1"/>
          <w:formProt w:val="0"/>
          <w:docGrid w:type="lines" w:linePitch="312" w:charSpace="0"/>
        </w:sectPr>
      </w:pPr>
      <w:r>
        <w:rPr>
          <w:rFonts w:hint="eastAsia"/>
        </w:rPr>
        <w:t>本文件主要</w:t>
      </w:r>
      <w:r>
        <w:rPr>
          <w:rFonts w:hint="eastAsia" w:ascii="宋体" w:hAnsi="Times New Roman" w:eastAsia="宋体" w:cs="Times New Roman"/>
        </w:rPr>
        <w:t>起草人：黄斌</w:t>
      </w:r>
      <w:r>
        <w:rPr>
          <w:rFonts w:hint="eastAsia" w:ascii="宋体" w:hAnsi="Times New Roman" w:eastAsia="宋体" w:cs="Times New Roman"/>
          <w:lang w:eastAsia="zh-CN"/>
        </w:rPr>
        <w:t>、</w:t>
      </w:r>
      <w:r>
        <w:rPr>
          <w:rFonts w:hint="eastAsia" w:ascii="宋体" w:hAnsi="Times New Roman" w:eastAsia="宋体" w:cs="Times New Roman"/>
        </w:rPr>
        <w:t>杨政军</w:t>
      </w:r>
      <w:r>
        <w:rPr>
          <w:rFonts w:hint="eastAsia" w:ascii="宋体" w:hAnsi="Times New Roman" w:eastAsia="宋体" w:cs="Times New Roman"/>
          <w:lang w:eastAsia="zh-CN"/>
        </w:rPr>
        <w:t>、</w:t>
      </w:r>
      <w:r>
        <w:rPr>
          <w:rFonts w:hint="eastAsia" w:ascii="宋体" w:hAnsi="Times New Roman" w:eastAsia="宋体" w:cs="Times New Roman"/>
        </w:rPr>
        <w:t>钟琨</w:t>
      </w:r>
      <w:r>
        <w:rPr>
          <w:rFonts w:hint="eastAsia" w:ascii="宋体" w:hAnsi="Times New Roman" w:eastAsia="宋体" w:cs="Times New Roman"/>
          <w:lang w:eastAsia="zh-CN"/>
        </w:rPr>
        <w:t>、</w:t>
      </w:r>
      <w:r>
        <w:rPr>
          <w:rFonts w:hint="eastAsia" w:ascii="宋体" w:hAnsi="Times New Roman" w:eastAsia="宋体" w:cs="Times New Roman"/>
        </w:rPr>
        <w:t>谢文祥</w:t>
      </w:r>
      <w:r>
        <w:rPr>
          <w:rFonts w:hint="eastAsia" w:ascii="宋体" w:hAnsi="Times New Roman" w:eastAsia="宋体" w:cs="Times New Roman"/>
          <w:lang w:eastAsia="zh-CN"/>
        </w:rPr>
        <w:t>、</w:t>
      </w:r>
      <w:r>
        <w:rPr>
          <w:rFonts w:hint="eastAsia" w:ascii="宋体" w:hAnsi="Times New Roman" w:eastAsia="宋体" w:cs="Times New Roman"/>
        </w:rPr>
        <w:t>谭峰</w:t>
      </w:r>
      <w:r>
        <w:rPr>
          <w:rFonts w:hint="eastAsia" w:ascii="宋体" w:hAnsi="Times New Roman" w:eastAsia="宋体" w:cs="Times New Roman"/>
          <w:lang w:eastAsia="zh-CN"/>
        </w:rPr>
        <w:t>、</w:t>
      </w:r>
      <w:r>
        <w:rPr>
          <w:rFonts w:hint="eastAsia" w:ascii="宋体" w:hAnsi="Times New Roman" w:eastAsia="宋体" w:cs="Times New Roman"/>
        </w:rPr>
        <w:t>陈琼杰</w:t>
      </w:r>
      <w:r>
        <w:rPr>
          <w:rFonts w:hint="eastAsia" w:ascii="宋体" w:hAnsi="Times New Roman" w:eastAsia="宋体" w:cs="Times New Roman"/>
          <w:lang w:eastAsia="zh-CN"/>
        </w:rPr>
        <w:t>、</w:t>
      </w:r>
      <w:r>
        <w:rPr>
          <w:rFonts w:hint="eastAsia" w:ascii="宋体" w:hAnsi="Times New Roman" w:eastAsia="宋体" w:cs="Times New Roman"/>
        </w:rPr>
        <w:t>梁天乐</w:t>
      </w:r>
      <w:r>
        <w:rPr>
          <w:rFonts w:hint="eastAsia" w:ascii="宋体" w:hAnsi="Times New Roman" w:eastAsia="宋体" w:cs="Times New Roman"/>
          <w:lang w:eastAsia="zh-CN"/>
        </w:rPr>
        <w:t>、</w:t>
      </w:r>
      <w:r>
        <w:rPr>
          <w:rFonts w:hint="eastAsia" w:ascii="宋体" w:hAnsi="Times New Roman" w:eastAsia="宋体" w:cs="Times New Roman"/>
        </w:rPr>
        <w:t>曾明杰</w:t>
      </w:r>
      <w:r>
        <w:rPr>
          <w:rFonts w:hint="eastAsia" w:ascii="宋体" w:hAnsi="Times New Roman" w:eastAsia="宋体" w:cs="Times New Roman"/>
          <w:lang w:eastAsia="zh-CN"/>
        </w:rPr>
        <w:t>、</w:t>
      </w:r>
      <w:r>
        <w:rPr>
          <w:rFonts w:hint="eastAsia" w:ascii="宋体" w:hAnsi="Times New Roman" w:eastAsia="宋体" w:cs="Times New Roman"/>
        </w:rPr>
        <w:t>郑航飞</w:t>
      </w:r>
      <w:r>
        <w:rPr>
          <w:rFonts w:hint="eastAsia" w:ascii="宋体" w:hAnsi="Times New Roman" w:eastAsia="宋体" w:cs="Times New Roman"/>
          <w:lang w:eastAsia="zh-CN"/>
        </w:rPr>
        <w:t>、</w:t>
      </w:r>
      <w:r>
        <w:rPr>
          <w:rFonts w:hint="eastAsia" w:ascii="宋体" w:hAnsi="Times New Roman" w:eastAsia="宋体" w:cs="Times New Roman"/>
        </w:rPr>
        <w:t>王凌冈</w:t>
      </w:r>
      <w:r>
        <w:rPr>
          <w:rFonts w:hint="eastAsia" w:ascii="宋体" w:hAnsi="Times New Roman" w:eastAsia="宋体" w:cs="Times New Roman"/>
          <w:lang w:eastAsia="zh-CN"/>
        </w:rPr>
        <w:t>、</w:t>
      </w:r>
      <w:r>
        <w:rPr>
          <w:rFonts w:hint="eastAsia" w:ascii="宋体" w:hAnsi="Times New Roman" w:eastAsia="宋体" w:cs="Times New Roman"/>
        </w:rPr>
        <w:t>冷鸿斌</w:t>
      </w:r>
      <w:r>
        <w:rPr>
          <w:rFonts w:hint="eastAsia" w:ascii="宋体" w:hAnsi="Times New Roman" w:eastAsia="宋体" w:cs="Times New Roman"/>
          <w:lang w:eastAsia="zh-CN"/>
        </w:rPr>
        <w:t>、</w:t>
      </w:r>
      <w:r>
        <w:rPr>
          <w:rFonts w:hint="eastAsia" w:ascii="宋体" w:hAnsi="Times New Roman" w:eastAsia="宋体" w:cs="Times New Roman"/>
        </w:rPr>
        <w:t>刘春成</w:t>
      </w:r>
      <w:r>
        <w:rPr>
          <w:rFonts w:hint="eastAsia" w:ascii="宋体" w:hAnsi="Times New Roman" w:eastAsia="宋体" w:cs="Times New Roman"/>
          <w:lang w:eastAsia="zh-CN"/>
        </w:rPr>
        <w:t>、</w:t>
      </w:r>
      <w:r>
        <w:rPr>
          <w:rFonts w:hint="eastAsia" w:ascii="宋体" w:hAnsi="Times New Roman" w:eastAsia="宋体" w:cs="Times New Roman"/>
        </w:rPr>
        <w:t>黎彩云</w:t>
      </w:r>
      <w:r>
        <w:rPr>
          <w:rFonts w:hint="eastAsia" w:ascii="宋体" w:hAnsi="Times New Roman" w:eastAsia="宋体" w:cs="Times New Roman"/>
          <w:lang w:eastAsia="zh-CN"/>
        </w:rPr>
        <w:t>、</w:t>
      </w:r>
      <w:r>
        <w:rPr>
          <w:rFonts w:hint="eastAsia" w:ascii="宋体" w:hAnsi="Times New Roman" w:eastAsia="宋体" w:cs="Times New Roman"/>
        </w:rPr>
        <w:t>刘竞良</w:t>
      </w:r>
      <w:r>
        <w:rPr>
          <w:rFonts w:hint="eastAsia" w:ascii="宋体" w:hAnsi="Times New Roman" w:eastAsia="宋体" w:cs="Times New Roman"/>
          <w:lang w:eastAsia="zh-CN"/>
        </w:rPr>
        <w:t>、</w:t>
      </w:r>
      <w:r>
        <w:rPr>
          <w:rFonts w:hint="eastAsia" w:ascii="宋体" w:hAnsi="Times New Roman" w:eastAsia="宋体" w:cs="Times New Roman"/>
        </w:rPr>
        <w:t>熊洁</w:t>
      </w:r>
      <w:r>
        <w:rPr>
          <w:rFonts w:hint="eastAsia" w:ascii="宋体" w:hAnsi="Times New Roman" w:eastAsia="宋体" w:cs="Times New Roman"/>
          <w:lang w:eastAsia="zh-CN"/>
        </w:rPr>
        <w:t>、</w:t>
      </w:r>
      <w:r>
        <w:rPr>
          <w:rFonts w:hint="eastAsia" w:ascii="宋体" w:hAnsi="Times New Roman" w:eastAsia="宋体" w:cs="Times New Roman"/>
        </w:rPr>
        <w:t>梁霄</w:t>
      </w:r>
      <w:r>
        <w:rPr>
          <w:rFonts w:hint="eastAsia" w:ascii="宋体" w:hAnsi="Times New Roman" w:eastAsia="宋体" w:cs="Times New Roman"/>
          <w:lang w:eastAsia="zh-CN"/>
        </w:rPr>
        <w:t>、</w:t>
      </w:r>
      <w:r>
        <w:rPr>
          <w:rFonts w:hint="eastAsia" w:ascii="宋体" w:hAnsi="Times New Roman" w:eastAsia="宋体" w:cs="Times New Roman"/>
        </w:rPr>
        <w:t>柳威</w:t>
      </w:r>
      <w:r>
        <w:rPr>
          <w:rFonts w:hint="eastAsia" w:ascii="宋体" w:hAnsi="Times New Roman" w:eastAsia="宋体" w:cs="Times New Roman"/>
          <w:lang w:eastAsia="zh-CN"/>
        </w:rPr>
        <w:t>、</w:t>
      </w:r>
      <w:r>
        <w:rPr>
          <w:rFonts w:hint="eastAsia" w:ascii="宋体" w:hAnsi="Times New Roman" w:eastAsia="宋体" w:cs="Times New Roman"/>
        </w:rPr>
        <w:t>卢桢</w:t>
      </w:r>
      <w:r>
        <w:rPr>
          <w:rFonts w:hint="eastAsia" w:ascii="宋体" w:hAnsi="Times New Roman" w:eastAsia="宋体" w:cs="Times New Roman"/>
          <w:lang w:eastAsia="zh-CN"/>
        </w:rPr>
        <w:t>、</w:t>
      </w:r>
      <w:r>
        <w:rPr>
          <w:rFonts w:hint="eastAsia" w:ascii="宋体" w:hAnsi="Times New Roman" w:eastAsia="宋体" w:cs="Times New Roman"/>
        </w:rPr>
        <w:t>靳豪冉</w:t>
      </w:r>
      <w:r>
        <w:rPr>
          <w:rFonts w:hint="eastAsia" w:cs="Times New Roman"/>
          <w:lang w:eastAsia="zh-CN"/>
        </w:rPr>
        <w:t>。</w:t>
      </w:r>
    </w:p>
    <w:bookmarkEnd w:id="24"/>
    <w:p>
      <w:pPr>
        <w:spacing w:line="20" w:lineRule="exact"/>
        <w:jc w:val="center"/>
        <w:rPr>
          <w:rFonts w:hint="eastAsia" w:ascii="黑体" w:hAnsi="黑体" w:eastAsia="黑体"/>
          <w:sz w:val="32"/>
          <w:szCs w:val="32"/>
        </w:rPr>
      </w:pPr>
      <w:bookmarkStart w:id="25" w:name="BookMark4"/>
    </w:p>
    <w:p>
      <w:pPr>
        <w:spacing w:line="20" w:lineRule="exact"/>
        <w:jc w:val="center"/>
        <w:rPr>
          <w:rFonts w:hint="eastAsia" w:ascii="黑体" w:hAnsi="黑体" w:eastAsia="黑体"/>
          <w:sz w:val="32"/>
          <w:szCs w:val="32"/>
        </w:rPr>
      </w:pPr>
    </w:p>
    <w:sdt>
      <w:sdtPr>
        <w:tag w:val="NEW_STAND_NAME"/>
        <w:id w:val="595910757"/>
        <w:lock w:val="sdtLocked"/>
        <w:placeholder>
          <w:docPart w:val="A2697A496E2F4B81B9D69A79E28A2513"/>
        </w:placeholder>
      </w:sdtPr>
      <w:sdtContent>
        <w:p>
          <w:pPr>
            <w:pStyle w:val="180"/>
            <w:spacing w:before="3" w:beforeLines="1" w:after="686" w:afterLines="220"/>
            <w:rPr>
              <w:rFonts w:hint="eastAsia"/>
            </w:rPr>
          </w:pPr>
          <w:bookmarkStart w:id="26" w:name="NEW_STAND_NAME"/>
          <w:r>
            <w:rPr>
              <w:rFonts w:hint="eastAsia"/>
            </w:rPr>
            <w:t>高速公路智慧收费站技术规范</w:t>
          </w:r>
        </w:p>
      </w:sdtContent>
    </w:sdt>
    <w:bookmarkEnd w:id="26"/>
    <w:p>
      <w:pPr>
        <w:pStyle w:val="37"/>
        <w:spacing w:before="312" w:after="312"/>
      </w:pPr>
      <w:bookmarkStart w:id="27" w:name="_Toc17233333"/>
      <w:bookmarkStart w:id="28" w:name="_Toc26718930"/>
      <w:bookmarkStart w:id="29" w:name="_Toc97191423"/>
      <w:bookmarkStart w:id="30" w:name="_Toc11413"/>
      <w:bookmarkStart w:id="31" w:name="_Toc26986530"/>
      <w:bookmarkStart w:id="32" w:name="_Toc101278503"/>
      <w:bookmarkStart w:id="33" w:name="_Toc17233325"/>
      <w:bookmarkStart w:id="34" w:name="_Toc26986771"/>
      <w:bookmarkStart w:id="35" w:name="_Toc24884211"/>
      <w:bookmarkStart w:id="36" w:name="_Toc26648465"/>
      <w:bookmarkStart w:id="37" w:name="_Toc24884218"/>
      <w:r>
        <w:rPr>
          <w:rFonts w:hint="eastAsia"/>
        </w:rPr>
        <w:t>范围</w:t>
      </w:r>
      <w:bookmarkEnd w:id="27"/>
      <w:bookmarkEnd w:id="28"/>
      <w:bookmarkEnd w:id="29"/>
      <w:bookmarkEnd w:id="30"/>
      <w:bookmarkEnd w:id="31"/>
      <w:bookmarkEnd w:id="32"/>
      <w:bookmarkEnd w:id="33"/>
      <w:bookmarkEnd w:id="34"/>
      <w:bookmarkEnd w:id="35"/>
      <w:bookmarkEnd w:id="36"/>
      <w:bookmarkEnd w:id="37"/>
    </w:p>
    <w:p>
      <w:pPr>
        <w:pStyle w:val="165"/>
        <w:numPr>
          <w:ilvl w:val="2"/>
          <w:numId w:val="0"/>
        </w:numPr>
        <w:ind w:firstLine="420" w:firstLineChars="200"/>
      </w:pPr>
      <w:bookmarkStart w:id="38" w:name="_Toc17233334"/>
      <w:bookmarkStart w:id="39" w:name="_Toc26986531"/>
      <w:bookmarkStart w:id="40" w:name="_Toc17233326"/>
      <w:bookmarkStart w:id="41" w:name="_Toc26718931"/>
      <w:bookmarkStart w:id="42" w:name="_Toc26986772"/>
      <w:bookmarkStart w:id="43" w:name="_Toc24884212"/>
      <w:bookmarkStart w:id="44" w:name="_Toc24884219"/>
      <w:bookmarkStart w:id="45" w:name="_Toc26648466"/>
      <w:bookmarkStart w:id="46" w:name="_Toc101278504"/>
      <w:bookmarkStart w:id="47" w:name="_Toc97191424"/>
      <w:r>
        <w:rPr>
          <w:rFonts w:hint="eastAsia"/>
        </w:rPr>
        <w:t>本文件规定了高速公路智慧收费站的机电设施、收费岛及收费天棚、房屋建筑设施、站前预交易交通安全设施的技术要求。</w:t>
      </w:r>
    </w:p>
    <w:p>
      <w:pPr>
        <w:pStyle w:val="165"/>
        <w:numPr>
          <w:ilvl w:val="2"/>
          <w:numId w:val="0"/>
        </w:numPr>
        <w:ind w:firstLine="420" w:firstLineChars="200"/>
      </w:pPr>
      <w:r>
        <w:rPr>
          <w:rFonts w:hint="eastAsia"/>
        </w:rPr>
        <w:t>本文件适用于新建高速公路的智慧收费站项目，改扩建和养护项目可参考执行。</w:t>
      </w:r>
    </w:p>
    <w:p>
      <w:pPr>
        <w:pStyle w:val="38"/>
        <w:ind w:firstLine="420"/>
      </w:pPr>
    </w:p>
    <w:p>
      <w:pPr>
        <w:pStyle w:val="37"/>
        <w:spacing w:before="312" w:after="312"/>
      </w:pPr>
      <w:bookmarkStart w:id="48" w:name="_Toc21273"/>
      <w:r>
        <w:rPr>
          <w:rFonts w:hint="eastAsia"/>
        </w:rPr>
        <w:t>规范性引用文件</w:t>
      </w:r>
      <w:bookmarkEnd w:id="38"/>
      <w:bookmarkEnd w:id="39"/>
      <w:bookmarkEnd w:id="40"/>
      <w:bookmarkEnd w:id="41"/>
      <w:bookmarkEnd w:id="42"/>
      <w:bookmarkEnd w:id="43"/>
      <w:bookmarkEnd w:id="44"/>
      <w:bookmarkEnd w:id="45"/>
      <w:bookmarkEnd w:id="46"/>
      <w:bookmarkEnd w:id="47"/>
      <w:bookmarkEnd w:id="48"/>
    </w:p>
    <w:sdt>
      <w:sdtPr>
        <w:rPr>
          <w:rFonts w:hint="eastAsia"/>
        </w:rPr>
        <w:id w:val="715848253"/>
        <w:placeholder>
          <w:docPart w:val="5372444DB18140F6B4537AEA0349559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3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38"/>
        <w:ind w:firstLine="420"/>
      </w:pPr>
      <w:r>
        <w:rPr>
          <w:rFonts w:hint="eastAsia"/>
        </w:rPr>
        <w:t>GB 5768 道路交通标志和标线</w:t>
      </w:r>
    </w:p>
    <w:p>
      <w:pPr>
        <w:pStyle w:val="38"/>
        <w:ind w:firstLine="420"/>
      </w:pPr>
      <w:r>
        <w:rPr>
          <w:rFonts w:hint="eastAsia"/>
        </w:rPr>
        <w:t>GB 13495</w:t>
      </w:r>
      <w:r>
        <w:t xml:space="preserve"> </w:t>
      </w:r>
      <w:r>
        <w:rPr>
          <w:rFonts w:hint="eastAsia"/>
        </w:rPr>
        <w:t>消防安全标志</w:t>
      </w:r>
    </w:p>
    <w:p>
      <w:pPr>
        <w:pStyle w:val="38"/>
        <w:ind w:firstLine="420"/>
      </w:pPr>
      <w:r>
        <w:rPr>
          <w:rFonts w:hint="eastAsia"/>
        </w:rPr>
        <w:t>GB 50017 钢结构设计规范</w:t>
      </w:r>
    </w:p>
    <w:p>
      <w:pPr>
        <w:pStyle w:val="38"/>
        <w:ind w:firstLine="420"/>
      </w:pPr>
      <w:r>
        <w:t>JTG/</w:t>
      </w:r>
      <w:r>
        <w:rPr>
          <w:rFonts w:hint="eastAsia"/>
        </w:rPr>
        <w:t>T D81 公路交通安全设施设计细则</w:t>
      </w:r>
    </w:p>
    <w:p>
      <w:pPr>
        <w:pStyle w:val="37"/>
        <w:spacing w:before="312" w:after="312"/>
      </w:pPr>
      <w:bookmarkStart w:id="49" w:name="_Toc101278505"/>
      <w:bookmarkStart w:id="50" w:name="_Toc24084"/>
      <w:bookmarkStart w:id="51" w:name="_Toc16523"/>
      <w:bookmarkStart w:id="52" w:name="_Toc97191425"/>
      <w:bookmarkStart w:id="53" w:name="_Toc23795"/>
      <w:r>
        <w:rPr>
          <w:rFonts w:hint="eastAsia"/>
        </w:rPr>
        <w:t>术语和定义</w:t>
      </w:r>
      <w:bookmarkEnd w:id="49"/>
      <w:bookmarkEnd w:id="50"/>
      <w:bookmarkEnd w:id="51"/>
      <w:bookmarkEnd w:id="52"/>
    </w:p>
    <w:p>
      <w:pPr>
        <w:pStyle w:val="38"/>
        <w:ind w:firstLine="420"/>
        <w:rPr>
          <w:rFonts w:hint="eastAsia" w:hAnsi="宋体" w:cs="Arial Unicode MS"/>
        </w:rPr>
      </w:pPr>
      <w:sdt>
        <w:sdtPr>
          <w:rPr>
            <w:rFonts w:hAnsi="宋体" w:cs="Arial Unicode MS"/>
          </w:rPr>
          <w:id w:val="147466726"/>
          <w:placeholder>
            <w:docPart w:val="{bf9d036a-820d-4a7a-b1e2-d2e92558d68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Ansi="宋体" w:cs="Arial Unicode MS"/>
          </w:rPr>
        </w:sdtEndPr>
        <w:sdtContent>
          <w:bookmarkStart w:id="54" w:name="_Toc26986532"/>
          <w:bookmarkEnd w:id="54"/>
          <w:r>
            <w:rPr>
              <w:rFonts w:hAnsi="宋体" w:cs="Arial Unicode MS"/>
            </w:rPr>
            <w:t>下列术语和定义适用于本文件。</w:t>
          </w:r>
        </w:sdtContent>
      </w:sdt>
    </w:p>
    <w:p>
      <w:pPr>
        <w:pStyle w:val="226"/>
        <w:rPr>
          <w:rFonts w:hint="eastAsia" w:ascii="黑体" w:hAnsi="黑体" w:eastAsia="黑体"/>
        </w:rPr>
      </w:pPr>
    </w:p>
    <w:p>
      <w:pPr>
        <w:pStyle w:val="226"/>
        <w:numPr>
          <w:ilvl w:val="0"/>
          <w:numId w:val="0"/>
        </w:numPr>
        <w:ind w:firstLine="420" w:firstLineChars="200"/>
        <w:rPr>
          <w:rFonts w:hint="eastAsia" w:ascii="黑体" w:hAnsi="黑体" w:eastAsia="黑体"/>
        </w:rPr>
      </w:pPr>
      <w:r>
        <w:rPr>
          <w:rFonts w:hint="eastAsia" w:ascii="黑体" w:hAnsi="黑体" w:eastAsia="黑体"/>
        </w:rPr>
        <w:t xml:space="preserve">智慧收费站　 </w:t>
      </w:r>
      <w:r>
        <w:rPr>
          <w:rFonts w:ascii="黑体" w:hAnsi="黑体" w:eastAsia="黑体"/>
        </w:rPr>
        <w:t>intelligent toll</w:t>
      </w:r>
      <w:r>
        <w:rPr>
          <w:rFonts w:hint="eastAsia" w:ascii="黑体" w:hAnsi="黑体" w:eastAsia="黑体"/>
        </w:rPr>
        <w:t xml:space="preserve"> station </w:t>
      </w:r>
    </w:p>
    <w:p>
      <w:pPr>
        <w:pStyle w:val="226"/>
        <w:numPr>
          <w:ilvl w:val="2"/>
          <w:numId w:val="0"/>
        </w:numPr>
        <w:ind w:firstLine="420" w:firstLineChars="200"/>
      </w:pPr>
      <w:r>
        <w:rPr>
          <w:rFonts w:hint="eastAsia"/>
        </w:rPr>
        <w:t>依托物联网、大数据、人工智能等新一代信息技术，通过对设施、应用系统进行数字化改造和智能化升级，从而具备收费精准化、通行高效化以及站务管理数字化特点的收费站。</w:t>
      </w:r>
    </w:p>
    <w:p>
      <w:pPr>
        <w:pStyle w:val="226"/>
        <w:ind w:left="420" w:hanging="420" w:hangingChars="200"/>
        <w:rPr>
          <w:rFonts w:hint="eastAsia" w:ascii="黑体" w:hAnsi="黑体" w:eastAsia="黑体"/>
        </w:rPr>
      </w:pPr>
    </w:p>
    <w:p>
      <w:pPr>
        <w:pStyle w:val="226"/>
        <w:numPr>
          <w:ilvl w:val="2"/>
          <w:numId w:val="0"/>
        </w:numPr>
        <w:ind w:left="-420" w:leftChars="-200" w:firstLine="840" w:firstLineChars="400"/>
        <w:rPr>
          <w:rFonts w:hint="eastAsia" w:ascii="黑体" w:hAnsi="黑体" w:eastAsia="黑体"/>
        </w:rPr>
      </w:pPr>
      <w:r>
        <w:rPr>
          <w:rFonts w:hint="eastAsia" w:ascii="黑体" w:hAnsi="黑体" w:eastAsia="黑体"/>
        </w:rPr>
        <w:t xml:space="preserve">站级云收费系统 station level cloud </w:t>
      </w:r>
      <w:r>
        <w:rPr>
          <w:rFonts w:ascii="黑体" w:hAnsi="黑体" w:eastAsia="黑体"/>
        </w:rPr>
        <w:t xml:space="preserve">toll </w:t>
      </w:r>
      <w:r>
        <w:rPr>
          <w:rFonts w:hint="eastAsia" w:ascii="黑体" w:hAnsi="黑体" w:eastAsia="黑体"/>
        </w:rPr>
        <w:t>collection system</w:t>
      </w:r>
    </w:p>
    <w:p>
      <w:pPr>
        <w:pStyle w:val="38"/>
        <w:ind w:firstLine="420"/>
      </w:pPr>
      <w:r>
        <w:rPr>
          <w:rFonts w:hint="eastAsia"/>
        </w:rPr>
        <w:t>采用云计算技术对收费站的计算、存储、网络资源进行集约化建设，支持收费业务云端在线化管理与服务的收费系统。</w:t>
      </w:r>
    </w:p>
    <w:p>
      <w:pPr>
        <w:pStyle w:val="226"/>
        <w:ind w:left="420" w:hanging="420" w:hangingChars="200"/>
        <w:rPr>
          <w:rFonts w:hint="eastAsia" w:ascii="黑体" w:hAnsi="黑体" w:eastAsia="黑体"/>
        </w:rPr>
      </w:pPr>
    </w:p>
    <w:p>
      <w:pPr>
        <w:pStyle w:val="226"/>
        <w:numPr>
          <w:ilvl w:val="2"/>
          <w:numId w:val="0"/>
        </w:numPr>
        <w:ind w:left="-420" w:leftChars="-200" w:firstLine="840" w:firstLineChars="400"/>
        <w:rPr>
          <w:highlight w:val="yellow"/>
        </w:rPr>
      </w:pPr>
      <w:r>
        <w:rPr>
          <w:rFonts w:hint="eastAsia" w:ascii="黑体" w:hAnsi="黑体" w:eastAsia="黑体"/>
        </w:rPr>
        <w:t>岛头一体化设备 island head integrated equipment</w:t>
      </w:r>
    </w:p>
    <w:p>
      <w:pPr>
        <w:pStyle w:val="38"/>
        <w:ind w:firstLine="420"/>
        <w:rPr>
          <w:highlight w:val="yellow"/>
        </w:rPr>
      </w:pPr>
      <w:r>
        <w:rPr>
          <w:rFonts w:hint="eastAsia"/>
        </w:rPr>
        <w:t>集成收费岛头区域的机电设备，包括但不限于费额显示、车牌识别、车辆检测、车型识别等设备。</w:t>
      </w:r>
    </w:p>
    <w:p>
      <w:pPr>
        <w:pStyle w:val="226"/>
        <w:ind w:left="420" w:hanging="420" w:hangingChars="200"/>
        <w:rPr>
          <w:rFonts w:hint="eastAsia" w:ascii="黑体" w:hAnsi="黑体" w:eastAsia="黑体"/>
        </w:rPr>
      </w:pPr>
    </w:p>
    <w:p>
      <w:pPr>
        <w:pStyle w:val="226"/>
        <w:numPr>
          <w:ilvl w:val="2"/>
          <w:numId w:val="0"/>
        </w:numPr>
        <w:ind w:left="-420" w:leftChars="-200" w:firstLine="840" w:firstLineChars="400"/>
        <w:rPr>
          <w:rFonts w:hint="eastAsia" w:ascii="黑体" w:hAnsi="黑体" w:eastAsia="黑体"/>
        </w:rPr>
      </w:pPr>
      <w:r>
        <w:rPr>
          <w:rFonts w:hint="eastAsia" w:ascii="黑体" w:hAnsi="黑体" w:eastAsia="黑体"/>
        </w:rPr>
        <w:t>岛尾一体化设备 island tail integrated equipment</w:t>
      </w:r>
    </w:p>
    <w:p>
      <w:pPr>
        <w:pStyle w:val="38"/>
        <w:ind w:firstLine="420"/>
      </w:pPr>
      <w:r>
        <w:rPr>
          <w:rFonts w:hint="eastAsia"/>
        </w:rPr>
        <w:t>集成收费岛尾区域的机电设备，包括但不限于费额显示、车牌识别、车辆检测、ETC天线控制、通行信号显示、高速栏杆机等设备。</w:t>
      </w:r>
    </w:p>
    <w:p>
      <w:pPr>
        <w:pStyle w:val="226"/>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自动封道机 automatic lane closure machine</w:t>
      </w:r>
    </w:p>
    <w:p>
      <w:pPr>
        <w:pStyle w:val="38"/>
        <w:ind w:firstLine="420"/>
      </w:pPr>
      <w:r>
        <w:rPr>
          <w:rFonts w:hint="eastAsia"/>
        </w:rPr>
        <w:t>一种专用于临时封闭高速公路收费车道的集成化装置，通过将电动栏杆机、雾灯等功能组件组合于单一设备中，实现收费车道开/闭状态控制、开/闭状态显示的多功能设备。</w:t>
      </w:r>
    </w:p>
    <w:p>
      <w:pPr>
        <w:pStyle w:val="226"/>
      </w:pPr>
      <w:r>
        <w:br w:type="textWrapping"/>
      </w:r>
      <w:r>
        <w:rPr>
          <w:rFonts w:hint="eastAsia" w:ascii="黑体" w:hAnsi="黑体" w:eastAsia="黑体"/>
        </w:rPr>
        <w:t xml:space="preserve">    ETC特情处置设施 ETC abnormal situation handling facilities</w:t>
      </w:r>
    </w:p>
    <w:p>
      <w:pPr>
        <w:pStyle w:val="38"/>
        <w:ind w:firstLine="420"/>
      </w:pPr>
      <w:r>
        <w:rPr>
          <w:rFonts w:hint="eastAsia"/>
        </w:rPr>
        <w:t>部署于高速公路ETC车道出口的集成化自助终端，支持ETC通行异常车辆自助扫码、刷卡付费及远程客服协同，实现特情车辆快速处置的一体化设备。</w:t>
      </w:r>
    </w:p>
    <w:p>
      <w:pPr>
        <w:pStyle w:val="226"/>
        <w:ind w:left="420" w:hanging="420" w:hangingChars="200"/>
        <w:rPr>
          <w:rFonts w:hint="eastAsia" w:ascii="黑体" w:hAnsi="黑体" w:eastAsia="黑体"/>
        </w:rPr>
      </w:pPr>
    </w:p>
    <w:p>
      <w:pPr>
        <w:pStyle w:val="226"/>
        <w:numPr>
          <w:ilvl w:val="2"/>
          <w:numId w:val="0"/>
        </w:numPr>
        <w:ind w:firstLine="420" w:firstLineChars="200"/>
        <w:rPr>
          <w:rFonts w:hint="eastAsia" w:ascii="黑体" w:hAnsi="黑体" w:eastAsia="黑体"/>
        </w:rPr>
      </w:pPr>
      <w:r>
        <w:rPr>
          <w:rFonts w:hint="eastAsia" w:ascii="黑体" w:hAnsi="黑体" w:eastAsia="黑体"/>
        </w:rPr>
        <w:t>自助发卡设备  self-service card issuing equipment</w:t>
      </w:r>
    </w:p>
    <w:p>
      <w:pPr>
        <w:pStyle w:val="38"/>
        <w:ind w:firstLine="420"/>
      </w:pPr>
      <w:r>
        <w:rPr>
          <w:rFonts w:hint="eastAsia"/>
        </w:rPr>
        <w:t>设置在高速公路收费站入口混合车道，由司乘人员自助操作完成 CPC 卡取卡，并提供图文、语音提示的自动化服务设备。</w:t>
      </w:r>
    </w:p>
    <w:p>
      <w:pPr>
        <w:pStyle w:val="226"/>
      </w:pPr>
      <w:r>
        <w:br w:type="textWrapping"/>
      </w:r>
      <w:r>
        <w:rPr>
          <w:rFonts w:hint="eastAsia" w:ascii="黑体" w:hAnsi="黑体" w:eastAsia="黑体"/>
        </w:rPr>
        <w:t xml:space="preserve">    自助交费设备 self-service payment equipment</w:t>
      </w:r>
    </w:p>
    <w:p>
      <w:pPr>
        <w:pStyle w:val="38"/>
        <w:ind w:firstLine="420"/>
      </w:pPr>
      <w:r>
        <w:rPr>
          <w:rFonts w:hint="eastAsia"/>
        </w:rPr>
        <w:t>设置在高速公路收费站出口混合车道，由司乘人员自助操作完成 CPC 卡回收和通行费支付等业务的自动化服务设备。</w:t>
      </w:r>
    </w:p>
    <w:p>
      <w:pPr>
        <w:pStyle w:val="226"/>
        <w:ind w:left="420" w:hanging="420" w:hangingChars="200"/>
        <w:rPr>
          <w:rFonts w:hint="eastAsia" w:ascii="黑体" w:hAnsi="黑体" w:eastAsia="黑体"/>
        </w:rPr>
      </w:pPr>
    </w:p>
    <w:p>
      <w:pPr>
        <w:pStyle w:val="226"/>
        <w:numPr>
          <w:ilvl w:val="2"/>
          <w:numId w:val="0"/>
        </w:numPr>
        <w:ind w:firstLine="420" w:firstLineChars="200"/>
        <w:rPr>
          <w:rFonts w:hint="eastAsia" w:ascii="黑体" w:hAnsi="黑体" w:eastAsia="黑体"/>
        </w:rPr>
      </w:pPr>
      <w:r>
        <w:rPr>
          <w:rFonts w:hint="eastAsia" w:ascii="黑体" w:hAnsi="黑体" w:eastAsia="黑体"/>
        </w:rPr>
        <w:t>智能网关  intelligent gateway</w:t>
      </w:r>
    </w:p>
    <w:p>
      <w:pPr>
        <w:pStyle w:val="38"/>
        <w:ind w:firstLine="420"/>
      </w:pPr>
      <w:r>
        <w:rPr>
          <w:rFonts w:hint="eastAsia"/>
        </w:rPr>
        <w:t>适用于高速公路收费车道，将车道外设备统一接入车道智能网关，提供车道设备标准化协议。</w:t>
      </w:r>
    </w:p>
    <w:p>
      <w:pPr>
        <w:pStyle w:val="226"/>
        <w:ind w:left="420" w:hanging="420" w:hangingChars="200"/>
        <w:rPr>
          <w:rFonts w:hint="eastAsia" w:ascii="黑体" w:hAnsi="黑体" w:eastAsia="黑体"/>
        </w:rPr>
      </w:pPr>
    </w:p>
    <w:p>
      <w:pPr>
        <w:pStyle w:val="226"/>
        <w:numPr>
          <w:ilvl w:val="2"/>
          <w:numId w:val="0"/>
        </w:numPr>
        <w:ind w:left="-420" w:leftChars="-200" w:firstLine="840" w:firstLineChars="400"/>
        <w:rPr>
          <w:rFonts w:hint="eastAsia" w:ascii="黑体" w:hAnsi="黑体" w:eastAsia="黑体"/>
        </w:rPr>
      </w:pPr>
      <w:r>
        <w:rPr>
          <w:rFonts w:hint="eastAsia" w:ascii="黑体" w:hAnsi="黑体" w:eastAsia="黑体"/>
        </w:rPr>
        <w:t xml:space="preserve">智慧云舱 </w:t>
      </w:r>
      <w:r>
        <w:rPr>
          <w:rFonts w:ascii="黑体" w:hAnsi="黑体" w:eastAsia="黑体"/>
        </w:rPr>
        <w:t>intelligent</w:t>
      </w:r>
      <w:r>
        <w:rPr>
          <w:rFonts w:hint="eastAsia" w:ascii="黑体" w:hAnsi="黑体" w:eastAsia="黑体"/>
        </w:rPr>
        <w:t xml:space="preserve"> management room</w:t>
      </w:r>
    </w:p>
    <w:p>
      <w:pPr>
        <w:pStyle w:val="226"/>
        <w:numPr>
          <w:ilvl w:val="2"/>
          <w:numId w:val="0"/>
        </w:numPr>
        <w:ind w:firstLine="420" w:firstLineChars="200"/>
      </w:pPr>
      <w:r>
        <w:rPr>
          <w:rFonts w:hint="eastAsia"/>
        </w:rPr>
        <w:t>设置在收费广场出口侧路肩边缘处，集成智能化、信息化技术的标准用房。</w:t>
      </w:r>
    </w:p>
    <w:p>
      <w:pPr>
        <w:pStyle w:val="37"/>
        <w:spacing w:before="312" w:after="312"/>
      </w:pPr>
      <w:bookmarkStart w:id="55" w:name="_Toc8251"/>
      <w:r>
        <w:rPr>
          <w:rFonts w:hint="eastAsia"/>
        </w:rPr>
        <w:t>缩略语</w:t>
      </w:r>
      <w:bookmarkEnd w:id="53"/>
      <w:bookmarkEnd w:id="55"/>
    </w:p>
    <w:p>
      <w:pPr>
        <w:pStyle w:val="226"/>
        <w:numPr>
          <w:ilvl w:val="2"/>
          <w:numId w:val="0"/>
        </w:numPr>
      </w:pPr>
      <w:r>
        <w:rPr>
          <w:rFonts w:hint="eastAsia"/>
        </w:rPr>
        <w:t>CPC——复合通行卡（Compound Pass Card）</w:t>
      </w:r>
      <w:r>
        <w:rPr>
          <w:rFonts w:hint="eastAsia"/>
        </w:rPr>
        <w:br w:type="textWrapping"/>
      </w:r>
      <w:r>
        <w:rPr>
          <w:rFonts w:hint="eastAsia"/>
        </w:rPr>
        <w:t>ETC——不停车电子收费（Electronic Toll Collection）</w:t>
      </w:r>
      <w:r>
        <w:rPr>
          <w:rFonts w:hint="eastAsia"/>
        </w:rPr>
        <w:br w:type="textWrapping"/>
      </w:r>
      <w:r>
        <w:rPr>
          <w:rFonts w:hint="eastAsia"/>
        </w:rPr>
        <w:t>UPS——不间断电源 （Uninterruptible Power Supply）</w:t>
      </w:r>
    </w:p>
    <w:p>
      <w:pPr>
        <w:pStyle w:val="37"/>
        <w:spacing w:before="312" w:after="312"/>
      </w:pPr>
      <w:bookmarkStart w:id="56" w:name="_Toc21613"/>
      <w:bookmarkStart w:id="57" w:name="_Toc4946"/>
      <w:r>
        <w:rPr>
          <w:rFonts w:hint="eastAsia"/>
        </w:rPr>
        <w:t>基本规定</w:t>
      </w:r>
      <w:bookmarkEnd w:id="56"/>
      <w:bookmarkEnd w:id="57"/>
    </w:p>
    <w:p>
      <w:pPr>
        <w:pStyle w:val="39"/>
        <w:spacing w:before="156" w:after="156"/>
      </w:pPr>
      <w:bookmarkStart w:id="58" w:name="_Toc7185"/>
      <w:r>
        <w:rPr>
          <w:rFonts w:hint="eastAsia"/>
        </w:rPr>
        <w:t>智慧收费站包含机电设施、收费岛及收费天棚、房屋建筑、站前预交易交通安全等设施。</w:t>
      </w:r>
      <w:bookmarkEnd w:id="58"/>
    </w:p>
    <w:p>
      <w:pPr>
        <w:pStyle w:val="39"/>
        <w:spacing w:before="156" w:after="156"/>
      </w:pPr>
      <w:bookmarkStart w:id="59" w:name="_Toc23528"/>
      <w:r>
        <w:rPr>
          <w:rFonts w:hint="eastAsia"/>
        </w:rPr>
        <w:t>智慧收费站机电设施的组成主要包括“云、边、端”协同架构的硬件与软件系统。硬件系统涵盖收费智能一体化设施、ETC特情处置设施、自助发卡和交费设施等收费设施</w:t>
      </w:r>
      <w:r>
        <w:t>‌</w:t>
      </w:r>
      <w:r>
        <w:rPr>
          <w:rFonts w:hint="eastAsia"/>
        </w:rPr>
        <w:t>；软件部分依托站级云收费系统。</w:t>
      </w:r>
      <w:bookmarkEnd w:id="59"/>
    </w:p>
    <w:p>
      <w:pPr>
        <w:pStyle w:val="39"/>
        <w:spacing w:before="156" w:after="156"/>
      </w:pPr>
      <w:bookmarkStart w:id="60" w:name="_Toc19918"/>
      <w:r>
        <w:rPr>
          <w:rFonts w:hint="eastAsia"/>
        </w:rPr>
        <w:t>智慧收费站采用窄岛化、无岛化、无亭化等模式</w:t>
      </w:r>
      <w:r>
        <w:t>‌</w:t>
      </w:r>
      <w:r>
        <w:rPr>
          <w:rFonts w:hint="eastAsia"/>
        </w:rPr>
        <w:t>。</w:t>
      </w:r>
      <w:bookmarkEnd w:id="60"/>
    </w:p>
    <w:p>
      <w:pPr>
        <w:pStyle w:val="39"/>
        <w:spacing w:before="156" w:after="156"/>
      </w:pPr>
      <w:bookmarkStart w:id="61" w:name="_Toc17099"/>
      <w:r>
        <w:rPr>
          <w:rFonts w:hint="eastAsia"/>
        </w:rPr>
        <w:t>智慧收费系统应搭建站级容灾环境，当站级服务生产环境异常时支持切换至容灾状态保证现场基本交易。收费站关键设备宜配置灾备设备，如灾备服务器、灾备核心交换机、灾备网络等。</w:t>
      </w:r>
      <w:bookmarkEnd w:id="61"/>
    </w:p>
    <w:p>
      <w:pPr>
        <w:pStyle w:val="39"/>
        <w:spacing w:before="156" w:after="156"/>
      </w:pPr>
      <w:bookmarkStart w:id="62" w:name="_Toc9974"/>
      <w:r>
        <w:rPr>
          <w:rFonts w:hint="eastAsia"/>
        </w:rPr>
        <w:t>收费车道宜布设智能网关，车道设备通过智能网关接入车道交换机，由车道交换机接入站级交换机。</w:t>
      </w:r>
      <w:bookmarkEnd w:id="62"/>
    </w:p>
    <w:p>
      <w:pPr>
        <w:pStyle w:val="37"/>
        <w:spacing w:before="312" w:after="312"/>
      </w:pPr>
      <w:bookmarkStart w:id="63" w:name="_Toc17086"/>
      <w:bookmarkStart w:id="64" w:name="_Toc1917"/>
      <w:bookmarkStart w:id="65" w:name="_Toc14618"/>
      <w:r>
        <w:rPr>
          <w:rFonts w:hint="eastAsia"/>
        </w:rPr>
        <w:t>机电设施</w:t>
      </w:r>
      <w:bookmarkEnd w:id="63"/>
      <w:bookmarkEnd w:id="64"/>
      <w:bookmarkEnd w:id="65"/>
    </w:p>
    <w:p>
      <w:pPr>
        <w:pStyle w:val="39"/>
        <w:spacing w:before="156" w:after="156"/>
      </w:pPr>
      <w:bookmarkStart w:id="66" w:name="_Toc31618"/>
      <w:bookmarkStart w:id="67" w:name="_Toc104"/>
      <w:bookmarkStart w:id="68" w:name="_Toc21043"/>
      <w:r>
        <w:rPr>
          <w:rFonts w:hint="eastAsia"/>
        </w:rPr>
        <w:t>站级云收费系统</w:t>
      </w:r>
      <w:bookmarkEnd w:id="66"/>
    </w:p>
    <w:p>
      <w:pPr>
        <w:pStyle w:val="40"/>
        <w:spacing w:before="156" w:after="156"/>
        <w:rPr>
          <w:rFonts w:hint="eastAsia"/>
        </w:rPr>
      </w:pPr>
      <w:r>
        <w:rPr>
          <w:rFonts w:hint="eastAsia"/>
        </w:rPr>
        <w:t>系统组成</w:t>
      </w:r>
    </w:p>
    <w:p>
      <w:pPr>
        <w:pStyle w:val="167"/>
        <w:rPr>
          <w:rFonts w:hint="eastAsia"/>
        </w:rPr>
      </w:pPr>
      <w:r>
        <w:rPr>
          <w:rFonts w:hint="eastAsia"/>
        </w:rPr>
        <w:t>云收费系统采用端侧与云侧分级部署的云站架构，通过 IP 协议通信。</w:t>
      </w:r>
    </w:p>
    <w:p>
      <w:pPr>
        <w:pStyle w:val="167"/>
        <w:rPr>
          <w:rFonts w:hint="eastAsia"/>
        </w:rPr>
      </w:pPr>
      <w:r>
        <w:rPr>
          <w:rFonts w:hint="eastAsia"/>
        </w:rPr>
        <w:t>端侧部署车道集约化、智能化设备，实现前端数据采集与基础交互。</w:t>
      </w:r>
    </w:p>
    <w:p>
      <w:pPr>
        <w:pStyle w:val="167"/>
        <w:rPr>
          <w:rFonts w:hint="eastAsia"/>
        </w:rPr>
      </w:pPr>
      <w:r>
        <w:rPr>
          <w:rFonts w:hint="eastAsia"/>
        </w:rPr>
        <w:t>云侧依托边缘节点和云平台，以微服务架构整合收费业务逻辑、参数管理等核心功能。</w:t>
      </w:r>
    </w:p>
    <w:p>
      <w:pPr>
        <w:pStyle w:val="40"/>
        <w:spacing w:before="156" w:after="156"/>
        <w:rPr>
          <w:rFonts w:hint="eastAsia"/>
        </w:rPr>
      </w:pPr>
      <w:r>
        <w:rPr>
          <w:rFonts w:hint="eastAsia"/>
        </w:rPr>
        <w:t>系统功能</w:t>
      </w:r>
    </w:p>
    <w:p>
      <w:pPr>
        <w:pStyle w:val="167"/>
        <w:rPr>
          <w:rFonts w:hint="eastAsia"/>
        </w:rPr>
      </w:pPr>
      <w:r>
        <w:rPr>
          <w:rFonts w:hint="eastAsia"/>
        </w:rPr>
        <w:t>系统功能涵盖云收费管理、云客服管理、云站级管理控制、站级云资源管理。</w:t>
      </w:r>
    </w:p>
    <w:p>
      <w:pPr>
        <w:pStyle w:val="167"/>
        <w:rPr>
          <w:rFonts w:hint="eastAsia"/>
        </w:rPr>
      </w:pPr>
      <w:r>
        <w:rPr>
          <w:rFonts w:hint="eastAsia"/>
        </w:rPr>
        <w:t>云收费管理模块，全场景收费交易处理与精准费用核算，可适配 ETC 车辆、CPC 车辆等不同通行介质的交易需求，完成收费交易发起、支付确认、费用计算等核心操作，结合路网费率标准与优惠政策（如绿通免费、节假日减免）实现通行费精准核算，同步生成交易流水并上传至站级或省中心系统。</w:t>
      </w:r>
    </w:p>
    <w:p>
      <w:pPr>
        <w:pStyle w:val="167"/>
        <w:rPr>
          <w:rFonts w:hint="eastAsia"/>
        </w:rPr>
      </w:pPr>
      <w:r>
        <w:rPr>
          <w:rFonts w:hint="eastAsia"/>
        </w:rPr>
        <w:t>云客服管理模块，主要实现收费站特情处置的云端协同与规范管理，可集中调度云座席资源，对无人值守车道（含自助混合车道、ETC 专用车道）的特情业务进行远程处理，同步记录特情处置过程与结果，同时支撑客服业务的日常管理。</w:t>
      </w:r>
    </w:p>
    <w:p>
      <w:pPr>
        <w:pStyle w:val="167"/>
        <w:rPr>
          <w:rFonts w:hint="eastAsia"/>
        </w:rPr>
      </w:pPr>
      <w:r>
        <w:rPr>
          <w:rFonts w:hint="eastAsia"/>
        </w:rPr>
        <w:t>云站级管理控制模块，围绕收费站站级运营全流程开展管控与调度，可规范工班交接、车道开关、特情处置等日常运营流程，实时监测收费站车流量、车道交易成功率、设备运行状态等核心指标。</w:t>
      </w:r>
    </w:p>
    <w:p>
      <w:pPr>
        <w:pStyle w:val="167"/>
        <w:rPr>
          <w:rFonts w:hint="eastAsia"/>
        </w:rPr>
      </w:pPr>
      <w:r>
        <w:rPr>
          <w:rFonts w:hint="eastAsia"/>
        </w:rPr>
        <w:t>站级云资源管理模块，统筹收费站端云化资源的分配、监控与维护，主要管理站级云服务器的计算资源（如 CPU、内存）与存储资源（如业务数据、配置文件），实时监测资源运行状态，设置阈值预警并推送运维信息。</w:t>
      </w:r>
    </w:p>
    <w:p>
      <w:pPr>
        <w:pStyle w:val="39"/>
        <w:spacing w:before="156" w:after="156"/>
      </w:pPr>
      <w:bookmarkStart w:id="69" w:name="_Toc26773"/>
      <w:r>
        <w:rPr>
          <w:rFonts w:hint="eastAsia"/>
        </w:rPr>
        <w:t>车道系统</w:t>
      </w:r>
      <w:bookmarkEnd w:id="69"/>
    </w:p>
    <w:p>
      <w:pPr>
        <w:pStyle w:val="40"/>
        <w:spacing w:before="156" w:after="156"/>
        <w:rPr>
          <w:rFonts w:hint="eastAsia"/>
        </w:rPr>
      </w:pPr>
      <w:r>
        <w:rPr>
          <w:rFonts w:hint="eastAsia"/>
        </w:rPr>
        <w:t>智慧车道系统应包含岛头一体化设备、岛尾一体化设备、自动封道机、自助发卡/交费设备等。</w:t>
      </w:r>
    </w:p>
    <w:p>
      <w:pPr>
        <w:pStyle w:val="40"/>
        <w:spacing w:before="156" w:after="156"/>
        <w:rPr>
          <w:rFonts w:hint="eastAsia"/>
        </w:rPr>
      </w:pPr>
      <w:r>
        <w:rPr>
          <w:rFonts w:hint="eastAsia"/>
        </w:rPr>
        <w:t>系统功能</w:t>
      </w:r>
    </w:p>
    <w:p>
      <w:pPr>
        <w:pStyle w:val="167"/>
        <w:rPr>
          <w:rFonts w:ascii="Times New Roman" w:hAnsi="Times New Roman"/>
        </w:rPr>
      </w:pPr>
      <w:r>
        <w:rPr>
          <w:rFonts w:ascii="Times New Roman" w:hAnsi="Times New Roman"/>
        </w:rPr>
        <w:t>‌</w:t>
      </w:r>
      <w:r>
        <w:t xml:space="preserve"> </w:t>
      </w:r>
      <w:r>
        <w:rPr>
          <w:rFonts w:ascii="Times New Roman" w:hAnsi="Times New Roman"/>
        </w:rPr>
        <w:t>ETC</w:t>
      </w:r>
      <w:r>
        <w:rPr>
          <w:rFonts w:hint="eastAsia" w:ascii="Times New Roman" w:hAnsi="Times New Roman"/>
        </w:rPr>
        <w:t>专用车道系统通过车载电子标签与车道微波天线进行专用短程通信，实现车辆自动识别、自动扣费及数据传输。</w:t>
      </w:r>
      <w:r>
        <w:rPr>
          <w:rFonts w:ascii="Times New Roman" w:hAnsi="Times New Roman"/>
        </w:rPr>
        <w:t>‌</w:t>
      </w:r>
    </w:p>
    <w:p>
      <w:pPr>
        <w:pStyle w:val="167"/>
        <w:rPr>
          <w:rFonts w:hint="eastAsia"/>
        </w:rPr>
      </w:pPr>
      <w:r>
        <w:t>入口自助/ETC混合车道系统通过融合自助取卡及ETC自动识别技术，实现车辆</w:t>
      </w:r>
      <w:r>
        <w:rPr>
          <w:rFonts w:hint="eastAsia"/>
        </w:rPr>
        <w:t>在收费站入口的取卡通行。</w:t>
      </w:r>
    </w:p>
    <w:p>
      <w:pPr>
        <w:pStyle w:val="167"/>
        <w:rPr>
          <w:rFonts w:hint="eastAsia"/>
        </w:rPr>
      </w:pPr>
      <w:r>
        <w:rPr>
          <w:rFonts w:hint="eastAsia"/>
        </w:rPr>
        <w:t>出口自助</w:t>
      </w:r>
      <w:r>
        <w:t>/ETC</w:t>
      </w:r>
      <w:r>
        <w:rPr>
          <w:rFonts w:hint="eastAsia"/>
        </w:rPr>
        <w:t>混合车道系统通过融合自助交费、</w:t>
      </w:r>
      <w:r>
        <w:t>ETC</w:t>
      </w:r>
      <w:r>
        <w:rPr>
          <w:rFonts w:hint="eastAsia"/>
        </w:rPr>
        <w:t>自动识别及特情处置功能，实现车辆在收费站出口交费通行。</w:t>
      </w:r>
    </w:p>
    <w:p>
      <w:pPr>
        <w:pStyle w:val="40"/>
        <w:spacing w:before="156" w:after="156"/>
        <w:rPr>
          <w:rFonts w:hint="eastAsia"/>
        </w:rPr>
      </w:pPr>
      <w:r>
        <w:rPr>
          <w:rFonts w:hint="eastAsia"/>
        </w:rPr>
        <w:t>系统布局</w:t>
      </w:r>
    </w:p>
    <w:p>
      <w:pPr>
        <w:pStyle w:val="167"/>
        <w:rPr>
          <w:rFonts w:hint="eastAsia"/>
        </w:rPr>
      </w:pPr>
      <w:r>
        <w:rPr>
          <w:rFonts w:hint="eastAsia"/>
        </w:rPr>
        <w:t>ETC专用车道系统</w:t>
      </w:r>
    </w:p>
    <w:p>
      <w:pPr>
        <w:pStyle w:val="167"/>
        <w:numPr>
          <w:ilvl w:val="0"/>
          <w:numId w:val="0"/>
        </w:numPr>
        <w:ind w:left="210" w:leftChars="100"/>
        <w:rPr>
          <w:rFonts w:hint="eastAsia"/>
        </w:rPr>
      </w:pPr>
      <w:r>
        <w:rPr>
          <w:rFonts w:hint="eastAsia"/>
        </w:rPr>
        <w:t>a）应采用自动封道机、岛头一体化设备、岛尾一体化设备等集约化、智能化设备；出口车道宜配置ETC特情处置设施。详见附录A。</w:t>
      </w:r>
    </w:p>
    <w:p>
      <w:pPr>
        <w:pStyle w:val="167"/>
        <w:numPr>
          <w:ilvl w:val="0"/>
          <w:numId w:val="0"/>
        </w:numPr>
        <w:ind w:left="210" w:leftChars="100"/>
        <w:rPr>
          <w:rFonts w:hint="eastAsia"/>
        </w:rPr>
      </w:pPr>
      <w:r>
        <w:rPr>
          <w:rFonts w:hint="eastAsia"/>
        </w:rPr>
        <w:t>b）宜采用岛头及岛尾 ETC 双天线模式，提升交易成功率。岛尾天线可结合收费大棚结构情况，采用收费大棚吊装方式安装。</w:t>
      </w:r>
    </w:p>
    <w:p>
      <w:pPr>
        <w:pStyle w:val="167"/>
        <w:numPr>
          <w:ilvl w:val="0"/>
          <w:numId w:val="0"/>
        </w:numPr>
        <w:ind w:left="210" w:leftChars="100"/>
        <w:rPr>
          <w:rFonts w:hint="eastAsia"/>
        </w:rPr>
      </w:pPr>
      <w:r>
        <w:rPr>
          <w:rFonts w:hint="eastAsia"/>
        </w:rPr>
        <w:t>c）车道宜配置天线门架，门架支柱、构件的强度、稳定承载力和连接强度应满足防强风要求。</w:t>
      </w:r>
    </w:p>
    <w:p>
      <w:pPr>
        <w:pStyle w:val="167"/>
        <w:rPr>
          <w:rFonts w:hint="eastAsia"/>
        </w:rPr>
      </w:pPr>
      <w:r>
        <w:rPr>
          <w:rFonts w:hint="eastAsia"/>
        </w:rPr>
        <w:t>入口自助/ETC混合车道系统</w:t>
      </w:r>
    </w:p>
    <w:p>
      <w:pPr>
        <w:pStyle w:val="167"/>
        <w:numPr>
          <w:ilvl w:val="0"/>
          <w:numId w:val="0"/>
        </w:numPr>
        <w:ind w:left="210" w:leftChars="100"/>
        <w:rPr>
          <w:rFonts w:hint="eastAsia"/>
        </w:rPr>
      </w:pPr>
      <w:r>
        <w:rPr>
          <w:rFonts w:hint="eastAsia"/>
        </w:rPr>
        <w:t>a）应采用自动封道机、岛头一体化设备、自助发卡设备、岛尾一体化设备等集约化、智能化设备。详见附录B。</w:t>
      </w:r>
    </w:p>
    <w:p>
      <w:pPr>
        <w:pStyle w:val="167"/>
        <w:numPr>
          <w:ilvl w:val="0"/>
          <w:numId w:val="0"/>
        </w:numPr>
        <w:ind w:left="210" w:leftChars="100"/>
        <w:rPr>
          <w:rFonts w:hint="eastAsia"/>
        </w:rPr>
      </w:pPr>
      <w:r>
        <w:rPr>
          <w:rFonts w:hint="eastAsia"/>
        </w:rPr>
        <w:t>b）应配置计重设备。</w:t>
      </w:r>
    </w:p>
    <w:p>
      <w:pPr>
        <w:pStyle w:val="167"/>
        <w:numPr>
          <w:ilvl w:val="0"/>
          <w:numId w:val="0"/>
        </w:numPr>
        <w:ind w:left="210" w:leftChars="100"/>
        <w:rPr>
          <w:rFonts w:hint="eastAsia"/>
        </w:rPr>
      </w:pPr>
      <w:r>
        <w:rPr>
          <w:rFonts w:hint="eastAsia"/>
        </w:rPr>
        <w:t>c）宜采用岛头、岛尾双天线模式，提升交易成功率。岛尾天线可结合收费大棚结构情况，采用收费大棚吊装方式安装。</w:t>
      </w:r>
    </w:p>
    <w:p>
      <w:pPr>
        <w:pStyle w:val="167"/>
        <w:numPr>
          <w:ilvl w:val="0"/>
          <w:numId w:val="0"/>
        </w:numPr>
        <w:ind w:left="210" w:leftChars="100"/>
        <w:rPr>
          <w:rFonts w:hint="eastAsia"/>
        </w:rPr>
      </w:pPr>
      <w:r>
        <w:rPr>
          <w:rFonts w:hint="eastAsia"/>
        </w:rPr>
        <w:t>d）车道宜配置天线门架，门架支柱、构件的强度、稳定承载力和连接强度应满足防强风要求。</w:t>
      </w:r>
    </w:p>
    <w:p>
      <w:pPr>
        <w:pStyle w:val="167"/>
        <w:rPr>
          <w:rFonts w:hint="eastAsia"/>
        </w:rPr>
      </w:pPr>
      <w:r>
        <w:rPr>
          <w:rFonts w:hint="eastAsia"/>
        </w:rPr>
        <w:t>出口自助/ETC混合车道系统</w:t>
      </w:r>
    </w:p>
    <w:p>
      <w:pPr>
        <w:pStyle w:val="167"/>
        <w:numPr>
          <w:ilvl w:val="0"/>
          <w:numId w:val="0"/>
        </w:numPr>
        <w:ind w:left="210" w:leftChars="100"/>
        <w:rPr>
          <w:rFonts w:hint="eastAsia"/>
        </w:rPr>
      </w:pPr>
      <w:r>
        <w:rPr>
          <w:rFonts w:hint="eastAsia"/>
        </w:rPr>
        <w:t>a）应采用自动封道机、岛头一体化设备、自助交费设备、岛尾一体化设备等集约化、智能化设备。详见附录C。</w:t>
      </w:r>
    </w:p>
    <w:p>
      <w:pPr>
        <w:pStyle w:val="167"/>
        <w:numPr>
          <w:ilvl w:val="0"/>
          <w:numId w:val="0"/>
        </w:numPr>
        <w:ind w:left="210" w:leftChars="100"/>
        <w:rPr>
          <w:rFonts w:hint="eastAsia"/>
        </w:rPr>
      </w:pPr>
      <w:r>
        <w:rPr>
          <w:rFonts w:hint="eastAsia"/>
        </w:rPr>
        <w:t>b）可配置计重设备。</w:t>
      </w:r>
    </w:p>
    <w:p>
      <w:pPr>
        <w:pStyle w:val="167"/>
        <w:numPr>
          <w:ilvl w:val="0"/>
          <w:numId w:val="0"/>
        </w:numPr>
        <w:ind w:left="210" w:leftChars="100"/>
        <w:rPr>
          <w:rFonts w:hint="eastAsia"/>
        </w:rPr>
      </w:pPr>
      <w:r>
        <w:rPr>
          <w:rFonts w:hint="eastAsia"/>
        </w:rPr>
        <w:t>c）宜采用岛头、岛尾双天线模式，提升交易成功率。岛尾天线可结合收费大棚结构情况，采用收费大棚吊装方式安装。</w:t>
      </w:r>
    </w:p>
    <w:p>
      <w:pPr>
        <w:pStyle w:val="167"/>
        <w:numPr>
          <w:ilvl w:val="0"/>
          <w:numId w:val="0"/>
        </w:numPr>
        <w:ind w:left="210" w:leftChars="100"/>
        <w:rPr>
          <w:rFonts w:hint="eastAsia"/>
        </w:rPr>
      </w:pPr>
      <w:r>
        <w:rPr>
          <w:rFonts w:hint="eastAsia"/>
        </w:rPr>
        <w:t>d）车道宜配置天线门架，门架支柱、构件的强度、稳定承载力和连接强度应满足防强风要求。</w:t>
      </w:r>
    </w:p>
    <w:p>
      <w:pPr>
        <w:pStyle w:val="39"/>
        <w:spacing w:before="156" w:after="156"/>
      </w:pPr>
      <w:bookmarkStart w:id="70" w:name="_Toc26661"/>
      <w:r>
        <w:rPr>
          <w:rFonts w:hint="eastAsia"/>
        </w:rPr>
        <w:t>站前预交易系统</w:t>
      </w:r>
      <w:bookmarkEnd w:id="70"/>
    </w:p>
    <w:p>
      <w:pPr>
        <w:pStyle w:val="40"/>
        <w:spacing w:before="156" w:after="156"/>
        <w:rPr>
          <w:rFonts w:hint="eastAsia"/>
        </w:rPr>
      </w:pPr>
      <w:r>
        <w:rPr>
          <w:rFonts w:hint="eastAsia"/>
        </w:rPr>
        <w:t>系统组成</w:t>
      </w:r>
    </w:p>
    <w:p>
      <w:pPr>
        <w:pStyle w:val="167"/>
        <w:rPr>
          <w:rFonts w:hint="eastAsia"/>
        </w:rPr>
      </w:pPr>
      <w:r>
        <w:rPr>
          <w:rFonts w:hint="eastAsia"/>
        </w:rPr>
        <w:t>站前预交易系统包括ETC预交易和CPC预交费。</w:t>
      </w:r>
    </w:p>
    <w:p>
      <w:pPr>
        <w:pStyle w:val="167"/>
        <w:rPr>
          <w:rFonts w:hint="eastAsia"/>
        </w:rPr>
      </w:pPr>
      <w:r>
        <w:rPr>
          <w:rFonts w:hint="eastAsia"/>
        </w:rPr>
        <w:t>站前预交易应设置天线、控制器、高清车牌识别、补光灯、机柜、通信传输、供电、</w:t>
      </w:r>
      <w:r>
        <w:t>网络安全</w:t>
      </w:r>
      <w:r>
        <w:rPr>
          <w:rFonts w:hint="eastAsia"/>
        </w:rPr>
        <w:t>、车辆诱导等设施。</w:t>
      </w:r>
    </w:p>
    <w:p>
      <w:pPr>
        <w:pStyle w:val="167"/>
        <w:rPr>
          <w:rFonts w:hint="eastAsia"/>
        </w:rPr>
      </w:pPr>
      <w:r>
        <w:rPr>
          <w:rFonts w:hint="eastAsia"/>
        </w:rPr>
        <w:t>CPC预交费应设置预交费二维码。</w:t>
      </w:r>
    </w:p>
    <w:p>
      <w:pPr>
        <w:pStyle w:val="167"/>
        <w:rPr>
          <w:rFonts w:hint="eastAsia"/>
        </w:rPr>
      </w:pPr>
      <w:r>
        <w:rPr>
          <w:rFonts w:hint="eastAsia"/>
        </w:rPr>
        <w:t>应选用环保型、亮度可调整的补光灯。</w:t>
      </w:r>
    </w:p>
    <w:p>
      <w:pPr>
        <w:pStyle w:val="167"/>
        <w:rPr>
          <w:rFonts w:hint="eastAsia"/>
        </w:rPr>
      </w:pPr>
      <w:r>
        <w:rPr>
          <w:rFonts w:hint="eastAsia"/>
        </w:rPr>
        <w:t>供电设施应稳定可靠，宜配置UPS电源。</w:t>
      </w:r>
    </w:p>
    <w:p>
      <w:pPr>
        <w:pStyle w:val="40"/>
        <w:spacing w:before="156" w:after="156"/>
        <w:rPr>
          <w:rFonts w:hint="eastAsia"/>
        </w:rPr>
      </w:pPr>
      <w:r>
        <w:rPr>
          <w:rFonts w:hint="eastAsia"/>
        </w:rPr>
        <w:t>系统功能</w:t>
      </w:r>
    </w:p>
    <w:p>
      <w:pPr>
        <w:pStyle w:val="167"/>
        <w:rPr>
          <w:rFonts w:hint="eastAsia"/>
        </w:rPr>
      </w:pPr>
      <w:r>
        <w:rPr>
          <w:rFonts w:hint="eastAsia"/>
        </w:rPr>
        <w:t>ETC预交易应具备交易管理、交易查询、车辆诱导等功能。</w:t>
      </w:r>
    </w:p>
    <w:p>
      <w:pPr>
        <w:pStyle w:val="167"/>
        <w:numPr>
          <w:ilvl w:val="0"/>
          <w:numId w:val="32"/>
        </w:numPr>
        <w:ind w:left="210" w:leftChars="100"/>
        <w:rPr>
          <w:rFonts w:hint="eastAsia"/>
        </w:rPr>
      </w:pPr>
      <w:r>
        <w:rPr>
          <w:rFonts w:hint="eastAsia"/>
        </w:rPr>
        <w:t>交易管理：应能对ETC车辆进行介质有效性判定，车辆信息及路径信息进行识别，对满足交易条件的车辆进行计费交易；应能接收、更新来自上级单位的收费参数，满足对ETC车辆计费要求。</w:t>
      </w:r>
    </w:p>
    <w:p>
      <w:pPr>
        <w:pStyle w:val="167"/>
        <w:numPr>
          <w:ilvl w:val="0"/>
          <w:numId w:val="32"/>
        </w:numPr>
        <w:ind w:left="210" w:leftChars="100"/>
        <w:rPr>
          <w:rFonts w:hint="eastAsia"/>
        </w:rPr>
      </w:pPr>
      <w:r>
        <w:rPr>
          <w:rFonts w:hint="eastAsia"/>
        </w:rPr>
        <w:t>交易查询：应能对预交易车辆的通行记录、抓拍图像等信息进行查询。</w:t>
      </w:r>
    </w:p>
    <w:p>
      <w:pPr>
        <w:pStyle w:val="167"/>
        <w:numPr>
          <w:ilvl w:val="0"/>
          <w:numId w:val="32"/>
        </w:numPr>
        <w:ind w:left="210" w:leftChars="100"/>
        <w:rPr>
          <w:rFonts w:hint="eastAsia"/>
        </w:rPr>
      </w:pPr>
      <w:r>
        <w:rPr>
          <w:rFonts w:hint="eastAsia"/>
        </w:rPr>
        <w:t>车</w:t>
      </w:r>
      <w:r>
        <w:t>辆诱导</w:t>
      </w:r>
      <w:r>
        <w:rPr>
          <w:rFonts w:hint="eastAsia"/>
        </w:rPr>
        <w:t>：应能对ETC特情车辆生成和发布含车牌的诱导信息。</w:t>
      </w:r>
    </w:p>
    <w:p>
      <w:pPr>
        <w:pStyle w:val="167"/>
        <w:rPr>
          <w:rFonts w:hint="eastAsia"/>
        </w:rPr>
      </w:pPr>
      <w:r>
        <w:rPr>
          <w:rFonts w:hint="eastAsia"/>
        </w:rPr>
        <w:t>CPC预交费应具备交易管理、交易查询、预交易数据支撑、预交费后台管理等功能。</w:t>
      </w:r>
    </w:p>
    <w:p>
      <w:pPr>
        <w:pStyle w:val="167"/>
        <w:numPr>
          <w:ilvl w:val="0"/>
          <w:numId w:val="0"/>
        </w:numPr>
        <w:ind w:left="210" w:leftChars="100"/>
        <w:rPr>
          <w:rFonts w:hint="eastAsia"/>
        </w:rPr>
      </w:pPr>
      <w:r>
        <w:rPr>
          <w:rFonts w:hint="eastAsia"/>
        </w:rPr>
        <w:t>a）交易管理：应能对CPC卡进行介质有效性判定，车辆信息及路径信息进行识别，对满足交易条件的车辆计算通行费；应能接收、更新来自上级单位的收费参数，满足对CPC车辆计费要求。</w:t>
      </w:r>
    </w:p>
    <w:p>
      <w:pPr>
        <w:pStyle w:val="167"/>
        <w:numPr>
          <w:ilvl w:val="0"/>
          <w:numId w:val="0"/>
        </w:numPr>
        <w:ind w:left="210" w:leftChars="100"/>
        <w:rPr>
          <w:rFonts w:hint="eastAsia"/>
        </w:rPr>
      </w:pPr>
      <w:r>
        <w:rPr>
          <w:rFonts w:hint="eastAsia"/>
        </w:rPr>
        <w:t>b）交易查询：应能对预交费车辆的通行记录、抓拍图像等信息进行查询。</w:t>
      </w:r>
    </w:p>
    <w:p>
      <w:pPr>
        <w:pStyle w:val="167"/>
        <w:numPr>
          <w:ilvl w:val="0"/>
          <w:numId w:val="0"/>
        </w:numPr>
        <w:ind w:left="210" w:leftChars="100"/>
        <w:rPr>
          <w:rFonts w:hint="eastAsia"/>
        </w:rPr>
      </w:pPr>
      <w:r>
        <w:rPr>
          <w:rFonts w:hint="eastAsia"/>
        </w:rPr>
        <w:t>c）预交易数据支撑：应保持预计费数据同步、预计费订单状态更新和预计费流水状态更新，并能够生成交易流水。</w:t>
      </w:r>
    </w:p>
    <w:p>
      <w:pPr>
        <w:pStyle w:val="167"/>
        <w:numPr>
          <w:ilvl w:val="0"/>
          <w:numId w:val="0"/>
        </w:numPr>
        <w:ind w:left="210" w:leftChars="100"/>
        <w:rPr>
          <w:rFonts w:hint="eastAsia"/>
        </w:rPr>
      </w:pPr>
      <w:r>
        <w:rPr>
          <w:rFonts w:hint="eastAsia"/>
        </w:rPr>
        <w:t>d）预交费后台管理：</w:t>
      </w:r>
      <w:r>
        <w:t>应</w:t>
      </w:r>
      <w:r>
        <w:rPr>
          <w:rFonts w:hint="eastAsia"/>
        </w:rPr>
        <w:t>具有</w:t>
      </w:r>
      <w:r>
        <w:t>订单查询、退费记录查询、异常订单查询</w:t>
      </w:r>
      <w:r>
        <w:rPr>
          <w:rFonts w:hint="eastAsia"/>
        </w:rPr>
        <w:t>、</w:t>
      </w:r>
      <w:r>
        <w:t>资金对账</w:t>
      </w:r>
      <w:r>
        <w:rPr>
          <w:rFonts w:hint="eastAsia"/>
        </w:rPr>
        <w:t>和在线支付</w:t>
      </w:r>
      <w:r>
        <w:t>等功能</w:t>
      </w:r>
      <w:r>
        <w:rPr>
          <w:rFonts w:hint="eastAsia"/>
        </w:rPr>
        <w:t>。应能生成和存储预交费车辆的通行记录、抓拍图像等身份信息。</w:t>
      </w:r>
    </w:p>
    <w:p>
      <w:pPr>
        <w:pStyle w:val="40"/>
        <w:spacing w:before="156" w:after="156"/>
        <w:rPr>
          <w:rFonts w:hint="eastAsia"/>
        </w:rPr>
      </w:pPr>
      <w:r>
        <w:rPr>
          <w:rFonts w:hint="eastAsia"/>
        </w:rPr>
        <w:t>系统布局</w:t>
      </w:r>
    </w:p>
    <w:p>
      <w:pPr>
        <w:pStyle w:val="167"/>
        <w:rPr>
          <w:rFonts w:hint="eastAsia"/>
        </w:rPr>
      </w:pPr>
      <w:r>
        <w:rPr>
          <w:rFonts w:hint="eastAsia"/>
        </w:rPr>
        <w:t>天线宜布设在收费站互通匝道区域或</w:t>
      </w:r>
      <w:r>
        <w:t>收费广场的渐变段衔接区域</w:t>
      </w:r>
      <w:r>
        <w:rPr>
          <w:rFonts w:hint="eastAsia"/>
        </w:rPr>
        <w:t>，预交易天线前的长直线段宜大于40m。</w:t>
      </w:r>
    </w:p>
    <w:p>
      <w:pPr>
        <w:pStyle w:val="167"/>
        <w:rPr>
          <w:rFonts w:hint="eastAsia"/>
        </w:rPr>
      </w:pPr>
      <w:r>
        <w:rPr>
          <w:rFonts w:hint="eastAsia"/>
        </w:rPr>
        <w:t>天线与主线ETC门架、</w:t>
      </w:r>
      <w:r>
        <w:t>服务区</w:t>
      </w:r>
      <w:r>
        <w:rPr>
          <w:rFonts w:hint="eastAsia"/>
        </w:rPr>
        <w:t>、收费车道交易天线、市政道路等设施的距离宜大于150m。</w:t>
      </w:r>
    </w:p>
    <w:p>
      <w:pPr>
        <w:pStyle w:val="167"/>
        <w:rPr>
          <w:rFonts w:hint="eastAsia"/>
        </w:rPr>
      </w:pPr>
      <w:r>
        <w:t>可变信息标志</w:t>
      </w:r>
      <w:r>
        <w:rPr>
          <w:rFonts w:hint="eastAsia"/>
        </w:rPr>
        <w:t>与预交易天线</w:t>
      </w:r>
      <w:r>
        <w:t>的距离</w:t>
      </w:r>
      <w:r>
        <w:rPr>
          <w:rFonts w:hint="eastAsia"/>
        </w:rPr>
        <w:t>宜大</w:t>
      </w:r>
      <w:r>
        <w:t>于</w:t>
      </w:r>
      <w:r>
        <w:rPr>
          <w:rFonts w:hint="eastAsia"/>
        </w:rPr>
        <w:t>15</w:t>
      </w:r>
      <w:r>
        <w:t>0m</w:t>
      </w:r>
      <w:r>
        <w:rPr>
          <w:rFonts w:hint="eastAsia"/>
        </w:rPr>
        <w:t>，与收费车道的距离宜大于50m。</w:t>
      </w:r>
    </w:p>
    <w:p>
      <w:pPr>
        <w:pStyle w:val="167"/>
        <w:rPr>
          <w:rFonts w:hint="eastAsia"/>
        </w:rPr>
      </w:pPr>
      <w:r>
        <w:rPr>
          <w:rFonts w:hint="eastAsia"/>
        </w:rPr>
        <w:t>车牌识别设备宜在预交易天线前方30m，补光灯不应对行车环境产生影响。</w:t>
      </w:r>
    </w:p>
    <w:p>
      <w:pPr>
        <w:pStyle w:val="167"/>
        <w:rPr>
          <w:rFonts w:hint="eastAsia"/>
        </w:rPr>
      </w:pPr>
      <w:r>
        <w:rPr>
          <w:rFonts w:hint="eastAsia"/>
        </w:rPr>
        <w:t>预交费二维码宜采用电子屏显示二维码。</w:t>
      </w:r>
    </w:p>
    <w:bookmarkEnd w:id="67"/>
    <w:bookmarkEnd w:id="68"/>
    <w:p>
      <w:pPr>
        <w:pStyle w:val="37"/>
        <w:spacing w:before="312" w:after="312"/>
      </w:pPr>
      <w:bookmarkStart w:id="71" w:name="_Toc28302"/>
      <w:r>
        <w:rPr>
          <w:rFonts w:hint="eastAsia"/>
        </w:rPr>
        <w:t>收费岛及收费天棚</w:t>
      </w:r>
      <w:bookmarkEnd w:id="71"/>
    </w:p>
    <w:p>
      <w:pPr>
        <w:pStyle w:val="39"/>
        <w:spacing w:before="156" w:after="156"/>
      </w:pPr>
      <w:bookmarkStart w:id="72" w:name="_Toc32697"/>
      <w:r>
        <w:rPr>
          <w:rFonts w:hint="eastAsia"/>
        </w:rPr>
        <w:t>收费岛</w:t>
      </w:r>
      <w:bookmarkEnd w:id="72"/>
    </w:p>
    <w:p>
      <w:pPr>
        <w:pStyle w:val="168"/>
        <w:rPr>
          <w:rFonts w:hint="eastAsia" w:cs="黑体"/>
          <w:spacing w:val="-2"/>
        </w:rPr>
      </w:pPr>
      <w:r>
        <w:rPr>
          <w:rFonts w:hint="eastAsia"/>
        </w:rPr>
        <w:t>收费岛宜采用无亭窄岛化设计。</w:t>
      </w:r>
    </w:p>
    <w:p>
      <w:pPr>
        <w:pStyle w:val="168"/>
        <w:rPr>
          <w:rFonts w:hint="eastAsia" w:cs="黑体"/>
          <w:spacing w:val="-2"/>
        </w:rPr>
      </w:pPr>
      <w:r>
        <w:rPr>
          <w:rFonts w:hint="eastAsia"/>
        </w:rPr>
        <w:t>采用无亭窄岛化的，可不设收费员专用通道(包括地下专用通道和天桥)。</w:t>
      </w:r>
    </w:p>
    <w:p>
      <w:pPr>
        <w:pStyle w:val="168"/>
        <w:rPr>
          <w:rFonts w:hint="eastAsia" w:cs="黑体"/>
          <w:spacing w:val="-2"/>
        </w:rPr>
      </w:pPr>
      <w:r>
        <w:rPr>
          <w:rFonts w:hint="eastAsia"/>
        </w:rPr>
        <w:t>智慧收费站超宽车道宽宜为 4.5m，一般车道宽宜</w:t>
      </w:r>
      <w:r>
        <w:rPr>
          <w:rFonts w:hint="eastAsia" w:cs="黑体"/>
          <w:spacing w:val="-2"/>
        </w:rPr>
        <w:t xml:space="preserve">为 3.5 m。  </w:t>
      </w:r>
      <w:r>
        <w:rPr>
          <w:rStyle w:val="33"/>
          <w:rFonts w:hint="eastAsia" w:cs="黑体"/>
          <w:spacing w:val="-2"/>
          <w:szCs w:val="20"/>
        </w:rPr>
        <w:commentReference w:id="0"/>
      </w:r>
    </w:p>
    <w:p>
      <w:pPr>
        <w:pStyle w:val="168"/>
        <w:rPr>
          <w:rFonts w:hint="eastAsia"/>
        </w:rPr>
      </w:pPr>
      <w:r>
        <w:rPr>
          <w:rFonts w:hint="eastAsia"/>
        </w:rPr>
        <w:t>ETC 专用车道、自助混合车道和人工混合车道单向收费岛，岛长不宜＜32m、并不宜＞40m（不含岛头防撞设施），双向收费岛岛头宜与相邻单向收费岛岛头平齐。收费岛侧面高度宜采用0.3m</w:t>
      </w:r>
      <w:commentRangeStart w:id="1"/>
      <w:commentRangeStart w:id="2"/>
      <w:r>
        <w:rPr>
          <w:rStyle w:val="33"/>
          <w:rFonts w:hint="eastAsia"/>
          <w:szCs w:val="20"/>
        </w:rPr>
        <w:commentReference w:id="1"/>
      </w:r>
      <w:commentRangeEnd w:id="1"/>
      <w:commentRangeEnd w:id="2"/>
      <w:r>
        <w:rPr>
          <w:rStyle w:val="33"/>
          <w:rFonts w:hint="eastAsia"/>
          <w:szCs w:val="20"/>
        </w:rPr>
        <w:commentReference w:id="2"/>
      </w:r>
      <w:r>
        <w:rPr>
          <w:rFonts w:hint="eastAsia"/>
        </w:rPr>
        <w:t>。</w:t>
      </w:r>
    </w:p>
    <w:p>
      <w:pPr>
        <w:pStyle w:val="39"/>
        <w:spacing w:before="156" w:after="156"/>
      </w:pPr>
      <w:bookmarkStart w:id="73" w:name="_Toc1018"/>
      <w:r>
        <w:rPr>
          <w:rFonts w:hint="eastAsia"/>
        </w:rPr>
        <w:t>天棚</w:t>
      </w:r>
      <w:bookmarkEnd w:id="73"/>
    </w:p>
    <w:p>
      <w:pPr>
        <w:pStyle w:val="168"/>
        <w:rPr>
          <w:rFonts w:hint="eastAsia"/>
        </w:rPr>
      </w:pPr>
      <w:r>
        <w:rPr>
          <w:rFonts w:hint="eastAsia"/>
        </w:rPr>
        <w:t>收费天棚应满足各种车型通行,且具有良好的通视性和安全性。</w:t>
      </w:r>
      <w:r>
        <w:rPr>
          <w:rStyle w:val="33"/>
          <w:rFonts w:hint="eastAsia"/>
          <w:szCs w:val="20"/>
        </w:rPr>
        <w:commentReference w:id="3"/>
      </w:r>
    </w:p>
    <w:p>
      <w:pPr>
        <w:pStyle w:val="168"/>
        <w:rPr>
          <w:rFonts w:hint="eastAsia"/>
        </w:rPr>
      </w:pPr>
      <w:r>
        <w:rPr>
          <w:rFonts w:hint="eastAsia"/>
        </w:rPr>
        <w:t>收费天棚上应有醒目规范的收费站名称和车道信号灯</w:t>
      </w:r>
      <w:r>
        <w:rPr>
          <w:rFonts w:hint="eastAsia" w:cs="黑体"/>
          <w:spacing w:val="-2"/>
        </w:rPr>
        <w:t>。</w:t>
      </w:r>
      <w:r>
        <w:rPr>
          <w:rStyle w:val="33"/>
          <w:rFonts w:hint="eastAsia"/>
          <w:szCs w:val="20"/>
        </w:rPr>
        <w:commentReference w:id="4"/>
      </w:r>
    </w:p>
    <w:p>
      <w:pPr>
        <w:pStyle w:val="168"/>
        <w:rPr>
          <w:rFonts w:hint="eastAsia"/>
        </w:rPr>
      </w:pPr>
      <w:r>
        <w:rPr>
          <w:rFonts w:hint="eastAsia"/>
        </w:rPr>
        <w:t>收费天棚应设置合理的照明系统，保证良好的照明效果</w:t>
      </w:r>
      <w:r>
        <w:rPr>
          <w:rFonts w:hint="eastAsia" w:cs="黑体"/>
          <w:color w:val="0000FF"/>
          <w:spacing w:val="-2"/>
        </w:rPr>
        <w:t>。</w:t>
      </w:r>
      <w:r>
        <w:rPr>
          <w:rStyle w:val="33"/>
          <w:rFonts w:hint="eastAsia"/>
          <w:szCs w:val="20"/>
        </w:rPr>
        <w:commentReference w:id="5"/>
      </w:r>
    </w:p>
    <w:p>
      <w:pPr>
        <w:pStyle w:val="168"/>
        <w:rPr>
          <w:rFonts w:hint="eastAsia"/>
        </w:rPr>
      </w:pPr>
      <w:r>
        <w:rPr>
          <w:rFonts w:hint="eastAsia"/>
        </w:rPr>
        <w:t>新建智慧收费站天棚宜采用钢结构。</w:t>
      </w:r>
    </w:p>
    <w:p>
      <w:pPr>
        <w:pStyle w:val="168"/>
        <w:rPr>
          <w:rFonts w:hint="eastAsia"/>
        </w:rPr>
      </w:pPr>
      <w:r>
        <w:rPr>
          <w:rFonts w:hint="eastAsia"/>
        </w:rPr>
        <w:t>收费天棚净高（包括设备下方的净高）应≥ 5.50 m，两侧应外延至收费广场路肩，其构造应满足岛上设备防雨防晒、通风良好等要求，主体结构应符合GB 50017的有关规定。</w:t>
      </w:r>
    </w:p>
    <w:p>
      <w:pPr>
        <w:pStyle w:val="168"/>
        <w:numPr>
          <w:ilvl w:val="0"/>
          <w:numId w:val="0"/>
        </w:numPr>
        <w:rPr>
          <w:rFonts w:hint="eastAsia"/>
        </w:rPr>
      </w:pPr>
    </w:p>
    <w:p>
      <w:pPr>
        <w:pStyle w:val="37"/>
        <w:spacing w:before="312" w:after="312"/>
      </w:pPr>
      <w:bookmarkStart w:id="74" w:name="_Toc8478"/>
      <w:r>
        <w:rPr>
          <w:rFonts w:hint="eastAsia"/>
        </w:rPr>
        <w:t>房屋建筑设施</w:t>
      </w:r>
      <w:bookmarkEnd w:id="74"/>
    </w:p>
    <w:p>
      <w:pPr>
        <w:pStyle w:val="39"/>
        <w:spacing w:before="156" w:after="156"/>
      </w:pPr>
      <w:bookmarkStart w:id="75" w:name="_Toc6248"/>
      <w:r>
        <w:rPr>
          <w:rFonts w:hint="eastAsia"/>
        </w:rPr>
        <w:t>一般规定</w:t>
      </w:r>
      <w:bookmarkEnd w:id="75"/>
    </w:p>
    <w:p>
      <w:pPr>
        <w:pStyle w:val="168"/>
        <w:numPr>
          <w:ilvl w:val="3"/>
          <w:numId w:val="0"/>
        </w:numPr>
        <w:ind w:firstLine="630" w:firstLineChars="300"/>
        <w:rPr>
          <w:rFonts w:hint="eastAsia"/>
        </w:rPr>
      </w:pPr>
      <w:r>
        <w:rPr>
          <w:rFonts w:hint="eastAsia"/>
        </w:rPr>
        <w:t>高速公路智慧收费站根据运营管理职能不同，分为收费小站、收费独立站、中心收费站；收费站用地面积应符合《公路工程项目建设用地指标》(建标[2011]124号)的相关标准。</w:t>
      </w:r>
    </w:p>
    <w:p>
      <w:pPr>
        <w:pStyle w:val="168"/>
        <w:numPr>
          <w:ilvl w:val="0"/>
          <w:numId w:val="0"/>
        </w:numPr>
        <w:ind w:left="3854"/>
        <w:rPr>
          <w:rFonts w:hint="eastAsia"/>
        </w:rPr>
      </w:pPr>
      <w:r>
        <w:rPr>
          <w:rFonts w:hint="eastAsia"/>
        </w:rPr>
        <w:t xml:space="preserve">                               </w:t>
      </w:r>
    </w:p>
    <w:p>
      <w:pPr>
        <w:pStyle w:val="39"/>
        <w:spacing w:before="156" w:after="156"/>
      </w:pPr>
      <w:bookmarkStart w:id="76" w:name="_Toc8471"/>
      <w:r>
        <w:rPr>
          <w:rFonts w:hint="eastAsia"/>
        </w:rPr>
        <w:t>收费小站</w:t>
      </w:r>
      <w:bookmarkEnd w:id="76"/>
    </w:p>
    <w:p>
      <w:pPr>
        <w:pStyle w:val="168"/>
        <w:numPr>
          <w:ilvl w:val="0"/>
          <w:numId w:val="0"/>
        </w:numPr>
        <w:ind w:left="630"/>
        <w:rPr>
          <w:rFonts w:hint="eastAsia"/>
        </w:rPr>
      </w:pPr>
      <w:r>
        <w:rPr>
          <w:rFonts w:hint="eastAsia"/>
        </w:rPr>
        <w:t>宜设置电源室、机房、值班室、休息室、智慧云舱等。</w:t>
      </w:r>
    </w:p>
    <w:p>
      <w:pPr>
        <w:pStyle w:val="39"/>
        <w:spacing w:before="156" w:after="156"/>
      </w:pPr>
      <w:bookmarkStart w:id="77" w:name="_Toc27479"/>
      <w:r>
        <w:rPr>
          <w:rFonts w:hint="eastAsia"/>
        </w:rPr>
        <w:t>收费独立站</w:t>
      </w:r>
      <w:bookmarkEnd w:id="77"/>
    </w:p>
    <w:p>
      <w:pPr>
        <w:pStyle w:val="168"/>
        <w:rPr>
          <w:rFonts w:hint="eastAsia"/>
        </w:rPr>
      </w:pPr>
      <w:r>
        <w:rPr>
          <w:rFonts w:hint="eastAsia"/>
        </w:rPr>
        <w:t>宜设置于距离中心收费站较远，联系不便的互通。宜设置办公用房、宿舍、食堂、门卫和外部活动场所。其中办公用房主要包括：站长室、办公室、学习会议室、财务室、金库票据室、电源室、机房、智慧云舱等。</w:t>
      </w:r>
    </w:p>
    <w:p>
      <w:pPr>
        <w:pStyle w:val="39"/>
        <w:spacing w:before="156" w:after="156"/>
      </w:pPr>
      <w:bookmarkStart w:id="78" w:name="_Toc4059"/>
      <w:r>
        <w:rPr>
          <w:rFonts w:hint="eastAsia"/>
        </w:rPr>
        <w:t>中心收费站</w:t>
      </w:r>
      <w:bookmarkEnd w:id="78"/>
    </w:p>
    <w:p>
      <w:pPr>
        <w:pStyle w:val="168"/>
        <w:rPr>
          <w:rFonts w:hint="eastAsia"/>
        </w:rPr>
      </w:pPr>
      <w:r>
        <w:rPr>
          <w:rFonts w:hint="eastAsia"/>
        </w:rPr>
        <w:t>宜设置在对外交通便利，经济条件相对较好，车流量较大的互通，原则上管辖本路段1-3个小站。宜设置办公用房、宿舍、食堂、门卫、外部活动场所。其中办公用房主要包括：站长室、副站长室、办公室、档案资料室、学习会议室、财务室、金库票据室、电源室、机房、智慧云舱。</w:t>
      </w:r>
    </w:p>
    <w:p>
      <w:pPr>
        <w:pStyle w:val="168"/>
        <w:rPr>
          <w:rFonts w:hint="eastAsia"/>
        </w:rPr>
      </w:pPr>
      <w:r>
        <w:rPr>
          <w:rFonts w:hint="eastAsia"/>
        </w:rPr>
        <w:t>与管理所合建的中心收费站，则宜增设所长室、对外服务窗口、桥隧监控通信室（如有）。</w:t>
      </w:r>
    </w:p>
    <w:p>
      <w:pPr>
        <w:pStyle w:val="39"/>
        <w:spacing w:before="156" w:after="156"/>
      </w:pPr>
      <w:bookmarkStart w:id="79" w:name="_Toc18417"/>
      <w:r>
        <w:rPr>
          <w:rFonts w:hint="eastAsia"/>
        </w:rPr>
        <w:t>智慧云舱</w:t>
      </w:r>
      <w:bookmarkEnd w:id="79"/>
    </w:p>
    <w:p>
      <w:pPr>
        <w:pStyle w:val="168"/>
        <w:rPr>
          <w:rFonts w:hint="eastAsia"/>
        </w:rPr>
      </w:pPr>
      <w:r>
        <w:rPr>
          <w:rFonts w:hint="eastAsia"/>
        </w:rPr>
        <w:t>设计应满足防水、防尘、防腐、节能以及抗电磁干扰和抗震等防护设计要求。</w:t>
      </w:r>
    </w:p>
    <w:p>
      <w:pPr>
        <w:pStyle w:val="168"/>
        <w:rPr>
          <w:rFonts w:hint="eastAsia"/>
        </w:rPr>
      </w:pPr>
      <w:r>
        <w:rPr>
          <w:rFonts w:hint="eastAsia"/>
        </w:rPr>
        <w:t>应包含业务室、便民服务室、卫生间等功能</w:t>
      </w:r>
      <w:r>
        <w:rPr>
          <w:rStyle w:val="33"/>
          <w:rFonts w:hint="eastAsia"/>
          <w:szCs w:val="20"/>
        </w:rPr>
        <w:commentReference w:id="6"/>
      </w:r>
      <w:r>
        <w:rPr>
          <w:rFonts w:hint="eastAsia"/>
        </w:rPr>
        <w:t>（参见图1）。</w:t>
      </w:r>
    </w:p>
    <w:p>
      <w:pPr>
        <w:pStyle w:val="168"/>
        <w:rPr>
          <w:rFonts w:hint="eastAsia"/>
        </w:rPr>
      </w:pPr>
      <w:r>
        <w:rPr>
          <w:rFonts w:hint="eastAsia"/>
        </w:rPr>
        <w:t>应选择钢结构或钢筋混凝土，宜采用模块化箱式钢结构，满足整体吊装要求。箱体长度宜为10m，宽度宜为3m，高度宜为3.2 m</w:t>
      </w:r>
      <w:r>
        <w:rPr>
          <w:rStyle w:val="33"/>
          <w:rFonts w:hint="eastAsia"/>
          <w:szCs w:val="20"/>
        </w:rPr>
        <w:commentReference w:id="7"/>
      </w:r>
      <w:r>
        <w:rPr>
          <w:rFonts w:hint="eastAsia"/>
        </w:rPr>
        <w:t>。</w:t>
      </w:r>
    </w:p>
    <w:p>
      <w:pPr>
        <w:pStyle w:val="168"/>
        <w:rPr>
          <w:rFonts w:hint="eastAsia"/>
        </w:rPr>
      </w:pPr>
      <w:r>
        <w:rPr>
          <w:rFonts w:hint="eastAsia"/>
        </w:rPr>
        <w:t>用于观测收费广场和车道的一侧应采用无色透明玻璃设计，合理设置遮阳设施；室内地面应高于收费广场地坪面 0.90 m</w:t>
      </w:r>
      <w:r>
        <w:rPr>
          <w:rFonts w:hint="eastAsia" w:cs="黑体"/>
          <w:spacing w:val="-2"/>
        </w:rPr>
        <w:t>。</w:t>
      </w:r>
      <w:r>
        <w:rPr>
          <w:rStyle w:val="33"/>
          <w:rFonts w:hint="eastAsia"/>
          <w:szCs w:val="20"/>
        </w:rPr>
        <w:commentReference w:id="8"/>
      </w:r>
    </w:p>
    <w:p>
      <w:pPr>
        <w:pStyle w:val="168"/>
        <w:rPr>
          <w:rFonts w:hint="eastAsia"/>
        </w:rPr>
      </w:pPr>
      <w:r>
        <w:rPr>
          <w:rFonts w:hint="eastAsia"/>
        </w:rPr>
        <w:t>内部系统应包括装饰装修、电气工程、通风与空调系统,智能化系统、综合布线系统、消防系统等。</w:t>
      </w:r>
    </w:p>
    <w:p>
      <w:pPr>
        <w:pStyle w:val="168"/>
        <w:rPr>
          <w:rFonts w:hint="eastAsia"/>
        </w:rPr>
      </w:pPr>
      <w:r>
        <w:rPr>
          <w:rFonts w:hint="eastAsia"/>
        </w:rPr>
        <w:t>宜采用独立供电回路,配置的机房应采用UPS供电,后备电源供电时间应根据实际响应时间合理配置,并对供电情况进行实时监测。</w:t>
      </w:r>
    </w:p>
    <w:p>
      <w:pPr>
        <w:pStyle w:val="168"/>
        <w:rPr>
          <w:rFonts w:hint="eastAsia"/>
        </w:rPr>
      </w:pPr>
      <w:r>
        <w:rPr>
          <w:rFonts w:hint="eastAsia"/>
        </w:rPr>
        <w:t>电气设施应满足防雷接地要求，联合接地电阻应≤1Ω，独立接地电阻应≤4Ω。</w:t>
      </w:r>
      <w:r>
        <w:rPr>
          <w:rStyle w:val="33"/>
          <w:rFonts w:hint="eastAsia"/>
          <w:szCs w:val="20"/>
        </w:rPr>
        <w:commentReference w:id="9"/>
      </w:r>
    </w:p>
    <w:p>
      <w:pPr>
        <w:pStyle w:val="168"/>
        <w:rPr>
          <w:rFonts w:hint="eastAsia"/>
        </w:rPr>
      </w:pPr>
      <w:r>
        <w:rPr>
          <w:rFonts w:hint="eastAsia"/>
        </w:rPr>
        <w:t>设计使用年限应不小于20年。</w:t>
      </w:r>
      <w:r>
        <w:rPr>
          <w:rStyle w:val="33"/>
          <w:rFonts w:hint="eastAsia"/>
          <w:szCs w:val="20"/>
        </w:rPr>
        <w:commentReference w:id="10"/>
      </w:r>
    </w:p>
    <w:p>
      <w:pPr>
        <w:pStyle w:val="168"/>
        <w:numPr>
          <w:ilvl w:val="0"/>
          <w:numId w:val="0"/>
        </w:numPr>
        <w:rPr>
          <w:rFonts w:hint="eastAsia"/>
        </w:rPr>
      </w:pPr>
      <w:r>
        <w:rPr>
          <w:rFonts w:hint="eastAsia"/>
        </w:rPr>
        <w:t xml:space="preserve">                      </w:t>
      </w:r>
    </w:p>
    <w:p>
      <w:pPr>
        <w:pStyle w:val="168"/>
        <w:numPr>
          <w:ilvl w:val="0"/>
          <w:numId w:val="0"/>
        </w:numPr>
        <w:rPr>
          <w:rFonts w:hint="eastAsia"/>
        </w:rPr>
      </w:pPr>
      <w:r>
        <w:rPr>
          <w:rFonts w:hint="eastAsia"/>
        </w:rPr>
        <w:t xml:space="preserve">          </w:t>
      </w:r>
      <w:r>
        <w:rPr>
          <w:rFonts w:hint="eastAsia"/>
        </w:rPr>
        <w:drawing>
          <wp:inline distT="0" distB="0" distL="114300" distR="114300">
            <wp:extent cx="5049520" cy="3025775"/>
            <wp:effectExtent l="0" t="0" r="0" b="6985"/>
            <wp:docPr id="9" name="图片 9" descr="17c7214a-2137-4166-ab38-07d76f4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c7214a-2137-4166-ab38-07d76f421703"/>
                    <pic:cNvPicPr>
                      <a:picLocks noChangeAspect="1"/>
                    </pic:cNvPicPr>
                  </pic:nvPicPr>
                  <pic:blipFill>
                    <a:blip r:embed="rId13">
                      <a:clrChange>
                        <a:clrFrom>
                          <a:srgbClr val="000000">
                            <a:alpha val="100000"/>
                          </a:srgbClr>
                        </a:clrFrom>
                        <a:clrTo>
                          <a:srgbClr val="000000">
                            <a:alpha val="100000"/>
                            <a:alpha val="0"/>
                          </a:srgbClr>
                        </a:clrTo>
                      </a:clrChange>
                      <a:lum bright="-100000" contrast="-100000"/>
                    </a:blip>
                    <a:stretch>
                      <a:fillRect/>
                    </a:stretch>
                  </pic:blipFill>
                  <pic:spPr>
                    <a:xfrm>
                      <a:off x="0" y="0"/>
                      <a:ext cx="5049520" cy="3025775"/>
                    </a:xfrm>
                    <a:prstGeom prst="rect">
                      <a:avLst/>
                    </a:prstGeom>
                  </pic:spPr>
                </pic:pic>
              </a:graphicData>
            </a:graphic>
          </wp:inline>
        </w:drawing>
      </w:r>
    </w:p>
    <w:p>
      <w:pPr>
        <w:pStyle w:val="117"/>
        <w:spacing w:before="156" w:after="156"/>
      </w:pPr>
      <w:r>
        <w:rPr>
          <w:rFonts w:hint="eastAsia"/>
        </w:rPr>
        <w:t xml:space="preserve"> 基础型智慧云舱平面功能示例</w:t>
      </w:r>
    </w:p>
    <w:bookmarkEnd w:id="25"/>
    <w:p>
      <w:pPr>
        <w:pStyle w:val="37"/>
        <w:spacing w:before="312" w:after="312"/>
      </w:pPr>
      <w:bookmarkStart w:id="80" w:name="_Toc24702"/>
      <w:bookmarkStart w:id="81" w:name="BookMark6"/>
      <w:r>
        <w:rPr>
          <w:rFonts w:hint="eastAsia"/>
        </w:rPr>
        <w:t>匝道预交易交通安全设施</w:t>
      </w:r>
      <w:bookmarkEnd w:id="80"/>
    </w:p>
    <w:p>
      <w:pPr>
        <w:pStyle w:val="39"/>
        <w:spacing w:before="156" w:after="156"/>
      </w:pPr>
      <w:bookmarkStart w:id="82" w:name="_Toc331"/>
      <w:bookmarkStart w:id="83" w:name="_Toc32604"/>
      <w:r>
        <w:rPr>
          <w:rFonts w:hint="eastAsia"/>
        </w:rPr>
        <w:t>基本</w:t>
      </w:r>
      <w:bookmarkEnd w:id="82"/>
      <w:r>
        <w:rPr>
          <w:rFonts w:hint="eastAsia"/>
        </w:rPr>
        <w:t>规定</w:t>
      </w:r>
      <w:bookmarkEnd w:id="83"/>
      <w:r>
        <w:rPr>
          <w:rFonts w:hint="eastAsia"/>
        </w:rPr>
        <w:t xml:space="preserve"> </w:t>
      </w:r>
    </w:p>
    <w:p>
      <w:pPr>
        <w:pStyle w:val="168"/>
        <w:rPr>
          <w:rFonts w:hint="eastAsia"/>
        </w:rPr>
      </w:pPr>
      <w:bookmarkStart w:id="84" w:name="_Toc111445781"/>
      <w:bookmarkStart w:id="85" w:name="_Toc25775"/>
      <w:r>
        <w:rPr>
          <w:rFonts w:hint="eastAsia"/>
        </w:rPr>
        <w:t>匝道预交易交通安全设施的设置应满足现行国家和行业标准要求。</w:t>
      </w:r>
    </w:p>
    <w:p>
      <w:pPr>
        <w:pStyle w:val="168"/>
        <w:rPr>
          <w:rFonts w:hint="eastAsia"/>
        </w:rPr>
      </w:pPr>
      <w:r>
        <w:rPr>
          <w:rFonts w:hint="eastAsia"/>
        </w:rPr>
        <w:t>标志、标线传递的信息应明确、简洁、含义一致、互为补充，不应产生歧义，并与其他设施相协调。</w:t>
      </w:r>
    </w:p>
    <w:p>
      <w:pPr>
        <w:pStyle w:val="168"/>
        <w:rPr>
          <w:rFonts w:hint="eastAsia"/>
        </w:rPr>
      </w:pPr>
      <w:r>
        <w:rPr>
          <w:rFonts w:hint="eastAsia"/>
        </w:rPr>
        <w:t>道路交通标志和标线不应传递与道路交通无关的信息</w:t>
      </w:r>
      <w:r>
        <w:t>。</w:t>
      </w:r>
    </w:p>
    <w:p>
      <w:pPr>
        <w:pStyle w:val="168"/>
        <w:rPr>
          <w:rFonts w:hint="eastAsia"/>
        </w:rPr>
      </w:pPr>
      <w:r>
        <w:rPr>
          <w:rFonts w:hint="eastAsia"/>
        </w:rPr>
        <w:t>交通标志之间、交通标志与机电杆件设备之间应避免相互遮挡，可共杆设置的宜共杆设置，示例参见附录D。</w:t>
      </w:r>
    </w:p>
    <w:p>
      <w:pPr>
        <w:pStyle w:val="39"/>
        <w:spacing w:before="156" w:after="156"/>
      </w:pPr>
      <w:bookmarkStart w:id="86" w:name="_Toc10337"/>
      <w:r>
        <w:rPr>
          <w:rFonts w:hint="eastAsia"/>
        </w:rPr>
        <w:t>交通标志</w:t>
      </w:r>
      <w:bookmarkEnd w:id="84"/>
      <w:bookmarkEnd w:id="85"/>
      <w:bookmarkEnd w:id="86"/>
    </w:p>
    <w:p>
      <w:pPr>
        <w:pStyle w:val="168"/>
        <w:rPr>
          <w:rFonts w:hint="eastAsia"/>
        </w:rPr>
      </w:pPr>
      <w:r>
        <w:rPr>
          <w:rFonts w:hint="eastAsia"/>
        </w:rPr>
        <w:t>交通标志的任何部位不应侵入公路建筑限界。</w:t>
      </w:r>
    </w:p>
    <w:p>
      <w:pPr>
        <w:pStyle w:val="168"/>
        <w:rPr>
          <w:rFonts w:hint="eastAsia"/>
        </w:rPr>
      </w:pPr>
      <w:r>
        <w:rPr>
          <w:rFonts w:hint="eastAsia"/>
        </w:rPr>
        <w:t>交通标志设置不应影响安全行车视距。</w:t>
      </w:r>
    </w:p>
    <w:p>
      <w:pPr>
        <w:pStyle w:val="168"/>
        <w:rPr>
          <w:rFonts w:hint="eastAsia"/>
        </w:rPr>
      </w:pPr>
      <w:r>
        <w:rPr>
          <w:rFonts w:hint="eastAsia"/>
        </w:rPr>
        <w:t>收费广场应设置入口拒超标志、组合禁令标志、分时段长途客车禁止驶入标志、分时段危险品车禁止驶入标志、广场内限制速度标志、入口超限检测标志、车道功能告示标志、车道指引标志、</w:t>
      </w:r>
      <w:r>
        <w:rPr>
          <w:rFonts w:hAnsi="Times New Roman"/>
        </w:rPr>
        <w:t>货车称重靠右标志</w:t>
      </w:r>
      <w:r>
        <w:rPr>
          <w:rFonts w:hint="eastAsia"/>
        </w:rPr>
        <w:t>、</w:t>
      </w:r>
      <w:r>
        <w:rPr>
          <w:rFonts w:hAnsi="Times New Roman"/>
        </w:rPr>
        <w:t>广场内禁止车辆停放标志</w:t>
      </w:r>
      <w:r>
        <w:rPr>
          <w:rFonts w:hint="eastAsia"/>
        </w:rPr>
        <w:t>、</w:t>
      </w:r>
      <w:r>
        <w:rPr>
          <w:rFonts w:hAnsi="Times New Roman"/>
        </w:rPr>
        <w:t>限制速度标志</w:t>
      </w:r>
      <w:r>
        <w:rPr>
          <w:rFonts w:hint="eastAsia" w:hAnsi="Times New Roman"/>
        </w:rPr>
        <w:t>等，可设置</w:t>
      </w:r>
      <w:r>
        <w:rPr>
          <w:rFonts w:hint="eastAsia"/>
        </w:rPr>
        <w:t>收费站标志。</w:t>
      </w:r>
    </w:p>
    <w:p>
      <w:pPr>
        <w:pStyle w:val="168"/>
        <w:rPr>
          <w:rFonts w:hint="eastAsia"/>
        </w:rPr>
      </w:pPr>
      <w:r>
        <w:rPr>
          <w:rFonts w:hint="eastAsia"/>
        </w:rPr>
        <w:t>收费站广场长度较短时，收费站标志、车道指引标志、入口超限检测标志支撑结构可采用门架式，设置于同一断面，示例参见附录E。</w:t>
      </w:r>
    </w:p>
    <w:p>
      <w:pPr>
        <w:pStyle w:val="168"/>
        <w:rPr>
          <w:rFonts w:hAnsi="Times New Roman"/>
        </w:rPr>
      </w:pPr>
      <w:r>
        <w:rPr>
          <w:rFonts w:hint="eastAsia" w:hAnsi="Times New Roman"/>
        </w:rPr>
        <w:t>分时段禁止长途客车驶入标志、分时段禁止危险品运输车辆驶入标志可共杆设置，</w:t>
      </w:r>
      <w:r>
        <w:rPr>
          <w:rFonts w:hint="eastAsia"/>
        </w:rPr>
        <w:t>示例参见附录F；节假日免费通行告示标志可通过可变情报板进行显示。</w:t>
      </w:r>
    </w:p>
    <w:p>
      <w:pPr>
        <w:pStyle w:val="168"/>
        <w:rPr>
          <w:rFonts w:hint="eastAsia"/>
        </w:rPr>
      </w:pPr>
      <w:r>
        <w:rPr>
          <w:rFonts w:hint="eastAsia"/>
        </w:rPr>
        <w:t>组合禁令标志，示例参见附录E，设置于收费站入口前靠近平交口的适当位置，下方附着“超限车辆、禁止通行”辅助标志。</w:t>
      </w:r>
    </w:p>
    <w:p>
      <w:pPr>
        <w:pStyle w:val="168"/>
        <w:rPr>
          <w:rFonts w:hint="eastAsia"/>
        </w:rPr>
      </w:pPr>
      <w:r>
        <w:t>货车称重靠右标志</w:t>
      </w:r>
      <w:r>
        <w:rPr>
          <w:rFonts w:hint="eastAsia"/>
        </w:rPr>
        <w:t>，附着于车道指引标志立柱上，共杆布置，示例参见附录E。</w:t>
      </w:r>
    </w:p>
    <w:p>
      <w:pPr>
        <w:pStyle w:val="168"/>
        <w:rPr>
          <w:rFonts w:hint="eastAsia"/>
        </w:rPr>
      </w:pPr>
      <w:r>
        <w:rPr>
          <w:rFonts w:hint="eastAsia"/>
        </w:rPr>
        <w:t>收费站预告标志与收费站标志，示例参见附录E，在距主线收费站收费广场渐变段起点2km、1km、500m及渐变段起点处应对应设置收费站预告标志与收费站标志；在收费站内、外广场前适当位置可设置收费站标志。</w:t>
      </w:r>
    </w:p>
    <w:p>
      <w:pPr>
        <w:pStyle w:val="168"/>
        <w:rPr>
          <w:rFonts w:hint="eastAsia"/>
        </w:rPr>
      </w:pPr>
      <w:r>
        <w:rPr>
          <w:rFonts w:hint="eastAsia"/>
        </w:rPr>
        <w:t>入</w:t>
      </w:r>
      <w:r>
        <w:t>口拒超标志</w:t>
      </w:r>
      <w:r>
        <w:rPr>
          <w:rFonts w:hint="eastAsia"/>
        </w:rPr>
        <w:t>，设置在与互通匝道相交的地方道路上，示例参见附录E。</w:t>
      </w:r>
    </w:p>
    <w:p>
      <w:pPr>
        <w:pStyle w:val="168"/>
        <w:rPr>
          <w:rFonts w:hint="eastAsia"/>
        </w:rPr>
      </w:pPr>
      <w:r>
        <w:t>入口超限检测标志</w:t>
      </w:r>
      <w:r>
        <w:rPr>
          <w:rFonts w:hint="eastAsia"/>
        </w:rPr>
        <w:t>，设置于收费站外广场前适当位置，示例参见附录E。</w:t>
      </w:r>
    </w:p>
    <w:p>
      <w:pPr>
        <w:pStyle w:val="168"/>
        <w:rPr>
          <w:rFonts w:hint="eastAsia"/>
        </w:rPr>
      </w:pPr>
      <w:r>
        <w:rPr>
          <w:rFonts w:hint="eastAsia"/>
        </w:rPr>
        <w:t>绿通车辆核验标志，设置于入口及出口收费车道正上方，标志内容应与车道功能匹配，与机电设施中收费车道信息信号显示统一，示例参见附录F。</w:t>
      </w:r>
    </w:p>
    <w:p>
      <w:pPr>
        <w:pStyle w:val="168"/>
        <w:rPr>
          <w:rFonts w:hint="eastAsia"/>
        </w:rPr>
      </w:pPr>
      <w:r>
        <w:t>限制速度标志</w:t>
      </w:r>
      <w:r>
        <w:rPr>
          <w:rFonts w:hint="eastAsia"/>
        </w:rPr>
        <w:t>，附着于</w:t>
      </w:r>
      <w:r>
        <w:t>收费站标志</w:t>
      </w:r>
      <w:r>
        <w:rPr>
          <w:rFonts w:hint="eastAsia"/>
        </w:rPr>
        <w:t>立柱上，共杆布置，示例参见附录E。</w:t>
      </w:r>
    </w:p>
    <w:p>
      <w:pPr>
        <w:pStyle w:val="168"/>
        <w:rPr>
          <w:rFonts w:hint="eastAsia"/>
        </w:rPr>
      </w:pPr>
      <w:r>
        <w:t>广场内禁止车辆停放标志</w:t>
      </w:r>
      <w:r>
        <w:rPr>
          <w:rFonts w:hint="eastAsia"/>
        </w:rPr>
        <w:t>，收费站内、外广场前的适当位置，单柱式或附着式，板下缘距路面的高度为2.5m，示例参见附录E。</w:t>
      </w:r>
    </w:p>
    <w:p>
      <w:pPr>
        <w:pStyle w:val="168"/>
        <w:rPr>
          <w:rFonts w:hint="eastAsia"/>
        </w:rPr>
      </w:pPr>
      <w:r>
        <w:t>车道</w:t>
      </w:r>
      <w:r>
        <w:rPr>
          <w:rFonts w:hint="eastAsia"/>
        </w:rPr>
        <w:t>功能告示</w:t>
      </w:r>
      <w:r>
        <w:t>标志</w:t>
      </w:r>
      <w:r>
        <w:rPr>
          <w:rFonts w:hint="eastAsia"/>
        </w:rPr>
        <w:t>，设置于入口及出口收费岛岛头位置，单柱式，标志板下缘距岛面的高度为 2.5m，如图2所示。</w:t>
      </w:r>
    </w:p>
    <w:tbl>
      <w:tblPr>
        <w:tblStyle w:val="36"/>
        <w:tblW w:w="95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6"/>
        <w:gridCol w:w="2181"/>
        <w:gridCol w:w="2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28" w:hRule="atLeast"/>
        </w:trPr>
        <w:tc>
          <w:tcPr>
            <w:tcW w:w="5016" w:type="dxa"/>
            <w:tcBorders>
              <w:tl2br w:val="nil"/>
              <w:tr2bl w:val="nil"/>
            </w:tcBorders>
          </w:tcPr>
          <w:p>
            <w:pPr>
              <w:pStyle w:val="168"/>
              <w:numPr>
                <w:ilvl w:val="0"/>
                <w:numId w:val="0"/>
              </w:numPr>
              <w:rPr>
                <w:rFonts w:hint="eastAsia"/>
              </w:rPr>
            </w:pPr>
            <w:r>
              <w:rPr>
                <w:rFonts w:hint="eastAsia"/>
              </w:rPr>
              <w:drawing>
                <wp:inline distT="0" distB="0" distL="114300" distR="114300">
                  <wp:extent cx="3041650" cy="2647315"/>
                  <wp:effectExtent l="0" t="0" r="6350" b="4445"/>
                  <wp:docPr id="2" name="图片 2" descr="99d3faced976df375e4e3c76220a8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d3faced976df375e4e3c76220a82f6"/>
                          <pic:cNvPicPr>
                            <a:picLocks noChangeAspect="1"/>
                          </pic:cNvPicPr>
                        </pic:nvPicPr>
                        <pic:blipFill>
                          <a:blip r:embed="rId14"/>
                          <a:stretch>
                            <a:fillRect/>
                          </a:stretch>
                        </pic:blipFill>
                        <pic:spPr>
                          <a:xfrm>
                            <a:off x="0" y="0"/>
                            <a:ext cx="3041650" cy="2647315"/>
                          </a:xfrm>
                          <a:prstGeom prst="rect">
                            <a:avLst/>
                          </a:prstGeom>
                        </pic:spPr>
                      </pic:pic>
                    </a:graphicData>
                  </a:graphic>
                </wp:inline>
              </w:drawing>
            </w:r>
          </w:p>
        </w:tc>
        <w:tc>
          <w:tcPr>
            <w:tcW w:w="2181" w:type="dxa"/>
            <w:tcBorders>
              <w:tl2br w:val="nil"/>
              <w:tr2bl w:val="nil"/>
            </w:tcBorders>
          </w:tcPr>
          <w:p>
            <w:pPr>
              <w:pStyle w:val="168"/>
              <w:numPr>
                <w:ilvl w:val="0"/>
                <w:numId w:val="0"/>
              </w:numPr>
              <w:rPr>
                <w:rFonts w:hint="eastAsia"/>
              </w:rPr>
            </w:pPr>
            <w:r>
              <w:rPr>
                <w:rFonts w:hint="eastAsia"/>
              </w:rPr>
              <w:t xml:space="preserve"> </w:t>
            </w:r>
          </w:p>
          <w:p>
            <w:pPr>
              <w:pStyle w:val="168"/>
              <w:numPr>
                <w:ilvl w:val="0"/>
                <w:numId w:val="0"/>
              </w:numPr>
              <w:rPr>
                <w:rFonts w:hint="eastAsia"/>
              </w:rPr>
            </w:pPr>
          </w:p>
          <w:p>
            <w:pPr>
              <w:pStyle w:val="168"/>
              <w:numPr>
                <w:ilvl w:val="0"/>
                <w:numId w:val="0"/>
              </w:numPr>
              <w:rPr>
                <w:rFonts w:hint="eastAsia"/>
              </w:rPr>
            </w:pPr>
            <w:r>
              <w:rPr>
                <w:rFonts w:hint="eastAsia"/>
              </w:rPr>
              <w:t xml:space="preserve"> </w:t>
            </w:r>
          </w:p>
          <w:p>
            <w:pPr>
              <w:pStyle w:val="168"/>
              <w:numPr>
                <w:ilvl w:val="0"/>
                <w:numId w:val="0"/>
              </w:numPr>
              <w:rPr>
                <w:rFonts w:hint="eastAsia"/>
              </w:rPr>
            </w:pPr>
          </w:p>
          <w:p>
            <w:pPr>
              <w:pStyle w:val="168"/>
              <w:numPr>
                <w:ilvl w:val="0"/>
                <w:numId w:val="0"/>
              </w:numPr>
              <w:rPr>
                <w:rFonts w:hint="eastAsia"/>
              </w:rPr>
            </w:pPr>
            <w:r>
              <w:rPr>
                <w:rFonts w:hint="eastAsia"/>
              </w:rPr>
              <w:t xml:space="preserve">    </w:t>
            </w:r>
            <w:r>
              <w:drawing>
                <wp:inline distT="0" distB="0" distL="114300" distR="114300">
                  <wp:extent cx="759460" cy="1485265"/>
                  <wp:effectExtent l="0" t="0" r="2540"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759460" cy="1485265"/>
                          </a:xfrm>
                          <a:prstGeom prst="rect">
                            <a:avLst/>
                          </a:prstGeom>
                          <a:noFill/>
                          <a:ln>
                            <a:noFill/>
                          </a:ln>
                        </pic:spPr>
                      </pic:pic>
                    </a:graphicData>
                  </a:graphic>
                </wp:inline>
              </w:drawing>
            </w:r>
          </w:p>
        </w:tc>
        <w:tc>
          <w:tcPr>
            <w:tcW w:w="2373" w:type="dxa"/>
            <w:tcBorders>
              <w:tl2br w:val="nil"/>
              <w:tr2bl w:val="nil"/>
            </w:tcBorders>
          </w:tcPr>
          <w:p>
            <w:pPr>
              <w:pStyle w:val="168"/>
              <w:numPr>
                <w:ilvl w:val="0"/>
                <w:numId w:val="0"/>
              </w:numPr>
              <w:rPr>
                <w:rFonts w:hint="eastAsia"/>
              </w:rPr>
            </w:pPr>
            <w:r>
              <w:rPr>
                <w:rFonts w:hint="eastAsia"/>
              </w:rPr>
              <w:t xml:space="preserve">  </w:t>
            </w:r>
          </w:p>
          <w:p>
            <w:pPr>
              <w:pStyle w:val="168"/>
              <w:numPr>
                <w:ilvl w:val="0"/>
                <w:numId w:val="0"/>
              </w:numPr>
              <w:rPr>
                <w:rFonts w:hint="eastAsia"/>
              </w:rPr>
            </w:pPr>
          </w:p>
          <w:p>
            <w:pPr>
              <w:pStyle w:val="168"/>
              <w:numPr>
                <w:ilvl w:val="0"/>
                <w:numId w:val="0"/>
              </w:numPr>
              <w:rPr>
                <w:rFonts w:hint="eastAsia"/>
              </w:rPr>
            </w:pPr>
            <w:r>
              <w:rPr>
                <w:rFonts w:hint="eastAsia"/>
              </w:rPr>
              <w:t xml:space="preserve">   </w:t>
            </w:r>
          </w:p>
          <w:p>
            <w:pPr>
              <w:pStyle w:val="168"/>
              <w:numPr>
                <w:ilvl w:val="0"/>
                <w:numId w:val="0"/>
              </w:numPr>
              <w:rPr>
                <w:rFonts w:hint="eastAsia"/>
              </w:rPr>
            </w:pPr>
          </w:p>
          <w:p>
            <w:pPr>
              <w:pStyle w:val="168"/>
              <w:numPr>
                <w:ilvl w:val="0"/>
                <w:numId w:val="0"/>
              </w:numPr>
              <w:rPr>
                <w:rFonts w:hint="eastAsia"/>
              </w:rPr>
            </w:pPr>
            <w:r>
              <w:rPr>
                <w:rFonts w:hint="eastAsia"/>
              </w:rPr>
              <w:t xml:space="preserve">     </w:t>
            </w:r>
            <w:r>
              <w:drawing>
                <wp:inline distT="0" distB="0" distL="114300" distR="114300">
                  <wp:extent cx="1504950" cy="788035"/>
                  <wp:effectExtent l="0" t="0" r="1206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rot="16200000">
                            <a:off x="0" y="0"/>
                            <a:ext cx="1504950" cy="788035"/>
                          </a:xfrm>
                          <a:prstGeom prst="rect">
                            <a:avLst/>
                          </a:prstGeom>
                          <a:noFill/>
                          <a:ln>
                            <a:noFill/>
                          </a:ln>
                        </pic:spPr>
                      </pic:pic>
                    </a:graphicData>
                  </a:graphic>
                </wp:inline>
              </w:drawing>
            </w:r>
          </w:p>
        </w:tc>
      </w:tr>
    </w:tbl>
    <w:p>
      <w:pPr>
        <w:pStyle w:val="117"/>
        <w:spacing w:before="156" w:after="156"/>
      </w:pPr>
      <w:r>
        <w:t>车道功能告示标志</w:t>
      </w:r>
      <w:r>
        <w:rPr>
          <w:rFonts w:hint="eastAsia"/>
        </w:rPr>
        <w:t>示例</w:t>
      </w:r>
    </w:p>
    <w:p>
      <w:pPr>
        <w:pStyle w:val="39"/>
        <w:spacing w:before="156" w:after="156"/>
      </w:pPr>
      <w:bookmarkStart w:id="87" w:name="_Toc7913"/>
      <w:bookmarkStart w:id="88" w:name="_Toc11049"/>
      <w:r>
        <w:rPr>
          <w:rFonts w:hint="eastAsia"/>
        </w:rPr>
        <w:t>交通标线</w:t>
      </w:r>
      <w:bookmarkEnd w:id="87"/>
      <w:bookmarkEnd w:id="88"/>
    </w:p>
    <w:p>
      <w:pPr>
        <w:pStyle w:val="168"/>
        <w:rPr>
          <w:rFonts w:hint="eastAsia"/>
        </w:rPr>
      </w:pPr>
      <w:r>
        <w:rPr>
          <w:rFonts w:hint="eastAsia"/>
        </w:rPr>
        <w:t>收费车道标线包括：收费岛标线、车道分界线、导向箭头、引导线组等，如图3所示。</w:t>
      </w:r>
    </w:p>
    <w:p>
      <w:pPr>
        <w:pStyle w:val="185"/>
        <w:ind w:firstLine="0" w:firstLineChars="0"/>
        <w:jc w:val="center"/>
      </w:pPr>
      <w:r>
        <w:drawing>
          <wp:inline distT="0" distB="0" distL="114300" distR="114300">
            <wp:extent cx="5936615" cy="1782445"/>
            <wp:effectExtent l="0" t="0" r="6985" b="8255"/>
            <wp:docPr id="5836598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59821" name="图片 4"/>
                    <pic:cNvPicPr>
                      <a:picLocks noChangeAspect="1"/>
                    </pic:cNvPicPr>
                  </pic:nvPicPr>
                  <pic:blipFill>
                    <a:blip r:embed="rId17"/>
                    <a:stretch>
                      <a:fillRect/>
                    </a:stretch>
                  </pic:blipFill>
                  <pic:spPr>
                    <a:xfrm>
                      <a:off x="0" y="0"/>
                      <a:ext cx="5936615" cy="1782445"/>
                    </a:xfrm>
                    <a:prstGeom prst="rect">
                      <a:avLst/>
                    </a:prstGeom>
                    <a:noFill/>
                    <a:ln>
                      <a:noFill/>
                    </a:ln>
                  </pic:spPr>
                </pic:pic>
              </a:graphicData>
            </a:graphic>
          </wp:inline>
        </w:drawing>
      </w:r>
    </w:p>
    <w:p>
      <w:pPr>
        <w:pStyle w:val="117"/>
        <w:spacing w:before="156" w:after="156"/>
      </w:pPr>
      <w:r>
        <w:rPr>
          <w:rFonts w:hint="eastAsia"/>
        </w:rPr>
        <w:t>收费车道标线设置示例</w:t>
      </w:r>
    </w:p>
    <w:p>
      <w:pPr>
        <w:pStyle w:val="168"/>
        <w:rPr>
          <w:rFonts w:hint="eastAsia"/>
        </w:rPr>
      </w:pPr>
      <w:r>
        <w:rPr>
          <w:rFonts w:hint="eastAsia"/>
        </w:rPr>
        <w:t>收费岛标线，用以表示收费车道的位置,分向处收费岛标线为黄色,其余收费岛标线为白色。收费岛标线由轮廓线、填充线和粗实线组成。轮廓线为单实线，线宽15cm；填充线可分为V型线和斜纹线两种,填充线宽45cm，间距1m，与行驶方向成45°；粗实线线宽20cm；引导线组为黄色实线，呈折线形，折角 90°，设置五道，线宽45cm,间距150cm，横向宽度250cm。</w:t>
      </w:r>
    </w:p>
    <w:p>
      <w:pPr>
        <w:pStyle w:val="168"/>
        <w:rPr>
          <w:rFonts w:hint="eastAsia"/>
        </w:rPr>
      </w:pPr>
      <w:r>
        <w:rPr>
          <w:rFonts w:hint="eastAsia"/>
        </w:rPr>
        <w:t>收费广场可根据需要设置收费广场减速标线，如图4所示，设置参数应符合GB5768.3-2025  7.4条的规定。</w:t>
      </w:r>
    </w:p>
    <w:p>
      <w:pPr>
        <w:pStyle w:val="185"/>
        <w:ind w:firstLine="0" w:firstLineChars="0"/>
        <w:jc w:val="center"/>
      </w:pPr>
      <w:r>
        <w:rPr>
          <w:rFonts w:hint="eastAsia"/>
        </w:rPr>
        <w:drawing>
          <wp:inline distT="0" distB="0" distL="114300" distR="114300">
            <wp:extent cx="4472940" cy="1769110"/>
            <wp:effectExtent l="0" t="0" r="0" b="0"/>
            <wp:docPr id="27"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2"/>
                    <pic:cNvPicPr>
                      <a:picLocks noChangeAspect="1"/>
                    </pic:cNvPicPr>
                  </pic:nvPicPr>
                  <pic:blipFill>
                    <a:blip r:embed="rId18"/>
                    <a:srcRect b="13424"/>
                    <a:stretch>
                      <a:fillRect/>
                    </a:stretch>
                  </pic:blipFill>
                  <pic:spPr>
                    <a:xfrm>
                      <a:off x="0" y="0"/>
                      <a:ext cx="4472940" cy="1769110"/>
                    </a:xfrm>
                    <a:prstGeom prst="rect">
                      <a:avLst/>
                    </a:prstGeom>
                  </pic:spPr>
                </pic:pic>
              </a:graphicData>
            </a:graphic>
          </wp:inline>
        </w:drawing>
      </w:r>
    </w:p>
    <w:p>
      <w:pPr>
        <w:pStyle w:val="117"/>
        <w:spacing w:before="156" w:after="156"/>
      </w:pPr>
      <w:r>
        <w:rPr>
          <w:rFonts w:hint="eastAsia"/>
        </w:rPr>
        <w:t>收费广场减速标线设置示例</w:t>
      </w:r>
    </w:p>
    <w:p>
      <w:pPr>
        <w:pStyle w:val="168"/>
        <w:rPr>
          <w:rFonts w:hint="eastAsia"/>
        </w:rPr>
      </w:pPr>
      <w:r>
        <w:rPr>
          <w:rFonts w:hint="eastAsia"/>
        </w:rPr>
        <w:t>收费岛立面标记为黄黑相间，宽度为15cm，与行车方向成45°斜交型，如图5所示。</w:t>
      </w:r>
    </w:p>
    <w:p>
      <w:pPr>
        <w:pStyle w:val="185"/>
        <w:ind w:firstLine="0" w:firstLineChars="0"/>
        <w:jc w:val="center"/>
      </w:pPr>
      <w:r>
        <w:rPr>
          <w:rFonts w:hint="eastAsia"/>
        </w:rPr>
        <w:t xml:space="preserve">         </w:t>
      </w:r>
      <w:r>
        <w:drawing>
          <wp:inline distT="0" distB="0" distL="114300" distR="114300">
            <wp:extent cx="3376930" cy="2077720"/>
            <wp:effectExtent l="0" t="0" r="13970" b="17780"/>
            <wp:docPr id="10" name="图片 10" descr="b97ed936e3d5edceb88fa326dcbe2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97ed936e3d5edceb88fa326dcbe2fad"/>
                    <pic:cNvPicPr>
                      <a:picLocks noChangeAspect="1"/>
                    </pic:cNvPicPr>
                  </pic:nvPicPr>
                  <pic:blipFill>
                    <a:blip r:embed="rId19"/>
                    <a:stretch>
                      <a:fillRect/>
                    </a:stretch>
                  </pic:blipFill>
                  <pic:spPr>
                    <a:xfrm>
                      <a:off x="0" y="0"/>
                      <a:ext cx="3376930" cy="2077720"/>
                    </a:xfrm>
                    <a:prstGeom prst="rect">
                      <a:avLst/>
                    </a:prstGeom>
                  </pic:spPr>
                </pic:pic>
              </a:graphicData>
            </a:graphic>
          </wp:inline>
        </w:drawing>
      </w:r>
    </w:p>
    <w:p>
      <w:pPr>
        <w:pStyle w:val="117"/>
        <w:spacing w:before="156" w:after="156"/>
      </w:pPr>
      <w:r>
        <w:rPr>
          <w:rFonts w:hint="eastAsia"/>
        </w:rPr>
        <w:t>收费岛立面标记设置示例</w:t>
      </w:r>
    </w:p>
    <w:p>
      <w:pPr>
        <w:pStyle w:val="39"/>
        <w:spacing w:before="156" w:after="156"/>
      </w:pPr>
      <w:bookmarkStart w:id="89" w:name="_Toc7997"/>
      <w:r>
        <w:rPr>
          <w:rFonts w:hint="eastAsia"/>
        </w:rPr>
        <w:t>防撞设施</w:t>
      </w:r>
      <w:bookmarkEnd w:id="89"/>
    </w:p>
    <w:p>
      <w:pPr>
        <w:pStyle w:val="168"/>
        <w:rPr>
          <w:rFonts w:hint="eastAsia"/>
        </w:rPr>
      </w:pPr>
      <w:r>
        <w:rPr>
          <w:rFonts w:hint="eastAsia"/>
        </w:rPr>
        <w:t>收费广场路侧安全净区范围内存在交通标志、路灯、摄像机、智慧云舱等障碍物时应设置护栏。</w:t>
      </w:r>
    </w:p>
    <w:p>
      <w:pPr>
        <w:pStyle w:val="168"/>
        <w:rPr>
          <w:rFonts w:hint="eastAsia"/>
        </w:rPr>
      </w:pPr>
      <w:r>
        <w:rPr>
          <w:rFonts w:hint="eastAsia"/>
        </w:rPr>
        <w:t>云仓进出口位置，护栏上游端部按JTG/T D81《公路交通安全设施设计细则》“表 6.2.2-2”的要求进行外展，下游端部设置圆端头，如图17所示。</w:t>
      </w:r>
    </w:p>
    <w:p>
      <w:pPr>
        <w:pStyle w:val="185"/>
        <w:ind w:firstLine="0" w:firstLineChars="0"/>
      </w:pPr>
      <w:r>
        <w:drawing>
          <wp:inline distT="0" distB="0" distL="114300" distR="114300">
            <wp:extent cx="5937885" cy="2134870"/>
            <wp:effectExtent l="0" t="0" r="5715" b="177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0"/>
                    <a:stretch>
                      <a:fillRect/>
                    </a:stretch>
                  </pic:blipFill>
                  <pic:spPr>
                    <a:xfrm>
                      <a:off x="0" y="0"/>
                      <a:ext cx="5937885" cy="2134870"/>
                    </a:xfrm>
                    <a:prstGeom prst="rect">
                      <a:avLst/>
                    </a:prstGeom>
                    <a:noFill/>
                    <a:ln>
                      <a:noFill/>
                    </a:ln>
                  </pic:spPr>
                </pic:pic>
              </a:graphicData>
            </a:graphic>
          </wp:inline>
        </w:drawing>
      </w:r>
    </w:p>
    <w:p>
      <w:pPr>
        <w:pStyle w:val="117"/>
        <w:spacing w:before="156" w:after="156"/>
      </w:pPr>
      <w:r>
        <w:rPr>
          <w:rFonts w:hint="eastAsia"/>
        </w:rPr>
        <w:t>路侧进出口护栏上下游端头示意图</w:t>
      </w:r>
    </w:p>
    <w:p>
      <w:pPr>
        <w:pStyle w:val="168"/>
        <w:rPr>
          <w:rFonts w:hAnsi="Times New Roman"/>
        </w:rPr>
      </w:pPr>
      <w:r>
        <w:rPr>
          <w:rFonts w:hint="eastAsia" w:hAnsi="Times New Roman"/>
        </w:rPr>
        <w:t>收费岛前</w:t>
      </w:r>
      <w:r>
        <w:rPr>
          <w:rFonts w:hint="eastAsia"/>
        </w:rPr>
        <w:t>应设置防撞砂桶，每个收费岛的岛头设置3个，呈“品”字型摆放，对岛头防撞有特殊要求的宜</w:t>
      </w:r>
      <w:r>
        <w:rPr>
          <w:rFonts w:hint="eastAsia" w:hAnsi="Times New Roman"/>
        </w:rPr>
        <w:t>设置可导向防撞垫。</w:t>
      </w:r>
    </w:p>
    <w:p>
      <w:pPr>
        <w:pStyle w:val="168"/>
        <w:rPr>
          <w:rFonts w:hint="eastAsia"/>
        </w:rPr>
      </w:pPr>
      <w:r>
        <w:rPr>
          <w:rFonts w:hint="eastAsia"/>
        </w:rPr>
        <w:t>超限车劝返车道宜设置电动移动护栏。收费广场进、出口方向宜采用免锚式活动护栏、移动护栏或活动护栏等对向行车实施隔离，设置于收费广场中央分隔带，内广场设置范围为收费岛头至匝道中分带护栏端部，外广场设置范围为收费岛头至广场加宽渐变段末端，免锚式活动护栏如图18所示。</w:t>
      </w:r>
    </w:p>
    <w:p>
      <w:pPr>
        <w:pStyle w:val="168"/>
        <w:numPr>
          <w:ilvl w:val="0"/>
          <w:numId w:val="0"/>
        </w:numPr>
        <w:jc w:val="center"/>
        <w:rPr>
          <w:rFonts w:hAnsi="Times New Roman"/>
          <w:highlight w:val="yellow"/>
        </w:rPr>
      </w:pPr>
      <w:r>
        <w:drawing>
          <wp:inline distT="0" distB="0" distL="114300" distR="114300">
            <wp:extent cx="4027170" cy="2123440"/>
            <wp:effectExtent l="0" t="0" r="1143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27170" cy="2123440"/>
                    </a:xfrm>
                    <a:prstGeom prst="rect">
                      <a:avLst/>
                    </a:prstGeom>
                    <a:noFill/>
                    <a:ln>
                      <a:noFill/>
                    </a:ln>
                  </pic:spPr>
                </pic:pic>
              </a:graphicData>
            </a:graphic>
          </wp:inline>
        </w:drawing>
      </w:r>
    </w:p>
    <w:p>
      <w:pPr>
        <w:pStyle w:val="168"/>
        <w:numPr>
          <w:ilvl w:val="0"/>
          <w:numId w:val="0"/>
        </w:numPr>
        <w:ind w:left="284"/>
        <w:rPr>
          <w:rFonts w:hint="eastAsia"/>
        </w:rPr>
      </w:pPr>
      <w:r>
        <w:rPr>
          <w:rFonts w:hint="eastAsia"/>
        </w:rPr>
        <w:t xml:space="preserve">       </w:t>
      </w:r>
    </w:p>
    <w:p>
      <w:pPr>
        <w:pStyle w:val="117"/>
        <w:spacing w:before="156" w:after="156"/>
      </w:pPr>
      <w:r>
        <w:rPr>
          <w:rFonts w:hint="eastAsia"/>
        </w:rPr>
        <w:t>收费广场隔离设施示意图</w:t>
      </w:r>
    </w:p>
    <w:p>
      <w:pPr>
        <w:rPr>
          <w:rFonts w:hAnsi="Times New Roman"/>
        </w:rPr>
      </w:pPr>
      <w:r>
        <w:rPr>
          <w:rFonts w:hint="eastAsia" w:hAnsi="Times New Roman"/>
        </w:rPr>
        <w:br w:type="page"/>
      </w:r>
    </w:p>
    <w:p>
      <w:pPr>
        <w:pStyle w:val="38"/>
        <w:ind w:firstLine="420"/>
      </w:pPr>
    </w:p>
    <w:p>
      <w:pPr>
        <w:pStyle w:val="84"/>
        <w:spacing w:after="156"/>
      </w:pPr>
      <w:bookmarkStart w:id="90" w:name="_Toc2155"/>
      <w:r>
        <w:br w:type="textWrapping"/>
      </w:r>
      <w:r>
        <w:rPr>
          <w:rFonts w:hint="eastAsia"/>
        </w:rPr>
        <w:t>（资料性）</w:t>
      </w:r>
      <w:r>
        <w:br w:type="textWrapping"/>
      </w:r>
      <w:r>
        <w:rPr>
          <w:rFonts w:hint="eastAsia"/>
        </w:rPr>
        <w:t>ETC专用车道布局示意图</w:t>
      </w:r>
      <w:bookmarkEnd w:id="90"/>
    </w:p>
    <w:p>
      <w:pPr>
        <w:pStyle w:val="38"/>
        <w:ind w:firstLine="420"/>
        <w:jc w:val="center"/>
        <w:sectPr>
          <w:pgSz w:w="11906" w:h="16838"/>
          <w:pgMar w:top="1928" w:right="1134" w:bottom="1134" w:left="1134" w:header="1418" w:footer="1134" w:gutter="284"/>
          <w:cols w:space="425" w:num="1"/>
          <w:formProt w:val="0"/>
          <w:docGrid w:type="lines" w:linePitch="312" w:charSpace="0"/>
        </w:sectPr>
      </w:pPr>
      <w:r>
        <w:rPr>
          <w:rFonts w:hint="eastAsia"/>
        </w:rPr>
        <w:drawing>
          <wp:inline distT="0" distB="0" distL="114300" distR="114300">
            <wp:extent cx="7061200" cy="3722370"/>
            <wp:effectExtent l="0" t="0" r="11430" b="6350"/>
            <wp:docPr id="11" name="图片 11" descr="1a2df647-a82d-4ad5-9748-fa39f5a36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a2df647-a82d-4ad5-9748-fa39f5a3692a"/>
                    <pic:cNvPicPr>
                      <a:picLocks noChangeAspect="1"/>
                    </pic:cNvPicPr>
                  </pic:nvPicPr>
                  <pic:blipFill>
                    <a:blip r:embed="rId22"/>
                    <a:stretch>
                      <a:fillRect/>
                    </a:stretch>
                  </pic:blipFill>
                  <pic:spPr>
                    <a:xfrm rot="5400000">
                      <a:off x="0" y="0"/>
                      <a:ext cx="7061200" cy="3722370"/>
                    </a:xfrm>
                    <a:prstGeom prst="rect">
                      <a:avLst/>
                    </a:prstGeom>
                  </pic:spPr>
                </pic:pic>
              </a:graphicData>
            </a:graphic>
          </wp:inline>
        </w:drawing>
      </w:r>
    </w:p>
    <w:p>
      <w:pPr>
        <w:pStyle w:val="84"/>
        <w:spacing w:after="156"/>
      </w:pPr>
      <w:bookmarkStart w:id="91" w:name="_Toc3220"/>
      <w:r>
        <w:br w:type="textWrapping"/>
      </w:r>
      <w:r>
        <w:rPr>
          <w:rFonts w:hint="eastAsia"/>
        </w:rPr>
        <w:t>（资料性）</w:t>
      </w:r>
      <w:r>
        <w:br w:type="textWrapping"/>
      </w:r>
      <w:r>
        <w:rPr>
          <w:rFonts w:hint="eastAsia"/>
        </w:rPr>
        <w:t>入口自助/ETC混合车道布局示意图</w:t>
      </w:r>
      <w:bookmarkEnd w:id="91"/>
    </w:p>
    <w:p>
      <w:pPr>
        <w:pStyle w:val="38"/>
        <w:ind w:firstLine="420"/>
        <w:jc w:val="center"/>
        <w:sectPr>
          <w:pgSz w:w="11906" w:h="16838"/>
          <w:pgMar w:top="1928" w:right="1134" w:bottom="1134" w:left="1134" w:header="1418" w:footer="1134" w:gutter="284"/>
          <w:cols w:space="425" w:num="1"/>
          <w:formProt w:val="0"/>
          <w:docGrid w:type="lines" w:linePitch="312" w:charSpace="0"/>
        </w:sectPr>
      </w:pPr>
      <w:r>
        <w:rPr>
          <w:rFonts w:hint="eastAsia"/>
        </w:rPr>
        <w:drawing>
          <wp:inline distT="0" distB="0" distL="114300" distR="114300">
            <wp:extent cx="7472680" cy="4064000"/>
            <wp:effectExtent l="0" t="0" r="12700" b="13970"/>
            <wp:docPr id="12" name="图片 12" descr="2626b1bf-8c25-4500-9c44-0ec2ffebf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626b1bf-8c25-4500-9c44-0ec2ffebf633"/>
                    <pic:cNvPicPr>
                      <a:picLocks noChangeAspect="1"/>
                    </pic:cNvPicPr>
                  </pic:nvPicPr>
                  <pic:blipFill>
                    <a:blip r:embed="rId23"/>
                    <a:stretch>
                      <a:fillRect/>
                    </a:stretch>
                  </pic:blipFill>
                  <pic:spPr>
                    <a:xfrm rot="5400000">
                      <a:off x="0" y="0"/>
                      <a:ext cx="7472680" cy="4064000"/>
                    </a:xfrm>
                    <a:prstGeom prst="rect">
                      <a:avLst/>
                    </a:prstGeom>
                  </pic:spPr>
                </pic:pic>
              </a:graphicData>
            </a:graphic>
          </wp:inline>
        </w:drawing>
      </w:r>
    </w:p>
    <w:p>
      <w:pPr>
        <w:pStyle w:val="84"/>
        <w:spacing w:after="156"/>
      </w:pPr>
      <w:bookmarkStart w:id="92" w:name="_Toc1648"/>
      <w:r>
        <w:br w:type="textWrapping"/>
      </w:r>
      <w:r>
        <w:rPr>
          <w:rFonts w:hint="eastAsia"/>
        </w:rPr>
        <w:t>（资料性）</w:t>
      </w:r>
      <w:r>
        <w:br w:type="textWrapping"/>
      </w:r>
      <w:r>
        <w:rPr>
          <w:rFonts w:hint="eastAsia"/>
        </w:rPr>
        <w:t>出口自助/ETC混合车道布局示意图</w:t>
      </w:r>
      <w:bookmarkEnd w:id="92"/>
    </w:p>
    <w:p>
      <w:pPr>
        <w:pStyle w:val="38"/>
        <w:ind w:firstLine="420"/>
        <w:jc w:val="center"/>
      </w:pPr>
      <w:r>
        <w:rPr>
          <w:rFonts w:hint="eastAsia"/>
        </w:rPr>
        <w:drawing>
          <wp:inline distT="0" distB="0" distL="114300" distR="114300">
            <wp:extent cx="7352030" cy="3975100"/>
            <wp:effectExtent l="0" t="0" r="6350" b="1270"/>
            <wp:docPr id="13" name="图片 13" descr="f5b02c59-5bb3-4c3a-9f3e-337fd8fa1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5b02c59-5bb3-4c3a-9f3e-337fd8fa103e"/>
                    <pic:cNvPicPr>
                      <a:picLocks noChangeAspect="1"/>
                    </pic:cNvPicPr>
                  </pic:nvPicPr>
                  <pic:blipFill>
                    <a:blip r:embed="rId24"/>
                    <a:stretch>
                      <a:fillRect/>
                    </a:stretch>
                  </pic:blipFill>
                  <pic:spPr>
                    <a:xfrm rot="5400000">
                      <a:off x="0" y="0"/>
                      <a:ext cx="7352030" cy="3975100"/>
                    </a:xfrm>
                    <a:prstGeom prst="rect">
                      <a:avLst/>
                    </a:prstGeom>
                  </pic:spPr>
                </pic:pic>
              </a:graphicData>
            </a:graphic>
          </wp:inline>
        </w:drawing>
      </w:r>
    </w:p>
    <w:p>
      <w:pPr>
        <w:pStyle w:val="84"/>
        <w:spacing w:after="156"/>
        <w:rPr>
          <w:highlight w:val="none"/>
        </w:rPr>
      </w:pPr>
      <w:bookmarkStart w:id="93" w:name="_Toc22094"/>
      <w:bookmarkStart w:id="94" w:name="_Toc30084"/>
      <w:r>
        <w:br w:type="textWrapping"/>
      </w:r>
      <w:bookmarkEnd w:id="93"/>
      <w:r>
        <w:rPr>
          <w:rFonts w:hint="eastAsia"/>
        </w:rPr>
        <w:t>（资料性）</w:t>
      </w:r>
      <w:r>
        <w:br w:type="textWrapping"/>
      </w:r>
      <w:r>
        <w:rPr>
          <w:rFonts w:hint="eastAsia"/>
          <w:highlight w:val="none"/>
        </w:rPr>
        <w:t>收费广场标志标线设置示例</w:t>
      </w:r>
      <w:bookmarkEnd w:id="94"/>
    </w:p>
    <w:p>
      <w:pPr>
        <w:pStyle w:val="38"/>
        <w:ind w:firstLine="420"/>
        <w:rPr>
          <w:spacing w:val="105"/>
        </w:rPr>
      </w:pPr>
      <w:r>
        <w:rPr>
          <w:rFonts w:hint="eastAsia"/>
          <w:highlight w:val="none"/>
        </w:rPr>
        <w:t xml:space="preserve">             </w:t>
      </w:r>
      <w:r>
        <w:rPr>
          <w:highlight w:val="none"/>
        </w:rPr>
        <w:drawing>
          <wp:inline distT="0" distB="0" distL="114300" distR="114300">
            <wp:extent cx="6986270" cy="3094990"/>
            <wp:effectExtent l="2540" t="0" r="7620" b="7620"/>
            <wp:docPr id="14793048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4839" name="图片 5"/>
                    <pic:cNvPicPr>
                      <a:picLocks noChangeAspect="1"/>
                    </pic:cNvPicPr>
                  </pic:nvPicPr>
                  <pic:blipFill>
                    <a:blip r:embed="rId25"/>
                    <a:stretch>
                      <a:fillRect/>
                    </a:stretch>
                  </pic:blipFill>
                  <pic:spPr>
                    <a:xfrm rot="5400000">
                      <a:off x="0" y="0"/>
                      <a:ext cx="7003816" cy="3103086"/>
                    </a:xfrm>
                    <a:prstGeom prst="rect">
                      <a:avLst/>
                    </a:prstGeom>
                    <a:noFill/>
                    <a:ln>
                      <a:noFill/>
                    </a:ln>
                  </pic:spPr>
                </pic:pic>
              </a:graphicData>
            </a:graphic>
          </wp:inline>
        </w:drawing>
      </w:r>
    </w:p>
    <w:p>
      <w:pPr>
        <w:pStyle w:val="84"/>
        <w:spacing w:after="156"/>
      </w:pPr>
      <w:bookmarkStart w:id="95" w:name="_Toc832"/>
      <w:r>
        <w:br w:type="textWrapping"/>
      </w:r>
      <w:r>
        <w:rPr>
          <w:rFonts w:hint="eastAsia"/>
        </w:rPr>
        <w:t>（资料性）</w:t>
      </w:r>
      <w:r>
        <w:br w:type="textWrapping"/>
      </w:r>
      <w:r>
        <w:rPr>
          <w:rFonts w:hint="eastAsia"/>
        </w:rPr>
        <w:t>收费广场常见标志示例</w:t>
      </w:r>
      <w:bookmarkEnd w:id="95"/>
    </w:p>
    <w:tbl>
      <w:tblPr>
        <w:tblStyle w:val="36"/>
        <w:tblW w:w="9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tcPr>
          <w:p>
            <w:pPr>
              <w:pStyle w:val="117"/>
              <w:numPr>
                <w:ilvl w:val="0"/>
                <w:numId w:val="0"/>
              </w:numPr>
              <w:spacing w:before="156" w:after="156"/>
              <w:rPr>
                <w:rFonts w:eastAsia="宋体"/>
              </w:rPr>
            </w:pPr>
            <w:r>
              <w:rPr>
                <w:rFonts w:hint="eastAsia" w:eastAsia="宋体"/>
              </w:rPr>
              <w:t>标志</w:t>
            </w:r>
          </w:p>
        </w:tc>
        <w:tc>
          <w:tcPr>
            <w:tcW w:w="6445" w:type="dxa"/>
          </w:tcPr>
          <w:p>
            <w:pPr>
              <w:pStyle w:val="117"/>
              <w:numPr>
                <w:ilvl w:val="0"/>
                <w:numId w:val="0"/>
              </w:numPr>
              <w:spacing w:before="156" w:after="156"/>
              <w:rPr>
                <w:rFonts w:eastAsia="宋体"/>
              </w:rPr>
            </w:pPr>
            <w:r>
              <w:rPr>
                <w:rFonts w:hint="eastAsia" w:eastAsia="宋体"/>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t>入口超限检测标志、车道指引标志、收费站标志</w:t>
            </w:r>
            <w:r>
              <w:rPr>
                <w:rFonts w:hint="eastAsia"/>
              </w:rPr>
              <w:t>并设示例</w:t>
            </w:r>
          </w:p>
        </w:tc>
        <w:tc>
          <w:tcPr>
            <w:tcW w:w="6445" w:type="dxa"/>
          </w:tcPr>
          <w:p>
            <w:pPr>
              <w:pStyle w:val="117"/>
              <w:numPr>
                <w:ilvl w:val="0"/>
                <w:numId w:val="0"/>
              </w:numPr>
              <w:spacing w:before="156" w:after="156"/>
              <w:jc w:val="left"/>
              <w:rPr>
                <w:rFonts w:eastAsia="宋体"/>
              </w:rPr>
            </w:pPr>
            <w:r>
              <w:rPr>
                <w:highlight w:val="none"/>
              </w:rPr>
              <w:drawing>
                <wp:inline distT="0" distB="0" distL="114300" distR="114300">
                  <wp:extent cx="3799205" cy="931545"/>
                  <wp:effectExtent l="0" t="0" r="10795" b="19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6"/>
                          <a:stretch>
                            <a:fillRect/>
                          </a:stretch>
                        </pic:blipFill>
                        <pic:spPr>
                          <a:xfrm>
                            <a:off x="0" y="0"/>
                            <a:ext cx="3799205" cy="931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rPr>
                <w:rFonts w:hint="eastAsia"/>
              </w:rPr>
              <w:t>分时段危险品车禁行标志</w:t>
            </w:r>
          </w:p>
        </w:tc>
        <w:tc>
          <w:tcPr>
            <w:tcW w:w="6445" w:type="dxa"/>
          </w:tcPr>
          <w:p>
            <w:pPr>
              <w:pStyle w:val="117"/>
              <w:numPr>
                <w:ilvl w:val="0"/>
                <w:numId w:val="0"/>
              </w:numPr>
              <w:spacing w:before="156" w:after="156"/>
              <w:rPr>
                <w:rFonts w:eastAsia="宋体"/>
              </w:rPr>
            </w:pPr>
            <w:r>
              <w:drawing>
                <wp:inline distT="0" distB="0" distL="0" distR="0">
                  <wp:extent cx="1068705" cy="1097915"/>
                  <wp:effectExtent l="0" t="0" r="1333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68705" cy="1097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rPr>
                <w:rFonts w:hint="eastAsia"/>
              </w:rPr>
              <w:t>分时段长途客车禁行标志</w:t>
            </w:r>
          </w:p>
        </w:tc>
        <w:tc>
          <w:tcPr>
            <w:tcW w:w="6445" w:type="dxa"/>
          </w:tcPr>
          <w:p>
            <w:pPr>
              <w:pStyle w:val="117"/>
              <w:numPr>
                <w:ilvl w:val="0"/>
                <w:numId w:val="0"/>
              </w:numPr>
              <w:spacing w:before="156" w:after="156"/>
              <w:rPr>
                <w:rFonts w:eastAsia="宋体"/>
              </w:rPr>
            </w:pPr>
            <w:r>
              <w:drawing>
                <wp:inline distT="0" distB="0" distL="0" distR="0">
                  <wp:extent cx="981075" cy="1098550"/>
                  <wp:effectExtent l="0" t="0" r="952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81075" cy="1098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rPr>
                <w:rFonts w:hint="eastAsia"/>
              </w:rPr>
              <w:t>组合禁令标志、“超限车辆、禁止通行”辅助标志共杆设置示例</w:t>
            </w:r>
          </w:p>
        </w:tc>
        <w:tc>
          <w:tcPr>
            <w:tcW w:w="6445" w:type="dxa"/>
          </w:tcPr>
          <w:p>
            <w:pPr>
              <w:pStyle w:val="117"/>
              <w:numPr>
                <w:ilvl w:val="0"/>
                <w:numId w:val="0"/>
              </w:numPr>
              <w:spacing w:before="156" w:after="156"/>
              <w:rPr>
                <w:rFonts w:eastAsia="宋体"/>
              </w:rPr>
            </w:pPr>
            <w:r>
              <w:drawing>
                <wp:inline distT="0" distB="0" distL="114300" distR="114300">
                  <wp:extent cx="2195195" cy="1457325"/>
                  <wp:effectExtent l="0" t="0" r="9525" b="146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9"/>
                          <a:stretch>
                            <a:fillRect/>
                          </a:stretch>
                        </pic:blipFill>
                        <pic:spPr>
                          <a:xfrm rot="16200000">
                            <a:off x="0" y="0"/>
                            <a:ext cx="2195195"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rPr>
                <w:rFonts w:hint="eastAsia"/>
              </w:rPr>
              <w:t>货车称重靠右</w:t>
            </w:r>
            <w:r>
              <w:t>标志</w:t>
            </w:r>
            <w:r>
              <w:rPr>
                <w:rFonts w:hint="eastAsia"/>
              </w:rPr>
              <w:t>示例</w:t>
            </w:r>
          </w:p>
        </w:tc>
        <w:tc>
          <w:tcPr>
            <w:tcW w:w="6445" w:type="dxa"/>
          </w:tcPr>
          <w:p>
            <w:pPr>
              <w:pStyle w:val="117"/>
              <w:numPr>
                <w:ilvl w:val="0"/>
                <w:numId w:val="0"/>
              </w:numPr>
              <w:spacing w:before="156" w:after="156"/>
              <w:rPr>
                <w:rFonts w:hint="eastAsia" w:eastAsia="宋体"/>
              </w:rPr>
            </w:pPr>
            <w:r>
              <w:drawing>
                <wp:inline distT="0" distB="0" distL="114300" distR="114300">
                  <wp:extent cx="561340" cy="1895475"/>
                  <wp:effectExtent l="0" t="0" r="10160" b="9525"/>
                  <wp:docPr id="19350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384" name="图片 1"/>
                          <pic:cNvPicPr>
                            <a:picLocks noChangeAspect="1"/>
                          </pic:cNvPicPr>
                        </pic:nvPicPr>
                        <pic:blipFill>
                          <a:blip r:embed="rId30"/>
                          <a:stretch>
                            <a:fillRect/>
                          </a:stretch>
                        </pic:blipFill>
                        <pic:spPr>
                          <a:xfrm>
                            <a:off x="0" y="0"/>
                            <a:ext cx="561340" cy="189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rPr>
                <w:rFonts w:hint="eastAsia"/>
              </w:rPr>
              <w:t>收费站预告标志</w:t>
            </w:r>
          </w:p>
        </w:tc>
        <w:tc>
          <w:tcPr>
            <w:tcW w:w="6445" w:type="dxa"/>
          </w:tcPr>
          <w:p>
            <w:pPr>
              <w:pStyle w:val="117"/>
              <w:numPr>
                <w:ilvl w:val="0"/>
                <w:numId w:val="0"/>
              </w:numPr>
              <w:spacing w:before="156" w:after="156"/>
              <w:rPr>
                <w:rFonts w:eastAsia="宋体"/>
              </w:rPr>
            </w:pPr>
            <w:r>
              <w:drawing>
                <wp:inline distT="0" distB="0" distL="0" distR="0">
                  <wp:extent cx="1569720" cy="137858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69720" cy="1378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rPr>
                <w:rFonts w:eastAsia="宋体"/>
              </w:rPr>
            </w:pPr>
            <w:r>
              <w:rPr>
                <w:rFonts w:hint="eastAsia"/>
              </w:rPr>
              <w:t>收费站标志</w:t>
            </w:r>
          </w:p>
        </w:tc>
        <w:tc>
          <w:tcPr>
            <w:tcW w:w="6445" w:type="dxa"/>
          </w:tcPr>
          <w:p>
            <w:pPr>
              <w:pStyle w:val="117"/>
              <w:numPr>
                <w:ilvl w:val="0"/>
                <w:numId w:val="0"/>
              </w:numPr>
              <w:spacing w:before="156" w:after="156"/>
              <w:rPr>
                <w:rFonts w:eastAsia="宋体"/>
              </w:rPr>
            </w:pPr>
            <w:r>
              <w:drawing>
                <wp:inline distT="0" distB="0" distL="0" distR="0">
                  <wp:extent cx="1562735" cy="1364615"/>
                  <wp:effectExtent l="0" t="0" r="698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62735" cy="13646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t>入口拒超标志</w:t>
            </w:r>
            <w:r>
              <w:rPr>
                <w:rFonts w:hint="eastAsia"/>
              </w:rPr>
              <w:t>示例</w:t>
            </w:r>
          </w:p>
        </w:tc>
        <w:tc>
          <w:tcPr>
            <w:tcW w:w="6445" w:type="dxa"/>
          </w:tcPr>
          <w:p>
            <w:pPr>
              <w:pStyle w:val="117"/>
              <w:numPr>
                <w:ilvl w:val="0"/>
                <w:numId w:val="0"/>
              </w:numPr>
              <w:spacing w:before="156" w:after="156"/>
              <w:rPr>
                <w:rFonts w:eastAsia="宋体"/>
              </w:rPr>
            </w:pPr>
            <w:r>
              <w:drawing>
                <wp:inline distT="0" distB="0" distL="0" distR="0">
                  <wp:extent cx="3224530" cy="1233805"/>
                  <wp:effectExtent l="0" t="0" r="635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24530" cy="1233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t>入口超限检测标志</w:t>
            </w:r>
            <w:r>
              <w:rPr>
                <w:rFonts w:hint="eastAsia"/>
              </w:rPr>
              <w:t>示例</w:t>
            </w:r>
          </w:p>
        </w:tc>
        <w:tc>
          <w:tcPr>
            <w:tcW w:w="6445" w:type="dxa"/>
          </w:tcPr>
          <w:p>
            <w:pPr>
              <w:pStyle w:val="117"/>
              <w:numPr>
                <w:ilvl w:val="0"/>
                <w:numId w:val="0"/>
              </w:numPr>
              <w:spacing w:before="156" w:after="156"/>
            </w:pPr>
            <w:r>
              <w:drawing>
                <wp:inline distT="0" distB="0" distL="0" distR="0">
                  <wp:extent cx="1851660" cy="1528445"/>
                  <wp:effectExtent l="0" t="0" r="762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51660" cy="15284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rPr>
                <w:rFonts w:hint="eastAsia"/>
              </w:rPr>
              <w:t>绿通车辆核验标志示例</w:t>
            </w:r>
          </w:p>
        </w:tc>
        <w:tc>
          <w:tcPr>
            <w:tcW w:w="6445" w:type="dxa"/>
          </w:tcPr>
          <w:p>
            <w:pPr>
              <w:pStyle w:val="117"/>
              <w:numPr>
                <w:ilvl w:val="0"/>
                <w:numId w:val="0"/>
              </w:numPr>
              <w:spacing w:before="156" w:after="156"/>
            </w:pPr>
            <w:r>
              <w:drawing>
                <wp:inline distT="0" distB="0" distL="114300" distR="114300">
                  <wp:extent cx="3406775" cy="549910"/>
                  <wp:effectExtent l="0" t="0" r="6985" b="1397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5"/>
                          <a:stretch>
                            <a:fillRect/>
                          </a:stretch>
                        </pic:blipFill>
                        <pic:spPr>
                          <a:xfrm>
                            <a:off x="0" y="0"/>
                            <a:ext cx="3406775" cy="549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t>广场内禁止车辆停放标志</w:t>
            </w:r>
            <w:r>
              <w:rPr>
                <w:rFonts w:hint="eastAsia"/>
              </w:rPr>
              <w:t>示例</w:t>
            </w:r>
          </w:p>
        </w:tc>
        <w:tc>
          <w:tcPr>
            <w:tcW w:w="6445" w:type="dxa"/>
          </w:tcPr>
          <w:p>
            <w:pPr>
              <w:pStyle w:val="117"/>
              <w:numPr>
                <w:ilvl w:val="0"/>
                <w:numId w:val="0"/>
              </w:numPr>
              <w:spacing w:before="156" w:after="156"/>
            </w:pPr>
            <w:r>
              <w:drawing>
                <wp:inline distT="0" distB="0" distL="0" distR="0">
                  <wp:extent cx="1073150" cy="1400175"/>
                  <wp:effectExtent l="0" t="0" r="889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73150" cy="1400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9" w:type="dxa"/>
            <w:vAlign w:val="center"/>
          </w:tcPr>
          <w:p>
            <w:pPr>
              <w:pStyle w:val="117"/>
              <w:numPr>
                <w:ilvl w:val="0"/>
                <w:numId w:val="0"/>
              </w:numPr>
              <w:spacing w:before="156" w:after="156"/>
            </w:pPr>
            <w:r>
              <w:t>限制速度标志</w:t>
            </w:r>
            <w:r>
              <w:rPr>
                <w:rFonts w:hint="eastAsia"/>
              </w:rPr>
              <w:t>示例</w:t>
            </w:r>
          </w:p>
        </w:tc>
        <w:tc>
          <w:tcPr>
            <w:tcW w:w="6445" w:type="dxa"/>
          </w:tcPr>
          <w:p>
            <w:pPr>
              <w:pStyle w:val="117"/>
              <w:numPr>
                <w:ilvl w:val="0"/>
                <w:numId w:val="0"/>
              </w:numPr>
              <w:spacing w:before="156" w:after="156"/>
            </w:pPr>
            <w:r>
              <w:drawing>
                <wp:inline distT="0" distB="0" distL="0" distR="0">
                  <wp:extent cx="928370" cy="935355"/>
                  <wp:effectExtent l="0" t="0" r="127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28370" cy="935355"/>
                          </a:xfrm>
                          <a:prstGeom prst="rect">
                            <a:avLst/>
                          </a:prstGeom>
                          <a:noFill/>
                          <a:ln>
                            <a:noFill/>
                          </a:ln>
                        </pic:spPr>
                      </pic:pic>
                    </a:graphicData>
                  </a:graphic>
                </wp:inline>
              </w:drawing>
            </w:r>
          </w:p>
        </w:tc>
      </w:tr>
    </w:tbl>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38"/>
        <w:ind w:firstLine="840"/>
        <w:rPr>
          <w:spacing w:val="105"/>
        </w:rPr>
      </w:pPr>
    </w:p>
    <w:p>
      <w:pPr>
        <w:pStyle w:val="72"/>
        <w:spacing w:after="156"/>
      </w:pPr>
      <w:bookmarkStart w:id="96" w:name="_Toc13903"/>
      <w:r>
        <w:rPr>
          <w:rFonts w:hint="eastAsia"/>
          <w:spacing w:val="105"/>
        </w:rPr>
        <w:t>参考文</w:t>
      </w:r>
      <w:r>
        <w:rPr>
          <w:rFonts w:hint="eastAsia"/>
        </w:rPr>
        <w:t>献</w:t>
      </w:r>
      <w:bookmarkEnd w:id="96"/>
    </w:p>
    <w:p>
      <w:pPr>
        <w:pStyle w:val="38"/>
        <w:numPr>
          <w:ilvl w:val="0"/>
          <w:numId w:val="33"/>
        </w:numPr>
        <w:ind w:firstLine="420"/>
      </w:pPr>
      <w:r>
        <w:rPr>
          <w:rFonts w:hint="eastAsia"/>
        </w:rPr>
        <w:t>《中华人民共和国道路交通安全法》</w:t>
      </w:r>
    </w:p>
    <w:p>
      <w:pPr>
        <w:pStyle w:val="38"/>
        <w:numPr>
          <w:ilvl w:val="0"/>
          <w:numId w:val="33"/>
        </w:numPr>
        <w:ind w:firstLine="420"/>
      </w:pPr>
      <w:r>
        <w:rPr>
          <w:rFonts w:hint="eastAsia"/>
        </w:rPr>
        <w:t>《中华人民共和国道路交通安全法实施条例》</w:t>
      </w:r>
    </w:p>
    <w:p>
      <w:pPr>
        <w:pStyle w:val="38"/>
        <w:numPr>
          <w:ilvl w:val="0"/>
          <w:numId w:val="33"/>
        </w:numPr>
        <w:ind w:firstLine="420"/>
      </w:pPr>
      <w:r>
        <w:rPr>
          <w:rFonts w:hint="eastAsia"/>
        </w:rPr>
        <w:t>中华人民共和国交通运输部.公路工程项目建设用地指标:建标【2011】124号.北京:</w:t>
      </w:r>
      <w:r>
        <w:t>人民交通</w:t>
      </w:r>
      <w:r>
        <w:rPr>
          <w:rFonts w:hint="eastAsia"/>
        </w:rPr>
        <w:t xml:space="preserve">出版社.2011:9  </w:t>
      </w:r>
    </w:p>
    <w:p>
      <w:pPr>
        <w:pStyle w:val="38"/>
        <w:numPr>
          <w:ilvl w:val="0"/>
          <w:numId w:val="33"/>
        </w:numPr>
        <w:ind w:firstLine="420" w:firstLineChars="0"/>
      </w:pPr>
      <w:r>
        <w:rPr>
          <w:rFonts w:hint="eastAsia"/>
        </w:rPr>
        <w:t>GB/T 24973 收费用栏杆</w:t>
      </w:r>
    </w:p>
    <w:p>
      <w:pPr>
        <w:pStyle w:val="38"/>
        <w:numPr>
          <w:ilvl w:val="0"/>
          <w:numId w:val="33"/>
        </w:numPr>
        <w:ind w:firstLine="420" w:firstLineChars="0"/>
      </w:pPr>
      <w:r>
        <w:rPr>
          <w:rFonts w:hint="eastAsia"/>
        </w:rPr>
        <w:t>GB/T 27879 公路收费用费额显示器</w:t>
      </w:r>
    </w:p>
    <w:p>
      <w:pPr>
        <w:pStyle w:val="38"/>
        <w:numPr>
          <w:ilvl w:val="0"/>
          <w:numId w:val="33"/>
        </w:numPr>
        <w:ind w:firstLine="420" w:firstLineChars="0"/>
      </w:pPr>
      <w:r>
        <w:rPr>
          <w:rFonts w:hint="eastAsia"/>
        </w:rPr>
        <w:t>GB/T 18277 收费公路收费制式和收费方式</w:t>
      </w:r>
    </w:p>
    <w:p>
      <w:pPr>
        <w:pStyle w:val="38"/>
        <w:numPr>
          <w:ilvl w:val="0"/>
          <w:numId w:val="33"/>
        </w:numPr>
        <w:ind w:firstLine="420" w:firstLineChars="0"/>
      </w:pPr>
      <w:r>
        <w:rPr>
          <w:rFonts w:hint="eastAsia"/>
        </w:rPr>
        <w:t>JTG B01 公路工程技术标准</w:t>
      </w:r>
    </w:p>
    <w:p>
      <w:pPr>
        <w:pStyle w:val="38"/>
        <w:numPr>
          <w:ilvl w:val="0"/>
          <w:numId w:val="33"/>
        </w:numPr>
        <w:ind w:firstLine="420" w:firstLineChars="0"/>
      </w:pPr>
      <w:r>
        <w:rPr>
          <w:rFonts w:hint="eastAsia"/>
        </w:rPr>
        <w:t>JTG B10-01 公路电子不停车收费联网运营和服务规范</w:t>
      </w:r>
    </w:p>
    <w:p>
      <w:pPr>
        <w:pStyle w:val="38"/>
        <w:numPr>
          <w:ilvl w:val="0"/>
          <w:numId w:val="33"/>
        </w:numPr>
        <w:ind w:firstLine="420" w:firstLineChars="0"/>
      </w:pPr>
      <w:r>
        <w:rPr>
          <w:rFonts w:hint="eastAsia"/>
        </w:rPr>
        <w:t>JTG D80 高速公路交通工程及沿线设施设计通用规范</w:t>
      </w:r>
    </w:p>
    <w:p>
      <w:pPr>
        <w:pStyle w:val="38"/>
        <w:numPr>
          <w:ilvl w:val="0"/>
          <w:numId w:val="33"/>
        </w:numPr>
        <w:ind w:firstLine="420" w:firstLineChars="0"/>
      </w:pPr>
      <w:r>
        <w:rPr>
          <w:rFonts w:hint="eastAsia"/>
        </w:rPr>
        <w:t>JTG/T 6303.1 收费公路移动支付技术规范第一册停车移动支付</w:t>
      </w:r>
    </w:p>
    <w:p>
      <w:pPr>
        <w:pStyle w:val="38"/>
        <w:numPr>
          <w:ilvl w:val="0"/>
          <w:numId w:val="33"/>
        </w:numPr>
        <w:ind w:firstLine="420" w:firstLineChars="0"/>
      </w:pPr>
      <w:r>
        <w:rPr>
          <w:rFonts w:hint="eastAsia"/>
        </w:rPr>
        <w:t>JTG 6310 收费公路联网收费技术标准</w:t>
      </w:r>
    </w:p>
    <w:p>
      <w:pPr>
        <w:pStyle w:val="38"/>
        <w:numPr>
          <w:ilvl w:val="0"/>
          <w:numId w:val="33"/>
        </w:numPr>
        <w:ind w:firstLine="420"/>
      </w:pPr>
      <w:r>
        <w:rPr>
          <w:rFonts w:hint="eastAsia"/>
        </w:rPr>
        <w:t>JTG D81 公路交通安全设施设计规范</w:t>
      </w:r>
    </w:p>
    <w:p>
      <w:pPr>
        <w:pStyle w:val="38"/>
        <w:numPr>
          <w:ilvl w:val="0"/>
          <w:numId w:val="33"/>
        </w:numPr>
        <w:ind w:firstLine="420"/>
      </w:pPr>
      <w:r>
        <w:rPr>
          <w:rFonts w:hint="eastAsia"/>
        </w:rPr>
        <w:t>JTG D82 公路交通标志和标线设置规范</w:t>
      </w:r>
    </w:p>
    <w:p>
      <w:pPr>
        <w:pStyle w:val="38"/>
        <w:numPr>
          <w:ilvl w:val="0"/>
          <w:numId w:val="33"/>
        </w:numPr>
        <w:ind w:firstLine="420"/>
      </w:pPr>
      <w:r>
        <w:rPr>
          <w:rFonts w:hint="eastAsia"/>
        </w:rPr>
        <w:t>TCECS GQ50-01 高速公路智慧收费站技术标准</w:t>
      </w:r>
    </w:p>
    <w:p>
      <w:pPr>
        <w:pStyle w:val="38"/>
        <w:numPr>
          <w:ilvl w:val="0"/>
          <w:numId w:val="33"/>
        </w:numPr>
        <w:ind w:firstLine="420"/>
      </w:pPr>
      <w:r>
        <w:rPr>
          <w:rFonts w:hint="eastAsia"/>
        </w:rPr>
        <w:t>T_CCTAS 33 高速公路匝道自由流收费系统技术规范</w:t>
      </w:r>
    </w:p>
    <w:p>
      <w:pPr>
        <w:pStyle w:val="38"/>
        <w:numPr>
          <w:ilvl w:val="0"/>
          <w:numId w:val="33"/>
        </w:numPr>
        <w:ind w:firstLine="420"/>
      </w:pPr>
      <w:r>
        <w:rPr>
          <w:rFonts w:hint="eastAsia"/>
        </w:rPr>
        <w:t>公路交通安全设施精细化提升关键技术指南</w:t>
      </w:r>
    </w:p>
    <w:p>
      <w:pPr>
        <w:pStyle w:val="38"/>
        <w:numPr>
          <w:ilvl w:val="0"/>
          <w:numId w:val="33"/>
        </w:numPr>
        <w:ind w:firstLine="420"/>
      </w:pPr>
      <w:r>
        <w:rPr>
          <w:rFonts w:hint="eastAsia"/>
        </w:rPr>
        <w:t xml:space="preserve">收费公路联网收费技术要求 </w:t>
      </w:r>
    </w:p>
    <w:bookmarkEnd w:id="81"/>
    <w:p>
      <w:pPr>
        <w:pStyle w:val="38"/>
        <w:ind w:firstLine="0" w:firstLineChars="0"/>
      </w:pPr>
      <w:bookmarkStart w:id="97" w:name="BookMark8"/>
      <w:r>
        <w:rPr>
          <w:rFonts w:hint="eastAsia"/>
        </w:rPr>
        <w:t xml:space="preserve">                   </w:t>
      </w:r>
      <w: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7"/>
    </w:p>
    <w:sectPr>
      <w:pgSz w:w="11906" w:h="16838"/>
      <w:pgMar w:top="1928" w:right="1134" w:bottom="1134" w:left="1134" w:header="1418" w:footer="1134" w:gutter="284"/>
      <w:cols w:space="425" w:num="1"/>
      <w:formProt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亲林仿菩映" w:date="2025-06-18T14:34:00Z" w:initials="">
    <w:p>
      <w:pPr>
        <w:rPr>
          <w:rFonts w:eastAsiaTheme="minorEastAsia"/>
        </w:rPr>
      </w:pPr>
      <w:r>
        <w:rPr>
          <w:rFonts w:hint="eastAsia"/>
        </w:rPr>
        <w:t>参考规范《高速公路智慧收费站技术标准》（协会标准）</w:t>
      </w:r>
    </w:p>
  </w:comment>
  <w:comment w:id="1" w:author="亲林仿菩映" w:date="2025-06-18T15:06:00Z" w:initials="">
    <w:p>
      <w:r>
        <w:rPr>
          <w:rFonts w:hint="eastAsia"/>
        </w:rPr>
        <w:t>参考规范《高速公路交通工程及沿线设施设计通用规范》</w:t>
      </w:r>
    </w:p>
  </w:comment>
  <w:comment w:id="2" w:author="亲林仿菩映" w:date="2025-06-18T15:04:00Z" w:initials="">
    <w:p>
      <w:pPr>
        <w:rPr>
          <w:rFonts w:eastAsiaTheme="minorEastAsia"/>
        </w:rPr>
      </w:pPr>
      <w:r>
        <w:rPr>
          <w:rFonts w:hint="eastAsia"/>
        </w:rPr>
        <w:t>参考规范《高速公路交通工程及沿线设施设计通用规范》</w:t>
      </w:r>
    </w:p>
  </w:comment>
  <w:comment w:id="3" w:author="亲林仿菩映" w:date="2025-06-18T15:35:00Z" w:initials="">
    <w:p>
      <w:pPr>
        <w:rPr>
          <w:rFonts w:eastAsiaTheme="minorEastAsia"/>
        </w:rPr>
      </w:pPr>
      <w:r>
        <w:rPr>
          <w:rFonts w:hint="eastAsia"/>
        </w:rPr>
        <w:t>《高速公路收费站服务规范》DB11/T3019-2018</w:t>
      </w:r>
    </w:p>
    <w:p/>
  </w:comment>
  <w:comment w:id="4" w:author="亲林仿菩映" w:date="2025-06-18T15:34:00Z" w:initials="">
    <w:p>
      <w:pPr>
        <w:rPr>
          <w:rFonts w:eastAsiaTheme="minorEastAsia"/>
        </w:rPr>
      </w:pPr>
      <w:r>
        <w:rPr>
          <w:rFonts w:hint="eastAsia"/>
        </w:rPr>
        <w:t>《高速公路收费站服务规范》DB11/T3019-2018</w:t>
      </w:r>
    </w:p>
  </w:comment>
  <w:comment w:id="5" w:author="亲林仿菩映" w:date="2025-06-18T16:08:00Z" w:initials="">
    <w:p>
      <w:r>
        <w:rPr>
          <w:rFonts w:hint="eastAsia"/>
        </w:rPr>
        <w:t>参考规范《高速公路交通工程及沿线设施设计通用规范》7.6.13</w:t>
      </w:r>
    </w:p>
  </w:comment>
  <w:comment w:id="6" w:author="亲林仿菩映" w:date="2025-06-18T15:48:00Z" w:initials="">
    <w:p>
      <w:r>
        <w:rPr>
          <w:rFonts w:hint="eastAsia"/>
        </w:rPr>
        <w:t>参考规范《高速公路智慧收费站技术标准》（协会标准）</w:t>
      </w:r>
    </w:p>
  </w:comment>
  <w:comment w:id="7" w:author="亲林仿菩映" w:date="2025-06-18T15:57:00Z" w:initials="">
    <w:p>
      <w:r>
        <w:rPr>
          <w:rFonts w:hint="eastAsia"/>
        </w:rPr>
        <w:t>参考规范《高速公路智慧收费站技术标准》（协会标准）</w:t>
      </w:r>
    </w:p>
  </w:comment>
  <w:comment w:id="8" w:author="亲林仿菩映" w:date="2025-06-18T15:50:00Z" w:initials="">
    <w:p>
      <w:r>
        <w:rPr>
          <w:rFonts w:hint="eastAsia"/>
        </w:rPr>
        <w:t>参考规范《高速公路智慧收费站技术标准》（协会标准）</w:t>
      </w:r>
    </w:p>
  </w:comment>
  <w:comment w:id="9" w:author="亲林仿菩映" w:date="2025-06-18T15:59:00Z" w:initials="">
    <w:p>
      <w:r>
        <w:rPr>
          <w:rFonts w:hint="eastAsia"/>
        </w:rPr>
        <w:t>参考规范《高速公路智慧收费站技术标准》（协会标准）</w:t>
      </w:r>
    </w:p>
  </w:comment>
  <w:comment w:id="10" w:author="亲林仿菩映" w:date="2025-06-18T15:58:00Z" w:initials="">
    <w:p>
      <w:r>
        <w:rPr>
          <w:rFonts w:hint="eastAsia"/>
        </w:rPr>
        <w:t>参考规范《高速公路智慧收费站技术标准》（协会标准）</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PAGE   \* MERGEFORMAT</w:instrText>
    </w:r>
    <w:r>
      <w:fldChar w:fldCharType="separate"/>
    </w:r>
    <w:r>
      <w:rPr>
        <w:lang w:val="zh-CN"/>
      </w:rPr>
      <w:t>V</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0"/>
      <w:rPr>
        <w:rFonts w:hint="eastAsia"/>
      </w:rPr>
    </w:pPr>
    <w:r>
      <w:fldChar w:fldCharType="begin"/>
    </w:r>
    <w:r>
      <w:instrText xml:space="preserve"> STYLEREF  标准文件_文件编号  \* MERGEFORMAT </w:instrText>
    </w:r>
    <w:r>
      <w:fldChar w:fldCharType="separate"/>
    </w:r>
    <w:r>
      <w:t>DB  43/T XXXX—2026</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43/T XXXX—2026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EF80F"/>
    <w:multiLevelType w:val="singleLevel"/>
    <w:tmpl w:val="FFFEF80F"/>
    <w:lvl w:ilvl="0" w:tentative="0">
      <w:start w:val="1"/>
      <w:numFmt w:val="lowerLetter"/>
      <w:suff w:val="nothing"/>
      <w:lvlText w:val="%1）"/>
      <w:lvlJc w:val="left"/>
    </w:lvl>
  </w:abstractNum>
  <w:abstractNum w:abstractNumId="1">
    <w:nsid w:val="02837933"/>
    <w:multiLevelType w:val="multilevel"/>
    <w:tmpl w:val="02837933"/>
    <w:lvl w:ilvl="0" w:tentative="0">
      <w:start w:val="1"/>
      <w:numFmt w:val="decimal"/>
      <w:pStyle w:val="73"/>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7"/>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5"/>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3"/>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100"/>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1F4CBEE7"/>
    <w:multiLevelType w:val="singleLevel"/>
    <w:tmpl w:val="1F4CBEE7"/>
    <w:lvl w:ilvl="0" w:tentative="0">
      <w:start w:val="1"/>
      <w:numFmt w:val="decimal"/>
      <w:suff w:val="nothing"/>
      <w:lvlText w:val="[%1]　"/>
      <w:lvlJc w:val="left"/>
    </w:lvl>
  </w:abstractNum>
  <w:abstractNum w:abstractNumId="12">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tentative="0">
      <w:start w:val="1"/>
      <w:numFmt w:val="lowerLetter"/>
      <w:pStyle w:val="10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4">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91"/>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4632751"/>
    <w:multiLevelType w:val="multilevel"/>
    <w:tmpl w:val="54632751"/>
    <w:lvl w:ilvl="0" w:tentative="0">
      <w:start w:val="1"/>
      <w:numFmt w:val="none"/>
      <w:pStyle w:val="101"/>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9">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5"/>
      <w:suff w:val="space"/>
      <w:lvlText w:val="表%1.%2"/>
      <w:lvlJc w:val="center"/>
      <w:pPr>
        <w:ind w:left="3544" w:firstLine="0"/>
      </w:pPr>
      <w:rPr>
        <w:rFonts w:hint="eastAsia" w:ascii="黑体" w:eastAsia="黑体"/>
        <w:sz w:val="21"/>
        <w:lang w:val="en-US"/>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5">
    <w:nsid w:val="657D3FBC"/>
    <w:multiLevelType w:val="multilevel"/>
    <w:tmpl w:val="657D3FBC"/>
    <w:lvl w:ilvl="0" w:tentative="0">
      <w:start w:val="1"/>
      <w:numFmt w:val="upperLetter"/>
      <w:pStyle w:val="84"/>
      <w:suff w:val="nothing"/>
      <w:lvlText w:val="附录%1"/>
      <w:lvlJc w:val="left"/>
      <w:pPr>
        <w:ind w:left="0" w:firstLine="0"/>
      </w:pPr>
      <w:rPr>
        <w:rFonts w:hint="eastAsia"/>
        <w:spacing w:val="100"/>
      </w:rPr>
    </w:lvl>
    <w:lvl w:ilvl="1" w:tentative="0">
      <w:start w:val="1"/>
      <w:numFmt w:val="decimal"/>
      <w:pStyle w:val="86"/>
      <w:suff w:val="nothing"/>
      <w:lvlText w:val="%1.%2　"/>
      <w:lvlJc w:val="left"/>
      <w:pPr>
        <w:ind w:left="0" w:firstLine="0"/>
      </w:pPr>
      <w:rPr>
        <w:rFonts w:hint="eastAsia" w:ascii="黑体" w:eastAsia="黑体"/>
        <w:b w:val="0"/>
        <w:i w:val="0"/>
        <w:sz w:val="21"/>
      </w:rPr>
    </w:lvl>
    <w:lvl w:ilvl="2" w:tentative="0">
      <w:start w:val="1"/>
      <w:numFmt w:val="decimal"/>
      <w:pStyle w:val="87"/>
      <w:suff w:val="nothing"/>
      <w:lvlText w:val="%1.%2.%3　"/>
      <w:lvlJc w:val="left"/>
      <w:pPr>
        <w:ind w:left="0" w:firstLine="0"/>
      </w:pPr>
      <w:rPr>
        <w:rFonts w:hint="eastAsia" w:ascii="黑体" w:eastAsia="黑体"/>
        <w:b w:val="0"/>
        <w:i w:val="0"/>
        <w:sz w:val="21"/>
      </w:rPr>
    </w:lvl>
    <w:lvl w:ilvl="3" w:tentative="0">
      <w:start w:val="1"/>
      <w:numFmt w:val="decimal"/>
      <w:pStyle w:val="89"/>
      <w:suff w:val="nothing"/>
      <w:lvlText w:val="%1.%2.%3.%4　"/>
      <w:lvlJc w:val="left"/>
      <w:pPr>
        <w:ind w:left="0" w:firstLine="0"/>
      </w:pPr>
      <w:rPr>
        <w:rFonts w:hint="eastAsia" w:ascii="黑体" w:eastAsia="黑体"/>
        <w:b w:val="0"/>
        <w:i w:val="0"/>
        <w:sz w:val="21"/>
      </w:rPr>
    </w:lvl>
    <w:lvl w:ilvl="4" w:tentative="0">
      <w:start w:val="1"/>
      <w:numFmt w:val="decimal"/>
      <w:pStyle w:val="90"/>
      <w:suff w:val="nothing"/>
      <w:lvlText w:val="%1.%2.%3.%4.%5　"/>
      <w:lvlJc w:val="left"/>
      <w:pPr>
        <w:ind w:left="0" w:firstLine="0"/>
      </w:pPr>
      <w:rPr>
        <w:rFonts w:hint="eastAsia" w:ascii="黑体" w:eastAsia="黑体"/>
        <w:b w:val="0"/>
        <w:i w:val="0"/>
        <w:sz w:val="21"/>
      </w:rPr>
    </w:lvl>
    <w:lvl w:ilvl="5" w:tentative="0">
      <w:start w:val="1"/>
      <w:numFmt w:val="decimal"/>
      <w:pStyle w:val="9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7">
    <w:nsid w:val="6CA41985"/>
    <w:multiLevelType w:val="multilevel"/>
    <w:tmpl w:val="6CA41985"/>
    <w:lvl w:ilvl="0" w:tentative="0">
      <w:start w:val="1"/>
      <w:numFmt w:val="decimal"/>
      <w:pStyle w:val="10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37"/>
      <w:suff w:val="nothing"/>
      <w:lvlText w:val="%1%2　"/>
      <w:lvlJc w:val="left"/>
      <w:pPr>
        <w:ind w:left="0" w:firstLine="0"/>
      </w:pPr>
      <w:rPr>
        <w:rFonts w:hint="eastAsia" w:ascii="黑体" w:eastAsia="黑体"/>
        <w:b w:val="0"/>
        <w:i w:val="0"/>
        <w:sz w:val="21"/>
      </w:rPr>
    </w:lvl>
    <w:lvl w:ilvl="2" w:tentative="0">
      <w:start w:val="1"/>
      <w:numFmt w:val="decimal"/>
      <w:pStyle w:val="3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40"/>
      <w:suff w:val="nothing"/>
      <w:lvlText w:val="%1%2.%3.%4　"/>
      <w:lvlJc w:val="left"/>
      <w:pPr>
        <w:ind w:left="0" w:firstLine="0"/>
      </w:pPr>
      <w:rPr>
        <w:rFonts w:hint="eastAsia" w:ascii="黑体" w:eastAsia="黑体"/>
        <w:b w:val="0"/>
        <w:i w:val="0"/>
        <w:strike w:val="0"/>
        <w:sz w:val="21"/>
        <w:u w:val="none"/>
      </w:rPr>
    </w:lvl>
    <w:lvl w:ilvl="4" w:tentative="0">
      <w:start w:val="1"/>
      <w:numFmt w:val="decimal"/>
      <w:pStyle w:val="41"/>
      <w:suff w:val="nothing"/>
      <w:lvlText w:val="%1%2.%3.%4.%5　"/>
      <w:lvlJc w:val="left"/>
      <w:pPr>
        <w:ind w:left="0" w:firstLine="0"/>
      </w:pPr>
      <w:rPr>
        <w:rFonts w:hint="eastAsia" w:ascii="黑体" w:eastAsia="黑体"/>
        <w:b w:val="0"/>
        <w:i w:val="0"/>
        <w:sz w:val="21"/>
      </w:rPr>
    </w:lvl>
    <w:lvl w:ilvl="5" w:tentative="0">
      <w:start w:val="1"/>
      <w:numFmt w:val="decimal"/>
      <w:pStyle w:val="42"/>
      <w:suff w:val="nothing"/>
      <w:lvlText w:val="%1%2.%3.%4.%5.%6　"/>
      <w:lvlJc w:val="left"/>
      <w:pPr>
        <w:ind w:left="0" w:firstLine="0"/>
      </w:pPr>
      <w:rPr>
        <w:rFonts w:hint="eastAsia" w:ascii="黑体" w:eastAsia="黑体"/>
        <w:b w:val="0"/>
        <w:i w:val="0"/>
        <w:sz w:val="21"/>
      </w:rPr>
    </w:lvl>
    <w:lvl w:ilvl="6" w:tentative="0">
      <w:start w:val="1"/>
      <w:numFmt w:val="decimal"/>
      <w:pStyle w:val="4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9"/>
  </w:num>
  <w:num w:numId="2">
    <w:abstractNumId w:val="1"/>
  </w:num>
  <w:num w:numId="3">
    <w:abstractNumId w:val="6"/>
  </w:num>
  <w:num w:numId="4">
    <w:abstractNumId w:val="25"/>
  </w:num>
  <w:num w:numId="5">
    <w:abstractNumId w:val="20"/>
  </w:num>
  <w:num w:numId="6">
    <w:abstractNumId w:val="15"/>
  </w:num>
  <w:num w:numId="7">
    <w:abstractNumId w:val="9"/>
  </w:num>
  <w:num w:numId="8">
    <w:abstractNumId w:val="4"/>
  </w:num>
  <w:num w:numId="9">
    <w:abstractNumId w:val="10"/>
  </w:num>
  <w:num w:numId="10">
    <w:abstractNumId w:val="18"/>
  </w:num>
  <w:num w:numId="11">
    <w:abstractNumId w:val="27"/>
  </w:num>
  <w:num w:numId="12">
    <w:abstractNumId w:val="13"/>
  </w:num>
  <w:num w:numId="13">
    <w:abstractNumId w:val="14"/>
  </w:num>
  <w:num w:numId="14">
    <w:abstractNumId w:val="8"/>
  </w:num>
  <w:num w:numId="15">
    <w:abstractNumId w:val="21"/>
  </w:num>
  <w:num w:numId="16">
    <w:abstractNumId w:val="23"/>
  </w:num>
  <w:num w:numId="17">
    <w:abstractNumId w:val="19"/>
  </w:num>
  <w:num w:numId="18">
    <w:abstractNumId w:val="31"/>
  </w:num>
  <w:num w:numId="19">
    <w:abstractNumId w:val="17"/>
  </w:num>
  <w:num w:numId="20">
    <w:abstractNumId w:val="2"/>
  </w:num>
  <w:num w:numId="21">
    <w:abstractNumId w:val="12"/>
  </w:num>
  <w:num w:numId="22">
    <w:abstractNumId w:val="32"/>
  </w:num>
  <w:num w:numId="23">
    <w:abstractNumId w:val="22"/>
  </w:num>
  <w:num w:numId="24">
    <w:abstractNumId w:val="7"/>
  </w:num>
  <w:num w:numId="25">
    <w:abstractNumId w:val="28"/>
  </w:num>
  <w:num w:numId="26">
    <w:abstractNumId w:val="30"/>
  </w:num>
  <w:num w:numId="27">
    <w:abstractNumId w:val="3"/>
  </w:num>
  <w:num w:numId="28">
    <w:abstractNumId w:val="5"/>
  </w:num>
  <w:num w:numId="29">
    <w:abstractNumId w:val="16"/>
  </w:num>
  <w:num w:numId="30">
    <w:abstractNumId w:val="26"/>
  </w:num>
  <w:num w:numId="31">
    <w:abstractNumId w:val="24"/>
  </w:num>
  <w:num w:numId="32">
    <w:abstractNumId w:val="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dit="forms" w:enforcement="1" w:cryptProviderType="rsaAES" w:cryptAlgorithmClass="hash" w:cryptAlgorithmType="typeAny" w:cryptAlgorithmSid="14" w:cryptSpinCount="100000" w:hash="Vj1ug7QuSNnWicAo8uBW04tJNZeGqbhxQpW3i+Qsq6apfDpKnHBW32iwriS/qzjDUZCIwAWL09OOmfzDcgDXgA==" w:salt="AoxRajGZYr4cIS674WSPBQ=="/>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ZDg1ZDdhMzA0ODMxM2FiNDE2MmEzZGIyNjUyMWIifQ=="/>
  </w:docVars>
  <w:rsids>
    <w:rsidRoot w:val="00B272AC"/>
    <w:rsid w:val="0000040A"/>
    <w:rsid w:val="00000A94"/>
    <w:rsid w:val="00001972"/>
    <w:rsid w:val="00001D9A"/>
    <w:rsid w:val="00002C17"/>
    <w:rsid w:val="00007B3A"/>
    <w:rsid w:val="00007B84"/>
    <w:rsid w:val="000107E0"/>
    <w:rsid w:val="00011FDE"/>
    <w:rsid w:val="00012FFD"/>
    <w:rsid w:val="00014162"/>
    <w:rsid w:val="00014340"/>
    <w:rsid w:val="00015D6D"/>
    <w:rsid w:val="00016A9C"/>
    <w:rsid w:val="00022184"/>
    <w:rsid w:val="00022762"/>
    <w:rsid w:val="000238E0"/>
    <w:rsid w:val="000249DB"/>
    <w:rsid w:val="0002595E"/>
    <w:rsid w:val="000303C3"/>
    <w:rsid w:val="0003221E"/>
    <w:rsid w:val="000331D3"/>
    <w:rsid w:val="000346A5"/>
    <w:rsid w:val="000359C3"/>
    <w:rsid w:val="00035A7D"/>
    <w:rsid w:val="000365ED"/>
    <w:rsid w:val="0004067A"/>
    <w:rsid w:val="0004249A"/>
    <w:rsid w:val="00043282"/>
    <w:rsid w:val="00044286"/>
    <w:rsid w:val="00047F28"/>
    <w:rsid w:val="000503AA"/>
    <w:rsid w:val="000506A1"/>
    <w:rsid w:val="000515DD"/>
    <w:rsid w:val="0005264D"/>
    <w:rsid w:val="0005265A"/>
    <w:rsid w:val="000539DD"/>
    <w:rsid w:val="00053BD3"/>
    <w:rsid w:val="000556ED"/>
    <w:rsid w:val="00055FE2"/>
    <w:rsid w:val="0005616F"/>
    <w:rsid w:val="00060C2E"/>
    <w:rsid w:val="00061033"/>
    <w:rsid w:val="00061859"/>
    <w:rsid w:val="000619E9"/>
    <w:rsid w:val="000622D4"/>
    <w:rsid w:val="0006357D"/>
    <w:rsid w:val="00065A06"/>
    <w:rsid w:val="00067F1E"/>
    <w:rsid w:val="00071CC0"/>
    <w:rsid w:val="00073C8C"/>
    <w:rsid w:val="00077B64"/>
    <w:rsid w:val="00080A1C"/>
    <w:rsid w:val="00081A4E"/>
    <w:rsid w:val="00082317"/>
    <w:rsid w:val="00082ADA"/>
    <w:rsid w:val="00083D2C"/>
    <w:rsid w:val="00086AA1"/>
    <w:rsid w:val="00087A77"/>
    <w:rsid w:val="00090CA6"/>
    <w:rsid w:val="00092B8A"/>
    <w:rsid w:val="00092FB0"/>
    <w:rsid w:val="000934C5"/>
    <w:rsid w:val="00093D25"/>
    <w:rsid w:val="00093DAB"/>
    <w:rsid w:val="0009439C"/>
    <w:rsid w:val="00094D73"/>
    <w:rsid w:val="00096D63"/>
    <w:rsid w:val="00096E22"/>
    <w:rsid w:val="000A0B60"/>
    <w:rsid w:val="000A0EB8"/>
    <w:rsid w:val="000A19FC"/>
    <w:rsid w:val="000A296B"/>
    <w:rsid w:val="000A7311"/>
    <w:rsid w:val="000A7763"/>
    <w:rsid w:val="000B060F"/>
    <w:rsid w:val="000B1592"/>
    <w:rsid w:val="000B1FF2"/>
    <w:rsid w:val="000B3CDA"/>
    <w:rsid w:val="000B53F7"/>
    <w:rsid w:val="000B5987"/>
    <w:rsid w:val="000B6A0B"/>
    <w:rsid w:val="000C0F6C"/>
    <w:rsid w:val="000C11DB"/>
    <w:rsid w:val="000C1492"/>
    <w:rsid w:val="000C2FBD"/>
    <w:rsid w:val="000C4B41"/>
    <w:rsid w:val="000C57D6"/>
    <w:rsid w:val="000C6362"/>
    <w:rsid w:val="000C7666"/>
    <w:rsid w:val="000D0A9C"/>
    <w:rsid w:val="000D1795"/>
    <w:rsid w:val="000D20B2"/>
    <w:rsid w:val="000D329A"/>
    <w:rsid w:val="000D4A72"/>
    <w:rsid w:val="000D4B9C"/>
    <w:rsid w:val="000D4EB6"/>
    <w:rsid w:val="000D753B"/>
    <w:rsid w:val="000E0D7C"/>
    <w:rsid w:val="000E4C9E"/>
    <w:rsid w:val="000E6FD7"/>
    <w:rsid w:val="000F06E1"/>
    <w:rsid w:val="000F0E3C"/>
    <w:rsid w:val="000F19D5"/>
    <w:rsid w:val="000F4AEA"/>
    <w:rsid w:val="000F633F"/>
    <w:rsid w:val="000F67E9"/>
    <w:rsid w:val="00104926"/>
    <w:rsid w:val="0010786E"/>
    <w:rsid w:val="00113B1E"/>
    <w:rsid w:val="00114C65"/>
    <w:rsid w:val="0011711C"/>
    <w:rsid w:val="0012059C"/>
    <w:rsid w:val="00120AE7"/>
    <w:rsid w:val="00124E4F"/>
    <w:rsid w:val="001260B7"/>
    <w:rsid w:val="001265CB"/>
    <w:rsid w:val="001300A4"/>
    <w:rsid w:val="001321C6"/>
    <w:rsid w:val="001325C4"/>
    <w:rsid w:val="00133010"/>
    <w:rsid w:val="001338EE"/>
    <w:rsid w:val="00133AAE"/>
    <w:rsid w:val="00134590"/>
    <w:rsid w:val="0013482E"/>
    <w:rsid w:val="00135323"/>
    <w:rsid w:val="001356C4"/>
    <w:rsid w:val="00135AAB"/>
    <w:rsid w:val="00141114"/>
    <w:rsid w:val="00142969"/>
    <w:rsid w:val="001446C2"/>
    <w:rsid w:val="00144719"/>
    <w:rsid w:val="001457E7"/>
    <w:rsid w:val="00145D9D"/>
    <w:rsid w:val="00146388"/>
    <w:rsid w:val="001529E5"/>
    <w:rsid w:val="00153C7E"/>
    <w:rsid w:val="001564A2"/>
    <w:rsid w:val="00156B25"/>
    <w:rsid w:val="00156E1A"/>
    <w:rsid w:val="00157894"/>
    <w:rsid w:val="00157B55"/>
    <w:rsid w:val="001642FA"/>
    <w:rsid w:val="001649EB"/>
    <w:rsid w:val="00164BAF"/>
    <w:rsid w:val="00164FA8"/>
    <w:rsid w:val="00165065"/>
    <w:rsid w:val="00165434"/>
    <w:rsid w:val="0016580B"/>
    <w:rsid w:val="00165F49"/>
    <w:rsid w:val="00166B88"/>
    <w:rsid w:val="00167590"/>
    <w:rsid w:val="0016770A"/>
    <w:rsid w:val="00170268"/>
    <w:rsid w:val="00170804"/>
    <w:rsid w:val="001708E9"/>
    <w:rsid w:val="0017340B"/>
    <w:rsid w:val="00173FB1"/>
    <w:rsid w:val="00175E6D"/>
    <w:rsid w:val="00176DFD"/>
    <w:rsid w:val="001777E9"/>
    <w:rsid w:val="00182298"/>
    <w:rsid w:val="00184FDA"/>
    <w:rsid w:val="001852C9"/>
    <w:rsid w:val="00190087"/>
    <w:rsid w:val="001913C4"/>
    <w:rsid w:val="0019348F"/>
    <w:rsid w:val="00193A07"/>
    <w:rsid w:val="00194269"/>
    <w:rsid w:val="00194C95"/>
    <w:rsid w:val="00195C34"/>
    <w:rsid w:val="00196EF5"/>
    <w:rsid w:val="00197810"/>
    <w:rsid w:val="001A1A53"/>
    <w:rsid w:val="001A1D2A"/>
    <w:rsid w:val="001A234A"/>
    <w:rsid w:val="001A4CF3"/>
    <w:rsid w:val="001B06E8"/>
    <w:rsid w:val="001B4D8C"/>
    <w:rsid w:val="001B71D0"/>
    <w:rsid w:val="001B71EE"/>
    <w:rsid w:val="001B7D60"/>
    <w:rsid w:val="001C04A8"/>
    <w:rsid w:val="001C0F9A"/>
    <w:rsid w:val="001C264A"/>
    <w:rsid w:val="001C2C03"/>
    <w:rsid w:val="001C32F0"/>
    <w:rsid w:val="001C42F7"/>
    <w:rsid w:val="001C49E5"/>
    <w:rsid w:val="001C680C"/>
    <w:rsid w:val="001C7FEA"/>
    <w:rsid w:val="001D000C"/>
    <w:rsid w:val="001D0499"/>
    <w:rsid w:val="001D0BBE"/>
    <w:rsid w:val="001D0ED4"/>
    <w:rsid w:val="001D212F"/>
    <w:rsid w:val="001D29D7"/>
    <w:rsid w:val="001D2DE7"/>
    <w:rsid w:val="001D411C"/>
    <w:rsid w:val="001E1B6A"/>
    <w:rsid w:val="001E2484"/>
    <w:rsid w:val="001E3CC4"/>
    <w:rsid w:val="001E4882"/>
    <w:rsid w:val="001E73AB"/>
    <w:rsid w:val="001E75C3"/>
    <w:rsid w:val="001F092D"/>
    <w:rsid w:val="001F0DBF"/>
    <w:rsid w:val="001F1063"/>
    <w:rsid w:val="001F143A"/>
    <w:rsid w:val="001F1605"/>
    <w:rsid w:val="001F19E8"/>
    <w:rsid w:val="001F2508"/>
    <w:rsid w:val="001F3B21"/>
    <w:rsid w:val="001F4816"/>
    <w:rsid w:val="001F4EE9"/>
    <w:rsid w:val="001F69B4"/>
    <w:rsid w:val="001F77C7"/>
    <w:rsid w:val="00200183"/>
    <w:rsid w:val="00200333"/>
    <w:rsid w:val="0020107D"/>
    <w:rsid w:val="00202AA4"/>
    <w:rsid w:val="00203085"/>
    <w:rsid w:val="002031F7"/>
    <w:rsid w:val="002040E6"/>
    <w:rsid w:val="0020527B"/>
    <w:rsid w:val="00205F2C"/>
    <w:rsid w:val="00210B15"/>
    <w:rsid w:val="00210BBC"/>
    <w:rsid w:val="00210E0C"/>
    <w:rsid w:val="002142EA"/>
    <w:rsid w:val="00217B63"/>
    <w:rsid w:val="002204BB"/>
    <w:rsid w:val="00221B79"/>
    <w:rsid w:val="00221C6B"/>
    <w:rsid w:val="0022385D"/>
    <w:rsid w:val="002253A1"/>
    <w:rsid w:val="0022545A"/>
    <w:rsid w:val="00225CF8"/>
    <w:rsid w:val="00225E9D"/>
    <w:rsid w:val="0022794E"/>
    <w:rsid w:val="00232E78"/>
    <w:rsid w:val="00233D64"/>
    <w:rsid w:val="0023482A"/>
    <w:rsid w:val="002359CB"/>
    <w:rsid w:val="00235C1A"/>
    <w:rsid w:val="002425C5"/>
    <w:rsid w:val="00243540"/>
    <w:rsid w:val="0024497B"/>
    <w:rsid w:val="0024515B"/>
    <w:rsid w:val="00245E05"/>
    <w:rsid w:val="00246021"/>
    <w:rsid w:val="0024666E"/>
    <w:rsid w:val="00247F52"/>
    <w:rsid w:val="00250B25"/>
    <w:rsid w:val="00250BBE"/>
    <w:rsid w:val="002515C2"/>
    <w:rsid w:val="0025194F"/>
    <w:rsid w:val="00252F6E"/>
    <w:rsid w:val="0026148A"/>
    <w:rsid w:val="00262696"/>
    <w:rsid w:val="00263D25"/>
    <w:rsid w:val="002643C3"/>
    <w:rsid w:val="00264A0C"/>
    <w:rsid w:val="00266EEB"/>
    <w:rsid w:val="00267EF4"/>
    <w:rsid w:val="00270CB8"/>
    <w:rsid w:val="00272B08"/>
    <w:rsid w:val="002741F9"/>
    <w:rsid w:val="00274773"/>
    <w:rsid w:val="002771AC"/>
    <w:rsid w:val="00281BB8"/>
    <w:rsid w:val="00281E9E"/>
    <w:rsid w:val="00282405"/>
    <w:rsid w:val="0028259A"/>
    <w:rsid w:val="00282764"/>
    <w:rsid w:val="00285170"/>
    <w:rsid w:val="00285361"/>
    <w:rsid w:val="00286983"/>
    <w:rsid w:val="00290CB0"/>
    <w:rsid w:val="0029130D"/>
    <w:rsid w:val="00291B39"/>
    <w:rsid w:val="002921FA"/>
    <w:rsid w:val="002929F7"/>
    <w:rsid w:val="00292D60"/>
    <w:rsid w:val="00293B30"/>
    <w:rsid w:val="00294D34"/>
    <w:rsid w:val="00294E3B"/>
    <w:rsid w:val="00296193"/>
    <w:rsid w:val="002969B3"/>
    <w:rsid w:val="00296C66"/>
    <w:rsid w:val="00296EBE"/>
    <w:rsid w:val="002974E3"/>
    <w:rsid w:val="002A084B"/>
    <w:rsid w:val="002A1260"/>
    <w:rsid w:val="002A1589"/>
    <w:rsid w:val="002A1608"/>
    <w:rsid w:val="002A240E"/>
    <w:rsid w:val="002A25DC"/>
    <w:rsid w:val="002A2A13"/>
    <w:rsid w:val="002A3AAB"/>
    <w:rsid w:val="002A4CEA"/>
    <w:rsid w:val="002A5977"/>
    <w:rsid w:val="002A5A13"/>
    <w:rsid w:val="002A757F"/>
    <w:rsid w:val="002A7F44"/>
    <w:rsid w:val="002B0C40"/>
    <w:rsid w:val="002B1966"/>
    <w:rsid w:val="002B4508"/>
    <w:rsid w:val="002B5779"/>
    <w:rsid w:val="002B7332"/>
    <w:rsid w:val="002B7F51"/>
    <w:rsid w:val="002C09E7"/>
    <w:rsid w:val="002C17BB"/>
    <w:rsid w:val="002C1E06"/>
    <w:rsid w:val="002C1E1C"/>
    <w:rsid w:val="002C3D69"/>
    <w:rsid w:val="002C3F07"/>
    <w:rsid w:val="002C4F48"/>
    <w:rsid w:val="002C5278"/>
    <w:rsid w:val="002C7EBB"/>
    <w:rsid w:val="002D06C1"/>
    <w:rsid w:val="002D163C"/>
    <w:rsid w:val="002D371A"/>
    <w:rsid w:val="002D42B5"/>
    <w:rsid w:val="002D4822"/>
    <w:rsid w:val="002D4F1A"/>
    <w:rsid w:val="002D6EC6"/>
    <w:rsid w:val="002D7646"/>
    <w:rsid w:val="002D79AC"/>
    <w:rsid w:val="002E039D"/>
    <w:rsid w:val="002E1F6F"/>
    <w:rsid w:val="002E4D5A"/>
    <w:rsid w:val="002E6326"/>
    <w:rsid w:val="002E7F19"/>
    <w:rsid w:val="002F30E0"/>
    <w:rsid w:val="002F35E4"/>
    <w:rsid w:val="002F3730"/>
    <w:rsid w:val="002F38E1"/>
    <w:rsid w:val="002F5916"/>
    <w:rsid w:val="002F6CCE"/>
    <w:rsid w:val="002F7AF6"/>
    <w:rsid w:val="00300E63"/>
    <w:rsid w:val="00302F5F"/>
    <w:rsid w:val="0030441D"/>
    <w:rsid w:val="003049B6"/>
    <w:rsid w:val="00306063"/>
    <w:rsid w:val="00310AF6"/>
    <w:rsid w:val="00313B85"/>
    <w:rsid w:val="003165D9"/>
    <w:rsid w:val="00317988"/>
    <w:rsid w:val="0032170A"/>
    <w:rsid w:val="003221B4"/>
    <w:rsid w:val="0032258D"/>
    <w:rsid w:val="00322E62"/>
    <w:rsid w:val="00324D13"/>
    <w:rsid w:val="00324D2A"/>
    <w:rsid w:val="00324EDD"/>
    <w:rsid w:val="00331C88"/>
    <w:rsid w:val="003331E4"/>
    <w:rsid w:val="00336C64"/>
    <w:rsid w:val="00337162"/>
    <w:rsid w:val="0034194F"/>
    <w:rsid w:val="00344605"/>
    <w:rsid w:val="00345FB2"/>
    <w:rsid w:val="003474AA"/>
    <w:rsid w:val="00350D1D"/>
    <w:rsid w:val="00352C83"/>
    <w:rsid w:val="00355A51"/>
    <w:rsid w:val="003575A6"/>
    <w:rsid w:val="00357EBA"/>
    <w:rsid w:val="00360297"/>
    <w:rsid w:val="003615D2"/>
    <w:rsid w:val="003628F0"/>
    <w:rsid w:val="0036429C"/>
    <w:rsid w:val="00364A53"/>
    <w:rsid w:val="003654CB"/>
    <w:rsid w:val="00365AA9"/>
    <w:rsid w:val="00365F86"/>
    <w:rsid w:val="00365F87"/>
    <w:rsid w:val="00366E89"/>
    <w:rsid w:val="003705F4"/>
    <w:rsid w:val="00370D58"/>
    <w:rsid w:val="00371316"/>
    <w:rsid w:val="003766A3"/>
    <w:rsid w:val="00376713"/>
    <w:rsid w:val="00381815"/>
    <w:rsid w:val="003819AF"/>
    <w:rsid w:val="003820E9"/>
    <w:rsid w:val="00382DE7"/>
    <w:rsid w:val="00383066"/>
    <w:rsid w:val="00384FFC"/>
    <w:rsid w:val="003872FC"/>
    <w:rsid w:val="00387331"/>
    <w:rsid w:val="00387ADC"/>
    <w:rsid w:val="00390020"/>
    <w:rsid w:val="003903D6"/>
    <w:rsid w:val="00390EE6"/>
    <w:rsid w:val="0039118F"/>
    <w:rsid w:val="00392AD7"/>
    <w:rsid w:val="003938D9"/>
    <w:rsid w:val="00394376"/>
    <w:rsid w:val="003943FF"/>
    <w:rsid w:val="003948FE"/>
    <w:rsid w:val="00395700"/>
    <w:rsid w:val="003974EB"/>
    <w:rsid w:val="00397CC5"/>
    <w:rsid w:val="003A0786"/>
    <w:rsid w:val="003A1582"/>
    <w:rsid w:val="003A3E06"/>
    <w:rsid w:val="003A4077"/>
    <w:rsid w:val="003A4A48"/>
    <w:rsid w:val="003B0735"/>
    <w:rsid w:val="003B09AD"/>
    <w:rsid w:val="003B1F18"/>
    <w:rsid w:val="003B57F5"/>
    <w:rsid w:val="003B5BF0"/>
    <w:rsid w:val="003B5C0A"/>
    <w:rsid w:val="003B60BF"/>
    <w:rsid w:val="003B6BE3"/>
    <w:rsid w:val="003C010C"/>
    <w:rsid w:val="003C0A14"/>
    <w:rsid w:val="003C0A6C"/>
    <w:rsid w:val="003C14F8"/>
    <w:rsid w:val="003C4EFD"/>
    <w:rsid w:val="003C5A43"/>
    <w:rsid w:val="003D0519"/>
    <w:rsid w:val="003D0558"/>
    <w:rsid w:val="003D0FF6"/>
    <w:rsid w:val="003D262C"/>
    <w:rsid w:val="003D2EB3"/>
    <w:rsid w:val="003D6D61"/>
    <w:rsid w:val="003D79C6"/>
    <w:rsid w:val="003E091D"/>
    <w:rsid w:val="003E1A9D"/>
    <w:rsid w:val="003E1C53"/>
    <w:rsid w:val="003E2A69"/>
    <w:rsid w:val="003E2D49"/>
    <w:rsid w:val="003E2FD4"/>
    <w:rsid w:val="003E3817"/>
    <w:rsid w:val="003E49F6"/>
    <w:rsid w:val="003E660F"/>
    <w:rsid w:val="003F0841"/>
    <w:rsid w:val="003F23D3"/>
    <w:rsid w:val="003F3F08"/>
    <w:rsid w:val="003F49F1"/>
    <w:rsid w:val="003F6251"/>
    <w:rsid w:val="003F6272"/>
    <w:rsid w:val="00400133"/>
    <w:rsid w:val="00400E72"/>
    <w:rsid w:val="00401400"/>
    <w:rsid w:val="00401DB0"/>
    <w:rsid w:val="00404869"/>
    <w:rsid w:val="00405884"/>
    <w:rsid w:val="00407D39"/>
    <w:rsid w:val="0041446A"/>
    <w:rsid w:val="0041477A"/>
    <w:rsid w:val="004167A3"/>
    <w:rsid w:val="00432DAA"/>
    <w:rsid w:val="00434305"/>
    <w:rsid w:val="00435DF7"/>
    <w:rsid w:val="0044083F"/>
    <w:rsid w:val="00441AE7"/>
    <w:rsid w:val="0044221D"/>
    <w:rsid w:val="0044469E"/>
    <w:rsid w:val="00445574"/>
    <w:rsid w:val="004467FB"/>
    <w:rsid w:val="004504ED"/>
    <w:rsid w:val="00452D6B"/>
    <w:rsid w:val="00454484"/>
    <w:rsid w:val="0045517B"/>
    <w:rsid w:val="0046062B"/>
    <w:rsid w:val="00463B77"/>
    <w:rsid w:val="00463C7B"/>
    <w:rsid w:val="004644A6"/>
    <w:rsid w:val="004659BD"/>
    <w:rsid w:val="00470775"/>
    <w:rsid w:val="004727DA"/>
    <w:rsid w:val="004728C2"/>
    <w:rsid w:val="004746B1"/>
    <w:rsid w:val="0047583F"/>
    <w:rsid w:val="00475DE8"/>
    <w:rsid w:val="00481C44"/>
    <w:rsid w:val="00484936"/>
    <w:rsid w:val="00484B21"/>
    <w:rsid w:val="00485C89"/>
    <w:rsid w:val="00486BE3"/>
    <w:rsid w:val="004905E4"/>
    <w:rsid w:val="00490A89"/>
    <w:rsid w:val="00490AB4"/>
    <w:rsid w:val="00492F02"/>
    <w:rsid w:val="004939AE"/>
    <w:rsid w:val="0049483C"/>
    <w:rsid w:val="00496FE1"/>
    <w:rsid w:val="004A12DF"/>
    <w:rsid w:val="004A17E6"/>
    <w:rsid w:val="004A1BA8"/>
    <w:rsid w:val="004A1F89"/>
    <w:rsid w:val="004A3CE8"/>
    <w:rsid w:val="004A441E"/>
    <w:rsid w:val="004A4B57"/>
    <w:rsid w:val="004A63FA"/>
    <w:rsid w:val="004A7217"/>
    <w:rsid w:val="004A774C"/>
    <w:rsid w:val="004B0272"/>
    <w:rsid w:val="004B0BAE"/>
    <w:rsid w:val="004B2701"/>
    <w:rsid w:val="004B2E1B"/>
    <w:rsid w:val="004B3AA8"/>
    <w:rsid w:val="004B3E93"/>
    <w:rsid w:val="004B6620"/>
    <w:rsid w:val="004C1B1E"/>
    <w:rsid w:val="004C1FBC"/>
    <w:rsid w:val="004C3F1D"/>
    <w:rsid w:val="004C43E5"/>
    <w:rsid w:val="004C458D"/>
    <w:rsid w:val="004C4736"/>
    <w:rsid w:val="004C7556"/>
    <w:rsid w:val="004C75A8"/>
    <w:rsid w:val="004C7E8B"/>
    <w:rsid w:val="004C7E9D"/>
    <w:rsid w:val="004C7F67"/>
    <w:rsid w:val="004D076D"/>
    <w:rsid w:val="004D0EF1"/>
    <w:rsid w:val="004D1802"/>
    <w:rsid w:val="004D2253"/>
    <w:rsid w:val="004D4406"/>
    <w:rsid w:val="004D4D6B"/>
    <w:rsid w:val="004D6C14"/>
    <w:rsid w:val="004D7C42"/>
    <w:rsid w:val="004E0465"/>
    <w:rsid w:val="004E127B"/>
    <w:rsid w:val="004E1C0A"/>
    <w:rsid w:val="004E2B06"/>
    <w:rsid w:val="004E30C5"/>
    <w:rsid w:val="004E3520"/>
    <w:rsid w:val="004E4AA5"/>
    <w:rsid w:val="004E4AEE"/>
    <w:rsid w:val="004E59E3"/>
    <w:rsid w:val="004E5A1E"/>
    <w:rsid w:val="004E67C0"/>
    <w:rsid w:val="004F1FCB"/>
    <w:rsid w:val="004F391A"/>
    <w:rsid w:val="004F3CFB"/>
    <w:rsid w:val="004F6456"/>
    <w:rsid w:val="004F68E4"/>
    <w:rsid w:val="004F696E"/>
    <w:rsid w:val="004F6C71"/>
    <w:rsid w:val="004F75E8"/>
    <w:rsid w:val="004F79D9"/>
    <w:rsid w:val="00501139"/>
    <w:rsid w:val="0050363E"/>
    <w:rsid w:val="005039BC"/>
    <w:rsid w:val="00503D30"/>
    <w:rsid w:val="005043BB"/>
    <w:rsid w:val="00504A3D"/>
    <w:rsid w:val="00505767"/>
    <w:rsid w:val="005073F0"/>
    <w:rsid w:val="00510A7B"/>
    <w:rsid w:val="00512F6E"/>
    <w:rsid w:val="00513038"/>
    <w:rsid w:val="00514174"/>
    <w:rsid w:val="00515524"/>
    <w:rsid w:val="00516088"/>
    <w:rsid w:val="00516B0B"/>
    <w:rsid w:val="00521AC9"/>
    <w:rsid w:val="005220EC"/>
    <w:rsid w:val="00523F95"/>
    <w:rsid w:val="005247AC"/>
    <w:rsid w:val="00524D65"/>
    <w:rsid w:val="00525B16"/>
    <w:rsid w:val="00525E6A"/>
    <w:rsid w:val="00526AE0"/>
    <w:rsid w:val="005271BD"/>
    <w:rsid w:val="00531AE1"/>
    <w:rsid w:val="00533D04"/>
    <w:rsid w:val="00534804"/>
    <w:rsid w:val="00534BDF"/>
    <w:rsid w:val="005354EA"/>
    <w:rsid w:val="0053585F"/>
    <w:rsid w:val="00535EC4"/>
    <w:rsid w:val="00535ED9"/>
    <w:rsid w:val="0053692B"/>
    <w:rsid w:val="00541853"/>
    <w:rsid w:val="0054272B"/>
    <w:rsid w:val="00543BDA"/>
    <w:rsid w:val="005441CC"/>
    <w:rsid w:val="005479DA"/>
    <w:rsid w:val="00547BCC"/>
    <w:rsid w:val="0055013B"/>
    <w:rsid w:val="00551F6F"/>
    <w:rsid w:val="00553D2B"/>
    <w:rsid w:val="00555044"/>
    <w:rsid w:val="00557199"/>
    <w:rsid w:val="00561475"/>
    <w:rsid w:val="00563712"/>
    <w:rsid w:val="0056487B"/>
    <w:rsid w:val="00564FB9"/>
    <w:rsid w:val="005650FF"/>
    <w:rsid w:val="00570457"/>
    <w:rsid w:val="0057055E"/>
    <w:rsid w:val="00573D31"/>
    <w:rsid w:val="00573D9E"/>
    <w:rsid w:val="005801E3"/>
    <w:rsid w:val="00581802"/>
    <w:rsid w:val="005836A8"/>
    <w:rsid w:val="0058409C"/>
    <w:rsid w:val="00584262"/>
    <w:rsid w:val="00586630"/>
    <w:rsid w:val="00587ADD"/>
    <w:rsid w:val="00587B80"/>
    <w:rsid w:val="00591E27"/>
    <w:rsid w:val="00596160"/>
    <w:rsid w:val="005966E2"/>
    <w:rsid w:val="00597007"/>
    <w:rsid w:val="005A0966"/>
    <w:rsid w:val="005A0D29"/>
    <w:rsid w:val="005A11B7"/>
    <w:rsid w:val="005A260B"/>
    <w:rsid w:val="005A48DE"/>
    <w:rsid w:val="005A4A1B"/>
    <w:rsid w:val="005A7830"/>
    <w:rsid w:val="005A7FCE"/>
    <w:rsid w:val="005B0070"/>
    <w:rsid w:val="005B0F3F"/>
    <w:rsid w:val="005B4903"/>
    <w:rsid w:val="005B51CE"/>
    <w:rsid w:val="005B5885"/>
    <w:rsid w:val="005B58A0"/>
    <w:rsid w:val="005B5CD7"/>
    <w:rsid w:val="005B6CF6"/>
    <w:rsid w:val="005B7422"/>
    <w:rsid w:val="005C29B8"/>
    <w:rsid w:val="005C5F21"/>
    <w:rsid w:val="005C7156"/>
    <w:rsid w:val="005D042E"/>
    <w:rsid w:val="005D0C75"/>
    <w:rsid w:val="005D4171"/>
    <w:rsid w:val="005D6A95"/>
    <w:rsid w:val="005D6B2C"/>
    <w:rsid w:val="005D6D9C"/>
    <w:rsid w:val="005D75EC"/>
    <w:rsid w:val="005E1DDC"/>
    <w:rsid w:val="005E2335"/>
    <w:rsid w:val="005E2F06"/>
    <w:rsid w:val="005E34CA"/>
    <w:rsid w:val="005E3C18"/>
    <w:rsid w:val="005E59F7"/>
    <w:rsid w:val="005E6812"/>
    <w:rsid w:val="005E7881"/>
    <w:rsid w:val="005E78E0"/>
    <w:rsid w:val="005F0D9C"/>
    <w:rsid w:val="005F284E"/>
    <w:rsid w:val="005F41B7"/>
    <w:rsid w:val="005F4712"/>
    <w:rsid w:val="005F531D"/>
    <w:rsid w:val="006015CE"/>
    <w:rsid w:val="00604784"/>
    <w:rsid w:val="00606419"/>
    <w:rsid w:val="00607D29"/>
    <w:rsid w:val="006127B2"/>
    <w:rsid w:val="00612952"/>
    <w:rsid w:val="00614CC1"/>
    <w:rsid w:val="00615A9D"/>
    <w:rsid w:val="006164C6"/>
    <w:rsid w:val="00617387"/>
    <w:rsid w:val="006205D6"/>
    <w:rsid w:val="006252D8"/>
    <w:rsid w:val="00625511"/>
    <w:rsid w:val="006259BC"/>
    <w:rsid w:val="0062619F"/>
    <w:rsid w:val="0062636B"/>
    <w:rsid w:val="00632182"/>
    <w:rsid w:val="00632AE0"/>
    <w:rsid w:val="00633456"/>
    <w:rsid w:val="00633C17"/>
    <w:rsid w:val="00634D9E"/>
    <w:rsid w:val="00636E3E"/>
    <w:rsid w:val="006379F7"/>
    <w:rsid w:val="00637E4D"/>
    <w:rsid w:val="00640620"/>
    <w:rsid w:val="00641A1F"/>
    <w:rsid w:val="00645904"/>
    <w:rsid w:val="00651332"/>
    <w:rsid w:val="00651ACB"/>
    <w:rsid w:val="00651C47"/>
    <w:rsid w:val="00651DC5"/>
    <w:rsid w:val="00652AB2"/>
    <w:rsid w:val="00653FED"/>
    <w:rsid w:val="00654EC0"/>
    <w:rsid w:val="0065525B"/>
    <w:rsid w:val="00655D4F"/>
    <w:rsid w:val="006566C4"/>
    <w:rsid w:val="00656D29"/>
    <w:rsid w:val="00660B43"/>
    <w:rsid w:val="00662752"/>
    <w:rsid w:val="006640E5"/>
    <w:rsid w:val="006646F1"/>
    <w:rsid w:val="00664929"/>
    <w:rsid w:val="00664F62"/>
    <w:rsid w:val="0066550B"/>
    <w:rsid w:val="006655E1"/>
    <w:rsid w:val="00670A16"/>
    <w:rsid w:val="0067157C"/>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3F"/>
    <w:rsid w:val="006A37B9"/>
    <w:rsid w:val="006A5405"/>
    <w:rsid w:val="006A5D32"/>
    <w:rsid w:val="006B2672"/>
    <w:rsid w:val="006B512E"/>
    <w:rsid w:val="006B54BF"/>
    <w:rsid w:val="006B5F44"/>
    <w:rsid w:val="006B5F90"/>
    <w:rsid w:val="006B62E4"/>
    <w:rsid w:val="006B644F"/>
    <w:rsid w:val="006C1BBA"/>
    <w:rsid w:val="006C2079"/>
    <w:rsid w:val="006C5A62"/>
    <w:rsid w:val="006C5D68"/>
    <w:rsid w:val="006C6976"/>
    <w:rsid w:val="006C6DD0"/>
    <w:rsid w:val="006C7ED5"/>
    <w:rsid w:val="006D04EA"/>
    <w:rsid w:val="006D0AB7"/>
    <w:rsid w:val="006D16C4"/>
    <w:rsid w:val="006D3E96"/>
    <w:rsid w:val="006D4515"/>
    <w:rsid w:val="006D4BB1"/>
    <w:rsid w:val="006D6593"/>
    <w:rsid w:val="006D7EA5"/>
    <w:rsid w:val="006E05A6"/>
    <w:rsid w:val="006E23EA"/>
    <w:rsid w:val="006E3450"/>
    <w:rsid w:val="006E6750"/>
    <w:rsid w:val="006F03A8"/>
    <w:rsid w:val="006F1E48"/>
    <w:rsid w:val="006F2ACA"/>
    <w:rsid w:val="006F2ADC"/>
    <w:rsid w:val="006F2BFE"/>
    <w:rsid w:val="006F31E9"/>
    <w:rsid w:val="006F49A4"/>
    <w:rsid w:val="006F6284"/>
    <w:rsid w:val="006F7A01"/>
    <w:rsid w:val="007002C5"/>
    <w:rsid w:val="00700F01"/>
    <w:rsid w:val="00704387"/>
    <w:rsid w:val="00707669"/>
    <w:rsid w:val="00711CBA"/>
    <w:rsid w:val="00711FB5"/>
    <w:rsid w:val="00712A01"/>
    <w:rsid w:val="00714F58"/>
    <w:rsid w:val="00722FBF"/>
    <w:rsid w:val="00722FC2"/>
    <w:rsid w:val="00724879"/>
    <w:rsid w:val="00724E1B"/>
    <w:rsid w:val="00725949"/>
    <w:rsid w:val="00727A5C"/>
    <w:rsid w:val="00727ED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36A"/>
    <w:rsid w:val="00746800"/>
    <w:rsid w:val="0074713C"/>
    <w:rsid w:val="00747252"/>
    <w:rsid w:val="007501A8"/>
    <w:rsid w:val="00750D61"/>
    <w:rsid w:val="00750EE1"/>
    <w:rsid w:val="00752B4D"/>
    <w:rsid w:val="00755402"/>
    <w:rsid w:val="00755E0A"/>
    <w:rsid w:val="00756B26"/>
    <w:rsid w:val="00756EDF"/>
    <w:rsid w:val="007600E3"/>
    <w:rsid w:val="00765C43"/>
    <w:rsid w:val="00765EFB"/>
    <w:rsid w:val="007671CA"/>
    <w:rsid w:val="00767C61"/>
    <w:rsid w:val="0077008A"/>
    <w:rsid w:val="00773C1F"/>
    <w:rsid w:val="00774DA4"/>
    <w:rsid w:val="0077520E"/>
    <w:rsid w:val="00776599"/>
    <w:rsid w:val="0078114B"/>
    <w:rsid w:val="00781DD2"/>
    <w:rsid w:val="00783ECF"/>
    <w:rsid w:val="0078413A"/>
    <w:rsid w:val="007959E8"/>
    <w:rsid w:val="00795E9C"/>
    <w:rsid w:val="00796875"/>
    <w:rsid w:val="00797280"/>
    <w:rsid w:val="007A0521"/>
    <w:rsid w:val="007A2E12"/>
    <w:rsid w:val="007A3475"/>
    <w:rsid w:val="007A41C8"/>
    <w:rsid w:val="007A54CE"/>
    <w:rsid w:val="007A6FD9"/>
    <w:rsid w:val="007A7FFA"/>
    <w:rsid w:val="007B04EB"/>
    <w:rsid w:val="007B0D4F"/>
    <w:rsid w:val="007B3E29"/>
    <w:rsid w:val="007B5A30"/>
    <w:rsid w:val="007B5A3D"/>
    <w:rsid w:val="007B5B95"/>
    <w:rsid w:val="007B68EA"/>
    <w:rsid w:val="007B7453"/>
    <w:rsid w:val="007C0F11"/>
    <w:rsid w:val="007C1E8B"/>
    <w:rsid w:val="007C2D89"/>
    <w:rsid w:val="007C4593"/>
    <w:rsid w:val="007C5309"/>
    <w:rsid w:val="007C6069"/>
    <w:rsid w:val="007C6F86"/>
    <w:rsid w:val="007D05D1"/>
    <w:rsid w:val="007D06C4"/>
    <w:rsid w:val="007D1352"/>
    <w:rsid w:val="007D2508"/>
    <w:rsid w:val="007D346A"/>
    <w:rsid w:val="007D41DF"/>
    <w:rsid w:val="007D62F8"/>
    <w:rsid w:val="007D6518"/>
    <w:rsid w:val="007D76BD"/>
    <w:rsid w:val="007D7D37"/>
    <w:rsid w:val="007E0BF1"/>
    <w:rsid w:val="007E1DD8"/>
    <w:rsid w:val="007E5EE4"/>
    <w:rsid w:val="007F0ED8"/>
    <w:rsid w:val="007F0F63"/>
    <w:rsid w:val="007F1577"/>
    <w:rsid w:val="007F2009"/>
    <w:rsid w:val="007F2233"/>
    <w:rsid w:val="007F75CE"/>
    <w:rsid w:val="007F7C01"/>
    <w:rsid w:val="008013A4"/>
    <w:rsid w:val="008027CE"/>
    <w:rsid w:val="00802AA1"/>
    <w:rsid w:val="00802F42"/>
    <w:rsid w:val="00804383"/>
    <w:rsid w:val="008049A9"/>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1B56"/>
    <w:rsid w:val="00832CAD"/>
    <w:rsid w:val="0083348C"/>
    <w:rsid w:val="00834915"/>
    <w:rsid w:val="008373D3"/>
    <w:rsid w:val="00840617"/>
    <w:rsid w:val="00840F84"/>
    <w:rsid w:val="00842A47"/>
    <w:rsid w:val="00843C13"/>
    <w:rsid w:val="00844C12"/>
    <w:rsid w:val="008454F8"/>
    <w:rsid w:val="00850DA8"/>
    <w:rsid w:val="0085173A"/>
    <w:rsid w:val="00851947"/>
    <w:rsid w:val="00856316"/>
    <w:rsid w:val="008603CE"/>
    <w:rsid w:val="008620FC"/>
    <w:rsid w:val="008627A5"/>
    <w:rsid w:val="00863E05"/>
    <w:rsid w:val="00864A68"/>
    <w:rsid w:val="00865ACA"/>
    <w:rsid w:val="00865D28"/>
    <w:rsid w:val="00865F85"/>
    <w:rsid w:val="00867C10"/>
    <w:rsid w:val="00870439"/>
    <w:rsid w:val="00870DA1"/>
    <w:rsid w:val="008753A4"/>
    <w:rsid w:val="00882E1E"/>
    <w:rsid w:val="00883F93"/>
    <w:rsid w:val="00884DB3"/>
    <w:rsid w:val="0088512F"/>
    <w:rsid w:val="00885A9D"/>
    <w:rsid w:val="008864F6"/>
    <w:rsid w:val="0089049D"/>
    <w:rsid w:val="008928C9"/>
    <w:rsid w:val="008930CB"/>
    <w:rsid w:val="008938DC"/>
    <w:rsid w:val="00893FD1"/>
    <w:rsid w:val="00894836"/>
    <w:rsid w:val="00895172"/>
    <w:rsid w:val="00895680"/>
    <w:rsid w:val="00896DFF"/>
    <w:rsid w:val="00897304"/>
    <w:rsid w:val="0089762C"/>
    <w:rsid w:val="008A0822"/>
    <w:rsid w:val="008A15CE"/>
    <w:rsid w:val="008A1893"/>
    <w:rsid w:val="008A3215"/>
    <w:rsid w:val="008A392D"/>
    <w:rsid w:val="008A57E6"/>
    <w:rsid w:val="008A6F81"/>
    <w:rsid w:val="008A769A"/>
    <w:rsid w:val="008B0C9C"/>
    <w:rsid w:val="008B166D"/>
    <w:rsid w:val="008B17F4"/>
    <w:rsid w:val="008B3615"/>
    <w:rsid w:val="008B4AC4"/>
    <w:rsid w:val="008B50C8"/>
    <w:rsid w:val="008B5281"/>
    <w:rsid w:val="008B7E05"/>
    <w:rsid w:val="008C0A0A"/>
    <w:rsid w:val="008C1797"/>
    <w:rsid w:val="008C219C"/>
    <w:rsid w:val="008C3085"/>
    <w:rsid w:val="008C463B"/>
    <w:rsid w:val="008C475E"/>
    <w:rsid w:val="008C619A"/>
    <w:rsid w:val="008D0212"/>
    <w:rsid w:val="008D0CE8"/>
    <w:rsid w:val="008D288C"/>
    <w:rsid w:val="008D2D1D"/>
    <w:rsid w:val="008D453D"/>
    <w:rsid w:val="008D53AD"/>
    <w:rsid w:val="008D562B"/>
    <w:rsid w:val="008D5733"/>
    <w:rsid w:val="008D622B"/>
    <w:rsid w:val="008D6475"/>
    <w:rsid w:val="008D666C"/>
    <w:rsid w:val="008D7B54"/>
    <w:rsid w:val="008E0C9D"/>
    <w:rsid w:val="008E1648"/>
    <w:rsid w:val="008E1B3E"/>
    <w:rsid w:val="008E2319"/>
    <w:rsid w:val="008E4BB6"/>
    <w:rsid w:val="008E5518"/>
    <w:rsid w:val="008E6A84"/>
    <w:rsid w:val="008E7AA9"/>
    <w:rsid w:val="008F04DB"/>
    <w:rsid w:val="008F0CDC"/>
    <w:rsid w:val="008F17A3"/>
    <w:rsid w:val="008F1ED3"/>
    <w:rsid w:val="008F23A5"/>
    <w:rsid w:val="008F4C29"/>
    <w:rsid w:val="008F70BD"/>
    <w:rsid w:val="008F788F"/>
    <w:rsid w:val="008F7EA2"/>
    <w:rsid w:val="00902722"/>
    <w:rsid w:val="009027BC"/>
    <w:rsid w:val="00903745"/>
    <w:rsid w:val="009062E6"/>
    <w:rsid w:val="00910B7F"/>
    <w:rsid w:val="00911BE5"/>
    <w:rsid w:val="00913CA9"/>
    <w:rsid w:val="009143C0"/>
    <w:rsid w:val="009145AE"/>
    <w:rsid w:val="009146CE"/>
    <w:rsid w:val="00914CA7"/>
    <w:rsid w:val="00915C3E"/>
    <w:rsid w:val="00915FE2"/>
    <w:rsid w:val="009161A8"/>
    <w:rsid w:val="009207FC"/>
    <w:rsid w:val="009245F5"/>
    <w:rsid w:val="009249EC"/>
    <w:rsid w:val="00924A5F"/>
    <w:rsid w:val="009273B3"/>
    <w:rsid w:val="009305B5"/>
    <w:rsid w:val="00930778"/>
    <w:rsid w:val="00931AFF"/>
    <w:rsid w:val="009429D5"/>
    <w:rsid w:val="00942BF1"/>
    <w:rsid w:val="00945180"/>
    <w:rsid w:val="00945428"/>
    <w:rsid w:val="0094607B"/>
    <w:rsid w:val="00947656"/>
    <w:rsid w:val="00951BF6"/>
    <w:rsid w:val="00953604"/>
    <w:rsid w:val="0095496B"/>
    <w:rsid w:val="009555C2"/>
    <w:rsid w:val="00957722"/>
    <w:rsid w:val="009610DC"/>
    <w:rsid w:val="00961490"/>
    <w:rsid w:val="00963170"/>
    <w:rsid w:val="0096381A"/>
    <w:rsid w:val="00965E04"/>
    <w:rsid w:val="00966B69"/>
    <w:rsid w:val="00967036"/>
    <w:rsid w:val="009674AD"/>
    <w:rsid w:val="00970CDC"/>
    <w:rsid w:val="009729A7"/>
    <w:rsid w:val="00977010"/>
    <w:rsid w:val="00977D02"/>
    <w:rsid w:val="009809BB"/>
    <w:rsid w:val="0098364B"/>
    <w:rsid w:val="009911AF"/>
    <w:rsid w:val="00991875"/>
    <w:rsid w:val="00991F92"/>
    <w:rsid w:val="00992985"/>
    <w:rsid w:val="00993889"/>
    <w:rsid w:val="0099551B"/>
    <w:rsid w:val="00995B49"/>
    <w:rsid w:val="00997BF1"/>
    <w:rsid w:val="009A0458"/>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3E98"/>
    <w:rsid w:val="009C4CFA"/>
    <w:rsid w:val="009C5070"/>
    <w:rsid w:val="009C70AE"/>
    <w:rsid w:val="009D112C"/>
    <w:rsid w:val="009D47FA"/>
    <w:rsid w:val="009D49F3"/>
    <w:rsid w:val="009D4C5B"/>
    <w:rsid w:val="009D50D2"/>
    <w:rsid w:val="009D6BCA"/>
    <w:rsid w:val="009D7524"/>
    <w:rsid w:val="009E0F62"/>
    <w:rsid w:val="009E2DC5"/>
    <w:rsid w:val="009E4A58"/>
    <w:rsid w:val="009E5A2D"/>
    <w:rsid w:val="009E5AB2"/>
    <w:rsid w:val="009E6219"/>
    <w:rsid w:val="009E655F"/>
    <w:rsid w:val="009E6D88"/>
    <w:rsid w:val="009F03B3"/>
    <w:rsid w:val="00A0074A"/>
    <w:rsid w:val="00A0096C"/>
    <w:rsid w:val="00A01757"/>
    <w:rsid w:val="00A028C0"/>
    <w:rsid w:val="00A02BAE"/>
    <w:rsid w:val="00A0305D"/>
    <w:rsid w:val="00A06A6B"/>
    <w:rsid w:val="00A07E47"/>
    <w:rsid w:val="00A129D0"/>
    <w:rsid w:val="00A12C33"/>
    <w:rsid w:val="00A138BA"/>
    <w:rsid w:val="00A14C8E"/>
    <w:rsid w:val="00A153D9"/>
    <w:rsid w:val="00A15F09"/>
    <w:rsid w:val="00A169B6"/>
    <w:rsid w:val="00A20043"/>
    <w:rsid w:val="00A2271D"/>
    <w:rsid w:val="00A237D5"/>
    <w:rsid w:val="00A30EFC"/>
    <w:rsid w:val="00A31984"/>
    <w:rsid w:val="00A32D73"/>
    <w:rsid w:val="00A3367B"/>
    <w:rsid w:val="00A34574"/>
    <w:rsid w:val="00A3597D"/>
    <w:rsid w:val="00A36DD1"/>
    <w:rsid w:val="00A4006C"/>
    <w:rsid w:val="00A40091"/>
    <w:rsid w:val="00A4030F"/>
    <w:rsid w:val="00A41C79"/>
    <w:rsid w:val="00A41CB5"/>
    <w:rsid w:val="00A42CDF"/>
    <w:rsid w:val="00A43845"/>
    <w:rsid w:val="00A4452E"/>
    <w:rsid w:val="00A4472C"/>
    <w:rsid w:val="00A44E69"/>
    <w:rsid w:val="00A4661E"/>
    <w:rsid w:val="00A55BD6"/>
    <w:rsid w:val="00A55D50"/>
    <w:rsid w:val="00A56433"/>
    <w:rsid w:val="00A569A3"/>
    <w:rsid w:val="00A57142"/>
    <w:rsid w:val="00A6120B"/>
    <w:rsid w:val="00A63BDF"/>
    <w:rsid w:val="00A64172"/>
    <w:rsid w:val="00A648CD"/>
    <w:rsid w:val="00A6537A"/>
    <w:rsid w:val="00A66B9E"/>
    <w:rsid w:val="00A67866"/>
    <w:rsid w:val="00A70B07"/>
    <w:rsid w:val="00A723F8"/>
    <w:rsid w:val="00A77CCB"/>
    <w:rsid w:val="00A83D8D"/>
    <w:rsid w:val="00A8446B"/>
    <w:rsid w:val="00A8473F"/>
    <w:rsid w:val="00A862D6"/>
    <w:rsid w:val="00A8715E"/>
    <w:rsid w:val="00A9270B"/>
    <w:rsid w:val="00A9295B"/>
    <w:rsid w:val="00A93B09"/>
    <w:rsid w:val="00A94247"/>
    <w:rsid w:val="00A952D7"/>
    <w:rsid w:val="00A963F7"/>
    <w:rsid w:val="00A96AD8"/>
    <w:rsid w:val="00A978BC"/>
    <w:rsid w:val="00AA052C"/>
    <w:rsid w:val="00AA1E45"/>
    <w:rsid w:val="00AA4286"/>
    <w:rsid w:val="00AA456B"/>
    <w:rsid w:val="00AA57F5"/>
    <w:rsid w:val="00AA672E"/>
    <w:rsid w:val="00AA6EC9"/>
    <w:rsid w:val="00AB3F95"/>
    <w:rsid w:val="00AB41D5"/>
    <w:rsid w:val="00AB4C16"/>
    <w:rsid w:val="00AB6309"/>
    <w:rsid w:val="00AB6C5F"/>
    <w:rsid w:val="00AB7129"/>
    <w:rsid w:val="00AC27A6"/>
    <w:rsid w:val="00AC30F7"/>
    <w:rsid w:val="00AC383A"/>
    <w:rsid w:val="00AC3A5A"/>
    <w:rsid w:val="00AC4D95"/>
    <w:rsid w:val="00AC5DF4"/>
    <w:rsid w:val="00AD0AEF"/>
    <w:rsid w:val="00AD11B7"/>
    <w:rsid w:val="00AD1A94"/>
    <w:rsid w:val="00AD1C05"/>
    <w:rsid w:val="00AD3AA5"/>
    <w:rsid w:val="00AD4126"/>
    <w:rsid w:val="00AD421C"/>
    <w:rsid w:val="00AD44FA"/>
    <w:rsid w:val="00AE070A"/>
    <w:rsid w:val="00AE101C"/>
    <w:rsid w:val="00AE37E5"/>
    <w:rsid w:val="00AE5EB4"/>
    <w:rsid w:val="00AE6A91"/>
    <w:rsid w:val="00AF0C18"/>
    <w:rsid w:val="00AF3169"/>
    <w:rsid w:val="00AF47C5"/>
    <w:rsid w:val="00AF5398"/>
    <w:rsid w:val="00AF71B0"/>
    <w:rsid w:val="00B00159"/>
    <w:rsid w:val="00B03BC9"/>
    <w:rsid w:val="00B049AF"/>
    <w:rsid w:val="00B06C82"/>
    <w:rsid w:val="00B07242"/>
    <w:rsid w:val="00B10534"/>
    <w:rsid w:val="00B113DB"/>
    <w:rsid w:val="00B11D8A"/>
    <w:rsid w:val="00B12981"/>
    <w:rsid w:val="00B147DD"/>
    <w:rsid w:val="00B156FD"/>
    <w:rsid w:val="00B21F61"/>
    <w:rsid w:val="00B261F1"/>
    <w:rsid w:val="00B265BC"/>
    <w:rsid w:val="00B272AC"/>
    <w:rsid w:val="00B30943"/>
    <w:rsid w:val="00B31FB1"/>
    <w:rsid w:val="00B33952"/>
    <w:rsid w:val="00B33C5E"/>
    <w:rsid w:val="00B342F4"/>
    <w:rsid w:val="00B34369"/>
    <w:rsid w:val="00B34DC2"/>
    <w:rsid w:val="00B378E5"/>
    <w:rsid w:val="00B3794F"/>
    <w:rsid w:val="00B37D8C"/>
    <w:rsid w:val="00B4346D"/>
    <w:rsid w:val="00B440F4"/>
    <w:rsid w:val="00B447A5"/>
    <w:rsid w:val="00B45231"/>
    <w:rsid w:val="00B4654C"/>
    <w:rsid w:val="00B46AF0"/>
    <w:rsid w:val="00B47293"/>
    <w:rsid w:val="00B50E50"/>
    <w:rsid w:val="00B52120"/>
    <w:rsid w:val="00B54ABC"/>
    <w:rsid w:val="00B54DDE"/>
    <w:rsid w:val="00B56FBE"/>
    <w:rsid w:val="00B60ACF"/>
    <w:rsid w:val="00B60E35"/>
    <w:rsid w:val="00B613CC"/>
    <w:rsid w:val="00B62B58"/>
    <w:rsid w:val="00B65149"/>
    <w:rsid w:val="00B66567"/>
    <w:rsid w:val="00B66F52"/>
    <w:rsid w:val="00B66FE5"/>
    <w:rsid w:val="00B71EA9"/>
    <w:rsid w:val="00B72880"/>
    <w:rsid w:val="00B758BF"/>
    <w:rsid w:val="00B77EC8"/>
    <w:rsid w:val="00B827A6"/>
    <w:rsid w:val="00B831CE"/>
    <w:rsid w:val="00B85568"/>
    <w:rsid w:val="00B85EF7"/>
    <w:rsid w:val="00B86677"/>
    <w:rsid w:val="00B87131"/>
    <w:rsid w:val="00B939B1"/>
    <w:rsid w:val="00B96D40"/>
    <w:rsid w:val="00B97386"/>
    <w:rsid w:val="00BA263B"/>
    <w:rsid w:val="00BA3220"/>
    <w:rsid w:val="00BA419F"/>
    <w:rsid w:val="00BA42B2"/>
    <w:rsid w:val="00BA58D4"/>
    <w:rsid w:val="00BA5B9E"/>
    <w:rsid w:val="00BA7C9A"/>
    <w:rsid w:val="00BB0FCD"/>
    <w:rsid w:val="00BB203B"/>
    <w:rsid w:val="00BB5F8F"/>
    <w:rsid w:val="00BB657A"/>
    <w:rsid w:val="00BC02CB"/>
    <w:rsid w:val="00BC1A4E"/>
    <w:rsid w:val="00BC4790"/>
    <w:rsid w:val="00BC5DC7"/>
    <w:rsid w:val="00BC6B8B"/>
    <w:rsid w:val="00BC73D8"/>
    <w:rsid w:val="00BD52D7"/>
    <w:rsid w:val="00BD5AD2"/>
    <w:rsid w:val="00BE070C"/>
    <w:rsid w:val="00BE22F3"/>
    <w:rsid w:val="00BE2BB9"/>
    <w:rsid w:val="00BE5B52"/>
    <w:rsid w:val="00BE7B8D"/>
    <w:rsid w:val="00BF0993"/>
    <w:rsid w:val="00BF10A9"/>
    <w:rsid w:val="00BF1703"/>
    <w:rsid w:val="00BF231C"/>
    <w:rsid w:val="00BF51E5"/>
    <w:rsid w:val="00BF74A6"/>
    <w:rsid w:val="00C013AD"/>
    <w:rsid w:val="00C04904"/>
    <w:rsid w:val="00C056B3"/>
    <w:rsid w:val="00C06ED8"/>
    <w:rsid w:val="00C103E5"/>
    <w:rsid w:val="00C13319"/>
    <w:rsid w:val="00C13EE9"/>
    <w:rsid w:val="00C15DA5"/>
    <w:rsid w:val="00C21540"/>
    <w:rsid w:val="00C21906"/>
    <w:rsid w:val="00C21BFA"/>
    <w:rsid w:val="00C22148"/>
    <w:rsid w:val="00C247B4"/>
    <w:rsid w:val="00C24C8D"/>
    <w:rsid w:val="00C25FE2"/>
    <w:rsid w:val="00C26B53"/>
    <w:rsid w:val="00C2743D"/>
    <w:rsid w:val="00C279B2"/>
    <w:rsid w:val="00C33638"/>
    <w:rsid w:val="00C33E50"/>
    <w:rsid w:val="00C3443E"/>
    <w:rsid w:val="00C34C20"/>
    <w:rsid w:val="00C35A3E"/>
    <w:rsid w:val="00C42130"/>
    <w:rsid w:val="00C423A4"/>
    <w:rsid w:val="00C44BF5"/>
    <w:rsid w:val="00C521D6"/>
    <w:rsid w:val="00C55232"/>
    <w:rsid w:val="00C553A4"/>
    <w:rsid w:val="00C55A06"/>
    <w:rsid w:val="00C55D03"/>
    <w:rsid w:val="00C55F95"/>
    <w:rsid w:val="00C601BC"/>
    <w:rsid w:val="00C6329F"/>
    <w:rsid w:val="00C63340"/>
    <w:rsid w:val="00C63B55"/>
    <w:rsid w:val="00C643F9"/>
    <w:rsid w:val="00C64E95"/>
    <w:rsid w:val="00C67AD3"/>
    <w:rsid w:val="00C71372"/>
    <w:rsid w:val="00C72410"/>
    <w:rsid w:val="00C7287F"/>
    <w:rsid w:val="00C73CD0"/>
    <w:rsid w:val="00C80CB8"/>
    <w:rsid w:val="00C819F8"/>
    <w:rsid w:val="00C8248C"/>
    <w:rsid w:val="00C84E33"/>
    <w:rsid w:val="00C85814"/>
    <w:rsid w:val="00C86D6F"/>
    <w:rsid w:val="00C905FC"/>
    <w:rsid w:val="00C92D03"/>
    <w:rsid w:val="00C9319C"/>
    <w:rsid w:val="00C9435D"/>
    <w:rsid w:val="00C94700"/>
    <w:rsid w:val="00C94DF2"/>
    <w:rsid w:val="00C96741"/>
    <w:rsid w:val="00CA1529"/>
    <w:rsid w:val="00CA2D1B"/>
    <w:rsid w:val="00CA375D"/>
    <w:rsid w:val="00CA5C8C"/>
    <w:rsid w:val="00CA662A"/>
    <w:rsid w:val="00CA7AFD"/>
    <w:rsid w:val="00CA7C3C"/>
    <w:rsid w:val="00CB0189"/>
    <w:rsid w:val="00CB0BA2"/>
    <w:rsid w:val="00CB1A42"/>
    <w:rsid w:val="00CB1B0C"/>
    <w:rsid w:val="00CB2C0B"/>
    <w:rsid w:val="00CB517D"/>
    <w:rsid w:val="00CC038D"/>
    <w:rsid w:val="00CC08DB"/>
    <w:rsid w:val="00CC1D14"/>
    <w:rsid w:val="00CC39FF"/>
    <w:rsid w:val="00CC3C2F"/>
    <w:rsid w:val="00CC4AC8"/>
    <w:rsid w:val="00CC5233"/>
    <w:rsid w:val="00CC5643"/>
    <w:rsid w:val="00CC5AD3"/>
    <w:rsid w:val="00CC5DE6"/>
    <w:rsid w:val="00CC6E4E"/>
    <w:rsid w:val="00CC6FE8"/>
    <w:rsid w:val="00CC7202"/>
    <w:rsid w:val="00CD0E35"/>
    <w:rsid w:val="00CD2808"/>
    <w:rsid w:val="00CD28BF"/>
    <w:rsid w:val="00CD301E"/>
    <w:rsid w:val="00CD4092"/>
    <w:rsid w:val="00CD4A20"/>
    <w:rsid w:val="00CD50A1"/>
    <w:rsid w:val="00CD519E"/>
    <w:rsid w:val="00CD5285"/>
    <w:rsid w:val="00CD561D"/>
    <w:rsid w:val="00CD7120"/>
    <w:rsid w:val="00CE0C4F"/>
    <w:rsid w:val="00CE27A3"/>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198A"/>
    <w:rsid w:val="00D126F5"/>
    <w:rsid w:val="00D1489E"/>
    <w:rsid w:val="00D20737"/>
    <w:rsid w:val="00D21E81"/>
    <w:rsid w:val="00D220A5"/>
    <w:rsid w:val="00D223DE"/>
    <w:rsid w:val="00D25E37"/>
    <w:rsid w:val="00D2661A"/>
    <w:rsid w:val="00D27109"/>
    <w:rsid w:val="00D27582"/>
    <w:rsid w:val="00D27EC4"/>
    <w:rsid w:val="00D32719"/>
    <w:rsid w:val="00D33333"/>
    <w:rsid w:val="00D33457"/>
    <w:rsid w:val="00D352A2"/>
    <w:rsid w:val="00D4162B"/>
    <w:rsid w:val="00D43E1B"/>
    <w:rsid w:val="00D4514F"/>
    <w:rsid w:val="00D451E2"/>
    <w:rsid w:val="00D45E89"/>
    <w:rsid w:val="00D45E8D"/>
    <w:rsid w:val="00D46629"/>
    <w:rsid w:val="00D466AE"/>
    <w:rsid w:val="00D4734F"/>
    <w:rsid w:val="00D501B3"/>
    <w:rsid w:val="00D51BF3"/>
    <w:rsid w:val="00D65108"/>
    <w:rsid w:val="00D66846"/>
    <w:rsid w:val="00D675FB"/>
    <w:rsid w:val="00D702F8"/>
    <w:rsid w:val="00D71F25"/>
    <w:rsid w:val="00D721C4"/>
    <w:rsid w:val="00D72A9C"/>
    <w:rsid w:val="00D77031"/>
    <w:rsid w:val="00D84941"/>
    <w:rsid w:val="00D84FA1"/>
    <w:rsid w:val="00D851F0"/>
    <w:rsid w:val="00D856AC"/>
    <w:rsid w:val="00D86DB7"/>
    <w:rsid w:val="00D9012D"/>
    <w:rsid w:val="00D926D0"/>
    <w:rsid w:val="00D92A66"/>
    <w:rsid w:val="00D92E56"/>
    <w:rsid w:val="00D93030"/>
    <w:rsid w:val="00D9380D"/>
    <w:rsid w:val="00D93E89"/>
    <w:rsid w:val="00D950E1"/>
    <w:rsid w:val="00D952A6"/>
    <w:rsid w:val="00D95CE7"/>
    <w:rsid w:val="00D97F99"/>
    <w:rsid w:val="00DA1E08"/>
    <w:rsid w:val="00DA24F8"/>
    <w:rsid w:val="00DA28E8"/>
    <w:rsid w:val="00DA38D3"/>
    <w:rsid w:val="00DA3932"/>
    <w:rsid w:val="00DA3AFC"/>
    <w:rsid w:val="00DA4AC1"/>
    <w:rsid w:val="00DA5191"/>
    <w:rsid w:val="00DA64F8"/>
    <w:rsid w:val="00DA6C15"/>
    <w:rsid w:val="00DB0258"/>
    <w:rsid w:val="00DB2D43"/>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127"/>
    <w:rsid w:val="00DD6BCC"/>
    <w:rsid w:val="00DE0A4B"/>
    <w:rsid w:val="00DE2410"/>
    <w:rsid w:val="00DE2939"/>
    <w:rsid w:val="00DE6E81"/>
    <w:rsid w:val="00DE703F"/>
    <w:rsid w:val="00DE7595"/>
    <w:rsid w:val="00DF1961"/>
    <w:rsid w:val="00DF3D4D"/>
    <w:rsid w:val="00DF44DE"/>
    <w:rsid w:val="00DF5F11"/>
    <w:rsid w:val="00DF7F47"/>
    <w:rsid w:val="00E01138"/>
    <w:rsid w:val="00E02DFB"/>
    <w:rsid w:val="00E030F9"/>
    <w:rsid w:val="00E0311A"/>
    <w:rsid w:val="00E03138"/>
    <w:rsid w:val="00E033DC"/>
    <w:rsid w:val="00E06404"/>
    <w:rsid w:val="00E065D2"/>
    <w:rsid w:val="00E11A85"/>
    <w:rsid w:val="00E12495"/>
    <w:rsid w:val="00E13C3B"/>
    <w:rsid w:val="00E15CCD"/>
    <w:rsid w:val="00E16D1E"/>
    <w:rsid w:val="00E16F18"/>
    <w:rsid w:val="00E202EF"/>
    <w:rsid w:val="00E210B5"/>
    <w:rsid w:val="00E218A5"/>
    <w:rsid w:val="00E21CC6"/>
    <w:rsid w:val="00E21EDC"/>
    <w:rsid w:val="00E23D99"/>
    <w:rsid w:val="00E2552F"/>
    <w:rsid w:val="00E3137A"/>
    <w:rsid w:val="00E32B66"/>
    <w:rsid w:val="00E32CCF"/>
    <w:rsid w:val="00E34A98"/>
    <w:rsid w:val="00E35B52"/>
    <w:rsid w:val="00E35D1E"/>
    <w:rsid w:val="00E364F9"/>
    <w:rsid w:val="00E365FA"/>
    <w:rsid w:val="00E36789"/>
    <w:rsid w:val="00E411C9"/>
    <w:rsid w:val="00E42F5E"/>
    <w:rsid w:val="00E42FE4"/>
    <w:rsid w:val="00E44A83"/>
    <w:rsid w:val="00E44ECD"/>
    <w:rsid w:val="00E502C1"/>
    <w:rsid w:val="00E502DD"/>
    <w:rsid w:val="00E50D3A"/>
    <w:rsid w:val="00E51387"/>
    <w:rsid w:val="00E51E68"/>
    <w:rsid w:val="00E52EFD"/>
    <w:rsid w:val="00E5408A"/>
    <w:rsid w:val="00E56800"/>
    <w:rsid w:val="00E60C63"/>
    <w:rsid w:val="00E62FF9"/>
    <w:rsid w:val="00E63415"/>
    <w:rsid w:val="00E635D6"/>
    <w:rsid w:val="00E639BC"/>
    <w:rsid w:val="00E652B0"/>
    <w:rsid w:val="00E664CC"/>
    <w:rsid w:val="00E70388"/>
    <w:rsid w:val="00E70F92"/>
    <w:rsid w:val="00E71FBD"/>
    <w:rsid w:val="00E74C54"/>
    <w:rsid w:val="00E75AAB"/>
    <w:rsid w:val="00E77A03"/>
    <w:rsid w:val="00E77FC6"/>
    <w:rsid w:val="00E80FCC"/>
    <w:rsid w:val="00E822E8"/>
    <w:rsid w:val="00E82554"/>
    <w:rsid w:val="00E82606"/>
    <w:rsid w:val="00E82725"/>
    <w:rsid w:val="00E846C8"/>
    <w:rsid w:val="00E84957"/>
    <w:rsid w:val="00E84A55"/>
    <w:rsid w:val="00E85BFF"/>
    <w:rsid w:val="00E90391"/>
    <w:rsid w:val="00E906C2"/>
    <w:rsid w:val="00E92EAB"/>
    <w:rsid w:val="00E9311F"/>
    <w:rsid w:val="00E934D1"/>
    <w:rsid w:val="00E94AF0"/>
    <w:rsid w:val="00E95D13"/>
    <w:rsid w:val="00E95DD3"/>
    <w:rsid w:val="00E95F66"/>
    <w:rsid w:val="00E969D5"/>
    <w:rsid w:val="00EA0A6E"/>
    <w:rsid w:val="00EA58D1"/>
    <w:rsid w:val="00EA61BC"/>
    <w:rsid w:val="00EA681A"/>
    <w:rsid w:val="00EA735B"/>
    <w:rsid w:val="00EB17DE"/>
    <w:rsid w:val="00EB1E69"/>
    <w:rsid w:val="00EB2086"/>
    <w:rsid w:val="00EB3BC2"/>
    <w:rsid w:val="00EB5EDF"/>
    <w:rsid w:val="00EB60FE"/>
    <w:rsid w:val="00EB74DB"/>
    <w:rsid w:val="00EC188D"/>
    <w:rsid w:val="00EC2AE2"/>
    <w:rsid w:val="00EC5359"/>
    <w:rsid w:val="00EC562A"/>
    <w:rsid w:val="00ED067A"/>
    <w:rsid w:val="00ED2B50"/>
    <w:rsid w:val="00EE0350"/>
    <w:rsid w:val="00EE046C"/>
    <w:rsid w:val="00EE0602"/>
    <w:rsid w:val="00EE0719"/>
    <w:rsid w:val="00EE0E80"/>
    <w:rsid w:val="00EE2865"/>
    <w:rsid w:val="00EE54A6"/>
    <w:rsid w:val="00EE613F"/>
    <w:rsid w:val="00EE7295"/>
    <w:rsid w:val="00EE7869"/>
    <w:rsid w:val="00EF038E"/>
    <w:rsid w:val="00EF054A"/>
    <w:rsid w:val="00EF3235"/>
    <w:rsid w:val="00EF6315"/>
    <w:rsid w:val="00EF7E72"/>
    <w:rsid w:val="00F0645F"/>
    <w:rsid w:val="00F06D37"/>
    <w:rsid w:val="00F07B9D"/>
    <w:rsid w:val="00F11586"/>
    <w:rsid w:val="00F1183B"/>
    <w:rsid w:val="00F11C9F"/>
    <w:rsid w:val="00F12263"/>
    <w:rsid w:val="00F1409D"/>
    <w:rsid w:val="00F14214"/>
    <w:rsid w:val="00F1483C"/>
    <w:rsid w:val="00F157A9"/>
    <w:rsid w:val="00F23C18"/>
    <w:rsid w:val="00F25BB6"/>
    <w:rsid w:val="00F26B7E"/>
    <w:rsid w:val="00F27A3B"/>
    <w:rsid w:val="00F33817"/>
    <w:rsid w:val="00F33E44"/>
    <w:rsid w:val="00F35BB8"/>
    <w:rsid w:val="00F3764C"/>
    <w:rsid w:val="00F420D5"/>
    <w:rsid w:val="00F426B7"/>
    <w:rsid w:val="00F451EA"/>
    <w:rsid w:val="00F45447"/>
    <w:rsid w:val="00F456C6"/>
    <w:rsid w:val="00F4577B"/>
    <w:rsid w:val="00F46496"/>
    <w:rsid w:val="00F474D0"/>
    <w:rsid w:val="00F50179"/>
    <w:rsid w:val="00F515EE"/>
    <w:rsid w:val="00F52363"/>
    <w:rsid w:val="00F56511"/>
    <w:rsid w:val="00F6194E"/>
    <w:rsid w:val="00F623AC"/>
    <w:rsid w:val="00F6412A"/>
    <w:rsid w:val="00F65893"/>
    <w:rsid w:val="00F66A4A"/>
    <w:rsid w:val="00F674BF"/>
    <w:rsid w:val="00F71E22"/>
    <w:rsid w:val="00F72142"/>
    <w:rsid w:val="00F72AE7"/>
    <w:rsid w:val="00F774E2"/>
    <w:rsid w:val="00F810C3"/>
    <w:rsid w:val="00F81141"/>
    <w:rsid w:val="00F833BA"/>
    <w:rsid w:val="00F84FD0"/>
    <w:rsid w:val="00F859A8"/>
    <w:rsid w:val="00F86380"/>
    <w:rsid w:val="00F86D87"/>
    <w:rsid w:val="00F8755A"/>
    <w:rsid w:val="00F9108B"/>
    <w:rsid w:val="00F91349"/>
    <w:rsid w:val="00F93A8A"/>
    <w:rsid w:val="00F95248"/>
    <w:rsid w:val="00F956A9"/>
    <w:rsid w:val="00F963ED"/>
    <w:rsid w:val="00F966CF"/>
    <w:rsid w:val="00F96CAE"/>
    <w:rsid w:val="00F97C99"/>
    <w:rsid w:val="00FA1C93"/>
    <w:rsid w:val="00FA2037"/>
    <w:rsid w:val="00FA4DAC"/>
    <w:rsid w:val="00FA662D"/>
    <w:rsid w:val="00FA73B1"/>
    <w:rsid w:val="00FB0CB9"/>
    <w:rsid w:val="00FB231D"/>
    <w:rsid w:val="00FB45F1"/>
    <w:rsid w:val="00FB4A72"/>
    <w:rsid w:val="00FB54E8"/>
    <w:rsid w:val="00FB5772"/>
    <w:rsid w:val="00FB7054"/>
    <w:rsid w:val="00FC0391"/>
    <w:rsid w:val="00FC17B7"/>
    <w:rsid w:val="00FC2CB7"/>
    <w:rsid w:val="00FC2CDE"/>
    <w:rsid w:val="00FC3B5C"/>
    <w:rsid w:val="00FC4090"/>
    <w:rsid w:val="00FC55B4"/>
    <w:rsid w:val="00FD00E6"/>
    <w:rsid w:val="00FD09A1"/>
    <w:rsid w:val="00FD2A7C"/>
    <w:rsid w:val="00FD59EB"/>
    <w:rsid w:val="00FD7299"/>
    <w:rsid w:val="00FD7541"/>
    <w:rsid w:val="00FE1FBE"/>
    <w:rsid w:val="00FE3901"/>
    <w:rsid w:val="00FE39D3"/>
    <w:rsid w:val="00FE4BCE"/>
    <w:rsid w:val="00FE54AE"/>
    <w:rsid w:val="00FE576A"/>
    <w:rsid w:val="00FE7E79"/>
    <w:rsid w:val="00FF31AE"/>
    <w:rsid w:val="00FF3E7D"/>
    <w:rsid w:val="00FF5B99"/>
    <w:rsid w:val="00FF730C"/>
    <w:rsid w:val="00FF73F4"/>
    <w:rsid w:val="00FF7CE4"/>
    <w:rsid w:val="00FF7E39"/>
    <w:rsid w:val="010B405F"/>
    <w:rsid w:val="011E1768"/>
    <w:rsid w:val="01481161"/>
    <w:rsid w:val="016B5874"/>
    <w:rsid w:val="01AA7D1B"/>
    <w:rsid w:val="01EC241C"/>
    <w:rsid w:val="02753E85"/>
    <w:rsid w:val="02777BFD"/>
    <w:rsid w:val="028E1DA8"/>
    <w:rsid w:val="03254D1B"/>
    <w:rsid w:val="03E80687"/>
    <w:rsid w:val="045B4DFE"/>
    <w:rsid w:val="04A6353E"/>
    <w:rsid w:val="04D330E5"/>
    <w:rsid w:val="05156F25"/>
    <w:rsid w:val="05B42F17"/>
    <w:rsid w:val="06461E64"/>
    <w:rsid w:val="067B60A3"/>
    <w:rsid w:val="06C57E6F"/>
    <w:rsid w:val="072E58CA"/>
    <w:rsid w:val="07D81478"/>
    <w:rsid w:val="082D6FB0"/>
    <w:rsid w:val="086B2196"/>
    <w:rsid w:val="088537EC"/>
    <w:rsid w:val="08970B82"/>
    <w:rsid w:val="09692BBD"/>
    <w:rsid w:val="0997694A"/>
    <w:rsid w:val="0A037FC9"/>
    <w:rsid w:val="0B586FD9"/>
    <w:rsid w:val="0BEA58E4"/>
    <w:rsid w:val="0C2B123A"/>
    <w:rsid w:val="0C513D99"/>
    <w:rsid w:val="0C7358DA"/>
    <w:rsid w:val="0C873417"/>
    <w:rsid w:val="0CF62067"/>
    <w:rsid w:val="0D1A0E57"/>
    <w:rsid w:val="0D1D5845"/>
    <w:rsid w:val="0D566F57"/>
    <w:rsid w:val="0D6214AA"/>
    <w:rsid w:val="0D6276FC"/>
    <w:rsid w:val="0E6E343A"/>
    <w:rsid w:val="0ECE4387"/>
    <w:rsid w:val="0ECF3AD7"/>
    <w:rsid w:val="0F114F36"/>
    <w:rsid w:val="0F320DA5"/>
    <w:rsid w:val="0F863EB5"/>
    <w:rsid w:val="0FA45FAB"/>
    <w:rsid w:val="10F92125"/>
    <w:rsid w:val="116E6670"/>
    <w:rsid w:val="11F7314B"/>
    <w:rsid w:val="1206086B"/>
    <w:rsid w:val="12137217"/>
    <w:rsid w:val="121B5084"/>
    <w:rsid w:val="13322A32"/>
    <w:rsid w:val="138D1D96"/>
    <w:rsid w:val="13904FC3"/>
    <w:rsid w:val="13AC16D1"/>
    <w:rsid w:val="13FD357C"/>
    <w:rsid w:val="147026FF"/>
    <w:rsid w:val="14B60A59"/>
    <w:rsid w:val="14DA534F"/>
    <w:rsid w:val="169224BA"/>
    <w:rsid w:val="16F177CF"/>
    <w:rsid w:val="16FF1BA4"/>
    <w:rsid w:val="174560C4"/>
    <w:rsid w:val="17D17A30"/>
    <w:rsid w:val="17E55B46"/>
    <w:rsid w:val="1873189B"/>
    <w:rsid w:val="18775F23"/>
    <w:rsid w:val="193A3C81"/>
    <w:rsid w:val="1A632C59"/>
    <w:rsid w:val="1A6F37F7"/>
    <w:rsid w:val="1A7E4804"/>
    <w:rsid w:val="1B8233E1"/>
    <w:rsid w:val="1B99078D"/>
    <w:rsid w:val="1C1D13BE"/>
    <w:rsid w:val="1C5F27BF"/>
    <w:rsid w:val="1CA77BE1"/>
    <w:rsid w:val="1CBF0F3E"/>
    <w:rsid w:val="1D102CD1"/>
    <w:rsid w:val="1D635205"/>
    <w:rsid w:val="1E7C6782"/>
    <w:rsid w:val="1EAF2075"/>
    <w:rsid w:val="1EB25DEC"/>
    <w:rsid w:val="1EF67F33"/>
    <w:rsid w:val="1F022AED"/>
    <w:rsid w:val="2076239D"/>
    <w:rsid w:val="213F1DD6"/>
    <w:rsid w:val="21717AB6"/>
    <w:rsid w:val="21A65EBE"/>
    <w:rsid w:val="22513B6F"/>
    <w:rsid w:val="226409F2"/>
    <w:rsid w:val="235B6F2D"/>
    <w:rsid w:val="23B0391A"/>
    <w:rsid w:val="243E3822"/>
    <w:rsid w:val="244E40C2"/>
    <w:rsid w:val="24D80A72"/>
    <w:rsid w:val="25BF7042"/>
    <w:rsid w:val="26720558"/>
    <w:rsid w:val="2697330D"/>
    <w:rsid w:val="27040C8B"/>
    <w:rsid w:val="27975EB3"/>
    <w:rsid w:val="27A504B9"/>
    <w:rsid w:val="27C14C4F"/>
    <w:rsid w:val="280C5449"/>
    <w:rsid w:val="283D279D"/>
    <w:rsid w:val="28533F5C"/>
    <w:rsid w:val="28734A03"/>
    <w:rsid w:val="28950972"/>
    <w:rsid w:val="28F9286B"/>
    <w:rsid w:val="29C72969"/>
    <w:rsid w:val="29FD45DD"/>
    <w:rsid w:val="2A2E4796"/>
    <w:rsid w:val="2A355B25"/>
    <w:rsid w:val="2ABE39BE"/>
    <w:rsid w:val="2AC55599"/>
    <w:rsid w:val="2AD92954"/>
    <w:rsid w:val="2B0643AC"/>
    <w:rsid w:val="2B08104E"/>
    <w:rsid w:val="2BD309F5"/>
    <w:rsid w:val="2C536736"/>
    <w:rsid w:val="2C634B60"/>
    <w:rsid w:val="2CA13945"/>
    <w:rsid w:val="2CA40A48"/>
    <w:rsid w:val="2CD41577"/>
    <w:rsid w:val="2D67157A"/>
    <w:rsid w:val="2D9315FC"/>
    <w:rsid w:val="2DB61D87"/>
    <w:rsid w:val="2E33681F"/>
    <w:rsid w:val="2E426A62"/>
    <w:rsid w:val="2E843713"/>
    <w:rsid w:val="2ED86BB9"/>
    <w:rsid w:val="2EE13AA5"/>
    <w:rsid w:val="2F3B5F06"/>
    <w:rsid w:val="2FBD58EB"/>
    <w:rsid w:val="30106C66"/>
    <w:rsid w:val="302634E0"/>
    <w:rsid w:val="30693A75"/>
    <w:rsid w:val="30751371"/>
    <w:rsid w:val="30B579BF"/>
    <w:rsid w:val="30B77A5C"/>
    <w:rsid w:val="30D16CB2"/>
    <w:rsid w:val="30EE1123"/>
    <w:rsid w:val="31250B58"/>
    <w:rsid w:val="3188029A"/>
    <w:rsid w:val="327B73C9"/>
    <w:rsid w:val="328622EF"/>
    <w:rsid w:val="32AA2E28"/>
    <w:rsid w:val="33353039"/>
    <w:rsid w:val="338B3697"/>
    <w:rsid w:val="33AD7074"/>
    <w:rsid w:val="33C00611"/>
    <w:rsid w:val="346E6803"/>
    <w:rsid w:val="347B2EF7"/>
    <w:rsid w:val="358C31E4"/>
    <w:rsid w:val="35B34278"/>
    <w:rsid w:val="369A0887"/>
    <w:rsid w:val="36B8588E"/>
    <w:rsid w:val="36DF5796"/>
    <w:rsid w:val="36E5459A"/>
    <w:rsid w:val="37310A0F"/>
    <w:rsid w:val="37C91FA2"/>
    <w:rsid w:val="3840259E"/>
    <w:rsid w:val="38404012"/>
    <w:rsid w:val="38873AD3"/>
    <w:rsid w:val="38C22245"/>
    <w:rsid w:val="38CC3AF8"/>
    <w:rsid w:val="38EE34F5"/>
    <w:rsid w:val="3942025E"/>
    <w:rsid w:val="396154CC"/>
    <w:rsid w:val="3982065B"/>
    <w:rsid w:val="39B819F2"/>
    <w:rsid w:val="3A1A4CF4"/>
    <w:rsid w:val="3AAD1710"/>
    <w:rsid w:val="3AB84D60"/>
    <w:rsid w:val="3ADC2E01"/>
    <w:rsid w:val="3AF345DC"/>
    <w:rsid w:val="3B48319F"/>
    <w:rsid w:val="3BA55463"/>
    <w:rsid w:val="3BC9358E"/>
    <w:rsid w:val="3C0417FB"/>
    <w:rsid w:val="3C660F0E"/>
    <w:rsid w:val="3C826FA3"/>
    <w:rsid w:val="3CEF6007"/>
    <w:rsid w:val="3CFF7777"/>
    <w:rsid w:val="3D415FA6"/>
    <w:rsid w:val="3E580D00"/>
    <w:rsid w:val="3E67294C"/>
    <w:rsid w:val="3E865549"/>
    <w:rsid w:val="3E9855DC"/>
    <w:rsid w:val="3EDA0AFC"/>
    <w:rsid w:val="3F367F1D"/>
    <w:rsid w:val="4044666A"/>
    <w:rsid w:val="414328FD"/>
    <w:rsid w:val="414C38C3"/>
    <w:rsid w:val="4155181F"/>
    <w:rsid w:val="418B5CA4"/>
    <w:rsid w:val="41F43DD6"/>
    <w:rsid w:val="421436BB"/>
    <w:rsid w:val="424566C9"/>
    <w:rsid w:val="42794168"/>
    <w:rsid w:val="428409B8"/>
    <w:rsid w:val="42C972FA"/>
    <w:rsid w:val="432E6F1D"/>
    <w:rsid w:val="43C569C7"/>
    <w:rsid w:val="441D1006"/>
    <w:rsid w:val="44516A64"/>
    <w:rsid w:val="449952A5"/>
    <w:rsid w:val="44BA3A41"/>
    <w:rsid w:val="44BB0A0B"/>
    <w:rsid w:val="44E5740D"/>
    <w:rsid w:val="45156827"/>
    <w:rsid w:val="45F621D6"/>
    <w:rsid w:val="460421F7"/>
    <w:rsid w:val="46BA1D52"/>
    <w:rsid w:val="46DB6500"/>
    <w:rsid w:val="47574ED5"/>
    <w:rsid w:val="47857C94"/>
    <w:rsid w:val="47A53E92"/>
    <w:rsid w:val="47B77766"/>
    <w:rsid w:val="47C843E0"/>
    <w:rsid w:val="47E44092"/>
    <w:rsid w:val="483616A5"/>
    <w:rsid w:val="4849674B"/>
    <w:rsid w:val="486B0F84"/>
    <w:rsid w:val="488D341A"/>
    <w:rsid w:val="48D369E6"/>
    <w:rsid w:val="48EE5B90"/>
    <w:rsid w:val="48F60EDB"/>
    <w:rsid w:val="49621563"/>
    <w:rsid w:val="4A2D63C1"/>
    <w:rsid w:val="4A3E05CE"/>
    <w:rsid w:val="4A7D5C0C"/>
    <w:rsid w:val="4AC42AD3"/>
    <w:rsid w:val="4ACD36E9"/>
    <w:rsid w:val="4B0435C5"/>
    <w:rsid w:val="4B8C6B4A"/>
    <w:rsid w:val="4BDD3BD0"/>
    <w:rsid w:val="4BE73B3C"/>
    <w:rsid w:val="4CB132D9"/>
    <w:rsid w:val="4CBD7ED0"/>
    <w:rsid w:val="4DA14869"/>
    <w:rsid w:val="4E015B9A"/>
    <w:rsid w:val="4E3D5B54"/>
    <w:rsid w:val="4EE17D50"/>
    <w:rsid w:val="4EF37BD9"/>
    <w:rsid w:val="4F3F7FA4"/>
    <w:rsid w:val="4F453AD1"/>
    <w:rsid w:val="4FCA7D61"/>
    <w:rsid w:val="50165BA2"/>
    <w:rsid w:val="506A211C"/>
    <w:rsid w:val="513D513B"/>
    <w:rsid w:val="51A6094E"/>
    <w:rsid w:val="51C972C4"/>
    <w:rsid w:val="520C3C2B"/>
    <w:rsid w:val="523A167B"/>
    <w:rsid w:val="529C0587"/>
    <w:rsid w:val="52A1182A"/>
    <w:rsid w:val="52DA0085"/>
    <w:rsid w:val="5392742E"/>
    <w:rsid w:val="54297BF9"/>
    <w:rsid w:val="543F54A4"/>
    <w:rsid w:val="54ED6BCB"/>
    <w:rsid w:val="55631879"/>
    <w:rsid w:val="556820F7"/>
    <w:rsid w:val="55713605"/>
    <w:rsid w:val="55DF0EB7"/>
    <w:rsid w:val="56514B65"/>
    <w:rsid w:val="565A0A1B"/>
    <w:rsid w:val="566A469F"/>
    <w:rsid w:val="57FA3D86"/>
    <w:rsid w:val="582204C5"/>
    <w:rsid w:val="584A43BC"/>
    <w:rsid w:val="58550C3E"/>
    <w:rsid w:val="58816255"/>
    <w:rsid w:val="59162E41"/>
    <w:rsid w:val="593F00CE"/>
    <w:rsid w:val="595641E0"/>
    <w:rsid w:val="597C5CCB"/>
    <w:rsid w:val="5A0E54DA"/>
    <w:rsid w:val="5A102F99"/>
    <w:rsid w:val="5A641B4E"/>
    <w:rsid w:val="5A683144"/>
    <w:rsid w:val="5BA858A7"/>
    <w:rsid w:val="5C3020B7"/>
    <w:rsid w:val="5C6A49BE"/>
    <w:rsid w:val="5CBA2E91"/>
    <w:rsid w:val="5D9343C5"/>
    <w:rsid w:val="5DF254FF"/>
    <w:rsid w:val="5E211941"/>
    <w:rsid w:val="5EAE70F2"/>
    <w:rsid w:val="5EC82AC9"/>
    <w:rsid w:val="5EED5772"/>
    <w:rsid w:val="5F1514A5"/>
    <w:rsid w:val="5F173387"/>
    <w:rsid w:val="5F1F6C4C"/>
    <w:rsid w:val="5F37766E"/>
    <w:rsid w:val="5FA016B7"/>
    <w:rsid w:val="5FBA292B"/>
    <w:rsid w:val="60006C3F"/>
    <w:rsid w:val="6009569A"/>
    <w:rsid w:val="60620F67"/>
    <w:rsid w:val="606721D5"/>
    <w:rsid w:val="609A4358"/>
    <w:rsid w:val="60F5158E"/>
    <w:rsid w:val="61555058"/>
    <w:rsid w:val="61AF6E62"/>
    <w:rsid w:val="62285994"/>
    <w:rsid w:val="62BC6A31"/>
    <w:rsid w:val="640259A7"/>
    <w:rsid w:val="64283A29"/>
    <w:rsid w:val="647A5AE9"/>
    <w:rsid w:val="65643F99"/>
    <w:rsid w:val="656E5DB3"/>
    <w:rsid w:val="65A6050D"/>
    <w:rsid w:val="661959C2"/>
    <w:rsid w:val="663743F7"/>
    <w:rsid w:val="66FA3BAB"/>
    <w:rsid w:val="671958AB"/>
    <w:rsid w:val="680A680D"/>
    <w:rsid w:val="68316BB4"/>
    <w:rsid w:val="689F3DBE"/>
    <w:rsid w:val="68B8019E"/>
    <w:rsid w:val="68B95597"/>
    <w:rsid w:val="68EE42D6"/>
    <w:rsid w:val="68F66914"/>
    <w:rsid w:val="69B5136B"/>
    <w:rsid w:val="6A507835"/>
    <w:rsid w:val="6A5C31A4"/>
    <w:rsid w:val="6A6B0B13"/>
    <w:rsid w:val="6A7D4E6C"/>
    <w:rsid w:val="6A9C2A7B"/>
    <w:rsid w:val="6B081B32"/>
    <w:rsid w:val="6B2156AD"/>
    <w:rsid w:val="6B301415"/>
    <w:rsid w:val="6B393ECA"/>
    <w:rsid w:val="6BAC7689"/>
    <w:rsid w:val="6BDF5315"/>
    <w:rsid w:val="6C01202C"/>
    <w:rsid w:val="6C9869B2"/>
    <w:rsid w:val="6CA92D54"/>
    <w:rsid w:val="6D6E243C"/>
    <w:rsid w:val="6EDA1DC4"/>
    <w:rsid w:val="6F4E0E43"/>
    <w:rsid w:val="6F9B2934"/>
    <w:rsid w:val="6FEF2BB1"/>
    <w:rsid w:val="70025A76"/>
    <w:rsid w:val="70765B1C"/>
    <w:rsid w:val="708865E8"/>
    <w:rsid w:val="70AD74D6"/>
    <w:rsid w:val="70B934E1"/>
    <w:rsid w:val="710D5A47"/>
    <w:rsid w:val="719B575F"/>
    <w:rsid w:val="720558B7"/>
    <w:rsid w:val="725B146D"/>
    <w:rsid w:val="726C3C72"/>
    <w:rsid w:val="72AA2B8D"/>
    <w:rsid w:val="72FB055A"/>
    <w:rsid w:val="73347FBB"/>
    <w:rsid w:val="735F588B"/>
    <w:rsid w:val="74722293"/>
    <w:rsid w:val="74B35591"/>
    <w:rsid w:val="74CC657C"/>
    <w:rsid w:val="752B15CB"/>
    <w:rsid w:val="7644151E"/>
    <w:rsid w:val="767D742D"/>
    <w:rsid w:val="76AA7092"/>
    <w:rsid w:val="76D96ECD"/>
    <w:rsid w:val="774B7D02"/>
    <w:rsid w:val="775E5C88"/>
    <w:rsid w:val="778B00FF"/>
    <w:rsid w:val="7863107C"/>
    <w:rsid w:val="78C22246"/>
    <w:rsid w:val="79C83F20"/>
    <w:rsid w:val="7A3F3423"/>
    <w:rsid w:val="7A4709D6"/>
    <w:rsid w:val="7AF67B71"/>
    <w:rsid w:val="7B9A36F9"/>
    <w:rsid w:val="7BDE6039"/>
    <w:rsid w:val="7C417926"/>
    <w:rsid w:val="7C442D6C"/>
    <w:rsid w:val="7CD10CAA"/>
    <w:rsid w:val="7CD36C2D"/>
    <w:rsid w:val="7D2749BA"/>
    <w:rsid w:val="7D2F33FB"/>
    <w:rsid w:val="7D4132BA"/>
    <w:rsid w:val="7D6A07B6"/>
    <w:rsid w:val="7D850096"/>
    <w:rsid w:val="7D9D3C24"/>
    <w:rsid w:val="7DB04EB1"/>
    <w:rsid w:val="7DB66598"/>
    <w:rsid w:val="7E0429B9"/>
    <w:rsid w:val="7E134939"/>
    <w:rsid w:val="7E14406C"/>
    <w:rsid w:val="7E377334"/>
    <w:rsid w:val="7E8366D5"/>
    <w:rsid w:val="7E9940C0"/>
    <w:rsid w:val="7F0F5AB9"/>
    <w:rsid w:val="7F183682"/>
    <w:rsid w:val="7FD8234F"/>
    <w:rsid w:val="7FDB3F18"/>
    <w:rsid w:val="7FFB603E"/>
    <w:rsid w:val="7FFF46F0"/>
    <w:rsid w:val="EBF52E80"/>
    <w:rsid w:val="FB73B981"/>
    <w:rsid w:val="FFE73E85"/>
    <w:rsid w:val="FFEFFDE1"/>
    <w:rsid w:val="FFF3A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5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5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2"/>
    <w:qFormat/>
    <w:uiPriority w:val="0"/>
    <w:pPr>
      <w:keepNext/>
      <w:keepLines/>
      <w:adjustRightInd/>
      <w:spacing w:before="240" w:after="64" w:line="320" w:lineRule="auto"/>
      <w:outlineLvl w:val="8"/>
    </w:pPr>
    <w:rPr>
      <w:rFonts w:ascii="Arial" w:hAnsi="Arial" w:eastAsia="黑体"/>
    </w:rPr>
  </w:style>
  <w:style w:type="character" w:default="1" w:styleId="27">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qFormat/>
    <w:uiPriority w:val="0"/>
    <w:pPr>
      <w:jc w:val="left"/>
    </w:pPr>
  </w:style>
  <w:style w:type="paragraph" w:styleId="14">
    <w:name w:val="Body Text"/>
    <w:basedOn w:val="1"/>
    <w:link w:val="94"/>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5"/>
    <w:unhideWhenUsed/>
    <w:qFormat/>
    <w:uiPriority w:val="99"/>
    <w:rPr>
      <w:sz w:val="18"/>
      <w:szCs w:val="18"/>
    </w:rPr>
  </w:style>
  <w:style w:type="paragraph" w:styleId="18">
    <w:name w:val="footer"/>
    <w:basedOn w:val="1"/>
    <w:link w:val="54"/>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53"/>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5"/>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58"/>
    <w:qFormat/>
    <w:uiPriority w:val="0"/>
    <w:pPr>
      <w:spacing w:before="240" w:after="60"/>
      <w:jc w:val="center"/>
      <w:outlineLvl w:val="0"/>
    </w:pPr>
    <w:rPr>
      <w:rFonts w:ascii="Arial" w:hAnsi="Arial" w:cs="Arial"/>
      <w:b/>
      <w:bCs/>
      <w:sz w:val="32"/>
      <w:szCs w:val="32"/>
    </w:rPr>
  </w:style>
  <w:style w:type="character" w:styleId="28">
    <w:name w:val="Strong"/>
    <w:qFormat/>
    <w:uiPriority w:val="22"/>
    <w:rPr>
      <w:b/>
      <w:bCs/>
    </w:rPr>
  </w:style>
  <w:style w:type="character" w:styleId="29">
    <w:name w:val="page number"/>
    <w:qFormat/>
    <w:uiPriority w:val="0"/>
    <w:rPr>
      <w:rFonts w:ascii="宋体" w:hAnsi="Times New Roman" w:eastAsia="宋体"/>
      <w:sz w:val="18"/>
    </w:rPr>
  </w:style>
  <w:style w:type="character" w:styleId="30">
    <w:name w:val="FollowedHyperlink"/>
    <w:basedOn w:val="27"/>
    <w:unhideWhenUsed/>
    <w:qFormat/>
    <w:uiPriority w:val="99"/>
    <w:rPr>
      <w:color w:val="954F72" w:themeColor="followedHyperlink"/>
      <w:u w:val="single"/>
      <w14:textFill>
        <w14:solidFill>
          <w14:schemeClr w14:val="folHlink"/>
        </w14:solidFill>
      </w14:textFill>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annotation reference"/>
    <w:basedOn w:val="27"/>
    <w:unhideWhenUsed/>
    <w:qFormat/>
    <w:uiPriority w:val="99"/>
    <w:rPr>
      <w:sz w:val="21"/>
      <w:szCs w:val="21"/>
    </w:rPr>
  </w:style>
  <w:style w:type="character" w:styleId="34">
    <w:name w:val="footnote reference"/>
    <w:semiHidden/>
    <w:qFormat/>
    <w:uiPriority w:val="0"/>
    <w:rPr>
      <w:rFonts w:ascii="宋体" w:hAnsi="宋体" w:eastAsia="宋体" w:cs="Times New Roman"/>
      <w:spacing w:val="0"/>
      <w:sz w:val="18"/>
      <w:vertAlign w:val="superscript"/>
    </w:rPr>
  </w:style>
  <w:style w:type="table" w:styleId="36">
    <w:name w:val="Table Grid"/>
    <w:basedOn w:val="3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7">
    <w:name w:val="标准文件_章标题"/>
    <w:next w:val="38"/>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8">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9">
    <w:name w:val="标准文件_一级条标题"/>
    <w:basedOn w:val="37"/>
    <w:next w:val="38"/>
    <w:qFormat/>
    <w:uiPriority w:val="0"/>
    <w:pPr>
      <w:numPr>
        <w:ilvl w:val="2"/>
      </w:numPr>
      <w:spacing w:before="50" w:beforeLines="50" w:after="50" w:afterLines="50"/>
      <w:outlineLvl w:val="1"/>
    </w:pPr>
  </w:style>
  <w:style w:type="paragraph" w:customStyle="1" w:styleId="40">
    <w:name w:val="标准文件_二级条标题"/>
    <w:next w:val="38"/>
    <w:qFormat/>
    <w:uiPriority w:val="0"/>
    <w:pPr>
      <w:widowControl w:val="0"/>
      <w:numPr>
        <w:ilvl w:val="3"/>
        <w:numId w:val="1"/>
      </w:numPr>
      <w:spacing w:before="50" w:beforeLines="50" w:after="50" w:afterLines="50"/>
      <w:jc w:val="both"/>
      <w:outlineLvl w:val="2"/>
    </w:pPr>
    <w:rPr>
      <w:rFonts w:ascii="黑体" w:hAnsi="黑体" w:eastAsia="黑体" w:cs="Times New Roman"/>
      <w:sz w:val="21"/>
      <w:lang w:val="en-US" w:eastAsia="zh-CN" w:bidi="ar-SA"/>
    </w:rPr>
  </w:style>
  <w:style w:type="paragraph" w:customStyle="1" w:styleId="41">
    <w:name w:val="标准文件_三级条标题"/>
    <w:basedOn w:val="40"/>
    <w:next w:val="38"/>
    <w:qFormat/>
    <w:uiPriority w:val="0"/>
    <w:pPr>
      <w:widowControl/>
      <w:numPr>
        <w:ilvl w:val="4"/>
      </w:numPr>
      <w:outlineLvl w:val="3"/>
    </w:pPr>
  </w:style>
  <w:style w:type="paragraph" w:customStyle="1" w:styleId="42">
    <w:name w:val="标准文件_四级条标题"/>
    <w:next w:val="38"/>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43">
    <w:name w:val="标准文件_五级条标题"/>
    <w:next w:val="38"/>
    <w:qFormat/>
    <w:uiPriority w:val="0"/>
    <w:pPr>
      <w:widowControl w:val="0"/>
      <w:numPr>
        <w:ilvl w:val="6"/>
        <w:numId w:val="1"/>
      </w:numPr>
      <w:spacing w:before="50" w:beforeLines="50" w:after="50" w:afterLines="50"/>
      <w:jc w:val="both"/>
      <w:outlineLvl w:val="5"/>
    </w:pPr>
    <w:rPr>
      <w:rFonts w:ascii="黑体" w:hAnsi="Times New Roman" w:eastAsia="黑体" w:cs="Times New Roman"/>
      <w:sz w:val="21"/>
      <w:lang w:val="en-US" w:eastAsia="zh-CN" w:bidi="ar-SA"/>
    </w:rPr>
  </w:style>
  <w:style w:type="character" w:customStyle="1" w:styleId="44">
    <w:name w:val="标题 1 字符"/>
    <w:link w:val="2"/>
    <w:qFormat/>
    <w:uiPriority w:val="0"/>
    <w:rPr>
      <w:b/>
      <w:bCs/>
      <w:kern w:val="44"/>
      <w:sz w:val="44"/>
      <w:szCs w:val="44"/>
    </w:rPr>
  </w:style>
  <w:style w:type="character" w:customStyle="1" w:styleId="45">
    <w:name w:val="标题 2 字符"/>
    <w:link w:val="3"/>
    <w:qFormat/>
    <w:uiPriority w:val="0"/>
    <w:rPr>
      <w:rFonts w:ascii="Arial" w:hAnsi="Arial" w:eastAsia="黑体"/>
      <w:b/>
      <w:bCs/>
      <w:kern w:val="2"/>
      <w:sz w:val="32"/>
      <w:szCs w:val="32"/>
    </w:rPr>
  </w:style>
  <w:style w:type="character" w:customStyle="1" w:styleId="46">
    <w:name w:val="标题 3 字符"/>
    <w:link w:val="4"/>
    <w:qFormat/>
    <w:uiPriority w:val="0"/>
    <w:rPr>
      <w:b/>
      <w:bCs/>
      <w:kern w:val="2"/>
      <w:sz w:val="32"/>
      <w:szCs w:val="32"/>
    </w:rPr>
  </w:style>
  <w:style w:type="character" w:customStyle="1" w:styleId="47">
    <w:name w:val="标题 4 字符"/>
    <w:link w:val="5"/>
    <w:qFormat/>
    <w:uiPriority w:val="0"/>
    <w:rPr>
      <w:rFonts w:ascii="Arial" w:hAnsi="Arial" w:eastAsia="黑体"/>
      <w:b/>
      <w:bCs/>
      <w:kern w:val="2"/>
      <w:sz w:val="28"/>
      <w:szCs w:val="28"/>
    </w:rPr>
  </w:style>
  <w:style w:type="character" w:customStyle="1" w:styleId="48">
    <w:name w:val="标题 5 字符"/>
    <w:link w:val="6"/>
    <w:qFormat/>
    <w:uiPriority w:val="0"/>
    <w:rPr>
      <w:b/>
      <w:bCs/>
      <w:kern w:val="2"/>
      <w:sz w:val="28"/>
      <w:szCs w:val="28"/>
    </w:rPr>
  </w:style>
  <w:style w:type="character" w:customStyle="1" w:styleId="49">
    <w:name w:val="标题 6 字符"/>
    <w:link w:val="7"/>
    <w:qFormat/>
    <w:uiPriority w:val="0"/>
    <w:rPr>
      <w:rFonts w:ascii="Arial" w:hAnsi="Arial" w:eastAsia="黑体"/>
      <w:b/>
      <w:bCs/>
      <w:kern w:val="2"/>
      <w:sz w:val="24"/>
      <w:szCs w:val="24"/>
    </w:rPr>
  </w:style>
  <w:style w:type="character" w:customStyle="1" w:styleId="50">
    <w:name w:val="标题 7 字符"/>
    <w:link w:val="8"/>
    <w:qFormat/>
    <w:uiPriority w:val="0"/>
    <w:rPr>
      <w:b/>
      <w:bCs/>
      <w:kern w:val="2"/>
      <w:sz w:val="24"/>
      <w:szCs w:val="24"/>
    </w:rPr>
  </w:style>
  <w:style w:type="character" w:customStyle="1" w:styleId="51">
    <w:name w:val="标题 8 字符"/>
    <w:link w:val="9"/>
    <w:qFormat/>
    <w:uiPriority w:val="0"/>
    <w:rPr>
      <w:rFonts w:ascii="Arial" w:hAnsi="Arial" w:eastAsia="黑体"/>
      <w:kern w:val="2"/>
      <w:sz w:val="24"/>
      <w:szCs w:val="24"/>
    </w:rPr>
  </w:style>
  <w:style w:type="character" w:customStyle="1" w:styleId="52">
    <w:name w:val="标题 9 字符"/>
    <w:link w:val="10"/>
    <w:qFormat/>
    <w:uiPriority w:val="0"/>
    <w:rPr>
      <w:rFonts w:ascii="Arial" w:hAnsi="Arial" w:eastAsia="黑体"/>
      <w:kern w:val="2"/>
      <w:sz w:val="21"/>
      <w:szCs w:val="21"/>
    </w:rPr>
  </w:style>
  <w:style w:type="character" w:customStyle="1" w:styleId="53">
    <w:name w:val="页眉 字符"/>
    <w:link w:val="19"/>
    <w:qFormat/>
    <w:uiPriority w:val="99"/>
    <w:rPr>
      <w:kern w:val="2"/>
      <w:sz w:val="18"/>
      <w:szCs w:val="18"/>
    </w:rPr>
  </w:style>
  <w:style w:type="character" w:customStyle="1" w:styleId="54">
    <w:name w:val="页脚 字符"/>
    <w:link w:val="18"/>
    <w:qFormat/>
    <w:uiPriority w:val="99"/>
    <w:rPr>
      <w:rFonts w:ascii="宋体"/>
      <w:kern w:val="2"/>
      <w:sz w:val="18"/>
      <w:szCs w:val="18"/>
    </w:rPr>
  </w:style>
  <w:style w:type="character" w:customStyle="1" w:styleId="55">
    <w:name w:val="批注框文本 字符"/>
    <w:link w:val="17"/>
    <w:semiHidden/>
    <w:qFormat/>
    <w:uiPriority w:val="99"/>
    <w:rPr>
      <w:kern w:val="2"/>
      <w:sz w:val="18"/>
      <w:szCs w:val="18"/>
    </w:rPr>
  </w:style>
  <w:style w:type="paragraph" w:customStyle="1" w:styleId="56">
    <w:name w:val="Quote"/>
    <w:basedOn w:val="1"/>
    <w:next w:val="1"/>
    <w:link w:val="57"/>
    <w:qFormat/>
    <w:uiPriority w:val="29"/>
    <w:rPr>
      <w:i/>
      <w:iCs/>
      <w:color w:val="000000"/>
    </w:rPr>
  </w:style>
  <w:style w:type="character" w:customStyle="1" w:styleId="57">
    <w:name w:val="引用 字符"/>
    <w:link w:val="56"/>
    <w:qFormat/>
    <w:uiPriority w:val="29"/>
    <w:rPr>
      <w:i/>
      <w:iCs/>
      <w:color w:val="000000"/>
      <w:kern w:val="2"/>
      <w:sz w:val="21"/>
      <w:szCs w:val="21"/>
    </w:rPr>
  </w:style>
  <w:style w:type="character" w:customStyle="1" w:styleId="58">
    <w:name w:val="标题 字符"/>
    <w:link w:val="26"/>
    <w:qFormat/>
    <w:uiPriority w:val="0"/>
    <w:rPr>
      <w:rFonts w:ascii="Arial" w:hAnsi="Arial" w:cs="Arial"/>
      <w:b/>
      <w:bCs/>
      <w:kern w:val="2"/>
      <w:sz w:val="32"/>
      <w:szCs w:val="32"/>
    </w:rPr>
  </w:style>
  <w:style w:type="paragraph" w:customStyle="1" w:styleId="5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3">
    <w:name w:val="标准书眉一"/>
    <w:qFormat/>
    <w:uiPriority w:val="0"/>
    <w:pPr>
      <w:jc w:val="both"/>
    </w:pPr>
    <w:rPr>
      <w:rFonts w:ascii="Times New Roman" w:hAnsi="Times New Roman" w:eastAsia="宋体" w:cs="Times New Roman"/>
      <w:lang w:val="en-US" w:eastAsia="zh-CN" w:bidi="ar-SA"/>
    </w:rPr>
  </w:style>
  <w:style w:type="paragraph" w:customStyle="1" w:styleId="64">
    <w:name w:val="标准文件_ICS"/>
    <w:basedOn w:val="1"/>
    <w:qFormat/>
    <w:uiPriority w:val="0"/>
    <w:pPr>
      <w:spacing w:line="0" w:lineRule="atLeast"/>
    </w:pPr>
    <w:rPr>
      <w:rFonts w:ascii="黑体" w:hAnsi="宋体" w:eastAsia="黑体"/>
    </w:rPr>
  </w:style>
  <w:style w:type="paragraph" w:customStyle="1" w:styleId="65">
    <w:name w:val="标准文件_标准正文"/>
    <w:basedOn w:val="1"/>
    <w:next w:val="38"/>
    <w:qFormat/>
    <w:uiPriority w:val="0"/>
    <w:pPr>
      <w:snapToGrid w:val="0"/>
      <w:ind w:firstLine="200" w:firstLineChars="200"/>
    </w:pPr>
    <w:rPr>
      <w:kern w:val="0"/>
    </w:rPr>
  </w:style>
  <w:style w:type="paragraph" w:customStyle="1" w:styleId="66">
    <w:name w:val="标准文件_版本"/>
    <w:basedOn w:val="65"/>
    <w:qFormat/>
    <w:uiPriority w:val="0"/>
    <w:pPr>
      <w:adjustRightInd/>
      <w:snapToGrid/>
      <w:ind w:firstLine="0" w:firstLineChars="0"/>
    </w:pPr>
    <w:rPr>
      <w:rFonts w:ascii="宋体" w:hAnsi="宋体"/>
      <w:kern w:val="2"/>
    </w:rPr>
  </w:style>
  <w:style w:type="paragraph" w:customStyle="1" w:styleId="67">
    <w:name w:val="标准文件_标准部门"/>
    <w:basedOn w:val="1"/>
    <w:qFormat/>
    <w:uiPriority w:val="0"/>
    <w:pPr>
      <w:jc w:val="center"/>
    </w:pPr>
    <w:rPr>
      <w:rFonts w:ascii="黑体" w:eastAsia="黑体"/>
      <w:kern w:val="0"/>
      <w:sz w:val="44"/>
    </w:rPr>
  </w:style>
  <w:style w:type="paragraph" w:customStyle="1" w:styleId="68">
    <w:name w:val="标准文件_标准代替"/>
    <w:basedOn w:val="1"/>
    <w:next w:val="1"/>
    <w:qFormat/>
    <w:uiPriority w:val="0"/>
    <w:pPr>
      <w:spacing w:line="310" w:lineRule="exact"/>
      <w:jc w:val="right"/>
    </w:pPr>
    <w:rPr>
      <w:rFonts w:ascii="宋体" w:hAnsi="宋体"/>
      <w:kern w:val="0"/>
    </w:rPr>
  </w:style>
  <w:style w:type="paragraph" w:customStyle="1" w:styleId="69">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70">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1">
    <w:name w:val="标准文件_页眉偶数页"/>
    <w:basedOn w:val="70"/>
    <w:next w:val="1"/>
    <w:qFormat/>
    <w:uiPriority w:val="0"/>
    <w:pPr>
      <w:jc w:val="left"/>
    </w:pPr>
  </w:style>
  <w:style w:type="paragraph" w:customStyle="1" w:styleId="72">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73">
    <w:name w:val="标准文件_参考文献条目"/>
    <w:qFormat/>
    <w:uiPriority w:val="0"/>
    <w:pPr>
      <w:numPr>
        <w:ilvl w:val="0"/>
        <w:numId w:val="2"/>
      </w:numPr>
    </w:pPr>
    <w:rPr>
      <w:rFonts w:ascii="宋体" w:hAnsi="Times New Roman" w:eastAsia="宋体" w:cs="Times New Roman"/>
      <w:lang w:val="en-US" w:eastAsia="zh-CN" w:bidi="ar-SA"/>
    </w:rPr>
  </w:style>
  <w:style w:type="character" w:customStyle="1" w:styleId="74">
    <w:name w:val="标准文件_发布"/>
    <w:qFormat/>
    <w:uiPriority w:val="0"/>
    <w:rPr>
      <w:rFonts w:ascii="黑体" w:eastAsia="黑体"/>
      <w:spacing w:val="0"/>
      <w:w w:val="100"/>
      <w:position w:val="3"/>
      <w:sz w:val="28"/>
    </w:rPr>
  </w:style>
  <w:style w:type="paragraph" w:customStyle="1" w:styleId="75">
    <w:name w:val="标准文件_方框数字列项"/>
    <w:basedOn w:val="38"/>
    <w:qFormat/>
    <w:uiPriority w:val="0"/>
    <w:pPr>
      <w:numPr>
        <w:ilvl w:val="0"/>
        <w:numId w:val="3"/>
      </w:numPr>
      <w:ind w:firstLine="0" w:firstLineChars="0"/>
    </w:pPr>
  </w:style>
  <w:style w:type="paragraph" w:customStyle="1" w:styleId="76">
    <w:name w:val="标准文件_封面标准编号"/>
    <w:basedOn w:val="1"/>
    <w:next w:val="68"/>
    <w:qFormat/>
    <w:uiPriority w:val="0"/>
    <w:pPr>
      <w:spacing w:line="310" w:lineRule="exact"/>
      <w:jc w:val="right"/>
    </w:pPr>
    <w:rPr>
      <w:rFonts w:ascii="黑体" w:eastAsia="黑体"/>
      <w:kern w:val="0"/>
      <w:sz w:val="28"/>
    </w:rPr>
  </w:style>
  <w:style w:type="paragraph" w:customStyle="1" w:styleId="77">
    <w:name w:val="标准文件_封面标准分类号"/>
    <w:basedOn w:val="1"/>
    <w:qFormat/>
    <w:uiPriority w:val="0"/>
    <w:rPr>
      <w:rFonts w:ascii="黑体" w:eastAsia="黑体"/>
      <w:b/>
      <w:kern w:val="0"/>
      <w:sz w:val="28"/>
    </w:rPr>
  </w:style>
  <w:style w:type="paragraph" w:customStyle="1" w:styleId="78">
    <w:name w:val="标准文件_封面标准名称"/>
    <w:basedOn w:val="1"/>
    <w:qFormat/>
    <w:uiPriority w:val="0"/>
    <w:pPr>
      <w:spacing w:line="240" w:lineRule="auto"/>
      <w:jc w:val="center"/>
    </w:pPr>
    <w:rPr>
      <w:rFonts w:ascii="黑体" w:eastAsia="黑体"/>
      <w:kern w:val="0"/>
      <w:sz w:val="52"/>
    </w:rPr>
  </w:style>
  <w:style w:type="paragraph" w:customStyle="1" w:styleId="79">
    <w:name w:val="标准文件_封面标准英文名称"/>
    <w:basedOn w:val="1"/>
    <w:qFormat/>
    <w:uiPriority w:val="0"/>
    <w:pPr>
      <w:spacing w:line="240" w:lineRule="auto"/>
      <w:jc w:val="center"/>
    </w:pPr>
    <w:rPr>
      <w:rFonts w:ascii="黑体" w:eastAsia="黑体"/>
      <w:b/>
      <w:sz w:val="28"/>
    </w:rPr>
  </w:style>
  <w:style w:type="paragraph" w:customStyle="1" w:styleId="80">
    <w:name w:val="标准文件_封面发布日期"/>
    <w:basedOn w:val="1"/>
    <w:qFormat/>
    <w:uiPriority w:val="0"/>
    <w:pPr>
      <w:spacing w:line="310" w:lineRule="exact"/>
    </w:pPr>
    <w:rPr>
      <w:rFonts w:ascii="黑体" w:eastAsia="黑体"/>
      <w:kern w:val="0"/>
      <w:sz w:val="28"/>
    </w:rPr>
  </w:style>
  <w:style w:type="paragraph" w:customStyle="1" w:styleId="81">
    <w:name w:val="标准文件_封面密级"/>
    <w:basedOn w:val="1"/>
    <w:qFormat/>
    <w:uiPriority w:val="0"/>
    <w:rPr>
      <w:rFonts w:eastAsia="黑体"/>
      <w:sz w:val="32"/>
    </w:rPr>
  </w:style>
  <w:style w:type="paragraph" w:customStyle="1" w:styleId="82">
    <w:name w:val="标准文件_封面实施日期"/>
    <w:basedOn w:val="1"/>
    <w:qFormat/>
    <w:uiPriority w:val="0"/>
    <w:pPr>
      <w:spacing w:line="310" w:lineRule="exact"/>
      <w:jc w:val="right"/>
    </w:pPr>
    <w:rPr>
      <w:rFonts w:ascii="黑体" w:eastAsia="黑体"/>
      <w:sz w:val="28"/>
    </w:rPr>
  </w:style>
  <w:style w:type="paragraph" w:customStyle="1" w:styleId="83">
    <w:name w:val="标准文件_封面抬头"/>
    <w:basedOn w:val="38"/>
    <w:qFormat/>
    <w:uiPriority w:val="0"/>
    <w:pPr>
      <w:adjustRightInd w:val="0"/>
      <w:spacing w:line="800" w:lineRule="exact"/>
      <w:ind w:firstLine="0" w:firstLineChars="0"/>
      <w:jc w:val="distribute"/>
    </w:pPr>
    <w:rPr>
      <w:rFonts w:ascii="黑体" w:eastAsia="黑体"/>
      <w:b/>
      <w:sz w:val="64"/>
    </w:rPr>
  </w:style>
  <w:style w:type="paragraph" w:customStyle="1" w:styleId="84">
    <w:name w:val="标准文件_附录标识"/>
    <w:next w:val="38"/>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5">
    <w:name w:val="标准文件_附录表标题"/>
    <w:next w:val="38"/>
    <w:qFormat/>
    <w:uiPriority w:val="0"/>
    <w:pPr>
      <w:numPr>
        <w:ilvl w:val="1"/>
        <w:numId w:val="5"/>
      </w:numPr>
      <w:adjustRightInd w:val="0"/>
      <w:snapToGrid w:val="0"/>
      <w:spacing w:before="50" w:beforeLines="50" w:after="50" w:afterLines="50"/>
      <w:ind w:left="0"/>
      <w:jc w:val="center"/>
      <w:textAlignment w:val="baseline"/>
    </w:pPr>
    <w:rPr>
      <w:rFonts w:ascii="黑体" w:hAnsi="Times New Roman" w:eastAsia="黑体" w:cs="Times New Roman"/>
      <w:kern w:val="21"/>
      <w:sz w:val="21"/>
      <w:lang w:val="en-US" w:eastAsia="zh-CN" w:bidi="ar-SA"/>
    </w:rPr>
  </w:style>
  <w:style w:type="paragraph" w:customStyle="1" w:styleId="86">
    <w:name w:val="标准文件_附录一级条标题"/>
    <w:next w:val="38"/>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7">
    <w:name w:val="标准文件_附录二级条标题"/>
    <w:basedOn w:val="86"/>
    <w:next w:val="38"/>
    <w:qFormat/>
    <w:uiPriority w:val="0"/>
    <w:pPr>
      <w:widowControl/>
      <w:numPr>
        <w:ilvl w:val="2"/>
      </w:numPr>
      <w:wordWrap w:val="0"/>
      <w:overflowPunct w:val="0"/>
      <w:autoSpaceDE w:val="0"/>
      <w:autoSpaceDN w:val="0"/>
      <w:textAlignment w:val="baseline"/>
      <w:outlineLvl w:val="3"/>
    </w:pPr>
  </w:style>
  <w:style w:type="paragraph" w:customStyle="1" w:styleId="88">
    <w:name w:val="标准文件_附录公式"/>
    <w:basedOn w:val="65"/>
    <w:next w:val="6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9">
    <w:name w:val="标准文件_附录三级条标题"/>
    <w:next w:val="38"/>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90">
    <w:name w:val="标准文件_附录四级条标题"/>
    <w:next w:val="38"/>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1">
    <w:name w:val="标准文件_附录图标题"/>
    <w:next w:val="38"/>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92">
    <w:name w:val="标准文件_附录五级条标题"/>
    <w:next w:val="38"/>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3">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4">
    <w:name w:val="正文文本 字符"/>
    <w:link w:val="14"/>
    <w:qFormat/>
    <w:uiPriority w:val="0"/>
    <w:rPr>
      <w:kern w:val="2"/>
      <w:sz w:val="21"/>
      <w:szCs w:val="21"/>
    </w:rPr>
  </w:style>
  <w:style w:type="paragraph" w:customStyle="1" w:styleId="95">
    <w:name w:val="标准文件_附录章标题"/>
    <w:next w:val="3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6">
    <w:name w:val="标准文件_公式后的破折号"/>
    <w:basedOn w:val="38"/>
    <w:next w:val="38"/>
    <w:qFormat/>
    <w:uiPriority w:val="0"/>
    <w:pPr>
      <w:ind w:left="488" w:leftChars="200" w:hanging="289" w:hangingChars="290"/>
    </w:pPr>
  </w:style>
  <w:style w:type="paragraph" w:customStyle="1" w:styleId="97">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8">
    <w:name w:val="标准文件_目次、标准名称标题"/>
    <w:basedOn w:val="97"/>
    <w:next w:val="38"/>
    <w:qFormat/>
    <w:uiPriority w:val="0"/>
    <w:pPr>
      <w:spacing w:line="460" w:lineRule="exact"/>
      <w:ind w:left="0" w:firstLine="0"/>
    </w:pPr>
  </w:style>
  <w:style w:type="paragraph" w:customStyle="1" w:styleId="99">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00">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1">
    <w:name w:val="标准文件_破折号列项（二级）"/>
    <w:basedOn w:val="100"/>
    <w:qFormat/>
    <w:uiPriority w:val="0"/>
    <w:pPr>
      <w:numPr>
        <w:numId w:val="10"/>
      </w:numPr>
    </w:pPr>
  </w:style>
  <w:style w:type="character" w:customStyle="1" w:styleId="102">
    <w:name w:val="不明显参考1"/>
    <w:qFormat/>
    <w:uiPriority w:val="31"/>
    <w:rPr>
      <w:smallCaps/>
      <w:color w:val="C0504D"/>
      <w:u w:val="single"/>
    </w:rPr>
  </w:style>
  <w:style w:type="paragraph" w:customStyle="1" w:styleId="103">
    <w:name w:val="标准文件_示例后续"/>
    <w:basedOn w:val="1"/>
    <w:qFormat/>
    <w:uiPriority w:val="0"/>
    <w:pPr>
      <w:adjustRightInd/>
      <w:spacing w:line="240" w:lineRule="auto"/>
      <w:ind w:firstLine="200" w:firstLineChars="200"/>
    </w:pPr>
    <w:rPr>
      <w:sz w:val="18"/>
      <w:szCs w:val="24"/>
    </w:rPr>
  </w:style>
  <w:style w:type="paragraph" w:customStyle="1" w:styleId="104">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character" w:customStyle="1" w:styleId="105">
    <w:name w:val="脚注文本 字符"/>
    <w:link w:val="22"/>
    <w:semiHidden/>
    <w:qFormat/>
    <w:uiPriority w:val="0"/>
    <w:rPr>
      <w:rFonts w:ascii="宋体"/>
      <w:kern w:val="2"/>
      <w:sz w:val="18"/>
      <w:szCs w:val="18"/>
    </w:rPr>
  </w:style>
  <w:style w:type="paragraph" w:customStyle="1" w:styleId="106">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7">
    <w:name w:val="标准文件_图表脚注"/>
    <w:basedOn w:val="1"/>
    <w:next w:val="38"/>
    <w:qFormat/>
    <w:uiPriority w:val="0"/>
    <w:pPr>
      <w:numPr>
        <w:ilvl w:val="0"/>
        <w:numId w:val="12"/>
      </w:numPr>
      <w:spacing w:line="240" w:lineRule="auto"/>
      <w:jc w:val="left"/>
    </w:pPr>
    <w:rPr>
      <w:rFonts w:ascii="宋体" w:hAnsi="宋体"/>
      <w:sz w:val="18"/>
    </w:rPr>
  </w:style>
  <w:style w:type="character" w:customStyle="1" w:styleId="108">
    <w:name w:val="标准文件_图表脚注内容"/>
    <w:qFormat/>
    <w:uiPriority w:val="0"/>
    <w:rPr>
      <w:rFonts w:ascii="宋体" w:hAnsi="宋体" w:eastAsia="宋体" w:cs="Times New Roman"/>
      <w:spacing w:val="0"/>
      <w:sz w:val="18"/>
      <w:vertAlign w:val="superscript"/>
    </w:r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65"/>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3">
    <w:name w:val="标准文件_英文注："/>
    <w:basedOn w:val="1"/>
    <w:next w:val="3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38"/>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65"/>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38"/>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3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3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3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3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38"/>
    <w:qFormat/>
    <w:uiPriority w:val="0"/>
    <w:pPr>
      <w:outlineLvl w:val="4"/>
    </w:pPr>
  </w:style>
  <w:style w:type="paragraph" w:customStyle="1" w:styleId="133">
    <w:name w:val="附录四级无标题条"/>
    <w:basedOn w:val="132"/>
    <w:next w:val="38"/>
    <w:qFormat/>
    <w:uiPriority w:val="0"/>
    <w:pPr>
      <w:outlineLvl w:val="5"/>
    </w:pPr>
  </w:style>
  <w:style w:type="paragraph" w:customStyle="1" w:styleId="134">
    <w:name w:val="附录图"/>
    <w:next w:val="38"/>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38"/>
    <w:qFormat/>
    <w:uiPriority w:val="0"/>
    <w:pPr>
      <w:outlineLvl w:val="6"/>
    </w:pPr>
  </w:style>
  <w:style w:type="paragraph" w:customStyle="1" w:styleId="137">
    <w:name w:val="附录性质"/>
    <w:basedOn w:val="1"/>
    <w:qFormat/>
    <w:uiPriority w:val="0"/>
    <w:pPr>
      <w:widowControl/>
      <w:adjustRightInd/>
      <w:jc w:val="center"/>
    </w:pPr>
    <w:rPr>
      <w:rFonts w:ascii="黑体" w:eastAsia="黑体"/>
    </w:rPr>
  </w:style>
  <w:style w:type="paragraph" w:customStyle="1" w:styleId="138">
    <w:name w:val="附录一级无标题条"/>
    <w:basedOn w:val="95"/>
    <w:next w:val="38"/>
    <w:qFormat/>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qFormat/>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38"/>
    <w:qFormat/>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semiHidden/>
    <w:qFormat/>
    <w:uiPriority w:val="0"/>
    <w:pPr>
      <w:adjustRightInd/>
      <w:spacing w:line="240" w:lineRule="auto"/>
      <w:jc w:val="left"/>
    </w:pPr>
    <w:rPr>
      <w:bCs/>
      <w:iCs/>
    </w:rPr>
  </w:style>
  <w:style w:type="paragraph" w:customStyle="1" w:styleId="146">
    <w:name w:val="目录 31"/>
    <w:basedOn w:val="1"/>
    <w:next w:val="1"/>
    <w:semiHidden/>
    <w:qFormat/>
    <w:uiPriority w:val="0"/>
    <w:pPr>
      <w:spacing w:line="240" w:lineRule="auto"/>
    </w:pPr>
    <w:rPr>
      <w:rFonts w:ascii="宋体" w:hAnsi="宋体"/>
      <w:iCs/>
    </w:rPr>
  </w:style>
  <w:style w:type="paragraph" w:customStyle="1" w:styleId="147">
    <w:name w:val="目录 41"/>
    <w:basedOn w:val="1"/>
    <w:next w:val="1"/>
    <w:semiHidden/>
    <w:qFormat/>
    <w:uiPriority w:val="0"/>
    <w:pPr>
      <w:adjustRightInd/>
      <w:spacing w:line="240" w:lineRule="auto"/>
      <w:jc w:val="left"/>
    </w:pPr>
  </w:style>
  <w:style w:type="paragraph" w:customStyle="1" w:styleId="148">
    <w:name w:val="目录 51"/>
    <w:basedOn w:val="1"/>
    <w:next w:val="1"/>
    <w:semiHidden/>
    <w:qFormat/>
    <w:uiPriority w:val="0"/>
    <w:pPr>
      <w:spacing w:line="240" w:lineRule="auto"/>
    </w:pPr>
    <w:rPr>
      <w:rFonts w:ascii="宋体" w:hAnsi="宋体"/>
    </w:rPr>
  </w:style>
  <w:style w:type="paragraph" w:customStyle="1" w:styleId="149">
    <w:name w:val="目录 61"/>
    <w:basedOn w:val="1"/>
    <w:next w:val="1"/>
    <w:semiHidden/>
    <w:qFormat/>
    <w:uiPriority w:val="0"/>
    <w:pPr>
      <w:adjustRightInd/>
      <w:spacing w:line="240" w:lineRule="auto"/>
      <w:jc w:val="left"/>
    </w:pPr>
  </w:style>
  <w:style w:type="paragraph" w:customStyle="1" w:styleId="150">
    <w:name w:val="目录 71"/>
    <w:basedOn w:val="149"/>
    <w:semiHidden/>
    <w:qFormat/>
    <w:uiPriority w:val="0"/>
    <w:pPr>
      <w:ind w:left="1260"/>
    </w:pPr>
  </w:style>
  <w:style w:type="paragraph" w:customStyle="1" w:styleId="151">
    <w:name w:val="目录 81"/>
    <w:basedOn w:val="150"/>
    <w:semiHidden/>
    <w:qFormat/>
    <w:uiPriority w:val="0"/>
    <w:pPr>
      <w:ind w:left="1470"/>
    </w:pPr>
  </w:style>
  <w:style w:type="paragraph" w:customStyle="1" w:styleId="152">
    <w:name w:val="目录 91"/>
    <w:basedOn w:val="151"/>
    <w:semiHidden/>
    <w:qFormat/>
    <w:uiPriority w:val="0"/>
    <w:pPr>
      <w:ind w:left="1680"/>
    </w:pPr>
  </w:style>
  <w:style w:type="paragraph" w:customStyle="1" w:styleId="1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spacing w:line="0" w:lineRule="atLeast"/>
    </w:pPr>
    <w:rPr>
      <w:rFonts w:ascii="黑体" w:eastAsia="黑体"/>
      <w:b w:val="0"/>
    </w:rPr>
  </w:style>
  <w:style w:type="paragraph" w:customStyle="1" w:styleId="155">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38"/>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39"/>
    <w:qFormat/>
    <w:uiPriority w:val="0"/>
    <w:pPr>
      <w:spacing w:before="0" w:beforeLines="0" w:after="0" w:afterLines="0"/>
      <w:outlineLvl w:val="9"/>
    </w:pPr>
    <w:rPr>
      <w:rFonts w:ascii="宋体" w:eastAsia="宋体"/>
    </w:rPr>
  </w:style>
  <w:style w:type="paragraph" w:customStyle="1" w:styleId="166">
    <w:name w:val="标准文件_五级无标题"/>
    <w:basedOn w:val="43"/>
    <w:qFormat/>
    <w:uiPriority w:val="0"/>
    <w:pPr>
      <w:spacing w:before="0" w:beforeLines="0" w:after="0" w:afterLines="0"/>
      <w:outlineLvl w:val="9"/>
    </w:pPr>
    <w:rPr>
      <w:rFonts w:ascii="宋体" w:eastAsia="宋体"/>
    </w:rPr>
  </w:style>
  <w:style w:type="paragraph" w:customStyle="1" w:styleId="167">
    <w:name w:val="标准文件_三级无标题"/>
    <w:basedOn w:val="41"/>
    <w:qFormat/>
    <w:uiPriority w:val="0"/>
    <w:pPr>
      <w:spacing w:before="0" w:beforeLines="0" w:after="0" w:afterLines="0"/>
      <w:outlineLvl w:val="9"/>
    </w:pPr>
    <w:rPr>
      <w:rFonts w:ascii="宋体" w:eastAsia="宋体"/>
    </w:rPr>
  </w:style>
  <w:style w:type="paragraph" w:customStyle="1" w:styleId="168">
    <w:name w:val="标准文件_二级无标题"/>
    <w:basedOn w:val="40"/>
    <w:qFormat/>
    <w:uiPriority w:val="0"/>
    <w:pPr>
      <w:spacing w:before="0" w:beforeLines="0" w:after="0" w:afterLines="0"/>
      <w:outlineLvl w:val="9"/>
    </w:pPr>
    <w:rPr>
      <w:rFonts w:ascii="宋体" w:hAnsi="宋体" w:eastAsia="宋体"/>
    </w:rPr>
  </w:style>
  <w:style w:type="paragraph" w:customStyle="1" w:styleId="169">
    <w:name w:val="标准_四级无标题"/>
    <w:basedOn w:val="42"/>
    <w:next w:val="38"/>
    <w:qFormat/>
    <w:uiPriority w:val="0"/>
    <w:rPr>
      <w:rFonts w:eastAsia="宋体"/>
    </w:rPr>
  </w:style>
  <w:style w:type="paragraph" w:customStyle="1" w:styleId="170">
    <w:name w:val="标准文件_四级无标题"/>
    <w:basedOn w:val="42"/>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38"/>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38"/>
    <w:qFormat/>
    <w:uiPriority w:val="0"/>
    <w:pPr>
      <w:numPr>
        <w:ilvl w:val="0"/>
        <w:numId w:val="24"/>
      </w:numPr>
      <w:ind w:firstLine="0" w:firstLineChars="0"/>
    </w:pPr>
    <w:rPr>
      <w:rFonts w:cs="Arial"/>
      <w:szCs w:val="28"/>
    </w:rPr>
  </w:style>
  <w:style w:type="paragraph" w:customStyle="1" w:styleId="173">
    <w:name w:val="标准文件_附录标题"/>
    <w:basedOn w:val="84"/>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38"/>
    <w:qFormat/>
    <w:uiPriority w:val="0"/>
    <w:pPr>
      <w:numPr>
        <w:ilvl w:val="0"/>
        <w:numId w:val="25"/>
      </w:numPr>
      <w:adjustRightInd/>
      <w:spacing w:line="240" w:lineRule="auto"/>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38"/>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3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38"/>
    <w:qFormat/>
    <w:uiPriority w:val="0"/>
    <w:pPr>
      <w:ind w:firstLine="0" w:firstLineChars="0"/>
      <w:jc w:val="center"/>
    </w:pPr>
    <w:rPr>
      <w:sz w:val="18"/>
    </w:rPr>
  </w:style>
  <w:style w:type="paragraph" w:customStyle="1" w:styleId="182">
    <w:name w:val="标准文件_注："/>
    <w:next w:val="3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38"/>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38"/>
    <w:qFormat/>
    <w:uiPriority w:val="0"/>
    <w:rPr>
      <w:rFonts w:ascii="宋体" w:hAnsi="Times New Roman"/>
      <w:sz w:val="21"/>
    </w:rPr>
  </w:style>
  <w:style w:type="paragraph" w:customStyle="1" w:styleId="188">
    <w:name w:val="标准文件_表格续"/>
    <w:basedOn w:val="38"/>
    <w:next w:val="38"/>
    <w:qFormat/>
    <w:uiPriority w:val="0"/>
    <w:pPr>
      <w:jc w:val="center"/>
    </w:pPr>
    <w:rPr>
      <w:rFonts w:ascii="黑体" w:hAnsi="黑体" w:eastAsia="黑体"/>
    </w:rPr>
  </w:style>
  <w:style w:type="character" w:customStyle="1" w:styleId="189">
    <w:name w:val="Placeholder Text"/>
    <w:basedOn w:val="27"/>
    <w:semiHidden/>
    <w:qFormat/>
    <w:uiPriority w:val="99"/>
    <w:rPr>
      <w:color w:val="808080"/>
    </w:rPr>
  </w:style>
  <w:style w:type="paragraph" w:customStyle="1" w:styleId="190">
    <w:name w:val="标准文件_二级项2"/>
    <w:basedOn w:val="38"/>
    <w:qFormat/>
    <w:uiPriority w:val="0"/>
    <w:pPr>
      <w:numPr>
        <w:ilvl w:val="1"/>
        <w:numId w:val="21"/>
      </w:numPr>
      <w:ind w:firstLine="0" w:firstLineChars="0"/>
    </w:pPr>
  </w:style>
  <w:style w:type="paragraph" w:customStyle="1" w:styleId="191">
    <w:name w:val="标准文件_三级项2"/>
    <w:basedOn w:val="38"/>
    <w:qFormat/>
    <w:uiPriority w:val="0"/>
    <w:pPr>
      <w:numPr>
        <w:ilvl w:val="0"/>
        <w:numId w:val="30"/>
      </w:numPr>
      <w:spacing w:line="300" w:lineRule="exact"/>
      <w:ind w:firstLineChars="0"/>
    </w:pPr>
    <w:rPr>
      <w:rFonts w:ascii="Times New Roman"/>
    </w:rPr>
  </w:style>
  <w:style w:type="paragraph" w:customStyle="1" w:styleId="192">
    <w:name w:val="标准文件_一级项2"/>
    <w:basedOn w:val="38"/>
    <w:qFormat/>
    <w:uiPriority w:val="0"/>
    <w:pPr>
      <w:numPr>
        <w:ilvl w:val="0"/>
        <w:numId w:val="31"/>
      </w:numPr>
      <w:spacing w:line="300" w:lineRule="exact"/>
      <w:ind w:firstLineChars="0"/>
    </w:pPr>
    <w:rPr>
      <w:rFonts w:ascii="Times New Roman"/>
    </w:rPr>
  </w:style>
  <w:style w:type="paragraph" w:customStyle="1" w:styleId="193">
    <w:name w:val="标准文件_提示"/>
    <w:basedOn w:val="38"/>
    <w:next w:val="38"/>
    <w:qFormat/>
    <w:uiPriority w:val="0"/>
    <w:pPr>
      <w:ind w:firstLine="420"/>
    </w:pPr>
    <w:rPr>
      <w:rFonts w:ascii="黑体" w:eastAsia="黑体"/>
    </w:rPr>
  </w:style>
  <w:style w:type="character" w:customStyle="1" w:styleId="194">
    <w:name w:val="标准文件_来源"/>
    <w:basedOn w:val="27"/>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vAnchor="page" w:hAnchor="page" w:x="1419" w:y="14097"/>
    </w:pPr>
  </w:style>
  <w:style w:type="paragraph" w:customStyle="1" w:styleId="197">
    <w:name w:val="其他实施日期"/>
    <w:basedOn w:val="157"/>
    <w:qFormat/>
    <w:uiPriority w:val="0"/>
    <w:pPr>
      <w:framePr w:w="3997" w:h="471" w:hRule="exact" w:vSpace="181" w:vAnchor="page" w:hAnchor="page" w:x="7089" w:y="14097"/>
    </w:pPr>
  </w:style>
  <w:style w:type="paragraph" w:customStyle="1" w:styleId="198">
    <w:name w:val="标准文件_文件编号"/>
    <w:basedOn w:val="38"/>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spacing w:before="57"/>
    </w:pPr>
    <w:rPr>
      <w:sz w:val="21"/>
    </w:rPr>
  </w:style>
  <w:style w:type="paragraph" w:customStyle="1" w:styleId="200">
    <w:name w:val="标准文件_文件名称"/>
    <w:basedOn w:val="38"/>
    <w:next w:val="38"/>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38"/>
    <w:next w:val="3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38"/>
    <w:next w:val="38"/>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38"/>
    <w:next w:val="38"/>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38"/>
    <w:next w:val="38"/>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38"/>
    <w:next w:val="38"/>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38"/>
    <w:next w:val="38"/>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38"/>
    <w:next w:val="38"/>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38"/>
    <w:qFormat/>
    <w:uiPriority w:val="0"/>
    <w:pPr>
      <w:ind w:left="811" w:firstLine="0" w:firstLineChars="0"/>
    </w:pPr>
    <w:rPr>
      <w:sz w:val="18"/>
    </w:rPr>
  </w:style>
  <w:style w:type="paragraph" w:customStyle="1" w:styleId="209">
    <w:name w:val="标准文件_注X后"/>
    <w:basedOn w:val="38"/>
    <w:qFormat/>
    <w:uiPriority w:val="0"/>
    <w:pPr>
      <w:ind w:left="811" w:firstLine="0" w:firstLineChars="0"/>
    </w:pPr>
    <w:rPr>
      <w:sz w:val="18"/>
    </w:rPr>
  </w:style>
  <w:style w:type="paragraph" w:customStyle="1" w:styleId="210">
    <w:name w:val="标准文件_示例后"/>
    <w:basedOn w:val="38"/>
    <w:qFormat/>
    <w:uiPriority w:val="0"/>
    <w:pPr>
      <w:ind w:left="964" w:firstLine="0" w:firstLineChars="0"/>
    </w:pPr>
    <w:rPr>
      <w:sz w:val="18"/>
    </w:rPr>
  </w:style>
  <w:style w:type="paragraph" w:customStyle="1" w:styleId="211">
    <w:name w:val="标准文件_示例X后"/>
    <w:basedOn w:val="38"/>
    <w:link w:val="212"/>
    <w:qFormat/>
    <w:uiPriority w:val="0"/>
    <w:pPr>
      <w:ind w:left="1049" w:firstLine="0" w:firstLineChars="0"/>
    </w:pPr>
    <w:rPr>
      <w:sz w:val="18"/>
    </w:rPr>
  </w:style>
  <w:style w:type="character" w:customStyle="1" w:styleId="212">
    <w:name w:val="标准文件_示例X后 字符"/>
    <w:basedOn w:val="187"/>
    <w:link w:val="211"/>
    <w:qFormat/>
    <w:uiPriority w:val="0"/>
    <w:rPr>
      <w:rFonts w:ascii="宋体" w:hAnsi="Times New Roman"/>
      <w:sz w:val="18"/>
    </w:rPr>
  </w:style>
  <w:style w:type="paragraph" w:customStyle="1" w:styleId="213">
    <w:name w:val="标准文件_索引项"/>
    <w:basedOn w:val="38"/>
    <w:next w:val="38"/>
    <w:qFormat/>
    <w:uiPriority w:val="0"/>
    <w:pPr>
      <w:tabs>
        <w:tab w:val="right" w:leader="dot" w:pos="9356"/>
      </w:tabs>
      <w:ind w:left="210" w:hanging="210" w:firstLineChars="0"/>
      <w:jc w:val="left"/>
    </w:pPr>
  </w:style>
  <w:style w:type="paragraph" w:customStyle="1" w:styleId="214">
    <w:name w:val="标准文件_附录一级无标题"/>
    <w:basedOn w:val="86"/>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7"/>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9"/>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90"/>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92"/>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38"/>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38"/>
    <w:qFormat/>
    <w:uiPriority w:val="0"/>
    <w:pPr>
      <w:spacing w:before="0" w:beforeLines="0" w:after="0" w:afterLines="0" w:line="276" w:lineRule="auto"/>
    </w:pPr>
    <w:rPr>
      <w:rFonts w:ascii="宋体" w:eastAsia="宋体"/>
    </w:rPr>
  </w:style>
  <w:style w:type="paragraph" w:customStyle="1" w:styleId="221">
    <w:name w:val="标准文件_引言三级无标题"/>
    <w:basedOn w:val="205"/>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38"/>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38"/>
    <w:qFormat/>
    <w:uiPriority w:val="0"/>
    <w:pPr>
      <w:spacing w:before="0" w:beforeLines="0" w:after="0" w:afterLines="0" w:line="276" w:lineRule="auto"/>
    </w:pPr>
    <w:rPr>
      <w:rFonts w:ascii="宋体" w:eastAsia="宋体"/>
    </w:rPr>
  </w:style>
  <w:style w:type="paragraph" w:customStyle="1" w:styleId="224">
    <w:name w:val="标准文件_索引标题"/>
    <w:basedOn w:val="72"/>
    <w:next w:val="38"/>
    <w:qFormat/>
    <w:uiPriority w:val="0"/>
    <w:rPr>
      <w:rFonts w:hAnsi="黑体"/>
    </w:rPr>
  </w:style>
  <w:style w:type="paragraph" w:customStyle="1" w:styleId="225">
    <w:name w:val="标准文件_脚注内容"/>
    <w:basedOn w:val="38"/>
    <w:qFormat/>
    <w:uiPriority w:val="0"/>
    <w:pPr>
      <w:ind w:left="400" w:leftChars="200" w:hanging="200" w:hangingChars="200"/>
    </w:pPr>
    <w:rPr>
      <w:sz w:val="15"/>
    </w:rPr>
  </w:style>
  <w:style w:type="paragraph" w:customStyle="1" w:styleId="226">
    <w:name w:val="标准文件_术语条一"/>
    <w:basedOn w:val="165"/>
    <w:next w:val="38"/>
    <w:qFormat/>
    <w:uiPriority w:val="0"/>
  </w:style>
  <w:style w:type="paragraph" w:customStyle="1" w:styleId="227">
    <w:name w:val="标准文件_术语条二"/>
    <w:basedOn w:val="168"/>
    <w:next w:val="38"/>
    <w:qFormat/>
    <w:uiPriority w:val="0"/>
  </w:style>
  <w:style w:type="paragraph" w:customStyle="1" w:styleId="228">
    <w:name w:val="标准文件_术语条三"/>
    <w:basedOn w:val="167"/>
    <w:next w:val="38"/>
    <w:qFormat/>
    <w:uiPriority w:val="0"/>
  </w:style>
  <w:style w:type="paragraph" w:customStyle="1" w:styleId="229">
    <w:name w:val="标准文件_术语条四"/>
    <w:basedOn w:val="170"/>
    <w:next w:val="38"/>
    <w:qFormat/>
    <w:uiPriority w:val="0"/>
  </w:style>
  <w:style w:type="paragraph" w:customStyle="1" w:styleId="230">
    <w:name w:val="标准文件_术语条五"/>
    <w:basedOn w:val="166"/>
    <w:next w:val="38"/>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27"/>
    <w:qFormat/>
    <w:uiPriority w:val="0"/>
    <w:rPr>
      <w:rFonts w:ascii="黑体" w:eastAsia="黑体"/>
      <w:spacing w:val="85"/>
      <w:w w:val="100"/>
      <w:position w:val="3"/>
      <w:sz w:val="28"/>
      <w:szCs w:val="28"/>
    </w:rPr>
  </w:style>
  <w:style w:type="paragraph" w:customStyle="1" w:styleId="233">
    <w:name w:val="段"/>
    <w:basedOn w:val="1"/>
    <w:qFormat/>
    <w:uiPriority w:val="0"/>
    <w:pPr>
      <w:widowControl/>
      <w:autoSpaceDE w:val="0"/>
      <w:autoSpaceDN w:val="0"/>
      <w:adjustRightInd/>
      <w:spacing w:line="240" w:lineRule="auto"/>
      <w:ind w:firstLine="200" w:firstLineChars="200"/>
    </w:pPr>
    <w:rPr>
      <w:rFonts w:ascii="宋体" w:hAnsi="宋体" w:cs="宋体"/>
      <w:kern w:val="0"/>
    </w:rPr>
  </w:style>
  <w:style w:type="paragraph" w:customStyle="1" w:styleId="234">
    <w:name w:val="HTML 预设格式1"/>
    <w:basedOn w:val="1"/>
    <w:qFormat/>
    <w:uiPriority w:val="0"/>
    <w:pPr>
      <w:widowControl/>
      <w:adjustRightInd/>
      <w:spacing w:line="240" w:lineRule="auto"/>
      <w:jc w:val="left"/>
    </w:pPr>
    <w:rPr>
      <w:rFonts w:ascii="Arial Unicode MS" w:hAnsi="Arial Unicode MS" w:eastAsia="Arial Unicode MS" w:cs="Arial Unicode MS"/>
      <w:kern w:val="0"/>
      <w:sz w:val="20"/>
      <w:szCs w:val="20"/>
    </w:rPr>
  </w:style>
  <w:style w:type="paragraph" w:customStyle="1" w:styleId="235">
    <w:name w:val="HTML 预设格式11"/>
    <w:basedOn w:val="1"/>
    <w:qFormat/>
    <w:uiPriority w:val="0"/>
    <w:pPr>
      <w:widowControl/>
      <w:adjustRightInd/>
      <w:spacing w:line="240" w:lineRule="auto"/>
      <w:jc w:val="left"/>
    </w:pPr>
    <w:rPr>
      <w:rFonts w:ascii="Arial Unicode MS" w:hAnsi="Arial Unicode MS" w:eastAsia="Arial Unicode MS" w:cs="Arial Unicode MS"/>
      <w:kern w:val="0"/>
      <w:sz w:val="20"/>
      <w:szCs w:val="20"/>
    </w:rPr>
  </w:style>
  <w:style w:type="paragraph" w:customStyle="1" w:styleId="236">
    <w:name w:val="字母编号列项（一级）"/>
    <w:basedOn w:val="1"/>
    <w:qFormat/>
    <w:uiPriority w:val="0"/>
    <w:pPr>
      <w:widowControl/>
      <w:adjustRightInd/>
      <w:spacing w:before="100" w:beforeAutospacing="1" w:after="100" w:afterAutospacing="1" w:line="240" w:lineRule="auto"/>
      <w:ind w:left="839" w:hanging="419"/>
    </w:pPr>
    <w:rPr>
      <w:rFonts w:ascii="宋体" w:hAnsi="宋体" w:cs="宋体"/>
      <w:kern w:val="0"/>
    </w:rPr>
  </w:style>
  <w:style w:type="paragraph" w:customStyle="1" w:styleId="237">
    <w:name w:val="注×："/>
    <w:qFormat/>
    <w:uiPriority w:val="0"/>
    <w:pPr>
      <w:widowControl w:val="0"/>
      <w:tabs>
        <w:tab w:val="left" w:pos="630"/>
      </w:tabs>
      <w:autoSpaceDE w:val="0"/>
      <w:autoSpaceDN w:val="0"/>
      <w:ind w:left="900" w:hanging="500"/>
      <w:jc w:val="both"/>
    </w:pPr>
    <w:rPr>
      <w:rFonts w:hint="eastAsia" w:ascii="宋体" w:hAnsi="Times New Roman" w:eastAsia="宋体" w:cs="Times New Roman"/>
      <w:sz w:val="18"/>
      <w:lang w:val="en-US" w:eastAsia="zh-CN" w:bidi="ar-SA"/>
    </w:rPr>
  </w:style>
  <w:style w:type="paragraph" w:customStyle="1" w:styleId="238">
    <w:name w:val="注："/>
    <w:next w:val="233"/>
    <w:qFormat/>
    <w:uiPriority w:val="0"/>
    <w:pPr>
      <w:widowControl w:val="0"/>
      <w:autoSpaceDE w:val="0"/>
      <w:autoSpaceDN w:val="0"/>
      <w:ind w:left="840" w:hanging="420"/>
      <w:jc w:val="both"/>
    </w:pPr>
    <w:rPr>
      <w:rFonts w:hint="eastAsia" w:ascii="宋体" w:hAnsi="Times New Roman" w:eastAsia="宋体" w:cs="Times New Roman"/>
      <w:sz w:val="18"/>
      <w:lang w:val="en-US" w:eastAsia="zh-CN" w:bidi="ar-SA"/>
    </w:rPr>
  </w:style>
  <w:style w:type="character" w:customStyle="1" w:styleId="239">
    <w:name w:val="15"/>
    <w:basedOn w:val="27"/>
    <w:qFormat/>
    <w:uiPriority w:val="0"/>
    <w:rPr>
      <w:rFonts w:hint="default" w:ascii="Times New Roman" w:hAnsi="Times New Roman" w:cs="Times New Roman"/>
      <w:color w:val="000000"/>
      <w:sz w:val="21"/>
      <w:szCs w:val="21"/>
    </w:rPr>
  </w:style>
  <w:style w:type="character" w:customStyle="1" w:styleId="240">
    <w:name w:val="16"/>
    <w:basedOn w:val="27"/>
    <w:qFormat/>
    <w:uiPriority w:val="0"/>
    <w:rPr>
      <w:rFonts w:hint="eastAsia" w:ascii="宋体" w:hAnsi="宋体" w:eastAsia="宋体"/>
      <w:color w:val="000000"/>
      <w:sz w:val="21"/>
      <w:szCs w:val="21"/>
    </w:rPr>
  </w:style>
  <w:style w:type="paragraph" w:customStyle="1" w:styleId="241">
    <w:name w:val="HTML 预设格式2"/>
    <w:basedOn w:val="1"/>
    <w:qFormat/>
    <w:uiPriority w:val="0"/>
    <w:pPr>
      <w:widowControl/>
      <w:adjustRightInd/>
      <w:spacing w:line="240" w:lineRule="auto"/>
      <w:jc w:val="left"/>
    </w:pPr>
    <w:rPr>
      <w:rFonts w:ascii="Arial Unicode MS" w:hAnsi="Arial Unicode MS" w:eastAsia="Arial Unicode MS"/>
      <w:kern w:val="0"/>
      <w:sz w:val="20"/>
      <w:szCs w:val="20"/>
    </w:rPr>
  </w:style>
  <w:style w:type="table" w:customStyle="1" w:styleId="242">
    <w:name w:val="Table Normal"/>
    <w:unhideWhenUsed/>
    <w:qFormat/>
    <w:uiPriority w:val="0"/>
    <w:tblPr>
      <w:tblLayout w:type="fixed"/>
      <w:tblCellMar>
        <w:top w:w="0" w:type="dxa"/>
        <w:left w:w="0" w:type="dxa"/>
        <w:bottom w:w="0" w:type="dxa"/>
        <w:right w:w="0" w:type="dxa"/>
      </w:tblCellMar>
    </w:tblPr>
  </w:style>
  <w:style w:type="paragraph" w:customStyle="1" w:styleId="243">
    <w:name w:val="Table Text"/>
    <w:basedOn w:val="1"/>
    <w:semiHidden/>
    <w:qFormat/>
    <w:uiPriority w:val="0"/>
    <w:rPr>
      <w:rFonts w:ascii="Times New Roman" w:hAnsi="Times New Roman" w:eastAsia="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3" Type="http://schemas.openxmlformats.org/officeDocument/2006/relationships/glossaryDocument" Target="glossary/document.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2697A496E2F4B81B9D69A79E28A2513"/>
        <w:style w:val=""/>
        <w:category>
          <w:name w:val="常规"/>
          <w:gallery w:val="placeholder"/>
        </w:category>
        <w:types>
          <w:type w:val="bbPlcHdr"/>
        </w:types>
        <w:behaviors>
          <w:behavior w:val="content"/>
        </w:behaviors>
        <w:description w:val=""/>
        <w:guid w:val="{57FC51CC-E24B-44FE-9DBC-4EC8F8DDF31B}"/>
      </w:docPartPr>
      <w:docPartBody>
        <w:p>
          <w:pPr>
            <w:pStyle w:val="5"/>
            <w:rPr>
              <w:rFonts w:hint="eastAsia"/>
            </w:rPr>
          </w:pPr>
          <w:r>
            <w:rPr>
              <w:rStyle w:val="4"/>
              <w:rFonts w:hint="eastAsia"/>
            </w:rPr>
            <w:t>单击或点击此处输入文字。</w:t>
          </w:r>
        </w:p>
      </w:docPartBody>
    </w:docPart>
    <w:docPart>
      <w:docPartPr>
        <w:name w:val="5372444DB18140F6B4537AEA03495591"/>
        <w:style w:val=""/>
        <w:category>
          <w:name w:val="常规"/>
          <w:gallery w:val="placeholder"/>
        </w:category>
        <w:types>
          <w:type w:val="bbPlcHdr"/>
        </w:types>
        <w:behaviors>
          <w:behavior w:val="content"/>
        </w:behaviors>
        <w:description w:val=""/>
        <w:guid w:val="{9A2E317B-2A93-4E77-B6D8-2EED5EE7974D}"/>
      </w:docPartPr>
      <w:docPartBody>
        <w:p>
          <w:pPr>
            <w:pStyle w:val="6"/>
            <w:rPr>
              <w:rFonts w:hint="eastAsia"/>
            </w:rPr>
          </w:pPr>
          <w:r>
            <w:rPr>
              <w:rStyle w:val="4"/>
              <w:rFonts w:hint="eastAsia"/>
            </w:rPr>
            <w:t>选择一项。</w:t>
          </w:r>
        </w:p>
      </w:docPartBody>
    </w:docPart>
    <w:docPart>
      <w:docPartPr>
        <w:name w:val="{bf9d036a-820d-4a7a-b1e2-d2e92558d680}"/>
        <w:style w:val=""/>
        <w:category>
          <w:name w:val="常规"/>
          <w:gallery w:val="placeholder"/>
        </w:category>
        <w:types>
          <w:type w:val="bbPlcHdr"/>
        </w:types>
        <w:behaviors>
          <w:behavior w:val="content"/>
        </w:behaviors>
        <w:description w:val=""/>
        <w:guid w:val="{BF9D036A-820D-4A7A-B1E2-D2E92558D680}"/>
      </w:docPartPr>
      <w:docPartBody>
        <w:p>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55"/>
    <w:rsid w:val="00000408"/>
    <w:rsid w:val="0005278C"/>
    <w:rsid w:val="00085B31"/>
    <w:rsid w:val="00094D85"/>
    <w:rsid w:val="000C36D9"/>
    <w:rsid w:val="000D2E60"/>
    <w:rsid w:val="00105DC9"/>
    <w:rsid w:val="00114C65"/>
    <w:rsid w:val="00141D5E"/>
    <w:rsid w:val="001841DD"/>
    <w:rsid w:val="001B2A2E"/>
    <w:rsid w:val="001E0AE6"/>
    <w:rsid w:val="001E7DAB"/>
    <w:rsid w:val="001F5D31"/>
    <w:rsid w:val="002211AC"/>
    <w:rsid w:val="002279DA"/>
    <w:rsid w:val="002501FB"/>
    <w:rsid w:val="00292E5C"/>
    <w:rsid w:val="002A1755"/>
    <w:rsid w:val="002F0583"/>
    <w:rsid w:val="002F5916"/>
    <w:rsid w:val="00314471"/>
    <w:rsid w:val="003433D0"/>
    <w:rsid w:val="003935A9"/>
    <w:rsid w:val="003A0505"/>
    <w:rsid w:val="003B0A05"/>
    <w:rsid w:val="003D3759"/>
    <w:rsid w:val="003E6655"/>
    <w:rsid w:val="00405597"/>
    <w:rsid w:val="00426A53"/>
    <w:rsid w:val="00470A60"/>
    <w:rsid w:val="00497235"/>
    <w:rsid w:val="004D4553"/>
    <w:rsid w:val="004D707B"/>
    <w:rsid w:val="004F69F8"/>
    <w:rsid w:val="00513872"/>
    <w:rsid w:val="0052361C"/>
    <w:rsid w:val="0054272B"/>
    <w:rsid w:val="00566153"/>
    <w:rsid w:val="00570466"/>
    <w:rsid w:val="00636A20"/>
    <w:rsid w:val="006749C3"/>
    <w:rsid w:val="006910F2"/>
    <w:rsid w:val="006A373F"/>
    <w:rsid w:val="006E1EF8"/>
    <w:rsid w:val="00703EC1"/>
    <w:rsid w:val="0074464E"/>
    <w:rsid w:val="0078205E"/>
    <w:rsid w:val="007C04EA"/>
    <w:rsid w:val="007C278B"/>
    <w:rsid w:val="007C7787"/>
    <w:rsid w:val="007F5799"/>
    <w:rsid w:val="008057F9"/>
    <w:rsid w:val="008138CE"/>
    <w:rsid w:val="008211A8"/>
    <w:rsid w:val="00822F12"/>
    <w:rsid w:val="0082750A"/>
    <w:rsid w:val="00856338"/>
    <w:rsid w:val="00882D35"/>
    <w:rsid w:val="008A4E34"/>
    <w:rsid w:val="00906867"/>
    <w:rsid w:val="009170C9"/>
    <w:rsid w:val="009F6EF2"/>
    <w:rsid w:val="00A04971"/>
    <w:rsid w:val="00A36342"/>
    <w:rsid w:val="00A56433"/>
    <w:rsid w:val="00A62B93"/>
    <w:rsid w:val="00AB1DC4"/>
    <w:rsid w:val="00AE1B15"/>
    <w:rsid w:val="00B4152F"/>
    <w:rsid w:val="00B47099"/>
    <w:rsid w:val="00BB1FEB"/>
    <w:rsid w:val="00BF7E87"/>
    <w:rsid w:val="00C72D26"/>
    <w:rsid w:val="00C77F1D"/>
    <w:rsid w:val="00C82428"/>
    <w:rsid w:val="00CA4918"/>
    <w:rsid w:val="00CA77D9"/>
    <w:rsid w:val="00D25336"/>
    <w:rsid w:val="00D352DB"/>
    <w:rsid w:val="00D650EC"/>
    <w:rsid w:val="00D83C9E"/>
    <w:rsid w:val="00DF4B39"/>
    <w:rsid w:val="00E046F3"/>
    <w:rsid w:val="00E3473D"/>
    <w:rsid w:val="00E37F6B"/>
    <w:rsid w:val="00E43193"/>
    <w:rsid w:val="00E50CCE"/>
    <w:rsid w:val="00E97421"/>
    <w:rsid w:val="00EB2421"/>
    <w:rsid w:val="00EC138B"/>
    <w:rsid w:val="00EC63C3"/>
    <w:rsid w:val="00ED26EF"/>
    <w:rsid w:val="00ED36C4"/>
    <w:rsid w:val="00ED7D6E"/>
    <w:rsid w:val="00EF0CD4"/>
    <w:rsid w:val="00EF5B5F"/>
    <w:rsid w:val="00F14A87"/>
    <w:rsid w:val="00F475DF"/>
    <w:rsid w:val="00F66F38"/>
    <w:rsid w:val="00FA6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semiHidden="0" w:name="Default Paragraph Font"/>
    <w:lsdException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character" w:customStyle="1" w:styleId="4">
    <w:name w:val="Placeholder Text"/>
    <w:basedOn w:val="2"/>
    <w:semiHidden/>
    <w:qFormat/>
    <w:uiPriority w:val="99"/>
    <w:rPr>
      <w:color w:val="808080"/>
    </w:rPr>
  </w:style>
  <w:style w:type="paragraph" w:customStyle="1" w:styleId="5">
    <w:name w:val="A2697A496E2F4B81B9D69A79E28A25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372444DB18140F6B4537AEA034955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2C7B9C240BF4D2DB7ECFCBCE7D33A07"/>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196A1F-412C-423E-B185-4B9DF3B56178}">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20</Pages>
  <Words>6210</Words>
  <Characters>6879</Characters>
  <Lines>293</Lines>
  <Paragraphs>323</Paragraphs>
  <TotalTime>0</TotalTime>
  <ScaleCrop>false</ScaleCrop>
  <LinksUpToDate>false</LinksUpToDate>
  <CharactersWithSpaces>7204</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2022-04-28T18:55:00Z</dcterms:created>
  <dc:creator>牛帆</dc:creator>
  <dc:description>&lt;config cover="true" show_menu="true" version="1.0.0" doctype="SDKXY"&gt;_x000d_
&lt;/config&gt;</dc:description>
  <cp:lastModifiedBy>admin</cp:lastModifiedBy>
  <cp:lastPrinted>2026-05-19T01:48:00Z</cp:lastPrinted>
  <dcterms:modified xsi:type="dcterms:W3CDTF">2026-06-11T00:20:11Z</dcterms:modified>
  <dc:title>地方标准</dc:title>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commondata">
    <vt:lpwstr>eyJoZGlkIjoiMzBhOWQ0YzY5YjhiMjRlMWRlYTg2ZDcxMTkxNzgwYWEifQ==</vt:lpwstr>
  </property>
  <property fmtid="{D5CDD505-2E9C-101B-9397-08002B2CF9AE}" pid="15" name="KSOProductBuildVer">
    <vt:lpwstr>2052-10.8.0.6423</vt:lpwstr>
  </property>
  <property fmtid="{D5CDD505-2E9C-101B-9397-08002B2CF9AE}" pid="16" name="ICV">
    <vt:lpwstr>9490F4317A41442BA98D3E8F292E0E8F_13</vt:lpwstr>
  </property>
  <property fmtid="{D5CDD505-2E9C-101B-9397-08002B2CF9AE}" pid="17" name="KSOTemplateDocerSaveRecord">
    <vt:lpwstr>eyJoZGlkIjoiY2NiMzZjMmIwZDI1MjI2ZWNlMzY4NDI5N2Q5YzViYTQiLCJ1c2VySWQiOiIxNjU3NzgzMTg4In0=</vt:lpwstr>
  </property>
</Properties>
</file>