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7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D40BD9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7B6B7A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6681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39EBB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E13BE8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A2D95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51BE504">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71D41C22">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1484214">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C1BF1AC">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7134FC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E8DF69">
      <w:pPr>
        <w:pStyle w:val="50"/>
        <w:framePr w:w="9639" w:h="6976" w:hRule="exact" w:hSpace="0" w:vSpace="0" w:wrap="around" w:hAnchor="page" w:y="6408"/>
        <w:jc w:val="center"/>
        <w:rPr>
          <w:rFonts w:hint="eastAsia" w:ascii="黑体" w:hAnsi="黑体" w:eastAsia="黑体"/>
          <w:b w:val="0"/>
          <w:bCs w:val="0"/>
          <w:w w:val="100"/>
        </w:rPr>
      </w:pPr>
    </w:p>
    <w:p w14:paraId="72CF8F9D">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榆黄蘑干制及贮藏技术规程</w:t>
      </w:r>
      <w:r>
        <w:fldChar w:fldCharType="end"/>
      </w:r>
      <w:bookmarkEnd w:id="9"/>
    </w:p>
    <w:p w14:paraId="1FC57D63">
      <w:pPr>
        <w:framePr w:w="9639" w:h="6974" w:hRule="exact" w:wrap="around" w:vAnchor="page" w:hAnchor="page" w:x="1419" w:y="6408" w:anchorLock="1"/>
        <w:ind w:left="-1418"/>
      </w:pPr>
    </w:p>
    <w:p w14:paraId="05292B67">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Code of practice for drying and storage of </w:t>
      </w:r>
    </w:p>
    <w:p w14:paraId="76680279">
      <w:pPr>
        <w:pStyle w:val="125"/>
        <w:framePr w:w="9639" w:h="6974" w:hRule="exact" w:wrap="around" w:vAnchor="page" w:hAnchor="page" w:x="1419" w:y="6408" w:anchorLock="1"/>
        <w:textAlignment w:val="bottom"/>
        <w:rPr>
          <w:rFonts w:eastAsia="黑体"/>
          <w:szCs w:val="28"/>
        </w:rPr>
      </w:pPr>
      <w:r>
        <w:rPr>
          <w:rFonts w:hint="eastAsia" w:eastAsia="黑体"/>
          <w:szCs w:val="28"/>
        </w:rPr>
        <w:t>Pleurotus citrinopileatus Sing</w:t>
      </w:r>
      <w:r>
        <w:rPr>
          <w:rFonts w:eastAsia="黑体"/>
          <w:szCs w:val="28"/>
        </w:rPr>
        <w:fldChar w:fldCharType="end"/>
      </w:r>
      <w:bookmarkEnd w:id="10"/>
    </w:p>
    <w:p w14:paraId="0F33CF0D">
      <w:pPr>
        <w:framePr w:w="9639" w:h="6974" w:hRule="exact" w:wrap="around" w:vAnchor="page" w:hAnchor="page" w:x="1419" w:y="6408" w:anchorLock="1"/>
        <w:spacing w:line="760" w:lineRule="exact"/>
        <w:ind w:left="-1418"/>
      </w:pPr>
    </w:p>
    <w:p w14:paraId="519AD933">
      <w:pPr>
        <w:pStyle w:val="125"/>
        <w:framePr w:w="9639" w:h="6974" w:hRule="exact" w:wrap="around" w:vAnchor="page" w:hAnchor="page" w:x="1419" w:y="6408" w:anchorLock="1"/>
        <w:textAlignment w:val="bottom"/>
        <w:rPr>
          <w:rFonts w:eastAsia="黑体"/>
          <w:szCs w:val="28"/>
        </w:rPr>
      </w:pPr>
    </w:p>
    <w:p w14:paraId="3C8B4B3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6D0BCE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0EC519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503265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4E27D38">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EAAE39">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92ABB9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AF180C">
      <w:pPr>
        <w:pStyle w:val="91"/>
        <w:spacing w:after="468"/>
      </w:pPr>
      <w:bookmarkStart w:id="21" w:name="BookMark1"/>
      <w:r>
        <w:rPr>
          <w:rFonts w:hint="eastAsia"/>
          <w:spacing w:val="320"/>
        </w:rPr>
        <w:t>目</w:t>
      </w:r>
      <w:r>
        <w:rPr>
          <w:rFonts w:hint="eastAsia"/>
        </w:rPr>
        <w:t>次</w:t>
      </w:r>
    </w:p>
    <w:p w14:paraId="147959DA">
      <w:pPr>
        <w:pStyle w:val="19"/>
        <w:tabs>
          <w:tab w:val="right" w:leader="dot" w:pos="9344"/>
        </w:tabs>
        <w:rPr>
          <w:rFonts w:ascii="等线" w:hAnsi="等线" w:eastAsia="等线"/>
          <w:sz w:val="22"/>
          <w:szCs w:val="24"/>
        </w:rPr>
      </w:pPr>
      <w:r>
        <w:fldChar w:fldCharType="begin"/>
      </w:r>
      <w:r>
        <w:instrText xml:space="preserve"> TOC \o "1-1" \h \t "标准文件_一级条标题,2,标准文件_附录一级条标题,2," </w:instrText>
      </w:r>
      <w:r>
        <w:fldChar w:fldCharType="separate"/>
      </w:r>
      <w:bookmarkStart w:id="22" w:name="OLE_LINK7"/>
      <w:bookmarkStart w:id="23" w:name="OLE_LINK6"/>
      <w:r>
        <w:rPr>
          <w:rFonts w:hint="eastAsia"/>
        </w:rPr>
        <w:fldChar w:fldCharType="begin"/>
      </w:r>
      <w:r>
        <w:instrText xml:space="preserve"> HYPERLINK \l "_Toc204939130" </w:instrText>
      </w:r>
      <w:r>
        <w:rPr>
          <w:rFonts w:hint="eastAsia"/>
        </w:rP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_Toc204939130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B36328D">
      <w:pPr>
        <w:pStyle w:val="19"/>
        <w:tabs>
          <w:tab w:val="right" w:leader="dot" w:pos="9344"/>
        </w:tabs>
        <w:rPr>
          <w:rFonts w:ascii="等线" w:hAnsi="等线" w:eastAsia="等线"/>
          <w:sz w:val="22"/>
          <w:szCs w:val="24"/>
        </w:rPr>
      </w:pPr>
      <w:r>
        <w:fldChar w:fldCharType="begin"/>
      </w:r>
      <w:r>
        <w:instrText xml:space="preserve"> HYPERLINK \l "_Toc204939131"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_Toc204939131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9DCB5D">
      <w:pPr>
        <w:pStyle w:val="19"/>
        <w:tabs>
          <w:tab w:val="right" w:leader="dot" w:pos="9344"/>
        </w:tabs>
        <w:rPr>
          <w:rFonts w:ascii="等线" w:hAnsi="等线" w:eastAsia="等线"/>
          <w:sz w:val="22"/>
          <w:szCs w:val="24"/>
        </w:rPr>
      </w:pPr>
      <w:r>
        <w:fldChar w:fldCharType="begin"/>
      </w:r>
      <w:r>
        <w:instrText xml:space="preserve"> HYPERLINK \l "_Toc204939132"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_Toc204939132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3532EA">
      <w:pPr>
        <w:pStyle w:val="19"/>
        <w:tabs>
          <w:tab w:val="right" w:leader="dot" w:pos="9344"/>
        </w:tabs>
        <w:rPr>
          <w:rFonts w:ascii="等线" w:hAnsi="等线" w:eastAsia="等线"/>
          <w:sz w:val="22"/>
          <w:szCs w:val="24"/>
        </w:rPr>
      </w:pPr>
      <w:r>
        <w:fldChar w:fldCharType="begin"/>
      </w:r>
      <w:r>
        <w:instrText xml:space="preserve"> HYPERLINK \l "_Toc204939133"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_Toc204939133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BE7CA6">
      <w:pPr>
        <w:pStyle w:val="19"/>
        <w:tabs>
          <w:tab w:val="right" w:leader="dot" w:pos="9344"/>
        </w:tabs>
        <w:rPr>
          <w:rFonts w:ascii="等线" w:hAnsi="等线" w:eastAsia="等线"/>
          <w:sz w:val="22"/>
          <w:szCs w:val="24"/>
        </w:rPr>
      </w:pPr>
      <w:r>
        <w:fldChar w:fldCharType="begin"/>
      </w:r>
      <w:r>
        <w:instrText xml:space="preserve"> HYPERLINK \l "_Toc204939134" </w:instrText>
      </w:r>
      <w:r>
        <w:fldChar w:fldCharType="separate"/>
      </w:r>
      <w:r>
        <w:rPr>
          <w:rStyle w:val="32"/>
          <w:rFonts w:hint="eastAsia"/>
        </w:rPr>
        <w:t>4</w:t>
      </w:r>
      <w:r>
        <w:rPr>
          <w:rStyle w:val="32"/>
        </w:rPr>
        <w:t xml:space="preserve"> </w:t>
      </w:r>
      <w:r>
        <w:rPr>
          <w:rStyle w:val="32"/>
          <w:rFonts w:hint="eastAsia"/>
        </w:rPr>
        <w:t xml:space="preserve"> 卫生要求</w:t>
      </w:r>
      <w:r>
        <w:rPr>
          <w:rFonts w:hint="eastAsia"/>
        </w:rPr>
        <w:tab/>
      </w:r>
      <w:r>
        <w:rPr>
          <w:rFonts w:hint="eastAsia"/>
        </w:rPr>
        <w:fldChar w:fldCharType="begin"/>
      </w:r>
      <w:r>
        <w:rPr>
          <w:rFonts w:hint="eastAsia"/>
        </w:rPr>
        <w:instrText xml:space="preserve"> </w:instrText>
      </w:r>
      <w:r>
        <w:instrText xml:space="preserve">PAGEREF _Toc204939134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D67F5EE">
      <w:pPr>
        <w:pStyle w:val="19"/>
        <w:tabs>
          <w:tab w:val="right" w:leader="dot" w:pos="9344"/>
        </w:tabs>
        <w:rPr>
          <w:rFonts w:ascii="等线" w:hAnsi="等线" w:eastAsia="等线"/>
          <w:sz w:val="22"/>
          <w:szCs w:val="24"/>
        </w:rPr>
      </w:pPr>
      <w:r>
        <w:fldChar w:fldCharType="begin"/>
      </w:r>
      <w:r>
        <w:instrText xml:space="preserve"> HYPERLINK \l "_Toc204939135" </w:instrText>
      </w:r>
      <w:r>
        <w:fldChar w:fldCharType="separate"/>
      </w:r>
      <w:r>
        <w:rPr>
          <w:rStyle w:val="32"/>
          <w:rFonts w:hint="eastAsia"/>
        </w:rPr>
        <w:t>5</w:t>
      </w:r>
      <w:r>
        <w:rPr>
          <w:rStyle w:val="32"/>
        </w:rPr>
        <w:t xml:space="preserve"> </w:t>
      </w:r>
      <w:r>
        <w:rPr>
          <w:rStyle w:val="32"/>
          <w:rFonts w:hint="eastAsia"/>
        </w:rPr>
        <w:t xml:space="preserve"> 干制工艺</w:t>
      </w:r>
      <w:r>
        <w:rPr>
          <w:rFonts w:hint="eastAsia"/>
        </w:rPr>
        <w:tab/>
      </w:r>
      <w:r>
        <w:rPr>
          <w:rFonts w:hint="eastAsia"/>
        </w:rPr>
        <w:fldChar w:fldCharType="begin"/>
      </w:r>
      <w:r>
        <w:rPr>
          <w:rFonts w:hint="eastAsia"/>
        </w:rPr>
        <w:instrText xml:space="preserve"> </w:instrText>
      </w:r>
      <w:r>
        <w:instrText xml:space="preserve">PAGEREF _Toc204939135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F44740D">
      <w:pPr>
        <w:pStyle w:val="19"/>
        <w:tabs>
          <w:tab w:val="right" w:leader="dot" w:pos="9344"/>
        </w:tabs>
        <w:rPr>
          <w:rFonts w:ascii="等线" w:hAnsi="等线" w:eastAsia="等线"/>
          <w:sz w:val="22"/>
          <w:szCs w:val="24"/>
        </w:rPr>
      </w:pPr>
      <w:r>
        <w:fldChar w:fldCharType="begin"/>
      </w:r>
      <w:r>
        <w:instrText xml:space="preserve"> HYPERLINK \l "_Toc204939142" </w:instrText>
      </w:r>
      <w:r>
        <w:fldChar w:fldCharType="separate"/>
      </w:r>
      <w:r>
        <w:rPr>
          <w:rStyle w:val="32"/>
          <w:rFonts w:hint="eastAsia"/>
        </w:rPr>
        <w:t>6</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_Toc204939142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E4FB0B1">
      <w:pPr>
        <w:pStyle w:val="19"/>
        <w:tabs>
          <w:tab w:val="right" w:leader="dot" w:pos="9344"/>
        </w:tabs>
        <w:rPr>
          <w:rFonts w:ascii="等线" w:hAnsi="等线" w:eastAsia="等线"/>
          <w:sz w:val="22"/>
          <w:szCs w:val="24"/>
        </w:rPr>
      </w:pPr>
      <w:r>
        <w:fldChar w:fldCharType="begin"/>
      </w:r>
      <w:r>
        <w:instrText xml:space="preserve"> HYPERLINK \l "_Toc204939143" </w:instrText>
      </w:r>
      <w:r>
        <w:fldChar w:fldCharType="separate"/>
      </w:r>
      <w:r>
        <w:rPr>
          <w:rStyle w:val="32"/>
          <w:rFonts w:hint="eastAsia"/>
        </w:rPr>
        <w:t>7</w:t>
      </w:r>
      <w:r>
        <w:rPr>
          <w:rStyle w:val="32"/>
        </w:rPr>
        <w:t xml:space="preserve"> </w:t>
      </w:r>
      <w:r>
        <w:rPr>
          <w:rStyle w:val="32"/>
          <w:rFonts w:hint="eastAsia"/>
        </w:rPr>
        <w:t xml:space="preserve"> 贮藏</w:t>
      </w:r>
      <w:r>
        <w:rPr>
          <w:rFonts w:hint="eastAsia"/>
        </w:rPr>
        <w:tab/>
      </w:r>
      <w:r>
        <w:rPr>
          <w:rFonts w:hint="eastAsia"/>
        </w:rPr>
        <w:fldChar w:fldCharType="begin"/>
      </w:r>
      <w:r>
        <w:rPr>
          <w:rFonts w:hint="eastAsia"/>
        </w:rPr>
        <w:instrText xml:space="preserve"> </w:instrText>
      </w:r>
      <w:r>
        <w:instrText xml:space="preserve">PAGEREF _Toc204939143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930425D">
      <w:pPr>
        <w:pStyle w:val="19"/>
        <w:tabs>
          <w:tab w:val="right" w:leader="dot" w:pos="9344"/>
        </w:tabs>
        <w:rPr>
          <w:rFonts w:ascii="等线" w:hAnsi="等线" w:eastAsia="等线"/>
          <w:sz w:val="22"/>
          <w:szCs w:val="24"/>
        </w:rPr>
      </w:pPr>
      <w:r>
        <w:fldChar w:fldCharType="begin"/>
      </w:r>
      <w:r>
        <w:instrText xml:space="preserve"> HYPERLINK \l "_Toc204939146" </w:instrText>
      </w:r>
      <w:r>
        <w:fldChar w:fldCharType="separate"/>
      </w:r>
      <w:r>
        <w:rPr>
          <w:rStyle w:val="32"/>
          <w:rFonts w:hint="eastAsia"/>
        </w:rPr>
        <w:t>8</w:t>
      </w:r>
      <w:r>
        <w:rPr>
          <w:rStyle w:val="32"/>
        </w:rPr>
        <w:t xml:space="preserve"> </w:t>
      </w:r>
      <w:r>
        <w:rPr>
          <w:rStyle w:val="32"/>
          <w:rFonts w:hint="eastAsia"/>
        </w:rPr>
        <w:t xml:space="preserve"> 废弃物处理</w:t>
      </w:r>
      <w:r>
        <w:rPr>
          <w:rFonts w:hint="eastAsia"/>
        </w:rPr>
        <w:tab/>
      </w:r>
      <w:r>
        <w:rPr>
          <w:rFonts w:hint="eastAsia"/>
        </w:rPr>
        <w:fldChar w:fldCharType="begin"/>
      </w:r>
      <w:r>
        <w:rPr>
          <w:rFonts w:hint="eastAsia"/>
        </w:rPr>
        <w:instrText xml:space="preserve"> </w:instrText>
      </w:r>
      <w:r>
        <w:instrText xml:space="preserve">PAGEREF _Toc204939146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40CFF0">
      <w:pPr>
        <w:pStyle w:val="19"/>
        <w:tabs>
          <w:tab w:val="right" w:leader="dot" w:pos="9344"/>
        </w:tabs>
        <w:rPr>
          <w:rFonts w:ascii="等线" w:hAnsi="等线" w:eastAsia="等线"/>
          <w:sz w:val="22"/>
          <w:szCs w:val="24"/>
        </w:rPr>
      </w:pPr>
      <w:r>
        <w:fldChar w:fldCharType="begin"/>
      </w:r>
      <w:r>
        <w:instrText xml:space="preserve"> HYPERLINK \l "_Toc204939147" </w:instrText>
      </w:r>
      <w:r>
        <w:fldChar w:fldCharType="separate"/>
      </w:r>
      <w:r>
        <w:rPr>
          <w:rStyle w:val="32"/>
          <w:rFonts w:hint="eastAsia"/>
        </w:rPr>
        <w:t>9</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_Toc204939147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bookmarkEnd w:id="22"/>
      <w:bookmarkEnd w:id="23"/>
    </w:p>
    <w:p w14:paraId="2C99E26B">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p w14:paraId="1684448E">
      <w:pPr>
        <w:pStyle w:val="89"/>
        <w:spacing w:after="468"/>
      </w:pPr>
      <w:bookmarkStart w:id="24" w:name="_Toc204939130"/>
      <w:r>
        <w:rPr>
          <w:rFonts w:hint="eastAsia"/>
          <w:spacing w:val="320"/>
        </w:rPr>
        <w:t>前</w:t>
      </w:r>
      <w:r>
        <w:rPr>
          <w:rFonts w:hint="eastAsia"/>
        </w:rPr>
        <w:t>言</w:t>
      </w:r>
      <w:bookmarkEnd w:id="24"/>
    </w:p>
    <w:p w14:paraId="6B39758F">
      <w:pPr>
        <w:pStyle w:val="56"/>
        <w:ind w:firstLine="420"/>
      </w:pPr>
      <w:r>
        <w:rPr>
          <w:rFonts w:hint="eastAsia"/>
        </w:rPr>
        <w:t>本文件按照GB/T 1.1—2020《标准化工作导则  第1部分：标准化文件的结构和起草规则》的规定起草。</w:t>
      </w:r>
    </w:p>
    <w:p w14:paraId="52BE6897">
      <w:pPr>
        <w:pStyle w:val="56"/>
        <w:ind w:firstLine="420"/>
      </w:pPr>
      <w:r>
        <w:rPr>
          <w:rFonts w:hint="eastAsia"/>
        </w:rPr>
        <w:t>请</w:t>
      </w:r>
      <w:r>
        <w:t>注意本文件的某些内容可能涉及专利。本文件发布机构不承担识别专利的责任。</w:t>
      </w:r>
    </w:p>
    <w:p w14:paraId="696F2381">
      <w:pPr>
        <w:pStyle w:val="56"/>
        <w:ind w:firstLine="420"/>
      </w:pPr>
      <w:r>
        <w:rPr>
          <w:rFonts w:hint="eastAsia"/>
        </w:rPr>
        <w:t>本文件由</w:t>
      </w:r>
      <w:r>
        <w:t>湖南省供销合作总社</w:t>
      </w:r>
      <w:r>
        <w:rPr>
          <w:rFonts w:hint="eastAsia"/>
        </w:rPr>
        <w:t>提出。</w:t>
      </w:r>
    </w:p>
    <w:p w14:paraId="66366155">
      <w:pPr>
        <w:pStyle w:val="56"/>
        <w:ind w:firstLine="420"/>
      </w:pPr>
      <w:r>
        <w:rPr>
          <w:rFonts w:hint="eastAsia"/>
        </w:rPr>
        <w:t>本文件由</w:t>
      </w:r>
      <w:r>
        <w:t>湖南省食用菌标准化技术委员会</w:t>
      </w:r>
      <w:r>
        <w:rPr>
          <w:rFonts w:hint="eastAsia"/>
        </w:rPr>
        <w:t>归口。</w:t>
      </w:r>
    </w:p>
    <w:p w14:paraId="76A301B2">
      <w:pPr>
        <w:pStyle w:val="56"/>
        <w:ind w:firstLine="420"/>
      </w:pPr>
      <w:r>
        <w:rPr>
          <w:rFonts w:hint="eastAsia"/>
        </w:rPr>
        <w:t>本文件起草单位：</w:t>
      </w:r>
      <w:r>
        <w:t>湖南省食用菌研究所</w:t>
      </w:r>
      <w:r>
        <w:rPr>
          <w:rFonts w:hint="eastAsia"/>
        </w:rPr>
        <w:t>、江华瑶族自治县山青生物科技有限公司、江华瑶族自治县新山友生物科技有限公司</w:t>
      </w:r>
      <w:r>
        <w:t>。</w:t>
      </w:r>
    </w:p>
    <w:p w14:paraId="0FA178B3">
      <w:pPr>
        <w:pStyle w:val="56"/>
        <w:ind w:firstLine="420"/>
      </w:pPr>
      <w:r>
        <w:rPr>
          <w:rFonts w:hint="eastAsia"/>
        </w:rPr>
        <w:t>本文件主要起草人：胡婷、彭丁文、吴芳、彭思敏、刘颖尉、孙叶光、黄晓辉、徐宁、刘志坚、骆丽如、冯立国、胡汝晓、黄民山、欧登富。</w:t>
      </w:r>
    </w:p>
    <w:p w14:paraId="23AE7D42">
      <w:pPr>
        <w:pStyle w:val="56"/>
        <w:ind w:firstLine="420"/>
      </w:pPr>
    </w:p>
    <w:p w14:paraId="2200E61A">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p w14:paraId="66D3C7E5">
      <w:pPr>
        <w:spacing w:line="20" w:lineRule="exact"/>
        <w:jc w:val="center"/>
        <w:rPr>
          <w:rFonts w:ascii="黑体" w:hAnsi="黑体" w:eastAsia="黑体"/>
          <w:sz w:val="32"/>
          <w:szCs w:val="32"/>
        </w:rPr>
      </w:pPr>
    </w:p>
    <w:p w14:paraId="33734B13">
      <w:pPr>
        <w:spacing w:line="20" w:lineRule="exact"/>
        <w:jc w:val="center"/>
        <w:rPr>
          <w:rFonts w:ascii="黑体" w:hAnsi="黑体" w:eastAsia="黑体"/>
          <w:sz w:val="32"/>
          <w:szCs w:val="32"/>
        </w:rPr>
      </w:pPr>
    </w:p>
    <w:p w14:paraId="5F2A566A">
      <w:pPr>
        <w:pStyle w:val="177"/>
        <w:spacing w:before="3" w:beforeLines="1" w:after="686" w:afterLines="220"/>
      </w:pPr>
      <w:r>
        <w:rPr>
          <w:rFonts w:hint="eastAsia"/>
        </w:rPr>
        <w:t>榆黄蘑干制及贮藏技术规程</w:t>
      </w:r>
    </w:p>
    <w:p w14:paraId="338EB72F">
      <w:pPr>
        <w:pStyle w:val="104"/>
        <w:spacing w:before="312" w:after="312"/>
      </w:pPr>
      <w:bookmarkStart w:id="25" w:name="_Toc204939131"/>
      <w:r>
        <w:rPr>
          <w:rFonts w:hint="eastAsia"/>
        </w:rPr>
        <w:t>范围</w:t>
      </w:r>
      <w:bookmarkEnd w:id="25"/>
    </w:p>
    <w:p w14:paraId="00C026DF">
      <w:pPr>
        <w:pStyle w:val="56"/>
        <w:ind w:firstLine="420"/>
      </w:pPr>
      <w:r>
        <w:rPr>
          <w:rFonts w:hint="eastAsia"/>
        </w:rPr>
        <w:t>本文件规定了榆黄蘑（</w:t>
      </w:r>
      <w:r>
        <w:rPr>
          <w:rFonts w:ascii="Times New Roman"/>
          <w:i/>
        </w:rPr>
        <w:t>Pleurotus citrinipileatus Sing</w:t>
      </w:r>
      <w:r>
        <w:rPr>
          <w:rFonts w:hint="eastAsia"/>
        </w:rPr>
        <w:t>）干制及贮藏的卫生要求、干制工艺、质量控制、贮藏、废弃物</w:t>
      </w:r>
      <w:bookmarkStart w:id="49" w:name="_GoBack"/>
      <w:bookmarkEnd w:id="49"/>
      <w:r>
        <w:rPr>
          <w:rFonts w:hint="eastAsia"/>
        </w:rPr>
        <w:t>处置和档案管理。</w:t>
      </w:r>
    </w:p>
    <w:p w14:paraId="3E588C5A">
      <w:pPr>
        <w:pStyle w:val="56"/>
        <w:ind w:firstLine="420"/>
      </w:pPr>
      <w:r>
        <w:rPr>
          <w:rFonts w:hint="eastAsia"/>
        </w:rPr>
        <w:t>本文件适用于榆黄蘑的干制及贮藏。</w:t>
      </w:r>
    </w:p>
    <w:p w14:paraId="52725E10">
      <w:pPr>
        <w:pStyle w:val="104"/>
        <w:spacing w:before="312" w:after="312"/>
      </w:pPr>
      <w:bookmarkStart w:id="26" w:name="_Toc204939132"/>
      <w:r>
        <w:rPr>
          <w:rFonts w:hint="eastAsia"/>
        </w:rPr>
        <w:t>规范性引用文件</w:t>
      </w:r>
      <w:bookmarkEnd w:id="26"/>
    </w:p>
    <w:p w14:paraId="23EEC78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4BEFF8">
      <w:pPr>
        <w:pStyle w:val="56"/>
        <w:ind w:firstLine="420"/>
      </w:pPr>
      <w:r>
        <w:rPr>
          <w:rFonts w:hint="eastAsia"/>
        </w:rPr>
        <w:t xml:space="preserve">GB/T 191 包装储运图示标志 </w:t>
      </w:r>
    </w:p>
    <w:p w14:paraId="7DFF54EF">
      <w:pPr>
        <w:pStyle w:val="56"/>
        <w:ind w:firstLine="420"/>
      </w:pPr>
      <w:r>
        <w:rPr>
          <w:rFonts w:hint="eastAsia"/>
        </w:rPr>
        <w:t>GB 2760 食品安全国家标准 食品添加剂使用标准</w:t>
      </w:r>
    </w:p>
    <w:p w14:paraId="29078F9E">
      <w:pPr>
        <w:pStyle w:val="56"/>
        <w:ind w:firstLine="420"/>
      </w:pPr>
      <w:r>
        <w:rPr>
          <w:rFonts w:hint="eastAsia"/>
        </w:rPr>
        <w:t xml:space="preserve">GB 2762 食品安全国家标准 食品中污染物限量 </w:t>
      </w:r>
    </w:p>
    <w:p w14:paraId="654EF363">
      <w:pPr>
        <w:pStyle w:val="56"/>
        <w:ind w:firstLine="420"/>
      </w:pPr>
      <w:r>
        <w:rPr>
          <w:rFonts w:hint="eastAsia"/>
        </w:rPr>
        <w:t>GB 2763 食品安全国家标准 食品中农药最大残留限量</w:t>
      </w:r>
    </w:p>
    <w:p w14:paraId="56B61D64">
      <w:pPr>
        <w:pStyle w:val="56"/>
        <w:ind w:firstLine="420"/>
      </w:pPr>
      <w:r>
        <w:rPr>
          <w:rFonts w:hint="eastAsia"/>
        </w:rPr>
        <w:t xml:space="preserve">GB 5009.3 食品安全国家标准 食品中水分的测定 </w:t>
      </w:r>
    </w:p>
    <w:p w14:paraId="11E8C845">
      <w:pPr>
        <w:pStyle w:val="56"/>
        <w:ind w:firstLine="420"/>
      </w:pPr>
      <w:r>
        <w:rPr>
          <w:rFonts w:hint="eastAsia"/>
        </w:rPr>
        <w:t xml:space="preserve">GB 5009.11 食品安全国家标准 食品中总砷及无机砷的测定 </w:t>
      </w:r>
    </w:p>
    <w:p w14:paraId="7F78B109">
      <w:pPr>
        <w:pStyle w:val="56"/>
        <w:ind w:firstLine="420"/>
      </w:pPr>
      <w:r>
        <w:rPr>
          <w:rFonts w:hint="eastAsia"/>
        </w:rPr>
        <w:t>GB 5009.12 食品安全国家标准 食品中铅的测定</w:t>
      </w:r>
    </w:p>
    <w:p w14:paraId="17897D29">
      <w:pPr>
        <w:pStyle w:val="56"/>
        <w:ind w:firstLine="420"/>
      </w:pPr>
      <w:r>
        <w:rPr>
          <w:rFonts w:hint="eastAsia"/>
        </w:rPr>
        <w:t xml:space="preserve">GB 5009.15 食品安全国家标准 食品中镉的测定 </w:t>
      </w:r>
    </w:p>
    <w:p w14:paraId="08B8295B">
      <w:pPr>
        <w:pStyle w:val="56"/>
        <w:ind w:firstLine="420"/>
      </w:pPr>
      <w:r>
        <w:rPr>
          <w:rFonts w:hint="eastAsia"/>
        </w:rPr>
        <w:t xml:space="preserve">GB 5009.17 食品安全国家标准 食品中总汞及有机汞的测定 </w:t>
      </w:r>
    </w:p>
    <w:p w14:paraId="0F57E907">
      <w:pPr>
        <w:pStyle w:val="56"/>
        <w:ind w:firstLine="420"/>
      </w:pPr>
      <w:r>
        <w:rPr>
          <w:rFonts w:hint="eastAsia"/>
        </w:rPr>
        <w:t>GB/T 6543  运输包装用单瓦楞纸箱和双瓦楞纸箱</w:t>
      </w:r>
    </w:p>
    <w:p w14:paraId="3F109B8E">
      <w:pPr>
        <w:pStyle w:val="56"/>
        <w:ind w:firstLine="420"/>
      </w:pPr>
      <w:r>
        <w:rPr>
          <w:rFonts w:hint="eastAsia"/>
        </w:rPr>
        <w:t xml:space="preserve">GB 7718 食品安全国家标准 预包装食品标签通则 </w:t>
      </w:r>
    </w:p>
    <w:p w14:paraId="2B63AEF3">
      <w:pPr>
        <w:pStyle w:val="56"/>
        <w:ind w:firstLine="420"/>
      </w:pPr>
      <w:r>
        <w:rPr>
          <w:rFonts w:hint="eastAsia"/>
        </w:rPr>
        <w:t xml:space="preserve">GB/T 12728 食用菌术语 </w:t>
      </w:r>
    </w:p>
    <w:p w14:paraId="19325ECD">
      <w:pPr>
        <w:pStyle w:val="56"/>
        <w:ind w:firstLine="420"/>
      </w:pPr>
      <w:r>
        <w:rPr>
          <w:rFonts w:hint="eastAsia"/>
        </w:rPr>
        <w:t>GB 14881 食品安全国家标准 食品生产通用卫生规范</w:t>
      </w:r>
    </w:p>
    <w:p w14:paraId="5C263CCC">
      <w:pPr>
        <w:pStyle w:val="56"/>
        <w:ind w:firstLine="420"/>
      </w:pPr>
      <w:r>
        <w:rPr>
          <w:rFonts w:hint="eastAsia"/>
        </w:rPr>
        <w:t xml:space="preserve">GB 23200.12 食品安全国家标准 食用菌中440种农药及相关化学品残留量的测定 液相色谱﹣质谱法 </w:t>
      </w:r>
    </w:p>
    <w:p w14:paraId="7640D715">
      <w:pPr>
        <w:pStyle w:val="56"/>
        <w:ind w:firstLine="420"/>
      </w:pPr>
      <w:r>
        <w:rPr>
          <w:rFonts w:hint="eastAsia"/>
        </w:rPr>
        <w:t xml:space="preserve">GB 23200.15 食品安全国家标准 食用菌中503种农药及相关化学品残留量的测定 气相色谱﹣质谱法 </w:t>
      </w:r>
    </w:p>
    <w:p w14:paraId="5D9965EC">
      <w:pPr>
        <w:pStyle w:val="56"/>
        <w:ind w:firstLine="420"/>
      </w:pPr>
      <w:r>
        <w:rPr>
          <w:rFonts w:hint="eastAsia"/>
        </w:rPr>
        <w:t xml:space="preserve">GB/T 32950 鲜活农产品标签标识 </w:t>
      </w:r>
    </w:p>
    <w:p w14:paraId="70D58D43">
      <w:pPr>
        <w:pStyle w:val="56"/>
        <w:ind w:firstLine="420"/>
      </w:pPr>
      <w:r>
        <w:rPr>
          <w:rFonts w:hint="eastAsia"/>
        </w:rPr>
        <w:t xml:space="preserve">GB/T 34344 农产品物流包装材料通用技术要求 </w:t>
      </w:r>
    </w:p>
    <w:p w14:paraId="53427CA7">
      <w:pPr>
        <w:pStyle w:val="56"/>
        <w:ind w:firstLine="420"/>
      </w:pPr>
      <w:r>
        <w:rPr>
          <w:rFonts w:hint="eastAsia"/>
        </w:rPr>
        <w:t xml:space="preserve">GB/T 34318 食用菌干制品流通规范 </w:t>
      </w:r>
    </w:p>
    <w:p w14:paraId="46412168">
      <w:pPr>
        <w:pStyle w:val="56"/>
        <w:ind w:firstLine="420"/>
      </w:pPr>
      <w:r>
        <w:rPr>
          <w:rFonts w:hint="eastAsia"/>
        </w:rPr>
        <w:t>NY/T 3220 食用菌包装及贮运技术规范</w:t>
      </w:r>
    </w:p>
    <w:p w14:paraId="7B50BBE8">
      <w:pPr>
        <w:pStyle w:val="104"/>
        <w:spacing w:before="312" w:after="312"/>
      </w:pPr>
      <w:bookmarkStart w:id="27" w:name="_Toc204939133"/>
      <w:r>
        <w:rPr>
          <w:rFonts w:hint="eastAsia"/>
          <w:szCs w:val="21"/>
        </w:rPr>
        <w:t>术语和定义</w:t>
      </w:r>
      <w:bookmarkEnd w:id="27"/>
    </w:p>
    <w:p w14:paraId="28D18ABA">
      <w:pPr>
        <w:pStyle w:val="56"/>
        <w:ind w:firstLine="420"/>
      </w:pPr>
      <w:r>
        <w:t>GB/T 12728界定的以及下列术语和定义适用于本文件。</w:t>
      </w:r>
    </w:p>
    <w:p w14:paraId="60409C07">
      <w:pPr>
        <w:pStyle w:val="223"/>
        <w:rPr>
          <w:rFonts w:ascii="黑体" w:hAnsi="黑体" w:eastAsia="黑体"/>
        </w:rPr>
      </w:pPr>
      <w:r>
        <w:rPr>
          <w:rFonts w:ascii="黑体" w:eastAsia="黑体"/>
        </w:rPr>
        <w:br w:type="textWrapping"/>
      </w:r>
      <w:bookmarkStart w:id="28" w:name="OLE_LINK1"/>
      <w:r>
        <w:rPr>
          <w:rFonts w:hint="eastAsia" w:ascii="黑体" w:hAnsi="黑体" w:eastAsia="黑体"/>
        </w:rPr>
        <w:t xml:space="preserve"> </w:t>
      </w:r>
      <w:r>
        <w:rPr>
          <w:rFonts w:ascii="黑体" w:hAnsi="黑体" w:eastAsia="黑体"/>
        </w:rPr>
        <w:t xml:space="preserve">   </w:t>
      </w:r>
      <w:r>
        <w:rPr>
          <w:rFonts w:hint="eastAsia" w:ascii="黑体" w:hAnsi="黑体" w:eastAsia="黑体"/>
        </w:rPr>
        <w:t>榆黄蘑</w:t>
      </w:r>
      <w:bookmarkEnd w:id="28"/>
      <w:r>
        <w:rPr>
          <w:rFonts w:hint="eastAsia" w:ascii="黑体" w:hAnsi="黑体" w:eastAsia="黑体"/>
          <w:lang w:val="en-US" w:eastAsia="zh-CN"/>
        </w:rPr>
        <w:t xml:space="preserve"> </w:t>
      </w:r>
      <w:r>
        <w:rPr>
          <w:rFonts w:ascii="黑体" w:hAnsi="黑体" w:eastAsia="黑体"/>
          <w:i/>
          <w:iCs/>
        </w:rPr>
        <w:t xml:space="preserve">Pleurotus citrinipileatus Sing </w:t>
      </w:r>
    </w:p>
    <w:p w14:paraId="1BD06883">
      <w:pPr>
        <w:pStyle w:val="56"/>
        <w:ind w:firstLine="409" w:firstLineChars="195"/>
      </w:pPr>
      <w:r>
        <w:rPr>
          <w:rFonts w:hint="eastAsia"/>
        </w:rPr>
        <w:t>又名金顶侧耳、玉皇蘑、黄金菇，隶属于担</w:t>
      </w:r>
      <w:r>
        <w:rPr>
          <w:rFonts w:ascii="Times New Roman"/>
        </w:rPr>
        <w:t>子菌门(</w:t>
      </w:r>
      <w:r>
        <w:rPr>
          <w:rFonts w:ascii="Times New Roman"/>
          <w:i/>
        </w:rPr>
        <w:t>Basidiomycota</w:t>
      </w:r>
      <w:r>
        <w:rPr>
          <w:rFonts w:ascii="Times New Roman"/>
        </w:rPr>
        <w:t>)、层菌纲(</w:t>
      </w:r>
      <w:r>
        <w:rPr>
          <w:rFonts w:ascii="Times New Roman"/>
          <w:i/>
        </w:rPr>
        <w:t>Hymenomycetes</w:t>
      </w:r>
      <w:r>
        <w:rPr>
          <w:rFonts w:ascii="Times New Roman"/>
        </w:rPr>
        <w:t>)、伞菌目(</w:t>
      </w:r>
      <w:r>
        <w:rPr>
          <w:rFonts w:ascii="Times New Roman"/>
          <w:i/>
        </w:rPr>
        <w:t>Agaricales</w:t>
      </w:r>
      <w:r>
        <w:rPr>
          <w:rFonts w:ascii="Times New Roman"/>
        </w:rPr>
        <w:t>)、侧耳科(</w:t>
      </w:r>
      <w:r>
        <w:rPr>
          <w:rFonts w:ascii="Times New Roman"/>
          <w:i/>
        </w:rPr>
        <w:t>Pleurotaceae</w:t>
      </w:r>
      <w:r>
        <w:rPr>
          <w:rFonts w:ascii="Times New Roman"/>
        </w:rPr>
        <w:t>)、侧耳属(</w:t>
      </w:r>
      <w:r>
        <w:rPr>
          <w:rFonts w:ascii="Times New Roman"/>
          <w:i/>
        </w:rPr>
        <w:t>Pleurotus</w:t>
      </w:r>
      <w:r>
        <w:rPr>
          <w:rFonts w:ascii="Times New Roman"/>
        </w:rPr>
        <w:t>)</w:t>
      </w:r>
      <w:r>
        <w:t>。</w:t>
      </w:r>
      <w:r>
        <w:rPr>
          <w:rFonts w:hint="eastAsia"/>
        </w:rPr>
        <w:t>子实体多丛生或簇生，菌盖草黄色至金黄色，漏斗形至喇叭状，表面光滑；菌褶白色；菌柄延生，实心，白色至淡黄色；孢子圆柱形，光滑，孢子印白色。</w:t>
      </w:r>
    </w:p>
    <w:p w14:paraId="52E0CC5E">
      <w:pPr>
        <w:pStyle w:val="105"/>
        <w:spacing w:before="156" w:after="156"/>
        <w:rPr>
          <w:rFonts w:hAnsi="黑体"/>
        </w:rPr>
      </w:pPr>
      <w:r>
        <w:rPr>
          <w:rFonts w:hAnsi="黑体"/>
        </w:rPr>
        <w:br w:type="textWrapping"/>
      </w:r>
      <w:r>
        <w:rPr>
          <w:rFonts w:hint="eastAsia" w:hAnsi="黑体"/>
        </w:rPr>
        <w:t xml:space="preserve">    榆黄蘑干制 drying of </w:t>
      </w:r>
      <w:r>
        <w:rPr>
          <w:rFonts w:hint="eastAsia" w:hAnsi="黑体"/>
          <w:i/>
          <w:iCs/>
        </w:rPr>
        <w:t>Pleurotus citrinopileatus</w:t>
      </w:r>
      <w:r>
        <w:rPr>
          <w:rFonts w:hAnsi="黑体"/>
          <w:i/>
          <w:iCs/>
        </w:rPr>
        <w:t xml:space="preserve"> S</w:t>
      </w:r>
      <w:r>
        <w:rPr>
          <w:rFonts w:hint="eastAsia" w:hAnsi="黑体"/>
          <w:i/>
          <w:iCs/>
        </w:rPr>
        <w:t>ing</w:t>
      </w:r>
    </w:p>
    <w:p w14:paraId="20B48565">
      <w:pPr>
        <w:pStyle w:val="56"/>
        <w:ind w:firstLine="420"/>
      </w:pPr>
      <w:r>
        <w:t>以</w:t>
      </w:r>
      <w:r>
        <w:rPr>
          <w:rFonts w:hint="eastAsia"/>
        </w:rPr>
        <w:t>新鲜榆黄蘑为</w:t>
      </w:r>
      <w:r>
        <w:t>单一原料，经烘</w:t>
      </w:r>
      <w:r>
        <w:rPr>
          <w:rFonts w:hint="eastAsia"/>
        </w:rPr>
        <w:t>热风干燥、热泵干燥、</w:t>
      </w:r>
      <w:r>
        <w:t>冷冻干燥等方式，脱</w:t>
      </w:r>
      <w:r>
        <w:rPr>
          <w:rFonts w:hint="eastAsia"/>
        </w:rPr>
        <w:t>除</w:t>
      </w:r>
      <w:r>
        <w:t>一定水分，使其保持</w:t>
      </w:r>
      <w:r>
        <w:rPr>
          <w:rFonts w:hint="eastAsia"/>
        </w:rPr>
        <w:t>榆黄蘑</w:t>
      </w:r>
      <w:r>
        <w:t>固有风味，抑制微生物生长，延长贮藏期的一种加工方法</w:t>
      </w:r>
      <w:r>
        <w:rPr>
          <w:rFonts w:hint="eastAsia"/>
        </w:rPr>
        <w:t>。</w:t>
      </w:r>
    </w:p>
    <w:p w14:paraId="2F1F203A">
      <w:pPr>
        <w:pStyle w:val="104"/>
        <w:spacing w:before="312" w:after="312"/>
      </w:pPr>
      <w:bookmarkStart w:id="29" w:name="_Toc204939134"/>
      <w:r>
        <w:rPr>
          <w:rFonts w:hint="eastAsia"/>
        </w:rPr>
        <w:t>卫生要求</w:t>
      </w:r>
      <w:bookmarkEnd w:id="29"/>
    </w:p>
    <w:p w14:paraId="0BA0D3E5">
      <w:pPr>
        <w:pStyle w:val="56"/>
        <w:ind w:firstLine="420"/>
      </w:pPr>
      <w:bookmarkStart w:id="30" w:name="OLE_LINK2"/>
      <w:r>
        <w:rPr>
          <w:rFonts w:hint="eastAsia"/>
        </w:rPr>
        <w:t>生产</w:t>
      </w:r>
      <w:bookmarkEnd w:id="30"/>
      <w:r>
        <w:rPr>
          <w:rFonts w:hint="eastAsia"/>
        </w:rPr>
        <w:t>有关场所、环境卫生应符合GB 14881的规定。</w:t>
      </w:r>
    </w:p>
    <w:p w14:paraId="5876D513">
      <w:pPr>
        <w:pStyle w:val="104"/>
        <w:spacing w:before="312" w:after="312"/>
      </w:pPr>
      <w:bookmarkStart w:id="31" w:name="_Toc204939135"/>
      <w:r>
        <w:rPr>
          <w:rFonts w:hint="eastAsia"/>
        </w:rPr>
        <w:t>干制工艺</w:t>
      </w:r>
      <w:bookmarkEnd w:id="31"/>
    </w:p>
    <w:p w14:paraId="7FB18C84">
      <w:pPr>
        <w:pStyle w:val="105"/>
        <w:spacing w:before="156" w:after="156"/>
      </w:pPr>
      <w:bookmarkStart w:id="32" w:name="_Toc204939136"/>
      <w:r>
        <w:rPr>
          <w:rFonts w:hint="eastAsia"/>
        </w:rPr>
        <w:t>干制</w:t>
      </w:r>
      <w:bookmarkEnd w:id="32"/>
      <w:r>
        <w:rPr>
          <w:rFonts w:hint="eastAsia"/>
        </w:rPr>
        <w:t>流程</w:t>
      </w:r>
    </w:p>
    <w:p w14:paraId="479FBD0C">
      <w:pPr>
        <w:pStyle w:val="56"/>
        <w:ind w:firstLine="420"/>
        <w:jc w:val="left"/>
      </w:pPr>
      <w:r>
        <w:drawing>
          <wp:inline distT="0" distB="0" distL="0" distR="0">
            <wp:extent cx="5632450" cy="39687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657182" cy="469483"/>
                    </a:xfrm>
                    <a:prstGeom prst="rect">
                      <a:avLst/>
                    </a:prstGeom>
                    <a:noFill/>
                  </pic:spPr>
                </pic:pic>
              </a:graphicData>
            </a:graphic>
          </wp:inline>
        </w:drawing>
      </w:r>
    </w:p>
    <w:p w14:paraId="35C8FFE8">
      <w:pPr>
        <w:pStyle w:val="114"/>
        <w:spacing w:before="156" w:after="156"/>
      </w:pPr>
      <w:r>
        <w:rPr>
          <w:rFonts w:hint="eastAsia"/>
        </w:rPr>
        <w:t>榆黄蘑干制流程</w:t>
      </w:r>
    </w:p>
    <w:p w14:paraId="0EACFA36">
      <w:pPr>
        <w:pStyle w:val="105"/>
        <w:spacing w:before="156" w:after="156"/>
      </w:pPr>
      <w:bookmarkStart w:id="33" w:name="_Toc204939137"/>
      <w:r>
        <w:rPr>
          <w:rFonts w:hint="eastAsia"/>
        </w:rPr>
        <w:t>原料</w:t>
      </w:r>
      <w:bookmarkEnd w:id="33"/>
    </w:p>
    <w:p w14:paraId="696342A9">
      <w:pPr>
        <w:pStyle w:val="162"/>
        <w:numPr>
          <w:ilvl w:val="0"/>
          <w:numId w:val="0"/>
        </w:numPr>
        <w:ind w:firstLine="420" w:firstLineChars="200"/>
      </w:pPr>
      <w:r>
        <w:rPr>
          <w:rFonts w:hint="eastAsia"/>
        </w:rPr>
        <w:t>成熟度适宜、菌盖完整、无病虫害、无霉变；具有新鲜榆黄蘑特有的气味；无塑料、金属等异物；污染物限量和农药残留限量应符合GB 2762和GB 2763的规定。</w:t>
      </w:r>
    </w:p>
    <w:p w14:paraId="5F5C3E4A">
      <w:pPr>
        <w:pStyle w:val="105"/>
        <w:spacing w:before="156" w:after="156"/>
      </w:pPr>
      <w:bookmarkStart w:id="34" w:name="_Toc204939138"/>
      <w:r>
        <w:rPr>
          <w:rFonts w:hint="eastAsia"/>
        </w:rPr>
        <w:t>预处理</w:t>
      </w:r>
      <w:bookmarkEnd w:id="34"/>
    </w:p>
    <w:p w14:paraId="60DC9D9C">
      <w:pPr>
        <w:pStyle w:val="56"/>
        <w:ind w:firstLine="420"/>
      </w:pPr>
      <w:bookmarkStart w:id="35" w:name="OLE_LINK3"/>
      <w:r>
        <w:rPr>
          <w:rFonts w:hint="eastAsia"/>
        </w:rPr>
        <w:t>验收合格的原料，剪去菇脚</w:t>
      </w:r>
      <w:bookmarkEnd w:id="35"/>
      <w:r>
        <w:rPr>
          <w:rFonts w:hint="eastAsia"/>
        </w:rPr>
        <w:t>，根据菇体大小，小朵为整朵，大朵从菌柄连接处轻柔拆分，以</w:t>
      </w:r>
      <w:r>
        <w:t>2</w:t>
      </w:r>
      <w:r>
        <w:rPr>
          <w:rFonts w:hint="eastAsia"/>
        </w:rPr>
        <w:t>~</w:t>
      </w:r>
      <w:r>
        <w:t>3</w:t>
      </w:r>
      <w:r>
        <w:rPr>
          <w:rFonts w:hint="eastAsia"/>
        </w:rPr>
        <w:t>片为一朵，避免损伤菇体。处理后的菇体</w:t>
      </w:r>
      <w:r>
        <w:t>均匀</w:t>
      </w:r>
      <w:r>
        <w:rPr>
          <w:rFonts w:hint="eastAsia"/>
        </w:rPr>
        <w:t>平铺于料盘中、菌盖朝下菌褶朝上，</w:t>
      </w:r>
      <w:r>
        <w:t>摆放菇体时</w:t>
      </w:r>
      <w:r>
        <w:rPr>
          <w:rFonts w:hint="eastAsia"/>
        </w:rPr>
        <w:t>轻柔放置，不可挤压</w:t>
      </w:r>
      <w:r>
        <w:t>。</w:t>
      </w:r>
    </w:p>
    <w:p w14:paraId="7CD490FA">
      <w:pPr>
        <w:pStyle w:val="105"/>
        <w:spacing w:before="156" w:after="156"/>
      </w:pPr>
      <w:bookmarkStart w:id="36" w:name="_Toc204939139"/>
      <w:r>
        <w:rPr>
          <w:rFonts w:hint="eastAsia"/>
        </w:rPr>
        <w:t>干制</w:t>
      </w:r>
      <w:bookmarkEnd w:id="36"/>
    </w:p>
    <w:p w14:paraId="3D2C4052">
      <w:pPr>
        <w:pStyle w:val="65"/>
        <w:spacing w:before="156" w:after="156"/>
      </w:pPr>
      <w:r>
        <w:rPr>
          <w:rFonts w:hint="eastAsia"/>
        </w:rPr>
        <w:t>热风与热泵干制</w:t>
      </w:r>
    </w:p>
    <w:p w14:paraId="63C03556">
      <w:pPr>
        <w:pStyle w:val="56"/>
        <w:ind w:firstLine="420"/>
      </w:pPr>
      <w:r>
        <w:t>通常分为</w:t>
      </w:r>
      <w:r>
        <w:rPr>
          <w:rFonts w:hint="eastAsia"/>
        </w:rPr>
        <w:t>四</w:t>
      </w:r>
      <w:r>
        <w:t>个阶段，每个阶段根据热源的不同略有差异，具体见表</w:t>
      </w:r>
      <w:r>
        <w:rPr>
          <w:rFonts w:hint="eastAsia"/>
        </w:rPr>
        <w:t xml:space="preserve"> </w:t>
      </w:r>
      <w:r>
        <w:t>1。</w:t>
      </w:r>
    </w:p>
    <w:p w14:paraId="5D1FC909">
      <w:pPr>
        <w:pStyle w:val="56"/>
        <w:ind w:firstLine="420"/>
      </w:pPr>
    </w:p>
    <w:p w14:paraId="12185A71">
      <w:pPr>
        <w:pStyle w:val="56"/>
        <w:ind w:firstLine="420"/>
      </w:pPr>
    </w:p>
    <w:p w14:paraId="4F1B8A39">
      <w:pPr>
        <w:pStyle w:val="56"/>
        <w:ind w:firstLine="420"/>
      </w:pPr>
    </w:p>
    <w:p w14:paraId="44A580C9">
      <w:pPr>
        <w:pStyle w:val="56"/>
        <w:ind w:firstLine="420"/>
      </w:pPr>
    </w:p>
    <w:p w14:paraId="43F75F2B">
      <w:pPr>
        <w:pStyle w:val="56"/>
        <w:ind w:firstLine="420"/>
      </w:pPr>
    </w:p>
    <w:p w14:paraId="5466B42D">
      <w:pPr>
        <w:pStyle w:val="56"/>
        <w:ind w:firstLine="420"/>
      </w:pPr>
    </w:p>
    <w:p w14:paraId="24D8849E">
      <w:pPr>
        <w:pStyle w:val="56"/>
        <w:ind w:firstLine="420"/>
      </w:pPr>
    </w:p>
    <w:p w14:paraId="54D7742F">
      <w:pPr>
        <w:pStyle w:val="112"/>
        <w:spacing w:before="156" w:after="156"/>
      </w:pPr>
      <w:r>
        <w:rPr>
          <w:rFonts w:hint="eastAsia"/>
        </w:rPr>
        <w:t>烘干干燥工艺参数</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949"/>
        <w:gridCol w:w="1843"/>
        <w:gridCol w:w="1843"/>
        <w:gridCol w:w="2441"/>
      </w:tblGrid>
      <w:tr w14:paraId="2FECC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 w:hRule="atLeast"/>
          <w:tblHeader/>
          <w:jc w:val="center"/>
        </w:trPr>
        <w:tc>
          <w:tcPr>
            <w:tcW w:w="1018" w:type="dxa"/>
            <w:vMerge w:val="restart"/>
            <w:tcBorders>
              <w:top w:val="single" w:color="auto" w:sz="8" w:space="0"/>
            </w:tcBorders>
            <w:shd w:val="clear" w:color="auto" w:fill="auto"/>
            <w:vAlign w:val="center"/>
          </w:tcPr>
          <w:p w14:paraId="70787F75">
            <w:pPr>
              <w:pStyle w:val="178"/>
              <w:spacing w:line="360" w:lineRule="auto"/>
            </w:pPr>
            <w:bookmarkStart w:id="37" w:name="OLE_LINK4"/>
            <w:r>
              <w:rPr>
                <w:rFonts w:hint="eastAsia"/>
              </w:rPr>
              <w:t>烘干热源</w:t>
            </w:r>
            <w:bookmarkEnd w:id="37"/>
          </w:p>
        </w:tc>
        <w:tc>
          <w:tcPr>
            <w:tcW w:w="1949" w:type="dxa"/>
            <w:tcBorders>
              <w:top w:val="single" w:color="auto" w:sz="8" w:space="0"/>
              <w:bottom w:val="single" w:color="auto" w:sz="8" w:space="0"/>
            </w:tcBorders>
          </w:tcPr>
          <w:p w14:paraId="08DFBF02">
            <w:pPr>
              <w:pStyle w:val="178"/>
              <w:spacing w:line="360" w:lineRule="auto"/>
            </w:pPr>
            <w:r>
              <w:rPr>
                <w:rFonts w:hint="eastAsia"/>
              </w:rPr>
              <w:t>第一阶段</w:t>
            </w:r>
          </w:p>
        </w:tc>
        <w:tc>
          <w:tcPr>
            <w:tcW w:w="1843" w:type="dxa"/>
            <w:tcBorders>
              <w:top w:val="single" w:color="auto" w:sz="8" w:space="0"/>
              <w:bottom w:val="single" w:color="auto" w:sz="8" w:space="0"/>
            </w:tcBorders>
          </w:tcPr>
          <w:p w14:paraId="0582A751">
            <w:pPr>
              <w:pStyle w:val="178"/>
              <w:spacing w:line="360" w:lineRule="auto"/>
            </w:pPr>
            <w:r>
              <w:rPr>
                <w:rFonts w:hint="eastAsia"/>
              </w:rPr>
              <w:t>第二阶段</w:t>
            </w:r>
          </w:p>
        </w:tc>
        <w:tc>
          <w:tcPr>
            <w:tcW w:w="1843" w:type="dxa"/>
            <w:tcBorders>
              <w:top w:val="single" w:color="auto" w:sz="8" w:space="0"/>
              <w:bottom w:val="single" w:color="auto" w:sz="8" w:space="0"/>
            </w:tcBorders>
          </w:tcPr>
          <w:p w14:paraId="293BC619">
            <w:pPr>
              <w:pStyle w:val="178"/>
              <w:spacing w:line="360" w:lineRule="auto"/>
            </w:pPr>
            <w:r>
              <w:rPr>
                <w:rFonts w:hint="eastAsia"/>
              </w:rPr>
              <w:t>第三阶段</w:t>
            </w:r>
          </w:p>
        </w:tc>
        <w:tc>
          <w:tcPr>
            <w:tcW w:w="2441" w:type="dxa"/>
            <w:tcBorders>
              <w:top w:val="single" w:color="auto" w:sz="8" w:space="0"/>
              <w:bottom w:val="single" w:color="auto" w:sz="8" w:space="0"/>
            </w:tcBorders>
            <w:shd w:val="clear" w:color="auto" w:fill="auto"/>
            <w:vAlign w:val="center"/>
          </w:tcPr>
          <w:p w14:paraId="3903157B">
            <w:pPr>
              <w:pStyle w:val="178"/>
              <w:spacing w:line="360" w:lineRule="auto"/>
            </w:pPr>
            <w:r>
              <w:t>第</w:t>
            </w:r>
            <w:r>
              <w:rPr>
                <w:rFonts w:hint="eastAsia"/>
              </w:rPr>
              <w:t>四</w:t>
            </w:r>
            <w:r>
              <w:t>阶段</w:t>
            </w:r>
          </w:p>
        </w:tc>
      </w:tr>
      <w:tr w14:paraId="56AA9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shd w:val="clear" w:color="auto" w:fill="auto"/>
            <w:vAlign w:val="center"/>
          </w:tcPr>
          <w:p w14:paraId="34077978">
            <w:pPr>
              <w:pStyle w:val="178"/>
              <w:spacing w:line="360" w:lineRule="auto"/>
            </w:pPr>
          </w:p>
        </w:tc>
        <w:tc>
          <w:tcPr>
            <w:tcW w:w="1949" w:type="dxa"/>
            <w:tcBorders>
              <w:top w:val="single" w:color="auto" w:sz="8" w:space="0"/>
            </w:tcBorders>
          </w:tcPr>
          <w:p w14:paraId="3F844A50">
            <w:pPr>
              <w:pStyle w:val="178"/>
              <w:spacing w:line="360" w:lineRule="auto"/>
            </w:pPr>
            <w:r>
              <w:rPr>
                <w:rFonts w:hint="eastAsia"/>
              </w:rPr>
              <w:t>低温定型</w:t>
            </w:r>
          </w:p>
        </w:tc>
        <w:tc>
          <w:tcPr>
            <w:tcW w:w="1843" w:type="dxa"/>
            <w:tcBorders>
              <w:top w:val="single" w:color="auto" w:sz="8" w:space="0"/>
            </w:tcBorders>
          </w:tcPr>
          <w:p w14:paraId="5EACB9FD">
            <w:pPr>
              <w:pStyle w:val="178"/>
              <w:spacing w:line="360" w:lineRule="auto"/>
            </w:pPr>
            <w:r>
              <w:rPr>
                <w:rFonts w:hint="eastAsia"/>
              </w:rPr>
              <w:t>恒速排湿</w:t>
            </w:r>
          </w:p>
        </w:tc>
        <w:tc>
          <w:tcPr>
            <w:tcW w:w="1843" w:type="dxa"/>
            <w:tcBorders>
              <w:top w:val="single" w:color="auto" w:sz="8" w:space="0"/>
            </w:tcBorders>
          </w:tcPr>
          <w:p w14:paraId="3FEBE799">
            <w:pPr>
              <w:pStyle w:val="178"/>
              <w:spacing w:line="360" w:lineRule="auto"/>
            </w:pPr>
            <w:r>
              <w:rPr>
                <w:rFonts w:hint="eastAsia"/>
              </w:rPr>
              <w:t>中温定色</w:t>
            </w:r>
          </w:p>
        </w:tc>
        <w:tc>
          <w:tcPr>
            <w:tcW w:w="2441" w:type="dxa"/>
            <w:tcBorders>
              <w:top w:val="single" w:color="auto" w:sz="8" w:space="0"/>
            </w:tcBorders>
            <w:shd w:val="clear" w:color="auto" w:fill="auto"/>
            <w:vAlign w:val="center"/>
          </w:tcPr>
          <w:p w14:paraId="2647CF03">
            <w:pPr>
              <w:pStyle w:val="178"/>
              <w:spacing w:line="360" w:lineRule="auto"/>
            </w:pPr>
            <w:r>
              <w:rPr>
                <w:rFonts w:hint="eastAsia"/>
              </w:rPr>
              <w:t>高温提香</w:t>
            </w:r>
          </w:p>
        </w:tc>
      </w:tr>
      <w:tr w14:paraId="24442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18" w:type="dxa"/>
            <w:tcBorders>
              <w:bottom w:val="single" w:color="auto" w:sz="8" w:space="0"/>
            </w:tcBorders>
            <w:shd w:val="clear" w:color="auto" w:fill="auto"/>
            <w:vAlign w:val="center"/>
          </w:tcPr>
          <w:p w14:paraId="33216089">
            <w:pPr>
              <w:pStyle w:val="178"/>
              <w:spacing w:line="360" w:lineRule="auto"/>
            </w:pPr>
            <w:r>
              <w:rPr>
                <w:rFonts w:hint="eastAsia"/>
              </w:rPr>
              <w:t>热风干燥</w:t>
            </w:r>
          </w:p>
        </w:tc>
        <w:tc>
          <w:tcPr>
            <w:tcW w:w="1949" w:type="dxa"/>
            <w:tcBorders>
              <w:bottom w:val="single" w:color="auto" w:sz="8" w:space="0"/>
            </w:tcBorders>
          </w:tcPr>
          <w:p w14:paraId="0E41CBD1">
            <w:pPr>
              <w:pStyle w:val="178"/>
              <w:spacing w:line="360" w:lineRule="auto"/>
              <w:jc w:val="left"/>
            </w:pPr>
            <w:r>
              <w:rPr>
                <w:rFonts w:hint="eastAsia"/>
              </w:rPr>
              <w:t>烘干温度35℃～40℃，时间4 h～</w:t>
            </w:r>
            <w:r>
              <w:t>5</w:t>
            </w:r>
            <w:r>
              <w:rPr>
                <w:rFonts w:hint="eastAsia"/>
              </w:rPr>
              <w:t xml:space="preserve"> h</w:t>
            </w:r>
          </w:p>
        </w:tc>
        <w:tc>
          <w:tcPr>
            <w:tcW w:w="1843" w:type="dxa"/>
            <w:tcBorders>
              <w:bottom w:val="single" w:color="auto" w:sz="8" w:space="0"/>
            </w:tcBorders>
          </w:tcPr>
          <w:p w14:paraId="60734234">
            <w:pPr>
              <w:pStyle w:val="178"/>
              <w:spacing w:line="360" w:lineRule="auto"/>
              <w:jc w:val="left"/>
            </w:pPr>
            <w:r>
              <w:t xml:space="preserve">烘干温度40℃～45℃，时间3 h～4 </w:t>
            </w:r>
            <w:r>
              <w:rPr>
                <w:rFonts w:hint="eastAsia"/>
              </w:rPr>
              <w:t>h</w:t>
            </w:r>
          </w:p>
        </w:tc>
        <w:tc>
          <w:tcPr>
            <w:tcW w:w="1843" w:type="dxa"/>
            <w:tcBorders>
              <w:bottom w:val="single" w:color="auto" w:sz="8" w:space="0"/>
            </w:tcBorders>
          </w:tcPr>
          <w:p w14:paraId="7463AC67">
            <w:pPr>
              <w:pStyle w:val="178"/>
              <w:spacing w:line="360" w:lineRule="auto"/>
              <w:jc w:val="left"/>
            </w:pPr>
            <w:r>
              <w:t>烘干温度45℃～50℃，时间2 h～3 h</w:t>
            </w:r>
          </w:p>
        </w:tc>
        <w:tc>
          <w:tcPr>
            <w:tcW w:w="2441" w:type="dxa"/>
            <w:tcBorders>
              <w:bottom w:val="single" w:color="auto" w:sz="8" w:space="0"/>
            </w:tcBorders>
            <w:shd w:val="clear" w:color="auto" w:fill="auto"/>
            <w:vAlign w:val="center"/>
          </w:tcPr>
          <w:p w14:paraId="78EA81A1">
            <w:pPr>
              <w:pStyle w:val="178"/>
              <w:spacing w:line="360" w:lineRule="auto"/>
              <w:jc w:val="left"/>
            </w:pPr>
            <w:r>
              <w:t>烘干温度50℃～55℃</w:t>
            </w:r>
            <w:r>
              <w:rPr>
                <w:rFonts w:hint="eastAsia"/>
              </w:rPr>
              <w:t>，</w:t>
            </w:r>
            <w:r>
              <w:t>每隔2 h 随机取样进行一下水分测定，直至菇体含水量</w:t>
            </w:r>
            <w:r>
              <w:rPr>
                <w:rFonts w:hint="eastAsia"/>
              </w:rPr>
              <w:t>≤</w:t>
            </w:r>
            <w:r>
              <w:t>12%</w:t>
            </w:r>
          </w:p>
        </w:tc>
      </w:tr>
      <w:tr w14:paraId="136E8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18" w:type="dxa"/>
            <w:tcBorders>
              <w:bottom w:val="single" w:color="auto" w:sz="8" w:space="0"/>
            </w:tcBorders>
            <w:shd w:val="clear" w:color="auto" w:fill="auto"/>
            <w:vAlign w:val="center"/>
          </w:tcPr>
          <w:p w14:paraId="5CD069EB">
            <w:pPr>
              <w:pStyle w:val="178"/>
              <w:spacing w:line="360" w:lineRule="auto"/>
            </w:pPr>
            <w:r>
              <w:t>热泵</w:t>
            </w:r>
            <w:r>
              <w:rPr>
                <w:rFonts w:hint="eastAsia"/>
              </w:rPr>
              <w:t>干燥</w:t>
            </w:r>
          </w:p>
        </w:tc>
        <w:tc>
          <w:tcPr>
            <w:tcW w:w="1949" w:type="dxa"/>
            <w:tcBorders>
              <w:bottom w:val="single" w:color="auto" w:sz="8" w:space="0"/>
            </w:tcBorders>
          </w:tcPr>
          <w:p w14:paraId="0F740296">
            <w:pPr>
              <w:pStyle w:val="178"/>
              <w:spacing w:line="360" w:lineRule="auto"/>
              <w:jc w:val="left"/>
            </w:pPr>
            <w:r>
              <w:t>烘干温度35℃～40℃，相对湿度（RH）75%</w:t>
            </w:r>
            <w:r>
              <w:rPr>
                <w:rFonts w:hint="eastAsia"/>
              </w:rPr>
              <w:t>，</w:t>
            </w:r>
            <w:r>
              <w:t>时间3 h～4 h</w:t>
            </w:r>
          </w:p>
        </w:tc>
        <w:tc>
          <w:tcPr>
            <w:tcW w:w="1843" w:type="dxa"/>
            <w:tcBorders>
              <w:bottom w:val="single" w:color="auto" w:sz="8" w:space="0"/>
            </w:tcBorders>
          </w:tcPr>
          <w:p w14:paraId="5AB36BDB">
            <w:pPr>
              <w:pStyle w:val="178"/>
              <w:spacing w:line="360" w:lineRule="auto"/>
              <w:jc w:val="left"/>
            </w:pPr>
            <w:r>
              <w:t>烘干温度40℃～50℃，相对湿度（RH）50%</w:t>
            </w:r>
            <w:r>
              <w:rPr>
                <w:rFonts w:hint="eastAsia"/>
              </w:rPr>
              <w:t>，</w:t>
            </w:r>
            <w:r>
              <w:t>时间3 h～4 h</w:t>
            </w:r>
          </w:p>
        </w:tc>
        <w:tc>
          <w:tcPr>
            <w:tcW w:w="1843" w:type="dxa"/>
            <w:tcBorders>
              <w:bottom w:val="single" w:color="auto" w:sz="8" w:space="0"/>
            </w:tcBorders>
          </w:tcPr>
          <w:p w14:paraId="00C9CA1B">
            <w:pPr>
              <w:pStyle w:val="178"/>
              <w:spacing w:line="360" w:lineRule="auto"/>
              <w:jc w:val="left"/>
            </w:pPr>
            <w:r>
              <w:t>烘干温度50℃～55℃，相对湿度（RH）30%</w:t>
            </w:r>
            <w:r>
              <w:rPr>
                <w:rFonts w:hint="eastAsia"/>
              </w:rPr>
              <w:t>，</w:t>
            </w:r>
            <w:r>
              <w:t>时间4 h～6 h</w:t>
            </w:r>
          </w:p>
        </w:tc>
        <w:tc>
          <w:tcPr>
            <w:tcW w:w="2441" w:type="dxa"/>
            <w:tcBorders>
              <w:bottom w:val="single" w:color="auto" w:sz="8" w:space="0"/>
            </w:tcBorders>
            <w:shd w:val="clear" w:color="auto" w:fill="auto"/>
            <w:vAlign w:val="center"/>
          </w:tcPr>
          <w:p w14:paraId="41C5C53C">
            <w:pPr>
              <w:pStyle w:val="178"/>
              <w:spacing w:line="360" w:lineRule="auto"/>
              <w:jc w:val="left"/>
            </w:pPr>
            <w:r>
              <w:t>烘干温度55℃～60℃</w:t>
            </w:r>
            <w:r>
              <w:rPr>
                <w:rFonts w:hint="eastAsia"/>
              </w:rPr>
              <w:t>，相对湿度（R</w:t>
            </w:r>
            <w:r>
              <w:t>H</w:t>
            </w:r>
            <w:r>
              <w:rPr>
                <w:rFonts w:hint="eastAsia"/>
              </w:rPr>
              <w:t>）</w:t>
            </w:r>
            <w:r>
              <w:t>12%</w:t>
            </w:r>
            <w:r>
              <w:rPr>
                <w:rFonts w:hint="eastAsia"/>
              </w:rPr>
              <w:t>，</w:t>
            </w:r>
            <w:r>
              <w:t>每隔2 h 随机取样进行一下水分测定，直至菇体含水量</w:t>
            </w:r>
            <w:r>
              <w:rPr>
                <w:rFonts w:hint="eastAsia"/>
              </w:rPr>
              <w:t>≤</w:t>
            </w:r>
            <w:r>
              <w:t>12%</w:t>
            </w:r>
          </w:p>
        </w:tc>
      </w:tr>
    </w:tbl>
    <w:p w14:paraId="2CB75868">
      <w:pPr>
        <w:pStyle w:val="65"/>
        <w:spacing w:before="156" w:after="156"/>
      </w:pPr>
      <w:r>
        <w:rPr>
          <w:rFonts w:hint="eastAsia"/>
        </w:rPr>
        <w:t>真空冷冻干燥</w:t>
      </w:r>
    </w:p>
    <w:p w14:paraId="61046BC8">
      <w:pPr>
        <w:pStyle w:val="56"/>
        <w:ind w:firstLine="420"/>
      </w:pPr>
      <w:r>
        <w:rPr>
          <w:rFonts w:hint="eastAsia"/>
        </w:rPr>
        <w:t>真空冷冻</w:t>
      </w:r>
      <w:r>
        <w:t>干燥</w:t>
      </w:r>
      <w:r>
        <w:rPr>
          <w:rFonts w:hint="eastAsia"/>
        </w:rPr>
        <w:t>通常分为预冻和升华干燥阶段，每个阶段参数略有差异，</w:t>
      </w:r>
      <w:r>
        <w:t>具体见表</w:t>
      </w:r>
      <w:r>
        <w:rPr>
          <w:rFonts w:hint="eastAsia"/>
        </w:rPr>
        <w:t xml:space="preserve"> 2</w:t>
      </w:r>
      <w:r>
        <w:t>。</w:t>
      </w:r>
    </w:p>
    <w:p w14:paraId="3992DD49">
      <w:pPr>
        <w:pStyle w:val="112"/>
        <w:spacing w:before="156" w:after="156"/>
      </w:pPr>
      <w:r>
        <w:rPr>
          <w:rFonts w:hint="eastAsia"/>
        </w:rPr>
        <w:t>真空冷冻干燥工艺参数</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402"/>
        <w:gridCol w:w="3674"/>
      </w:tblGrid>
      <w:tr w14:paraId="47823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vMerge w:val="restart"/>
            <w:tcBorders>
              <w:top w:val="single" w:color="auto" w:sz="8" w:space="0"/>
            </w:tcBorders>
            <w:shd w:val="clear" w:color="auto" w:fill="auto"/>
            <w:vAlign w:val="center"/>
          </w:tcPr>
          <w:p w14:paraId="55B47C72">
            <w:pPr>
              <w:pStyle w:val="178"/>
            </w:pPr>
            <w:r>
              <w:rPr>
                <w:rFonts w:hint="eastAsia"/>
              </w:rPr>
              <w:t>真空冷冻干燥</w:t>
            </w:r>
          </w:p>
        </w:tc>
        <w:tc>
          <w:tcPr>
            <w:tcW w:w="3402" w:type="dxa"/>
            <w:tcBorders>
              <w:top w:val="single" w:color="auto" w:sz="8" w:space="0"/>
              <w:bottom w:val="single" w:color="auto" w:sz="8" w:space="0"/>
            </w:tcBorders>
            <w:shd w:val="clear" w:color="auto" w:fill="auto"/>
            <w:vAlign w:val="center"/>
          </w:tcPr>
          <w:p w14:paraId="016DBA79">
            <w:pPr>
              <w:pStyle w:val="178"/>
            </w:pPr>
            <w:r>
              <w:rPr>
                <w:rFonts w:hint="eastAsia"/>
              </w:rPr>
              <w:t>第一阶段</w:t>
            </w:r>
          </w:p>
        </w:tc>
        <w:tc>
          <w:tcPr>
            <w:tcW w:w="3674" w:type="dxa"/>
            <w:tcBorders>
              <w:top w:val="single" w:color="auto" w:sz="8" w:space="0"/>
              <w:bottom w:val="single" w:color="auto" w:sz="8" w:space="0"/>
            </w:tcBorders>
            <w:shd w:val="clear" w:color="auto" w:fill="auto"/>
            <w:vAlign w:val="center"/>
          </w:tcPr>
          <w:p w14:paraId="4B68D926">
            <w:pPr>
              <w:pStyle w:val="178"/>
            </w:pPr>
            <w:r>
              <w:rPr>
                <w:rFonts w:hint="eastAsia"/>
              </w:rPr>
              <w:t>第二阶段</w:t>
            </w:r>
          </w:p>
        </w:tc>
      </w:tr>
      <w:tr w14:paraId="4A34B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shd w:val="clear" w:color="auto" w:fill="auto"/>
            <w:vAlign w:val="center"/>
          </w:tcPr>
          <w:p w14:paraId="5DB528FB">
            <w:pPr>
              <w:pStyle w:val="178"/>
            </w:pPr>
          </w:p>
        </w:tc>
        <w:tc>
          <w:tcPr>
            <w:tcW w:w="3402" w:type="dxa"/>
            <w:tcBorders>
              <w:top w:val="single" w:color="auto" w:sz="8" w:space="0"/>
            </w:tcBorders>
            <w:shd w:val="clear" w:color="auto" w:fill="auto"/>
            <w:vAlign w:val="center"/>
          </w:tcPr>
          <w:p w14:paraId="43E81457">
            <w:pPr>
              <w:pStyle w:val="178"/>
            </w:pPr>
            <w:r>
              <w:rPr>
                <w:rFonts w:hint="eastAsia"/>
              </w:rPr>
              <w:t>预冻</w:t>
            </w:r>
          </w:p>
        </w:tc>
        <w:tc>
          <w:tcPr>
            <w:tcW w:w="3674" w:type="dxa"/>
            <w:tcBorders>
              <w:top w:val="single" w:color="auto" w:sz="8" w:space="0"/>
            </w:tcBorders>
            <w:shd w:val="clear" w:color="auto" w:fill="auto"/>
            <w:vAlign w:val="center"/>
          </w:tcPr>
          <w:p w14:paraId="47E47D4F">
            <w:pPr>
              <w:pStyle w:val="178"/>
            </w:pPr>
            <w:r>
              <w:rPr>
                <w:rFonts w:hint="eastAsia"/>
              </w:rPr>
              <w:t>升华干燥</w:t>
            </w:r>
          </w:p>
        </w:tc>
      </w:tr>
      <w:tr w14:paraId="454FF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shd w:val="clear" w:color="auto" w:fill="auto"/>
            <w:vAlign w:val="center"/>
          </w:tcPr>
          <w:p w14:paraId="674388D5">
            <w:pPr>
              <w:pStyle w:val="178"/>
            </w:pPr>
          </w:p>
        </w:tc>
        <w:tc>
          <w:tcPr>
            <w:tcW w:w="3402" w:type="dxa"/>
            <w:shd w:val="clear" w:color="auto" w:fill="auto"/>
            <w:vAlign w:val="center"/>
          </w:tcPr>
          <w:p w14:paraId="6FC6F342">
            <w:pPr>
              <w:pStyle w:val="178"/>
            </w:pPr>
            <w:r>
              <w:rPr>
                <w:rFonts w:hint="eastAsia"/>
              </w:rPr>
              <w:t>温度-</w:t>
            </w:r>
            <w:r>
              <w:t>30℃</w:t>
            </w:r>
            <w:r>
              <w:rPr>
                <w:rFonts w:hint="eastAsia"/>
              </w:rPr>
              <w:t>～-</w:t>
            </w:r>
            <w:r>
              <w:t>40℃</w:t>
            </w:r>
            <w:r>
              <w:rPr>
                <w:rFonts w:hint="eastAsia"/>
              </w:rPr>
              <w:t>，时间</w:t>
            </w:r>
            <w:r>
              <w:t>4 h～6 h</w:t>
            </w:r>
          </w:p>
        </w:tc>
        <w:tc>
          <w:tcPr>
            <w:tcW w:w="3674" w:type="dxa"/>
            <w:shd w:val="clear" w:color="auto" w:fill="auto"/>
            <w:vAlign w:val="center"/>
          </w:tcPr>
          <w:p w14:paraId="75F61A14">
            <w:pPr>
              <w:pStyle w:val="178"/>
            </w:pPr>
            <w:r>
              <w:t>真空度</w:t>
            </w:r>
            <w:r>
              <w:rPr>
                <w:rFonts w:hint="eastAsia"/>
              </w:rPr>
              <w:t>≤</w:t>
            </w:r>
            <w:r>
              <w:t>1</w:t>
            </w:r>
            <w:r>
              <w:rPr>
                <w:rFonts w:hint="eastAsia"/>
              </w:rPr>
              <w:t>0</w:t>
            </w:r>
            <w:r>
              <w:t xml:space="preserve"> Pa</w:t>
            </w:r>
            <w:r>
              <w:rPr>
                <w:rFonts w:hint="eastAsia"/>
              </w:rPr>
              <w:t>，温度-</w:t>
            </w:r>
            <w:r>
              <w:t>4</w:t>
            </w:r>
            <w:r>
              <w:rPr>
                <w:rFonts w:hint="eastAsia"/>
              </w:rPr>
              <w:t>0</w:t>
            </w:r>
            <w:r>
              <w:t>℃</w:t>
            </w:r>
            <w:r>
              <w:rPr>
                <w:rFonts w:hint="eastAsia"/>
              </w:rPr>
              <w:t>～-50</w:t>
            </w:r>
            <w:r>
              <w:t>℃</w:t>
            </w:r>
            <w:r>
              <w:rPr>
                <w:rFonts w:hint="eastAsia"/>
              </w:rPr>
              <w:t>，</w:t>
            </w:r>
            <w:r>
              <w:t>直至菇体</w:t>
            </w:r>
            <w:r>
              <w:rPr>
                <w:rFonts w:hint="eastAsia"/>
              </w:rPr>
              <w:t>最终含</w:t>
            </w:r>
            <w:r>
              <w:t>水量</w:t>
            </w:r>
            <w:r>
              <w:rPr>
                <w:rFonts w:hint="eastAsia"/>
              </w:rPr>
              <w:t>≤</w:t>
            </w:r>
            <w:r>
              <w:t>12%</w:t>
            </w:r>
          </w:p>
        </w:tc>
      </w:tr>
    </w:tbl>
    <w:p w14:paraId="26506652">
      <w:pPr>
        <w:pStyle w:val="105"/>
        <w:spacing w:before="156" w:after="156"/>
      </w:pPr>
      <w:bookmarkStart w:id="38" w:name="_Toc204939140"/>
      <w:r>
        <w:rPr>
          <w:rFonts w:hint="eastAsia"/>
        </w:rPr>
        <w:t>回软</w:t>
      </w:r>
      <w:bookmarkEnd w:id="38"/>
    </w:p>
    <w:p w14:paraId="748C5056">
      <w:pPr>
        <w:pStyle w:val="56"/>
        <w:ind w:firstLine="420"/>
      </w:pPr>
      <w:r>
        <w:t>干制结束后的</w:t>
      </w:r>
      <w:r>
        <w:rPr>
          <w:rFonts w:hint="eastAsia"/>
        </w:rPr>
        <w:t>榆黄蘑</w:t>
      </w:r>
      <w:r>
        <w:t>放置在干净场所</w:t>
      </w:r>
      <w:r>
        <w:rPr>
          <w:rFonts w:hint="eastAsia"/>
        </w:rPr>
        <w:t>静置30 min</w:t>
      </w:r>
      <w:r>
        <w:t>，</w:t>
      </w:r>
      <w:r>
        <w:rPr>
          <w:rFonts w:hint="eastAsia"/>
        </w:rPr>
        <w:t>使其表面稍微回软，避免在装袋过程中发生脆断</w:t>
      </w:r>
      <w:r>
        <w:t>。回软后含水量应符合NY/T</w:t>
      </w:r>
      <w:r>
        <w:rPr>
          <w:rFonts w:hint="eastAsia"/>
        </w:rPr>
        <w:t xml:space="preserve"> </w:t>
      </w:r>
      <w:r>
        <w:t>3220的</w:t>
      </w:r>
      <w:r>
        <w:rPr>
          <w:rFonts w:hint="eastAsia"/>
        </w:rPr>
        <w:t>规定</w:t>
      </w:r>
      <w:r>
        <w:t>。</w:t>
      </w:r>
    </w:p>
    <w:p w14:paraId="21B179AE">
      <w:pPr>
        <w:pStyle w:val="105"/>
        <w:spacing w:before="156" w:after="156"/>
      </w:pPr>
      <w:bookmarkStart w:id="39" w:name="_Toc204939141"/>
      <w:r>
        <w:rPr>
          <w:rFonts w:hint="eastAsia"/>
        </w:rPr>
        <w:t>包装与标识</w:t>
      </w:r>
      <w:bookmarkEnd w:id="39"/>
    </w:p>
    <w:p w14:paraId="6EFD7071">
      <w:pPr>
        <w:pStyle w:val="65"/>
        <w:spacing w:before="156" w:after="156"/>
        <w:rPr>
          <w:rFonts w:ascii="宋体" w:hAnsi="宋体" w:eastAsia="宋体"/>
        </w:rPr>
      </w:pPr>
      <w:r>
        <w:rPr>
          <w:rFonts w:hint="eastAsia" w:ascii="宋体" w:hAnsi="宋体" w:eastAsia="宋体"/>
        </w:rPr>
        <w:t>包装材料应</w:t>
      </w:r>
      <w:r>
        <w:rPr>
          <w:rFonts w:ascii="宋体" w:hAnsi="宋体" w:eastAsia="宋体"/>
        </w:rPr>
        <w:t xml:space="preserve">符合GB/T </w:t>
      </w:r>
      <w:r>
        <w:rPr>
          <w:rFonts w:hint="eastAsia" w:ascii="宋体" w:hAnsi="宋体" w:eastAsia="宋体"/>
        </w:rPr>
        <w:t>34344的规定，并满足以下要求</w:t>
      </w:r>
      <w:r>
        <w:rPr>
          <w:rFonts w:ascii="宋体" w:hAnsi="宋体" w:eastAsia="宋体"/>
        </w:rPr>
        <w:t>：</w:t>
      </w:r>
    </w:p>
    <w:p w14:paraId="75349BBF">
      <w:pPr>
        <w:pStyle w:val="132"/>
        <w:numPr>
          <w:ilvl w:val="0"/>
          <w:numId w:val="0"/>
        </w:numPr>
        <w:ind w:left="852" w:hanging="426"/>
        <w:rPr>
          <w:rFonts w:hAnsi="宋体"/>
        </w:rPr>
      </w:pPr>
      <w:r>
        <w:rPr>
          <w:rFonts w:hint="eastAsia" w:hAnsi="宋体"/>
        </w:rPr>
        <w:t>1</w:t>
      </w:r>
      <w:r>
        <w:rPr>
          <w:rFonts w:hAnsi="宋体"/>
        </w:rPr>
        <w:t>.</w:t>
      </w:r>
      <w:r>
        <w:rPr>
          <w:rFonts w:hint="eastAsia" w:hAnsi="宋体"/>
        </w:rPr>
        <w:t>使用食品</w:t>
      </w:r>
      <w:r>
        <w:rPr>
          <w:rFonts w:hAnsi="宋体"/>
        </w:rPr>
        <w:t>级塑料、纸张、铝箔等</w:t>
      </w:r>
      <w:r>
        <w:rPr>
          <w:rFonts w:hint="eastAsia" w:hAnsi="宋体"/>
        </w:rPr>
        <w:t>材质</w:t>
      </w:r>
      <w:r>
        <w:rPr>
          <w:rFonts w:hAnsi="宋体"/>
        </w:rPr>
        <w:t>；</w:t>
      </w:r>
    </w:p>
    <w:p w14:paraId="1CD7700F">
      <w:pPr>
        <w:pStyle w:val="132"/>
        <w:numPr>
          <w:ilvl w:val="0"/>
          <w:numId w:val="0"/>
        </w:numPr>
        <w:ind w:left="425"/>
        <w:rPr>
          <w:rFonts w:hAnsi="宋体"/>
        </w:rPr>
      </w:pPr>
      <w:r>
        <w:rPr>
          <w:rFonts w:hint="eastAsia" w:hAnsi="宋体"/>
        </w:rPr>
        <w:t>2</w:t>
      </w:r>
      <w:r>
        <w:rPr>
          <w:rFonts w:hAnsi="宋体"/>
        </w:rPr>
        <w:t>.无异味、无色素、无毒性、无污染、无破损，不得使用添加剂等可能造成污染的物质；</w:t>
      </w:r>
    </w:p>
    <w:p w14:paraId="0A943556">
      <w:pPr>
        <w:pStyle w:val="132"/>
        <w:numPr>
          <w:ilvl w:val="0"/>
          <w:numId w:val="0"/>
        </w:numPr>
        <w:ind w:left="852" w:hanging="426"/>
        <w:rPr>
          <w:rFonts w:hAnsi="宋体"/>
          <w:kern w:val="2"/>
          <w:szCs w:val="21"/>
        </w:rPr>
      </w:pPr>
      <w:r>
        <w:rPr>
          <w:rFonts w:hAnsi="宋体"/>
        </w:rPr>
        <w:t>3.具有一定的抗拉强度、耐穿刺性、耐压性、耐热性等物理性能。</w:t>
      </w:r>
    </w:p>
    <w:p w14:paraId="5F76F9FF">
      <w:pPr>
        <w:pStyle w:val="65"/>
        <w:spacing w:before="156" w:after="156"/>
        <w:rPr>
          <w:rFonts w:ascii="宋体" w:hAnsi="宋体" w:eastAsia="宋体"/>
        </w:rPr>
      </w:pPr>
      <w:r>
        <w:rPr>
          <w:rFonts w:hint="eastAsia" w:ascii="宋体" w:hAnsi="宋体" w:eastAsia="宋体"/>
        </w:rPr>
        <w:t>内包装袋</w:t>
      </w:r>
      <w:r>
        <w:rPr>
          <w:rFonts w:ascii="宋体" w:hAnsi="宋体" w:eastAsia="宋体"/>
        </w:rPr>
        <w:t>宜使用真空铝箔食品级包装袋或食品级充气包装袋</w:t>
      </w:r>
      <w:r>
        <w:rPr>
          <w:rFonts w:hint="eastAsia" w:ascii="宋体" w:hAnsi="宋体" w:eastAsia="宋体"/>
        </w:rPr>
        <w:t>，并符合</w:t>
      </w:r>
      <w:r>
        <w:rPr>
          <w:rFonts w:ascii="宋体" w:hAnsi="宋体" w:eastAsia="宋体"/>
        </w:rPr>
        <w:t>GB/T 34318</w:t>
      </w:r>
      <w:r>
        <w:rPr>
          <w:rFonts w:hint="eastAsia" w:ascii="宋体" w:hAnsi="宋体" w:eastAsia="宋体"/>
        </w:rPr>
        <w:t xml:space="preserve"> 的规定。内包装好的榆黄蘑宜置于聚苯乙烯（PS）发泡箱或塑料包装袋衬瓦楞纸箱中封装，瓦楞纸箱应符合GB/T 6543的规定。</w:t>
      </w:r>
    </w:p>
    <w:p w14:paraId="55C39532">
      <w:pPr>
        <w:pStyle w:val="65"/>
        <w:spacing w:before="156" w:after="156"/>
        <w:rPr>
          <w:rFonts w:ascii="宋体" w:eastAsia="宋体"/>
        </w:rPr>
      </w:pPr>
      <w:r>
        <w:rPr>
          <w:rFonts w:hint="eastAsia" w:ascii="宋体" w:hAnsi="宋体" w:eastAsia="宋体"/>
        </w:rPr>
        <w:t>内包装标识</w:t>
      </w:r>
      <w:r>
        <w:rPr>
          <w:rFonts w:hint="eastAsia" w:ascii="宋体" w:eastAsia="宋体"/>
        </w:rPr>
        <w:t>应包括产品名称、配料、净含量、生产日期、保质期等。</w:t>
      </w:r>
      <w:r>
        <w:rPr>
          <w:rFonts w:ascii="宋体" w:eastAsia="宋体"/>
        </w:rPr>
        <w:t>外包装应有标识，其内容包括但不限于产品名称、生产单位、注册商标、产品等级、净含量（kg )、生产日期、执行标准、贮存条件、生产合格证号等信息。标签标识应符合GB/T 191</w:t>
      </w:r>
      <w:r>
        <w:rPr>
          <w:rFonts w:hint="eastAsia" w:ascii="宋体" w:eastAsia="宋体"/>
        </w:rPr>
        <w:t>、</w:t>
      </w:r>
      <w:r>
        <w:rPr>
          <w:rFonts w:ascii="宋体" w:eastAsia="宋体"/>
        </w:rPr>
        <w:t>GB 7718</w:t>
      </w:r>
      <w:r>
        <w:rPr>
          <w:rFonts w:hint="eastAsia" w:ascii="宋体" w:eastAsia="宋体"/>
        </w:rPr>
        <w:t>和GB/T 32950</w:t>
      </w:r>
      <w:r>
        <w:rPr>
          <w:rFonts w:ascii="宋体" w:eastAsia="宋体"/>
        </w:rPr>
        <w:t>的规定</w:t>
      </w:r>
      <w:r>
        <w:rPr>
          <w:rFonts w:hint="eastAsia" w:ascii="宋体" w:eastAsia="宋体"/>
        </w:rPr>
        <w:t>。</w:t>
      </w:r>
    </w:p>
    <w:p w14:paraId="0236F723">
      <w:pPr>
        <w:pStyle w:val="104"/>
        <w:spacing w:before="312" w:after="312"/>
      </w:pPr>
      <w:bookmarkStart w:id="40" w:name="_Toc204939142"/>
      <w:r>
        <w:rPr>
          <w:rFonts w:hint="eastAsia"/>
        </w:rPr>
        <w:t>质量控制</w:t>
      </w:r>
      <w:bookmarkEnd w:id="40"/>
    </w:p>
    <w:p w14:paraId="7A9C5C13">
      <w:pPr>
        <w:pStyle w:val="56"/>
        <w:ind w:firstLine="420"/>
      </w:pPr>
      <w:r>
        <w:rPr>
          <w:rFonts w:hint="eastAsia"/>
        </w:rPr>
        <w:t>用于</w:t>
      </w:r>
      <w:r>
        <w:t>入库贮藏的干制</w:t>
      </w:r>
      <w:r>
        <w:rPr>
          <w:rFonts w:hint="eastAsia"/>
        </w:rPr>
        <w:t>榆黄蘑</w:t>
      </w:r>
      <w:r>
        <w:t>质量应符合表</w:t>
      </w:r>
      <w:r>
        <w:rPr>
          <w:rFonts w:hint="eastAsia"/>
        </w:rPr>
        <w:t xml:space="preserve"> 3 </w:t>
      </w:r>
      <w:r>
        <w:t>的规定</w:t>
      </w:r>
      <w:r>
        <w:rPr>
          <w:rFonts w:hint="eastAsia"/>
        </w:rPr>
        <w:t>。</w:t>
      </w:r>
    </w:p>
    <w:p w14:paraId="668CFC87">
      <w:pPr>
        <w:pStyle w:val="112"/>
        <w:spacing w:before="156" w:after="156"/>
      </w:pPr>
      <w:r>
        <w:rPr>
          <w:rFonts w:hint="eastAsia"/>
        </w:rPr>
        <w:t>干制榆黄蘑质量控制及检测方法</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767"/>
        <w:gridCol w:w="1777"/>
        <w:gridCol w:w="2976"/>
      </w:tblGrid>
      <w:tr w14:paraId="6106D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shd w:val="clear" w:color="auto" w:fill="auto"/>
            <w:vAlign w:val="center"/>
          </w:tcPr>
          <w:p w14:paraId="3C314B6A">
            <w:pPr>
              <w:pStyle w:val="178"/>
            </w:pPr>
            <w:r>
              <w:rPr>
                <w:rFonts w:hint="eastAsia"/>
              </w:rPr>
              <w:t>项目</w:t>
            </w:r>
          </w:p>
        </w:tc>
        <w:tc>
          <w:tcPr>
            <w:tcW w:w="3544" w:type="dxa"/>
            <w:gridSpan w:val="2"/>
            <w:tcBorders>
              <w:top w:val="single" w:color="auto" w:sz="8" w:space="0"/>
              <w:bottom w:val="single" w:color="auto" w:sz="8" w:space="0"/>
            </w:tcBorders>
            <w:shd w:val="clear" w:color="auto" w:fill="auto"/>
            <w:vAlign w:val="center"/>
          </w:tcPr>
          <w:p w14:paraId="57A2979D">
            <w:pPr>
              <w:pStyle w:val="178"/>
            </w:pPr>
            <w:r>
              <w:rPr>
                <w:rFonts w:hint="eastAsia"/>
              </w:rPr>
              <w:t>相关要求</w:t>
            </w:r>
          </w:p>
        </w:tc>
        <w:tc>
          <w:tcPr>
            <w:tcW w:w="2976" w:type="dxa"/>
            <w:tcBorders>
              <w:top w:val="single" w:color="auto" w:sz="8" w:space="0"/>
              <w:bottom w:val="single" w:color="auto" w:sz="8" w:space="0"/>
            </w:tcBorders>
            <w:shd w:val="clear" w:color="auto" w:fill="auto"/>
            <w:vAlign w:val="center"/>
          </w:tcPr>
          <w:p w14:paraId="5B47F34F">
            <w:pPr>
              <w:pStyle w:val="178"/>
            </w:pPr>
            <w:r>
              <w:rPr>
                <w:rFonts w:hint="eastAsia"/>
              </w:rPr>
              <w:t>检测方法或标准</w:t>
            </w:r>
          </w:p>
        </w:tc>
      </w:tr>
      <w:tr w14:paraId="50358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shd w:val="clear" w:color="auto" w:fill="auto"/>
            <w:vAlign w:val="center"/>
          </w:tcPr>
          <w:p w14:paraId="15C2D3D6">
            <w:pPr>
              <w:pStyle w:val="178"/>
            </w:pPr>
            <w:r>
              <w:t>感官指标</w:t>
            </w:r>
          </w:p>
        </w:tc>
        <w:tc>
          <w:tcPr>
            <w:tcW w:w="3544" w:type="dxa"/>
            <w:gridSpan w:val="2"/>
            <w:tcBorders>
              <w:top w:val="single" w:color="auto" w:sz="8" w:space="0"/>
            </w:tcBorders>
            <w:shd w:val="clear" w:color="auto" w:fill="auto"/>
            <w:vAlign w:val="center"/>
          </w:tcPr>
          <w:p w14:paraId="5F1F0CE8">
            <w:pPr>
              <w:pStyle w:val="178"/>
            </w:pPr>
            <w:r>
              <w:rPr>
                <w:rFonts w:hint="eastAsia"/>
              </w:rPr>
              <w:t>菇</w:t>
            </w:r>
            <w:r>
              <w:t>体干爽有弹性</w:t>
            </w:r>
            <w:r>
              <w:rPr>
                <w:rFonts w:hint="eastAsia"/>
              </w:rPr>
              <w:t>；</w:t>
            </w:r>
            <w:r>
              <w:t>色泽</w:t>
            </w:r>
            <w:r>
              <w:rPr>
                <w:rFonts w:hint="eastAsia"/>
              </w:rPr>
              <w:t>金黄；具有榆黄蘑特有的气味，洁净</w:t>
            </w:r>
            <w:r>
              <w:t>无异味</w:t>
            </w:r>
            <w:r>
              <w:rPr>
                <w:rFonts w:hint="eastAsia"/>
              </w:rPr>
              <w:t>；</w:t>
            </w:r>
            <w:r>
              <w:t>无有害杂质和异物。</w:t>
            </w:r>
          </w:p>
          <w:p w14:paraId="3DBE003F">
            <w:pPr>
              <w:pStyle w:val="178"/>
            </w:pPr>
          </w:p>
        </w:tc>
        <w:tc>
          <w:tcPr>
            <w:tcW w:w="2976" w:type="dxa"/>
            <w:tcBorders>
              <w:top w:val="single" w:color="auto" w:sz="8" w:space="0"/>
            </w:tcBorders>
            <w:shd w:val="clear" w:color="auto" w:fill="auto"/>
            <w:vAlign w:val="center"/>
          </w:tcPr>
          <w:p w14:paraId="792B11AB">
            <w:pPr>
              <w:pStyle w:val="178"/>
              <w:ind w:left="1" w:hanging="1"/>
              <w:jc w:val="left"/>
            </w:pPr>
            <w:r>
              <w:rPr>
                <w:rFonts w:hint="eastAsia"/>
              </w:rPr>
              <w:t>于洁净</w:t>
            </w:r>
            <w:r>
              <w:t>、干燥、光线良好、无异味的场所</w:t>
            </w:r>
            <w:r>
              <w:rPr>
                <w:rFonts w:hint="eastAsia"/>
              </w:rPr>
              <w:t>，</w:t>
            </w:r>
            <w:r>
              <w:t>将</w:t>
            </w:r>
            <w:r>
              <w:rPr>
                <w:rFonts w:hint="eastAsia"/>
              </w:rPr>
              <w:t>干制榆黄蘑</w:t>
            </w:r>
            <w:r>
              <w:t>置于白色瓷盘等浅色容器中，肉眼观测</w:t>
            </w:r>
            <w:r>
              <w:rPr>
                <w:rFonts w:hint="eastAsia"/>
              </w:rPr>
              <w:t>其形态、</w:t>
            </w:r>
            <w:r>
              <w:t>色泽，</w:t>
            </w:r>
            <w:r>
              <w:rPr>
                <w:rFonts w:hint="eastAsia"/>
              </w:rPr>
              <w:t>并</w:t>
            </w:r>
            <w:r>
              <w:t>闻气味。</w:t>
            </w:r>
          </w:p>
        </w:tc>
      </w:tr>
      <w:tr w14:paraId="44C10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14:paraId="40F8ABC7">
            <w:pPr>
              <w:pStyle w:val="178"/>
            </w:pPr>
            <w:r>
              <w:t>破损菇</w:t>
            </w:r>
          </w:p>
        </w:tc>
        <w:tc>
          <w:tcPr>
            <w:tcW w:w="3544" w:type="dxa"/>
            <w:gridSpan w:val="2"/>
            <w:shd w:val="clear" w:color="auto" w:fill="auto"/>
            <w:vAlign w:val="center"/>
          </w:tcPr>
          <w:p w14:paraId="1776322F">
            <w:pPr>
              <w:pStyle w:val="178"/>
            </w:pPr>
            <w:r>
              <w:rPr>
                <w:rFonts w:hint="eastAsia"/>
              </w:rPr>
              <w:t>≤</w:t>
            </w:r>
            <w:r>
              <w:t>10</w:t>
            </w:r>
            <w:r>
              <w:rPr>
                <w:rFonts w:hint="eastAsia"/>
              </w:rPr>
              <w:t>%</w:t>
            </w:r>
          </w:p>
        </w:tc>
        <w:tc>
          <w:tcPr>
            <w:tcW w:w="2976" w:type="dxa"/>
            <w:shd w:val="clear" w:color="auto" w:fill="auto"/>
            <w:vAlign w:val="center"/>
          </w:tcPr>
          <w:p w14:paraId="26A3818F">
            <w:pPr>
              <w:pStyle w:val="178"/>
            </w:pPr>
            <w:r>
              <w:t>目测法</w:t>
            </w:r>
          </w:p>
        </w:tc>
      </w:tr>
      <w:tr w14:paraId="1DCC7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14:paraId="78572275">
            <w:pPr>
              <w:pStyle w:val="178"/>
            </w:pPr>
            <w:r>
              <w:rPr>
                <w:rFonts w:hint="eastAsia"/>
              </w:rPr>
              <w:t>含水量</w:t>
            </w:r>
          </w:p>
        </w:tc>
        <w:tc>
          <w:tcPr>
            <w:tcW w:w="3544" w:type="dxa"/>
            <w:gridSpan w:val="2"/>
            <w:shd w:val="clear" w:color="auto" w:fill="auto"/>
            <w:vAlign w:val="center"/>
          </w:tcPr>
          <w:p w14:paraId="71A5BF80">
            <w:pPr>
              <w:pStyle w:val="178"/>
            </w:pPr>
            <w:r>
              <w:rPr>
                <w:rFonts w:hint="eastAsia"/>
              </w:rPr>
              <w:t>≤</w:t>
            </w:r>
            <w:r>
              <w:t>12%</w:t>
            </w:r>
          </w:p>
        </w:tc>
        <w:tc>
          <w:tcPr>
            <w:tcW w:w="2976" w:type="dxa"/>
            <w:shd w:val="clear" w:color="auto" w:fill="auto"/>
            <w:vAlign w:val="center"/>
          </w:tcPr>
          <w:p w14:paraId="51EEDB9E">
            <w:pPr>
              <w:pStyle w:val="178"/>
            </w:pPr>
            <w:r>
              <w:t>GB 5009.3</w:t>
            </w:r>
          </w:p>
        </w:tc>
      </w:tr>
      <w:tr w14:paraId="7027D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14:paraId="28B0138C">
            <w:pPr>
              <w:pStyle w:val="178"/>
            </w:pPr>
            <w:r>
              <w:t>农药残留限量</w:t>
            </w:r>
          </w:p>
        </w:tc>
        <w:tc>
          <w:tcPr>
            <w:tcW w:w="3544" w:type="dxa"/>
            <w:gridSpan w:val="2"/>
            <w:shd w:val="clear" w:color="auto" w:fill="auto"/>
            <w:vAlign w:val="center"/>
          </w:tcPr>
          <w:p w14:paraId="31A94E41">
            <w:pPr>
              <w:pStyle w:val="178"/>
            </w:pPr>
            <w:r>
              <w:t>应符合GB 2763的规定</w:t>
            </w:r>
          </w:p>
        </w:tc>
        <w:tc>
          <w:tcPr>
            <w:tcW w:w="2976" w:type="dxa"/>
            <w:shd w:val="clear" w:color="auto" w:fill="auto"/>
            <w:vAlign w:val="center"/>
          </w:tcPr>
          <w:p w14:paraId="37D51A60">
            <w:pPr>
              <w:pStyle w:val="178"/>
            </w:pPr>
            <w:r>
              <w:t>GB 23200.12、GB 23200.15</w:t>
            </w:r>
          </w:p>
        </w:tc>
      </w:tr>
      <w:tr w14:paraId="3158A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shd w:val="clear" w:color="auto" w:fill="auto"/>
            <w:vAlign w:val="center"/>
          </w:tcPr>
          <w:p w14:paraId="24060490">
            <w:pPr>
              <w:pStyle w:val="178"/>
            </w:pPr>
            <w:r>
              <w:t>卫生指标</w:t>
            </w:r>
          </w:p>
        </w:tc>
        <w:tc>
          <w:tcPr>
            <w:tcW w:w="1767" w:type="dxa"/>
            <w:shd w:val="clear" w:color="auto" w:fill="auto"/>
            <w:vAlign w:val="center"/>
          </w:tcPr>
          <w:p w14:paraId="68C0C11A">
            <w:pPr>
              <w:pStyle w:val="178"/>
            </w:pPr>
            <w:r>
              <w:t>污染物</w:t>
            </w:r>
          </w:p>
        </w:tc>
        <w:tc>
          <w:tcPr>
            <w:tcW w:w="1777" w:type="dxa"/>
            <w:shd w:val="clear" w:color="auto" w:fill="auto"/>
            <w:vAlign w:val="center"/>
          </w:tcPr>
          <w:p w14:paraId="68009F61">
            <w:pPr>
              <w:pStyle w:val="178"/>
            </w:pPr>
            <w:r>
              <w:t>应符合GB 2762的规定</w:t>
            </w:r>
          </w:p>
        </w:tc>
        <w:tc>
          <w:tcPr>
            <w:tcW w:w="2976" w:type="dxa"/>
            <w:shd w:val="clear" w:color="auto" w:fill="auto"/>
            <w:vAlign w:val="center"/>
          </w:tcPr>
          <w:p w14:paraId="6B73B4B7">
            <w:pPr>
              <w:pStyle w:val="178"/>
            </w:pPr>
            <w:r>
              <w:t>GB 2762</w:t>
            </w:r>
          </w:p>
        </w:tc>
      </w:tr>
      <w:tr w14:paraId="52E49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04B77815">
            <w:pPr>
              <w:pStyle w:val="178"/>
            </w:pPr>
          </w:p>
        </w:tc>
        <w:tc>
          <w:tcPr>
            <w:tcW w:w="1767" w:type="dxa"/>
            <w:shd w:val="clear" w:color="auto" w:fill="auto"/>
            <w:vAlign w:val="center"/>
          </w:tcPr>
          <w:p w14:paraId="7D554B45">
            <w:pPr>
              <w:pStyle w:val="178"/>
            </w:pPr>
            <w:r>
              <w:rPr>
                <w:rFonts w:hint="eastAsia"/>
              </w:rPr>
              <w:t>食品添加剂使用标准</w:t>
            </w:r>
          </w:p>
        </w:tc>
        <w:tc>
          <w:tcPr>
            <w:tcW w:w="1777" w:type="dxa"/>
            <w:shd w:val="clear" w:color="auto" w:fill="auto"/>
            <w:vAlign w:val="center"/>
          </w:tcPr>
          <w:p w14:paraId="6BAC04C7">
            <w:pPr>
              <w:pStyle w:val="178"/>
            </w:pPr>
            <w:r>
              <w:t>应符合GB 276</w:t>
            </w:r>
            <w:r>
              <w:rPr>
                <w:rFonts w:hint="eastAsia"/>
              </w:rPr>
              <w:t>0的规定</w:t>
            </w:r>
          </w:p>
        </w:tc>
        <w:tc>
          <w:tcPr>
            <w:tcW w:w="2976" w:type="dxa"/>
            <w:shd w:val="clear" w:color="auto" w:fill="auto"/>
            <w:vAlign w:val="center"/>
          </w:tcPr>
          <w:p w14:paraId="1E51873B">
            <w:pPr>
              <w:pStyle w:val="178"/>
            </w:pPr>
            <w:r>
              <w:t xml:space="preserve">GB </w:t>
            </w:r>
            <w:r>
              <w:rPr>
                <w:rFonts w:hint="eastAsia"/>
              </w:rPr>
              <w:t>2760</w:t>
            </w:r>
          </w:p>
        </w:tc>
      </w:tr>
      <w:tr w14:paraId="1750A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shd w:val="clear" w:color="auto" w:fill="auto"/>
            <w:vAlign w:val="center"/>
          </w:tcPr>
          <w:p w14:paraId="0B00E358">
            <w:pPr>
              <w:pStyle w:val="178"/>
            </w:pPr>
            <w:r>
              <w:t>重金属</w:t>
            </w:r>
            <w:r>
              <w:rPr>
                <w:rFonts w:hint="eastAsia"/>
              </w:rPr>
              <w:t>限量</w:t>
            </w:r>
          </w:p>
        </w:tc>
        <w:tc>
          <w:tcPr>
            <w:tcW w:w="1767" w:type="dxa"/>
            <w:shd w:val="clear" w:color="auto" w:fill="auto"/>
            <w:vAlign w:val="center"/>
          </w:tcPr>
          <w:p w14:paraId="7BA52EE1">
            <w:pPr>
              <w:pStyle w:val="178"/>
            </w:pPr>
            <w:r>
              <w:rPr>
                <w:rFonts w:hint="eastAsia"/>
              </w:rPr>
              <w:t>砷（以As计）</w:t>
            </w:r>
          </w:p>
        </w:tc>
        <w:tc>
          <w:tcPr>
            <w:tcW w:w="1777" w:type="dxa"/>
            <w:shd w:val="clear" w:color="auto" w:fill="auto"/>
            <w:vAlign w:val="center"/>
          </w:tcPr>
          <w:p w14:paraId="477F3F89">
            <w:pPr>
              <w:pStyle w:val="178"/>
            </w:pPr>
            <w:bookmarkStart w:id="41" w:name="OLE_LINK5"/>
            <w:r>
              <w:rPr>
                <w:rFonts w:hint="eastAsia"/>
              </w:rPr>
              <w:t>≤0.5 mg/kg</w:t>
            </w:r>
            <w:bookmarkEnd w:id="41"/>
          </w:p>
        </w:tc>
        <w:tc>
          <w:tcPr>
            <w:tcW w:w="2976" w:type="dxa"/>
            <w:shd w:val="clear" w:color="auto" w:fill="auto"/>
            <w:vAlign w:val="center"/>
          </w:tcPr>
          <w:p w14:paraId="11D9D09B">
            <w:pPr>
              <w:pStyle w:val="178"/>
            </w:pPr>
            <w:r>
              <w:t>GB 5009.1</w:t>
            </w:r>
            <w:r>
              <w:rPr>
                <w:rFonts w:hint="eastAsia"/>
              </w:rPr>
              <w:t>1</w:t>
            </w:r>
          </w:p>
        </w:tc>
      </w:tr>
      <w:tr w14:paraId="067D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28D06450">
            <w:pPr>
              <w:pStyle w:val="178"/>
            </w:pPr>
          </w:p>
        </w:tc>
        <w:tc>
          <w:tcPr>
            <w:tcW w:w="1767" w:type="dxa"/>
            <w:shd w:val="clear" w:color="auto" w:fill="auto"/>
            <w:vAlign w:val="center"/>
          </w:tcPr>
          <w:p w14:paraId="0A0BFAEC">
            <w:pPr>
              <w:pStyle w:val="178"/>
            </w:pPr>
            <w:r>
              <w:t>铅</w:t>
            </w:r>
            <w:r>
              <w:rPr>
                <w:rFonts w:hint="eastAsia"/>
              </w:rPr>
              <w:t>（以Pb计）</w:t>
            </w:r>
          </w:p>
        </w:tc>
        <w:tc>
          <w:tcPr>
            <w:tcW w:w="1777" w:type="dxa"/>
            <w:shd w:val="clear" w:color="auto" w:fill="auto"/>
            <w:vAlign w:val="center"/>
          </w:tcPr>
          <w:p w14:paraId="6EFE5E9E">
            <w:pPr>
              <w:pStyle w:val="178"/>
            </w:pPr>
            <w:r>
              <w:rPr>
                <w:rFonts w:hint="eastAsia"/>
              </w:rPr>
              <w:t>≤0.5 mg/kg</w:t>
            </w:r>
          </w:p>
        </w:tc>
        <w:tc>
          <w:tcPr>
            <w:tcW w:w="2976" w:type="dxa"/>
            <w:shd w:val="clear" w:color="auto" w:fill="auto"/>
            <w:vAlign w:val="center"/>
          </w:tcPr>
          <w:p w14:paraId="16501E16">
            <w:pPr>
              <w:pStyle w:val="178"/>
            </w:pPr>
            <w:r>
              <w:t>GB 5009.12</w:t>
            </w:r>
          </w:p>
        </w:tc>
      </w:tr>
      <w:tr w14:paraId="45C32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22B4CC9A">
            <w:pPr>
              <w:pStyle w:val="178"/>
            </w:pPr>
          </w:p>
        </w:tc>
        <w:tc>
          <w:tcPr>
            <w:tcW w:w="1767" w:type="dxa"/>
            <w:shd w:val="clear" w:color="auto" w:fill="auto"/>
            <w:vAlign w:val="center"/>
          </w:tcPr>
          <w:p w14:paraId="1C83CAB2">
            <w:pPr>
              <w:pStyle w:val="178"/>
            </w:pPr>
            <w:r>
              <w:t>镉</w:t>
            </w:r>
            <w:r>
              <w:rPr>
                <w:rFonts w:hint="eastAsia"/>
              </w:rPr>
              <w:t>（以Cd计）</w:t>
            </w:r>
          </w:p>
        </w:tc>
        <w:tc>
          <w:tcPr>
            <w:tcW w:w="1777" w:type="dxa"/>
            <w:shd w:val="clear" w:color="auto" w:fill="auto"/>
            <w:vAlign w:val="center"/>
          </w:tcPr>
          <w:p w14:paraId="0C70F35F">
            <w:pPr>
              <w:pStyle w:val="178"/>
            </w:pPr>
            <w:r>
              <w:rPr>
                <w:rFonts w:hint="eastAsia"/>
              </w:rPr>
              <w:t>≤0.2 mg/kg</w:t>
            </w:r>
          </w:p>
        </w:tc>
        <w:tc>
          <w:tcPr>
            <w:tcW w:w="2976" w:type="dxa"/>
            <w:shd w:val="clear" w:color="auto" w:fill="auto"/>
            <w:vAlign w:val="center"/>
          </w:tcPr>
          <w:p w14:paraId="5ACE333E">
            <w:pPr>
              <w:pStyle w:val="178"/>
            </w:pPr>
            <w:r>
              <w:t>GB 5009.1</w:t>
            </w:r>
            <w:r>
              <w:rPr>
                <w:rFonts w:hint="eastAsia"/>
              </w:rPr>
              <w:t>5</w:t>
            </w:r>
          </w:p>
        </w:tc>
      </w:tr>
      <w:tr w14:paraId="6A684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4B0F356C">
            <w:pPr>
              <w:pStyle w:val="178"/>
            </w:pPr>
          </w:p>
        </w:tc>
        <w:tc>
          <w:tcPr>
            <w:tcW w:w="1767" w:type="dxa"/>
            <w:shd w:val="clear" w:color="auto" w:fill="auto"/>
            <w:vAlign w:val="center"/>
          </w:tcPr>
          <w:p w14:paraId="6649001C">
            <w:pPr>
              <w:pStyle w:val="178"/>
            </w:pPr>
            <w:r>
              <w:t>汞</w:t>
            </w:r>
            <w:r>
              <w:rPr>
                <w:rFonts w:hint="eastAsia"/>
              </w:rPr>
              <w:t>（以Hg计）</w:t>
            </w:r>
          </w:p>
        </w:tc>
        <w:tc>
          <w:tcPr>
            <w:tcW w:w="1777" w:type="dxa"/>
            <w:shd w:val="clear" w:color="auto" w:fill="auto"/>
            <w:vAlign w:val="center"/>
          </w:tcPr>
          <w:p w14:paraId="544A3FEF">
            <w:pPr>
              <w:rPr>
                <w:rFonts w:ascii="楷体" w:hAnsi="楷体" w:eastAsia="楷体"/>
                <w:color w:val="000000"/>
              </w:rPr>
            </w:pPr>
            <w:r>
              <w:rPr>
                <w:rFonts w:hint="eastAsia" w:ascii="楷体" w:hAnsi="楷体" w:eastAsia="楷体"/>
                <w:color w:val="000000"/>
              </w:rPr>
              <w:t xml:space="preserve">    </w:t>
            </w:r>
            <w:r>
              <w:rPr>
                <w:rFonts w:hint="eastAsia" w:ascii="宋体" w:hAnsi="Times New Roman"/>
                <w:kern w:val="0"/>
                <w:sz w:val="18"/>
                <w:szCs w:val="20"/>
              </w:rPr>
              <w:t>≤0.1 mg/</w:t>
            </w:r>
            <w:r>
              <w:rPr>
                <w:rFonts w:ascii="宋体" w:hAnsi="Times New Roman"/>
                <w:kern w:val="0"/>
                <w:sz w:val="18"/>
                <w:szCs w:val="20"/>
              </w:rPr>
              <w:t>kg</w:t>
            </w:r>
          </w:p>
        </w:tc>
        <w:tc>
          <w:tcPr>
            <w:tcW w:w="2976" w:type="dxa"/>
            <w:shd w:val="clear" w:color="auto" w:fill="auto"/>
            <w:vAlign w:val="center"/>
          </w:tcPr>
          <w:p w14:paraId="3469FDB4">
            <w:pPr>
              <w:pStyle w:val="178"/>
            </w:pPr>
            <w:r>
              <w:t>GB 5009.17</w:t>
            </w:r>
          </w:p>
        </w:tc>
      </w:tr>
    </w:tbl>
    <w:p w14:paraId="32001393">
      <w:pPr>
        <w:pStyle w:val="104"/>
        <w:spacing w:before="312" w:after="312"/>
      </w:pPr>
      <w:bookmarkStart w:id="42" w:name="_Toc204939143"/>
      <w:r>
        <w:t>贮藏</w:t>
      </w:r>
      <w:bookmarkEnd w:id="42"/>
    </w:p>
    <w:p w14:paraId="4BBDCA1E">
      <w:pPr>
        <w:pStyle w:val="105"/>
        <w:spacing w:before="156" w:after="156"/>
      </w:pPr>
      <w:bookmarkStart w:id="43" w:name="_Toc204939144"/>
      <w:r>
        <w:rPr>
          <w:rFonts w:hint="eastAsia"/>
        </w:rPr>
        <w:t>常温</w:t>
      </w:r>
      <w:bookmarkEnd w:id="43"/>
    </w:p>
    <w:p w14:paraId="2961B8C4">
      <w:pPr>
        <w:pStyle w:val="56"/>
        <w:ind w:firstLine="420"/>
      </w:pPr>
      <w:r>
        <w:t>常温贮藏</w:t>
      </w:r>
      <w:r>
        <w:rPr>
          <w:rFonts w:hint="eastAsia"/>
        </w:rPr>
        <w:t>于阴凉</w:t>
      </w:r>
      <w:r>
        <w:t>、</w:t>
      </w:r>
      <w:r>
        <w:rPr>
          <w:rFonts w:hint="eastAsia"/>
        </w:rPr>
        <w:t>避光处。</w:t>
      </w:r>
      <w:r>
        <w:t>不应与有毒、有异味、发霉、易挥发</w:t>
      </w:r>
      <w:r>
        <w:rPr>
          <w:rFonts w:hint="eastAsia"/>
        </w:rPr>
        <w:t>等</w:t>
      </w:r>
      <w:r>
        <w:t>物品混合存放</w:t>
      </w:r>
      <w:r>
        <w:rPr>
          <w:rFonts w:hint="eastAsia"/>
        </w:rPr>
        <w:t>。</w:t>
      </w:r>
      <w:r>
        <w:t>防</w:t>
      </w:r>
      <w:r>
        <w:rPr>
          <w:rFonts w:hint="eastAsia"/>
        </w:rPr>
        <w:t>虫蛀、</w:t>
      </w:r>
      <w:r>
        <w:t>防</w:t>
      </w:r>
      <w:r>
        <w:rPr>
          <w:rFonts w:hint="eastAsia"/>
        </w:rPr>
        <w:t>鼠咬，并设有防潮设备。</w:t>
      </w:r>
      <w:r>
        <w:t>贮藏期限不</w:t>
      </w:r>
      <w:r>
        <w:rPr>
          <w:rFonts w:hint="eastAsia"/>
        </w:rPr>
        <w:t>宜</w:t>
      </w:r>
      <w:r>
        <w:t>超过6个月。</w:t>
      </w:r>
    </w:p>
    <w:p w14:paraId="3B5F1160">
      <w:pPr>
        <w:pStyle w:val="105"/>
        <w:spacing w:before="156" w:after="156"/>
      </w:pPr>
      <w:bookmarkStart w:id="44" w:name="_Toc204939145"/>
      <w:r>
        <w:rPr>
          <w:rFonts w:hint="eastAsia"/>
        </w:rPr>
        <w:t>冷库</w:t>
      </w:r>
      <w:bookmarkEnd w:id="44"/>
    </w:p>
    <w:p w14:paraId="550529DC">
      <w:pPr>
        <w:pStyle w:val="56"/>
        <w:ind w:firstLine="420"/>
      </w:pPr>
      <w:r>
        <w:rPr>
          <w:rFonts w:hint="eastAsia"/>
        </w:rPr>
        <w:t>冷库贮藏时，冷藏温度4℃～8℃。不应与其它有毒、有异味、发霉、易挥发等物品混合存放。注意避光、防潮、防虫蛀、防鼠咬。贮藏期限不宜超过12个月。</w:t>
      </w:r>
    </w:p>
    <w:p w14:paraId="44445583">
      <w:pPr>
        <w:pStyle w:val="104"/>
        <w:spacing w:before="312" w:after="312"/>
      </w:pPr>
      <w:bookmarkStart w:id="45" w:name="_Toc204939146"/>
      <w:r>
        <w:rPr>
          <w:rFonts w:hint="eastAsia"/>
        </w:rPr>
        <w:t>废弃物处理</w:t>
      </w:r>
      <w:bookmarkEnd w:id="45"/>
    </w:p>
    <w:p w14:paraId="6E95C41A">
      <w:pPr>
        <w:pStyle w:val="56"/>
        <w:ind w:firstLine="420"/>
      </w:pPr>
      <w:r>
        <w:t>原材料、生产加工及包装等废弃物应集中分类，资源化利用和无害化处理。</w:t>
      </w:r>
    </w:p>
    <w:p w14:paraId="635D9BB0">
      <w:pPr>
        <w:pStyle w:val="104"/>
        <w:spacing w:before="312" w:after="312"/>
      </w:pPr>
      <w:bookmarkStart w:id="46" w:name="_Toc204939147"/>
      <w:r>
        <w:rPr>
          <w:rFonts w:hint="eastAsia"/>
        </w:rPr>
        <w:t>档案管理</w:t>
      </w:r>
      <w:bookmarkEnd w:id="46"/>
    </w:p>
    <w:p w14:paraId="00C0DF6A">
      <w:pPr>
        <w:pStyle w:val="56"/>
        <w:ind w:firstLine="420"/>
      </w:pPr>
      <w:r>
        <w:t>原材料、生产加工和管理资料应建档，其内容包括但不限于原料</w:t>
      </w:r>
      <w:r>
        <w:rPr>
          <w:rFonts w:hint="eastAsia"/>
        </w:rPr>
        <w:t>来源</w:t>
      </w:r>
      <w:r>
        <w:t>、生产加工、包装、</w:t>
      </w:r>
      <w:r>
        <w:rPr>
          <w:rFonts w:hint="eastAsia"/>
        </w:rPr>
        <w:t>贮藏</w:t>
      </w:r>
      <w:r>
        <w:t>等；档案记录保存2年以上</w:t>
      </w:r>
      <w:r>
        <w:rPr>
          <w:rFonts w:hint="eastAsia"/>
        </w:rPr>
        <w:t>，内容准确、完整、</w:t>
      </w:r>
      <w:bookmarkEnd w:id="21"/>
      <w:bookmarkStart w:id="47" w:name="BookMark4"/>
      <w:r>
        <w:rPr>
          <w:rFonts w:hint="eastAsia"/>
          <w:lang w:val="en-US" w:eastAsia="zh-CN"/>
        </w:rPr>
        <w:t>清晰</w:t>
      </w:r>
      <w:r>
        <w:rPr>
          <w:rFonts w:hint="eastAsia"/>
        </w:rPr>
        <w:t>。</w:t>
      </w:r>
    </w:p>
    <w:p w14:paraId="491EB72F">
      <w:pPr>
        <w:pStyle w:val="56"/>
        <w:ind w:firstLine="420"/>
        <w:rPr>
          <w:rFonts w:hint="eastAsia"/>
        </w:rPr>
      </w:pPr>
    </w:p>
    <w:bookmarkEnd w:id="47"/>
    <w:p w14:paraId="7E2CC2C7">
      <w:pPr>
        <w:pStyle w:val="56"/>
        <w:ind w:firstLine="0" w:firstLineChars="0"/>
        <w:jc w:val="center"/>
        <w:rPr>
          <w:rFonts w:hint="eastAsia"/>
        </w:rPr>
      </w:pPr>
      <w:bookmarkStart w:id="48" w:name="BookMark8"/>
      <w:r>
        <w:rPr>
          <w:rFonts w:hint="eastAsia"/>
        </w:rPr>
        <w:drawing>
          <wp:inline distT="0" distB="0" distL="0" distR="0">
            <wp:extent cx="1485900" cy="317500"/>
            <wp:effectExtent l="0" t="0" r="0" b="6350"/>
            <wp:docPr id="1185216489" name="图片 1"/>
            <wp:cNvGraphicFramePr/>
            <a:graphic xmlns:a="http://schemas.openxmlformats.org/drawingml/2006/main">
              <a:graphicData uri="http://schemas.openxmlformats.org/drawingml/2006/picture">
                <pic:pic xmlns:pic="http://schemas.openxmlformats.org/drawingml/2006/picture">
                  <pic:nvPicPr>
                    <pic:cNvPr id="1185216489"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headerReference r:id="rId14" w:type="default"/>
      <w:footerReference r:id="rId15" w:type="default"/>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CB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26D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580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7101">
    <w:pPr>
      <w:pStyle w:val="52"/>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F98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E7B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FDE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286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EE86">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A895">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8BA9">
    <w:pPr>
      <w:pStyle w:val="61"/>
      <w:rPr>
        <w:rFonts w:hint="eastAsia"/>
      </w:rPr>
    </w:pPr>
    <w:r>
      <w:fldChar w:fldCharType="begin"/>
    </w:r>
    <w:r>
      <w:instrText xml:space="preserve"> STYLEREF  标准文件_文件编号  \* MERGEFORMAT </w:instrText>
    </w:r>
    <w:r>
      <w:fldChar w:fldCharType="separate"/>
    </w:r>
    <w: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M6qhBVbi1RknBgSKFeih/WjROQ8x0jeWZSwTxt/1LcaktBrgqGKwltiOJT+WNdxBYC1ZaJ2KkPM+1zLwDI13bw==" w:salt="jQVX43yuWtIMt9gJ1zBtx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1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D6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57B"/>
    <w:rsid w:val="000E4C9E"/>
    <w:rsid w:val="000E6FD7"/>
    <w:rsid w:val="000F06E1"/>
    <w:rsid w:val="000F0E3C"/>
    <w:rsid w:val="000F19D5"/>
    <w:rsid w:val="000F420D"/>
    <w:rsid w:val="000F4741"/>
    <w:rsid w:val="000F4AEA"/>
    <w:rsid w:val="000F633F"/>
    <w:rsid w:val="000F67E9"/>
    <w:rsid w:val="000F7FDB"/>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3DD"/>
    <w:rsid w:val="001913C4"/>
    <w:rsid w:val="0019348F"/>
    <w:rsid w:val="00193A07"/>
    <w:rsid w:val="00194C95"/>
    <w:rsid w:val="00195C34"/>
    <w:rsid w:val="00196EF5"/>
    <w:rsid w:val="001A1A53"/>
    <w:rsid w:val="001A234A"/>
    <w:rsid w:val="001A4CF3"/>
    <w:rsid w:val="001B06E8"/>
    <w:rsid w:val="001B303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6D59"/>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C37"/>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0A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C6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07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314"/>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ABE"/>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1B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201"/>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D91"/>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38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41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057"/>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51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449C"/>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BE5"/>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F22"/>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00724C"/>
    <w:rsid w:val="11017992"/>
    <w:rsid w:val="157F4B42"/>
    <w:rsid w:val="29627711"/>
    <w:rsid w:val="2D515586"/>
    <w:rsid w:val="2F234AE5"/>
    <w:rsid w:val="50CD60E4"/>
    <w:rsid w:val="587769C2"/>
    <w:rsid w:val="62846170"/>
    <w:rsid w:val="67391679"/>
    <w:rsid w:val="6B26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2134</Words>
  <Characters>2628</Characters>
  <Lines>259</Lines>
  <Paragraphs>233</Paragraphs>
  <TotalTime>24</TotalTime>
  <ScaleCrop>false</ScaleCrop>
  <LinksUpToDate>false</LinksUpToDate>
  <CharactersWithSpaces>2806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2025-12-21T01:05:00Z</dcterms:created>
  <dc:creator>sam</dc:creator>
  <dc:description>&lt;config cover="true" show_menu="true" version="1.0.0" doctype="SDKXY"&gt;_x000d_
&lt;/config&gt;</dc:description>
  <cp:lastModifiedBy>芳芳</cp:lastModifiedBy>
  <cp:lastPrinted>2025-12-21T02:10:00Z</cp:lastPrinted>
  <dcterms:modified xsi:type="dcterms:W3CDTF">2026-06-03T00:42:12Z</dcterms:modified>
  <dc:title>地方标准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eyJoZGlkIjoiNjI3NzY1MjQyZTZkMGYxZGVjZTAzZTk5YTZmYzM1MDYiLCJ1c2VySWQiOiI0OTY0MDQxNTgifQ==</vt:lpwstr>
  </property>
  <property fmtid="{D5CDD505-2E9C-101B-9397-08002B2CF9AE}" pid="15" name="KSOProductBuildVer">
    <vt:lpwstr>2052-12.1.0.26375</vt:lpwstr>
  </property>
  <property fmtid="{D5CDD505-2E9C-101B-9397-08002B2CF9AE}" pid="16" name="ICV">
    <vt:lpwstr>A5B6A6512E6C49E8BE893C767A84EC52_13</vt:lpwstr>
  </property>
</Properties>
</file>