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eastAsia="zh-CN"/>
        </w:rPr>
        <w:t>X</w:t>
      </w:r>
      <w:r>
        <w:rPr>
          <w:rFonts w:hint="eastAsia"/>
          <w:lang w:val="en-US" w:eastAsia="zh-CN"/>
        </w:rPr>
        <w:t>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6</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鲜食嫩果尖椒</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 Code Practice of Sensory Analysis of Tender Pepper Fruit</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21" w:name="BookMark1"/>
      <w:r>
        <w:rPr>
          <w:rFonts w:hint="eastAsia"/>
          <w:spacing w:val="320"/>
        </w:rPr>
        <w:t>目</w:t>
      </w:r>
      <w:r>
        <w:rPr>
          <w:rFonts w:hint="eastAsia"/>
        </w:rPr>
        <w:t>次</w:t>
      </w:r>
    </w:p>
    <w:p>
      <w:pPr>
        <w:pStyle w:val="19"/>
        <w:tabs>
          <w:tab w:val="right" w:leader="dot" w:pos="9344"/>
        </w:tabs>
        <w:rPr>
          <w:rFonts w:hint="eastAsia" w:eastAsia="宋体" w:asciiTheme="minorHAnsi" w:hAnsiTheme="minorHAnsi" w:cstheme="minorBidi"/>
          <w:szCs w:val="22"/>
          <w:lang w:val="en-US" w:eastAsia="zh-CN"/>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"_Toc118486777" </w:instrText>
      </w:r>
      <w:r>
        <w:fldChar w:fldCharType="separate"/>
      </w:r>
      <w:r>
        <w:rPr>
          <w:rStyle w:val="33"/>
        </w:rPr>
        <w:t>前言</w:t>
      </w:r>
      <w:r>
        <w:tab/>
      </w:r>
      <w:r>
        <w:rPr>
          <w:rFonts w:hint="eastAsia"/>
          <w:lang w:val="en-US" w:eastAsia="zh-CN"/>
        </w:rPr>
        <w:t>I</w:t>
      </w:r>
      <w:r>
        <w:fldChar w:fldCharType="end"/>
      </w:r>
      <w:r>
        <w:rPr>
          <w:rFonts w:hint="eastAsia"/>
          <w:lang w:val="en-US" w:eastAsia="zh-CN"/>
        </w:rPr>
        <w:t>I</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"_Toc118486778" </w:instrText>
      </w:r>
      <w:r>
        <w:fldChar w:fldCharType="separate"/>
      </w:r>
      <w:r>
        <w:rPr>
          <w:rStyle w:val="33"/>
        </w:rPr>
        <w:t>1  范围</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"_Toc118486779" </w:instrText>
      </w:r>
      <w:r>
        <w:fldChar w:fldCharType="separate"/>
      </w:r>
      <w:r>
        <w:rPr>
          <w:rStyle w:val="33"/>
        </w:rPr>
        <w:t>2  规范性引用文件</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"_Toc118486780" </w:instrText>
      </w:r>
      <w:r>
        <w:fldChar w:fldCharType="separate"/>
      </w:r>
      <w:r>
        <w:rPr>
          <w:rStyle w:val="33"/>
        </w:rPr>
        <w:t>3  术语和定义</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"_Toc118486781" </w:instrText>
      </w:r>
      <w:r>
        <w:fldChar w:fldCharType="separate"/>
      </w:r>
      <w:r>
        <w:rPr>
          <w:rStyle w:val="33"/>
        </w:rPr>
        <w:t xml:space="preserve">4  </w:t>
      </w:r>
      <w:r>
        <w:rPr>
          <w:rStyle w:val="33"/>
          <w:rFonts w:hint="eastAsia"/>
          <w:lang w:eastAsia="zh-CN"/>
        </w:rPr>
        <w:t>样品要求</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"_Toc118486786" </w:instrText>
      </w:r>
      <w:r>
        <w:fldChar w:fldCharType="separate"/>
      </w:r>
      <w:r>
        <w:rPr>
          <w:rStyle w:val="33"/>
        </w:rPr>
        <w:t xml:space="preserve">5  </w:t>
      </w:r>
      <w:r>
        <w:rPr>
          <w:rStyle w:val="33"/>
          <w:rFonts w:hint="eastAsia"/>
          <w:lang w:val="en-US" w:eastAsia="zh-CN"/>
        </w:rPr>
        <w:t>技术要求</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"_Toc118486787" </w:instrText>
      </w:r>
      <w:r>
        <w:fldChar w:fldCharType="separate"/>
      </w:r>
      <w:r>
        <w:rPr>
          <w:rStyle w:val="33"/>
          <w14:scene3d>
            <w14:lightRig w14:rig="threePt" w14:dir="t">
              <w14:rot w14:lat="0" w14:lon="0" w14:rev="0"/>
            </w14:lightRig>
          </w14:scene3d>
        </w:rPr>
        <w:t xml:space="preserve">5.1 </w:t>
      </w:r>
      <w:r>
        <w:rPr>
          <w:rStyle w:val="33"/>
        </w:rPr>
        <w:t xml:space="preserve"> </w:t>
      </w:r>
      <w:r>
        <w:rPr>
          <w:rStyle w:val="33"/>
          <w:rFonts w:hint="eastAsia"/>
          <w:lang w:val="en-US" w:eastAsia="zh-CN"/>
        </w:rPr>
        <w:t>果实外观</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"_Toc118486788" </w:instrText>
      </w:r>
      <w:r>
        <w:fldChar w:fldCharType="separate"/>
      </w:r>
      <w:r>
        <w:rPr>
          <w:rStyle w:val="33"/>
          <w14:scene3d>
            <w14:lightRig w14:rig="threePt" w14:dir="t">
              <w14:rot w14:lat="0" w14:lon="0" w14:rev="0"/>
            </w14:lightRig>
          </w14:scene3d>
        </w:rPr>
        <w:t xml:space="preserve">5.2 </w:t>
      </w:r>
      <w:r>
        <w:rPr>
          <w:rStyle w:val="33"/>
        </w:rPr>
        <w:t xml:space="preserve"> </w:t>
      </w:r>
      <w:r>
        <w:rPr>
          <w:rStyle w:val="33"/>
          <w:rFonts w:hint="eastAsia"/>
          <w:lang w:val="en-US" w:eastAsia="zh-CN"/>
        </w:rPr>
        <w:t>硬度</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rPr>
          <w:rStyle w:val="33"/>
          <w14:scene3d>
            <w14:lightRig w14:rig="threePt" w14:dir="t">
              <w14:rot w14:lat="0" w14:lon="0" w14:rev="0"/>
            </w14:lightRig>
          </w14:scene3d>
        </w:rPr>
        <w:t xml:space="preserve">5.3 </w:t>
      </w:r>
      <w:r>
        <w:rPr>
          <w:rStyle w:val="33"/>
        </w:rPr>
        <w:t xml:space="preserve"> </w:t>
      </w:r>
      <w:r>
        <w:rPr>
          <w:rStyle w:val="33"/>
          <w:rFonts w:hint="eastAsia"/>
          <w:lang w:val="en-US" w:eastAsia="zh-CN"/>
        </w:rPr>
        <w:t>角质层厚度</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rPr>
          <w:rStyle w:val="33"/>
          <w14:scene3d>
            <w14:lightRig w14:rig="threePt" w14:dir="t">
              <w14:rot w14:lat="0" w14:lon="0" w14:rev="0"/>
            </w14:lightRig>
          </w14:scene3d>
        </w:rPr>
        <w:t>5.</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维生素C含量</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t>5.</w:t>
      </w:r>
      <w:r>
        <w:rPr>
          <w:rFonts w:hint="eastAsia"/>
          <w:lang w:val="en-US" w:eastAsia="zh-CN"/>
        </w:rPr>
        <w:t>5</w:t>
      </w:r>
      <w:r>
        <w:t xml:space="preserve">  </w:t>
      </w:r>
      <w:r>
        <w:rPr>
          <w:rFonts w:hint="eastAsia"/>
          <w:lang w:val="en-US" w:eastAsia="zh-CN"/>
        </w:rPr>
        <w:t>可溶性糖含量</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t>5.</w:t>
      </w:r>
      <w:r>
        <w:rPr>
          <w:rFonts w:hint="eastAsia"/>
          <w:lang w:val="en-US" w:eastAsia="zh-CN"/>
        </w:rPr>
        <w:t>6</w:t>
      </w:r>
      <w:r>
        <w:t xml:space="preserve">  </w:t>
      </w:r>
      <w:r>
        <w:rPr>
          <w:rFonts w:hint="eastAsia"/>
          <w:lang w:val="en-US" w:eastAsia="zh-CN"/>
        </w:rPr>
        <w:t>纤维素含量</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t>5.</w:t>
      </w:r>
      <w:r>
        <w:rPr>
          <w:rFonts w:hint="eastAsia"/>
          <w:lang w:val="en-US" w:eastAsia="zh-CN"/>
        </w:rPr>
        <w:t>7</w:t>
      </w:r>
      <w:r>
        <w:t xml:space="preserve">  </w:t>
      </w:r>
      <w:r>
        <w:rPr>
          <w:rFonts w:hint="eastAsia"/>
          <w:lang w:val="en-US" w:eastAsia="zh-CN"/>
        </w:rPr>
        <w:t>总果胶含量</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t>5.</w:t>
      </w:r>
      <w:r>
        <w:rPr>
          <w:rFonts w:hint="eastAsia"/>
          <w:lang w:val="en-US" w:eastAsia="zh-CN"/>
        </w:rPr>
        <w:t>8</w:t>
      </w:r>
      <w:r>
        <w:t xml:space="preserve">  </w:t>
      </w:r>
      <w:r>
        <w:rPr>
          <w:rFonts w:hint="eastAsia"/>
          <w:lang w:val="en-US" w:eastAsia="zh-CN"/>
        </w:rPr>
        <w:t>辣椒素含量</w:t>
      </w:r>
      <w:r>
        <w:tab/>
      </w:r>
      <w:r>
        <w:rPr>
          <w:rFonts w:hint="eastAsia"/>
          <w:lang w:val="en-US" w:eastAsia="zh-CN"/>
        </w:rPr>
        <w:t>2</w:t>
      </w:r>
      <w:r>
        <w:fldChar w:fldCharType="end"/>
      </w:r>
    </w:p>
    <w:p>
      <w:pPr>
        <w:pStyle w:val="24"/>
        <w:rPr>
          <w:rFonts w:hint="eastAsia" w:ascii="宋体" w:hAnsi="Calibri" w:eastAsia="宋体" w:cs="Times New Roman"/>
          <w:kern w:val="2"/>
          <w:sz w:val="21"/>
          <w:szCs w:val="21"/>
          <w:lang w:val="en-US" w:eastAsia="zh-CN" w:bidi="ar-SA"/>
        </w:rPr>
      </w:pPr>
      <w:r>
        <w:rPr>
          <w:lang w:val="en-US" w:eastAsia="zh-CN"/>
        </w:rPr>
        <w:t>5.</w:t>
      </w:r>
      <w:r>
        <w:rPr>
          <w:rFonts w:hint="eastAsia"/>
          <w:lang w:val="en-US" w:eastAsia="zh-CN"/>
        </w:rPr>
        <w:t>8</w:t>
      </w:r>
      <w:r>
        <w:rPr>
          <w:lang w:val="en-US" w:eastAsia="zh-CN"/>
        </w:rPr>
        <w:t xml:space="preserve">  </w:t>
      </w:r>
      <w:r>
        <w:rPr>
          <w:rFonts w:hint="eastAsia"/>
          <w:lang w:val="en-US" w:eastAsia="zh-CN"/>
        </w:rPr>
        <w:t>香味成分</w:t>
      </w:r>
      <w:r>
        <w:tab/>
      </w:r>
      <w:r>
        <w:rPr>
          <w:rFonts w:hint="eastAsia"/>
          <w:lang w:val="en-US" w:eastAsia="zh-CN"/>
        </w:rPr>
        <w:t>2</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"_Toc118486792" </w:instrText>
      </w:r>
      <w:r>
        <w:fldChar w:fldCharType="separate"/>
      </w:r>
      <w:r>
        <w:rPr>
          <w:rStyle w:val="33"/>
        </w:rPr>
        <w:t xml:space="preserve">6  </w:t>
      </w:r>
      <w:r>
        <w:rPr>
          <w:rStyle w:val="33"/>
          <w:rFonts w:hint="eastAsia"/>
          <w:lang w:val="en-US" w:eastAsia="zh-CN"/>
        </w:rPr>
        <w:t>测定</w:t>
      </w:r>
      <w:r>
        <w:rPr>
          <w:rStyle w:val="33"/>
          <w:rFonts w:hint="eastAsia"/>
        </w:rPr>
        <w:t>方法</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"_Toc118486798" </w:instrText>
      </w:r>
      <w:r>
        <w:fldChar w:fldCharType="separate"/>
      </w:r>
      <w:r>
        <w:rPr>
          <w:rStyle w:val="33"/>
        </w:rPr>
        <w:t xml:space="preserve">7  </w:t>
      </w:r>
      <w:r>
        <w:rPr>
          <w:rStyle w:val="33"/>
          <w:rFonts w:hint="eastAsia"/>
          <w:lang w:val="en-US" w:eastAsia="zh-CN"/>
        </w:rPr>
        <w:t>贮藏与运输</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p>
    <w:p/>
    <w:p>
      <w:pPr>
        <w:pStyle w:val="92"/>
        <w:spacing w:after="468"/>
      </w:pPr>
      <w:r>
        <w:fldChar w:fldCharType="end"/>
      </w:r>
      <w:bookmarkStart w:id="22" w:name="_Toc153206136"/>
    </w:p>
    <w:p>
      <w:pPr>
        <w:pStyle w:val="92"/>
        <w:spacing w:after="468"/>
      </w:pPr>
    </w:p>
    <w:p>
      <w:pPr>
        <w:pStyle w:val="92"/>
        <w:spacing w:after="468"/>
      </w:pPr>
    </w:p>
    <w:p>
      <w:pPr>
        <w:pStyle w:val="92"/>
        <w:spacing w:after="468"/>
      </w:pPr>
    </w:p>
    <w:p>
      <w:pPr>
        <w:pStyle w:val="92"/>
        <w:spacing w:after="468"/>
        <w:rPr>
          <w:rFonts w:hint="eastAsia" w:cs="Times New Roman"/>
          <w:spacing w:val="320"/>
        </w:rPr>
      </w:pPr>
      <w:r>
        <w:rPr>
          <w:rFonts w:hint="eastAsia" w:cs="Times New Roman"/>
          <w:spacing w:val="320"/>
        </w:rPr>
        <w:t>前言</w:t>
      </w:r>
      <w:bookmarkEnd w:id="22"/>
    </w:p>
    <w:p>
      <w:pPr>
        <w:widowControl/>
        <w:autoSpaceDE w:val="0"/>
        <w:autoSpaceDN w:val="0"/>
        <w:ind w:firstLine="420" w:firstLineChars="200"/>
        <w:rPr>
          <w:rFonts w:ascii="Times New Roman" w:hAnsi="Times New Roman" w:cs="Times New Roman"/>
          <w:kern w:val="0"/>
          <w:szCs w:val="20"/>
        </w:rPr>
      </w:pPr>
      <w:r>
        <w:rPr>
          <w:rFonts w:ascii="Times New Roman" w:hAnsi="Times New Roman" w:cs="Times New Roman"/>
          <w:kern w:val="0"/>
          <w:szCs w:val="20"/>
        </w:rPr>
        <w:t>本文件按照GB/T 1.1—2020《标准化工作导则  第1部分：标准化文件的结构和起草规则》的规定起草。</w:t>
      </w:r>
    </w:p>
    <w:p>
      <w:pPr>
        <w:widowControl/>
        <w:autoSpaceDE w:val="0"/>
        <w:autoSpaceDN w:val="0"/>
        <w:ind w:firstLine="420" w:firstLineChars="200"/>
        <w:rPr>
          <w:rFonts w:ascii="Times New Roman" w:hAnsi="Times New Roman" w:cs="Times New Roman"/>
          <w:kern w:val="0"/>
          <w:szCs w:val="20"/>
        </w:rPr>
      </w:pPr>
      <w:r>
        <w:rPr>
          <w:rFonts w:ascii="Times New Roman" w:hAnsi="Times New Roman" w:cs="Times New Roman"/>
          <w:kern w:val="0"/>
          <w:szCs w:val="20"/>
        </w:rPr>
        <w:t>请注意本文件的某些内容可能涉及专利。本文件的发布机构不承担识别专利的责任。</w:t>
      </w:r>
    </w:p>
    <w:p>
      <w:pPr>
        <w:widowControl/>
        <w:autoSpaceDE w:val="0"/>
        <w:autoSpaceDN w:val="0"/>
        <w:ind w:firstLine="420" w:firstLineChars="200"/>
        <w:rPr>
          <w:rFonts w:ascii="Times New Roman" w:hAnsi="Times New Roman" w:cs="Times New Roman"/>
          <w:kern w:val="0"/>
          <w:szCs w:val="20"/>
        </w:rPr>
      </w:pPr>
      <w:r>
        <w:rPr>
          <w:rFonts w:ascii="Times New Roman" w:hAnsi="Times New Roman" w:cs="Times New Roman"/>
          <w:kern w:val="0"/>
          <w:szCs w:val="20"/>
        </w:rPr>
        <w:t>本文件由湖南省农业农村厅提出。</w:t>
      </w:r>
    </w:p>
    <w:p>
      <w:pPr>
        <w:widowControl/>
        <w:autoSpaceDE w:val="0"/>
        <w:autoSpaceDN w:val="0"/>
        <w:ind w:firstLine="420" w:firstLineChars="200"/>
        <w:rPr>
          <w:rFonts w:ascii="Times New Roman" w:hAnsi="Times New Roman" w:cs="Times New Roman"/>
          <w:kern w:val="0"/>
          <w:szCs w:val="20"/>
        </w:rPr>
      </w:pPr>
      <w:r>
        <w:rPr>
          <w:rFonts w:ascii="Times New Roman" w:hAnsi="Times New Roman" w:cs="Times New Roman"/>
          <w:kern w:val="0"/>
          <w:szCs w:val="20"/>
        </w:rPr>
        <w:t>本文件由湖南省农业标准化技术委员会归口。</w:t>
      </w:r>
    </w:p>
    <w:p>
      <w:pPr>
        <w:ind w:firstLine="420" w:firstLineChars="200"/>
        <w:rPr>
          <w:rFonts w:hint="eastAsia" w:ascii="Times New Roman" w:hAnsi="Times New Roman" w:cs="Times New Roman"/>
          <w:kern w:val="0"/>
          <w:szCs w:val="20"/>
        </w:rPr>
      </w:pPr>
      <w:r>
        <w:rPr>
          <w:rFonts w:ascii="Times New Roman" w:hAnsi="Times New Roman" w:cs="Times New Roman"/>
          <w:kern w:val="0"/>
          <w:szCs w:val="20"/>
        </w:rPr>
        <w:t>本文件主要起草单位：</w:t>
      </w:r>
      <w:r>
        <w:rPr>
          <w:rFonts w:hint="eastAsia" w:ascii="Times New Roman" w:hAnsi="Times New Roman" w:cs="Times New Roman"/>
          <w:kern w:val="0"/>
          <w:szCs w:val="20"/>
        </w:rPr>
        <w:t>湖南农业大学、湖南省蔬菜研究所、湖南湘研种业有限公司、湖南省阳雀湖公司农业开发有限公司</w:t>
      </w:r>
    </w:p>
    <w:p>
      <w:pPr>
        <w:ind w:firstLine="420" w:firstLineChars="200"/>
        <w:rPr>
          <w:rFonts w:ascii="Times New Roman" w:hAnsi="Times New Roman" w:cs="Times New Roman"/>
          <w:kern w:val="0"/>
          <w:szCs w:val="20"/>
        </w:rPr>
      </w:pPr>
      <w:r>
        <w:rPr>
          <w:rFonts w:hint="eastAsia" w:ascii="Times New Roman" w:hAnsi="Times New Roman" w:cs="Times New Roman"/>
          <w:kern w:val="0"/>
          <w:szCs w:val="20"/>
        </w:rPr>
        <w:t>本文件主要起草人：邹学校、熊程、朱凡、缪武、周书栋、王中一、刘峰、张竹青、索欢、戴雄泽、曾立宇、付稳、刘周斌、欧立军</w:t>
      </w:r>
    </w:p>
    <w:p>
      <w:pPr>
        <w:pStyle w:val="57"/>
        <w:ind w:firstLine="420"/>
        <w:rPr>
          <w:rFonts w:hint="default"/>
        </w:rPr>
      </w:pPr>
    </w:p>
    <w:p>
      <w:pPr>
        <w:pStyle w:val="57"/>
        <w:ind w:firstLine="420"/>
        <w:rPr>
          <w:rFonts w:hint="eastAsia"/>
        </w:rPr>
      </w:pPr>
    </w:p>
    <w:p>
      <w:pPr>
        <w:keepNext w:val="0"/>
        <w:keepLines w:val="0"/>
        <w:pageBreakBefore w:val="0"/>
        <w:widowControl w:val="0"/>
        <w:tabs>
          <w:tab w:val="right" w:leader="middleDot" w:pos="9450"/>
        </w:tabs>
        <w:kinsoku/>
        <w:wordWrap/>
        <w:overflowPunct/>
        <w:topLinePunct w:val="0"/>
        <w:autoSpaceDE/>
        <w:autoSpaceDN/>
        <w:bidi w:val="0"/>
        <w:adjustRightInd w:val="0"/>
        <w:snapToGrid/>
        <w:spacing w:line="360" w:lineRule="exact"/>
        <w:ind w:firstLine="210" w:firstLineChars="100"/>
        <w:textAlignment w:val="auto"/>
        <w:rPr>
          <w:rFonts w:hint="default" w:ascii="Times New Roman" w:hAnsi="Times New Roman" w:eastAsia="方正书宋简体" w:cs="Times New Roman"/>
        </w:rPr>
      </w:pPr>
    </w:p>
    <w:p>
      <w:pPr>
        <w:keepNext w:val="0"/>
        <w:keepLines w:val="0"/>
        <w:pageBreakBefore w:val="0"/>
        <w:widowControl w:val="0"/>
        <w:tabs>
          <w:tab w:val="right" w:leader="middleDot" w:pos="9450"/>
        </w:tabs>
        <w:kinsoku/>
        <w:wordWrap/>
        <w:overflowPunct/>
        <w:topLinePunct w:val="0"/>
        <w:autoSpaceDE/>
        <w:autoSpaceDN/>
        <w:bidi w:val="0"/>
        <w:adjustRightInd w:val="0"/>
        <w:snapToGrid/>
        <w:spacing w:line="360" w:lineRule="exact"/>
        <w:ind w:firstLine="210" w:firstLineChars="100"/>
        <w:textAlignment w:val="auto"/>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p>
      <w:pPr>
        <w:rPr>
          <w:rFonts w:hint="default"/>
        </w:rPr>
      </w:pPr>
    </w:p>
    <w:p>
      <w:pPr>
        <w:pStyle w:val="90"/>
        <w:shd w:val="clear" w:color="FFFFFF" w:fill="FFFFFF"/>
        <w:spacing w:before="900" w:after="468"/>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bookmarkEnd w:id="21"/>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p>
      <w:pPr>
        <w:pStyle w:val="178"/>
        <w:spacing w:before="3" w:beforeLines="1" w:after="686" w:afterLines="220"/>
      </w:pPr>
      <w:sdt>
        <w:sdtPr>
          <w:tag w:val="NEW_STAND_NAME"/>
          <w:id w:val="595910757"/>
          <w:lock w:val="sdtLocked"/>
          <w:placeholder>
            <w:docPart w:val="9F460E75CBB446F0A9DE81AB29AA4A5B"/>
          </w:placeholder>
        </w:sdtPr>
        <w:sdtContent>
          <w:bookmarkStart w:id="24" w:name="NEW_STAND_NAME"/>
          <w:r>
            <w:rPr>
              <w:rFonts w:hint="eastAsia"/>
              <w:b/>
              <w:sz w:val="30"/>
              <w:szCs w:val="30"/>
            </w:rPr>
            <w:t>鲜食嫩果尖椒</w:t>
          </w:r>
        </w:sdtContent>
      </w:sdt>
    </w:p>
    <w:bookmarkEnd w:id="24"/>
    <w:p>
      <w:pPr>
        <w:pStyle w:val="105"/>
        <w:spacing w:before="312" w:after="312"/>
      </w:pPr>
      <w:bookmarkStart w:id="25" w:name="_Toc24884211"/>
      <w:bookmarkStart w:id="26" w:name="_Toc17233333"/>
      <w:bookmarkStart w:id="27" w:name="_Toc24884218"/>
      <w:bookmarkStart w:id="28" w:name="_Toc153206137"/>
      <w:bookmarkStart w:id="29" w:name="_Toc26986530"/>
      <w:bookmarkStart w:id="30" w:name="_Toc26986771"/>
      <w:bookmarkStart w:id="31" w:name="_Toc26648465"/>
      <w:bookmarkStart w:id="32" w:name="_Toc17233325"/>
      <w:bookmarkStart w:id="33" w:name="_Toc26718930"/>
      <w:bookmarkStart w:id="34" w:name="_Toc97191423"/>
      <w:r>
        <w:rPr>
          <w:rFonts w:hint="eastAsia"/>
        </w:rPr>
        <w:t>范围</w:t>
      </w:r>
      <w:bookmarkEnd w:id="25"/>
      <w:bookmarkEnd w:id="26"/>
      <w:bookmarkEnd w:id="27"/>
      <w:bookmarkEnd w:id="28"/>
      <w:bookmarkEnd w:id="29"/>
      <w:bookmarkEnd w:id="30"/>
      <w:bookmarkEnd w:id="31"/>
      <w:bookmarkEnd w:id="32"/>
      <w:bookmarkEnd w:id="33"/>
      <w:bookmarkEnd w:id="34"/>
    </w:p>
    <w:p>
      <w:pPr>
        <w:pStyle w:val="57"/>
        <w:ind w:firstLine="420"/>
      </w:pPr>
      <w:bookmarkStart w:id="35" w:name="_Toc24884212"/>
      <w:bookmarkStart w:id="36" w:name="_Toc17233326"/>
      <w:bookmarkStart w:id="37" w:name="_Toc17233334"/>
      <w:bookmarkStart w:id="38" w:name="_Toc24884219"/>
      <w:bookmarkStart w:id="39" w:name="_Toc26648466"/>
      <w:r>
        <w:t>本文件规定了鲜食嫩果尖椒的样品要求、采收时间、技术要求、</w:t>
      </w:r>
      <w:r>
        <w:rPr>
          <w:rFonts w:hint="eastAsia"/>
          <w:lang w:val="en-US" w:eastAsia="zh-CN"/>
        </w:rPr>
        <w:t>测定</w:t>
      </w:r>
      <w:r>
        <w:t>方法</w:t>
      </w:r>
      <w:r>
        <w:rPr>
          <w:rFonts w:hint="eastAsia"/>
          <w:lang w:val="en-US" w:eastAsia="zh-CN"/>
        </w:rPr>
        <w:t>及</w:t>
      </w:r>
      <w:r>
        <w:rPr>
          <w:rFonts w:hint="eastAsia"/>
        </w:rPr>
        <w:t>贮</w:t>
      </w:r>
      <w:r>
        <w:t>藏与运输等技术要求。</w:t>
      </w:r>
    </w:p>
    <w:p>
      <w:pPr>
        <w:pStyle w:val="57"/>
        <w:ind w:firstLine="420"/>
      </w:pPr>
      <w:r>
        <w:t>本标准适用于湖南省范围内的鲜食嫩果尖椒。</w:t>
      </w:r>
    </w:p>
    <w:p>
      <w:pPr>
        <w:pStyle w:val="105"/>
        <w:spacing w:before="312" w:after="312"/>
      </w:pPr>
      <w:bookmarkStart w:id="40" w:name="_Toc26718931"/>
      <w:bookmarkStart w:id="41" w:name="_Toc26986531"/>
      <w:bookmarkStart w:id="42" w:name="_Toc26986772"/>
      <w:bookmarkStart w:id="43" w:name="_Toc97191424"/>
      <w:bookmarkStart w:id="44" w:name="_Toc153206138"/>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AD87F9DE3BA4DE6A11104BDD962E00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pPr>
            <w:pStyle w:val="57"/>
            <w:ind w:firstLine="420"/>
            <w:rPr>
              <w:rFonts w:hint="default" w:ascii="Times New Roman" w:hAnsi="Times New Roman"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default" w:ascii="Times New Roman" w:hAnsi="Times New Roman" w:cs="Times New Roman"/>
          <w:lang w:val="en-US" w:eastAsia="zh-CN"/>
        </w:rPr>
      </w:pPr>
      <w:bookmarkStart w:id="45" w:name="OLE_LINK66"/>
      <w:bookmarkStart w:id="46" w:name="OLE_LINK67"/>
      <w:r>
        <w:rPr>
          <w:rFonts w:hint="default" w:ascii="Times New Roman" w:hAnsi="Times New Roman" w:cs="Times New Roman"/>
          <w:lang w:val="en-US" w:eastAsia="zh-CN"/>
        </w:rPr>
        <w:t>GB/T 12729.2 香辛料和调味品 取样方法</w:t>
      </w:r>
    </w:p>
    <w:bookmarkEnd w:id="45"/>
    <w:bookmarkEnd w:id="46"/>
    <w:p>
      <w:pPr>
        <w:pStyle w:val="57"/>
        <w:ind w:firstLine="420"/>
        <w:rPr>
          <w:rFonts w:hint="default" w:ascii="Times New Roman" w:hAnsi="Times New Roman" w:cs="Times New Roman"/>
          <w:lang w:val="en-US" w:eastAsia="zh-CN"/>
        </w:rPr>
      </w:pPr>
      <w:bookmarkStart w:id="47" w:name="OLE_LINK71"/>
      <w:bookmarkStart w:id="48" w:name="OLE_LINK72"/>
      <w:r>
        <w:rPr>
          <w:rFonts w:hint="default" w:ascii="Times New Roman" w:hAnsi="Times New Roman" w:cs="Times New Roman"/>
          <w:lang w:val="en-US" w:eastAsia="zh-CN"/>
        </w:rPr>
        <w:t>GB/T 23244</w:t>
      </w:r>
      <w:bookmarkEnd w:id="47"/>
      <w:bookmarkEnd w:id="48"/>
      <w:r>
        <w:rPr>
          <w:rFonts w:hint="default" w:ascii="Times New Roman" w:hAnsi="Times New Roman" w:cs="Times New Roman"/>
          <w:lang w:val="en-US" w:eastAsia="zh-CN"/>
        </w:rPr>
        <w:t xml:space="preserve"> </w:t>
      </w:r>
      <w:bookmarkStart w:id="49" w:name="OLE_LINK69"/>
      <w:r>
        <w:rPr>
          <w:rFonts w:hint="default" w:ascii="Times New Roman" w:hAnsi="Times New Roman" w:cs="Times New Roman"/>
          <w:lang w:val="en-US" w:eastAsia="zh-CN"/>
        </w:rPr>
        <w:t>水果和蔬菜气调贮藏技术规范</w:t>
      </w:r>
      <w:bookmarkEnd w:id="49"/>
    </w:p>
    <w:p>
      <w:pPr>
        <w:pStyle w:val="57"/>
        <w:ind w:firstLine="420"/>
        <w:rPr>
          <w:rFonts w:hint="default" w:ascii="Times New Roman" w:hAnsi="Times New Roman" w:cs="Times New Roman"/>
          <w:lang w:val="en-US" w:eastAsia="zh-CN"/>
        </w:rPr>
      </w:pPr>
      <w:bookmarkStart w:id="50" w:name="OLE_LINK74"/>
      <w:bookmarkStart w:id="51" w:name="OLE_LINK73"/>
      <w:r>
        <w:rPr>
          <w:rFonts w:hint="default" w:ascii="Times New Roman" w:hAnsi="Times New Roman" w:cs="Times New Roman"/>
          <w:lang w:val="en-US" w:eastAsia="zh-CN"/>
        </w:rPr>
        <w:t>GB/T 26430 水果和蔬菜 形态学和结构学术语</w:t>
      </w:r>
      <w:bookmarkEnd w:id="50"/>
      <w:bookmarkEnd w:id="51"/>
    </w:p>
    <w:p>
      <w:pPr>
        <w:pStyle w:val="57"/>
        <w:ind w:firstLine="420"/>
        <w:rPr>
          <w:rFonts w:hint="default" w:ascii="Times New Roman" w:hAnsi="Times New Roman" w:cs="Times New Roman"/>
          <w:lang w:val="en-US" w:eastAsia="zh-CN"/>
        </w:rPr>
      </w:pPr>
      <w:bookmarkStart w:id="52" w:name="OLE_LINK76"/>
      <w:r>
        <w:rPr>
          <w:rFonts w:hint="default" w:ascii="Times New Roman" w:hAnsi="Times New Roman" w:cs="Times New Roman"/>
          <w:lang w:val="en-US" w:eastAsia="zh-CN"/>
        </w:rPr>
        <w:t>NY/T 1203 茄果类蔬菜储藏保鲜技术规程</w:t>
      </w:r>
      <w:bookmarkEnd w:id="52"/>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ab/>
      </w:r>
    </w:p>
    <w:p>
      <w:pPr>
        <w:pStyle w:val="105"/>
        <w:spacing w:before="312" w:after="312"/>
        <w:rPr>
          <w:rFonts w:hint="default" w:ascii="Times New Roman" w:hAnsi="Times New Roman" w:cs="Times New Roman"/>
        </w:rPr>
      </w:pPr>
      <w:bookmarkStart w:id="53" w:name="_Toc97191425"/>
      <w:bookmarkStart w:id="54" w:name="_Toc153206139"/>
      <w:r>
        <w:rPr>
          <w:rFonts w:hint="default" w:ascii="Times New Roman" w:hAnsi="Times New Roman" w:cs="Times New Roman"/>
          <w:szCs w:val="21"/>
        </w:rPr>
        <w:t>术语和定义</w:t>
      </w:r>
      <w:bookmarkEnd w:id="53"/>
      <w:bookmarkEnd w:id="54"/>
    </w:p>
    <w:sdt>
      <w:sdtPr>
        <w:rPr>
          <w:rFonts w:hint="default" w:ascii="Times New Roman" w:hAnsi="Times New Roman" w:cs="Times New Roman"/>
        </w:rPr>
        <w:id w:val="-1909835108"/>
        <w:placeholder>
          <w:docPart w:val="C68C6B0E4EB74DF2873AC0D7B6BB09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p>
          <w:pPr>
            <w:pStyle w:val="57"/>
            <w:ind w:firstLine="420"/>
            <w:rPr>
              <w:rFonts w:hint="default" w:ascii="Times New Roman" w:hAnsi="Times New Roman" w:cs="Times New Roman"/>
            </w:rPr>
          </w:pPr>
          <w:bookmarkStart w:id="55" w:name="_Toc26986532"/>
          <w:bookmarkEnd w:id="55"/>
          <w:r>
            <w:rPr>
              <w:rFonts w:hint="default" w:ascii="Times New Roman" w:hAnsi="Times New Roman" w:eastAsia="宋体" w:cs="Times New Roman"/>
              <w:sz w:val="21"/>
              <w:lang w:val="en-US" w:eastAsia="zh-CN" w:bidi="ar-SA"/>
            </w:rPr>
            <w:t>下列术语和定义适用于本文件。</w:t>
          </w:r>
        </w:p>
      </w:sdtContent>
    </w:sdt>
    <w:p>
      <w:pPr>
        <w:pStyle w:val="106"/>
        <w:spacing w:before="156" w:after="156"/>
        <w:rPr>
          <w:rFonts w:hint="default" w:ascii="Times New Roman" w:hAnsi="Times New Roman" w:cs="Times New Roman"/>
        </w:rPr>
      </w:pPr>
    </w:p>
    <w:p>
      <w:pPr>
        <w:pStyle w:val="57"/>
        <w:ind w:firstLine="420"/>
        <w:rPr>
          <w:rFonts w:hint="eastAsia"/>
          <w:b/>
          <w:bCs/>
        </w:rPr>
      </w:pPr>
      <w:r>
        <w:rPr>
          <w:rFonts w:hint="eastAsia"/>
          <w:b/>
          <w:bCs/>
        </w:rPr>
        <w:t>嫩果尖椒</w:t>
      </w:r>
      <w:r>
        <w:rPr>
          <w:rFonts w:hint="eastAsia"/>
          <w:b/>
          <w:bCs/>
          <w:lang w:val="en-US" w:eastAsia="zh-CN"/>
        </w:rPr>
        <w:t xml:space="preserve">  t</w:t>
      </w:r>
      <w:r>
        <w:rPr>
          <w:rFonts w:hint="eastAsia"/>
          <w:b/>
          <w:bCs/>
        </w:rPr>
        <w:t xml:space="preserve">ender </w:t>
      </w:r>
      <w:r>
        <w:rPr>
          <w:rFonts w:hint="eastAsia"/>
          <w:b/>
          <w:bCs/>
          <w:lang w:val="en-US" w:eastAsia="zh-CN"/>
        </w:rPr>
        <w:t>p</w:t>
      </w:r>
      <w:r>
        <w:rPr>
          <w:rFonts w:hint="eastAsia"/>
          <w:b/>
          <w:bCs/>
        </w:rPr>
        <w:t xml:space="preserve">epper </w:t>
      </w:r>
      <w:r>
        <w:rPr>
          <w:rFonts w:hint="eastAsia"/>
          <w:b/>
          <w:bCs/>
          <w:lang w:val="en-US" w:eastAsia="zh-CN"/>
        </w:rPr>
        <w:t>f</w:t>
      </w:r>
      <w:bookmarkStart w:id="62" w:name="_GoBack"/>
      <w:bookmarkEnd w:id="62"/>
      <w:r>
        <w:rPr>
          <w:rFonts w:hint="eastAsia"/>
          <w:b/>
          <w:bCs/>
        </w:rPr>
        <w:t>ruit</w:t>
      </w:r>
    </w:p>
    <w:p>
      <w:pPr>
        <w:pStyle w:val="57"/>
        <w:ind w:firstLine="420"/>
      </w:pPr>
      <w:r>
        <w:rPr>
          <w:rFonts w:hint="eastAsia"/>
        </w:rPr>
        <w:t>指大小适中，表皮较薄、质地光滑或微皱，果尖</w:t>
      </w:r>
      <w:r>
        <w:rPr>
          <w:rFonts w:hint="eastAsia"/>
          <w:lang w:val="en-US" w:eastAsia="zh-CN"/>
        </w:rPr>
        <w:t>钝</w:t>
      </w:r>
      <w:r>
        <w:rPr>
          <w:rFonts w:hint="eastAsia"/>
        </w:rPr>
        <w:t>、</w:t>
      </w:r>
      <w:r>
        <w:rPr>
          <w:rFonts w:hint="eastAsia"/>
          <w:lang w:val="en-US" w:eastAsia="zh-CN"/>
        </w:rPr>
        <w:t>钝尖，</w:t>
      </w:r>
      <w:r>
        <w:rPr>
          <w:rFonts w:hint="eastAsia"/>
        </w:rPr>
        <w:t>果实近似梯形、牛角或羊角的新鲜果实。</w:t>
      </w:r>
    </w:p>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硬度hardness</w:t>
      </w:r>
    </w:p>
    <w:p>
      <w:pPr>
        <w:pStyle w:val="57"/>
        <w:ind w:firstLine="420"/>
      </w:pPr>
      <w:r>
        <w:rPr>
          <w:rFonts w:hint="eastAsia"/>
        </w:rPr>
        <w:t>辣椒果实在其发育和成熟过程中，所表现出的所有可观察与可测量特征。</w:t>
      </w:r>
    </w:p>
    <w:p>
      <w:pPr>
        <w:pStyle w:val="105"/>
        <w:spacing w:before="312" w:after="312"/>
        <w:rPr>
          <w:rFonts w:hint="default" w:ascii="Times New Roman" w:hAnsi="Times New Roman" w:cs="Times New Roman"/>
        </w:rPr>
      </w:pPr>
      <w:r>
        <w:rPr>
          <w:rFonts w:hint="default" w:ascii="Times New Roman" w:hAnsi="Times New Roman" w:cs="Times New Roman"/>
          <w:lang w:val="en-US" w:eastAsia="zh-CN"/>
        </w:rPr>
        <w:t>样品要求</w:t>
      </w:r>
    </w:p>
    <w:p>
      <w:pPr>
        <w:pStyle w:val="57"/>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要求早熟、耐低温弱光、果实膨大速度快、坐果能力强，第一开花7-9节。品种形态学要求要求符合GB/T 26430的要求。</w:t>
      </w:r>
    </w:p>
    <w:p>
      <w:pPr>
        <w:pStyle w:val="57"/>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取样应符合GB/T 12729.2要求，采样应在第一次开花后12d -18 d。</w:t>
      </w:r>
    </w:p>
    <w:p>
      <w:pPr>
        <w:pStyle w:val="105"/>
        <w:spacing w:before="312" w:after="312"/>
        <w:rPr>
          <w:rFonts w:hint="default" w:ascii="Times New Roman" w:hAnsi="Times New Roman" w:cs="Times New Roman"/>
          <w:szCs w:val="21"/>
        </w:rPr>
      </w:pPr>
      <w:r>
        <w:rPr>
          <w:rFonts w:hint="default" w:ascii="Times New Roman" w:hAnsi="Times New Roman" w:cs="Times New Roman"/>
          <w:szCs w:val="21"/>
        </w:rPr>
        <w:t>技术要求</w:t>
      </w:r>
    </w:p>
    <w:p>
      <w:pPr>
        <w:pStyle w:val="106"/>
        <w:spacing w:before="156" w:after="156"/>
        <w:rPr>
          <w:rFonts w:hint="default" w:ascii="Times New Roman" w:hAnsi="Times New Roman" w:cs="Times New Roman"/>
        </w:rPr>
      </w:pPr>
      <w:r>
        <w:rPr>
          <w:rFonts w:hint="default" w:ascii="Times New Roman" w:hAnsi="Times New Roman" w:cs="Times New Roman"/>
          <w:lang w:val="en-US" w:eastAsia="zh-CN"/>
        </w:rPr>
        <w:t>果实</w:t>
      </w:r>
      <w:r>
        <w:rPr>
          <w:rFonts w:hint="eastAsia" w:ascii="Times New Roman" w:cs="Times New Roman"/>
          <w:lang w:val="en-US" w:eastAsia="zh-CN"/>
        </w:rPr>
        <w:t>外观</w:t>
      </w:r>
    </w:p>
    <w:p>
      <w:pPr>
        <w:pStyle w:val="57"/>
        <w:rPr>
          <w:rFonts w:hint="default"/>
        </w:rPr>
      </w:pPr>
      <w:r>
        <w:rPr>
          <w:rFonts w:hint="default"/>
        </w:rPr>
        <w:t>果实大小适中，表面光滑或微皱，果尖</w:t>
      </w:r>
      <w:r>
        <w:rPr>
          <w:rFonts w:hint="default"/>
          <w:lang w:val="en-US" w:eastAsia="zh-CN"/>
        </w:rPr>
        <w:t>钝</w:t>
      </w:r>
      <w:r>
        <w:rPr>
          <w:rFonts w:hint="default"/>
        </w:rPr>
        <w:t>、</w:t>
      </w:r>
      <w:r>
        <w:rPr>
          <w:rFonts w:hint="default"/>
          <w:lang w:val="en-US" w:eastAsia="zh-CN"/>
        </w:rPr>
        <w:t>钝尖</w:t>
      </w:r>
      <w:r>
        <w:rPr>
          <w:rFonts w:hint="default"/>
        </w:rPr>
        <w:t>，果</w:t>
      </w:r>
      <w:r>
        <w:rPr>
          <w:rFonts w:hint="default"/>
          <w:lang w:val="en-US" w:eastAsia="zh-CN"/>
        </w:rPr>
        <w:t>绿</w:t>
      </w:r>
      <w:r>
        <w:rPr>
          <w:rFonts w:hint="default"/>
        </w:rPr>
        <w:t>颜色为</w:t>
      </w:r>
      <w:r>
        <w:rPr>
          <w:rFonts w:hint="default"/>
          <w:lang w:val="en-US" w:eastAsia="zh-CN"/>
        </w:rPr>
        <w:t>绿、</w:t>
      </w:r>
      <w:r>
        <w:rPr>
          <w:rFonts w:hint="default"/>
        </w:rPr>
        <w:t>碧绿、有光泽、一致。</w:t>
      </w:r>
    </w:p>
    <w:p>
      <w:pPr>
        <w:pStyle w:val="106"/>
        <w:spacing w:before="156" w:after="156"/>
        <w:rPr>
          <w:rFonts w:hint="default" w:ascii="Times New Roman" w:hAnsi="Times New Roman" w:cs="Times New Roman"/>
        </w:rPr>
      </w:pPr>
      <w:r>
        <w:rPr>
          <w:rFonts w:hint="eastAsia" w:ascii="Times New Roman" w:cs="Times New Roman"/>
          <w:lang w:val="en-US" w:eastAsia="zh-CN"/>
        </w:rPr>
        <w:t>硬度</w:t>
      </w:r>
      <w:r>
        <w:rPr>
          <w:rFonts w:hint="default" w:ascii="Times New Roman" w:hAnsi="Times New Roman" w:cs="Times New Roman"/>
        </w:rPr>
        <w:t xml:space="preserve"> </w:t>
      </w:r>
    </w:p>
    <w:p>
      <w:pPr>
        <w:pStyle w:val="57"/>
        <w:ind w:firstLine="0" w:firstLineChars="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 xml:space="preserve">  果实硬度</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1.70 kg·cm</w:t>
      </w:r>
      <w:r>
        <w:rPr>
          <w:rFonts w:hint="default" w:ascii="Times New Roman" w:hAnsi="Times New Roman" w:cs="Times New Roman"/>
          <w:sz w:val="21"/>
          <w:szCs w:val="20"/>
          <w:vertAlign w:val="superscript"/>
          <w:lang w:val="en-US" w:eastAsia="zh-CN"/>
        </w:rPr>
        <w:t>-2</w:t>
      </w:r>
      <w:r>
        <w:rPr>
          <w:rFonts w:hint="default" w:ascii="Times New Roman" w:hAnsi="Times New Roman" w:cs="Times New Roman"/>
          <w:i w:val="0"/>
          <w:iCs w:val="0"/>
          <w:caps w:val="0"/>
          <w:spacing w:val="0"/>
          <w:sz w:val="21"/>
          <w:szCs w:val="20"/>
          <w:shd w:val="clear"/>
          <w:lang w:val="en-US" w:eastAsia="zh-CN"/>
        </w:rPr>
        <w:t>。</w:t>
      </w:r>
      <w:r>
        <w:rPr>
          <w:rFonts w:hint="eastAsia" w:hAnsi="黑体" w:cs="黑体"/>
          <w:szCs w:val="22"/>
          <w:lang w:val="en-US" w:eastAsia="zh-CN"/>
        </w:rPr>
        <w:t xml:space="preserve"> </w:t>
      </w:r>
    </w:p>
    <w:p>
      <w:pPr>
        <w:pStyle w:val="106"/>
        <w:spacing w:before="156" w:after="156"/>
        <w:rPr>
          <w:rFonts w:hint="default" w:ascii="Times New Roman" w:hAnsi="Times New Roman" w:cs="Times New Roman"/>
        </w:rPr>
      </w:pPr>
      <w:bookmarkStart w:id="56" w:name="_Toc153206142"/>
      <w:r>
        <w:rPr>
          <w:rFonts w:hint="eastAsia" w:ascii="Times New Roman" w:cs="Times New Roman"/>
          <w:lang w:val="en-US" w:eastAsia="zh-CN"/>
        </w:rPr>
        <w:t>角质层厚度</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果实角质层厚度</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20 μm，角质层在扫描电镜下呈现“表皮平整清晰+亮面” 形态。</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维生素C含量</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果实维生素C 含量宜</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0.45 mg·g</w:t>
      </w:r>
      <w:r>
        <w:rPr>
          <w:rFonts w:hint="default" w:ascii="Times New Roman" w:hAnsi="Times New Roman" w:cs="Times New Roman"/>
          <w:sz w:val="21"/>
          <w:szCs w:val="20"/>
          <w:vertAlign w:val="superscript"/>
          <w:lang w:val="en-US" w:eastAsia="zh-CN"/>
        </w:rPr>
        <w:t>-1</w:t>
      </w:r>
      <w:r>
        <w:rPr>
          <w:rFonts w:hint="default" w:ascii="Times New Roman" w:hAnsi="Times New Roman" w:cs="Times New Roman"/>
          <w:sz w:val="21"/>
          <w:szCs w:val="20"/>
          <w:lang w:val="en-US" w:eastAsia="zh-CN"/>
        </w:rPr>
        <w:t>。</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可溶性糖含量</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果实可溶性糖含量</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6.2 mg · g</w:t>
      </w:r>
      <w:r>
        <w:rPr>
          <w:rFonts w:hint="default" w:ascii="Times New Roman" w:hAnsi="Times New Roman" w:cs="Times New Roman"/>
          <w:sz w:val="21"/>
          <w:szCs w:val="20"/>
          <w:vertAlign w:val="superscript"/>
          <w:lang w:val="en-US" w:eastAsia="zh-CN"/>
        </w:rPr>
        <w:t>-1</w:t>
      </w:r>
      <w:r>
        <w:rPr>
          <w:rFonts w:hint="default" w:ascii="Times New Roman" w:hAnsi="Times New Roman" w:cs="Times New Roman"/>
          <w:sz w:val="21"/>
          <w:szCs w:val="20"/>
          <w:lang w:val="en-US" w:eastAsia="zh-CN"/>
        </w:rPr>
        <w:t>。</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纤维素含量</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果实纤维素含量</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20.00 mg · g</w:t>
      </w:r>
      <w:r>
        <w:rPr>
          <w:rFonts w:hint="default" w:ascii="Times New Roman" w:hAnsi="Times New Roman" w:cs="Times New Roman"/>
          <w:sz w:val="21"/>
          <w:szCs w:val="20"/>
          <w:vertAlign w:val="superscript"/>
          <w:lang w:val="en-US" w:eastAsia="zh-CN"/>
        </w:rPr>
        <w:t>-1</w:t>
      </w:r>
      <w:r>
        <w:rPr>
          <w:rFonts w:hint="default" w:ascii="Times New Roman" w:hAnsi="Times New Roman" w:cs="Times New Roman"/>
          <w:sz w:val="21"/>
          <w:szCs w:val="20"/>
          <w:lang w:val="en-US" w:eastAsia="zh-CN"/>
        </w:rPr>
        <w:t>。</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总果胶含量</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果实总果胶含量</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w:t>
      </w:r>
      <w:r>
        <w:rPr>
          <w:rFonts w:hint="eastAsia" w:ascii="Times New Roman" w:cs="Times New Roman"/>
          <w:sz w:val="21"/>
          <w:szCs w:val="20"/>
          <w:lang w:val="en-US" w:eastAsia="zh-CN"/>
        </w:rPr>
        <w:t xml:space="preserve"> </w:t>
      </w:r>
      <w:r>
        <w:rPr>
          <w:rFonts w:hint="default" w:ascii="Times New Roman" w:hAnsi="Times New Roman" w:cs="Times New Roman"/>
          <w:sz w:val="21"/>
          <w:szCs w:val="20"/>
          <w:lang w:val="en-US" w:eastAsia="zh-CN"/>
        </w:rPr>
        <w:t>20 mg · g</w:t>
      </w:r>
      <w:r>
        <w:rPr>
          <w:rFonts w:hint="default" w:ascii="Times New Roman" w:hAnsi="Times New Roman" w:cs="Times New Roman"/>
          <w:sz w:val="21"/>
          <w:szCs w:val="20"/>
          <w:vertAlign w:val="superscript"/>
          <w:lang w:val="en-US" w:eastAsia="zh-CN"/>
        </w:rPr>
        <w:t>-1</w:t>
      </w:r>
      <w:r>
        <w:rPr>
          <w:rFonts w:hint="default" w:ascii="Times New Roman" w:hAnsi="Times New Roman" w:cs="Times New Roman"/>
          <w:sz w:val="21"/>
          <w:szCs w:val="20"/>
          <w:lang w:val="en-US" w:eastAsia="zh-CN"/>
        </w:rPr>
        <w:t>。</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辣椒素含量</w:t>
      </w:r>
    </w:p>
    <w:p>
      <w:pPr>
        <w:ind w:firstLine="420" w:firstLineChars="200"/>
        <w:rPr>
          <w:rFonts w:hint="default" w:ascii="Times New Roman" w:hAnsi="Times New Roman" w:cs="Times New Roman"/>
          <w:lang w:val="en-US" w:eastAsia="zh-CN"/>
        </w:rPr>
      </w:pPr>
      <w:r>
        <w:rPr>
          <w:rFonts w:hint="default" w:ascii="Times New Roman" w:hAnsi="Times New Roman" w:cs="Times New Roman"/>
        </w:rPr>
        <w:t>辣椒素含量在2000SHU</w:t>
      </w:r>
      <w:r>
        <w:rPr>
          <w:rFonts w:hint="eastAsia" w:ascii="Times New Roman" w:hAnsi="Times New Roman" w:cs="Times New Roman"/>
          <w:lang w:val="en-US" w:eastAsia="zh-CN"/>
        </w:rPr>
        <w:t xml:space="preserve"> </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4000SHU，为微辣型。</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香味成分</w:t>
      </w:r>
    </w:p>
    <w:p>
      <w:pPr>
        <w:ind w:firstLine="420" w:firstLineChars="200"/>
        <w:rPr>
          <w:rFonts w:hint="default" w:ascii="Times New Roman" w:hAnsi="Times New Roman" w:cs="Times New Roman"/>
          <w:lang w:val="en-US" w:eastAsia="zh-CN"/>
        </w:rPr>
      </w:pPr>
      <w:r>
        <w:rPr>
          <w:rFonts w:hint="default" w:ascii="Times New Roman" w:hAnsi="Times New Roman" w:cs="Times New Roman"/>
        </w:rPr>
        <w:t>主要香味成分是芳樟醇、罗勒烯、β-紫罗兰酮、己醛和反-2-己烯醛等物质。</w:t>
      </w:r>
    </w:p>
    <w:bookmarkEnd w:id="23"/>
    <w:bookmarkEnd w:id="56"/>
    <w:p>
      <w:pPr>
        <w:pStyle w:val="105"/>
        <w:spacing w:before="312" w:after="312"/>
        <w:rPr>
          <w:rFonts w:hint="default" w:ascii="Times New Roman" w:hAnsi="Times New Roman" w:cs="Times New Roman"/>
          <w:szCs w:val="21"/>
        </w:rPr>
      </w:pPr>
      <w:bookmarkStart w:id="57" w:name="BookMark8"/>
      <w:r>
        <w:rPr>
          <w:rFonts w:hint="eastAsia" w:ascii="Times New Roman" w:cs="Times New Roman"/>
          <w:szCs w:val="21"/>
          <w:lang w:val="en-US" w:eastAsia="zh-CN"/>
        </w:rPr>
        <w:t>测定</w:t>
      </w:r>
      <w:r>
        <w:rPr>
          <w:rFonts w:hint="default" w:ascii="Times New Roman" w:hAnsi="Times New Roman" w:cs="Times New Roman"/>
          <w:szCs w:val="21"/>
        </w:rPr>
        <w:t>方法</w:t>
      </w:r>
    </w:p>
    <w:p>
      <w:pPr>
        <w:pStyle w:val="57"/>
        <w:rPr>
          <w:rFonts w:hint="default" w:ascii="Times New Roman" w:hAnsi="Times New Roman" w:cs="Times New Roman"/>
          <w:lang w:val="en-US" w:eastAsia="zh-CN"/>
        </w:rPr>
      </w:pPr>
      <w:r>
        <w:rPr>
          <w:rFonts w:hint="default" w:ascii="Times New Roman" w:hAnsi="Times New Roman" w:cs="Times New Roman"/>
          <w:lang w:val="en-US" w:eastAsia="zh-CN"/>
        </w:rPr>
        <w:t>测定的指标有</w:t>
      </w:r>
      <w:bookmarkStart w:id="58" w:name="OLE_LINK80"/>
      <w:bookmarkStart w:id="59" w:name="OLE_LINK81"/>
      <w:r>
        <w:rPr>
          <w:rFonts w:hint="default" w:ascii="Times New Roman" w:hAnsi="Times New Roman" w:cs="Times New Roman"/>
          <w:lang w:val="en-US" w:eastAsia="zh-CN"/>
        </w:rPr>
        <w:t>果实硬度、角质层厚度、维生素C</w:t>
      </w:r>
      <w:r>
        <w:rPr>
          <w:rFonts w:hint="eastAsia" w:ascii="Times New Roman" w:cs="Times New Roman"/>
          <w:lang w:val="en-US" w:eastAsia="zh-CN"/>
        </w:rPr>
        <w:t>含量</w:t>
      </w:r>
      <w:r>
        <w:rPr>
          <w:rFonts w:hint="default" w:ascii="Times New Roman" w:hAnsi="Times New Roman" w:cs="Times New Roman"/>
          <w:lang w:val="en-US" w:eastAsia="zh-CN"/>
        </w:rPr>
        <w:t>、可溶性糖</w:t>
      </w:r>
      <w:r>
        <w:rPr>
          <w:rFonts w:hint="eastAsia" w:ascii="Times New Roman" w:cs="Times New Roman"/>
          <w:lang w:val="en-US" w:eastAsia="zh-CN"/>
        </w:rPr>
        <w:t>含量</w:t>
      </w:r>
      <w:r>
        <w:rPr>
          <w:rFonts w:hint="default" w:ascii="Times New Roman" w:hAnsi="Times New Roman" w:cs="Times New Roman"/>
          <w:lang w:val="en-US" w:eastAsia="zh-CN"/>
        </w:rPr>
        <w:t>、纤维素含量、总果胶含量、辣椒素含量、香味成分</w:t>
      </w:r>
      <w:bookmarkEnd w:id="58"/>
      <w:bookmarkEnd w:id="59"/>
      <w:r>
        <w:rPr>
          <w:rFonts w:hint="default" w:ascii="Times New Roman" w:hAnsi="Times New Roman" w:cs="Times New Roman"/>
          <w:lang w:val="en-US" w:eastAsia="zh-CN"/>
        </w:rPr>
        <w:t>。</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果实硬度</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采用显水果硬度计，测定果实上、中、下部位的硬度，取其平均值。</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角质层厚度</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采用显微镜和扫描电子显微镜观察辣椒果实细胞结构并拍照，用软件测量角质层厚度。</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维生素C含量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将果实去除果柄和种子，取果实中部组织，VC含量采用试剂盒。</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可溶性糖</w:t>
      </w:r>
      <w:r>
        <w:rPr>
          <w:rFonts w:hint="default" w:ascii="Times New Roman" w:hAnsi="Times New Roman" w:cs="Times New Roman"/>
          <w:lang w:val="en-US" w:eastAsia="zh-CN"/>
        </w:rPr>
        <w:t>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将果实去除果柄和种子，取果实中部组织，可溶性糖用蒽酮比色法测定。</w:t>
      </w:r>
    </w:p>
    <w:p>
      <w:pPr>
        <w:keepNext w:val="0"/>
        <w:keepLines w:val="0"/>
        <w:widowControl/>
        <w:suppressLineNumbers w:val="0"/>
        <w:ind w:firstLine="420" w:firstLineChars="200"/>
        <w:jc w:val="left"/>
        <w:rPr>
          <w:rFonts w:hint="default" w:ascii="Times New Roman" w:hAnsi="Times New Roman" w:cs="Times New Roman"/>
          <w:lang w:val="en-US" w:eastAsia="zh-CN"/>
        </w:rPr>
      </w:pP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纤维素含量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将果实去除果柄和种子，取果实中部组织，采用纤维素含量测定试剂盒。根据试剂盒中相关指标的具体测定波长，采用多功能酶标仪进行测定。</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总果胶</w:t>
      </w:r>
      <w:r>
        <w:rPr>
          <w:rFonts w:hint="default" w:ascii="Times New Roman" w:hAnsi="Times New Roman" w:cs="Times New Roman"/>
          <w:lang w:val="en-US" w:eastAsia="zh-CN"/>
        </w:rPr>
        <w:t>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将果实去除果柄和种子，取果实中部组织，采用总果胶含量测定试剂盒。根据试剂盒中相关指标的具体测定波长，采用多功能酶标仪进行测定。</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辣椒素</w:t>
      </w:r>
      <w:r>
        <w:rPr>
          <w:rFonts w:hint="default" w:ascii="Times New Roman" w:hAnsi="Times New Roman" w:cs="Times New Roman"/>
          <w:lang w:val="en-US" w:eastAsia="zh-CN"/>
        </w:rPr>
        <w:t>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果实去除果柄和种子，在烘箱中50℃条件下烘干至恒重，用粉碎机研磨成均匀粉末，过0.394 mm筛，备用。采用竞争性酶联免疫吸附检测法测定辣椒素含量。</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香气成分</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果实去除果柄和种子，液氮研磨成均匀细粉，顶空萃取，GC-MS分析。</w:t>
      </w:r>
    </w:p>
    <w:p>
      <w:pPr>
        <w:pStyle w:val="105"/>
        <w:spacing w:before="312" w:after="312"/>
        <w:rPr>
          <w:rFonts w:hint="default" w:ascii="Times New Roman" w:hAnsi="Times New Roman" w:cs="Times New Roman"/>
          <w:szCs w:val="21"/>
        </w:rPr>
      </w:pPr>
      <w:bookmarkStart w:id="60" w:name="OLE_LINK83"/>
      <w:bookmarkStart w:id="61" w:name="OLE_LINK82"/>
      <w:r>
        <w:rPr>
          <w:rFonts w:hint="default" w:ascii="Times New Roman" w:hAnsi="Times New Roman" w:cs="Times New Roman"/>
          <w:szCs w:val="21"/>
        </w:rPr>
        <w:t>贮藏与运输</w:t>
      </w:r>
      <w:bookmarkEnd w:id="60"/>
      <w:bookmarkEnd w:id="61"/>
    </w:p>
    <w:p>
      <w:pPr>
        <w:pStyle w:val="106"/>
        <w:spacing w:before="156" w:after="156"/>
        <w:rPr>
          <w:rFonts w:hint="default" w:ascii="Times New Roman" w:hAnsi="Times New Roman" w:cs="Times New Roman"/>
        </w:rPr>
      </w:pPr>
      <w:r>
        <w:rPr>
          <w:rFonts w:hint="eastAsia" w:ascii="Times New Roman" w:cs="Times New Roman"/>
          <w:lang w:val="en-US" w:eastAsia="zh-CN"/>
        </w:rPr>
        <w:t>贮藏</w:t>
      </w:r>
    </w:p>
    <w:p>
      <w:pPr>
        <w:pStyle w:val="57"/>
        <w:rPr>
          <w:rFonts w:hint="eastAsia" w:ascii="Times New Roman" w:hAnsi="Times New Roman" w:eastAsia="宋体" w:cs="Times New Roman"/>
          <w:sz w:val="21"/>
          <w:lang w:eastAsia="zh-CN"/>
        </w:rPr>
      </w:pPr>
      <w:r>
        <w:rPr>
          <w:rFonts w:hint="default" w:ascii="Times New Roman" w:hAnsi="Times New Roman" w:cs="Times New Roman"/>
          <w:sz w:val="21"/>
        </w:rPr>
        <w:t>普通冷藏以贮藏温度7℃</w:t>
      </w:r>
      <w:r>
        <w:rPr>
          <w:rFonts w:hint="eastAsia" w:ascii="Times New Roman" w:cs="Times New Roman"/>
          <w:sz w:val="21"/>
          <w:lang w:val="en-US" w:eastAsia="zh-CN"/>
        </w:rPr>
        <w:t xml:space="preserve"> - </w:t>
      </w:r>
      <w:r>
        <w:rPr>
          <w:rFonts w:hint="default" w:ascii="Times New Roman" w:hAnsi="Times New Roman" w:cs="Times New Roman"/>
          <w:sz w:val="21"/>
        </w:rPr>
        <w:t>9℃、相对湿度90%</w:t>
      </w:r>
      <w:r>
        <w:rPr>
          <w:rFonts w:hint="eastAsia" w:ascii="Times New Roman" w:cs="Times New Roman"/>
          <w:sz w:val="21"/>
          <w:lang w:val="en-US" w:eastAsia="zh-CN"/>
        </w:rPr>
        <w:t xml:space="preserve"> - </w:t>
      </w:r>
      <w:r>
        <w:rPr>
          <w:rFonts w:hint="default" w:ascii="Times New Roman" w:hAnsi="Times New Roman" w:cs="Times New Roman"/>
          <w:sz w:val="21"/>
        </w:rPr>
        <w:t>95%为宜；气调贮藏以贮藏温度7℃</w:t>
      </w:r>
      <w:r>
        <w:rPr>
          <w:rFonts w:hint="eastAsia" w:ascii="Times New Roman" w:cs="Times New Roman"/>
          <w:sz w:val="21"/>
          <w:lang w:val="en-US" w:eastAsia="zh-CN"/>
        </w:rPr>
        <w:t xml:space="preserve"> - </w:t>
      </w:r>
      <w:r>
        <w:rPr>
          <w:rFonts w:hint="default" w:ascii="Times New Roman" w:hAnsi="Times New Roman" w:cs="Times New Roman"/>
          <w:sz w:val="21"/>
        </w:rPr>
        <w:t>9℃、相对湿度90%</w:t>
      </w:r>
      <w:r>
        <w:rPr>
          <w:rFonts w:hint="eastAsia" w:ascii="Times New Roman" w:cs="Times New Roman"/>
          <w:sz w:val="21"/>
          <w:lang w:val="en-US" w:eastAsia="zh-CN"/>
        </w:rPr>
        <w:t xml:space="preserve"> - </w:t>
      </w:r>
      <w:r>
        <w:rPr>
          <w:rFonts w:hint="default" w:ascii="Times New Roman" w:hAnsi="Times New Roman" w:cs="Times New Roman"/>
          <w:sz w:val="21"/>
        </w:rPr>
        <w:t>95%、O</w:t>
      </w:r>
      <w:r>
        <w:rPr>
          <w:rFonts w:hint="default" w:ascii="Times New Roman" w:hAnsi="Times New Roman" w:cs="Times New Roman"/>
          <w:sz w:val="21"/>
          <w:vertAlign w:val="subscript"/>
        </w:rPr>
        <w:t>2</w:t>
      </w:r>
      <w:r>
        <w:rPr>
          <w:rFonts w:hint="default" w:ascii="Times New Roman" w:hAnsi="Times New Roman" w:cs="Times New Roman"/>
          <w:sz w:val="21"/>
        </w:rPr>
        <w:t>含量2%</w:t>
      </w:r>
      <w:r>
        <w:rPr>
          <w:rFonts w:hint="eastAsia" w:ascii="Times New Roman" w:cs="Times New Roman"/>
          <w:sz w:val="21"/>
          <w:lang w:val="en-US" w:eastAsia="zh-CN"/>
        </w:rPr>
        <w:t xml:space="preserve"> - </w:t>
      </w:r>
      <w:r>
        <w:rPr>
          <w:rFonts w:hint="default" w:ascii="Times New Roman" w:hAnsi="Times New Roman" w:cs="Times New Roman"/>
          <w:sz w:val="21"/>
        </w:rPr>
        <w:t>8%、CO</w:t>
      </w:r>
      <w:r>
        <w:rPr>
          <w:rFonts w:hint="default" w:ascii="Times New Roman" w:hAnsi="Times New Roman" w:cs="Times New Roman"/>
          <w:sz w:val="21"/>
          <w:vertAlign w:val="subscript"/>
        </w:rPr>
        <w:t>2</w:t>
      </w:r>
      <w:r>
        <w:rPr>
          <w:rFonts w:hint="default" w:ascii="Times New Roman" w:hAnsi="Times New Roman" w:cs="Times New Roman"/>
          <w:sz w:val="21"/>
        </w:rPr>
        <w:t>含量1%</w:t>
      </w:r>
      <w:r>
        <w:rPr>
          <w:rFonts w:hint="eastAsia" w:ascii="Times New Roman" w:cs="Times New Roman"/>
          <w:sz w:val="21"/>
          <w:lang w:val="en-US" w:eastAsia="zh-CN"/>
        </w:rPr>
        <w:t xml:space="preserve"> - </w:t>
      </w:r>
      <w:r>
        <w:rPr>
          <w:rFonts w:hint="default" w:ascii="Times New Roman" w:hAnsi="Times New Roman" w:cs="Times New Roman"/>
          <w:sz w:val="21"/>
        </w:rPr>
        <w:t>3%为宜</w:t>
      </w:r>
      <w:r>
        <w:rPr>
          <w:rFonts w:hint="eastAsia" w:ascii="Times New Roman" w:cs="Times New Roman"/>
          <w:sz w:val="21"/>
          <w:lang w:eastAsia="zh-CN"/>
        </w:rPr>
        <w:t>。</w:t>
      </w:r>
    </w:p>
    <w:p>
      <w:pPr>
        <w:pStyle w:val="57"/>
        <w:rPr>
          <w:rFonts w:hint="default"/>
          <w:lang w:val="en-US" w:eastAsia="zh-CN"/>
        </w:rPr>
      </w:pPr>
      <w:r>
        <w:rPr>
          <w:rFonts w:hint="default" w:ascii="Times New Roman" w:hAnsi="Times New Roman" w:cs="Times New Roman"/>
          <w:sz w:val="21"/>
        </w:rPr>
        <w:t>贮藏期管理按照NY/T1203和GB/T23244的规定执行。</w:t>
      </w:r>
    </w:p>
    <w:p>
      <w:pPr>
        <w:pStyle w:val="106"/>
        <w:spacing w:before="156" w:after="156"/>
        <w:rPr>
          <w:rFonts w:hint="default" w:ascii="Times New Roman" w:hAnsi="Times New Roman" w:cs="Times New Roman"/>
          <w:lang w:val="en-US" w:eastAsia="zh-CN"/>
        </w:rPr>
      </w:pPr>
      <w:r>
        <w:rPr>
          <w:rFonts w:hint="eastAsia" w:ascii="Times New Roman" w:cs="Times New Roman"/>
          <w:lang w:val="en-US" w:eastAsia="zh-CN"/>
        </w:rPr>
        <w:t>运输</w:t>
      </w:r>
    </w:p>
    <w:p>
      <w:pPr>
        <w:pStyle w:val="66"/>
        <w:spacing w:before="156" w:after="156"/>
        <w:rPr>
          <w:rFonts w:hint="default" w:ascii="Times New Roman" w:hAnsi="Times New Roman" w:cs="Times New Roman"/>
          <w:lang w:val="en-US" w:eastAsia="zh-CN"/>
        </w:rPr>
      </w:pPr>
      <w:r>
        <w:rPr>
          <w:rFonts w:hint="default" w:ascii="Times New Roman" w:hAnsi="Times New Roman" w:eastAsia="宋体" w:cs="Times New Roman"/>
          <w:sz w:val="21"/>
          <w:lang w:val="en-US" w:eastAsia="zh-CN" w:bidi="ar-SA"/>
        </w:rPr>
        <w:t>运输工具应清洁、干燥、无毒、无污染、无异味，要求有通风、防晒和防雨雪渗入的设施。</w:t>
      </w:r>
    </w:p>
    <w:p>
      <w:pPr>
        <w:pStyle w:val="66"/>
        <w:spacing w:before="156" w:after="156"/>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运输过程中的温度、相对湿度和通风换气等要求宜与贮藏条件基本一致</w:t>
      </w:r>
      <w:r>
        <w:rPr>
          <w:rFonts w:hint="eastAsia" w:ascii="Times New Roman" w:eastAsia="宋体" w:cs="Times New Roman"/>
          <w:sz w:val="21"/>
          <w:lang w:val="en-US" w:eastAsia="zh-CN" w:bidi="ar-SA"/>
        </w:rPr>
        <w:t>。</w:t>
      </w:r>
    </w:p>
    <w:p>
      <w:pPr>
        <w:pStyle w:val="66"/>
        <w:spacing w:before="156" w:after="156"/>
        <w:rPr>
          <w:rFonts w:hint="default" w:ascii="Times New Roman" w:hAnsi="Times New Roman" w:cs="Times New Roman"/>
          <w:lang w:val="en-US" w:eastAsia="zh-CN"/>
        </w:rPr>
      </w:pPr>
      <w:r>
        <w:rPr>
          <w:rFonts w:hint="default" w:ascii="Times New Roman" w:hAnsi="Times New Roman" w:eastAsia="宋体" w:cs="Times New Roman"/>
          <w:sz w:val="21"/>
          <w:lang w:val="en-US" w:eastAsia="zh-CN" w:bidi="ar-SA"/>
        </w:rPr>
        <w:t>装运及堆码轻拿轻放，严防机械损伤</w:t>
      </w:r>
      <w:r>
        <w:rPr>
          <w:rFonts w:hint="eastAsia" w:ascii="Times New Roman" w:eastAsia="宋体" w:cs="Times New Roman"/>
          <w:sz w:val="21"/>
          <w:lang w:val="en-US" w:eastAsia="zh-CN" w:bidi="ar-SA"/>
        </w:rPr>
        <w:t>。</w:t>
      </w: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bookmarkEnd w:id="57"/>
    <w:p>
      <w:pPr>
        <w:pStyle w:val="57"/>
        <w:ind w:firstLine="0" w:firstLineChars="0"/>
        <w:jc w:val="both"/>
        <w:rPr>
          <w:rFonts w:hint="eastAsia"/>
        </w:rPr>
      </w:pPr>
    </w:p>
    <w:sectPr>
      <w:headerReference r:id="rId11" w:type="default"/>
      <w:footerReference r:id="rId12" w:type="default"/>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Arial Unicode MS">
    <w:altName w:val="Nimbus Roman No9 L"/>
    <w:panose1 w:val="020B0604020202020204"/>
    <w:charset w:val="86"/>
    <w:family w:val="roman"/>
    <w:pitch w:val="default"/>
    <w:sig w:usb0="00000000" w:usb1="00000000" w:usb2="0000003F" w:usb3="00000000" w:csb0="603F01FF" w:csb1="FFFF0000"/>
  </w:font>
  <w:font w:name="方正书宋简体">
    <w:altName w:val="方正书宋_GBK"/>
    <w:panose1 w:val="00000000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233"/>
      <w:suff w:val="nothing"/>
      <w:lvlText w:val="%1.%2　"/>
      <w:lvlJc w:val="left"/>
      <w:pPr>
        <w:ind w:left="426"/>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0000000B"/>
    <w:multiLevelType w:val="multilevel"/>
    <w:tmpl w:val="0000000B"/>
    <w:lvl w:ilvl="0" w:tentative="0">
      <w:start w:val="1"/>
      <w:numFmt w:val="decimal"/>
      <w:pStyle w:val="234"/>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7AAAC29"/>
    <w:multiLevelType w:val="multilevel"/>
    <w:tmpl w:val="17AAAC29"/>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9"/>
  </w:num>
  <w:num w:numId="6">
    <w:abstractNumId w:val="16"/>
  </w:num>
  <w:num w:numId="7">
    <w:abstractNumId w:val="11"/>
  </w:num>
  <w:num w:numId="8">
    <w:abstractNumId w:val="5"/>
  </w:num>
  <w:num w:numId="9">
    <w:abstractNumId w:val="12"/>
  </w:num>
  <w:num w:numId="10">
    <w:abstractNumId w:val="19"/>
  </w:num>
  <w:num w:numId="11">
    <w:abstractNumId w:val="27"/>
  </w:num>
  <w:num w:numId="12">
    <w:abstractNumId w:val="14"/>
  </w:num>
  <w:num w:numId="13">
    <w:abstractNumId w:val="15"/>
  </w:num>
  <w:num w:numId="14">
    <w:abstractNumId w:val="10"/>
  </w:num>
  <w:num w:numId="15">
    <w:abstractNumId w:val="21"/>
  </w:num>
  <w:num w:numId="16">
    <w:abstractNumId w:val="23"/>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7"/>
  </w:num>
  <w:num w:numId="30">
    <w:abstractNumId w:val="26"/>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WYzZGFkNDJiYTY1ODFjMTg3YjM5MmNjODNlNDkifQ=="/>
  </w:docVars>
  <w:rsids>
    <w:rsidRoot w:val="004F40E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AAE"/>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2DEE"/>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0D73"/>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0E7"/>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DD9"/>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D81"/>
    <w:rsid w:val="00612952"/>
    <w:rsid w:val="00614CC1"/>
    <w:rsid w:val="00615A9D"/>
    <w:rsid w:val="00617387"/>
    <w:rsid w:val="006205D6"/>
    <w:rsid w:val="00624D36"/>
    <w:rsid w:val="006252D8"/>
    <w:rsid w:val="006259BC"/>
    <w:rsid w:val="0062636B"/>
    <w:rsid w:val="00632182"/>
    <w:rsid w:val="00632AE0"/>
    <w:rsid w:val="00633C17"/>
    <w:rsid w:val="00634D9E"/>
    <w:rsid w:val="00634DB4"/>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234"/>
    <w:rsid w:val="006640E5"/>
    <w:rsid w:val="006646F1"/>
    <w:rsid w:val="00664929"/>
    <w:rsid w:val="00664F62"/>
    <w:rsid w:val="006655E1"/>
    <w:rsid w:val="00672060"/>
    <w:rsid w:val="00672BFD"/>
    <w:rsid w:val="006738F3"/>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D1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491"/>
    <w:rsid w:val="008373D3"/>
    <w:rsid w:val="00840617"/>
    <w:rsid w:val="00840F84"/>
    <w:rsid w:val="00842A47"/>
    <w:rsid w:val="00843C13"/>
    <w:rsid w:val="008454F8"/>
    <w:rsid w:val="0085173A"/>
    <w:rsid w:val="00856316"/>
    <w:rsid w:val="008603CE"/>
    <w:rsid w:val="008620FC"/>
    <w:rsid w:val="00862430"/>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EB2"/>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62E6"/>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20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51A"/>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4BB3"/>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622"/>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1C3"/>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FB8"/>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22B"/>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0D81"/>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205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607"/>
    <w:rsid w:val="00EB17DE"/>
    <w:rsid w:val="00EB1E69"/>
    <w:rsid w:val="00EB2086"/>
    <w:rsid w:val="00EB5EDF"/>
    <w:rsid w:val="00EB60FE"/>
    <w:rsid w:val="00EB74DB"/>
    <w:rsid w:val="00EC5359"/>
    <w:rsid w:val="00EC562A"/>
    <w:rsid w:val="00ED067A"/>
    <w:rsid w:val="00ED0924"/>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17684"/>
    <w:rsid w:val="04A96068"/>
    <w:rsid w:val="05A01219"/>
    <w:rsid w:val="074D3C16"/>
    <w:rsid w:val="078B414B"/>
    <w:rsid w:val="07A07BF6"/>
    <w:rsid w:val="0A6C4B57"/>
    <w:rsid w:val="0BD57BBE"/>
    <w:rsid w:val="0D7511DD"/>
    <w:rsid w:val="0ECD6DF7"/>
    <w:rsid w:val="0F004F87"/>
    <w:rsid w:val="0F235FDA"/>
    <w:rsid w:val="0F346E76"/>
    <w:rsid w:val="10A5002C"/>
    <w:rsid w:val="11DA1F57"/>
    <w:rsid w:val="131B45D5"/>
    <w:rsid w:val="13A445CA"/>
    <w:rsid w:val="14D47131"/>
    <w:rsid w:val="14D7248B"/>
    <w:rsid w:val="164A1889"/>
    <w:rsid w:val="164E6A70"/>
    <w:rsid w:val="166E2C6E"/>
    <w:rsid w:val="19A1335A"/>
    <w:rsid w:val="1AA72BF2"/>
    <w:rsid w:val="1AD3508A"/>
    <w:rsid w:val="1D880AB9"/>
    <w:rsid w:val="1E6037E4"/>
    <w:rsid w:val="1EA12701"/>
    <w:rsid w:val="1F49071C"/>
    <w:rsid w:val="24E862E1"/>
    <w:rsid w:val="2536529E"/>
    <w:rsid w:val="25545725"/>
    <w:rsid w:val="276F6846"/>
    <w:rsid w:val="28822BCC"/>
    <w:rsid w:val="29B03871"/>
    <w:rsid w:val="2ACF41CB"/>
    <w:rsid w:val="2D8D5C78"/>
    <w:rsid w:val="32AB72CC"/>
    <w:rsid w:val="32E14A9C"/>
    <w:rsid w:val="33415B8B"/>
    <w:rsid w:val="33A361F5"/>
    <w:rsid w:val="346F4329"/>
    <w:rsid w:val="35BC359E"/>
    <w:rsid w:val="36213401"/>
    <w:rsid w:val="376B0DD8"/>
    <w:rsid w:val="3781684D"/>
    <w:rsid w:val="38EA21D0"/>
    <w:rsid w:val="39B36A66"/>
    <w:rsid w:val="3A7B3A28"/>
    <w:rsid w:val="3AAD5BAB"/>
    <w:rsid w:val="3AB605BC"/>
    <w:rsid w:val="3B5F6EA5"/>
    <w:rsid w:val="429D17C3"/>
    <w:rsid w:val="447D481C"/>
    <w:rsid w:val="44B244EA"/>
    <w:rsid w:val="45ED3300"/>
    <w:rsid w:val="46050649"/>
    <w:rsid w:val="46955E71"/>
    <w:rsid w:val="480F1C53"/>
    <w:rsid w:val="48A44149"/>
    <w:rsid w:val="4A0F5F3A"/>
    <w:rsid w:val="4BA12BC2"/>
    <w:rsid w:val="4BC45381"/>
    <w:rsid w:val="4BE62CCB"/>
    <w:rsid w:val="4C490AA7"/>
    <w:rsid w:val="4CE70AA9"/>
    <w:rsid w:val="4D0553D3"/>
    <w:rsid w:val="4E4A12EF"/>
    <w:rsid w:val="4E5C7274"/>
    <w:rsid w:val="52F91536"/>
    <w:rsid w:val="54E87AB4"/>
    <w:rsid w:val="55646E5C"/>
    <w:rsid w:val="55794BB0"/>
    <w:rsid w:val="57340D8E"/>
    <w:rsid w:val="58FA6008"/>
    <w:rsid w:val="5A54614E"/>
    <w:rsid w:val="5C657C3C"/>
    <w:rsid w:val="5E785A05"/>
    <w:rsid w:val="5EF063EB"/>
    <w:rsid w:val="60DF7FBD"/>
    <w:rsid w:val="617C580C"/>
    <w:rsid w:val="61AB60F1"/>
    <w:rsid w:val="624327CD"/>
    <w:rsid w:val="62AC0373"/>
    <w:rsid w:val="62E0626E"/>
    <w:rsid w:val="64095351"/>
    <w:rsid w:val="64C03C61"/>
    <w:rsid w:val="64EF09EB"/>
    <w:rsid w:val="65020782"/>
    <w:rsid w:val="66632F74"/>
    <w:rsid w:val="66DB2FD4"/>
    <w:rsid w:val="6841330B"/>
    <w:rsid w:val="6B4A24D7"/>
    <w:rsid w:val="6B96396E"/>
    <w:rsid w:val="6BEC358E"/>
    <w:rsid w:val="6D6F26C8"/>
    <w:rsid w:val="6DAF792D"/>
    <w:rsid w:val="6FF2514F"/>
    <w:rsid w:val="70A94143"/>
    <w:rsid w:val="714E746F"/>
    <w:rsid w:val="717F6C52"/>
    <w:rsid w:val="72022FC4"/>
    <w:rsid w:val="77C96E79"/>
    <w:rsid w:val="788B3261"/>
    <w:rsid w:val="79256331"/>
    <w:rsid w:val="7AA02AC0"/>
    <w:rsid w:val="7AC202DC"/>
    <w:rsid w:val="7B9854E0"/>
    <w:rsid w:val="7BB0282A"/>
    <w:rsid w:val="7C0B7A60"/>
    <w:rsid w:val="7C99506C"/>
    <w:rsid w:val="7DB859C6"/>
    <w:rsid w:val="7EAD4DFF"/>
    <w:rsid w:val="FBB5D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hanging="425"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HTML 预设格式1"/>
    <w:basedOn w:val="1"/>
    <w:qFormat/>
    <w:uiPriority w:val="0"/>
    <w:pPr>
      <w:widowControl/>
      <w:adjustRightInd/>
      <w:spacing w:line="240" w:lineRule="auto"/>
      <w:jc w:val="left"/>
    </w:pPr>
    <w:rPr>
      <w:rFonts w:ascii="Arial Unicode MS" w:hAnsi="Arial Unicode MS" w:cs="宋体"/>
      <w:kern w:val="0"/>
      <w:sz w:val="20"/>
      <w:szCs w:val="20"/>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一级条标题"/>
    <w:next w:val="232"/>
    <w:qFormat/>
    <w:uiPriority w:val="0"/>
    <w:pPr>
      <w:numPr>
        <w:ilvl w:val="1"/>
        <w:numId w:val="3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34">
    <w:name w:val="注×："/>
    <w:qFormat/>
    <w:uiPriority w:val="0"/>
    <w:pPr>
      <w:widowControl w:val="0"/>
      <w:numPr>
        <w:ilvl w:val="0"/>
        <w:numId w:val="33"/>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460E75CBB446F0A9DE81AB29AA4A5B"/>
        <w:style w:val=""/>
        <w:category>
          <w:name w:val="常规"/>
          <w:gallery w:val="placeholder"/>
        </w:category>
        <w:types>
          <w:type w:val="bbPlcHdr"/>
        </w:types>
        <w:behaviors>
          <w:behavior w:val="content"/>
        </w:behaviors>
        <w:description w:val=""/>
        <w:guid w:val="{09E5F9C3-7F46-491F-95ED-CD0A53074557}"/>
      </w:docPartPr>
      <w:docPartBody>
        <w:p>
          <w:pPr>
            <w:pStyle w:val="5"/>
          </w:pPr>
          <w:r>
            <w:rPr>
              <w:rStyle w:val="4"/>
              <w:rFonts w:hint="eastAsia"/>
            </w:rPr>
            <w:t>单击或点击此处输入文字。</w:t>
          </w:r>
        </w:p>
      </w:docPartBody>
    </w:docPart>
    <w:docPart>
      <w:docPartPr>
        <w:name w:val="5AD87F9DE3BA4DE6A11104BDD962E006"/>
        <w:style w:val=""/>
        <w:category>
          <w:name w:val="常规"/>
          <w:gallery w:val="placeholder"/>
        </w:category>
        <w:types>
          <w:type w:val="bbPlcHdr"/>
        </w:types>
        <w:behaviors>
          <w:behavior w:val="content"/>
        </w:behaviors>
        <w:description w:val=""/>
        <w:guid w:val="{D1EE452C-34C9-498E-8CCA-5AD66B128E9C}"/>
      </w:docPartPr>
      <w:docPartBody>
        <w:p>
          <w:pPr>
            <w:pStyle w:val="6"/>
          </w:pPr>
          <w:r>
            <w:rPr>
              <w:rStyle w:val="4"/>
              <w:rFonts w:hint="eastAsia"/>
            </w:rPr>
            <w:t>选择一项。</w:t>
          </w:r>
        </w:p>
      </w:docPartBody>
    </w:docPart>
    <w:docPart>
      <w:docPartPr>
        <w:name w:val="C68C6B0E4EB74DF2873AC0D7B6BB0982"/>
        <w:style w:val=""/>
        <w:category>
          <w:name w:val="常规"/>
          <w:gallery w:val="placeholder"/>
        </w:category>
        <w:types>
          <w:type w:val="bbPlcHdr"/>
        </w:types>
        <w:behaviors>
          <w:behavior w:val="content"/>
        </w:behaviors>
        <w:description w:val=""/>
        <w:guid w:val="{F7622A6A-A758-4DE5-869F-0C53A387CAA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F0"/>
    <w:rsid w:val="000333C7"/>
    <w:rsid w:val="000D7259"/>
    <w:rsid w:val="007A00F0"/>
    <w:rsid w:val="009331B2"/>
    <w:rsid w:val="00971146"/>
    <w:rsid w:val="00C322B4"/>
    <w:rsid w:val="00DD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F460E75CBB446F0A9DE81AB29AA4A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AD87F9DE3BA4DE6A11104BDD962E0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68C6B0E4EB74DF2873AC0D7B6BB098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Pages>
  <Words>5336</Words>
  <Characters>6496</Characters>
  <Lines>23</Lines>
  <Paragraphs>6</Paragraphs>
  <TotalTime>1</TotalTime>
  <ScaleCrop>false</ScaleCrop>
  <LinksUpToDate>false</LinksUpToDate>
  <CharactersWithSpaces>6895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2023-12-11T16:13:00Z</dcterms:created>
  <dc:creator>xb21cn</dc:creator>
  <dc:description>&lt;config cover="true" show_menu="true" version="1.0.0" doctype="SDKXY"&gt;_x000d_
&lt;/config&gt;</dc:description>
  <cp:lastModifiedBy>greatwall</cp:lastModifiedBy>
  <cp:lastPrinted>2024-08-25T13:37:00Z</cp:lastPrinted>
  <dcterms:modified xsi:type="dcterms:W3CDTF">2026-04-24T09:27:12Z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2052-11.8.2.10251</vt:lpwstr>
  </property>
  <property fmtid="{D5CDD505-2E9C-101B-9397-08002B2CF9AE}" pid="15" name="ICV">
    <vt:lpwstr>141DFAD17EBC40E18724DF63D224D484_12</vt:lpwstr>
  </property>
  <property fmtid="{D5CDD505-2E9C-101B-9397-08002B2CF9AE}" pid="16" name="KSOTemplateDocerSaveRecord">
    <vt:lpwstr>eyJoZGlkIjoiNGZmNWM0ZTliYzFkOTdhMGQ2OWUyZjA2ODY2MTZkZmYiLCJ1c2VySWQiOiIxMDY5MjAyMTc1In0=</vt:lpwstr>
  </property>
</Properties>
</file>