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柑橘木虱抗药性监测技术规程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Code of practice for resistance monitoring of Diaphorina citri</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rPr>
          <w:rFonts w:hint="eastAsia"/>
        </w:rPr>
      </w:pPr>
      <w:bookmarkStart w:id="21" w:name="BookMark1"/>
      <w:bookmarkStart w:id="22" w:name="_Toc224242547"/>
      <w:r>
        <w:rPr>
          <w:rFonts w:hint="eastAsia"/>
          <w:spacing w:val="320"/>
        </w:rPr>
        <w:t>目</w:t>
      </w:r>
      <w:r>
        <w:rPr>
          <w:rFonts w:hint="eastAsia"/>
        </w:rPr>
        <w:t>次</w:t>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"_Toc224242586"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_Toc224242586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"_Toc224242587"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_Toc224242587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"_Toc224242588"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_Toc224242588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"_Toc224242589"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_Toc224242589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"_Toc224242590" </w:instrText>
      </w:r>
      <w:r>
        <w:fldChar w:fldCharType="separate"/>
      </w:r>
      <w:r>
        <w:rPr>
          <w:rStyle w:val="32"/>
          <w:rFonts w:hint="eastAsia"/>
        </w:rPr>
        <w:t>4</w:t>
      </w:r>
      <w:r>
        <w:rPr>
          <w:rStyle w:val="32"/>
        </w:rPr>
        <w:t xml:space="preserve"> </w:t>
      </w:r>
      <w:r>
        <w:rPr>
          <w:rStyle w:val="32"/>
          <w:rFonts w:hint="eastAsia"/>
        </w:rPr>
        <w:t xml:space="preserve"> 试剂与材料</w:t>
      </w:r>
      <w:r>
        <w:rPr>
          <w:rFonts w:hint="eastAsia"/>
        </w:rPr>
        <w:tab/>
      </w:r>
      <w:r>
        <w:rPr>
          <w:rFonts w:hint="eastAsia"/>
        </w:rPr>
        <w:fldChar w:fldCharType="begin"/>
      </w:r>
      <w:r>
        <w:rPr>
          <w:rFonts w:hint="eastAsia"/>
        </w:rPr>
        <w:instrText xml:space="preserve"> </w:instrText>
      </w:r>
      <w:r>
        <w:instrText xml:space="preserve">PAGEREF _Toc224242590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"_Toc224242591" </w:instrText>
      </w:r>
      <w:r>
        <w:fldChar w:fldCharType="separate"/>
      </w:r>
      <w:r>
        <w:rPr>
          <w:rStyle w:val="32"/>
          <w:rFonts w:hint="eastAsia"/>
        </w:rPr>
        <w:t>5</w:t>
      </w:r>
      <w:r>
        <w:rPr>
          <w:rStyle w:val="32"/>
        </w:rPr>
        <w:t xml:space="preserve"> </w:t>
      </w:r>
      <w:r>
        <w:rPr>
          <w:rStyle w:val="32"/>
          <w:rFonts w:hint="eastAsia"/>
        </w:rPr>
        <w:t xml:space="preserve"> 仪器设备</w:t>
      </w:r>
      <w:r>
        <w:rPr>
          <w:rFonts w:hint="eastAsia"/>
        </w:rPr>
        <w:tab/>
      </w:r>
      <w:r>
        <w:rPr>
          <w:rFonts w:hint="eastAsia"/>
        </w:rPr>
        <w:fldChar w:fldCharType="begin"/>
      </w:r>
      <w:r>
        <w:rPr>
          <w:rFonts w:hint="eastAsia"/>
        </w:rPr>
        <w:instrText xml:space="preserve"> </w:instrText>
      </w:r>
      <w:r>
        <w:instrText xml:space="preserve">PAGEREF _Toc224242591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"_Toc224242592" </w:instrText>
      </w:r>
      <w:r>
        <w:fldChar w:fldCharType="separate"/>
      </w:r>
      <w:r>
        <w:rPr>
          <w:rStyle w:val="32"/>
          <w:rFonts w:hint="eastAsia"/>
        </w:rPr>
        <w:t>6</w:t>
      </w:r>
      <w:r>
        <w:rPr>
          <w:rStyle w:val="32"/>
        </w:rPr>
        <w:t xml:space="preserve"> </w:t>
      </w:r>
      <w:r>
        <w:rPr>
          <w:rStyle w:val="32"/>
          <w:rFonts w:hint="eastAsia"/>
        </w:rPr>
        <w:t xml:space="preserve"> 试验步骤</w:t>
      </w:r>
      <w:r>
        <w:rPr>
          <w:rFonts w:hint="eastAsia"/>
        </w:rPr>
        <w:tab/>
      </w:r>
      <w:r>
        <w:rPr>
          <w:rFonts w:hint="eastAsia"/>
        </w:rPr>
        <w:fldChar w:fldCharType="begin"/>
      </w:r>
      <w:r>
        <w:rPr>
          <w:rFonts w:hint="eastAsia"/>
        </w:rPr>
        <w:instrText xml:space="preserve"> </w:instrText>
      </w:r>
      <w:r>
        <w:instrText xml:space="preserve">PAGEREF _Toc224242592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"_Toc224242593" </w:instrText>
      </w:r>
      <w:r>
        <w:fldChar w:fldCharType="separate"/>
      </w:r>
      <w:r>
        <w:rPr>
          <w:rStyle w:val="32"/>
          <w:rFonts w:hint="eastAsia"/>
        </w:rPr>
        <w:t>7</w:t>
      </w:r>
      <w:r>
        <w:rPr>
          <w:rStyle w:val="32"/>
        </w:rPr>
        <w:t xml:space="preserve"> </w:t>
      </w:r>
      <w:r>
        <w:rPr>
          <w:rStyle w:val="32"/>
          <w:rFonts w:hint="eastAsia"/>
        </w:rPr>
        <w:t xml:space="preserve"> 数据统计与分析</w:t>
      </w:r>
      <w:r>
        <w:rPr>
          <w:rFonts w:hint="eastAsia"/>
        </w:rPr>
        <w:tab/>
      </w:r>
      <w:r>
        <w:rPr>
          <w:rFonts w:hint="eastAsia"/>
        </w:rPr>
        <w:fldChar w:fldCharType="begin"/>
      </w:r>
      <w:r>
        <w:rPr>
          <w:rFonts w:hint="eastAsia"/>
        </w:rPr>
        <w:instrText xml:space="preserve"> </w:instrText>
      </w:r>
      <w:r>
        <w:instrText xml:space="preserve">PAGEREF _Toc224242593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"_Toc224242594" </w:instrText>
      </w:r>
      <w:r>
        <w:fldChar w:fldCharType="separate"/>
      </w:r>
      <w:r>
        <w:rPr>
          <w:rStyle w:val="32"/>
          <w:rFonts w:hint="eastAsia"/>
        </w:rPr>
        <w:t>8</w:t>
      </w:r>
      <w:r>
        <w:rPr>
          <w:rStyle w:val="32"/>
        </w:rPr>
        <w:t xml:space="preserve"> </w:t>
      </w:r>
      <w:r>
        <w:rPr>
          <w:rStyle w:val="32"/>
          <w:rFonts w:hint="eastAsia"/>
        </w:rPr>
        <w:t xml:space="preserve"> 抗药性水平评估</w:t>
      </w:r>
      <w:r>
        <w:rPr>
          <w:rFonts w:hint="eastAsia"/>
        </w:rPr>
        <w:tab/>
      </w:r>
      <w:r>
        <w:rPr>
          <w:rFonts w:hint="eastAsia"/>
        </w:rPr>
        <w:fldChar w:fldCharType="begin"/>
      </w:r>
      <w:r>
        <w:rPr>
          <w:rFonts w:hint="eastAsia"/>
        </w:rPr>
        <w:instrText xml:space="preserve"> </w:instrText>
      </w:r>
      <w:r>
        <w:instrText xml:space="preserve">PAGEREF _Toc224242594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"_Toc224242595" </w:instrText>
      </w:r>
      <w:r>
        <w:fldChar w:fldCharType="separate"/>
      </w:r>
      <w:r>
        <w:rPr>
          <w:rStyle w:val="32"/>
          <w:rFonts w:hint="eastAsia"/>
        </w:rPr>
        <w:t>9</w:t>
      </w:r>
      <w:r>
        <w:rPr>
          <w:rStyle w:val="32"/>
        </w:rPr>
        <w:t xml:space="preserve"> </w:t>
      </w:r>
      <w:r>
        <w:rPr>
          <w:rStyle w:val="32"/>
          <w:rFonts w:hint="eastAsia"/>
        </w:rPr>
        <w:t xml:space="preserve"> 废弃物处置</w:t>
      </w:r>
      <w:r>
        <w:rPr>
          <w:rFonts w:hint="eastAsia"/>
        </w:rPr>
        <w:tab/>
      </w:r>
      <w:r>
        <w:rPr>
          <w:rFonts w:hint="eastAsia"/>
        </w:rPr>
        <w:fldChar w:fldCharType="begin"/>
      </w:r>
      <w:r>
        <w:rPr>
          <w:rFonts w:hint="eastAsia"/>
        </w:rPr>
        <w:instrText xml:space="preserve"> </w:instrText>
      </w:r>
      <w:r>
        <w:instrText xml:space="preserve">PAGEREF _Toc224242595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"_Toc224242596" </w:instrText>
      </w:r>
      <w:r>
        <w:fldChar w:fldCharType="separate"/>
      </w:r>
      <w:r>
        <w:rPr>
          <w:rStyle w:val="32"/>
          <w:rFonts w:hint="eastAsia"/>
        </w:rPr>
        <w:t>10</w:t>
      </w:r>
      <w:r>
        <w:rPr>
          <w:rStyle w:val="32"/>
        </w:rPr>
        <w:t xml:space="preserve"> </w:t>
      </w:r>
      <w:r>
        <w:rPr>
          <w:rStyle w:val="32"/>
          <w:rFonts w:hint="eastAsia"/>
        </w:rPr>
        <w:t xml:space="preserve"> 测档案管理</w:t>
      </w:r>
      <w:r>
        <w:rPr>
          <w:rFonts w:hint="eastAsia"/>
        </w:rPr>
        <w:tab/>
      </w:r>
      <w:r>
        <w:rPr>
          <w:rFonts w:hint="eastAsia"/>
        </w:rPr>
        <w:fldChar w:fldCharType="begin"/>
      </w:r>
      <w:r>
        <w:rPr>
          <w:rFonts w:hint="eastAsia"/>
        </w:rPr>
        <w:instrText xml:space="preserve"> </w:instrText>
      </w:r>
      <w:r>
        <w:instrText xml:space="preserve">PAGEREF _Toc224242596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"_Toc224242597" </w:instrText>
      </w:r>
      <w:r>
        <w:fldChar w:fldCharType="separate"/>
      </w:r>
      <w:r>
        <w:rPr>
          <w:rStyle w:val="32"/>
          <w:rFonts w:hint="eastAsia"/>
        </w:rPr>
        <w:t>附录A（资料性）</w:t>
      </w:r>
      <w:r>
        <w:rPr>
          <w:rStyle w:val="32"/>
        </w:rPr>
        <w:t xml:space="preserve"> </w:t>
      </w:r>
      <w:r>
        <w:rPr>
          <w:rStyle w:val="32"/>
          <w:rFonts w:hint="eastAsia"/>
        </w:rPr>
        <w:t xml:space="preserve"> 木虱成虫对杀虫剂的敏感毒力基线</w:t>
      </w:r>
      <w:r>
        <w:rPr>
          <w:rFonts w:hint="eastAsia"/>
        </w:rPr>
        <w:tab/>
      </w:r>
      <w:r>
        <w:rPr>
          <w:rFonts w:hint="eastAsia"/>
        </w:rPr>
        <w:fldChar w:fldCharType="begin"/>
      </w:r>
      <w:r>
        <w:rPr>
          <w:rFonts w:hint="eastAsia"/>
        </w:rPr>
        <w:instrText xml:space="preserve"> </w:instrText>
      </w:r>
      <w:r>
        <w:instrText xml:space="preserve">PAGEREF _Toc224242597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"_Toc224242598" </w:instrText>
      </w:r>
      <w:r>
        <w:fldChar w:fldCharType="separate"/>
      </w:r>
      <w:r>
        <w:rPr>
          <w:rStyle w:val="32"/>
          <w:rFonts w:hint="eastAsia"/>
        </w:rPr>
        <w:t>附录B（资料性）</w:t>
      </w:r>
      <w:r>
        <w:rPr>
          <w:rStyle w:val="32"/>
        </w:rPr>
        <w:t xml:space="preserve"> </w:t>
      </w:r>
      <w:r>
        <w:rPr>
          <w:rStyle w:val="32"/>
          <w:rFonts w:hint="eastAsia"/>
        </w:rPr>
        <w:t xml:space="preserve"> 柑橘木虱抗药性监测记录</w:t>
      </w:r>
      <w:r>
        <w:rPr>
          <w:rFonts w:hint="eastAsia"/>
        </w:rPr>
        <w:tab/>
      </w:r>
      <w:r>
        <w:rPr>
          <w:rFonts w:hint="eastAsia"/>
        </w:rPr>
        <w:fldChar w:fldCharType="begin"/>
      </w:r>
      <w:r>
        <w:rPr>
          <w:rFonts w:hint="eastAsia"/>
        </w:rPr>
        <w:instrText xml:space="preserve"> </w:instrText>
      </w:r>
      <w:r>
        <w:instrText xml:space="preserve">PAGEREF _Toc224242598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rPr>
          <w:rFonts w:hint="eastAsia"/>
        </w:rPr>
      </w:pPr>
      <w:bookmarkStart w:id="23" w:name="_Toc224242586"/>
      <w:bookmarkStart w:id="24" w:name="BookMark2"/>
      <w:r>
        <w:rPr>
          <w:rFonts w:hint="eastAsia"/>
          <w:spacing w:val="320"/>
        </w:rPr>
        <w:t>前</w:t>
      </w:r>
      <w:r>
        <w:rPr>
          <w:rFonts w:hint="eastAsia"/>
        </w:rPr>
        <w:t>言</w:t>
      </w:r>
      <w:bookmarkEnd w:id="22"/>
      <w:bookmarkEnd w:id="23"/>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rPr>
          <w:rFonts w:hint="eastAsia"/>
        </w:rPr>
      </w:pPr>
      <w:r>
        <w:rPr>
          <w:rFonts w:hint="eastAsia"/>
        </w:rPr>
        <w:t>本文件由湖南省农业农村厅提出。</w:t>
      </w:r>
    </w:p>
    <w:p>
      <w:pPr>
        <w:pStyle w:val="56"/>
        <w:ind w:firstLine="420"/>
        <w:rPr>
          <w:rFonts w:hint="eastAsia"/>
        </w:rPr>
      </w:pPr>
      <w:r>
        <w:rPr>
          <w:rFonts w:hint="eastAsia"/>
        </w:rPr>
        <w:t>本文件由湖南省农业标准化技术委员会归口。</w:t>
      </w:r>
    </w:p>
    <w:p>
      <w:pPr>
        <w:pStyle w:val="56"/>
        <w:ind w:firstLine="420"/>
        <w:rPr>
          <w:rFonts w:hint="eastAsia"/>
        </w:rPr>
      </w:pPr>
      <w:r>
        <w:rPr>
          <w:rFonts w:hint="eastAsia"/>
        </w:rPr>
        <w:t>本文件起草单位：湖南农业大学、、、</w:t>
      </w:r>
    </w:p>
    <w:p>
      <w:pPr>
        <w:pStyle w:val="56"/>
        <w:ind w:firstLine="420"/>
        <w:rPr>
          <w:rFonts w:hint="eastAsia"/>
        </w:rPr>
      </w:pPr>
      <w:r>
        <w:rPr>
          <w:rFonts w:hint="eastAsia"/>
        </w:rPr>
        <w:t>本文件主要起草人：杨中侠、易图永、戴伏高、龚碧涯、朱江玥、刘剑、刘慧、向敏。</w:t>
      </w:r>
    </w:p>
    <w:p>
      <w:pPr>
        <w:pStyle w:val="56"/>
        <w:ind w:firstLine="420"/>
        <w:rPr>
          <w:rFonts w:hint="eastAsia"/>
        </w:rPr>
      </w:pPr>
    </w:p>
    <w:p>
      <w:pPr>
        <w:pStyle w:val="56"/>
        <w:ind w:firstLine="420"/>
        <w:rPr>
          <w:rFonts w:hint="eastAsia"/>
        </w:rPr>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hint="eastAsia" w:ascii="黑体" w:hAnsi="黑体" w:eastAsia="黑体"/>
          <w:sz w:val="32"/>
          <w:szCs w:val="32"/>
        </w:rPr>
      </w:pPr>
      <w:bookmarkStart w:id="25"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3FD12D29DEF8478BBDE73B46F30FDED0"/>
        </w:placeholder>
      </w:sdtPr>
      <w:sdtContent>
        <w:p>
          <w:pPr>
            <w:pStyle w:val="177"/>
            <w:spacing w:before="312" w:beforeLines="100" w:after="686" w:afterLines="220"/>
            <w:rPr>
              <w:rFonts w:hint="eastAsia"/>
            </w:rPr>
          </w:pPr>
          <w:bookmarkStart w:id="26" w:name="NEW_STAND_NAME"/>
          <w:r>
            <w:rPr>
              <w:rFonts w:hint="eastAsia"/>
            </w:rPr>
            <w:t>柑橘木虱抗药性监测技术规程</w:t>
          </w:r>
        </w:p>
      </w:sdtContent>
    </w:sdt>
    <w:bookmarkEnd w:id="26"/>
    <w:p>
      <w:pPr>
        <w:pStyle w:val="104"/>
        <w:spacing w:before="312" w:after="312"/>
      </w:pPr>
      <w:bookmarkStart w:id="27" w:name="_Toc97191423"/>
      <w:bookmarkStart w:id="28" w:name="_Toc26986530"/>
      <w:bookmarkStart w:id="29" w:name="_Toc26986771"/>
      <w:bookmarkStart w:id="30" w:name="_Toc17233325"/>
      <w:bookmarkStart w:id="31" w:name="_Toc26648465"/>
      <w:bookmarkStart w:id="32" w:name="_Toc224242587"/>
      <w:bookmarkStart w:id="33" w:name="_Toc24884218"/>
      <w:bookmarkStart w:id="34" w:name="_Toc24884211"/>
      <w:bookmarkStart w:id="35" w:name="_Toc17233333"/>
      <w:bookmarkStart w:id="36" w:name="_Toc224242548"/>
      <w:bookmarkStart w:id="37" w:name="_Toc26718930"/>
      <w:r>
        <w:rPr>
          <w:rFonts w:hint="eastAsia"/>
        </w:rPr>
        <w:t>范围</w:t>
      </w:r>
      <w:bookmarkEnd w:id="27"/>
      <w:bookmarkEnd w:id="28"/>
      <w:bookmarkEnd w:id="29"/>
      <w:bookmarkEnd w:id="30"/>
      <w:bookmarkEnd w:id="31"/>
      <w:bookmarkEnd w:id="32"/>
      <w:bookmarkEnd w:id="33"/>
      <w:bookmarkEnd w:id="34"/>
      <w:bookmarkEnd w:id="35"/>
      <w:bookmarkEnd w:id="36"/>
      <w:bookmarkEnd w:id="37"/>
    </w:p>
    <w:p>
      <w:pPr>
        <w:pStyle w:val="56"/>
        <w:ind w:firstLine="420"/>
        <w:rPr>
          <w:rFonts w:hint="eastAsia"/>
          <w:highlight w:val="none"/>
        </w:rPr>
      </w:pPr>
      <w:bookmarkStart w:id="38" w:name="_Toc26648466"/>
      <w:bookmarkStart w:id="39" w:name="_Toc17233334"/>
      <w:bookmarkStart w:id="40" w:name="_Toc17233326"/>
      <w:bookmarkStart w:id="41" w:name="_Toc24884219"/>
      <w:bookmarkStart w:id="42" w:name="_Toc24884212"/>
      <w:r>
        <w:rPr>
          <w:rFonts w:hint="eastAsia"/>
        </w:rPr>
        <w:t>本文件规定了柑橘木虱（Diaphorina citri Kuwayama）抗药性监测</w:t>
      </w:r>
      <w:r>
        <w:rPr>
          <w:rFonts w:hint="eastAsia"/>
          <w:highlight w:val="none"/>
        </w:rPr>
        <w:t>的试剂与材料、仪器设备、试验步骤、数据统计与分析、抗药性水平评估、监测档案管理及废弃物处置等要求。</w:t>
      </w:r>
    </w:p>
    <w:p>
      <w:pPr>
        <w:pStyle w:val="56"/>
        <w:ind w:firstLine="420"/>
        <w:rPr>
          <w:highlight w:val="none"/>
        </w:rPr>
      </w:pPr>
      <w:r>
        <w:rPr>
          <w:rFonts w:hint="eastAsia"/>
          <w:highlight w:val="none"/>
        </w:rPr>
        <w:t>本文件适用于柑橘木虱对各类杀虫剂的抗药性监测工作。</w:t>
      </w:r>
    </w:p>
    <w:p>
      <w:pPr>
        <w:pStyle w:val="104"/>
        <w:spacing w:before="312" w:after="312"/>
        <w:rPr>
          <w:highlight w:val="none"/>
        </w:rPr>
      </w:pPr>
      <w:bookmarkStart w:id="43" w:name="_Toc26986531"/>
      <w:bookmarkStart w:id="44" w:name="_Toc224242588"/>
      <w:bookmarkStart w:id="45" w:name="_Toc97191424"/>
      <w:bookmarkStart w:id="46" w:name="_Toc26718931"/>
      <w:bookmarkStart w:id="47" w:name="_Toc224242549"/>
      <w:bookmarkStart w:id="48" w:name="_Toc26986772"/>
      <w:r>
        <w:rPr>
          <w:rFonts w:hint="eastAsia"/>
          <w:highlight w:val="none"/>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highlight w:val="none"/>
        </w:rPr>
        <w:id w:val="715848253"/>
        <w:placeholder>
          <w:docPart w:val="6A75B50D833942CA94923A20D5CAF49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56"/>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highlight w:val="none"/>
        </w:rPr>
      </w:pPr>
      <w:r>
        <w:rPr>
          <w:rFonts w:hint="eastAsia"/>
          <w:highlight w:val="none"/>
        </w:rPr>
        <w:t>GB/T 17980.18 农药田间药效试验准则（一）杀虫剂防治蚜虫</w:t>
      </w:r>
    </w:p>
    <w:p>
      <w:pPr>
        <w:pStyle w:val="56"/>
        <w:ind w:firstLine="420"/>
        <w:rPr>
          <w:rFonts w:hint="eastAsia"/>
          <w:highlight w:val="none"/>
        </w:rPr>
      </w:pPr>
      <w:r>
        <w:rPr>
          <w:rFonts w:hint="eastAsia"/>
          <w:highlight w:val="none"/>
        </w:rPr>
        <w:t>NY/T 393 绿色食品 农药使用准则</w:t>
      </w:r>
    </w:p>
    <w:p>
      <w:pPr>
        <w:pStyle w:val="56"/>
        <w:ind w:firstLine="420"/>
        <w:rPr>
          <w:rFonts w:hint="eastAsia"/>
          <w:highlight w:val="none"/>
        </w:rPr>
      </w:pPr>
      <w:r>
        <w:rPr>
          <w:rFonts w:hint="eastAsia"/>
          <w:highlight w:val="none"/>
        </w:rPr>
        <w:t>NY/T 1154.8 农药室内生物测定试验准则 杀虫剂 第 8 部分：滤纸药膜法</w:t>
      </w:r>
    </w:p>
    <w:p>
      <w:pPr>
        <w:pStyle w:val="56"/>
        <w:ind w:firstLine="420"/>
        <w:rPr>
          <w:rFonts w:hint="eastAsia"/>
          <w:highlight w:val="none"/>
        </w:rPr>
      </w:pPr>
      <w:r>
        <w:rPr>
          <w:rFonts w:hint="eastAsia"/>
          <w:highlight w:val="none"/>
        </w:rPr>
        <w:t>NY/T 3680 西花蓟马抗药性监测技术规程 叶管药膜法</w:t>
      </w:r>
    </w:p>
    <w:p>
      <w:pPr>
        <w:pStyle w:val="104"/>
        <w:spacing w:before="312" w:after="312"/>
      </w:pPr>
      <w:bookmarkStart w:id="99" w:name="_GoBack"/>
      <w:bookmarkEnd w:id="99"/>
      <w:bookmarkStart w:id="49" w:name="_Toc224242550"/>
      <w:bookmarkStart w:id="50" w:name="_Toc97191425"/>
      <w:bookmarkStart w:id="51" w:name="_Toc224242589"/>
      <w:r>
        <w:rPr>
          <w:rFonts w:hint="eastAsia"/>
          <w:szCs w:val="21"/>
        </w:rPr>
        <w:t>术语和定义</w:t>
      </w:r>
      <w:bookmarkEnd w:id="49"/>
      <w:bookmarkEnd w:id="50"/>
      <w:bookmarkEnd w:id="51"/>
    </w:p>
    <w:sdt>
      <w:sdtPr>
        <w:id w:val="-1"/>
        <w:placeholder>
          <w:docPart w:val="F2D279FB57C4435792168DCCB569DB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2" w:name="_Toc26986532"/>
          <w:bookmarkEnd w:id="52"/>
          <w:r>
            <w:t>下列术语和定义适用于本文件。</w:t>
          </w:r>
        </w:p>
      </w:sdtContent>
    </w:sdt>
    <w:p>
      <w:pPr>
        <w:pStyle w:val="56"/>
        <w:ind w:firstLine="420"/>
      </w:pP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抗药性</w:t>
      </w:r>
      <w:r>
        <w:rPr>
          <w:rFonts w:hint="default" w:ascii="黑体" w:hAnsi="黑体" w:eastAsia="黑体"/>
          <w:lang w:val="en-US"/>
        </w:rPr>
        <w:t>(</w:t>
      </w:r>
      <w:r>
        <w:rPr>
          <w:rFonts w:hint="eastAsia" w:ascii="黑体" w:hAnsi="黑体" w:eastAsia="黑体"/>
        </w:rPr>
        <w:t>insecticide resistance</w:t>
      </w:r>
      <w:r>
        <w:rPr>
          <w:rFonts w:hint="default" w:ascii="黑体" w:hAnsi="黑体" w:eastAsia="黑体"/>
          <w:lang w:val="en-US"/>
        </w:rPr>
        <w:t>)</w:t>
      </w:r>
    </w:p>
    <w:p>
      <w:pPr>
        <w:pStyle w:val="56"/>
        <w:ind w:firstLine="420"/>
        <w:rPr>
          <w:rFonts w:hint="eastAsia"/>
        </w:rPr>
      </w:pPr>
      <w:r>
        <w:rPr>
          <w:rFonts w:hint="eastAsia"/>
        </w:rPr>
        <w:t>原本对某种杀虫剂敏感的柑橘木虱种群，经长期接触该药剂后，对其敏感性显著下降，常用剂量下难以达到预期防治效果的特性。</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敏感基线</w:t>
      </w:r>
      <w:r>
        <w:rPr>
          <w:rFonts w:hint="default" w:ascii="黑体" w:hAnsi="黑体" w:eastAsia="黑体"/>
          <w:lang w:val="en-US"/>
        </w:rPr>
        <w:t>(</w:t>
      </w:r>
      <w:r>
        <w:rPr>
          <w:rFonts w:hint="eastAsia" w:ascii="黑体" w:hAnsi="黑体" w:eastAsia="黑体"/>
        </w:rPr>
        <w:t xml:space="preserve"> susceptibility baseline</w:t>
      </w:r>
      <w:r>
        <w:rPr>
          <w:rFonts w:hint="default" w:ascii="黑体" w:hAnsi="黑体" w:eastAsia="黑体"/>
          <w:lang w:val="en-US"/>
        </w:rPr>
        <w:t>)</w:t>
      </w:r>
    </w:p>
    <w:p>
      <w:pPr>
        <w:pStyle w:val="56"/>
        <w:ind w:firstLine="420"/>
        <w:rPr>
          <w:rFonts w:hint="eastAsia"/>
        </w:rPr>
      </w:pPr>
      <w:r>
        <w:rPr>
          <w:rFonts w:hint="eastAsia"/>
        </w:rPr>
        <w:t>通过生物测定方法获得的柑橘木虱敏感品系（或未接触过目标药剂的种群）对杀虫剂的剂量 - 反应曲线，作为抗药性水平评估的基准。</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致死中浓度</w:t>
      </w:r>
      <w:r>
        <w:rPr>
          <w:rFonts w:hint="default" w:ascii="黑体" w:hAnsi="黑体" w:eastAsia="黑体"/>
          <w:lang w:val="en-US"/>
        </w:rPr>
        <w:t>(</w:t>
      </w:r>
      <w:r>
        <w:rPr>
          <w:rFonts w:hint="eastAsia" w:ascii="黑体" w:hAnsi="黑体" w:eastAsia="黑体"/>
        </w:rPr>
        <w:t xml:space="preserve"> </w:t>
      </w:r>
      <w:r>
        <w:rPr>
          <w:rFonts w:ascii="黑体" w:hAnsi="黑体" w:eastAsia="黑体"/>
        </w:rPr>
        <w:t>LC₅₀</w:t>
      </w:r>
      <w:r>
        <w:rPr>
          <w:rFonts w:hint="default" w:ascii="黑体" w:hAnsi="黑体" w:eastAsia="黑体"/>
          <w:lang w:val="en-US"/>
        </w:rPr>
        <w:t>)</w:t>
      </w:r>
    </w:p>
    <w:p>
      <w:pPr>
        <w:pStyle w:val="56"/>
        <w:ind w:firstLine="420"/>
      </w:pPr>
      <w:r>
        <w:rPr>
          <w:rFonts w:hint="eastAsia"/>
        </w:rPr>
        <w:t>在规定条件下，药剂处理柑橘木虱后，能导致</w:t>
      </w:r>
      <w:r>
        <w:t xml:space="preserve"> 50% </w:t>
      </w:r>
      <w:r>
        <w:rPr>
          <w:rFonts w:hint="eastAsia"/>
        </w:rPr>
        <w:t>供试个体死亡的浓度，单位为毫克每升（</w:t>
      </w:r>
      <w:r>
        <w:t>mg</w:t>
      </w:r>
      <w:r>
        <w:rPr>
          <w:rFonts w:hint="eastAsia" w:ascii="微软雅黑" w:hAnsi="微软雅黑" w:eastAsia="微软雅黑" w:cs="微软雅黑"/>
        </w:rPr>
        <w:t>・</w:t>
      </w:r>
      <w:r>
        <w:t>L⁻¹</w:t>
      </w:r>
      <w:r>
        <w:rPr>
          <w:rFonts w:hint="eastAsia"/>
        </w:rPr>
        <w:t>）。</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致死</w:t>
      </w:r>
      <w:r>
        <w:rPr>
          <w:rFonts w:ascii="黑体" w:hAnsi="黑体" w:eastAsia="黑体"/>
        </w:rPr>
        <w:t xml:space="preserve"> 90% </w:t>
      </w:r>
      <w:r>
        <w:rPr>
          <w:rFonts w:hint="eastAsia" w:ascii="黑体" w:hAnsi="黑体" w:eastAsia="黑体"/>
        </w:rPr>
        <w:t>浓度</w:t>
      </w:r>
      <w:r>
        <w:rPr>
          <w:rFonts w:hint="default" w:ascii="黑体" w:hAnsi="黑体" w:eastAsia="黑体"/>
          <w:lang w:val="en-US"/>
        </w:rPr>
        <w:t>(</w:t>
      </w:r>
      <w:r>
        <w:rPr>
          <w:rFonts w:hint="eastAsia" w:ascii="黑体" w:hAnsi="黑体" w:eastAsia="黑体"/>
        </w:rPr>
        <w:t xml:space="preserve"> </w:t>
      </w:r>
      <w:r>
        <w:rPr>
          <w:rFonts w:ascii="黑体" w:hAnsi="黑体" w:eastAsia="黑体"/>
        </w:rPr>
        <w:t>LC₉₀</w:t>
      </w:r>
      <w:r>
        <w:rPr>
          <w:rFonts w:hint="default" w:ascii="黑体" w:hAnsi="黑体" w:eastAsia="黑体"/>
          <w:lang w:val="en-US"/>
        </w:rPr>
        <w:t>)</w:t>
      </w:r>
    </w:p>
    <w:p>
      <w:pPr>
        <w:pStyle w:val="56"/>
        <w:ind w:firstLine="420"/>
      </w:pPr>
      <w:r>
        <w:rPr>
          <w:rFonts w:hint="eastAsia"/>
        </w:rPr>
        <w:t>在规定条件下，药剂处理柑橘木虱后，能导致</w:t>
      </w:r>
      <w:r>
        <w:t xml:space="preserve"> 90% </w:t>
      </w:r>
      <w:r>
        <w:rPr>
          <w:rFonts w:hint="eastAsia"/>
        </w:rPr>
        <w:t>供试个体死亡的浓度，单位为毫克每升（</w:t>
      </w:r>
      <w:r>
        <w:t>mg</w:t>
      </w:r>
      <w:r>
        <w:rPr>
          <w:rFonts w:hint="eastAsia" w:ascii="微软雅黑" w:hAnsi="微软雅黑" w:eastAsia="微软雅黑" w:cs="微软雅黑"/>
        </w:rPr>
        <w:t>・</w:t>
      </w:r>
      <w:r>
        <w:t>L⁻¹</w:t>
      </w:r>
      <w:r>
        <w:rPr>
          <w:rFonts w:hint="eastAsia"/>
        </w:rPr>
        <w:t>）。</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抗性倍数</w:t>
      </w:r>
      <w:r>
        <w:rPr>
          <w:rFonts w:hint="default" w:ascii="黑体" w:hAnsi="黑体" w:eastAsia="黑体"/>
          <w:lang w:val="en-US"/>
        </w:rPr>
        <w:t>(</w:t>
      </w:r>
      <w:r>
        <w:rPr>
          <w:rFonts w:hint="eastAsia" w:ascii="黑体" w:hAnsi="黑体" w:eastAsia="黑体"/>
        </w:rPr>
        <w:t xml:space="preserve"> resistance ratio, RR </w:t>
      </w:r>
      <w:r>
        <w:rPr>
          <w:rFonts w:hint="default" w:ascii="黑体" w:hAnsi="黑体" w:eastAsia="黑体"/>
          <w:lang w:val="en-US"/>
        </w:rPr>
        <w:t>)</w:t>
      </w:r>
    </w:p>
    <w:p>
      <w:pPr>
        <w:pStyle w:val="56"/>
        <w:ind w:firstLine="420"/>
      </w:pPr>
      <w:r>
        <w:rPr>
          <w:rFonts w:hint="eastAsia"/>
        </w:rPr>
        <w:t>测试柑橘木虱种群的</w:t>
      </w:r>
      <w:r>
        <w:t xml:space="preserve"> LC₅₀</w:t>
      </w:r>
      <w:r>
        <w:rPr>
          <w:rFonts w:hint="eastAsia"/>
        </w:rPr>
        <w:t>值与敏感品系</w:t>
      </w:r>
      <w:r>
        <w:t xml:space="preserve"> LC₅₀</w:t>
      </w:r>
      <w:r>
        <w:rPr>
          <w:rFonts w:hint="eastAsia"/>
        </w:rPr>
        <w:t>值的比值，用于量化抗药性水平。</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玻璃瓶叶片药膜法</w:t>
      </w:r>
      <w:r>
        <w:rPr>
          <w:rFonts w:hint="default" w:ascii="黑体" w:hAnsi="黑体" w:eastAsia="黑体"/>
          <w:lang w:val="en-US"/>
        </w:rPr>
        <w:t>(</w:t>
      </w:r>
      <w:r>
        <w:rPr>
          <w:rFonts w:hint="eastAsia" w:ascii="黑体" w:hAnsi="黑体" w:eastAsia="黑体"/>
        </w:rPr>
        <w:t xml:space="preserve"> glass bottle leaf residue method</w:t>
      </w:r>
      <w:r>
        <w:rPr>
          <w:rFonts w:hint="default" w:ascii="黑体" w:hAnsi="黑体" w:eastAsia="黑体"/>
          <w:lang w:val="en-US"/>
        </w:rPr>
        <w:t>)</w:t>
      </w:r>
    </w:p>
    <w:p>
      <w:pPr>
        <w:pStyle w:val="56"/>
        <w:ind w:firstLine="420"/>
        <w:rPr>
          <w:rFonts w:hint="eastAsia"/>
        </w:rPr>
      </w:pPr>
      <w:r>
        <w:rPr>
          <w:rFonts w:hint="eastAsia"/>
        </w:rPr>
        <w:t>将农药原药用有机溶剂溶解后，处理玻璃瓶内壁及柑橘嫩叶，待溶剂挥发后形成均匀药膜，接入供试柑橘木虱成虫进行生物测定的方法，适用于室内精准监测。</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滤纸药膜法 </w:t>
      </w:r>
      <w:r>
        <w:rPr>
          <w:rFonts w:hint="default" w:ascii="黑体" w:hAnsi="黑体" w:eastAsia="黑体"/>
          <w:lang w:val="en-US"/>
        </w:rPr>
        <w:t>(</w:t>
      </w:r>
      <w:r>
        <w:rPr>
          <w:rFonts w:hint="eastAsia" w:ascii="黑体" w:hAnsi="黑体" w:eastAsia="黑体"/>
        </w:rPr>
        <w:t>filter paper residue method</w:t>
      </w:r>
      <w:r>
        <w:rPr>
          <w:rFonts w:hint="default" w:ascii="黑体" w:hAnsi="黑体" w:eastAsia="黑体"/>
          <w:lang w:val="en-US"/>
        </w:rPr>
        <w:t>)</w:t>
      </w:r>
    </w:p>
    <w:p>
      <w:pPr>
        <w:pStyle w:val="56"/>
        <w:ind w:firstLine="420"/>
        <w:rPr>
          <w:rFonts w:hint="eastAsia"/>
        </w:rPr>
      </w:pPr>
      <w:r>
        <w:rPr>
          <w:rFonts w:hint="eastAsia"/>
        </w:rPr>
        <w:t>将配制好的药剂均匀涂抹在滤纸上，待溶剂挥发后形成药膜，接入供试柑橘木虱成虫进行生物测定的方法，适用于田间快速监测。</w:t>
      </w:r>
    </w:p>
    <w:p>
      <w:pPr>
        <w:pStyle w:val="104"/>
        <w:spacing w:before="312" w:after="312"/>
        <w:rPr>
          <w:rFonts w:hint="eastAsia"/>
        </w:rPr>
      </w:pPr>
      <w:bookmarkStart w:id="53" w:name="_Toc224242590"/>
      <w:bookmarkStart w:id="54" w:name="_Toc224242551"/>
      <w:r>
        <w:rPr>
          <w:rFonts w:hint="eastAsia"/>
        </w:rPr>
        <w:t>试剂与材料</w:t>
      </w:r>
      <w:bookmarkEnd w:id="53"/>
      <w:bookmarkEnd w:id="54"/>
    </w:p>
    <w:p>
      <w:pPr>
        <w:pStyle w:val="105"/>
        <w:spacing w:before="156" w:after="156"/>
        <w:rPr>
          <w:rFonts w:hint="eastAsia"/>
        </w:rPr>
      </w:pPr>
      <w:bookmarkStart w:id="55" w:name="_Toc224242552"/>
      <w:r>
        <w:rPr>
          <w:rFonts w:hint="eastAsia"/>
        </w:rPr>
        <w:t>试剂</w:t>
      </w:r>
      <w:bookmarkEnd w:id="55"/>
    </w:p>
    <w:p>
      <w:pPr>
        <w:pStyle w:val="65"/>
        <w:spacing w:before="156" w:after="156"/>
        <w:rPr>
          <w:rFonts w:hint="eastAsia"/>
        </w:rPr>
      </w:pPr>
      <w:r>
        <w:rPr>
          <w:rFonts w:hint="eastAsia"/>
        </w:rPr>
        <w:t>有机溶剂</w:t>
      </w:r>
    </w:p>
    <w:p>
      <w:pPr>
        <w:pStyle w:val="56"/>
        <w:ind w:firstLine="420"/>
        <w:rPr>
          <w:rFonts w:hint="eastAsia"/>
        </w:rPr>
      </w:pPr>
      <w:r>
        <w:rPr>
          <w:rFonts w:hint="eastAsia"/>
        </w:rPr>
        <w:t>丙酮、乙醇（均为分析纯），用于溶解农药原药。</w:t>
      </w:r>
    </w:p>
    <w:p>
      <w:pPr>
        <w:pStyle w:val="65"/>
        <w:spacing w:before="156" w:after="156"/>
        <w:rPr>
          <w:rFonts w:hint="eastAsia"/>
        </w:rPr>
      </w:pPr>
      <w:r>
        <w:rPr>
          <w:rFonts w:hint="eastAsia"/>
        </w:rPr>
        <w:t>表面活性剂</w:t>
      </w:r>
    </w:p>
    <w:p>
      <w:pPr>
        <w:pStyle w:val="56"/>
        <w:ind w:firstLine="420"/>
        <w:rPr>
          <w:rFonts w:hint="eastAsia"/>
        </w:rPr>
      </w:pPr>
      <w:r>
        <w:rPr>
          <w:rFonts w:hint="eastAsia"/>
        </w:rPr>
        <w:t>吐温 20（分析纯），用于配制药剂稀释液。</w:t>
      </w:r>
    </w:p>
    <w:p>
      <w:pPr>
        <w:pStyle w:val="65"/>
        <w:spacing w:before="156" w:after="156"/>
        <w:rPr>
          <w:rFonts w:hint="eastAsia"/>
        </w:rPr>
      </w:pPr>
      <w:r>
        <w:rPr>
          <w:rFonts w:hint="eastAsia"/>
        </w:rPr>
        <w:t>稀释剂</w:t>
      </w:r>
    </w:p>
    <w:p>
      <w:pPr>
        <w:pStyle w:val="56"/>
        <w:ind w:firstLine="420"/>
        <w:rPr>
          <w:rFonts w:hint="eastAsia"/>
        </w:rPr>
      </w:pPr>
      <w:r>
        <w:rPr>
          <w:rFonts w:hint="eastAsia"/>
        </w:rPr>
        <w:t>蒸馏水，用于稀释药剂母液。</w:t>
      </w:r>
    </w:p>
    <w:p>
      <w:pPr>
        <w:pStyle w:val="65"/>
        <w:spacing w:before="156" w:after="156"/>
        <w:rPr>
          <w:rFonts w:hint="eastAsia"/>
        </w:rPr>
      </w:pPr>
      <w:r>
        <w:rPr>
          <w:rFonts w:hint="eastAsia"/>
        </w:rPr>
        <w:t>试验药剂</w:t>
      </w:r>
    </w:p>
    <w:p>
      <w:pPr>
        <w:pStyle w:val="56"/>
        <w:ind w:firstLine="420"/>
        <w:rPr>
          <w:rFonts w:hint="eastAsia"/>
        </w:rPr>
      </w:pPr>
      <w:r>
        <w:rPr>
          <w:rFonts w:hint="eastAsia"/>
        </w:rPr>
        <w:t>杀虫剂原药或母药（纯度≥95%），应明确药剂名称、批号及生产厂家，符合 NY/T 393 的相关要求。</w:t>
      </w:r>
    </w:p>
    <w:p>
      <w:pPr>
        <w:pStyle w:val="105"/>
        <w:spacing w:before="156" w:after="156"/>
        <w:rPr>
          <w:rFonts w:hint="eastAsia"/>
        </w:rPr>
      </w:pPr>
      <w:bookmarkStart w:id="56" w:name="_Toc224242553"/>
      <w:r>
        <w:rPr>
          <w:rFonts w:hint="eastAsia"/>
        </w:rPr>
        <w:t>生物试材</w:t>
      </w:r>
      <w:bookmarkEnd w:id="56"/>
    </w:p>
    <w:p>
      <w:pPr>
        <w:pStyle w:val="65"/>
        <w:spacing w:before="156" w:after="156"/>
        <w:rPr>
          <w:rFonts w:hint="eastAsia"/>
        </w:rPr>
      </w:pPr>
      <w:r>
        <w:rPr>
          <w:rFonts w:hint="eastAsia"/>
        </w:rPr>
        <w:t>供试昆虫</w:t>
      </w:r>
    </w:p>
    <w:p>
      <w:pPr>
        <w:pStyle w:val="56"/>
        <w:ind w:firstLine="420"/>
        <w:rPr>
          <w:rFonts w:hint="eastAsia"/>
        </w:rPr>
      </w:pPr>
      <w:r>
        <w:rPr>
          <w:rFonts w:hint="eastAsia"/>
        </w:rPr>
        <w:t>选择湖南省内柑橘主产区具有代表性的果园 1～2 块，优先选择柑橘春梢或秋梢生长期，在木虱聚集的嫩梢上，用 100 目自制网纱成虫采集袋采集健康活跃的成虫，避免采集伤残或羽化不足 24 h 的个体。采集后立即置于装有新鲜柑橘嫩叶的采集袋中，24 h 内带回实验室备用，田间采集时需记录果园位置、柑橘品种、树龄及近期用药情况。</w:t>
      </w:r>
    </w:p>
    <w:p>
      <w:pPr>
        <w:pStyle w:val="65"/>
        <w:spacing w:before="156" w:after="156"/>
        <w:rPr>
          <w:rFonts w:hint="eastAsia"/>
        </w:rPr>
      </w:pPr>
      <w:r>
        <w:rPr>
          <w:rFonts w:hint="eastAsia"/>
        </w:rPr>
        <w:t>供试植物</w:t>
      </w:r>
    </w:p>
    <w:p>
      <w:pPr>
        <w:pStyle w:val="56"/>
        <w:ind w:firstLine="420"/>
        <w:rPr>
          <w:rFonts w:hint="eastAsia"/>
        </w:rPr>
      </w:pPr>
      <w:r>
        <w:rPr>
          <w:rFonts w:hint="eastAsia"/>
        </w:rPr>
        <w:t>选择新鲜、洁净、无农药污染的柑橘嫩叶（优先选用春梢或秋梢嫩叶），用于制作叶碟。</w:t>
      </w:r>
    </w:p>
    <w:p>
      <w:pPr>
        <w:pStyle w:val="104"/>
        <w:spacing w:before="312" w:after="312"/>
        <w:rPr>
          <w:rFonts w:hint="eastAsia"/>
        </w:rPr>
      </w:pPr>
      <w:bookmarkStart w:id="57" w:name="_Toc224242591"/>
      <w:bookmarkStart w:id="58" w:name="_Toc224242554"/>
      <w:r>
        <w:rPr>
          <w:rFonts w:hint="eastAsia"/>
        </w:rPr>
        <w:t>仪器设备</w:t>
      </w:r>
      <w:bookmarkEnd w:id="57"/>
      <w:bookmarkEnd w:id="58"/>
    </w:p>
    <w:p>
      <w:pPr>
        <w:pStyle w:val="105"/>
        <w:spacing w:before="156" w:after="156"/>
        <w:rPr>
          <w:rFonts w:hint="eastAsia"/>
        </w:rPr>
      </w:pPr>
      <w:bookmarkStart w:id="59" w:name="_Toc224242555"/>
      <w:r>
        <w:rPr>
          <w:rFonts w:hint="eastAsia"/>
        </w:rPr>
        <w:t>计量器具</w:t>
      </w:r>
      <w:bookmarkEnd w:id="59"/>
    </w:p>
    <w:p>
      <w:pPr>
        <w:pStyle w:val="56"/>
        <w:ind w:firstLine="420"/>
        <w:rPr>
          <w:rFonts w:hint="eastAsia"/>
        </w:rPr>
      </w:pPr>
      <w:r>
        <w:rPr>
          <w:rFonts w:hint="eastAsia"/>
        </w:rPr>
        <w:t>分析天平（感量 0.1 mg）、移液管或移液器（0.1 mL～10 mL）。</w:t>
      </w:r>
    </w:p>
    <w:p>
      <w:pPr>
        <w:pStyle w:val="105"/>
        <w:spacing w:before="156" w:after="156"/>
        <w:rPr>
          <w:rFonts w:hint="eastAsia"/>
        </w:rPr>
      </w:pPr>
      <w:bookmarkStart w:id="60" w:name="_Toc224242556"/>
      <w:r>
        <w:rPr>
          <w:rFonts w:hint="eastAsia"/>
        </w:rPr>
        <w:t>玻璃器皿</w:t>
      </w:r>
      <w:bookmarkEnd w:id="60"/>
    </w:p>
    <w:p>
      <w:pPr>
        <w:pStyle w:val="56"/>
        <w:ind w:firstLine="420"/>
        <w:rPr>
          <w:rFonts w:hint="eastAsia"/>
        </w:rPr>
      </w:pPr>
      <w:r>
        <w:rPr>
          <w:rFonts w:hint="eastAsia"/>
        </w:rPr>
        <w:t>烧杯、容量瓶（10mL、50 mL、100 mL）、配药离心管（50 mL）、玻璃瓶（瓶口直径 4 cm，底部直径 4.3 cm，高 5.5 cm）。</w:t>
      </w:r>
    </w:p>
    <w:p>
      <w:pPr>
        <w:pStyle w:val="105"/>
        <w:spacing w:before="156" w:after="156"/>
        <w:rPr>
          <w:rFonts w:hint="eastAsia"/>
        </w:rPr>
      </w:pPr>
      <w:bookmarkStart w:id="61" w:name="_Toc224242557"/>
      <w:r>
        <w:rPr>
          <w:rFonts w:hint="eastAsia"/>
        </w:rPr>
        <w:t>采样与处理工具</w:t>
      </w:r>
      <w:bookmarkEnd w:id="61"/>
    </w:p>
    <w:p>
      <w:pPr>
        <w:pStyle w:val="56"/>
        <w:ind w:firstLine="420"/>
        <w:rPr>
          <w:rFonts w:hint="eastAsia"/>
        </w:rPr>
      </w:pPr>
      <w:r>
        <w:rPr>
          <w:rFonts w:hint="eastAsia"/>
        </w:rPr>
        <w:t>100 目网纱成虫采集袋、镊子、剪刀、毛笔、打孔器（直径 4.3 cm）、滤纸、棉花、保鲜膜、托盘。</w:t>
      </w:r>
    </w:p>
    <w:p>
      <w:pPr>
        <w:pStyle w:val="105"/>
        <w:spacing w:before="156" w:after="156"/>
        <w:rPr>
          <w:rFonts w:hint="eastAsia"/>
        </w:rPr>
      </w:pPr>
      <w:bookmarkStart w:id="62" w:name="_Toc224242558"/>
      <w:r>
        <w:rPr>
          <w:rFonts w:hint="eastAsia"/>
        </w:rPr>
        <w:t>饲养与培养设备</w:t>
      </w:r>
      <w:bookmarkEnd w:id="62"/>
    </w:p>
    <w:p>
      <w:pPr>
        <w:pStyle w:val="56"/>
        <w:ind w:firstLine="420"/>
        <w:rPr>
          <w:rFonts w:hint="eastAsia"/>
        </w:rPr>
      </w:pPr>
      <w:r>
        <w:rPr>
          <w:rFonts w:hint="eastAsia"/>
        </w:rPr>
        <w:t>100 目网纱笼（25×25×50）cm、5 年生九里香苗、恒温培养箱或人工气候箱（控温精度 ±1℃，光照周期可调）。</w:t>
      </w:r>
    </w:p>
    <w:p>
      <w:pPr>
        <w:pStyle w:val="105"/>
        <w:spacing w:before="156" w:after="156"/>
        <w:rPr>
          <w:rFonts w:hint="eastAsia"/>
        </w:rPr>
      </w:pPr>
      <w:bookmarkStart w:id="63" w:name="_Toc224242559"/>
      <w:r>
        <w:rPr>
          <w:rFonts w:hint="eastAsia"/>
        </w:rPr>
        <w:t>数据处理设备</w:t>
      </w:r>
      <w:bookmarkEnd w:id="63"/>
    </w:p>
    <w:p>
      <w:pPr>
        <w:pStyle w:val="56"/>
        <w:ind w:firstLine="420"/>
        <w:rPr>
          <w:rFonts w:hint="eastAsia"/>
        </w:rPr>
      </w:pPr>
      <w:r>
        <w:rPr>
          <w:rFonts w:hint="eastAsia"/>
        </w:rPr>
        <w:t>计算机及 DPS 统计软件、SPSS 软件（Version 27.0）、Probit 软件。</w:t>
      </w:r>
    </w:p>
    <w:p>
      <w:pPr>
        <w:pStyle w:val="104"/>
        <w:spacing w:before="312" w:after="312"/>
        <w:rPr>
          <w:rFonts w:hint="eastAsia"/>
        </w:rPr>
      </w:pPr>
      <w:bookmarkStart w:id="64" w:name="_Toc224242560"/>
      <w:bookmarkStart w:id="65" w:name="_Toc224242592"/>
      <w:r>
        <w:rPr>
          <w:rFonts w:hint="eastAsia"/>
        </w:rPr>
        <w:t>试验步骤</w:t>
      </w:r>
      <w:bookmarkEnd w:id="64"/>
      <w:bookmarkEnd w:id="65"/>
    </w:p>
    <w:p>
      <w:pPr>
        <w:pStyle w:val="105"/>
        <w:spacing w:before="156" w:after="156"/>
        <w:rPr>
          <w:rFonts w:hint="eastAsia"/>
        </w:rPr>
      </w:pPr>
      <w:bookmarkStart w:id="66" w:name="_Toc224242561"/>
      <w:r>
        <w:rPr>
          <w:rFonts w:hint="eastAsia"/>
        </w:rPr>
        <w:t>试材准备</w:t>
      </w:r>
      <w:bookmarkEnd w:id="66"/>
    </w:p>
    <w:p>
      <w:pPr>
        <w:pStyle w:val="65"/>
        <w:spacing w:before="156" w:after="156"/>
        <w:rPr>
          <w:rFonts w:hint="eastAsia"/>
        </w:rPr>
      </w:pPr>
      <w:r>
        <w:rPr>
          <w:rFonts w:hint="eastAsia"/>
        </w:rPr>
        <w:t>试虫饲养</w:t>
      </w:r>
    </w:p>
    <w:p>
      <w:pPr>
        <w:pStyle w:val="56"/>
        <w:ind w:firstLine="420"/>
        <w:rPr>
          <w:rFonts w:hint="eastAsia"/>
        </w:rPr>
      </w:pPr>
      <w:r>
        <w:rPr>
          <w:rFonts w:hint="eastAsia"/>
        </w:rPr>
        <w:t>将采集的柑橘木虱成虫转移至 100 目网纱笼中，每个笼放置 1 株 5 年生九里香苗作为寄主植物，不同采集地点的种群单独饲养。饲养条件为温度 25℃±1℃，相对湿度 70%±5%，光照周期 16:8（L:D），饲养 1 d～2 d 后选取健康均一的成虫进行试验。</w:t>
      </w:r>
    </w:p>
    <w:p>
      <w:pPr>
        <w:pStyle w:val="65"/>
        <w:spacing w:before="156" w:after="156"/>
        <w:rPr>
          <w:rFonts w:hint="eastAsia"/>
        </w:rPr>
      </w:pPr>
      <w:r>
        <w:rPr>
          <w:rFonts w:hint="eastAsia"/>
        </w:rPr>
        <w:t>叶碟制作</w:t>
      </w:r>
    </w:p>
    <w:p>
      <w:pPr>
        <w:pStyle w:val="56"/>
        <w:ind w:firstLine="420"/>
        <w:rPr>
          <w:rFonts w:hint="eastAsia"/>
        </w:rPr>
      </w:pPr>
      <w:r>
        <w:rPr>
          <w:rFonts w:hint="eastAsia"/>
        </w:rPr>
        <w:t>用直径 4.3 cm 的打孔器将新鲜柑橘嫩叶制成圆片，去除主脉，置于铺有湿润滤纸的培养皿中备用，叶碟制作后 2 h 内使用。</w:t>
      </w:r>
    </w:p>
    <w:p>
      <w:pPr>
        <w:pStyle w:val="105"/>
        <w:spacing w:before="156" w:after="156"/>
        <w:rPr>
          <w:rFonts w:hint="eastAsia"/>
        </w:rPr>
      </w:pPr>
      <w:bookmarkStart w:id="67" w:name="_Toc224242562"/>
      <w:r>
        <w:rPr>
          <w:rFonts w:hint="eastAsia"/>
        </w:rPr>
        <w:t>药剂配制</w:t>
      </w:r>
      <w:bookmarkEnd w:id="67"/>
    </w:p>
    <w:p>
      <w:pPr>
        <w:pStyle w:val="65"/>
        <w:spacing w:before="156" w:after="156"/>
        <w:rPr>
          <w:rFonts w:hint="eastAsia"/>
        </w:rPr>
      </w:pPr>
      <w:r>
        <w:rPr>
          <w:rFonts w:hint="eastAsia"/>
        </w:rPr>
        <w:t>母液配制</w:t>
      </w:r>
    </w:p>
    <w:p>
      <w:pPr>
        <w:pStyle w:val="56"/>
        <w:ind w:firstLine="420"/>
        <w:rPr>
          <w:rFonts w:hint="eastAsia"/>
        </w:rPr>
      </w:pPr>
      <w:r>
        <w:rPr>
          <w:rFonts w:hint="eastAsia"/>
        </w:rPr>
        <w:t>准确称量杀虫剂原药，用丙酮溶解配制成高浓度贮存母液，密封后置于 4℃冰箱中保存，保存期不超过 7 d。</w:t>
      </w:r>
    </w:p>
    <w:p>
      <w:pPr>
        <w:pStyle w:val="65"/>
        <w:spacing w:before="156" w:after="156"/>
        <w:rPr>
          <w:rFonts w:hint="eastAsia"/>
        </w:rPr>
      </w:pPr>
      <w:r>
        <w:rPr>
          <w:rFonts w:hint="eastAsia"/>
        </w:rPr>
        <w:t>系列浓度配制</w:t>
      </w:r>
    </w:p>
    <w:p>
      <w:pPr>
        <w:pStyle w:val="56"/>
        <w:ind w:firstLine="420"/>
        <w:rPr>
          <w:rFonts w:hint="eastAsia"/>
        </w:rPr>
      </w:pPr>
      <w:r>
        <w:rPr>
          <w:rFonts w:hint="eastAsia"/>
        </w:rPr>
        <w:t>通过预试验确定药剂的浓度系列范围（最低浓度死亡率 &lt;20%，最高浓度死亡率&gt; 80%），用含 0.1% 吐温 20 的蒸馏水将母液稀释成 5～7 个系列浓度的测定药液。每浓度配制药液量不少于 10 mL，稀释时需提前用 0.1% 吐温 20 润洗容量瓶并检查气密性，加液体时用玻璃棒引流，引流后再次润洗。以含 0.1% 吐温 20 的蒸馏水作为空白对照。</w:t>
      </w:r>
    </w:p>
    <w:p>
      <w:pPr>
        <w:pStyle w:val="105"/>
        <w:spacing w:before="156" w:after="156"/>
        <w:rPr>
          <w:rFonts w:hint="eastAsia"/>
        </w:rPr>
      </w:pPr>
      <w:bookmarkStart w:id="68" w:name="_Toc224242563"/>
      <w:r>
        <w:rPr>
          <w:rFonts w:hint="eastAsia"/>
        </w:rPr>
        <w:t>处理方法</w:t>
      </w:r>
      <w:bookmarkEnd w:id="68"/>
    </w:p>
    <w:p>
      <w:pPr>
        <w:pStyle w:val="65"/>
        <w:spacing w:before="156" w:after="156"/>
        <w:rPr>
          <w:rFonts w:hint="eastAsia"/>
        </w:rPr>
      </w:pPr>
      <w:r>
        <w:rPr>
          <w:rFonts w:hint="eastAsia"/>
        </w:rPr>
        <w:t>玻璃瓶叶片药膜法（室内）</w:t>
      </w:r>
    </w:p>
    <w:p>
      <w:pPr>
        <w:pStyle w:val="94"/>
        <w:spacing w:before="156" w:after="156"/>
        <w:rPr>
          <w:rFonts w:hint="eastAsia"/>
        </w:rPr>
      </w:pPr>
      <w:r>
        <w:rPr>
          <w:rFonts w:hint="eastAsia"/>
        </w:rPr>
        <w:t>药膜制作</w:t>
      </w:r>
    </w:p>
    <w:p>
      <w:pPr>
        <w:pStyle w:val="56"/>
        <w:ind w:firstLine="420"/>
        <w:rPr>
          <w:rFonts w:hint="eastAsia"/>
        </w:rPr>
      </w:pPr>
      <w:r>
        <w:rPr>
          <w:rFonts w:hint="eastAsia"/>
        </w:rPr>
        <w:t>将不同浓度的药液分别装入对应玻璃瓶中，盖上瓶盖缓慢旋转，使药液均匀分布于瓶壁，放入柑橘叶碟浸泡 30 s 后取出，自然晾干至无可见液滴，待丙酮完全挥发后（约 1 h～2 h），在玻璃瓶内壁和叶碟表面形成均匀药膜，用 100 目网纱封口备用；对照瓶仅用丙酮处理叶碟和瓶壁。</w:t>
      </w:r>
    </w:p>
    <w:p>
      <w:pPr>
        <w:pStyle w:val="94"/>
        <w:spacing w:before="156" w:after="156"/>
        <w:rPr>
          <w:rFonts w:hint="eastAsia"/>
        </w:rPr>
      </w:pPr>
      <w:r>
        <w:rPr>
          <w:rFonts w:hint="eastAsia"/>
        </w:rPr>
        <w:t>接虫</w:t>
      </w:r>
    </w:p>
    <w:p>
      <w:pPr>
        <w:pStyle w:val="56"/>
        <w:ind w:firstLine="420"/>
        <w:rPr>
          <w:rFonts w:hint="eastAsia"/>
        </w:rPr>
      </w:pPr>
      <w:r>
        <w:rPr>
          <w:rFonts w:hint="eastAsia"/>
        </w:rPr>
        <w:t>将饲养好的柑橘木虱成虫饥饿 1 h～2 h 后，用毛笔轻轻接入带药膜的玻璃瓶中，每个玻璃瓶接入 20 头成虫，用网纱封口固定，每个浓度重复 4 次。</w:t>
      </w:r>
    </w:p>
    <w:p>
      <w:pPr>
        <w:pStyle w:val="94"/>
        <w:spacing w:before="156" w:after="156"/>
        <w:rPr>
          <w:rFonts w:hint="eastAsia"/>
        </w:rPr>
      </w:pPr>
      <w:r>
        <w:rPr>
          <w:rFonts w:hint="eastAsia"/>
        </w:rPr>
        <w:t>恢复培养</w:t>
      </w:r>
    </w:p>
    <w:p>
      <w:pPr>
        <w:pStyle w:val="56"/>
        <w:ind w:firstLine="420"/>
        <w:rPr>
          <w:rFonts w:hint="eastAsia"/>
        </w:rPr>
      </w:pPr>
      <w:r>
        <w:rPr>
          <w:rFonts w:hint="eastAsia"/>
        </w:rPr>
        <w:t>将接虫后的玻璃瓶平放于托盘中，置于恒温培养箱中，培养条件为温度 25℃±1℃，光照周期 16:8（L:D）。</w:t>
      </w:r>
    </w:p>
    <w:p>
      <w:pPr>
        <w:pStyle w:val="94"/>
        <w:spacing w:before="156" w:after="156"/>
        <w:rPr>
          <w:rFonts w:hint="eastAsia"/>
        </w:rPr>
      </w:pPr>
      <w:r>
        <w:rPr>
          <w:rFonts w:hint="eastAsia"/>
        </w:rPr>
        <w:t>结果检查</w:t>
      </w:r>
    </w:p>
    <w:p>
      <w:pPr>
        <w:pStyle w:val="56"/>
        <w:ind w:firstLine="420"/>
        <w:rPr>
          <w:rFonts w:hint="eastAsia"/>
        </w:rPr>
      </w:pPr>
      <w:r>
        <w:rPr>
          <w:rFonts w:hint="eastAsia"/>
        </w:rPr>
        <w:t>接虫后 48h 检查死亡率，取出玻璃瓶剧烈摇动后，将成虫倒置于白纸上，在充足光线下用细刷探查，无法行走（&gt;5mm）的个体记录为死亡，若判断不准确可重复操作。</w:t>
      </w:r>
    </w:p>
    <w:p>
      <w:pPr>
        <w:pStyle w:val="65"/>
        <w:spacing w:before="156" w:after="156"/>
        <w:rPr>
          <w:rFonts w:hint="eastAsia"/>
        </w:rPr>
      </w:pPr>
      <w:r>
        <w:rPr>
          <w:rFonts w:hint="eastAsia"/>
        </w:rPr>
        <w:t>滤纸药膜法（田间）</w:t>
      </w:r>
    </w:p>
    <w:p>
      <w:pPr>
        <w:pStyle w:val="94"/>
        <w:spacing w:before="156" w:after="156"/>
        <w:rPr>
          <w:rFonts w:hint="eastAsia"/>
        </w:rPr>
      </w:pPr>
      <w:r>
        <w:rPr>
          <w:rFonts w:hint="eastAsia"/>
        </w:rPr>
        <w:t>药膜制作</w:t>
      </w:r>
    </w:p>
    <w:p>
      <w:pPr>
        <w:pStyle w:val="56"/>
        <w:ind w:firstLine="420"/>
        <w:rPr>
          <w:rFonts w:hint="eastAsia"/>
        </w:rPr>
      </w:pPr>
      <w:r>
        <w:rPr>
          <w:rFonts w:hint="eastAsia"/>
        </w:rPr>
        <w:t>将 50mL 离心管洗净、晾干，取 1mL 配制好的系列浓度药液，用移液管均匀涂抹在裁剪好的滤纸上（滤纸大小与离心管内壁贴合），对照管仅用丙酮处理，待滤纸完全晾干后（约 30min），将滤纸转移至离心管中并铺满管内壁，离心管盖打孔透气后备用。</w:t>
      </w:r>
    </w:p>
    <w:p>
      <w:pPr>
        <w:pStyle w:val="94"/>
        <w:spacing w:before="156" w:after="156"/>
        <w:rPr>
          <w:rFonts w:hint="eastAsia"/>
        </w:rPr>
      </w:pPr>
      <w:r>
        <w:rPr>
          <w:rFonts w:hint="eastAsia"/>
        </w:rPr>
        <w:t>接虫</w:t>
      </w:r>
    </w:p>
    <w:p>
      <w:pPr>
        <w:pStyle w:val="56"/>
        <w:ind w:firstLine="420"/>
        <w:rPr>
          <w:rFonts w:hint="eastAsia"/>
        </w:rPr>
      </w:pPr>
      <w:r>
        <w:rPr>
          <w:rFonts w:hint="eastAsia"/>
        </w:rPr>
        <w:t>在田间采集柑橘木虱成虫后，立即放入带药膜的离心管中，每个离心管接入 20 头成虫，用有孔封口膜封口并记录接虫时间，每个浓度重复 4 次。</w:t>
      </w:r>
    </w:p>
    <w:p>
      <w:pPr>
        <w:pStyle w:val="94"/>
        <w:spacing w:before="156" w:after="156"/>
        <w:rPr>
          <w:rFonts w:hint="eastAsia"/>
        </w:rPr>
      </w:pPr>
      <w:r>
        <w:rPr>
          <w:rFonts w:hint="eastAsia"/>
        </w:rPr>
        <w:t>恢复培养</w:t>
      </w:r>
    </w:p>
    <w:p>
      <w:pPr>
        <w:pStyle w:val="56"/>
        <w:ind w:firstLine="420"/>
        <w:rPr>
          <w:rFonts w:hint="eastAsia"/>
        </w:rPr>
      </w:pPr>
      <w:r>
        <w:rPr>
          <w:rFonts w:hint="eastAsia"/>
        </w:rPr>
        <w:t>将接虫后的离心管置于田间自然环境中（避免阳光直射和雨淋）。</w:t>
      </w:r>
    </w:p>
    <w:p>
      <w:pPr>
        <w:pStyle w:val="94"/>
        <w:spacing w:before="156" w:after="156"/>
        <w:rPr>
          <w:rFonts w:hint="eastAsia"/>
        </w:rPr>
      </w:pPr>
      <w:r>
        <w:rPr>
          <w:rFonts w:hint="eastAsia"/>
        </w:rPr>
        <w:t>结果检查</w:t>
      </w:r>
    </w:p>
    <w:p>
      <w:pPr>
        <w:pStyle w:val="56"/>
        <w:ind w:firstLine="420"/>
        <w:rPr>
          <w:rFonts w:hint="eastAsia"/>
        </w:rPr>
      </w:pPr>
      <w:r>
        <w:rPr>
          <w:rFonts w:hint="eastAsia"/>
        </w:rPr>
        <w:t>接虫后 2h 检查死亡率，检查方法同 6.3.1.4。</w:t>
      </w:r>
    </w:p>
    <w:p>
      <w:pPr>
        <w:pStyle w:val="105"/>
        <w:spacing w:before="156" w:after="156"/>
        <w:rPr>
          <w:rFonts w:hint="eastAsia"/>
        </w:rPr>
      </w:pPr>
      <w:bookmarkStart w:id="69" w:name="_Toc224242564"/>
      <w:r>
        <w:rPr>
          <w:rFonts w:hint="eastAsia"/>
        </w:rPr>
        <w:t>质量控制</w:t>
      </w:r>
      <w:bookmarkEnd w:id="69"/>
    </w:p>
    <w:p>
      <w:pPr>
        <w:pStyle w:val="65"/>
        <w:spacing w:before="156" w:after="156"/>
        <w:rPr>
          <w:rFonts w:hint="eastAsia"/>
        </w:rPr>
      </w:pPr>
      <w:r>
        <w:rPr>
          <w:rFonts w:hint="eastAsia"/>
        </w:rPr>
        <w:t>试虫存活率</w:t>
      </w:r>
    </w:p>
    <w:p>
      <w:pPr>
        <w:pStyle w:val="56"/>
        <w:ind w:firstLine="420"/>
        <w:rPr>
          <w:rFonts w:hint="eastAsia"/>
        </w:rPr>
      </w:pPr>
      <w:r>
        <w:rPr>
          <w:rFonts w:hint="eastAsia"/>
        </w:rPr>
        <w:t>饲养期间试虫存活率应≥90%，否则需重新采集试虫。</w:t>
      </w:r>
    </w:p>
    <w:p>
      <w:pPr>
        <w:pStyle w:val="65"/>
        <w:spacing w:before="156" w:after="156"/>
        <w:rPr>
          <w:rFonts w:hint="eastAsia"/>
        </w:rPr>
      </w:pPr>
      <w:r>
        <w:rPr>
          <w:rFonts w:hint="eastAsia"/>
        </w:rPr>
        <w:t>对照死亡率</w:t>
      </w:r>
    </w:p>
    <w:p>
      <w:pPr>
        <w:pStyle w:val="56"/>
        <w:ind w:firstLine="420"/>
        <w:rPr>
          <w:rFonts w:hint="eastAsia"/>
        </w:rPr>
      </w:pPr>
      <w:r>
        <w:rPr>
          <w:rFonts w:hint="eastAsia"/>
        </w:rPr>
        <w:t>空白对照死亡率应 &lt;5%，若在 5%～20% 之间需进行校正，&gt;20% 则试验需重做。</w:t>
      </w:r>
    </w:p>
    <w:p>
      <w:pPr>
        <w:pStyle w:val="65"/>
        <w:spacing w:before="156" w:after="156"/>
        <w:rPr>
          <w:rFonts w:hint="eastAsia"/>
        </w:rPr>
      </w:pPr>
      <w:r>
        <w:rPr>
          <w:rFonts w:hint="eastAsia"/>
        </w:rPr>
        <w:t>重复一致性</w:t>
      </w:r>
    </w:p>
    <w:p>
      <w:pPr>
        <w:pStyle w:val="56"/>
        <w:ind w:firstLine="420"/>
        <w:rPr>
          <w:rFonts w:hint="eastAsia"/>
        </w:rPr>
      </w:pPr>
      <w:r>
        <w:rPr>
          <w:rFonts w:hint="eastAsia"/>
        </w:rPr>
        <w:t>同一浓度处理的 4 次重复死亡率变异系数应≤15%，否则需补充试验。</w:t>
      </w:r>
    </w:p>
    <w:p>
      <w:pPr>
        <w:pStyle w:val="104"/>
        <w:spacing w:before="312" w:after="312"/>
        <w:rPr>
          <w:rFonts w:hint="eastAsia"/>
        </w:rPr>
      </w:pPr>
      <w:bookmarkStart w:id="70" w:name="_Toc224242593"/>
      <w:bookmarkStart w:id="71" w:name="_Toc224242565"/>
      <w:r>
        <w:rPr>
          <w:rFonts w:hint="eastAsia"/>
        </w:rPr>
        <w:t>数据统计与分析</w:t>
      </w:r>
      <w:bookmarkEnd w:id="70"/>
      <w:bookmarkEnd w:id="71"/>
    </w:p>
    <w:p>
      <w:pPr>
        <w:pStyle w:val="105"/>
        <w:spacing w:before="156" w:after="156"/>
        <w:rPr>
          <w:rFonts w:hint="eastAsia"/>
        </w:rPr>
      </w:pPr>
      <w:bookmarkStart w:id="72" w:name="_Toc224242566"/>
      <w:r>
        <w:rPr>
          <w:rFonts w:hint="eastAsia"/>
        </w:rPr>
        <w:t>死亡率计算</w:t>
      </w:r>
      <w:bookmarkEnd w:id="72"/>
    </w:p>
    <w:p>
      <w:pPr>
        <w:pStyle w:val="56"/>
        <w:ind w:firstLine="420"/>
        <w:rPr>
          <w:rFonts w:hint="eastAsia"/>
        </w:rPr>
      </w:pPr>
      <w:r>
        <w:rPr>
          <w:rFonts w:hint="eastAsia"/>
        </w:rPr>
        <w:t>根据调查数据，按以下公式计算死亡率和校正死亡率，结果保留小数点后两位：</w:t>
      </w:r>
    </w:p>
    <w:p>
      <w:pPr>
        <w:pStyle w:val="132"/>
      </w:pPr>
      <w:r>
        <w:rPr>
          <w:rFonts w:hint="eastAsia"/>
        </w:rPr>
        <w:t>死亡率（</w:t>
      </w:r>
      <w:r>
        <w:t>P₁</w:t>
      </w:r>
      <w:r>
        <w:rPr>
          <w:rFonts w:hint="eastAsia"/>
        </w:rPr>
        <w:t>）：</w:t>
      </w:r>
      <w:r>
        <w:t>P1(%)=NK×100</w:t>
      </w:r>
      <w:r>
        <w:rPr>
          <w:rFonts w:hint="eastAsia"/>
        </w:rPr>
        <w:t>式中：</w:t>
      </w:r>
      <w:r>
        <w:t xml:space="preserve">K </w:t>
      </w:r>
      <w:r>
        <w:rPr>
          <w:rFonts w:hint="eastAsia"/>
        </w:rPr>
        <w:t>为每处理浓度总死亡虫数（头）；</w:t>
      </w:r>
      <w:r>
        <w:t xml:space="preserve">N </w:t>
      </w:r>
      <w:r>
        <w:rPr>
          <w:rFonts w:hint="eastAsia"/>
        </w:rPr>
        <w:t>为每处理浓度总虫数（头）；</w:t>
      </w:r>
    </w:p>
    <w:p>
      <w:pPr>
        <w:pStyle w:val="132"/>
      </w:pPr>
      <w:r>
        <w:rPr>
          <w:rFonts w:hint="eastAsia"/>
        </w:rPr>
        <w:t>校正死亡率（</w:t>
      </w:r>
      <w:r>
        <w:t>P₂</w:t>
      </w:r>
      <w:r>
        <w:rPr>
          <w:rFonts w:hint="eastAsia"/>
        </w:rPr>
        <w:t>）：</w:t>
      </w:r>
      <w:r>
        <w:t>P2(%)=100−P0Pt−P0×100</w:t>
      </w:r>
      <w:r>
        <w:rPr>
          <w:rFonts w:hint="eastAsia"/>
        </w:rPr>
        <w:t>式中：</w:t>
      </w:r>
      <w:r>
        <w:t>Pₜ</w:t>
      </w:r>
      <w:r>
        <w:rPr>
          <w:rFonts w:hint="eastAsia"/>
        </w:rPr>
        <w:t>为处理死亡率（</w:t>
      </w:r>
      <w:r>
        <w:t>%</w:t>
      </w:r>
      <w:r>
        <w:rPr>
          <w:rFonts w:hint="eastAsia"/>
        </w:rPr>
        <w:t>）；</w:t>
      </w:r>
      <w:r>
        <w:t>P₀</w:t>
      </w:r>
      <w:r>
        <w:rPr>
          <w:rFonts w:hint="eastAsia"/>
        </w:rPr>
        <w:t>为空白对照死亡率（</w:t>
      </w:r>
      <w:r>
        <w:t>%</w:t>
      </w:r>
      <w:r>
        <w:rPr>
          <w:rFonts w:hint="eastAsia"/>
        </w:rPr>
        <w:t>）。</w:t>
      </w:r>
    </w:p>
    <w:p>
      <w:pPr>
        <w:pStyle w:val="105"/>
        <w:spacing w:before="156" w:after="156"/>
        <w:rPr>
          <w:rFonts w:hint="eastAsia"/>
        </w:rPr>
      </w:pPr>
      <w:bookmarkStart w:id="73" w:name="_Toc224242567"/>
      <w:r>
        <w:rPr>
          <w:rFonts w:hint="eastAsia"/>
        </w:rPr>
        <w:t>回归方程与致死浓度计算</w:t>
      </w:r>
      <w:bookmarkEnd w:id="73"/>
    </w:p>
    <w:p>
      <w:pPr>
        <w:pStyle w:val="56"/>
        <w:ind w:firstLine="420"/>
      </w:pPr>
      <w:r>
        <w:rPr>
          <w:rFonts w:hint="eastAsia"/>
        </w:rPr>
        <w:t>采用</w:t>
      </w:r>
      <w:r>
        <w:t xml:space="preserve"> SPSS </w:t>
      </w:r>
      <w:r>
        <w:rPr>
          <w:rFonts w:hint="eastAsia"/>
        </w:rPr>
        <w:t>软件或</w:t>
      </w:r>
      <w:r>
        <w:t xml:space="preserve"> Probit </w:t>
      </w:r>
      <w:r>
        <w:rPr>
          <w:rFonts w:hint="eastAsia"/>
        </w:rPr>
        <w:t>软件的机率值分析法，以药剂浓度对数为自变量，校正死亡率机率值为因变量，求出每种供试药剂的回归方程、相关系数（</w:t>
      </w:r>
      <w:r>
        <w:t>R²</w:t>
      </w:r>
      <w:r>
        <w:rPr>
          <w:rFonts w:hint="eastAsia"/>
        </w:rPr>
        <w:t>）、</w:t>
      </w:r>
      <w:r>
        <w:t>LC₅₀</w:t>
      </w:r>
      <w:r>
        <w:rPr>
          <w:rFonts w:hint="eastAsia"/>
        </w:rPr>
        <w:t>值、</w:t>
      </w:r>
      <w:r>
        <w:t>LC₉₀</w:t>
      </w:r>
      <w:r>
        <w:rPr>
          <w:rFonts w:hint="eastAsia"/>
        </w:rPr>
        <w:t>值及其</w:t>
      </w:r>
      <w:r>
        <w:t xml:space="preserve"> 95% </w:t>
      </w:r>
      <w:r>
        <w:rPr>
          <w:rFonts w:hint="eastAsia"/>
        </w:rPr>
        <w:t>置信限、斜率（</w:t>
      </w:r>
      <w:r>
        <w:t xml:space="preserve">b </w:t>
      </w:r>
      <w:r>
        <w:rPr>
          <w:rFonts w:hint="eastAsia"/>
        </w:rPr>
        <w:t>值）及其标准误。相关系数</w:t>
      </w:r>
      <w:r>
        <w:t xml:space="preserve"> R² </w:t>
      </w:r>
      <w:r>
        <w:rPr>
          <w:rFonts w:hint="eastAsia"/>
        </w:rPr>
        <w:t>应≥</w:t>
      </w:r>
      <w:r>
        <w:t>0.95</w:t>
      </w:r>
      <w:r>
        <w:rPr>
          <w:rFonts w:hint="eastAsia"/>
        </w:rPr>
        <w:t>，否则需重新进行试验。</w:t>
      </w:r>
    </w:p>
    <w:p>
      <w:pPr>
        <w:pStyle w:val="105"/>
        <w:spacing w:before="156" w:after="156"/>
        <w:rPr>
          <w:rFonts w:hint="eastAsia"/>
        </w:rPr>
      </w:pPr>
      <w:bookmarkStart w:id="74" w:name="_Toc224242568"/>
      <w:r>
        <w:rPr>
          <w:rFonts w:hint="eastAsia"/>
        </w:rPr>
        <w:t>数据记录</w:t>
      </w:r>
      <w:bookmarkEnd w:id="74"/>
    </w:p>
    <w:p>
      <w:pPr>
        <w:pStyle w:val="56"/>
        <w:ind w:firstLine="420"/>
        <w:rPr>
          <w:rFonts w:hint="eastAsia"/>
        </w:rPr>
      </w:pPr>
      <w:r>
        <w:rPr>
          <w:rFonts w:hint="eastAsia"/>
        </w:rPr>
        <w:t>详细记录各浓度处理的试虫总数、死亡数、死亡率、校正死亡率，以及回归分析相关参数，填入附录 B 的监测档案表中。</w:t>
      </w:r>
    </w:p>
    <w:p>
      <w:pPr>
        <w:pStyle w:val="104"/>
        <w:spacing w:before="312" w:after="312"/>
        <w:rPr>
          <w:rFonts w:hint="eastAsia"/>
        </w:rPr>
      </w:pPr>
      <w:bookmarkStart w:id="75" w:name="_Toc224242569"/>
      <w:bookmarkStart w:id="76" w:name="_Toc224242594"/>
      <w:r>
        <w:rPr>
          <w:rFonts w:hint="eastAsia"/>
        </w:rPr>
        <w:t>抗药性水平评估</w:t>
      </w:r>
      <w:bookmarkEnd w:id="75"/>
      <w:bookmarkEnd w:id="76"/>
    </w:p>
    <w:p>
      <w:pPr>
        <w:pStyle w:val="105"/>
        <w:spacing w:before="156" w:after="156"/>
        <w:rPr>
          <w:rFonts w:hint="eastAsia"/>
        </w:rPr>
      </w:pPr>
      <w:bookmarkStart w:id="77" w:name="_Toc224242570"/>
      <w:r>
        <w:rPr>
          <w:rFonts w:hint="eastAsia"/>
        </w:rPr>
        <w:t>敏感性基线</w:t>
      </w:r>
      <w:bookmarkEnd w:id="77"/>
    </w:p>
    <w:p>
      <w:pPr>
        <w:pStyle w:val="56"/>
        <w:ind w:firstLine="420"/>
        <w:rPr>
          <w:rFonts w:hint="eastAsia"/>
        </w:rPr>
      </w:pPr>
      <w:r>
        <w:rPr>
          <w:rFonts w:hint="eastAsia"/>
        </w:rPr>
        <w:t>采用 2020 年采自衡东县的柑橘木虱敏感种群对部分杀虫剂的敏感毒力基线（见附录 A），无对应药剂基线时，需先建立本地敏感种群基线。</w:t>
      </w:r>
    </w:p>
    <w:p>
      <w:pPr>
        <w:pStyle w:val="105"/>
        <w:spacing w:before="156" w:after="156"/>
        <w:rPr>
          <w:rFonts w:hint="eastAsia"/>
        </w:rPr>
      </w:pPr>
      <w:bookmarkStart w:id="78" w:name="_Toc224242571"/>
      <w:r>
        <w:rPr>
          <w:rFonts w:hint="eastAsia"/>
        </w:rPr>
        <w:t>抗性倍数计算</w:t>
      </w:r>
      <w:bookmarkEnd w:id="78"/>
    </w:p>
    <w:p>
      <w:pPr>
        <w:pStyle w:val="56"/>
        <w:ind w:firstLine="420"/>
      </w:pPr>
      <w:r>
        <w:rPr>
          <w:rFonts w:hint="eastAsia"/>
        </w:rPr>
        <w:t>按以下公式计算测试种群的抗性倍数，结果保留两位有效数字：</w:t>
      </w:r>
      <w:r>
        <w:t>RR=ST</w:t>
      </w:r>
      <w:r>
        <w:rPr>
          <w:rFonts w:hint="eastAsia"/>
        </w:rPr>
        <w:t>式中：</w:t>
      </w:r>
      <w:r>
        <w:t xml:space="preserve">RR </w:t>
      </w:r>
      <w:r>
        <w:rPr>
          <w:rFonts w:hint="eastAsia"/>
        </w:rPr>
        <w:t>为抗性倍数；</w:t>
      </w:r>
      <w:r>
        <w:t xml:space="preserve">T </w:t>
      </w:r>
      <w:r>
        <w:rPr>
          <w:rFonts w:hint="eastAsia"/>
        </w:rPr>
        <w:t>为测试种群的</w:t>
      </w:r>
      <w:r>
        <w:t xml:space="preserve"> LC₅₀</w:t>
      </w:r>
      <w:r>
        <w:rPr>
          <w:rFonts w:hint="eastAsia"/>
        </w:rPr>
        <w:t>值（</w:t>
      </w:r>
      <w:r>
        <w:t>mg</w:t>
      </w:r>
      <w:r>
        <w:rPr>
          <w:rFonts w:hint="eastAsia" w:ascii="微软雅黑" w:hAnsi="微软雅黑" w:eastAsia="微软雅黑" w:cs="微软雅黑"/>
        </w:rPr>
        <w:t>・</w:t>
      </w:r>
      <w:r>
        <w:t>L⁻¹</w:t>
      </w:r>
      <w:r>
        <w:rPr>
          <w:rFonts w:hint="eastAsia"/>
        </w:rPr>
        <w:t>）；</w:t>
      </w:r>
      <w:r>
        <w:t xml:space="preserve">S </w:t>
      </w:r>
      <w:r>
        <w:rPr>
          <w:rFonts w:hint="eastAsia"/>
        </w:rPr>
        <w:t>为敏感品系的</w:t>
      </w:r>
      <w:r>
        <w:t xml:space="preserve"> LC₅₀</w:t>
      </w:r>
      <w:r>
        <w:rPr>
          <w:rFonts w:hint="eastAsia"/>
        </w:rPr>
        <w:t>值（</w:t>
      </w:r>
      <w:r>
        <w:t>mg</w:t>
      </w:r>
      <w:r>
        <w:rPr>
          <w:rFonts w:hint="eastAsia" w:ascii="微软雅黑" w:hAnsi="微软雅黑" w:eastAsia="微软雅黑" w:cs="微软雅黑"/>
        </w:rPr>
        <w:t>・</w:t>
      </w:r>
      <w:r>
        <w:t>L⁻¹</w:t>
      </w:r>
      <w:r>
        <w:rPr>
          <w:rFonts w:hint="eastAsia"/>
        </w:rPr>
        <w:t>）。</w:t>
      </w:r>
    </w:p>
    <w:p>
      <w:pPr>
        <w:pStyle w:val="105"/>
        <w:spacing w:before="156" w:after="156"/>
        <w:rPr>
          <w:rFonts w:hint="eastAsia"/>
        </w:rPr>
      </w:pPr>
      <w:bookmarkStart w:id="79" w:name="_Toc224242572"/>
      <w:r>
        <w:rPr>
          <w:rFonts w:hint="eastAsia"/>
        </w:rPr>
        <w:t>抗性水平分级</w:t>
      </w:r>
      <w:bookmarkEnd w:id="79"/>
    </w:p>
    <w:p>
      <w:pPr>
        <w:pStyle w:val="56"/>
        <w:ind w:firstLine="420"/>
      </w:pPr>
      <w:r>
        <w:rPr>
          <w:rFonts w:hint="eastAsia"/>
        </w:rPr>
        <w:t>根据抗性倍数，按以表1评估柑橘木虱抗药性水平。</w:t>
      </w:r>
    </w:p>
    <w:p>
      <w:pPr>
        <w:pStyle w:val="112"/>
        <w:spacing w:before="156" w:after="156"/>
        <w:rPr>
          <w:rFonts w:hint="eastAsia"/>
        </w:rPr>
      </w:pPr>
      <w:r>
        <w:rPr>
          <w:rFonts w:hint="eastAsia"/>
        </w:rPr>
        <w:t>柑橘木虱抗药性分级</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blHeader/>
          <w:jc w:val="center"/>
        </w:trPr>
        <w:tc>
          <w:tcPr>
            <w:tcW w:w="4667" w:type="dxa"/>
            <w:tcBorders>
              <w:top w:val="single" w:color="auto" w:sz="8" w:space="0"/>
              <w:bottom w:val="single" w:color="auto" w:sz="8" w:space="0"/>
            </w:tcBorders>
            <w:vAlign w:val="center"/>
          </w:tcPr>
          <w:p>
            <w:pPr>
              <w:pStyle w:val="178"/>
              <w:rPr>
                <w:b/>
                <w:bCs/>
              </w:rPr>
            </w:pPr>
            <w:r>
              <w:rPr>
                <w:rFonts w:hint="eastAsia"/>
                <w:b/>
                <w:bCs/>
              </w:rPr>
              <w:t>抗药性水平分级</w:t>
            </w:r>
          </w:p>
        </w:tc>
        <w:tc>
          <w:tcPr>
            <w:tcW w:w="4667" w:type="dxa"/>
            <w:tcBorders>
              <w:top w:val="single" w:color="auto" w:sz="8" w:space="0"/>
              <w:bottom w:val="single" w:color="auto" w:sz="8" w:space="0"/>
            </w:tcBorders>
            <w:vAlign w:val="center"/>
          </w:tcPr>
          <w:p>
            <w:pPr>
              <w:pStyle w:val="178"/>
              <w:rPr>
                <w:b/>
                <w:bCs/>
              </w:rPr>
            </w:pPr>
            <w:r>
              <w:rPr>
                <w:rFonts w:hint="eastAsia"/>
                <w:b/>
                <w:bCs/>
              </w:rPr>
              <w:t>抗性倍数（倍）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7" w:type="dxa"/>
            <w:tcBorders>
              <w:top w:val="single" w:color="auto" w:sz="8" w:space="0"/>
            </w:tcBorders>
          </w:tcPr>
          <w:p>
            <w:pPr>
              <w:pStyle w:val="178"/>
            </w:pPr>
            <w:r>
              <w:rPr>
                <w:rFonts w:hint="eastAsia"/>
              </w:rPr>
              <w:t>敏感</w:t>
            </w:r>
          </w:p>
        </w:tc>
        <w:tc>
          <w:tcPr>
            <w:tcW w:w="4667" w:type="dxa"/>
            <w:tcBorders>
              <w:top w:val="single" w:color="auto" w:sz="8" w:space="0"/>
            </w:tcBorders>
          </w:tcPr>
          <w:p>
            <w:pPr>
              <w:pStyle w:val="178"/>
            </w:pPr>
            <w:r>
              <w:rPr>
                <w:rFonts w:hint="eastAsia"/>
              </w:rPr>
              <w:t>RR≤5.0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7" w:type="dxa"/>
          </w:tcPr>
          <w:p>
            <w:pPr>
              <w:pStyle w:val="178"/>
            </w:pPr>
            <w:r>
              <w:rPr>
                <w:rFonts w:hint="eastAsia"/>
              </w:rPr>
              <w:t>低水平抗性</w:t>
            </w:r>
          </w:p>
        </w:tc>
        <w:tc>
          <w:tcPr>
            <w:tcW w:w="4667" w:type="dxa"/>
          </w:tcPr>
          <w:p>
            <w:pPr>
              <w:pStyle w:val="178"/>
            </w:pPr>
            <w:r>
              <w:rPr>
                <w:rFonts w:hint="eastAsia"/>
              </w:rPr>
              <w:t>5.0 &lt; RR ≤10.0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7" w:type="dxa"/>
          </w:tcPr>
          <w:p>
            <w:pPr>
              <w:pStyle w:val="178"/>
            </w:pPr>
            <w:r>
              <w:rPr>
                <w:rFonts w:hint="eastAsia"/>
              </w:rPr>
              <w:t>中等水平抗性</w:t>
            </w:r>
          </w:p>
        </w:tc>
        <w:tc>
          <w:tcPr>
            <w:tcW w:w="4667" w:type="dxa"/>
          </w:tcPr>
          <w:p>
            <w:pPr>
              <w:pStyle w:val="178"/>
            </w:pPr>
            <w:r>
              <w:rPr>
                <w:rFonts w:hint="eastAsia"/>
              </w:rPr>
              <w:t>10.0 &lt; RR ≤100.0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67" w:type="dxa"/>
          </w:tcPr>
          <w:p>
            <w:pPr>
              <w:pStyle w:val="178"/>
              <w:rPr>
                <w:rFonts w:hint="eastAsia"/>
              </w:rPr>
            </w:pPr>
            <w:r>
              <w:rPr>
                <w:rFonts w:hint="eastAsia"/>
              </w:rPr>
              <w:t>高水平抗性</w:t>
            </w:r>
          </w:p>
        </w:tc>
        <w:tc>
          <w:tcPr>
            <w:tcW w:w="4667" w:type="dxa"/>
          </w:tcPr>
          <w:p>
            <w:pPr>
              <w:pStyle w:val="178"/>
              <w:rPr>
                <w:rFonts w:hint="eastAsia"/>
              </w:rPr>
            </w:pPr>
            <w:r>
              <w:rPr>
                <w:rFonts w:hint="eastAsia"/>
              </w:rPr>
              <w:t>RR&gt;100.0</w:t>
            </w:r>
          </w:p>
        </w:tc>
      </w:tr>
    </w:tbl>
    <w:p>
      <w:pPr>
        <w:pStyle w:val="56"/>
        <w:ind w:firstLine="420"/>
      </w:pPr>
    </w:p>
    <w:p>
      <w:pPr>
        <w:pStyle w:val="105"/>
        <w:spacing w:before="156" w:after="156"/>
        <w:rPr>
          <w:rFonts w:hint="eastAsia"/>
        </w:rPr>
      </w:pPr>
      <w:bookmarkStart w:id="80" w:name="_Toc224242573"/>
      <w:r>
        <w:rPr>
          <w:rFonts w:hint="eastAsia"/>
        </w:rPr>
        <w:t>评估报告</w:t>
      </w:r>
      <w:bookmarkEnd w:id="80"/>
    </w:p>
    <w:p>
      <w:pPr>
        <w:pStyle w:val="56"/>
        <w:ind w:firstLine="420"/>
        <w:rPr>
          <w:rFonts w:hint="eastAsia"/>
        </w:rPr>
      </w:pPr>
      <w:r>
        <w:rPr>
          <w:rFonts w:hint="eastAsia"/>
        </w:rPr>
        <w:t>根据抗药性水平分级结果，结合监测区域的用药历史和柑橘木虱发生情况，撰写抗药性监测评估报告，提出针对性的药剂轮换使用、减量施用等防控建议。</w:t>
      </w:r>
    </w:p>
    <w:p>
      <w:pPr>
        <w:pStyle w:val="104"/>
        <w:spacing w:before="312" w:after="312"/>
        <w:rPr>
          <w:rFonts w:hint="eastAsia"/>
        </w:rPr>
      </w:pPr>
      <w:bookmarkStart w:id="81" w:name="_Toc224242595"/>
      <w:bookmarkStart w:id="82" w:name="_Toc224242574"/>
      <w:r>
        <w:rPr>
          <w:rFonts w:hint="eastAsia"/>
        </w:rPr>
        <w:t>废弃物处置</w:t>
      </w:r>
      <w:bookmarkEnd w:id="81"/>
      <w:bookmarkEnd w:id="82"/>
    </w:p>
    <w:p>
      <w:pPr>
        <w:pStyle w:val="105"/>
        <w:spacing w:before="156" w:after="156"/>
        <w:rPr>
          <w:rFonts w:hint="eastAsia"/>
        </w:rPr>
      </w:pPr>
      <w:bookmarkStart w:id="83" w:name="_Toc224242575"/>
      <w:r>
        <w:rPr>
          <w:rFonts w:hint="eastAsia"/>
        </w:rPr>
        <w:t>试验废弃物</w:t>
      </w:r>
      <w:bookmarkEnd w:id="83"/>
    </w:p>
    <w:p>
      <w:pPr>
        <w:pStyle w:val="56"/>
        <w:ind w:firstLine="420"/>
        <w:rPr>
          <w:rFonts w:hint="eastAsia"/>
        </w:rPr>
      </w:pPr>
      <w:r>
        <w:rPr>
          <w:rFonts w:hint="eastAsia"/>
        </w:rPr>
        <w:t>试验后的剩余药剂、含药废液需集中收集，交由专业机构按危险废物管理规定进行无害化处理；带药的玻璃器皿、滤纸、棉签等需经清洗消毒后再行处置，清洗废水需经处理达标后排放。</w:t>
      </w:r>
    </w:p>
    <w:p>
      <w:pPr>
        <w:pStyle w:val="105"/>
        <w:spacing w:before="156" w:after="156"/>
        <w:rPr>
          <w:rFonts w:hint="eastAsia"/>
        </w:rPr>
      </w:pPr>
      <w:bookmarkStart w:id="84" w:name="_Toc224242576"/>
      <w:r>
        <w:rPr>
          <w:rFonts w:hint="eastAsia"/>
        </w:rPr>
        <w:t>生物废弃物</w:t>
      </w:r>
      <w:bookmarkEnd w:id="84"/>
    </w:p>
    <w:p>
      <w:pPr>
        <w:pStyle w:val="56"/>
        <w:ind w:firstLine="420"/>
        <w:rPr>
          <w:rFonts w:hint="eastAsia"/>
        </w:rPr>
      </w:pPr>
      <w:r>
        <w:rPr>
          <w:rFonts w:hint="eastAsia"/>
        </w:rPr>
        <w:t>试验后的柑橘木虱尸体、残枝败叶等生物废弃物需集中收集，采用高温灭菌或深埋方式进行无害化处理，防止病虫害传播。</w:t>
      </w:r>
    </w:p>
    <w:p>
      <w:pPr>
        <w:pStyle w:val="105"/>
        <w:spacing w:before="156" w:after="156"/>
        <w:rPr>
          <w:rFonts w:hint="eastAsia"/>
        </w:rPr>
      </w:pPr>
      <w:bookmarkStart w:id="85" w:name="_Toc224242577"/>
      <w:r>
        <w:rPr>
          <w:rFonts w:hint="eastAsia"/>
        </w:rPr>
        <w:t>包装废弃物</w:t>
      </w:r>
      <w:bookmarkEnd w:id="85"/>
    </w:p>
    <w:p>
      <w:pPr>
        <w:pStyle w:val="56"/>
        <w:ind w:firstLine="420"/>
      </w:pPr>
      <w:r>
        <w:rPr>
          <w:rFonts w:hint="eastAsia"/>
        </w:rPr>
        <w:t>农药包装瓶、包装袋等需分类回收，交由农药经营单位或专业回收机构进行集中处置，不得随意丢弃。</w:t>
      </w:r>
    </w:p>
    <w:p>
      <w:pPr>
        <w:pStyle w:val="104"/>
        <w:spacing w:before="312" w:after="312"/>
        <w:rPr>
          <w:rFonts w:hint="eastAsia"/>
        </w:rPr>
      </w:pPr>
      <w:bookmarkStart w:id="86" w:name="_Toc224242596"/>
      <w:bookmarkStart w:id="87" w:name="_Toc224242578"/>
      <w:r>
        <w:rPr>
          <w:rFonts w:hint="eastAsia"/>
        </w:rPr>
        <w:t>测档案管理</w:t>
      </w:r>
      <w:bookmarkEnd w:id="86"/>
      <w:bookmarkEnd w:id="87"/>
    </w:p>
    <w:p>
      <w:pPr>
        <w:pStyle w:val="105"/>
        <w:spacing w:before="156" w:after="156"/>
        <w:rPr>
          <w:rFonts w:hint="eastAsia"/>
        </w:rPr>
      </w:pPr>
      <w:bookmarkStart w:id="88" w:name="_Toc224242579"/>
      <w:r>
        <w:rPr>
          <w:rFonts w:hint="eastAsia"/>
        </w:rPr>
        <w:t>档案内容</w:t>
      </w:r>
      <w:bookmarkEnd w:id="88"/>
    </w:p>
    <w:p>
      <w:pPr>
        <w:pStyle w:val="56"/>
        <w:ind w:firstLine="420"/>
        <w:rPr>
          <w:rFonts w:hint="eastAsia"/>
        </w:rPr>
      </w:pPr>
      <w:r>
        <w:rPr>
          <w:rFonts w:hint="eastAsia"/>
        </w:rPr>
        <w:t>建立柑橘木虱抗药性监测档案，记录以下信息：</w:t>
      </w:r>
    </w:p>
    <w:p>
      <w:pPr>
        <w:pStyle w:val="56"/>
        <w:ind w:firstLine="420"/>
        <w:rPr>
          <w:rFonts w:hint="eastAsia"/>
        </w:rPr>
      </w:pPr>
      <w:r>
        <w:rPr>
          <w:rFonts w:hint="eastAsia"/>
        </w:rPr>
        <w:t>•</w:t>
      </w:r>
      <w:r>
        <w:rPr>
          <w:rFonts w:hint="eastAsia"/>
        </w:rPr>
        <w:tab/>
      </w:r>
      <w:r>
        <w:rPr>
          <w:rFonts w:hint="eastAsia"/>
        </w:rPr>
        <w:t>基础信息：监测地点（详细至乡镇、村、果园）、监测时间、柑橘品种、树龄、作物生育期、当地用药水平（近 1 年内使用的杀虫剂种类、使用次数、使用剂量）；</w:t>
      </w:r>
    </w:p>
    <w:p>
      <w:pPr>
        <w:pStyle w:val="56"/>
        <w:ind w:firstLine="420"/>
        <w:rPr>
          <w:rFonts w:hint="eastAsia"/>
        </w:rPr>
      </w:pPr>
      <w:r>
        <w:rPr>
          <w:rFonts w:hint="eastAsia"/>
        </w:rPr>
        <w:t>•</w:t>
      </w:r>
      <w:r>
        <w:rPr>
          <w:rFonts w:hint="eastAsia"/>
        </w:rPr>
        <w:tab/>
      </w:r>
      <w:r>
        <w:rPr>
          <w:rFonts w:hint="eastAsia"/>
        </w:rPr>
        <w:t>试验信息：生测方法（玻璃瓶叶片药膜法或滤纸药膜法）、试虫采集情况、药剂信息（名称、纯度、生产厂家）、浓度系列设置、重复次数；</w:t>
      </w:r>
    </w:p>
    <w:p>
      <w:pPr>
        <w:pStyle w:val="56"/>
        <w:ind w:firstLine="420"/>
      </w:pPr>
      <w:r>
        <w:rPr>
          <w:rFonts w:hint="eastAsia"/>
        </w:rPr>
        <w:t>•</w:t>
      </w:r>
      <w:r>
        <w:tab/>
      </w:r>
      <w:r>
        <w:rPr>
          <w:rFonts w:hint="eastAsia"/>
        </w:rPr>
        <w:t>结果信息：校正死亡率、回归方程、相关系数、</w:t>
      </w:r>
      <w:r>
        <w:t>LC₅₀</w:t>
      </w:r>
      <w:r>
        <w:rPr>
          <w:rFonts w:hint="eastAsia"/>
        </w:rPr>
        <w:t>值、</w:t>
      </w:r>
      <w:r>
        <w:t>LC₉₀</w:t>
      </w:r>
      <w:r>
        <w:rPr>
          <w:rFonts w:hint="eastAsia"/>
        </w:rPr>
        <w:t>值、抗性倍数、抗药性水平等级；</w:t>
      </w:r>
    </w:p>
    <w:p>
      <w:pPr>
        <w:pStyle w:val="56"/>
        <w:ind w:firstLine="420"/>
        <w:rPr>
          <w:rFonts w:hint="eastAsia"/>
        </w:rPr>
      </w:pPr>
      <w:r>
        <w:rPr>
          <w:rFonts w:hint="eastAsia"/>
        </w:rPr>
        <w:t>•</w:t>
      </w:r>
      <w:r>
        <w:rPr>
          <w:rFonts w:hint="eastAsia"/>
        </w:rPr>
        <w:tab/>
      </w:r>
      <w:r>
        <w:rPr>
          <w:rFonts w:hint="eastAsia"/>
        </w:rPr>
        <w:t>其他信息：试验人员、记录日期、异常情况说明（如气候波动、试虫异常死亡等）。</w:t>
      </w:r>
    </w:p>
    <w:p>
      <w:pPr>
        <w:pStyle w:val="105"/>
        <w:spacing w:before="156" w:after="156"/>
        <w:rPr>
          <w:rFonts w:hint="eastAsia"/>
        </w:rPr>
      </w:pPr>
      <w:bookmarkStart w:id="89" w:name="_Toc224242580"/>
      <w:r>
        <w:rPr>
          <w:rFonts w:hint="eastAsia"/>
        </w:rPr>
        <w:t>档案保存</w:t>
      </w:r>
      <w:bookmarkEnd w:id="89"/>
    </w:p>
    <w:p>
      <w:pPr>
        <w:pStyle w:val="56"/>
        <w:ind w:firstLine="420"/>
        <w:rPr>
          <w:rFonts w:hint="eastAsia"/>
        </w:rPr>
      </w:pPr>
      <w:r>
        <w:rPr>
          <w:rFonts w:hint="eastAsia"/>
        </w:rPr>
        <w:t>监测档案需以纸质和电子两种形式保存，保存期限不少于 2 年，电子档案需备份以防丢失。档案管理应符合湖南省农作物病虫害监测预警体系的数据管理要求，便于数据共享和联动指导。</w:t>
      </w: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5"/>
    <w:p>
      <w:pPr>
        <w:pStyle w:val="198"/>
        <w:rPr>
          <w:vanish w:val="0"/>
        </w:rPr>
      </w:pPr>
      <w:bookmarkStart w:id="90" w:name="BookMark5"/>
    </w:p>
    <w:p>
      <w:pPr>
        <w:pStyle w:val="199"/>
        <w:rPr>
          <w:vanish w:val="0"/>
        </w:rPr>
      </w:pPr>
    </w:p>
    <w:p>
      <w:pPr>
        <w:pStyle w:val="76"/>
        <w:spacing w:after="156"/>
        <w:rPr>
          <w:rFonts w:hint="eastAsia"/>
        </w:rPr>
      </w:pPr>
      <w:r>
        <w:br w:type="textWrapping"/>
      </w:r>
      <w:bookmarkStart w:id="91" w:name="_Toc224242597"/>
      <w:bookmarkStart w:id="92" w:name="_Toc224242581"/>
      <w:r>
        <w:rPr>
          <w:rFonts w:hint="eastAsia"/>
        </w:rPr>
        <w:t>（资料性）</w:t>
      </w:r>
      <w:r>
        <w:br w:type="textWrapping"/>
      </w:r>
      <w:r>
        <w:rPr>
          <w:rFonts w:hint="eastAsia"/>
        </w:rPr>
        <w:t>木虱成虫对杀虫剂的敏感毒力基线</w:t>
      </w:r>
      <w:bookmarkEnd w:id="91"/>
      <w:bookmarkEnd w:id="92"/>
    </w:p>
    <w:p>
      <w:pPr>
        <w:pStyle w:val="56"/>
        <w:ind w:firstLine="420"/>
      </w:pPr>
      <w:r>
        <w:rPr>
          <w:rFonts w:hint="eastAsia"/>
        </w:rPr>
        <w:t>柑橘木虱成虫对部分杀虫剂的敏感毒力基线（玻璃瓶叶片药膜法）见表A.1。</w:t>
      </w:r>
    </w:p>
    <w:p>
      <w:pPr>
        <w:pStyle w:val="77"/>
        <w:spacing w:before="156" w:after="156"/>
      </w:pPr>
      <w:r>
        <w:rPr>
          <w:rFonts w:hint="eastAsia"/>
        </w:rPr>
        <w:t>柑橘木虱成虫对部分杀虫剂的敏感毒力基线（玻璃瓶叶片药膜法）</w:t>
      </w:r>
    </w:p>
    <w:tbl>
      <w:tblPr>
        <w:tblStyle w:val="27"/>
        <w:tblW w:w="9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243"/>
        <w:gridCol w:w="1559"/>
        <w:gridCol w:w="1198"/>
        <w:gridCol w:w="24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4243"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药剂</w:t>
            </w:r>
          </w:p>
        </w:tc>
        <w:tc>
          <w:tcPr>
            <w:tcW w:w="1559"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回归方程</w:t>
            </w:r>
          </w:p>
        </w:tc>
        <w:tc>
          <w:tcPr>
            <w:tcW w:w="1198" w:type="dxa"/>
            <w:tcBorders>
              <w:top w:val="single" w:color="auto" w:sz="8" w:space="0"/>
              <w:bottom w:val="single" w:color="auto" w:sz="8" w:space="0"/>
            </w:tcBorders>
            <w:vAlign w:val="center"/>
          </w:tcPr>
          <w:p>
            <w:pPr>
              <w:pStyle w:val="178"/>
              <w:rPr>
                <w:rFonts w:hint="eastAsia"/>
                <w:b/>
                <w:bCs/>
                <w:sz w:val="21"/>
                <w:szCs w:val="21"/>
              </w:rPr>
            </w:pPr>
            <w:r>
              <w:rPr>
                <w:rFonts w:hint="eastAsia"/>
                <w:b/>
                <w:bCs/>
                <w:sz w:val="21"/>
                <w:szCs w:val="21"/>
              </w:rPr>
              <w:t>相关系数R</w:t>
            </w:r>
            <w:r>
              <w:rPr>
                <w:rFonts w:hint="eastAsia"/>
                <w:b/>
                <w:bCs/>
                <w:sz w:val="21"/>
                <w:szCs w:val="21"/>
                <w:vertAlign w:val="superscript"/>
              </w:rPr>
              <w:t>2</w:t>
            </w:r>
          </w:p>
        </w:tc>
        <w:tc>
          <w:tcPr>
            <w:tcW w:w="2488" w:type="dxa"/>
            <w:tcBorders>
              <w:top w:val="single" w:color="auto" w:sz="8" w:space="0"/>
              <w:bottom w:val="single" w:color="auto" w:sz="8" w:space="0"/>
            </w:tcBorders>
            <w:vAlign w:val="center"/>
          </w:tcPr>
          <w:p>
            <w:pPr>
              <w:pStyle w:val="178"/>
              <w:rPr>
                <w:rFonts w:hint="eastAsia"/>
                <w:b/>
                <w:bCs/>
                <w:sz w:val="21"/>
                <w:szCs w:val="21"/>
              </w:rPr>
            </w:pPr>
            <w:r>
              <w:rPr>
                <w:rFonts w:hint="eastAsia"/>
                <w:b/>
                <w:bCs/>
                <w:sz w:val="21"/>
                <w:szCs w:val="21"/>
              </w:rPr>
              <w:t>LC</w:t>
            </w:r>
            <w:r>
              <w:rPr>
                <w:rFonts w:hint="eastAsia"/>
                <w:b/>
                <w:bCs/>
                <w:sz w:val="21"/>
                <w:szCs w:val="21"/>
                <w:vertAlign w:val="subscript"/>
              </w:rPr>
              <w:t>50</w:t>
            </w:r>
            <w:r>
              <w:rPr>
                <w:rFonts w:hint="eastAsia"/>
                <w:b/>
                <w:bCs/>
                <w:sz w:val="21"/>
                <w:szCs w:val="21"/>
              </w:rPr>
              <w:t>（95%置信区间）/mg.L</w:t>
            </w:r>
            <w:r>
              <w:rPr>
                <w:rFonts w:hint="eastAsia"/>
                <w:b/>
                <w:bCs/>
                <w:sz w:val="21"/>
                <w:szCs w:val="21"/>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吡虫啉（imidacloprid）</w:t>
            </w:r>
          </w:p>
        </w:tc>
        <w:tc>
          <w:tcPr>
            <w:tcW w:w="1559" w:type="dxa"/>
            <w:vAlign w:val="center"/>
          </w:tcPr>
          <w:p>
            <w:pPr>
              <w:pStyle w:val="178"/>
              <w:rPr>
                <w:sz w:val="21"/>
                <w:szCs w:val="21"/>
              </w:rPr>
            </w:pPr>
            <w:r>
              <w:rPr>
                <w:rFonts w:hAnsi="宋体" w:cs="宋体"/>
                <w:color w:val="000000"/>
                <w:sz w:val="21"/>
                <w:szCs w:val="21"/>
                <w:lang w:bidi="ar"/>
              </w:rPr>
              <w:t>y=-0.54+1.93x</w:t>
            </w:r>
          </w:p>
        </w:tc>
        <w:tc>
          <w:tcPr>
            <w:tcW w:w="1198" w:type="dxa"/>
            <w:vAlign w:val="center"/>
          </w:tcPr>
          <w:p>
            <w:pPr>
              <w:pStyle w:val="178"/>
              <w:rPr>
                <w:sz w:val="21"/>
                <w:szCs w:val="21"/>
              </w:rPr>
            </w:pPr>
            <w:r>
              <w:rPr>
                <w:rFonts w:hAnsi="宋体" w:cs="宋体"/>
                <w:color w:val="000000"/>
                <w:sz w:val="21"/>
                <w:szCs w:val="21"/>
                <w:lang w:bidi="ar"/>
              </w:rPr>
              <w:t>0.980</w:t>
            </w:r>
          </w:p>
        </w:tc>
        <w:tc>
          <w:tcPr>
            <w:tcW w:w="2488" w:type="dxa"/>
            <w:vAlign w:val="center"/>
          </w:tcPr>
          <w:p>
            <w:pPr>
              <w:pStyle w:val="178"/>
              <w:rPr>
                <w:sz w:val="21"/>
                <w:szCs w:val="21"/>
              </w:rPr>
            </w:pPr>
            <w:r>
              <w:rPr>
                <w:rFonts w:hAnsi="宋体" w:cs="宋体"/>
                <w:color w:val="000000"/>
                <w:sz w:val="21"/>
                <w:szCs w:val="21"/>
                <w:lang w:bidi="ar"/>
              </w:rPr>
              <w:t>1.879(1.250</w:t>
            </w:r>
            <w:r>
              <w:rPr>
                <w:rFonts w:hint="eastAsia" w:hAnsi="宋体" w:cs="宋体"/>
                <w:color w:val="000000"/>
                <w:sz w:val="21"/>
                <w:szCs w:val="21"/>
                <w:lang w:bidi="ar"/>
              </w:rPr>
              <w:t>～</w:t>
            </w:r>
            <w:r>
              <w:rPr>
                <w:rFonts w:hAnsi="宋体" w:cs="宋体"/>
                <w:color w:val="000000"/>
                <w:sz w:val="21"/>
                <w:szCs w:val="21"/>
                <w:lang w:bidi="ar"/>
              </w:rPr>
              <w:t>2.646)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高效氟氯氰菊酯（beta-cyfluthrin）</w:t>
            </w:r>
          </w:p>
        </w:tc>
        <w:tc>
          <w:tcPr>
            <w:tcW w:w="1559" w:type="dxa"/>
            <w:vAlign w:val="center"/>
          </w:tcPr>
          <w:p>
            <w:pPr>
              <w:pStyle w:val="178"/>
              <w:rPr>
                <w:sz w:val="21"/>
                <w:szCs w:val="21"/>
              </w:rPr>
            </w:pPr>
            <w:r>
              <w:rPr>
                <w:rFonts w:hAnsi="宋体" w:cs="宋体"/>
                <w:color w:val="000000"/>
                <w:sz w:val="21"/>
                <w:szCs w:val="21"/>
                <w:lang w:bidi="ar"/>
              </w:rPr>
              <w:t>y=-0.19+2.96x</w:t>
            </w:r>
          </w:p>
        </w:tc>
        <w:tc>
          <w:tcPr>
            <w:tcW w:w="1198" w:type="dxa"/>
            <w:vAlign w:val="center"/>
          </w:tcPr>
          <w:p>
            <w:pPr>
              <w:pStyle w:val="178"/>
              <w:rPr>
                <w:sz w:val="21"/>
                <w:szCs w:val="21"/>
              </w:rPr>
            </w:pPr>
            <w:r>
              <w:rPr>
                <w:rFonts w:hAnsi="宋体" w:cs="宋体"/>
                <w:color w:val="000000"/>
                <w:sz w:val="21"/>
                <w:szCs w:val="21"/>
                <w:lang w:bidi="ar"/>
              </w:rPr>
              <w:t>0.980</w:t>
            </w:r>
          </w:p>
        </w:tc>
        <w:tc>
          <w:tcPr>
            <w:tcW w:w="2488" w:type="dxa"/>
            <w:vAlign w:val="center"/>
          </w:tcPr>
          <w:p>
            <w:pPr>
              <w:pStyle w:val="178"/>
              <w:rPr>
                <w:sz w:val="21"/>
                <w:szCs w:val="21"/>
              </w:rPr>
            </w:pPr>
            <w:r>
              <w:rPr>
                <w:rFonts w:hAnsi="宋体" w:cs="宋体"/>
                <w:color w:val="000000"/>
                <w:sz w:val="21"/>
                <w:szCs w:val="21"/>
                <w:lang w:bidi="ar"/>
              </w:rPr>
              <w:t>2.522(2.017</w:t>
            </w:r>
            <w:r>
              <w:rPr>
                <w:rFonts w:hint="eastAsia" w:hAnsi="宋体" w:cs="宋体"/>
                <w:color w:val="000000"/>
                <w:sz w:val="21"/>
                <w:szCs w:val="21"/>
                <w:lang w:bidi="ar"/>
              </w:rPr>
              <w:t>～</w:t>
            </w:r>
            <w:r>
              <w:rPr>
                <w:rFonts w:hAnsi="宋体" w:cs="宋体"/>
                <w:color w:val="000000"/>
                <w:sz w:val="21"/>
                <w:szCs w:val="21"/>
                <w:lang w:bidi="ar"/>
              </w:rPr>
              <w:t>3.121)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氟啶虫胺腈（sulfoxaflor）</w:t>
            </w:r>
          </w:p>
        </w:tc>
        <w:tc>
          <w:tcPr>
            <w:tcW w:w="1559" w:type="dxa"/>
            <w:vAlign w:val="center"/>
          </w:tcPr>
          <w:p>
            <w:pPr>
              <w:pStyle w:val="178"/>
              <w:rPr>
                <w:sz w:val="21"/>
                <w:szCs w:val="21"/>
              </w:rPr>
            </w:pPr>
            <w:r>
              <w:rPr>
                <w:rFonts w:hAnsi="宋体" w:cs="宋体"/>
                <w:color w:val="000000"/>
                <w:sz w:val="21"/>
                <w:szCs w:val="21"/>
                <w:lang w:bidi="ar"/>
              </w:rPr>
              <w:t>y=-1.4+3.1x</w:t>
            </w:r>
          </w:p>
        </w:tc>
        <w:tc>
          <w:tcPr>
            <w:tcW w:w="1198" w:type="dxa"/>
            <w:vAlign w:val="center"/>
          </w:tcPr>
          <w:p>
            <w:pPr>
              <w:pStyle w:val="178"/>
              <w:rPr>
                <w:sz w:val="21"/>
                <w:szCs w:val="21"/>
              </w:rPr>
            </w:pPr>
            <w:r>
              <w:rPr>
                <w:rFonts w:hAnsi="宋体" w:cs="宋体"/>
                <w:color w:val="000000"/>
                <w:sz w:val="21"/>
                <w:szCs w:val="21"/>
                <w:lang w:bidi="ar"/>
              </w:rPr>
              <w:t>0.982</w:t>
            </w:r>
          </w:p>
        </w:tc>
        <w:tc>
          <w:tcPr>
            <w:tcW w:w="2488" w:type="dxa"/>
            <w:vAlign w:val="center"/>
          </w:tcPr>
          <w:p>
            <w:pPr>
              <w:pStyle w:val="178"/>
              <w:rPr>
                <w:sz w:val="21"/>
                <w:szCs w:val="21"/>
              </w:rPr>
            </w:pPr>
            <w:r>
              <w:rPr>
                <w:rFonts w:hAnsi="宋体" w:cs="宋体"/>
                <w:color w:val="000000"/>
                <w:sz w:val="21"/>
                <w:szCs w:val="21"/>
                <w:lang w:bidi="ar"/>
              </w:rPr>
              <w:t>2.769(2.244</w:t>
            </w:r>
            <w:r>
              <w:rPr>
                <w:rFonts w:hint="eastAsia" w:hAnsi="宋体" w:cs="宋体"/>
                <w:color w:val="000000"/>
                <w:sz w:val="21"/>
                <w:szCs w:val="21"/>
                <w:lang w:bidi="ar"/>
              </w:rPr>
              <w:t>～</w:t>
            </w:r>
            <w:r>
              <w:rPr>
                <w:rFonts w:hAnsi="宋体" w:cs="宋体"/>
                <w:color w:val="000000"/>
                <w:sz w:val="21"/>
                <w:szCs w:val="21"/>
                <w:lang w:bidi="ar"/>
              </w:rPr>
              <w:t>3.412)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呋虫胺（dinotefuran）</w:t>
            </w:r>
          </w:p>
        </w:tc>
        <w:tc>
          <w:tcPr>
            <w:tcW w:w="1559" w:type="dxa"/>
            <w:vAlign w:val="center"/>
          </w:tcPr>
          <w:p>
            <w:pPr>
              <w:pStyle w:val="178"/>
              <w:rPr>
                <w:sz w:val="21"/>
                <w:szCs w:val="21"/>
              </w:rPr>
            </w:pPr>
            <w:r>
              <w:rPr>
                <w:rFonts w:hAnsi="宋体" w:cs="宋体"/>
                <w:color w:val="000000"/>
                <w:sz w:val="21"/>
                <w:szCs w:val="21"/>
                <w:lang w:bidi="ar"/>
              </w:rPr>
              <w:t>y=-0.26+2.3x</w:t>
            </w:r>
          </w:p>
        </w:tc>
        <w:tc>
          <w:tcPr>
            <w:tcW w:w="1198" w:type="dxa"/>
            <w:vAlign w:val="center"/>
          </w:tcPr>
          <w:p>
            <w:pPr>
              <w:pStyle w:val="178"/>
              <w:rPr>
                <w:sz w:val="21"/>
                <w:szCs w:val="21"/>
              </w:rPr>
            </w:pPr>
            <w:r>
              <w:rPr>
                <w:rFonts w:hAnsi="宋体" w:cs="宋体"/>
                <w:color w:val="000000"/>
                <w:sz w:val="21"/>
                <w:szCs w:val="21"/>
                <w:lang w:bidi="ar"/>
              </w:rPr>
              <w:t>0.993</w:t>
            </w:r>
          </w:p>
        </w:tc>
        <w:tc>
          <w:tcPr>
            <w:tcW w:w="2488" w:type="dxa"/>
            <w:vAlign w:val="center"/>
          </w:tcPr>
          <w:p>
            <w:pPr>
              <w:pStyle w:val="178"/>
              <w:rPr>
                <w:sz w:val="21"/>
                <w:szCs w:val="21"/>
              </w:rPr>
            </w:pPr>
            <w:r>
              <w:rPr>
                <w:rFonts w:hAnsi="宋体" w:cs="宋体"/>
                <w:color w:val="000000"/>
                <w:sz w:val="21"/>
                <w:szCs w:val="21"/>
                <w:lang w:bidi="ar"/>
              </w:rPr>
              <w:t>1.295(0.897</w:t>
            </w:r>
            <w:r>
              <w:rPr>
                <w:rFonts w:hint="eastAsia" w:hAnsi="宋体" w:cs="宋体"/>
                <w:color w:val="000000"/>
                <w:sz w:val="21"/>
                <w:szCs w:val="21"/>
                <w:lang w:bidi="ar"/>
              </w:rPr>
              <w:t>～</w:t>
            </w:r>
            <w:r>
              <w:rPr>
                <w:rFonts w:hAnsi="宋体" w:cs="宋体"/>
                <w:color w:val="000000"/>
                <w:sz w:val="21"/>
                <w:szCs w:val="21"/>
                <w:lang w:bidi="ar"/>
              </w:rPr>
              <w:t>1.74)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阿维菌素（abamectin）</w:t>
            </w:r>
          </w:p>
        </w:tc>
        <w:tc>
          <w:tcPr>
            <w:tcW w:w="1559" w:type="dxa"/>
            <w:vAlign w:val="center"/>
          </w:tcPr>
          <w:p>
            <w:pPr>
              <w:pStyle w:val="178"/>
              <w:rPr>
                <w:sz w:val="21"/>
                <w:szCs w:val="21"/>
              </w:rPr>
            </w:pPr>
            <w:r>
              <w:rPr>
                <w:rFonts w:hAnsi="宋体" w:cs="宋体"/>
                <w:color w:val="000000"/>
                <w:sz w:val="21"/>
                <w:szCs w:val="21"/>
                <w:lang w:bidi="ar"/>
              </w:rPr>
              <w:t>y=-0.66+1.96x</w:t>
            </w:r>
          </w:p>
        </w:tc>
        <w:tc>
          <w:tcPr>
            <w:tcW w:w="1198" w:type="dxa"/>
            <w:vAlign w:val="center"/>
          </w:tcPr>
          <w:p>
            <w:pPr>
              <w:pStyle w:val="178"/>
              <w:rPr>
                <w:sz w:val="21"/>
                <w:szCs w:val="21"/>
              </w:rPr>
            </w:pPr>
            <w:r>
              <w:rPr>
                <w:rFonts w:hAnsi="宋体" w:cs="宋体"/>
                <w:color w:val="000000"/>
                <w:sz w:val="21"/>
                <w:szCs w:val="21"/>
                <w:lang w:bidi="ar"/>
              </w:rPr>
              <w:t>0.984</w:t>
            </w:r>
          </w:p>
        </w:tc>
        <w:tc>
          <w:tcPr>
            <w:tcW w:w="2488" w:type="dxa"/>
            <w:vAlign w:val="center"/>
          </w:tcPr>
          <w:p>
            <w:pPr>
              <w:pStyle w:val="178"/>
              <w:rPr>
                <w:sz w:val="21"/>
                <w:szCs w:val="21"/>
              </w:rPr>
            </w:pPr>
            <w:r>
              <w:rPr>
                <w:rFonts w:hAnsi="宋体" w:cs="宋体"/>
                <w:color w:val="000000"/>
                <w:sz w:val="21"/>
                <w:szCs w:val="21"/>
                <w:lang w:bidi="ar"/>
              </w:rPr>
              <w:t>2.184(1.499</w:t>
            </w:r>
            <w:r>
              <w:rPr>
                <w:rFonts w:hint="eastAsia" w:hAnsi="宋体" w:cs="宋体"/>
                <w:color w:val="000000"/>
                <w:sz w:val="21"/>
                <w:szCs w:val="21"/>
                <w:lang w:bidi="ar"/>
              </w:rPr>
              <w:t>～</w:t>
            </w:r>
            <w:r>
              <w:rPr>
                <w:rFonts w:hAnsi="宋体" w:cs="宋体"/>
                <w:color w:val="000000"/>
                <w:sz w:val="21"/>
                <w:szCs w:val="21"/>
                <w:lang w:bidi="ar"/>
              </w:rPr>
              <w:t>3.089)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联苯菊酯（bifenthrin）</w:t>
            </w:r>
          </w:p>
        </w:tc>
        <w:tc>
          <w:tcPr>
            <w:tcW w:w="1559" w:type="dxa"/>
            <w:vAlign w:val="center"/>
          </w:tcPr>
          <w:p>
            <w:pPr>
              <w:pStyle w:val="178"/>
              <w:rPr>
                <w:sz w:val="21"/>
                <w:szCs w:val="21"/>
              </w:rPr>
            </w:pPr>
            <w:r>
              <w:rPr>
                <w:rFonts w:hAnsi="宋体" w:cs="宋体"/>
                <w:color w:val="000000"/>
                <w:sz w:val="21"/>
                <w:szCs w:val="21"/>
                <w:lang w:bidi="ar"/>
              </w:rPr>
              <w:t>y=-2.72+2.98x</w:t>
            </w:r>
          </w:p>
        </w:tc>
        <w:tc>
          <w:tcPr>
            <w:tcW w:w="1198" w:type="dxa"/>
            <w:vAlign w:val="center"/>
          </w:tcPr>
          <w:p>
            <w:pPr>
              <w:pStyle w:val="178"/>
              <w:rPr>
                <w:sz w:val="21"/>
                <w:szCs w:val="21"/>
              </w:rPr>
            </w:pPr>
            <w:r>
              <w:rPr>
                <w:rFonts w:hAnsi="宋体" w:cs="宋体"/>
                <w:color w:val="000000"/>
                <w:sz w:val="21"/>
                <w:szCs w:val="21"/>
                <w:lang w:bidi="ar"/>
              </w:rPr>
              <w:t>0.981</w:t>
            </w:r>
          </w:p>
        </w:tc>
        <w:tc>
          <w:tcPr>
            <w:tcW w:w="2488" w:type="dxa"/>
            <w:vAlign w:val="center"/>
          </w:tcPr>
          <w:p>
            <w:pPr>
              <w:pStyle w:val="178"/>
              <w:rPr>
                <w:sz w:val="21"/>
                <w:szCs w:val="21"/>
              </w:rPr>
            </w:pPr>
            <w:r>
              <w:rPr>
                <w:rFonts w:hAnsi="宋体" w:cs="宋体"/>
                <w:color w:val="000000"/>
                <w:sz w:val="21"/>
                <w:szCs w:val="21"/>
                <w:lang w:bidi="ar"/>
              </w:rPr>
              <w:t>8.289(6.623</w:t>
            </w:r>
            <w:r>
              <w:rPr>
                <w:rFonts w:hint="eastAsia" w:hAnsi="宋体" w:cs="宋体"/>
                <w:color w:val="000000"/>
                <w:sz w:val="21"/>
                <w:szCs w:val="21"/>
                <w:lang w:bidi="ar"/>
              </w:rPr>
              <w:t>～</w:t>
            </w:r>
            <w:r>
              <w:rPr>
                <w:rFonts w:hAnsi="宋体" w:cs="宋体"/>
                <w:color w:val="000000"/>
                <w:sz w:val="21"/>
                <w:szCs w:val="21"/>
                <w:lang w:bidi="ar"/>
              </w:rPr>
              <w:t>10.249)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噻虫嗪（thiamethoxam）</w:t>
            </w:r>
          </w:p>
        </w:tc>
        <w:tc>
          <w:tcPr>
            <w:tcW w:w="1559" w:type="dxa"/>
            <w:vAlign w:val="center"/>
          </w:tcPr>
          <w:p>
            <w:pPr>
              <w:pStyle w:val="178"/>
              <w:rPr>
                <w:sz w:val="21"/>
                <w:szCs w:val="21"/>
              </w:rPr>
            </w:pPr>
            <w:r>
              <w:rPr>
                <w:rFonts w:hAnsi="宋体" w:cs="宋体"/>
                <w:color w:val="000000"/>
                <w:sz w:val="21"/>
                <w:szCs w:val="21"/>
                <w:lang w:bidi="ar"/>
              </w:rPr>
              <w:t>y=0.12+2.21x</w:t>
            </w:r>
          </w:p>
        </w:tc>
        <w:tc>
          <w:tcPr>
            <w:tcW w:w="1198" w:type="dxa"/>
            <w:vAlign w:val="center"/>
          </w:tcPr>
          <w:p>
            <w:pPr>
              <w:pStyle w:val="178"/>
              <w:rPr>
                <w:sz w:val="21"/>
                <w:szCs w:val="21"/>
              </w:rPr>
            </w:pPr>
            <w:r>
              <w:rPr>
                <w:rFonts w:hAnsi="宋体" w:cs="宋体"/>
                <w:color w:val="000000"/>
                <w:sz w:val="21"/>
                <w:szCs w:val="21"/>
                <w:lang w:bidi="ar"/>
              </w:rPr>
              <w:t>0.991</w:t>
            </w:r>
          </w:p>
        </w:tc>
        <w:tc>
          <w:tcPr>
            <w:tcW w:w="2488" w:type="dxa"/>
            <w:vAlign w:val="center"/>
          </w:tcPr>
          <w:p>
            <w:pPr>
              <w:pStyle w:val="178"/>
              <w:rPr>
                <w:sz w:val="21"/>
                <w:szCs w:val="21"/>
              </w:rPr>
            </w:pPr>
            <w:r>
              <w:rPr>
                <w:rFonts w:hAnsi="宋体" w:cs="宋体"/>
                <w:color w:val="000000"/>
                <w:sz w:val="21"/>
                <w:szCs w:val="21"/>
                <w:lang w:bidi="ar"/>
              </w:rPr>
              <w:t>0.884 (0.676</w:t>
            </w:r>
            <w:r>
              <w:rPr>
                <w:rFonts w:hint="eastAsia" w:hAnsi="宋体" w:cs="宋体"/>
                <w:color w:val="000000"/>
                <w:sz w:val="21"/>
                <w:szCs w:val="21"/>
                <w:lang w:bidi="ar"/>
              </w:rPr>
              <w:t>～</w:t>
            </w:r>
            <w:r>
              <w:rPr>
                <w:rFonts w:hAnsi="宋体" w:cs="宋体"/>
                <w:color w:val="000000"/>
                <w:sz w:val="21"/>
                <w:szCs w:val="21"/>
                <w:lang w:bidi="ar"/>
              </w:rPr>
              <w:t>1.140)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噻嗪酮（buprofezin）</w:t>
            </w:r>
          </w:p>
        </w:tc>
        <w:tc>
          <w:tcPr>
            <w:tcW w:w="1559" w:type="dxa"/>
            <w:vAlign w:val="center"/>
          </w:tcPr>
          <w:p>
            <w:pPr>
              <w:pStyle w:val="178"/>
              <w:rPr>
                <w:sz w:val="21"/>
                <w:szCs w:val="21"/>
              </w:rPr>
            </w:pPr>
            <w:r>
              <w:rPr>
                <w:rFonts w:hAnsi="宋体" w:cs="宋体"/>
                <w:color w:val="000000"/>
                <w:sz w:val="21"/>
                <w:szCs w:val="21"/>
                <w:lang w:bidi="ar"/>
              </w:rPr>
              <w:t>y=-0.74+2.56x</w:t>
            </w:r>
          </w:p>
        </w:tc>
        <w:tc>
          <w:tcPr>
            <w:tcW w:w="1198" w:type="dxa"/>
            <w:vAlign w:val="center"/>
          </w:tcPr>
          <w:p>
            <w:pPr>
              <w:pStyle w:val="178"/>
              <w:rPr>
                <w:sz w:val="21"/>
                <w:szCs w:val="21"/>
              </w:rPr>
            </w:pPr>
            <w:r>
              <w:rPr>
                <w:rFonts w:hAnsi="宋体" w:cs="宋体"/>
                <w:color w:val="000000"/>
                <w:sz w:val="21"/>
                <w:szCs w:val="21"/>
                <w:lang w:bidi="ar"/>
              </w:rPr>
              <w:t>0.991</w:t>
            </w:r>
          </w:p>
        </w:tc>
        <w:tc>
          <w:tcPr>
            <w:tcW w:w="2488" w:type="dxa"/>
            <w:vAlign w:val="center"/>
          </w:tcPr>
          <w:p>
            <w:pPr>
              <w:pStyle w:val="178"/>
              <w:rPr>
                <w:sz w:val="21"/>
                <w:szCs w:val="21"/>
              </w:rPr>
            </w:pPr>
            <w:r>
              <w:rPr>
                <w:rFonts w:hAnsi="宋体" w:cs="宋体"/>
                <w:color w:val="000000"/>
                <w:sz w:val="21"/>
                <w:szCs w:val="21"/>
                <w:lang w:bidi="ar"/>
              </w:rPr>
              <w:t>1.922(1.541</w:t>
            </w:r>
            <w:r>
              <w:rPr>
                <w:rFonts w:hint="eastAsia" w:hAnsi="宋体" w:cs="宋体"/>
                <w:color w:val="000000"/>
                <w:sz w:val="21"/>
                <w:szCs w:val="21"/>
                <w:lang w:bidi="ar"/>
              </w:rPr>
              <w:t>～</w:t>
            </w:r>
            <w:r>
              <w:rPr>
                <w:rFonts w:hAnsi="宋体" w:cs="宋体"/>
                <w:color w:val="000000"/>
                <w:sz w:val="21"/>
                <w:szCs w:val="21"/>
                <w:lang w:bidi="ar"/>
              </w:rPr>
              <w:t>2.358)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溴氰虫酰胺（bromine cyanide worm amide）</w:t>
            </w:r>
          </w:p>
        </w:tc>
        <w:tc>
          <w:tcPr>
            <w:tcW w:w="1559" w:type="dxa"/>
            <w:vAlign w:val="center"/>
          </w:tcPr>
          <w:p>
            <w:pPr>
              <w:pStyle w:val="178"/>
              <w:rPr>
                <w:sz w:val="21"/>
                <w:szCs w:val="21"/>
              </w:rPr>
            </w:pPr>
            <w:r>
              <w:rPr>
                <w:rFonts w:hAnsi="宋体" w:cs="宋体"/>
                <w:color w:val="000000"/>
                <w:sz w:val="21"/>
                <w:szCs w:val="21"/>
                <w:lang w:bidi="ar"/>
              </w:rPr>
              <w:t>y=-1.17+2.58x</w:t>
            </w:r>
          </w:p>
        </w:tc>
        <w:tc>
          <w:tcPr>
            <w:tcW w:w="1198" w:type="dxa"/>
            <w:vAlign w:val="center"/>
          </w:tcPr>
          <w:p>
            <w:pPr>
              <w:pStyle w:val="178"/>
              <w:rPr>
                <w:sz w:val="21"/>
                <w:szCs w:val="21"/>
              </w:rPr>
            </w:pPr>
            <w:r>
              <w:rPr>
                <w:rFonts w:hAnsi="宋体" w:cs="宋体"/>
                <w:color w:val="000000"/>
                <w:sz w:val="21"/>
                <w:szCs w:val="21"/>
                <w:lang w:bidi="ar"/>
              </w:rPr>
              <w:t>0.990</w:t>
            </w:r>
          </w:p>
        </w:tc>
        <w:tc>
          <w:tcPr>
            <w:tcW w:w="2488" w:type="dxa"/>
            <w:vAlign w:val="center"/>
          </w:tcPr>
          <w:p>
            <w:pPr>
              <w:pStyle w:val="178"/>
              <w:rPr>
                <w:sz w:val="21"/>
                <w:szCs w:val="21"/>
              </w:rPr>
            </w:pPr>
            <w:r>
              <w:rPr>
                <w:rFonts w:hAnsi="宋体" w:cs="宋体"/>
                <w:color w:val="000000"/>
                <w:sz w:val="21"/>
                <w:szCs w:val="21"/>
                <w:lang w:bidi="ar"/>
              </w:rPr>
              <w:t>2.811 (2.279</w:t>
            </w:r>
            <w:r>
              <w:rPr>
                <w:rFonts w:hint="eastAsia" w:hAnsi="宋体" w:cs="宋体"/>
                <w:color w:val="000000"/>
                <w:sz w:val="21"/>
                <w:szCs w:val="21"/>
                <w:lang w:bidi="ar"/>
              </w:rPr>
              <w:t>～</w:t>
            </w:r>
            <w:r>
              <w:rPr>
                <w:rFonts w:hAnsi="宋体" w:cs="宋体"/>
                <w:color w:val="000000"/>
                <w:sz w:val="21"/>
                <w:szCs w:val="21"/>
                <w:lang w:bidi="ar"/>
              </w:rPr>
              <w:t>3.494)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243" w:type="dxa"/>
            <w:vAlign w:val="center"/>
          </w:tcPr>
          <w:p>
            <w:pPr>
              <w:pStyle w:val="178"/>
              <w:rPr>
                <w:sz w:val="21"/>
                <w:szCs w:val="21"/>
              </w:rPr>
            </w:pPr>
            <w:r>
              <w:rPr>
                <w:rFonts w:hAnsi="宋体" w:cs="宋体"/>
                <w:color w:val="000000"/>
                <w:sz w:val="21"/>
                <w:szCs w:val="21"/>
                <w:lang w:bidi="ar"/>
              </w:rPr>
              <w:t>啶虫脒（acetamiprid）</w:t>
            </w:r>
          </w:p>
        </w:tc>
        <w:tc>
          <w:tcPr>
            <w:tcW w:w="1559" w:type="dxa"/>
            <w:vAlign w:val="center"/>
          </w:tcPr>
          <w:p>
            <w:pPr>
              <w:pStyle w:val="178"/>
              <w:rPr>
                <w:sz w:val="21"/>
                <w:szCs w:val="21"/>
              </w:rPr>
            </w:pPr>
            <w:r>
              <w:rPr>
                <w:rFonts w:hAnsi="宋体" w:cs="宋体"/>
                <w:color w:val="000000"/>
                <w:sz w:val="21"/>
                <w:szCs w:val="21"/>
                <w:lang w:bidi="ar"/>
              </w:rPr>
              <w:t>y=1.44+2.8x</w:t>
            </w:r>
          </w:p>
        </w:tc>
        <w:tc>
          <w:tcPr>
            <w:tcW w:w="1198" w:type="dxa"/>
            <w:vAlign w:val="center"/>
          </w:tcPr>
          <w:p>
            <w:pPr>
              <w:pStyle w:val="178"/>
              <w:rPr>
                <w:sz w:val="21"/>
                <w:szCs w:val="21"/>
              </w:rPr>
            </w:pPr>
            <w:r>
              <w:rPr>
                <w:rFonts w:hAnsi="宋体" w:cs="宋体"/>
                <w:color w:val="000000"/>
                <w:sz w:val="21"/>
                <w:szCs w:val="21"/>
                <w:lang w:bidi="ar"/>
              </w:rPr>
              <w:t>0.986</w:t>
            </w:r>
          </w:p>
        </w:tc>
        <w:tc>
          <w:tcPr>
            <w:tcW w:w="2488" w:type="dxa"/>
            <w:vAlign w:val="center"/>
          </w:tcPr>
          <w:p>
            <w:pPr>
              <w:pStyle w:val="178"/>
              <w:rPr>
                <w:sz w:val="21"/>
                <w:szCs w:val="21"/>
              </w:rPr>
            </w:pPr>
            <w:r>
              <w:rPr>
                <w:rFonts w:hAnsi="宋体" w:cs="宋体"/>
                <w:color w:val="000000"/>
                <w:sz w:val="21"/>
                <w:szCs w:val="21"/>
                <w:lang w:bidi="ar"/>
              </w:rPr>
              <w:t>0.311(0.256</w:t>
            </w:r>
            <w:r>
              <w:rPr>
                <w:rFonts w:hint="eastAsia" w:hAnsi="宋体" w:cs="宋体"/>
                <w:color w:val="000000"/>
                <w:sz w:val="21"/>
                <w:szCs w:val="21"/>
                <w:lang w:bidi="ar"/>
              </w:rPr>
              <w:t>～</w:t>
            </w:r>
            <w:r>
              <w:rPr>
                <w:rFonts w:hAnsi="宋体" w:cs="宋体"/>
                <w:color w:val="000000"/>
                <w:sz w:val="21"/>
                <w:szCs w:val="21"/>
                <w:lang w:bidi="ar"/>
              </w:rPr>
              <w:t>0.484)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88" w:type="dxa"/>
            <w:gridSpan w:val="4"/>
            <w:vAlign w:val="center"/>
          </w:tcPr>
          <w:p>
            <w:pPr>
              <w:pStyle w:val="178"/>
              <w:jc w:val="both"/>
              <w:rPr>
                <w:rFonts w:hint="eastAsia" w:hAnsi="宋体" w:cs="宋体"/>
                <w:color w:val="000000"/>
                <w:sz w:val="21"/>
                <w:szCs w:val="21"/>
                <w:lang w:bidi="ar"/>
              </w:rPr>
            </w:pPr>
            <w:r>
              <w:rPr>
                <w:rFonts w:hint="eastAsia" w:hAnsi="宋体" w:cs="宋体"/>
                <w:color w:val="000000"/>
                <w:sz w:val="21"/>
                <w:szCs w:val="21"/>
                <w:lang w:bidi="ar"/>
              </w:rPr>
              <w:t>注：该基线种群于 2020 年 3 月采自衡东县，未接触过目标药剂。</w:t>
            </w:r>
          </w:p>
        </w:tc>
      </w:tr>
    </w:tbl>
    <w:p>
      <w:pPr>
        <w:pStyle w:val="56"/>
        <w:ind w:firstLine="420"/>
      </w:pPr>
    </w:p>
    <w:p>
      <w:pPr>
        <w:pStyle w:val="56"/>
        <w:ind w:firstLine="420"/>
      </w:pPr>
    </w:p>
    <w:p>
      <w:pPr>
        <w:pStyle w:val="56"/>
        <w:ind w:firstLine="420"/>
      </w:pPr>
    </w:p>
    <w:p>
      <w:pPr>
        <w:pStyle w:val="56"/>
        <w:ind w:firstLine="420"/>
      </w:pPr>
    </w:p>
    <w:p>
      <w:pPr>
        <w:pStyle w:val="56"/>
        <w:ind w:firstLine="420"/>
        <w:rPr>
          <w:rFonts w:hint="eastAsia"/>
        </w:rPr>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rPr>
          <w:rFonts w:hint="eastAsia"/>
        </w:rPr>
      </w:pPr>
      <w:r>
        <w:br w:type="textWrapping"/>
      </w:r>
      <w:bookmarkStart w:id="93" w:name="_Toc224242598"/>
      <w:bookmarkStart w:id="94" w:name="_Toc224242582"/>
      <w:r>
        <w:rPr>
          <w:rFonts w:hint="eastAsia"/>
        </w:rPr>
        <w:t>（资料性）</w:t>
      </w:r>
      <w:r>
        <w:br w:type="textWrapping"/>
      </w:r>
      <w:r>
        <w:rPr>
          <w:rFonts w:hint="eastAsia"/>
        </w:rPr>
        <w:t>柑橘木虱抗药性监测记录</w:t>
      </w:r>
      <w:bookmarkEnd w:id="93"/>
      <w:bookmarkEnd w:id="94"/>
    </w:p>
    <w:p>
      <w:pPr>
        <w:pStyle w:val="78"/>
        <w:spacing w:before="156" w:after="156"/>
      </w:pPr>
      <w:bookmarkStart w:id="95" w:name="_Toc224242583"/>
      <w:r>
        <w:rPr>
          <w:rFonts w:hint="eastAsia"/>
        </w:rPr>
        <w:t>监测基础信息</w:t>
      </w:r>
      <w:bookmarkEnd w:id="95"/>
    </w:p>
    <w:p>
      <w:pPr>
        <w:pStyle w:val="56"/>
        <w:ind w:firstLine="420"/>
      </w:pPr>
      <w:r>
        <w:rPr>
          <w:rFonts w:hint="eastAsia"/>
        </w:rPr>
        <w:t>柑橘木虱抗药性监测基础信息见表B.1。</w:t>
      </w:r>
    </w:p>
    <w:p>
      <w:pPr>
        <w:pStyle w:val="77"/>
        <w:spacing w:before="156" w:after="156"/>
      </w:pPr>
      <w:r>
        <w:rPr>
          <w:rFonts w:hint="eastAsia"/>
        </w:rPr>
        <w:t>监测基础信息表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36"/>
        <w:gridCol w:w="1037"/>
        <w:gridCol w:w="1037"/>
        <w:gridCol w:w="1037"/>
        <w:gridCol w:w="1037"/>
        <w:gridCol w:w="1037"/>
        <w:gridCol w:w="1140"/>
        <w:gridCol w:w="935"/>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tblHeader/>
          <w:jc w:val="center"/>
        </w:trPr>
        <w:tc>
          <w:tcPr>
            <w:tcW w:w="1036"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监测</w:t>
            </w:r>
          </w:p>
          <w:p>
            <w:pPr>
              <w:pStyle w:val="178"/>
              <w:rPr>
                <w:b/>
                <w:bCs/>
                <w:sz w:val="21"/>
                <w:szCs w:val="21"/>
              </w:rPr>
            </w:pPr>
            <w:r>
              <w:rPr>
                <w:rFonts w:hint="eastAsia"/>
                <w:b/>
                <w:bCs/>
                <w:sz w:val="21"/>
                <w:szCs w:val="21"/>
              </w:rPr>
              <w:t>编号</w:t>
            </w:r>
          </w:p>
        </w:tc>
        <w:tc>
          <w:tcPr>
            <w:tcW w:w="1037"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监测</w:t>
            </w:r>
          </w:p>
          <w:p>
            <w:pPr>
              <w:pStyle w:val="178"/>
              <w:rPr>
                <w:b/>
                <w:bCs/>
                <w:sz w:val="21"/>
                <w:szCs w:val="21"/>
              </w:rPr>
            </w:pPr>
            <w:r>
              <w:rPr>
                <w:rFonts w:hint="eastAsia"/>
                <w:b/>
                <w:bCs/>
                <w:sz w:val="21"/>
                <w:szCs w:val="21"/>
              </w:rPr>
              <w:t>地点</w:t>
            </w:r>
          </w:p>
        </w:tc>
        <w:tc>
          <w:tcPr>
            <w:tcW w:w="1037"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监测</w:t>
            </w:r>
          </w:p>
          <w:p>
            <w:pPr>
              <w:pStyle w:val="178"/>
              <w:rPr>
                <w:rFonts w:hint="eastAsia"/>
                <w:b/>
                <w:bCs/>
                <w:sz w:val="21"/>
                <w:szCs w:val="21"/>
              </w:rPr>
            </w:pPr>
            <w:r>
              <w:rPr>
                <w:rFonts w:hint="eastAsia"/>
                <w:b/>
                <w:bCs/>
                <w:sz w:val="21"/>
                <w:szCs w:val="21"/>
              </w:rPr>
              <w:t>时间</w:t>
            </w:r>
          </w:p>
        </w:tc>
        <w:tc>
          <w:tcPr>
            <w:tcW w:w="1037"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柑橘</w:t>
            </w:r>
          </w:p>
          <w:p>
            <w:pPr>
              <w:pStyle w:val="178"/>
              <w:rPr>
                <w:rFonts w:hint="eastAsia"/>
                <w:b/>
                <w:bCs/>
                <w:sz w:val="21"/>
                <w:szCs w:val="21"/>
              </w:rPr>
            </w:pPr>
            <w:r>
              <w:rPr>
                <w:rFonts w:hint="eastAsia"/>
                <w:b/>
                <w:bCs/>
                <w:sz w:val="21"/>
                <w:szCs w:val="21"/>
              </w:rPr>
              <w:t>品种</w:t>
            </w:r>
          </w:p>
        </w:tc>
        <w:tc>
          <w:tcPr>
            <w:tcW w:w="1037"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柑橘</w:t>
            </w:r>
          </w:p>
          <w:p>
            <w:pPr>
              <w:pStyle w:val="178"/>
              <w:rPr>
                <w:rFonts w:hint="eastAsia"/>
                <w:b/>
                <w:bCs/>
                <w:sz w:val="21"/>
                <w:szCs w:val="21"/>
              </w:rPr>
            </w:pPr>
            <w:r>
              <w:rPr>
                <w:rFonts w:hint="eastAsia"/>
                <w:b/>
                <w:bCs/>
                <w:sz w:val="21"/>
                <w:szCs w:val="21"/>
              </w:rPr>
              <w:t>树龄</w:t>
            </w:r>
          </w:p>
        </w:tc>
        <w:tc>
          <w:tcPr>
            <w:tcW w:w="1037"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作物生育期</w:t>
            </w:r>
          </w:p>
        </w:tc>
        <w:tc>
          <w:tcPr>
            <w:tcW w:w="1140"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当地用药背景（1年）</w:t>
            </w:r>
          </w:p>
        </w:tc>
        <w:tc>
          <w:tcPr>
            <w:tcW w:w="935"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试验</w:t>
            </w:r>
          </w:p>
          <w:p>
            <w:pPr>
              <w:pStyle w:val="178"/>
              <w:rPr>
                <w:b/>
                <w:bCs/>
                <w:sz w:val="21"/>
                <w:szCs w:val="21"/>
              </w:rPr>
            </w:pPr>
            <w:r>
              <w:rPr>
                <w:rFonts w:hint="eastAsia"/>
                <w:b/>
                <w:bCs/>
                <w:sz w:val="21"/>
                <w:szCs w:val="21"/>
              </w:rPr>
              <w:t>人员</w:t>
            </w:r>
          </w:p>
        </w:tc>
        <w:tc>
          <w:tcPr>
            <w:tcW w:w="1038"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记录</w:t>
            </w:r>
          </w:p>
          <w:p>
            <w:pPr>
              <w:pStyle w:val="178"/>
              <w:rPr>
                <w:rFonts w:hint="eastAsia"/>
                <w:b/>
                <w:bCs/>
                <w:sz w:val="21"/>
                <w:szCs w:val="21"/>
              </w:rPr>
            </w:pPr>
            <w:r>
              <w:rPr>
                <w:rFonts w:hint="eastAsia"/>
                <w:b/>
                <w:bCs/>
                <w:sz w:val="21"/>
                <w:szCs w:val="21"/>
              </w:rPr>
              <w:t>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1036" w:type="dxa"/>
            <w:tcBorders>
              <w:top w:val="single" w:color="auto" w:sz="8" w:space="0"/>
            </w:tcBorders>
            <w:vAlign w:val="center"/>
          </w:tcPr>
          <w:p>
            <w:pPr>
              <w:pStyle w:val="178"/>
              <w:rPr>
                <w:sz w:val="21"/>
                <w:szCs w:val="21"/>
              </w:rPr>
            </w:pPr>
          </w:p>
        </w:tc>
        <w:tc>
          <w:tcPr>
            <w:tcW w:w="1037" w:type="dxa"/>
            <w:tcBorders>
              <w:top w:val="single" w:color="auto" w:sz="8" w:space="0"/>
            </w:tcBorders>
            <w:vAlign w:val="center"/>
          </w:tcPr>
          <w:p>
            <w:pPr>
              <w:pStyle w:val="178"/>
              <w:rPr>
                <w:sz w:val="21"/>
                <w:szCs w:val="21"/>
              </w:rPr>
            </w:pPr>
          </w:p>
        </w:tc>
        <w:tc>
          <w:tcPr>
            <w:tcW w:w="1037" w:type="dxa"/>
            <w:tcBorders>
              <w:top w:val="single" w:color="auto" w:sz="8" w:space="0"/>
            </w:tcBorders>
            <w:vAlign w:val="center"/>
          </w:tcPr>
          <w:p>
            <w:pPr>
              <w:pStyle w:val="178"/>
              <w:rPr>
                <w:sz w:val="21"/>
                <w:szCs w:val="21"/>
              </w:rPr>
            </w:pPr>
          </w:p>
        </w:tc>
        <w:tc>
          <w:tcPr>
            <w:tcW w:w="1037" w:type="dxa"/>
            <w:tcBorders>
              <w:top w:val="single" w:color="auto" w:sz="8" w:space="0"/>
            </w:tcBorders>
            <w:vAlign w:val="center"/>
          </w:tcPr>
          <w:p>
            <w:pPr>
              <w:pStyle w:val="178"/>
              <w:rPr>
                <w:sz w:val="21"/>
                <w:szCs w:val="21"/>
              </w:rPr>
            </w:pPr>
          </w:p>
        </w:tc>
        <w:tc>
          <w:tcPr>
            <w:tcW w:w="1037" w:type="dxa"/>
            <w:tcBorders>
              <w:top w:val="single" w:color="auto" w:sz="8" w:space="0"/>
            </w:tcBorders>
            <w:vAlign w:val="center"/>
          </w:tcPr>
          <w:p>
            <w:pPr>
              <w:pStyle w:val="178"/>
              <w:rPr>
                <w:sz w:val="21"/>
                <w:szCs w:val="21"/>
              </w:rPr>
            </w:pPr>
          </w:p>
        </w:tc>
        <w:tc>
          <w:tcPr>
            <w:tcW w:w="1037" w:type="dxa"/>
            <w:tcBorders>
              <w:top w:val="single" w:color="auto" w:sz="8" w:space="0"/>
            </w:tcBorders>
            <w:vAlign w:val="center"/>
          </w:tcPr>
          <w:p>
            <w:pPr>
              <w:pStyle w:val="178"/>
              <w:rPr>
                <w:sz w:val="21"/>
                <w:szCs w:val="21"/>
              </w:rPr>
            </w:pPr>
          </w:p>
        </w:tc>
        <w:tc>
          <w:tcPr>
            <w:tcW w:w="1140" w:type="dxa"/>
            <w:tcBorders>
              <w:top w:val="single" w:color="auto" w:sz="8" w:space="0"/>
            </w:tcBorders>
            <w:vAlign w:val="center"/>
          </w:tcPr>
          <w:p>
            <w:pPr>
              <w:pStyle w:val="178"/>
              <w:rPr>
                <w:sz w:val="21"/>
                <w:szCs w:val="21"/>
              </w:rPr>
            </w:pPr>
          </w:p>
        </w:tc>
        <w:tc>
          <w:tcPr>
            <w:tcW w:w="935" w:type="dxa"/>
            <w:tcBorders>
              <w:top w:val="single" w:color="auto" w:sz="8" w:space="0"/>
            </w:tcBorders>
            <w:vAlign w:val="center"/>
          </w:tcPr>
          <w:p>
            <w:pPr>
              <w:pStyle w:val="178"/>
              <w:rPr>
                <w:sz w:val="21"/>
                <w:szCs w:val="21"/>
              </w:rPr>
            </w:pPr>
          </w:p>
        </w:tc>
        <w:tc>
          <w:tcPr>
            <w:tcW w:w="1038" w:type="dxa"/>
            <w:tcBorders>
              <w:top w:val="single" w:color="auto" w:sz="8" w:space="0"/>
            </w:tcBorders>
            <w:vAlign w:val="center"/>
          </w:tcPr>
          <w:p>
            <w:pPr>
              <w:pStyle w:val="178"/>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36" w:type="dxa"/>
            <w:vAlign w:val="center"/>
          </w:tcPr>
          <w:p>
            <w:pPr>
              <w:pStyle w:val="178"/>
              <w:rPr>
                <w:rFonts w:hint="eastAsia"/>
                <w:sz w:val="21"/>
                <w:szCs w:val="21"/>
              </w:rPr>
            </w:pPr>
            <w:r>
              <w:rPr>
                <w:sz w:val="21"/>
                <w:szCs w:val="21"/>
              </w:rPr>
              <w:t>…</w:t>
            </w:r>
          </w:p>
        </w:tc>
        <w:tc>
          <w:tcPr>
            <w:tcW w:w="1037" w:type="dxa"/>
            <w:vAlign w:val="center"/>
          </w:tcPr>
          <w:p>
            <w:pPr>
              <w:pStyle w:val="178"/>
              <w:rPr>
                <w:sz w:val="21"/>
                <w:szCs w:val="21"/>
              </w:rPr>
            </w:pPr>
          </w:p>
        </w:tc>
        <w:tc>
          <w:tcPr>
            <w:tcW w:w="1037" w:type="dxa"/>
            <w:vAlign w:val="center"/>
          </w:tcPr>
          <w:p>
            <w:pPr>
              <w:pStyle w:val="178"/>
              <w:rPr>
                <w:sz w:val="21"/>
                <w:szCs w:val="21"/>
              </w:rPr>
            </w:pPr>
          </w:p>
        </w:tc>
        <w:tc>
          <w:tcPr>
            <w:tcW w:w="1037" w:type="dxa"/>
            <w:vAlign w:val="center"/>
          </w:tcPr>
          <w:p>
            <w:pPr>
              <w:pStyle w:val="178"/>
              <w:rPr>
                <w:sz w:val="21"/>
                <w:szCs w:val="21"/>
              </w:rPr>
            </w:pPr>
          </w:p>
        </w:tc>
        <w:tc>
          <w:tcPr>
            <w:tcW w:w="1037" w:type="dxa"/>
            <w:vAlign w:val="center"/>
          </w:tcPr>
          <w:p>
            <w:pPr>
              <w:pStyle w:val="178"/>
              <w:rPr>
                <w:sz w:val="21"/>
                <w:szCs w:val="21"/>
              </w:rPr>
            </w:pPr>
          </w:p>
        </w:tc>
        <w:tc>
          <w:tcPr>
            <w:tcW w:w="1037" w:type="dxa"/>
            <w:vAlign w:val="center"/>
          </w:tcPr>
          <w:p>
            <w:pPr>
              <w:pStyle w:val="178"/>
              <w:rPr>
                <w:sz w:val="21"/>
                <w:szCs w:val="21"/>
              </w:rPr>
            </w:pPr>
          </w:p>
        </w:tc>
        <w:tc>
          <w:tcPr>
            <w:tcW w:w="1140" w:type="dxa"/>
            <w:vAlign w:val="center"/>
          </w:tcPr>
          <w:p>
            <w:pPr>
              <w:pStyle w:val="178"/>
              <w:rPr>
                <w:sz w:val="21"/>
                <w:szCs w:val="21"/>
              </w:rPr>
            </w:pPr>
          </w:p>
        </w:tc>
        <w:tc>
          <w:tcPr>
            <w:tcW w:w="935" w:type="dxa"/>
            <w:vAlign w:val="center"/>
          </w:tcPr>
          <w:p>
            <w:pPr>
              <w:pStyle w:val="178"/>
              <w:rPr>
                <w:sz w:val="21"/>
                <w:szCs w:val="21"/>
              </w:rPr>
            </w:pPr>
          </w:p>
        </w:tc>
        <w:tc>
          <w:tcPr>
            <w:tcW w:w="1038" w:type="dxa"/>
            <w:vAlign w:val="center"/>
          </w:tcPr>
          <w:p>
            <w:pPr>
              <w:pStyle w:val="178"/>
              <w:rPr>
                <w:sz w:val="21"/>
                <w:szCs w:val="21"/>
              </w:rPr>
            </w:pPr>
          </w:p>
        </w:tc>
      </w:tr>
    </w:tbl>
    <w:p>
      <w:pPr>
        <w:pStyle w:val="56"/>
        <w:ind w:firstLine="420"/>
      </w:pPr>
    </w:p>
    <w:p>
      <w:pPr>
        <w:pStyle w:val="78"/>
        <w:spacing w:before="156" w:after="156"/>
      </w:pPr>
      <w:bookmarkStart w:id="96" w:name="_Toc224242584"/>
      <w:r>
        <w:rPr>
          <w:rFonts w:hint="eastAsia"/>
        </w:rPr>
        <w:t>操作记录</w:t>
      </w:r>
      <w:bookmarkEnd w:id="96"/>
    </w:p>
    <w:p>
      <w:pPr>
        <w:pStyle w:val="56"/>
        <w:ind w:firstLine="420"/>
      </w:pPr>
      <w:r>
        <w:rPr>
          <w:rFonts w:hint="eastAsia"/>
        </w:rPr>
        <w:t>柑橘木虱抗药性监测试验操作记录见表B.2。</w:t>
      </w:r>
    </w:p>
    <w:p>
      <w:pPr>
        <w:pStyle w:val="77"/>
        <w:spacing w:before="156" w:after="156"/>
      </w:pPr>
      <w:r>
        <w:rPr>
          <w:rFonts w:hint="eastAsia"/>
        </w:rPr>
        <w:t>监测试验操作记录表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32"/>
        <w:gridCol w:w="933"/>
        <w:gridCol w:w="933"/>
        <w:gridCol w:w="933"/>
        <w:gridCol w:w="795"/>
        <w:gridCol w:w="1072"/>
        <w:gridCol w:w="934"/>
        <w:gridCol w:w="934"/>
        <w:gridCol w:w="934"/>
        <w:gridCol w:w="9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7" w:hRule="atLeast"/>
          <w:tblHeader/>
          <w:jc w:val="center"/>
        </w:trPr>
        <w:tc>
          <w:tcPr>
            <w:tcW w:w="932"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监测</w:t>
            </w:r>
          </w:p>
          <w:p>
            <w:pPr>
              <w:pStyle w:val="178"/>
              <w:rPr>
                <w:rFonts w:hint="eastAsia"/>
                <w:b/>
                <w:bCs/>
                <w:sz w:val="21"/>
                <w:szCs w:val="21"/>
              </w:rPr>
            </w:pPr>
            <w:r>
              <w:rPr>
                <w:rFonts w:hint="eastAsia"/>
                <w:b/>
                <w:bCs/>
                <w:sz w:val="21"/>
                <w:szCs w:val="21"/>
              </w:rPr>
              <w:t>编号</w:t>
            </w:r>
          </w:p>
        </w:tc>
        <w:tc>
          <w:tcPr>
            <w:tcW w:w="933"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生测</w:t>
            </w:r>
          </w:p>
          <w:p>
            <w:pPr>
              <w:pStyle w:val="178"/>
              <w:rPr>
                <w:rFonts w:hint="eastAsia"/>
                <w:b/>
                <w:bCs/>
                <w:sz w:val="21"/>
                <w:szCs w:val="21"/>
              </w:rPr>
            </w:pPr>
            <w:r>
              <w:rPr>
                <w:rFonts w:hint="eastAsia"/>
                <w:b/>
                <w:bCs/>
                <w:sz w:val="21"/>
                <w:szCs w:val="21"/>
              </w:rPr>
              <w:t>方法</w:t>
            </w:r>
          </w:p>
        </w:tc>
        <w:tc>
          <w:tcPr>
            <w:tcW w:w="933"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药剂</w:t>
            </w:r>
          </w:p>
          <w:p>
            <w:pPr>
              <w:pStyle w:val="178"/>
              <w:rPr>
                <w:rFonts w:hint="eastAsia"/>
                <w:b/>
                <w:bCs/>
                <w:sz w:val="21"/>
                <w:szCs w:val="21"/>
              </w:rPr>
            </w:pPr>
            <w:r>
              <w:rPr>
                <w:rFonts w:hint="eastAsia"/>
                <w:b/>
                <w:bCs/>
                <w:sz w:val="21"/>
                <w:szCs w:val="21"/>
              </w:rPr>
              <w:t>名称</w:t>
            </w:r>
          </w:p>
        </w:tc>
        <w:tc>
          <w:tcPr>
            <w:tcW w:w="933"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药剂浓度（%）</w:t>
            </w:r>
          </w:p>
        </w:tc>
        <w:tc>
          <w:tcPr>
            <w:tcW w:w="795"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生产</w:t>
            </w:r>
          </w:p>
          <w:p>
            <w:pPr>
              <w:pStyle w:val="178"/>
              <w:rPr>
                <w:rFonts w:hint="eastAsia"/>
                <w:b/>
                <w:bCs/>
                <w:sz w:val="21"/>
                <w:szCs w:val="21"/>
              </w:rPr>
            </w:pPr>
            <w:r>
              <w:rPr>
                <w:rFonts w:hint="eastAsia"/>
                <w:b/>
                <w:bCs/>
                <w:sz w:val="21"/>
                <w:szCs w:val="21"/>
              </w:rPr>
              <w:t>厂家</w:t>
            </w:r>
          </w:p>
        </w:tc>
        <w:tc>
          <w:tcPr>
            <w:tcW w:w="1072"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浓度系列（mg.L</w:t>
            </w:r>
            <w:r>
              <w:rPr>
                <w:rFonts w:hint="eastAsia"/>
                <w:b/>
                <w:bCs/>
                <w:sz w:val="21"/>
                <w:szCs w:val="21"/>
                <w:vertAlign w:val="superscript"/>
              </w:rPr>
              <w:t>-1</w:t>
            </w:r>
            <w:r>
              <w:rPr>
                <w:rFonts w:hint="eastAsia"/>
                <w:b/>
                <w:bCs/>
                <w:sz w:val="21"/>
                <w:szCs w:val="21"/>
              </w:rPr>
              <w:t>）</w:t>
            </w:r>
          </w:p>
        </w:tc>
        <w:tc>
          <w:tcPr>
            <w:tcW w:w="934"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重复</w:t>
            </w:r>
          </w:p>
          <w:p>
            <w:pPr>
              <w:pStyle w:val="178"/>
              <w:rPr>
                <w:rFonts w:hint="eastAsia"/>
                <w:b/>
                <w:bCs/>
                <w:sz w:val="21"/>
                <w:szCs w:val="21"/>
              </w:rPr>
            </w:pPr>
            <w:r>
              <w:rPr>
                <w:rFonts w:hint="eastAsia"/>
                <w:b/>
                <w:bCs/>
                <w:sz w:val="21"/>
                <w:szCs w:val="21"/>
              </w:rPr>
              <w:t>次数</w:t>
            </w:r>
          </w:p>
        </w:tc>
        <w:tc>
          <w:tcPr>
            <w:tcW w:w="934" w:type="dxa"/>
            <w:tcBorders>
              <w:top w:val="single" w:color="auto" w:sz="8" w:space="0"/>
              <w:bottom w:val="single" w:color="auto" w:sz="8" w:space="0"/>
            </w:tcBorders>
            <w:vAlign w:val="center"/>
          </w:tcPr>
          <w:p>
            <w:pPr>
              <w:pStyle w:val="178"/>
              <w:rPr>
                <w:rFonts w:hint="eastAsia"/>
                <w:b/>
                <w:bCs/>
                <w:sz w:val="21"/>
                <w:szCs w:val="21"/>
              </w:rPr>
            </w:pPr>
            <w:r>
              <w:rPr>
                <w:rFonts w:hint="eastAsia"/>
                <w:b/>
                <w:bCs/>
                <w:sz w:val="21"/>
                <w:szCs w:val="21"/>
              </w:rPr>
              <w:t>每重复试虫数（头）</w:t>
            </w:r>
          </w:p>
        </w:tc>
        <w:tc>
          <w:tcPr>
            <w:tcW w:w="934"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对照死亡率（%）</w:t>
            </w:r>
          </w:p>
        </w:tc>
        <w:tc>
          <w:tcPr>
            <w:tcW w:w="934" w:type="dxa"/>
            <w:tcBorders>
              <w:top w:val="single" w:color="auto" w:sz="8" w:space="0"/>
              <w:bottom w:val="single" w:color="auto" w:sz="8" w:space="0"/>
            </w:tcBorders>
            <w:vAlign w:val="center"/>
          </w:tcPr>
          <w:p>
            <w:pPr>
              <w:pStyle w:val="178"/>
              <w:rPr>
                <w:b/>
                <w:bCs/>
                <w:sz w:val="21"/>
                <w:szCs w:val="21"/>
              </w:rPr>
            </w:pPr>
            <w:r>
              <w:rPr>
                <w:rFonts w:hint="eastAsia"/>
                <w:b/>
                <w:bCs/>
                <w:sz w:val="21"/>
                <w:szCs w:val="21"/>
              </w:rPr>
              <w:t>异常</w:t>
            </w:r>
          </w:p>
          <w:p>
            <w:pPr>
              <w:pStyle w:val="178"/>
              <w:rPr>
                <w:b/>
                <w:bCs/>
                <w:sz w:val="21"/>
                <w:szCs w:val="21"/>
              </w:rPr>
            </w:pPr>
            <w:r>
              <w:rPr>
                <w:rFonts w:hint="eastAsia"/>
                <w:b/>
                <w:bCs/>
                <w:sz w:val="21"/>
                <w:szCs w:val="21"/>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2" w:type="dxa"/>
            <w:tcBorders>
              <w:top w:val="single" w:color="auto" w:sz="8" w:space="0"/>
            </w:tcBorders>
            <w:vAlign w:val="center"/>
          </w:tcPr>
          <w:p>
            <w:pPr>
              <w:pStyle w:val="178"/>
            </w:pPr>
          </w:p>
        </w:tc>
        <w:tc>
          <w:tcPr>
            <w:tcW w:w="933" w:type="dxa"/>
            <w:tcBorders>
              <w:top w:val="single" w:color="auto" w:sz="8" w:space="0"/>
            </w:tcBorders>
            <w:vAlign w:val="center"/>
          </w:tcPr>
          <w:p>
            <w:pPr>
              <w:pStyle w:val="178"/>
            </w:pPr>
          </w:p>
        </w:tc>
        <w:tc>
          <w:tcPr>
            <w:tcW w:w="933" w:type="dxa"/>
            <w:tcBorders>
              <w:top w:val="single" w:color="auto" w:sz="8" w:space="0"/>
            </w:tcBorders>
            <w:vAlign w:val="center"/>
          </w:tcPr>
          <w:p>
            <w:pPr>
              <w:pStyle w:val="178"/>
            </w:pPr>
          </w:p>
        </w:tc>
        <w:tc>
          <w:tcPr>
            <w:tcW w:w="933" w:type="dxa"/>
            <w:tcBorders>
              <w:top w:val="single" w:color="auto" w:sz="8" w:space="0"/>
            </w:tcBorders>
            <w:vAlign w:val="center"/>
          </w:tcPr>
          <w:p>
            <w:pPr>
              <w:pStyle w:val="178"/>
            </w:pPr>
          </w:p>
        </w:tc>
        <w:tc>
          <w:tcPr>
            <w:tcW w:w="795" w:type="dxa"/>
            <w:tcBorders>
              <w:top w:val="single" w:color="auto" w:sz="8" w:space="0"/>
            </w:tcBorders>
            <w:vAlign w:val="center"/>
          </w:tcPr>
          <w:p>
            <w:pPr>
              <w:pStyle w:val="178"/>
            </w:pPr>
          </w:p>
        </w:tc>
        <w:tc>
          <w:tcPr>
            <w:tcW w:w="1072" w:type="dxa"/>
            <w:tcBorders>
              <w:top w:val="single" w:color="auto" w:sz="8" w:space="0"/>
            </w:tcBorders>
            <w:vAlign w:val="center"/>
          </w:tcPr>
          <w:p>
            <w:pPr>
              <w:pStyle w:val="178"/>
            </w:pPr>
          </w:p>
        </w:tc>
        <w:tc>
          <w:tcPr>
            <w:tcW w:w="934" w:type="dxa"/>
            <w:tcBorders>
              <w:top w:val="single" w:color="auto" w:sz="8" w:space="0"/>
            </w:tcBorders>
            <w:vAlign w:val="center"/>
          </w:tcPr>
          <w:p>
            <w:pPr>
              <w:pStyle w:val="178"/>
            </w:pPr>
          </w:p>
        </w:tc>
        <w:tc>
          <w:tcPr>
            <w:tcW w:w="934" w:type="dxa"/>
            <w:tcBorders>
              <w:top w:val="single" w:color="auto" w:sz="8" w:space="0"/>
            </w:tcBorders>
            <w:vAlign w:val="center"/>
          </w:tcPr>
          <w:p>
            <w:pPr>
              <w:pStyle w:val="178"/>
            </w:pPr>
          </w:p>
        </w:tc>
        <w:tc>
          <w:tcPr>
            <w:tcW w:w="934" w:type="dxa"/>
            <w:tcBorders>
              <w:top w:val="single" w:color="auto" w:sz="8" w:space="0"/>
            </w:tcBorders>
            <w:vAlign w:val="center"/>
          </w:tcPr>
          <w:p>
            <w:pPr>
              <w:pStyle w:val="178"/>
            </w:pPr>
          </w:p>
        </w:tc>
        <w:tc>
          <w:tcPr>
            <w:tcW w:w="934" w:type="dxa"/>
            <w:tcBorders>
              <w:top w:val="single" w:color="auto" w:sz="8" w:space="0"/>
            </w:tcBorders>
            <w:vAlign w:val="center"/>
          </w:tcPr>
          <w:p>
            <w:pPr>
              <w:pStyle w:val="178"/>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32" w:type="dxa"/>
            <w:vAlign w:val="center"/>
          </w:tcPr>
          <w:p>
            <w:pPr>
              <w:pStyle w:val="178"/>
              <w:rPr>
                <w:rFonts w:hint="eastAsia"/>
              </w:rPr>
            </w:pPr>
            <w:r>
              <w:t>…</w:t>
            </w:r>
          </w:p>
        </w:tc>
        <w:tc>
          <w:tcPr>
            <w:tcW w:w="933" w:type="dxa"/>
            <w:vAlign w:val="center"/>
          </w:tcPr>
          <w:p>
            <w:pPr>
              <w:pStyle w:val="178"/>
            </w:pPr>
          </w:p>
        </w:tc>
        <w:tc>
          <w:tcPr>
            <w:tcW w:w="933" w:type="dxa"/>
            <w:vAlign w:val="center"/>
          </w:tcPr>
          <w:p>
            <w:pPr>
              <w:pStyle w:val="178"/>
            </w:pPr>
          </w:p>
        </w:tc>
        <w:tc>
          <w:tcPr>
            <w:tcW w:w="933" w:type="dxa"/>
            <w:vAlign w:val="center"/>
          </w:tcPr>
          <w:p>
            <w:pPr>
              <w:pStyle w:val="178"/>
            </w:pPr>
          </w:p>
        </w:tc>
        <w:tc>
          <w:tcPr>
            <w:tcW w:w="795" w:type="dxa"/>
            <w:vAlign w:val="center"/>
          </w:tcPr>
          <w:p>
            <w:pPr>
              <w:pStyle w:val="178"/>
            </w:pPr>
          </w:p>
        </w:tc>
        <w:tc>
          <w:tcPr>
            <w:tcW w:w="1072" w:type="dxa"/>
            <w:vAlign w:val="center"/>
          </w:tcPr>
          <w:p>
            <w:pPr>
              <w:pStyle w:val="178"/>
            </w:pPr>
          </w:p>
        </w:tc>
        <w:tc>
          <w:tcPr>
            <w:tcW w:w="934" w:type="dxa"/>
            <w:vAlign w:val="center"/>
          </w:tcPr>
          <w:p>
            <w:pPr>
              <w:pStyle w:val="178"/>
            </w:pPr>
          </w:p>
        </w:tc>
        <w:tc>
          <w:tcPr>
            <w:tcW w:w="934" w:type="dxa"/>
            <w:vAlign w:val="center"/>
          </w:tcPr>
          <w:p>
            <w:pPr>
              <w:pStyle w:val="178"/>
            </w:pPr>
          </w:p>
        </w:tc>
        <w:tc>
          <w:tcPr>
            <w:tcW w:w="934" w:type="dxa"/>
            <w:vAlign w:val="center"/>
          </w:tcPr>
          <w:p>
            <w:pPr>
              <w:pStyle w:val="178"/>
            </w:pPr>
          </w:p>
        </w:tc>
        <w:tc>
          <w:tcPr>
            <w:tcW w:w="934" w:type="dxa"/>
            <w:vAlign w:val="center"/>
          </w:tcPr>
          <w:p>
            <w:pPr>
              <w:pStyle w:val="178"/>
            </w:pPr>
          </w:p>
        </w:tc>
      </w:tr>
    </w:tbl>
    <w:p>
      <w:pPr>
        <w:pStyle w:val="56"/>
        <w:ind w:firstLine="420"/>
      </w:pPr>
    </w:p>
    <w:p>
      <w:pPr>
        <w:pStyle w:val="78"/>
        <w:spacing w:before="156" w:after="156"/>
      </w:pPr>
      <w:bookmarkStart w:id="97" w:name="_Toc224242585"/>
      <w:r>
        <w:rPr>
          <w:rFonts w:hint="eastAsia"/>
        </w:rPr>
        <w:t>结果记录</w:t>
      </w:r>
      <w:bookmarkEnd w:id="97"/>
    </w:p>
    <w:p>
      <w:pPr>
        <w:pStyle w:val="56"/>
        <w:ind w:firstLine="420"/>
      </w:pPr>
      <w:r>
        <w:rPr>
          <w:rFonts w:hint="eastAsia"/>
        </w:rPr>
        <w:t>柑橘木虱抗药性监测试验结果记录见表B.3。</w:t>
      </w:r>
    </w:p>
    <w:p>
      <w:pPr>
        <w:pStyle w:val="77"/>
        <w:spacing w:before="156" w:after="156"/>
      </w:pPr>
      <w:r>
        <w:rPr>
          <w:rFonts w:hint="eastAsia"/>
        </w:rPr>
        <w:t>柑橘木虱抗药性监测试验结果记录表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76"/>
        <w:gridCol w:w="632"/>
        <w:gridCol w:w="922"/>
        <w:gridCol w:w="778"/>
        <w:gridCol w:w="779"/>
        <w:gridCol w:w="778"/>
        <w:gridCol w:w="778"/>
        <w:gridCol w:w="778"/>
        <w:gridCol w:w="778"/>
        <w:gridCol w:w="929"/>
        <w:gridCol w:w="628"/>
        <w:gridCol w:w="7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tblHeader/>
          <w:jc w:val="center"/>
        </w:trPr>
        <w:tc>
          <w:tcPr>
            <w:tcW w:w="776" w:type="dxa"/>
            <w:tcBorders>
              <w:top w:val="single" w:color="auto" w:sz="8" w:space="0"/>
              <w:bottom w:val="single" w:color="auto" w:sz="8" w:space="0"/>
            </w:tcBorders>
            <w:vAlign w:val="center"/>
          </w:tcPr>
          <w:p>
            <w:pPr>
              <w:pStyle w:val="178"/>
              <w:rPr>
                <w:rFonts w:hint="eastAsia"/>
                <w:b/>
                <w:bCs/>
                <w:szCs w:val="18"/>
              </w:rPr>
            </w:pPr>
            <w:r>
              <w:rPr>
                <w:rFonts w:hint="eastAsia"/>
                <w:b/>
                <w:bCs/>
                <w:szCs w:val="18"/>
              </w:rPr>
              <w:t>监测</w:t>
            </w:r>
          </w:p>
          <w:p>
            <w:pPr>
              <w:pStyle w:val="178"/>
              <w:rPr>
                <w:b/>
                <w:bCs/>
                <w:szCs w:val="18"/>
              </w:rPr>
            </w:pPr>
            <w:r>
              <w:rPr>
                <w:rFonts w:hint="eastAsia"/>
                <w:b/>
                <w:bCs/>
                <w:szCs w:val="18"/>
              </w:rPr>
              <w:t>编号</w:t>
            </w:r>
          </w:p>
        </w:tc>
        <w:tc>
          <w:tcPr>
            <w:tcW w:w="632" w:type="dxa"/>
            <w:tcBorders>
              <w:top w:val="single" w:color="auto" w:sz="8" w:space="0"/>
              <w:bottom w:val="single" w:color="auto" w:sz="8" w:space="0"/>
            </w:tcBorders>
            <w:vAlign w:val="center"/>
          </w:tcPr>
          <w:p>
            <w:pPr>
              <w:pStyle w:val="178"/>
              <w:rPr>
                <w:rFonts w:hint="eastAsia"/>
                <w:b/>
                <w:bCs/>
                <w:szCs w:val="18"/>
              </w:rPr>
            </w:pPr>
            <w:r>
              <w:rPr>
                <w:rFonts w:hint="eastAsia"/>
                <w:b/>
                <w:bCs/>
                <w:szCs w:val="18"/>
              </w:rPr>
              <w:t>药剂</w:t>
            </w:r>
          </w:p>
          <w:p>
            <w:pPr>
              <w:pStyle w:val="178"/>
              <w:rPr>
                <w:b/>
                <w:bCs/>
                <w:szCs w:val="18"/>
              </w:rPr>
            </w:pPr>
            <w:r>
              <w:rPr>
                <w:rFonts w:hint="eastAsia"/>
                <w:b/>
                <w:bCs/>
                <w:szCs w:val="18"/>
              </w:rPr>
              <w:t>名称</w:t>
            </w:r>
          </w:p>
        </w:tc>
        <w:tc>
          <w:tcPr>
            <w:tcW w:w="922" w:type="dxa"/>
            <w:tcBorders>
              <w:top w:val="single" w:color="auto" w:sz="8" w:space="0"/>
              <w:bottom w:val="single" w:color="auto" w:sz="8" w:space="0"/>
            </w:tcBorders>
            <w:vAlign w:val="center"/>
          </w:tcPr>
          <w:p>
            <w:pPr>
              <w:pStyle w:val="178"/>
              <w:rPr>
                <w:b/>
                <w:bCs/>
                <w:szCs w:val="18"/>
              </w:rPr>
            </w:pPr>
            <w:r>
              <w:rPr>
                <w:rFonts w:hint="eastAsia"/>
                <w:b/>
                <w:bCs/>
                <w:szCs w:val="18"/>
              </w:rPr>
              <w:t>浓度（mg.L-1）</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试虫总数（头）</w:t>
            </w:r>
          </w:p>
        </w:tc>
        <w:tc>
          <w:tcPr>
            <w:tcW w:w="779" w:type="dxa"/>
            <w:tcBorders>
              <w:top w:val="single" w:color="auto" w:sz="8" w:space="0"/>
              <w:bottom w:val="single" w:color="auto" w:sz="8" w:space="0"/>
            </w:tcBorders>
            <w:vAlign w:val="center"/>
          </w:tcPr>
          <w:p>
            <w:pPr>
              <w:pStyle w:val="178"/>
              <w:rPr>
                <w:b/>
                <w:bCs/>
                <w:szCs w:val="18"/>
              </w:rPr>
            </w:pPr>
            <w:r>
              <w:rPr>
                <w:rFonts w:hint="eastAsia"/>
                <w:b/>
                <w:bCs/>
                <w:szCs w:val="18"/>
              </w:rPr>
              <w:t>死亡数（头）</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死亡率（%）</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校正死亡率（%）</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回归方程</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相关系数 R²</w:t>
            </w:r>
          </w:p>
        </w:tc>
        <w:tc>
          <w:tcPr>
            <w:tcW w:w="929" w:type="dxa"/>
            <w:tcBorders>
              <w:top w:val="single" w:color="auto" w:sz="8" w:space="0"/>
              <w:bottom w:val="single" w:color="auto" w:sz="8" w:space="0"/>
            </w:tcBorders>
            <w:vAlign w:val="center"/>
          </w:tcPr>
          <w:p>
            <w:pPr>
              <w:pStyle w:val="178"/>
              <w:rPr>
                <w:b/>
                <w:bCs/>
                <w:szCs w:val="18"/>
              </w:rPr>
            </w:pPr>
            <w:r>
              <w:rPr>
                <w:b/>
                <w:bCs/>
                <w:szCs w:val="18"/>
              </w:rPr>
              <w:t xml:space="preserve">LC₅₀(95% </w:t>
            </w:r>
            <w:r>
              <w:rPr>
                <w:rFonts w:hint="eastAsia"/>
                <w:b/>
                <w:bCs/>
                <w:szCs w:val="18"/>
              </w:rPr>
              <w:t>置信区间</w:t>
            </w:r>
            <w:r>
              <w:rPr>
                <w:b/>
                <w:bCs/>
                <w:szCs w:val="18"/>
              </w:rPr>
              <w:t>) /mg</w:t>
            </w:r>
            <w:r>
              <w:rPr>
                <w:rFonts w:hint="eastAsia" w:ascii="微软雅黑" w:hAnsi="微软雅黑" w:eastAsia="微软雅黑" w:cs="微软雅黑"/>
                <w:b/>
                <w:bCs/>
                <w:szCs w:val="18"/>
              </w:rPr>
              <w:t>・</w:t>
            </w:r>
            <w:r>
              <w:rPr>
                <w:b/>
                <w:bCs/>
                <w:szCs w:val="18"/>
              </w:rPr>
              <w:t>L⁻¹</w:t>
            </w:r>
          </w:p>
        </w:tc>
        <w:tc>
          <w:tcPr>
            <w:tcW w:w="628" w:type="dxa"/>
            <w:tcBorders>
              <w:top w:val="single" w:color="auto" w:sz="8" w:space="0"/>
              <w:bottom w:val="single" w:color="auto" w:sz="8" w:space="0"/>
            </w:tcBorders>
            <w:vAlign w:val="center"/>
          </w:tcPr>
          <w:p>
            <w:pPr>
              <w:pStyle w:val="178"/>
              <w:rPr>
                <w:b/>
                <w:bCs/>
                <w:szCs w:val="18"/>
              </w:rPr>
            </w:pPr>
            <w:r>
              <w:rPr>
                <w:rFonts w:hint="eastAsia"/>
                <w:b/>
                <w:bCs/>
                <w:szCs w:val="18"/>
              </w:rPr>
              <w:t>抗性倍数</w:t>
            </w:r>
          </w:p>
        </w:tc>
        <w:tc>
          <w:tcPr>
            <w:tcW w:w="778" w:type="dxa"/>
            <w:tcBorders>
              <w:top w:val="single" w:color="auto" w:sz="8" w:space="0"/>
              <w:bottom w:val="single" w:color="auto" w:sz="8" w:space="0"/>
            </w:tcBorders>
            <w:vAlign w:val="center"/>
          </w:tcPr>
          <w:p>
            <w:pPr>
              <w:pStyle w:val="178"/>
              <w:rPr>
                <w:b/>
                <w:bCs/>
                <w:szCs w:val="18"/>
              </w:rPr>
            </w:pPr>
            <w:r>
              <w:rPr>
                <w:rFonts w:hint="eastAsia"/>
                <w:b/>
                <w:bCs/>
                <w:szCs w:val="18"/>
              </w:rPr>
              <w:t>抗药性水平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776" w:type="dxa"/>
            <w:tcBorders>
              <w:top w:val="single" w:color="auto" w:sz="8" w:space="0"/>
            </w:tcBorders>
            <w:vAlign w:val="center"/>
          </w:tcPr>
          <w:p>
            <w:pPr>
              <w:pStyle w:val="178"/>
              <w:rPr>
                <w:sz w:val="21"/>
                <w:szCs w:val="21"/>
              </w:rPr>
            </w:pPr>
          </w:p>
        </w:tc>
        <w:tc>
          <w:tcPr>
            <w:tcW w:w="632" w:type="dxa"/>
            <w:tcBorders>
              <w:top w:val="single" w:color="auto" w:sz="8" w:space="0"/>
            </w:tcBorders>
            <w:vAlign w:val="center"/>
          </w:tcPr>
          <w:p>
            <w:pPr>
              <w:pStyle w:val="178"/>
              <w:rPr>
                <w:sz w:val="21"/>
                <w:szCs w:val="21"/>
              </w:rPr>
            </w:pPr>
          </w:p>
        </w:tc>
        <w:tc>
          <w:tcPr>
            <w:tcW w:w="922"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c>
          <w:tcPr>
            <w:tcW w:w="779"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c>
          <w:tcPr>
            <w:tcW w:w="929" w:type="dxa"/>
            <w:tcBorders>
              <w:top w:val="single" w:color="auto" w:sz="8" w:space="0"/>
            </w:tcBorders>
            <w:vAlign w:val="center"/>
          </w:tcPr>
          <w:p>
            <w:pPr>
              <w:pStyle w:val="178"/>
              <w:rPr>
                <w:sz w:val="21"/>
                <w:szCs w:val="21"/>
              </w:rPr>
            </w:pPr>
          </w:p>
        </w:tc>
        <w:tc>
          <w:tcPr>
            <w:tcW w:w="628" w:type="dxa"/>
            <w:tcBorders>
              <w:top w:val="single" w:color="auto" w:sz="8" w:space="0"/>
            </w:tcBorders>
            <w:vAlign w:val="center"/>
          </w:tcPr>
          <w:p>
            <w:pPr>
              <w:pStyle w:val="178"/>
              <w:rPr>
                <w:sz w:val="21"/>
                <w:szCs w:val="21"/>
              </w:rPr>
            </w:pPr>
          </w:p>
        </w:tc>
        <w:tc>
          <w:tcPr>
            <w:tcW w:w="778" w:type="dxa"/>
            <w:tcBorders>
              <w:top w:val="single" w:color="auto" w:sz="8" w:space="0"/>
            </w:tcBorders>
            <w:vAlign w:val="center"/>
          </w:tcPr>
          <w:p>
            <w:pPr>
              <w:pStyle w:val="178"/>
              <w:rPr>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76" w:type="dxa"/>
            <w:vAlign w:val="center"/>
          </w:tcPr>
          <w:p>
            <w:pPr>
              <w:pStyle w:val="178"/>
              <w:rPr>
                <w:rFonts w:hint="eastAsia"/>
                <w:sz w:val="21"/>
                <w:szCs w:val="21"/>
              </w:rPr>
            </w:pPr>
            <w:r>
              <w:rPr>
                <w:sz w:val="21"/>
                <w:szCs w:val="21"/>
              </w:rPr>
              <w:t>…</w:t>
            </w:r>
          </w:p>
        </w:tc>
        <w:tc>
          <w:tcPr>
            <w:tcW w:w="632" w:type="dxa"/>
            <w:vAlign w:val="center"/>
          </w:tcPr>
          <w:p>
            <w:pPr>
              <w:pStyle w:val="178"/>
              <w:rPr>
                <w:sz w:val="21"/>
                <w:szCs w:val="21"/>
              </w:rPr>
            </w:pPr>
          </w:p>
        </w:tc>
        <w:tc>
          <w:tcPr>
            <w:tcW w:w="922" w:type="dxa"/>
            <w:vAlign w:val="center"/>
          </w:tcPr>
          <w:p>
            <w:pPr>
              <w:pStyle w:val="178"/>
              <w:rPr>
                <w:sz w:val="21"/>
                <w:szCs w:val="21"/>
              </w:rPr>
            </w:pPr>
          </w:p>
        </w:tc>
        <w:tc>
          <w:tcPr>
            <w:tcW w:w="778" w:type="dxa"/>
            <w:vAlign w:val="center"/>
          </w:tcPr>
          <w:p>
            <w:pPr>
              <w:pStyle w:val="178"/>
              <w:rPr>
                <w:sz w:val="21"/>
                <w:szCs w:val="21"/>
              </w:rPr>
            </w:pPr>
          </w:p>
        </w:tc>
        <w:tc>
          <w:tcPr>
            <w:tcW w:w="779" w:type="dxa"/>
            <w:vAlign w:val="center"/>
          </w:tcPr>
          <w:p>
            <w:pPr>
              <w:pStyle w:val="178"/>
              <w:rPr>
                <w:sz w:val="21"/>
                <w:szCs w:val="21"/>
              </w:rPr>
            </w:pPr>
          </w:p>
        </w:tc>
        <w:tc>
          <w:tcPr>
            <w:tcW w:w="778" w:type="dxa"/>
            <w:vAlign w:val="center"/>
          </w:tcPr>
          <w:p>
            <w:pPr>
              <w:pStyle w:val="178"/>
              <w:rPr>
                <w:sz w:val="21"/>
                <w:szCs w:val="21"/>
              </w:rPr>
            </w:pPr>
          </w:p>
        </w:tc>
        <w:tc>
          <w:tcPr>
            <w:tcW w:w="778" w:type="dxa"/>
            <w:vAlign w:val="center"/>
          </w:tcPr>
          <w:p>
            <w:pPr>
              <w:pStyle w:val="178"/>
              <w:rPr>
                <w:sz w:val="21"/>
                <w:szCs w:val="21"/>
              </w:rPr>
            </w:pPr>
          </w:p>
        </w:tc>
        <w:tc>
          <w:tcPr>
            <w:tcW w:w="778" w:type="dxa"/>
            <w:vAlign w:val="center"/>
          </w:tcPr>
          <w:p>
            <w:pPr>
              <w:pStyle w:val="178"/>
              <w:rPr>
                <w:sz w:val="21"/>
                <w:szCs w:val="21"/>
              </w:rPr>
            </w:pPr>
          </w:p>
        </w:tc>
        <w:tc>
          <w:tcPr>
            <w:tcW w:w="778" w:type="dxa"/>
            <w:vAlign w:val="center"/>
          </w:tcPr>
          <w:p>
            <w:pPr>
              <w:pStyle w:val="178"/>
              <w:rPr>
                <w:sz w:val="21"/>
                <w:szCs w:val="21"/>
              </w:rPr>
            </w:pPr>
          </w:p>
        </w:tc>
        <w:tc>
          <w:tcPr>
            <w:tcW w:w="929" w:type="dxa"/>
            <w:vAlign w:val="center"/>
          </w:tcPr>
          <w:p>
            <w:pPr>
              <w:pStyle w:val="178"/>
              <w:rPr>
                <w:sz w:val="21"/>
                <w:szCs w:val="21"/>
              </w:rPr>
            </w:pPr>
          </w:p>
        </w:tc>
        <w:tc>
          <w:tcPr>
            <w:tcW w:w="628" w:type="dxa"/>
            <w:vAlign w:val="center"/>
          </w:tcPr>
          <w:p>
            <w:pPr>
              <w:pStyle w:val="178"/>
              <w:rPr>
                <w:sz w:val="21"/>
                <w:szCs w:val="21"/>
              </w:rPr>
            </w:pPr>
          </w:p>
        </w:tc>
        <w:tc>
          <w:tcPr>
            <w:tcW w:w="778" w:type="dxa"/>
            <w:vAlign w:val="center"/>
          </w:tcPr>
          <w:p>
            <w:pPr>
              <w:pStyle w:val="178"/>
              <w:rPr>
                <w:sz w:val="21"/>
                <w:szCs w:val="21"/>
              </w:rPr>
            </w:pPr>
          </w:p>
        </w:tc>
      </w:tr>
    </w:tbl>
    <w:p>
      <w:pPr>
        <w:pStyle w:val="56"/>
        <w:ind w:firstLine="420"/>
      </w:pPr>
    </w:p>
    <w:p>
      <w:pPr>
        <w:pStyle w:val="56"/>
        <w:ind w:firstLine="420"/>
      </w:pPr>
    </w:p>
    <w:bookmarkEnd w:id="90"/>
    <w:p>
      <w:pPr>
        <w:pStyle w:val="56"/>
        <w:ind w:firstLine="0" w:firstLineChars="0"/>
        <w:jc w:val="center"/>
      </w:pPr>
      <w:bookmarkStart w:id="98" w:name="BookMark8"/>
      <w:r>
        <w:drawing>
          <wp:inline distT="0" distB="0" distL="0" distR="0">
            <wp:extent cx="1485900" cy="317500"/>
            <wp:effectExtent l="0" t="0" r="0" b="6350"/>
            <wp:docPr id="1756191317" name="图片 1"/>
            <wp:cNvGraphicFramePr/>
            <a:graphic xmlns:a="http://schemas.openxmlformats.org/drawingml/2006/main">
              <a:graphicData uri="http://schemas.openxmlformats.org/drawingml/2006/picture">
                <pic:pic xmlns:pic="http://schemas.openxmlformats.org/drawingml/2006/picture">
                  <pic:nvPicPr>
                    <pic:cNvPr id="1756191317" name="图片 1"/>
                    <pic:cNvPicPr/>
                  </pic:nvPicPr>
                  <pic:blipFill>
                    <a:blip r:embed="rId1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9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Liberation Serif">
    <w:panose1 w:val="02020603050405020304"/>
    <w:charset w:val="00"/>
    <w:family w:val="auto"/>
    <w:pitch w:val="default"/>
    <w:sig w:usb0="A00002AF" w:usb1="500078FB" w:usb2="00000000" w:usb3="00000000" w:csb0="6000009F" w:csb1="DFD70000"/>
  </w:font>
  <w:font w:name="Droid Sans Fallback">
    <w:panose1 w:val="020B0502000000000001"/>
    <w:charset w:val="86"/>
    <w:family w:val="auto"/>
    <w:pitch w:val="default"/>
    <w:sig w:usb0="910002FF" w:usb1="2BDFFCFB" w:usb2="00000036" w:usb3="00000000" w:csb0="203F01FF"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t>DB 43/T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attachedTemplate r:id="rId1"/>
  <w:documentProtection w:edit="forms" w:enforcement="1" w:cryptProviderType="rsaAES" w:cryptAlgorithmClass="hash" w:cryptAlgorithmType="typeAny" w:cryptAlgorithmSid="14" w:cryptSpinCount="100000" w:hash="Rqycl7kNkjcSzldPrUzKdrwVcn2gW5xXKF2e/NgBjwj69dT9mKVLwW5Lxa0uCCO/XVHZSPZlYUOUoUGr+Ovxkw==" w:salt="lNTM1XYQSEPNz0LiBzzdj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xNDJhMWQ4Njg3ZGNmYTM0MjIzNDAzMTMyNjM1MzAifQ=="/>
  </w:docVars>
  <w:rsids>
    <w:rsidRoot w:val="004301E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EC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1DF2"/>
    <w:rsid w:val="00404869"/>
    <w:rsid w:val="00405884"/>
    <w:rsid w:val="00407D39"/>
    <w:rsid w:val="0041477A"/>
    <w:rsid w:val="004167A3"/>
    <w:rsid w:val="004200D0"/>
    <w:rsid w:val="004301E6"/>
    <w:rsid w:val="00432DAA"/>
    <w:rsid w:val="00434305"/>
    <w:rsid w:val="00435DF7"/>
    <w:rsid w:val="0044083F"/>
    <w:rsid w:val="00441AE7"/>
    <w:rsid w:val="00445574"/>
    <w:rsid w:val="004467FB"/>
    <w:rsid w:val="00452D6B"/>
    <w:rsid w:val="00454484"/>
    <w:rsid w:val="0045517B"/>
    <w:rsid w:val="004554BA"/>
    <w:rsid w:val="00463B77"/>
    <w:rsid w:val="00463C7B"/>
    <w:rsid w:val="004644A6"/>
    <w:rsid w:val="004659BD"/>
    <w:rsid w:val="00470775"/>
    <w:rsid w:val="004746B1"/>
    <w:rsid w:val="00474A25"/>
    <w:rsid w:val="0047583F"/>
    <w:rsid w:val="00475DE8"/>
    <w:rsid w:val="00481C44"/>
    <w:rsid w:val="004823C7"/>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9F3"/>
    <w:rsid w:val="004E4AA5"/>
    <w:rsid w:val="004E4AEE"/>
    <w:rsid w:val="004E59E3"/>
    <w:rsid w:val="004E67C0"/>
    <w:rsid w:val="004F391A"/>
    <w:rsid w:val="004F3CFB"/>
    <w:rsid w:val="004F6456"/>
    <w:rsid w:val="004F696E"/>
    <w:rsid w:val="004F6C71"/>
    <w:rsid w:val="00501139"/>
    <w:rsid w:val="005027C1"/>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DEC"/>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5E15"/>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19EB"/>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2253"/>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2A43"/>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285"/>
    <w:rsid w:val="00A648CD"/>
    <w:rsid w:val="00A6537A"/>
    <w:rsid w:val="00A67866"/>
    <w:rsid w:val="00A70B07"/>
    <w:rsid w:val="00A723F8"/>
    <w:rsid w:val="00A74E3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581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042D"/>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4DEF"/>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758"/>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538"/>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007"/>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5316849"/>
    <w:rsid w:val="E76943E6"/>
    <w:rsid w:val="F7FF6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FD12D29DEF8478BBDE73B46F30FDED0"/>
        <w:style w:val=""/>
        <w:category>
          <w:name w:val="常规"/>
          <w:gallery w:val="placeholder"/>
        </w:category>
        <w:types>
          <w:type w:val="bbPlcHdr"/>
        </w:types>
        <w:behaviors>
          <w:behavior w:val="content"/>
        </w:behaviors>
        <w:description w:val=""/>
        <w:guid w:val="{01734E9D-488C-4ED2-8142-39B99CF31B96}"/>
      </w:docPartPr>
      <w:docPartBody>
        <w:p>
          <w:pPr>
            <w:pStyle w:val="5"/>
          </w:pPr>
          <w:r>
            <w:rPr>
              <w:rStyle w:val="4"/>
              <w:rFonts w:hint="eastAsia"/>
            </w:rPr>
            <w:t>单击或点击此处输入文字。</w:t>
          </w:r>
        </w:p>
      </w:docPartBody>
    </w:docPart>
    <w:docPart>
      <w:docPartPr>
        <w:name w:val="6A75B50D833942CA94923A20D5CAF498"/>
        <w:style w:val=""/>
        <w:category>
          <w:name w:val="常规"/>
          <w:gallery w:val="placeholder"/>
        </w:category>
        <w:types>
          <w:type w:val="bbPlcHdr"/>
        </w:types>
        <w:behaviors>
          <w:behavior w:val="content"/>
        </w:behaviors>
        <w:description w:val=""/>
        <w:guid w:val="{63A25D41-8B23-45A2-BBBF-9A20CCF4C5BB}"/>
      </w:docPartPr>
      <w:docPartBody>
        <w:p>
          <w:pPr>
            <w:pStyle w:val="6"/>
          </w:pPr>
          <w:r>
            <w:rPr>
              <w:rStyle w:val="4"/>
              <w:rFonts w:hint="eastAsia"/>
            </w:rPr>
            <w:t>选择一项。</w:t>
          </w:r>
        </w:p>
      </w:docPartBody>
    </w:docPart>
    <w:docPart>
      <w:docPartPr>
        <w:name w:val="F2D279FB57C4435792168DCCB569DBC4"/>
        <w:style w:val=""/>
        <w:category>
          <w:name w:val="常规"/>
          <w:gallery w:val="placeholder"/>
        </w:category>
        <w:types>
          <w:type w:val="bbPlcHdr"/>
        </w:types>
        <w:behaviors>
          <w:behavior w:val="content"/>
        </w:behaviors>
        <w:description w:val=""/>
        <w:guid w:val="{E49D6B47-7B1C-45DA-9793-6F8C7912FF8B}"/>
      </w:docPartPr>
      <w:docPartBody>
        <w:p>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C1"/>
    <w:rsid w:val="004471C1"/>
    <w:rsid w:val="00A7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FD12D29DEF8478BBDE73B46F30FDED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A75B50D833942CA94923A20D5CAF49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2D279FB57C4435792168DCCB569DBC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3948</Words>
  <Characters>4519</Characters>
  <Lines>664</Lines>
  <Paragraphs>598</Paragraphs>
  <TotalTime>221</TotalTime>
  <ScaleCrop>false</ScaleCrop>
  <LinksUpToDate>false</LinksUpToDate>
  <CharactersWithSpaces>4779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2026-03-13T01:39:00Z</dcterms:created>
  <dc:creator>sam</dc:creator>
  <dc:description>&lt;config cover="true" show_menu="true" version="1.0.0" doctype="SDKXY"&gt;_x000d_
&lt;/config&gt;</dc:description>
  <cp:lastModifiedBy>greatwall</cp:lastModifiedBy>
  <cp:lastPrinted>2020-08-31T02:00:00Z</cp:lastPrinted>
  <dcterms:modified xsi:type="dcterms:W3CDTF">2026-03-23T08:05:23Z</dcterms:modified>
  <dc:title>地方标准</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2052-11.8.2.10251</vt:lpwstr>
  </property>
  <property fmtid="{D5CDD505-2E9C-101B-9397-08002B2CF9AE}" pid="15" name="ICV">
    <vt:lpwstr>0B662C9CAA72498EBAC341F427AA92DD_12</vt:lpwstr>
  </property>
</Properties>
</file>