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sz w:val="32"/>
          <w:szCs w:val="32"/>
        </w:rPr>
      </w:pPr>
      <w:r>
        <w:rPr>
          <w:rFonts w:ascii="Times New Roman" w:hAnsi="Times New Roman" w:eastAsia="方正黑体_GBK"/>
          <w:sz w:val="32"/>
          <w:szCs w:val="32"/>
        </w:rPr>
        <w:t>附件</w:t>
      </w:r>
    </w:p>
    <w:p>
      <w:pPr>
        <w:spacing w:line="400" w:lineRule="exact"/>
        <w:rPr>
          <w:rFonts w:hint="eastAsia" w:ascii="Times New Roman" w:hAnsi="Times New Roman" w:eastAsia="方正仿宋_GBK"/>
          <w:sz w:val="32"/>
          <w:szCs w:val="32"/>
        </w:rPr>
      </w:pPr>
    </w:p>
    <w:p>
      <w:pPr>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202</w:t>
      </w:r>
      <w:r>
        <w:rPr>
          <w:rFonts w:hint="default" w:ascii="方正小标宋_GBK" w:hAnsi="Times New Roman" w:eastAsia="方正小标宋_GBK"/>
          <w:sz w:val="44"/>
          <w:szCs w:val="44"/>
          <w:lang w:val="en"/>
        </w:rPr>
        <w:t>6</w:t>
      </w:r>
      <w:r>
        <w:rPr>
          <w:rFonts w:hint="eastAsia" w:ascii="方正小标宋_GBK" w:hAnsi="Times New Roman" w:eastAsia="方正小标宋_GBK"/>
          <w:sz w:val="44"/>
          <w:szCs w:val="44"/>
        </w:rPr>
        <w:t>年第1批标准化项目立项计划表</w:t>
      </w:r>
    </w:p>
    <w:p>
      <w:pPr>
        <w:spacing w:line="400" w:lineRule="exact"/>
        <w:rPr>
          <w:rFonts w:hint="eastAsia" w:ascii="Times New Roman" w:hAnsi="Times New Roman" w:eastAsia="方正仿宋_GBK"/>
          <w:sz w:val="32"/>
          <w:szCs w:val="32"/>
        </w:rPr>
      </w:pPr>
    </w:p>
    <w:tbl>
      <w:tblPr>
        <w:tblStyle w:val="5"/>
        <w:tblW w:w="14173"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017"/>
        <w:gridCol w:w="4428"/>
        <w:gridCol w:w="2476"/>
        <w:gridCol w:w="15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tblHeader/>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b/>
                <w:i w:val="0"/>
                <w:color w:val="000000"/>
                <w:sz w:val="24"/>
                <w:szCs w:val="24"/>
                <w:u w:val="none"/>
              </w:rPr>
            </w:pPr>
            <w:r>
              <w:rPr>
                <w:rFonts w:hint="eastAsia" w:ascii="Times New Roman" w:hAnsi="Times New Roman" w:eastAsia="方正仿宋_GBK" w:cs="方正仿宋_GBK"/>
                <w:b/>
                <w:i w:val="0"/>
                <w:color w:val="000000"/>
                <w:kern w:val="0"/>
                <w:sz w:val="24"/>
                <w:szCs w:val="24"/>
                <w:u w:val="none"/>
                <w:lang w:val="en-US" w:eastAsia="zh-CN" w:bidi="ar"/>
              </w:rPr>
              <w:t>序号</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b/>
                <w:i w:val="0"/>
                <w:color w:val="000000"/>
                <w:sz w:val="24"/>
                <w:szCs w:val="24"/>
                <w:u w:val="none"/>
              </w:rPr>
            </w:pPr>
            <w:r>
              <w:rPr>
                <w:rFonts w:hint="eastAsia" w:ascii="Times New Roman" w:hAnsi="Times New Roman" w:eastAsia="方正仿宋_GBK" w:cs="方正仿宋_GBK"/>
                <w:b/>
                <w:i w:val="0"/>
                <w:color w:val="000000"/>
                <w:kern w:val="0"/>
                <w:sz w:val="24"/>
                <w:szCs w:val="24"/>
                <w:u w:val="none"/>
                <w:lang w:val="en-US" w:eastAsia="zh-CN" w:bidi="ar"/>
              </w:rPr>
              <w:t>项目名称</w:t>
            </w:r>
          </w:p>
        </w:tc>
        <w:tc>
          <w:tcPr>
            <w:tcW w:w="4428" w:type="dxa"/>
            <w:tcBorders>
              <w:top w:val="single" w:color="000000" w:sz="4" w:space="0"/>
              <w:left w:val="single" w:color="000000" w:sz="4" w:space="0"/>
              <w:bottom w:val="nil"/>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b/>
                <w:i w:val="0"/>
                <w:color w:val="000000"/>
                <w:sz w:val="24"/>
                <w:szCs w:val="24"/>
                <w:u w:val="none"/>
              </w:rPr>
            </w:pPr>
            <w:r>
              <w:rPr>
                <w:rFonts w:hint="eastAsia" w:ascii="Times New Roman" w:hAnsi="Times New Roman" w:eastAsia="方正仿宋_GBK" w:cs="方正仿宋_GBK"/>
                <w:b/>
                <w:i w:val="0"/>
                <w:color w:val="000000"/>
                <w:kern w:val="0"/>
                <w:sz w:val="24"/>
                <w:szCs w:val="24"/>
                <w:u w:val="none"/>
                <w:lang w:val="en-US" w:eastAsia="zh-CN" w:bidi="ar"/>
              </w:rPr>
              <w:t>承担单位</w:t>
            </w:r>
          </w:p>
        </w:tc>
        <w:tc>
          <w:tcPr>
            <w:tcW w:w="2476" w:type="dxa"/>
            <w:tcBorders>
              <w:top w:val="single" w:color="000000" w:sz="4" w:space="0"/>
              <w:left w:val="single" w:color="000000" w:sz="4" w:space="0"/>
              <w:bottom w:val="nil"/>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b/>
                <w:i w:val="0"/>
                <w:color w:val="000000"/>
                <w:sz w:val="24"/>
                <w:szCs w:val="24"/>
                <w:u w:val="none"/>
              </w:rPr>
            </w:pPr>
            <w:r>
              <w:rPr>
                <w:rFonts w:hint="eastAsia" w:ascii="Times New Roman" w:hAnsi="Times New Roman" w:eastAsia="方正仿宋_GBK" w:cs="方正仿宋_GBK"/>
                <w:b/>
                <w:i w:val="0"/>
                <w:color w:val="000000"/>
                <w:kern w:val="0"/>
                <w:sz w:val="24"/>
                <w:szCs w:val="24"/>
                <w:u w:val="none"/>
                <w:lang w:val="en-US" w:eastAsia="zh-CN" w:bidi="ar"/>
              </w:rPr>
              <w:t>项目类别</w:t>
            </w:r>
          </w:p>
        </w:tc>
        <w:tc>
          <w:tcPr>
            <w:tcW w:w="1548" w:type="dxa"/>
            <w:tcBorders>
              <w:top w:val="single" w:color="000000" w:sz="4" w:space="0"/>
              <w:left w:val="single" w:color="000000" w:sz="4" w:space="0"/>
              <w:bottom w:val="nil"/>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b/>
                <w:i w:val="0"/>
                <w:color w:val="000000"/>
                <w:sz w:val="24"/>
                <w:szCs w:val="24"/>
                <w:u w:val="none"/>
              </w:rPr>
            </w:pPr>
            <w:r>
              <w:rPr>
                <w:rFonts w:hint="eastAsia" w:ascii="Times New Roman" w:hAnsi="Times New Roman" w:eastAsia="方正仿宋_GBK" w:cs="方正仿宋_GBK"/>
                <w:b/>
                <w:i w:val="0"/>
                <w:color w:val="000000"/>
                <w:kern w:val="0"/>
                <w:sz w:val="24"/>
                <w:szCs w:val="24"/>
                <w:u w:val="none"/>
                <w:lang w:val="en-US" w:eastAsia="zh-CN" w:bidi="ar"/>
              </w:rPr>
              <w:t>计划周期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湖南省通用航空运营管理标准体系研究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湖南省通用航空协会</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《中国药典》</w:t>
            </w:r>
            <w:r>
              <w:rPr>
                <w:rStyle w:val="6"/>
                <w:rFonts w:hint="eastAsia" w:ascii="Times New Roman" w:hAnsi="Times New Roman" w:eastAsia="方正仿宋_GBK" w:cs="方正仿宋_GBK"/>
                <w:color w:val="000000"/>
                <w:sz w:val="24"/>
                <w:szCs w:val="24"/>
                <w:lang w:val="en-US" w:eastAsia="zh-CN" w:bidi="ar"/>
              </w:rPr>
              <w:t>2025</w:t>
            </w:r>
            <w:r>
              <w:rPr>
                <w:rFonts w:hint="eastAsia" w:ascii="Times New Roman" w:hAnsi="Times New Roman" w:eastAsia="方正仿宋_GBK" w:cs="方正仿宋_GBK"/>
                <w:i w:val="0"/>
                <w:color w:val="000000"/>
                <w:kern w:val="0"/>
                <w:sz w:val="24"/>
                <w:szCs w:val="24"/>
                <w:u w:val="none"/>
                <w:lang w:val="en-US" w:eastAsia="zh-CN" w:bidi="ar"/>
              </w:rPr>
              <w:t>年版儿童用含朱砂中药制剂标准研究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湖南食品药品职业学院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湖南加工食品类团体标准评价指南及应用示范研究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湖南省食品质量安全技术协会</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养老机构老年人压力性损伤风险评估、预防与处置方法标准化前期研究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中南大学湘雅二医院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精神障碍人脑组织资源库建设标准化研究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中南大学湘雅二医院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6</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标准化体系支撑湖南孕产妇健康服务高质量发展研究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中南大学湘雅二医院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7</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 xml:space="preserve">患者急救与转运通讯标准研究 </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中南大学湘雅二医院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8</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湖南地方特色农产品跨境电商语言服务标准化研究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湖南商务职业技术学院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9</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湖南省环境监测标准体系研究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长沙环境保护职业技术学院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10</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托育机构保育人员培训课程标准体系构建研究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湖南幼儿师范高等专科学校</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11</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职业院校科普基地数字化建设与管理规范标准化研究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湖南汽车工程职业大学</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职业院校创新创业共享服务平台建设与运营标准化研究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湖南汽车工程职业大学</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13</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湖南省新能源汽车退役电池全生命周期溯源与智能评估标准体系研究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湖南汽车工程职业大学</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14</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湖南省高职院校职业教育教学质量评价标准体系研制与实施研究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湖南开放大学</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15</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湖南医药产业“标-课-证”融合创新标准体系构建研究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湖南食品药品职业学院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16</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湖南省技术标准引领传统产业升级的理论与实践研究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湖南大学</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17</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区域职业健康风险动态评估技术指南研究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湖南省职业病防治院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18</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长沙区域公共品牌建设标准体系研究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长沙市质量和标准化协会</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19</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2023-2024年度旅游行业地方标准实施效果评估</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湖南金智标准科技发展有限公司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标准实施评估</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20</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湖南省农村车机协同的低空物流运营服务标准化研究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湖南永瑞标准化服务有限公司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21</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“人工智能+”智慧教育多模态融合与个性化接口标准化研究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湖南怡泰高研院科技发展有限公司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22</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基于DRG的老年病区医疗质量控制标准化研究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中南大学湘雅医院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23</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40+女性中西医结合抗衰调理 （治未病）服务标准化研究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湖南省妇幼保健院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24</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湖南省智能衡器计量产业链仪器仪表标准体系建设研究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湖南省仪器仪表行业协会</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25</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产教融合视域下轨道交通数字化技能人才培训标准化研究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湖南铁道职业技术学院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26</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轨道交通电气装备国际标准提案策划与新模式研究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中车株洲电力机车研究所有限公司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27</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全光组网标准体系研究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湖南湖芯信息科技有限公司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28</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绿色数据中心液冷机柜热管理标准化研究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湖南开放大学（湖南网络工程职业学院、湖南省干部教育培训网络学院）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29</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湘潭市工程机械再制造标准体系研究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湘潭市市场监督管理局</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30</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电线电缆质量标准体系研究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湖南湘鹤集团电缆科技股份有限公司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31</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default" w:ascii="Times New Roman" w:hAnsi="Times New Roman" w:eastAsia="方正仿宋_GBK" w:cs="方正仿宋_GBK"/>
                <w:i w:val="0"/>
                <w:color w:val="000000"/>
                <w:kern w:val="0"/>
                <w:sz w:val="24"/>
                <w:szCs w:val="24"/>
                <w:u w:val="none"/>
                <w:lang w:val="en-US" w:eastAsia="zh-CN" w:bidi="ar"/>
              </w:rPr>
              <w:t xml:space="preserve">ISO/TR 25201 </w:t>
            </w:r>
            <w:r>
              <w:rPr>
                <w:rFonts w:hint="eastAsia" w:ascii="Times New Roman" w:hAnsi="Times New Roman" w:eastAsia="方正仿宋_GBK" w:cs="方正仿宋_GBK"/>
                <w:i w:val="0"/>
                <w:color w:val="000000"/>
                <w:kern w:val="0"/>
                <w:sz w:val="24"/>
                <w:szCs w:val="24"/>
                <w:u w:val="none"/>
                <w:lang w:val="en-US" w:eastAsia="zh-CN" w:bidi="ar"/>
              </w:rPr>
              <w:t>《起重机风荷载</w:t>
            </w:r>
            <w:r>
              <w:rPr>
                <w:rFonts w:hint="default" w:ascii="Times New Roman" w:hAnsi="Times New Roman" w:eastAsia="方正仿宋_GBK" w:cs="方正仿宋_GBK"/>
                <w:i w:val="0"/>
                <w:color w:val="000000"/>
                <w:kern w:val="0"/>
                <w:sz w:val="24"/>
                <w:szCs w:val="24"/>
                <w:u w:val="none"/>
                <w:lang w:val="en-US" w:eastAsia="zh-CN" w:bidi="ar"/>
              </w:rPr>
              <w:t xml:space="preserve"> </w:t>
            </w:r>
            <w:r>
              <w:rPr>
                <w:rFonts w:hint="eastAsia" w:ascii="Times New Roman" w:hAnsi="Times New Roman" w:eastAsia="方正仿宋_GBK" w:cs="方正仿宋_GBK"/>
                <w:i w:val="0"/>
                <w:color w:val="000000"/>
                <w:kern w:val="0"/>
                <w:sz w:val="24"/>
                <w:szCs w:val="24"/>
                <w:u w:val="none"/>
                <w:lang w:val="en-US" w:eastAsia="zh-CN" w:bidi="ar"/>
              </w:rPr>
              <w:t>周边建筑群影响效应》制定</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中联重科股份有限公司</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32</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湖南省地方标准申报查新</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标准化应用</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33</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湖南省标准信息服务</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标准化应用</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34</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电动自行车国家强制性标准实施分析</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标准实施评估</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35</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湖南省中小企业绿色低碳转型标准化路径研究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36</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地理标志产品标准的理论与实践研究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37</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“湖南名品”品牌标准体系的系统建构与实施路径研究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38</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湖南省稳步扩大标准制度型开放重点措施研究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39</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湖南省地方标准体系优化和完善对策研究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12个月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40</w:t>
            </w:r>
          </w:p>
        </w:tc>
        <w:tc>
          <w:tcPr>
            <w:tcW w:w="50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湖南省知识产权信用管理标准化研究</w:t>
            </w:r>
          </w:p>
        </w:tc>
        <w:tc>
          <w:tcPr>
            <w:tcW w:w="44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湖南省质量和标准化研究院</w:t>
            </w:r>
          </w:p>
        </w:tc>
        <w:tc>
          <w:tcPr>
            <w:tcW w:w="24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标准化研究</w:t>
            </w:r>
          </w:p>
        </w:tc>
        <w:tc>
          <w:tcPr>
            <w:tcW w:w="154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12个月</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1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character" w:customStyle="1" w:styleId="6">
    <w:name w:val="font01"/>
    <w:basedOn w:val="3"/>
    <w:qFormat/>
    <w:uiPriority w:val="0"/>
    <w:rPr>
      <w:rFonts w:ascii="Calibri" w:hAnsi="Calibri" w:cs="Calibri"/>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2026-02-04T07:11:46Z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