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23"/>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3"/>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bookmarkStart w:id="287" w:name="_GoBack"/>
            <w:r>
              <w:rPr>
                <w:rFonts w:ascii="黑体" w:hAnsi="黑体" w:eastAsia="黑体"/>
                <w:sz w:val="21"/>
                <w:szCs w:val="21"/>
              </w:rPr>
              <w:fldChar w:fldCharType="begin">
                <w:ffData>
                  <w:name w:val="ICS"/>
                  <w:enabled/>
                  <w:calcOnExit w:val="0"/>
                  <w:textInput>
                    <w:default w:val="35.240.01"/>
                  </w:textInput>
                </w:ffData>
              </w:fldChar>
            </w:r>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35.240.01</w:t>
            </w:r>
            <w:r>
              <w:rPr>
                <w:rFonts w:ascii="黑体" w:hAnsi="黑体" w:eastAsia="黑体"/>
                <w:sz w:val="21"/>
                <w:szCs w:val="21"/>
              </w:rPr>
              <w:fldChar w:fldCharType="end"/>
            </w:r>
            <w:bookmarkEnd w:id="0"/>
            <w:bookmarkEnd w:id="28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23"/>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3"/>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ascii="黑体" w:hAnsi="黑体" w:eastAsia="黑体"/>
                <w:sz w:val="21"/>
                <w:szCs w:val="21"/>
              </w:rPr>
              <w:fldChar w:fldCharType="begin">
                <w:ffData>
                  <w:name w:val="CSDN"/>
                  <w:enabled/>
                  <w:calcOnExit w:val="0"/>
                  <w:textInput>
                    <w:default w:val="L 70"/>
                  </w:textInput>
                </w:ffData>
              </w:fldChar>
            </w:r>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L 70</w:t>
            </w:r>
            <w:r>
              <w:rPr>
                <w:rFonts w:ascii="黑体" w:hAnsi="黑体" w:eastAsia="黑体"/>
                <w:sz w:val="21"/>
                <w:szCs w:val="21"/>
              </w:rPr>
              <w:fldChar w:fldCharType="end"/>
            </w:r>
            <w:bookmarkEnd w:id="1"/>
          </w:p>
        </w:tc>
      </w:tr>
    </w:tbl>
    <w:tbl>
      <w:tblPr>
        <w:tblStyle w:val="40"/>
        <w:tblpPr w:leftFromText="180" w:rightFromText="180" w:vertAnchor="text" w:horzAnchor="margin" w:tblpX="2683" w:tblpY="578"/>
        <w:tblW w:w="6661"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1" w:type="dxa"/>
          </w:tcPr>
          <w:p>
            <w:pPr>
              <w:pStyle w:val="56"/>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bookmarkStart w:id="3" w:name="c1"/>
            <w:r>
              <w:fldChar w:fldCharType="begin">
                <w:ffData>
                  <w:name w:val="c1"/>
                  <w:enabled/>
                  <w:calcOnExit w:val="0"/>
                  <w:textInput>
                    <w:default w:val="43"/>
                    <w:maxLength w:val="8"/>
                  </w:textInput>
                </w:ffData>
              </w:fldChar>
            </w:r>
            <w:r>
              <w:instrText xml:space="preserve"> FORMTEXT </w:instrText>
            </w:r>
            <w:r>
              <w:fldChar w:fldCharType="separate"/>
            </w:r>
            <w:r>
              <w:t>43</w:t>
            </w:r>
            <w:r>
              <w:fldChar w:fldCharType="end"/>
            </w:r>
            <w:bookmarkEnd w:id="3"/>
          </w:p>
        </w:tc>
      </w:tr>
    </w:tbl>
    <w:p>
      <w:pPr>
        <w:pStyle w:val="57"/>
        <w:framePr w:w="9639" w:h="624" w:hRule="exact" w:hSpace="181" w:vSpace="181" w:hAnchor="page" w:x="1305" w:y="2269"/>
        <w:rPr>
          <w:rFonts w:ascii="黑体" w:hAnsi="黑体" w:eastAsia="黑体"/>
          <w:b w:val="0"/>
          <w:bCs w:val="0"/>
          <w:w w:val="100"/>
          <w:sz w:val="48"/>
          <w:szCs w:val="48"/>
        </w:rPr>
      </w:pPr>
      <w:bookmarkStart w:id="4" w:name="c2"/>
      <w:r>
        <w:rPr>
          <w:rFonts w:ascii="黑体" w:eastAsia="黑体"/>
          <w:b w:val="0"/>
          <w:w w:val="100"/>
          <w:sz w:val="48"/>
        </w:rPr>
        <w:fldChar w:fldCharType="begin">
          <w:ffData>
            <w:name w:val="c2"/>
            <w:enabled/>
            <w:calcOnExit w:val="0"/>
            <w:textInput>
              <w:default w:val="湖南省"/>
            </w:textInput>
          </w:ffData>
        </w:fldChar>
      </w:r>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202"/>
      </w:pPr>
      <w:r>
        <w:t>DB</w:t>
      </w:r>
      <w:bookmarkStart w:id="5" w:name="文字1"/>
      <w:r>
        <w:fldChar w:fldCharType="begin">
          <w:ffData>
            <w:name w:val="文字1"/>
            <w:enabled/>
            <w:calcOnExit w:val="0"/>
            <w:textInput>
              <w:default w:val="43/T"/>
            </w:textInput>
          </w:ffData>
        </w:fldChar>
      </w:r>
      <w:r>
        <w:instrText xml:space="preserve"> FORMTEXT </w:instrText>
      </w:r>
      <w:r>
        <w:fldChar w:fldCharType="separate"/>
      </w:r>
      <w:r>
        <w:t>43/T</w:t>
      </w:r>
      <w:r>
        <w:fldChar w:fldCharType="end"/>
      </w:r>
      <w:bookmarkEnd w:id="5"/>
      <w:r>
        <w:t xml:space="preserve"> </w:t>
      </w:r>
      <w:r>
        <w:fldChar w:fldCharType="begin">
          <w:ffData>
            <w:name w:val="NSTD_CODE_F"/>
            <w:enabled/>
            <w:calcOnExit w:val="0"/>
            <w:textInput>
              <w:default w:val="XXXXX"/>
            </w:textInput>
          </w:ffData>
        </w:fldChar>
      </w:r>
      <w:bookmarkStart w:id="6" w:name="NSTD_CODE_F"/>
      <w:r>
        <w:instrText xml:space="preserve"> FORMTEXT </w:instrText>
      </w:r>
      <w:r>
        <w:fldChar w:fldCharType="separate"/>
      </w:r>
      <w:r>
        <w:t>XXXXX</w:t>
      </w:r>
      <w:r>
        <w:fldChar w:fldCharType="end"/>
      </w:r>
      <w:bookmarkEnd w:id="6"/>
      <w:r>
        <w:rPr>
          <w:rFonts w:hAnsi="黑体"/>
        </w:rPr>
        <w:t>—</w:t>
      </w:r>
      <w:bookmarkStart w:id="7" w:name="NSTD_CODE_B"/>
      <w:r>
        <w:fldChar w:fldCharType="begin">
          <w:ffData>
            <w:name w:val="NSTD_CODE_B"/>
            <w:enabled/>
            <w:calcOnExit w:val="0"/>
            <w:textInput>
              <w:default w:val="2025"/>
            </w:textInput>
          </w:ffData>
        </w:fldChar>
      </w:r>
      <w:r>
        <w:instrText xml:space="preserve"> FORMTEXT </w:instrText>
      </w:r>
      <w:r>
        <w:fldChar w:fldCharType="separate"/>
      </w:r>
      <w:r>
        <w:t>2025</w:t>
      </w:r>
      <w:r>
        <w:fldChar w:fldCharType="end"/>
      </w:r>
      <w:bookmarkEnd w:id="7"/>
    </w:p>
    <w:p>
      <w:pPr>
        <w:pStyle w:val="203"/>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7"/>
        <w:framePr w:w="9639" w:h="6976" w:hRule="exact" w:hSpace="0" w:vSpace="0" w:hAnchor="page" w:y="6408"/>
        <w:jc w:val="center"/>
        <w:rPr>
          <w:rFonts w:ascii="黑体" w:hAnsi="黑体" w:eastAsia="黑体"/>
          <w:b w:val="0"/>
          <w:bCs w:val="0"/>
          <w:w w:val="100"/>
        </w:rPr>
      </w:pPr>
    </w:p>
    <w:p>
      <w:pPr>
        <w:pStyle w:val="204"/>
        <w:framePr w:h="6974" w:hRule="exact" w:x="1419" w:anchorLock="1"/>
      </w:pPr>
      <w:bookmarkStart w:id="9" w:name="CSTD_NAME"/>
      <w:r>
        <w:fldChar w:fldCharType="begin">
          <w:ffData>
            <w:name w:val="CSTD_NAME"/>
            <w:enabled/>
            <w:calcOnExit w:val="0"/>
            <w:textInput>
              <w:default w:val="城市治理 数据底座 数据融合与建库技术规范"/>
            </w:textInput>
          </w:ffData>
        </w:fldChar>
      </w:r>
      <w:r>
        <w:instrText xml:space="preserve"> FORMTEXT </w:instrText>
      </w:r>
      <w:r>
        <w:fldChar w:fldCharType="separate"/>
      </w:r>
      <w:r>
        <w:t>城市治理 数据底座 数据融合与建库技术规范</w:t>
      </w:r>
      <w:r>
        <w:fldChar w:fldCharType="end"/>
      </w:r>
      <w:bookmarkEnd w:id="9"/>
    </w:p>
    <w:p>
      <w:pPr>
        <w:framePr w:w="9639" w:h="6974" w:hRule="exact" w:wrap="around" w:vAnchor="page" w:hAnchor="page" w:x="1419" w:y="6408" w:anchorLock="1"/>
        <w:ind w:left="-1418"/>
      </w:pPr>
    </w:p>
    <w:p>
      <w:pPr>
        <w:pStyle w:val="132"/>
        <w:framePr w:w="9639" w:h="6974" w:hRule="exact" w:wrap="around" w:vAnchor="page" w:hAnchor="page" w:x="1419" w:y="6408" w:anchorLock="1"/>
        <w:textAlignment w:val="bottom"/>
        <w:rPr>
          <w:rFonts w:eastAsia="黑体"/>
          <w:szCs w:val="28"/>
        </w:rPr>
      </w:pPr>
      <w:bookmarkStart w:id="10" w:name="ESTD_NAME"/>
      <w:r>
        <w:rPr>
          <w:rFonts w:eastAsia="黑体"/>
          <w:szCs w:val="28"/>
        </w:rPr>
        <w:fldChar w:fldCharType="begin">
          <w:ffData>
            <w:name w:val="ESTD_NAME"/>
            <w:enabled/>
            <w:calcOnExit w:val="0"/>
            <w:textInput>
              <w:default w:val="Specifications for data fusion and database construction technical of the data base of urban governance"/>
            </w:textInput>
          </w:ffData>
        </w:fldChar>
      </w:r>
      <w:r>
        <w:rPr>
          <w:rFonts w:eastAsia="黑体"/>
          <w:szCs w:val="28"/>
        </w:rPr>
        <w:instrText xml:space="preserve"> FORMTEXT </w:instrText>
      </w:r>
      <w:r>
        <w:rPr>
          <w:rFonts w:eastAsia="黑体"/>
          <w:szCs w:val="28"/>
        </w:rPr>
        <w:fldChar w:fldCharType="separate"/>
      </w:r>
      <w:r>
        <w:rPr>
          <w:rFonts w:eastAsia="黑体"/>
          <w:szCs w:val="28"/>
        </w:rPr>
        <w:t>Specifications for data fusion and database construction technical of the data base of urban governance</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32"/>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1"/>
    </w:p>
    <w:p>
      <w:pPr>
        <w:pStyle w:val="13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pPr>
        <w:pStyle w:val="13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pPr>
        <w:pStyle w:val="132"/>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pPr>
        <w:pStyle w:val="200"/>
        <w:framePr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pPr>
        <w:pStyle w:val="201"/>
        <w:framePr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pPr>
        <w:pStyle w:val="158"/>
        <w:framePr w:h="584" w:hRule="exact" w:hSpace="181" w:vSpace="181" w:y="15027"/>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1"/>
      <w:r>
        <w:rPr>
          <w:rFonts w:ascii="Times New Roman"/>
          <w:w w:val="100"/>
          <w:sz w:val="28"/>
        </w:rPr>
        <w:t>  </w:t>
      </w:r>
      <w:r>
        <w:rPr>
          <w:rStyle w:val="235"/>
          <w:rFonts w:hint="eastAsia" w:hAnsi="黑体"/>
          <w:position w:val="0"/>
        </w:rPr>
        <w:t>发</w:t>
      </w:r>
      <w:r>
        <w:rPr>
          <w:rStyle w:val="235"/>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8"/>
        <w:spacing w:after="468"/>
      </w:pPr>
      <w:bookmarkStart w:id="22" w:name="BookMark1"/>
      <w:bookmarkStart w:id="23" w:name="_Toc216189930"/>
      <w:bookmarkStart w:id="24" w:name="_Toc31703"/>
      <w:bookmarkStart w:id="25" w:name="_Toc8563"/>
      <w:bookmarkStart w:id="26" w:name="_Toc19839"/>
      <w:bookmarkStart w:id="27" w:name="_Toc9458"/>
      <w:bookmarkStart w:id="28" w:name="_Toc10869"/>
      <w:bookmarkStart w:id="29" w:name="_Toc217912650"/>
      <w:bookmarkStart w:id="30" w:name="_Toc17713"/>
      <w:bookmarkStart w:id="31" w:name="_Toc196133288"/>
      <w:bookmarkStart w:id="32" w:name="_Toc19110"/>
      <w:bookmarkStart w:id="33" w:name="_Toc216189973"/>
      <w:bookmarkStart w:id="34" w:name="_Toc17389"/>
      <w:r>
        <w:rPr>
          <w:rFonts w:hint="eastAsia"/>
          <w:spacing w:val="320"/>
        </w:rPr>
        <w:t>目</w:t>
      </w:r>
      <w:r>
        <w:rPr>
          <w:rFonts w:hint="eastAsia"/>
        </w:rPr>
        <w:t>次</w:t>
      </w:r>
    </w:p>
    <w:p>
      <w:pPr>
        <w:pStyle w:val="24"/>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"_Toc217916760" </w:instrText>
      </w:r>
      <w:r>
        <w:fldChar w:fldCharType="separate"/>
      </w:r>
      <w:r>
        <w:rPr>
          <w:rStyle w:val="36"/>
          <w:rFonts w:hint="eastAsia"/>
        </w:rPr>
        <w:t>前言</w:t>
      </w:r>
      <w:r>
        <w:tab/>
      </w:r>
      <w:r>
        <w:fldChar w:fldCharType="begin"/>
      </w:r>
      <w:r>
        <w:instrText xml:space="preserve"> PAGEREF _Toc217916760 \h </w:instrText>
      </w:r>
      <w:r>
        <w:fldChar w:fldCharType="separate"/>
      </w:r>
      <w:r>
        <w:t>II</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"_Toc217916761" </w:instrText>
      </w:r>
      <w:r>
        <w:fldChar w:fldCharType="separate"/>
      </w:r>
      <w:r>
        <w:rPr>
          <w:rStyle w:val="36"/>
        </w:rPr>
        <w:t xml:space="preserve">1 </w:t>
      </w:r>
      <w:r>
        <w:rPr>
          <w:rStyle w:val="36"/>
          <w:rFonts w:hint="eastAsia"/>
        </w:rPr>
        <w:t xml:space="preserve"> 范围</w:t>
      </w:r>
      <w:r>
        <w:tab/>
      </w:r>
      <w:r>
        <w:fldChar w:fldCharType="begin"/>
      </w:r>
      <w:r>
        <w:instrText xml:space="preserve"> PAGEREF _Toc217916761 \h </w:instrText>
      </w:r>
      <w:r>
        <w:fldChar w:fldCharType="separate"/>
      </w:r>
      <w:r>
        <w:t>1</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"_Toc217916762" </w:instrText>
      </w:r>
      <w:r>
        <w:fldChar w:fldCharType="separate"/>
      </w:r>
      <w:r>
        <w:rPr>
          <w:rStyle w:val="36"/>
        </w:rPr>
        <w:t xml:space="preserve">2 </w:t>
      </w:r>
      <w:r>
        <w:rPr>
          <w:rStyle w:val="36"/>
          <w:rFonts w:hint="eastAsia"/>
        </w:rPr>
        <w:t xml:space="preserve"> 规范性引用文件</w:t>
      </w:r>
      <w:r>
        <w:tab/>
      </w:r>
      <w:r>
        <w:fldChar w:fldCharType="begin"/>
      </w:r>
      <w:r>
        <w:instrText xml:space="preserve"> PAGEREF _Toc217916762 \h </w:instrText>
      </w:r>
      <w:r>
        <w:fldChar w:fldCharType="separate"/>
      </w:r>
      <w:r>
        <w:t>1</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"_Toc217916763" </w:instrText>
      </w:r>
      <w:r>
        <w:fldChar w:fldCharType="separate"/>
      </w:r>
      <w:r>
        <w:rPr>
          <w:rStyle w:val="36"/>
        </w:rPr>
        <w:t xml:space="preserve">3 </w:t>
      </w:r>
      <w:r>
        <w:rPr>
          <w:rStyle w:val="36"/>
          <w:rFonts w:hint="eastAsia"/>
        </w:rPr>
        <w:t xml:space="preserve"> 术语和定义</w:t>
      </w:r>
      <w:r>
        <w:tab/>
      </w:r>
      <w:r>
        <w:fldChar w:fldCharType="begin"/>
      </w:r>
      <w:r>
        <w:instrText xml:space="preserve"> PAGEREF _Toc217916763 \h </w:instrText>
      </w:r>
      <w:r>
        <w:fldChar w:fldCharType="separate"/>
      </w:r>
      <w:r>
        <w:t>1</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"_Toc217916764" </w:instrText>
      </w:r>
      <w:r>
        <w:fldChar w:fldCharType="separate"/>
      </w:r>
      <w:r>
        <w:rPr>
          <w:rStyle w:val="36"/>
        </w:rPr>
        <w:t xml:space="preserve">4 </w:t>
      </w:r>
      <w:r>
        <w:rPr>
          <w:rStyle w:val="36"/>
          <w:rFonts w:hint="eastAsia"/>
        </w:rPr>
        <w:t xml:space="preserve"> 符号和缩略语</w:t>
      </w:r>
      <w:r>
        <w:tab/>
      </w:r>
      <w:r>
        <w:fldChar w:fldCharType="begin"/>
      </w:r>
      <w:r>
        <w:instrText xml:space="preserve"> PAGEREF _Toc217916764 \h </w:instrText>
      </w:r>
      <w:r>
        <w:fldChar w:fldCharType="separate"/>
      </w:r>
      <w:r>
        <w:t>3</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"_Toc217916765" </w:instrText>
      </w:r>
      <w:r>
        <w:fldChar w:fldCharType="separate"/>
      </w:r>
      <w:r>
        <w:rPr>
          <w:rStyle w:val="36"/>
        </w:rPr>
        <w:t xml:space="preserve">5 </w:t>
      </w:r>
      <w:r>
        <w:rPr>
          <w:rStyle w:val="36"/>
          <w:rFonts w:hint="eastAsia"/>
        </w:rPr>
        <w:t xml:space="preserve"> 总体原则和对象</w:t>
      </w:r>
      <w:r>
        <w:tab/>
      </w:r>
      <w:r>
        <w:fldChar w:fldCharType="begin"/>
      </w:r>
      <w:r>
        <w:instrText xml:space="preserve"> PAGEREF _Toc217916765 \h </w:instrText>
      </w:r>
      <w:r>
        <w:fldChar w:fldCharType="separate"/>
      </w:r>
      <w:r>
        <w:t>3</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"_Toc217916766" </w:instrText>
      </w:r>
      <w:r>
        <w:fldChar w:fldCharType="separate"/>
      </w:r>
      <w:r>
        <w:rPr>
          <w:rStyle w:val="36"/>
        </w:rPr>
        <w:t xml:space="preserve">6 </w:t>
      </w:r>
      <w:r>
        <w:rPr>
          <w:rStyle w:val="36"/>
          <w:rFonts w:hint="eastAsia"/>
        </w:rPr>
        <w:t xml:space="preserve"> 数据底座框架</w:t>
      </w:r>
      <w:r>
        <w:tab/>
      </w:r>
      <w:r>
        <w:fldChar w:fldCharType="begin"/>
      </w:r>
      <w:r>
        <w:instrText xml:space="preserve"> PAGEREF _Toc217916766 \h </w:instrText>
      </w:r>
      <w:r>
        <w:fldChar w:fldCharType="separate"/>
      </w:r>
      <w:r>
        <w:t>4</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"_Toc217916767" </w:instrText>
      </w:r>
      <w:r>
        <w:fldChar w:fldCharType="separate"/>
      </w:r>
      <w:r>
        <w:rPr>
          <w:rStyle w:val="36"/>
        </w:rPr>
        <w:t xml:space="preserve">7 </w:t>
      </w:r>
      <w:r>
        <w:rPr>
          <w:rStyle w:val="36"/>
          <w:rFonts w:hint="eastAsia"/>
        </w:rPr>
        <w:t xml:space="preserve"> 融合流程</w:t>
      </w:r>
      <w:r>
        <w:tab/>
      </w:r>
      <w:r>
        <w:fldChar w:fldCharType="begin"/>
      </w:r>
      <w:r>
        <w:instrText xml:space="preserve"> PAGEREF _Toc217916767 \h </w:instrText>
      </w:r>
      <w:r>
        <w:fldChar w:fldCharType="separate"/>
      </w:r>
      <w:r>
        <w:t>5</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"_Toc217916768" </w:instrText>
      </w:r>
      <w:r>
        <w:fldChar w:fldCharType="separate"/>
      </w:r>
      <w:r>
        <w:rPr>
          <w:rStyle w:val="36"/>
        </w:rPr>
        <w:t xml:space="preserve">8 </w:t>
      </w:r>
      <w:r>
        <w:rPr>
          <w:rStyle w:val="36"/>
          <w:rFonts w:hint="eastAsia"/>
        </w:rPr>
        <w:t xml:space="preserve"> 建库要求</w:t>
      </w:r>
      <w:r>
        <w:tab/>
      </w:r>
      <w:r>
        <w:fldChar w:fldCharType="begin"/>
      </w:r>
      <w:r>
        <w:instrText xml:space="preserve"> PAGEREF _Toc217916768 \h </w:instrText>
      </w:r>
      <w:r>
        <w:fldChar w:fldCharType="separate"/>
      </w:r>
      <w:r>
        <w:t>7</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"_Toc217916769" </w:instrText>
      </w:r>
      <w:r>
        <w:fldChar w:fldCharType="separate"/>
      </w:r>
      <w:r>
        <w:rPr>
          <w:rStyle w:val="36"/>
        </w:rPr>
        <w:t xml:space="preserve">9 </w:t>
      </w:r>
      <w:r>
        <w:rPr>
          <w:rStyle w:val="36"/>
          <w:rFonts w:hint="eastAsia"/>
        </w:rPr>
        <w:t xml:space="preserve"> 数据质量</w:t>
      </w:r>
      <w:r>
        <w:tab/>
      </w:r>
      <w:r>
        <w:fldChar w:fldCharType="begin"/>
      </w:r>
      <w:r>
        <w:instrText xml:space="preserve"> PAGEREF _Toc217916769 \h </w:instrText>
      </w:r>
      <w:r>
        <w:fldChar w:fldCharType="separate"/>
      </w:r>
      <w:r>
        <w:t>8</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"_Toc217916770" </w:instrText>
      </w:r>
      <w:r>
        <w:fldChar w:fldCharType="separate"/>
      </w:r>
      <w:r>
        <w:rPr>
          <w:rStyle w:val="36"/>
        </w:rPr>
        <w:t xml:space="preserve">10 </w:t>
      </w:r>
      <w:r>
        <w:rPr>
          <w:rStyle w:val="36"/>
          <w:rFonts w:hint="eastAsia"/>
        </w:rPr>
        <w:t xml:space="preserve"> 数据安全与合规</w:t>
      </w:r>
      <w:r>
        <w:tab/>
      </w:r>
      <w:r>
        <w:fldChar w:fldCharType="begin"/>
      </w:r>
      <w:r>
        <w:instrText xml:space="preserve"> PAGEREF _Toc217916770 \h </w:instrText>
      </w:r>
      <w:r>
        <w:fldChar w:fldCharType="separate"/>
      </w:r>
      <w:r>
        <w:t>9</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"_Toc217916771" </w:instrText>
      </w:r>
      <w:r>
        <w:fldChar w:fldCharType="separate"/>
      </w:r>
      <w:r>
        <w:rPr>
          <w:rStyle w:val="36"/>
        </w:rPr>
        <w:t xml:space="preserve">11 </w:t>
      </w:r>
      <w:r>
        <w:rPr>
          <w:rStyle w:val="36"/>
          <w:rFonts w:hint="eastAsia"/>
        </w:rPr>
        <w:t xml:space="preserve"> 测试与验证</w:t>
      </w:r>
      <w:r>
        <w:tab/>
      </w:r>
      <w:r>
        <w:fldChar w:fldCharType="begin"/>
      </w:r>
      <w:r>
        <w:instrText xml:space="preserve"> PAGEREF _Toc217916771 \h </w:instrText>
      </w:r>
      <w:r>
        <w:fldChar w:fldCharType="separate"/>
      </w:r>
      <w:r>
        <w:t>10</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"_Toc217916772" </w:instrText>
      </w:r>
      <w:r>
        <w:fldChar w:fldCharType="separate"/>
      </w:r>
      <w:r>
        <w:rPr>
          <w:rStyle w:val="36"/>
          <w:rFonts w:hint="eastAsia"/>
        </w:rPr>
        <w:t>附录A（资料性）</w:t>
      </w:r>
      <w:r>
        <w:rPr>
          <w:rStyle w:val="36"/>
        </w:rPr>
        <w:t xml:space="preserve">  </w:t>
      </w:r>
      <w:r>
        <w:rPr>
          <w:rStyle w:val="36"/>
          <w:rFonts w:hint="eastAsia"/>
        </w:rPr>
        <w:t>库表归集相关数据表约束及示例</w:t>
      </w:r>
      <w:r>
        <w:tab/>
      </w:r>
      <w:r>
        <w:fldChar w:fldCharType="begin"/>
      </w:r>
      <w:r>
        <w:instrText xml:space="preserve"> PAGEREF _Toc217916772 \h </w:instrText>
      </w:r>
      <w:r>
        <w:fldChar w:fldCharType="separate"/>
      </w:r>
      <w:r>
        <w:t>13</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"_Toc217916773" </w:instrText>
      </w:r>
      <w:r>
        <w:fldChar w:fldCharType="separate"/>
      </w:r>
      <w:r>
        <w:rPr>
          <w:rStyle w:val="36"/>
          <w:rFonts w:hint="eastAsia"/>
        </w:rPr>
        <w:t>附录B（资料性）</w:t>
      </w:r>
      <w:r>
        <w:rPr>
          <w:rStyle w:val="36"/>
        </w:rPr>
        <w:t xml:space="preserve">  </w:t>
      </w:r>
      <w:r>
        <w:rPr>
          <w:rStyle w:val="36"/>
          <w:rFonts w:hint="eastAsia"/>
        </w:rPr>
        <w:t>数据编码规则一览表</w:t>
      </w:r>
      <w:r>
        <w:tab/>
      </w:r>
      <w:r>
        <w:fldChar w:fldCharType="begin"/>
      </w:r>
      <w:r>
        <w:instrText xml:space="preserve"> PAGEREF _Toc217916773 \h </w:instrText>
      </w:r>
      <w:r>
        <w:fldChar w:fldCharType="separate"/>
      </w:r>
      <w:r>
        <w:t>14</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"_Toc217916774" </w:instrText>
      </w:r>
      <w:r>
        <w:fldChar w:fldCharType="separate"/>
      </w:r>
      <w:r>
        <w:rPr>
          <w:rStyle w:val="36"/>
          <w:rFonts w:hint="eastAsia"/>
        </w:rPr>
        <w:t>附录C（资料性）</w:t>
      </w:r>
      <w:r>
        <w:rPr>
          <w:rStyle w:val="36"/>
        </w:rPr>
        <w:t xml:space="preserve">  </w:t>
      </w:r>
      <w:r>
        <w:rPr>
          <w:rStyle w:val="36"/>
          <w:rFonts w:hint="eastAsia"/>
        </w:rPr>
        <w:t>城市治理对象的主要数据内容及格式</w:t>
      </w:r>
      <w:r>
        <w:tab/>
      </w:r>
      <w:r>
        <w:fldChar w:fldCharType="begin"/>
      </w:r>
      <w:r>
        <w:instrText xml:space="preserve"> PAGEREF _Toc217916774 \h </w:instrText>
      </w:r>
      <w:r>
        <w:fldChar w:fldCharType="separate"/>
      </w:r>
      <w:r>
        <w:t>15</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"_Toc217916775" </w:instrText>
      </w:r>
      <w:r>
        <w:fldChar w:fldCharType="separate"/>
      </w:r>
      <w:r>
        <w:rPr>
          <w:rStyle w:val="36"/>
          <w:rFonts w:hint="eastAsia"/>
        </w:rPr>
        <w:t>参考文献</w:t>
      </w:r>
      <w:r>
        <w:tab/>
      </w:r>
      <w:r>
        <w:fldChar w:fldCharType="begin"/>
      </w:r>
      <w:r>
        <w:instrText xml:space="preserve"> PAGEREF _Toc217916775 \h </w:instrText>
      </w:r>
      <w:r>
        <w:fldChar w:fldCharType="separate"/>
      </w:r>
      <w:r>
        <w:t>16</w:t>
      </w:r>
      <w:r>
        <w:fldChar w:fldCharType="end"/>
      </w:r>
      <w:r>
        <w:fldChar w:fldCharType="end"/>
      </w:r>
    </w:p>
    <w:p>
      <w:pPr>
        <w:pStyle w:val="98"/>
        <w:spacing w:after="468"/>
        <w:sectPr>
          <w:headerReference r:id="rId9" w:type="default"/>
          <w:footerReference r:id="rId11" w:type="default"/>
          <w:headerReference r:id="rId10" w:type="even"/>
          <w:footerReference r:id="rId12"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22"/>
    <w:p>
      <w:pPr>
        <w:pStyle w:val="96"/>
        <w:spacing w:after="468"/>
      </w:pPr>
      <w:bookmarkStart w:id="35" w:name="_Toc217916760"/>
      <w:bookmarkStart w:id="36" w:name="BookMark2"/>
      <w:r>
        <w:rPr>
          <w:spacing w:val="320"/>
        </w:rPr>
        <w:t>前</w:t>
      </w:r>
      <w:r>
        <w:t>言</w:t>
      </w:r>
      <w:bookmarkEnd w:id="23"/>
      <w:bookmarkEnd w:id="24"/>
      <w:bookmarkEnd w:id="25"/>
      <w:bookmarkEnd w:id="26"/>
      <w:bookmarkEnd w:id="27"/>
      <w:bookmarkEnd w:id="28"/>
      <w:bookmarkEnd w:id="29"/>
      <w:bookmarkEnd w:id="30"/>
      <w:bookmarkEnd w:id="31"/>
      <w:bookmarkEnd w:id="32"/>
      <w:bookmarkEnd w:id="33"/>
      <w:bookmarkEnd w:id="34"/>
      <w:bookmarkEnd w:id="35"/>
    </w:p>
    <w:p>
      <w:pPr>
        <w:pStyle w:val="63"/>
        <w:ind w:firstLine="420"/>
      </w:pPr>
      <w:r>
        <w:rPr>
          <w:rFonts w:hint="eastAsia"/>
        </w:rPr>
        <w:t>本文件按照GB/T 1.1—2020《标准化工作导则  第1部分：标准化文件的结构和起草规则》的规定起草。</w:t>
      </w:r>
    </w:p>
    <w:p>
      <w:pPr>
        <w:pStyle w:val="63"/>
        <w:ind w:firstLine="420"/>
      </w:pPr>
      <w:r>
        <w:rPr>
          <w:rFonts w:hint="eastAsia"/>
        </w:rPr>
        <w:t>请注意本文件的某些内容可能涉及专利。本文件的发布机构不承担识别专利的职责。</w:t>
      </w:r>
    </w:p>
    <w:p>
      <w:pPr>
        <w:pStyle w:val="63"/>
        <w:ind w:firstLine="420"/>
      </w:pPr>
      <w:r>
        <w:rPr>
          <w:rFonts w:hint="eastAsia" w:asciiTheme="minorEastAsia" w:hAnsiTheme="minorEastAsia"/>
          <w:szCs w:val="21"/>
        </w:rPr>
        <w:t>湖南省数据局提出并归口</w:t>
      </w:r>
      <w:r>
        <w:rPr>
          <w:rFonts w:hint="eastAsia"/>
        </w:rPr>
        <w:t>。</w:t>
      </w:r>
    </w:p>
    <w:p>
      <w:pPr>
        <w:pStyle w:val="63"/>
        <w:ind w:firstLine="420"/>
      </w:pPr>
      <w:r>
        <w:rPr>
          <w:rFonts w:hint="eastAsia"/>
        </w:rPr>
        <w:t>本文件起草单位：</w:t>
      </w:r>
      <w:r>
        <w:rPr>
          <w:rFonts w:hint="eastAsia" w:asciiTheme="minorEastAsia" w:hAnsiTheme="minorEastAsia"/>
          <w:szCs w:val="21"/>
        </w:rPr>
        <w:t>长沙市数据局、长沙市大数据中心、湖南天湘和信息科技有限公司</w:t>
      </w:r>
    </w:p>
    <w:p>
      <w:pPr>
        <w:pStyle w:val="63"/>
        <w:ind w:firstLine="420"/>
      </w:pPr>
      <w:r>
        <w:rPr>
          <w:rFonts w:hint="eastAsia"/>
        </w:rPr>
        <w:t>本文件主要起草人：</w:t>
      </w:r>
    </w:p>
    <w:p>
      <w:pPr>
        <w:pStyle w:val="63"/>
        <w:ind w:firstLine="420"/>
      </w:pPr>
    </w:p>
    <w:p>
      <w:pPr>
        <w:pStyle w:val="63"/>
        <w:ind w:firstLine="420"/>
        <w:sectPr>
          <w:headerReference r:id="rId13" w:type="default"/>
          <w:footerReference r:id="rId15" w:type="default"/>
          <w:headerReference r:id="rId14" w:type="even"/>
          <w:footerReference r:id="rId16" w:type="even"/>
          <w:pgSz w:w="11906" w:h="16838"/>
          <w:pgMar w:top="1871" w:right="1134" w:bottom="1134" w:left="1134" w:header="1418" w:footer="1134" w:gutter="284"/>
          <w:pgNumType w:fmt="upperRoman"/>
          <w:cols w:space="425" w:num="1"/>
          <w:formProt w:val="0"/>
          <w:docGrid w:type="lines" w:linePitch="312" w:charSpace="0"/>
        </w:sectPr>
      </w:pPr>
    </w:p>
    <w:bookmarkEnd w:id="36"/>
    <w:p>
      <w:pPr>
        <w:spacing w:line="20" w:lineRule="exact"/>
        <w:jc w:val="center"/>
        <w:rPr>
          <w:rFonts w:ascii="黑体" w:hAnsi="黑体" w:eastAsia="黑体"/>
          <w:sz w:val="32"/>
          <w:szCs w:val="32"/>
        </w:rPr>
      </w:pPr>
      <w:bookmarkStart w:id="37" w:name="BookMark4"/>
    </w:p>
    <w:p>
      <w:pPr>
        <w:spacing w:line="20" w:lineRule="exact"/>
        <w:jc w:val="center"/>
        <w:rPr>
          <w:rFonts w:ascii="黑体" w:hAnsi="黑体" w:eastAsia="黑体"/>
          <w:sz w:val="32"/>
          <w:szCs w:val="32"/>
        </w:rPr>
      </w:pPr>
    </w:p>
    <w:sdt>
      <w:sdtPr>
        <w:tag w:val="NEW_STAND_NAME"/>
        <w:id w:val="595910757"/>
        <w:lock w:val="sdtLocked"/>
        <w:placeholder>
          <w:docPart w:val="EC1890E7D7244EA194FEDBCEF2252B70"/>
        </w:placeholder>
      </w:sdtPr>
      <w:sdtContent>
        <w:p>
          <w:pPr>
            <w:pStyle w:val="184"/>
            <w:spacing w:before="312" w:beforeLines="100" w:after="686" w:afterLines="220"/>
          </w:pPr>
          <w:bookmarkStart w:id="38" w:name="NEW_STAND_NAME"/>
          <w:r>
            <w:rPr>
              <w:rFonts w:hint="eastAsia"/>
            </w:rPr>
            <w:t>城市治理</w:t>
          </w:r>
          <w:r>
            <w:t xml:space="preserve"> 数据底座 数据融合与建库技术规范</w:t>
          </w:r>
        </w:p>
      </w:sdtContent>
    </w:sdt>
    <w:bookmarkEnd w:id="38"/>
    <w:p>
      <w:pPr>
        <w:pStyle w:val="111"/>
        <w:spacing w:before="312" w:after="312"/>
      </w:pPr>
      <w:bookmarkStart w:id="39" w:name="_Toc196133289"/>
      <w:bookmarkStart w:id="40" w:name="_Toc26718930"/>
      <w:bookmarkStart w:id="41" w:name="_Toc217912651"/>
      <w:bookmarkStart w:id="42" w:name="_Toc28049"/>
      <w:bookmarkStart w:id="43" w:name="_Toc217916761"/>
      <w:bookmarkStart w:id="44" w:name="_Toc2870"/>
      <w:bookmarkStart w:id="45" w:name="_Toc21628"/>
      <w:bookmarkStart w:id="46" w:name="_Toc667"/>
      <w:bookmarkStart w:id="47" w:name="_Toc26986530"/>
      <w:bookmarkStart w:id="48" w:name="_Toc17233325"/>
      <w:bookmarkStart w:id="49" w:name="_Toc216189931"/>
      <w:bookmarkStart w:id="50" w:name="_Toc2709"/>
      <w:bookmarkStart w:id="51" w:name="_Toc26986771"/>
      <w:bookmarkStart w:id="52" w:name="_Toc216189974"/>
      <w:bookmarkStart w:id="53" w:name="_Toc22080"/>
      <w:bookmarkStart w:id="54" w:name="_Toc17233333"/>
      <w:bookmarkStart w:id="55" w:name="_Toc23401"/>
      <w:bookmarkStart w:id="56" w:name="_Toc196127483"/>
      <w:bookmarkStart w:id="57" w:name="_Toc28919"/>
      <w:bookmarkStart w:id="58" w:name="_Toc24884211"/>
      <w:bookmarkStart w:id="59" w:name="_Toc24884218"/>
      <w:bookmarkStart w:id="60" w:name="_Toc26648465"/>
      <w:bookmarkStart w:id="61" w:name="_Toc196128163"/>
      <w:r>
        <w:rPr>
          <w:rFonts w:hint="eastAsia"/>
        </w:rPr>
        <w:t>范围</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ind w:firstLine="440" w:firstLineChars="200"/>
        <w:rPr>
          <w:sz w:val="22"/>
          <w:szCs w:val="22"/>
        </w:rPr>
      </w:pPr>
      <w:bookmarkStart w:id="62" w:name="_Toc24884219"/>
      <w:bookmarkStart w:id="63" w:name="_Toc17233326"/>
      <w:bookmarkStart w:id="64" w:name="_Toc24884212"/>
      <w:bookmarkStart w:id="65" w:name="_Toc26648466"/>
      <w:bookmarkStart w:id="66" w:name="_Toc17233334"/>
      <w:r>
        <w:rPr>
          <w:rFonts w:hint="eastAsia"/>
          <w:sz w:val="22"/>
          <w:szCs w:val="22"/>
        </w:rPr>
        <w:t>本文件描述了面向城市治理的数据底座数据融合与建库工作的总体原则和对象，以及数据底座框架，提出了城市治理数据底座的数据融合流程、建库要求、数据质量、数据安全与合规、测试与验证的要求。</w:t>
      </w:r>
    </w:p>
    <w:p>
      <w:pPr>
        <w:ind w:firstLine="440"/>
      </w:pPr>
      <w:r>
        <w:rPr>
          <w:rFonts w:hint="eastAsia"/>
          <w:sz w:val="22"/>
          <w:szCs w:val="22"/>
        </w:rPr>
        <w:t>本文件适用于城市治理数据底座数据融合与建库工作，其他行业和部门的数据底座建设可参考。</w:t>
      </w:r>
    </w:p>
    <w:p>
      <w:pPr>
        <w:pStyle w:val="111"/>
        <w:spacing w:before="312" w:after="312"/>
      </w:pPr>
      <w:bookmarkStart w:id="67" w:name="_Toc19425"/>
      <w:bookmarkStart w:id="68" w:name="_Toc216189975"/>
      <w:bookmarkStart w:id="69" w:name="_Toc18615"/>
      <w:bookmarkStart w:id="70" w:name="_Toc20027"/>
      <w:bookmarkStart w:id="71" w:name="_Toc216189932"/>
      <w:bookmarkStart w:id="72" w:name="_Toc26986772"/>
      <w:bookmarkStart w:id="73" w:name="_Toc31461"/>
      <w:bookmarkStart w:id="74" w:name="_Toc217912652"/>
      <w:bookmarkStart w:id="75" w:name="_Toc217916762"/>
      <w:bookmarkStart w:id="76" w:name="_Toc22614"/>
      <w:bookmarkStart w:id="77" w:name="_Toc8798"/>
      <w:bookmarkStart w:id="78" w:name="_Toc18969"/>
      <w:bookmarkStart w:id="79" w:name="_Toc196127484"/>
      <w:bookmarkStart w:id="80" w:name="_Toc196128164"/>
      <w:bookmarkStart w:id="81" w:name="_Toc26718931"/>
      <w:bookmarkStart w:id="82" w:name="_Toc21920"/>
      <w:bookmarkStart w:id="83" w:name="_Toc196133290"/>
      <w:bookmarkStart w:id="84" w:name="_Toc26986531"/>
      <w:r>
        <w:rPr>
          <w:rFonts w:hint="eastAsia"/>
        </w:rPr>
        <w:t>规范性引用文件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pStyle w:val="63"/>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63"/>
        <w:ind w:firstLine="420"/>
      </w:pPr>
      <w:r>
        <w:t>GB 22021</w:t>
      </w:r>
      <w:r>
        <w:rPr>
          <w:rFonts w:hint="eastAsia"/>
        </w:rPr>
        <w:t>—</w:t>
      </w:r>
      <w:r>
        <w:t>2008</w:t>
      </w:r>
      <w:r>
        <w:rPr>
          <w:rFonts w:hint="eastAsia"/>
        </w:rPr>
        <w:t xml:space="preserve">  </w:t>
      </w:r>
      <w:r>
        <w:t>国家大地测量基本技术规定</w:t>
      </w:r>
    </w:p>
    <w:p>
      <w:pPr>
        <w:pStyle w:val="63"/>
        <w:ind w:firstLine="420"/>
      </w:pPr>
      <w:r>
        <w:t>GB/T 35273</w:t>
      </w:r>
      <w:r>
        <w:rPr>
          <w:rFonts w:hint="eastAsia"/>
        </w:rPr>
        <w:t xml:space="preserve">  </w:t>
      </w:r>
      <w:r>
        <w:t>信息安全技术</w:t>
      </w:r>
      <w:r>
        <w:rPr>
          <w:rFonts w:hint="eastAsia"/>
        </w:rPr>
        <w:t xml:space="preserve"> </w:t>
      </w:r>
      <w:r>
        <w:t xml:space="preserve"> 个人信息安全规范</w:t>
      </w:r>
    </w:p>
    <w:p>
      <w:pPr>
        <w:pStyle w:val="63"/>
        <w:ind w:firstLine="420"/>
      </w:pPr>
      <w:r>
        <w:rPr>
          <w:rFonts w:hint="eastAsia"/>
        </w:rPr>
        <w:t>GB/T</w:t>
      </w:r>
      <w:r>
        <w:t xml:space="preserve"> 36073</w:t>
      </w:r>
      <w:r>
        <w:rPr>
          <w:rFonts w:hint="eastAsia"/>
        </w:rPr>
        <w:t xml:space="preserve">  数据管理能力成熟度评估模型</w:t>
      </w:r>
    </w:p>
    <w:p>
      <w:pPr>
        <w:pStyle w:val="63"/>
        <w:ind w:firstLine="420"/>
      </w:pPr>
      <w:r>
        <w:t>GB/T 36344</w:t>
      </w:r>
      <w:r>
        <w:rPr>
          <w:rFonts w:hint="eastAsia"/>
        </w:rPr>
        <w:t xml:space="preserve">  </w:t>
      </w:r>
      <w:r>
        <w:t>信息技术</w:t>
      </w:r>
      <w:r>
        <w:rPr>
          <w:rFonts w:hint="eastAsia"/>
        </w:rPr>
        <w:t xml:space="preserve"> </w:t>
      </w:r>
      <w:r>
        <w:t xml:space="preserve"> 数据质量评价指标</w:t>
      </w:r>
    </w:p>
    <w:p>
      <w:pPr>
        <w:pStyle w:val="111"/>
        <w:spacing w:before="312" w:after="312"/>
      </w:pPr>
      <w:bookmarkStart w:id="85" w:name="_Toc217916763"/>
      <w:bookmarkStart w:id="86" w:name="_Toc196127485"/>
      <w:bookmarkStart w:id="87" w:name="_Toc4390"/>
      <w:bookmarkStart w:id="88" w:name="_Toc217912653"/>
      <w:bookmarkStart w:id="89" w:name="_Toc1350"/>
      <w:bookmarkStart w:id="90" w:name="_Toc21954"/>
      <w:bookmarkStart w:id="91" w:name="_Toc29473"/>
      <w:bookmarkStart w:id="92" w:name="_Toc196133291"/>
      <w:bookmarkStart w:id="93" w:name="_Toc23"/>
      <w:bookmarkStart w:id="94" w:name="_Toc216189976"/>
      <w:bookmarkStart w:id="95" w:name="_Toc680"/>
      <w:bookmarkStart w:id="96" w:name="_Toc27506"/>
      <w:bookmarkStart w:id="97" w:name="_Toc216189933"/>
      <w:bookmarkStart w:id="98" w:name="_Toc16873"/>
      <w:bookmarkStart w:id="99" w:name="_Toc196128165"/>
      <w:r>
        <w:rPr>
          <w:rFonts w:hint="eastAsia"/>
          <w:szCs w:val="21"/>
        </w:rPr>
        <w:t>术语和定义</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sdt>
      <w:sdtPr>
        <w:id w:val="-1"/>
        <w:placeholder>
          <w:docPart w:val="9B5ED52756C544149018B1B5A9182A5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3"/>
            <w:ind w:firstLine="420"/>
          </w:pPr>
          <w:bookmarkStart w:id="100" w:name="_Toc26986532"/>
          <w:bookmarkEnd w:id="100"/>
          <w:r>
            <w:t>下列术语和定义适用于本文件。</w:t>
          </w:r>
        </w:p>
      </w:sdtContent>
    </w:sdt>
    <w:p>
      <w:pPr>
        <w:pStyle w:val="230"/>
        <w:ind w:left="420" w:hanging="420" w:hangingChars="200"/>
        <w:rPr>
          <w:rFonts w:ascii="黑体" w:hAnsi="黑体" w:eastAsia="黑体"/>
        </w:rPr>
      </w:pPr>
    </w:p>
    <w:p>
      <w:pPr>
        <w:pStyle w:val="230"/>
        <w:numPr>
          <w:ilvl w:val="0"/>
          <w:numId w:val="0"/>
        </w:numPr>
        <w:ind w:firstLine="420" w:firstLineChars="200"/>
        <w:rPr>
          <w:rFonts w:ascii="黑体" w:hAnsi="黑体" w:eastAsia="黑体"/>
        </w:rPr>
      </w:pPr>
      <w:r>
        <w:rPr>
          <w:rFonts w:hint="eastAsia" w:ascii="黑体" w:hAnsi="黑体" w:eastAsia="黑体"/>
        </w:rPr>
        <w:t>网格 grid</w:t>
      </w:r>
    </w:p>
    <w:p>
      <w:pPr>
        <w:pStyle w:val="63"/>
        <w:ind w:firstLine="420"/>
      </w:pPr>
      <w:r>
        <w:rPr>
          <w:rFonts w:hint="eastAsia"/>
          <w:lang w:bidi="ar"/>
        </w:rPr>
        <w:t xml:space="preserve">在城乡社区、行政村及其他特定空间区划之内划分的基层综合服务管理单元。 </w:t>
      </w:r>
    </w:p>
    <w:p>
      <w:pPr>
        <w:pStyle w:val="63"/>
        <w:ind w:firstLine="420"/>
        <w:rPr>
          <w:lang w:bidi="ar"/>
        </w:rPr>
      </w:pPr>
      <w:r>
        <w:rPr>
          <w:rFonts w:hint="eastAsia"/>
          <w:lang w:bidi="ar"/>
        </w:rPr>
        <w:t>[来源：GB/T 34300—2017，3.5]</w:t>
      </w:r>
    </w:p>
    <w:p>
      <w:pPr>
        <w:pStyle w:val="230"/>
        <w:ind w:left="420" w:hanging="420" w:hangingChars="200"/>
        <w:rPr>
          <w:rFonts w:ascii="黑体" w:hAnsi="黑体" w:eastAsia="黑体"/>
        </w:rPr>
      </w:pPr>
    </w:p>
    <w:p>
      <w:pPr>
        <w:pStyle w:val="230"/>
        <w:numPr>
          <w:ilvl w:val="0"/>
          <w:numId w:val="0"/>
        </w:numPr>
        <w:ind w:firstLine="420" w:firstLineChars="200"/>
        <w:rPr>
          <w:rFonts w:ascii="黑体" w:hAnsi="黑体" w:eastAsia="黑体"/>
        </w:rPr>
      </w:pPr>
      <w:r>
        <w:rPr>
          <w:rFonts w:hint="eastAsia" w:ascii="黑体" w:hAnsi="黑体" w:eastAsia="黑体"/>
        </w:rPr>
        <w:t>空间网格 spatial grid</w:t>
      </w:r>
    </w:p>
    <w:p>
      <w:pPr>
        <w:pStyle w:val="63"/>
        <w:ind w:firstLine="420" w:firstLineChars="0"/>
        <w:rPr>
          <w:rFonts w:ascii="黑体" w:hAnsi="黑体" w:eastAsia="黑体"/>
        </w:rPr>
      </w:pPr>
      <w:r>
        <w:rPr>
          <w:rFonts w:hint="eastAsia" w:ascii="Arial" w:hAnsi="Arial" w:cs="Arial"/>
          <w:szCs w:val="21"/>
          <w:shd w:val="clear" w:color="auto" w:fill="FFFFFF"/>
        </w:rPr>
        <w:t>是指具有独立管理功能，有明确边界的，连续闭合空间区域，一般由一组明确的空间界线框定范围。常用的空间网格包括：行政区划界线、综治网格单元界线、小区院落界线、房屋建筑界线等。</w:t>
      </w:r>
    </w:p>
    <w:p>
      <w:pPr>
        <w:pStyle w:val="230"/>
        <w:ind w:left="420" w:hanging="420" w:hangingChars="200"/>
        <w:rPr>
          <w:rFonts w:ascii="黑体" w:hAnsi="黑体" w:eastAsia="黑体"/>
        </w:rPr>
      </w:pPr>
    </w:p>
    <w:p>
      <w:pPr>
        <w:pStyle w:val="230"/>
        <w:numPr>
          <w:ilvl w:val="0"/>
          <w:numId w:val="0"/>
        </w:numPr>
        <w:ind w:firstLine="420" w:firstLineChars="200"/>
        <w:rPr>
          <w:rFonts w:ascii="黑体" w:hAnsi="黑体" w:eastAsia="黑体"/>
        </w:rPr>
      </w:pPr>
      <w:r>
        <w:rPr>
          <w:rFonts w:hint="eastAsia" w:ascii="黑体" w:hAnsi="黑体" w:eastAsia="黑体"/>
        </w:rPr>
        <w:t>数据底座 data foundation</w:t>
      </w:r>
    </w:p>
    <w:p>
      <w:pPr>
        <w:pStyle w:val="63"/>
        <w:ind w:firstLine="420"/>
        <w:rPr>
          <w:rFonts w:ascii="Arial" w:hAnsi="Arial" w:cs="Arial"/>
          <w:color w:val="FF0000"/>
          <w:szCs w:val="21"/>
          <w:shd w:val="clear" w:color="auto" w:fill="FFFFFF"/>
        </w:rPr>
      </w:pPr>
      <w:r>
        <w:rPr>
          <w:rFonts w:hint="eastAsia"/>
        </w:rPr>
        <w:t>是一套基于统一时空框架，把空间网格作为数据载体，将城市治理对象信息作为所在空间网格的属性，支持多源数据汇聚、融合治理、存储管理、共享服务的一体化数据平台。旨在围绕城市治理对象，</w:t>
      </w:r>
      <w:r>
        <w:rPr>
          <w:rFonts w:hint="eastAsia" w:hAnsi="宋体" w:cs="宋体"/>
          <w:szCs w:val="21"/>
          <w:shd w:val="clear" w:color="auto" w:fill="FFFFFF"/>
        </w:rPr>
        <w:t>整合城市治理数据资源，打破数据孤岛，为城市治理中各应用场景提供数据服务，为城市全域数字化转型提供数据支撑</w:t>
      </w:r>
      <w:r>
        <w:rPr>
          <w:rFonts w:hint="eastAsia" w:ascii="Arial" w:hAnsi="Arial" w:cs="Arial"/>
          <w:szCs w:val="21"/>
          <w:shd w:val="clear" w:color="auto" w:fill="FFFFFF"/>
        </w:rPr>
        <w:t>。</w:t>
      </w:r>
    </w:p>
    <w:p>
      <w:pPr>
        <w:pStyle w:val="230"/>
        <w:ind w:left="420" w:hanging="420" w:hangingChars="200"/>
        <w:rPr>
          <w:rFonts w:ascii="黑体" w:hAnsi="黑体" w:eastAsia="黑体"/>
        </w:rPr>
      </w:pPr>
    </w:p>
    <w:p>
      <w:pPr>
        <w:pStyle w:val="63"/>
        <w:ind w:firstLine="420"/>
        <w:rPr>
          <w:rFonts w:ascii="黑体" w:hAnsi="黑体" w:eastAsia="黑体"/>
          <w:color w:val="000000"/>
        </w:rPr>
      </w:pPr>
      <w:r>
        <w:rPr>
          <w:rFonts w:hint="eastAsia" w:ascii="黑体" w:hAnsi="黑体" w:eastAsia="黑体"/>
          <w:color w:val="000000"/>
        </w:rPr>
        <w:t>数据归集  data aggregation</w:t>
      </w:r>
    </w:p>
    <w:p>
      <w:pPr>
        <w:pStyle w:val="236"/>
        <w:rPr>
          <w:color w:val="000000"/>
        </w:rPr>
      </w:pPr>
      <w:r>
        <w:rPr>
          <w:rFonts w:hint="eastAsia"/>
          <w:color w:val="000000"/>
        </w:rPr>
        <w:t>通过技术的手段实现数据的获取、传输、存储。</w:t>
      </w:r>
    </w:p>
    <w:p>
      <w:pPr>
        <w:pStyle w:val="230"/>
        <w:ind w:left="420" w:hanging="420" w:hangingChars="200"/>
        <w:rPr>
          <w:rFonts w:ascii="黑体" w:hAnsi="黑体" w:eastAsia="黑体"/>
        </w:rPr>
      </w:pPr>
    </w:p>
    <w:p>
      <w:pPr>
        <w:pStyle w:val="63"/>
        <w:ind w:firstLine="420"/>
        <w:rPr>
          <w:rFonts w:ascii="黑体" w:hAnsi="黑体" w:eastAsia="黑体"/>
          <w:color w:val="000000"/>
        </w:rPr>
      </w:pPr>
      <w:r>
        <w:rPr>
          <w:rFonts w:hint="eastAsia" w:ascii="黑体" w:hAnsi="黑体" w:eastAsia="黑体"/>
          <w:color w:val="000000"/>
        </w:rPr>
        <w:t>数据清洗  data cleansing</w:t>
      </w:r>
    </w:p>
    <w:p>
      <w:pPr>
        <w:pStyle w:val="63"/>
        <w:ind w:firstLine="420"/>
      </w:pPr>
      <w:r>
        <w:rPr>
          <w:rFonts w:hint="eastAsia"/>
        </w:rPr>
        <w:t>对收集到的数据进行清洗和转换以确保一致性和准确性，包括去除重复项、格式化数据、填补缺失数据和纠正错误数据等。</w:t>
      </w:r>
    </w:p>
    <w:p>
      <w:pPr>
        <w:pStyle w:val="230"/>
        <w:ind w:left="420" w:hanging="420" w:hangingChars="200"/>
        <w:rPr>
          <w:rFonts w:ascii="黑体" w:hAnsi="黑体" w:eastAsia="黑体"/>
        </w:rPr>
      </w:pPr>
    </w:p>
    <w:p>
      <w:pPr>
        <w:pStyle w:val="63"/>
        <w:ind w:firstLine="420"/>
        <w:rPr>
          <w:rFonts w:ascii="黑体" w:hAnsi="黑体" w:eastAsia="黑体"/>
          <w:color w:val="000000"/>
        </w:rPr>
      </w:pPr>
      <w:r>
        <w:rPr>
          <w:rFonts w:hint="eastAsia" w:ascii="黑体" w:hAnsi="黑体" w:eastAsia="黑体"/>
          <w:color w:val="000000"/>
        </w:rPr>
        <w:t>数据拼接 data concatenation</w:t>
      </w:r>
    </w:p>
    <w:p>
      <w:pPr>
        <w:pStyle w:val="236"/>
        <w:rPr>
          <w:color w:val="000000"/>
        </w:rPr>
      </w:pPr>
      <w:r>
        <w:rPr>
          <w:rFonts w:hint="eastAsia"/>
          <w:color w:val="000000"/>
        </w:rPr>
        <w:t>是指将两个或多个数据集（如表格、文件等）按照一定的规则合并成一个数据集的过程。这个过程可以是简单的行拼接，也可以涉及更复杂的列操作。</w:t>
      </w:r>
    </w:p>
    <w:p>
      <w:pPr>
        <w:pStyle w:val="230"/>
        <w:ind w:left="420" w:hanging="420" w:hangingChars="200"/>
        <w:rPr>
          <w:rFonts w:ascii="黑体" w:hAnsi="黑体" w:eastAsia="黑体"/>
        </w:rPr>
      </w:pPr>
    </w:p>
    <w:p>
      <w:pPr>
        <w:pStyle w:val="63"/>
        <w:ind w:firstLine="420"/>
        <w:rPr>
          <w:rFonts w:ascii="黑体" w:hAnsi="黑体" w:eastAsia="黑体"/>
        </w:rPr>
      </w:pPr>
      <w:r>
        <w:rPr>
          <w:rFonts w:hint="eastAsia" w:ascii="黑体" w:hAnsi="黑体" w:eastAsia="黑体"/>
        </w:rPr>
        <w:t>数据融合 data fusion</w:t>
      </w:r>
    </w:p>
    <w:p>
      <w:pPr>
        <w:pStyle w:val="63"/>
        <w:ind w:firstLine="420"/>
      </w:pPr>
      <w:r>
        <w:rPr>
          <w:rFonts w:hint="eastAsia"/>
        </w:rPr>
        <w:t>集成多个数据源以产生比任何单个数据源更有价值信息的过程。</w:t>
      </w:r>
    </w:p>
    <w:p>
      <w:pPr>
        <w:pStyle w:val="63"/>
        <w:tabs>
          <w:tab w:val="left" w:pos="3149"/>
        </w:tabs>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[来源：GB/T </w:t>
      </w:r>
      <w:r>
        <w:rPr>
          <w:rFonts w:hint="eastAsia"/>
          <w:color w:val="000000" w:themeColor="text1"/>
          <w14:textFill>
            <w14:solidFill>
              <w14:schemeClr w14:val="tx1"/>
            </w14:solidFill>
          </w14:textFill>
        </w:rPr>
        <w:t>36625.1—2018，3.1</w:t>
      </w:r>
      <w:r>
        <w:rPr>
          <w:color w:val="000000" w:themeColor="text1"/>
          <w14:textFill>
            <w14:solidFill>
              <w14:schemeClr w14:val="tx1"/>
            </w14:solidFill>
          </w14:textFill>
        </w:rPr>
        <w:t>]</w:t>
      </w:r>
    </w:p>
    <w:p>
      <w:pPr>
        <w:pStyle w:val="230"/>
        <w:ind w:left="420" w:hanging="420" w:hangingChars="200"/>
        <w:rPr>
          <w:rFonts w:ascii="黑体" w:hAnsi="黑体" w:eastAsia="黑体"/>
        </w:rPr>
      </w:pPr>
    </w:p>
    <w:p>
      <w:pPr>
        <w:pStyle w:val="63"/>
        <w:ind w:firstLine="420"/>
        <w:rPr>
          <w:rFonts w:ascii="黑体" w:hAnsi="黑体" w:eastAsia="黑体"/>
        </w:rPr>
      </w:pPr>
      <w:r>
        <w:rPr>
          <w:rFonts w:hint="eastAsia" w:ascii="黑体" w:hAnsi="黑体" w:eastAsia="黑体"/>
        </w:rPr>
        <w:t>数据脱敏 data masking</w:t>
      </w:r>
    </w:p>
    <w:p>
      <w:pPr>
        <w:pStyle w:val="63"/>
        <w:ind w:firstLine="420"/>
      </w:pPr>
      <w:r>
        <w:rPr>
          <w:rFonts w:hint="eastAsia"/>
        </w:rPr>
        <w:t>指对某些敏感信息通过脱敏规则进行数据变形，以实现敏感隐私数据的可靠保护。</w:t>
      </w:r>
    </w:p>
    <w:p>
      <w:pPr>
        <w:pStyle w:val="230"/>
        <w:ind w:left="420" w:hanging="420" w:hangingChars="200"/>
        <w:rPr>
          <w:rFonts w:ascii="黑体" w:hAnsi="黑体" w:eastAsia="黑体"/>
        </w:rPr>
      </w:pPr>
    </w:p>
    <w:p>
      <w:pPr>
        <w:pStyle w:val="63"/>
        <w:ind w:firstLine="420"/>
        <w:rPr>
          <w:rFonts w:ascii="黑体" w:hAnsi="黑体" w:eastAsia="黑体"/>
        </w:rPr>
      </w:pPr>
      <w:r>
        <w:rPr>
          <w:rFonts w:hint="eastAsia" w:ascii="黑体" w:hAnsi="黑体" w:eastAsia="黑体"/>
        </w:rPr>
        <w:t>元数据 meta data</w:t>
      </w:r>
    </w:p>
    <w:p>
      <w:pPr>
        <w:pStyle w:val="63"/>
        <w:ind w:firstLine="420"/>
      </w:pPr>
      <w:r>
        <w:rPr>
          <w:rFonts w:hint="eastAsia"/>
        </w:rPr>
        <w:t>描述数据的数据。</w:t>
      </w:r>
    </w:p>
    <w:p>
      <w:pPr>
        <w:pStyle w:val="63"/>
        <w:tabs>
          <w:tab w:val="left" w:pos="3149"/>
        </w:tabs>
        <w:ind w:firstLine="420"/>
      </w:pPr>
      <w:r>
        <w:rPr>
          <w:color w:val="000000" w:themeColor="text1"/>
          <w14:textFill>
            <w14:solidFill>
              <w14:schemeClr w14:val="tx1"/>
            </w14:solidFill>
          </w14:textFill>
        </w:rPr>
        <w:t xml:space="preserve">[来源：GB/T </w:t>
      </w:r>
      <w:r>
        <w:rPr>
          <w:rFonts w:hint="eastAsia"/>
          <w:color w:val="000000" w:themeColor="text1"/>
          <w14:textFill>
            <w14:solidFill>
              <w14:schemeClr w14:val="tx1"/>
            </w14:solidFill>
          </w14:textFill>
        </w:rPr>
        <w:t>18391.1—2009，3.2.16，有修改</w:t>
      </w:r>
      <w:r>
        <w:rPr>
          <w:color w:val="000000" w:themeColor="text1"/>
          <w14:textFill>
            <w14:solidFill>
              <w14:schemeClr w14:val="tx1"/>
            </w14:solidFill>
          </w14:textFill>
        </w:rPr>
        <w:t>]</w:t>
      </w:r>
    </w:p>
    <w:p>
      <w:pPr>
        <w:pStyle w:val="230"/>
        <w:ind w:left="420" w:hanging="420" w:hangingChars="200"/>
        <w:rPr>
          <w:rFonts w:ascii="黑体" w:hAnsi="黑体" w:eastAsia="黑体"/>
        </w:rPr>
      </w:pPr>
    </w:p>
    <w:p>
      <w:pPr>
        <w:pStyle w:val="63"/>
        <w:ind w:firstLine="420"/>
        <w:rPr>
          <w:rFonts w:ascii="黑体" w:hAnsi="黑体" w:eastAsia="黑体"/>
        </w:rPr>
      </w:pPr>
      <w:r>
        <w:rPr>
          <w:rFonts w:hint="eastAsia" w:ascii="黑体" w:hAnsi="黑体" w:eastAsia="黑体"/>
        </w:rPr>
        <w:t>数据源 data source</w:t>
      </w:r>
    </w:p>
    <w:p>
      <w:pPr>
        <w:pStyle w:val="63"/>
        <w:ind w:firstLine="420"/>
      </w:pPr>
      <w:r>
        <w:rPr>
          <w:rFonts w:ascii="Arial" w:hAnsi="Arial" w:eastAsia="Arial" w:cs="Arial"/>
          <w:color w:val="333333"/>
          <w:szCs w:val="21"/>
          <w:shd w:val="clear" w:color="auto" w:fill="FFFFFF"/>
        </w:rPr>
        <w:t>指产生原始信息的各种实体或系统</w:t>
      </w:r>
      <w:r>
        <w:rPr>
          <w:rFonts w:hint="eastAsia"/>
        </w:rPr>
        <w:t>。</w:t>
      </w:r>
    </w:p>
    <w:p>
      <w:pPr>
        <w:pStyle w:val="230"/>
        <w:ind w:left="420" w:hanging="420" w:hangingChars="200"/>
        <w:rPr>
          <w:rFonts w:ascii="黑体" w:hAnsi="黑体" w:eastAsia="黑体"/>
        </w:rPr>
      </w:pPr>
    </w:p>
    <w:p>
      <w:pPr>
        <w:pStyle w:val="63"/>
        <w:ind w:firstLine="420"/>
        <w:rPr>
          <w:rFonts w:ascii="黑体" w:hAnsi="黑体" w:eastAsia="黑体"/>
        </w:rPr>
      </w:pPr>
      <w:r>
        <w:rPr>
          <w:rFonts w:hint="eastAsia" w:ascii="黑体" w:hAnsi="黑体" w:eastAsia="黑体"/>
        </w:rPr>
        <w:t>原始数据 raw data</w:t>
      </w:r>
    </w:p>
    <w:p>
      <w:pPr>
        <w:pStyle w:val="63"/>
        <w:tabs>
          <w:tab w:val="left" w:pos="3149"/>
        </w:tabs>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终端用户所存储使用的各种未经过处理或简化的数据。</w:t>
      </w:r>
    </w:p>
    <w:p>
      <w:pPr>
        <w:pStyle w:val="63"/>
        <w:tabs>
          <w:tab w:val="left" w:pos="3149"/>
        </w:tabs>
        <w:ind w:firstLine="420"/>
      </w:pPr>
      <w:r>
        <w:rPr>
          <w:color w:val="000000" w:themeColor="text1"/>
          <w14:textFill>
            <w14:solidFill>
              <w14:schemeClr w14:val="tx1"/>
            </w14:solidFill>
          </w14:textFill>
        </w:rPr>
        <w:t xml:space="preserve">[来源：GB/T </w:t>
      </w:r>
      <w:r>
        <w:rPr>
          <w:rFonts w:hint="eastAsia"/>
          <w:color w:val="000000" w:themeColor="text1"/>
          <w14:textFill>
            <w14:solidFill>
              <w14:schemeClr w14:val="tx1"/>
            </w14:solidFill>
          </w14:textFill>
        </w:rPr>
        <w:t>36344—2018， 2.4，有修改</w:t>
      </w:r>
      <w:r>
        <w:rPr>
          <w:color w:val="000000" w:themeColor="text1"/>
          <w14:textFill>
            <w14:solidFill>
              <w14:schemeClr w14:val="tx1"/>
            </w14:solidFill>
          </w14:textFill>
        </w:rPr>
        <w:t>]</w:t>
      </w:r>
    </w:p>
    <w:p>
      <w:pPr>
        <w:pStyle w:val="230"/>
        <w:ind w:left="420" w:hanging="420" w:hangingChars="200"/>
        <w:rPr>
          <w:rFonts w:ascii="黑体" w:hAnsi="黑体" w:eastAsia="黑体"/>
        </w:rPr>
      </w:pPr>
    </w:p>
    <w:p>
      <w:pPr>
        <w:pStyle w:val="63"/>
        <w:ind w:firstLine="420"/>
        <w:rPr>
          <w:rFonts w:ascii="黑体" w:hAnsi="黑体" w:eastAsia="黑体"/>
        </w:rPr>
      </w:pPr>
      <w:r>
        <w:rPr>
          <w:rFonts w:hint="eastAsia" w:ascii="黑体" w:hAnsi="黑体" w:eastAsia="黑体"/>
        </w:rPr>
        <w:t>数据落图 data landing map</w:t>
      </w:r>
    </w:p>
    <w:p>
      <w:pPr>
        <w:pStyle w:val="63"/>
        <w:ind w:firstLine="420"/>
      </w:pPr>
      <w:r>
        <w:rPr>
          <w:rFonts w:hint="eastAsia"/>
        </w:rPr>
        <w:t>是指数据对象获得其坐标信息，并根据其坐标信息在地图上展示的过程。</w:t>
      </w:r>
    </w:p>
    <w:p>
      <w:pPr>
        <w:pStyle w:val="230"/>
        <w:ind w:left="420" w:hanging="420" w:hangingChars="200"/>
        <w:rPr>
          <w:rFonts w:ascii="黑体" w:hAnsi="黑体" w:eastAsia="黑体"/>
        </w:rPr>
      </w:pPr>
    </w:p>
    <w:p>
      <w:pPr>
        <w:pStyle w:val="63"/>
        <w:ind w:firstLine="420"/>
        <w:rPr>
          <w:rFonts w:ascii="黑体" w:hAnsi="黑体" w:eastAsia="黑体"/>
        </w:rPr>
      </w:pPr>
      <w:r>
        <w:rPr>
          <w:rFonts w:hint="eastAsia" w:ascii="黑体" w:hAnsi="黑体" w:eastAsia="黑体"/>
        </w:rPr>
        <w:t>数据存储  data storage</w:t>
      </w:r>
    </w:p>
    <w:p>
      <w:pPr>
        <w:pStyle w:val="63"/>
        <w:ind w:firstLine="380"/>
        <w:rPr>
          <w:shd w:val="clear" w:color="auto" w:fill="FFFFFF"/>
        </w:rPr>
      </w:pPr>
      <w:r>
        <w:rPr>
          <w:rStyle w:val="35"/>
          <w:rFonts w:ascii="Arial" w:hAnsi="Arial" w:cs="Arial"/>
          <w:i w:val="0"/>
          <w:iCs w:val="0"/>
          <w:sz w:val="19"/>
          <w:szCs w:val="19"/>
          <w:shd w:val="clear" w:color="auto" w:fill="FFFFFF"/>
        </w:rPr>
        <w:t>是指将数据保存到某种介质上以便日后使用的过程</w:t>
      </w:r>
      <w:r>
        <w:rPr>
          <w:shd w:val="clear" w:color="auto" w:fill="FFFFFF"/>
        </w:rPr>
        <w:t>。</w:t>
      </w:r>
    </w:p>
    <w:p>
      <w:pPr>
        <w:pStyle w:val="230"/>
        <w:ind w:left="420" w:hanging="420" w:hangingChars="200"/>
        <w:rPr>
          <w:rFonts w:ascii="黑体" w:hAnsi="黑体" w:eastAsia="黑体"/>
        </w:rPr>
      </w:pPr>
    </w:p>
    <w:p>
      <w:pPr>
        <w:pStyle w:val="63"/>
        <w:ind w:firstLine="420"/>
        <w:rPr>
          <w:rFonts w:ascii="黑体" w:hAnsi="黑体" w:eastAsia="黑体"/>
        </w:rPr>
      </w:pPr>
      <w:r>
        <w:rPr>
          <w:rFonts w:hint="eastAsia" w:ascii="黑体" w:hAnsi="黑体" w:eastAsia="黑体"/>
        </w:rPr>
        <w:t>数据质量 data quality</w:t>
      </w:r>
    </w:p>
    <w:p>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在指定条件下使用时，数据的特性满足明确的和隐含的要求的程度。</w:t>
      </w:r>
    </w:p>
    <w:p>
      <w:pPr>
        <w:pStyle w:val="63"/>
        <w:tabs>
          <w:tab w:val="left" w:pos="3149"/>
        </w:tabs>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[来源：GB/T </w:t>
      </w:r>
      <w:r>
        <w:rPr>
          <w:rFonts w:hint="eastAsia"/>
          <w:color w:val="000000" w:themeColor="text1"/>
          <w14:textFill>
            <w14:solidFill>
              <w14:schemeClr w14:val="tx1"/>
            </w14:solidFill>
          </w14:textFill>
        </w:rPr>
        <w:t>36625.1—2018， 3.1</w:t>
      </w:r>
      <w:r>
        <w:rPr>
          <w:color w:val="000000" w:themeColor="text1"/>
          <w14:textFill>
            <w14:solidFill>
              <w14:schemeClr w14:val="tx1"/>
            </w14:solidFill>
          </w14:textFill>
        </w:rPr>
        <w:t>]</w:t>
      </w:r>
    </w:p>
    <w:p>
      <w:pPr>
        <w:pStyle w:val="111"/>
        <w:spacing w:before="312" w:after="312"/>
      </w:pPr>
      <w:bookmarkStart w:id="101" w:name="_Toc217916764"/>
      <w:r>
        <w:rPr>
          <w:rFonts w:hint="eastAsia"/>
        </w:rPr>
        <w:t>符号和缩略语</w:t>
      </w:r>
      <w:bookmarkEnd w:id="101"/>
    </w:p>
    <w:p>
      <w:pPr>
        <w:pStyle w:val="63"/>
        <w:ind w:firstLine="420"/>
      </w:pPr>
      <w:r>
        <w:t>下列缩略语适用于本文件。</w:t>
      </w:r>
    </w:p>
    <w:p>
      <w:pPr>
        <w:pStyle w:val="63"/>
        <w:ind w:firstLine="420"/>
      </w:pPr>
      <w:r>
        <w:rPr>
          <w:rFonts w:hint="eastAsia"/>
        </w:rPr>
        <w:t>ACK：确认字符（</w:t>
      </w:r>
      <w:r>
        <w:t>Acknowledge character</w:t>
      </w:r>
      <w:r>
        <w:rPr>
          <w:rFonts w:hint="eastAsia"/>
        </w:rPr>
        <w:t>）</w:t>
      </w:r>
    </w:p>
    <w:p>
      <w:pPr>
        <w:pStyle w:val="63"/>
        <w:ind w:firstLine="420"/>
      </w:pPr>
      <w:r>
        <w:t>API：</w:t>
      </w:r>
      <w:r>
        <w:rPr>
          <w:rFonts w:hint="eastAsia"/>
        </w:rPr>
        <w:t>应用程序编程接口（</w:t>
      </w:r>
      <w:r>
        <w:rPr>
          <w:rFonts w:hAnsi="宋体" w:cs="Arial"/>
          <w:color w:val="333333"/>
          <w:sz w:val="20"/>
          <w:shd w:val="clear" w:color="auto" w:fill="FFFFFF"/>
        </w:rPr>
        <w:t>Application Programming Interface</w:t>
      </w:r>
      <w:r>
        <w:rPr>
          <w:rFonts w:hint="eastAsia"/>
        </w:rPr>
        <w:t>）</w:t>
      </w:r>
    </w:p>
    <w:p>
      <w:pPr>
        <w:pStyle w:val="63"/>
        <w:ind w:firstLine="420"/>
      </w:pPr>
      <w:r>
        <w:rPr>
          <w:rFonts w:hint="eastAsia"/>
        </w:rPr>
        <w:t>BI：商业智能（</w:t>
      </w:r>
      <w:r>
        <w:t>Business Intelligence</w:t>
      </w:r>
      <w:r>
        <w:rPr>
          <w:rFonts w:hint="eastAsia"/>
        </w:rPr>
        <w:t>）</w:t>
      </w:r>
    </w:p>
    <w:p>
      <w:pPr>
        <w:pStyle w:val="63"/>
        <w:ind w:firstLine="420"/>
      </w:pPr>
      <w:r>
        <w:rPr>
          <w:rFonts w:hint="eastAsia"/>
        </w:rPr>
        <w:t>CSV：字符分隔值(Character-Separated Values)</w:t>
      </w:r>
    </w:p>
    <w:p>
      <w:pPr>
        <w:pStyle w:val="63"/>
        <w:ind w:firstLine="420"/>
      </w:pPr>
      <w:r>
        <w:rPr>
          <w:rFonts w:hint="eastAsia"/>
        </w:rPr>
        <w:t>ETL：抽取、转换、加载（Extract Transform Load）</w:t>
      </w:r>
    </w:p>
    <w:p>
      <w:pPr>
        <w:pStyle w:val="63"/>
        <w:ind w:firstLine="420"/>
      </w:pPr>
      <w:r>
        <w:t>HTTP：</w:t>
      </w:r>
      <w:r>
        <w:rPr>
          <w:rFonts w:hint="eastAsia"/>
        </w:rPr>
        <w:t>超文本传输协议（Hypertext Transfer Protocol）</w:t>
      </w:r>
    </w:p>
    <w:p>
      <w:pPr>
        <w:pStyle w:val="63"/>
        <w:ind w:firstLine="420"/>
      </w:pPr>
      <w:r>
        <w:t>HTTPS：</w:t>
      </w:r>
      <w:r>
        <w:rPr>
          <w:rFonts w:hint="eastAsia"/>
        </w:rPr>
        <w:t>超文本传输安全协议（Hypertext Transfer Protocol Secure ）</w:t>
      </w:r>
    </w:p>
    <w:p>
      <w:pPr>
        <w:pStyle w:val="63"/>
        <w:ind w:firstLine="420"/>
      </w:pPr>
      <w:r>
        <w:t>ID：</w:t>
      </w:r>
      <w:r>
        <w:rPr>
          <w:rFonts w:hint="eastAsia"/>
        </w:rPr>
        <w:t>唯一识别码（</w:t>
      </w:r>
      <w:r>
        <w:t xml:space="preserve">Identity </w:t>
      </w:r>
      <w:r>
        <w:rPr>
          <w:rFonts w:hint="eastAsia"/>
        </w:rPr>
        <w:t>D</w:t>
      </w:r>
      <w:r>
        <w:t>ocument）</w:t>
      </w:r>
    </w:p>
    <w:p>
      <w:pPr>
        <w:pStyle w:val="63"/>
        <w:ind w:firstLine="420"/>
      </w:pPr>
      <w:r>
        <w:rPr>
          <w:rFonts w:hint="eastAsia"/>
        </w:rPr>
        <w:t>JSON：</w:t>
      </w:r>
      <w:r>
        <w:t>JavaScript对象表示法</w:t>
      </w:r>
      <w:r>
        <w:rPr>
          <w:rFonts w:hint="eastAsia"/>
        </w:rPr>
        <w:t>（</w:t>
      </w:r>
      <w:r>
        <w:t>JavaScript Object Notation</w:t>
      </w:r>
      <w:r>
        <w:rPr>
          <w:rFonts w:hint="eastAsia"/>
        </w:rPr>
        <w:t>）</w:t>
      </w:r>
    </w:p>
    <w:p>
      <w:pPr>
        <w:pStyle w:val="63"/>
        <w:ind w:firstLine="420"/>
      </w:pPr>
      <w:r>
        <w:rPr>
          <w:rFonts w:hint="eastAsia"/>
        </w:rPr>
        <w:t>TLS：传输层安全性协议（Transport Layer Security）</w:t>
      </w:r>
    </w:p>
    <w:p>
      <w:pPr>
        <w:pStyle w:val="63"/>
        <w:ind w:firstLine="420"/>
      </w:pPr>
      <w:r>
        <w:t>UTF</w:t>
      </w:r>
      <w:r>
        <w:rPr>
          <w:rFonts w:hint="eastAsia"/>
        </w:rPr>
        <w:t>-8</w:t>
      </w:r>
      <w:r>
        <w:rPr>
          <w:rFonts w:hint="eastAsia" w:hAnsi="宋体" w:cs="宋体"/>
        </w:rPr>
        <w:t>：</w:t>
      </w:r>
      <w:r>
        <w:rPr>
          <w:rFonts w:hint="eastAsia"/>
        </w:rPr>
        <w:t>8位通用字符集（Universal Character Set）</w:t>
      </w:r>
    </w:p>
    <w:p>
      <w:pPr>
        <w:pStyle w:val="63"/>
        <w:ind w:firstLine="420"/>
      </w:pPr>
      <w:r>
        <w:rPr>
          <w:rFonts w:hint="eastAsia"/>
        </w:rPr>
        <w:t>XML：可扩展语言（Extensible Markup Language）</w:t>
      </w:r>
    </w:p>
    <w:p>
      <w:pPr>
        <w:pStyle w:val="111"/>
        <w:spacing w:before="312" w:after="312"/>
      </w:pPr>
      <w:bookmarkStart w:id="102" w:name="_Toc17697"/>
      <w:bookmarkStart w:id="103" w:name="_Toc21336"/>
      <w:bookmarkStart w:id="104" w:name="_Toc196133292"/>
      <w:bookmarkStart w:id="105" w:name="_Toc196128166"/>
      <w:bookmarkStart w:id="106" w:name="_Toc180"/>
      <w:bookmarkStart w:id="107" w:name="_Toc27465"/>
      <w:bookmarkStart w:id="108" w:name="_Toc25762"/>
      <w:bookmarkStart w:id="109" w:name="_Toc15916"/>
      <w:bookmarkStart w:id="110" w:name="_Toc23172"/>
      <w:bookmarkStart w:id="111" w:name="_Toc2347"/>
      <w:bookmarkStart w:id="112" w:name="_Toc196127486"/>
      <w:bookmarkStart w:id="113" w:name="_Toc217916765"/>
      <w:bookmarkStart w:id="114" w:name="_Toc216189934"/>
      <w:bookmarkStart w:id="115" w:name="_Toc217912654"/>
      <w:bookmarkStart w:id="116" w:name="_Toc216189977"/>
      <w:r>
        <w:rPr>
          <w:rFonts w:hint="eastAsia"/>
        </w:rPr>
        <w:t>总体原则和</w:t>
      </w:r>
      <w:bookmarkEnd w:id="102"/>
      <w:bookmarkEnd w:id="103"/>
      <w:bookmarkEnd w:id="104"/>
      <w:bookmarkEnd w:id="105"/>
      <w:bookmarkEnd w:id="106"/>
      <w:bookmarkEnd w:id="107"/>
      <w:bookmarkEnd w:id="108"/>
      <w:bookmarkEnd w:id="109"/>
      <w:bookmarkEnd w:id="110"/>
      <w:bookmarkEnd w:id="111"/>
      <w:bookmarkEnd w:id="112"/>
      <w:r>
        <w:rPr>
          <w:rFonts w:hint="eastAsia"/>
        </w:rPr>
        <w:t>对象</w:t>
      </w:r>
      <w:bookmarkEnd w:id="113"/>
      <w:bookmarkEnd w:id="114"/>
      <w:bookmarkEnd w:id="115"/>
      <w:bookmarkEnd w:id="116"/>
    </w:p>
    <w:p>
      <w:pPr>
        <w:pStyle w:val="112"/>
        <w:spacing w:before="156" w:after="156"/>
      </w:pPr>
      <w:bookmarkStart w:id="117" w:name="_Toc216189935"/>
      <w:bookmarkStart w:id="118" w:name="_Toc32363"/>
      <w:bookmarkStart w:id="119" w:name="_Toc196133293"/>
      <w:bookmarkStart w:id="120" w:name="_Toc26480"/>
      <w:bookmarkStart w:id="121" w:name="_Toc2381"/>
      <w:bookmarkStart w:id="122" w:name="_Toc21558"/>
      <w:bookmarkStart w:id="123" w:name="_Toc27434"/>
      <w:bookmarkStart w:id="124" w:name="_Toc196127487"/>
      <w:bookmarkStart w:id="125" w:name="_Toc27423"/>
      <w:bookmarkStart w:id="126" w:name="_Toc196128167"/>
      <w:bookmarkStart w:id="127" w:name="_Toc13182"/>
      <w:bookmarkStart w:id="128" w:name="_Toc30437"/>
      <w:r>
        <w:t>总体原则</w:t>
      </w:r>
      <w:bookmarkEnd w:id="117"/>
      <w:bookmarkEnd w:id="118"/>
      <w:bookmarkEnd w:id="119"/>
      <w:bookmarkEnd w:id="120"/>
      <w:bookmarkEnd w:id="121"/>
      <w:bookmarkEnd w:id="122"/>
      <w:bookmarkEnd w:id="123"/>
      <w:bookmarkEnd w:id="124"/>
      <w:bookmarkEnd w:id="125"/>
      <w:bookmarkEnd w:id="126"/>
      <w:bookmarkEnd w:id="127"/>
      <w:bookmarkEnd w:id="128"/>
    </w:p>
    <w:p>
      <w:pPr>
        <w:pStyle w:val="72"/>
        <w:spacing w:before="156" w:after="156"/>
      </w:pPr>
      <w:r>
        <w:rPr>
          <w:rFonts w:hint="eastAsia"/>
        </w:rPr>
        <w:t>统筹管理原则</w:t>
      </w:r>
    </w:p>
    <w:p>
      <w:pPr>
        <w:pStyle w:val="63"/>
        <w:ind w:firstLine="420"/>
      </w:pPr>
      <w:r>
        <w:rPr>
          <w:rFonts w:hint="eastAsia"/>
          <w:color w:val="000000" w:themeColor="text1"/>
          <w14:textFill>
            <w14:solidFill>
              <w14:schemeClr w14:val="tx1"/>
            </w14:solidFill>
          </w14:textFill>
        </w:rPr>
        <w:t>数据底座数据治理与建库工作统一</w:t>
      </w:r>
      <w:r>
        <w:rPr>
          <w:rFonts w:hint="eastAsia"/>
        </w:rPr>
        <w:t xml:space="preserve">由专业的数据资源管理部门统筹管理及安排，各级相关部门依据要求予以配合，确保数据得到及时归集与有效管理。 </w:t>
      </w:r>
    </w:p>
    <w:p>
      <w:pPr>
        <w:pStyle w:val="72"/>
        <w:spacing w:before="156" w:after="156"/>
      </w:pPr>
      <w:r>
        <w:rPr>
          <w:rFonts w:hint="eastAsia"/>
        </w:rPr>
        <w:t>应归尽归原则</w:t>
      </w:r>
    </w:p>
    <w:p>
      <w:pPr>
        <w:pStyle w:val="63"/>
        <w:ind w:firstLine="420"/>
      </w:pPr>
      <w:r>
        <w:rPr>
          <w:rFonts w:hint="eastAsia"/>
        </w:rPr>
        <w:t xml:space="preserve">数据资源部门应对辖区情况摸底分析，对符合要求的数据源，宜逐步推进数据资源的采集、生产与归集工作，实现一次归集、多次使用。 </w:t>
      </w:r>
    </w:p>
    <w:p>
      <w:pPr>
        <w:pStyle w:val="72"/>
        <w:spacing w:before="156" w:after="156"/>
      </w:pPr>
      <w:r>
        <w:rPr>
          <w:rFonts w:hint="eastAsia"/>
        </w:rPr>
        <w:t>合法适度原则</w:t>
      </w:r>
    </w:p>
    <w:p>
      <w:pPr>
        <w:pStyle w:val="63"/>
        <w:ind w:firstLine="420"/>
      </w:pPr>
      <w:r>
        <w:rPr>
          <w:rFonts w:hint="eastAsia"/>
        </w:rPr>
        <w:t xml:space="preserve">数源部门宜在法律、法规或管理授权的范围内优先归集核心业务数据，并确保数据的准确性、完整性与时效性。 </w:t>
      </w:r>
    </w:p>
    <w:p>
      <w:pPr>
        <w:pStyle w:val="72"/>
        <w:spacing w:before="156" w:after="156"/>
      </w:pPr>
      <w:r>
        <w:rPr>
          <w:rFonts w:hint="eastAsia"/>
        </w:rPr>
        <w:t>安全运行原则</w:t>
      </w:r>
    </w:p>
    <w:p>
      <w:pPr>
        <w:pStyle w:val="63"/>
        <w:ind w:firstLine="420"/>
      </w:pPr>
      <w:r>
        <w:rPr>
          <w:rFonts w:hint="eastAsia"/>
        </w:rPr>
        <w:t>数据资源管理部门宜建立建全安全防护与运维保障工作机制，制定并执行运维管理标准，确保数据归集、处理、传输全过程的安全稳定与可靠。</w:t>
      </w:r>
    </w:p>
    <w:p>
      <w:pPr>
        <w:pStyle w:val="112"/>
        <w:spacing w:before="156" w:after="156"/>
      </w:pPr>
      <w:bookmarkStart w:id="129" w:name="_Toc216189936"/>
      <w:r>
        <w:rPr>
          <w:rFonts w:hint="eastAsia"/>
        </w:rPr>
        <w:t>治理对象</w:t>
      </w:r>
      <w:bookmarkEnd w:id="129"/>
    </w:p>
    <w:p>
      <w:pPr>
        <w:pStyle w:val="172"/>
        <w:rPr>
          <w:shd w:val="clear" w:color="auto" w:fill="FFFFFF"/>
        </w:rPr>
      </w:pPr>
      <w:r>
        <w:rPr>
          <w:rFonts w:hint="eastAsia"/>
          <w:shd w:val="clear" w:color="auto" w:fill="FFFFFF"/>
        </w:rPr>
        <w:t>治理对象应包括城市治理中的人、地、事、物、情、组织、场所等实体，并承载城市运行和管理涉及的重要信息。</w:t>
      </w:r>
    </w:p>
    <w:p>
      <w:pPr>
        <w:pStyle w:val="172"/>
        <w:rPr>
          <w:shd w:val="clear" w:color="auto" w:fill="FFFFFF"/>
        </w:rPr>
      </w:pPr>
      <w:r>
        <w:rPr>
          <w:rFonts w:hint="eastAsia" w:ascii="Arial" w:hAnsi="Arial" w:cs="Arial"/>
          <w:color w:val="000000" w:themeColor="text1"/>
          <w:szCs w:val="21"/>
          <w:shd w:val="clear" w:color="auto" w:fill="FFFFFF"/>
          <w14:textFill>
            <w14:solidFill>
              <w14:schemeClr w14:val="tx1"/>
            </w14:solidFill>
          </w14:textFill>
        </w:rPr>
        <w:t>治理对象本体在数字世界的映射，应具有唯一身份标识信息，并由描述对象特征的一组属性信息组成。</w:t>
      </w:r>
    </w:p>
    <w:p>
      <w:pPr>
        <w:pStyle w:val="172"/>
        <w:rPr>
          <w:shd w:val="clear" w:color="auto" w:fill="FFFFFF"/>
        </w:rPr>
      </w:pPr>
      <w:r>
        <w:rPr>
          <w:rFonts w:hint="eastAsia" w:ascii="Arial" w:hAnsi="Arial" w:cs="Arial"/>
          <w:color w:val="000000" w:themeColor="text1"/>
          <w:szCs w:val="21"/>
          <w:shd w:val="clear" w:color="auto" w:fill="FFFFFF"/>
          <w14:textFill>
            <w14:solidFill>
              <w14:schemeClr w14:val="tx1"/>
            </w14:solidFill>
          </w14:textFill>
        </w:rPr>
        <w:t>数字化管理应管理治理对象的全量数据。</w:t>
      </w:r>
    </w:p>
    <w:p>
      <w:pPr>
        <w:pStyle w:val="111"/>
        <w:spacing w:before="312" w:after="312"/>
      </w:pPr>
      <w:bookmarkStart w:id="130" w:name="_Toc217916766"/>
      <w:bookmarkStart w:id="131" w:name="_Toc216189937"/>
      <w:bookmarkStart w:id="132" w:name="_Toc216189978"/>
      <w:bookmarkStart w:id="133" w:name="_Toc217912655"/>
      <w:r>
        <w:t>数据底座框架</w:t>
      </w:r>
      <w:bookmarkEnd w:id="130"/>
      <w:bookmarkEnd w:id="131"/>
      <w:bookmarkEnd w:id="132"/>
      <w:bookmarkEnd w:id="133"/>
    </w:p>
    <w:p>
      <w:pPr>
        <w:pStyle w:val="112"/>
        <w:spacing w:before="156" w:after="156"/>
      </w:pPr>
      <w:bookmarkStart w:id="134" w:name="_Toc216189938"/>
      <w:r>
        <w:rPr>
          <w:rFonts w:hint="eastAsia"/>
        </w:rPr>
        <w:t>框架图</w:t>
      </w:r>
      <w:bookmarkEnd w:id="134"/>
    </w:p>
    <w:p>
      <w:pPr>
        <w:pStyle w:val="63"/>
        <w:ind w:firstLine="420"/>
      </w:pPr>
      <w:r>
        <w:rPr>
          <w:rFonts w:hint="eastAsia"/>
        </w:rPr>
        <w:t>城市治理数据底座框架应符合图1的规定。</w:t>
      </w:r>
    </w:p>
    <w:p>
      <w:pPr>
        <w:pStyle w:val="63"/>
        <w:ind w:firstLine="420"/>
        <w:jc w:val="center"/>
      </w:pPr>
      <w:r>
        <w:rPr>
          <w:rFonts w:hint="eastAsia"/>
          <w:color w:val="000000" w:themeColor="text1"/>
          <w14:textFill>
            <w14:solidFill>
              <w14:schemeClr w14:val="tx1"/>
            </w14:solidFill>
          </w14:textFill>
        </w:rPr>
        <w:drawing>
          <wp:inline distT="0" distB="0" distL="114300" distR="114300">
            <wp:extent cx="4661535" cy="3743325"/>
            <wp:effectExtent l="0" t="0" r="5715" b="9525"/>
            <wp:docPr id="8" name="图片 8" descr="框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框架"/>
                    <pic:cNvPicPr>
                      <a:picLocks noChangeAspect="1"/>
                    </pic:cNvPicPr>
                  </pic:nvPicPr>
                  <pic:blipFill>
                    <a:blip r:embed="rId39"/>
                    <a:stretch>
                      <a:fillRect/>
                    </a:stretch>
                  </pic:blipFill>
                  <pic:spPr>
                    <a:xfrm>
                      <a:off x="0" y="0"/>
                      <a:ext cx="4678125" cy="3756908"/>
                    </a:xfrm>
                    <a:prstGeom prst="rect">
                      <a:avLst/>
                    </a:prstGeom>
                  </pic:spPr>
                </pic:pic>
              </a:graphicData>
            </a:graphic>
          </wp:inline>
        </w:drawing>
      </w:r>
    </w:p>
    <w:p>
      <w:pPr>
        <w:pStyle w:val="121"/>
        <w:spacing w:before="156" w:after="156"/>
      </w:pPr>
      <w:r>
        <w:rPr>
          <w:rFonts w:hint="eastAsia"/>
        </w:rPr>
        <w:t>城市治理数据底座框架图</w:t>
      </w:r>
    </w:p>
    <w:p>
      <w:pPr>
        <w:pStyle w:val="112"/>
        <w:spacing w:before="156" w:after="156"/>
      </w:pPr>
      <w:bookmarkStart w:id="135" w:name="_Toc216189939"/>
      <w:r>
        <w:rPr>
          <w:rFonts w:hint="eastAsia"/>
        </w:rPr>
        <w:t>数据源</w:t>
      </w:r>
      <w:bookmarkEnd w:id="135"/>
    </w:p>
    <w:p>
      <w:pPr>
        <w:pStyle w:val="63"/>
        <w:ind w:firstLine="420"/>
      </w:pPr>
      <w:r>
        <w:rPr>
          <w:rFonts w:hint="eastAsia"/>
        </w:rPr>
        <w:t>城市治理数据底座的数据来源应涵盖已有的各部门业务系统，并融合互联网和物联网数据，确保数据的动态更新。</w:t>
      </w:r>
    </w:p>
    <w:p>
      <w:pPr>
        <w:pStyle w:val="112"/>
        <w:spacing w:before="156" w:after="156"/>
      </w:pPr>
      <w:bookmarkStart w:id="136" w:name="_Toc216189940"/>
      <w:r>
        <w:rPr>
          <w:rFonts w:hint="eastAsia"/>
        </w:rPr>
        <w:t>数据底座</w:t>
      </w:r>
      <w:bookmarkEnd w:id="136"/>
    </w:p>
    <w:p>
      <w:pPr>
        <w:pStyle w:val="172"/>
      </w:pPr>
      <w:r>
        <w:rPr>
          <w:rFonts w:hint="eastAsia"/>
        </w:rPr>
        <w:t>数据底座应基于国家统一时空框架，以空间网格为载体。</w:t>
      </w:r>
    </w:p>
    <w:p>
      <w:pPr>
        <w:pStyle w:val="172"/>
      </w:pPr>
      <w:r>
        <w:rPr>
          <w:rFonts w:hint="eastAsia"/>
        </w:rPr>
        <w:t>数据底座宜分为贴源层、融合治理层和服务层。</w:t>
      </w:r>
    </w:p>
    <w:p>
      <w:pPr>
        <w:pStyle w:val="172"/>
      </w:pPr>
      <w:r>
        <w:rPr>
          <w:rFonts w:hint="eastAsia"/>
        </w:rPr>
        <w:t>贴源层应能归集原始数据，并对数据格式进行规范整理和质量评估校验，确保数据来源质量。</w:t>
      </w:r>
    </w:p>
    <w:p>
      <w:pPr>
        <w:pStyle w:val="172"/>
      </w:pPr>
      <w:r>
        <w:rPr>
          <w:rFonts w:hint="eastAsia"/>
        </w:rPr>
        <w:t>融合治理层应能对数据进行数据清洗、数据对象定义、数据拼接、数据对象编码、数据落图处理、数据质量控制等数据加工处理操作，形成围绕城市治理对象的专题数据，并对数据进行存储管理。</w:t>
      </w:r>
    </w:p>
    <w:p>
      <w:pPr>
        <w:pStyle w:val="172"/>
      </w:pPr>
      <w:r>
        <w:rPr>
          <w:rFonts w:hint="eastAsia"/>
        </w:rPr>
        <w:t>服务层应能</w:t>
      </w:r>
      <w:r>
        <w:rPr>
          <w:rFonts w:hint="eastAsia"/>
          <w:color w:val="000000" w:themeColor="text1"/>
          <w14:textFill>
            <w14:solidFill>
              <w14:schemeClr w14:val="tx1"/>
            </w14:solidFill>
          </w14:textFill>
        </w:rPr>
        <w:t>通过数据连接形成数据服务向外共享数据</w:t>
      </w:r>
      <w:r>
        <w:rPr>
          <w:rFonts w:hint="eastAsia"/>
        </w:rPr>
        <w:t>。</w:t>
      </w:r>
    </w:p>
    <w:p>
      <w:pPr>
        <w:pStyle w:val="112"/>
        <w:spacing w:before="156" w:after="156"/>
      </w:pPr>
      <w:bookmarkStart w:id="137" w:name="_Toc216189941"/>
      <w:r>
        <w:rPr>
          <w:rFonts w:hint="eastAsia"/>
        </w:rPr>
        <w:t>数据应用</w:t>
      </w:r>
      <w:bookmarkEnd w:id="137"/>
    </w:p>
    <w:p>
      <w:pPr>
        <w:pStyle w:val="63"/>
        <w:ind w:firstLine="420"/>
      </w:pPr>
      <w:r>
        <w:rPr>
          <w:rFonts w:hint="eastAsia"/>
        </w:rPr>
        <w:t>数据应能在</w:t>
      </w:r>
      <w:r>
        <w:rPr>
          <w:rFonts w:hint="eastAsia"/>
          <w:color w:val="000000" w:themeColor="text1"/>
          <w14:textFill>
            <w14:solidFill>
              <w14:schemeClr w14:val="tx1"/>
            </w14:solidFill>
          </w14:textFill>
        </w:rPr>
        <w:t>智慧交通、城市安全治理、生态环境监测等</w:t>
      </w:r>
      <w:r>
        <w:rPr>
          <w:rFonts w:hint="eastAsia"/>
        </w:rPr>
        <w:t>城市治理中各场景应用。</w:t>
      </w:r>
    </w:p>
    <w:p>
      <w:pPr>
        <w:pStyle w:val="111"/>
        <w:spacing w:before="312" w:after="312"/>
      </w:pPr>
      <w:bookmarkStart w:id="138" w:name="_Toc216189942"/>
      <w:bookmarkStart w:id="139" w:name="_Toc216189979"/>
      <w:bookmarkStart w:id="140" w:name="_Toc217916767"/>
      <w:bookmarkStart w:id="141" w:name="_Toc217912656"/>
      <w:bookmarkStart w:id="142" w:name="_Toc3305"/>
      <w:bookmarkStart w:id="143" w:name="_Toc11502"/>
      <w:bookmarkStart w:id="144" w:name="_Toc23344"/>
      <w:bookmarkStart w:id="145" w:name="_Toc5413"/>
      <w:bookmarkStart w:id="146" w:name="_Toc5753"/>
      <w:bookmarkStart w:id="147" w:name="_Toc22782"/>
      <w:bookmarkStart w:id="148" w:name="_Toc10817"/>
      <w:bookmarkStart w:id="149" w:name="_Toc30247"/>
      <w:bookmarkStart w:id="150" w:name="_Toc196127490"/>
      <w:bookmarkStart w:id="151" w:name="_Toc196133296"/>
      <w:bookmarkStart w:id="152" w:name="_Toc196128170"/>
      <w:r>
        <w:rPr>
          <w:rFonts w:hint="eastAsia"/>
        </w:rPr>
        <w:t>融合流程</w:t>
      </w:r>
      <w:bookmarkEnd w:id="138"/>
      <w:bookmarkEnd w:id="139"/>
      <w:bookmarkEnd w:id="140"/>
      <w:bookmarkEnd w:id="141"/>
    </w:p>
    <w:p>
      <w:pPr>
        <w:pStyle w:val="112"/>
        <w:spacing w:before="156" w:after="156"/>
      </w:pPr>
      <w:bookmarkStart w:id="153" w:name="_Toc216189943"/>
      <w:r>
        <w:rPr>
          <w:rFonts w:hint="eastAsia"/>
        </w:rPr>
        <w:t>技术流程</w:t>
      </w:r>
      <w:bookmarkEnd w:id="142"/>
      <w:bookmarkEnd w:id="143"/>
      <w:bookmarkEnd w:id="144"/>
      <w:bookmarkEnd w:id="145"/>
      <w:bookmarkEnd w:id="146"/>
      <w:bookmarkEnd w:id="147"/>
      <w:bookmarkEnd w:id="148"/>
      <w:bookmarkEnd w:id="149"/>
      <w:bookmarkEnd w:id="153"/>
    </w:p>
    <w:p>
      <w:pPr>
        <w:pStyle w:val="63"/>
        <w:ind w:firstLine="420"/>
      </w:pPr>
      <w:r>
        <w:rPr>
          <w:rFonts w:hint="eastAsia"/>
        </w:rPr>
        <w:t>数据融合建库过程的每一个环节都应进行质量控制，包括以下：</w:t>
      </w:r>
    </w:p>
    <w:p>
      <w:pPr>
        <w:pStyle w:val="63"/>
        <w:widowControl w:val="0"/>
        <w:numPr>
          <w:ilvl w:val="0"/>
          <w:numId w:val="33"/>
        </w:numPr>
        <w:autoSpaceDE/>
        <w:autoSpaceDN/>
        <w:ind w:left="851" w:firstLine="0" w:firstLineChars="0"/>
      </w:pPr>
      <w:r>
        <w:rPr>
          <w:rFonts w:hint="eastAsia"/>
        </w:rPr>
        <w:t>数据准备阶段。围绕城市治理对象，进行业务分析和数据分析，对数据来源进行评估和数据建模，为数据融合和建库做好准备工作；</w:t>
      </w:r>
    </w:p>
    <w:p>
      <w:pPr>
        <w:pStyle w:val="63"/>
        <w:widowControl w:val="0"/>
        <w:numPr>
          <w:ilvl w:val="0"/>
          <w:numId w:val="33"/>
        </w:numPr>
        <w:autoSpaceDE/>
        <w:autoSpaceDN/>
        <w:ind w:left="851" w:firstLine="0" w:firstLineChars="0"/>
      </w:pPr>
      <w:r>
        <w:rPr>
          <w:rFonts w:hint="eastAsia"/>
        </w:rPr>
        <w:t>数据归集阶段。根据数据建模情况，归集现有业务系统数据，按照数据对象分类进行编目管理，建设贴源数据库；</w:t>
      </w:r>
    </w:p>
    <w:p>
      <w:pPr>
        <w:pStyle w:val="63"/>
        <w:widowControl w:val="0"/>
        <w:numPr>
          <w:ilvl w:val="0"/>
          <w:numId w:val="33"/>
        </w:numPr>
        <w:autoSpaceDE/>
        <w:autoSpaceDN/>
        <w:ind w:left="851" w:firstLine="0" w:firstLineChars="0"/>
      </w:pPr>
      <w:r>
        <w:rPr>
          <w:rFonts w:hint="eastAsia"/>
        </w:rPr>
        <w:t>数据治理阶段。对不同的来源数据进行清洗、拼接、编码、落图、质量控制等数据融合处理，并将成果数据入库到成果库，形成符合数据规范和质量要求的治理对象数据集；</w:t>
      </w:r>
    </w:p>
    <w:p>
      <w:pPr>
        <w:pStyle w:val="63"/>
        <w:widowControl w:val="0"/>
        <w:numPr>
          <w:ilvl w:val="0"/>
          <w:numId w:val="33"/>
        </w:numPr>
        <w:autoSpaceDE/>
        <w:autoSpaceDN/>
        <w:ind w:left="851" w:firstLine="0" w:firstLineChars="0"/>
      </w:pPr>
      <w:r>
        <w:rPr>
          <w:rFonts w:hint="eastAsia"/>
        </w:rPr>
        <w:t>数据成果管理阶段。</w:t>
      </w:r>
      <w:r>
        <w:rPr>
          <w:rFonts w:hint="eastAsia"/>
          <w:color w:val="000000" w:themeColor="text1"/>
          <w14:textFill>
            <w14:solidFill>
              <w14:schemeClr w14:val="tx1"/>
            </w14:solidFill>
          </w14:textFill>
        </w:rPr>
        <w:t>通过数据连接形成数据服务支撑城市治理各应用场景需求，且对成果库中的数据进行更新维护、历史版本管理、数据回溯等全生存周期的管理</w:t>
      </w:r>
      <w:r>
        <w:rPr>
          <w:rFonts w:hint="eastAsia"/>
        </w:rPr>
        <w:t>。</w:t>
      </w:r>
    </w:p>
    <w:p>
      <w:pPr>
        <w:pStyle w:val="112"/>
        <w:spacing w:before="156" w:after="156"/>
      </w:pPr>
      <w:bookmarkStart w:id="154" w:name="_Toc3583"/>
      <w:bookmarkStart w:id="155" w:name="_Toc4397"/>
      <w:bookmarkStart w:id="156" w:name="_Toc28903"/>
      <w:bookmarkStart w:id="157" w:name="_Toc15207"/>
      <w:bookmarkStart w:id="158" w:name="_Toc12400"/>
      <w:bookmarkStart w:id="159" w:name="_Toc216189944"/>
      <w:bookmarkStart w:id="160" w:name="_Toc19248"/>
      <w:bookmarkStart w:id="161" w:name="_Toc5572"/>
      <w:bookmarkStart w:id="162" w:name="_Toc15561"/>
      <w:r>
        <w:rPr>
          <w:rFonts w:hint="eastAsia"/>
        </w:rPr>
        <w:t>技术要求</w:t>
      </w:r>
      <w:bookmarkEnd w:id="154"/>
      <w:bookmarkEnd w:id="155"/>
      <w:bookmarkEnd w:id="156"/>
      <w:bookmarkEnd w:id="157"/>
      <w:bookmarkEnd w:id="158"/>
      <w:bookmarkEnd w:id="159"/>
      <w:bookmarkEnd w:id="160"/>
      <w:bookmarkEnd w:id="161"/>
      <w:bookmarkEnd w:id="162"/>
    </w:p>
    <w:p>
      <w:pPr>
        <w:pStyle w:val="72"/>
        <w:spacing w:before="156" w:after="156"/>
      </w:pPr>
      <w:bookmarkStart w:id="163" w:name="_Toc593"/>
      <w:bookmarkEnd w:id="163"/>
      <w:bookmarkStart w:id="164" w:name="_Toc15594"/>
      <w:bookmarkStart w:id="165" w:name="_Toc6134"/>
      <w:bookmarkStart w:id="166" w:name="_Toc11485"/>
      <w:r>
        <w:rPr>
          <w:lang w:bidi="ar"/>
        </w:rPr>
        <w:t>数据</w:t>
      </w:r>
      <w:bookmarkEnd w:id="164"/>
      <w:bookmarkEnd w:id="165"/>
      <w:bookmarkEnd w:id="166"/>
      <w:r>
        <w:rPr>
          <w:rFonts w:hint="eastAsia"/>
          <w:lang w:bidi="ar"/>
        </w:rPr>
        <w:t>准备</w:t>
      </w:r>
      <w:r>
        <w:rPr>
          <w:lang w:bidi="ar"/>
        </w:rPr>
        <w:t>阶段</w:t>
      </w:r>
    </w:p>
    <w:p>
      <w:pPr>
        <w:pStyle w:val="101"/>
        <w:spacing w:before="156" w:after="156"/>
      </w:pPr>
      <w:r>
        <w:rPr>
          <w:rFonts w:hint="eastAsia"/>
        </w:rPr>
        <w:t>业务流分析</w:t>
      </w:r>
    </w:p>
    <w:p>
      <w:pPr>
        <w:pStyle w:val="236"/>
        <w:rPr>
          <w:color w:val="000000"/>
        </w:rPr>
      </w:pPr>
      <w:r>
        <w:rPr>
          <w:rFonts w:hint="eastAsia"/>
          <w:color w:val="000000" w:themeColor="text1"/>
          <w14:textFill>
            <w14:solidFill>
              <w14:schemeClr w14:val="tx1"/>
            </w14:solidFill>
          </w14:textFill>
        </w:rPr>
        <w:t>应围绕城市治理对象在城市治理与运行</w:t>
      </w:r>
      <w:r>
        <w:rPr>
          <w:rFonts w:hint="eastAsia" w:hAnsi="宋体" w:cs="宋体"/>
          <w:color w:val="000000" w:themeColor="text1"/>
          <w:szCs w:val="21"/>
          <w:lang w:bidi="ar"/>
          <w14:textFill>
            <w14:solidFill>
              <w14:schemeClr w14:val="tx1"/>
            </w14:solidFill>
          </w14:textFill>
        </w:rPr>
        <w:t>全生命周期中涉及的行政管理流程和环节进行业务分析，形成城市治理对象的完整业务流程图</w:t>
      </w:r>
      <w:r>
        <w:rPr>
          <w:rFonts w:hint="eastAsia" w:hAnsi="宋体" w:cs="宋体"/>
          <w:color w:val="000000"/>
          <w:szCs w:val="21"/>
          <w:lang w:bidi="ar"/>
        </w:rPr>
        <w:t>。</w:t>
      </w:r>
    </w:p>
    <w:p>
      <w:pPr>
        <w:pStyle w:val="101"/>
        <w:spacing w:before="156" w:after="156"/>
      </w:pPr>
      <w:r>
        <w:rPr>
          <w:rFonts w:hint="eastAsia"/>
        </w:rPr>
        <w:t>数据流分析</w:t>
      </w:r>
    </w:p>
    <w:p>
      <w:pPr>
        <w:pStyle w:val="236"/>
        <w:rPr>
          <w:color w:val="000000"/>
        </w:rPr>
      </w:pPr>
      <w:r>
        <w:rPr>
          <w:rFonts w:hint="eastAsia"/>
          <w:color w:val="000000"/>
        </w:rPr>
        <w:t>应根据业务流程图，确定各专题数据的数源部门，对各数源部门现有的信息化现状和数据现状情况进行调研分析，形成数据流转和关联的数据流程图。</w:t>
      </w:r>
    </w:p>
    <w:p>
      <w:pPr>
        <w:pStyle w:val="101"/>
        <w:spacing w:before="156" w:after="156"/>
      </w:pPr>
      <w:r>
        <w:rPr>
          <w:rFonts w:hint="eastAsia"/>
        </w:rPr>
        <w:t>数据建模</w:t>
      </w:r>
    </w:p>
    <w:p>
      <w:pPr>
        <w:pStyle w:val="236"/>
        <w:rPr>
          <w:color w:val="000000"/>
        </w:rPr>
      </w:pPr>
      <w:r>
        <w:rPr>
          <w:rFonts w:hint="eastAsia"/>
          <w:color w:val="000000"/>
        </w:rPr>
        <w:t>应根据各专题进行分类调研形成的业务流程图和数据流程图进行综合分析</w:t>
      </w:r>
      <w:r>
        <w:rPr>
          <w:rFonts w:hint="eastAsia"/>
          <w:color w:val="000000" w:themeColor="text1"/>
          <w14:textFill>
            <w14:solidFill>
              <w14:schemeClr w14:val="tx1"/>
            </w14:solidFill>
          </w14:textFill>
        </w:rPr>
        <w:t>，形成围绕城市治理对象的数据归集模型。</w:t>
      </w:r>
    </w:p>
    <w:p>
      <w:pPr>
        <w:pStyle w:val="72"/>
        <w:spacing w:before="156" w:after="156"/>
        <w:rPr>
          <w:lang w:bidi="ar"/>
        </w:rPr>
      </w:pPr>
      <w:bookmarkStart w:id="167" w:name="_Toc20544"/>
      <w:bookmarkStart w:id="168" w:name="_Toc2493"/>
      <w:bookmarkStart w:id="169" w:name="_Toc6578"/>
      <w:r>
        <w:rPr>
          <w:lang w:bidi="ar"/>
        </w:rPr>
        <w:t>数据归集</w:t>
      </w:r>
      <w:bookmarkEnd w:id="167"/>
      <w:bookmarkEnd w:id="168"/>
      <w:bookmarkEnd w:id="169"/>
      <w:r>
        <w:rPr>
          <w:lang w:bidi="ar"/>
        </w:rPr>
        <w:t>阶段</w:t>
      </w:r>
    </w:p>
    <w:p>
      <w:pPr>
        <w:pStyle w:val="101"/>
        <w:spacing w:before="156" w:after="156"/>
        <w:rPr>
          <w:lang w:bidi="ar"/>
        </w:rPr>
      </w:pPr>
      <w:r>
        <w:rPr>
          <w:lang w:bidi="ar"/>
        </w:rPr>
        <w:t>在线归集</w:t>
      </w:r>
      <w:r>
        <w:rPr>
          <w:lang w:bidi="ar"/>
        </w:rPr>
        <w:tab/>
      </w:r>
    </w:p>
    <w:p>
      <w:pPr>
        <w:pStyle w:val="105"/>
        <w:spacing w:before="156" w:after="156"/>
        <w:rPr>
          <w:szCs w:val="21"/>
          <w:lang w:bidi="ar"/>
        </w:rPr>
      </w:pPr>
      <w:r>
        <w:rPr>
          <w:rFonts w:hint="eastAsia"/>
          <w:lang w:bidi="ar"/>
        </w:rPr>
        <w:t>前置库方式</w:t>
      </w:r>
    </w:p>
    <w:p>
      <w:pPr>
        <w:pStyle w:val="63"/>
        <w:ind w:firstLine="420"/>
        <w:rPr>
          <w:rFonts w:hAnsi="宋体" w:cs="宋体"/>
          <w:color w:val="000000"/>
          <w:lang w:bidi="ar"/>
        </w:rPr>
      </w:pPr>
      <w:r>
        <w:rPr>
          <w:rFonts w:hint="eastAsia"/>
        </w:rPr>
        <w:t>数源部门将数据推送至本部门的数据前置库，数据汇集部门将前置库数据同步至贴源库，前置库应支持国产数据库，字符编码应为UTF-8，相关约束参见附录A</w:t>
      </w:r>
      <w:r>
        <w:rPr>
          <w:rFonts w:hint="eastAsia" w:hAnsi="宋体" w:cs="宋体"/>
          <w:color w:val="000000"/>
          <w:lang w:bidi="ar"/>
        </w:rPr>
        <w:t>。</w:t>
      </w:r>
    </w:p>
    <w:p>
      <w:pPr>
        <w:pStyle w:val="105"/>
        <w:spacing w:before="156" w:after="156"/>
        <w:rPr>
          <w:lang w:bidi="ar"/>
        </w:rPr>
      </w:pPr>
      <w:r>
        <w:rPr>
          <w:rFonts w:hint="eastAsia"/>
          <w:lang w:bidi="ar"/>
        </w:rPr>
        <w:t>接口方式</w:t>
      </w:r>
    </w:p>
    <w:p>
      <w:pPr>
        <w:pStyle w:val="63"/>
        <w:ind w:firstLine="420"/>
        <w:rPr>
          <w:rFonts w:hAnsi="宋体" w:cs="宋体"/>
          <w:color w:val="000000"/>
          <w:szCs w:val="21"/>
          <w:lang w:bidi="ar"/>
        </w:rPr>
      </w:pPr>
      <w:r>
        <w:rPr>
          <w:rFonts w:hint="eastAsia" w:hAnsi="宋体" w:cs="宋体"/>
          <w:color w:val="000000" w:themeColor="text1"/>
          <w:szCs w:val="21"/>
          <w:lang w:bidi="ar"/>
          <w14:textFill>
            <w14:solidFill>
              <w14:schemeClr w14:val="tx1"/>
            </w14:solidFill>
          </w14:textFill>
        </w:rPr>
        <w:t>应具备调用数据接口方式归集数据（具体接口形式见7.2.4.3.2）</w:t>
      </w:r>
      <w:r>
        <w:rPr>
          <w:rFonts w:hint="eastAsia" w:hAnsi="宋体" w:cs="宋体"/>
          <w:color w:val="000000"/>
          <w:szCs w:val="21"/>
          <w:lang w:bidi="ar"/>
        </w:rPr>
        <w:t>。</w:t>
      </w:r>
    </w:p>
    <w:p>
      <w:pPr>
        <w:pStyle w:val="101"/>
        <w:spacing w:before="156" w:after="156"/>
        <w:rPr>
          <w:lang w:bidi="ar"/>
        </w:rPr>
      </w:pPr>
      <w:r>
        <w:rPr>
          <w:lang w:bidi="ar"/>
        </w:rPr>
        <w:t>离线归集</w:t>
      </w:r>
    </w:p>
    <w:p>
      <w:pPr>
        <w:ind w:firstLine="420"/>
        <w:jc w:val="left"/>
        <w:rPr>
          <w:color w:val="000000"/>
        </w:rPr>
      </w:pPr>
      <w:r>
        <w:rPr>
          <w:rFonts w:hint="eastAsia" w:ascii="宋体" w:hAnsi="宋体" w:cs="宋体"/>
          <w:color w:val="000000" w:themeColor="text1"/>
          <w:kern w:val="0"/>
          <w:lang w:bidi="ar"/>
          <w14:textFill>
            <w14:solidFill>
              <w14:schemeClr w14:val="tx1"/>
            </w14:solidFill>
          </w14:textFill>
        </w:rPr>
        <w:t>应具备通过光盘、移动硬盘等电子介质离线拷贝数据进行数据归集的方式</w:t>
      </w:r>
      <w:r>
        <w:rPr>
          <w:rFonts w:hint="eastAsia" w:ascii="宋体" w:hAnsi="宋体" w:cs="宋体"/>
          <w:color w:val="000000"/>
          <w:kern w:val="0"/>
          <w:lang w:bidi="ar"/>
        </w:rPr>
        <w:t>。</w:t>
      </w:r>
    </w:p>
    <w:p>
      <w:pPr>
        <w:pStyle w:val="72"/>
        <w:spacing w:before="156" w:after="156"/>
      </w:pPr>
      <w:bookmarkStart w:id="170" w:name="_Toc32348"/>
      <w:bookmarkStart w:id="171" w:name="_Toc19329"/>
      <w:bookmarkStart w:id="172" w:name="_Toc19854"/>
      <w:bookmarkStart w:id="173" w:name="_Toc19236"/>
      <w:bookmarkStart w:id="174" w:name="_Toc211"/>
      <w:bookmarkStart w:id="175" w:name="_Toc1580"/>
      <w:bookmarkStart w:id="176" w:name="_Toc12579"/>
      <w:bookmarkStart w:id="177" w:name="_Toc23121"/>
      <w:r>
        <w:t>数据</w:t>
      </w:r>
      <w:bookmarkEnd w:id="170"/>
      <w:r>
        <w:rPr>
          <w:rFonts w:hint="eastAsia"/>
        </w:rPr>
        <w:t>融合</w:t>
      </w:r>
      <w:bookmarkEnd w:id="171"/>
      <w:bookmarkEnd w:id="172"/>
      <w:bookmarkEnd w:id="173"/>
      <w:bookmarkEnd w:id="174"/>
      <w:bookmarkEnd w:id="175"/>
      <w:bookmarkEnd w:id="176"/>
      <w:bookmarkEnd w:id="177"/>
      <w:r>
        <w:rPr>
          <w:rFonts w:hint="eastAsia"/>
        </w:rPr>
        <w:t>治理阶段</w:t>
      </w:r>
    </w:p>
    <w:p>
      <w:pPr>
        <w:pStyle w:val="101"/>
        <w:spacing w:before="156" w:after="156"/>
      </w:pPr>
      <w:r>
        <w:rPr>
          <w:rFonts w:hint="eastAsia"/>
        </w:rPr>
        <w:t>数据清洗</w:t>
      </w:r>
    </w:p>
    <w:p>
      <w:pPr>
        <w:pStyle w:val="174"/>
      </w:pPr>
      <w:r>
        <w:rPr>
          <w:rFonts w:hint="eastAsia" w:hAnsi="宋体" w:cs="宋体"/>
          <w:color w:val="000000" w:themeColor="text1"/>
          <w:lang w:bidi="ar"/>
          <w14:textFill>
            <w14:solidFill>
              <w14:schemeClr w14:val="tx1"/>
            </w14:solidFill>
          </w14:textFill>
        </w:rPr>
        <w:t>应根据数据需求，制定数据对象属性定义统一的数据规范。</w:t>
      </w:r>
    </w:p>
    <w:p>
      <w:pPr>
        <w:pStyle w:val="174"/>
      </w:pPr>
      <w:r>
        <w:rPr>
          <w:rFonts w:hint="eastAsia"/>
        </w:rPr>
        <w:t>制定的数据规范，应满足下列要求：</w:t>
      </w:r>
    </w:p>
    <w:p>
      <w:pPr>
        <w:pStyle w:val="63"/>
        <w:widowControl w:val="0"/>
        <w:numPr>
          <w:ilvl w:val="0"/>
          <w:numId w:val="34"/>
        </w:numPr>
        <w:autoSpaceDE/>
        <w:autoSpaceDN/>
        <w:ind w:left="851" w:firstLine="0" w:firstLineChars="0"/>
      </w:pPr>
      <w:r>
        <w:rPr>
          <w:rFonts w:hint="eastAsia"/>
        </w:rPr>
        <w:t>将无效、重复、缺乏关键值的数据进行过滤清洗；</w:t>
      </w:r>
    </w:p>
    <w:p>
      <w:pPr>
        <w:pStyle w:val="63"/>
        <w:widowControl w:val="0"/>
        <w:numPr>
          <w:ilvl w:val="0"/>
          <w:numId w:val="34"/>
        </w:numPr>
        <w:autoSpaceDE/>
        <w:autoSpaceDN/>
        <w:ind w:left="851" w:firstLine="0" w:firstLineChars="0"/>
      </w:pPr>
      <w:r>
        <w:rPr>
          <w:rFonts w:hint="eastAsia"/>
        </w:rPr>
        <w:t xml:space="preserve">将同质异名和同名异质的数据值进行统一命名； </w:t>
      </w:r>
    </w:p>
    <w:p>
      <w:pPr>
        <w:pStyle w:val="63"/>
        <w:widowControl w:val="0"/>
        <w:numPr>
          <w:ilvl w:val="0"/>
          <w:numId w:val="34"/>
        </w:numPr>
        <w:autoSpaceDE/>
        <w:autoSpaceDN/>
        <w:ind w:left="851" w:firstLine="0" w:firstLineChars="0"/>
      </w:pPr>
      <w:r>
        <w:rPr>
          <w:rFonts w:hint="eastAsia"/>
        </w:rPr>
        <w:t xml:space="preserve">将数据类型、小数点位数和数量单位不统一的数据值进行统一规范。 </w:t>
      </w:r>
    </w:p>
    <w:p>
      <w:pPr>
        <w:pStyle w:val="174"/>
      </w:pPr>
      <w:r>
        <w:rPr>
          <w:rFonts w:hint="eastAsia"/>
        </w:rPr>
        <w:t>应将空间参考不一致的图层数据，统一转换为国家统一时空框架。</w:t>
      </w:r>
    </w:p>
    <w:p>
      <w:pPr>
        <w:pStyle w:val="101"/>
        <w:spacing w:before="156" w:after="156"/>
      </w:pPr>
      <w:r>
        <w:rPr>
          <w:rFonts w:hint="eastAsia"/>
        </w:rPr>
        <w:t>数据对象定义</w:t>
      </w:r>
    </w:p>
    <w:p>
      <w:pPr>
        <w:pStyle w:val="63"/>
        <w:ind w:firstLine="420"/>
      </w:pPr>
      <w:r>
        <w:rPr>
          <w:rFonts w:hint="eastAsia"/>
        </w:rPr>
        <w:t>应根据数据对象的特征属性，明确对象实例的定义，确保每个对象的实例具有定义的唯一性。</w:t>
      </w:r>
    </w:p>
    <w:p>
      <w:pPr>
        <w:pStyle w:val="101"/>
        <w:spacing w:before="156" w:after="156"/>
      </w:pPr>
      <w:r>
        <w:rPr>
          <w:rFonts w:hint="eastAsia"/>
        </w:rPr>
        <w:t>数据拼接</w:t>
      </w:r>
    </w:p>
    <w:p>
      <w:pPr>
        <w:pStyle w:val="63"/>
        <w:ind w:firstLine="420"/>
      </w:pPr>
      <w:r>
        <w:rPr>
          <w:rFonts w:hint="eastAsia"/>
        </w:rPr>
        <w:t>应以城市治理业务对象为中心，根据业务流、空间相关性等关联关系，进行对象业务属性的拼接，形成完整的对象属性数据记录。</w:t>
      </w:r>
    </w:p>
    <w:p>
      <w:pPr>
        <w:pStyle w:val="101"/>
        <w:spacing w:before="156" w:after="156"/>
      </w:pPr>
      <w:r>
        <w:rPr>
          <w:rFonts w:hint="eastAsia"/>
        </w:rPr>
        <w:t>数据编码</w:t>
      </w:r>
    </w:p>
    <w:p>
      <w:pPr>
        <w:pStyle w:val="174"/>
      </w:pPr>
      <w:bookmarkStart w:id="178" w:name="_Toc17348"/>
      <w:r>
        <w:rPr>
          <w:rFonts w:hint="eastAsia"/>
        </w:rPr>
        <w:t>每类数据对象应具有统一的编码规则，为每个数据对象实体设定唯一的识别码，编制时应遵循以下规则：</w:t>
      </w:r>
    </w:p>
    <w:p>
      <w:pPr>
        <w:pStyle w:val="63"/>
        <w:widowControl w:val="0"/>
        <w:numPr>
          <w:ilvl w:val="0"/>
          <w:numId w:val="35"/>
        </w:numPr>
        <w:autoSpaceDE/>
        <w:autoSpaceDN/>
        <w:ind w:firstLineChars="0"/>
      </w:pPr>
      <w:r>
        <w:rPr>
          <w:rFonts w:hint="eastAsia"/>
        </w:rPr>
        <w:t>有国家、行业或地方标准规定的，引用其标准代码；</w:t>
      </w:r>
    </w:p>
    <w:p>
      <w:pPr>
        <w:pStyle w:val="63"/>
        <w:widowControl w:val="0"/>
        <w:numPr>
          <w:ilvl w:val="0"/>
          <w:numId w:val="35"/>
        </w:numPr>
        <w:autoSpaceDE/>
        <w:autoSpaceDN/>
        <w:ind w:firstLineChars="0"/>
      </w:pPr>
      <w:r>
        <w:rPr>
          <w:rFonts w:hint="eastAsia"/>
        </w:rPr>
        <w:t>无相关标准规定的业务数据，自定义统一的代码，并正式发布实施。</w:t>
      </w:r>
    </w:p>
    <w:p>
      <w:pPr>
        <w:pStyle w:val="174"/>
      </w:pPr>
      <w:r>
        <w:rPr>
          <w:rFonts w:hint="eastAsia"/>
        </w:rPr>
        <w:t>常用的城市治理对象的编码规则参见附录B。</w:t>
      </w:r>
    </w:p>
    <w:p>
      <w:pPr>
        <w:pStyle w:val="101"/>
        <w:spacing w:before="156" w:after="156"/>
      </w:pPr>
      <w:r>
        <w:rPr>
          <w:rFonts w:hint="eastAsia"/>
        </w:rPr>
        <w:t>数据落图</w:t>
      </w:r>
    </w:p>
    <w:p>
      <w:pPr>
        <w:pStyle w:val="174"/>
      </w:pPr>
      <w:r>
        <w:rPr>
          <w:rFonts w:hint="eastAsia"/>
        </w:rPr>
        <w:t>应根据城市治理对象的空间坐标信息或者地址信息，将其与管理空间网格进行绑定。该城市治理对象与数据对象定义存在一一对应关系，并通过数据落图实现治理对象的空间表达和分析展示。</w:t>
      </w:r>
    </w:p>
    <w:p>
      <w:pPr>
        <w:pStyle w:val="174"/>
      </w:pPr>
      <w:r>
        <w:rPr>
          <w:rFonts w:hint="eastAsia"/>
        </w:rPr>
        <w:t>地址解译应支持多级匹配（如：省—市—区—街道—社区—小区院落—房屋楼栋），并标记空间置信度等级。</w:t>
      </w:r>
    </w:p>
    <w:p>
      <w:pPr>
        <w:pStyle w:val="174"/>
      </w:pPr>
      <w:r>
        <w:rPr>
          <w:rFonts w:hint="eastAsia"/>
        </w:rPr>
        <w:t>数据精度应不低于数据来源精度。</w:t>
      </w:r>
    </w:p>
    <w:p>
      <w:pPr>
        <w:pStyle w:val="101"/>
        <w:spacing w:before="156" w:after="156"/>
      </w:pPr>
      <w:bookmarkStart w:id="179" w:name="_Toc3604"/>
      <w:bookmarkStart w:id="180" w:name="_Toc11737"/>
      <w:bookmarkStart w:id="181" w:name="_Toc12117"/>
      <w:bookmarkStart w:id="182" w:name="_Toc31327"/>
      <w:bookmarkStart w:id="183" w:name="_Toc28327"/>
      <w:bookmarkStart w:id="184" w:name="_Toc31513"/>
      <w:bookmarkStart w:id="185" w:name="_Toc18275"/>
      <w:r>
        <w:rPr>
          <w:rFonts w:hint="eastAsia"/>
        </w:rPr>
        <w:t>数据脱敏</w:t>
      </w:r>
    </w:p>
    <w:p>
      <w:pPr>
        <w:pStyle w:val="63"/>
        <w:ind w:firstLine="420"/>
      </w:pPr>
      <w:r>
        <w:rPr>
          <w:color w:val="000000" w:themeColor="text1"/>
          <w14:textFill>
            <w14:solidFill>
              <w14:schemeClr w14:val="tx1"/>
            </w14:solidFill>
          </w14:textFill>
        </w:rPr>
        <w:t>在不违反系统规则的条件下，应对涉及客户安全数据或商业性敏感数据的真实数据进行改造，使其在开发、测试、分析等非生产环境以及外包环境中能够安全使用</w:t>
      </w:r>
      <w:r>
        <w:t>。</w:t>
      </w:r>
    </w:p>
    <w:p>
      <w:pPr>
        <w:pStyle w:val="101"/>
        <w:spacing w:before="156" w:after="156"/>
      </w:pPr>
      <w:r>
        <w:rPr>
          <w:rFonts w:hint="eastAsia"/>
        </w:rPr>
        <w:t>数据入库</w:t>
      </w:r>
      <w:bookmarkEnd w:id="178"/>
      <w:bookmarkEnd w:id="179"/>
      <w:bookmarkEnd w:id="180"/>
      <w:bookmarkEnd w:id="181"/>
      <w:bookmarkEnd w:id="182"/>
      <w:bookmarkEnd w:id="183"/>
      <w:bookmarkEnd w:id="184"/>
      <w:bookmarkEnd w:id="185"/>
    </w:p>
    <w:p>
      <w:pPr>
        <w:pStyle w:val="236"/>
        <w:rPr>
          <w:rFonts w:ascii="Arial" w:hAnsi="Arial"/>
          <w:color w:val="000000"/>
          <w:szCs w:val="24"/>
        </w:rPr>
      </w:pPr>
      <w:r>
        <w:rPr>
          <w:rFonts w:hint="eastAsia" w:ascii="Arial" w:hAnsi="Arial"/>
          <w:color w:val="000000"/>
          <w:szCs w:val="24"/>
        </w:rPr>
        <w:t>应将融合后的数据成果，入库到城市数字底图管理平台的标准数据库中，用于对外提供标准数据服务。</w:t>
      </w:r>
    </w:p>
    <w:p>
      <w:pPr>
        <w:pStyle w:val="72"/>
        <w:spacing w:before="156" w:after="156"/>
      </w:pPr>
      <w:r>
        <w:t>数据</w:t>
      </w:r>
      <w:r>
        <w:rPr>
          <w:rFonts w:hint="eastAsia"/>
        </w:rPr>
        <w:t>成果管理</w:t>
      </w:r>
      <w:r>
        <w:t>阶段</w:t>
      </w:r>
    </w:p>
    <w:p>
      <w:pPr>
        <w:pStyle w:val="101"/>
        <w:spacing w:before="156" w:after="156"/>
      </w:pPr>
      <w:bookmarkStart w:id="186" w:name="_Toc11026"/>
      <w:bookmarkStart w:id="187" w:name="_Toc26254"/>
      <w:bookmarkStart w:id="188" w:name="_Toc17494"/>
      <w:bookmarkStart w:id="189" w:name="_Toc25817"/>
      <w:bookmarkStart w:id="190" w:name="_Toc4762"/>
      <w:bookmarkStart w:id="191" w:name="_Toc22496"/>
      <w:bookmarkStart w:id="192" w:name="_Toc19343"/>
      <w:bookmarkStart w:id="193" w:name="_Toc21411"/>
      <w:r>
        <w:rPr>
          <w:rFonts w:hint="eastAsia"/>
        </w:rPr>
        <w:t>数据更新</w:t>
      </w:r>
      <w:bookmarkEnd w:id="186"/>
      <w:bookmarkEnd w:id="187"/>
      <w:bookmarkEnd w:id="188"/>
      <w:bookmarkEnd w:id="189"/>
      <w:bookmarkEnd w:id="190"/>
      <w:bookmarkEnd w:id="191"/>
      <w:bookmarkEnd w:id="192"/>
      <w:bookmarkEnd w:id="193"/>
    </w:p>
    <w:p>
      <w:pPr>
        <w:pStyle w:val="236"/>
      </w:pPr>
      <w:r>
        <w:rPr>
          <w:rFonts w:hint="eastAsia"/>
          <w:color w:val="000000" w:themeColor="text1"/>
          <w14:textFill>
            <w14:solidFill>
              <w14:schemeClr w14:val="tx1"/>
            </w14:solidFill>
          </w14:textFill>
        </w:rPr>
        <w:t>数据更新按照数据属性及周期主要分为全量更新、定期更新和实时更新</w:t>
      </w:r>
      <w:r>
        <w:rPr>
          <w:rFonts w:hint="eastAsia"/>
        </w:rPr>
        <w:t>。</w:t>
      </w:r>
    </w:p>
    <w:p>
      <w:pPr>
        <w:pStyle w:val="101"/>
        <w:spacing w:before="156" w:after="156"/>
      </w:pPr>
      <w:bookmarkStart w:id="194" w:name="_Toc30834"/>
      <w:bookmarkStart w:id="195" w:name="_Toc25287"/>
      <w:bookmarkStart w:id="196" w:name="_Toc32084"/>
      <w:r>
        <w:rPr>
          <w:rFonts w:hint="eastAsia"/>
        </w:rPr>
        <w:t>数据回溯</w:t>
      </w:r>
      <w:bookmarkEnd w:id="194"/>
      <w:bookmarkEnd w:id="195"/>
      <w:bookmarkEnd w:id="196"/>
    </w:p>
    <w:p>
      <w:pPr>
        <w:pStyle w:val="63"/>
        <w:spacing w:before="156" w:after="156"/>
        <w:ind w:firstLine="420"/>
      </w:pPr>
      <w:r>
        <w:rPr>
          <w:rFonts w:hint="eastAsia"/>
        </w:rPr>
        <w:t>所有历史数据记录应进行历史库保存，并对数据的更新替换进行跟踪记录，实现数据的历史版本回溯管理。</w:t>
      </w:r>
    </w:p>
    <w:p>
      <w:pPr>
        <w:pStyle w:val="101"/>
        <w:spacing w:before="156" w:after="156"/>
      </w:pPr>
      <w:bookmarkStart w:id="197" w:name="_Toc9696"/>
      <w:bookmarkStart w:id="198" w:name="_Toc10923"/>
      <w:bookmarkStart w:id="199" w:name="_Toc3020"/>
      <w:r>
        <w:rPr>
          <w:rFonts w:hint="eastAsia"/>
        </w:rPr>
        <w:t>数据</w:t>
      </w:r>
      <w:bookmarkEnd w:id="197"/>
      <w:bookmarkEnd w:id="198"/>
      <w:bookmarkEnd w:id="199"/>
      <w:r>
        <w:rPr>
          <w:rFonts w:hint="eastAsia"/>
        </w:rPr>
        <w:t>服务</w:t>
      </w:r>
    </w:p>
    <w:p>
      <w:pPr>
        <w:pStyle w:val="174"/>
      </w:pPr>
      <w:r>
        <w:rPr>
          <w:rFonts w:hint="eastAsia"/>
          <w:lang w:bidi="ar"/>
        </w:rPr>
        <w:t>通过数据连接方式形成数据服务支撑城市治理各应用场景的需求。常用的数据连接方式有4种：以对象为中心连接，以空间关系为中心连接，以业务流为中心连接，以算法模型方式进行连接。</w:t>
      </w:r>
    </w:p>
    <w:p>
      <w:pPr>
        <w:pStyle w:val="174"/>
      </w:pPr>
      <w:r>
        <w:rPr>
          <w:rFonts w:hint="eastAsia"/>
        </w:rPr>
        <w:t>数据服务主要提供方式：</w:t>
      </w:r>
    </w:p>
    <w:p>
      <w:pPr>
        <w:pStyle w:val="63"/>
        <w:widowControl w:val="0"/>
        <w:numPr>
          <w:ilvl w:val="0"/>
          <w:numId w:val="36"/>
        </w:numPr>
        <w:autoSpaceDE/>
        <w:autoSpaceDN/>
        <w:ind w:firstLineChars="0"/>
      </w:pPr>
      <w:r>
        <w:rPr>
          <w:rFonts w:hint="eastAsia"/>
        </w:rPr>
        <w:t>Restful</w:t>
      </w:r>
      <w:r>
        <w:t xml:space="preserve"> </w:t>
      </w:r>
      <w:r>
        <w:rPr>
          <w:rFonts w:hint="eastAsia"/>
        </w:rPr>
        <w:t>API：</w:t>
      </w:r>
      <w:r>
        <w:t>基于 HTTP/HTTPS，使用 JSON 或 XML 传输数据</w:t>
      </w:r>
      <w:r>
        <w:rPr>
          <w:rFonts w:hint="eastAsia"/>
        </w:rPr>
        <w:t>。当前主流对接方式；</w:t>
      </w:r>
    </w:p>
    <w:p>
      <w:pPr>
        <w:pStyle w:val="63"/>
        <w:widowControl w:val="0"/>
        <w:numPr>
          <w:ilvl w:val="0"/>
          <w:numId w:val="36"/>
        </w:numPr>
        <w:autoSpaceDE/>
        <w:autoSpaceDN/>
        <w:ind w:firstLineChars="0"/>
      </w:pPr>
      <w:r>
        <w:t>SOAP Web Service</w:t>
      </w:r>
      <w:r>
        <w:rPr>
          <w:rFonts w:hint="eastAsia"/>
        </w:rPr>
        <w:t>：</w:t>
      </w:r>
      <w:r>
        <w:t>基于 XML 的协议，支持 WS-* 标准（如安全、事务、可靠消息）</w:t>
      </w:r>
      <w:r>
        <w:rPr>
          <w:rFonts w:hint="eastAsia"/>
        </w:rPr>
        <w:t>，对金融、政务数据等安全性和规范性要求较高的场景进行使用；</w:t>
      </w:r>
    </w:p>
    <w:p>
      <w:pPr>
        <w:pStyle w:val="63"/>
        <w:widowControl w:val="0"/>
        <w:numPr>
          <w:ilvl w:val="0"/>
          <w:numId w:val="36"/>
        </w:numPr>
        <w:autoSpaceDE/>
        <w:autoSpaceDN/>
        <w:ind w:firstLineChars="0"/>
      </w:pPr>
      <w:r>
        <w:t>消息队列（MQ）</w:t>
      </w:r>
      <w:r>
        <w:rPr>
          <w:rFonts w:hint="eastAsia"/>
        </w:rPr>
        <w:t>：基于第三方中间件实现异步、解耦、高并发、订单通知、日志采集等场景应用；</w:t>
      </w:r>
    </w:p>
    <w:p>
      <w:pPr>
        <w:pStyle w:val="63"/>
        <w:widowControl w:val="0"/>
        <w:numPr>
          <w:ilvl w:val="0"/>
          <w:numId w:val="36"/>
        </w:numPr>
        <w:autoSpaceDE/>
        <w:autoSpaceDN/>
        <w:ind w:firstLineChars="0"/>
      </w:pPr>
      <w:r>
        <w:t>文件交换</w:t>
      </w:r>
      <w:r>
        <w:rPr>
          <w:rFonts w:hint="eastAsia"/>
        </w:rPr>
        <w:t>：双方约定文件格式，如CSV、Excel、XML、JSON 等格式，在批量处理、非实时、大数据量等功场景应用；</w:t>
      </w:r>
    </w:p>
    <w:p>
      <w:pPr>
        <w:pStyle w:val="63"/>
        <w:widowControl w:val="0"/>
        <w:numPr>
          <w:ilvl w:val="0"/>
          <w:numId w:val="36"/>
        </w:numPr>
        <w:autoSpaceDE/>
        <w:autoSpaceDN/>
        <w:ind w:firstLineChars="0"/>
      </w:pPr>
      <w:r>
        <w:t>中间库</w:t>
      </w:r>
      <w:r>
        <w:rPr>
          <w:rFonts w:hint="eastAsia"/>
        </w:rPr>
        <w:t>：在实现简单、耦合度高的场景下，双方读写同一数据库中的特定表；</w:t>
      </w:r>
    </w:p>
    <w:p>
      <w:pPr>
        <w:pStyle w:val="63"/>
        <w:widowControl w:val="0"/>
        <w:numPr>
          <w:ilvl w:val="0"/>
          <w:numId w:val="36"/>
        </w:numPr>
        <w:autoSpaceDE/>
        <w:autoSpaceDN/>
        <w:ind w:firstLineChars="0"/>
      </w:pPr>
      <w:r>
        <w:rPr>
          <w:rFonts w:hint="eastAsia"/>
        </w:rPr>
        <w:t>ETL：对数据仓库、BI、主数据管理（MDM）等场景下的应用；</w:t>
      </w:r>
    </w:p>
    <w:p>
      <w:pPr>
        <w:pStyle w:val="63"/>
        <w:widowControl w:val="0"/>
        <w:numPr>
          <w:ilvl w:val="0"/>
          <w:numId w:val="36"/>
        </w:numPr>
        <w:autoSpaceDE/>
        <w:autoSpaceDN/>
        <w:ind w:firstLineChars="0"/>
      </w:pPr>
      <w:r>
        <w:t>Webhook</w:t>
      </w:r>
      <w:r>
        <w:rPr>
          <w:rFonts w:hint="eastAsia"/>
        </w:rPr>
        <w:t>：在支付回调、Git代码推送通知等场景下进行使用；</w:t>
      </w:r>
    </w:p>
    <w:p>
      <w:pPr>
        <w:pStyle w:val="63"/>
        <w:widowControl w:val="0"/>
        <w:numPr>
          <w:ilvl w:val="0"/>
          <w:numId w:val="36"/>
        </w:numPr>
        <w:autoSpaceDE/>
        <w:autoSpaceDN/>
        <w:ind w:firstLineChars="0"/>
      </w:pPr>
      <w:r>
        <w:t>gRPC</w:t>
      </w:r>
      <w:r>
        <w:rPr>
          <w:rFonts w:hint="eastAsia"/>
        </w:rPr>
        <w:t>：基于 HTTP/2 和 Protocol Buffers协议，在微服务内部进行高频通信。</w:t>
      </w:r>
    </w:p>
    <w:p>
      <w:pPr>
        <w:pStyle w:val="111"/>
        <w:spacing w:before="312" w:after="312"/>
        <w:rPr>
          <w:color w:val="000000" w:themeColor="text1"/>
          <w14:textFill>
            <w14:solidFill>
              <w14:schemeClr w14:val="tx1"/>
            </w14:solidFill>
          </w14:textFill>
        </w:rPr>
      </w:pPr>
      <w:bookmarkStart w:id="200" w:name="_Toc217916768"/>
      <w:bookmarkStart w:id="201" w:name="_Toc217912657"/>
      <w:bookmarkStart w:id="202" w:name="_Toc379992225"/>
      <w:bookmarkStart w:id="203" w:name="_Toc216189980"/>
      <w:bookmarkStart w:id="204" w:name="_Toc216189945"/>
      <w:r>
        <w:rPr>
          <w:rFonts w:hint="eastAsia"/>
          <w:color w:val="000000" w:themeColor="text1"/>
          <w14:textFill>
            <w14:solidFill>
              <w14:schemeClr w14:val="tx1"/>
            </w14:solidFill>
          </w14:textFill>
        </w:rPr>
        <w:t>建库要求</w:t>
      </w:r>
      <w:bookmarkEnd w:id="200"/>
      <w:bookmarkEnd w:id="201"/>
      <w:bookmarkEnd w:id="202"/>
      <w:bookmarkEnd w:id="203"/>
      <w:bookmarkEnd w:id="204"/>
    </w:p>
    <w:p>
      <w:pPr>
        <w:pStyle w:val="112"/>
        <w:spacing w:before="156" w:after="156"/>
        <w:rPr>
          <w:color w:val="000000" w:themeColor="text1"/>
          <w14:textFill>
            <w14:solidFill>
              <w14:schemeClr w14:val="tx1"/>
            </w14:solidFill>
          </w14:textFill>
        </w:rPr>
      </w:pPr>
      <w:bookmarkStart w:id="205" w:name="_Toc216189946"/>
      <w:bookmarkStart w:id="206" w:name="_Toc2060443044"/>
      <w:r>
        <w:rPr>
          <w:rFonts w:hint="eastAsia"/>
          <w:color w:val="000000" w:themeColor="text1"/>
          <w14:textFill>
            <w14:solidFill>
              <w14:schemeClr w14:val="tx1"/>
            </w14:solidFill>
          </w14:textFill>
        </w:rPr>
        <w:t>成果数据内容及要求</w:t>
      </w:r>
      <w:bookmarkEnd w:id="205"/>
      <w:bookmarkEnd w:id="206"/>
    </w:p>
    <w:p>
      <w:pPr>
        <w:pStyle w:val="72"/>
        <w:spacing w:before="156" w:after="156"/>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成果数据分类</w:t>
      </w:r>
    </w:p>
    <w:p>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成果数据应根据数据特性及治理方法的不同对数据进行分类，其常见分类及其定义如下：</w:t>
      </w:r>
    </w:p>
    <w:p>
      <w:pPr>
        <w:pStyle w:val="63"/>
        <w:widowControl w:val="0"/>
        <w:numPr>
          <w:ilvl w:val="0"/>
          <w:numId w:val="37"/>
        </w:numPr>
        <w:autoSpaceDE/>
        <w:autoSpaceDN/>
        <w:ind w:firstLineChars="0"/>
      </w:pPr>
      <w:r>
        <w:rPr>
          <w:rFonts w:hint="eastAsia"/>
          <w:bCs/>
        </w:rPr>
        <w:t>空间网格数据。</w:t>
      </w:r>
      <w:r>
        <w:rPr>
          <w:rFonts w:hint="eastAsia"/>
        </w:rPr>
        <w:t>涵盖城市治理业务的各级管理单元的范围界线数据，包括该管理单元的名称、编码、地理实体等基础属性。城市治理的空间网格主要包括：省、市、区县、街道乡镇、社区村、基层网格、小区院落、房屋建筑等层级；</w:t>
      </w:r>
    </w:p>
    <w:p>
      <w:pPr>
        <w:pStyle w:val="63"/>
        <w:widowControl w:val="0"/>
        <w:numPr>
          <w:ilvl w:val="0"/>
          <w:numId w:val="37"/>
        </w:numPr>
        <w:autoSpaceDE/>
        <w:autoSpaceDN/>
        <w:ind w:firstLineChars="0"/>
      </w:pPr>
      <w:r>
        <w:rPr>
          <w:rFonts w:hint="eastAsia"/>
          <w:bCs/>
        </w:rPr>
        <w:t>治理对象数据。</w:t>
      </w:r>
      <w:r>
        <w:rPr>
          <w:rFonts w:hint="eastAsia"/>
        </w:rPr>
        <w:t>涵盖城市治理业务的主要对象，包括企业法人、人口、房屋建筑、基础设施等。</w:t>
      </w:r>
    </w:p>
    <w:p>
      <w:pPr>
        <w:pStyle w:val="63"/>
        <w:widowControl w:val="0"/>
        <w:numPr>
          <w:ilvl w:val="0"/>
          <w:numId w:val="37"/>
        </w:numPr>
        <w:autoSpaceDE/>
        <w:autoSpaceDN/>
        <w:ind w:firstLineChars="0"/>
      </w:pPr>
      <w:r>
        <w:rPr>
          <w:rFonts w:hint="eastAsia"/>
          <w:bCs/>
        </w:rPr>
        <w:t>空间网格地理实体数据。</w:t>
      </w:r>
      <w:r>
        <w:rPr>
          <w:rFonts w:hint="eastAsia"/>
        </w:rPr>
        <w:t>是空间网格的地理表达数据，包含点、线、面二维地理对象，也包括BIM等三维模型等。</w:t>
      </w:r>
    </w:p>
    <w:p>
      <w:pPr>
        <w:pStyle w:val="72"/>
        <w:spacing w:before="156" w:after="156"/>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成果数据内容及格式</w:t>
      </w:r>
    </w:p>
    <w:p>
      <w:pPr>
        <w:pStyle w:val="101"/>
        <w:spacing w:before="156" w:after="156"/>
      </w:pPr>
      <w:r>
        <w:rPr>
          <w:rFonts w:hint="eastAsia"/>
        </w:rPr>
        <w:t>数据内容</w:t>
      </w:r>
    </w:p>
    <w:p>
      <w:pPr>
        <w:pStyle w:val="63"/>
        <w:ind w:firstLine="420"/>
      </w:pPr>
      <w:r>
        <w:rPr>
          <w:rFonts w:hint="eastAsia"/>
        </w:rPr>
        <w:t>城市治理对象的主要数据内容及格式参见附录C。</w:t>
      </w:r>
    </w:p>
    <w:p>
      <w:pPr>
        <w:pStyle w:val="101"/>
        <w:spacing w:before="156" w:after="156"/>
      </w:pPr>
      <w:r>
        <w:rPr>
          <w:rFonts w:hint="eastAsia"/>
        </w:rPr>
        <w:t>数据格式</w:t>
      </w:r>
    </w:p>
    <w:p>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在数据库中建立数据表时，应按以下规则对每个字段的数据类型与格式进行明确定义。</w:t>
      </w:r>
    </w:p>
    <w:p>
      <w:pPr>
        <w:pStyle w:val="63"/>
        <w:widowControl w:val="0"/>
        <w:numPr>
          <w:ilvl w:val="0"/>
          <w:numId w:val="38"/>
        </w:numPr>
        <w:autoSpaceDE/>
        <w:autoSpaceDN/>
        <w:ind w:firstLineChars="0"/>
      </w:pPr>
      <w:r>
        <w:rPr>
          <w:rFonts w:hint="eastAsia"/>
        </w:rPr>
        <w:t>避免滥用VARCHAR；</w:t>
      </w:r>
    </w:p>
    <w:p>
      <w:pPr>
        <w:pStyle w:val="188"/>
      </w:pPr>
      <w:r>
        <w:rPr>
          <w:rFonts w:hint="eastAsia"/>
        </w:rPr>
        <w:t>如手机号、商品编号等固定长度代码使用精确数据类型，姓名、地址则使用VARCHAR(N)。</w:t>
      </w:r>
    </w:p>
    <w:p>
      <w:pPr>
        <w:pStyle w:val="63"/>
        <w:widowControl w:val="0"/>
        <w:numPr>
          <w:ilvl w:val="0"/>
          <w:numId w:val="38"/>
        </w:numPr>
        <w:autoSpaceDE/>
        <w:autoSpaceDN/>
        <w:ind w:firstLineChars="0"/>
      </w:pPr>
      <w:r>
        <w:rPr>
          <w:rFonts w:hint="eastAsia"/>
        </w:rPr>
        <w:t>明确规定每个表中字段类型；</w:t>
      </w:r>
    </w:p>
    <w:p>
      <w:pPr>
        <w:pStyle w:val="188"/>
      </w:pPr>
      <w:r>
        <w:rPr>
          <w:rFonts w:hint="eastAsia"/>
        </w:rPr>
        <w:t>如INT，VARCHAR(N)，DECIMAL(10，2)</w:t>
      </w:r>
    </w:p>
    <w:p>
      <w:pPr>
        <w:pStyle w:val="63"/>
        <w:widowControl w:val="0"/>
        <w:numPr>
          <w:ilvl w:val="0"/>
          <w:numId w:val="38"/>
        </w:numPr>
        <w:autoSpaceDE/>
        <w:autoSpaceDN/>
        <w:ind w:firstLineChars="0"/>
      </w:pPr>
      <w:r>
        <w:rPr>
          <w:rFonts w:hint="eastAsia"/>
        </w:rPr>
        <w:t>布尔值统一用Y/N或1/0表示。</w:t>
      </w:r>
    </w:p>
    <w:p>
      <w:pPr>
        <w:pStyle w:val="188"/>
      </w:pPr>
      <w:r>
        <w:rPr>
          <w:rFonts w:hint="eastAsia"/>
        </w:rPr>
        <w:t>如金额类字段统一采用DECIMAL类型。</w:t>
      </w:r>
    </w:p>
    <w:p>
      <w:pPr>
        <w:pStyle w:val="72"/>
        <w:spacing w:before="156" w:after="156"/>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坐标框架</w:t>
      </w:r>
    </w:p>
    <w:p>
      <w:pPr>
        <w:pStyle w:val="236"/>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城市治理数据底座的坐标框架应按 GB 22021—2008的规定，采用 2000 国家大地坐标系（CGCS2000）和1985国家高程基准。</w:t>
      </w:r>
    </w:p>
    <w:p>
      <w:pPr>
        <w:pStyle w:val="72"/>
        <w:spacing w:before="156" w:after="156"/>
        <w:rPr>
          <w:color w:val="000000" w:themeColor="text1"/>
          <w:lang w:bidi="ar"/>
          <w14:textFill>
            <w14:solidFill>
              <w14:schemeClr w14:val="tx1"/>
            </w14:solidFill>
          </w14:textFill>
        </w:rPr>
      </w:pPr>
      <w:r>
        <w:rPr>
          <w:color w:val="000000" w:themeColor="text1"/>
          <w:lang w:bidi="ar"/>
          <w14:textFill>
            <w14:solidFill>
              <w14:schemeClr w14:val="tx1"/>
            </w14:solidFill>
          </w14:textFill>
        </w:rPr>
        <w:t>时间基准</w:t>
      </w:r>
    </w:p>
    <w:p>
      <w:pPr>
        <w:pStyle w:val="236"/>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时间基准应采用公元纪年和北京时间。</w:t>
      </w:r>
    </w:p>
    <w:p>
      <w:pPr>
        <w:pStyle w:val="112"/>
        <w:spacing w:before="156" w:after="156"/>
        <w:rPr>
          <w:color w:val="000000" w:themeColor="text1"/>
          <w14:textFill>
            <w14:solidFill>
              <w14:schemeClr w14:val="tx1"/>
            </w14:solidFill>
          </w14:textFill>
        </w:rPr>
      </w:pPr>
      <w:bookmarkStart w:id="207" w:name="_Toc1692432633"/>
      <w:bookmarkStart w:id="208" w:name="_Toc216189947"/>
      <w:r>
        <w:rPr>
          <w:rFonts w:hint="eastAsia"/>
          <w:color w:val="000000" w:themeColor="text1"/>
          <w14:textFill>
            <w14:solidFill>
              <w14:schemeClr w14:val="tx1"/>
            </w14:solidFill>
          </w14:textFill>
        </w:rPr>
        <w:t>库体设计</w:t>
      </w:r>
      <w:bookmarkEnd w:id="207"/>
      <w:bookmarkEnd w:id="208"/>
    </w:p>
    <w:p>
      <w:pPr>
        <w:pStyle w:val="72"/>
        <w:spacing w:before="156" w:after="156"/>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逻辑设计</w:t>
      </w:r>
    </w:p>
    <w:p>
      <w:pPr>
        <w:pStyle w:val="236"/>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应基于业务概念模型，设计清晰的逻辑结构，明确主题域划分、数据实体、属性及相互关系。</w:t>
      </w:r>
    </w:p>
    <w:p>
      <w:pPr>
        <w:pStyle w:val="72"/>
        <w:spacing w:before="156" w:after="156"/>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物理设计</w:t>
      </w:r>
    </w:p>
    <w:p>
      <w:pPr>
        <w:pStyle w:val="236"/>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应依据逻辑模型与性能需求，进行物理表结构、分区策略、索引方案及存储参数的设计。</w:t>
      </w:r>
    </w:p>
    <w:p>
      <w:pPr>
        <w:pStyle w:val="72"/>
        <w:spacing w:before="156" w:after="156"/>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备份与恢复设计</w:t>
      </w:r>
    </w:p>
    <w:p>
      <w:pPr>
        <w:pStyle w:val="236"/>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应制定数据备份与恢复策略，保障业务连续性。</w:t>
      </w:r>
    </w:p>
    <w:p>
      <w:pPr>
        <w:pStyle w:val="112"/>
        <w:spacing w:before="156" w:after="156"/>
        <w:rPr>
          <w:color w:val="000000" w:themeColor="text1"/>
          <w14:textFill>
            <w14:solidFill>
              <w14:schemeClr w14:val="tx1"/>
            </w14:solidFill>
          </w14:textFill>
        </w:rPr>
      </w:pPr>
      <w:bookmarkStart w:id="209" w:name="_Toc216189948"/>
      <w:bookmarkStart w:id="210" w:name="_Toc1294358316"/>
      <w:r>
        <w:rPr>
          <w:rFonts w:hint="eastAsia"/>
          <w:color w:val="000000" w:themeColor="text1"/>
          <w14:textFill>
            <w14:solidFill>
              <w14:schemeClr w14:val="tx1"/>
            </w14:solidFill>
          </w14:textFill>
        </w:rPr>
        <w:t>元数据管理</w:t>
      </w:r>
      <w:bookmarkEnd w:id="209"/>
      <w:bookmarkEnd w:id="210"/>
    </w:p>
    <w:p>
      <w:pPr>
        <w:pStyle w:val="172"/>
      </w:pPr>
      <w:r>
        <w:rPr>
          <w:rFonts w:hint="eastAsia"/>
        </w:rPr>
        <w:t>应提供元数据管理功能，对描述数据来源、格式、结构、含义等的基本信息进行记录和维护。</w:t>
      </w:r>
    </w:p>
    <w:p>
      <w:pPr>
        <w:pStyle w:val="172"/>
      </w:pPr>
      <w:r>
        <w:rPr>
          <w:rFonts w:hint="eastAsia"/>
        </w:rPr>
        <w:t>核心元数据应至少包含数据名称、业务定义、数据结构、来源系统、更新周期、责任人信息。</w:t>
      </w:r>
    </w:p>
    <w:p>
      <w:pPr>
        <w:pStyle w:val="172"/>
      </w:pPr>
      <w:r>
        <w:rPr>
          <w:rFonts w:hint="eastAsia"/>
        </w:rPr>
        <w:t>应支持元数据的基本查询服务，便于使用者发现和理解数据。</w:t>
      </w:r>
    </w:p>
    <w:p>
      <w:pPr>
        <w:pStyle w:val="112"/>
        <w:spacing w:before="156" w:after="156"/>
        <w:rPr>
          <w:color w:val="000000" w:themeColor="text1"/>
          <w14:textFill>
            <w14:solidFill>
              <w14:schemeClr w14:val="tx1"/>
            </w14:solidFill>
          </w14:textFill>
        </w:rPr>
      </w:pPr>
      <w:bookmarkStart w:id="211" w:name="_Toc216189949"/>
      <w:bookmarkStart w:id="212" w:name="_Toc270872902"/>
      <w:r>
        <w:rPr>
          <w:rFonts w:hint="eastAsia"/>
          <w:color w:val="000000" w:themeColor="text1"/>
          <w14:textFill>
            <w14:solidFill>
              <w14:schemeClr w14:val="tx1"/>
            </w14:solidFill>
          </w14:textFill>
        </w:rPr>
        <w:t>数据管理</w:t>
      </w:r>
      <w:bookmarkEnd w:id="211"/>
      <w:bookmarkEnd w:id="212"/>
    </w:p>
    <w:p>
      <w:pPr>
        <w:pStyle w:val="172"/>
      </w:pPr>
      <w:r>
        <w:rPr>
          <w:rFonts w:hint="eastAsia"/>
        </w:rPr>
        <w:t>应建立数据更新、归档与销毁等全生命周期管理机制。</w:t>
      </w:r>
    </w:p>
    <w:p>
      <w:pPr>
        <w:pStyle w:val="172"/>
      </w:pPr>
      <w:r>
        <w:rPr>
          <w:rFonts w:hint="eastAsia"/>
        </w:rPr>
        <w:t>应实现数据版本管理，支持历史数据状态查询与回溯。</w:t>
      </w:r>
    </w:p>
    <w:p>
      <w:pPr>
        <w:pStyle w:val="172"/>
      </w:pPr>
      <w:r>
        <w:rPr>
          <w:rFonts w:hint="eastAsia"/>
        </w:rPr>
        <w:t>应建立定期的数据维护流程。</w:t>
      </w:r>
    </w:p>
    <w:p>
      <w:pPr>
        <w:pStyle w:val="111"/>
        <w:spacing w:before="312" w:after="312"/>
        <w:rPr>
          <w:color w:val="000000" w:themeColor="text1"/>
          <w14:textFill>
            <w14:solidFill>
              <w14:schemeClr w14:val="tx1"/>
            </w14:solidFill>
          </w14:textFill>
        </w:rPr>
      </w:pPr>
      <w:bookmarkStart w:id="213" w:name="_Toc217916769"/>
      <w:bookmarkStart w:id="214" w:name="_Toc217912658"/>
      <w:bookmarkStart w:id="215" w:name="_Toc216189981"/>
      <w:bookmarkStart w:id="216" w:name="_Toc216189950"/>
      <w:bookmarkStart w:id="217" w:name="_Toc2043015921"/>
      <w:r>
        <w:rPr>
          <w:rFonts w:hint="eastAsia"/>
          <w:color w:val="000000" w:themeColor="text1"/>
          <w14:textFill>
            <w14:solidFill>
              <w14:schemeClr w14:val="tx1"/>
            </w14:solidFill>
          </w14:textFill>
        </w:rPr>
        <w:t>数据质量</w:t>
      </w:r>
      <w:bookmarkEnd w:id="213"/>
      <w:bookmarkEnd w:id="214"/>
      <w:bookmarkEnd w:id="215"/>
      <w:bookmarkEnd w:id="216"/>
      <w:bookmarkEnd w:id="217"/>
    </w:p>
    <w:p>
      <w:pPr>
        <w:pStyle w:val="112"/>
        <w:numPr>
          <w:ilvl w:val="2"/>
          <w:numId w:val="0"/>
        </w:numPr>
        <w:spacing w:before="156" w:after="156"/>
        <w:rPr>
          <w:color w:val="000000" w:themeColor="text1"/>
          <w14:textFill>
            <w14:solidFill>
              <w14:schemeClr w14:val="tx1"/>
            </w14:solidFill>
          </w14:textFill>
        </w:rPr>
      </w:pPr>
      <w:bookmarkStart w:id="218" w:name="_Toc216189951"/>
      <w:bookmarkStart w:id="219" w:name="_Toc852552364"/>
      <w:r>
        <w:rPr>
          <w:rFonts w:hint="eastAsia"/>
          <w:color w:val="000000" w:themeColor="text1"/>
          <w14:textFill>
            <w14:solidFill>
              <w14:schemeClr w14:val="tx1"/>
            </w14:solidFill>
          </w14:textFill>
        </w:rPr>
        <w:t>8.1数据质量要求</w:t>
      </w:r>
      <w:bookmarkEnd w:id="218"/>
      <w:bookmarkEnd w:id="219"/>
    </w:p>
    <w:p>
      <w:pPr>
        <w:pStyle w:val="112"/>
        <w:numPr>
          <w:ilvl w:val="2"/>
          <w:numId w:val="0"/>
        </w:numPr>
        <w:spacing w:before="156" w:after="156"/>
        <w:outlineLvl w:val="2"/>
        <w:rPr>
          <w:color w:val="000000" w:themeColor="text1"/>
          <w14:textFill>
            <w14:solidFill>
              <w14:schemeClr w14:val="tx1"/>
            </w14:solidFill>
          </w14:textFill>
        </w:rPr>
      </w:pPr>
      <w:bookmarkStart w:id="220" w:name="_Toc836688964"/>
      <w:bookmarkStart w:id="221" w:name="_Toc216189952"/>
      <w:r>
        <w:rPr>
          <w:rFonts w:hint="eastAsia"/>
          <w:color w:val="000000" w:themeColor="text1"/>
          <w14:textFill>
            <w14:solidFill>
              <w14:schemeClr w14:val="tx1"/>
            </w14:solidFill>
          </w14:textFill>
        </w:rPr>
        <w:t>8.1.1 数据质量管控</w:t>
      </w:r>
      <w:bookmarkEnd w:id="220"/>
      <w:bookmarkEnd w:id="221"/>
    </w:p>
    <w:p>
      <w:pPr>
        <w:pStyle w:val="171"/>
      </w:pPr>
      <w:r>
        <w:rPr>
          <w:rFonts w:hint="eastAsia"/>
        </w:rPr>
        <w:t>数据质量管控应覆盖数据</w:t>
      </w:r>
      <w:r>
        <w:t>采集、清洗、融合、建库、服务与销毁</w:t>
      </w:r>
      <w:r>
        <w:rPr>
          <w:rFonts w:hint="eastAsia"/>
        </w:rPr>
        <w:t>的全生命周期。数据质量评价应依据GB/T 36344的规定，</w:t>
      </w:r>
      <w:r>
        <w:t>从准确性、完整性、一致性、及时性、唯一性和有效性等维度开展量化评估</w:t>
      </w:r>
      <w:r>
        <w:rPr>
          <w:rFonts w:hint="eastAsia"/>
        </w:rPr>
        <w:t>。</w:t>
      </w:r>
    </w:p>
    <w:p>
      <w:pPr>
        <w:pStyle w:val="171"/>
      </w:pPr>
      <w:r>
        <w:rPr>
          <w:rFonts w:hint="eastAsia"/>
        </w:rPr>
        <w:t>数据质量管理的</w:t>
      </w:r>
      <w:r>
        <w:t>组织、流程与技术能力要求应遵循</w:t>
      </w:r>
      <w:r>
        <w:rPr>
          <w:rFonts w:hint="eastAsia"/>
        </w:rPr>
        <w:t>GB/T 36073的规定。</w:t>
      </w:r>
    </w:p>
    <w:p>
      <w:pPr>
        <w:pStyle w:val="112"/>
        <w:numPr>
          <w:ilvl w:val="2"/>
          <w:numId w:val="0"/>
        </w:numPr>
        <w:spacing w:before="156" w:after="156"/>
        <w:outlineLvl w:val="2"/>
        <w:rPr>
          <w:color w:val="000000" w:themeColor="text1"/>
          <w14:textFill>
            <w14:solidFill>
              <w14:schemeClr w14:val="tx1"/>
            </w14:solidFill>
          </w14:textFill>
        </w:rPr>
      </w:pPr>
      <w:bookmarkStart w:id="222" w:name="_Toc216189953"/>
      <w:bookmarkStart w:id="223" w:name="_Toc508497392"/>
      <w:r>
        <w:rPr>
          <w:rFonts w:hint="eastAsia"/>
          <w:color w:val="000000" w:themeColor="text1"/>
          <w14:textFill>
            <w14:solidFill>
              <w14:schemeClr w14:val="tx1"/>
            </w14:solidFill>
          </w14:textFill>
        </w:rPr>
        <w:t>8.1.2 质量要素</w:t>
      </w:r>
      <w:bookmarkEnd w:id="222"/>
      <w:bookmarkEnd w:id="223"/>
    </w:p>
    <w:p>
      <w:pPr>
        <w:pStyle w:val="63"/>
        <w:ind w:firstLine="420"/>
      </w:pPr>
      <w:r>
        <w:rPr>
          <w:rFonts w:hint="eastAsia"/>
        </w:rPr>
        <w:t>数据成果应满足以下质量要素要求：</w:t>
      </w:r>
    </w:p>
    <w:p>
      <w:pPr>
        <w:pStyle w:val="245"/>
        <w:numPr>
          <w:ilvl w:val="1"/>
          <w:numId w:val="28"/>
        </w:numPr>
        <w:ind w:leftChars="0"/>
        <w:rPr>
          <w:rFonts w:ascii="宋体" w:hAnsi="Times New Roman"/>
          <w:bCs/>
          <w:color w:val="000000" w:themeColor="text1"/>
          <w:szCs w:val="20"/>
          <w14:textFill>
            <w14:solidFill>
              <w14:schemeClr w14:val="tx1"/>
            </w14:solidFill>
          </w14:textFill>
        </w:rPr>
      </w:pPr>
      <w:r>
        <w:rPr>
          <w:rFonts w:hint="eastAsia" w:ascii="宋体" w:hAnsi="Times New Roman"/>
          <w:bCs/>
          <w:color w:val="000000" w:themeColor="text1"/>
          <w:szCs w:val="20"/>
          <w14:textFill>
            <w14:solidFill>
              <w14:schemeClr w14:val="tx1"/>
            </w14:solidFill>
          </w14:textFill>
        </w:rPr>
        <w:t>完整性：确保数据集合、记录、属性值完整，无遗漏缺失。</w:t>
      </w:r>
    </w:p>
    <w:p>
      <w:pPr>
        <w:pStyle w:val="245"/>
        <w:numPr>
          <w:ilvl w:val="1"/>
          <w:numId w:val="28"/>
        </w:numPr>
        <w:ind w:leftChars="0"/>
        <w:rPr>
          <w:rFonts w:ascii="宋体" w:hAnsi="Times New Roman"/>
          <w:bCs/>
          <w:color w:val="000000" w:themeColor="text1"/>
          <w:szCs w:val="20"/>
          <w14:textFill>
            <w14:solidFill>
              <w14:schemeClr w14:val="tx1"/>
            </w14:solidFill>
          </w14:textFill>
        </w:rPr>
      </w:pPr>
      <w:r>
        <w:rPr>
          <w:rFonts w:hint="eastAsia" w:ascii="宋体" w:hAnsi="Times New Roman"/>
          <w:bCs/>
          <w:color w:val="000000" w:themeColor="text1"/>
          <w:szCs w:val="20"/>
          <w14:textFill>
            <w14:solidFill>
              <w14:schemeClr w14:val="tx1"/>
            </w14:solidFill>
          </w14:textFill>
        </w:rPr>
        <w:t>准确性：数据内容、空间位置、关联关系必须准确反映客观现实。</w:t>
      </w:r>
    </w:p>
    <w:p>
      <w:pPr>
        <w:pStyle w:val="245"/>
        <w:numPr>
          <w:ilvl w:val="1"/>
          <w:numId w:val="28"/>
        </w:numPr>
        <w:ind w:leftChars="0"/>
        <w:rPr>
          <w:rFonts w:ascii="宋体" w:hAnsi="Times New Roman"/>
          <w:bCs/>
          <w:color w:val="000000" w:themeColor="text1"/>
          <w:szCs w:val="20"/>
          <w14:textFill>
            <w14:solidFill>
              <w14:schemeClr w14:val="tx1"/>
            </w14:solidFill>
          </w14:textFill>
        </w:rPr>
      </w:pPr>
      <w:r>
        <w:rPr>
          <w:rFonts w:hint="eastAsia" w:ascii="宋体" w:hAnsi="Times New Roman"/>
          <w:bCs/>
          <w:color w:val="000000" w:themeColor="text1"/>
          <w:szCs w:val="20"/>
          <w14:textFill>
            <w14:solidFill>
              <w14:schemeClr w14:val="tx1"/>
            </w14:solidFill>
          </w14:textFill>
        </w:rPr>
        <w:t>一致性：同一数据在不同环节、不同系统中应保持逻辑和值的一致性。</w:t>
      </w:r>
    </w:p>
    <w:p>
      <w:pPr>
        <w:pStyle w:val="245"/>
        <w:numPr>
          <w:ilvl w:val="1"/>
          <w:numId w:val="28"/>
        </w:numPr>
        <w:ind w:leftChars="0"/>
        <w:rPr>
          <w:rFonts w:ascii="宋体" w:hAnsi="Times New Roman"/>
          <w:bCs/>
          <w:color w:val="000000" w:themeColor="text1"/>
          <w:szCs w:val="20"/>
          <w14:textFill>
            <w14:solidFill>
              <w14:schemeClr w14:val="tx1"/>
            </w14:solidFill>
          </w14:textFill>
        </w:rPr>
      </w:pPr>
      <w:r>
        <w:rPr>
          <w:rFonts w:hint="eastAsia" w:ascii="宋体" w:hAnsi="Times New Roman"/>
          <w:bCs/>
          <w:color w:val="000000" w:themeColor="text1"/>
          <w:szCs w:val="20"/>
          <w14:textFill>
            <w14:solidFill>
              <w14:schemeClr w14:val="tx1"/>
            </w14:solidFill>
          </w14:textFill>
        </w:rPr>
        <w:t>时效性：数据应在其有效时间范围内，并能满足业务对数据更新周期的要求。</w:t>
      </w:r>
    </w:p>
    <w:p>
      <w:pPr>
        <w:pStyle w:val="245"/>
        <w:numPr>
          <w:ilvl w:val="1"/>
          <w:numId w:val="28"/>
        </w:numPr>
        <w:ind w:leftChars="0"/>
      </w:pPr>
      <w:r>
        <w:rPr>
          <w:rFonts w:hint="eastAsia" w:ascii="宋体" w:hAnsi="Times New Roman"/>
          <w:bCs/>
          <w:color w:val="000000" w:themeColor="text1"/>
          <w:szCs w:val="20"/>
          <w14:textFill>
            <w14:solidFill>
              <w14:schemeClr w14:val="tx1"/>
            </w14:solidFill>
          </w14:textFill>
        </w:rPr>
        <w:t>规范性：数据的格式、编码、结构等应符合本文件所引用的标准。</w:t>
      </w:r>
    </w:p>
    <w:p>
      <w:pPr>
        <w:pStyle w:val="112"/>
        <w:numPr>
          <w:ilvl w:val="2"/>
          <w:numId w:val="0"/>
        </w:numPr>
        <w:spacing w:before="156" w:after="156"/>
        <w:rPr>
          <w:color w:val="000000" w:themeColor="text1"/>
          <w14:textFill>
            <w14:solidFill>
              <w14:schemeClr w14:val="tx1"/>
            </w14:solidFill>
          </w14:textFill>
        </w:rPr>
      </w:pPr>
      <w:bookmarkStart w:id="224" w:name="_Toc1478235931"/>
      <w:bookmarkStart w:id="225" w:name="_Toc216189954"/>
      <w:r>
        <w:rPr>
          <w:rFonts w:hint="eastAsia"/>
          <w:color w:val="000000" w:themeColor="text1"/>
          <w14:textFill>
            <w14:solidFill>
              <w14:schemeClr w14:val="tx1"/>
            </w14:solidFill>
          </w14:textFill>
        </w:rPr>
        <w:t>8.2 质量管控机制</w:t>
      </w:r>
      <w:bookmarkEnd w:id="224"/>
      <w:bookmarkEnd w:id="225"/>
    </w:p>
    <w:p>
      <w:pPr>
        <w:pStyle w:val="112"/>
        <w:numPr>
          <w:ilvl w:val="2"/>
          <w:numId w:val="0"/>
        </w:numPr>
        <w:spacing w:before="156" w:after="156"/>
        <w:outlineLvl w:val="2"/>
        <w:rPr>
          <w:color w:val="000000" w:themeColor="text1"/>
          <w14:textFill>
            <w14:solidFill>
              <w14:schemeClr w14:val="tx1"/>
            </w14:solidFill>
          </w14:textFill>
        </w:rPr>
      </w:pPr>
      <w:bookmarkStart w:id="226" w:name="_Toc472980174"/>
      <w:bookmarkStart w:id="227" w:name="_Toc216189955"/>
      <w:r>
        <w:rPr>
          <w:rFonts w:hint="eastAsia"/>
          <w:color w:val="000000" w:themeColor="text1"/>
          <w14:textFill>
            <w14:solidFill>
              <w14:schemeClr w14:val="tx1"/>
            </w14:solidFill>
          </w14:textFill>
        </w:rPr>
        <w:t>8.2.1 控制流程</w:t>
      </w:r>
      <w:bookmarkEnd w:id="226"/>
      <w:bookmarkEnd w:id="227"/>
    </w:p>
    <w:p>
      <w:pPr>
        <w:pStyle w:val="171"/>
      </w:pPr>
      <w:r>
        <w:rPr>
          <w:rFonts w:hint="eastAsia"/>
        </w:rPr>
        <w:t>应建立“入库前检查、入库中校验、入库后评估”的全程质量管控流程。</w:t>
      </w:r>
    </w:p>
    <w:p>
      <w:pPr>
        <w:pStyle w:val="171"/>
      </w:pPr>
      <w:r>
        <w:rPr>
          <w:rFonts w:hint="eastAsia"/>
        </w:rPr>
        <w:t>数源部门应对提供数据的格式、类型和字段等内容质量和时效性负责，确保其符合国家、行业标准和相关主管部门的规范。</w:t>
      </w:r>
    </w:p>
    <w:p>
      <w:pPr>
        <w:pStyle w:val="171"/>
      </w:pPr>
      <w:r>
        <w:rPr>
          <w:rFonts w:hint="eastAsia"/>
        </w:rPr>
        <w:t>数据汇集部门应对数据归集、清洗、融合、转换、质检及入库建库等全过程进行质量控制，确保交付的数据成果符合既定规范。</w:t>
      </w:r>
    </w:p>
    <w:p>
      <w:pPr>
        <w:pStyle w:val="171"/>
      </w:pPr>
      <w:r>
        <w:rPr>
          <w:rFonts w:hint="eastAsia"/>
        </w:rPr>
        <w:t>数据需求部门应在数据使用过程中，及时反馈发现的数据质量问题，并配合进行问题确认与溯源。</w:t>
      </w:r>
    </w:p>
    <w:p>
      <w:pPr>
        <w:pStyle w:val="112"/>
        <w:numPr>
          <w:ilvl w:val="2"/>
          <w:numId w:val="0"/>
        </w:numPr>
        <w:spacing w:before="156" w:after="156"/>
        <w:outlineLvl w:val="2"/>
        <w:rPr>
          <w:color w:val="000000" w:themeColor="text1"/>
          <w14:textFill>
            <w14:solidFill>
              <w14:schemeClr w14:val="tx1"/>
            </w14:solidFill>
          </w14:textFill>
        </w:rPr>
      </w:pPr>
      <w:bookmarkStart w:id="228" w:name="_Toc1540806871"/>
      <w:bookmarkStart w:id="229" w:name="_Toc216189956"/>
      <w:r>
        <w:rPr>
          <w:rFonts w:hint="eastAsia"/>
          <w:color w:val="000000" w:themeColor="text1"/>
          <w14:textFill>
            <w14:solidFill>
              <w14:schemeClr w14:val="tx1"/>
            </w14:solidFill>
          </w14:textFill>
        </w:rPr>
        <w:t>8.2.2 质量检查与验证</w:t>
      </w:r>
      <w:bookmarkEnd w:id="228"/>
      <w:bookmarkEnd w:id="229"/>
    </w:p>
    <w:p>
      <w:pPr>
        <w:pStyle w:val="171"/>
      </w:pPr>
      <w:r>
        <w:rPr>
          <w:rFonts w:hint="eastAsia"/>
        </w:rPr>
        <w:t>应建立统一的检查规则库，对数据成果进行自动化或与人工相结合的质量检查。</w:t>
      </w:r>
    </w:p>
    <w:p>
      <w:pPr>
        <w:pStyle w:val="171"/>
      </w:pPr>
      <w:r>
        <w:rPr>
          <w:rFonts w:hint="eastAsia"/>
        </w:rPr>
        <w:t>质量检查内容应至少覆盖9.1.2中定义的各项质量要素。</w:t>
      </w:r>
    </w:p>
    <w:p>
      <w:pPr>
        <w:pStyle w:val="171"/>
      </w:pPr>
      <w:r>
        <w:rPr>
          <w:rFonts w:hint="eastAsia"/>
        </w:rPr>
        <w:t>对检查发现的质量问题，应记录、跟踪并反馈至9.2.1中规定的责任方，直至问题解决并验证通过。</w:t>
      </w:r>
    </w:p>
    <w:p>
      <w:pPr>
        <w:pStyle w:val="171"/>
      </w:pPr>
      <w:r>
        <w:rPr>
          <w:rFonts w:hint="eastAsia"/>
        </w:rPr>
        <w:t>应定期生成数据质量报告，评估整体数据健康度，并指导质量持续改进。</w:t>
      </w:r>
    </w:p>
    <w:p>
      <w:pPr>
        <w:pStyle w:val="111"/>
        <w:spacing w:before="312" w:after="312"/>
        <w:rPr>
          <w:color w:val="000000" w:themeColor="text1"/>
          <w14:textFill>
            <w14:solidFill>
              <w14:schemeClr w14:val="tx1"/>
            </w14:solidFill>
          </w14:textFill>
        </w:rPr>
      </w:pPr>
      <w:bookmarkStart w:id="230" w:name="_Toc217912659"/>
      <w:bookmarkStart w:id="231" w:name="_Toc1983265371"/>
      <w:bookmarkStart w:id="232" w:name="_Toc216189982"/>
      <w:bookmarkStart w:id="233" w:name="_Toc217916770"/>
      <w:bookmarkStart w:id="234" w:name="_Toc216189957"/>
      <w:r>
        <w:rPr>
          <w:rFonts w:hint="eastAsia"/>
          <w:color w:val="000000" w:themeColor="text1"/>
          <w14:textFill>
            <w14:solidFill>
              <w14:schemeClr w14:val="tx1"/>
            </w14:solidFill>
          </w14:textFill>
        </w:rPr>
        <w:t>数据安全与合规</w:t>
      </w:r>
      <w:bookmarkEnd w:id="230"/>
      <w:bookmarkEnd w:id="231"/>
      <w:bookmarkEnd w:id="232"/>
      <w:bookmarkEnd w:id="233"/>
      <w:bookmarkEnd w:id="234"/>
    </w:p>
    <w:p>
      <w:pPr>
        <w:pStyle w:val="112"/>
        <w:spacing w:before="156" w:after="156"/>
        <w:rPr>
          <w:color w:val="000000" w:themeColor="text1"/>
          <w14:textFill>
            <w14:solidFill>
              <w14:schemeClr w14:val="tx1"/>
            </w14:solidFill>
          </w14:textFill>
        </w:rPr>
      </w:pPr>
      <w:bookmarkStart w:id="235" w:name="_Toc1647405310"/>
      <w:bookmarkStart w:id="236" w:name="_Toc216189958"/>
      <w:r>
        <w:rPr>
          <w:rFonts w:hint="eastAsia"/>
          <w:color w:val="000000" w:themeColor="text1"/>
          <w14:textFill>
            <w14:solidFill>
              <w14:schemeClr w14:val="tx1"/>
            </w14:solidFill>
          </w14:textFill>
        </w:rPr>
        <w:t>基本要求</w:t>
      </w:r>
      <w:bookmarkEnd w:id="235"/>
      <w:bookmarkEnd w:id="236"/>
    </w:p>
    <w:p>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数据安全应覆盖数据处理、入库、更新、归档与销毁全生命周期，确保数据在非授权访问下不可识别。</w:t>
      </w:r>
    </w:p>
    <w:p>
      <w:pPr>
        <w:pStyle w:val="112"/>
        <w:spacing w:before="156" w:after="156"/>
        <w:rPr>
          <w:color w:val="000000" w:themeColor="text1"/>
          <w14:textFill>
            <w14:solidFill>
              <w14:schemeClr w14:val="tx1"/>
            </w14:solidFill>
          </w14:textFill>
        </w:rPr>
      </w:pPr>
      <w:bookmarkStart w:id="237" w:name="_Toc434384399"/>
      <w:bookmarkStart w:id="238" w:name="_Toc216189959"/>
      <w:r>
        <w:rPr>
          <w:color w:val="000000" w:themeColor="text1"/>
          <w14:textFill>
            <w14:solidFill>
              <w14:schemeClr w14:val="tx1"/>
            </w14:solidFill>
          </w14:textFill>
        </w:rPr>
        <w:t>数据加密与访问控制</w:t>
      </w:r>
      <w:bookmarkEnd w:id="237"/>
      <w:bookmarkEnd w:id="238"/>
    </w:p>
    <w:p>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根据数据状态与</w:t>
      </w:r>
      <w:r>
        <w:rPr>
          <w:rFonts w:hint="eastAsia"/>
          <w:color w:val="000000" w:themeColor="text1"/>
          <w14:textFill>
            <w14:solidFill>
              <w14:schemeClr w14:val="tx1"/>
            </w14:solidFill>
          </w14:textFill>
        </w:rPr>
        <w:t>敏感</w:t>
      </w:r>
      <w:r>
        <w:rPr>
          <w:color w:val="000000" w:themeColor="text1"/>
          <w14:textFill>
            <w14:solidFill>
              <w14:schemeClr w14:val="tx1"/>
            </w14:solidFill>
          </w14:textFill>
        </w:rPr>
        <w:t>等级制定符合下列规定的数据加密与访问要求</w:t>
      </w:r>
      <w:r>
        <w:rPr>
          <w:rFonts w:hint="eastAsia"/>
          <w:color w:val="000000" w:themeColor="text1"/>
          <w14:textFill>
            <w14:solidFill>
              <w14:schemeClr w14:val="tx1"/>
            </w14:solidFill>
          </w14:textFill>
        </w:rPr>
        <w:t>。</w:t>
      </w:r>
    </w:p>
    <w:p>
      <w:pPr>
        <w:pStyle w:val="181"/>
        <w:numPr>
          <w:ilvl w:val="0"/>
          <w:numId w:val="39"/>
        </w:numPr>
        <w:rPr>
          <w:color w:val="000000" w:themeColor="text1"/>
          <w14:textFill>
            <w14:solidFill>
              <w14:schemeClr w14:val="tx1"/>
            </w14:solidFill>
          </w14:textFill>
        </w:rPr>
      </w:pPr>
      <w:r>
        <w:rPr>
          <w:color w:val="000000" w:themeColor="text1"/>
          <w14:textFill>
            <w14:solidFill>
              <w14:schemeClr w14:val="tx1"/>
            </w14:solidFill>
          </w14:textFill>
        </w:rPr>
        <w:t>传输通道加密要求如下</w:t>
      </w:r>
      <w:r>
        <w:rPr>
          <w:rFonts w:hint="eastAsia"/>
          <w:color w:val="000000" w:themeColor="text1"/>
          <w14:textFill>
            <w14:solidFill>
              <w14:schemeClr w14:val="tx1"/>
            </w14:solidFill>
          </w14:textFill>
        </w:rPr>
        <w:t>：</w:t>
      </w:r>
    </w:p>
    <w:p>
      <w:pPr>
        <w:pStyle w:val="116"/>
        <w:tabs>
          <w:tab w:val="left" w:pos="851"/>
        </w:tabs>
        <w:rPr>
          <w:color w:val="000000" w:themeColor="text1"/>
          <w14:textFill>
            <w14:solidFill>
              <w14:schemeClr w14:val="tx1"/>
            </w14:solidFill>
          </w14:textFill>
        </w:rPr>
      </w:pPr>
      <w:r>
        <w:rPr>
          <w:rFonts w:hint="eastAsia"/>
          <w:color w:val="000000" w:themeColor="text1"/>
          <w14:textFill>
            <w14:solidFill>
              <w14:schemeClr w14:val="tx1"/>
            </w14:solidFill>
          </w14:textFill>
        </w:rPr>
        <w:t>所有的</w:t>
      </w:r>
      <w:r>
        <w:rPr>
          <w:color w:val="000000" w:themeColor="text1"/>
          <w14:textFill>
            <w14:solidFill>
              <w14:schemeClr w14:val="tx1"/>
            </w14:solidFill>
          </w14:textFill>
        </w:rPr>
        <w:t>HTTP/API接口应使用</w:t>
      </w:r>
      <w:r>
        <w:rPr>
          <w:rFonts w:hint="eastAsia"/>
          <w:color w:val="000000" w:themeColor="text1"/>
          <w14:textFill>
            <w14:solidFill>
              <w14:schemeClr w14:val="tx1"/>
            </w14:solidFill>
          </w14:textFill>
        </w:rPr>
        <w:t>TLS</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SSL协议通信；</w:t>
      </w:r>
    </w:p>
    <w:p>
      <w:pPr>
        <w:pStyle w:val="116"/>
        <w:tabs>
          <w:tab w:val="left" w:pos="851"/>
        </w:tabs>
        <w:rPr>
          <w:color w:val="000000" w:themeColor="text1"/>
          <w14:textFill>
            <w14:solidFill>
              <w14:schemeClr w14:val="tx1"/>
            </w14:solidFill>
          </w14:textFill>
        </w:rPr>
      </w:pPr>
      <w:r>
        <w:rPr>
          <w:rFonts w:hint="eastAsia"/>
          <w:color w:val="000000" w:themeColor="text1"/>
          <w14:textFill>
            <w14:solidFill>
              <w14:schemeClr w14:val="tx1"/>
            </w14:solidFill>
          </w14:textFill>
        </w:rPr>
        <w:t>从</w:t>
      </w:r>
      <w:r>
        <w:rPr>
          <w:color w:val="000000" w:themeColor="text1"/>
          <w14:textFill>
            <w14:solidFill>
              <w14:schemeClr w14:val="tx1"/>
            </w14:solidFill>
          </w14:textFill>
        </w:rPr>
        <w:t>政务外网或其他隔离网络接入的数据，应采用IPSec VPN或运营商专线建立加密隧道</w:t>
      </w:r>
      <w:r>
        <w:rPr>
          <w:rFonts w:hint="eastAsia"/>
          <w:color w:val="000000" w:themeColor="text1"/>
          <w14:textFill>
            <w14:solidFill>
              <w14:schemeClr w14:val="tx1"/>
            </w14:solidFill>
          </w14:textFill>
        </w:rPr>
        <w:t>；</w:t>
      </w:r>
    </w:p>
    <w:p>
      <w:pPr>
        <w:pStyle w:val="116"/>
        <w:tabs>
          <w:tab w:val="left" w:pos="851"/>
        </w:tabs>
        <w:rPr>
          <w:color w:val="000000" w:themeColor="text1"/>
          <w14:textFill>
            <w14:solidFill>
              <w14:schemeClr w14:val="tx1"/>
            </w14:solidFill>
          </w14:textFill>
        </w:rPr>
      </w:pPr>
      <w:r>
        <w:rPr>
          <w:color w:val="000000" w:themeColor="text1"/>
          <w14:textFill>
            <w14:solidFill>
              <w14:schemeClr w14:val="tx1"/>
            </w14:solidFill>
          </w14:textFill>
        </w:rPr>
        <w:t>数据离开源端上传前，应由客户端使用</w:t>
      </w:r>
      <w:r>
        <w:rPr>
          <w:rFonts w:hint="eastAsia"/>
          <w:color w:val="000000" w:themeColor="text1"/>
          <w14:textFill>
            <w14:solidFill>
              <w14:schemeClr w14:val="tx1"/>
            </w14:solidFill>
          </w14:textFill>
        </w:rPr>
        <w:t>专有</w:t>
      </w:r>
      <w:r>
        <w:rPr>
          <w:color w:val="000000" w:themeColor="text1"/>
          <w14:textFill>
            <w14:solidFill>
              <w14:schemeClr w14:val="tx1"/>
            </w14:solidFill>
          </w14:textFill>
        </w:rPr>
        <w:t>公钥进行加密，确保处于密文状态。</w:t>
      </w:r>
    </w:p>
    <w:p>
      <w:pPr>
        <w:pStyle w:val="181"/>
        <w:numPr>
          <w:ilvl w:val="0"/>
          <w:numId w:val="39"/>
        </w:numPr>
        <w:rPr>
          <w:color w:val="000000" w:themeColor="text1"/>
          <w14:textFill>
            <w14:solidFill>
              <w14:schemeClr w14:val="tx1"/>
            </w14:solidFill>
          </w14:textFill>
        </w:rPr>
      </w:pPr>
      <w:r>
        <w:rPr>
          <w:color w:val="000000" w:themeColor="text1"/>
          <w14:textFill>
            <w14:solidFill>
              <w14:schemeClr w14:val="tx1"/>
            </w14:solidFill>
          </w14:textFill>
        </w:rPr>
        <w:t>静态数据加密要求如下</w:t>
      </w:r>
      <w:r>
        <w:rPr>
          <w:rFonts w:hint="eastAsia"/>
          <w:color w:val="000000" w:themeColor="text1"/>
          <w14:textFill>
            <w14:solidFill>
              <w14:schemeClr w14:val="tx1"/>
            </w14:solidFill>
          </w14:textFill>
        </w:rPr>
        <w:t>：</w:t>
      </w:r>
    </w:p>
    <w:p>
      <w:pPr>
        <w:pStyle w:val="116"/>
        <w:tabs>
          <w:tab w:val="left" w:pos="851"/>
        </w:tabs>
        <w:rPr>
          <w:color w:val="000000" w:themeColor="text1"/>
          <w14:textFill>
            <w14:solidFill>
              <w14:schemeClr w14:val="tx1"/>
            </w14:solidFill>
          </w14:textFill>
        </w:rPr>
      </w:pPr>
      <w:r>
        <w:rPr>
          <w:rFonts w:hint="eastAsia"/>
          <w:color w:val="000000" w:themeColor="text1"/>
          <w14:textFill>
            <w14:solidFill>
              <w14:schemeClr w14:val="tx1"/>
            </w14:solidFill>
          </w14:textFill>
        </w:rPr>
        <w:t>云平台存储的数据应使用</w:t>
      </w:r>
      <w:r>
        <w:rPr>
          <w:color w:val="000000" w:themeColor="text1"/>
          <w14:textFill>
            <w14:solidFill>
              <w14:schemeClr w14:val="tx1"/>
            </w14:solidFill>
          </w14:textFill>
        </w:rPr>
        <w:t>云服务商提供的服务器端加密</w:t>
      </w:r>
      <w:r>
        <w:rPr>
          <w:rFonts w:hint="eastAsia"/>
          <w:color w:val="000000" w:themeColor="text1"/>
          <w14:textFill>
            <w14:solidFill>
              <w14:schemeClr w14:val="tx1"/>
            </w14:solidFill>
          </w14:textFill>
        </w:rPr>
        <w:t>；</w:t>
      </w:r>
    </w:p>
    <w:p>
      <w:pPr>
        <w:pStyle w:val="116"/>
        <w:tabs>
          <w:tab w:val="left" w:pos="851"/>
        </w:tabs>
        <w:rPr>
          <w:color w:val="000000" w:themeColor="text1"/>
          <w14:textFill>
            <w14:solidFill>
              <w14:schemeClr w14:val="tx1"/>
            </w14:solidFill>
          </w14:textFill>
        </w:rPr>
      </w:pPr>
      <w:r>
        <w:rPr>
          <w:rFonts w:hint="eastAsia"/>
          <w:color w:val="000000" w:themeColor="text1"/>
          <w14:textFill>
            <w14:solidFill>
              <w14:schemeClr w14:val="tx1"/>
            </w14:solidFill>
          </w14:textFill>
        </w:rPr>
        <w:t>数据库端应支持透明数据加密（TDE），并实现写入自动</w:t>
      </w:r>
      <w:r>
        <w:rPr>
          <w:color w:val="000000" w:themeColor="text1"/>
          <w14:textFill>
            <w14:solidFill>
              <w14:schemeClr w14:val="tx1"/>
            </w14:solidFill>
          </w14:textFill>
        </w:rPr>
        <w:t>加密，读取自动解密</w:t>
      </w:r>
      <w:r>
        <w:rPr>
          <w:rFonts w:hint="eastAsia"/>
          <w:color w:val="000000" w:themeColor="text1"/>
          <w14:textFill>
            <w14:solidFill>
              <w14:schemeClr w14:val="tx1"/>
            </w14:solidFill>
          </w14:textFill>
        </w:rPr>
        <w:t>；</w:t>
      </w:r>
    </w:p>
    <w:p>
      <w:pPr>
        <w:pStyle w:val="116"/>
        <w:tabs>
          <w:tab w:val="left" w:pos="851"/>
        </w:tabs>
        <w:rPr>
          <w:color w:val="000000" w:themeColor="text1"/>
          <w14:textFill>
            <w14:solidFill>
              <w14:schemeClr w14:val="tx1"/>
            </w14:solidFill>
          </w14:textFill>
        </w:rPr>
      </w:pPr>
      <w:r>
        <w:rPr>
          <w:rFonts w:hint="eastAsia"/>
          <w:color w:val="000000" w:themeColor="text1"/>
          <w14:textFill>
            <w14:solidFill>
              <w14:schemeClr w14:val="tx1"/>
            </w14:solidFill>
          </w14:textFill>
        </w:rPr>
        <w:t>应用端的敏感数据，应</w:t>
      </w:r>
      <w:r>
        <w:rPr>
          <w:color w:val="000000" w:themeColor="text1"/>
          <w14:textFill>
            <w14:solidFill>
              <w14:schemeClr w14:val="tx1"/>
            </w14:solidFill>
          </w14:textFill>
        </w:rPr>
        <w:t>在存入数据库之前由应用程序使用特定密钥加密</w:t>
      </w:r>
      <w:r>
        <w:rPr>
          <w:rFonts w:hint="eastAsia"/>
          <w:color w:val="000000" w:themeColor="text1"/>
          <w14:textFill>
            <w14:solidFill>
              <w14:schemeClr w14:val="tx1"/>
            </w14:solidFill>
          </w14:textFill>
        </w:rPr>
        <w:t>。</w:t>
      </w:r>
    </w:p>
    <w:p>
      <w:pPr>
        <w:pStyle w:val="181"/>
        <w:numPr>
          <w:ilvl w:val="0"/>
          <w:numId w:val="39"/>
        </w:numPr>
        <w:rPr>
          <w:color w:val="000000" w:themeColor="text1"/>
          <w14:textFill>
            <w14:solidFill>
              <w14:schemeClr w14:val="tx1"/>
            </w14:solidFill>
          </w14:textFill>
        </w:rPr>
      </w:pPr>
      <w:r>
        <w:rPr>
          <w:color w:val="000000" w:themeColor="text1"/>
          <w14:textFill>
            <w14:solidFill>
              <w14:schemeClr w14:val="tx1"/>
            </w14:solidFill>
          </w14:textFill>
        </w:rPr>
        <w:t>加密密钥</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与数据分开存储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由密</w:t>
      </w:r>
      <w:r>
        <w:rPr>
          <w:rFonts w:hint="eastAsia"/>
          <w:color w:val="000000" w:themeColor="text1"/>
          <w14:textFill>
            <w14:solidFill>
              <w14:schemeClr w14:val="tx1"/>
            </w14:solidFill>
          </w14:textFill>
        </w:rPr>
        <w:t>钥管理系统（</w:t>
      </w:r>
      <w:r>
        <w:rPr>
          <w:color w:val="000000" w:themeColor="text1"/>
          <w14:textFill>
            <w14:solidFill>
              <w14:schemeClr w14:val="tx1"/>
            </w14:solidFill>
          </w14:textFill>
        </w:rPr>
        <w:t>KMS）或硬件安全模</w:t>
      </w:r>
      <w:r>
        <w:rPr>
          <w:rFonts w:hint="eastAsia"/>
          <w:color w:val="000000" w:themeColor="text1"/>
          <w14:textFill>
            <w14:solidFill>
              <w14:schemeClr w14:val="tx1"/>
            </w14:solidFill>
          </w14:textFill>
        </w:rPr>
        <w:t>块（</w:t>
      </w:r>
      <w:r>
        <w:rPr>
          <w:color w:val="000000" w:themeColor="text1"/>
          <w14:textFill>
            <w14:solidFill>
              <w14:schemeClr w14:val="tx1"/>
            </w14:solidFill>
          </w14:textFill>
        </w:rPr>
        <w:t>HSM）</w:t>
      </w:r>
      <w:r>
        <w:rPr>
          <w:rFonts w:hint="eastAsia"/>
          <w:color w:val="000000" w:themeColor="text1"/>
          <w14:textFill>
            <w14:solidFill>
              <w14:schemeClr w14:val="tx1"/>
            </w14:solidFill>
          </w14:textFill>
        </w:rPr>
        <w:t>统一负责密钥的生成、存储、轮转与销毁，应用程序通过</w:t>
      </w:r>
      <w:r>
        <w:rPr>
          <w:color w:val="000000" w:themeColor="text1"/>
          <w14:textFill>
            <w14:solidFill>
              <w14:schemeClr w14:val="tx1"/>
            </w14:solidFill>
          </w14:textFill>
        </w:rPr>
        <w:t>API申</w:t>
      </w:r>
      <w:r>
        <w:rPr>
          <w:rFonts w:hint="eastAsia"/>
          <w:color w:val="000000" w:themeColor="text1"/>
          <w14:textFill>
            <w14:solidFill>
              <w14:schemeClr w14:val="tx1"/>
            </w14:solidFill>
          </w14:textFill>
        </w:rPr>
        <w:t>请使用密钥；</w:t>
      </w:r>
    </w:p>
    <w:p>
      <w:pPr>
        <w:pStyle w:val="181"/>
        <w:numPr>
          <w:ilvl w:val="0"/>
          <w:numId w:val="39"/>
        </w:numPr>
      </w:pPr>
      <w:r>
        <w:rPr>
          <w:rFonts w:hint="eastAsia"/>
        </w:rPr>
        <w:t>应制定密钥定期更新周期，并结合版本化配置确保旧密钥在切换窗口期内仍可解密历史数据</w:t>
      </w:r>
      <w:r>
        <w:t>。</w:t>
      </w:r>
    </w:p>
    <w:p>
      <w:pPr>
        <w:pStyle w:val="112"/>
        <w:spacing w:before="156" w:after="156"/>
        <w:rPr>
          <w:color w:val="000000" w:themeColor="text1"/>
          <w14:textFill>
            <w14:solidFill>
              <w14:schemeClr w14:val="tx1"/>
            </w14:solidFill>
          </w14:textFill>
        </w:rPr>
      </w:pPr>
      <w:bookmarkStart w:id="239" w:name="_Toc1401677840"/>
      <w:bookmarkStart w:id="240" w:name="_Toc216189960"/>
      <w:r>
        <w:rPr>
          <w:color w:val="000000" w:themeColor="text1"/>
          <w14:textFill>
            <w14:solidFill>
              <w14:schemeClr w14:val="tx1"/>
            </w14:solidFill>
          </w14:textFill>
        </w:rPr>
        <w:t>隐私保护技术</w:t>
      </w:r>
      <w:bookmarkEnd w:id="239"/>
      <w:bookmarkEnd w:id="240"/>
    </w:p>
    <w:p>
      <w:pPr>
        <w:ind w:firstLine="420"/>
        <w:rPr>
          <w:rFonts w:ascii="宋体" w:hAnsi="Times New Roman"/>
          <w:color w:val="000000" w:themeColor="text1"/>
          <w:szCs w:val="20"/>
          <w14:textFill>
            <w14:solidFill>
              <w14:schemeClr w14:val="tx1"/>
            </w14:solidFill>
          </w14:textFill>
        </w:rPr>
      </w:pPr>
      <w:r>
        <w:rPr>
          <w:rFonts w:hint="eastAsia" w:ascii="宋体" w:hAnsi="Times New Roman"/>
          <w:bCs/>
          <w:color w:val="000000" w:themeColor="text1"/>
          <w:szCs w:val="20"/>
          <w14:textFill>
            <w14:solidFill>
              <w14:schemeClr w14:val="tx1"/>
            </w14:solidFill>
          </w14:textFill>
        </w:rPr>
        <w:t>应</w:t>
      </w:r>
      <w:r>
        <w:rPr>
          <w:rFonts w:ascii="宋体" w:hAnsi="Times New Roman"/>
          <w:bCs/>
          <w:color w:val="000000" w:themeColor="text1"/>
          <w:szCs w:val="20"/>
          <w14:textFill>
            <w14:solidFill>
              <w14:schemeClr w14:val="tx1"/>
            </w14:solidFill>
          </w14:textFill>
        </w:rPr>
        <w:t>采用以下技术与管理措施，在保护隐私的前提下</w:t>
      </w:r>
      <w:r>
        <w:rPr>
          <w:rFonts w:hint="eastAsia" w:ascii="宋体" w:hAnsi="Times New Roman"/>
          <w:bCs/>
          <w:color w:val="000000" w:themeColor="text1"/>
          <w:szCs w:val="20"/>
          <w14:textFill>
            <w14:solidFill>
              <w14:schemeClr w14:val="tx1"/>
            </w14:solidFill>
          </w14:textFill>
        </w:rPr>
        <w:t>实现</w:t>
      </w:r>
      <w:r>
        <w:rPr>
          <w:rFonts w:ascii="宋体" w:hAnsi="Times New Roman"/>
          <w:bCs/>
          <w:color w:val="000000" w:themeColor="text1"/>
          <w:szCs w:val="20"/>
          <w14:textFill>
            <w14:solidFill>
              <w14:schemeClr w14:val="tx1"/>
            </w14:solidFill>
          </w14:textFill>
        </w:rPr>
        <w:t>数据价值</w:t>
      </w:r>
      <w:r>
        <w:rPr>
          <w:rFonts w:hint="eastAsia" w:ascii="宋体" w:hAnsi="Times New Roman"/>
          <w:color w:val="000000" w:themeColor="text1"/>
          <w:szCs w:val="20"/>
          <w14:textFill>
            <w14:solidFill>
              <w14:schemeClr w14:val="tx1"/>
            </w14:solidFill>
          </w14:textFill>
        </w:rPr>
        <w:t>：</w:t>
      </w:r>
    </w:p>
    <w:p>
      <w:pPr>
        <w:pStyle w:val="239"/>
        <w:numPr>
          <w:ilvl w:val="0"/>
          <w:numId w:val="40"/>
        </w:numPr>
        <w:rPr>
          <w:color w:val="000000" w:themeColor="text1"/>
          <w14:textFill>
            <w14:solidFill>
              <w14:schemeClr w14:val="tx1"/>
            </w14:solidFill>
          </w14:textFill>
        </w:rPr>
      </w:pPr>
      <w:r>
        <w:rPr>
          <w:rFonts w:hint="eastAsia"/>
          <w:color w:val="000000" w:themeColor="text1"/>
          <w14:textFill>
            <w14:solidFill>
              <w14:schemeClr w14:val="tx1"/>
            </w14:solidFill>
          </w14:textFill>
        </w:rPr>
        <w:t>向开发</w:t>
      </w:r>
      <w:r>
        <w:rPr>
          <w:color w:val="000000" w:themeColor="text1"/>
          <w14:textFill>
            <w14:solidFill>
              <w14:schemeClr w14:val="tx1"/>
            </w14:solidFill>
          </w14:textFill>
        </w:rPr>
        <w:t>、测试环境提供数据时，</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对生产库中的敏感信息进行不可逆的脱敏处理</w:t>
      </w:r>
      <w:r>
        <w:rPr>
          <w:rFonts w:hint="eastAsia"/>
          <w:color w:val="000000" w:themeColor="text1"/>
          <w14:textFill>
            <w14:solidFill>
              <w14:schemeClr w14:val="tx1"/>
            </w14:solidFill>
          </w14:textFill>
        </w:rPr>
        <w:t>；</w:t>
      </w:r>
    </w:p>
    <w:p>
      <w:pPr>
        <w:pStyle w:val="181"/>
        <w:numPr>
          <w:ilvl w:val="0"/>
          <w:numId w:val="39"/>
        </w:numPr>
        <w:rPr>
          <w:color w:val="000000" w:themeColor="text1"/>
          <w14:textFill>
            <w14:solidFill>
              <w14:schemeClr w14:val="tx1"/>
            </w14:solidFill>
          </w14:textFill>
        </w:rPr>
      </w:pPr>
      <w:r>
        <w:rPr>
          <w:color w:val="000000" w:themeColor="text1"/>
          <w14:textFill>
            <w14:solidFill>
              <w14:schemeClr w14:val="tx1"/>
            </w14:solidFill>
          </w14:textFill>
        </w:rPr>
        <w:t>在发布公开数据集时</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移除所有个人标识符，并确保无法再识别出个人；</w:t>
      </w:r>
    </w:p>
    <w:p>
      <w:pPr>
        <w:pStyle w:val="181"/>
        <w:numPr>
          <w:ilvl w:val="0"/>
          <w:numId w:val="39"/>
        </w:numPr>
        <w:rPr>
          <w:color w:val="000000" w:themeColor="text1"/>
          <w14:textFill>
            <w14:solidFill>
              <w14:schemeClr w14:val="tx1"/>
            </w14:solidFill>
          </w14:textFill>
        </w:rPr>
      </w:pPr>
      <w:r>
        <w:rPr>
          <w:color w:val="000000" w:themeColor="text1"/>
          <w14:textFill>
            <w14:solidFill>
              <w14:schemeClr w14:val="tx1"/>
            </w14:solidFill>
          </w14:textFill>
        </w:rPr>
        <w:t>应实施基于角色</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属性</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访问控制机制，实现细粒度权限管理；</w:t>
      </w:r>
    </w:p>
    <w:p>
      <w:pPr>
        <w:pStyle w:val="181"/>
        <w:numPr>
          <w:ilvl w:val="0"/>
          <w:numId w:val="39"/>
        </w:numPr>
      </w:pPr>
      <w:r>
        <w:t>共享数据</w:t>
      </w:r>
      <w:r>
        <w:rPr>
          <w:rFonts w:hint="eastAsia"/>
        </w:rPr>
        <w:t>应</w:t>
      </w:r>
      <w:r>
        <w:t>嵌入不易察觉的水印信息</w:t>
      </w:r>
      <w:r>
        <w:rPr>
          <w:rFonts w:hint="eastAsia"/>
        </w:rPr>
        <w:t>（如用户ID、时间戳、设备指纹等）</w:t>
      </w:r>
      <w:r>
        <w:t>，</w:t>
      </w:r>
      <w:r>
        <w:rPr>
          <w:rFonts w:hint="eastAsia"/>
        </w:rPr>
        <w:t>当数据被非法泄漏、转售或滥用时，能通过提取水印准确识别，实现溯源追踪</w:t>
      </w:r>
      <w:r>
        <w:t>；</w:t>
      </w:r>
    </w:p>
    <w:p>
      <w:pPr>
        <w:pStyle w:val="181"/>
        <w:numPr>
          <w:ilvl w:val="0"/>
          <w:numId w:val="39"/>
        </w:numPr>
        <w:rPr>
          <w:color w:val="000000" w:themeColor="text1"/>
          <w14:textFill>
            <w14:solidFill>
              <w14:schemeClr w14:val="tx1"/>
            </w14:solidFill>
          </w14:textFill>
        </w:rPr>
      </w:pPr>
      <w:r>
        <w:rPr>
          <w:color w:val="000000" w:themeColor="text1"/>
          <w14:textFill>
            <w14:solidFill>
              <w14:schemeClr w14:val="tx1"/>
            </w14:solidFill>
          </w14:textFill>
        </w:rPr>
        <w:t>所有数据服务API</w:t>
      </w:r>
      <w:r>
        <w:rPr>
          <w:rFonts w:hint="eastAsia"/>
          <w:color w:val="000000" w:themeColor="text1"/>
          <w14:textFill>
            <w14:solidFill>
              <w14:schemeClr w14:val="tx1"/>
            </w14:solidFill>
          </w14:textFill>
        </w:rPr>
        <w:t>应进行</w:t>
      </w:r>
      <w:r>
        <w:rPr>
          <w:color w:val="000000" w:themeColor="text1"/>
          <w14:textFill>
            <w14:solidFill>
              <w14:schemeClr w14:val="tx1"/>
            </w14:solidFill>
          </w14:textFill>
        </w:rPr>
        <w:t>认证、授权、限流和审计。</w:t>
      </w:r>
    </w:p>
    <w:p>
      <w:pPr>
        <w:pStyle w:val="112"/>
        <w:spacing w:before="156" w:after="156"/>
        <w:rPr>
          <w:color w:val="000000" w:themeColor="text1"/>
          <w14:textFill>
            <w14:solidFill>
              <w14:schemeClr w14:val="tx1"/>
            </w14:solidFill>
          </w14:textFill>
        </w:rPr>
      </w:pPr>
      <w:bookmarkStart w:id="241" w:name="_Toc103849290"/>
      <w:bookmarkStart w:id="242" w:name="_Toc216189961"/>
      <w:r>
        <w:rPr>
          <w:color w:val="000000" w:themeColor="text1"/>
          <w14:textFill>
            <w14:solidFill>
              <w14:schemeClr w14:val="tx1"/>
            </w14:solidFill>
          </w14:textFill>
        </w:rPr>
        <w:t>合规性要求</w:t>
      </w:r>
      <w:bookmarkEnd w:id="241"/>
      <w:bookmarkEnd w:id="242"/>
    </w:p>
    <w:p>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数据处理合规性的核心技术应符合下列可靠性、安全性、可扩展性、可监控性和低侵入性的要求：</w:t>
      </w:r>
    </w:p>
    <w:p>
      <w:pPr>
        <w:pStyle w:val="239"/>
        <w:numPr>
          <w:ilvl w:val="0"/>
          <w:numId w:val="41"/>
        </w:numPr>
        <w:rPr>
          <w:color w:val="000000" w:themeColor="text1"/>
          <w14:textFill>
            <w14:solidFill>
              <w14:schemeClr w14:val="tx1"/>
            </w14:solidFill>
          </w14:textFill>
        </w:rPr>
      </w:pPr>
      <w:r>
        <w:rPr>
          <w:rFonts w:hint="eastAsia"/>
          <w:color w:val="000000" w:themeColor="text1"/>
          <w14:textFill>
            <w14:solidFill>
              <w14:schemeClr w14:val="tx1"/>
            </w14:solidFill>
          </w14:textFill>
        </w:rPr>
        <w:t>可靠性保证数据在消息队列的持久化</w:t>
      </w:r>
      <w:r>
        <w:rPr>
          <w:color w:val="000000" w:themeColor="text1"/>
          <w14:textFill>
            <w14:solidFill>
              <w14:schemeClr w14:val="tx1"/>
            </w14:solidFill>
          </w14:textFill>
        </w:rPr>
        <w:t>、传输过程的</w:t>
      </w:r>
      <w:r>
        <w:rPr>
          <w:rFonts w:hint="eastAsia"/>
          <w:color w:val="000000" w:themeColor="text1"/>
          <w14:textFill>
            <w14:solidFill>
              <w14:schemeClr w14:val="tx1"/>
            </w14:solidFill>
          </w14:textFill>
        </w:rPr>
        <w:t>ACK</w:t>
      </w:r>
      <w:r>
        <w:rPr>
          <w:color w:val="000000" w:themeColor="text1"/>
          <w14:textFill>
            <w14:solidFill>
              <w14:schemeClr w14:val="tx1"/>
            </w14:solidFill>
          </w14:textFill>
        </w:rPr>
        <w:t>确认机制、断点续传</w:t>
      </w:r>
      <w:r>
        <w:rPr>
          <w:rFonts w:hint="eastAsia"/>
          <w:color w:val="000000" w:themeColor="text1"/>
          <w14:textFill>
            <w14:solidFill>
              <w14:schemeClr w14:val="tx1"/>
            </w14:solidFill>
          </w14:textFill>
        </w:rPr>
        <w:t>等场景应用上</w:t>
      </w:r>
      <w:r>
        <w:rPr>
          <w:color w:val="000000" w:themeColor="text1"/>
          <w14:textFill>
            <w14:solidFill>
              <w14:schemeClr w14:val="tx1"/>
            </w14:solidFill>
          </w14:textFill>
        </w:rPr>
        <w:t>不丢失、不重复</w:t>
      </w:r>
      <w:r>
        <w:rPr>
          <w:rFonts w:hint="eastAsia"/>
          <w:color w:val="000000" w:themeColor="text1"/>
          <w14:textFill>
            <w14:solidFill>
              <w14:schemeClr w14:val="tx1"/>
            </w14:solidFill>
          </w14:textFill>
        </w:rPr>
        <w:t>；</w:t>
      </w:r>
    </w:p>
    <w:p>
      <w:pPr>
        <w:pStyle w:val="181"/>
        <w:numPr>
          <w:ilvl w:val="0"/>
          <w:numId w:val="39"/>
        </w:numPr>
        <w:rPr>
          <w:color w:val="000000" w:themeColor="text1"/>
          <w14:textFill>
            <w14:solidFill>
              <w14:schemeClr w14:val="tx1"/>
            </w14:solidFill>
          </w14:textFill>
        </w:rPr>
      </w:pPr>
      <w:r>
        <w:rPr>
          <w:color w:val="000000" w:themeColor="text1"/>
          <w14:textFill>
            <w14:solidFill>
              <w14:schemeClr w14:val="tx1"/>
            </w14:solidFill>
          </w14:textFill>
        </w:rPr>
        <w:t>安全性</w:t>
      </w:r>
      <w:r>
        <w:rPr>
          <w:rFonts w:hint="eastAsia"/>
          <w:color w:val="000000" w:themeColor="text1"/>
          <w14:textFill>
            <w14:solidFill>
              <w14:schemeClr w14:val="tx1"/>
            </w14:solidFill>
          </w14:textFill>
        </w:rPr>
        <w:t>实现</w:t>
      </w:r>
      <w:r>
        <w:rPr>
          <w:color w:val="000000" w:themeColor="text1"/>
          <w14:textFill>
            <w14:solidFill>
              <w14:schemeClr w14:val="tx1"/>
            </w14:solidFill>
          </w14:textFill>
        </w:rPr>
        <w:t>全链路HTTPS/TLS加密、VPN专线、数据脱敏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保障数据在传输过程中的机密性和完整性</w:t>
      </w:r>
      <w:r>
        <w:rPr>
          <w:rFonts w:hint="eastAsia"/>
          <w:color w:val="000000" w:themeColor="text1"/>
          <w14:textFill>
            <w14:solidFill>
              <w14:schemeClr w14:val="tx1"/>
            </w14:solidFill>
          </w14:textFill>
        </w:rPr>
        <w:t>；</w:t>
      </w:r>
    </w:p>
    <w:p>
      <w:pPr>
        <w:pStyle w:val="181"/>
        <w:numPr>
          <w:ilvl w:val="0"/>
          <w:numId w:val="39"/>
        </w:numPr>
        <w:rPr>
          <w:color w:val="000000" w:themeColor="text1"/>
          <w14:textFill>
            <w14:solidFill>
              <w14:schemeClr w14:val="tx1"/>
            </w14:solidFill>
          </w14:textFill>
        </w:rPr>
      </w:pPr>
      <w:r>
        <w:rPr>
          <w:color w:val="000000" w:themeColor="text1"/>
          <w14:textFill>
            <w14:solidFill>
              <w14:schemeClr w14:val="tx1"/>
            </w14:solidFill>
          </w14:textFill>
        </w:rPr>
        <w:t>可扩展性</w:t>
      </w:r>
      <w:r>
        <w:rPr>
          <w:rFonts w:hint="eastAsia"/>
          <w:color w:val="000000" w:themeColor="text1"/>
          <w14:textFill>
            <w14:solidFill>
              <w14:schemeClr w14:val="tx1"/>
            </w14:solidFill>
          </w14:textFill>
        </w:rPr>
        <w:t>能通过</w:t>
      </w:r>
      <w:r>
        <w:rPr>
          <w:color w:val="000000" w:themeColor="text1"/>
          <w14:textFill>
            <w14:solidFill>
              <w14:schemeClr w14:val="tx1"/>
            </w14:solidFill>
          </w14:textFill>
        </w:rPr>
        <w:t>消息队列的水平扩展、分布式同步工具</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应对数据量的快速增长</w:t>
      </w:r>
      <w:r>
        <w:rPr>
          <w:rFonts w:hint="eastAsia"/>
          <w:color w:val="000000" w:themeColor="text1"/>
          <w14:textFill>
            <w14:solidFill>
              <w14:schemeClr w14:val="tx1"/>
            </w14:solidFill>
          </w14:textFill>
        </w:rPr>
        <w:t>；</w:t>
      </w:r>
    </w:p>
    <w:p>
      <w:pPr>
        <w:pStyle w:val="181"/>
        <w:numPr>
          <w:ilvl w:val="0"/>
          <w:numId w:val="39"/>
        </w:numPr>
        <w:rPr>
          <w:color w:val="000000" w:themeColor="text1"/>
          <w14:textFill>
            <w14:solidFill>
              <w14:schemeClr w14:val="tx1"/>
            </w14:solidFill>
          </w14:textFill>
        </w:rPr>
      </w:pPr>
      <w:r>
        <w:rPr>
          <w:color w:val="000000" w:themeColor="text1"/>
          <w14:textFill>
            <w14:solidFill>
              <w14:schemeClr w14:val="tx1"/>
            </w14:solidFill>
          </w14:textFill>
        </w:rPr>
        <w:t>可监控性</w:t>
      </w:r>
      <w:r>
        <w:rPr>
          <w:rFonts w:hint="eastAsia"/>
          <w:color w:val="000000" w:themeColor="text1"/>
          <w14:textFill>
            <w14:solidFill>
              <w14:schemeClr w14:val="tx1"/>
            </w14:solidFill>
          </w14:textFill>
        </w:rPr>
        <w:t>能通过</w:t>
      </w:r>
      <w:r>
        <w:rPr>
          <w:color w:val="000000" w:themeColor="text1"/>
          <w14:textFill>
            <w14:solidFill>
              <w14:schemeClr w14:val="tx1"/>
            </w14:solidFill>
          </w14:textFill>
        </w:rPr>
        <w:t>监控仪表盘，</w:t>
      </w:r>
      <w:r>
        <w:rPr>
          <w:rFonts w:hint="eastAsia"/>
          <w:color w:val="000000" w:themeColor="text1"/>
          <w14:textFill>
            <w14:solidFill>
              <w14:schemeClr w14:val="tx1"/>
            </w14:solidFill>
          </w14:textFill>
        </w:rPr>
        <w:t>实时展示并掌握</w:t>
      </w:r>
      <w:r>
        <w:rPr>
          <w:color w:val="000000" w:themeColor="text1"/>
          <w14:textFill>
            <w14:solidFill>
              <w14:schemeClr w14:val="tx1"/>
            </w14:solidFill>
          </w14:textFill>
        </w:rPr>
        <w:t>同步延迟、数据量、失败告警等数据传输的健康状态信息</w:t>
      </w:r>
      <w:r>
        <w:rPr>
          <w:rFonts w:hint="eastAsia"/>
          <w:color w:val="000000" w:themeColor="text1"/>
          <w14:textFill>
            <w14:solidFill>
              <w14:schemeClr w14:val="tx1"/>
            </w14:solidFill>
          </w14:textFill>
        </w:rPr>
        <w:t>；</w:t>
      </w:r>
    </w:p>
    <w:p>
      <w:pPr>
        <w:pStyle w:val="181"/>
        <w:numPr>
          <w:ilvl w:val="0"/>
          <w:numId w:val="39"/>
        </w:numPr>
        <w:rPr>
          <w:color w:val="000000" w:themeColor="text1"/>
          <w14:textFill>
            <w14:solidFill>
              <w14:schemeClr w14:val="tx1"/>
            </w14:solidFill>
          </w14:textFill>
        </w:rPr>
      </w:pPr>
      <w:r>
        <w:rPr>
          <w:color w:val="000000" w:themeColor="text1"/>
          <w14:textFill>
            <w14:solidFill>
              <w14:schemeClr w14:val="tx1"/>
            </w14:solidFill>
          </w14:textFill>
        </w:rPr>
        <w:t>低侵入性</w:t>
      </w:r>
      <w:r>
        <w:rPr>
          <w:rFonts w:hint="eastAsia"/>
          <w:color w:val="000000" w:themeColor="text1"/>
          <w14:textFill>
            <w14:solidFill>
              <w14:schemeClr w14:val="tx1"/>
            </w14:solidFill>
          </w14:textFill>
        </w:rPr>
        <w:t>能通过CDC的消息队列管理，</w:t>
      </w:r>
      <w:r>
        <w:rPr>
          <w:color w:val="000000" w:themeColor="text1"/>
          <w14:textFill>
            <w14:solidFill>
              <w14:schemeClr w14:val="tx1"/>
            </w14:solidFill>
          </w14:textFill>
        </w:rPr>
        <w:t>减少对源业务系统性能的影响。</w:t>
      </w:r>
    </w:p>
    <w:p>
      <w:pPr>
        <w:pStyle w:val="111"/>
        <w:spacing w:before="312" w:after="312"/>
        <w:rPr>
          <w:color w:val="000000" w:themeColor="text1"/>
          <w14:textFill>
            <w14:solidFill>
              <w14:schemeClr w14:val="tx1"/>
            </w14:solidFill>
          </w14:textFill>
        </w:rPr>
      </w:pPr>
      <w:bookmarkStart w:id="243" w:name="_Toc216189962"/>
      <w:bookmarkStart w:id="244" w:name="_Toc1638295666"/>
      <w:bookmarkStart w:id="245" w:name="_Toc217916771"/>
      <w:bookmarkStart w:id="246" w:name="_Toc217912660"/>
      <w:bookmarkStart w:id="247" w:name="_Toc216189983"/>
      <w:r>
        <w:rPr>
          <w:rFonts w:hint="eastAsia"/>
          <w:color w:val="000000" w:themeColor="text1"/>
          <w14:textFill>
            <w14:solidFill>
              <w14:schemeClr w14:val="tx1"/>
            </w14:solidFill>
          </w14:textFill>
        </w:rPr>
        <w:t>测试与验证</w:t>
      </w:r>
      <w:bookmarkEnd w:id="243"/>
      <w:bookmarkEnd w:id="244"/>
      <w:bookmarkEnd w:id="245"/>
      <w:bookmarkEnd w:id="246"/>
      <w:bookmarkEnd w:id="247"/>
    </w:p>
    <w:p>
      <w:pPr>
        <w:pStyle w:val="112"/>
        <w:spacing w:before="156" w:after="156"/>
        <w:rPr>
          <w:color w:val="000000" w:themeColor="text1"/>
          <w14:textFill>
            <w14:solidFill>
              <w14:schemeClr w14:val="tx1"/>
            </w14:solidFill>
          </w14:textFill>
        </w:rPr>
      </w:pPr>
      <w:bookmarkStart w:id="248" w:name="_Toc216189963"/>
      <w:bookmarkStart w:id="249" w:name="_Toc1947420275"/>
      <w:r>
        <w:rPr>
          <w:rFonts w:hint="eastAsia"/>
          <w:color w:val="000000" w:themeColor="text1"/>
          <w14:textFill>
            <w14:solidFill>
              <w14:schemeClr w14:val="tx1"/>
            </w14:solidFill>
          </w14:textFill>
        </w:rPr>
        <w:t>功能测试</w:t>
      </w:r>
      <w:bookmarkEnd w:id="248"/>
      <w:bookmarkEnd w:id="249"/>
    </w:p>
    <w:p>
      <w:pPr>
        <w:pStyle w:val="63"/>
        <w:ind w:firstLine="420"/>
        <w:rPr>
          <w:color w:val="000000" w:themeColor="text1"/>
          <w14:textFill>
            <w14:solidFill>
              <w14:schemeClr w14:val="tx1"/>
            </w14:solidFill>
          </w14:textFill>
        </w:rPr>
      </w:pPr>
      <w:r>
        <w:rPr>
          <w:rFonts w:hint="eastAsia"/>
        </w:rPr>
        <w:t>应按表1的规定对核心数据进行功能测试。</w:t>
      </w:r>
    </w:p>
    <w:p>
      <w:pPr>
        <w:pStyle w:val="119"/>
        <w:spacing w:before="156" w:after="156"/>
      </w:pPr>
      <w:r>
        <w:rPr>
          <w:rFonts w:hint="eastAsia"/>
        </w:rPr>
        <w:t>核心数据功能测试用例说明</w:t>
      </w:r>
    </w:p>
    <w:tbl>
      <w:tblPr>
        <w:tblStyle w:val="40"/>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67"/>
        <w:gridCol w:w="4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1701" w:type="dxa"/>
            <w:tcBorders>
              <w:top w:val="single" w:color="auto" w:sz="8" w:space="0"/>
              <w:left w:val="single" w:color="auto" w:sz="8" w:space="0"/>
              <w:bottom w:val="single" w:color="auto" w:sz="8" w:space="0"/>
            </w:tcBorders>
            <w:shd w:val="clear" w:color="auto" w:fill="FFFFFF" w:themeFill="background1"/>
            <w:vAlign w:val="center"/>
          </w:tcPr>
          <w:p>
            <w:pPr>
              <w:pStyle w:val="63"/>
              <w:ind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功能模块</w:t>
            </w:r>
          </w:p>
        </w:tc>
        <w:tc>
          <w:tcPr>
            <w:tcW w:w="2667" w:type="dxa"/>
            <w:tcBorders>
              <w:top w:val="single" w:color="auto" w:sz="8" w:space="0"/>
              <w:bottom w:val="single" w:color="auto" w:sz="8" w:space="0"/>
            </w:tcBorders>
            <w:shd w:val="clear" w:color="auto" w:fill="FFFFFF" w:themeFill="background1"/>
            <w:vAlign w:val="center"/>
          </w:tcPr>
          <w:p>
            <w:pPr>
              <w:pStyle w:val="63"/>
              <w:ind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测试重点</w:t>
            </w:r>
          </w:p>
        </w:tc>
        <w:tc>
          <w:tcPr>
            <w:tcW w:w="4872" w:type="dxa"/>
            <w:tcBorders>
              <w:top w:val="single" w:color="auto" w:sz="8" w:space="0"/>
              <w:bottom w:val="single" w:color="auto" w:sz="8" w:space="0"/>
              <w:right w:val="single" w:color="auto" w:sz="8" w:space="0"/>
            </w:tcBorders>
            <w:shd w:val="clear" w:color="auto" w:fill="FFFFFF" w:themeFill="background1"/>
            <w:vAlign w:val="center"/>
          </w:tcPr>
          <w:p>
            <w:pPr>
              <w:pStyle w:val="63"/>
              <w:ind w:firstLine="0" w:firstLineChars="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测试用例说明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1701" w:type="dxa"/>
            <w:tcBorders>
              <w:top w:val="single" w:color="auto" w:sz="8" w:space="0"/>
              <w:left w:val="single" w:color="auto" w:sz="8" w:space="0"/>
            </w:tcBorders>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数据接入功能</w:t>
            </w:r>
          </w:p>
        </w:tc>
        <w:tc>
          <w:tcPr>
            <w:tcW w:w="2667" w:type="dxa"/>
            <w:tcBorders>
              <w:top w:val="single" w:color="auto" w:sz="8" w:space="0"/>
            </w:tcBorders>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多源异构数据接入、格式解析、元数据提取、断点续传</w:t>
            </w:r>
          </w:p>
        </w:tc>
        <w:tc>
          <w:tcPr>
            <w:tcW w:w="4872" w:type="dxa"/>
            <w:tcBorders>
              <w:top w:val="single" w:color="auto" w:sz="8" w:space="0"/>
              <w:right w:val="single" w:color="auto" w:sz="8" w:space="0"/>
            </w:tcBorders>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实现接入不同数据库、文件（CSV）、API（JSON）、消息队列（Kafka），并进行正常解析，尤其是断点续传等故障的数据接入功能，同时对上传的新数据表进行字段自动获取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1701" w:type="dxa"/>
            <w:tcBorders>
              <w:left w:val="single" w:color="auto" w:sz="8" w:space="0"/>
            </w:tcBorders>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数据预处理功能</w:t>
            </w:r>
          </w:p>
        </w:tc>
        <w:tc>
          <w:tcPr>
            <w:tcW w:w="2667" w:type="dxa"/>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清洗、去重、补全、标准化、脱敏</w:t>
            </w:r>
          </w:p>
        </w:tc>
        <w:tc>
          <w:tcPr>
            <w:tcW w:w="4872" w:type="dxa"/>
            <w:tcBorders>
              <w:right w:val="single" w:color="auto" w:sz="8" w:space="0"/>
            </w:tcBorders>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实现对数据的预处理，如空值比对、去重查询、地名地址标准化、身份证等隐私数据的脱敏等应用场景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701" w:type="dxa"/>
            <w:tcBorders>
              <w:left w:val="single" w:color="auto" w:sz="8" w:space="0"/>
            </w:tcBorders>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数据融合功能</w:t>
            </w:r>
          </w:p>
        </w:tc>
        <w:tc>
          <w:tcPr>
            <w:tcW w:w="2667" w:type="dxa"/>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实体对齐、主数据生成、时空融合、冲突消解、关系构建</w:t>
            </w:r>
          </w:p>
        </w:tc>
        <w:tc>
          <w:tcPr>
            <w:tcW w:w="4872" w:type="dxa"/>
            <w:tcBorders>
              <w:right w:val="single" w:color="auto" w:sz="8" w:space="0"/>
            </w:tcBorders>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对多源接入的数据进行校准，生成唯一主实例，统一实例标准，生成关系图谱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left w:val="single" w:color="auto" w:sz="8" w:space="0"/>
            </w:tcBorders>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数据建模与建库功能</w:t>
            </w:r>
          </w:p>
        </w:tc>
        <w:tc>
          <w:tcPr>
            <w:tcW w:w="2667" w:type="dxa"/>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主题库/专题库构建、模型加载、分区与索引、视图生成</w:t>
            </w:r>
          </w:p>
        </w:tc>
        <w:tc>
          <w:tcPr>
            <w:tcW w:w="4872" w:type="dxa"/>
            <w:tcBorders>
              <w:right w:val="single" w:color="auto" w:sz="8" w:space="0"/>
            </w:tcBorders>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搭建库模型，按规则进行分布，生成数据索引，提高查询效率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01" w:type="dxa"/>
            <w:tcBorders>
              <w:left w:val="single" w:color="auto" w:sz="8" w:space="0"/>
            </w:tcBorders>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数据服务功能</w:t>
            </w:r>
          </w:p>
        </w:tc>
        <w:tc>
          <w:tcPr>
            <w:tcW w:w="2667" w:type="dxa"/>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API查询、数据订阅、批量导出、可视化接口</w:t>
            </w:r>
          </w:p>
        </w:tc>
        <w:tc>
          <w:tcPr>
            <w:tcW w:w="4872" w:type="dxa"/>
            <w:tcBorders>
              <w:right w:val="single" w:color="auto" w:sz="8" w:space="0"/>
            </w:tcBorders>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提供API、WebSocket或MQ消息服务，返回结果数据，支持导出和接口可视化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701" w:type="dxa"/>
            <w:tcBorders>
              <w:left w:val="single" w:color="auto" w:sz="8" w:space="0"/>
            </w:tcBorders>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元数据管理功能</w:t>
            </w:r>
          </w:p>
        </w:tc>
        <w:tc>
          <w:tcPr>
            <w:tcW w:w="2667" w:type="dxa"/>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血缘分析、影响分析、数据目录同步</w:t>
            </w:r>
          </w:p>
        </w:tc>
        <w:tc>
          <w:tcPr>
            <w:tcW w:w="4872" w:type="dxa"/>
            <w:tcBorders>
              <w:right w:val="single" w:color="auto" w:sz="8" w:space="0"/>
            </w:tcBorders>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查询原始数据-</w:t>
            </w:r>
            <w:r>
              <w:rPr>
                <w:color w:val="000000" w:themeColor="text1"/>
                <w:sz w:val="18"/>
                <w:szCs w:val="18"/>
                <w14:textFill>
                  <w14:solidFill>
                    <w14:schemeClr w14:val="tx1"/>
                  </w14:solidFill>
                </w14:textFill>
              </w:rPr>
              <w:t>&gt;</w:t>
            </w:r>
            <w:r>
              <w:rPr>
                <w:rFonts w:hint="eastAsia"/>
                <w:color w:val="000000" w:themeColor="text1"/>
                <w:sz w:val="18"/>
                <w:szCs w:val="18"/>
                <w14:textFill>
                  <w14:solidFill>
                    <w14:schemeClr w14:val="tx1"/>
                  </w14:solidFill>
                </w14:textFill>
              </w:rPr>
              <w:t>清洗-</w:t>
            </w:r>
            <w:r>
              <w:rPr>
                <w:color w:val="000000" w:themeColor="text1"/>
                <w:sz w:val="18"/>
                <w:szCs w:val="18"/>
                <w14:textFill>
                  <w14:solidFill>
                    <w14:schemeClr w14:val="tx1"/>
                  </w14:solidFill>
                </w14:textFill>
              </w:rPr>
              <w:t>&gt;</w:t>
            </w:r>
            <w:r>
              <w:rPr>
                <w:rFonts w:hint="eastAsia"/>
                <w:color w:val="000000" w:themeColor="text1"/>
                <w:sz w:val="18"/>
                <w:szCs w:val="18"/>
                <w14:textFill>
                  <w14:solidFill>
                    <w14:schemeClr w14:val="tx1"/>
                  </w14:solidFill>
                </w14:textFill>
              </w:rPr>
              <w:t>融合-</w:t>
            </w:r>
            <w:r>
              <w:rPr>
                <w:color w:val="000000" w:themeColor="text1"/>
                <w:sz w:val="18"/>
                <w:szCs w:val="18"/>
                <w14:textFill>
                  <w14:solidFill>
                    <w14:schemeClr w14:val="tx1"/>
                  </w14:solidFill>
                </w14:textFill>
              </w:rPr>
              <w:t>&gt;</w:t>
            </w:r>
            <w:r>
              <w:rPr>
                <w:rFonts w:hint="eastAsia"/>
                <w:color w:val="000000" w:themeColor="text1"/>
                <w:sz w:val="18"/>
                <w:szCs w:val="18"/>
                <w14:textFill>
                  <w14:solidFill>
                    <w14:schemeClr w14:val="tx1"/>
                  </w14:solidFill>
                </w14:textFill>
              </w:rPr>
              <w:t>服务的完整闭环，并对受影响的端（API/应用）进行分析，将数据自动同步至数据资产目录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left w:val="single" w:color="auto" w:sz="8" w:space="0"/>
              <w:bottom w:val="single" w:color="auto" w:sz="8" w:space="0"/>
            </w:tcBorders>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数据质量管理功能</w:t>
            </w:r>
          </w:p>
        </w:tc>
        <w:tc>
          <w:tcPr>
            <w:tcW w:w="2667" w:type="dxa"/>
            <w:tcBorders>
              <w:bottom w:val="single" w:color="auto" w:sz="8" w:space="0"/>
            </w:tcBorders>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质量规则执行、问题数据标记、质量报告生成</w:t>
            </w:r>
          </w:p>
        </w:tc>
        <w:tc>
          <w:tcPr>
            <w:tcW w:w="4872" w:type="dxa"/>
            <w:tcBorders>
              <w:bottom w:val="single" w:color="auto" w:sz="8" w:space="0"/>
              <w:right w:val="single" w:color="auto" w:sz="8" w:space="0"/>
            </w:tcBorders>
            <w:vAlign w:val="center"/>
          </w:tcPr>
          <w:p>
            <w:pPr>
              <w:pStyle w:val="63"/>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设置低质量数据自动告警，生成结果报告，提供原始问题数据定位与任务处理</w:t>
            </w:r>
          </w:p>
        </w:tc>
      </w:tr>
    </w:tbl>
    <w:p>
      <w:pPr>
        <w:pStyle w:val="63"/>
        <w:ind w:firstLine="0" w:firstLineChars="0"/>
        <w:rPr>
          <w:color w:val="000000" w:themeColor="text1"/>
          <w14:textFill>
            <w14:solidFill>
              <w14:schemeClr w14:val="tx1"/>
            </w14:solidFill>
          </w14:textFill>
        </w:rPr>
      </w:pPr>
    </w:p>
    <w:p>
      <w:pPr>
        <w:pStyle w:val="112"/>
        <w:spacing w:before="156" w:after="156"/>
        <w:rPr>
          <w:color w:val="000000" w:themeColor="text1"/>
          <w14:textFill>
            <w14:solidFill>
              <w14:schemeClr w14:val="tx1"/>
            </w14:solidFill>
          </w14:textFill>
        </w:rPr>
      </w:pPr>
      <w:bookmarkStart w:id="250" w:name="_Toc494297998"/>
      <w:bookmarkStart w:id="251" w:name="_Toc216189964"/>
      <w:r>
        <w:rPr>
          <w:rFonts w:hint="eastAsia"/>
          <w:color w:val="000000" w:themeColor="text1"/>
          <w14:textFill>
            <w14:solidFill>
              <w14:schemeClr w14:val="tx1"/>
            </w14:solidFill>
          </w14:textFill>
        </w:rPr>
        <w:t>性能与压力测试</w:t>
      </w:r>
      <w:bookmarkEnd w:id="250"/>
      <w:bookmarkEnd w:id="251"/>
    </w:p>
    <w:p>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通过基准测试（获取系统在标准负载下的性能基线）、负载测试（验证系统在与其负载下的表现）、压力测试（探测系统在超负荷下的极限与崩溃点）、稳定性测试（验证系统长时间运行的可靠性）、并发测试（检查多用户并发操作时的数据一致性）、扩展性测试（验证系统横向/纵向扩展能力）等确保系统的响应能力和可扩展性。</w:t>
      </w:r>
    </w:p>
    <w:p>
      <w:pPr>
        <w:pStyle w:val="112"/>
        <w:spacing w:before="156" w:after="156"/>
        <w:rPr>
          <w:color w:val="000000" w:themeColor="text1"/>
          <w14:textFill>
            <w14:solidFill>
              <w14:schemeClr w14:val="tx1"/>
            </w14:solidFill>
          </w14:textFill>
        </w:rPr>
      </w:pPr>
      <w:bookmarkStart w:id="252" w:name="_Toc216189965"/>
      <w:bookmarkStart w:id="253" w:name="_Toc1199705790"/>
      <w:r>
        <w:rPr>
          <w:rFonts w:hint="eastAsia"/>
          <w:color w:val="000000" w:themeColor="text1"/>
          <w14:textFill>
            <w14:solidFill>
              <w14:schemeClr w14:val="tx1"/>
            </w14:solidFill>
          </w14:textFill>
        </w:rPr>
        <w:t>安全渗透测试</w:t>
      </w:r>
      <w:bookmarkEnd w:id="252"/>
      <w:bookmarkEnd w:id="253"/>
    </w:p>
    <w:p>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系统应通过安全渗透测试确保在数据安全底座面临外部攻击、内部误操作、系统故障等风险时，具备足够的安全防护能力，防止数据泄露、篡改、丢失或滥用。</w:t>
      </w:r>
    </w:p>
    <w:p>
      <w:pPr>
        <w:pStyle w:val="7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测试范围</w:t>
      </w:r>
    </w:p>
    <w:p>
      <w:pPr>
        <w:pStyle w:val="63"/>
        <w:ind w:firstLine="42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安全渗透测试的测试范围应符合表2的规定。</w:t>
      </w:r>
    </w:p>
    <w:p>
      <w:pPr>
        <w:pStyle w:val="119"/>
        <w:spacing w:before="156" w:after="156"/>
      </w:pPr>
      <w:r>
        <w:rPr>
          <w:rFonts w:hint="eastAsia"/>
        </w:rPr>
        <w:t>安全渗透测试范围</w:t>
      </w:r>
    </w:p>
    <w:tbl>
      <w:tblPr>
        <w:tblStyle w:val="40"/>
        <w:tblW w:w="922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51"/>
        <w:gridCol w:w="1842"/>
        <w:gridCol w:w="65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blHeader/>
          <w:jc w:val="center"/>
        </w:trPr>
        <w:tc>
          <w:tcPr>
            <w:tcW w:w="851" w:type="dxa"/>
            <w:tcBorders>
              <w:top w:val="single" w:color="auto" w:sz="8" w:space="0"/>
              <w:bottom w:val="single" w:color="auto" w:sz="8" w:space="0"/>
            </w:tcBorders>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842" w:type="dxa"/>
            <w:tcBorders>
              <w:top w:val="single" w:color="auto" w:sz="8" w:space="0"/>
              <w:bottom w:val="single" w:color="auto" w:sz="8" w:space="0"/>
            </w:tcBorders>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测试项目</w:t>
            </w:r>
          </w:p>
        </w:tc>
        <w:tc>
          <w:tcPr>
            <w:tcW w:w="6529" w:type="dxa"/>
            <w:tcBorders>
              <w:top w:val="single" w:color="auto" w:sz="8" w:space="0"/>
              <w:bottom w:val="single" w:color="auto" w:sz="8" w:space="0"/>
            </w:tcBorders>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测试范围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851" w:type="dxa"/>
            <w:tcBorders>
              <w:top w:val="single" w:color="auto" w:sz="8" w:space="0"/>
            </w:tcBorders>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842" w:type="dxa"/>
            <w:tcBorders>
              <w:top w:val="single" w:color="auto" w:sz="8" w:space="0"/>
            </w:tcBorders>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数据访问控制</w:t>
            </w:r>
          </w:p>
        </w:tc>
        <w:tc>
          <w:tcPr>
            <w:tcW w:w="6529" w:type="dxa"/>
            <w:tcBorders>
              <w:top w:val="single" w:color="auto" w:sz="8" w:space="0"/>
            </w:tcBorders>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对身份认证、权限管理、最小权限原则进行测试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851"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842"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数据传输安全</w:t>
            </w:r>
          </w:p>
        </w:tc>
        <w:tc>
          <w:tcPr>
            <w:tcW w:w="6529"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对通信加密、防窃听、防重放等场景进行测试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851"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842"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数据存储安全</w:t>
            </w:r>
          </w:p>
        </w:tc>
        <w:tc>
          <w:tcPr>
            <w:tcW w:w="6529"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对加密存储、脱敏、备份恢复等环节进行测试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851"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842"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数据处理安全</w:t>
            </w:r>
          </w:p>
        </w:tc>
        <w:tc>
          <w:tcPr>
            <w:tcW w:w="6529"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对融合过程中的隐私保护、日志审计等环节进行测试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851"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842"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数据共享与服务安全</w:t>
            </w:r>
          </w:p>
        </w:tc>
        <w:tc>
          <w:tcPr>
            <w:tcW w:w="6529"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API安全、数据输出审批、水印追踪等进行测试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851"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842"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安全审计与监控</w:t>
            </w:r>
          </w:p>
        </w:tc>
        <w:tc>
          <w:tcPr>
            <w:tcW w:w="6529"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日志完整性、异常行为检测、告警响应等场景进行测试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851"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842"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安全漏洞与渗透</w:t>
            </w:r>
          </w:p>
        </w:tc>
        <w:tc>
          <w:tcPr>
            <w:tcW w:w="6529" w:type="dxa"/>
            <w:shd w:val="clear" w:color="auto" w:fill="auto"/>
            <w:vAlign w:val="center"/>
          </w:tcPr>
          <w:p>
            <w:pPr>
              <w:pStyle w:val="185"/>
              <w:rPr>
                <w:color w:val="000000" w:themeColor="text1"/>
                <w14:textFill>
                  <w14:solidFill>
                    <w14:schemeClr w14:val="tx1"/>
                  </w14:solidFill>
                </w14:textFill>
              </w:rPr>
            </w:pPr>
            <w:r>
              <w:rPr>
                <w:rFonts w:hint="eastAsia"/>
                <w:color w:val="000000" w:themeColor="text1"/>
                <w14:textFill>
                  <w14:solidFill>
                    <w14:schemeClr w14:val="tx1"/>
                  </w14:solidFill>
                </w14:textFill>
              </w:rPr>
              <w:t>数据恢复能力、主备库故障切换、应急预案等场景进行测试</w:t>
            </w:r>
          </w:p>
        </w:tc>
      </w:tr>
    </w:tbl>
    <w:p/>
    <w:p>
      <w:pPr>
        <w:pStyle w:val="112"/>
        <w:spacing w:before="156" w:after="156"/>
        <w:rPr>
          <w:color w:val="000000" w:themeColor="text1"/>
          <w14:textFill>
            <w14:solidFill>
              <w14:schemeClr w14:val="tx1"/>
            </w14:solidFill>
          </w14:textFill>
        </w:rPr>
      </w:pPr>
      <w:bookmarkStart w:id="254" w:name="_Toc216189966"/>
      <w:bookmarkStart w:id="255" w:name="_Toc731250847"/>
      <w:r>
        <w:rPr>
          <w:rFonts w:hint="eastAsia"/>
          <w:color w:val="000000" w:themeColor="text1"/>
          <w14:textFill>
            <w14:solidFill>
              <w14:schemeClr w14:val="tx1"/>
            </w14:solidFill>
          </w14:textFill>
        </w:rPr>
        <w:t>数据验证</w:t>
      </w:r>
      <w:bookmarkEnd w:id="254"/>
      <w:bookmarkEnd w:id="255"/>
    </w:p>
    <w:p>
      <w:pPr>
        <w:pStyle w:val="72"/>
        <w:spacing w:before="156" w:after="156"/>
        <w:rPr>
          <w:bCs/>
          <w:color w:val="000000" w:themeColor="text1"/>
          <w14:textFill>
            <w14:solidFill>
              <w14:schemeClr w14:val="tx1"/>
            </w14:solidFill>
          </w14:textFill>
        </w:rPr>
      </w:pPr>
      <w:r>
        <w:rPr>
          <w:rFonts w:hint="eastAsia"/>
          <w:color w:val="000000" w:themeColor="text1"/>
          <w14:textFill>
            <w14:solidFill>
              <w14:schemeClr w14:val="tx1"/>
            </w14:solidFill>
          </w14:textFill>
        </w:rPr>
        <w:t>格式验证</w:t>
      </w:r>
    </w:p>
    <w:p>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应对数据格式的下列要求进行验证：</w:t>
      </w:r>
    </w:p>
    <w:p>
      <w:pPr>
        <w:pStyle w:val="239"/>
        <w:numPr>
          <w:ilvl w:val="0"/>
          <w:numId w:val="42"/>
        </w:numPr>
        <w:rPr>
          <w:color w:val="000000" w:themeColor="text1"/>
          <w14:textFill>
            <w14:solidFill>
              <w14:schemeClr w14:val="tx1"/>
            </w14:solidFill>
          </w14:textFill>
        </w:rPr>
      </w:pPr>
      <w:r>
        <w:rPr>
          <w:color w:val="000000" w:themeColor="text1"/>
          <w14:textFill>
            <w14:solidFill>
              <w14:schemeClr w14:val="tx1"/>
            </w14:solidFill>
          </w14:textFill>
        </w:rPr>
        <w:t>检查文件格式（CSV, JSON, XML等）是否符合约定</w:t>
      </w:r>
      <w:r>
        <w:rPr>
          <w:rFonts w:hint="eastAsia"/>
          <w:color w:val="000000" w:themeColor="text1"/>
          <w14:textFill>
            <w14:solidFill>
              <w14:schemeClr w14:val="tx1"/>
            </w14:solidFill>
          </w14:textFill>
        </w:rPr>
        <w:t>；</w:t>
      </w:r>
    </w:p>
    <w:p>
      <w:pPr>
        <w:pStyle w:val="181"/>
        <w:numPr>
          <w:ilvl w:val="0"/>
          <w:numId w:val="39"/>
        </w:numPr>
        <w:rPr>
          <w:color w:val="000000" w:themeColor="text1"/>
          <w14:textFill>
            <w14:solidFill>
              <w14:schemeClr w14:val="tx1"/>
            </w14:solidFill>
          </w14:textFill>
        </w:rPr>
      </w:pPr>
      <w:r>
        <w:rPr>
          <w:color w:val="000000" w:themeColor="text1"/>
          <w14:textFill>
            <w14:solidFill>
              <w14:schemeClr w14:val="tx1"/>
            </w14:solidFill>
          </w14:textFill>
        </w:rPr>
        <w:t>检查字符编码（UTF-8, GBK等）是否正确；</w:t>
      </w:r>
    </w:p>
    <w:p>
      <w:pPr>
        <w:pStyle w:val="181"/>
        <w:numPr>
          <w:ilvl w:val="0"/>
          <w:numId w:val="39"/>
        </w:numPr>
        <w:rPr>
          <w:color w:val="000000" w:themeColor="text1"/>
          <w14:textFill>
            <w14:solidFill>
              <w14:schemeClr w14:val="tx1"/>
            </w14:solidFill>
          </w14:textFill>
        </w:rPr>
      </w:pPr>
      <w:r>
        <w:rPr>
          <w:color w:val="000000" w:themeColor="text1"/>
          <w14:textFill>
            <w14:solidFill>
              <w14:schemeClr w14:val="tx1"/>
            </w14:solidFill>
          </w14:textFill>
        </w:rPr>
        <w:t>验证数据分隔符、引号等是否规范。</w:t>
      </w:r>
    </w:p>
    <w:p>
      <w:pPr>
        <w:pStyle w:val="72"/>
        <w:spacing w:before="156" w:after="156"/>
        <w:rPr>
          <w:bCs/>
          <w:color w:val="000000" w:themeColor="text1"/>
          <w14:textFill>
            <w14:solidFill>
              <w14:schemeClr w14:val="tx1"/>
            </w14:solidFill>
          </w14:textFill>
        </w:rPr>
      </w:pPr>
      <w:r>
        <w:rPr>
          <w:rFonts w:hint="eastAsia"/>
          <w:color w:val="000000" w:themeColor="text1"/>
          <w14:textFill>
            <w14:solidFill>
              <w14:schemeClr w14:val="tx1"/>
            </w14:solidFill>
          </w14:textFill>
        </w:rPr>
        <w:t>结构验证</w:t>
      </w:r>
    </w:p>
    <w:p>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应对数据结构的下列要求进行验证：</w:t>
      </w:r>
    </w:p>
    <w:p>
      <w:pPr>
        <w:pStyle w:val="239"/>
        <w:numPr>
          <w:ilvl w:val="0"/>
          <w:numId w:val="43"/>
        </w:numPr>
        <w:rPr>
          <w:bCs/>
          <w:color w:val="000000" w:themeColor="text1"/>
          <w14:textFill>
            <w14:solidFill>
              <w14:schemeClr w14:val="tx1"/>
            </w14:solidFill>
          </w14:textFill>
        </w:rPr>
      </w:pPr>
      <w:r>
        <w:rPr>
          <w:color w:val="000000" w:themeColor="text1"/>
          <w14:textFill>
            <w14:solidFill>
              <w14:schemeClr w14:val="tx1"/>
            </w14:solidFill>
          </w14:textFill>
        </w:rPr>
        <w:t>检查数据表的字段数量、字段名称、字段顺序是否与元数据定义一致</w:t>
      </w:r>
      <w:r>
        <w:rPr>
          <w:rFonts w:hint="eastAsia"/>
          <w:color w:val="000000" w:themeColor="text1"/>
          <w14:textFill>
            <w14:solidFill>
              <w14:schemeClr w14:val="tx1"/>
            </w14:solidFill>
          </w14:textFill>
        </w:rPr>
        <w:t>；</w:t>
      </w:r>
    </w:p>
    <w:p>
      <w:pPr>
        <w:pStyle w:val="181"/>
        <w:numPr>
          <w:ilvl w:val="0"/>
          <w:numId w:val="39"/>
        </w:numPr>
        <w:rPr>
          <w:bCs/>
          <w:color w:val="000000" w:themeColor="text1"/>
          <w14:textFill>
            <w14:solidFill>
              <w14:schemeClr w14:val="tx1"/>
            </w14:solidFill>
          </w14:textFill>
        </w:rPr>
      </w:pPr>
      <w:r>
        <w:rPr>
          <w:color w:val="000000" w:themeColor="text1"/>
          <w14:textFill>
            <w14:solidFill>
              <w14:schemeClr w14:val="tx1"/>
            </w14:solidFill>
          </w14:textFill>
        </w:rPr>
        <w:t>验证数据类型（如字符串、数字、日期）是否符合预期。</w:t>
      </w:r>
    </w:p>
    <w:p>
      <w:pPr>
        <w:pStyle w:val="7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基础内容验证</w:t>
      </w:r>
    </w:p>
    <w:p>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应对数据的下列基础内容要求进行验证：</w:t>
      </w:r>
    </w:p>
    <w:p>
      <w:pPr>
        <w:pStyle w:val="239"/>
        <w:numPr>
          <w:ilvl w:val="0"/>
          <w:numId w:val="44"/>
        </w:numPr>
        <w:rPr>
          <w:color w:val="000000" w:themeColor="text1"/>
          <w14:textFill>
            <w14:solidFill>
              <w14:schemeClr w14:val="tx1"/>
            </w14:solidFill>
          </w14:textFill>
        </w:rPr>
      </w:pPr>
      <w:r>
        <w:rPr>
          <w:bCs/>
          <w:color w:val="000000" w:themeColor="text1"/>
          <w14:textFill>
            <w14:solidFill>
              <w14:schemeClr w14:val="tx1"/>
            </w14:solidFill>
          </w14:textFill>
        </w:rPr>
        <w:t>非空验证</w:t>
      </w:r>
      <w:r>
        <w:rPr>
          <w:color w:val="000000" w:themeColor="text1"/>
          <w14:textFill>
            <w14:solidFill>
              <w14:schemeClr w14:val="tx1"/>
            </w14:solidFill>
          </w14:textFill>
        </w:rPr>
        <w:t>：检查关键字段（如身份证号、时间戳）是否存在空值。</w:t>
      </w:r>
    </w:p>
    <w:p>
      <w:pPr>
        <w:pStyle w:val="181"/>
        <w:numPr>
          <w:ilvl w:val="0"/>
          <w:numId w:val="39"/>
        </w:numPr>
        <w:rPr>
          <w:bCs/>
          <w:color w:val="000000" w:themeColor="text1"/>
          <w14:textFill>
            <w14:solidFill>
              <w14:schemeClr w14:val="tx1"/>
            </w14:solidFill>
          </w14:textFill>
        </w:rPr>
      </w:pPr>
      <w:r>
        <w:rPr>
          <w:bCs/>
          <w:color w:val="000000" w:themeColor="text1"/>
          <w14:textFill>
            <w14:solidFill>
              <w14:schemeClr w14:val="tx1"/>
            </w14:solidFill>
          </w14:textFill>
        </w:rPr>
        <w:t>枚举值验证：检查字段值是否在预定义的合法值列表内（如</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性别</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字段只能为</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男</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女</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或</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未知</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w:t>
      </w:r>
    </w:p>
    <w:p>
      <w:pPr>
        <w:pStyle w:val="181"/>
        <w:numPr>
          <w:ilvl w:val="0"/>
          <w:numId w:val="39"/>
        </w:numPr>
        <w:rPr>
          <w:bCs/>
          <w:color w:val="000000" w:themeColor="text1"/>
          <w14:textFill>
            <w14:solidFill>
              <w14:schemeClr w14:val="tx1"/>
            </w14:solidFill>
          </w14:textFill>
        </w:rPr>
      </w:pPr>
      <w:r>
        <w:rPr>
          <w:bCs/>
          <w:color w:val="000000" w:themeColor="text1"/>
          <w14:textFill>
            <w14:solidFill>
              <w14:schemeClr w14:val="tx1"/>
            </w14:solidFill>
          </w14:textFill>
        </w:rPr>
        <w:t>格式正则验证：使用正则表达式验证手机号、身份证号、邮箱地址等是否符合规范格式。</w:t>
      </w:r>
    </w:p>
    <w:p>
      <w:pPr>
        <w:pStyle w:val="181"/>
        <w:numPr>
          <w:ilvl w:val="0"/>
          <w:numId w:val="39"/>
        </w:numPr>
        <w:rPr>
          <w:bCs/>
          <w:color w:val="000000" w:themeColor="text1"/>
          <w14:textFill>
            <w14:solidFill>
              <w14:schemeClr w14:val="tx1"/>
            </w14:solidFill>
          </w14:textFill>
        </w:rPr>
      </w:pPr>
      <w:r>
        <w:rPr>
          <w:bCs/>
          <w:color w:val="000000" w:themeColor="text1"/>
          <w14:textFill>
            <w14:solidFill>
              <w14:schemeClr w14:val="tx1"/>
            </w14:solidFill>
          </w14:textFill>
        </w:rPr>
        <w:t>数值范围验证：检查数值型数据（如年龄、温度、金额）是否在合理的取值范围内。</w:t>
      </w:r>
    </w:p>
    <w:p>
      <w:pPr>
        <w:pStyle w:val="7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验证方法</w:t>
      </w:r>
    </w:p>
    <w:p>
      <w:pPr>
        <w:pStyle w:val="171"/>
      </w:pPr>
      <w:r>
        <w:rPr>
          <w:rFonts w:hint="eastAsia"/>
        </w:rPr>
        <w:t>数据管理方应按GB</w:t>
      </w:r>
      <w:r>
        <w:t>/</w:t>
      </w:r>
      <w:r>
        <w:rPr>
          <w:rFonts w:hint="eastAsia"/>
        </w:rPr>
        <w:t>T</w:t>
      </w:r>
      <w:r>
        <w:t xml:space="preserve"> 36073的要求对数据管理能力进行成熟度评估。</w:t>
      </w:r>
    </w:p>
    <w:p>
      <w:pPr>
        <w:pStyle w:val="171"/>
      </w:pPr>
      <w:r>
        <w:rPr>
          <w:rFonts w:hint="eastAsia"/>
        </w:rPr>
        <w:t>数据底座的数据入库前应按GB</w:t>
      </w:r>
      <w:r>
        <w:t>/</w:t>
      </w:r>
      <w:r>
        <w:rPr>
          <w:rFonts w:hint="eastAsia"/>
        </w:rPr>
        <w:t>T</w:t>
      </w:r>
      <w:r>
        <w:t xml:space="preserve"> 36344</w:t>
      </w:r>
      <w:r>
        <w:rPr>
          <w:rFonts w:hint="eastAsia"/>
        </w:rPr>
        <w:t>规定的方法进行数据质量校验。</w:t>
      </w:r>
    </w:p>
    <w:p>
      <w:pPr>
        <w:pStyle w:val="171"/>
      </w:pPr>
      <w:r>
        <w:rPr>
          <w:rFonts w:hint="eastAsia"/>
          <w:szCs w:val="21"/>
        </w:rPr>
        <w:t>数据底座所需处理的</w:t>
      </w:r>
      <w:r>
        <w:rPr>
          <w:color w:val="000000" w:themeColor="text1"/>
          <w:szCs w:val="21"/>
          <w14:textFill>
            <w14:solidFill>
              <w14:schemeClr w14:val="tx1"/>
            </w14:solidFill>
          </w14:textFill>
        </w:rPr>
        <w:t>个人信息应按</w:t>
      </w:r>
      <w:r>
        <w:t>GB/T 35273规定的方法进行合法性、最小必要性和准确性</w:t>
      </w:r>
      <w:r>
        <w:rPr>
          <w:rFonts w:hint="eastAsia"/>
        </w:rPr>
        <w:t>验证</w:t>
      </w:r>
      <w:r>
        <w:t>。</w:t>
      </w:r>
    </w:p>
    <w:bookmarkEnd w:id="150"/>
    <w:bookmarkEnd w:id="151"/>
    <w:bookmarkEnd w:id="152"/>
    <w:p>
      <w:pPr>
        <w:pStyle w:val="171"/>
        <w:sectPr>
          <w:headerReference r:id="rId17" w:type="default"/>
          <w:footerReference r:id="rId19" w:type="default"/>
          <w:headerReference r:id="rId18" w:type="even"/>
          <w:footerReference r:id="rId20" w:type="even"/>
          <w:pgSz w:w="11906" w:h="16838"/>
          <w:pgMar w:top="1871" w:right="1134" w:bottom="1134" w:left="1134" w:header="1418" w:footer="1134" w:gutter="284"/>
          <w:pgNumType w:start="1"/>
          <w:cols w:space="425" w:num="1"/>
          <w:formProt w:val="0"/>
          <w:docGrid w:type="lines" w:linePitch="312" w:charSpace="0"/>
        </w:sectPr>
      </w:pPr>
    </w:p>
    <w:bookmarkEnd w:id="37"/>
    <w:p>
      <w:pPr>
        <w:pStyle w:val="205"/>
        <w:rPr>
          <w:vanish w:val="0"/>
        </w:rPr>
      </w:pPr>
      <w:bookmarkStart w:id="256" w:name="BookMark5"/>
    </w:p>
    <w:p>
      <w:pPr>
        <w:pStyle w:val="206"/>
        <w:rPr>
          <w:vanish w:val="0"/>
        </w:rPr>
      </w:pPr>
    </w:p>
    <w:p>
      <w:pPr>
        <w:pStyle w:val="83"/>
        <w:spacing w:before="78" w:after="156"/>
      </w:pPr>
      <w:r>
        <w:br w:type="textWrapping"/>
      </w:r>
      <w:bookmarkStart w:id="257" w:name="_Toc217916772"/>
      <w:bookmarkStart w:id="258" w:name="_Toc217912661"/>
      <w:bookmarkStart w:id="259" w:name="_Toc216189984"/>
      <w:bookmarkStart w:id="260" w:name="_Toc216189967"/>
      <w:r>
        <w:rPr>
          <w:rFonts w:hint="eastAsia"/>
        </w:rPr>
        <w:t>（资料性）</w:t>
      </w:r>
      <w:r>
        <w:br w:type="textWrapping"/>
      </w:r>
      <w:r>
        <w:rPr>
          <w:rFonts w:hint="eastAsia"/>
        </w:rPr>
        <w:t>库表归集相关数据表约束及示例</w:t>
      </w:r>
      <w:bookmarkEnd w:id="257"/>
      <w:bookmarkEnd w:id="258"/>
      <w:bookmarkEnd w:id="259"/>
      <w:bookmarkEnd w:id="260"/>
    </w:p>
    <w:p>
      <w:pPr>
        <w:pStyle w:val="85"/>
        <w:spacing w:before="156" w:after="156"/>
        <w:rPr>
          <w:lang w:bidi="ar"/>
        </w:rPr>
      </w:pPr>
      <w:bookmarkStart w:id="261" w:name="_Toc216189968"/>
      <w:r>
        <w:rPr>
          <w:lang w:bidi="ar"/>
        </w:rPr>
        <w:t>业务数据表约束</w:t>
      </w:r>
      <w:bookmarkEnd w:id="261"/>
    </w:p>
    <w:p>
      <w:pPr>
        <w:pStyle w:val="63"/>
        <w:ind w:firstLine="420"/>
      </w:pPr>
      <w:r>
        <w:rPr>
          <w:lang w:bidi="ar"/>
        </w:rPr>
        <w:t>业务数据表包括记录标识码、数据来源、数据来源关联码、更新时间、更新人员以及多个业务字段，除业务字段外相关约束见表A.1。</w:t>
      </w:r>
    </w:p>
    <w:p>
      <w:pPr>
        <w:pStyle w:val="84"/>
        <w:spacing w:before="156" w:after="156"/>
      </w:pPr>
      <w:r>
        <w:rPr>
          <w:lang w:bidi="ar"/>
        </w:rPr>
        <w:t>业务数据表约束</w:t>
      </w:r>
    </w:p>
    <w:tbl>
      <w:tblPr>
        <w:tblStyle w:val="39"/>
        <w:tblW w:w="9356" w:type="dxa"/>
        <w:tblInd w:w="108"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607"/>
        <w:gridCol w:w="1945"/>
        <w:gridCol w:w="1701"/>
        <w:gridCol w:w="1417"/>
        <w:gridCol w:w="1276"/>
        <w:gridCol w:w="1276"/>
        <w:gridCol w:w="1134"/>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76" w:hRule="atLeast"/>
        </w:trPr>
        <w:tc>
          <w:tcPr>
            <w:tcW w:w="607" w:type="dxa"/>
            <w:tcBorders>
              <w:top w:val="single" w:color="auto" w:sz="8" w:space="0"/>
              <w:left w:val="single" w:color="auto" w:sz="8"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序号</w:t>
            </w:r>
          </w:p>
        </w:tc>
        <w:tc>
          <w:tcPr>
            <w:tcW w:w="1945" w:type="dxa"/>
            <w:tcBorders>
              <w:top w:val="single" w:color="auto" w:sz="8"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字段名称</w:t>
            </w:r>
          </w:p>
        </w:tc>
        <w:tc>
          <w:tcPr>
            <w:tcW w:w="1701" w:type="dxa"/>
            <w:tcBorders>
              <w:top w:val="single" w:color="auto" w:sz="8"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字段代码</w:t>
            </w:r>
          </w:p>
        </w:tc>
        <w:tc>
          <w:tcPr>
            <w:tcW w:w="1417" w:type="dxa"/>
            <w:tcBorders>
              <w:top w:val="single" w:color="auto" w:sz="8"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字段类型</w:t>
            </w:r>
          </w:p>
        </w:tc>
        <w:tc>
          <w:tcPr>
            <w:tcW w:w="1276" w:type="dxa"/>
            <w:tcBorders>
              <w:top w:val="single" w:color="auto" w:sz="8"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字段长度</w:t>
            </w:r>
          </w:p>
        </w:tc>
        <w:tc>
          <w:tcPr>
            <w:tcW w:w="1276" w:type="dxa"/>
            <w:tcBorders>
              <w:top w:val="single" w:color="auto" w:sz="8"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值域</w:t>
            </w:r>
          </w:p>
        </w:tc>
        <w:tc>
          <w:tcPr>
            <w:tcW w:w="1134" w:type="dxa"/>
            <w:tcBorders>
              <w:top w:val="single" w:color="auto" w:sz="8" w:space="0"/>
              <w:left w:val="single" w:color="000000" w:sz="6" w:space="0"/>
              <w:bottom w:val="single" w:color="000000" w:sz="6" w:space="0"/>
              <w:right w:val="single" w:color="auto" w:sz="8"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约束条件</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361" w:hRule="atLeast"/>
        </w:trPr>
        <w:tc>
          <w:tcPr>
            <w:tcW w:w="607" w:type="dxa"/>
            <w:tcBorders>
              <w:top w:val="single" w:color="auto" w:sz="8" w:space="0"/>
              <w:left w:val="single" w:color="auto" w:sz="8"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c>
          <w:tcPr>
            <w:tcW w:w="1945" w:type="dxa"/>
            <w:tcBorders>
              <w:top w:val="single" w:color="auto" w:sz="8"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标识码</w:t>
            </w:r>
          </w:p>
        </w:tc>
        <w:tc>
          <w:tcPr>
            <w:tcW w:w="1701" w:type="dxa"/>
            <w:tcBorders>
              <w:top w:val="single" w:color="auto" w:sz="8"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BSM</w:t>
            </w:r>
          </w:p>
        </w:tc>
        <w:tc>
          <w:tcPr>
            <w:tcW w:w="1417" w:type="dxa"/>
            <w:tcBorders>
              <w:top w:val="single" w:color="auto" w:sz="8"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数值型</w:t>
            </w:r>
          </w:p>
        </w:tc>
        <w:tc>
          <w:tcPr>
            <w:tcW w:w="1276" w:type="dxa"/>
            <w:tcBorders>
              <w:top w:val="single" w:color="auto" w:sz="8"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10</w:t>
            </w:r>
          </w:p>
        </w:tc>
        <w:tc>
          <w:tcPr>
            <w:tcW w:w="1276" w:type="dxa"/>
            <w:tcBorders>
              <w:top w:val="single" w:color="auto" w:sz="8"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非空</w:t>
            </w:r>
          </w:p>
        </w:tc>
        <w:tc>
          <w:tcPr>
            <w:tcW w:w="1134" w:type="dxa"/>
            <w:tcBorders>
              <w:top w:val="single" w:color="auto" w:sz="8" w:space="0"/>
              <w:left w:val="single" w:color="000000" w:sz="6" w:space="0"/>
              <w:bottom w:val="single" w:color="000000" w:sz="6" w:space="0"/>
              <w:right w:val="single" w:color="auto" w:sz="8"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主键</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361" w:hRule="atLeast"/>
        </w:trPr>
        <w:tc>
          <w:tcPr>
            <w:tcW w:w="607" w:type="dxa"/>
            <w:tcBorders>
              <w:top w:val="single" w:color="000000" w:sz="6" w:space="0"/>
              <w:left w:val="single" w:color="auto" w:sz="8"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c>
          <w:tcPr>
            <w:tcW w:w="1945"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数据来源</w:t>
            </w:r>
          </w:p>
        </w:tc>
        <w:tc>
          <w:tcPr>
            <w:tcW w:w="1701"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SJLY</w:t>
            </w:r>
          </w:p>
        </w:tc>
        <w:tc>
          <w:tcPr>
            <w:tcW w:w="1417"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字符型</w:t>
            </w:r>
          </w:p>
        </w:tc>
        <w:tc>
          <w:tcPr>
            <w:tcW w:w="1276"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20</w:t>
            </w:r>
          </w:p>
        </w:tc>
        <w:tc>
          <w:tcPr>
            <w:tcW w:w="1276"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p>
        </w:tc>
        <w:tc>
          <w:tcPr>
            <w:tcW w:w="1134" w:type="dxa"/>
            <w:tcBorders>
              <w:top w:val="single" w:color="CBCDD1" w:sz="6" w:space="0"/>
              <w:left w:val="single" w:color="000000" w:sz="6" w:space="0"/>
              <w:bottom w:val="single" w:color="000000" w:sz="6" w:space="0"/>
              <w:right w:val="single" w:color="auto" w:sz="8"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288" w:hRule="atLeast"/>
        </w:trPr>
        <w:tc>
          <w:tcPr>
            <w:tcW w:w="607" w:type="dxa"/>
            <w:tcBorders>
              <w:top w:val="single" w:color="000000" w:sz="6" w:space="0"/>
              <w:left w:val="single" w:color="auto" w:sz="8"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w:t>
            </w:r>
          </w:p>
        </w:tc>
        <w:tc>
          <w:tcPr>
            <w:tcW w:w="1945"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数据来源朔源关联码</w:t>
            </w:r>
          </w:p>
        </w:tc>
        <w:tc>
          <w:tcPr>
            <w:tcW w:w="1701"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SJLYSYGLM</w:t>
            </w:r>
          </w:p>
        </w:tc>
        <w:tc>
          <w:tcPr>
            <w:tcW w:w="1417"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字符型</w:t>
            </w:r>
          </w:p>
        </w:tc>
        <w:tc>
          <w:tcPr>
            <w:tcW w:w="1276"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50</w:t>
            </w:r>
          </w:p>
        </w:tc>
        <w:tc>
          <w:tcPr>
            <w:tcW w:w="1276"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p>
        </w:tc>
        <w:tc>
          <w:tcPr>
            <w:tcW w:w="1134" w:type="dxa"/>
            <w:tcBorders>
              <w:top w:val="single" w:color="CBCDD1" w:sz="6" w:space="0"/>
              <w:left w:val="single" w:color="000000" w:sz="6" w:space="0"/>
              <w:bottom w:val="single" w:color="000000" w:sz="6" w:space="0"/>
              <w:right w:val="single" w:color="auto" w:sz="8"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361" w:hRule="atLeast"/>
        </w:trPr>
        <w:tc>
          <w:tcPr>
            <w:tcW w:w="607" w:type="dxa"/>
            <w:tcBorders>
              <w:top w:val="single" w:color="000000" w:sz="6" w:space="0"/>
              <w:left w:val="single" w:color="auto" w:sz="8"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w:t>
            </w:r>
          </w:p>
        </w:tc>
        <w:tc>
          <w:tcPr>
            <w:tcW w:w="1945"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更新时间</w:t>
            </w:r>
          </w:p>
        </w:tc>
        <w:tc>
          <w:tcPr>
            <w:tcW w:w="1701"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GXSJ</w:t>
            </w:r>
          </w:p>
        </w:tc>
        <w:tc>
          <w:tcPr>
            <w:tcW w:w="1417"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日期时间</w:t>
            </w:r>
          </w:p>
        </w:tc>
        <w:tc>
          <w:tcPr>
            <w:tcW w:w="1276"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p>
        </w:tc>
        <w:tc>
          <w:tcPr>
            <w:tcW w:w="1276"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p>
        </w:tc>
        <w:tc>
          <w:tcPr>
            <w:tcW w:w="1134" w:type="dxa"/>
            <w:tcBorders>
              <w:top w:val="single" w:color="CBCDD1" w:sz="6" w:space="0"/>
              <w:left w:val="single" w:color="000000" w:sz="6" w:space="0"/>
              <w:bottom w:val="single" w:color="000000" w:sz="6" w:space="0"/>
              <w:right w:val="single" w:color="auto" w:sz="8"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398" w:hRule="atLeast"/>
        </w:trPr>
        <w:tc>
          <w:tcPr>
            <w:tcW w:w="607" w:type="dxa"/>
            <w:tcBorders>
              <w:top w:val="single" w:color="000000" w:sz="6" w:space="0"/>
              <w:left w:val="single" w:color="auto" w:sz="8" w:space="0"/>
              <w:bottom w:val="single" w:color="auto" w:sz="8"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w:t>
            </w:r>
          </w:p>
        </w:tc>
        <w:tc>
          <w:tcPr>
            <w:tcW w:w="1945" w:type="dxa"/>
            <w:tcBorders>
              <w:top w:val="single" w:color="CBCDD1" w:sz="6" w:space="0"/>
              <w:left w:val="single" w:color="000000" w:sz="6" w:space="0"/>
              <w:bottom w:val="single" w:color="auto" w:sz="8"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更新人员</w:t>
            </w:r>
          </w:p>
        </w:tc>
        <w:tc>
          <w:tcPr>
            <w:tcW w:w="1701" w:type="dxa"/>
            <w:tcBorders>
              <w:top w:val="single" w:color="CBCDD1" w:sz="6" w:space="0"/>
              <w:left w:val="single" w:color="000000" w:sz="6" w:space="0"/>
              <w:bottom w:val="single" w:color="auto" w:sz="8"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GXRY</w:t>
            </w:r>
          </w:p>
        </w:tc>
        <w:tc>
          <w:tcPr>
            <w:tcW w:w="1417" w:type="dxa"/>
            <w:tcBorders>
              <w:top w:val="single" w:color="CBCDD1" w:sz="6" w:space="0"/>
              <w:left w:val="single" w:color="000000" w:sz="6" w:space="0"/>
              <w:bottom w:val="single" w:color="auto" w:sz="8"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字符型</w:t>
            </w:r>
          </w:p>
        </w:tc>
        <w:tc>
          <w:tcPr>
            <w:tcW w:w="1276" w:type="dxa"/>
            <w:tcBorders>
              <w:top w:val="single" w:color="CBCDD1" w:sz="6" w:space="0"/>
              <w:left w:val="single" w:color="000000" w:sz="6" w:space="0"/>
              <w:bottom w:val="single" w:color="auto" w:sz="8"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30</w:t>
            </w:r>
          </w:p>
        </w:tc>
        <w:tc>
          <w:tcPr>
            <w:tcW w:w="1276" w:type="dxa"/>
            <w:tcBorders>
              <w:top w:val="single" w:color="CBCDD1" w:sz="6" w:space="0"/>
              <w:left w:val="single" w:color="000000" w:sz="6" w:space="0"/>
              <w:bottom w:val="single" w:color="auto" w:sz="8" w:space="0"/>
              <w:right w:val="single" w:color="000000" w:sz="6"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p>
        </w:tc>
        <w:tc>
          <w:tcPr>
            <w:tcW w:w="1134" w:type="dxa"/>
            <w:tcBorders>
              <w:top w:val="single" w:color="CBCDD1" w:sz="6" w:space="0"/>
              <w:left w:val="single" w:color="000000" w:sz="6" w:space="0"/>
              <w:bottom w:val="single" w:color="auto" w:sz="8" w:space="0"/>
              <w:right w:val="single" w:color="auto" w:sz="8" w:space="0"/>
            </w:tcBorders>
            <w:shd w:val="clear" w:color="auto" w:fill="auto"/>
            <w:tcMar>
              <w:top w:w="0" w:type="dxa"/>
              <w:left w:w="108" w:type="dxa"/>
              <w:bottom w:w="0" w:type="dxa"/>
              <w:right w:w="108" w:type="dxa"/>
            </w:tcMar>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p>
        </w:tc>
      </w:tr>
    </w:tbl>
    <w:p>
      <w:pPr>
        <w:pStyle w:val="63"/>
        <w:ind w:firstLine="420"/>
      </w:pPr>
    </w:p>
    <w:p>
      <w:pPr>
        <w:pStyle w:val="85"/>
        <w:spacing w:before="156" w:after="156"/>
        <w:rPr>
          <w:lang w:bidi="ar"/>
        </w:rPr>
      </w:pPr>
      <w:bookmarkStart w:id="262" w:name="_Toc216189969"/>
      <w:r>
        <w:rPr>
          <w:lang w:bidi="ar"/>
        </w:rPr>
        <w:t>业务数据表示例</w:t>
      </w:r>
      <w:bookmarkEnd w:id="262"/>
    </w:p>
    <w:p>
      <w:pPr>
        <w:pStyle w:val="63"/>
        <w:ind w:firstLine="420"/>
      </w:pPr>
      <w:r>
        <w:rPr>
          <w:lang w:bidi="ar"/>
        </w:rPr>
        <w:t>业务数据表示例见表A.2。</w:t>
      </w:r>
    </w:p>
    <w:p>
      <w:pPr>
        <w:pStyle w:val="84"/>
        <w:spacing w:before="156" w:after="156"/>
        <w:rPr>
          <w:lang w:bidi="ar"/>
        </w:rPr>
      </w:pPr>
      <w:r>
        <w:rPr>
          <w:lang w:bidi="ar"/>
        </w:rPr>
        <w:t>业务数据表示例</w:t>
      </w:r>
    </w:p>
    <w:tbl>
      <w:tblPr>
        <w:tblStyle w:val="3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24"/>
        <w:gridCol w:w="719"/>
        <w:gridCol w:w="1326"/>
        <w:gridCol w:w="1208"/>
        <w:gridCol w:w="1381"/>
        <w:gridCol w:w="1721"/>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98" w:type="dxa"/>
            <w:tcBorders>
              <w:top w:val="single" w:color="auto" w:sz="8" w:space="0"/>
              <w:left w:val="single" w:color="auto" w:sz="8" w:space="0"/>
              <w:bottom w:val="single" w:color="auto" w:sz="8" w:space="0"/>
            </w:tcBorders>
            <w:shd w:val="clear" w:color="auto" w:fill="auto"/>
            <w:vAlign w:val="center"/>
          </w:tcPr>
          <w:p>
            <w:pPr>
              <w:pStyle w:val="236"/>
              <w:spacing w:before="156" w:after="156"/>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BSM</w:t>
            </w:r>
          </w:p>
        </w:tc>
        <w:tc>
          <w:tcPr>
            <w:tcW w:w="1224" w:type="dxa"/>
            <w:tcBorders>
              <w:top w:val="single" w:color="auto" w:sz="8" w:space="0"/>
              <w:bottom w:val="single" w:color="auto" w:sz="8" w:space="0"/>
            </w:tcBorders>
            <w:shd w:val="clear" w:color="auto" w:fill="auto"/>
            <w:vAlign w:val="center"/>
          </w:tcPr>
          <w:p>
            <w:pPr>
              <w:pStyle w:val="236"/>
              <w:spacing w:before="156" w:after="156"/>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业务字段1</w:t>
            </w:r>
          </w:p>
        </w:tc>
        <w:tc>
          <w:tcPr>
            <w:tcW w:w="719" w:type="dxa"/>
            <w:tcBorders>
              <w:top w:val="single" w:color="auto" w:sz="8" w:space="0"/>
              <w:bottom w:val="single" w:color="auto" w:sz="8" w:space="0"/>
            </w:tcBorders>
            <w:shd w:val="clear" w:color="auto" w:fill="auto"/>
            <w:vAlign w:val="center"/>
          </w:tcPr>
          <w:p>
            <w:pPr>
              <w:pStyle w:val="236"/>
              <w:spacing w:before="156" w:after="156"/>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w:t>
            </w:r>
          </w:p>
        </w:tc>
        <w:tc>
          <w:tcPr>
            <w:tcW w:w="1326" w:type="dxa"/>
            <w:tcBorders>
              <w:top w:val="single" w:color="auto" w:sz="8" w:space="0"/>
              <w:bottom w:val="single" w:color="auto" w:sz="8" w:space="0"/>
            </w:tcBorders>
            <w:shd w:val="clear" w:color="auto" w:fill="auto"/>
            <w:vAlign w:val="center"/>
          </w:tcPr>
          <w:p>
            <w:pPr>
              <w:pStyle w:val="236"/>
              <w:tabs>
                <w:tab w:val="clear" w:pos="4201"/>
              </w:tabs>
              <w:spacing w:before="156" w:after="156"/>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业务字段N</w:t>
            </w:r>
          </w:p>
        </w:tc>
        <w:tc>
          <w:tcPr>
            <w:tcW w:w="1208" w:type="dxa"/>
            <w:tcBorders>
              <w:top w:val="single" w:color="auto" w:sz="8" w:space="0"/>
              <w:bottom w:val="single" w:color="auto" w:sz="8" w:space="0"/>
            </w:tcBorders>
            <w:shd w:val="clear" w:color="auto" w:fill="auto"/>
            <w:vAlign w:val="center"/>
          </w:tcPr>
          <w:p>
            <w:pPr>
              <w:pStyle w:val="236"/>
              <w:spacing w:before="156" w:after="156"/>
              <w:ind w:firstLine="180" w:firstLineChars="10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SJLY</w:t>
            </w:r>
          </w:p>
        </w:tc>
        <w:tc>
          <w:tcPr>
            <w:tcW w:w="1381" w:type="dxa"/>
            <w:tcBorders>
              <w:top w:val="single" w:color="auto" w:sz="8" w:space="0"/>
              <w:bottom w:val="single" w:color="auto" w:sz="8" w:space="0"/>
            </w:tcBorders>
            <w:shd w:val="clear" w:color="auto" w:fill="auto"/>
            <w:vAlign w:val="center"/>
          </w:tcPr>
          <w:p>
            <w:pPr>
              <w:pStyle w:val="236"/>
              <w:spacing w:before="156" w:after="156"/>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SJLYSYGLM</w:t>
            </w:r>
          </w:p>
        </w:tc>
        <w:tc>
          <w:tcPr>
            <w:tcW w:w="1721" w:type="dxa"/>
            <w:tcBorders>
              <w:top w:val="single" w:color="auto" w:sz="8" w:space="0"/>
              <w:bottom w:val="single" w:color="auto" w:sz="8" w:space="0"/>
            </w:tcBorders>
            <w:shd w:val="clear" w:color="auto" w:fill="auto"/>
            <w:vAlign w:val="center"/>
          </w:tcPr>
          <w:p>
            <w:pPr>
              <w:pStyle w:val="236"/>
              <w:spacing w:before="156" w:after="156"/>
              <w:ind w:firstLine="180" w:firstLineChars="10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GXSJ</w:t>
            </w:r>
          </w:p>
        </w:tc>
        <w:tc>
          <w:tcPr>
            <w:tcW w:w="1079" w:type="dxa"/>
            <w:tcBorders>
              <w:top w:val="single" w:color="auto" w:sz="8" w:space="0"/>
              <w:bottom w:val="single" w:color="auto" w:sz="8" w:space="0"/>
              <w:right w:val="single" w:color="auto" w:sz="8" w:space="0"/>
            </w:tcBorders>
            <w:shd w:val="clear" w:color="auto" w:fill="auto"/>
            <w:vAlign w:val="center"/>
          </w:tcPr>
          <w:p>
            <w:pPr>
              <w:pStyle w:val="236"/>
              <w:spacing w:before="156" w:after="156"/>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GXRY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8" w:type="dxa"/>
            <w:tcBorders>
              <w:top w:val="single" w:color="auto" w:sz="8" w:space="0"/>
              <w:left w:val="single" w:color="auto" w:sz="8" w:space="0"/>
            </w:tcBorders>
            <w:shd w:val="clear" w:color="auto" w:fill="auto"/>
            <w:vAlign w:val="center"/>
          </w:tcPr>
          <w:p>
            <w:pPr>
              <w:pStyle w:val="236"/>
              <w:spacing w:before="156" w:after="156"/>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w:t>
            </w:r>
          </w:p>
        </w:tc>
        <w:tc>
          <w:tcPr>
            <w:tcW w:w="1224" w:type="dxa"/>
            <w:tcBorders>
              <w:top w:val="single" w:color="auto" w:sz="8" w:space="0"/>
            </w:tcBorders>
            <w:shd w:val="clear" w:color="auto" w:fill="auto"/>
            <w:vAlign w:val="center"/>
          </w:tcPr>
          <w:p>
            <w:pPr>
              <w:pStyle w:val="236"/>
              <w:spacing w:before="156" w:after="156"/>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业务字段</w:t>
            </w:r>
          </w:p>
        </w:tc>
        <w:tc>
          <w:tcPr>
            <w:tcW w:w="719" w:type="dxa"/>
            <w:tcBorders>
              <w:top w:val="single" w:color="auto" w:sz="8" w:space="0"/>
            </w:tcBorders>
            <w:shd w:val="clear" w:color="auto" w:fill="auto"/>
            <w:vAlign w:val="center"/>
          </w:tcPr>
          <w:p>
            <w:pPr>
              <w:pStyle w:val="236"/>
              <w:spacing w:before="156" w:after="156"/>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w:t>
            </w:r>
          </w:p>
        </w:tc>
        <w:tc>
          <w:tcPr>
            <w:tcW w:w="1326" w:type="dxa"/>
            <w:tcBorders>
              <w:top w:val="single" w:color="auto" w:sz="8" w:space="0"/>
            </w:tcBorders>
            <w:shd w:val="clear" w:color="auto" w:fill="auto"/>
            <w:vAlign w:val="center"/>
          </w:tcPr>
          <w:p>
            <w:pPr>
              <w:pStyle w:val="236"/>
              <w:spacing w:before="156" w:after="156"/>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业务字段</w:t>
            </w:r>
          </w:p>
        </w:tc>
        <w:tc>
          <w:tcPr>
            <w:tcW w:w="1208" w:type="dxa"/>
            <w:tcBorders>
              <w:top w:val="single" w:color="auto" w:sz="8" w:space="0"/>
            </w:tcBorders>
            <w:shd w:val="clear" w:color="auto" w:fill="auto"/>
            <w:vAlign w:val="center"/>
          </w:tcPr>
          <w:p>
            <w:pPr>
              <w:pStyle w:val="236"/>
              <w:spacing w:before="156" w:after="156"/>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业务A</w:t>
            </w:r>
          </w:p>
        </w:tc>
        <w:tc>
          <w:tcPr>
            <w:tcW w:w="1381" w:type="dxa"/>
            <w:tcBorders>
              <w:top w:val="single" w:color="auto" w:sz="8" w:space="0"/>
            </w:tcBorders>
            <w:shd w:val="clear" w:color="auto" w:fill="auto"/>
            <w:vAlign w:val="center"/>
          </w:tcPr>
          <w:p>
            <w:pPr>
              <w:pStyle w:val="236"/>
              <w:spacing w:before="156" w:after="156"/>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GLM01</w:t>
            </w:r>
          </w:p>
        </w:tc>
        <w:tc>
          <w:tcPr>
            <w:tcW w:w="1721" w:type="dxa"/>
            <w:tcBorders>
              <w:top w:val="single" w:color="auto" w:sz="8" w:space="0"/>
            </w:tcBorders>
            <w:shd w:val="clear" w:color="auto" w:fill="auto"/>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2025-5-10</w:t>
            </w:r>
          </w:p>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12:00:00</w:t>
            </w:r>
          </w:p>
        </w:tc>
        <w:tc>
          <w:tcPr>
            <w:tcW w:w="1079" w:type="dxa"/>
            <w:tcBorders>
              <w:top w:val="single" w:color="auto" w:sz="8" w:space="0"/>
              <w:right w:val="single" w:color="auto" w:sz="8" w:space="0"/>
            </w:tcBorders>
            <w:shd w:val="clear" w:color="auto" w:fill="auto"/>
            <w:vAlign w:val="center"/>
          </w:tcPr>
          <w:p>
            <w:pPr>
              <w:pStyle w:val="236"/>
              <w:spacing w:before="156" w:after="156"/>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业务员A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8" w:type="dxa"/>
            <w:tcBorders>
              <w:left w:val="single" w:color="auto" w:sz="8" w:space="0"/>
            </w:tcBorders>
            <w:shd w:val="clear" w:color="auto" w:fill="auto"/>
            <w:vAlign w:val="center"/>
          </w:tcPr>
          <w:p>
            <w:pPr>
              <w:pStyle w:val="236"/>
              <w:spacing w:before="156" w:after="156"/>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w:t>
            </w:r>
          </w:p>
        </w:tc>
        <w:tc>
          <w:tcPr>
            <w:tcW w:w="1224" w:type="dxa"/>
            <w:shd w:val="clear" w:color="auto" w:fill="auto"/>
            <w:vAlign w:val="center"/>
          </w:tcPr>
          <w:p>
            <w:pPr>
              <w:pStyle w:val="236"/>
              <w:spacing w:before="156" w:after="156"/>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业务字段</w:t>
            </w:r>
          </w:p>
        </w:tc>
        <w:tc>
          <w:tcPr>
            <w:tcW w:w="719" w:type="dxa"/>
            <w:shd w:val="clear" w:color="auto" w:fill="auto"/>
            <w:vAlign w:val="center"/>
          </w:tcPr>
          <w:p>
            <w:pPr>
              <w:pStyle w:val="236"/>
              <w:spacing w:before="156" w:after="156"/>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w:t>
            </w:r>
          </w:p>
        </w:tc>
        <w:tc>
          <w:tcPr>
            <w:tcW w:w="1326" w:type="dxa"/>
            <w:shd w:val="clear" w:color="auto" w:fill="auto"/>
            <w:vAlign w:val="center"/>
          </w:tcPr>
          <w:p>
            <w:pPr>
              <w:pStyle w:val="236"/>
              <w:spacing w:before="156" w:after="156"/>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业务字段</w:t>
            </w:r>
          </w:p>
        </w:tc>
        <w:tc>
          <w:tcPr>
            <w:tcW w:w="1208" w:type="dxa"/>
            <w:shd w:val="clear" w:color="auto" w:fill="auto"/>
            <w:vAlign w:val="center"/>
          </w:tcPr>
          <w:p>
            <w:pPr>
              <w:pStyle w:val="236"/>
              <w:spacing w:before="156" w:after="156"/>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业务B</w:t>
            </w:r>
          </w:p>
        </w:tc>
        <w:tc>
          <w:tcPr>
            <w:tcW w:w="1381" w:type="dxa"/>
            <w:shd w:val="clear" w:color="auto" w:fill="auto"/>
            <w:vAlign w:val="center"/>
          </w:tcPr>
          <w:p>
            <w:pPr>
              <w:pStyle w:val="236"/>
              <w:spacing w:before="156" w:after="156"/>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GLM02</w:t>
            </w:r>
          </w:p>
        </w:tc>
        <w:tc>
          <w:tcPr>
            <w:tcW w:w="1721" w:type="dxa"/>
            <w:shd w:val="clear" w:color="auto" w:fill="auto"/>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2025-5-10</w:t>
            </w:r>
          </w:p>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12:00:00</w:t>
            </w:r>
          </w:p>
        </w:tc>
        <w:tc>
          <w:tcPr>
            <w:tcW w:w="1079" w:type="dxa"/>
            <w:tcBorders>
              <w:right w:val="single" w:color="auto" w:sz="8" w:space="0"/>
            </w:tcBorders>
            <w:shd w:val="clear" w:color="auto" w:fill="auto"/>
            <w:vAlign w:val="center"/>
          </w:tcPr>
          <w:p>
            <w:pPr>
              <w:pStyle w:val="236"/>
              <w:spacing w:before="156" w:after="156"/>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业务员B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8" w:type="dxa"/>
            <w:tcBorders>
              <w:left w:val="single" w:color="auto" w:sz="8" w:space="0"/>
              <w:bottom w:val="single" w:color="auto" w:sz="8" w:space="0"/>
            </w:tcBorders>
            <w:shd w:val="clear" w:color="auto" w:fill="auto"/>
            <w:vAlign w:val="center"/>
          </w:tcPr>
          <w:p>
            <w:pPr>
              <w:pStyle w:val="236"/>
              <w:spacing w:before="156" w:after="156"/>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w:t>
            </w:r>
          </w:p>
        </w:tc>
        <w:tc>
          <w:tcPr>
            <w:tcW w:w="1224" w:type="dxa"/>
            <w:tcBorders>
              <w:bottom w:val="single" w:color="auto" w:sz="8" w:space="0"/>
            </w:tcBorders>
            <w:shd w:val="clear" w:color="auto" w:fill="auto"/>
            <w:vAlign w:val="center"/>
          </w:tcPr>
          <w:p>
            <w:pPr>
              <w:pStyle w:val="236"/>
              <w:spacing w:before="156" w:after="156"/>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业务字段</w:t>
            </w:r>
          </w:p>
        </w:tc>
        <w:tc>
          <w:tcPr>
            <w:tcW w:w="719" w:type="dxa"/>
            <w:tcBorders>
              <w:bottom w:val="single" w:color="auto" w:sz="8" w:space="0"/>
            </w:tcBorders>
            <w:shd w:val="clear" w:color="auto" w:fill="auto"/>
            <w:vAlign w:val="center"/>
          </w:tcPr>
          <w:p>
            <w:pPr>
              <w:pStyle w:val="236"/>
              <w:spacing w:before="156" w:after="156"/>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w:t>
            </w:r>
          </w:p>
        </w:tc>
        <w:tc>
          <w:tcPr>
            <w:tcW w:w="1326" w:type="dxa"/>
            <w:tcBorders>
              <w:bottom w:val="single" w:color="auto" w:sz="8" w:space="0"/>
            </w:tcBorders>
            <w:shd w:val="clear" w:color="auto" w:fill="auto"/>
            <w:vAlign w:val="center"/>
          </w:tcPr>
          <w:p>
            <w:pPr>
              <w:pStyle w:val="236"/>
              <w:spacing w:before="156" w:after="156"/>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业务字段</w:t>
            </w:r>
          </w:p>
        </w:tc>
        <w:tc>
          <w:tcPr>
            <w:tcW w:w="1208" w:type="dxa"/>
            <w:tcBorders>
              <w:bottom w:val="single" w:color="auto" w:sz="8" w:space="0"/>
            </w:tcBorders>
            <w:shd w:val="clear" w:color="auto" w:fill="auto"/>
            <w:vAlign w:val="center"/>
          </w:tcPr>
          <w:p>
            <w:pPr>
              <w:pStyle w:val="236"/>
              <w:spacing w:before="156" w:after="156"/>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业务C</w:t>
            </w:r>
          </w:p>
        </w:tc>
        <w:tc>
          <w:tcPr>
            <w:tcW w:w="1381" w:type="dxa"/>
            <w:tcBorders>
              <w:bottom w:val="single" w:color="auto" w:sz="8" w:space="0"/>
            </w:tcBorders>
            <w:shd w:val="clear" w:color="auto" w:fill="auto"/>
            <w:vAlign w:val="center"/>
          </w:tcPr>
          <w:p>
            <w:pPr>
              <w:pStyle w:val="236"/>
              <w:spacing w:before="156" w:after="156"/>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GLM03</w:t>
            </w:r>
          </w:p>
        </w:tc>
        <w:tc>
          <w:tcPr>
            <w:tcW w:w="1721" w:type="dxa"/>
            <w:tcBorders>
              <w:bottom w:val="single" w:color="auto" w:sz="8" w:space="0"/>
            </w:tcBorders>
            <w:shd w:val="clear" w:color="auto" w:fill="auto"/>
            <w:vAlign w:val="center"/>
          </w:tcPr>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2025-5-10</w:t>
            </w:r>
          </w:p>
          <w:p>
            <w:pPr>
              <w:snapToGrid w:val="0"/>
              <w:spacing w:line="32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12:00:00</w:t>
            </w:r>
          </w:p>
        </w:tc>
        <w:tc>
          <w:tcPr>
            <w:tcW w:w="1079" w:type="dxa"/>
            <w:tcBorders>
              <w:bottom w:val="single" w:color="auto" w:sz="8" w:space="0"/>
              <w:right w:val="single" w:color="auto" w:sz="8" w:space="0"/>
            </w:tcBorders>
            <w:shd w:val="clear" w:color="auto" w:fill="auto"/>
            <w:vAlign w:val="center"/>
          </w:tcPr>
          <w:p>
            <w:pPr>
              <w:pStyle w:val="236"/>
              <w:spacing w:before="156" w:after="156"/>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业务员C</w:t>
            </w:r>
          </w:p>
        </w:tc>
      </w:tr>
    </w:tbl>
    <w:p>
      <w:pPr>
        <w:pStyle w:val="63"/>
        <w:ind w:firstLine="420"/>
        <w:rPr>
          <w:rFonts w:ascii="Times New Roman"/>
          <w:color w:val="000000" w:themeColor="text1"/>
          <w:szCs w:val="21"/>
          <w14:textFill>
            <w14:solidFill>
              <w14:schemeClr w14:val="tx1"/>
            </w14:solidFill>
          </w14:textFill>
        </w:rPr>
      </w:pPr>
    </w:p>
    <w:p>
      <w:pPr>
        <w:pStyle w:val="63"/>
        <w:ind w:firstLine="0" w:firstLineChars="0"/>
        <w:sectPr>
          <w:headerReference r:id="rId21" w:type="default"/>
          <w:footerReference r:id="rId23" w:type="default"/>
          <w:headerReference r:id="rId22" w:type="even"/>
          <w:footerReference r:id="rId24" w:type="even"/>
          <w:pgSz w:w="11906" w:h="16838"/>
          <w:pgMar w:top="1871" w:right="1134" w:bottom="1134" w:left="1134" w:header="1418" w:footer="1134" w:gutter="284"/>
          <w:cols w:space="425" w:num="1"/>
          <w:formProt w:val="0"/>
          <w:docGrid w:type="lines" w:linePitch="312" w:charSpace="0"/>
        </w:sectPr>
      </w:pPr>
    </w:p>
    <w:p>
      <w:pPr>
        <w:pStyle w:val="205"/>
        <w:rPr>
          <w:vanish w:val="0"/>
        </w:rPr>
      </w:pPr>
    </w:p>
    <w:p>
      <w:pPr>
        <w:pStyle w:val="206"/>
        <w:rPr>
          <w:vanish w:val="0"/>
        </w:rPr>
      </w:pPr>
    </w:p>
    <w:p>
      <w:pPr>
        <w:pStyle w:val="83"/>
        <w:spacing w:before="78" w:after="156"/>
      </w:pPr>
      <w:r>
        <w:br w:type="textWrapping"/>
      </w:r>
      <w:bookmarkStart w:id="263" w:name="_Toc216189985"/>
      <w:bookmarkStart w:id="264" w:name="_Toc217916773"/>
      <w:bookmarkStart w:id="265" w:name="_Toc217912662"/>
      <w:bookmarkStart w:id="266" w:name="_Toc216189970"/>
      <w:r>
        <w:rPr>
          <w:rFonts w:hint="eastAsia"/>
        </w:rPr>
        <w:t>（资料性）</w:t>
      </w:r>
      <w:r>
        <w:br w:type="textWrapping"/>
      </w:r>
      <w:r>
        <w:rPr>
          <w:rFonts w:hint="eastAsia"/>
        </w:rPr>
        <w:t>数据编码规则一览表</w:t>
      </w:r>
      <w:bookmarkEnd w:id="263"/>
      <w:bookmarkEnd w:id="264"/>
      <w:bookmarkEnd w:id="265"/>
      <w:bookmarkEnd w:id="266"/>
    </w:p>
    <w:p>
      <w:pPr>
        <w:pStyle w:val="63"/>
        <w:ind w:firstLine="420"/>
      </w:pPr>
    </w:p>
    <w:p>
      <w:pPr>
        <w:pStyle w:val="63"/>
        <w:ind w:firstLine="420"/>
      </w:pPr>
      <w:r>
        <w:rPr>
          <w:rFonts w:hint="eastAsia"/>
        </w:rPr>
        <w:t>城市治理对象的数据编码规则见表B.1。</w:t>
      </w:r>
    </w:p>
    <w:p>
      <w:pPr>
        <w:pStyle w:val="84"/>
        <w:spacing w:before="156" w:after="156"/>
      </w:pPr>
      <w:r>
        <w:t>数据编码规则</w:t>
      </w:r>
    </w:p>
    <w:tbl>
      <w:tblPr>
        <w:tblStyle w:val="39"/>
        <w:tblW w:w="9356" w:type="dxa"/>
        <w:tblInd w:w="108" w:type="dxa"/>
        <w:tblLayout w:type="fixed"/>
        <w:tblCellMar>
          <w:top w:w="0" w:type="dxa"/>
          <w:left w:w="0" w:type="dxa"/>
          <w:bottom w:w="0" w:type="dxa"/>
          <w:right w:w="0" w:type="dxa"/>
        </w:tblCellMar>
      </w:tblPr>
      <w:tblGrid>
        <w:gridCol w:w="1134"/>
        <w:gridCol w:w="4538"/>
        <w:gridCol w:w="3684"/>
      </w:tblGrid>
      <w:tr>
        <w:tblPrEx>
          <w:tblLayout w:type="fixed"/>
          <w:tblCellMar>
            <w:top w:w="0" w:type="dxa"/>
            <w:left w:w="0" w:type="dxa"/>
            <w:bottom w:w="0" w:type="dxa"/>
            <w:right w:w="0" w:type="dxa"/>
          </w:tblCellMar>
        </w:tblPrEx>
        <w:trPr>
          <w:trHeight w:val="420" w:hRule="atLeast"/>
        </w:trPr>
        <w:tc>
          <w:tcPr>
            <w:tcW w:w="1134" w:type="dxa"/>
            <w:tcBorders>
              <w:top w:val="single" w:color="auto" w:sz="8" w:space="0"/>
              <w:left w:val="single" w:color="auto" w:sz="8" w:space="0"/>
              <w:bottom w:val="single" w:color="080000" w:sz="6" w:space="0"/>
              <w:right w:val="single" w:color="080000" w:sz="6" w:space="0"/>
            </w:tcBorders>
            <w:shd w:val="clear" w:color="auto" w:fill="FFFFFF"/>
            <w:tcMar>
              <w:left w:w="108" w:type="dxa"/>
              <w:right w:w="108" w:type="dxa"/>
            </w:tcMar>
            <w:vAlign w:val="center"/>
          </w:tcPr>
          <w:p>
            <w:pPr>
              <w:pStyle w:val="30"/>
              <w:widowControl/>
              <w:spacing w:beforeAutospacing="0" w:afterAutospacing="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数据分类</w:t>
            </w:r>
          </w:p>
        </w:tc>
        <w:tc>
          <w:tcPr>
            <w:tcW w:w="4538" w:type="dxa"/>
            <w:tcBorders>
              <w:top w:val="single" w:color="auto" w:sz="8" w:space="0"/>
              <w:left w:val="single" w:color="080000" w:sz="6" w:space="0"/>
              <w:bottom w:val="single" w:color="080000" w:sz="6" w:space="0"/>
              <w:right w:val="single" w:color="080000" w:sz="6" w:space="0"/>
            </w:tcBorders>
            <w:shd w:val="clear" w:color="auto" w:fill="FFFFFF"/>
            <w:tcMar>
              <w:left w:w="108" w:type="dxa"/>
              <w:right w:w="108" w:type="dxa"/>
            </w:tcMar>
            <w:vAlign w:val="center"/>
          </w:tcPr>
          <w:p>
            <w:pPr>
              <w:pStyle w:val="30"/>
              <w:widowControl/>
              <w:spacing w:beforeAutospacing="0" w:afterAutospacing="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遵守的规范</w:t>
            </w:r>
          </w:p>
        </w:tc>
        <w:tc>
          <w:tcPr>
            <w:tcW w:w="3684" w:type="dxa"/>
            <w:tcBorders>
              <w:top w:val="single" w:color="auto" w:sz="8" w:space="0"/>
              <w:left w:val="single" w:color="080000" w:sz="6" w:space="0"/>
              <w:bottom w:val="single" w:color="080000" w:sz="6" w:space="0"/>
              <w:right w:val="single" w:color="auto" w:sz="8" w:space="0"/>
            </w:tcBorders>
            <w:shd w:val="clear" w:color="auto" w:fill="FFFFFF"/>
            <w:tcMar>
              <w:left w:w="108" w:type="dxa"/>
              <w:right w:w="108" w:type="dxa"/>
            </w:tcMar>
            <w:vAlign w:val="center"/>
          </w:tcPr>
          <w:p>
            <w:pPr>
              <w:pStyle w:val="30"/>
              <w:widowControl/>
              <w:spacing w:beforeAutospacing="0" w:afterAutospacing="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编码规则</w:t>
            </w:r>
          </w:p>
        </w:tc>
      </w:tr>
      <w:tr>
        <w:tblPrEx>
          <w:tblLayout w:type="fixed"/>
          <w:tblCellMar>
            <w:top w:w="0" w:type="dxa"/>
            <w:left w:w="0" w:type="dxa"/>
            <w:bottom w:w="0" w:type="dxa"/>
            <w:right w:w="0" w:type="dxa"/>
          </w:tblCellMar>
        </w:tblPrEx>
        <w:trPr>
          <w:trHeight w:val="900" w:hRule="atLeast"/>
        </w:trPr>
        <w:tc>
          <w:tcPr>
            <w:tcW w:w="1134" w:type="dxa"/>
            <w:tcBorders>
              <w:top w:val="single" w:color="auto" w:sz="8" w:space="0"/>
              <w:left w:val="single" w:color="auto" w:sz="8" w:space="0"/>
              <w:bottom w:val="single" w:color="080000" w:sz="6" w:space="0"/>
              <w:right w:val="single" w:color="080000" w:sz="6" w:space="0"/>
            </w:tcBorders>
            <w:shd w:val="clear" w:color="auto" w:fill="FFFFFF"/>
            <w:tcMar>
              <w:left w:w="108" w:type="dxa"/>
              <w:right w:w="108" w:type="dxa"/>
            </w:tcMar>
            <w:vAlign w:val="center"/>
          </w:tcPr>
          <w:p>
            <w:pPr>
              <w:pStyle w:val="30"/>
              <w:widowControl/>
              <w:spacing w:beforeAutospacing="0" w:afterAutospacing="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行政区划</w:t>
            </w:r>
          </w:p>
        </w:tc>
        <w:tc>
          <w:tcPr>
            <w:tcW w:w="4538" w:type="dxa"/>
            <w:tcBorders>
              <w:top w:val="single" w:color="auto" w:sz="8" w:space="0"/>
              <w:left w:val="single" w:color="080000" w:sz="6" w:space="0"/>
              <w:bottom w:val="single" w:color="080000" w:sz="6" w:space="0"/>
              <w:right w:val="single" w:color="080000" w:sz="6" w:space="0"/>
            </w:tcBorders>
            <w:shd w:val="clear" w:color="auto" w:fill="FFFFFF"/>
            <w:tcMar>
              <w:left w:w="108" w:type="dxa"/>
              <w:right w:w="108" w:type="dxa"/>
            </w:tcMar>
            <w:vAlign w:val="center"/>
          </w:tcPr>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GB/T</w:t>
            </w:r>
            <w:r>
              <w:rPr>
                <w:rFonts w:hint="eastAsia" w:ascii="Times New Roman" w:hAnsi="Times New Roman"/>
                <w:color w:val="000000" w:themeColor="text1"/>
                <w:sz w:val="18"/>
                <w:szCs w:val="18"/>
                <w14:textFill>
                  <w14:solidFill>
                    <w14:schemeClr w14:val="tx1"/>
                  </w14:solidFill>
                </w14:textFill>
              </w:rPr>
              <w:t xml:space="preserve"> </w:t>
            </w:r>
            <w:r>
              <w:rPr>
                <w:rFonts w:ascii="Times New Roman" w:hAnsi="Times New Roman"/>
                <w:color w:val="000000" w:themeColor="text1"/>
                <w:sz w:val="18"/>
                <w:szCs w:val="18"/>
                <w14:textFill>
                  <w14:solidFill>
                    <w14:schemeClr w14:val="tx1"/>
                  </w14:solidFill>
                </w14:textFill>
              </w:rPr>
              <w:t>2260</w:t>
            </w:r>
            <w:r>
              <w:rPr>
                <w:rFonts w:hint="eastAsia" w:ascii="Times New Roman" w:hAnsi="Times New Roman"/>
                <w:color w:val="000000" w:themeColor="text1"/>
                <w:sz w:val="18"/>
                <w:szCs w:val="18"/>
                <w14:textFill>
                  <w14:solidFill>
                    <w14:schemeClr w14:val="tx1"/>
                  </w14:solidFill>
                </w14:textFill>
              </w:rPr>
              <w:t>—</w:t>
            </w:r>
            <w:r>
              <w:rPr>
                <w:rFonts w:ascii="Times New Roman" w:hAnsi="Times New Roman"/>
                <w:color w:val="000000" w:themeColor="text1"/>
                <w:sz w:val="18"/>
                <w:szCs w:val="18"/>
                <w14:textFill>
                  <w14:solidFill>
                    <w14:schemeClr w14:val="tx1"/>
                  </w14:solidFill>
                </w14:textFill>
              </w:rPr>
              <w:t>2007</w:t>
            </w:r>
          </w:p>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GB/T</w:t>
            </w:r>
            <w:r>
              <w:rPr>
                <w:rFonts w:hint="eastAsia" w:ascii="Times New Roman" w:hAnsi="Times New Roman"/>
                <w:color w:val="000000" w:themeColor="text1"/>
                <w:sz w:val="18"/>
                <w:szCs w:val="18"/>
                <w14:textFill>
                  <w14:solidFill>
                    <w14:schemeClr w14:val="tx1"/>
                  </w14:solidFill>
                </w14:textFill>
              </w:rPr>
              <w:t xml:space="preserve"> </w:t>
            </w:r>
            <w:r>
              <w:rPr>
                <w:rFonts w:ascii="Times New Roman" w:hAnsi="Times New Roman"/>
                <w:color w:val="000000" w:themeColor="text1"/>
                <w:sz w:val="18"/>
                <w:szCs w:val="18"/>
                <w14:textFill>
                  <w14:solidFill>
                    <w14:schemeClr w14:val="tx1"/>
                  </w14:solidFill>
                </w14:textFill>
              </w:rPr>
              <w:t>10114-2003</w:t>
            </w:r>
          </w:p>
        </w:tc>
        <w:tc>
          <w:tcPr>
            <w:tcW w:w="3684" w:type="dxa"/>
            <w:tcBorders>
              <w:top w:val="single" w:color="auto" w:sz="8" w:space="0"/>
              <w:left w:val="single" w:color="080000" w:sz="6" w:space="0"/>
              <w:bottom w:val="single" w:color="080000" w:sz="6" w:space="0"/>
              <w:right w:val="single" w:color="auto" w:sz="8" w:space="0"/>
            </w:tcBorders>
            <w:shd w:val="clear" w:color="auto" w:fill="FFFFFF"/>
            <w:tcMar>
              <w:left w:w="108" w:type="dxa"/>
              <w:right w:w="108" w:type="dxa"/>
            </w:tcMar>
            <w:vAlign w:val="center"/>
          </w:tcPr>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1.县区2.街道/乡镇3.社区/村</w:t>
            </w:r>
          </w:p>
        </w:tc>
      </w:tr>
      <w:tr>
        <w:tblPrEx>
          <w:tblLayout w:type="fixed"/>
          <w:tblCellMar>
            <w:top w:w="0" w:type="dxa"/>
            <w:left w:w="0" w:type="dxa"/>
            <w:bottom w:w="0" w:type="dxa"/>
            <w:right w:w="0" w:type="dxa"/>
          </w:tblCellMar>
        </w:tblPrEx>
        <w:trPr>
          <w:trHeight w:val="1680" w:hRule="atLeast"/>
        </w:trPr>
        <w:tc>
          <w:tcPr>
            <w:tcW w:w="1134" w:type="dxa"/>
            <w:tcBorders>
              <w:top w:val="single" w:color="080000" w:sz="6" w:space="0"/>
              <w:left w:val="single" w:color="auto" w:sz="8" w:space="0"/>
              <w:bottom w:val="single" w:color="080000" w:sz="6" w:space="0"/>
              <w:right w:val="single" w:color="080000" w:sz="6" w:space="0"/>
            </w:tcBorders>
            <w:shd w:val="clear" w:color="auto" w:fill="FFFFFF"/>
            <w:tcMar>
              <w:left w:w="108" w:type="dxa"/>
              <w:right w:w="108" w:type="dxa"/>
            </w:tcMar>
            <w:vAlign w:val="center"/>
          </w:tcPr>
          <w:p>
            <w:pPr>
              <w:pStyle w:val="30"/>
              <w:widowControl/>
              <w:spacing w:beforeAutospacing="0" w:afterAutospacing="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网格单元</w:t>
            </w:r>
          </w:p>
        </w:tc>
        <w:tc>
          <w:tcPr>
            <w:tcW w:w="4538" w:type="dxa"/>
            <w:tcBorders>
              <w:top w:val="single" w:color="080000" w:sz="6" w:space="0"/>
              <w:left w:val="single" w:color="080000" w:sz="6" w:space="0"/>
              <w:bottom w:val="single" w:color="080000" w:sz="6" w:space="0"/>
              <w:right w:val="single" w:color="080000" w:sz="6" w:space="0"/>
            </w:tcBorders>
            <w:shd w:val="clear" w:color="auto" w:fill="FFFFFF"/>
            <w:tcMar>
              <w:left w:w="108" w:type="dxa"/>
              <w:right w:w="108" w:type="dxa"/>
            </w:tcMar>
            <w:vAlign w:val="center"/>
          </w:tcPr>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CSDZ</w:t>
            </w:r>
            <w:r>
              <w:rPr>
                <w:rFonts w:hint="eastAsia" w:ascii="Times New Roman" w:hAnsi="Times New Roman"/>
                <w:color w:val="000000" w:themeColor="text1"/>
                <w:sz w:val="18"/>
                <w:szCs w:val="18"/>
                <w14:textFill>
                  <w14:solidFill>
                    <w14:schemeClr w14:val="tx1"/>
                  </w14:solidFill>
                </w14:textFill>
              </w:rPr>
              <w:t xml:space="preserve"> </w:t>
            </w:r>
            <w:r>
              <w:rPr>
                <w:rFonts w:ascii="Times New Roman" w:hAnsi="Times New Roman"/>
                <w:color w:val="000000" w:themeColor="text1"/>
                <w:sz w:val="18"/>
                <w:szCs w:val="18"/>
                <w14:textFill>
                  <w14:solidFill>
                    <w14:schemeClr w14:val="tx1"/>
                  </w14:solidFill>
                </w14:textFill>
              </w:rPr>
              <w:t>10026</w:t>
            </w:r>
            <w:r>
              <w:rPr>
                <w:rFonts w:hint="eastAsia" w:ascii="Times New Roman" w:hAnsi="Times New Roman"/>
                <w:color w:val="000000" w:themeColor="text1"/>
                <w:sz w:val="18"/>
                <w:szCs w:val="18"/>
                <w14:textFill>
                  <w14:solidFill>
                    <w14:schemeClr w14:val="tx1"/>
                  </w14:solidFill>
                </w14:textFill>
              </w:rPr>
              <w:t>—</w:t>
            </w:r>
            <w:r>
              <w:rPr>
                <w:rFonts w:ascii="Times New Roman" w:hAnsi="Times New Roman"/>
                <w:color w:val="000000" w:themeColor="text1"/>
                <w:sz w:val="18"/>
                <w:szCs w:val="18"/>
                <w14:textFill>
                  <w14:solidFill>
                    <w14:schemeClr w14:val="tx1"/>
                  </w14:solidFill>
                </w14:textFill>
              </w:rPr>
              <w:t>2019</w:t>
            </w:r>
          </w:p>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CSDZ</w:t>
            </w:r>
            <w:r>
              <w:rPr>
                <w:rFonts w:hint="eastAsia" w:ascii="Times New Roman" w:hAnsi="Times New Roman"/>
                <w:color w:val="000000" w:themeColor="text1"/>
                <w:sz w:val="18"/>
                <w:szCs w:val="18"/>
                <w14:textFill>
                  <w14:solidFill>
                    <w14:schemeClr w14:val="tx1"/>
                  </w14:solidFill>
                </w14:textFill>
              </w:rPr>
              <w:t xml:space="preserve"> </w:t>
            </w:r>
            <w:r>
              <w:rPr>
                <w:rFonts w:ascii="Times New Roman" w:hAnsi="Times New Roman"/>
                <w:color w:val="000000" w:themeColor="text1"/>
                <w:sz w:val="18"/>
                <w:szCs w:val="18"/>
                <w14:textFill>
                  <w14:solidFill>
                    <w14:schemeClr w14:val="tx1"/>
                  </w14:solidFill>
                </w14:textFill>
              </w:rPr>
              <w:t>10024.1</w:t>
            </w:r>
            <w:r>
              <w:rPr>
                <w:rFonts w:hint="eastAsia" w:ascii="Times New Roman" w:hAnsi="Times New Roman"/>
                <w:color w:val="000000" w:themeColor="text1"/>
                <w:sz w:val="18"/>
                <w:szCs w:val="18"/>
                <w14:textFill>
                  <w14:solidFill>
                    <w14:schemeClr w14:val="tx1"/>
                  </w14:solidFill>
                </w14:textFill>
              </w:rPr>
              <w:t>—</w:t>
            </w:r>
            <w:r>
              <w:rPr>
                <w:rFonts w:ascii="Times New Roman" w:hAnsi="Times New Roman"/>
                <w:color w:val="000000" w:themeColor="text1"/>
                <w:sz w:val="18"/>
                <w:szCs w:val="18"/>
                <w14:textFill>
                  <w14:solidFill>
                    <w14:schemeClr w14:val="tx1"/>
                  </w14:solidFill>
                </w14:textFill>
              </w:rPr>
              <w:t>2018</w:t>
            </w:r>
          </w:p>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GB/T</w:t>
            </w:r>
            <w:r>
              <w:rPr>
                <w:rFonts w:hint="eastAsia" w:ascii="Times New Roman" w:hAnsi="Times New Roman"/>
                <w:color w:val="000000" w:themeColor="text1"/>
                <w:sz w:val="18"/>
                <w:szCs w:val="18"/>
                <w14:textFill>
                  <w14:solidFill>
                    <w14:schemeClr w14:val="tx1"/>
                  </w14:solidFill>
                </w14:textFill>
              </w:rPr>
              <w:t xml:space="preserve"> </w:t>
            </w:r>
            <w:r>
              <w:rPr>
                <w:rFonts w:ascii="Times New Roman" w:hAnsi="Times New Roman"/>
                <w:color w:val="000000" w:themeColor="text1"/>
                <w:sz w:val="18"/>
                <w:szCs w:val="18"/>
                <w14:textFill>
                  <w14:solidFill>
                    <w14:schemeClr w14:val="tx1"/>
                  </w14:solidFill>
                </w14:textFill>
              </w:rPr>
              <w:t>30428.1</w:t>
            </w:r>
            <w:r>
              <w:rPr>
                <w:rFonts w:hint="eastAsia" w:ascii="Times New Roman" w:hAnsi="Times New Roman"/>
                <w:color w:val="000000" w:themeColor="text1"/>
                <w:sz w:val="18"/>
                <w:szCs w:val="18"/>
                <w14:textFill>
                  <w14:solidFill>
                    <w14:schemeClr w14:val="tx1"/>
                  </w14:solidFill>
                </w14:textFill>
              </w:rPr>
              <w:t>—</w:t>
            </w:r>
            <w:r>
              <w:rPr>
                <w:rFonts w:ascii="Times New Roman" w:hAnsi="Times New Roman"/>
                <w:color w:val="000000" w:themeColor="text1"/>
                <w:sz w:val="18"/>
                <w:szCs w:val="18"/>
                <w14:textFill>
                  <w14:solidFill>
                    <w14:schemeClr w14:val="tx1"/>
                  </w14:solidFill>
                </w14:textFill>
              </w:rPr>
              <w:t>2013</w:t>
            </w:r>
          </w:p>
        </w:tc>
        <w:tc>
          <w:tcPr>
            <w:tcW w:w="3684" w:type="dxa"/>
            <w:tcBorders>
              <w:top w:val="single" w:color="080000" w:sz="6" w:space="0"/>
              <w:left w:val="single" w:color="080000" w:sz="6" w:space="0"/>
              <w:bottom w:val="single" w:color="080000" w:sz="6" w:space="0"/>
              <w:right w:val="single" w:color="auto" w:sz="8" w:space="0"/>
            </w:tcBorders>
            <w:shd w:val="clear" w:color="auto" w:fill="FFFFFF"/>
            <w:tcMar>
              <w:left w:w="108" w:type="dxa"/>
              <w:right w:w="108" w:type="dxa"/>
            </w:tcMar>
            <w:vAlign w:val="center"/>
          </w:tcPr>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12位行政区划编码+3位网格顺序码</w:t>
            </w:r>
          </w:p>
        </w:tc>
      </w:tr>
      <w:tr>
        <w:tblPrEx>
          <w:tblLayout w:type="fixed"/>
          <w:tblCellMar>
            <w:top w:w="0" w:type="dxa"/>
            <w:left w:w="0" w:type="dxa"/>
            <w:bottom w:w="0" w:type="dxa"/>
            <w:right w:w="0" w:type="dxa"/>
          </w:tblCellMar>
        </w:tblPrEx>
        <w:trPr>
          <w:trHeight w:val="1160" w:hRule="atLeast"/>
        </w:trPr>
        <w:tc>
          <w:tcPr>
            <w:tcW w:w="1134" w:type="dxa"/>
            <w:tcBorders>
              <w:top w:val="single" w:color="080000" w:sz="6" w:space="0"/>
              <w:left w:val="single" w:color="auto" w:sz="8" w:space="0"/>
              <w:bottom w:val="single" w:color="080000" w:sz="6" w:space="0"/>
              <w:right w:val="single" w:color="080000" w:sz="6" w:space="0"/>
            </w:tcBorders>
            <w:shd w:val="clear" w:color="auto" w:fill="FFFFFF"/>
            <w:tcMar>
              <w:left w:w="108" w:type="dxa"/>
              <w:right w:w="108" w:type="dxa"/>
            </w:tcMar>
            <w:vAlign w:val="center"/>
          </w:tcPr>
          <w:p>
            <w:pPr>
              <w:pStyle w:val="30"/>
              <w:widowControl/>
              <w:spacing w:beforeAutospacing="0" w:afterAutospacing="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小区/</w:t>
            </w:r>
          </w:p>
          <w:p>
            <w:pPr>
              <w:pStyle w:val="30"/>
              <w:widowControl/>
              <w:spacing w:beforeAutospacing="0" w:afterAutospacing="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院落</w:t>
            </w:r>
          </w:p>
        </w:tc>
        <w:tc>
          <w:tcPr>
            <w:tcW w:w="4538" w:type="dxa"/>
            <w:tcBorders>
              <w:top w:val="single" w:color="080000" w:sz="6" w:space="0"/>
              <w:left w:val="single" w:color="080000" w:sz="6" w:space="0"/>
              <w:bottom w:val="single" w:color="080000" w:sz="6" w:space="0"/>
              <w:right w:val="single" w:color="080000" w:sz="6" w:space="0"/>
            </w:tcBorders>
            <w:shd w:val="clear" w:color="auto" w:fill="FFFFFF"/>
            <w:tcMar>
              <w:left w:w="108" w:type="dxa"/>
              <w:right w:w="108" w:type="dxa"/>
            </w:tcMar>
            <w:vAlign w:val="center"/>
          </w:tcPr>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建议参照GB/T</w:t>
            </w:r>
            <w:r>
              <w:rPr>
                <w:rFonts w:hint="eastAsia" w:ascii="Times New Roman" w:hAnsi="Times New Roman"/>
                <w:color w:val="000000" w:themeColor="text1"/>
                <w:sz w:val="18"/>
                <w:szCs w:val="18"/>
                <w14:textFill>
                  <w14:solidFill>
                    <w14:schemeClr w14:val="tx1"/>
                  </w14:solidFill>
                </w14:textFill>
              </w:rPr>
              <w:t xml:space="preserve"> </w:t>
            </w:r>
            <w:r>
              <w:rPr>
                <w:rFonts w:ascii="Times New Roman" w:hAnsi="Times New Roman"/>
                <w:color w:val="000000" w:themeColor="text1"/>
                <w:sz w:val="18"/>
                <w:szCs w:val="18"/>
                <w14:textFill>
                  <w14:solidFill>
                    <w14:schemeClr w14:val="tx1"/>
                  </w14:solidFill>
                </w14:textFill>
              </w:rPr>
              <w:t>23705</w:t>
            </w:r>
            <w:r>
              <w:rPr>
                <w:rFonts w:hint="eastAsia" w:ascii="Times New Roman" w:hAnsi="Times New Roman"/>
                <w:color w:val="000000" w:themeColor="text1"/>
                <w:sz w:val="18"/>
                <w:szCs w:val="18"/>
                <w14:textFill>
                  <w14:solidFill>
                    <w14:schemeClr w14:val="tx1"/>
                  </w14:solidFill>
                </w14:textFill>
              </w:rPr>
              <w:t>—</w:t>
            </w:r>
            <w:r>
              <w:rPr>
                <w:rFonts w:ascii="Times New Roman" w:hAnsi="Times New Roman"/>
                <w:color w:val="000000" w:themeColor="text1"/>
                <w:sz w:val="18"/>
                <w:szCs w:val="18"/>
                <w14:textFill>
                  <w14:solidFill>
                    <w14:schemeClr w14:val="tx1"/>
                  </w14:solidFill>
                </w14:textFill>
              </w:rPr>
              <w:t>2009对小区编码规则基础上进行拓展</w:t>
            </w:r>
          </w:p>
        </w:tc>
        <w:tc>
          <w:tcPr>
            <w:tcW w:w="3684" w:type="dxa"/>
            <w:tcBorders>
              <w:top w:val="single" w:color="080000" w:sz="6" w:space="0"/>
              <w:left w:val="single" w:color="080000" w:sz="6" w:space="0"/>
              <w:bottom w:val="single" w:color="080000" w:sz="6" w:space="0"/>
              <w:right w:val="single" w:color="auto" w:sz="8" w:space="0"/>
            </w:tcBorders>
            <w:shd w:val="clear" w:color="auto" w:fill="FFFFFF"/>
            <w:tcMar>
              <w:left w:w="108" w:type="dxa"/>
              <w:right w:w="108" w:type="dxa"/>
            </w:tcMar>
            <w:vAlign w:val="center"/>
          </w:tcPr>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按照GB/T</w:t>
            </w:r>
            <w:r>
              <w:rPr>
                <w:rFonts w:hint="eastAsia" w:ascii="Times New Roman" w:hAnsi="Times New Roman"/>
                <w:color w:val="000000" w:themeColor="text1"/>
                <w:sz w:val="18"/>
                <w:szCs w:val="18"/>
                <w14:textFill>
                  <w14:solidFill>
                    <w14:schemeClr w14:val="tx1"/>
                  </w14:solidFill>
                </w14:textFill>
              </w:rPr>
              <w:t xml:space="preserve"> </w:t>
            </w:r>
            <w:r>
              <w:rPr>
                <w:rFonts w:ascii="Times New Roman" w:hAnsi="Times New Roman"/>
                <w:color w:val="000000" w:themeColor="text1"/>
                <w:sz w:val="18"/>
                <w:szCs w:val="18"/>
                <w14:textFill>
                  <w14:solidFill>
                    <w14:schemeClr w14:val="tx1"/>
                  </w14:solidFill>
                </w14:textFill>
              </w:rPr>
              <w:t>23705-2009定义为</w:t>
            </w:r>
            <w:r>
              <w:rPr>
                <w:rFonts w:hint="eastAsia" w:ascii="Times New Roman" w:hAnsi="Times New Roman"/>
                <w:color w:val="000000" w:themeColor="text1"/>
                <w:sz w:val="18"/>
                <w:szCs w:val="18"/>
                <w14:textFill>
                  <w14:solidFill>
                    <w14:schemeClr w14:val="tx1"/>
                  </w14:solidFill>
                </w14:textFill>
              </w:rPr>
              <w:t>“</w:t>
            </w:r>
            <w:r>
              <w:rPr>
                <w:rFonts w:ascii="Times New Roman" w:hAnsi="Times New Roman"/>
                <w:color w:val="000000" w:themeColor="text1"/>
                <w:sz w:val="18"/>
                <w:szCs w:val="18"/>
                <w14:textFill>
                  <w14:solidFill>
                    <w14:schemeClr w14:val="tx1"/>
                  </w14:solidFill>
                </w14:textFill>
              </w:rPr>
              <w:t>9位街道行政区划代码+4位顺序码</w:t>
            </w:r>
            <w:r>
              <w:rPr>
                <w:rFonts w:ascii="宋体" w:hAnsi="宋体"/>
                <w:color w:val="000000" w:themeColor="text1"/>
                <w:sz w:val="18"/>
                <w:szCs w:val="18"/>
                <w14:textFill>
                  <w14:solidFill>
                    <w14:schemeClr w14:val="tx1"/>
                  </w14:solidFill>
                </w14:textFill>
              </w:rPr>
              <w:t>”</w:t>
            </w:r>
          </w:p>
        </w:tc>
      </w:tr>
      <w:tr>
        <w:tblPrEx>
          <w:tblLayout w:type="fixed"/>
          <w:tblCellMar>
            <w:top w:w="0" w:type="dxa"/>
            <w:left w:w="0" w:type="dxa"/>
            <w:bottom w:w="0" w:type="dxa"/>
            <w:right w:w="0" w:type="dxa"/>
          </w:tblCellMar>
        </w:tblPrEx>
        <w:trPr>
          <w:trHeight w:val="520" w:hRule="atLeast"/>
        </w:trPr>
        <w:tc>
          <w:tcPr>
            <w:tcW w:w="1134" w:type="dxa"/>
            <w:tcBorders>
              <w:top w:val="single" w:color="080000" w:sz="6" w:space="0"/>
              <w:left w:val="single" w:color="auto" w:sz="8" w:space="0"/>
              <w:bottom w:val="single" w:color="080000" w:sz="6" w:space="0"/>
              <w:right w:val="single" w:color="080000" w:sz="6" w:space="0"/>
            </w:tcBorders>
            <w:shd w:val="clear" w:color="auto" w:fill="FFFFFF"/>
            <w:tcMar>
              <w:left w:w="108" w:type="dxa"/>
              <w:right w:w="108" w:type="dxa"/>
            </w:tcMar>
            <w:vAlign w:val="center"/>
          </w:tcPr>
          <w:p>
            <w:pPr>
              <w:pStyle w:val="30"/>
              <w:widowControl/>
              <w:spacing w:beforeAutospacing="0" w:afterAutospacing="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房屋楼栋</w:t>
            </w:r>
          </w:p>
        </w:tc>
        <w:tc>
          <w:tcPr>
            <w:tcW w:w="4538" w:type="dxa"/>
            <w:tcBorders>
              <w:top w:val="single" w:color="080000" w:sz="6" w:space="0"/>
              <w:left w:val="single" w:color="080000" w:sz="6" w:space="0"/>
              <w:bottom w:val="single" w:color="080000" w:sz="6" w:space="0"/>
              <w:right w:val="single" w:color="080000" w:sz="6" w:space="0"/>
            </w:tcBorders>
            <w:shd w:val="clear" w:color="auto" w:fill="FFFFFF"/>
            <w:tcMar>
              <w:left w:w="108" w:type="dxa"/>
              <w:right w:w="108" w:type="dxa"/>
            </w:tcMar>
            <w:vAlign w:val="center"/>
          </w:tcPr>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CSDZ</w:t>
            </w:r>
            <w:r>
              <w:rPr>
                <w:rFonts w:hint="eastAsia" w:ascii="Times New Roman" w:hAnsi="Times New Roman"/>
                <w:color w:val="000000" w:themeColor="text1"/>
                <w:sz w:val="18"/>
                <w:szCs w:val="18"/>
                <w14:textFill>
                  <w14:solidFill>
                    <w14:schemeClr w14:val="tx1"/>
                  </w14:solidFill>
                </w14:textFill>
              </w:rPr>
              <w:t xml:space="preserve"> </w:t>
            </w:r>
            <w:r>
              <w:rPr>
                <w:rFonts w:ascii="Times New Roman" w:hAnsi="Times New Roman"/>
                <w:color w:val="000000" w:themeColor="text1"/>
                <w:sz w:val="18"/>
                <w:szCs w:val="18"/>
                <w14:textFill>
                  <w14:solidFill>
                    <w14:schemeClr w14:val="tx1"/>
                  </w14:solidFill>
                </w14:textFill>
              </w:rPr>
              <w:t>10026</w:t>
            </w:r>
            <w:r>
              <w:rPr>
                <w:rFonts w:hint="eastAsia" w:ascii="Times New Roman" w:hAnsi="Times New Roman"/>
                <w:color w:val="000000" w:themeColor="text1"/>
                <w:sz w:val="18"/>
                <w:szCs w:val="18"/>
                <w14:textFill>
                  <w14:solidFill>
                    <w14:schemeClr w14:val="tx1"/>
                  </w14:solidFill>
                </w14:textFill>
              </w:rPr>
              <w:t>—</w:t>
            </w:r>
            <w:r>
              <w:rPr>
                <w:rFonts w:ascii="Times New Roman" w:hAnsi="Times New Roman"/>
                <w:color w:val="000000" w:themeColor="text1"/>
                <w:sz w:val="18"/>
                <w:szCs w:val="18"/>
                <w14:textFill>
                  <w14:solidFill>
                    <w14:schemeClr w14:val="tx1"/>
                  </w14:solidFill>
                </w14:textFill>
              </w:rPr>
              <w:t>2019</w:t>
            </w:r>
          </w:p>
        </w:tc>
        <w:tc>
          <w:tcPr>
            <w:tcW w:w="3684" w:type="dxa"/>
            <w:tcBorders>
              <w:top w:val="single" w:color="080000" w:sz="6" w:space="0"/>
              <w:left w:val="single" w:color="080000" w:sz="6" w:space="0"/>
              <w:bottom w:val="single" w:color="080000" w:sz="6" w:space="0"/>
              <w:right w:val="single" w:color="auto" w:sz="8" w:space="0"/>
            </w:tcBorders>
            <w:shd w:val="clear" w:color="auto" w:fill="FFFFFF"/>
            <w:tcMar>
              <w:left w:w="108" w:type="dxa"/>
              <w:right w:w="108" w:type="dxa"/>
            </w:tcMar>
            <w:vAlign w:val="center"/>
          </w:tcPr>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15位网格码+5位楼栋顺序码</w:t>
            </w:r>
          </w:p>
        </w:tc>
      </w:tr>
      <w:tr>
        <w:tblPrEx>
          <w:tblLayout w:type="fixed"/>
          <w:tblCellMar>
            <w:top w:w="0" w:type="dxa"/>
            <w:left w:w="0" w:type="dxa"/>
            <w:bottom w:w="0" w:type="dxa"/>
            <w:right w:w="0" w:type="dxa"/>
          </w:tblCellMar>
        </w:tblPrEx>
        <w:trPr>
          <w:trHeight w:val="1800" w:hRule="atLeast"/>
        </w:trPr>
        <w:tc>
          <w:tcPr>
            <w:tcW w:w="1134" w:type="dxa"/>
            <w:tcBorders>
              <w:top w:val="single" w:color="080000" w:sz="6" w:space="0"/>
              <w:left w:val="single" w:color="auto" w:sz="8" w:space="0"/>
              <w:bottom w:val="single" w:color="080000" w:sz="6" w:space="0"/>
              <w:right w:val="single" w:color="080000" w:sz="6" w:space="0"/>
            </w:tcBorders>
            <w:shd w:val="clear" w:color="auto" w:fill="FFFFFF"/>
            <w:tcMar>
              <w:left w:w="108" w:type="dxa"/>
              <w:right w:w="108" w:type="dxa"/>
            </w:tcMar>
            <w:vAlign w:val="center"/>
          </w:tcPr>
          <w:p>
            <w:pPr>
              <w:pStyle w:val="30"/>
              <w:widowControl/>
              <w:spacing w:beforeAutospacing="0" w:afterAutospacing="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地名地址</w:t>
            </w:r>
          </w:p>
        </w:tc>
        <w:tc>
          <w:tcPr>
            <w:tcW w:w="4538" w:type="dxa"/>
            <w:tcBorders>
              <w:top w:val="single" w:color="080000" w:sz="6" w:space="0"/>
              <w:left w:val="single" w:color="080000" w:sz="6" w:space="0"/>
              <w:bottom w:val="single" w:color="080000" w:sz="6" w:space="0"/>
              <w:right w:val="single" w:color="080000" w:sz="6" w:space="0"/>
            </w:tcBorders>
            <w:shd w:val="clear" w:color="auto" w:fill="FFFFFF"/>
            <w:tcMar>
              <w:left w:w="108" w:type="dxa"/>
              <w:right w:w="108" w:type="dxa"/>
            </w:tcMar>
            <w:vAlign w:val="center"/>
          </w:tcPr>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CSDZ</w:t>
            </w:r>
            <w:r>
              <w:rPr>
                <w:rFonts w:hint="eastAsia" w:ascii="Times New Roman" w:hAnsi="Times New Roman"/>
                <w:color w:val="000000" w:themeColor="text1"/>
                <w:sz w:val="18"/>
                <w:szCs w:val="18"/>
                <w14:textFill>
                  <w14:solidFill>
                    <w14:schemeClr w14:val="tx1"/>
                  </w14:solidFill>
                </w14:textFill>
              </w:rPr>
              <w:t xml:space="preserve"> </w:t>
            </w:r>
            <w:r>
              <w:rPr>
                <w:rFonts w:ascii="Times New Roman" w:hAnsi="Times New Roman"/>
                <w:color w:val="000000" w:themeColor="text1"/>
                <w:sz w:val="18"/>
                <w:szCs w:val="18"/>
                <w14:textFill>
                  <w14:solidFill>
                    <w14:schemeClr w14:val="tx1"/>
                  </w14:solidFill>
                </w14:textFill>
              </w:rPr>
              <w:t>10026</w:t>
            </w:r>
            <w:r>
              <w:rPr>
                <w:rFonts w:hint="eastAsia" w:ascii="Times New Roman" w:hAnsi="Times New Roman"/>
                <w:color w:val="000000" w:themeColor="text1"/>
                <w:sz w:val="18"/>
                <w:szCs w:val="18"/>
                <w14:textFill>
                  <w14:solidFill>
                    <w14:schemeClr w14:val="tx1"/>
                  </w14:solidFill>
                </w14:textFill>
              </w:rPr>
              <w:t>—</w:t>
            </w:r>
            <w:r>
              <w:rPr>
                <w:rFonts w:ascii="Times New Roman" w:hAnsi="Times New Roman"/>
                <w:color w:val="000000" w:themeColor="text1"/>
                <w:sz w:val="18"/>
                <w:szCs w:val="18"/>
                <w14:textFill>
                  <w14:solidFill>
                    <w14:schemeClr w14:val="tx1"/>
                  </w14:solidFill>
                </w14:textFill>
              </w:rPr>
              <w:t>2019</w:t>
            </w:r>
          </w:p>
        </w:tc>
        <w:tc>
          <w:tcPr>
            <w:tcW w:w="3684" w:type="dxa"/>
            <w:tcBorders>
              <w:top w:val="single" w:color="080000" w:sz="6" w:space="0"/>
              <w:left w:val="single" w:color="080000" w:sz="6" w:space="0"/>
              <w:bottom w:val="single" w:color="080000" w:sz="6" w:space="0"/>
              <w:right w:val="single" w:color="auto" w:sz="8" w:space="0"/>
            </w:tcBorders>
            <w:shd w:val="clear" w:color="auto" w:fill="FFFFFF"/>
            <w:tcMar>
              <w:left w:w="108" w:type="dxa"/>
              <w:right w:w="108" w:type="dxa"/>
            </w:tcMar>
            <w:vAlign w:val="center"/>
          </w:tcPr>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门牌地址：</w:t>
            </w:r>
            <w:r>
              <w:rPr>
                <w:rFonts w:hint="eastAsia" w:ascii="Times New Roman" w:hAnsi="Times New Roman"/>
                <w:color w:val="000000" w:themeColor="text1"/>
                <w:sz w:val="18"/>
                <w:szCs w:val="18"/>
                <w14:textFill>
                  <w14:solidFill>
                    <w14:schemeClr w14:val="tx1"/>
                  </w14:solidFill>
                </w14:textFill>
              </w:rPr>
              <w:t>“</w:t>
            </w:r>
            <w:r>
              <w:rPr>
                <w:rFonts w:ascii="Times New Roman" w:hAnsi="Times New Roman"/>
                <w:color w:val="000000" w:themeColor="text1"/>
                <w:sz w:val="18"/>
                <w:szCs w:val="18"/>
                <w14:textFill>
                  <w14:solidFill>
                    <w14:schemeClr w14:val="tx1"/>
                  </w14:solidFill>
                </w14:textFill>
              </w:rPr>
              <w:t>楼栋编码在15位网格编码+5位地名路名编码+4位门牌主号+2位门牌附号</w:t>
            </w:r>
            <w:r>
              <w:rPr>
                <w:rFonts w:hint="eastAsia" w:ascii="Times New Roman" w:hAnsi="Times New Roman"/>
                <w:color w:val="000000" w:themeColor="text1"/>
                <w:sz w:val="18"/>
                <w:szCs w:val="18"/>
                <w14:textFill>
                  <w14:solidFill>
                    <w14:schemeClr w14:val="tx1"/>
                  </w14:solidFill>
                </w14:textFill>
              </w:rPr>
              <w:t>”</w:t>
            </w:r>
            <w:r>
              <w:rPr>
                <w:rFonts w:ascii="Times New Roman" w:hAnsi="Times New Roman"/>
                <w:color w:val="000000" w:themeColor="text1"/>
                <w:sz w:val="18"/>
                <w:szCs w:val="18"/>
                <w14:textFill>
                  <w14:solidFill>
                    <w14:schemeClr w14:val="tx1"/>
                  </w14:solidFill>
                </w14:textFill>
              </w:rPr>
              <w:t>共2</w:t>
            </w:r>
            <w:r>
              <w:rPr>
                <w:rFonts w:hint="eastAsia" w:ascii="Times New Roman" w:hAnsi="Times New Roman"/>
                <w:color w:val="000000" w:themeColor="text1"/>
                <w:sz w:val="18"/>
                <w:szCs w:val="18"/>
                <w14:textFill>
                  <w14:solidFill>
                    <w14:schemeClr w14:val="tx1"/>
                  </w14:solidFill>
                </w14:textFill>
              </w:rPr>
              <w:t>6</w:t>
            </w:r>
            <w:r>
              <w:rPr>
                <w:rFonts w:ascii="Times New Roman" w:hAnsi="Times New Roman"/>
                <w:color w:val="000000" w:themeColor="text1"/>
                <w:sz w:val="18"/>
                <w:szCs w:val="18"/>
                <w14:textFill>
                  <w14:solidFill>
                    <w14:schemeClr w14:val="tx1"/>
                  </w14:solidFill>
                </w14:textFill>
              </w:rPr>
              <w:t>位；</w:t>
            </w:r>
          </w:p>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户室牌：</w:t>
            </w:r>
            <w:r>
              <w:rPr>
                <w:rFonts w:hint="eastAsia" w:ascii="Times New Roman" w:hAnsi="Times New Roman"/>
                <w:color w:val="000000" w:themeColor="text1"/>
                <w:sz w:val="18"/>
                <w:szCs w:val="18"/>
                <w14:textFill>
                  <w14:solidFill>
                    <w14:schemeClr w14:val="tx1"/>
                  </w14:solidFill>
                </w14:textFill>
              </w:rPr>
              <w:t>“</w:t>
            </w:r>
            <w:r>
              <w:rPr>
                <w:rFonts w:ascii="Times New Roman" w:hAnsi="Times New Roman"/>
                <w:color w:val="000000" w:themeColor="text1"/>
                <w:sz w:val="18"/>
                <w:szCs w:val="18"/>
                <w14:textFill>
                  <w14:solidFill>
                    <w14:schemeClr w14:val="tx1"/>
                  </w14:solidFill>
                </w14:textFill>
              </w:rPr>
              <w:t>2</w:t>
            </w:r>
            <w:r>
              <w:rPr>
                <w:rFonts w:hint="eastAsia" w:ascii="Times New Roman" w:hAnsi="Times New Roman"/>
                <w:color w:val="000000" w:themeColor="text1"/>
                <w:sz w:val="18"/>
                <w:szCs w:val="18"/>
                <w14:textFill>
                  <w14:solidFill>
                    <w14:schemeClr w14:val="tx1"/>
                  </w14:solidFill>
                </w14:textFill>
              </w:rPr>
              <w:t>6</w:t>
            </w:r>
            <w:r>
              <w:rPr>
                <w:rFonts w:ascii="Times New Roman" w:hAnsi="Times New Roman"/>
                <w:color w:val="000000" w:themeColor="text1"/>
                <w:sz w:val="18"/>
                <w:szCs w:val="18"/>
                <w14:textFill>
                  <w14:solidFill>
                    <w14:schemeClr w14:val="tx1"/>
                  </w14:solidFill>
                </w14:textFill>
              </w:rPr>
              <w:t>位门牌地址+2位苑编码+3位建筑物顺序码+2位单元码+3位楼层吗+3位房间码</w:t>
            </w:r>
            <w:r>
              <w:rPr>
                <w:rFonts w:hint="eastAsia" w:ascii="Times New Roman" w:hAnsi="Times New Roman"/>
                <w:color w:val="000000" w:themeColor="text1"/>
                <w:sz w:val="18"/>
                <w:szCs w:val="18"/>
                <w14:textFill>
                  <w14:solidFill>
                    <w14:schemeClr w14:val="tx1"/>
                  </w14:solidFill>
                </w14:textFill>
              </w:rPr>
              <w:t>”</w:t>
            </w:r>
            <w:r>
              <w:rPr>
                <w:rFonts w:ascii="Times New Roman" w:hAnsi="Times New Roman"/>
                <w:color w:val="000000" w:themeColor="text1"/>
                <w:sz w:val="18"/>
                <w:szCs w:val="18"/>
                <w14:textFill>
                  <w14:solidFill>
                    <w14:schemeClr w14:val="tx1"/>
                  </w14:solidFill>
                </w14:textFill>
              </w:rPr>
              <w:t>共</w:t>
            </w:r>
            <w:r>
              <w:rPr>
                <w:rFonts w:hint="eastAsia" w:ascii="Times New Roman" w:hAnsi="Times New Roman"/>
                <w:color w:val="000000" w:themeColor="text1"/>
                <w:sz w:val="18"/>
                <w:szCs w:val="18"/>
                <w14:textFill>
                  <w14:solidFill>
                    <w14:schemeClr w14:val="tx1"/>
                  </w14:solidFill>
                </w14:textFill>
              </w:rPr>
              <w:t>39</w:t>
            </w:r>
            <w:r>
              <w:rPr>
                <w:rFonts w:ascii="Times New Roman" w:hAnsi="Times New Roman"/>
                <w:color w:val="000000" w:themeColor="text1"/>
                <w:sz w:val="18"/>
                <w:szCs w:val="18"/>
                <w14:textFill>
                  <w14:solidFill>
                    <w14:schemeClr w14:val="tx1"/>
                  </w14:solidFill>
                </w14:textFill>
              </w:rPr>
              <w:t>位</w:t>
            </w:r>
          </w:p>
        </w:tc>
      </w:tr>
      <w:tr>
        <w:tblPrEx>
          <w:tblLayout w:type="fixed"/>
          <w:tblCellMar>
            <w:top w:w="0" w:type="dxa"/>
            <w:left w:w="0" w:type="dxa"/>
            <w:bottom w:w="0" w:type="dxa"/>
            <w:right w:w="0" w:type="dxa"/>
          </w:tblCellMar>
        </w:tblPrEx>
        <w:trPr>
          <w:trHeight w:val="380" w:hRule="atLeast"/>
        </w:trPr>
        <w:tc>
          <w:tcPr>
            <w:tcW w:w="1134" w:type="dxa"/>
            <w:tcBorders>
              <w:top w:val="single" w:color="080000" w:sz="6" w:space="0"/>
              <w:left w:val="single" w:color="auto" w:sz="8" w:space="0"/>
              <w:bottom w:val="single" w:color="080000" w:sz="6" w:space="0"/>
              <w:right w:val="single" w:color="080000" w:sz="6" w:space="0"/>
            </w:tcBorders>
            <w:shd w:val="clear" w:color="auto" w:fill="FFFFFF"/>
            <w:tcMar>
              <w:left w:w="108" w:type="dxa"/>
              <w:right w:w="108" w:type="dxa"/>
            </w:tcMar>
            <w:vAlign w:val="center"/>
          </w:tcPr>
          <w:p>
            <w:pPr>
              <w:pStyle w:val="30"/>
              <w:widowControl/>
              <w:spacing w:beforeAutospacing="0" w:afterAutospacing="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人口</w:t>
            </w:r>
          </w:p>
        </w:tc>
        <w:tc>
          <w:tcPr>
            <w:tcW w:w="4538" w:type="dxa"/>
            <w:tcBorders>
              <w:top w:val="single" w:color="080000" w:sz="6" w:space="0"/>
              <w:left w:val="single" w:color="080000" w:sz="6" w:space="0"/>
              <w:bottom w:val="single" w:color="080000" w:sz="6" w:space="0"/>
              <w:right w:val="single" w:color="080000" w:sz="6" w:space="0"/>
            </w:tcBorders>
            <w:shd w:val="clear" w:color="auto" w:fill="FFFFFF"/>
            <w:tcMar>
              <w:left w:w="108" w:type="dxa"/>
              <w:right w:w="108" w:type="dxa"/>
            </w:tcMar>
            <w:vAlign w:val="center"/>
          </w:tcPr>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借鉴参考：社会管理要素统一地址规范_深圳</w:t>
            </w:r>
          </w:p>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GB 11643</w:t>
            </w:r>
          </w:p>
        </w:tc>
        <w:tc>
          <w:tcPr>
            <w:tcW w:w="3684" w:type="dxa"/>
            <w:tcBorders>
              <w:top w:val="single" w:color="080000" w:sz="6" w:space="0"/>
              <w:left w:val="single" w:color="080000" w:sz="6" w:space="0"/>
              <w:bottom w:val="single" w:color="080000" w:sz="6" w:space="0"/>
              <w:right w:val="single" w:color="auto" w:sz="8" w:space="0"/>
            </w:tcBorders>
            <w:shd w:val="clear" w:color="auto" w:fill="FFFFFF"/>
            <w:tcMar>
              <w:left w:w="108" w:type="dxa"/>
              <w:right w:w="108" w:type="dxa"/>
            </w:tcMar>
            <w:vAlign w:val="center"/>
          </w:tcPr>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居民身份证</w:t>
            </w:r>
          </w:p>
        </w:tc>
      </w:tr>
      <w:tr>
        <w:tblPrEx>
          <w:tblLayout w:type="fixed"/>
          <w:tblCellMar>
            <w:top w:w="0" w:type="dxa"/>
            <w:left w:w="0" w:type="dxa"/>
            <w:bottom w:w="0" w:type="dxa"/>
            <w:right w:w="0" w:type="dxa"/>
          </w:tblCellMar>
        </w:tblPrEx>
        <w:trPr>
          <w:trHeight w:val="380" w:hRule="atLeast"/>
        </w:trPr>
        <w:tc>
          <w:tcPr>
            <w:tcW w:w="1134" w:type="dxa"/>
            <w:tcBorders>
              <w:top w:val="single" w:color="080000" w:sz="6" w:space="0"/>
              <w:left w:val="single" w:color="auto" w:sz="8" w:space="0"/>
              <w:bottom w:val="single" w:color="auto" w:sz="8" w:space="0"/>
              <w:right w:val="single" w:color="080000" w:sz="6" w:space="0"/>
            </w:tcBorders>
            <w:shd w:val="clear" w:color="auto" w:fill="FFFFFF"/>
            <w:tcMar>
              <w:left w:w="108" w:type="dxa"/>
              <w:right w:w="108" w:type="dxa"/>
            </w:tcMar>
            <w:vAlign w:val="center"/>
          </w:tcPr>
          <w:p>
            <w:pPr>
              <w:pStyle w:val="30"/>
              <w:widowControl/>
              <w:spacing w:beforeAutospacing="0" w:afterAutospacing="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法人</w:t>
            </w:r>
          </w:p>
        </w:tc>
        <w:tc>
          <w:tcPr>
            <w:tcW w:w="4538" w:type="dxa"/>
            <w:tcBorders>
              <w:top w:val="single" w:color="080000" w:sz="6" w:space="0"/>
              <w:left w:val="single" w:color="080000" w:sz="6" w:space="0"/>
              <w:bottom w:val="single" w:color="auto" w:sz="8" w:space="0"/>
              <w:right w:val="single" w:color="080000" w:sz="6" w:space="0"/>
            </w:tcBorders>
            <w:shd w:val="clear" w:color="auto" w:fill="FFFFFF"/>
            <w:tcMar>
              <w:left w:w="108" w:type="dxa"/>
              <w:right w:w="108" w:type="dxa"/>
            </w:tcMar>
            <w:vAlign w:val="center"/>
          </w:tcPr>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借鉴参考：社会管理要素统一地址规范_深圳</w:t>
            </w:r>
          </w:p>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GB 32100</w:t>
            </w:r>
          </w:p>
        </w:tc>
        <w:tc>
          <w:tcPr>
            <w:tcW w:w="3684" w:type="dxa"/>
            <w:tcBorders>
              <w:top w:val="single" w:color="080000" w:sz="6" w:space="0"/>
              <w:left w:val="single" w:color="080000" w:sz="6" w:space="0"/>
              <w:bottom w:val="single" w:color="auto" w:sz="8" w:space="0"/>
              <w:right w:val="single" w:color="auto" w:sz="8" w:space="0"/>
            </w:tcBorders>
            <w:shd w:val="clear" w:color="auto" w:fill="FFFFFF"/>
            <w:tcMar>
              <w:left w:w="108" w:type="dxa"/>
              <w:right w:w="108" w:type="dxa"/>
            </w:tcMar>
            <w:vAlign w:val="center"/>
          </w:tcPr>
          <w:p>
            <w:pPr>
              <w:pStyle w:val="30"/>
              <w:widowControl/>
              <w:spacing w:beforeAutospacing="0" w:afterAutospacing="0"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社会信用统一代码</w:t>
            </w:r>
          </w:p>
        </w:tc>
      </w:tr>
    </w:tbl>
    <w:p>
      <w:pPr>
        <w:pStyle w:val="63"/>
        <w:ind w:firstLine="420"/>
      </w:pPr>
    </w:p>
    <w:p>
      <w:pPr>
        <w:pStyle w:val="63"/>
        <w:ind w:firstLine="0" w:firstLineChars="0"/>
        <w:sectPr>
          <w:headerReference r:id="rId25" w:type="default"/>
          <w:footerReference r:id="rId27" w:type="default"/>
          <w:headerReference r:id="rId26" w:type="even"/>
          <w:footerReference r:id="rId28" w:type="even"/>
          <w:pgSz w:w="11906" w:h="16838"/>
          <w:pgMar w:top="1871" w:right="1134" w:bottom="1134" w:left="1134" w:header="1418" w:footer="1134" w:gutter="284"/>
          <w:cols w:space="425" w:num="1"/>
          <w:formProt w:val="0"/>
          <w:docGrid w:type="lines" w:linePitch="312" w:charSpace="0"/>
        </w:sectPr>
      </w:pPr>
    </w:p>
    <w:p>
      <w:pPr>
        <w:pStyle w:val="205"/>
        <w:rPr>
          <w:vanish w:val="0"/>
        </w:rPr>
      </w:pPr>
    </w:p>
    <w:p>
      <w:pPr>
        <w:pStyle w:val="206"/>
        <w:rPr>
          <w:vanish w:val="0"/>
        </w:rPr>
      </w:pPr>
    </w:p>
    <w:p>
      <w:pPr>
        <w:pStyle w:val="83"/>
        <w:spacing w:before="78" w:after="156"/>
      </w:pPr>
      <w:r>
        <w:br w:type="textWrapping"/>
      </w:r>
      <w:bookmarkStart w:id="267" w:name="_Toc216189986"/>
      <w:bookmarkStart w:id="268" w:name="_Toc217916774"/>
      <w:bookmarkStart w:id="269" w:name="_Toc216189971"/>
      <w:bookmarkStart w:id="270" w:name="_Toc217912663"/>
      <w:r>
        <w:rPr>
          <w:rFonts w:hint="eastAsia"/>
        </w:rPr>
        <w:t>（资料性）</w:t>
      </w:r>
      <w:r>
        <w:br w:type="textWrapping"/>
      </w:r>
      <w:r>
        <w:rPr>
          <w:rFonts w:hint="eastAsia"/>
        </w:rPr>
        <w:t>城市治理对象的主要数据内容及格式</w:t>
      </w:r>
      <w:bookmarkEnd w:id="267"/>
      <w:bookmarkEnd w:id="268"/>
      <w:bookmarkEnd w:id="269"/>
      <w:bookmarkEnd w:id="270"/>
    </w:p>
    <w:p>
      <w:pPr>
        <w:pStyle w:val="63"/>
        <w:ind w:firstLine="420"/>
      </w:pPr>
      <w:r>
        <w:rPr>
          <w:rFonts w:hint="eastAsia"/>
        </w:rPr>
        <w:t>城市治理对象的主要数据内容及格式见表C.1。</w:t>
      </w:r>
    </w:p>
    <w:p>
      <w:pPr>
        <w:pStyle w:val="84"/>
        <w:spacing w:before="156" w:after="156"/>
      </w:pPr>
      <w:r>
        <w:rPr>
          <w:rFonts w:hint="eastAsia"/>
        </w:rPr>
        <w:t>城市治理对象的主要数据内容及格式</w:t>
      </w:r>
    </w:p>
    <w:tbl>
      <w:tblPr>
        <w:tblStyle w:val="3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3207"/>
        <w:gridCol w:w="4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tcBorders>
              <w:top w:val="single" w:color="auto" w:sz="8" w:space="0"/>
              <w:left w:val="single" w:color="auto" w:sz="8" w:space="0"/>
              <w:bottom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序号</w:t>
            </w:r>
          </w:p>
        </w:tc>
        <w:tc>
          <w:tcPr>
            <w:tcW w:w="1418" w:type="dxa"/>
            <w:tcBorders>
              <w:top w:val="single" w:color="auto" w:sz="8" w:space="0"/>
              <w:bottom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数据专题</w:t>
            </w:r>
          </w:p>
        </w:tc>
        <w:tc>
          <w:tcPr>
            <w:tcW w:w="3207" w:type="dxa"/>
            <w:tcBorders>
              <w:top w:val="single" w:color="auto" w:sz="8" w:space="0"/>
              <w:bottom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数据项</w:t>
            </w:r>
          </w:p>
        </w:tc>
        <w:tc>
          <w:tcPr>
            <w:tcW w:w="4022" w:type="dxa"/>
            <w:tcBorders>
              <w:top w:val="single" w:color="auto" w:sz="8" w:space="0"/>
              <w:bottom w:val="single" w:color="auto" w:sz="8" w:space="0"/>
              <w:right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数据</w:t>
            </w:r>
            <w:r>
              <w:rPr>
                <w:rFonts w:hint="eastAsia" w:ascii="Times New Roman" w:hAnsi="Times New Roman"/>
                <w:color w:val="000000" w:themeColor="text1"/>
                <w:kern w:val="0"/>
                <w:sz w:val="18"/>
                <w:szCs w:val="18"/>
                <w:lang w:bidi="ar"/>
                <w14:textFill>
                  <w14:solidFill>
                    <w14:schemeClr w14:val="tx1"/>
                  </w14:solidFill>
                </w14:textFill>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restart"/>
            <w:tcBorders>
              <w:top w:val="single" w:color="auto" w:sz="8" w:space="0"/>
              <w:left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1</w:t>
            </w:r>
          </w:p>
        </w:tc>
        <w:tc>
          <w:tcPr>
            <w:tcW w:w="1418" w:type="dxa"/>
            <w:vMerge w:val="restart"/>
            <w:tcBorders>
              <w:top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行政区划数据</w:t>
            </w:r>
          </w:p>
        </w:tc>
        <w:tc>
          <w:tcPr>
            <w:tcW w:w="3207" w:type="dxa"/>
            <w:tcBorders>
              <w:top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民政部门行政区划名称、代码</w:t>
            </w:r>
          </w:p>
        </w:tc>
        <w:tc>
          <w:tcPr>
            <w:tcW w:w="4022" w:type="dxa"/>
            <w:tcBorders>
              <w:top w:val="single" w:color="auto" w:sz="8" w:space="0"/>
              <w:right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名称、代码不能为空，符合编码标准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tcBorders>
              <w:left w:val="single" w:color="auto" w:sz="8" w:space="0"/>
            </w:tcBorders>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p>
        </w:tc>
        <w:tc>
          <w:tcPr>
            <w:tcW w:w="1418" w:type="dxa"/>
            <w:vMerge w:val="continue"/>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p>
        </w:tc>
        <w:tc>
          <w:tcPr>
            <w:tcW w:w="3207" w:type="dxa"/>
            <w:vAlign w:val="center"/>
          </w:tcPr>
          <w:p>
            <w:pPr>
              <w:widowControl/>
              <w:spacing w:line="240" w:lineRule="auto"/>
              <w:jc w:val="center"/>
              <w:textAlignment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统计部门行政区划名称、代码</w:t>
            </w:r>
          </w:p>
        </w:tc>
        <w:tc>
          <w:tcPr>
            <w:tcW w:w="4022" w:type="dxa"/>
            <w:tcBorders>
              <w:right w:val="single" w:color="auto" w:sz="8" w:space="0"/>
            </w:tcBorders>
            <w:vAlign w:val="center"/>
          </w:tcPr>
          <w:p>
            <w:pPr>
              <w:widowControl/>
              <w:spacing w:line="240" w:lineRule="auto"/>
              <w:jc w:val="center"/>
              <w:textAlignment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名称、代码不能为空，符合编码标准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tcBorders>
              <w:left w:val="single" w:color="auto" w:sz="8" w:space="0"/>
            </w:tcBorders>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p>
        </w:tc>
        <w:tc>
          <w:tcPr>
            <w:tcW w:w="1418" w:type="dxa"/>
            <w:vMerge w:val="continue"/>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p>
        </w:tc>
        <w:tc>
          <w:tcPr>
            <w:tcW w:w="3207" w:type="dxa"/>
            <w:vAlign w:val="center"/>
          </w:tcPr>
          <w:p>
            <w:pPr>
              <w:widowControl/>
              <w:spacing w:line="240" w:lineRule="auto"/>
              <w:jc w:val="center"/>
              <w:textAlignment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行政区划代码、名称、界线</w:t>
            </w:r>
          </w:p>
        </w:tc>
        <w:tc>
          <w:tcPr>
            <w:tcW w:w="4022" w:type="dxa"/>
            <w:tcBorders>
              <w:right w:val="single" w:color="auto" w:sz="8" w:space="0"/>
            </w:tcBorders>
            <w:vAlign w:val="center"/>
          </w:tcPr>
          <w:p>
            <w:pPr>
              <w:widowControl/>
              <w:spacing w:line="240" w:lineRule="auto"/>
              <w:jc w:val="center"/>
              <w:textAlignment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行政区划代码、名称值不能为空，符合编码标准；行政区划界线坐标串不能为空，是闭合的面状对象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tcBorders>
              <w:left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c>
          <w:tcPr>
            <w:tcW w:w="1418" w:type="dxa"/>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网格数据</w:t>
            </w:r>
          </w:p>
        </w:tc>
        <w:tc>
          <w:tcPr>
            <w:tcW w:w="3207" w:type="dxa"/>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网格单元名称、代码、界线</w:t>
            </w:r>
          </w:p>
        </w:tc>
        <w:tc>
          <w:tcPr>
            <w:tcW w:w="4022" w:type="dxa"/>
            <w:tcBorders>
              <w:right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网格单元名称、代码、界线坐标串值不能为空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restart"/>
            <w:tcBorders>
              <w:left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w:t>
            </w:r>
          </w:p>
        </w:tc>
        <w:tc>
          <w:tcPr>
            <w:tcW w:w="1418" w:type="dxa"/>
            <w:vMerge w:val="restart"/>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小区院落数据</w:t>
            </w:r>
          </w:p>
        </w:tc>
        <w:tc>
          <w:tcPr>
            <w:tcW w:w="3207" w:type="dxa"/>
            <w:vMerge w:val="restart"/>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小区院落名称、界线数据</w:t>
            </w:r>
          </w:p>
        </w:tc>
        <w:tc>
          <w:tcPr>
            <w:tcW w:w="4022" w:type="dxa"/>
            <w:tcBorders>
              <w:right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小区院落产权登记名称、不动产单元号、宗地界线坐标串不能为空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tcBorders>
              <w:left w:val="single" w:color="auto" w:sz="8" w:space="0"/>
            </w:tcBorders>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p>
        </w:tc>
        <w:tc>
          <w:tcPr>
            <w:tcW w:w="1418" w:type="dxa"/>
            <w:vMerge w:val="continue"/>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p>
        </w:tc>
        <w:tc>
          <w:tcPr>
            <w:tcW w:w="3207" w:type="dxa"/>
            <w:vMerge w:val="continue"/>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p>
        </w:tc>
        <w:tc>
          <w:tcPr>
            <w:tcW w:w="4022" w:type="dxa"/>
            <w:tcBorders>
              <w:right w:val="single" w:color="auto" w:sz="8" w:space="0"/>
            </w:tcBorders>
            <w:vAlign w:val="center"/>
          </w:tcPr>
          <w:p>
            <w:pPr>
              <w:widowControl/>
              <w:spacing w:line="240" w:lineRule="auto"/>
              <w:jc w:val="center"/>
              <w:textAlignment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二维码标准地址数据中的小区院落数据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restart"/>
            <w:tcBorders>
              <w:left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w:t>
            </w:r>
          </w:p>
        </w:tc>
        <w:tc>
          <w:tcPr>
            <w:tcW w:w="1418" w:type="dxa"/>
            <w:vMerge w:val="restart"/>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房屋数据</w:t>
            </w:r>
          </w:p>
        </w:tc>
        <w:tc>
          <w:tcPr>
            <w:tcW w:w="3207" w:type="dxa"/>
            <w:vMerge w:val="restart"/>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房屋楼栋名称、地址、结构、用途、高度、层数、界线等基础数据，以及房屋户室数据</w:t>
            </w:r>
          </w:p>
        </w:tc>
        <w:tc>
          <w:tcPr>
            <w:tcW w:w="4022" w:type="dxa"/>
            <w:tcBorders>
              <w:right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测绘、不动产登记业务中房屋楼栋名称、地址、界线坐标串不能为空；结构、用途、高度、层数、户室数据按业务数据情况可选提供；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tcBorders>
              <w:left w:val="single" w:color="auto" w:sz="8" w:space="0"/>
            </w:tcBorders>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p>
        </w:tc>
        <w:tc>
          <w:tcPr>
            <w:tcW w:w="1418" w:type="dxa"/>
            <w:vMerge w:val="continue"/>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p>
        </w:tc>
        <w:tc>
          <w:tcPr>
            <w:tcW w:w="3207" w:type="dxa"/>
            <w:vMerge w:val="continue"/>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p>
        </w:tc>
        <w:tc>
          <w:tcPr>
            <w:tcW w:w="4022" w:type="dxa"/>
            <w:tcBorders>
              <w:right w:val="single" w:color="auto" w:sz="8" w:space="0"/>
            </w:tcBorders>
            <w:vAlign w:val="center"/>
          </w:tcPr>
          <w:p>
            <w:pPr>
              <w:widowControl/>
              <w:spacing w:line="240" w:lineRule="auto"/>
              <w:jc w:val="center"/>
              <w:textAlignment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房屋建设、销售、安全、保障业务中房屋楼栋名称、地址、界线坐标串值不能为空；结构、用途、高度、层数、户室数据按业务数据情况可选提供；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tcBorders>
              <w:left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w:t>
            </w:r>
          </w:p>
        </w:tc>
        <w:tc>
          <w:tcPr>
            <w:tcW w:w="1418" w:type="dxa"/>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地名地址</w:t>
            </w:r>
          </w:p>
        </w:tc>
        <w:tc>
          <w:tcPr>
            <w:tcW w:w="3207" w:type="dxa"/>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地名地址的编码、详细地址、道路名称、门牌号等属性信息</w:t>
            </w:r>
          </w:p>
        </w:tc>
        <w:tc>
          <w:tcPr>
            <w:tcW w:w="4022" w:type="dxa"/>
            <w:tcBorders>
              <w:right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编码、详细地址、道路名称、门牌号属性不能为空，其他属性按业务情况可选提供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tcBorders>
              <w:left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w:t>
            </w:r>
          </w:p>
        </w:tc>
        <w:tc>
          <w:tcPr>
            <w:tcW w:w="1418" w:type="dxa"/>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法人</w:t>
            </w:r>
          </w:p>
        </w:tc>
        <w:tc>
          <w:tcPr>
            <w:tcW w:w="3207" w:type="dxa"/>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法人社会信用统一代码、法人名称、法人类型、法人注册时间、法人行业、法人注册地址、法人注册地址坐标等属性信息</w:t>
            </w:r>
          </w:p>
        </w:tc>
        <w:tc>
          <w:tcPr>
            <w:tcW w:w="4022" w:type="dxa"/>
            <w:tcBorders>
              <w:right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社会信用统一代码、法人名称、法人类型、法人注册时间、法人注册地址属性不能为空，其他属性按照业务情况可选提供；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tcBorders>
              <w:left w:val="single" w:color="auto" w:sz="8" w:space="0"/>
              <w:bottom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w:t>
            </w:r>
          </w:p>
        </w:tc>
        <w:tc>
          <w:tcPr>
            <w:tcW w:w="1418" w:type="dxa"/>
            <w:tcBorders>
              <w:bottom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人口</w:t>
            </w:r>
          </w:p>
        </w:tc>
        <w:tc>
          <w:tcPr>
            <w:tcW w:w="3207" w:type="dxa"/>
            <w:tcBorders>
              <w:bottom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人口编码（身份证号码加密转义）、姓名、常住地址等属性信息</w:t>
            </w:r>
          </w:p>
        </w:tc>
        <w:tc>
          <w:tcPr>
            <w:tcW w:w="4022" w:type="dxa"/>
            <w:tcBorders>
              <w:bottom w:val="single" w:color="auto" w:sz="8" w:space="0"/>
              <w:right w:val="single" w:color="auto" w:sz="8" w:space="0"/>
            </w:tcBorders>
            <w:vAlign w:val="center"/>
          </w:tcPr>
          <w:p>
            <w:pPr>
              <w:widowControl/>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人口编码（身份证号码加密转义）、姓名、常住地址属性不能为空，其他属性按照业务情况可选提供；</w:t>
            </w:r>
          </w:p>
        </w:tc>
      </w:tr>
    </w:tbl>
    <w:p>
      <w:pPr>
        <w:pStyle w:val="63"/>
        <w:ind w:firstLine="420"/>
      </w:pPr>
    </w:p>
    <w:bookmarkEnd w:id="256"/>
    <w:p>
      <w:pPr>
        <w:pStyle w:val="63"/>
        <w:ind w:firstLine="0" w:firstLineChars="0"/>
        <w:sectPr>
          <w:headerReference r:id="rId29" w:type="default"/>
          <w:footerReference r:id="rId31" w:type="default"/>
          <w:headerReference r:id="rId30" w:type="even"/>
          <w:footerReference r:id="rId32" w:type="even"/>
          <w:pgSz w:w="11906" w:h="16838"/>
          <w:pgMar w:top="1871" w:right="1134" w:bottom="1134" w:left="1134" w:header="1418" w:footer="1134" w:gutter="284"/>
          <w:cols w:space="425" w:num="1"/>
          <w:formProt w:val="0"/>
          <w:docGrid w:type="lines" w:linePitch="312" w:charSpace="0"/>
        </w:sectPr>
      </w:pPr>
      <w:bookmarkStart w:id="271" w:name="BookMark6"/>
    </w:p>
    <w:p>
      <w:pPr>
        <w:pStyle w:val="70"/>
        <w:spacing w:before="124" w:after="156"/>
      </w:pPr>
      <w:bookmarkStart w:id="272" w:name="_Toc24996"/>
      <w:bookmarkStart w:id="273" w:name="_Toc15621"/>
      <w:bookmarkStart w:id="274" w:name="_Toc196128183"/>
      <w:bookmarkStart w:id="275" w:name="_Toc13835"/>
      <w:bookmarkStart w:id="276" w:name="_Toc216189987"/>
      <w:bookmarkStart w:id="277" w:name="_Toc21455"/>
      <w:bookmarkStart w:id="278" w:name="_Toc217916775"/>
      <w:bookmarkStart w:id="279" w:name="_Toc217912664"/>
      <w:bookmarkStart w:id="280" w:name="_Toc8824"/>
      <w:bookmarkStart w:id="281" w:name="_Toc31367"/>
      <w:bookmarkStart w:id="282" w:name="_Toc216189972"/>
      <w:bookmarkStart w:id="283" w:name="_Toc13887"/>
      <w:bookmarkStart w:id="284" w:name="_Toc8750"/>
      <w:bookmarkStart w:id="285" w:name="_Toc196133309"/>
      <w:r>
        <w:rPr>
          <w:rFonts w:hint="eastAsia"/>
          <w:spacing w:val="105"/>
        </w:rPr>
        <w:t>参考文</w:t>
      </w:r>
      <w:r>
        <w:rPr>
          <w:rFonts w:hint="eastAsia"/>
        </w:rPr>
        <w:t>献</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pStyle w:val="63"/>
        <w:ind w:firstLine="420"/>
      </w:pPr>
      <w:r>
        <w:rPr>
          <w:rFonts w:hint="eastAsia"/>
          <w:lang w:eastAsia="zh-Hans"/>
        </w:rPr>
        <w:t>[1]</w:t>
      </w:r>
      <w:r>
        <w:rPr>
          <w:rFonts w:hint="eastAsia"/>
        </w:rPr>
        <w:t>GB</w:t>
      </w:r>
      <w:r>
        <w:t>/</w:t>
      </w:r>
      <w:r>
        <w:rPr>
          <w:rFonts w:hint="eastAsia"/>
        </w:rPr>
        <w:t>T</w:t>
      </w:r>
      <w:r>
        <w:t xml:space="preserve"> </w:t>
      </w:r>
      <w:r>
        <w:rPr>
          <w:rFonts w:hint="eastAsia"/>
        </w:rPr>
        <w:t>2260  中华人民共和国行政区划代码</w:t>
      </w:r>
    </w:p>
    <w:p>
      <w:pPr>
        <w:pStyle w:val="63"/>
        <w:ind w:firstLine="420"/>
      </w:pPr>
      <w:r>
        <w:rPr>
          <w:rFonts w:hint="eastAsia"/>
          <w:lang w:eastAsia="zh-Hans"/>
        </w:rPr>
        <w:t>[</w:t>
      </w:r>
      <w:r>
        <w:rPr>
          <w:rFonts w:hint="eastAsia"/>
        </w:rPr>
        <w:t>2</w:t>
      </w:r>
      <w:r>
        <w:rPr>
          <w:rFonts w:hint="eastAsia"/>
          <w:lang w:eastAsia="zh-Hans"/>
        </w:rPr>
        <w:t>]</w:t>
      </w:r>
      <w:r>
        <w:rPr>
          <w:rFonts w:hint="eastAsia"/>
        </w:rPr>
        <w:t>GB</w:t>
      </w:r>
      <w:r>
        <w:t>/</w:t>
      </w:r>
      <w:r>
        <w:rPr>
          <w:rFonts w:hint="eastAsia"/>
        </w:rPr>
        <w:t>T</w:t>
      </w:r>
      <w:r>
        <w:t xml:space="preserve"> </w:t>
      </w:r>
      <w:r>
        <w:rPr>
          <w:rFonts w:hint="eastAsia"/>
        </w:rPr>
        <w:t>10114  县级以下行政区划代码编制规则</w:t>
      </w:r>
    </w:p>
    <w:p>
      <w:pPr>
        <w:pStyle w:val="63"/>
        <w:ind w:firstLine="420"/>
      </w:pPr>
      <w:r>
        <w:rPr>
          <w:rFonts w:hint="eastAsia"/>
          <w:lang w:eastAsia="zh-Hans"/>
        </w:rPr>
        <w:t>[</w:t>
      </w:r>
      <w:r>
        <w:rPr>
          <w:rFonts w:hint="eastAsia"/>
        </w:rPr>
        <w:t>3</w:t>
      </w:r>
      <w:r>
        <w:rPr>
          <w:rFonts w:hint="eastAsia"/>
          <w:lang w:eastAsia="zh-Hans"/>
        </w:rPr>
        <w:t>]</w:t>
      </w:r>
      <w:r>
        <w:rPr>
          <w:rFonts w:hint="eastAsia"/>
        </w:rPr>
        <w:t>GB</w:t>
      </w:r>
      <w:r>
        <w:t xml:space="preserve"> </w:t>
      </w:r>
      <w:r>
        <w:rPr>
          <w:rFonts w:hint="eastAsia"/>
        </w:rPr>
        <w:t>11643  公民身份号码</w:t>
      </w:r>
    </w:p>
    <w:p>
      <w:pPr>
        <w:pStyle w:val="63"/>
        <w:ind w:firstLine="420"/>
      </w:pPr>
      <w:r>
        <w:rPr>
          <w:rFonts w:hint="eastAsia"/>
          <w:lang w:eastAsia="zh-Hans"/>
        </w:rPr>
        <w:t>[</w:t>
      </w:r>
      <w:r>
        <w:rPr>
          <w:rFonts w:hint="eastAsia"/>
        </w:rPr>
        <w:t>4</w:t>
      </w:r>
      <w:r>
        <w:rPr>
          <w:rFonts w:hint="eastAsia"/>
          <w:lang w:eastAsia="zh-Hans"/>
        </w:rPr>
        <w:t>]</w:t>
      </w:r>
      <w:r>
        <w:rPr>
          <w:rFonts w:hint="eastAsia"/>
        </w:rPr>
        <w:t>GB</w:t>
      </w:r>
      <w:r>
        <w:t>/</w:t>
      </w:r>
      <w:r>
        <w:rPr>
          <w:rFonts w:hint="eastAsia"/>
        </w:rPr>
        <w:t>T</w:t>
      </w:r>
      <w:r>
        <w:t xml:space="preserve"> </w:t>
      </w:r>
      <w:r>
        <w:rPr>
          <w:rFonts w:hint="eastAsia"/>
        </w:rPr>
        <w:t>18391</w:t>
      </w:r>
      <w:r>
        <w:t>.1</w:t>
      </w:r>
      <w:r>
        <w:rPr>
          <w:rFonts w:hint="eastAsia"/>
        </w:rPr>
        <w:t xml:space="preserve">  信息技术 元数据注册系统(MDR) 第1部分：框架</w:t>
      </w:r>
    </w:p>
    <w:p>
      <w:pPr>
        <w:pStyle w:val="63"/>
        <w:ind w:firstLine="420"/>
      </w:pPr>
      <w:r>
        <w:rPr>
          <w:rFonts w:hint="eastAsia"/>
          <w:lang w:eastAsia="zh-Hans"/>
        </w:rPr>
        <w:t>[</w:t>
      </w:r>
      <w:r>
        <w:rPr>
          <w:rFonts w:hint="eastAsia"/>
        </w:rPr>
        <w:t>5</w:t>
      </w:r>
      <w:r>
        <w:rPr>
          <w:rFonts w:hint="eastAsia"/>
          <w:lang w:eastAsia="zh-Hans"/>
        </w:rPr>
        <w:t>]</w:t>
      </w:r>
      <w:r>
        <w:rPr>
          <w:rFonts w:hint="eastAsia"/>
        </w:rPr>
        <w:t>GB</w:t>
      </w:r>
      <w:r>
        <w:t>/</w:t>
      </w:r>
      <w:r>
        <w:rPr>
          <w:rFonts w:hint="eastAsia"/>
        </w:rPr>
        <w:t>T</w:t>
      </w:r>
      <w:r>
        <w:t xml:space="preserve"> </w:t>
      </w:r>
      <w:r>
        <w:rPr>
          <w:rFonts w:hint="eastAsia"/>
        </w:rPr>
        <w:t>23705  数字城市地理信息公共平台地名/地址编码规则</w:t>
      </w:r>
    </w:p>
    <w:p>
      <w:pPr>
        <w:pStyle w:val="63"/>
        <w:ind w:firstLine="420"/>
      </w:pPr>
      <w:r>
        <w:rPr>
          <w:rFonts w:hint="eastAsia"/>
          <w:lang w:eastAsia="zh-Hans"/>
        </w:rPr>
        <w:t>[</w:t>
      </w:r>
      <w:r>
        <w:rPr>
          <w:rFonts w:hint="eastAsia"/>
        </w:rPr>
        <w:t>6</w:t>
      </w:r>
      <w:r>
        <w:rPr>
          <w:rFonts w:hint="eastAsia"/>
          <w:lang w:eastAsia="zh-Hans"/>
        </w:rPr>
        <w:t>]</w:t>
      </w:r>
      <w:r>
        <w:rPr>
          <w:rFonts w:hint="eastAsia"/>
        </w:rPr>
        <w:t>GB</w:t>
      </w:r>
      <w:r>
        <w:t>/</w:t>
      </w:r>
      <w:r>
        <w:rPr>
          <w:rFonts w:hint="eastAsia"/>
        </w:rPr>
        <w:t>T</w:t>
      </w:r>
      <w:r>
        <w:t xml:space="preserve"> 3</w:t>
      </w:r>
      <w:r>
        <w:rPr>
          <w:rFonts w:hint="eastAsia"/>
        </w:rPr>
        <w:t>0428</w:t>
      </w:r>
      <w:r>
        <w:t>.1</w:t>
      </w:r>
      <w:r>
        <w:rPr>
          <w:rFonts w:hint="eastAsia"/>
        </w:rPr>
        <w:t xml:space="preserve">  数字化城市管理信息系统 第1部分：单元网格</w:t>
      </w:r>
    </w:p>
    <w:p>
      <w:pPr>
        <w:pStyle w:val="63"/>
        <w:ind w:firstLine="420"/>
      </w:pPr>
      <w:r>
        <w:rPr>
          <w:rFonts w:hint="eastAsia"/>
          <w:lang w:eastAsia="zh-Hans"/>
        </w:rPr>
        <w:t>[</w:t>
      </w:r>
      <w:r>
        <w:rPr>
          <w:rFonts w:hint="eastAsia"/>
        </w:rPr>
        <w:t>7</w:t>
      </w:r>
      <w:r>
        <w:rPr>
          <w:rFonts w:hint="eastAsia"/>
          <w:lang w:eastAsia="zh-Hans"/>
        </w:rPr>
        <w:t>]</w:t>
      </w:r>
      <w:r>
        <w:rPr>
          <w:rFonts w:hint="eastAsia"/>
        </w:rPr>
        <w:t>GB</w:t>
      </w:r>
      <w:r>
        <w:t xml:space="preserve"> 3</w:t>
      </w:r>
      <w:r>
        <w:rPr>
          <w:rFonts w:hint="eastAsia"/>
        </w:rPr>
        <w:t>2100  法人和其他组织统一社会信用代码编码规则</w:t>
      </w:r>
    </w:p>
    <w:p>
      <w:pPr>
        <w:pStyle w:val="63"/>
        <w:ind w:firstLine="420"/>
      </w:pPr>
      <w:r>
        <w:rPr>
          <w:rFonts w:hint="eastAsia"/>
          <w:lang w:eastAsia="zh-Hans"/>
        </w:rPr>
        <w:t>[</w:t>
      </w:r>
      <w:r>
        <w:rPr>
          <w:rFonts w:hint="eastAsia"/>
        </w:rPr>
        <w:t>8</w:t>
      </w:r>
      <w:r>
        <w:rPr>
          <w:rFonts w:hint="eastAsia"/>
          <w:lang w:eastAsia="zh-Hans"/>
        </w:rPr>
        <w:t>]</w:t>
      </w:r>
      <w:r>
        <w:rPr>
          <w:rFonts w:hint="eastAsia"/>
        </w:rPr>
        <w:t>GB</w:t>
      </w:r>
      <w:r>
        <w:t>/</w:t>
      </w:r>
      <w:r>
        <w:rPr>
          <w:rFonts w:hint="eastAsia"/>
        </w:rPr>
        <w:t>T</w:t>
      </w:r>
      <w:r>
        <w:t xml:space="preserve"> 3</w:t>
      </w:r>
      <w:r>
        <w:rPr>
          <w:rFonts w:hint="eastAsia"/>
        </w:rPr>
        <w:t>4300  城乡社区网格化服务管理规范</w:t>
      </w:r>
    </w:p>
    <w:p>
      <w:pPr>
        <w:pStyle w:val="63"/>
        <w:ind w:firstLine="420"/>
      </w:pPr>
      <w:r>
        <w:rPr>
          <w:rFonts w:hint="eastAsia"/>
          <w:lang w:eastAsia="zh-Hans"/>
        </w:rPr>
        <w:t>[</w:t>
      </w:r>
      <w:r>
        <w:rPr>
          <w:rFonts w:hint="eastAsia"/>
        </w:rPr>
        <w:t>9</w:t>
      </w:r>
      <w:r>
        <w:rPr>
          <w:rFonts w:hint="eastAsia"/>
          <w:lang w:eastAsia="zh-Hans"/>
        </w:rPr>
        <w:t>]</w:t>
      </w:r>
      <w:r>
        <w:rPr>
          <w:rFonts w:hint="eastAsia"/>
        </w:rPr>
        <w:t>GB</w:t>
      </w:r>
      <w:r>
        <w:t>/</w:t>
      </w:r>
      <w:r>
        <w:rPr>
          <w:rFonts w:hint="eastAsia"/>
        </w:rPr>
        <w:t>T</w:t>
      </w:r>
      <w:r>
        <w:t xml:space="preserve"> 36625.1</w:t>
      </w:r>
      <w:r>
        <w:rPr>
          <w:rFonts w:hint="eastAsia"/>
        </w:rPr>
        <w:t>—</w:t>
      </w:r>
      <w:r>
        <w:t>2018</w:t>
      </w:r>
      <w:r>
        <w:rPr>
          <w:rFonts w:hint="eastAsia"/>
        </w:rPr>
        <w:t xml:space="preserve">  智慧城市  数据融合 第1部分：概念模型</w:t>
      </w:r>
    </w:p>
    <w:p>
      <w:pPr>
        <w:pStyle w:val="63"/>
        <w:ind w:firstLine="420"/>
        <w:rPr>
          <w:lang w:val="zh-CN" w:eastAsia="zh-Hans"/>
        </w:rPr>
      </w:pPr>
      <w:r>
        <w:rPr>
          <w:rFonts w:hint="eastAsia"/>
          <w:lang w:val="zh-CN" w:eastAsia="zh-Hans"/>
        </w:rPr>
        <w:t>[</w:t>
      </w:r>
      <w:r>
        <w:rPr>
          <w:rFonts w:hint="eastAsia"/>
          <w:lang w:val="zh-CN"/>
        </w:rPr>
        <w:t>10</w:t>
      </w:r>
      <w:r>
        <w:rPr>
          <w:rFonts w:hint="eastAsia"/>
          <w:lang w:val="zh-CN" w:eastAsia="zh-Hans"/>
        </w:rPr>
        <w:t>]《湖南省政务信息资源共享管理办法（试行）》（2017年）</w:t>
      </w:r>
    </w:p>
    <w:p>
      <w:pPr>
        <w:pStyle w:val="63"/>
        <w:ind w:firstLine="420"/>
      </w:pPr>
      <w:r>
        <w:rPr>
          <w:rFonts w:hint="eastAsia"/>
          <w:lang w:val="zh-CN" w:eastAsia="zh-Hans"/>
        </w:rPr>
        <w:t>[</w:t>
      </w:r>
      <w:r>
        <w:rPr>
          <w:rFonts w:hint="eastAsia"/>
        </w:rPr>
        <w:t>11</w:t>
      </w:r>
      <w:r>
        <w:rPr>
          <w:rFonts w:hint="eastAsia"/>
          <w:lang w:val="zh-CN" w:eastAsia="zh-Hans"/>
        </w:rPr>
        <w:t>]《国务院办公厅关于印发全国一体化政务大数据体系建设指南的通知》（国办函[2022]102号）</w:t>
      </w:r>
    </w:p>
    <w:bookmarkEnd w:id="271"/>
    <w:p>
      <w:pPr>
        <w:pStyle w:val="63"/>
        <w:ind w:firstLine="0" w:firstLineChars="0"/>
        <w:jc w:val="center"/>
      </w:pPr>
      <w:bookmarkStart w:id="286"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0"/>
                    <a:stretch>
                      <a:fillRect/>
                    </a:stretch>
                  </pic:blipFill>
                  <pic:spPr>
                    <a:xfrm>
                      <a:off x="0" y="0"/>
                      <a:ext cx="1485900" cy="317500"/>
                    </a:xfrm>
                    <a:prstGeom prst="rect">
                      <a:avLst/>
                    </a:prstGeom>
                  </pic:spPr>
                </pic:pic>
              </a:graphicData>
            </a:graphic>
          </wp:inline>
        </w:drawing>
      </w:r>
      <w:bookmarkEnd w:id="286"/>
    </w:p>
    <w:sectPr>
      <w:headerReference r:id="rId33" w:type="default"/>
      <w:footerReference r:id="rId35" w:type="default"/>
      <w:headerReference r:id="rId34" w:type="even"/>
      <w:footerReference r:id="rId36" w:type="even"/>
      <w:pgSz w:w="11906" w:h="16838"/>
      <w:pgMar w:top="1871"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汉仪书宋二KW">
    <w:altName w:val="宋体"/>
    <w:panose1 w:val="00020600040101010101"/>
    <w:charset w:val="86"/>
    <w:family w:val="auto"/>
    <w:pitch w:val="default"/>
    <w:sig w:usb0="00000000" w:usb1="00000000" w:usb2="00000016"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Helvetica Neue">
    <w:altName w:val="Corbel"/>
    <w:panose1 w:val="02000503000000020004"/>
    <w:charset w:val="00"/>
    <w:family w:val="auto"/>
    <w:pitch w:val="default"/>
    <w:sig w:usb0="00000000" w:usb1="00000000" w:usb2="0000001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Segoe Print"/>
    <w:panose1 w:val="00000000000000000000"/>
    <w:charset w:val="00"/>
    <w:family w:val="auto"/>
    <w:pitch w:val="default"/>
    <w:sig w:usb0="00000000" w:usb1="00000000" w:usb2="00000000" w:usb3="00000000" w:csb0="00000000" w:csb1="00000000"/>
  </w:font>
  <w:font w:name="汉仪中等线KW">
    <w:altName w:val="宋体"/>
    <w:panose1 w:val="01010104010101010101"/>
    <w:charset w:val="86"/>
    <w:family w:val="auto"/>
    <w:pitch w:val="default"/>
    <w:sig w:usb0="00000000" w:usb1="00000000" w:usb2="00000000" w:usb3="00000000" w:csb0="00040001" w:csb1="00000000"/>
  </w:font>
  <w:font w:name="冬青黑体简体中文">
    <w:altName w:val="黑体"/>
    <w:panose1 w:val="020B0300000000000000"/>
    <w:charset w:val="86"/>
    <w:family w:val="auto"/>
    <w:pitch w:val="default"/>
    <w:sig w:usb0="00000000" w:usb1="00000000" w:usb2="00000016" w:usb3="00000000" w:csb0="00060007" w:csb1="00000000"/>
  </w:font>
  <w:font w:name="宋体-简">
    <w:altName w:val="宋体"/>
    <w:panose1 w:val="02010800040101010101"/>
    <w:charset w:val="86"/>
    <w:family w:val="auto"/>
    <w:pitch w:val="default"/>
    <w:sig w:usb0="00000000" w:usb1="00000000" w:usb2="00000000" w:usb3="00000000" w:csb0="00040000" w:csb1="00000000"/>
  </w:font>
  <w:font w:name="Kingsoft Sign">
    <w:altName w:val="Segoe Print"/>
    <w:panose1 w:val="05050102010706020507"/>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fldChar w:fldCharType="begin"/>
    </w:r>
    <w:r>
      <w:instrText xml:space="preserve">PAGE   \* MERGEFORMAT</w:instrText>
    </w:r>
    <w:r>
      <w:fldChar w:fldCharType="separate"/>
    </w:r>
    <w:r>
      <w:rPr>
        <w:lang w:val="zh-CN"/>
      </w:rPr>
      <w:t>13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fldChar w:fldCharType="begin"/>
    </w:r>
    <w:r>
      <w:instrText xml:space="preserve">PAGE   \* MERGEFORMAT</w:instrText>
    </w:r>
    <w:r>
      <w:fldChar w:fldCharType="separate"/>
    </w:r>
    <w:r>
      <w:rPr>
        <w:lang w:val="zh-CN"/>
      </w:rPr>
      <w:t>12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fldChar w:fldCharType="begin"/>
    </w:r>
    <w:r>
      <w:instrText xml:space="preserve">PAGE   \* MERGEFORMAT</w:instrText>
    </w:r>
    <w:r>
      <w:fldChar w:fldCharType="separate"/>
    </w:r>
    <w:r>
      <w:rPr>
        <w:lang w:val="zh-CN"/>
      </w:rPr>
      <w:t>13</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fldChar w:fldCharType="begin"/>
    </w:r>
    <w:r>
      <w:instrText xml:space="preserve">PAGE   \* MERGEFORMAT</w:instrText>
    </w:r>
    <w:r>
      <w:fldChar w:fldCharType="separate"/>
    </w:r>
    <w:r>
      <w:rPr>
        <w:lang w:val="zh-CN"/>
      </w:rPr>
      <w:t>14</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fldChar w:fldCharType="begin"/>
    </w:r>
    <w:r>
      <w:instrText xml:space="preserve">PAGE   \* MERGEFORMAT</w:instrText>
    </w:r>
    <w:r>
      <w:fldChar w:fldCharType="separate"/>
    </w:r>
    <w:r>
      <w:rPr>
        <w:lang w:val="zh-CN"/>
      </w:rPr>
      <w:t>15</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fldChar w:fldCharType="begin"/>
    </w:r>
    <w:r>
      <w:instrText xml:space="preserve">PAGE   \* MERGEFORMAT</w:instrText>
    </w:r>
    <w:r>
      <w:fldChar w:fldCharType="separate"/>
    </w:r>
    <w:r>
      <w:rPr>
        <w:lang w:val="zh-CN"/>
      </w:rPr>
      <w:t>14</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fldChar w:fldCharType="begin"/>
    </w:r>
    <w:r>
      <w:instrText xml:space="preserve">PAGE   \* MERGEFORMAT</w:instrText>
    </w:r>
    <w:r>
      <w:fldChar w:fldCharType="separate"/>
    </w:r>
    <w:r>
      <w:rPr>
        <w:lang w:val="zh-CN"/>
      </w:rPr>
      <w:t>15</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fldChar w:fldCharType="begin"/>
    </w:r>
    <w:r>
      <w:instrText xml:space="preserve">PAGE   \* MERGEFORMAT</w:instrText>
    </w:r>
    <w:r>
      <w:fldChar w:fldCharType="separate"/>
    </w:r>
    <w:r>
      <w:rPr>
        <w:lang w:val="zh-CN"/>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fldChar w:fldCharType="begin"/>
    </w:r>
    <w:r>
      <w:instrText xml:space="preserve">PAGE   \* MERGEFORMAT</w:instrText>
    </w:r>
    <w:r>
      <w:fldChar w:fldCharType="separate"/>
    </w:r>
    <w:r>
      <w:rPr>
        <w:lang w:val="zh-CN"/>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fldChar w:fldCharType="begin"/>
    </w:r>
    <w:r>
      <w:instrText xml:space="preserve">PAGE   \* MERGEFORMAT</w:instrText>
    </w:r>
    <w:r>
      <w:fldChar w:fldCharType="separate"/>
    </w:r>
    <w:r>
      <w:rPr>
        <w:lang w:val="zh-CN"/>
      </w:rP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fldChar w:fldCharType="begin"/>
    </w:r>
    <w:r>
      <w:instrText xml:space="preserve">PAGE   \* MERGEFORMAT</w:instrText>
    </w:r>
    <w:r>
      <w:fldChar w:fldCharType="separate"/>
    </w:r>
    <w:r>
      <w:rPr>
        <w:lang w:val="zh-CN"/>
      </w:rPr>
      <w:t>11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fldChar w:fldCharType="begin"/>
    </w:r>
    <w:r>
      <w:instrText xml:space="preserve">PAGE   \* MERGEFORMAT</w:instrText>
    </w:r>
    <w:r>
      <w:fldChar w:fldCharType="separate"/>
    </w:r>
    <w:r>
      <w:rPr>
        <w:lang w:val="zh-CN"/>
      </w:rPr>
      <w:t>12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pPr>
    <w:r>
      <w:fldChar w:fldCharType="begin"/>
    </w:r>
    <w:r>
      <w:instrText xml:space="preserve"> STYLEREF  标准文件_文件编号  \* MERGEFORMAT </w:instrText>
    </w:r>
    <w:r>
      <w:fldChar w:fldCharType="separate"/>
    </w:r>
    <w:r>
      <w:t>DB43/T XXXXX—2025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Pr>
    <w:r>
      <w:fldChar w:fldCharType="begin"/>
    </w:r>
    <w:r>
      <w:instrText xml:space="preserve"> STYLEREF  标准文件_文件编号 \* MERGEFORMAT </w:instrText>
    </w:r>
    <w:r>
      <w:fldChar w:fldCharType="separate"/>
    </w:r>
    <w:r>
      <w:t>DB43/T XXXXX—2025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pPr>
    <w:r>
      <w:fldChar w:fldCharType="begin"/>
    </w:r>
    <w:r>
      <w:instrText xml:space="preserve"> STYLEREF  标准文件_文件编号  \* MERGEFORMAT </w:instrText>
    </w:r>
    <w:r>
      <w:fldChar w:fldCharType="separate"/>
    </w:r>
    <w:r>
      <w:t>DB43/T XXXXX—2025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Pr>
    <w:r>
      <w:fldChar w:fldCharType="begin"/>
    </w:r>
    <w:r>
      <w:instrText xml:space="preserve"> STYLEREF  标准文件_文件编号 \* MERGEFORMAT </w:instrText>
    </w:r>
    <w:r>
      <w:fldChar w:fldCharType="separate"/>
    </w:r>
    <w:r>
      <w:t>DB43/T XXXXX—2025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pPr>
    <w:r>
      <w:fldChar w:fldCharType="begin"/>
    </w:r>
    <w:r>
      <w:instrText xml:space="preserve"> STYLEREF  标准文件_文件编号  \* MERGEFORMAT </w:instrText>
    </w:r>
    <w:r>
      <w:fldChar w:fldCharType="separate"/>
    </w:r>
    <w:r>
      <w:t>DB43/T XXXXX—2025</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Pr>
    <w:r>
      <w:fldChar w:fldCharType="begin"/>
    </w:r>
    <w:r>
      <w:instrText xml:space="preserve"> STYLEREF  标准文件_文件编号 \* MERGEFORMAT </w:instrText>
    </w:r>
    <w:r>
      <w:fldChar w:fldCharType="separate"/>
    </w:r>
    <w:r>
      <w:t>DB43/T XXXXX—2025</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pPr>
    <w:r>
      <w:fldChar w:fldCharType="begin"/>
    </w:r>
    <w:r>
      <w:instrText xml:space="preserve"> STYLEREF  标准文件_文件编号  \* MERGEFORMAT </w:instrText>
    </w:r>
    <w:r>
      <w:fldChar w:fldCharType="separate"/>
    </w:r>
    <w:r>
      <w:t>DB43/T XXXXX—2025</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Pr>
    <w:r>
      <w:fldChar w:fldCharType="begin"/>
    </w:r>
    <w:r>
      <w:instrText xml:space="preserve"> STYLEREF  标准文件_文件编号 \* MERGEFORMAT </w:instrText>
    </w:r>
    <w:r>
      <w:fldChar w:fldCharType="separate"/>
    </w:r>
    <w:r>
      <w:t>DB43/T XXXXX—2025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pPr>
    <w:r>
      <w:fldChar w:fldCharType="begin"/>
    </w:r>
    <w:r>
      <w:instrText xml:space="preserve"> STYLEREF  标准文件_文件编号  \* MERGEFORMAT </w:instrText>
    </w:r>
    <w:r>
      <w:fldChar w:fldCharType="separate"/>
    </w:r>
    <w:r>
      <w:t>DB43/T XXXXX—2025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Pr>
    <w:r>
      <w:fldChar w:fldCharType="begin"/>
    </w:r>
    <w:r>
      <w:instrText xml:space="preserve"> STYLEREF  标准文件_文件编号 \* MERGEFORMAT </w:instrText>
    </w:r>
    <w:r>
      <w:fldChar w:fldCharType="separate"/>
    </w:r>
    <w:r>
      <w:t>DB43/T XXXXX—2025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pPr>
    <w:r>
      <w:fldChar w:fldCharType="begin"/>
    </w:r>
    <w:r>
      <w:instrText xml:space="preserve"> STYLEREF  标准文件_文件编号  \* MERGEFORMAT </w:instrText>
    </w:r>
    <w:r>
      <w:fldChar w:fldCharType="separate"/>
    </w:r>
    <w:r>
      <w:t>DB43/T XXXXX—2025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Pr>
    <w:r>
      <w:fldChar w:fldCharType="begin"/>
    </w:r>
    <w:r>
      <w:instrText xml:space="preserve"> STYLEREF  标准文件_文件编号 \* MERGEFORMAT </w:instrText>
    </w:r>
    <w:r>
      <w:fldChar w:fldCharType="separate"/>
    </w:r>
    <w:r>
      <w:t>DB43/T XXXXX—2025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pPr>
    <w:r>
      <w:fldChar w:fldCharType="begin"/>
    </w:r>
    <w:r>
      <w:instrText xml:space="preserve"> STYLEREF  标准文件_文件编号  \* MERGEFORMAT </w:instrText>
    </w:r>
    <w:r>
      <w:fldChar w:fldCharType="separate"/>
    </w:r>
    <w:r>
      <w:t>DB43/T XXXXX—2025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Pr>
    <w:r>
      <w:fldChar w:fldCharType="begin"/>
    </w:r>
    <w:r>
      <w:instrText xml:space="preserve"> STYLEREF  标准文件_文件编号 \* MERGEFORMAT </w:instrText>
    </w:r>
    <w:r>
      <w:fldChar w:fldCharType="separate"/>
    </w:r>
    <w:r>
      <w:t>DB43/T XXXXX—2025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45D4DB"/>
    <w:multiLevelType w:val="multilevel"/>
    <w:tmpl w:val="F945D4DB"/>
    <w:lvl w:ilvl="0" w:tentative="0">
      <w:start w:val="1"/>
      <w:numFmt w:val="lowerLetter"/>
      <w:lvlText w:val="%1）"/>
      <w:lvlJc w:val="left"/>
      <w:pPr>
        <w:ind w:left="780" w:hanging="360"/>
      </w:pPr>
      <w:rPr>
        <w:rFonts w:hint="default"/>
        <w:b w:val="0"/>
      </w:rPr>
    </w:lvl>
    <w:lvl w:ilvl="1" w:tentative="0">
      <w:start w:val="1"/>
      <w:numFmt w:val="ideographTraditional"/>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ideographTraditional"/>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ideographTraditional"/>
      <w:lvlText w:val="%8、"/>
      <w:lvlJc w:val="left"/>
      <w:pPr>
        <w:ind w:left="4260" w:hanging="480"/>
      </w:pPr>
    </w:lvl>
    <w:lvl w:ilvl="8" w:tentative="0">
      <w:start w:val="1"/>
      <w:numFmt w:val="lowerRoman"/>
      <w:lvlText w:val="%9."/>
      <w:lvlJc w:val="right"/>
      <w:pPr>
        <w:ind w:left="4740" w:hanging="480"/>
      </w:pPr>
    </w:lvl>
  </w:abstractNum>
  <w:abstractNum w:abstractNumId="1">
    <w:nsid w:val="02837933"/>
    <w:multiLevelType w:val="multilevel"/>
    <w:tmpl w:val="02837933"/>
    <w:lvl w:ilvl="0" w:tentative="0">
      <w:start w:val="1"/>
      <w:numFmt w:val="decimal"/>
      <w:pStyle w:val="71"/>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6"/>
      <w:suff w:val="nothing"/>
      <w:lvlText w:val="%1%2.%3　"/>
      <w:lvlJc w:val="left"/>
      <w:pPr>
        <w:ind w:left="0" w:firstLine="0"/>
      </w:pPr>
    </w:lvl>
    <w:lvl w:ilvl="3" w:tentative="0">
      <w:start w:val="1"/>
      <w:numFmt w:val="decimal"/>
      <w:pStyle w:val="125"/>
      <w:suff w:val="nothing"/>
      <w:lvlText w:val="%1%2.%3.%4　"/>
      <w:lvlJc w:val="left"/>
      <w:pPr>
        <w:ind w:left="0" w:firstLine="0"/>
      </w:pPr>
    </w:lvl>
    <w:lvl w:ilvl="4" w:tentative="0">
      <w:start w:val="1"/>
      <w:numFmt w:val="decimal"/>
      <w:pStyle w:val="160"/>
      <w:suff w:val="nothing"/>
      <w:lvlText w:val="%1%2.%3.%4.%5　"/>
      <w:lvlJc w:val="left"/>
      <w:pPr>
        <w:ind w:left="0" w:firstLine="0"/>
      </w:pPr>
    </w:lvl>
    <w:lvl w:ilvl="5" w:tentative="0">
      <w:start w:val="1"/>
      <w:numFmt w:val="decimal"/>
      <w:pStyle w:val="162"/>
      <w:suff w:val="nothing"/>
      <w:lvlText w:val="%1%2.%3.%4.%5.%6　"/>
      <w:lvlJc w:val="left"/>
      <w:pPr>
        <w:ind w:left="0" w:firstLine="0"/>
      </w:pPr>
    </w:lvl>
    <w:lvl w:ilvl="6" w:tentative="0">
      <w:start w:val="1"/>
      <w:numFmt w:val="decimal"/>
      <w:pStyle w:val="165"/>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7"/>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6"/>
      <w:lvlText w:val="%1"/>
      <w:lvlJc w:val="left"/>
      <w:pPr>
        <w:ind w:left="425" w:hanging="425"/>
      </w:pPr>
      <w:rPr>
        <w:rFonts w:hint="eastAsia"/>
      </w:rPr>
    </w:lvl>
    <w:lvl w:ilvl="1" w:tentative="0">
      <w:start w:val="1"/>
      <w:numFmt w:val="decimal"/>
      <w:pStyle w:val="207"/>
      <w:suff w:val="nothing"/>
      <w:lvlText w:val="%10.%2 "/>
      <w:lvlJc w:val="left"/>
      <w:pPr>
        <w:ind w:left="0" w:firstLine="0"/>
      </w:pPr>
      <w:rPr>
        <w:rFonts w:hint="eastAsia" w:ascii="黑体" w:eastAsia="黑体" w:hAnsiTheme="minorHAnsi"/>
        <w:b w:val="0"/>
        <w:i w:val="0"/>
        <w:sz w:val="21"/>
      </w:rPr>
    </w:lvl>
    <w:lvl w:ilvl="2" w:tentative="0">
      <w:start w:val="1"/>
      <w:numFmt w:val="decimal"/>
      <w:pStyle w:val="208"/>
      <w:suff w:val="nothing"/>
      <w:lvlText w:val="%10.%2.%3 "/>
      <w:lvlJc w:val="left"/>
      <w:pPr>
        <w:ind w:left="0" w:firstLine="0"/>
      </w:pPr>
      <w:rPr>
        <w:rFonts w:hint="eastAsia" w:ascii="黑体" w:eastAsia="黑体" w:hAnsiTheme="minorHAnsi"/>
        <w:b w:val="0"/>
        <w:i w:val="0"/>
        <w:sz w:val="21"/>
      </w:rPr>
    </w:lvl>
    <w:lvl w:ilvl="3" w:tentative="0">
      <w:start w:val="1"/>
      <w:numFmt w:val="decimal"/>
      <w:pStyle w:val="209"/>
      <w:suff w:val="nothing"/>
      <w:lvlText w:val="%10.%2.%3.%4 "/>
      <w:lvlJc w:val="left"/>
      <w:pPr>
        <w:ind w:left="0" w:firstLine="0"/>
      </w:pPr>
      <w:rPr>
        <w:rFonts w:hint="eastAsia" w:ascii="黑体" w:eastAsia="黑体" w:hAnsiTheme="minorHAnsi"/>
        <w:b w:val="0"/>
        <w:i w:val="0"/>
        <w:sz w:val="21"/>
      </w:rPr>
    </w:lvl>
    <w:lvl w:ilvl="4" w:tentative="0">
      <w:start w:val="1"/>
      <w:numFmt w:val="decimal"/>
      <w:pStyle w:val="210"/>
      <w:suff w:val="nothing"/>
      <w:lvlText w:val="%10.%2.%3.%4.%5 "/>
      <w:lvlJc w:val="left"/>
      <w:pPr>
        <w:ind w:left="0" w:firstLine="0"/>
      </w:pPr>
      <w:rPr>
        <w:rFonts w:hint="eastAsia" w:ascii="黑体" w:eastAsia="黑体" w:hAnsiTheme="minorHAnsi"/>
        <w:b w:val="0"/>
        <w:i w:val="0"/>
        <w:sz w:val="21"/>
      </w:rPr>
    </w:lvl>
    <w:lvl w:ilvl="5" w:tentative="0">
      <w:start w:val="1"/>
      <w:numFmt w:val="decimal"/>
      <w:pStyle w:val="211"/>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8"/>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4"/>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34C6D13"/>
    <w:multiLevelType w:val="multilevel"/>
    <w:tmpl w:val="134C6D13"/>
    <w:lvl w:ilvl="0" w:tentative="0">
      <w:start w:val="1"/>
      <w:numFmt w:val="lowerLetter"/>
      <w:lvlText w:val="%1）"/>
      <w:lvlJc w:val="left"/>
      <w:pPr>
        <w:ind w:left="780" w:hanging="360"/>
      </w:pPr>
      <w:rPr>
        <w:rFonts w:hint="default"/>
        <w:b w:val="0"/>
      </w:rPr>
    </w:lvl>
    <w:lvl w:ilvl="1" w:tentative="0">
      <w:start w:val="1"/>
      <w:numFmt w:val="ideographTraditional"/>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ideographTraditional"/>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ideographTraditional"/>
      <w:lvlText w:val="%8、"/>
      <w:lvlJc w:val="left"/>
      <w:pPr>
        <w:ind w:left="4260" w:hanging="480"/>
      </w:pPr>
    </w:lvl>
    <w:lvl w:ilvl="8" w:tentative="0">
      <w:start w:val="1"/>
      <w:numFmt w:val="lowerRoman"/>
      <w:lvlText w:val="%9."/>
      <w:lvlJc w:val="right"/>
      <w:pPr>
        <w:ind w:left="4740" w:hanging="480"/>
      </w:pPr>
    </w:lvl>
  </w:abstractNum>
  <w:abstractNum w:abstractNumId="9">
    <w:nsid w:val="1AD20F90"/>
    <w:multiLevelType w:val="multilevel"/>
    <w:tmpl w:val="1AD20F90"/>
    <w:lvl w:ilvl="0" w:tentative="0">
      <w:start w:val="1"/>
      <w:numFmt w:val="none"/>
      <w:pStyle w:val="117"/>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92"/>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9"/>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C5917C3"/>
    <w:multiLevelType w:val="multilevel"/>
    <w:tmpl w:val="2C5917C3"/>
    <w:lvl w:ilvl="0" w:tentative="0">
      <w:start w:val="1"/>
      <w:numFmt w:val="none"/>
      <w:pStyle w:val="240"/>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4"/>
      <w:lvlText w:val=""/>
      <w:lvlJc w:val="left"/>
      <w:pPr>
        <w:ind w:left="851" w:hanging="431"/>
      </w:pPr>
      <w:rPr>
        <w:rFonts w:hint="default" w:ascii="Symbol" w:hAnsi="Symbol"/>
        <w:sz w:val="21"/>
      </w:rPr>
    </w:lvl>
    <w:lvl w:ilvl="2" w:tentative="0">
      <w:start w:val="1"/>
      <w:numFmt w:val="bullet"/>
      <w:pStyle w:val="179"/>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239"/>
      <w:lvlText w:val="%1)"/>
      <w:lvlJc w:val="left"/>
      <w:pPr>
        <w:tabs>
          <w:tab w:val="left" w:pos="851"/>
        </w:tabs>
        <w:ind w:left="851" w:hanging="426"/>
      </w:pPr>
      <w:rPr>
        <w:rFonts w:hint="eastAsia" w:ascii="宋体" w:hAnsi="Times New Roman" w:eastAsia="宋体"/>
        <w:sz w:val="21"/>
      </w:rPr>
    </w:lvl>
    <w:lvl w:ilvl="1" w:tentative="0">
      <w:start w:val="1"/>
      <w:numFmt w:val="decimal"/>
      <w:pStyle w:val="116"/>
      <w:lvlText w:val="%2)"/>
      <w:lvlJc w:val="left"/>
      <w:pPr>
        <w:tabs>
          <w:tab w:val="left" w:pos="1276"/>
        </w:tabs>
        <w:ind w:left="1276" w:hanging="425"/>
      </w:pPr>
      <w:rPr>
        <w:rFonts w:hint="eastAsia" w:ascii="宋体" w:hAnsi="Times New Roman" w:eastAsia="宋体"/>
        <w:sz w:val="21"/>
      </w:rPr>
    </w:lvl>
    <w:lvl w:ilvl="2" w:tentative="0">
      <w:start w:val="1"/>
      <w:numFmt w:val="decimal"/>
      <w:pStyle w:val="124"/>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58C4740"/>
    <w:multiLevelType w:val="multilevel"/>
    <w:tmpl w:val="458C4740"/>
    <w:lvl w:ilvl="0" w:tentative="0">
      <w:start w:val="1"/>
      <w:numFmt w:val="lowerLetter"/>
      <w:lvlText w:val="%1）"/>
      <w:lvlJc w:val="left"/>
      <w:pPr>
        <w:ind w:left="780" w:hanging="360"/>
      </w:pPr>
      <w:rPr>
        <w:rFonts w:hint="default"/>
        <w:b w:val="0"/>
      </w:rPr>
    </w:lvl>
    <w:lvl w:ilvl="1" w:tentative="0">
      <w:start w:val="1"/>
      <w:numFmt w:val="ideographTraditional"/>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ideographTraditional"/>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ideographTraditional"/>
      <w:lvlText w:val="%8、"/>
      <w:lvlJc w:val="left"/>
      <w:pPr>
        <w:ind w:left="4260" w:hanging="480"/>
      </w:pPr>
    </w:lvl>
    <w:lvl w:ilvl="8" w:tentative="0">
      <w:start w:val="1"/>
      <w:numFmt w:val="lowerRoman"/>
      <w:lvlText w:val="%9."/>
      <w:lvlJc w:val="right"/>
      <w:pPr>
        <w:ind w:left="4740" w:hanging="480"/>
      </w:pPr>
    </w:lvl>
  </w:abstractNum>
  <w:abstractNum w:abstractNumId="17">
    <w:nsid w:val="48802D1C"/>
    <w:multiLevelType w:val="multilevel"/>
    <w:tmpl w:val="48802D1C"/>
    <w:lvl w:ilvl="0" w:tentative="0">
      <w:start w:val="1"/>
      <w:numFmt w:val="upperLetter"/>
      <w:pStyle w:val="205"/>
      <w:lvlText w:val="%1"/>
      <w:lvlJc w:val="left"/>
      <w:pPr>
        <w:ind w:left="420" w:hanging="420"/>
      </w:pPr>
      <w:rPr>
        <w:rFonts w:hint="eastAsia"/>
      </w:rPr>
    </w:lvl>
    <w:lvl w:ilvl="1" w:tentative="0">
      <w:start w:val="1"/>
      <w:numFmt w:val="decimal"/>
      <w:pStyle w:val="90"/>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90"/>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23"/>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09C4896"/>
    <w:multiLevelType w:val="multilevel"/>
    <w:tmpl w:val="509C4896"/>
    <w:lvl w:ilvl="0" w:tentative="0">
      <w:start w:val="1"/>
      <w:numFmt w:val="lowerLetter"/>
      <w:lvlText w:val="%1）"/>
      <w:lvlJc w:val="left"/>
      <w:pPr>
        <w:ind w:left="780" w:hanging="360"/>
      </w:pPr>
      <w:rPr>
        <w:rFonts w:hint="default"/>
        <w:b w:val="0"/>
      </w:rPr>
    </w:lvl>
    <w:lvl w:ilvl="1" w:tentative="0">
      <w:start w:val="1"/>
      <w:numFmt w:val="ideographTraditional"/>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ideographTraditional"/>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ideographTraditional"/>
      <w:lvlText w:val="%8、"/>
      <w:lvlJc w:val="left"/>
      <w:pPr>
        <w:ind w:left="4260" w:hanging="480"/>
      </w:pPr>
    </w:lvl>
    <w:lvl w:ilvl="8" w:tentative="0">
      <w:start w:val="1"/>
      <w:numFmt w:val="lowerRoman"/>
      <w:lvlText w:val="%9."/>
      <w:lvlJc w:val="right"/>
      <w:pPr>
        <w:ind w:left="4740" w:hanging="480"/>
      </w:pPr>
    </w:lvl>
  </w:abstractNum>
  <w:abstractNum w:abstractNumId="21">
    <w:nsid w:val="54632751"/>
    <w:multiLevelType w:val="multilevel"/>
    <w:tmpl w:val="54632751"/>
    <w:lvl w:ilvl="0" w:tentative="0">
      <w:start w:val="1"/>
      <w:numFmt w:val="none"/>
      <w:pStyle w:val="100"/>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4837920"/>
    <w:multiLevelType w:val="multilevel"/>
    <w:tmpl w:val="54837920"/>
    <w:lvl w:ilvl="0" w:tentative="0">
      <w:start w:val="1"/>
      <w:numFmt w:val="lowerLetter"/>
      <w:lvlText w:val="%1）"/>
      <w:lvlJc w:val="left"/>
      <w:pPr>
        <w:ind w:left="780" w:hanging="360"/>
      </w:pPr>
      <w:rPr>
        <w:rFonts w:hint="default"/>
        <w:b w:val="0"/>
      </w:rPr>
    </w:lvl>
    <w:lvl w:ilvl="1" w:tentative="0">
      <w:start w:val="1"/>
      <w:numFmt w:val="ideographTraditional"/>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ideographTraditional"/>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ideographTraditional"/>
      <w:lvlText w:val="%8、"/>
      <w:lvlJc w:val="left"/>
      <w:pPr>
        <w:ind w:left="4260" w:hanging="480"/>
      </w:pPr>
    </w:lvl>
    <w:lvl w:ilvl="8" w:tentative="0">
      <w:start w:val="1"/>
      <w:numFmt w:val="lowerRoman"/>
      <w:lvlText w:val="%9."/>
      <w:lvlJc w:val="right"/>
      <w:pPr>
        <w:ind w:left="4740" w:hanging="480"/>
      </w:pPr>
    </w:lvl>
  </w:abstractNum>
  <w:abstractNum w:abstractNumId="23">
    <w:nsid w:val="557C2AF5"/>
    <w:multiLevelType w:val="multilevel"/>
    <w:tmpl w:val="557C2AF5"/>
    <w:lvl w:ilvl="0" w:tentative="0">
      <w:start w:val="1"/>
      <w:numFmt w:val="decimal"/>
      <w:pStyle w:val="121"/>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603797C"/>
    <w:multiLevelType w:val="multilevel"/>
    <w:tmpl w:val="5603797C"/>
    <w:lvl w:ilvl="0" w:tentative="0">
      <w:start w:val="1"/>
      <w:numFmt w:val="upperLetter"/>
      <w:pStyle w:val="206"/>
      <w:suff w:val="space"/>
      <w:lvlText w:val="%1"/>
      <w:lvlJc w:val="left"/>
      <w:pPr>
        <w:ind w:left="425" w:hanging="425"/>
      </w:pPr>
      <w:rPr>
        <w:rFonts w:hint="eastAsia"/>
      </w:rPr>
    </w:lvl>
    <w:lvl w:ilvl="1" w:tentative="0">
      <w:start w:val="1"/>
      <w:numFmt w:val="decimal"/>
      <w:pStyle w:val="84"/>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4D2089"/>
    <w:multiLevelType w:val="multilevel"/>
    <w:tmpl w:val="564D2089"/>
    <w:lvl w:ilvl="0" w:tentative="0">
      <w:start w:val="1"/>
      <w:numFmt w:val="none"/>
      <w:pStyle w:val="118"/>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4622F9"/>
    <w:multiLevelType w:val="multilevel"/>
    <w:tmpl w:val="644622F9"/>
    <w:lvl w:ilvl="0" w:tentative="0">
      <w:start w:val="1"/>
      <w:numFmt w:val="upp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1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96"/>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83"/>
      <w:suff w:val="nothing"/>
      <w:lvlText w:val="附录%1"/>
      <w:lvlJc w:val="left"/>
      <w:pPr>
        <w:ind w:left="0" w:firstLine="0"/>
      </w:pPr>
      <w:rPr>
        <w:rFonts w:hint="eastAsia"/>
        <w:spacing w:val="100"/>
      </w:rPr>
    </w:lvl>
    <w:lvl w:ilvl="1" w:tentative="0">
      <w:start w:val="1"/>
      <w:numFmt w:val="decimal"/>
      <w:pStyle w:val="85"/>
      <w:suff w:val="nothing"/>
      <w:lvlText w:val="%1.%2　"/>
      <w:lvlJc w:val="left"/>
      <w:pPr>
        <w:ind w:left="0" w:firstLine="0"/>
      </w:pPr>
      <w:rPr>
        <w:rFonts w:hint="eastAsia" w:ascii="黑体" w:eastAsia="黑体"/>
        <w:b w:val="0"/>
        <w:i w:val="0"/>
        <w:sz w:val="21"/>
      </w:rPr>
    </w:lvl>
    <w:lvl w:ilvl="2" w:tentative="0">
      <w:start w:val="1"/>
      <w:numFmt w:val="decimal"/>
      <w:pStyle w:val="86"/>
      <w:suff w:val="nothing"/>
      <w:lvlText w:val="%1.%2.%3　"/>
      <w:lvlJc w:val="left"/>
      <w:pPr>
        <w:ind w:left="0" w:firstLine="0"/>
      </w:pPr>
      <w:rPr>
        <w:rFonts w:hint="eastAsia" w:ascii="黑体" w:eastAsia="黑体"/>
        <w:b w:val="0"/>
        <w:i w:val="0"/>
        <w:sz w:val="21"/>
      </w:rPr>
    </w:lvl>
    <w:lvl w:ilvl="3" w:tentative="0">
      <w:start w:val="1"/>
      <w:numFmt w:val="decimal"/>
      <w:pStyle w:val="88"/>
      <w:suff w:val="nothing"/>
      <w:lvlText w:val="%1.%2.%3.%4　"/>
      <w:lvlJc w:val="left"/>
      <w:pPr>
        <w:ind w:left="0" w:firstLine="0"/>
      </w:pPr>
      <w:rPr>
        <w:rFonts w:hint="eastAsia" w:ascii="黑体" w:eastAsia="黑体"/>
        <w:b w:val="0"/>
        <w:i w:val="0"/>
        <w:sz w:val="21"/>
      </w:rPr>
    </w:lvl>
    <w:lvl w:ilvl="4" w:tentative="0">
      <w:start w:val="1"/>
      <w:numFmt w:val="decimal"/>
      <w:pStyle w:val="89"/>
      <w:suff w:val="nothing"/>
      <w:lvlText w:val="%1.%2.%3.%4.%5　"/>
      <w:lvlJc w:val="left"/>
      <w:pPr>
        <w:ind w:left="0" w:firstLine="0"/>
      </w:pPr>
      <w:rPr>
        <w:rFonts w:hint="eastAsia" w:ascii="黑体" w:eastAsia="黑体"/>
        <w:b w:val="0"/>
        <w:i w:val="0"/>
        <w:sz w:val="21"/>
      </w:rPr>
    </w:lvl>
    <w:lvl w:ilvl="5" w:tentative="0">
      <w:start w:val="1"/>
      <w:numFmt w:val="decimal"/>
      <w:pStyle w:val="91"/>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9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10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8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pStyle w:val="159"/>
      <w:suff w:val="nothing"/>
      <w:lvlText w:val="%1"/>
      <w:lvlJc w:val="left"/>
      <w:pPr>
        <w:ind w:left="0" w:firstLine="0"/>
      </w:pPr>
      <w:rPr>
        <w:rFonts w:hint="eastAsia"/>
      </w:rPr>
    </w:lvl>
    <w:lvl w:ilvl="1" w:tentative="0">
      <w:start w:val="1"/>
      <w:numFmt w:val="decimal"/>
      <w:pStyle w:val="111"/>
      <w:suff w:val="nothing"/>
      <w:lvlText w:val="%1%2　"/>
      <w:lvlJc w:val="left"/>
      <w:pPr>
        <w:ind w:left="0" w:firstLine="0"/>
      </w:pPr>
      <w:rPr>
        <w:rFonts w:hint="eastAsia" w:ascii="黑体" w:eastAsia="黑体"/>
        <w:b w:val="0"/>
        <w:i w:val="0"/>
        <w:sz w:val="21"/>
      </w:rPr>
    </w:lvl>
    <w:lvl w:ilvl="2" w:tentative="0">
      <w:start w:val="1"/>
      <w:numFmt w:val="decimal"/>
      <w:pStyle w:val="11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2"/>
      <w:suff w:val="nothing"/>
      <w:lvlText w:val="%1%2.%3.%4　"/>
      <w:lvlJc w:val="left"/>
      <w:pPr>
        <w:ind w:left="0" w:firstLine="0"/>
      </w:pPr>
      <w:rPr>
        <w:rFonts w:hint="eastAsia" w:ascii="黑体" w:eastAsia="黑体"/>
        <w:b w:val="0"/>
        <w:i w:val="0"/>
        <w:sz w:val="21"/>
      </w:rPr>
    </w:lvl>
    <w:lvl w:ilvl="4" w:tentative="0">
      <w:start w:val="1"/>
      <w:numFmt w:val="decimal"/>
      <w:pStyle w:val="101"/>
      <w:suff w:val="nothing"/>
      <w:lvlText w:val="%1%2.%3.%4.%5　"/>
      <w:lvlJc w:val="left"/>
      <w:pPr>
        <w:ind w:left="0" w:firstLine="0"/>
      </w:pPr>
      <w:rPr>
        <w:rFonts w:hint="eastAsia" w:ascii="黑体" w:eastAsia="黑体"/>
        <w:b w:val="0"/>
        <w:i w:val="0"/>
        <w:sz w:val="21"/>
      </w:rPr>
    </w:lvl>
    <w:lvl w:ilvl="5" w:tentative="0">
      <w:start w:val="1"/>
      <w:numFmt w:val="decimal"/>
      <w:pStyle w:val="105"/>
      <w:suff w:val="nothing"/>
      <w:lvlText w:val="%1%2.%3.%4.%5.%6　"/>
      <w:lvlJc w:val="left"/>
      <w:pPr>
        <w:ind w:left="0" w:firstLine="0"/>
      </w:pPr>
      <w:rPr>
        <w:rFonts w:hint="eastAsia" w:ascii="黑体" w:eastAsia="黑体"/>
        <w:b w:val="0"/>
        <w:i w:val="0"/>
        <w:sz w:val="21"/>
      </w:rPr>
    </w:lvl>
    <w:lvl w:ilvl="6" w:tentative="0">
      <w:start w:val="1"/>
      <w:numFmt w:val="decimal"/>
      <w:pStyle w:val="110"/>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186"/>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2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09D111D"/>
    <w:multiLevelType w:val="multilevel"/>
    <w:tmpl w:val="709D111D"/>
    <w:lvl w:ilvl="0" w:tentative="0">
      <w:start w:val="1"/>
      <w:numFmt w:val="lowerLetter"/>
      <w:lvlText w:val="%1）"/>
      <w:lvlJc w:val="left"/>
      <w:pPr>
        <w:ind w:left="780" w:hanging="360"/>
      </w:pPr>
      <w:rPr>
        <w:rFonts w:hint="default"/>
        <w:b w:val="0"/>
      </w:rPr>
    </w:lvl>
    <w:lvl w:ilvl="1" w:tentative="0">
      <w:start w:val="1"/>
      <w:numFmt w:val="ideographTraditional"/>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ideographTraditional"/>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ideographTraditional"/>
      <w:lvlText w:val="%8、"/>
      <w:lvlJc w:val="left"/>
      <w:pPr>
        <w:ind w:left="4260" w:hanging="480"/>
      </w:pPr>
    </w:lvl>
    <w:lvl w:ilvl="8" w:tentative="0">
      <w:start w:val="1"/>
      <w:numFmt w:val="lowerRoman"/>
      <w:lvlText w:val="%9."/>
      <w:lvlJc w:val="right"/>
      <w:pPr>
        <w:ind w:left="4740" w:hanging="480"/>
      </w:pPr>
    </w:lvl>
  </w:abstractNum>
  <w:abstractNum w:abstractNumId="37">
    <w:nsid w:val="76933334"/>
    <w:multiLevelType w:val="multilevel"/>
    <w:tmpl w:val="76933334"/>
    <w:lvl w:ilvl="0" w:tentative="0">
      <w:start w:val="1"/>
      <w:numFmt w:val="none"/>
      <w:pStyle w:val="146"/>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3"/>
  </w:num>
  <w:num w:numId="3">
    <w:abstractNumId w:val="6"/>
  </w:num>
  <w:num w:numId="4">
    <w:abstractNumId w:val="29"/>
  </w:num>
  <w:num w:numId="5">
    <w:abstractNumId w:val="24"/>
  </w:num>
  <w:num w:numId="6">
    <w:abstractNumId w:val="17"/>
  </w:num>
  <w:num w:numId="7">
    <w:abstractNumId w:val="10"/>
  </w:num>
  <w:num w:numId="8">
    <w:abstractNumId w:val="4"/>
  </w:num>
  <w:num w:numId="9">
    <w:abstractNumId w:val="11"/>
  </w:num>
  <w:num w:numId="10">
    <w:abstractNumId w:val="21"/>
  </w:num>
  <w:num w:numId="11">
    <w:abstractNumId w:val="31"/>
  </w:num>
  <w:num w:numId="12">
    <w:abstractNumId w:val="14"/>
  </w:num>
  <w:num w:numId="13">
    <w:abstractNumId w:val="15"/>
  </w:num>
  <w:num w:numId="14">
    <w:abstractNumId w:val="9"/>
  </w:num>
  <w:num w:numId="15">
    <w:abstractNumId w:val="25"/>
  </w:num>
  <w:num w:numId="16">
    <w:abstractNumId w:val="27"/>
  </w:num>
  <w:num w:numId="17">
    <w:abstractNumId w:val="23"/>
  </w:num>
  <w:num w:numId="18">
    <w:abstractNumId w:val="35"/>
  </w:num>
  <w:num w:numId="19">
    <w:abstractNumId w:val="19"/>
  </w:num>
  <w:num w:numId="20">
    <w:abstractNumId w:val="2"/>
  </w:num>
  <w:num w:numId="21">
    <w:abstractNumId w:val="37"/>
  </w:num>
  <w:num w:numId="22">
    <w:abstractNumId w:val="26"/>
  </w:num>
  <w:num w:numId="23">
    <w:abstractNumId w:val="7"/>
  </w:num>
  <w:num w:numId="24">
    <w:abstractNumId w:val="13"/>
  </w:num>
  <w:num w:numId="25">
    <w:abstractNumId w:val="32"/>
  </w:num>
  <w:num w:numId="26">
    <w:abstractNumId w:val="34"/>
  </w:num>
  <w:num w:numId="27">
    <w:abstractNumId w:val="3"/>
  </w:num>
  <w:num w:numId="28">
    <w:abstractNumId w:val="5"/>
  </w:num>
  <w:num w:numId="29">
    <w:abstractNumId w:val="18"/>
  </w:num>
  <w:num w:numId="30">
    <w:abstractNumId w:val="30"/>
  </w:num>
  <w:num w:numId="31">
    <w:abstractNumId w:val="28"/>
  </w:num>
  <w:num w:numId="32">
    <w:abstractNumId w:val="12"/>
  </w:num>
  <w:num w:numId="33">
    <w:abstractNumId w:val="0"/>
  </w:num>
  <w:num w:numId="34">
    <w:abstractNumId w:val="16"/>
  </w:num>
  <w:num w:numId="35">
    <w:abstractNumId w:val="20"/>
  </w:num>
  <w:num w:numId="36">
    <w:abstractNumId w:val="8"/>
  </w:num>
  <w:num w:numId="37">
    <w:abstractNumId w:val="36"/>
  </w:num>
  <w:num w:numId="38">
    <w:abstractNumId w:val="22"/>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attachedTemplate r:id="rId1"/>
  <w:documentProtection w:edit="forms" w:enforcement="1" w:cryptProviderType="rsaFull" w:cryptAlgorithmClass="hash" w:cryptAlgorithmType="typeAny" w:cryptAlgorithmSid="4" w:cryptSpinCount="100000" w:hash="thM2Qp0bF8f8c1qpDWYflPeDCzE=" w:salt="bIcquggsSCmq0oUlZESlxg=="/>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8D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3D06"/>
    <w:rsid w:val="000249DB"/>
    <w:rsid w:val="0002595E"/>
    <w:rsid w:val="000303C3"/>
    <w:rsid w:val="000331D3"/>
    <w:rsid w:val="000346A5"/>
    <w:rsid w:val="000359C3"/>
    <w:rsid w:val="00035A7D"/>
    <w:rsid w:val="000365ED"/>
    <w:rsid w:val="00037F56"/>
    <w:rsid w:val="0004249A"/>
    <w:rsid w:val="0004317A"/>
    <w:rsid w:val="00043282"/>
    <w:rsid w:val="00044286"/>
    <w:rsid w:val="00047F28"/>
    <w:rsid w:val="000503AA"/>
    <w:rsid w:val="00050429"/>
    <w:rsid w:val="000506A1"/>
    <w:rsid w:val="000515DD"/>
    <w:rsid w:val="0005265A"/>
    <w:rsid w:val="0005277D"/>
    <w:rsid w:val="0005395F"/>
    <w:rsid w:val="000539DD"/>
    <w:rsid w:val="00053BD3"/>
    <w:rsid w:val="000556ED"/>
    <w:rsid w:val="00055FE2"/>
    <w:rsid w:val="0005616F"/>
    <w:rsid w:val="00060C2E"/>
    <w:rsid w:val="00061033"/>
    <w:rsid w:val="000619E9"/>
    <w:rsid w:val="000622D4"/>
    <w:rsid w:val="0006357D"/>
    <w:rsid w:val="00067F1E"/>
    <w:rsid w:val="00071CC0"/>
    <w:rsid w:val="00073C8C"/>
    <w:rsid w:val="0007439D"/>
    <w:rsid w:val="00077B64"/>
    <w:rsid w:val="00080A1C"/>
    <w:rsid w:val="00082317"/>
    <w:rsid w:val="00082942"/>
    <w:rsid w:val="0008336C"/>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005"/>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B5E"/>
    <w:rsid w:val="000E4C9E"/>
    <w:rsid w:val="000E6FD7"/>
    <w:rsid w:val="000F06E1"/>
    <w:rsid w:val="000F0E3C"/>
    <w:rsid w:val="000F19D5"/>
    <w:rsid w:val="000F4AEA"/>
    <w:rsid w:val="000F67E9"/>
    <w:rsid w:val="00104926"/>
    <w:rsid w:val="00107365"/>
    <w:rsid w:val="00113B1E"/>
    <w:rsid w:val="0011711C"/>
    <w:rsid w:val="00124E4F"/>
    <w:rsid w:val="001260B7"/>
    <w:rsid w:val="001265CB"/>
    <w:rsid w:val="00131420"/>
    <w:rsid w:val="001321C6"/>
    <w:rsid w:val="001325C4"/>
    <w:rsid w:val="00133010"/>
    <w:rsid w:val="001338EE"/>
    <w:rsid w:val="00133AAE"/>
    <w:rsid w:val="00134129"/>
    <w:rsid w:val="00135323"/>
    <w:rsid w:val="001356C4"/>
    <w:rsid w:val="00137D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13A"/>
    <w:rsid w:val="0017340B"/>
    <w:rsid w:val="00173FB1"/>
    <w:rsid w:val="00174AC9"/>
    <w:rsid w:val="00176DFD"/>
    <w:rsid w:val="001852C9"/>
    <w:rsid w:val="00190087"/>
    <w:rsid w:val="001913C4"/>
    <w:rsid w:val="0019348F"/>
    <w:rsid w:val="00193A07"/>
    <w:rsid w:val="00194C95"/>
    <w:rsid w:val="00195C34"/>
    <w:rsid w:val="00196EF5"/>
    <w:rsid w:val="001A1A53"/>
    <w:rsid w:val="001A234A"/>
    <w:rsid w:val="001A4CF3"/>
    <w:rsid w:val="001A62C9"/>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5E8"/>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499D"/>
    <w:rsid w:val="002204BB"/>
    <w:rsid w:val="00221B79"/>
    <w:rsid w:val="00221C6B"/>
    <w:rsid w:val="002253A1"/>
    <w:rsid w:val="00225CF8"/>
    <w:rsid w:val="0022794E"/>
    <w:rsid w:val="00233D64"/>
    <w:rsid w:val="0023482A"/>
    <w:rsid w:val="002359CB"/>
    <w:rsid w:val="002414C4"/>
    <w:rsid w:val="00243540"/>
    <w:rsid w:val="0024449B"/>
    <w:rsid w:val="0024497B"/>
    <w:rsid w:val="0024515B"/>
    <w:rsid w:val="00246021"/>
    <w:rsid w:val="0024666E"/>
    <w:rsid w:val="00247F52"/>
    <w:rsid w:val="00250B25"/>
    <w:rsid w:val="00250BBE"/>
    <w:rsid w:val="002515C2"/>
    <w:rsid w:val="0025194F"/>
    <w:rsid w:val="0025247C"/>
    <w:rsid w:val="002548A8"/>
    <w:rsid w:val="0026148A"/>
    <w:rsid w:val="00262696"/>
    <w:rsid w:val="00263D25"/>
    <w:rsid w:val="002643C3"/>
    <w:rsid w:val="00264A0C"/>
    <w:rsid w:val="00266EEB"/>
    <w:rsid w:val="00267404"/>
    <w:rsid w:val="00267EF4"/>
    <w:rsid w:val="00270CB8"/>
    <w:rsid w:val="00272B08"/>
    <w:rsid w:val="002803B4"/>
    <w:rsid w:val="00281BB8"/>
    <w:rsid w:val="00281E9E"/>
    <w:rsid w:val="00282405"/>
    <w:rsid w:val="00285170"/>
    <w:rsid w:val="00285361"/>
    <w:rsid w:val="0028713B"/>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CB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268"/>
    <w:rsid w:val="002E6326"/>
    <w:rsid w:val="002F30E0"/>
    <w:rsid w:val="002F35E4"/>
    <w:rsid w:val="002F3730"/>
    <w:rsid w:val="002F38E1"/>
    <w:rsid w:val="002F7AF6"/>
    <w:rsid w:val="00300E63"/>
    <w:rsid w:val="00302F5F"/>
    <w:rsid w:val="0030441D"/>
    <w:rsid w:val="00306063"/>
    <w:rsid w:val="00313B85"/>
    <w:rsid w:val="00315375"/>
    <w:rsid w:val="00315FC2"/>
    <w:rsid w:val="00317988"/>
    <w:rsid w:val="003221B4"/>
    <w:rsid w:val="0032258D"/>
    <w:rsid w:val="00322E62"/>
    <w:rsid w:val="00324D13"/>
    <w:rsid w:val="00324EDD"/>
    <w:rsid w:val="003331E4"/>
    <w:rsid w:val="00336C64"/>
    <w:rsid w:val="00337162"/>
    <w:rsid w:val="003417BE"/>
    <w:rsid w:val="0034194F"/>
    <w:rsid w:val="00344605"/>
    <w:rsid w:val="003474AA"/>
    <w:rsid w:val="0034750E"/>
    <w:rsid w:val="00350720"/>
    <w:rsid w:val="00350D1D"/>
    <w:rsid w:val="003528E0"/>
    <w:rsid w:val="00352C83"/>
    <w:rsid w:val="003615D2"/>
    <w:rsid w:val="0036429C"/>
    <w:rsid w:val="00364A53"/>
    <w:rsid w:val="003654CB"/>
    <w:rsid w:val="00365AA9"/>
    <w:rsid w:val="00365F86"/>
    <w:rsid w:val="00365F87"/>
    <w:rsid w:val="00366E89"/>
    <w:rsid w:val="003705F4"/>
    <w:rsid w:val="00370D58"/>
    <w:rsid w:val="00371316"/>
    <w:rsid w:val="00372941"/>
    <w:rsid w:val="0037296F"/>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297"/>
    <w:rsid w:val="00394376"/>
    <w:rsid w:val="003943FF"/>
    <w:rsid w:val="003974EB"/>
    <w:rsid w:val="00397CC5"/>
    <w:rsid w:val="003A1582"/>
    <w:rsid w:val="003A4077"/>
    <w:rsid w:val="003B09AD"/>
    <w:rsid w:val="003B1F18"/>
    <w:rsid w:val="003B5BF0"/>
    <w:rsid w:val="003B60BF"/>
    <w:rsid w:val="003B6865"/>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1A9"/>
    <w:rsid w:val="003F23D3"/>
    <w:rsid w:val="003F2BC6"/>
    <w:rsid w:val="003F3F08"/>
    <w:rsid w:val="003F49F1"/>
    <w:rsid w:val="003F6272"/>
    <w:rsid w:val="00400E72"/>
    <w:rsid w:val="00401400"/>
    <w:rsid w:val="00404869"/>
    <w:rsid w:val="00405884"/>
    <w:rsid w:val="00407D39"/>
    <w:rsid w:val="0041477A"/>
    <w:rsid w:val="004167A3"/>
    <w:rsid w:val="004209BF"/>
    <w:rsid w:val="00432DAA"/>
    <w:rsid w:val="00434305"/>
    <w:rsid w:val="00435DF7"/>
    <w:rsid w:val="0044083F"/>
    <w:rsid w:val="00441AE7"/>
    <w:rsid w:val="00445574"/>
    <w:rsid w:val="004467FB"/>
    <w:rsid w:val="00452D6B"/>
    <w:rsid w:val="00454484"/>
    <w:rsid w:val="0045517B"/>
    <w:rsid w:val="00463AB3"/>
    <w:rsid w:val="00463B77"/>
    <w:rsid w:val="00463C7B"/>
    <w:rsid w:val="004644A6"/>
    <w:rsid w:val="004659BD"/>
    <w:rsid w:val="00470775"/>
    <w:rsid w:val="004746B1"/>
    <w:rsid w:val="0047583F"/>
    <w:rsid w:val="00475DE8"/>
    <w:rsid w:val="00480BB7"/>
    <w:rsid w:val="00481C44"/>
    <w:rsid w:val="00484936"/>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C47"/>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7F3"/>
    <w:rsid w:val="004F2824"/>
    <w:rsid w:val="004F391A"/>
    <w:rsid w:val="004F3CFB"/>
    <w:rsid w:val="004F6456"/>
    <w:rsid w:val="004F696E"/>
    <w:rsid w:val="004F6C71"/>
    <w:rsid w:val="00501139"/>
    <w:rsid w:val="00501CB8"/>
    <w:rsid w:val="0050363E"/>
    <w:rsid w:val="005039BC"/>
    <w:rsid w:val="005043BB"/>
    <w:rsid w:val="00504A3D"/>
    <w:rsid w:val="00505767"/>
    <w:rsid w:val="0050639E"/>
    <w:rsid w:val="005073F0"/>
    <w:rsid w:val="00510A7B"/>
    <w:rsid w:val="00512F6E"/>
    <w:rsid w:val="00513038"/>
    <w:rsid w:val="00514174"/>
    <w:rsid w:val="00516088"/>
    <w:rsid w:val="00516B0B"/>
    <w:rsid w:val="005220EC"/>
    <w:rsid w:val="00523F95"/>
    <w:rsid w:val="00524D65"/>
    <w:rsid w:val="00525B16"/>
    <w:rsid w:val="00532818"/>
    <w:rsid w:val="00533D04"/>
    <w:rsid w:val="0053405C"/>
    <w:rsid w:val="00534804"/>
    <w:rsid w:val="00534BDF"/>
    <w:rsid w:val="005354EA"/>
    <w:rsid w:val="0053585F"/>
    <w:rsid w:val="00535EC4"/>
    <w:rsid w:val="00535ED9"/>
    <w:rsid w:val="0053692B"/>
    <w:rsid w:val="0053753B"/>
    <w:rsid w:val="00541853"/>
    <w:rsid w:val="00543BDA"/>
    <w:rsid w:val="005441CC"/>
    <w:rsid w:val="005479DA"/>
    <w:rsid w:val="00547BCC"/>
    <w:rsid w:val="0055013B"/>
    <w:rsid w:val="00551F6F"/>
    <w:rsid w:val="0055312A"/>
    <w:rsid w:val="00555044"/>
    <w:rsid w:val="00555EA3"/>
    <w:rsid w:val="00561475"/>
    <w:rsid w:val="0056487B"/>
    <w:rsid w:val="00564FB9"/>
    <w:rsid w:val="0056765A"/>
    <w:rsid w:val="00573D9E"/>
    <w:rsid w:val="00574D65"/>
    <w:rsid w:val="005801E3"/>
    <w:rsid w:val="00581802"/>
    <w:rsid w:val="00582E92"/>
    <w:rsid w:val="00582FB3"/>
    <w:rsid w:val="005836A8"/>
    <w:rsid w:val="0058409C"/>
    <w:rsid w:val="00584262"/>
    <w:rsid w:val="00586630"/>
    <w:rsid w:val="00587ADD"/>
    <w:rsid w:val="00596160"/>
    <w:rsid w:val="005966E2"/>
    <w:rsid w:val="00596AF6"/>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430"/>
    <w:rsid w:val="005C29B8"/>
    <w:rsid w:val="005C5F21"/>
    <w:rsid w:val="005C6168"/>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7EB8"/>
    <w:rsid w:val="006015CE"/>
    <w:rsid w:val="00604784"/>
    <w:rsid w:val="00606419"/>
    <w:rsid w:val="00607D29"/>
    <w:rsid w:val="00612952"/>
    <w:rsid w:val="00613D4A"/>
    <w:rsid w:val="00614CC1"/>
    <w:rsid w:val="00615A9D"/>
    <w:rsid w:val="00617387"/>
    <w:rsid w:val="006205D6"/>
    <w:rsid w:val="006252D8"/>
    <w:rsid w:val="006259BC"/>
    <w:rsid w:val="0062636B"/>
    <w:rsid w:val="00632182"/>
    <w:rsid w:val="00632AE0"/>
    <w:rsid w:val="006333B0"/>
    <w:rsid w:val="00633C17"/>
    <w:rsid w:val="00634D9E"/>
    <w:rsid w:val="00636E3E"/>
    <w:rsid w:val="006379F7"/>
    <w:rsid w:val="00637E4D"/>
    <w:rsid w:val="0064027C"/>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47C"/>
    <w:rsid w:val="00672060"/>
    <w:rsid w:val="00672AD4"/>
    <w:rsid w:val="00672BFD"/>
    <w:rsid w:val="006748A5"/>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7CCE"/>
    <w:rsid w:val="006B2672"/>
    <w:rsid w:val="006B54BF"/>
    <w:rsid w:val="006B5F44"/>
    <w:rsid w:val="006B5F90"/>
    <w:rsid w:val="006B62E4"/>
    <w:rsid w:val="006C1BBA"/>
    <w:rsid w:val="006C2079"/>
    <w:rsid w:val="006C5A62"/>
    <w:rsid w:val="006C5D68"/>
    <w:rsid w:val="006C6976"/>
    <w:rsid w:val="006C6DD0"/>
    <w:rsid w:val="006D04EA"/>
    <w:rsid w:val="006D0DEC"/>
    <w:rsid w:val="006D16C4"/>
    <w:rsid w:val="006D3E96"/>
    <w:rsid w:val="006D4515"/>
    <w:rsid w:val="006D4BB1"/>
    <w:rsid w:val="006D58D1"/>
    <w:rsid w:val="006D6593"/>
    <w:rsid w:val="006E0930"/>
    <w:rsid w:val="006F03A8"/>
    <w:rsid w:val="006F2ACA"/>
    <w:rsid w:val="006F2ADC"/>
    <w:rsid w:val="006F2BFE"/>
    <w:rsid w:val="006F31E9"/>
    <w:rsid w:val="006F6284"/>
    <w:rsid w:val="006F71A0"/>
    <w:rsid w:val="007002C5"/>
    <w:rsid w:val="00704387"/>
    <w:rsid w:val="00707669"/>
    <w:rsid w:val="00707960"/>
    <w:rsid w:val="00710808"/>
    <w:rsid w:val="00711CBA"/>
    <w:rsid w:val="00711FB5"/>
    <w:rsid w:val="00712A01"/>
    <w:rsid w:val="00714F58"/>
    <w:rsid w:val="0071590E"/>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0AD"/>
    <w:rsid w:val="007501A8"/>
    <w:rsid w:val="00750D61"/>
    <w:rsid w:val="00750EE1"/>
    <w:rsid w:val="00752B4D"/>
    <w:rsid w:val="00755402"/>
    <w:rsid w:val="00756B26"/>
    <w:rsid w:val="00756EDF"/>
    <w:rsid w:val="007600E3"/>
    <w:rsid w:val="00760D70"/>
    <w:rsid w:val="00762488"/>
    <w:rsid w:val="00765C43"/>
    <w:rsid w:val="00765EFB"/>
    <w:rsid w:val="007671CA"/>
    <w:rsid w:val="00767C61"/>
    <w:rsid w:val="0077008A"/>
    <w:rsid w:val="00772CA5"/>
    <w:rsid w:val="00773C1F"/>
    <w:rsid w:val="00774DA4"/>
    <w:rsid w:val="00776599"/>
    <w:rsid w:val="0078114B"/>
    <w:rsid w:val="00781DD2"/>
    <w:rsid w:val="00782158"/>
    <w:rsid w:val="00783ECF"/>
    <w:rsid w:val="0078413A"/>
    <w:rsid w:val="007959E8"/>
    <w:rsid w:val="00795E9C"/>
    <w:rsid w:val="007A0521"/>
    <w:rsid w:val="007A1C2B"/>
    <w:rsid w:val="007A2E12"/>
    <w:rsid w:val="007A3475"/>
    <w:rsid w:val="007A41C8"/>
    <w:rsid w:val="007A54CE"/>
    <w:rsid w:val="007A6FD9"/>
    <w:rsid w:val="007A7FFA"/>
    <w:rsid w:val="007B04EB"/>
    <w:rsid w:val="007B0D4F"/>
    <w:rsid w:val="007B4D2E"/>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157"/>
    <w:rsid w:val="0085173A"/>
    <w:rsid w:val="00853BB2"/>
    <w:rsid w:val="00853CD1"/>
    <w:rsid w:val="008603CE"/>
    <w:rsid w:val="008620FC"/>
    <w:rsid w:val="008627A5"/>
    <w:rsid w:val="00863E05"/>
    <w:rsid w:val="00865ACA"/>
    <w:rsid w:val="00865D28"/>
    <w:rsid w:val="00865F85"/>
    <w:rsid w:val="00867C10"/>
    <w:rsid w:val="00870439"/>
    <w:rsid w:val="00870DA1"/>
    <w:rsid w:val="00876EFA"/>
    <w:rsid w:val="008815CD"/>
    <w:rsid w:val="00883F93"/>
    <w:rsid w:val="00884DB3"/>
    <w:rsid w:val="00885149"/>
    <w:rsid w:val="00885907"/>
    <w:rsid w:val="00885A9D"/>
    <w:rsid w:val="008864F6"/>
    <w:rsid w:val="0089049D"/>
    <w:rsid w:val="008928C9"/>
    <w:rsid w:val="008930CB"/>
    <w:rsid w:val="008938DC"/>
    <w:rsid w:val="00893FD1"/>
    <w:rsid w:val="00894836"/>
    <w:rsid w:val="00895172"/>
    <w:rsid w:val="00895680"/>
    <w:rsid w:val="00896DFF"/>
    <w:rsid w:val="0089762C"/>
    <w:rsid w:val="008A1893"/>
    <w:rsid w:val="008A537E"/>
    <w:rsid w:val="008A57E6"/>
    <w:rsid w:val="008A6F81"/>
    <w:rsid w:val="008A769A"/>
    <w:rsid w:val="008B0C9C"/>
    <w:rsid w:val="008B166D"/>
    <w:rsid w:val="008B17F4"/>
    <w:rsid w:val="008B3615"/>
    <w:rsid w:val="008B4AC4"/>
    <w:rsid w:val="008B50C8"/>
    <w:rsid w:val="008B5281"/>
    <w:rsid w:val="008B7B6F"/>
    <w:rsid w:val="008B7E05"/>
    <w:rsid w:val="008C1797"/>
    <w:rsid w:val="008C219C"/>
    <w:rsid w:val="008C475E"/>
    <w:rsid w:val="008C619A"/>
    <w:rsid w:val="008D0CE8"/>
    <w:rsid w:val="008D21D6"/>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99C"/>
    <w:rsid w:val="008E6A84"/>
    <w:rsid w:val="008F0CDC"/>
    <w:rsid w:val="008F17A3"/>
    <w:rsid w:val="008F1ED3"/>
    <w:rsid w:val="008F4C29"/>
    <w:rsid w:val="008F6429"/>
    <w:rsid w:val="008F70BD"/>
    <w:rsid w:val="008F788F"/>
    <w:rsid w:val="008F7EA2"/>
    <w:rsid w:val="00902722"/>
    <w:rsid w:val="009027BC"/>
    <w:rsid w:val="00904B3D"/>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5670D"/>
    <w:rsid w:val="009610DC"/>
    <w:rsid w:val="00961490"/>
    <w:rsid w:val="00962E9C"/>
    <w:rsid w:val="0096381A"/>
    <w:rsid w:val="00965E04"/>
    <w:rsid w:val="009674AD"/>
    <w:rsid w:val="00970CDC"/>
    <w:rsid w:val="0097223C"/>
    <w:rsid w:val="00977010"/>
    <w:rsid w:val="00977D02"/>
    <w:rsid w:val="009809BB"/>
    <w:rsid w:val="0098364B"/>
    <w:rsid w:val="009911AF"/>
    <w:rsid w:val="00991875"/>
    <w:rsid w:val="00991F92"/>
    <w:rsid w:val="00992985"/>
    <w:rsid w:val="00993889"/>
    <w:rsid w:val="00995066"/>
    <w:rsid w:val="0099551B"/>
    <w:rsid w:val="00995A5D"/>
    <w:rsid w:val="00997BF1"/>
    <w:rsid w:val="009A089C"/>
    <w:rsid w:val="009A118E"/>
    <w:rsid w:val="009A21CD"/>
    <w:rsid w:val="009A278C"/>
    <w:rsid w:val="009A2BC2"/>
    <w:rsid w:val="009A42C1"/>
    <w:rsid w:val="009A5429"/>
    <w:rsid w:val="009A65D2"/>
    <w:rsid w:val="009A72AD"/>
    <w:rsid w:val="009B09E0"/>
    <w:rsid w:val="009B0BC5"/>
    <w:rsid w:val="009B1247"/>
    <w:rsid w:val="009B6029"/>
    <w:rsid w:val="009B6971"/>
    <w:rsid w:val="009C27F1"/>
    <w:rsid w:val="009C3152"/>
    <w:rsid w:val="009C4CFA"/>
    <w:rsid w:val="009C5070"/>
    <w:rsid w:val="009D0309"/>
    <w:rsid w:val="009D112C"/>
    <w:rsid w:val="009D47FA"/>
    <w:rsid w:val="009D4B16"/>
    <w:rsid w:val="009D4C5B"/>
    <w:rsid w:val="009D50D2"/>
    <w:rsid w:val="009D6BCA"/>
    <w:rsid w:val="009E0F62"/>
    <w:rsid w:val="009E2E35"/>
    <w:rsid w:val="009E4A58"/>
    <w:rsid w:val="009E5A2D"/>
    <w:rsid w:val="009E5AB2"/>
    <w:rsid w:val="009E6219"/>
    <w:rsid w:val="009F03B3"/>
    <w:rsid w:val="009F1A1D"/>
    <w:rsid w:val="009F4C59"/>
    <w:rsid w:val="009F6EFC"/>
    <w:rsid w:val="009F74D7"/>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E9A"/>
    <w:rsid w:val="00A237D5"/>
    <w:rsid w:val="00A30EFC"/>
    <w:rsid w:val="00A31984"/>
    <w:rsid w:val="00A32D73"/>
    <w:rsid w:val="00A3367B"/>
    <w:rsid w:val="00A3597D"/>
    <w:rsid w:val="00A359E8"/>
    <w:rsid w:val="00A36DD1"/>
    <w:rsid w:val="00A4006C"/>
    <w:rsid w:val="00A40091"/>
    <w:rsid w:val="00A4030F"/>
    <w:rsid w:val="00A41C79"/>
    <w:rsid w:val="00A41CB5"/>
    <w:rsid w:val="00A42CDF"/>
    <w:rsid w:val="00A4452E"/>
    <w:rsid w:val="00A4472C"/>
    <w:rsid w:val="00A44E69"/>
    <w:rsid w:val="00A45F6B"/>
    <w:rsid w:val="00A4661E"/>
    <w:rsid w:val="00A55BD6"/>
    <w:rsid w:val="00A55D50"/>
    <w:rsid w:val="00A56CC6"/>
    <w:rsid w:val="00A57142"/>
    <w:rsid w:val="00A648CD"/>
    <w:rsid w:val="00A6537A"/>
    <w:rsid w:val="00A67866"/>
    <w:rsid w:val="00A70B07"/>
    <w:rsid w:val="00A723F8"/>
    <w:rsid w:val="00A77CCB"/>
    <w:rsid w:val="00A83D8D"/>
    <w:rsid w:val="00A83FF4"/>
    <w:rsid w:val="00A8446B"/>
    <w:rsid w:val="00A8473F"/>
    <w:rsid w:val="00A862D6"/>
    <w:rsid w:val="00A8715E"/>
    <w:rsid w:val="00A87AB5"/>
    <w:rsid w:val="00A9295B"/>
    <w:rsid w:val="00A93B09"/>
    <w:rsid w:val="00A952D7"/>
    <w:rsid w:val="00A963F7"/>
    <w:rsid w:val="00A96AD8"/>
    <w:rsid w:val="00AA052C"/>
    <w:rsid w:val="00AA1E45"/>
    <w:rsid w:val="00AA4286"/>
    <w:rsid w:val="00AA456B"/>
    <w:rsid w:val="00AA474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BFF"/>
    <w:rsid w:val="00AE5EB4"/>
    <w:rsid w:val="00AF0C18"/>
    <w:rsid w:val="00AF47C5"/>
    <w:rsid w:val="00AF5398"/>
    <w:rsid w:val="00B049AF"/>
    <w:rsid w:val="00B07242"/>
    <w:rsid w:val="00B10534"/>
    <w:rsid w:val="00B113DB"/>
    <w:rsid w:val="00B11D8A"/>
    <w:rsid w:val="00B12981"/>
    <w:rsid w:val="00B13CC2"/>
    <w:rsid w:val="00B147DD"/>
    <w:rsid w:val="00B156FD"/>
    <w:rsid w:val="00B21F61"/>
    <w:rsid w:val="00B22262"/>
    <w:rsid w:val="00B261F1"/>
    <w:rsid w:val="00B265BC"/>
    <w:rsid w:val="00B31FB1"/>
    <w:rsid w:val="00B33952"/>
    <w:rsid w:val="00B33C5E"/>
    <w:rsid w:val="00B342F4"/>
    <w:rsid w:val="00B34369"/>
    <w:rsid w:val="00B34DC2"/>
    <w:rsid w:val="00B378E5"/>
    <w:rsid w:val="00B408DC"/>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28E"/>
    <w:rsid w:val="00B72880"/>
    <w:rsid w:val="00B72E18"/>
    <w:rsid w:val="00B758BF"/>
    <w:rsid w:val="00B77EC8"/>
    <w:rsid w:val="00B827A6"/>
    <w:rsid w:val="00B831CE"/>
    <w:rsid w:val="00B844E3"/>
    <w:rsid w:val="00B86677"/>
    <w:rsid w:val="00B87131"/>
    <w:rsid w:val="00B939B1"/>
    <w:rsid w:val="00B964A2"/>
    <w:rsid w:val="00B96D40"/>
    <w:rsid w:val="00B97386"/>
    <w:rsid w:val="00BA263B"/>
    <w:rsid w:val="00BA42B2"/>
    <w:rsid w:val="00BA58D4"/>
    <w:rsid w:val="00BA5B9E"/>
    <w:rsid w:val="00BA7C9A"/>
    <w:rsid w:val="00BB0B57"/>
    <w:rsid w:val="00BB43D4"/>
    <w:rsid w:val="00BB5F8F"/>
    <w:rsid w:val="00BB657A"/>
    <w:rsid w:val="00BC1A4E"/>
    <w:rsid w:val="00BC5DC7"/>
    <w:rsid w:val="00BC6B8B"/>
    <w:rsid w:val="00BC73D8"/>
    <w:rsid w:val="00BD52D7"/>
    <w:rsid w:val="00BD5AD2"/>
    <w:rsid w:val="00BE22F3"/>
    <w:rsid w:val="00BE294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4F1"/>
    <w:rsid w:val="00C34C20"/>
    <w:rsid w:val="00C35A3E"/>
    <w:rsid w:val="00C42130"/>
    <w:rsid w:val="00C423A4"/>
    <w:rsid w:val="00C44BF5"/>
    <w:rsid w:val="00C521D6"/>
    <w:rsid w:val="00C52417"/>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536"/>
    <w:rsid w:val="00CD4092"/>
    <w:rsid w:val="00CD4A20"/>
    <w:rsid w:val="00CD50A1"/>
    <w:rsid w:val="00CD519E"/>
    <w:rsid w:val="00CD610A"/>
    <w:rsid w:val="00CE0C4F"/>
    <w:rsid w:val="00CE30EA"/>
    <w:rsid w:val="00CF048A"/>
    <w:rsid w:val="00CF155A"/>
    <w:rsid w:val="00CF2947"/>
    <w:rsid w:val="00CF52AD"/>
    <w:rsid w:val="00CF686F"/>
    <w:rsid w:val="00CF6E60"/>
    <w:rsid w:val="00CF7BCA"/>
    <w:rsid w:val="00D008FD"/>
    <w:rsid w:val="00D02247"/>
    <w:rsid w:val="00D0321C"/>
    <w:rsid w:val="00D035EC"/>
    <w:rsid w:val="00D0510E"/>
    <w:rsid w:val="00D06AB1"/>
    <w:rsid w:val="00D072ED"/>
    <w:rsid w:val="00D07A16"/>
    <w:rsid w:val="00D1067E"/>
    <w:rsid w:val="00D10F50"/>
    <w:rsid w:val="00D11272"/>
    <w:rsid w:val="00D126F5"/>
    <w:rsid w:val="00D1489E"/>
    <w:rsid w:val="00D1643A"/>
    <w:rsid w:val="00D20737"/>
    <w:rsid w:val="00D21E81"/>
    <w:rsid w:val="00D223DE"/>
    <w:rsid w:val="00D22B64"/>
    <w:rsid w:val="00D23B09"/>
    <w:rsid w:val="00D25E37"/>
    <w:rsid w:val="00D2661A"/>
    <w:rsid w:val="00D27582"/>
    <w:rsid w:val="00D27EC4"/>
    <w:rsid w:val="00D32719"/>
    <w:rsid w:val="00D33333"/>
    <w:rsid w:val="00D352A2"/>
    <w:rsid w:val="00D3694E"/>
    <w:rsid w:val="00D4162B"/>
    <w:rsid w:val="00D4514F"/>
    <w:rsid w:val="00D451E2"/>
    <w:rsid w:val="00D45E89"/>
    <w:rsid w:val="00D45E8D"/>
    <w:rsid w:val="00D466AE"/>
    <w:rsid w:val="00D4734F"/>
    <w:rsid w:val="00D51BF3"/>
    <w:rsid w:val="00D538C9"/>
    <w:rsid w:val="00D61F5D"/>
    <w:rsid w:val="00D66846"/>
    <w:rsid w:val="00D670FA"/>
    <w:rsid w:val="00D675FB"/>
    <w:rsid w:val="00D71F25"/>
    <w:rsid w:val="00D72A9C"/>
    <w:rsid w:val="00D77031"/>
    <w:rsid w:val="00D84941"/>
    <w:rsid w:val="00D84FA1"/>
    <w:rsid w:val="00D851F0"/>
    <w:rsid w:val="00D86DB7"/>
    <w:rsid w:val="00D91066"/>
    <w:rsid w:val="00D926D0"/>
    <w:rsid w:val="00D93030"/>
    <w:rsid w:val="00D950E1"/>
    <w:rsid w:val="00D952A6"/>
    <w:rsid w:val="00D97F99"/>
    <w:rsid w:val="00DA1E08"/>
    <w:rsid w:val="00DA24F8"/>
    <w:rsid w:val="00DA28E8"/>
    <w:rsid w:val="00DA29B3"/>
    <w:rsid w:val="00DA38D3"/>
    <w:rsid w:val="00DA3932"/>
    <w:rsid w:val="00DA3AFC"/>
    <w:rsid w:val="00DA64F8"/>
    <w:rsid w:val="00DA6C15"/>
    <w:rsid w:val="00DB0258"/>
    <w:rsid w:val="00DB38EE"/>
    <w:rsid w:val="00DB498B"/>
    <w:rsid w:val="00DB515B"/>
    <w:rsid w:val="00DB66CA"/>
    <w:rsid w:val="00DB6BCA"/>
    <w:rsid w:val="00DB73F7"/>
    <w:rsid w:val="00DC0321"/>
    <w:rsid w:val="00DC3067"/>
    <w:rsid w:val="00DC370B"/>
    <w:rsid w:val="00DC5B90"/>
    <w:rsid w:val="00DD00FF"/>
    <w:rsid w:val="00DD01F1"/>
    <w:rsid w:val="00DD0619"/>
    <w:rsid w:val="00DD07FB"/>
    <w:rsid w:val="00DD0E70"/>
    <w:rsid w:val="00DD25C6"/>
    <w:rsid w:val="00DD4FE5"/>
    <w:rsid w:val="00DD54B0"/>
    <w:rsid w:val="00DD57EE"/>
    <w:rsid w:val="00DD6BCC"/>
    <w:rsid w:val="00DE0A4B"/>
    <w:rsid w:val="00DE2410"/>
    <w:rsid w:val="00DE2939"/>
    <w:rsid w:val="00DE692E"/>
    <w:rsid w:val="00DE6E81"/>
    <w:rsid w:val="00DE703F"/>
    <w:rsid w:val="00DE7595"/>
    <w:rsid w:val="00DF1057"/>
    <w:rsid w:val="00DF1961"/>
    <w:rsid w:val="00DF3561"/>
    <w:rsid w:val="00DF44DE"/>
    <w:rsid w:val="00E00C64"/>
    <w:rsid w:val="00E01138"/>
    <w:rsid w:val="00E02DFB"/>
    <w:rsid w:val="00E030F9"/>
    <w:rsid w:val="00E0311A"/>
    <w:rsid w:val="00E03138"/>
    <w:rsid w:val="00E06404"/>
    <w:rsid w:val="00E11A85"/>
    <w:rsid w:val="00E12495"/>
    <w:rsid w:val="00E15CCD"/>
    <w:rsid w:val="00E202EF"/>
    <w:rsid w:val="00E210B5"/>
    <w:rsid w:val="00E21328"/>
    <w:rsid w:val="00E23D99"/>
    <w:rsid w:val="00E2552F"/>
    <w:rsid w:val="00E30D9E"/>
    <w:rsid w:val="00E3137A"/>
    <w:rsid w:val="00E32CCF"/>
    <w:rsid w:val="00E34A98"/>
    <w:rsid w:val="00E35D1E"/>
    <w:rsid w:val="00E364F9"/>
    <w:rsid w:val="00E365FA"/>
    <w:rsid w:val="00E36789"/>
    <w:rsid w:val="00E44A83"/>
    <w:rsid w:val="00E467DB"/>
    <w:rsid w:val="00E502C1"/>
    <w:rsid w:val="00E502DD"/>
    <w:rsid w:val="00E50D3A"/>
    <w:rsid w:val="00E51387"/>
    <w:rsid w:val="00E51E68"/>
    <w:rsid w:val="00E52EFD"/>
    <w:rsid w:val="00E5408A"/>
    <w:rsid w:val="00E56800"/>
    <w:rsid w:val="00E60571"/>
    <w:rsid w:val="00E60C63"/>
    <w:rsid w:val="00E62FF9"/>
    <w:rsid w:val="00E635D6"/>
    <w:rsid w:val="00E639BC"/>
    <w:rsid w:val="00E664CC"/>
    <w:rsid w:val="00E67113"/>
    <w:rsid w:val="00E70388"/>
    <w:rsid w:val="00E70F92"/>
    <w:rsid w:val="00E73445"/>
    <w:rsid w:val="00E74C54"/>
    <w:rsid w:val="00E77A03"/>
    <w:rsid w:val="00E822E8"/>
    <w:rsid w:val="00E82554"/>
    <w:rsid w:val="00E82606"/>
    <w:rsid w:val="00E846C8"/>
    <w:rsid w:val="00E84957"/>
    <w:rsid w:val="00E84A55"/>
    <w:rsid w:val="00E85BFF"/>
    <w:rsid w:val="00E90391"/>
    <w:rsid w:val="00E906C2"/>
    <w:rsid w:val="00E92C1D"/>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10D8"/>
    <w:rsid w:val="00EC5359"/>
    <w:rsid w:val="00EC562A"/>
    <w:rsid w:val="00ED067A"/>
    <w:rsid w:val="00ED2B50"/>
    <w:rsid w:val="00ED3338"/>
    <w:rsid w:val="00ED3A6F"/>
    <w:rsid w:val="00EE0350"/>
    <w:rsid w:val="00EE0719"/>
    <w:rsid w:val="00EE0E80"/>
    <w:rsid w:val="00EE613F"/>
    <w:rsid w:val="00EE7295"/>
    <w:rsid w:val="00EE7869"/>
    <w:rsid w:val="00EF054A"/>
    <w:rsid w:val="00EF3235"/>
    <w:rsid w:val="00EF3836"/>
    <w:rsid w:val="00EF3943"/>
    <w:rsid w:val="00EF6CB1"/>
    <w:rsid w:val="00EF7E72"/>
    <w:rsid w:val="00F06D37"/>
    <w:rsid w:val="00F07B9D"/>
    <w:rsid w:val="00F11586"/>
    <w:rsid w:val="00F1183B"/>
    <w:rsid w:val="00F11C9F"/>
    <w:rsid w:val="00F12263"/>
    <w:rsid w:val="00F1409D"/>
    <w:rsid w:val="00F14214"/>
    <w:rsid w:val="00F157A9"/>
    <w:rsid w:val="00F2513A"/>
    <w:rsid w:val="00F25BB6"/>
    <w:rsid w:val="00F26B7E"/>
    <w:rsid w:val="00F27221"/>
    <w:rsid w:val="00F27A3B"/>
    <w:rsid w:val="00F33817"/>
    <w:rsid w:val="00F413F2"/>
    <w:rsid w:val="00F420D5"/>
    <w:rsid w:val="00F451EA"/>
    <w:rsid w:val="00F453A8"/>
    <w:rsid w:val="00F45447"/>
    <w:rsid w:val="00F456C6"/>
    <w:rsid w:val="00F4577B"/>
    <w:rsid w:val="00F46496"/>
    <w:rsid w:val="00F474D0"/>
    <w:rsid w:val="00F50179"/>
    <w:rsid w:val="00F503B6"/>
    <w:rsid w:val="00F515EE"/>
    <w:rsid w:val="00F56511"/>
    <w:rsid w:val="00F6194E"/>
    <w:rsid w:val="00F623AC"/>
    <w:rsid w:val="00F6412A"/>
    <w:rsid w:val="00F65893"/>
    <w:rsid w:val="00F66A4A"/>
    <w:rsid w:val="00F705B3"/>
    <w:rsid w:val="00F71E22"/>
    <w:rsid w:val="00F72142"/>
    <w:rsid w:val="00F72AE7"/>
    <w:rsid w:val="00F833BA"/>
    <w:rsid w:val="00F84FD0"/>
    <w:rsid w:val="00F859A8"/>
    <w:rsid w:val="00F86D87"/>
    <w:rsid w:val="00F9108B"/>
    <w:rsid w:val="00F91349"/>
    <w:rsid w:val="00F93A8A"/>
    <w:rsid w:val="00F94835"/>
    <w:rsid w:val="00F95248"/>
    <w:rsid w:val="00F956A9"/>
    <w:rsid w:val="00F963ED"/>
    <w:rsid w:val="00F966CF"/>
    <w:rsid w:val="00F96CAE"/>
    <w:rsid w:val="00F97C99"/>
    <w:rsid w:val="00FA662D"/>
    <w:rsid w:val="00FA73B1"/>
    <w:rsid w:val="00FA79BB"/>
    <w:rsid w:val="00FB0A0A"/>
    <w:rsid w:val="00FB0CB9"/>
    <w:rsid w:val="00FB231D"/>
    <w:rsid w:val="00FB45F1"/>
    <w:rsid w:val="00FB4A72"/>
    <w:rsid w:val="00FB54E8"/>
    <w:rsid w:val="00FB7054"/>
    <w:rsid w:val="00FC17B7"/>
    <w:rsid w:val="00FC2CB7"/>
    <w:rsid w:val="00FC4090"/>
    <w:rsid w:val="00FC55B4"/>
    <w:rsid w:val="00FD00E6"/>
    <w:rsid w:val="00FD09A1"/>
    <w:rsid w:val="00FD2A7C"/>
    <w:rsid w:val="00FD353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1D36C4"/>
    <w:rsid w:val="024254B7"/>
    <w:rsid w:val="027A149C"/>
    <w:rsid w:val="03195159"/>
    <w:rsid w:val="032656D9"/>
    <w:rsid w:val="032B79D5"/>
    <w:rsid w:val="03904DA4"/>
    <w:rsid w:val="04372F02"/>
    <w:rsid w:val="048345A2"/>
    <w:rsid w:val="053A3164"/>
    <w:rsid w:val="056C674E"/>
    <w:rsid w:val="063C32EA"/>
    <w:rsid w:val="06C4605A"/>
    <w:rsid w:val="06FC5416"/>
    <w:rsid w:val="073F4677"/>
    <w:rsid w:val="075832E1"/>
    <w:rsid w:val="07B4418B"/>
    <w:rsid w:val="07E255DA"/>
    <w:rsid w:val="08640085"/>
    <w:rsid w:val="087B79DB"/>
    <w:rsid w:val="08AC46BA"/>
    <w:rsid w:val="09136E47"/>
    <w:rsid w:val="0A1B17B6"/>
    <w:rsid w:val="0AF162E0"/>
    <w:rsid w:val="0B454216"/>
    <w:rsid w:val="0B57339B"/>
    <w:rsid w:val="0B746BC5"/>
    <w:rsid w:val="0BCB7DCF"/>
    <w:rsid w:val="0DDA0D79"/>
    <w:rsid w:val="0E0851DC"/>
    <w:rsid w:val="0E317914"/>
    <w:rsid w:val="0E4D3F08"/>
    <w:rsid w:val="0F0379C1"/>
    <w:rsid w:val="105C253F"/>
    <w:rsid w:val="10D10DE4"/>
    <w:rsid w:val="11771383"/>
    <w:rsid w:val="123E5E9A"/>
    <w:rsid w:val="12CD6513"/>
    <w:rsid w:val="13E173E9"/>
    <w:rsid w:val="148976B9"/>
    <w:rsid w:val="15060242"/>
    <w:rsid w:val="15172003"/>
    <w:rsid w:val="15683423"/>
    <w:rsid w:val="1568628E"/>
    <w:rsid w:val="15EB3CF3"/>
    <w:rsid w:val="16374676"/>
    <w:rsid w:val="1642289B"/>
    <w:rsid w:val="16612C47"/>
    <w:rsid w:val="167220FF"/>
    <w:rsid w:val="168D3A3C"/>
    <w:rsid w:val="16C43F81"/>
    <w:rsid w:val="17335AB8"/>
    <w:rsid w:val="17650515"/>
    <w:rsid w:val="186B3909"/>
    <w:rsid w:val="18D94D16"/>
    <w:rsid w:val="1A0A20A7"/>
    <w:rsid w:val="1A0C0FF9"/>
    <w:rsid w:val="1A497C7A"/>
    <w:rsid w:val="1AFD0D1D"/>
    <w:rsid w:val="1B4B40C6"/>
    <w:rsid w:val="1BDF0693"/>
    <w:rsid w:val="1C797814"/>
    <w:rsid w:val="1CEE00D9"/>
    <w:rsid w:val="1D220C11"/>
    <w:rsid w:val="1D645AA4"/>
    <w:rsid w:val="1D7274E7"/>
    <w:rsid w:val="1DCD7431"/>
    <w:rsid w:val="1EFA0B04"/>
    <w:rsid w:val="1F3758BD"/>
    <w:rsid w:val="20795B2A"/>
    <w:rsid w:val="21F10022"/>
    <w:rsid w:val="21FF36D1"/>
    <w:rsid w:val="22433ECE"/>
    <w:rsid w:val="22722C86"/>
    <w:rsid w:val="22A15498"/>
    <w:rsid w:val="22C252A7"/>
    <w:rsid w:val="23136C93"/>
    <w:rsid w:val="23347D74"/>
    <w:rsid w:val="233A0AA7"/>
    <w:rsid w:val="23B16D5F"/>
    <w:rsid w:val="241455B3"/>
    <w:rsid w:val="2477610A"/>
    <w:rsid w:val="25421E95"/>
    <w:rsid w:val="2569336C"/>
    <w:rsid w:val="258061E5"/>
    <w:rsid w:val="25C6254F"/>
    <w:rsid w:val="27640407"/>
    <w:rsid w:val="276C1569"/>
    <w:rsid w:val="27763B1B"/>
    <w:rsid w:val="28777BF4"/>
    <w:rsid w:val="287B1BB2"/>
    <w:rsid w:val="292C75E5"/>
    <w:rsid w:val="294A617D"/>
    <w:rsid w:val="29AB466F"/>
    <w:rsid w:val="2A1A2DDD"/>
    <w:rsid w:val="2A457C8C"/>
    <w:rsid w:val="2ACD4FD9"/>
    <w:rsid w:val="2B7933F9"/>
    <w:rsid w:val="2BBA3C20"/>
    <w:rsid w:val="2D037388"/>
    <w:rsid w:val="2D4E3AA7"/>
    <w:rsid w:val="2D7135B5"/>
    <w:rsid w:val="2DB31B82"/>
    <w:rsid w:val="2E1047FC"/>
    <w:rsid w:val="2F034A43"/>
    <w:rsid w:val="2F0E4B96"/>
    <w:rsid w:val="2F0F43EF"/>
    <w:rsid w:val="2F3333DB"/>
    <w:rsid w:val="317038E6"/>
    <w:rsid w:val="317C2649"/>
    <w:rsid w:val="3251196A"/>
    <w:rsid w:val="325D22F0"/>
    <w:rsid w:val="32C4288C"/>
    <w:rsid w:val="32C74658"/>
    <w:rsid w:val="337B6BC9"/>
    <w:rsid w:val="33934DA4"/>
    <w:rsid w:val="33D25AD6"/>
    <w:rsid w:val="33DC1707"/>
    <w:rsid w:val="34013F72"/>
    <w:rsid w:val="347A39E1"/>
    <w:rsid w:val="348E47AF"/>
    <w:rsid w:val="35AC1C8D"/>
    <w:rsid w:val="35FB71F1"/>
    <w:rsid w:val="360658FC"/>
    <w:rsid w:val="377B7732"/>
    <w:rsid w:val="378C7A8F"/>
    <w:rsid w:val="37CB1876"/>
    <w:rsid w:val="37EE2F65"/>
    <w:rsid w:val="3827612B"/>
    <w:rsid w:val="389D428D"/>
    <w:rsid w:val="38A95BD3"/>
    <w:rsid w:val="391B05DB"/>
    <w:rsid w:val="39BC4054"/>
    <w:rsid w:val="39DD3AE3"/>
    <w:rsid w:val="39E6645E"/>
    <w:rsid w:val="3A190FBF"/>
    <w:rsid w:val="3AFF3125"/>
    <w:rsid w:val="3B780D1C"/>
    <w:rsid w:val="3C1C08F2"/>
    <w:rsid w:val="3C3433E7"/>
    <w:rsid w:val="3C6B119F"/>
    <w:rsid w:val="3CA43C97"/>
    <w:rsid w:val="3CCD5600"/>
    <w:rsid w:val="3E750669"/>
    <w:rsid w:val="3E9679A9"/>
    <w:rsid w:val="3EDC7487"/>
    <w:rsid w:val="3F7F45A6"/>
    <w:rsid w:val="3FDE5539"/>
    <w:rsid w:val="3FEE39D3"/>
    <w:rsid w:val="40EE1291"/>
    <w:rsid w:val="41260E0C"/>
    <w:rsid w:val="412A2EC8"/>
    <w:rsid w:val="413F69E1"/>
    <w:rsid w:val="4182569C"/>
    <w:rsid w:val="41C80803"/>
    <w:rsid w:val="42910E29"/>
    <w:rsid w:val="42DA32B5"/>
    <w:rsid w:val="42DE3FD0"/>
    <w:rsid w:val="436D013C"/>
    <w:rsid w:val="43A139B7"/>
    <w:rsid w:val="43EF78F1"/>
    <w:rsid w:val="444B476D"/>
    <w:rsid w:val="450B3B77"/>
    <w:rsid w:val="451D3766"/>
    <w:rsid w:val="46465718"/>
    <w:rsid w:val="467824F4"/>
    <w:rsid w:val="472944B9"/>
    <w:rsid w:val="4749077B"/>
    <w:rsid w:val="47573E16"/>
    <w:rsid w:val="477467AD"/>
    <w:rsid w:val="48254FD3"/>
    <w:rsid w:val="488416E9"/>
    <w:rsid w:val="48CC6262"/>
    <w:rsid w:val="4A5F447F"/>
    <w:rsid w:val="4AFE6307"/>
    <w:rsid w:val="4C8A7B79"/>
    <w:rsid w:val="4D281BA6"/>
    <w:rsid w:val="4E0B1659"/>
    <w:rsid w:val="4E2B0866"/>
    <w:rsid w:val="4EBF7AC9"/>
    <w:rsid w:val="4EC92B5C"/>
    <w:rsid w:val="4F0B5EB4"/>
    <w:rsid w:val="5060129E"/>
    <w:rsid w:val="50900F87"/>
    <w:rsid w:val="50B91928"/>
    <w:rsid w:val="52464EBB"/>
    <w:rsid w:val="525D48FE"/>
    <w:rsid w:val="530C51C6"/>
    <w:rsid w:val="535C1318"/>
    <w:rsid w:val="543A3118"/>
    <w:rsid w:val="546A4F9C"/>
    <w:rsid w:val="5592016F"/>
    <w:rsid w:val="55EB2B55"/>
    <w:rsid w:val="5661367A"/>
    <w:rsid w:val="56780DDE"/>
    <w:rsid w:val="577E08ED"/>
    <w:rsid w:val="57ED4F7C"/>
    <w:rsid w:val="583F0AAB"/>
    <w:rsid w:val="585711D8"/>
    <w:rsid w:val="58CD0A34"/>
    <w:rsid w:val="59122371"/>
    <w:rsid w:val="596B7233"/>
    <w:rsid w:val="599810F5"/>
    <w:rsid w:val="59B26323"/>
    <w:rsid w:val="5A825FC5"/>
    <w:rsid w:val="5ADED758"/>
    <w:rsid w:val="5B1C5308"/>
    <w:rsid w:val="5BA560E9"/>
    <w:rsid w:val="5BE77421"/>
    <w:rsid w:val="5C5D6486"/>
    <w:rsid w:val="5CA804F6"/>
    <w:rsid w:val="5D041D1A"/>
    <w:rsid w:val="5DC7295C"/>
    <w:rsid w:val="5EA81379"/>
    <w:rsid w:val="5EE4794F"/>
    <w:rsid w:val="5FA32050"/>
    <w:rsid w:val="612B3DC4"/>
    <w:rsid w:val="61DE38FE"/>
    <w:rsid w:val="63DE19E5"/>
    <w:rsid w:val="661204ED"/>
    <w:rsid w:val="669F3BFC"/>
    <w:rsid w:val="66FB511E"/>
    <w:rsid w:val="67062FDE"/>
    <w:rsid w:val="67E274C5"/>
    <w:rsid w:val="69023CEA"/>
    <w:rsid w:val="69A10C36"/>
    <w:rsid w:val="69BA78AE"/>
    <w:rsid w:val="6AAA6725"/>
    <w:rsid w:val="6B994458"/>
    <w:rsid w:val="6C6A0CCA"/>
    <w:rsid w:val="6D725D15"/>
    <w:rsid w:val="6D840575"/>
    <w:rsid w:val="6ED22F0F"/>
    <w:rsid w:val="6EF86FA4"/>
    <w:rsid w:val="6F02080C"/>
    <w:rsid w:val="6F3F43A9"/>
    <w:rsid w:val="6FE76713"/>
    <w:rsid w:val="71291F65"/>
    <w:rsid w:val="71752277"/>
    <w:rsid w:val="73421B86"/>
    <w:rsid w:val="73527874"/>
    <w:rsid w:val="7403774A"/>
    <w:rsid w:val="74CD04E6"/>
    <w:rsid w:val="74FF707E"/>
    <w:rsid w:val="753A4247"/>
    <w:rsid w:val="755330B4"/>
    <w:rsid w:val="755E4253"/>
    <w:rsid w:val="755E6196"/>
    <w:rsid w:val="757C1719"/>
    <w:rsid w:val="7608190C"/>
    <w:rsid w:val="76174124"/>
    <w:rsid w:val="763000A3"/>
    <w:rsid w:val="76464E10"/>
    <w:rsid w:val="76577583"/>
    <w:rsid w:val="767F5A70"/>
    <w:rsid w:val="769466F4"/>
    <w:rsid w:val="76B85E92"/>
    <w:rsid w:val="782B0575"/>
    <w:rsid w:val="7883668C"/>
    <w:rsid w:val="78B31F2E"/>
    <w:rsid w:val="78D930EC"/>
    <w:rsid w:val="791FB3B0"/>
    <w:rsid w:val="79621884"/>
    <w:rsid w:val="79C3047B"/>
    <w:rsid w:val="7A0B6C12"/>
    <w:rsid w:val="7A107E91"/>
    <w:rsid w:val="7AE047F7"/>
    <w:rsid w:val="7B141393"/>
    <w:rsid w:val="7B3E6B7A"/>
    <w:rsid w:val="7B49588F"/>
    <w:rsid w:val="7B6B7AF1"/>
    <w:rsid w:val="7C5F4D37"/>
    <w:rsid w:val="7C7451B7"/>
    <w:rsid w:val="7C7D7926"/>
    <w:rsid w:val="7CB2612E"/>
    <w:rsid w:val="7D593B15"/>
    <w:rsid w:val="7DBD4D8A"/>
    <w:rsid w:val="7DEE3196"/>
    <w:rsid w:val="DC7A7747"/>
    <w:rsid w:val="F37B4FE6"/>
    <w:rsid w:val="FBD7C358"/>
    <w:rsid w:val="FBFB2B92"/>
    <w:rsid w:val="FDF74B1E"/>
    <w:rsid w:val="FFFC902B"/>
    <w:rsid w:val="FFFD1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link w:val="4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5"/>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6"/>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7"/>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8"/>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9"/>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unhideWhenUsed/>
    <w:qFormat/>
    <w:uiPriority w:val="1"/>
  </w:style>
  <w:style w:type="table" w:default="1" w:styleId="39">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242"/>
    <w:unhideWhenUsed/>
    <w:qFormat/>
    <w:uiPriority w:val="99"/>
    <w:rPr>
      <w:b/>
      <w:bCs/>
    </w:rPr>
  </w:style>
  <w:style w:type="paragraph" w:styleId="12">
    <w:name w:val="annotation text"/>
    <w:basedOn w:val="1"/>
    <w:link w:val="241"/>
    <w:unhideWhenUsed/>
    <w:qFormat/>
    <w:uiPriority w:val="99"/>
    <w:pPr>
      <w:jc w:val="left"/>
    </w:pPr>
  </w:style>
  <w:style w:type="paragraph" w:styleId="13">
    <w:name w:val="toc 7"/>
    <w:basedOn w:val="1"/>
    <w:next w:val="1"/>
    <w:unhideWhenUsed/>
    <w:qFormat/>
    <w:uiPriority w:val="39"/>
    <w:pPr>
      <w:tabs>
        <w:tab w:val="right" w:leader="dot" w:pos="9344"/>
      </w:tabs>
      <w:spacing w:line="300" w:lineRule="exact"/>
      <w:ind w:left="1259"/>
    </w:pPr>
    <w:rPr>
      <w:rFonts w:ascii="宋体"/>
    </w:rPr>
  </w:style>
  <w:style w:type="paragraph" w:styleId="14">
    <w:name w:val="Normal Indent"/>
    <w:basedOn w:val="1"/>
    <w:next w:val="15"/>
    <w:qFormat/>
    <w:uiPriority w:val="0"/>
    <w:pPr>
      <w:ind w:firstLine="420"/>
    </w:p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Body Text"/>
    <w:basedOn w:val="1"/>
    <w:link w:val="93"/>
    <w:qFormat/>
    <w:uiPriority w:val="1"/>
    <w:pPr>
      <w:spacing w:after="120"/>
    </w:pPr>
  </w:style>
  <w:style w:type="paragraph" w:styleId="17">
    <w:name w:val="Body Text Indent"/>
    <w:basedOn w:val="1"/>
    <w:next w:val="18"/>
    <w:unhideWhenUsed/>
    <w:qFormat/>
    <w:uiPriority w:val="99"/>
    <w:pPr>
      <w:spacing w:after="120"/>
      <w:ind w:left="420" w:leftChars="200"/>
    </w:pPr>
  </w:style>
  <w:style w:type="paragraph" w:styleId="18">
    <w:name w:val="Body Text First Indent 2"/>
    <w:basedOn w:val="17"/>
    <w:next w:val="14"/>
    <w:qFormat/>
    <w:uiPriority w:val="99"/>
    <w:pPr>
      <w:ind w:firstLine="200"/>
    </w:pPr>
    <w:rPr>
      <w:rFonts w:ascii="Times New Roman" w:hAnsi="Times New Roman"/>
      <w:szCs w:val="24"/>
    </w:rPr>
  </w:style>
  <w:style w:type="paragraph" w:styleId="19">
    <w:name w:val="toc 5"/>
    <w:basedOn w:val="1"/>
    <w:next w:val="1"/>
    <w:unhideWhenUsed/>
    <w:qFormat/>
    <w:uiPriority w:val="39"/>
    <w:pPr>
      <w:ind w:left="839"/>
    </w:pPr>
    <w:rPr>
      <w:rFonts w:ascii="宋体"/>
    </w:rPr>
  </w:style>
  <w:style w:type="paragraph" w:styleId="20">
    <w:name w:val="toc 3"/>
    <w:basedOn w:val="1"/>
    <w:next w:val="1"/>
    <w:unhideWhenUsed/>
    <w:qFormat/>
    <w:uiPriority w:val="39"/>
    <w:pPr>
      <w:spacing w:line="300" w:lineRule="exact"/>
      <w:ind w:left="420"/>
    </w:pPr>
    <w:rPr>
      <w:rFonts w:ascii="宋体"/>
    </w:rPr>
  </w:style>
  <w:style w:type="paragraph" w:styleId="21">
    <w:name w:val="Balloon Text"/>
    <w:basedOn w:val="1"/>
    <w:link w:val="52"/>
    <w:unhideWhenUsed/>
    <w:qFormat/>
    <w:uiPriority w:val="99"/>
    <w:rPr>
      <w:sz w:val="18"/>
      <w:szCs w:val="18"/>
    </w:rPr>
  </w:style>
  <w:style w:type="paragraph" w:styleId="22">
    <w:name w:val="footer"/>
    <w:basedOn w:val="1"/>
    <w:link w:val="51"/>
    <w:qFormat/>
    <w:uiPriority w:val="99"/>
    <w:pPr>
      <w:tabs>
        <w:tab w:val="center" w:pos="4153"/>
        <w:tab w:val="right" w:pos="8306"/>
      </w:tabs>
      <w:adjustRightInd/>
      <w:snapToGrid w:val="0"/>
      <w:spacing w:line="240" w:lineRule="auto"/>
      <w:jc w:val="right"/>
    </w:pPr>
    <w:rPr>
      <w:rFonts w:ascii="宋体"/>
      <w:sz w:val="18"/>
      <w:szCs w:val="18"/>
    </w:rPr>
  </w:style>
  <w:style w:type="paragraph" w:styleId="23">
    <w:name w:val="header"/>
    <w:basedOn w:val="1"/>
    <w:link w:val="50"/>
    <w:qFormat/>
    <w:uiPriority w:val="99"/>
    <w:pPr>
      <w:tabs>
        <w:tab w:val="center" w:pos="4153"/>
        <w:tab w:val="right" w:pos="8306"/>
      </w:tabs>
      <w:adjustRightInd/>
      <w:snapToGrid w:val="0"/>
      <w:jc w:val="center"/>
    </w:pPr>
    <w:rPr>
      <w:sz w:val="18"/>
      <w:szCs w:val="18"/>
    </w:rPr>
  </w:style>
  <w:style w:type="paragraph" w:styleId="24">
    <w:name w:val="toc 1"/>
    <w:basedOn w:val="1"/>
    <w:next w:val="1"/>
    <w:unhideWhenUsed/>
    <w:qFormat/>
    <w:uiPriority w:val="39"/>
    <w:rPr>
      <w:rFonts w:ascii="宋体"/>
    </w:rPr>
  </w:style>
  <w:style w:type="paragraph" w:styleId="25">
    <w:name w:val="toc 4"/>
    <w:basedOn w:val="1"/>
    <w:next w:val="1"/>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06"/>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7">
    <w:name w:val="toc 6"/>
    <w:basedOn w:val="1"/>
    <w:next w:val="1"/>
    <w:unhideWhenUsed/>
    <w:qFormat/>
    <w:uiPriority w:val="39"/>
    <w:pPr>
      <w:spacing w:line="300" w:lineRule="exact"/>
      <w:ind w:left="1049"/>
    </w:pPr>
    <w:rPr>
      <w:rFonts w:ascii="宋体"/>
    </w:rPr>
  </w:style>
  <w:style w:type="paragraph" w:styleId="28">
    <w:name w:val="table of figures"/>
    <w:basedOn w:val="1"/>
    <w:next w:val="1"/>
    <w:semiHidden/>
    <w:qFormat/>
    <w:uiPriority w:val="0"/>
    <w:pPr>
      <w:adjustRightInd/>
      <w:spacing w:line="240" w:lineRule="auto"/>
      <w:jc w:val="left"/>
    </w:pPr>
    <w:rPr>
      <w:szCs w:val="24"/>
    </w:rPr>
  </w:style>
  <w:style w:type="paragraph" w:styleId="29">
    <w:name w:val="toc 2"/>
    <w:basedOn w:val="1"/>
    <w:next w:val="1"/>
    <w:unhideWhenUsed/>
    <w:qFormat/>
    <w:uiPriority w:val="39"/>
    <w:pPr>
      <w:tabs>
        <w:tab w:val="right" w:leader="dot" w:pos="9344"/>
      </w:tabs>
      <w:spacing w:line="300" w:lineRule="exact"/>
      <w:ind w:left="210"/>
    </w:pPr>
    <w:rPr>
      <w:rFonts w:ascii="宋体"/>
    </w:rPr>
  </w:style>
  <w:style w:type="paragraph" w:styleId="30">
    <w:name w:val="Normal (Web)"/>
    <w:basedOn w:val="1"/>
    <w:qFormat/>
    <w:uiPriority w:val="0"/>
    <w:pPr>
      <w:spacing w:beforeAutospacing="1" w:afterAutospacing="1"/>
      <w:jc w:val="left"/>
    </w:pPr>
    <w:rPr>
      <w:kern w:val="0"/>
      <w:sz w:val="24"/>
    </w:rPr>
  </w:style>
  <w:style w:type="paragraph" w:styleId="31">
    <w:name w:val="Title"/>
    <w:basedOn w:val="1"/>
    <w:link w:val="55"/>
    <w:qFormat/>
    <w:uiPriority w:val="0"/>
    <w:pPr>
      <w:spacing w:before="240" w:after="60"/>
      <w:jc w:val="center"/>
      <w:outlineLvl w:val="0"/>
    </w:pPr>
    <w:rPr>
      <w:rFonts w:ascii="Arial" w:hAnsi="Arial" w:cs="Arial"/>
      <w:b/>
      <w:bCs/>
      <w:sz w:val="32"/>
      <w:szCs w:val="32"/>
    </w:rPr>
  </w:style>
  <w:style w:type="character" w:styleId="33">
    <w:name w:val="Strong"/>
    <w:basedOn w:val="32"/>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basedOn w:val="32"/>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2"/>
    <w:unhideWhenUsed/>
    <w:qFormat/>
    <w:uiPriority w:val="99"/>
    <w:rPr>
      <w:sz w:val="21"/>
      <w:szCs w:val="21"/>
    </w:rPr>
  </w:style>
  <w:style w:type="character" w:styleId="38">
    <w:name w:val="footnote reference"/>
    <w:semiHidden/>
    <w:qFormat/>
    <w:uiPriority w:val="0"/>
    <w:rPr>
      <w:rFonts w:ascii="宋体" w:hAnsi="宋体" w:eastAsia="宋体" w:cs="Times New Roman"/>
      <w:spacing w:val="0"/>
      <w:sz w:val="18"/>
      <w:vertAlign w:val="superscript"/>
    </w:rPr>
  </w:style>
  <w:style w:type="table" w:styleId="40">
    <w:name w:val="Table Grid"/>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1">
    <w:name w:val="标题 1 Char"/>
    <w:link w:val="2"/>
    <w:qFormat/>
    <w:uiPriority w:val="0"/>
    <w:rPr>
      <w:rFonts w:ascii="Times New Roman" w:hAnsi="Times New Roman" w:eastAsia="宋体" w:cs="Times New Roman"/>
      <w:b/>
      <w:bCs/>
      <w:kern w:val="44"/>
      <w:sz w:val="44"/>
      <w:szCs w:val="44"/>
    </w:rPr>
  </w:style>
  <w:style w:type="character" w:customStyle="1" w:styleId="42">
    <w:name w:val="标题 2 Char"/>
    <w:link w:val="3"/>
    <w:qFormat/>
    <w:uiPriority w:val="0"/>
    <w:rPr>
      <w:rFonts w:ascii="Arial" w:hAnsi="Arial" w:eastAsia="黑体" w:cs="Times New Roman"/>
      <w:b/>
      <w:bCs/>
      <w:sz w:val="32"/>
      <w:szCs w:val="32"/>
    </w:rPr>
  </w:style>
  <w:style w:type="character" w:customStyle="1" w:styleId="43">
    <w:name w:val="标题 3 Char"/>
    <w:link w:val="4"/>
    <w:qFormat/>
    <w:uiPriority w:val="0"/>
    <w:rPr>
      <w:rFonts w:ascii="Times New Roman" w:hAnsi="Times New Roman" w:eastAsia="宋体" w:cs="Times New Roman"/>
      <w:b/>
      <w:bCs/>
      <w:sz w:val="32"/>
      <w:szCs w:val="32"/>
    </w:rPr>
  </w:style>
  <w:style w:type="character" w:customStyle="1" w:styleId="44">
    <w:name w:val="标题 4 Char"/>
    <w:link w:val="5"/>
    <w:qFormat/>
    <w:uiPriority w:val="0"/>
    <w:rPr>
      <w:rFonts w:ascii="Arial" w:hAnsi="Arial" w:eastAsia="黑体" w:cs="Times New Roman"/>
      <w:b/>
      <w:bCs/>
      <w:sz w:val="28"/>
      <w:szCs w:val="28"/>
    </w:rPr>
  </w:style>
  <w:style w:type="character" w:customStyle="1" w:styleId="45">
    <w:name w:val="标题 5 Char"/>
    <w:link w:val="6"/>
    <w:qFormat/>
    <w:uiPriority w:val="0"/>
    <w:rPr>
      <w:rFonts w:ascii="Times New Roman" w:hAnsi="Times New Roman" w:eastAsia="宋体" w:cs="Times New Roman"/>
      <w:b/>
      <w:bCs/>
      <w:sz w:val="28"/>
      <w:szCs w:val="28"/>
    </w:rPr>
  </w:style>
  <w:style w:type="character" w:customStyle="1" w:styleId="46">
    <w:name w:val="标题 6 Char"/>
    <w:link w:val="7"/>
    <w:qFormat/>
    <w:uiPriority w:val="0"/>
    <w:rPr>
      <w:rFonts w:ascii="Arial" w:hAnsi="Arial" w:eastAsia="黑体" w:cs="Times New Roman"/>
      <w:b/>
      <w:bCs/>
      <w:sz w:val="24"/>
      <w:szCs w:val="24"/>
    </w:rPr>
  </w:style>
  <w:style w:type="character" w:customStyle="1" w:styleId="47">
    <w:name w:val="标题 7 Char"/>
    <w:link w:val="8"/>
    <w:qFormat/>
    <w:uiPriority w:val="0"/>
    <w:rPr>
      <w:rFonts w:ascii="Times New Roman" w:hAnsi="Times New Roman" w:eastAsia="宋体" w:cs="Times New Roman"/>
      <w:b/>
      <w:bCs/>
      <w:sz w:val="24"/>
      <w:szCs w:val="24"/>
    </w:rPr>
  </w:style>
  <w:style w:type="character" w:customStyle="1" w:styleId="48">
    <w:name w:val="标题 8 Char"/>
    <w:link w:val="9"/>
    <w:qFormat/>
    <w:uiPriority w:val="0"/>
    <w:rPr>
      <w:rFonts w:ascii="Arial" w:hAnsi="Arial" w:eastAsia="黑体" w:cs="Times New Roman"/>
      <w:sz w:val="24"/>
      <w:szCs w:val="24"/>
    </w:rPr>
  </w:style>
  <w:style w:type="character" w:customStyle="1" w:styleId="49">
    <w:name w:val="标题 9 Char"/>
    <w:link w:val="10"/>
    <w:qFormat/>
    <w:uiPriority w:val="0"/>
    <w:rPr>
      <w:rFonts w:ascii="Arial" w:hAnsi="Arial" w:eastAsia="黑体" w:cs="Times New Roman"/>
      <w:szCs w:val="21"/>
    </w:rPr>
  </w:style>
  <w:style w:type="character" w:customStyle="1" w:styleId="50">
    <w:name w:val="页眉 Char"/>
    <w:link w:val="23"/>
    <w:qFormat/>
    <w:uiPriority w:val="99"/>
    <w:rPr>
      <w:rFonts w:ascii="Times New Roman" w:hAnsi="Times New Roman" w:eastAsia="宋体" w:cs="Times New Roman"/>
      <w:sz w:val="18"/>
      <w:szCs w:val="18"/>
    </w:rPr>
  </w:style>
  <w:style w:type="character" w:customStyle="1" w:styleId="51">
    <w:name w:val="页脚 Char"/>
    <w:link w:val="22"/>
    <w:qFormat/>
    <w:uiPriority w:val="99"/>
    <w:rPr>
      <w:rFonts w:ascii="宋体" w:hAnsi="Times New Roman" w:eastAsia="宋体" w:cs="Times New Roman"/>
      <w:sz w:val="18"/>
      <w:szCs w:val="18"/>
    </w:rPr>
  </w:style>
  <w:style w:type="character" w:customStyle="1" w:styleId="52">
    <w:name w:val="批注框文本 Char"/>
    <w:link w:val="21"/>
    <w:semiHidden/>
    <w:qFormat/>
    <w:uiPriority w:val="99"/>
    <w:rPr>
      <w:sz w:val="18"/>
      <w:szCs w:val="18"/>
    </w:rPr>
  </w:style>
  <w:style w:type="paragraph" w:customStyle="1" w:styleId="53">
    <w:name w:val="Quote"/>
    <w:basedOn w:val="1"/>
    <w:next w:val="1"/>
    <w:link w:val="54"/>
    <w:qFormat/>
    <w:uiPriority w:val="29"/>
    <w:rPr>
      <w:i/>
      <w:iCs/>
      <w:color w:val="000000"/>
    </w:rPr>
  </w:style>
  <w:style w:type="character" w:customStyle="1" w:styleId="54">
    <w:name w:val="引用 Char"/>
    <w:link w:val="53"/>
    <w:qFormat/>
    <w:uiPriority w:val="29"/>
    <w:rPr>
      <w:i/>
      <w:iCs/>
      <w:color w:val="000000"/>
    </w:rPr>
  </w:style>
  <w:style w:type="character" w:customStyle="1" w:styleId="55">
    <w:name w:val="标题 Char"/>
    <w:link w:val="31"/>
    <w:qFormat/>
    <w:uiPriority w:val="0"/>
    <w:rPr>
      <w:rFonts w:ascii="Arial" w:hAnsi="Arial" w:eastAsia="宋体" w:cs="Arial"/>
      <w:b/>
      <w:bCs/>
      <w:sz w:val="32"/>
      <w:szCs w:val="32"/>
    </w:rPr>
  </w:style>
  <w:style w:type="paragraph" w:customStyle="1" w:styleId="5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8">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0">
    <w:name w:val="标准书眉一"/>
    <w:qFormat/>
    <w:uiPriority w:val="0"/>
    <w:pPr>
      <w:jc w:val="both"/>
    </w:pPr>
    <w:rPr>
      <w:rFonts w:ascii="Times New Roman" w:hAnsi="Times New Roman" w:eastAsia="宋体" w:cs="Times New Roman"/>
      <w:lang w:val="en-US" w:eastAsia="zh-CN" w:bidi="ar-SA"/>
    </w:rPr>
  </w:style>
  <w:style w:type="paragraph" w:customStyle="1" w:styleId="61">
    <w:name w:val="标准文件_ICS"/>
    <w:basedOn w:val="1"/>
    <w:qFormat/>
    <w:uiPriority w:val="0"/>
    <w:pPr>
      <w:spacing w:line="0" w:lineRule="atLeast"/>
    </w:pPr>
    <w:rPr>
      <w:rFonts w:ascii="黑体" w:hAnsi="宋体" w:eastAsia="黑体"/>
    </w:rPr>
  </w:style>
  <w:style w:type="paragraph" w:customStyle="1" w:styleId="62">
    <w:name w:val="标准文件_标准正文"/>
    <w:basedOn w:val="1"/>
    <w:next w:val="63"/>
    <w:qFormat/>
    <w:uiPriority w:val="0"/>
    <w:pPr>
      <w:snapToGrid w:val="0"/>
      <w:ind w:firstLine="200" w:firstLineChars="200"/>
    </w:pPr>
    <w:rPr>
      <w:kern w:val="0"/>
    </w:rPr>
  </w:style>
  <w:style w:type="paragraph" w:customStyle="1" w:styleId="63">
    <w:name w:val="标准文件_段"/>
    <w:link w:val="19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
    <w:name w:val="标准文件_版本"/>
    <w:basedOn w:val="62"/>
    <w:qFormat/>
    <w:uiPriority w:val="0"/>
    <w:pPr>
      <w:adjustRightInd/>
      <w:snapToGrid/>
      <w:ind w:firstLine="0" w:firstLineChars="0"/>
    </w:pPr>
    <w:rPr>
      <w:rFonts w:ascii="宋体" w:hAnsi="宋体"/>
      <w:kern w:val="2"/>
    </w:rPr>
  </w:style>
  <w:style w:type="paragraph" w:customStyle="1" w:styleId="65">
    <w:name w:val="标准文件_标准部门"/>
    <w:basedOn w:val="1"/>
    <w:qFormat/>
    <w:uiPriority w:val="0"/>
    <w:pPr>
      <w:jc w:val="center"/>
    </w:pPr>
    <w:rPr>
      <w:rFonts w:ascii="黑体" w:eastAsia="黑体"/>
      <w:kern w:val="0"/>
      <w:sz w:val="44"/>
    </w:rPr>
  </w:style>
  <w:style w:type="paragraph" w:customStyle="1" w:styleId="66">
    <w:name w:val="标准文件_标准代替"/>
    <w:basedOn w:val="1"/>
    <w:next w:val="1"/>
    <w:qFormat/>
    <w:uiPriority w:val="0"/>
    <w:pPr>
      <w:spacing w:line="310" w:lineRule="exact"/>
      <w:jc w:val="right"/>
    </w:pPr>
    <w:rPr>
      <w:rFonts w:ascii="宋体" w:hAnsi="宋体"/>
      <w:kern w:val="0"/>
    </w:rPr>
  </w:style>
  <w:style w:type="paragraph" w:customStyle="1" w:styleId="67">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9">
    <w:name w:val="标准文件_页眉偶数页"/>
    <w:basedOn w:val="68"/>
    <w:next w:val="1"/>
    <w:qFormat/>
    <w:uiPriority w:val="0"/>
    <w:pPr>
      <w:jc w:val="left"/>
    </w:pPr>
  </w:style>
  <w:style w:type="paragraph" w:customStyle="1" w:styleId="70">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71">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2">
    <w:name w:val="标准文件_二级条标题"/>
    <w:next w:val="63"/>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3">
    <w:name w:val="标准文件_发布"/>
    <w:qFormat/>
    <w:uiPriority w:val="0"/>
    <w:rPr>
      <w:rFonts w:ascii="黑体" w:eastAsia="黑体"/>
      <w:spacing w:val="0"/>
      <w:w w:val="100"/>
      <w:position w:val="3"/>
      <w:sz w:val="28"/>
    </w:rPr>
  </w:style>
  <w:style w:type="paragraph" w:customStyle="1" w:styleId="74">
    <w:name w:val="标准文件_方框数字列项"/>
    <w:basedOn w:val="63"/>
    <w:qFormat/>
    <w:uiPriority w:val="0"/>
    <w:pPr>
      <w:numPr>
        <w:ilvl w:val="0"/>
        <w:numId w:val="3"/>
      </w:numPr>
      <w:ind w:firstLine="0" w:firstLineChars="0"/>
    </w:pPr>
  </w:style>
  <w:style w:type="paragraph" w:customStyle="1" w:styleId="75">
    <w:name w:val="标准文件_封面标准编号"/>
    <w:basedOn w:val="1"/>
    <w:next w:val="66"/>
    <w:qFormat/>
    <w:uiPriority w:val="0"/>
    <w:pPr>
      <w:spacing w:line="310" w:lineRule="exact"/>
      <w:jc w:val="right"/>
    </w:pPr>
    <w:rPr>
      <w:rFonts w:ascii="黑体" w:eastAsia="黑体"/>
      <w:kern w:val="0"/>
      <w:sz w:val="28"/>
    </w:rPr>
  </w:style>
  <w:style w:type="paragraph" w:customStyle="1" w:styleId="76">
    <w:name w:val="标准文件_封面标准分类号"/>
    <w:basedOn w:val="1"/>
    <w:qFormat/>
    <w:uiPriority w:val="0"/>
    <w:rPr>
      <w:rFonts w:ascii="黑体" w:eastAsia="黑体"/>
      <w:b/>
      <w:kern w:val="0"/>
      <w:sz w:val="28"/>
    </w:rPr>
  </w:style>
  <w:style w:type="paragraph" w:customStyle="1" w:styleId="77">
    <w:name w:val="标准文件_封面标准名称"/>
    <w:basedOn w:val="1"/>
    <w:qFormat/>
    <w:uiPriority w:val="0"/>
    <w:pPr>
      <w:spacing w:line="240" w:lineRule="auto"/>
      <w:jc w:val="center"/>
    </w:pPr>
    <w:rPr>
      <w:rFonts w:ascii="黑体" w:eastAsia="黑体"/>
      <w:kern w:val="0"/>
      <w:sz w:val="52"/>
    </w:rPr>
  </w:style>
  <w:style w:type="paragraph" w:customStyle="1" w:styleId="78">
    <w:name w:val="标准文件_封面标准英文名称"/>
    <w:basedOn w:val="1"/>
    <w:qFormat/>
    <w:uiPriority w:val="0"/>
    <w:pPr>
      <w:spacing w:line="240" w:lineRule="auto"/>
      <w:jc w:val="center"/>
    </w:pPr>
    <w:rPr>
      <w:rFonts w:ascii="黑体" w:eastAsia="黑体"/>
      <w:b/>
      <w:sz w:val="28"/>
    </w:rPr>
  </w:style>
  <w:style w:type="paragraph" w:customStyle="1" w:styleId="79">
    <w:name w:val="标准文件_封面发布日期"/>
    <w:basedOn w:val="1"/>
    <w:qFormat/>
    <w:uiPriority w:val="0"/>
    <w:pPr>
      <w:spacing w:line="310" w:lineRule="exact"/>
    </w:pPr>
    <w:rPr>
      <w:rFonts w:ascii="黑体" w:eastAsia="黑体"/>
      <w:kern w:val="0"/>
      <w:sz w:val="28"/>
    </w:rPr>
  </w:style>
  <w:style w:type="paragraph" w:customStyle="1" w:styleId="80">
    <w:name w:val="标准文件_封面密级"/>
    <w:basedOn w:val="1"/>
    <w:qFormat/>
    <w:uiPriority w:val="0"/>
    <w:rPr>
      <w:rFonts w:eastAsia="黑体"/>
      <w:sz w:val="32"/>
    </w:rPr>
  </w:style>
  <w:style w:type="paragraph" w:customStyle="1" w:styleId="81">
    <w:name w:val="标准文件_封面实施日期"/>
    <w:basedOn w:val="1"/>
    <w:qFormat/>
    <w:uiPriority w:val="0"/>
    <w:pPr>
      <w:spacing w:line="310" w:lineRule="exact"/>
      <w:jc w:val="right"/>
    </w:pPr>
    <w:rPr>
      <w:rFonts w:ascii="黑体" w:eastAsia="黑体"/>
      <w:sz w:val="28"/>
    </w:rPr>
  </w:style>
  <w:style w:type="paragraph" w:customStyle="1" w:styleId="82">
    <w:name w:val="标准文件_封面抬头"/>
    <w:basedOn w:val="63"/>
    <w:qFormat/>
    <w:uiPriority w:val="0"/>
    <w:pPr>
      <w:adjustRightInd w:val="0"/>
      <w:spacing w:line="800" w:lineRule="exact"/>
      <w:ind w:firstLine="0" w:firstLineChars="0"/>
      <w:jc w:val="distribute"/>
    </w:pPr>
    <w:rPr>
      <w:rFonts w:ascii="黑体" w:eastAsia="黑体"/>
      <w:b/>
      <w:sz w:val="64"/>
    </w:rPr>
  </w:style>
  <w:style w:type="paragraph" w:customStyle="1" w:styleId="83">
    <w:name w:val="标准文件_附录标识"/>
    <w:next w:val="63"/>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4">
    <w:name w:val="标准文件_附录表标题"/>
    <w:next w:val="63"/>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5">
    <w:name w:val="标准文件_附录一级条标题"/>
    <w:next w:val="63"/>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6">
    <w:name w:val="标准文件_附录二级条标题"/>
    <w:basedOn w:val="85"/>
    <w:next w:val="63"/>
    <w:qFormat/>
    <w:uiPriority w:val="0"/>
    <w:pPr>
      <w:widowControl/>
      <w:numPr>
        <w:ilvl w:val="2"/>
      </w:numPr>
      <w:wordWrap w:val="0"/>
      <w:overflowPunct w:val="0"/>
      <w:autoSpaceDE w:val="0"/>
      <w:autoSpaceDN w:val="0"/>
      <w:textAlignment w:val="baseline"/>
      <w:outlineLvl w:val="3"/>
    </w:pPr>
  </w:style>
  <w:style w:type="paragraph" w:customStyle="1" w:styleId="87">
    <w:name w:val="标准文件_附录公式"/>
    <w:basedOn w:val="62"/>
    <w:next w:val="62"/>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8">
    <w:name w:val="标准文件_附录三级条标题"/>
    <w:next w:val="63"/>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9">
    <w:name w:val="标准文件_附录四级条标题"/>
    <w:next w:val="63"/>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0">
    <w:name w:val="标准文件_附录图标题"/>
    <w:next w:val="63"/>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1">
    <w:name w:val="标准文件_附录五级条标题"/>
    <w:next w:val="63"/>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2">
    <w:name w:val="标准文件_附录英文标识"/>
    <w:next w:val="16"/>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3">
    <w:name w:val="正文文本 Char"/>
    <w:link w:val="16"/>
    <w:qFormat/>
    <w:uiPriority w:val="0"/>
    <w:rPr>
      <w:rFonts w:ascii="Times New Roman" w:hAnsi="Times New Roman" w:eastAsia="宋体" w:cs="Times New Roman"/>
      <w:szCs w:val="20"/>
    </w:rPr>
  </w:style>
  <w:style w:type="paragraph" w:customStyle="1" w:styleId="94">
    <w:name w:val="标准文件_附录章标题"/>
    <w:next w:val="6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标准文件_公式后的破折号"/>
    <w:basedOn w:val="63"/>
    <w:next w:val="63"/>
    <w:qFormat/>
    <w:uiPriority w:val="0"/>
    <w:pPr>
      <w:ind w:left="488" w:leftChars="200" w:hanging="289" w:hangingChars="290"/>
    </w:pPr>
  </w:style>
  <w:style w:type="paragraph" w:customStyle="1" w:styleId="96">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7">
    <w:name w:val="标准文件_目次、标准名称标题"/>
    <w:basedOn w:val="96"/>
    <w:next w:val="63"/>
    <w:qFormat/>
    <w:uiPriority w:val="0"/>
    <w:pPr>
      <w:spacing w:line="460" w:lineRule="exact"/>
    </w:pPr>
  </w:style>
  <w:style w:type="paragraph" w:customStyle="1" w:styleId="98">
    <w:name w:val="标准文件_目录标题"/>
    <w:basedOn w:val="1"/>
    <w:qFormat/>
    <w:uiPriority w:val="0"/>
    <w:pPr>
      <w:spacing w:after="150" w:afterLines="150" w:line="240" w:lineRule="auto"/>
      <w:jc w:val="center"/>
    </w:pPr>
    <w:rPr>
      <w:rFonts w:ascii="黑体" w:eastAsia="黑体"/>
      <w:sz w:val="32"/>
    </w:rPr>
  </w:style>
  <w:style w:type="paragraph" w:customStyle="1" w:styleId="99">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0">
    <w:name w:val="标准文件_破折号列项（二级）"/>
    <w:basedOn w:val="99"/>
    <w:qFormat/>
    <w:uiPriority w:val="0"/>
    <w:pPr>
      <w:numPr>
        <w:numId w:val="10"/>
      </w:numPr>
      <w:ind w:left="0" w:firstLine="200"/>
    </w:pPr>
  </w:style>
  <w:style w:type="paragraph" w:customStyle="1" w:styleId="101">
    <w:name w:val="标准文件_三级条标题"/>
    <w:basedOn w:val="72"/>
    <w:next w:val="63"/>
    <w:qFormat/>
    <w:uiPriority w:val="0"/>
    <w:pPr>
      <w:widowControl/>
      <w:numPr>
        <w:ilvl w:val="4"/>
      </w:numPr>
      <w:outlineLvl w:val="3"/>
    </w:pPr>
  </w:style>
  <w:style w:type="character" w:customStyle="1" w:styleId="102">
    <w:name w:val="不明显参考1"/>
    <w:qFormat/>
    <w:uiPriority w:val="31"/>
    <w:rPr>
      <w:smallCaps/>
      <w:color w:val="C0504D"/>
      <w:u w:val="single"/>
    </w:rPr>
  </w:style>
  <w:style w:type="paragraph" w:customStyle="1" w:styleId="103">
    <w:name w:val="标准文件_示例后续"/>
    <w:basedOn w:val="1"/>
    <w:qFormat/>
    <w:uiPriority w:val="0"/>
    <w:pPr>
      <w:adjustRightInd/>
      <w:spacing w:line="240" w:lineRule="auto"/>
      <w:ind w:firstLine="200" w:firstLineChars="200"/>
    </w:pPr>
    <w:rPr>
      <w:sz w:val="18"/>
      <w:szCs w:val="24"/>
    </w:rPr>
  </w:style>
  <w:style w:type="paragraph" w:customStyle="1" w:styleId="104">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5">
    <w:name w:val="标准文件_四级条标题"/>
    <w:next w:val="63"/>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6">
    <w:name w:val="脚注文本 Char"/>
    <w:link w:val="26"/>
    <w:semiHidden/>
    <w:qFormat/>
    <w:uiPriority w:val="0"/>
    <w:rPr>
      <w:rFonts w:ascii="宋体" w:hAnsi="Times New Roman" w:eastAsia="宋体" w:cs="Times New Roman"/>
      <w:sz w:val="18"/>
      <w:szCs w:val="18"/>
    </w:rPr>
  </w:style>
  <w:style w:type="paragraph" w:customStyle="1" w:styleId="107">
    <w:name w:val="标准文件_条文脚注"/>
    <w:basedOn w:val="26"/>
    <w:qFormat/>
    <w:uiPriority w:val="0"/>
    <w:pPr>
      <w:adjustRightInd w:val="0"/>
      <w:spacing w:line="240" w:lineRule="auto"/>
      <w:ind w:left="0" w:leftChars="0" w:firstLine="200" w:firstLineChars="200"/>
      <w:jc w:val="both"/>
    </w:pPr>
    <w:rPr>
      <w:rFonts w:hAnsi="宋体"/>
    </w:rPr>
  </w:style>
  <w:style w:type="paragraph" w:customStyle="1" w:styleId="108">
    <w:name w:val="标准文件_图表脚注"/>
    <w:basedOn w:val="1"/>
    <w:next w:val="63"/>
    <w:qFormat/>
    <w:uiPriority w:val="0"/>
    <w:pPr>
      <w:numPr>
        <w:ilvl w:val="0"/>
        <w:numId w:val="12"/>
      </w:numPr>
      <w:spacing w:line="240" w:lineRule="auto"/>
      <w:jc w:val="left"/>
    </w:pPr>
    <w:rPr>
      <w:rFonts w:ascii="宋体" w:hAnsi="宋体"/>
      <w:sz w:val="18"/>
    </w:rPr>
  </w:style>
  <w:style w:type="character" w:customStyle="1" w:styleId="109">
    <w:name w:val="标准文件_图表脚注内容"/>
    <w:qFormat/>
    <w:uiPriority w:val="0"/>
    <w:rPr>
      <w:rFonts w:ascii="宋体" w:hAnsi="宋体" w:eastAsia="宋体" w:cs="Times New Roman"/>
      <w:spacing w:val="0"/>
      <w:sz w:val="18"/>
      <w:vertAlign w:val="superscript"/>
    </w:rPr>
  </w:style>
  <w:style w:type="paragraph" w:customStyle="1" w:styleId="110">
    <w:name w:val="标准文件_五级条标题"/>
    <w:next w:val="63"/>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1">
    <w:name w:val="标准文件_章标题"/>
    <w:next w:val="63"/>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2">
    <w:name w:val="标准文件_一级条标题"/>
    <w:basedOn w:val="111"/>
    <w:next w:val="63"/>
    <w:qFormat/>
    <w:uiPriority w:val="0"/>
    <w:pPr>
      <w:numPr>
        <w:ilvl w:val="2"/>
      </w:numPr>
      <w:spacing w:before="50" w:beforeLines="50" w:after="50" w:afterLines="50"/>
      <w:outlineLvl w:val="1"/>
    </w:pPr>
  </w:style>
  <w:style w:type="paragraph" w:customStyle="1" w:styleId="113">
    <w:name w:val="标准文件_一致程度"/>
    <w:basedOn w:val="1"/>
    <w:qFormat/>
    <w:uiPriority w:val="0"/>
    <w:pPr>
      <w:spacing w:line="440" w:lineRule="exact"/>
      <w:jc w:val="center"/>
    </w:pPr>
    <w:rPr>
      <w:sz w:val="28"/>
    </w:rPr>
  </w:style>
  <w:style w:type="paragraph" w:customStyle="1" w:styleId="114">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5">
    <w:name w:val="标准文件_英文图表脚注"/>
    <w:basedOn w:val="62"/>
    <w:qFormat/>
    <w:uiPriority w:val="0"/>
    <w:pPr>
      <w:widowControl/>
      <w:adjustRightInd/>
      <w:snapToGrid/>
      <w:spacing w:line="240" w:lineRule="auto"/>
      <w:ind w:left="79" w:hanging="79" w:hangingChars="80"/>
    </w:pPr>
    <w:rPr>
      <w:rFonts w:ascii="宋体" w:hAnsi="宋体"/>
    </w:rPr>
  </w:style>
  <w:style w:type="paragraph" w:customStyle="1" w:styleId="116">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7">
    <w:name w:val="标准文件_英文注："/>
    <w:basedOn w:val="1"/>
    <w:next w:val="63"/>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8">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9">
    <w:name w:val="标准文件_正文表标题"/>
    <w:next w:val="63"/>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公式"/>
    <w:basedOn w:val="1"/>
    <w:next w:val="62"/>
    <w:qFormat/>
    <w:uiPriority w:val="0"/>
    <w:pPr>
      <w:tabs>
        <w:tab w:val="center" w:pos="4678"/>
        <w:tab w:val="right" w:leader="middleDot" w:pos="9356"/>
      </w:tabs>
      <w:spacing w:line="240" w:lineRule="auto"/>
    </w:pPr>
    <w:rPr>
      <w:rFonts w:ascii="宋体" w:hAnsi="宋体"/>
    </w:rPr>
  </w:style>
  <w:style w:type="paragraph" w:customStyle="1" w:styleId="121">
    <w:name w:val="标准文件_正文图标题"/>
    <w:next w:val="63"/>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2">
    <w:name w:val="标准文件_正文英文表标题"/>
    <w:next w:val="63"/>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3">
    <w:name w:val="标准文件_正文英文图标题"/>
    <w:next w:val="63"/>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4">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5">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6">
    <w:name w:val="发布部门"/>
    <w:next w:val="6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8">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2">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3">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4">
    <w:name w:val="封面正文"/>
    <w:qFormat/>
    <w:uiPriority w:val="0"/>
    <w:pPr>
      <w:jc w:val="both"/>
    </w:pPr>
    <w:rPr>
      <w:rFonts w:ascii="Times New Roman" w:hAnsi="Times New Roman" w:eastAsia="宋体" w:cs="Times New Roman"/>
      <w:lang w:val="en-US" w:eastAsia="zh-CN" w:bidi="ar-SA"/>
    </w:rPr>
  </w:style>
  <w:style w:type="paragraph" w:customStyle="1" w:styleId="135">
    <w:name w:val="附录二级无标题条"/>
    <w:basedOn w:val="1"/>
    <w:next w:val="63"/>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6">
    <w:name w:val="附录三级无标题条"/>
    <w:basedOn w:val="135"/>
    <w:next w:val="63"/>
    <w:qFormat/>
    <w:uiPriority w:val="0"/>
    <w:pPr>
      <w:outlineLvl w:val="4"/>
    </w:pPr>
  </w:style>
  <w:style w:type="paragraph" w:customStyle="1" w:styleId="137">
    <w:name w:val="附录四级无标题条"/>
    <w:basedOn w:val="136"/>
    <w:next w:val="63"/>
    <w:qFormat/>
    <w:uiPriority w:val="0"/>
    <w:pPr>
      <w:outlineLvl w:val="5"/>
    </w:pPr>
  </w:style>
  <w:style w:type="paragraph" w:customStyle="1" w:styleId="138">
    <w:name w:val="附录图"/>
    <w:next w:val="63"/>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9">
    <w:name w:val="标准文件_一级项"/>
    <w:qFormat/>
    <w:uiPriority w:val="0"/>
    <w:pPr>
      <w:tabs>
        <w:tab w:val="left" w:pos="851"/>
      </w:tabs>
      <w:ind w:left="851" w:hanging="426"/>
    </w:pPr>
    <w:rPr>
      <w:rFonts w:ascii="宋体" w:hAnsi="Times New Roman" w:eastAsia="宋体" w:cs="Times New Roman"/>
      <w:sz w:val="21"/>
      <w:lang w:val="en-US" w:eastAsia="zh-CN" w:bidi="ar-SA"/>
    </w:rPr>
  </w:style>
  <w:style w:type="paragraph" w:customStyle="1" w:styleId="140">
    <w:name w:val="附录五级无标题条"/>
    <w:basedOn w:val="137"/>
    <w:next w:val="63"/>
    <w:qFormat/>
    <w:uiPriority w:val="0"/>
    <w:pPr>
      <w:outlineLvl w:val="6"/>
    </w:pPr>
  </w:style>
  <w:style w:type="paragraph" w:customStyle="1" w:styleId="141">
    <w:name w:val="附录性质"/>
    <w:basedOn w:val="1"/>
    <w:qFormat/>
    <w:uiPriority w:val="0"/>
    <w:pPr>
      <w:widowControl/>
      <w:adjustRightInd/>
      <w:jc w:val="center"/>
    </w:pPr>
    <w:rPr>
      <w:rFonts w:ascii="黑体" w:eastAsia="黑体"/>
    </w:rPr>
  </w:style>
  <w:style w:type="paragraph" w:customStyle="1" w:styleId="142">
    <w:name w:val="附录一级无标题条"/>
    <w:basedOn w:val="94"/>
    <w:next w:val="63"/>
    <w:qFormat/>
    <w:uiPriority w:val="0"/>
    <w:pPr>
      <w:autoSpaceDN w:val="0"/>
      <w:outlineLvl w:val="2"/>
    </w:pPr>
    <w:rPr>
      <w:rFonts w:ascii="宋体" w:hAnsi="宋体" w:eastAsia="宋体"/>
    </w:rPr>
  </w:style>
  <w:style w:type="character" w:customStyle="1" w:styleId="143">
    <w:name w:val="个人答复风格"/>
    <w:qFormat/>
    <w:uiPriority w:val="0"/>
    <w:rPr>
      <w:rFonts w:ascii="Arial" w:hAnsi="Arial" w:eastAsia="宋体" w:cs="Arial"/>
      <w:color w:val="auto"/>
      <w:spacing w:val="0"/>
      <w:sz w:val="20"/>
    </w:rPr>
  </w:style>
  <w:style w:type="character" w:customStyle="1" w:styleId="144">
    <w:name w:val="个人撰写风格"/>
    <w:qFormat/>
    <w:uiPriority w:val="0"/>
    <w:rPr>
      <w:rFonts w:ascii="Arial" w:hAnsi="Arial" w:eastAsia="宋体" w:cs="Arial"/>
      <w:color w:val="auto"/>
      <w:spacing w:val="0"/>
      <w:sz w:val="20"/>
    </w:rPr>
  </w:style>
  <w:style w:type="paragraph" w:customStyle="1" w:styleId="145">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6">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7">
    <w:name w:val="列项·"/>
    <w:basedOn w:val="63"/>
    <w:qFormat/>
    <w:uiPriority w:val="0"/>
    <w:pPr>
      <w:tabs>
        <w:tab w:val="left" w:pos="840"/>
      </w:tabs>
    </w:pPr>
  </w:style>
  <w:style w:type="paragraph" w:customStyle="1" w:styleId="14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9">
    <w:name w:val="目录 21"/>
    <w:basedOn w:val="1"/>
    <w:next w:val="1"/>
    <w:semiHidden/>
    <w:qFormat/>
    <w:uiPriority w:val="0"/>
    <w:pPr>
      <w:adjustRightInd/>
      <w:spacing w:line="240" w:lineRule="auto"/>
      <w:jc w:val="left"/>
    </w:pPr>
    <w:rPr>
      <w:bCs/>
      <w:iCs/>
    </w:rPr>
  </w:style>
  <w:style w:type="paragraph" w:customStyle="1" w:styleId="150">
    <w:name w:val="目录 31"/>
    <w:basedOn w:val="1"/>
    <w:next w:val="1"/>
    <w:semiHidden/>
    <w:qFormat/>
    <w:uiPriority w:val="0"/>
    <w:pPr>
      <w:spacing w:line="240" w:lineRule="auto"/>
    </w:pPr>
    <w:rPr>
      <w:rFonts w:ascii="宋体" w:hAnsi="宋体"/>
      <w:iCs/>
    </w:rPr>
  </w:style>
  <w:style w:type="paragraph" w:customStyle="1" w:styleId="151">
    <w:name w:val="目录 41"/>
    <w:basedOn w:val="1"/>
    <w:next w:val="1"/>
    <w:semiHidden/>
    <w:qFormat/>
    <w:uiPriority w:val="0"/>
    <w:pPr>
      <w:adjustRightInd/>
      <w:spacing w:line="240" w:lineRule="auto"/>
      <w:jc w:val="left"/>
    </w:pPr>
  </w:style>
  <w:style w:type="paragraph" w:customStyle="1" w:styleId="152">
    <w:name w:val="目录 51"/>
    <w:basedOn w:val="1"/>
    <w:next w:val="1"/>
    <w:semiHidden/>
    <w:qFormat/>
    <w:uiPriority w:val="0"/>
    <w:pPr>
      <w:spacing w:line="240" w:lineRule="auto"/>
    </w:pPr>
    <w:rPr>
      <w:rFonts w:ascii="宋体" w:hAnsi="宋体"/>
    </w:rPr>
  </w:style>
  <w:style w:type="paragraph" w:customStyle="1" w:styleId="153">
    <w:name w:val="目录 61"/>
    <w:basedOn w:val="1"/>
    <w:next w:val="1"/>
    <w:semiHidden/>
    <w:qFormat/>
    <w:uiPriority w:val="0"/>
    <w:pPr>
      <w:adjustRightInd/>
      <w:spacing w:line="240" w:lineRule="auto"/>
      <w:jc w:val="left"/>
    </w:pPr>
  </w:style>
  <w:style w:type="paragraph" w:customStyle="1" w:styleId="154">
    <w:name w:val="目录 71"/>
    <w:basedOn w:val="153"/>
    <w:semiHidden/>
    <w:qFormat/>
    <w:uiPriority w:val="0"/>
    <w:pPr>
      <w:ind w:left="1260"/>
    </w:pPr>
  </w:style>
  <w:style w:type="paragraph" w:customStyle="1" w:styleId="155">
    <w:name w:val="目录 81"/>
    <w:basedOn w:val="154"/>
    <w:semiHidden/>
    <w:qFormat/>
    <w:uiPriority w:val="0"/>
    <w:pPr>
      <w:ind w:left="1470"/>
    </w:pPr>
  </w:style>
  <w:style w:type="paragraph" w:customStyle="1" w:styleId="156">
    <w:name w:val="目录 91"/>
    <w:basedOn w:val="155"/>
    <w:semiHidden/>
    <w:qFormat/>
    <w:uiPriority w:val="0"/>
    <w:pPr>
      <w:ind w:left="1680"/>
    </w:pPr>
  </w:style>
  <w:style w:type="paragraph" w:customStyle="1" w:styleId="15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8">
    <w:name w:val="其他发布部门"/>
    <w:basedOn w:val="126"/>
    <w:qFormat/>
    <w:uiPriority w:val="0"/>
    <w:pPr>
      <w:framePr/>
      <w:spacing w:line="0" w:lineRule="atLeast"/>
    </w:pPr>
    <w:rPr>
      <w:rFonts w:ascii="黑体" w:eastAsia="黑体"/>
      <w:b w:val="0"/>
    </w:rPr>
  </w:style>
  <w:style w:type="paragraph" w:customStyle="1" w:styleId="159">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0">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1">
    <w:name w:val="实施日期"/>
    <w:basedOn w:val="127"/>
    <w:qFormat/>
    <w:uiPriority w:val="0"/>
    <w:pPr>
      <w:framePr w:hSpace="0" w:xAlign="right"/>
      <w:jc w:val="right"/>
    </w:pPr>
  </w:style>
  <w:style w:type="paragraph" w:customStyle="1" w:styleId="162">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4">
    <w:name w:val="无标题条"/>
    <w:next w:val="63"/>
    <w:qFormat/>
    <w:uiPriority w:val="0"/>
    <w:pPr>
      <w:jc w:val="both"/>
    </w:pPr>
    <w:rPr>
      <w:rFonts w:ascii="宋体" w:hAnsi="宋体" w:eastAsia="宋体" w:cs="Times New Roman"/>
      <w:sz w:val="21"/>
      <w:lang w:val="en-US" w:eastAsia="zh-CN" w:bidi="ar-SA"/>
    </w:rPr>
  </w:style>
  <w:style w:type="paragraph" w:customStyle="1" w:styleId="165">
    <w:name w:val="五级无标题条"/>
    <w:basedOn w:val="1"/>
    <w:qFormat/>
    <w:uiPriority w:val="0"/>
    <w:pPr>
      <w:numPr>
        <w:ilvl w:val="6"/>
        <w:numId w:val="20"/>
      </w:numPr>
      <w:adjustRightInd/>
    </w:pPr>
    <w:rPr>
      <w:szCs w:val="24"/>
    </w:rPr>
  </w:style>
  <w:style w:type="paragraph" w:customStyle="1" w:styleId="166">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7">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8">
    <w:name w:val="注×:后续"/>
    <w:basedOn w:val="167"/>
    <w:qFormat/>
    <w:uiPriority w:val="0"/>
    <w:pPr>
      <w:ind w:left="1406" w:leftChars="0" w:hanging="499" w:firstLineChars="0"/>
    </w:pPr>
  </w:style>
  <w:style w:type="paragraph" w:customStyle="1" w:styleId="169">
    <w:name w:val="标准文件_一级无标题"/>
    <w:basedOn w:val="112"/>
    <w:qFormat/>
    <w:uiPriority w:val="0"/>
    <w:pPr>
      <w:spacing w:before="0" w:beforeLines="0" w:after="0" w:afterLines="0"/>
      <w:outlineLvl w:val="9"/>
    </w:pPr>
    <w:rPr>
      <w:rFonts w:ascii="宋体" w:eastAsia="宋体"/>
    </w:rPr>
  </w:style>
  <w:style w:type="paragraph" w:customStyle="1" w:styleId="170">
    <w:name w:val="标准文件_五级无标题"/>
    <w:basedOn w:val="110"/>
    <w:qFormat/>
    <w:uiPriority w:val="0"/>
    <w:pPr>
      <w:spacing w:before="0" w:beforeLines="0" w:after="0" w:afterLines="0"/>
      <w:outlineLvl w:val="9"/>
    </w:pPr>
    <w:rPr>
      <w:rFonts w:ascii="宋体" w:eastAsia="宋体"/>
    </w:rPr>
  </w:style>
  <w:style w:type="paragraph" w:customStyle="1" w:styleId="171">
    <w:name w:val="标准文件_三级无标题"/>
    <w:basedOn w:val="101"/>
    <w:qFormat/>
    <w:uiPriority w:val="0"/>
    <w:pPr>
      <w:spacing w:before="0" w:beforeLines="0" w:after="0" w:afterLines="0"/>
      <w:outlineLvl w:val="9"/>
    </w:pPr>
    <w:rPr>
      <w:rFonts w:ascii="宋体" w:eastAsia="宋体"/>
    </w:rPr>
  </w:style>
  <w:style w:type="paragraph" w:customStyle="1" w:styleId="172">
    <w:name w:val="标准文件_二级无标题"/>
    <w:basedOn w:val="72"/>
    <w:qFormat/>
    <w:uiPriority w:val="0"/>
    <w:pPr>
      <w:spacing w:before="0" w:beforeLines="0" w:after="0" w:afterLines="0"/>
      <w:outlineLvl w:val="9"/>
    </w:pPr>
    <w:rPr>
      <w:rFonts w:ascii="宋体" w:eastAsia="宋体"/>
    </w:rPr>
  </w:style>
  <w:style w:type="paragraph" w:customStyle="1" w:styleId="173">
    <w:name w:val="标准_四级无标题"/>
    <w:basedOn w:val="105"/>
    <w:next w:val="63"/>
    <w:qFormat/>
    <w:uiPriority w:val="0"/>
    <w:rPr>
      <w:rFonts w:eastAsia="宋体"/>
    </w:rPr>
  </w:style>
  <w:style w:type="paragraph" w:customStyle="1" w:styleId="174">
    <w:name w:val="标准文件_四级无标题"/>
    <w:basedOn w:val="105"/>
    <w:qFormat/>
    <w:uiPriority w:val="0"/>
    <w:pPr>
      <w:spacing w:before="0" w:beforeLines="0" w:after="0" w:afterLines="0"/>
      <w:outlineLvl w:val="9"/>
    </w:pPr>
    <w:rPr>
      <w:rFonts w:ascii="宋体" w:hAnsi="黑体" w:eastAsia="宋体"/>
      <w:szCs w:val="52"/>
    </w:rPr>
  </w:style>
  <w:style w:type="paragraph" w:customStyle="1" w:styleId="175">
    <w:name w:val="标准文件_大写罗马数字编号列项"/>
    <w:basedOn w:val="63"/>
    <w:qFormat/>
    <w:uiPriority w:val="0"/>
    <w:pPr>
      <w:numPr>
        <w:ilvl w:val="0"/>
        <w:numId w:val="22"/>
      </w:numPr>
      <w:ind w:firstLine="0" w:firstLineChars="0"/>
    </w:pPr>
    <w:rPr>
      <w:rFonts w:ascii="Times New Roman" w:cs="Arial"/>
      <w:szCs w:val="28"/>
    </w:rPr>
  </w:style>
  <w:style w:type="paragraph" w:customStyle="1" w:styleId="176">
    <w:name w:val="标准文件_小写罗马数字编号列项"/>
    <w:basedOn w:val="63"/>
    <w:qFormat/>
    <w:uiPriority w:val="0"/>
    <w:pPr>
      <w:numPr>
        <w:ilvl w:val="0"/>
        <w:numId w:val="23"/>
      </w:numPr>
      <w:ind w:firstLine="0" w:firstLineChars="0"/>
    </w:pPr>
    <w:rPr>
      <w:rFonts w:cs="Arial"/>
      <w:szCs w:val="28"/>
    </w:rPr>
  </w:style>
  <w:style w:type="paragraph" w:customStyle="1" w:styleId="177">
    <w:name w:val="标准文件_附录标题"/>
    <w:basedOn w:val="83"/>
    <w:qFormat/>
    <w:uiPriority w:val="0"/>
    <w:pPr>
      <w:numPr>
        <w:numId w:val="0"/>
      </w:numPr>
      <w:spacing w:after="280"/>
      <w:outlineLvl w:val="9"/>
    </w:pPr>
  </w:style>
  <w:style w:type="paragraph" w:customStyle="1" w:styleId="178">
    <w:name w:val="标准文件_二级项"/>
    <w:qFormat/>
    <w:uiPriority w:val="0"/>
    <w:rPr>
      <w:rFonts w:ascii="宋体" w:hAnsi="Times New Roman" w:eastAsia="宋体" w:cs="Times New Roman"/>
      <w:sz w:val="21"/>
      <w:lang w:val="en-US" w:eastAsia="zh-CN" w:bidi="ar-SA"/>
    </w:rPr>
  </w:style>
  <w:style w:type="paragraph" w:customStyle="1" w:styleId="179">
    <w:name w:val="标准文件_三级项"/>
    <w:basedOn w:val="1"/>
    <w:qFormat/>
    <w:uiPriority w:val="0"/>
    <w:pPr>
      <w:numPr>
        <w:ilvl w:val="2"/>
        <w:numId w:val="24"/>
      </w:numPr>
      <w:spacing w:line="536870612" w:lineRule="auto"/>
    </w:pPr>
    <w:rPr>
      <w:rFonts w:ascii="Times New Roman" w:hAnsi="Times New Roman"/>
    </w:rPr>
  </w:style>
  <w:style w:type="paragraph" w:customStyle="1" w:styleId="180">
    <w:name w:val="图表脚注说明"/>
    <w:basedOn w:val="1"/>
    <w:next w:val="63"/>
    <w:qFormat/>
    <w:uiPriority w:val="0"/>
    <w:pPr>
      <w:numPr>
        <w:ilvl w:val="0"/>
        <w:numId w:val="25"/>
      </w:numPr>
      <w:adjustRightInd/>
      <w:spacing w:line="240" w:lineRule="auto"/>
      <w:ind w:left="783"/>
    </w:pPr>
    <w:rPr>
      <w:rFonts w:ascii="宋体" w:hAnsi="Times New Roman"/>
      <w:sz w:val="18"/>
      <w:szCs w:val="18"/>
    </w:rPr>
  </w:style>
  <w:style w:type="paragraph" w:customStyle="1" w:styleId="181">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 w:type="paragraph" w:customStyle="1" w:styleId="182">
    <w:name w:val="标准文件_索引字母"/>
    <w:next w:val="63"/>
    <w:qFormat/>
    <w:uiPriority w:val="0"/>
    <w:pPr>
      <w:jc w:val="center"/>
    </w:pPr>
    <w:rPr>
      <w:rFonts w:ascii="宋体" w:hAnsi="宋体" w:eastAsia="Times New Roman" w:cs="Times New Roman"/>
      <w:b/>
      <w:kern w:val="2"/>
      <w:sz w:val="21"/>
      <w:lang w:val="en-US" w:eastAsia="zh-CN" w:bidi="ar-SA"/>
    </w:rPr>
  </w:style>
  <w:style w:type="paragraph" w:customStyle="1" w:styleId="183">
    <w:name w:val="标准文件_附录前"/>
    <w:next w:val="63"/>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4">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5">
    <w:name w:val="标准文件_表格"/>
    <w:basedOn w:val="63"/>
    <w:qFormat/>
    <w:uiPriority w:val="0"/>
    <w:pPr>
      <w:ind w:firstLine="0" w:firstLineChars="0"/>
      <w:jc w:val="center"/>
    </w:pPr>
    <w:rPr>
      <w:sz w:val="18"/>
    </w:rPr>
  </w:style>
  <w:style w:type="paragraph" w:customStyle="1" w:styleId="186">
    <w:name w:val="标准文件_注："/>
    <w:next w:val="63"/>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8">
    <w:name w:val="标准文件_示例："/>
    <w:next w:val="189"/>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9">
    <w:name w:val="标准文件_示例内容"/>
    <w:basedOn w:val="63"/>
    <w:qFormat/>
    <w:uiPriority w:val="0"/>
    <w:pPr>
      <w:ind w:firstLine="420"/>
    </w:pPr>
    <w:rPr>
      <w:sz w:val="18"/>
    </w:rPr>
  </w:style>
  <w:style w:type="paragraph" w:customStyle="1" w:styleId="190">
    <w:name w:val="标准文件_示例×："/>
    <w:basedOn w:val="1"/>
    <w:next w:val="189"/>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1">
    <w:name w:val="标准文件_段 Char"/>
    <w:link w:val="63"/>
    <w:qFormat/>
    <w:uiPriority w:val="0"/>
    <w:rPr>
      <w:rFonts w:ascii="宋体" w:hAnsi="Times New Roman"/>
      <w:sz w:val="21"/>
    </w:rPr>
  </w:style>
  <w:style w:type="paragraph" w:customStyle="1" w:styleId="192">
    <w:name w:val="标准文件_表格续"/>
    <w:basedOn w:val="63"/>
    <w:next w:val="63"/>
    <w:qFormat/>
    <w:uiPriority w:val="0"/>
    <w:pPr>
      <w:jc w:val="center"/>
    </w:pPr>
    <w:rPr>
      <w:rFonts w:ascii="黑体" w:hAnsi="黑体" w:eastAsia="黑体"/>
    </w:rPr>
  </w:style>
  <w:style w:type="character" w:customStyle="1" w:styleId="193">
    <w:name w:val="Placeholder Text"/>
    <w:basedOn w:val="32"/>
    <w:semiHidden/>
    <w:qFormat/>
    <w:uiPriority w:val="99"/>
    <w:rPr>
      <w:color w:val="808080"/>
    </w:rPr>
  </w:style>
  <w:style w:type="paragraph" w:customStyle="1" w:styleId="194">
    <w:name w:val="标准文件_二级项2"/>
    <w:basedOn w:val="63"/>
    <w:qFormat/>
    <w:uiPriority w:val="0"/>
    <w:pPr>
      <w:numPr>
        <w:ilvl w:val="1"/>
        <w:numId w:val="24"/>
      </w:numPr>
      <w:ind w:left="1271" w:hanging="420" w:firstLineChars="0"/>
    </w:pPr>
  </w:style>
  <w:style w:type="paragraph" w:customStyle="1" w:styleId="195">
    <w:name w:val="标准文件_三级项2"/>
    <w:basedOn w:val="63"/>
    <w:qFormat/>
    <w:uiPriority w:val="0"/>
    <w:pPr>
      <w:numPr>
        <w:ilvl w:val="0"/>
        <w:numId w:val="30"/>
      </w:numPr>
      <w:spacing w:line="300" w:lineRule="exact"/>
      <w:ind w:left="1276" w:hanging="425" w:firstLineChars="0"/>
    </w:pPr>
    <w:rPr>
      <w:rFonts w:ascii="Times New Roman"/>
    </w:rPr>
  </w:style>
  <w:style w:type="paragraph" w:customStyle="1" w:styleId="196">
    <w:name w:val="标准文件_一级项2"/>
    <w:basedOn w:val="63"/>
    <w:qFormat/>
    <w:uiPriority w:val="0"/>
    <w:pPr>
      <w:numPr>
        <w:ilvl w:val="0"/>
        <w:numId w:val="31"/>
      </w:numPr>
      <w:spacing w:line="300" w:lineRule="exact"/>
      <w:ind w:left="1271" w:hanging="420" w:firstLineChars="0"/>
    </w:pPr>
    <w:rPr>
      <w:rFonts w:ascii="Times New Roman"/>
    </w:rPr>
  </w:style>
  <w:style w:type="paragraph" w:customStyle="1" w:styleId="197">
    <w:name w:val="标准文件_提示"/>
    <w:basedOn w:val="63"/>
    <w:next w:val="63"/>
    <w:qFormat/>
    <w:uiPriority w:val="0"/>
    <w:pPr>
      <w:ind w:firstLine="420"/>
    </w:pPr>
    <w:rPr>
      <w:rFonts w:ascii="黑体" w:eastAsia="黑体"/>
    </w:rPr>
  </w:style>
  <w:style w:type="character" w:customStyle="1" w:styleId="198">
    <w:name w:val="标准文件_来源"/>
    <w:basedOn w:val="32"/>
    <w:qFormat/>
    <w:uiPriority w:val="1"/>
    <w:rPr>
      <w:rFonts w:eastAsia="宋体"/>
      <w:sz w:val="21"/>
    </w:rPr>
  </w:style>
  <w:style w:type="paragraph" w:customStyle="1" w:styleId="199">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0">
    <w:name w:val="其他发布日期"/>
    <w:basedOn w:val="127"/>
    <w:qFormat/>
    <w:uiPriority w:val="0"/>
    <w:pPr>
      <w:framePr w:w="3997" w:h="471" w:hRule="exact" w:hSpace="0" w:vSpace="181" w:vAnchor="page" w:hAnchor="page" w:x="1419" w:y="14097"/>
    </w:pPr>
  </w:style>
  <w:style w:type="paragraph" w:customStyle="1" w:styleId="201">
    <w:name w:val="其他实施日期"/>
    <w:basedOn w:val="161"/>
    <w:qFormat/>
    <w:uiPriority w:val="0"/>
    <w:pPr>
      <w:framePr w:w="3997" w:h="471" w:hRule="exact" w:vSpace="181" w:vAnchor="page" w:hAnchor="page" w:x="7089" w:y="14097"/>
    </w:pPr>
  </w:style>
  <w:style w:type="paragraph" w:customStyle="1" w:styleId="202">
    <w:name w:val="标准文件_文件编号"/>
    <w:basedOn w:val="63"/>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3">
    <w:name w:val="标准文件_替换文件编号"/>
    <w:basedOn w:val="202"/>
    <w:qFormat/>
    <w:uiPriority w:val="0"/>
    <w:pPr>
      <w:spacing w:before="57"/>
    </w:pPr>
    <w:rPr>
      <w:sz w:val="21"/>
    </w:rPr>
  </w:style>
  <w:style w:type="paragraph" w:customStyle="1" w:styleId="204">
    <w:name w:val="标准文件_文件名称"/>
    <w:basedOn w:val="63"/>
    <w:next w:val="63"/>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5">
    <w:name w:val="标准文件_附录图标号"/>
    <w:basedOn w:val="63"/>
    <w:next w:val="6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6">
    <w:name w:val="标准文件_附录表标号"/>
    <w:basedOn w:val="63"/>
    <w:next w:val="63"/>
    <w:qFormat/>
    <w:uiPriority w:val="0"/>
    <w:pPr>
      <w:numPr>
        <w:ilvl w:val="0"/>
        <w:numId w:val="5"/>
      </w:numPr>
      <w:spacing w:line="14" w:lineRule="exact"/>
      <w:ind w:firstLine="0" w:firstLineChars="0"/>
      <w:jc w:val="center"/>
    </w:pPr>
    <w:rPr>
      <w:rFonts w:eastAsia="黑体"/>
      <w:vanish/>
      <w:sz w:val="2"/>
    </w:rPr>
  </w:style>
  <w:style w:type="paragraph" w:customStyle="1" w:styleId="207">
    <w:name w:val="标准文件_引言一级条标题"/>
    <w:basedOn w:val="63"/>
    <w:next w:val="63"/>
    <w:qFormat/>
    <w:uiPriority w:val="0"/>
    <w:pPr>
      <w:numPr>
        <w:ilvl w:val="1"/>
        <w:numId w:val="8"/>
      </w:numPr>
      <w:spacing w:before="50" w:beforeLines="50" w:after="50" w:afterLines="50"/>
      <w:ind w:firstLineChars="0"/>
    </w:pPr>
    <w:rPr>
      <w:rFonts w:ascii="黑体" w:eastAsia="黑体"/>
    </w:rPr>
  </w:style>
  <w:style w:type="paragraph" w:customStyle="1" w:styleId="208">
    <w:name w:val="标准文件_引言二级条标题"/>
    <w:basedOn w:val="63"/>
    <w:next w:val="63"/>
    <w:qFormat/>
    <w:uiPriority w:val="0"/>
    <w:pPr>
      <w:numPr>
        <w:ilvl w:val="2"/>
        <w:numId w:val="8"/>
      </w:numPr>
      <w:spacing w:before="50" w:beforeLines="50" w:after="50" w:afterLines="50"/>
      <w:ind w:firstLineChars="0"/>
    </w:pPr>
    <w:rPr>
      <w:rFonts w:ascii="黑体" w:eastAsia="黑体"/>
    </w:rPr>
  </w:style>
  <w:style w:type="paragraph" w:customStyle="1" w:styleId="209">
    <w:name w:val="标准文件_引言三级条标题"/>
    <w:basedOn w:val="63"/>
    <w:next w:val="63"/>
    <w:qFormat/>
    <w:uiPriority w:val="0"/>
    <w:pPr>
      <w:numPr>
        <w:ilvl w:val="3"/>
        <w:numId w:val="8"/>
      </w:numPr>
      <w:spacing w:before="50" w:beforeLines="50" w:after="50" w:afterLines="50"/>
      <w:ind w:firstLineChars="0"/>
    </w:pPr>
    <w:rPr>
      <w:rFonts w:ascii="黑体" w:eastAsia="黑体"/>
    </w:rPr>
  </w:style>
  <w:style w:type="paragraph" w:customStyle="1" w:styleId="210">
    <w:name w:val="标准文件_引言四级条标题"/>
    <w:basedOn w:val="63"/>
    <w:next w:val="63"/>
    <w:qFormat/>
    <w:uiPriority w:val="0"/>
    <w:pPr>
      <w:numPr>
        <w:ilvl w:val="4"/>
        <w:numId w:val="8"/>
      </w:numPr>
      <w:spacing w:before="50" w:beforeLines="50" w:after="50" w:afterLines="50"/>
      <w:ind w:firstLineChars="0"/>
    </w:pPr>
    <w:rPr>
      <w:rFonts w:ascii="黑体" w:eastAsia="黑体"/>
    </w:rPr>
  </w:style>
  <w:style w:type="paragraph" w:customStyle="1" w:styleId="211">
    <w:name w:val="标准文件_引言五级条标题"/>
    <w:basedOn w:val="63"/>
    <w:next w:val="63"/>
    <w:qFormat/>
    <w:uiPriority w:val="0"/>
    <w:pPr>
      <w:numPr>
        <w:ilvl w:val="5"/>
        <w:numId w:val="8"/>
      </w:numPr>
      <w:spacing w:before="50" w:beforeLines="50" w:after="50" w:afterLines="50"/>
      <w:ind w:firstLineChars="0"/>
    </w:pPr>
    <w:rPr>
      <w:rFonts w:ascii="黑体" w:eastAsia="黑体"/>
    </w:rPr>
  </w:style>
  <w:style w:type="paragraph" w:customStyle="1" w:styleId="212">
    <w:name w:val="标准文件_注后"/>
    <w:basedOn w:val="63"/>
    <w:qFormat/>
    <w:uiPriority w:val="0"/>
    <w:pPr>
      <w:ind w:left="811" w:firstLine="0" w:firstLineChars="0"/>
    </w:pPr>
    <w:rPr>
      <w:sz w:val="18"/>
    </w:rPr>
  </w:style>
  <w:style w:type="paragraph" w:customStyle="1" w:styleId="213">
    <w:name w:val="标准文件_注X后"/>
    <w:basedOn w:val="63"/>
    <w:qFormat/>
    <w:uiPriority w:val="0"/>
    <w:pPr>
      <w:ind w:left="811" w:firstLine="0" w:firstLineChars="0"/>
    </w:pPr>
    <w:rPr>
      <w:sz w:val="18"/>
    </w:rPr>
  </w:style>
  <w:style w:type="paragraph" w:customStyle="1" w:styleId="214">
    <w:name w:val="标准文件_示例后"/>
    <w:basedOn w:val="63"/>
    <w:qFormat/>
    <w:uiPriority w:val="0"/>
    <w:pPr>
      <w:ind w:left="964" w:firstLine="0" w:firstLineChars="0"/>
    </w:pPr>
    <w:rPr>
      <w:sz w:val="18"/>
    </w:rPr>
  </w:style>
  <w:style w:type="paragraph" w:customStyle="1" w:styleId="215">
    <w:name w:val="标准文件_示例X后"/>
    <w:basedOn w:val="63"/>
    <w:link w:val="216"/>
    <w:qFormat/>
    <w:uiPriority w:val="0"/>
    <w:pPr>
      <w:ind w:left="1049" w:firstLine="0" w:firstLineChars="0"/>
    </w:pPr>
    <w:rPr>
      <w:sz w:val="18"/>
    </w:rPr>
  </w:style>
  <w:style w:type="character" w:customStyle="1" w:styleId="216">
    <w:name w:val="标准文件_示例X后 字符"/>
    <w:basedOn w:val="191"/>
    <w:link w:val="215"/>
    <w:qFormat/>
    <w:uiPriority w:val="0"/>
    <w:rPr>
      <w:rFonts w:ascii="宋体" w:hAnsi="Times New Roman"/>
      <w:sz w:val="18"/>
    </w:rPr>
  </w:style>
  <w:style w:type="paragraph" w:customStyle="1" w:styleId="217">
    <w:name w:val="标准文件_索引项"/>
    <w:basedOn w:val="63"/>
    <w:next w:val="63"/>
    <w:qFormat/>
    <w:uiPriority w:val="0"/>
    <w:pPr>
      <w:tabs>
        <w:tab w:val="right" w:leader="dot" w:pos="9356"/>
      </w:tabs>
      <w:ind w:left="210" w:hanging="210" w:firstLineChars="0"/>
      <w:jc w:val="left"/>
    </w:pPr>
  </w:style>
  <w:style w:type="paragraph" w:customStyle="1" w:styleId="218">
    <w:name w:val="标准文件_附录一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二级无标题"/>
    <w:basedOn w:val="86"/>
    <w:qFormat/>
    <w:uiPriority w:val="0"/>
    <w:pPr>
      <w:spacing w:before="0" w:beforeLines="0" w:after="0" w:afterLines="0" w:line="276" w:lineRule="auto"/>
      <w:outlineLvl w:val="9"/>
    </w:pPr>
    <w:rPr>
      <w:rFonts w:ascii="宋体" w:eastAsia="宋体"/>
    </w:rPr>
  </w:style>
  <w:style w:type="paragraph" w:customStyle="1" w:styleId="220">
    <w:name w:val="标准文件_附录三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四级无标题"/>
    <w:basedOn w:val="89"/>
    <w:qFormat/>
    <w:uiPriority w:val="0"/>
    <w:pPr>
      <w:spacing w:before="0" w:beforeLines="0" w:after="0" w:afterLines="0" w:line="276" w:lineRule="auto"/>
      <w:outlineLvl w:val="9"/>
    </w:pPr>
    <w:rPr>
      <w:rFonts w:ascii="宋体" w:eastAsia="宋体"/>
    </w:rPr>
  </w:style>
  <w:style w:type="paragraph" w:customStyle="1" w:styleId="222">
    <w:name w:val="标准文件_附录五级无标题"/>
    <w:basedOn w:val="91"/>
    <w:qFormat/>
    <w:uiPriority w:val="0"/>
    <w:pPr>
      <w:spacing w:before="0" w:beforeLines="0" w:after="0" w:afterLines="0" w:line="276" w:lineRule="auto"/>
      <w:outlineLvl w:val="9"/>
    </w:pPr>
    <w:rPr>
      <w:rFonts w:ascii="宋体" w:eastAsia="宋体"/>
    </w:rPr>
  </w:style>
  <w:style w:type="paragraph" w:customStyle="1" w:styleId="223">
    <w:name w:val="标准文件_引言一级无标题"/>
    <w:basedOn w:val="207"/>
    <w:next w:val="63"/>
    <w:qFormat/>
    <w:uiPriority w:val="0"/>
    <w:pPr>
      <w:spacing w:before="0" w:beforeLines="0" w:after="0" w:afterLines="0" w:line="276" w:lineRule="auto"/>
    </w:pPr>
    <w:rPr>
      <w:rFonts w:ascii="宋体" w:eastAsia="宋体"/>
    </w:rPr>
  </w:style>
  <w:style w:type="paragraph" w:customStyle="1" w:styleId="224">
    <w:name w:val="标准文件_引言二级无标题"/>
    <w:basedOn w:val="208"/>
    <w:next w:val="63"/>
    <w:qFormat/>
    <w:uiPriority w:val="0"/>
    <w:pPr>
      <w:spacing w:before="0" w:beforeLines="0" w:after="0" w:afterLines="0" w:line="276" w:lineRule="auto"/>
    </w:pPr>
    <w:rPr>
      <w:rFonts w:ascii="宋体" w:eastAsia="宋体"/>
    </w:rPr>
  </w:style>
  <w:style w:type="paragraph" w:customStyle="1" w:styleId="225">
    <w:name w:val="标准文件_引言三级无标题"/>
    <w:basedOn w:val="209"/>
    <w:next w:val="63"/>
    <w:qFormat/>
    <w:uiPriority w:val="0"/>
    <w:pPr>
      <w:spacing w:before="0" w:beforeLines="0" w:after="0" w:afterLines="0" w:line="276" w:lineRule="auto"/>
    </w:pPr>
    <w:rPr>
      <w:rFonts w:ascii="宋体" w:eastAsia="宋体"/>
    </w:rPr>
  </w:style>
  <w:style w:type="paragraph" w:customStyle="1" w:styleId="226">
    <w:name w:val="标准文件_引言四级无标题"/>
    <w:basedOn w:val="210"/>
    <w:next w:val="63"/>
    <w:qFormat/>
    <w:uiPriority w:val="0"/>
    <w:pPr>
      <w:spacing w:before="0" w:beforeLines="0" w:after="0" w:afterLines="0" w:line="276" w:lineRule="auto"/>
    </w:pPr>
    <w:rPr>
      <w:rFonts w:ascii="宋体" w:eastAsia="宋体"/>
    </w:rPr>
  </w:style>
  <w:style w:type="paragraph" w:customStyle="1" w:styleId="227">
    <w:name w:val="标准文件_引言五级无标题"/>
    <w:basedOn w:val="211"/>
    <w:next w:val="63"/>
    <w:qFormat/>
    <w:uiPriority w:val="0"/>
    <w:pPr>
      <w:spacing w:before="0" w:beforeLines="0" w:after="0" w:afterLines="0" w:line="276" w:lineRule="auto"/>
    </w:pPr>
    <w:rPr>
      <w:rFonts w:ascii="宋体" w:eastAsia="宋体"/>
    </w:rPr>
  </w:style>
  <w:style w:type="paragraph" w:customStyle="1" w:styleId="228">
    <w:name w:val="标准文件_索引标题"/>
    <w:basedOn w:val="70"/>
    <w:next w:val="63"/>
    <w:qFormat/>
    <w:uiPriority w:val="0"/>
    <w:rPr>
      <w:rFonts w:hAnsi="黑体"/>
    </w:rPr>
  </w:style>
  <w:style w:type="paragraph" w:customStyle="1" w:styleId="229">
    <w:name w:val="标准文件_脚注内容"/>
    <w:basedOn w:val="63"/>
    <w:qFormat/>
    <w:uiPriority w:val="0"/>
    <w:pPr>
      <w:ind w:left="400" w:leftChars="200" w:hanging="200" w:hangingChars="200"/>
    </w:pPr>
    <w:rPr>
      <w:sz w:val="15"/>
    </w:rPr>
  </w:style>
  <w:style w:type="paragraph" w:customStyle="1" w:styleId="230">
    <w:name w:val="标准文件_术语条一"/>
    <w:basedOn w:val="169"/>
    <w:next w:val="63"/>
    <w:qFormat/>
    <w:uiPriority w:val="0"/>
  </w:style>
  <w:style w:type="paragraph" w:customStyle="1" w:styleId="231">
    <w:name w:val="标准文件_术语条二"/>
    <w:basedOn w:val="172"/>
    <w:next w:val="63"/>
    <w:qFormat/>
    <w:uiPriority w:val="0"/>
  </w:style>
  <w:style w:type="paragraph" w:customStyle="1" w:styleId="232">
    <w:name w:val="标准文件_术语条三"/>
    <w:basedOn w:val="171"/>
    <w:next w:val="63"/>
    <w:qFormat/>
    <w:uiPriority w:val="0"/>
  </w:style>
  <w:style w:type="paragraph" w:customStyle="1" w:styleId="233">
    <w:name w:val="标准文件_术语条四"/>
    <w:basedOn w:val="174"/>
    <w:next w:val="63"/>
    <w:qFormat/>
    <w:uiPriority w:val="0"/>
  </w:style>
  <w:style w:type="paragraph" w:customStyle="1" w:styleId="234">
    <w:name w:val="标准文件_术语条五"/>
    <w:basedOn w:val="170"/>
    <w:next w:val="63"/>
    <w:qFormat/>
    <w:uiPriority w:val="0"/>
  </w:style>
  <w:style w:type="character" w:customStyle="1" w:styleId="235">
    <w:name w:val="发布"/>
    <w:basedOn w:val="32"/>
    <w:qFormat/>
    <w:uiPriority w:val="0"/>
    <w:rPr>
      <w:rFonts w:ascii="黑体" w:eastAsia="黑体"/>
      <w:spacing w:val="85"/>
      <w:w w:val="100"/>
      <w:position w:val="3"/>
      <w:sz w:val="28"/>
      <w:szCs w:val="28"/>
    </w:rPr>
  </w:style>
  <w:style w:type="paragraph" w:customStyle="1" w:styleId="23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7">
    <w:name w:val="一级条标题"/>
    <w:next w:val="236"/>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8">
    <w:name w:val="二级条标题"/>
    <w:basedOn w:val="237"/>
    <w:next w:val="236"/>
    <w:qFormat/>
    <w:uiPriority w:val="0"/>
    <w:pPr>
      <w:numPr>
        <w:ilvl w:val="2"/>
      </w:numPr>
      <w:spacing w:before="50" w:after="50"/>
      <w:outlineLvl w:val="3"/>
    </w:pPr>
  </w:style>
  <w:style w:type="paragraph" w:customStyle="1" w:styleId="239">
    <w:name w:val="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240">
    <w:name w:val="列项——（一级）"/>
    <w:qFormat/>
    <w:uiPriority w:val="0"/>
    <w:pPr>
      <w:widowControl w:val="0"/>
      <w:numPr>
        <w:ilvl w:val="0"/>
        <w:numId w:val="24"/>
      </w:numPr>
      <w:jc w:val="both"/>
    </w:pPr>
    <w:rPr>
      <w:rFonts w:ascii="宋体" w:hAnsi="Times New Roman" w:eastAsia="宋体" w:cs="Times New Roman"/>
      <w:sz w:val="21"/>
      <w:lang w:val="en-US" w:eastAsia="zh-CN" w:bidi="ar-SA"/>
    </w:rPr>
  </w:style>
  <w:style w:type="character" w:customStyle="1" w:styleId="241">
    <w:name w:val="批注文字 Char"/>
    <w:basedOn w:val="32"/>
    <w:link w:val="12"/>
    <w:semiHidden/>
    <w:qFormat/>
    <w:uiPriority w:val="99"/>
    <w:rPr>
      <w:rFonts w:ascii="Calibri" w:hAnsi="Calibri"/>
      <w:kern w:val="2"/>
      <w:sz w:val="21"/>
      <w:szCs w:val="21"/>
    </w:rPr>
  </w:style>
  <w:style w:type="character" w:customStyle="1" w:styleId="242">
    <w:name w:val="批注主题 Char"/>
    <w:basedOn w:val="241"/>
    <w:link w:val="11"/>
    <w:semiHidden/>
    <w:qFormat/>
    <w:uiPriority w:val="99"/>
    <w:rPr>
      <w:rFonts w:ascii="Calibri" w:hAnsi="Calibri"/>
      <w:b/>
      <w:bCs/>
      <w:kern w:val="2"/>
      <w:sz w:val="21"/>
      <w:szCs w:val="21"/>
    </w:rPr>
  </w:style>
  <w:style w:type="character" w:customStyle="1" w:styleId="243">
    <w:name w:val="highlight-blue"/>
    <w:basedOn w:val="32"/>
    <w:qFormat/>
    <w:uiPriority w:val="0"/>
  </w:style>
  <w:style w:type="paragraph" w:customStyle="1" w:styleId="244">
    <w:name w:val="修訂1"/>
    <w:hidden/>
    <w:unhideWhenUsed/>
    <w:qFormat/>
    <w:uiPriority w:val="99"/>
    <w:rPr>
      <w:rFonts w:ascii="Calibri" w:hAnsi="Calibri" w:eastAsia="宋体" w:cs="Times New Roman"/>
      <w:kern w:val="2"/>
      <w:sz w:val="21"/>
      <w:szCs w:val="21"/>
      <w:lang w:val="en-US" w:eastAsia="zh-CN" w:bidi="ar-SA"/>
    </w:rPr>
  </w:style>
  <w:style w:type="paragraph" w:customStyle="1" w:styleId="245">
    <w:name w:val="List Paragraph"/>
    <w:basedOn w:val="1"/>
    <w:uiPriority w:val="99"/>
    <w:pPr>
      <w:ind w:left="480" w:left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4" Type="http://schemas.openxmlformats.org/officeDocument/2006/relationships/glossaryDocument" Target="glossary/document.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2.jpeg"/><Relationship Id="rId4" Type="http://schemas.openxmlformats.org/officeDocument/2006/relationships/header" Target="header2.xml"/><Relationship Id="rId39" Type="http://schemas.openxmlformats.org/officeDocument/2006/relationships/image" Target="media/image1.png"/><Relationship Id="rId38" Type="http://schemas.openxmlformats.org/officeDocument/2006/relationships/image" Target="media/image1.tiff"/><Relationship Id="rId37" Type="http://schemas.openxmlformats.org/officeDocument/2006/relationships/theme" Target="theme/theme1.xml"/><Relationship Id="rId36" Type="http://schemas.openxmlformats.org/officeDocument/2006/relationships/footer" Target="footer17.xml"/><Relationship Id="rId35" Type="http://schemas.openxmlformats.org/officeDocument/2006/relationships/footer" Target="footer16.xml"/><Relationship Id="rId34" Type="http://schemas.openxmlformats.org/officeDocument/2006/relationships/header" Target="header17.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header" Target="header15.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long\Library\Containers\com.kingsoft.wpsoffice.mac\Data\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C1890E7D7244EA194FEDBCEF2252B70"/>
        <w:style w:val=""/>
        <w:category>
          <w:name w:val="常规"/>
          <w:gallery w:val="placeholder"/>
        </w:category>
        <w:types>
          <w:type w:val="bbPlcHdr"/>
        </w:types>
        <w:behaviors>
          <w:behavior w:val="content"/>
        </w:behaviors>
        <w:description w:val=""/>
        <w:guid w:val="{3B4F535B-D399-4D52-8CBF-60C9D73925CE}"/>
      </w:docPartPr>
      <w:docPartBody>
        <w:p>
          <w:pPr>
            <w:pStyle w:val="5"/>
          </w:pPr>
          <w:r>
            <w:rPr>
              <w:rStyle w:val="4"/>
              <w:rFonts w:hint="eastAsia"/>
            </w:rPr>
            <w:t>单击或点击此处输入文字。</w:t>
          </w:r>
        </w:p>
      </w:docPartBody>
    </w:docPart>
    <w:docPart>
      <w:docPartPr>
        <w:name w:val="9B5ED52756C544149018B1B5A9182A51"/>
        <w:style w:val=""/>
        <w:category>
          <w:name w:val="常规"/>
          <w:gallery w:val="placeholder"/>
        </w:category>
        <w:types>
          <w:type w:val="bbPlcHdr"/>
        </w:types>
        <w:behaviors>
          <w:behavior w:val="content"/>
        </w:behaviors>
        <w:description w:val=""/>
        <w:guid w:val="{F39C43CC-6C48-48AD-A652-BBC5A8374412}"/>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BF"/>
    <w:rsid w:val="001E11A3"/>
    <w:rsid w:val="002106F0"/>
    <w:rsid w:val="0021566D"/>
    <w:rsid w:val="004172C8"/>
    <w:rsid w:val="005F1DB6"/>
    <w:rsid w:val="00673F6F"/>
    <w:rsid w:val="00785322"/>
    <w:rsid w:val="007C724F"/>
    <w:rsid w:val="007F0E64"/>
    <w:rsid w:val="0083201E"/>
    <w:rsid w:val="00886A21"/>
    <w:rsid w:val="00A0167E"/>
    <w:rsid w:val="00A57C43"/>
    <w:rsid w:val="00A67E86"/>
    <w:rsid w:val="00B0159F"/>
    <w:rsid w:val="00B97BB9"/>
    <w:rsid w:val="00CC4EAA"/>
    <w:rsid w:val="00CE7B5E"/>
    <w:rsid w:val="00D3109C"/>
    <w:rsid w:val="00D445BF"/>
    <w:rsid w:val="00EC53A9"/>
    <w:rsid w:val="00F94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EC1890E7D7244EA194FEDBCEF2252B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6407F201AB544FB98270ADC2BAA94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B5ED52756C544149018B1B5A9182A5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20</Pages>
  <Words>1935</Words>
  <Characters>11032</Characters>
  <Lines>91</Lines>
  <Paragraphs>25</Paragraphs>
  <TotalTime>1</TotalTime>
  <ScaleCrop>false</ScaleCrop>
  <LinksUpToDate>false</LinksUpToDate>
  <CharactersWithSpaces>12942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2025-12-30T08:41:00Z</dcterms:created>
  <dc:creator>H310</dc:creator>
  <dc:description>&lt;config cover="true" show_menu="true" version="1.0.0" doctype="SDKXY"&gt;_x000d_
&lt;/config&gt;</dc:description>
  <cp:lastModifiedBy>admin</cp:lastModifiedBy>
  <cp:lastPrinted>2020-08-31T02:00:00Z</cp:lastPrinted>
  <dcterms:modified xsi:type="dcterms:W3CDTF">2026-01-15T07:35:21Z</dcterms:modified>
  <dc:title>地方标准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eyJoZGlkIjoiNDQwYTc1MDM0OTYwZWMxOTY5ZTdlM2QzMmVmNWM2MTciLCJ1c2VySWQiOiIxMzI1NTQyNDUzIn0=</vt:lpwstr>
  </property>
  <property fmtid="{D5CDD505-2E9C-101B-9397-08002B2CF9AE}" pid="15" name="KSOProductBuildVer">
    <vt:lpwstr>2052-10.8.0.6423</vt:lpwstr>
  </property>
  <property fmtid="{D5CDD505-2E9C-101B-9397-08002B2CF9AE}" pid="16" name="ICV">
    <vt:lpwstr>A182C294D92146389BDBF724A61EB29C_12</vt:lpwstr>
  </property>
  <property fmtid="{D5CDD505-2E9C-101B-9397-08002B2CF9AE}" pid="17" name="DoublePage">
    <vt:lpwstr>true</vt:lpwstr>
  </property>
</Properties>
</file>