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553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D7D27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BB18BFA">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04D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67253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B0B01B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2E81A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AA83AE4">
            <w:pPr>
              <w:pStyle w:val="57"/>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0D3EB83C">
      <w:pPr>
        <w:pStyle w:val="58"/>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A2E8647">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25E21947">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DF0773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D1A11DB">
      <w:pPr>
        <w:pStyle w:val="58"/>
        <w:framePr w:w="9639" w:h="6976" w:hRule="exact" w:hSpace="0" w:vSpace="0" w:wrap="around" w:hAnchor="page" w:y="6408"/>
        <w:jc w:val="center"/>
        <w:rPr>
          <w:rFonts w:hint="eastAsia" w:ascii="黑体" w:hAnsi="黑体" w:eastAsia="黑体"/>
          <w:b w:val="0"/>
          <w:bCs w:val="0"/>
          <w:w w:val="100"/>
        </w:rPr>
      </w:pPr>
    </w:p>
    <w:p w14:paraId="2C2BE41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水产养殖环境（水体、底泥）中甲霜灵及其代谢物的测定 液相色谱-串联质谱法</w:t>
      </w:r>
      <w:r>
        <w:fldChar w:fldCharType="end"/>
      </w:r>
      <w:bookmarkEnd w:id="9"/>
    </w:p>
    <w:p w14:paraId="2AD9FE8E">
      <w:pPr>
        <w:framePr w:w="9639" w:h="6974" w:hRule="exact" w:wrap="around" w:vAnchor="page" w:hAnchor="page" w:x="1419" w:y="6408" w:anchorLock="1"/>
        <w:ind w:left="-1418"/>
      </w:pPr>
    </w:p>
    <w:p w14:paraId="080749E8">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Determination of metalaxyl and its metabolite in water and sediment from aquaculture environments by liquid chromatography—tandem mass spectrometry method</w:t>
      </w:r>
      <w:r>
        <w:rPr>
          <w:rFonts w:ascii="黑体" w:hAnsi="黑体" w:eastAsia="黑体"/>
          <w:szCs w:val="28"/>
        </w:rPr>
        <w:fldChar w:fldCharType="end"/>
      </w:r>
      <w:bookmarkEnd w:id="10"/>
    </w:p>
    <w:p w14:paraId="1AAB053A">
      <w:pPr>
        <w:framePr w:w="9639" w:h="6974" w:hRule="exact" w:wrap="around" w:vAnchor="page" w:hAnchor="page" w:x="1419" w:y="6408" w:anchorLock="1"/>
        <w:spacing w:line="760" w:lineRule="exact"/>
        <w:ind w:left="-1418"/>
      </w:pPr>
    </w:p>
    <w:p w14:paraId="2DF44189">
      <w:pPr>
        <w:pStyle w:val="126"/>
        <w:framePr w:w="9639" w:h="6974" w:hRule="exact" w:wrap="around" w:vAnchor="page" w:hAnchor="page" w:x="1419" w:y="6408" w:anchorLock="1"/>
        <w:textAlignment w:val="bottom"/>
        <w:rPr>
          <w:rFonts w:eastAsia="黑体"/>
          <w:szCs w:val="28"/>
        </w:rPr>
      </w:pPr>
    </w:p>
    <w:p w14:paraId="0E82F8D8">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191224D">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7DDC7C7">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245F50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0D628A4">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2E21BA1">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74AD9A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5B8B601">
      <w:pPr>
        <w:pStyle w:val="97"/>
        <w:spacing w:after="468"/>
        <w:rPr>
          <w:rFonts w:hint="eastAsia"/>
        </w:rPr>
      </w:pPr>
      <w:bookmarkStart w:id="21" w:name="BookMark1"/>
      <w:bookmarkStart w:id="22" w:name="_Toc197268453"/>
      <w:r>
        <w:rPr>
          <w:rFonts w:hint="eastAsia"/>
          <w:spacing w:val="320"/>
        </w:rPr>
        <w:t>目</w:t>
      </w:r>
      <w:r>
        <w:rPr>
          <w:rFonts w:hint="eastAsia"/>
        </w:rPr>
        <w:t>次</w:t>
      </w:r>
    </w:p>
    <w:p w14:paraId="44A9B5E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"_Toc197268487"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_Toc197268487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3DB3738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"_Toc197268488"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_Toc197268488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864908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"_Toc197268489"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_Toc197268489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509A6F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_Toc197268490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E5751B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"_Toc197268491" </w:instrText>
      </w:r>
      <w:r>
        <w:fldChar w:fldCharType="separate"/>
      </w:r>
      <w:r>
        <w:rPr>
          <w:rStyle w:val="32"/>
          <w:rFonts w:hint="eastAsia"/>
        </w:rPr>
        <w:t>4</w:t>
      </w:r>
      <w:r>
        <w:rPr>
          <w:rStyle w:val="32"/>
        </w:rPr>
        <w:t xml:space="preserve"> </w:t>
      </w:r>
      <w:r>
        <w:rPr>
          <w:rStyle w:val="32"/>
          <w:rFonts w:hint="eastAsia"/>
        </w:rPr>
        <w:t xml:space="preserve"> 方法原理</w:t>
      </w:r>
      <w:r>
        <w:rPr>
          <w:rFonts w:hint="eastAsia"/>
        </w:rPr>
        <w:tab/>
      </w:r>
      <w:r>
        <w:rPr>
          <w:rFonts w:hint="eastAsia"/>
        </w:rPr>
        <w:fldChar w:fldCharType="begin"/>
      </w:r>
      <w:r>
        <w:rPr>
          <w:rFonts w:hint="eastAsia"/>
        </w:rPr>
        <w:instrText xml:space="preserve"> </w:instrText>
      </w:r>
      <w:r>
        <w:instrText xml:space="preserve">PAGEREF _Toc197268491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6E66FE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"_Toc197268492" </w:instrText>
      </w:r>
      <w:r>
        <w:fldChar w:fldCharType="separate"/>
      </w:r>
      <w:r>
        <w:rPr>
          <w:rStyle w:val="32"/>
          <w:rFonts w:hint="eastAsia"/>
        </w:rPr>
        <w:t>5</w:t>
      </w:r>
      <w:r>
        <w:rPr>
          <w:rStyle w:val="32"/>
        </w:rPr>
        <w:t xml:space="preserve"> </w:t>
      </w:r>
      <w:r>
        <w:rPr>
          <w:rStyle w:val="32"/>
          <w:rFonts w:hint="eastAsia"/>
        </w:rPr>
        <w:t xml:space="preserve"> 试剂与材料</w:t>
      </w:r>
      <w:r>
        <w:rPr>
          <w:rFonts w:hint="eastAsia"/>
        </w:rPr>
        <w:tab/>
      </w:r>
      <w:r>
        <w:rPr>
          <w:rFonts w:hint="eastAsia"/>
        </w:rPr>
        <w:fldChar w:fldCharType="begin"/>
      </w:r>
      <w:r>
        <w:rPr>
          <w:rFonts w:hint="eastAsia"/>
        </w:rPr>
        <w:instrText xml:space="preserve"> </w:instrText>
      </w:r>
      <w:r>
        <w:instrText xml:space="preserve">PAGEREF _Toc197268492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15F16D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"_Toc197268493" </w:instrText>
      </w:r>
      <w:r>
        <w:fldChar w:fldCharType="separate"/>
      </w:r>
      <w:r>
        <w:rPr>
          <w:rStyle w:val="32"/>
          <w:rFonts w:hint="eastAsia"/>
        </w:rPr>
        <w:t>6</w:t>
      </w:r>
      <w:r>
        <w:rPr>
          <w:rStyle w:val="32"/>
        </w:rPr>
        <w:t xml:space="preserve"> </w:t>
      </w:r>
      <w:r>
        <w:rPr>
          <w:rStyle w:val="32"/>
          <w:rFonts w:hint="eastAsia"/>
        </w:rPr>
        <w:t xml:space="preserve"> 仪器与设备</w:t>
      </w:r>
      <w:r>
        <w:rPr>
          <w:rFonts w:hint="eastAsia"/>
        </w:rPr>
        <w:tab/>
      </w:r>
      <w:r>
        <w:rPr>
          <w:rFonts w:hint="eastAsia"/>
        </w:rPr>
        <w:fldChar w:fldCharType="begin"/>
      </w:r>
      <w:r>
        <w:rPr>
          <w:rFonts w:hint="eastAsia"/>
        </w:rPr>
        <w:instrText xml:space="preserve"> </w:instrText>
      </w:r>
      <w:r>
        <w:instrText xml:space="preserve">PAGEREF _Toc197268493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7FC9CA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"_Toc197268494" </w:instrText>
      </w:r>
      <w:r>
        <w:fldChar w:fldCharType="separate"/>
      </w:r>
      <w:r>
        <w:rPr>
          <w:rStyle w:val="32"/>
          <w:rFonts w:hint="eastAsia"/>
        </w:rPr>
        <w:t>7</w:t>
      </w:r>
      <w:r>
        <w:rPr>
          <w:rStyle w:val="32"/>
        </w:rPr>
        <w:t xml:space="preserve"> </w:t>
      </w:r>
      <w:r>
        <w:rPr>
          <w:rStyle w:val="32"/>
          <w:rFonts w:hint="eastAsia"/>
        </w:rPr>
        <w:t xml:space="preserve"> 样品</w:t>
      </w:r>
      <w:r>
        <w:rPr>
          <w:rFonts w:hint="eastAsia"/>
        </w:rPr>
        <w:tab/>
      </w:r>
      <w:r>
        <w:rPr>
          <w:rFonts w:hint="eastAsia"/>
        </w:rPr>
        <w:fldChar w:fldCharType="begin"/>
      </w:r>
      <w:r>
        <w:rPr>
          <w:rFonts w:hint="eastAsia"/>
        </w:rPr>
        <w:instrText xml:space="preserve"> </w:instrText>
      </w:r>
      <w:r>
        <w:instrText xml:space="preserve">PAGEREF _Toc197268494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112D5B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"_Toc197268495" </w:instrText>
      </w:r>
      <w:r>
        <w:fldChar w:fldCharType="separate"/>
      </w:r>
      <w:r>
        <w:rPr>
          <w:rStyle w:val="32"/>
          <w:rFonts w:hint="eastAsia"/>
        </w:rPr>
        <w:t>8</w:t>
      </w:r>
      <w:r>
        <w:rPr>
          <w:rStyle w:val="32"/>
        </w:rPr>
        <w:t xml:space="preserve"> </w:t>
      </w:r>
      <w:r>
        <w:rPr>
          <w:rStyle w:val="32"/>
          <w:rFonts w:hint="eastAsia"/>
        </w:rPr>
        <w:t xml:space="preserve"> 测定步骤</w:t>
      </w:r>
      <w:r>
        <w:rPr>
          <w:rFonts w:hint="eastAsia"/>
        </w:rPr>
        <w:tab/>
      </w:r>
      <w:r>
        <w:rPr>
          <w:rFonts w:hint="eastAsia"/>
        </w:rPr>
        <w:fldChar w:fldCharType="begin"/>
      </w:r>
      <w:r>
        <w:rPr>
          <w:rFonts w:hint="eastAsia"/>
        </w:rPr>
        <w:instrText xml:space="preserve"> </w:instrText>
      </w:r>
      <w:r>
        <w:instrText xml:space="preserve">PAGEREF _Toc197268495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0A9D8A8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"_Toc197268496" </w:instrText>
      </w:r>
      <w:r>
        <w:fldChar w:fldCharType="separate"/>
      </w:r>
      <w:r>
        <w:rPr>
          <w:rStyle w:val="32"/>
          <w:rFonts w:hint="eastAsia"/>
        </w:rPr>
        <w:t>9</w:t>
      </w:r>
      <w:r>
        <w:rPr>
          <w:rStyle w:val="32"/>
        </w:rPr>
        <w:t xml:space="preserve"> </w:t>
      </w:r>
      <w:r>
        <w:rPr>
          <w:rStyle w:val="32"/>
          <w:rFonts w:hint="eastAsia"/>
        </w:rPr>
        <w:t xml:space="preserve"> 结果计算和表述</w:t>
      </w:r>
      <w:r>
        <w:rPr>
          <w:rFonts w:hint="eastAsia"/>
        </w:rPr>
        <w:tab/>
      </w:r>
      <w:r>
        <w:rPr>
          <w:rFonts w:hint="eastAsia"/>
        </w:rPr>
        <w:fldChar w:fldCharType="begin"/>
      </w:r>
      <w:r>
        <w:rPr>
          <w:rFonts w:hint="eastAsia"/>
        </w:rPr>
        <w:instrText xml:space="preserve"> </w:instrText>
      </w:r>
      <w:r>
        <w:instrText xml:space="preserve">PAGEREF _Toc197268496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8D8F81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"_Toc197268497" </w:instrText>
      </w:r>
      <w:r>
        <w:fldChar w:fldCharType="separate"/>
      </w:r>
      <w:r>
        <w:rPr>
          <w:rStyle w:val="32"/>
          <w:rFonts w:hint="eastAsia"/>
        </w:rPr>
        <w:t>10</w:t>
      </w:r>
      <w:r>
        <w:rPr>
          <w:rStyle w:val="32"/>
        </w:rPr>
        <w:t xml:space="preserve"> </w:t>
      </w:r>
      <w:r>
        <w:rPr>
          <w:rStyle w:val="32"/>
          <w:rFonts w:hint="eastAsia"/>
        </w:rPr>
        <w:t xml:space="preserve"> 检测方法的灵敏度、准确度和精密度</w:t>
      </w:r>
      <w:r>
        <w:rPr>
          <w:rFonts w:hint="eastAsia"/>
        </w:rPr>
        <w:tab/>
      </w:r>
      <w:r>
        <w:rPr>
          <w:rFonts w:hint="eastAsia"/>
        </w:rPr>
        <w:fldChar w:fldCharType="begin"/>
      </w:r>
      <w:r>
        <w:rPr>
          <w:rFonts w:hint="eastAsia"/>
        </w:rPr>
        <w:instrText xml:space="preserve"> </w:instrText>
      </w:r>
      <w:r>
        <w:instrText xml:space="preserve">PAGEREF _Toc197268497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16B3A03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"_Toc197268498" </w:instrText>
      </w:r>
      <w:r>
        <w:fldChar w:fldCharType="separate"/>
      </w:r>
      <w:r>
        <w:rPr>
          <w:rStyle w:val="32"/>
          <w:rFonts w:hint="eastAsia"/>
        </w:rPr>
        <w:t>附录A（资料性）</w:t>
      </w:r>
      <w:r>
        <w:rPr>
          <w:rStyle w:val="32"/>
        </w:rPr>
        <w:t xml:space="preserve"> </w:t>
      </w:r>
      <w:r>
        <w:rPr>
          <w:rStyle w:val="32"/>
          <w:rFonts w:hint="eastAsia"/>
        </w:rPr>
        <w:t xml:space="preserve"> 甲霜灵及其代谢物标准溶液特征离子质量色谱图</w:t>
      </w:r>
      <w:r>
        <w:rPr>
          <w:rFonts w:hint="eastAsia"/>
        </w:rPr>
        <w:tab/>
      </w:r>
      <w:r>
        <w:rPr>
          <w:rFonts w:hint="eastAsia"/>
        </w:rPr>
        <w:fldChar w:fldCharType="begin"/>
      </w:r>
      <w:r>
        <w:rPr>
          <w:rFonts w:hint="eastAsia"/>
        </w:rPr>
        <w:instrText xml:space="preserve"> </w:instrText>
      </w:r>
      <w:r>
        <w:instrText xml:space="preserve">PAGEREF _Toc197268498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2C46790">
      <w:pPr>
        <w:pStyle w:val="97"/>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BBBC4B8">
      <w:pPr>
        <w:pStyle w:val="95"/>
        <w:spacing w:before="900" w:after="468"/>
      </w:pPr>
      <w:bookmarkStart w:id="23" w:name="_Toc197268487"/>
      <w:bookmarkStart w:id="24" w:name="BookMark2"/>
      <w:r>
        <w:rPr>
          <w:rFonts w:hint="eastAsia"/>
          <w:spacing w:val="320"/>
        </w:rPr>
        <w:t>前</w:t>
      </w:r>
      <w:r>
        <w:rPr>
          <w:rFonts w:hint="eastAsia"/>
        </w:rPr>
        <w:t>言</w:t>
      </w:r>
      <w:bookmarkEnd w:id="22"/>
      <w:bookmarkEnd w:id="23"/>
    </w:p>
    <w:p w14:paraId="6B43377A">
      <w:pPr>
        <w:pStyle w:val="35"/>
        <w:ind w:firstLine="420"/>
      </w:pPr>
      <w:r>
        <w:rPr>
          <w:rFonts w:hint="eastAsia"/>
        </w:rPr>
        <w:t>本文件按照GB/T 1.1—2020《标准化工作导则  第1部分：标准化文件的结构和起草规则》的规定起草。</w:t>
      </w:r>
    </w:p>
    <w:p w14:paraId="790B4C86">
      <w:pPr>
        <w:pStyle w:val="35"/>
        <w:ind w:firstLine="420"/>
      </w:pPr>
      <w:r>
        <w:rPr>
          <w:rFonts w:hint="eastAsia"/>
        </w:rPr>
        <w:t>请注意本文件的某些内容可能涉及专利。本文件的发布机构不承担识别专利的责任。</w:t>
      </w:r>
    </w:p>
    <w:p w14:paraId="418396BC">
      <w:pPr>
        <w:pStyle w:val="35"/>
        <w:ind w:firstLine="420"/>
      </w:pPr>
      <w:r>
        <w:rPr>
          <w:rFonts w:hint="eastAsia"/>
        </w:rPr>
        <w:t>本文件由湖南省农业农村厅提出。</w:t>
      </w:r>
    </w:p>
    <w:p w14:paraId="703A83FC">
      <w:pPr>
        <w:pStyle w:val="35"/>
        <w:ind w:firstLine="420"/>
      </w:pPr>
      <w:r>
        <w:rPr>
          <w:rFonts w:hint="eastAsia"/>
        </w:rPr>
        <w:t>本文件由湖南省农业标准化技术委员会归口。</w:t>
      </w:r>
    </w:p>
    <w:p w14:paraId="0FE644A6">
      <w:pPr>
        <w:pStyle w:val="35"/>
        <w:ind w:firstLine="420"/>
      </w:pPr>
      <w:r>
        <w:rPr>
          <w:rFonts w:hint="eastAsia"/>
        </w:rPr>
        <w:t>本文件起草单位：湖南省水产科学研究所、农业农村部渔业产品质量检验测试中心（长沙）、澧县农产品质量安全检测中心。</w:t>
      </w:r>
    </w:p>
    <w:p w14:paraId="0FE44F94">
      <w:pPr>
        <w:pStyle w:val="35"/>
        <w:ind w:firstLine="420"/>
      </w:pPr>
      <w:r>
        <w:rPr>
          <w:rFonts w:hint="eastAsia"/>
        </w:rPr>
        <w:t>本文件主要起草人：万译文</w:t>
      </w:r>
      <w:r>
        <w:rPr>
          <w:rFonts w:hint="eastAsia"/>
          <w:lang w:eastAsia="zh-CN"/>
        </w:rPr>
        <w:t>、</w:t>
      </w:r>
      <w:r>
        <w:rPr>
          <w:rFonts w:hint="eastAsia"/>
        </w:rPr>
        <w:t>杨霄</w:t>
      </w:r>
      <w:r>
        <w:rPr>
          <w:rFonts w:hint="eastAsia"/>
          <w:lang w:eastAsia="zh-CN"/>
        </w:rPr>
        <w:t>、</w:t>
      </w:r>
      <w:r>
        <w:rPr>
          <w:rFonts w:hint="eastAsia"/>
        </w:rPr>
        <w:t>何咏</w:t>
      </w:r>
      <w:r>
        <w:rPr>
          <w:rFonts w:hint="eastAsia"/>
          <w:lang w:eastAsia="zh-CN"/>
        </w:rPr>
        <w:t>、</w:t>
      </w:r>
      <w:r>
        <w:rPr>
          <w:rFonts w:hint="eastAsia"/>
        </w:rPr>
        <w:t>雷琴</w:t>
      </w:r>
      <w:r>
        <w:rPr>
          <w:rFonts w:hint="eastAsia"/>
          <w:lang w:eastAsia="zh-CN"/>
        </w:rPr>
        <w:t>、</w:t>
      </w:r>
      <w:r>
        <w:rPr>
          <w:rFonts w:hint="eastAsia"/>
        </w:rPr>
        <w:t>李小玲</w:t>
      </w:r>
      <w:r>
        <w:rPr>
          <w:rFonts w:hint="eastAsia"/>
          <w:lang w:eastAsia="zh-CN"/>
        </w:rPr>
        <w:t>、</w:t>
      </w:r>
      <w:r>
        <w:rPr>
          <w:rFonts w:hint="eastAsia"/>
        </w:rPr>
        <w:t>崔先锋</w:t>
      </w:r>
      <w:r>
        <w:rPr>
          <w:rFonts w:hint="eastAsia"/>
          <w:lang w:eastAsia="zh-CN"/>
        </w:rPr>
        <w:t>、</w:t>
      </w:r>
      <w:r>
        <w:rPr>
          <w:rFonts w:hint="eastAsia"/>
        </w:rPr>
        <w:t>尹升福</w:t>
      </w:r>
      <w:r>
        <w:rPr>
          <w:rFonts w:hint="eastAsia"/>
          <w:lang w:eastAsia="zh-CN"/>
        </w:rPr>
        <w:t>、</w:t>
      </w:r>
      <w:r>
        <w:rPr>
          <w:rFonts w:hint="eastAsia"/>
        </w:rPr>
        <w:t>索纹纹</w:t>
      </w:r>
      <w:r>
        <w:rPr>
          <w:rFonts w:hint="eastAsia"/>
          <w:lang w:eastAsia="zh-CN"/>
        </w:rPr>
        <w:t>、</w:t>
      </w:r>
      <w:r>
        <w:rPr>
          <w:rFonts w:hint="eastAsia"/>
        </w:rPr>
        <w:t>陈湘艺</w:t>
      </w:r>
      <w:r>
        <w:rPr>
          <w:rFonts w:hint="eastAsia"/>
          <w:lang w:eastAsia="zh-CN"/>
        </w:rPr>
        <w:t>、</w:t>
      </w:r>
      <w:r>
        <w:rPr>
          <w:rFonts w:hint="eastAsia"/>
        </w:rPr>
        <w:t>曾春芳</w:t>
      </w:r>
      <w:r>
        <w:rPr>
          <w:rFonts w:hint="eastAsia"/>
          <w:lang w:eastAsia="zh-CN"/>
        </w:rPr>
        <w:t>、</w:t>
      </w:r>
      <w:r>
        <w:rPr>
          <w:rFonts w:hint="eastAsia"/>
        </w:rPr>
        <w:t>刘伶俐</w:t>
      </w:r>
      <w:r>
        <w:rPr>
          <w:rFonts w:hint="eastAsia"/>
          <w:lang w:eastAsia="zh-CN"/>
        </w:rPr>
        <w:t>、</w:t>
      </w:r>
      <w:r>
        <w:rPr>
          <w:rFonts w:hint="eastAsia"/>
        </w:rPr>
        <w:t>黄华伟</w:t>
      </w:r>
      <w:r>
        <w:rPr>
          <w:rFonts w:hint="eastAsia"/>
          <w:lang w:eastAsia="zh-CN"/>
        </w:rPr>
        <w:t>、</w:t>
      </w:r>
      <w:r>
        <w:rPr>
          <w:rFonts w:hint="eastAsia"/>
        </w:rPr>
        <w:t>谢玉昆</w:t>
      </w:r>
      <w:r>
        <w:rPr>
          <w:rFonts w:hint="eastAsia"/>
          <w:lang w:eastAsia="zh-CN"/>
        </w:rPr>
        <w:t>、</w:t>
      </w:r>
      <w:r>
        <w:rPr>
          <w:rFonts w:hint="eastAsia"/>
        </w:rPr>
        <w:t>洪波</w:t>
      </w:r>
      <w:r>
        <w:rPr>
          <w:rFonts w:hint="eastAsia"/>
          <w:lang w:eastAsia="zh-CN"/>
        </w:rPr>
        <w:t>。</w:t>
      </w:r>
      <w:r>
        <w:rPr>
          <w:rFonts w:hint="eastAsia"/>
        </w:rPr>
        <w:t xml:space="preserve"> </w:t>
      </w:r>
    </w:p>
    <w:p w14:paraId="572719A0">
      <w:pPr>
        <w:pStyle w:val="35"/>
        <w:ind w:firstLine="420"/>
      </w:pPr>
      <w:bookmarkStart w:id="98" w:name="_GoBack"/>
      <w:bookmarkEnd w:id="98"/>
    </w:p>
    <w:p w14:paraId="50F3EB0B">
      <w:pPr>
        <w:pStyle w:val="35"/>
        <w:ind w:firstLine="420"/>
      </w:pPr>
    </w:p>
    <w:p w14:paraId="0540131F">
      <w:pPr>
        <w:tabs>
          <w:tab w:val="left" w:pos="5720"/>
        </w:tabs>
        <w:rPr>
          <w:rFonts w:ascii="宋体" w:hAnsi="Times New Roman"/>
          <w:kern w:val="0"/>
          <w:szCs w:val="20"/>
        </w:rPr>
      </w:pPr>
      <w:r>
        <w:rPr>
          <w:rFonts w:ascii="宋体" w:hAnsi="Times New Roman"/>
          <w:kern w:val="0"/>
          <w:szCs w:val="20"/>
        </w:rPr>
        <w:tab/>
      </w:r>
    </w:p>
    <w:p w14:paraId="7069BE09">
      <w:pPr>
        <w:tabs>
          <w:tab w:val="left" w:pos="5720"/>
        </w:tabs>
        <w:sectPr>
          <w:pgSz w:w="11906" w:h="16838"/>
          <w:pgMar w:top="1928" w:right="1134" w:bottom="1134" w:left="1134" w:header="1418" w:footer="1134" w:gutter="284"/>
          <w:pgNumType w:fmt="upperRoman"/>
          <w:cols w:space="425" w:num="1"/>
          <w:formProt w:val="0"/>
          <w:docGrid w:type="lines" w:linePitch="312" w:charSpace="0"/>
        </w:sectPr>
      </w:pPr>
      <w:r>
        <w:tab/>
      </w:r>
    </w:p>
    <w:bookmarkEnd w:id="24"/>
    <w:p w14:paraId="2D8D10FF">
      <w:pPr>
        <w:spacing w:line="20" w:lineRule="exact"/>
        <w:jc w:val="center"/>
        <w:rPr>
          <w:rFonts w:hint="eastAsia" w:ascii="黑体" w:hAnsi="黑体" w:eastAsia="黑体"/>
          <w:sz w:val="32"/>
          <w:szCs w:val="32"/>
        </w:rPr>
      </w:pPr>
      <w:bookmarkStart w:id="25" w:name="BookMark4"/>
    </w:p>
    <w:p w14:paraId="17D1CFFF">
      <w:pPr>
        <w:spacing w:line="20" w:lineRule="exact"/>
        <w:jc w:val="center"/>
        <w:rPr>
          <w:rFonts w:hint="eastAsia" w:ascii="黑体" w:hAnsi="黑体" w:eastAsia="黑体"/>
          <w:sz w:val="32"/>
          <w:szCs w:val="32"/>
        </w:rPr>
      </w:pPr>
    </w:p>
    <w:sdt>
      <w:sdtPr>
        <w:tag w:val="NEW_STAND_NAME"/>
        <w:id w:val="595910757"/>
        <w:lock w:val="sdtLocked"/>
        <w:placeholder>
          <w:docPart w:val="C6BB229BBD4D405DBCA0C1010413F3C6"/>
        </w:placeholder>
      </w:sdtPr>
      <w:sdtContent>
        <w:p w14:paraId="67251671">
          <w:pPr>
            <w:pStyle w:val="177"/>
            <w:spacing w:before="3" w:beforeLines="1" w:after="686" w:afterLines="220"/>
            <w:rPr>
              <w:rFonts w:hint="eastAsia"/>
            </w:rPr>
          </w:pPr>
          <w:bookmarkStart w:id="26" w:name="NEW_STAND_NAME"/>
          <w:r>
            <w:rPr>
              <w:rFonts w:hint="eastAsia"/>
            </w:rPr>
            <w:t>水产养殖环境（水体、底泥）中甲霜灵及其代谢物的测定 液相色谱-串联质谱法</w:t>
          </w:r>
        </w:p>
      </w:sdtContent>
    </w:sdt>
    <w:bookmarkEnd w:id="26"/>
    <w:p w14:paraId="14DADEB8">
      <w:pPr>
        <w:pStyle w:val="34"/>
        <w:spacing w:before="312" w:after="312"/>
      </w:pPr>
      <w:bookmarkStart w:id="27" w:name="_Toc197268454"/>
      <w:bookmarkStart w:id="28" w:name="_Toc17233325"/>
      <w:bookmarkStart w:id="29" w:name="_Toc97191423"/>
      <w:bookmarkStart w:id="30" w:name="_Toc17233333"/>
      <w:bookmarkStart w:id="31" w:name="_Toc26986530"/>
      <w:bookmarkStart w:id="32" w:name="_Toc26718930"/>
      <w:bookmarkStart w:id="33" w:name="_Toc26986771"/>
      <w:bookmarkStart w:id="34" w:name="_Toc24884211"/>
      <w:bookmarkStart w:id="35" w:name="_Toc26648465"/>
      <w:bookmarkStart w:id="36" w:name="_Toc24884218"/>
      <w:bookmarkStart w:id="37" w:name="_Toc197268488"/>
      <w:r>
        <w:rPr>
          <w:rFonts w:hint="eastAsia"/>
        </w:rPr>
        <w:t>范围</w:t>
      </w:r>
      <w:bookmarkEnd w:id="27"/>
      <w:bookmarkEnd w:id="28"/>
      <w:bookmarkEnd w:id="29"/>
      <w:bookmarkEnd w:id="30"/>
      <w:bookmarkEnd w:id="31"/>
      <w:bookmarkEnd w:id="32"/>
      <w:bookmarkEnd w:id="33"/>
      <w:bookmarkEnd w:id="34"/>
      <w:bookmarkEnd w:id="35"/>
      <w:bookmarkEnd w:id="36"/>
      <w:bookmarkEnd w:id="37"/>
    </w:p>
    <w:p w14:paraId="2B9F0160">
      <w:pPr>
        <w:pStyle w:val="35"/>
        <w:ind w:firstLine="420"/>
      </w:pPr>
      <w:bookmarkStart w:id="38" w:name="_Toc17233326"/>
      <w:bookmarkStart w:id="39" w:name="_Toc26648466"/>
      <w:bookmarkStart w:id="40" w:name="_Toc17233334"/>
      <w:bookmarkStart w:id="41" w:name="_Toc24884212"/>
      <w:bookmarkStart w:id="42" w:name="_Toc24884219"/>
      <w:r>
        <w:rPr>
          <w:rFonts w:hint="eastAsia"/>
        </w:rPr>
        <w:t>本文件描述了水产养殖环境（水体、底泥）中甲霜灵及其代谢物的液相色谱-串联质谱测定方法。</w:t>
      </w:r>
    </w:p>
    <w:p w14:paraId="50F3B533">
      <w:pPr>
        <w:pStyle w:val="35"/>
        <w:ind w:firstLine="420"/>
      </w:pPr>
      <w:r>
        <w:rPr>
          <w:rFonts w:hint="eastAsia"/>
        </w:rPr>
        <w:t>本文件适用于水产养殖环境（水体、底泥）中甲霜灵及其代谢物的测定。</w:t>
      </w:r>
    </w:p>
    <w:p w14:paraId="0E049320">
      <w:pPr>
        <w:pStyle w:val="34"/>
        <w:spacing w:before="312" w:after="312"/>
      </w:pPr>
      <w:bookmarkStart w:id="43" w:name="_Toc26718931"/>
      <w:bookmarkStart w:id="44" w:name="_Toc26986531"/>
      <w:bookmarkStart w:id="45" w:name="_Toc26986772"/>
      <w:bookmarkStart w:id="46" w:name="_Toc197268455"/>
      <w:bookmarkStart w:id="47" w:name="_Toc97191424"/>
      <w:bookmarkStart w:id="48" w:name="_Toc197268489"/>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3AB9EA9AA0A646A68148DC15AD45E8E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08CDE88">
          <w:pPr>
            <w:pStyle w:val="3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41F22F">
      <w:pPr>
        <w:pStyle w:val="35"/>
        <w:ind w:firstLine="420"/>
      </w:pPr>
      <w:r>
        <w:rPr>
          <w:rFonts w:hint="eastAsia"/>
        </w:rPr>
        <w:t>GB/T 6682 分析实验室用水规格和试验方法</w:t>
      </w:r>
    </w:p>
    <w:p w14:paraId="5576153C">
      <w:pPr>
        <w:pStyle w:val="35"/>
        <w:ind w:firstLine="420"/>
      </w:pPr>
      <w:r>
        <w:rPr>
          <w:rFonts w:hint="eastAsia"/>
        </w:rPr>
        <w:t>GB 17378.5 海洋监测规范 第5部分：沉积物分析</w:t>
      </w:r>
    </w:p>
    <w:p w14:paraId="0D733C34">
      <w:pPr>
        <w:pStyle w:val="35"/>
        <w:ind w:firstLine="420"/>
      </w:pPr>
      <w:r>
        <w:rPr>
          <w:rFonts w:hint="eastAsia"/>
        </w:rPr>
        <w:t>SC/T 9102.3  渔业生态环境监测规范 第3部分：淡水</w:t>
      </w:r>
    </w:p>
    <w:p w14:paraId="57F4A254">
      <w:pPr>
        <w:pStyle w:val="34"/>
        <w:spacing w:before="312" w:after="312"/>
      </w:pPr>
      <w:bookmarkStart w:id="49" w:name="_Toc197268490"/>
      <w:bookmarkStart w:id="50" w:name="_Toc97191425"/>
      <w:bookmarkStart w:id="51" w:name="_Toc197268456"/>
      <w:r>
        <w:rPr>
          <w:rFonts w:hint="eastAsia"/>
          <w:szCs w:val="21"/>
        </w:rPr>
        <w:t>术语和定义</w:t>
      </w:r>
      <w:bookmarkEnd w:id="49"/>
      <w:bookmarkEnd w:id="50"/>
      <w:bookmarkEnd w:id="51"/>
    </w:p>
    <w:sdt>
      <w:sdtPr>
        <w:id w:val="-1909835108"/>
        <w:placeholder>
          <w:docPart w:val="A0FB3C99E0134B34AABB541EBACFBD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0465A1">
          <w:pPr>
            <w:pStyle w:val="35"/>
            <w:ind w:firstLine="420"/>
          </w:pPr>
          <w:bookmarkStart w:id="52" w:name="_Toc26986532"/>
          <w:bookmarkEnd w:id="52"/>
          <w:r>
            <w:t>本文件没有需要界定的术语和定义。</w:t>
          </w:r>
        </w:p>
      </w:sdtContent>
    </w:sdt>
    <w:p w14:paraId="46BBA7A8">
      <w:pPr>
        <w:pStyle w:val="34"/>
        <w:spacing w:before="312" w:after="312"/>
      </w:pPr>
      <w:bookmarkStart w:id="53" w:name="_Toc197268491"/>
      <w:bookmarkStart w:id="54" w:name="_Toc197268457"/>
      <w:r>
        <w:rPr>
          <w:rFonts w:hint="eastAsia"/>
        </w:rPr>
        <w:t>方法原理</w:t>
      </w:r>
      <w:bookmarkEnd w:id="53"/>
      <w:bookmarkEnd w:id="54"/>
    </w:p>
    <w:p w14:paraId="281BAD87">
      <w:pPr>
        <w:pStyle w:val="35"/>
        <w:ind w:firstLine="420"/>
      </w:pPr>
      <w:r>
        <w:rPr>
          <w:rFonts w:hint="eastAsia"/>
        </w:rPr>
        <w:t>水样经二氯甲烷提取，N-丙基乙二胺净化；底泥样品冷冻干燥，经1%甲酸-乙酸乙酯提取，采用混合型强阴离子交换固相萃取小柱富集与净化，液相色谱-串联质谱仪测定，内标法定量。</w:t>
      </w:r>
    </w:p>
    <w:p w14:paraId="4C60CA63">
      <w:pPr>
        <w:pStyle w:val="34"/>
        <w:spacing w:before="312" w:after="312"/>
      </w:pPr>
      <w:bookmarkStart w:id="55" w:name="_Toc197268458"/>
      <w:bookmarkStart w:id="56" w:name="_Toc197268492"/>
      <w:r>
        <w:rPr>
          <w:rFonts w:hint="eastAsia"/>
        </w:rPr>
        <w:t>试剂与材料</w:t>
      </w:r>
      <w:bookmarkEnd w:id="55"/>
      <w:bookmarkEnd w:id="56"/>
    </w:p>
    <w:p w14:paraId="5A4E1022">
      <w:pPr>
        <w:pStyle w:val="37"/>
        <w:spacing w:before="156" w:after="156"/>
      </w:pPr>
      <w:bookmarkStart w:id="57" w:name="_Toc197268459"/>
      <w:r>
        <w:rPr>
          <w:rFonts w:hint="eastAsia"/>
        </w:rPr>
        <w:t>试剂</w:t>
      </w:r>
      <w:bookmarkEnd w:id="57"/>
    </w:p>
    <w:p w14:paraId="7DA54998">
      <w:pPr>
        <w:pStyle w:val="165"/>
      </w:pPr>
      <w:r>
        <w:rPr>
          <w:rFonts w:hint="eastAsia"/>
        </w:rPr>
        <w:t>水：GB/T 6682规定的一级水。</w:t>
      </w:r>
    </w:p>
    <w:p w14:paraId="22202F66">
      <w:pPr>
        <w:pStyle w:val="165"/>
      </w:pPr>
      <w:r>
        <w:rPr>
          <w:rFonts w:hint="eastAsia"/>
        </w:rPr>
        <w:t>乙腈（CH</w:t>
      </w:r>
      <w:r>
        <w:rPr>
          <w:rFonts w:hint="eastAsia"/>
          <w:vertAlign w:val="subscript"/>
        </w:rPr>
        <w:t>3</w:t>
      </w:r>
      <w:r>
        <w:rPr>
          <w:rFonts w:hint="eastAsia"/>
        </w:rPr>
        <w:t>CN）：色谱纯。</w:t>
      </w:r>
    </w:p>
    <w:p w14:paraId="783DE025">
      <w:pPr>
        <w:pStyle w:val="165"/>
      </w:pPr>
      <w:r>
        <w:rPr>
          <w:rFonts w:hint="eastAsia"/>
        </w:rPr>
        <w:t>二氯甲烷（CH</w:t>
      </w:r>
      <w:r>
        <w:rPr>
          <w:rFonts w:hint="eastAsia"/>
          <w:vertAlign w:val="subscript"/>
        </w:rPr>
        <w:t>2</w:t>
      </w:r>
      <w:r>
        <w:rPr>
          <w:rFonts w:hint="eastAsia"/>
        </w:rPr>
        <w:t>Cl</w:t>
      </w:r>
      <w:r>
        <w:rPr>
          <w:rFonts w:hint="eastAsia"/>
          <w:vertAlign w:val="subscript"/>
        </w:rPr>
        <w:t>2</w:t>
      </w:r>
      <w:r>
        <w:rPr>
          <w:rFonts w:hint="eastAsia"/>
        </w:rPr>
        <w:t>）：分析纯。</w:t>
      </w:r>
    </w:p>
    <w:p w14:paraId="02625AF6">
      <w:pPr>
        <w:pStyle w:val="165"/>
      </w:pPr>
      <w:r>
        <w:rPr>
          <w:rFonts w:hint="eastAsia"/>
        </w:rPr>
        <w:t>乙酸乙酯（CH</w:t>
      </w:r>
      <w:r>
        <w:rPr>
          <w:rFonts w:hint="eastAsia"/>
          <w:vertAlign w:val="subscript"/>
        </w:rPr>
        <w:t>3</w:t>
      </w:r>
      <w:r>
        <w:rPr>
          <w:rFonts w:hint="eastAsia"/>
        </w:rPr>
        <w:t>COOC</w:t>
      </w:r>
      <w:r>
        <w:rPr>
          <w:rFonts w:hint="eastAsia"/>
          <w:vertAlign w:val="subscript"/>
        </w:rPr>
        <w:t>2</w:t>
      </w:r>
      <w:r>
        <w:rPr>
          <w:rFonts w:hint="eastAsia"/>
        </w:rPr>
        <w:t>H</w:t>
      </w:r>
      <w:r>
        <w:rPr>
          <w:rFonts w:hint="eastAsia"/>
          <w:vertAlign w:val="subscript"/>
        </w:rPr>
        <w:t>5</w:t>
      </w:r>
      <w:r>
        <w:rPr>
          <w:rFonts w:hint="eastAsia"/>
        </w:rPr>
        <w:t>）：色谱纯。</w:t>
      </w:r>
    </w:p>
    <w:p w14:paraId="440F16E5">
      <w:pPr>
        <w:pStyle w:val="165"/>
      </w:pPr>
      <w:r>
        <w:rPr>
          <w:rFonts w:hint="eastAsia"/>
        </w:rPr>
        <w:t>甲酸（HCOOH）：色谱纯。</w:t>
      </w:r>
    </w:p>
    <w:p w14:paraId="70ABC5DD">
      <w:pPr>
        <w:pStyle w:val="165"/>
      </w:pPr>
      <w:r>
        <w:rPr>
          <w:rFonts w:hint="eastAsia"/>
        </w:rPr>
        <w:t>氨水（</w:t>
      </w:r>
      <w:r>
        <w:t>NH</w:t>
      </w:r>
      <w:r>
        <w:rPr>
          <w:vertAlign w:val="subscript"/>
        </w:rPr>
        <w:t>3</w:t>
      </w:r>
      <w:r>
        <w:t xml:space="preserve"> ▪ H</w:t>
      </w:r>
      <w:r>
        <w:rPr>
          <w:vertAlign w:val="subscript"/>
        </w:rPr>
        <w:t>2</w:t>
      </w:r>
      <w:r>
        <w:t>O</w:t>
      </w:r>
      <w:r>
        <w:rPr>
          <w:rFonts w:hint="eastAsia"/>
        </w:rPr>
        <w:t>）：分析纯，浓度为</w:t>
      </w:r>
      <w:r>
        <w:t>25%</w:t>
      </w:r>
      <w:r>
        <w:rPr>
          <w:rFonts w:hint="eastAsia"/>
        </w:rPr>
        <w:t>～</w:t>
      </w:r>
      <w:r>
        <w:t>28%</w:t>
      </w:r>
      <w:r>
        <w:rPr>
          <w:rFonts w:hint="eastAsia"/>
        </w:rPr>
        <w:t>。</w:t>
      </w:r>
    </w:p>
    <w:p w14:paraId="1802A9DA">
      <w:pPr>
        <w:pStyle w:val="37"/>
        <w:spacing w:before="156" w:after="156"/>
      </w:pPr>
      <w:bookmarkStart w:id="58" w:name="_Toc197268460"/>
      <w:r>
        <w:rPr>
          <w:rFonts w:hint="eastAsia"/>
        </w:rPr>
        <w:t>溶液配制</w:t>
      </w:r>
      <w:bookmarkEnd w:id="58"/>
    </w:p>
    <w:p w14:paraId="78E714CE">
      <w:pPr>
        <w:pStyle w:val="165"/>
      </w:pPr>
      <w:r>
        <w:rPr>
          <w:rFonts w:hint="eastAsia"/>
        </w:rPr>
        <w:t>1%甲酸-二氯甲烷溶液：移取10 mL甲酸，加入990 mL二氯甲烷中，混匀。</w:t>
      </w:r>
    </w:p>
    <w:p w14:paraId="674E1F5C">
      <w:pPr>
        <w:pStyle w:val="165"/>
      </w:pPr>
      <w:r>
        <w:rPr>
          <w:rFonts w:hint="eastAsia"/>
        </w:rPr>
        <w:t>1%甲酸-乙酸乙酯溶液：移取10 mL甲酸，加入990 mL乙酸乙酯中，混匀。</w:t>
      </w:r>
    </w:p>
    <w:p w14:paraId="51F28A1F">
      <w:pPr>
        <w:pStyle w:val="165"/>
      </w:pPr>
      <w:r>
        <w:rPr>
          <w:rFonts w:hint="eastAsia"/>
        </w:rPr>
        <w:t>1%氨水溶液：移取10 mL氨水，加入990 mL实验用水中，混匀。</w:t>
      </w:r>
    </w:p>
    <w:p w14:paraId="7D2C3581">
      <w:pPr>
        <w:pStyle w:val="165"/>
      </w:pPr>
      <w:r>
        <w:rPr>
          <w:rFonts w:hint="eastAsia"/>
        </w:rPr>
        <w:t>5%甲酸-乙腈溶液：移取25 mL甲酸，加入475 mL乙腈中，混匀。</w:t>
      </w:r>
    </w:p>
    <w:p w14:paraId="083FA2D6">
      <w:pPr>
        <w:pStyle w:val="165"/>
      </w:pPr>
      <w:r>
        <w:rPr>
          <w:rFonts w:hint="eastAsia"/>
        </w:rPr>
        <w:t>20%乙腈溶液：移取20 mL乙腈，加入80 mL实验用水，混匀。</w:t>
      </w:r>
    </w:p>
    <w:p w14:paraId="7BAC9B93">
      <w:pPr>
        <w:pStyle w:val="165"/>
      </w:pPr>
      <w:r>
        <w:rPr>
          <w:rFonts w:hint="eastAsia"/>
        </w:rPr>
        <w:t>0.1%甲酸溶液：移取1 mL甲酸，加入实验用水，定容至1000 mL，混匀。</w:t>
      </w:r>
    </w:p>
    <w:p w14:paraId="041FA22E">
      <w:pPr>
        <w:pStyle w:val="37"/>
        <w:spacing w:before="156" w:after="156"/>
      </w:pPr>
      <w:bookmarkStart w:id="59" w:name="_Toc197268461"/>
      <w:r>
        <w:rPr>
          <w:rFonts w:hint="eastAsia"/>
        </w:rPr>
        <w:t>标准品</w:t>
      </w:r>
      <w:bookmarkEnd w:id="59"/>
    </w:p>
    <w:p w14:paraId="22487C45">
      <w:pPr>
        <w:pStyle w:val="165"/>
      </w:pPr>
      <w:r>
        <w:rPr>
          <w:rFonts w:hint="eastAsia"/>
        </w:rPr>
        <w:t>甲霜灵（Metalaxyl, C</w:t>
      </w:r>
      <w:r>
        <w:rPr>
          <w:rFonts w:hint="eastAsia"/>
          <w:vertAlign w:val="subscript"/>
        </w:rPr>
        <w:t>15</w:t>
      </w:r>
      <w:r>
        <w:rPr>
          <w:rFonts w:hint="eastAsia"/>
        </w:rPr>
        <w:t>H</w:t>
      </w:r>
      <w:r>
        <w:rPr>
          <w:rFonts w:hint="eastAsia"/>
          <w:vertAlign w:val="subscript"/>
        </w:rPr>
        <w:t>21</w:t>
      </w:r>
      <w:r>
        <w:rPr>
          <w:rFonts w:hint="eastAsia"/>
        </w:rPr>
        <w:t>N</w:t>
      </w:r>
      <w:r>
        <w:rPr>
          <w:rFonts w:hint="eastAsia"/>
          <w:vertAlign w:val="subscript"/>
        </w:rPr>
        <w:t>4</w:t>
      </w:r>
      <w:r>
        <w:rPr>
          <w:rFonts w:hint="eastAsia"/>
        </w:rPr>
        <w:t>O, CAS号：57837-19-1）。</w:t>
      </w:r>
    </w:p>
    <w:p w14:paraId="34065429">
      <w:pPr>
        <w:pStyle w:val="165"/>
      </w:pPr>
      <w:r>
        <w:rPr>
          <w:rFonts w:hint="eastAsia"/>
        </w:rPr>
        <w:t>甲霜灵酸（Metalaxyl acid, C</w:t>
      </w:r>
      <w:r>
        <w:rPr>
          <w:rFonts w:hint="eastAsia"/>
          <w:vertAlign w:val="subscript"/>
        </w:rPr>
        <w:t>14</w:t>
      </w:r>
      <w:r>
        <w:rPr>
          <w:rFonts w:hint="eastAsia"/>
        </w:rPr>
        <w:t>H</w:t>
      </w:r>
      <w:r>
        <w:rPr>
          <w:rFonts w:hint="eastAsia"/>
          <w:vertAlign w:val="subscript"/>
        </w:rPr>
        <w:t>19</w:t>
      </w:r>
      <w:r>
        <w:rPr>
          <w:rFonts w:hint="eastAsia"/>
        </w:rPr>
        <w:t>N</w:t>
      </w:r>
      <w:r>
        <w:rPr>
          <w:rFonts w:hint="eastAsia"/>
          <w:vertAlign w:val="subscript"/>
        </w:rPr>
        <w:t>4</w:t>
      </w:r>
      <w:r>
        <w:rPr>
          <w:rFonts w:hint="eastAsia"/>
        </w:rPr>
        <w:t>O</w:t>
      </w:r>
      <w:r>
        <w:rPr>
          <w:rFonts w:hint="eastAsia"/>
          <w:vertAlign w:val="subscript"/>
        </w:rPr>
        <w:t>2</w:t>
      </w:r>
      <w:r>
        <w:rPr>
          <w:rFonts w:hint="eastAsia"/>
        </w:rPr>
        <w:t>, CAS号：87764-37-2）。</w:t>
      </w:r>
    </w:p>
    <w:p w14:paraId="75ABF779">
      <w:pPr>
        <w:pStyle w:val="165"/>
      </w:pPr>
      <w:r>
        <w:rPr>
          <w:rFonts w:hint="eastAsia"/>
        </w:rPr>
        <w:t>氘代甲霜灵（Metalaxyl-D</w:t>
      </w:r>
      <w:r>
        <w:rPr>
          <w:rFonts w:hint="eastAsia"/>
          <w:vertAlign w:val="subscript"/>
        </w:rPr>
        <w:t>6</w:t>
      </w:r>
      <w:r>
        <w:rPr>
          <w:rFonts w:hint="eastAsia"/>
        </w:rPr>
        <w:t>, C</w:t>
      </w:r>
      <w:r>
        <w:rPr>
          <w:rFonts w:hint="eastAsia"/>
          <w:vertAlign w:val="subscript"/>
        </w:rPr>
        <w:t>9</w:t>
      </w:r>
      <w:r>
        <w:rPr>
          <w:rFonts w:hint="eastAsia"/>
        </w:rPr>
        <w:t>H</w:t>
      </w:r>
      <w:r>
        <w:rPr>
          <w:rFonts w:hint="eastAsia"/>
          <w:vertAlign w:val="subscript"/>
        </w:rPr>
        <w:t>21</w:t>
      </w:r>
      <w:r>
        <w:rPr>
          <w:rFonts w:hint="eastAsia"/>
        </w:rPr>
        <w:t>C</w:t>
      </w:r>
      <w:r>
        <w:rPr>
          <w:rFonts w:hint="eastAsia"/>
          <w:vertAlign w:val="superscript"/>
        </w:rPr>
        <w:t>13</w:t>
      </w:r>
      <w:r>
        <w:rPr>
          <w:rFonts w:hint="eastAsia"/>
          <w:vertAlign w:val="subscript"/>
        </w:rPr>
        <w:t>6</w:t>
      </w:r>
      <w:r>
        <w:rPr>
          <w:rFonts w:hint="eastAsia"/>
        </w:rPr>
        <w:t>N</w:t>
      </w:r>
      <w:r>
        <w:rPr>
          <w:rFonts w:hint="eastAsia"/>
          <w:vertAlign w:val="subscript"/>
        </w:rPr>
        <w:t>4</w:t>
      </w:r>
      <w:r>
        <w:rPr>
          <w:rFonts w:hint="eastAsia"/>
        </w:rPr>
        <w:t>O, CAS号：65854-76-4）。</w:t>
      </w:r>
    </w:p>
    <w:p w14:paraId="1AB8DE9C">
      <w:pPr>
        <w:pStyle w:val="37"/>
        <w:spacing w:before="156" w:after="156"/>
      </w:pPr>
      <w:bookmarkStart w:id="60" w:name="_Toc197268462"/>
      <w:r>
        <w:rPr>
          <w:rFonts w:hint="eastAsia"/>
        </w:rPr>
        <w:t>溶液配制</w:t>
      </w:r>
      <w:bookmarkEnd w:id="60"/>
    </w:p>
    <w:p w14:paraId="1CC54B95">
      <w:pPr>
        <w:pStyle w:val="165"/>
      </w:pPr>
      <w:r>
        <w:rPr>
          <w:rFonts w:hint="eastAsia"/>
        </w:rPr>
        <w:t xml:space="preserve">混合标准储备液（100 </w:t>
      </w:r>
      <w:r>
        <w:rPr>
          <w:rFonts w:ascii="Times New Roman"/>
        </w:rPr>
        <w:t>μ</w:t>
      </w:r>
      <w:r>
        <w:rPr>
          <w:rFonts w:hint="eastAsia"/>
        </w:rPr>
        <w:t xml:space="preserve">g/mL）：称取甲霜灵、甲霜灵酸标准品各10 mg，精密称定，用乙腈溶解并定容于100 mL棕色容量瓶，配制成浓度为100 </w:t>
      </w:r>
      <w:r>
        <w:rPr>
          <w:rFonts w:ascii="Times New Roman"/>
        </w:rPr>
        <w:t>μ</w:t>
      </w:r>
      <w:r>
        <w:rPr>
          <w:rFonts w:hint="eastAsia"/>
        </w:rPr>
        <w:t>g/mL的标准储备液，于-18 ℃以下避光保存，有效期6个月。</w:t>
      </w:r>
    </w:p>
    <w:p w14:paraId="2A3DD592">
      <w:pPr>
        <w:pStyle w:val="165"/>
      </w:pPr>
      <w:r>
        <w:rPr>
          <w:rFonts w:hint="eastAsia"/>
        </w:rPr>
        <w:t xml:space="preserve">内标储备液（100 </w:t>
      </w:r>
      <w:r>
        <w:rPr>
          <w:rFonts w:ascii="Times New Roman"/>
        </w:rPr>
        <w:t>μ</w:t>
      </w:r>
      <w:r>
        <w:rPr>
          <w:rFonts w:hint="eastAsia"/>
        </w:rPr>
        <w:t>g/mL）：称取甲霜灵-D</w:t>
      </w:r>
      <w:r>
        <w:rPr>
          <w:rFonts w:hint="eastAsia"/>
          <w:vertAlign w:val="subscript"/>
        </w:rPr>
        <w:t>6</w:t>
      </w:r>
      <w:r>
        <w:rPr>
          <w:rFonts w:hint="eastAsia"/>
        </w:rPr>
        <w:t xml:space="preserve">标准品各10 mg，精密称定，用乙腈溶解并定容于100 mL棕色容量瓶，配制成浓度为100 </w:t>
      </w:r>
      <w:r>
        <w:rPr>
          <w:rFonts w:ascii="Times New Roman"/>
        </w:rPr>
        <w:t>μ</w:t>
      </w:r>
      <w:r>
        <w:rPr>
          <w:rFonts w:hint="eastAsia"/>
        </w:rPr>
        <w:t>g/mL的内标储备液，于-18 ℃以下避光保存，有效期6个月。</w:t>
      </w:r>
    </w:p>
    <w:p w14:paraId="781B773B">
      <w:pPr>
        <w:pStyle w:val="165"/>
      </w:pPr>
      <w:r>
        <w:rPr>
          <w:rFonts w:hAnsi="宋体"/>
        </w:rPr>
        <w:t xml:space="preserve">混合标准中间液（10.0 </w:t>
      </w:r>
      <w:r>
        <w:rPr>
          <w:rFonts w:ascii="Times New Roman"/>
        </w:rPr>
        <w:t>μ</w:t>
      </w:r>
      <w:r>
        <w:rPr>
          <w:rFonts w:hAnsi="宋体"/>
        </w:rPr>
        <w:t>g/mL）：准确移取1 mL混合标准储备液，于10 mL棕色容量瓶中，用乙腈定容，混匀，于-</w:t>
      </w:r>
      <w:r>
        <w:rPr>
          <w:rFonts w:hint="eastAsia" w:hAnsi="宋体"/>
        </w:rPr>
        <w:t>18</w:t>
      </w:r>
      <w:r>
        <w:rPr>
          <w:rFonts w:hAnsi="宋体"/>
        </w:rPr>
        <w:t xml:space="preserve"> </w:t>
      </w:r>
      <w:r>
        <w:rPr>
          <w:rFonts w:hint="eastAsia" w:hAnsi="宋体"/>
        </w:rPr>
        <w:t>℃</w:t>
      </w:r>
      <w:r>
        <w:rPr>
          <w:rFonts w:hAnsi="宋体"/>
        </w:rPr>
        <w:t>以下避光保存，有效期1个月。</w:t>
      </w:r>
    </w:p>
    <w:p w14:paraId="72F8BF0F">
      <w:pPr>
        <w:pStyle w:val="165"/>
      </w:pPr>
      <w:r>
        <w:rPr>
          <w:rFonts w:hAnsi="宋体"/>
        </w:rPr>
        <w:t xml:space="preserve">内标中间液（10.0 </w:t>
      </w:r>
      <w:r>
        <w:rPr>
          <w:rFonts w:ascii="Times New Roman"/>
        </w:rPr>
        <w:t>μ</w:t>
      </w:r>
      <w:r>
        <w:rPr>
          <w:rFonts w:hAnsi="宋体"/>
        </w:rPr>
        <w:t>g/mL）：准确移取1 mL内标储备液，于10 mL棕色容量瓶中，用乙腈定容，混匀，于-</w:t>
      </w:r>
      <w:r>
        <w:rPr>
          <w:rFonts w:hint="eastAsia" w:hAnsi="宋体"/>
        </w:rPr>
        <w:t>18</w:t>
      </w:r>
      <w:r>
        <w:rPr>
          <w:rFonts w:hAnsi="宋体"/>
        </w:rPr>
        <w:t xml:space="preserve"> </w:t>
      </w:r>
      <w:r>
        <w:rPr>
          <w:rFonts w:hint="eastAsia" w:hAnsi="宋体"/>
        </w:rPr>
        <w:t>℃</w:t>
      </w:r>
      <w:r>
        <w:rPr>
          <w:rFonts w:hAnsi="宋体"/>
        </w:rPr>
        <w:t>以下避光保存，有效期1个月。</w:t>
      </w:r>
    </w:p>
    <w:p w14:paraId="7BF0AD14">
      <w:pPr>
        <w:pStyle w:val="165"/>
      </w:pPr>
      <w:r>
        <w:rPr>
          <w:rFonts w:hint="eastAsia" w:hAnsi="宋体"/>
        </w:rPr>
        <w:t xml:space="preserve">混合标准使用液（0.10 </w:t>
      </w:r>
      <w:r>
        <w:rPr>
          <w:rFonts w:ascii="Times New Roman"/>
        </w:rPr>
        <w:t>μ</w:t>
      </w:r>
      <w:r>
        <w:rPr>
          <w:rFonts w:hint="eastAsia" w:hAnsi="宋体"/>
        </w:rPr>
        <w:t>g/mL）：准确移取1 mL标准中间液于100 mL棕色容量瓶中，用乙腈定容，混匀，于4 ℃以下避光保存，现配现用。</w:t>
      </w:r>
    </w:p>
    <w:p w14:paraId="0FB4B3C1">
      <w:pPr>
        <w:pStyle w:val="165"/>
      </w:pPr>
      <w:r>
        <w:rPr>
          <w:rFonts w:hint="eastAsia"/>
        </w:rPr>
        <w:t>内标使用液（0.</w:t>
      </w:r>
      <w:r>
        <w:t>10</w:t>
      </w:r>
      <w:r>
        <w:rPr>
          <w:rFonts w:hint="eastAsia"/>
        </w:rPr>
        <w:t xml:space="preserve"> </w:t>
      </w:r>
      <w:r>
        <w:rPr>
          <w:rFonts w:ascii="Times New Roman"/>
        </w:rPr>
        <w:t>μ</w:t>
      </w:r>
      <w:r>
        <w:rPr>
          <w:rFonts w:hint="eastAsia"/>
        </w:rPr>
        <w:t>g/</w:t>
      </w:r>
      <w:r>
        <w:t>m</w:t>
      </w:r>
      <w:r>
        <w:rPr>
          <w:rFonts w:hint="eastAsia"/>
        </w:rPr>
        <w:t>L）：准确移取1 mL内标中间液于10</w:t>
      </w:r>
      <w:r>
        <w:t>0</w:t>
      </w:r>
      <w:r>
        <w:rPr>
          <w:rFonts w:hint="eastAsia"/>
        </w:rPr>
        <w:t xml:space="preserve"> mL棕色容量瓶中，用乙腈定容，混匀，于</w:t>
      </w:r>
      <w:r>
        <w:t xml:space="preserve">4 </w:t>
      </w:r>
      <w:r>
        <w:rPr>
          <w:rFonts w:hint="eastAsia"/>
        </w:rPr>
        <w:t>℃以下避光保存，现配现用。</w:t>
      </w:r>
    </w:p>
    <w:p w14:paraId="48DCD12F">
      <w:pPr>
        <w:pStyle w:val="37"/>
        <w:spacing w:before="156" w:after="156"/>
      </w:pPr>
      <w:bookmarkStart w:id="61" w:name="_Toc197268463"/>
      <w:r>
        <w:rPr>
          <w:rFonts w:hint="eastAsia"/>
        </w:rPr>
        <w:t>材料</w:t>
      </w:r>
      <w:bookmarkEnd w:id="61"/>
    </w:p>
    <w:p w14:paraId="76EF799D">
      <w:pPr>
        <w:pStyle w:val="38"/>
        <w:spacing w:before="0" w:beforeLines="0" w:after="0" w:afterLines="0"/>
        <w:rPr>
          <w:rFonts w:hint="eastAsia" w:ascii="宋体" w:hAnsi="宋体" w:eastAsia="宋体"/>
        </w:rPr>
      </w:pPr>
      <w:r>
        <w:rPr>
          <w:rFonts w:hint="eastAsia" w:ascii="宋体" w:hAnsi="宋体" w:eastAsia="宋体"/>
        </w:rPr>
        <w:t>混合型强阴离子交换固相萃取小柱：150 mg/6 mL，或者相当者。</w:t>
      </w:r>
    </w:p>
    <w:p w14:paraId="6A7EB66D">
      <w:pPr>
        <w:pStyle w:val="38"/>
        <w:spacing w:before="0" w:beforeLines="0" w:after="0" w:afterLines="0"/>
        <w:rPr>
          <w:rFonts w:hint="eastAsia" w:ascii="宋体" w:hAnsi="宋体" w:eastAsia="宋体"/>
        </w:rPr>
      </w:pPr>
      <w:r>
        <w:rPr>
          <w:rFonts w:hint="eastAsia" w:ascii="宋体" w:hAnsi="宋体" w:eastAsia="宋体"/>
        </w:rPr>
        <w:t xml:space="preserve">聚四氟乙烯滤膜：0.22 </w:t>
      </w:r>
      <w:r>
        <w:rPr>
          <w:rFonts w:ascii="Times New Roman" w:eastAsia="宋体"/>
        </w:rPr>
        <w:t>μ</w:t>
      </w:r>
      <w:r>
        <w:rPr>
          <w:rFonts w:ascii="宋体" w:hAnsi="宋体" w:eastAsia="宋体"/>
        </w:rPr>
        <w:t>m</w:t>
      </w:r>
      <w:r>
        <w:rPr>
          <w:rFonts w:hint="eastAsia" w:ascii="宋体" w:hAnsi="宋体" w:eastAsia="宋体"/>
        </w:rPr>
        <w:t>。</w:t>
      </w:r>
    </w:p>
    <w:p w14:paraId="2A3D1DA4">
      <w:pPr>
        <w:pStyle w:val="165"/>
        <w:rPr>
          <w:rFonts w:ascii="Times New Roman"/>
        </w:rPr>
      </w:pPr>
      <w:r>
        <w:rPr>
          <w:rFonts w:hint="eastAsia"/>
        </w:rPr>
        <w:t xml:space="preserve">玻璃纤维滤膜：0.45 </w:t>
      </w:r>
      <w:r>
        <w:rPr>
          <w:rFonts w:ascii="Times New Roman"/>
        </w:rPr>
        <w:t>μm。</w:t>
      </w:r>
    </w:p>
    <w:p w14:paraId="496592A5">
      <w:pPr>
        <w:pStyle w:val="38"/>
        <w:spacing w:before="0" w:beforeLines="0" w:after="0" w:afterLines="0"/>
        <w:rPr>
          <w:rFonts w:hint="eastAsia" w:ascii="宋体" w:hAnsi="宋体" w:eastAsia="宋体"/>
        </w:rPr>
      </w:pPr>
      <w:r>
        <w:rPr>
          <w:rFonts w:hint="eastAsia" w:ascii="宋体" w:hAnsi="宋体" w:eastAsia="宋体"/>
        </w:rPr>
        <w:t xml:space="preserve">N-丙基乙二胺：40 </w:t>
      </w:r>
      <w:r>
        <w:rPr>
          <w:rFonts w:ascii="Times New Roman" w:eastAsia="宋体"/>
        </w:rPr>
        <w:t>μ</w:t>
      </w:r>
      <w:r>
        <w:rPr>
          <w:rFonts w:hint="eastAsia" w:ascii="宋体" w:hAnsi="宋体" w:eastAsia="宋体"/>
        </w:rPr>
        <w:t xml:space="preserve">m～60 </w:t>
      </w:r>
      <w:r>
        <w:rPr>
          <w:rFonts w:ascii="Times New Roman" w:eastAsia="宋体"/>
        </w:rPr>
        <w:t>μ</w:t>
      </w:r>
      <w:r>
        <w:rPr>
          <w:rFonts w:hint="eastAsia" w:ascii="宋体" w:hAnsi="宋体" w:eastAsia="宋体"/>
        </w:rPr>
        <w:t>m粒径范围，100 Å平均孔径。</w:t>
      </w:r>
    </w:p>
    <w:p w14:paraId="058558AD">
      <w:pPr>
        <w:pStyle w:val="34"/>
        <w:spacing w:before="312" w:after="312"/>
      </w:pPr>
      <w:bookmarkStart w:id="62" w:name="_Toc197268493"/>
      <w:bookmarkStart w:id="63" w:name="_Toc197268464"/>
      <w:r>
        <w:rPr>
          <w:rFonts w:hint="eastAsia"/>
        </w:rPr>
        <w:t>仪器与设备</w:t>
      </w:r>
      <w:bookmarkEnd w:id="62"/>
      <w:bookmarkEnd w:id="63"/>
    </w:p>
    <w:p w14:paraId="0344CDDA">
      <w:pPr>
        <w:pStyle w:val="37"/>
        <w:spacing w:before="0" w:beforeLines="0" w:after="0" w:afterLines="0"/>
        <w:rPr>
          <w:rFonts w:hint="eastAsia" w:ascii="宋体" w:hAnsi="宋体" w:eastAsia="宋体"/>
        </w:rPr>
      </w:pPr>
      <w:bookmarkStart w:id="64" w:name="_Toc140841739"/>
      <w:bookmarkStart w:id="65" w:name="_Toc197268465"/>
      <w:r>
        <w:rPr>
          <w:rFonts w:hint="eastAsia" w:ascii="宋体" w:hAnsi="宋体" w:eastAsia="宋体"/>
        </w:rPr>
        <w:t>液相色谱-串联质谱仪：配有电喷雾离子源。</w:t>
      </w:r>
      <w:bookmarkEnd w:id="64"/>
      <w:bookmarkEnd w:id="65"/>
    </w:p>
    <w:p w14:paraId="56695AF7">
      <w:pPr>
        <w:pStyle w:val="37"/>
        <w:spacing w:before="0" w:beforeLines="0" w:after="0" w:afterLines="0"/>
        <w:rPr>
          <w:rFonts w:hint="eastAsia" w:ascii="宋体" w:hAnsi="宋体" w:eastAsia="宋体"/>
        </w:rPr>
      </w:pPr>
      <w:bookmarkStart w:id="66" w:name="_Toc197268466"/>
      <w:bookmarkStart w:id="67" w:name="_Toc140841740"/>
      <w:r>
        <w:rPr>
          <w:rFonts w:hint="eastAsia" w:ascii="宋体" w:hAnsi="宋体" w:eastAsia="宋体"/>
        </w:rPr>
        <w:t>分析天平：感量0.01 g和0.00001 g。</w:t>
      </w:r>
      <w:bookmarkEnd w:id="66"/>
      <w:bookmarkEnd w:id="67"/>
    </w:p>
    <w:p w14:paraId="1AA1DD49">
      <w:pPr>
        <w:pStyle w:val="37"/>
        <w:spacing w:before="0" w:beforeLines="0" w:after="0" w:afterLines="0"/>
        <w:rPr>
          <w:rFonts w:hint="eastAsia" w:ascii="宋体" w:hAnsi="宋体" w:eastAsia="宋体"/>
        </w:rPr>
      </w:pPr>
      <w:bookmarkStart w:id="68" w:name="_Toc140841741"/>
      <w:bookmarkStart w:id="69" w:name="_Toc197268467"/>
      <w:r>
        <w:rPr>
          <w:rFonts w:hint="eastAsia" w:ascii="宋体" w:hAnsi="宋体" w:eastAsia="宋体"/>
        </w:rPr>
        <w:t>冷冻干燥机。</w:t>
      </w:r>
      <w:bookmarkEnd w:id="68"/>
      <w:bookmarkEnd w:id="69"/>
    </w:p>
    <w:p w14:paraId="5FAE51D6">
      <w:pPr>
        <w:pStyle w:val="162"/>
      </w:pPr>
      <w:r>
        <w:rPr>
          <w:rFonts w:hint="eastAsia" w:hAnsi="宋体"/>
        </w:rPr>
        <w:t>涡旋混合器。</w:t>
      </w:r>
    </w:p>
    <w:p w14:paraId="72EF67A2">
      <w:pPr>
        <w:pStyle w:val="162"/>
      </w:pPr>
      <w:r>
        <w:rPr>
          <w:rFonts w:hint="eastAsia"/>
        </w:rPr>
        <w:t>高速离心机：转速不低于8000 r/min。</w:t>
      </w:r>
    </w:p>
    <w:p w14:paraId="51D9476A">
      <w:pPr>
        <w:pStyle w:val="162"/>
      </w:pPr>
      <w:r>
        <w:rPr>
          <w:rFonts w:hint="eastAsia"/>
        </w:rPr>
        <w:t>超声波清洗器。</w:t>
      </w:r>
    </w:p>
    <w:p w14:paraId="43E99C11">
      <w:pPr>
        <w:pStyle w:val="37"/>
        <w:spacing w:before="0" w:beforeLines="0" w:after="0" w:afterLines="0"/>
        <w:rPr>
          <w:rFonts w:hint="eastAsia" w:ascii="宋体" w:hAnsi="宋体" w:eastAsia="宋体"/>
        </w:rPr>
      </w:pPr>
      <w:bookmarkStart w:id="70" w:name="_Toc197268468"/>
      <w:bookmarkStart w:id="71" w:name="_Toc140841745"/>
      <w:r>
        <w:rPr>
          <w:rFonts w:hint="eastAsia" w:ascii="宋体" w:hAnsi="宋体" w:eastAsia="宋体"/>
        </w:rPr>
        <w:t>固相萃取装置，带真空泵。</w:t>
      </w:r>
      <w:bookmarkEnd w:id="70"/>
      <w:bookmarkEnd w:id="71"/>
    </w:p>
    <w:p w14:paraId="11631CD6">
      <w:pPr>
        <w:pStyle w:val="37"/>
        <w:spacing w:before="0" w:beforeLines="0" w:after="0" w:afterLines="0"/>
        <w:rPr>
          <w:rFonts w:hint="eastAsia" w:ascii="宋体" w:hAnsi="宋体" w:eastAsia="宋体"/>
        </w:rPr>
      </w:pPr>
      <w:bookmarkStart w:id="72" w:name="_Toc140841746"/>
      <w:bookmarkStart w:id="73" w:name="_Toc197268469"/>
      <w:r>
        <w:rPr>
          <w:rFonts w:hint="eastAsia" w:ascii="宋体" w:hAnsi="宋体" w:eastAsia="宋体"/>
        </w:rPr>
        <w:t>氮吹仪。</w:t>
      </w:r>
      <w:bookmarkEnd w:id="72"/>
      <w:bookmarkEnd w:id="73"/>
    </w:p>
    <w:p w14:paraId="05591CA0">
      <w:pPr>
        <w:pStyle w:val="34"/>
        <w:spacing w:before="312" w:after="312"/>
      </w:pPr>
      <w:bookmarkStart w:id="74" w:name="_Toc197268470"/>
      <w:bookmarkStart w:id="75" w:name="_Toc197268494"/>
      <w:r>
        <w:rPr>
          <w:rFonts w:hint="eastAsia"/>
        </w:rPr>
        <w:t>样品</w:t>
      </w:r>
      <w:bookmarkEnd w:id="74"/>
      <w:bookmarkEnd w:id="75"/>
    </w:p>
    <w:p w14:paraId="2EABB246">
      <w:pPr>
        <w:pStyle w:val="37"/>
        <w:spacing w:before="156" w:after="156"/>
      </w:pPr>
      <w:bookmarkStart w:id="76" w:name="_Toc197268471"/>
      <w:r>
        <w:rPr>
          <w:rFonts w:hint="eastAsia"/>
        </w:rPr>
        <w:t>样品采集</w:t>
      </w:r>
      <w:bookmarkEnd w:id="76"/>
    </w:p>
    <w:p w14:paraId="417AF86A">
      <w:pPr>
        <w:pStyle w:val="35"/>
        <w:ind w:firstLine="420"/>
      </w:pPr>
      <w:r>
        <w:rPr>
          <w:rFonts w:hint="eastAsia"/>
        </w:rPr>
        <w:t>水样和底泥样品按照SC/T 9102.3规定的方法进行采集。</w:t>
      </w:r>
    </w:p>
    <w:p w14:paraId="589E20A2">
      <w:pPr>
        <w:pStyle w:val="37"/>
        <w:spacing w:before="156" w:after="156"/>
      </w:pPr>
      <w:bookmarkStart w:id="77" w:name="_Toc197268472"/>
      <w:r>
        <w:rPr>
          <w:rFonts w:hint="eastAsia"/>
        </w:rPr>
        <w:t>试样制备</w:t>
      </w:r>
      <w:bookmarkEnd w:id="77"/>
    </w:p>
    <w:p w14:paraId="6976C203">
      <w:pPr>
        <w:pStyle w:val="35"/>
        <w:ind w:firstLine="420"/>
      </w:pPr>
      <w:r>
        <w:rPr>
          <w:rFonts w:hint="eastAsia"/>
        </w:rPr>
        <w:t xml:space="preserve">水样采样量应不少于1 L，经0.45 </w:t>
      </w:r>
      <w:r>
        <w:rPr>
          <w:rFonts w:ascii="Times New Roman"/>
        </w:rPr>
        <w:t>μ</w:t>
      </w:r>
      <w:r>
        <w:rPr>
          <w:rFonts w:hint="eastAsia"/>
        </w:rPr>
        <w:t>m玻璃纤维滤膜过滤，置于棕色样品瓶中，0 ℃～4 ℃避光保存，一周内完成分析。底泥样品采样量应不少于500 g，于-20 ℃预冷冻24 h，经冷冻干燥机（-50 ℃，真空度&lt; 20 Pa，冷冻干燥10 h）冻干，剔除石块和植物体等异物，用研钵研磨后过孔径100目网筛，置于棕色样品瓶中，0 ℃～4 ℃避光保存，一个月内完成分析。</w:t>
      </w:r>
    </w:p>
    <w:p w14:paraId="5A51DA4E">
      <w:pPr>
        <w:pStyle w:val="34"/>
        <w:spacing w:before="312" w:after="312"/>
      </w:pPr>
      <w:bookmarkStart w:id="78" w:name="_Toc197268495"/>
      <w:bookmarkStart w:id="79" w:name="_Toc197268473"/>
      <w:r>
        <w:rPr>
          <w:rFonts w:hint="eastAsia"/>
        </w:rPr>
        <w:t>测定步骤</w:t>
      </w:r>
      <w:bookmarkEnd w:id="78"/>
      <w:bookmarkEnd w:id="79"/>
    </w:p>
    <w:p w14:paraId="779A2149">
      <w:pPr>
        <w:pStyle w:val="37"/>
        <w:spacing w:before="156" w:after="156"/>
      </w:pPr>
      <w:bookmarkStart w:id="80" w:name="_Toc197268474"/>
      <w:r>
        <w:rPr>
          <w:rFonts w:hint="eastAsia"/>
        </w:rPr>
        <w:t>提取</w:t>
      </w:r>
      <w:bookmarkEnd w:id="80"/>
    </w:p>
    <w:p w14:paraId="0FD9C31A">
      <w:pPr>
        <w:pStyle w:val="38"/>
        <w:spacing w:before="156" w:after="156"/>
      </w:pPr>
      <w:r>
        <w:rPr>
          <w:rFonts w:hint="eastAsia"/>
        </w:rPr>
        <w:t>水</w:t>
      </w:r>
    </w:p>
    <w:p w14:paraId="11035911">
      <w:pPr>
        <w:pStyle w:val="35"/>
        <w:ind w:firstLine="420"/>
      </w:pPr>
      <w:r>
        <w:rPr>
          <w:rFonts w:hint="eastAsia"/>
        </w:rPr>
        <w:t xml:space="preserve">准确移取100 mL水样，置于分液漏斗中，加入20 mL 1%甲酸-二氯甲烷，再加入100 </w:t>
      </w:r>
      <w:r>
        <w:rPr>
          <w:rFonts w:ascii="Times New Roman"/>
        </w:rPr>
        <w:t>μ</w:t>
      </w:r>
      <w:r>
        <w:rPr>
          <w:rFonts w:hint="eastAsia"/>
        </w:rPr>
        <w:t xml:space="preserve">L内标使用液，震荡提取5 min，静置分层，收集下层清液于鸡心瓶中。加入20 mL 1%甲酸-二氯甲烷，重复提取一次。合并提取液，45 ℃旋蒸至近干，加入1 mL 20%乙腈溶液溶解，溶液转移至2 mL离心管，加入100 mg N-丙基乙二胺，涡旋混合1 min，于4 ℃ 10000 r/min离心10 min，取上清液过0.22 </w:t>
      </w:r>
      <w:r>
        <w:rPr>
          <w:rFonts w:ascii="Times New Roman"/>
        </w:rPr>
        <w:t>μ</w:t>
      </w:r>
      <w:r>
        <w:rPr>
          <w:rFonts w:hint="eastAsia"/>
        </w:rPr>
        <w:t>m有机相微孔滤膜，供液相色谱串联质谱仪测定。</w:t>
      </w:r>
    </w:p>
    <w:p w14:paraId="1130C133">
      <w:pPr>
        <w:pStyle w:val="38"/>
        <w:spacing w:before="156" w:after="156"/>
      </w:pPr>
      <w:r>
        <w:rPr>
          <w:rFonts w:hint="eastAsia"/>
        </w:rPr>
        <w:t>底泥</w:t>
      </w:r>
    </w:p>
    <w:p w14:paraId="448F5C23">
      <w:pPr>
        <w:pStyle w:val="35"/>
        <w:ind w:firstLine="420"/>
      </w:pPr>
      <w:r>
        <w:rPr>
          <w:rFonts w:hint="eastAsia"/>
        </w:rPr>
        <w:t xml:space="preserve">准确称取制备的底泥样品2 g（精确至0.01 g），置于50 mL离心管中，加入100 </w:t>
      </w:r>
      <w:r>
        <w:rPr>
          <w:rFonts w:ascii="Times New Roman"/>
        </w:rPr>
        <w:t>μ</w:t>
      </w:r>
      <w:r>
        <w:rPr>
          <w:rFonts w:hint="eastAsia"/>
        </w:rPr>
        <w:t xml:space="preserve">L内标使用液和5 mL水，涡旋混合1 min，静置30 min，然后加入15 mL 1%甲酸-乙酸乙酯溶液涡旋混合2 min，超声提取10 min，于4 ℃ 4 000 r/min离心5 min，取上清液。残渣加入10 mL 1%甲酸-乙酸乙酯溶液，重复提取一次。合并提取液，45 ºC氮气吹干，加入5 mL乙腈和250 </w:t>
      </w:r>
      <w:r>
        <w:rPr>
          <w:rFonts w:ascii="Times New Roman"/>
        </w:rPr>
        <w:t>μ</w:t>
      </w:r>
      <w:r>
        <w:rPr>
          <w:rFonts w:hint="eastAsia"/>
        </w:rPr>
        <w:t>L氨水，涡旋混合2 min，备用。</w:t>
      </w:r>
    </w:p>
    <w:p w14:paraId="401844F3">
      <w:pPr>
        <w:pStyle w:val="35"/>
        <w:ind w:firstLine="420"/>
      </w:pPr>
      <w:r>
        <w:rPr>
          <w:rFonts w:hint="eastAsia"/>
        </w:rPr>
        <w:t xml:space="preserve">用5 mL乙腈和5 mL 1%氨水溶液预活化固相萃取小柱。取备用液过柱，保持柱流速小于1.5 mL/min，再用5 mL 1%氨水溶液和5 mL乙腈淋洗，弃去流出液，用4 mL 5%甲酸-乙腈溶液洗脱，收集洗脱液，于45 ºC氮气吹至近干，加入1 mL 20%乙腈溶液溶解，过0.22 </w:t>
      </w:r>
      <w:r>
        <w:rPr>
          <w:rFonts w:ascii="Times New Roman"/>
        </w:rPr>
        <w:t>μ</w:t>
      </w:r>
      <w:r>
        <w:rPr>
          <w:rFonts w:hint="eastAsia"/>
        </w:rPr>
        <w:t>m有机相微孔滤膜，供液相色谱-串联质谱仪测定。</w:t>
      </w:r>
    </w:p>
    <w:p w14:paraId="26E04407">
      <w:pPr>
        <w:pStyle w:val="37"/>
        <w:spacing w:before="156" w:after="156"/>
      </w:pPr>
      <w:bookmarkStart w:id="81" w:name="_Toc197268475"/>
      <w:r>
        <w:rPr>
          <w:rFonts w:hint="eastAsia"/>
        </w:rPr>
        <w:t>底泥含水率测定</w:t>
      </w:r>
      <w:bookmarkEnd w:id="81"/>
    </w:p>
    <w:p w14:paraId="03837300">
      <w:pPr>
        <w:pStyle w:val="35"/>
        <w:ind w:firstLine="420"/>
      </w:pPr>
      <w:r>
        <w:rPr>
          <w:rFonts w:hint="eastAsia"/>
        </w:rPr>
        <w:t>按照GB 17378.5规定的方法进行测定。</w:t>
      </w:r>
    </w:p>
    <w:p w14:paraId="547A10F0">
      <w:pPr>
        <w:pStyle w:val="37"/>
        <w:spacing w:before="156" w:after="156"/>
      </w:pPr>
      <w:bookmarkStart w:id="82" w:name="_Toc197268476"/>
      <w:r>
        <w:rPr>
          <w:rFonts w:hint="eastAsia"/>
        </w:rPr>
        <w:t>标准曲线制备</w:t>
      </w:r>
      <w:bookmarkEnd w:id="82"/>
    </w:p>
    <w:p w14:paraId="5464E5B5">
      <w:pPr>
        <w:pStyle w:val="35"/>
        <w:ind w:firstLine="420"/>
      </w:pPr>
      <w:r>
        <w:rPr>
          <w:rFonts w:hint="eastAsia"/>
        </w:rPr>
        <w:t xml:space="preserve">分别移取标准使用液和内标使用液，用乙腈配制成甲霜灵及其代谢物的浓度为0.50 </w:t>
      </w:r>
      <w:r>
        <w:rPr>
          <w:rFonts w:ascii="Times New Roman"/>
        </w:rPr>
        <w:t>μ</w:t>
      </w:r>
      <w:r>
        <w:rPr>
          <w:rFonts w:hint="eastAsia"/>
        </w:rPr>
        <w:t xml:space="preserve">g/L、1.00 </w:t>
      </w:r>
      <w:r>
        <w:rPr>
          <w:rFonts w:ascii="Times New Roman"/>
        </w:rPr>
        <w:t>μ</w:t>
      </w:r>
      <w:r>
        <w:rPr>
          <w:rFonts w:hint="eastAsia"/>
        </w:rPr>
        <w:t xml:space="preserve">g/L、5.00 </w:t>
      </w:r>
      <w:r>
        <w:rPr>
          <w:rFonts w:ascii="Times New Roman"/>
        </w:rPr>
        <w:t>μ</w:t>
      </w:r>
      <w:r>
        <w:rPr>
          <w:rFonts w:hint="eastAsia"/>
        </w:rPr>
        <w:t xml:space="preserve">g/L、10.0 </w:t>
      </w:r>
      <w:r>
        <w:rPr>
          <w:rFonts w:ascii="Times New Roman"/>
        </w:rPr>
        <w:t>μ</w:t>
      </w:r>
      <w:r>
        <w:rPr>
          <w:rFonts w:hint="eastAsia"/>
        </w:rPr>
        <w:t xml:space="preserve">g/L、20.0 </w:t>
      </w:r>
      <w:r>
        <w:rPr>
          <w:rFonts w:ascii="Times New Roman"/>
        </w:rPr>
        <w:t>μ</w:t>
      </w:r>
      <w:r>
        <w:rPr>
          <w:rFonts w:hint="eastAsia"/>
        </w:rPr>
        <w:t xml:space="preserve">g/L、50.0 </w:t>
      </w:r>
      <w:r>
        <w:rPr>
          <w:rFonts w:ascii="Times New Roman"/>
        </w:rPr>
        <w:t>μ</w:t>
      </w:r>
      <w:r>
        <w:rPr>
          <w:rFonts w:hint="eastAsia"/>
        </w:rPr>
        <w:t xml:space="preserve">g/L，氘代甲霜灵浓度为10.0 </w:t>
      </w:r>
      <w:r>
        <w:rPr>
          <w:rFonts w:ascii="Times New Roman"/>
        </w:rPr>
        <w:t>μ</w:t>
      </w:r>
      <w:r>
        <w:rPr>
          <w:rFonts w:hint="eastAsia"/>
        </w:rPr>
        <w:t>g/L的系列标准工作液，供液相色谱-串联质谱仪测定。以待测物和内标物特征离子质量色谱峰峰面积比值为纵坐标、对应的标准溶液浓度为横坐标，绘制标准曲线，计算回归方程和相关系数。</w:t>
      </w:r>
    </w:p>
    <w:p w14:paraId="584DDF64">
      <w:pPr>
        <w:pStyle w:val="37"/>
        <w:spacing w:before="156" w:after="156"/>
      </w:pPr>
      <w:bookmarkStart w:id="83" w:name="_Toc197268477"/>
      <w:r>
        <w:rPr>
          <w:rFonts w:hint="eastAsia"/>
        </w:rPr>
        <w:t>测定</w:t>
      </w:r>
      <w:bookmarkEnd w:id="83"/>
    </w:p>
    <w:p w14:paraId="1850DDB2">
      <w:pPr>
        <w:pStyle w:val="38"/>
        <w:spacing w:before="156" w:after="156"/>
      </w:pPr>
      <w:r>
        <w:rPr>
          <w:rFonts w:hint="eastAsia"/>
        </w:rPr>
        <w:t>液相色谱参考条件</w:t>
      </w:r>
    </w:p>
    <w:p w14:paraId="63841F99">
      <w:pPr>
        <w:pStyle w:val="35"/>
        <w:ind w:firstLine="420"/>
      </w:pPr>
      <w:r>
        <w:rPr>
          <w:rFonts w:hint="eastAsia"/>
        </w:rPr>
        <w:t>液相色谱参考条件如下：</w:t>
      </w:r>
    </w:p>
    <w:p w14:paraId="01959A6F">
      <w:pPr>
        <w:pStyle w:val="174"/>
      </w:pPr>
      <w:r>
        <w:rPr>
          <w:rFonts w:hint="eastAsia"/>
        </w:rPr>
        <w:t>色谱柱：C</w:t>
      </w:r>
      <w:r>
        <w:rPr>
          <w:rFonts w:hint="eastAsia"/>
          <w:vertAlign w:val="subscript"/>
        </w:rPr>
        <w:t>18</w:t>
      </w:r>
      <w:r>
        <w:rPr>
          <w:rFonts w:hint="eastAsia"/>
        </w:rPr>
        <w:t xml:space="preserve"> (100 mm×2.1 mm，粒径2.6 µm)，或相当者；</w:t>
      </w:r>
    </w:p>
    <w:p w14:paraId="0709CC5B">
      <w:pPr>
        <w:pStyle w:val="174"/>
      </w:pPr>
      <w:r>
        <w:rPr>
          <w:rFonts w:hint="eastAsia"/>
        </w:rPr>
        <w:t>流动相：A为乙腈，B为0.1%甲酸-水溶液。梯度洗脱条件见表1；</w:t>
      </w:r>
    </w:p>
    <w:p w14:paraId="28C419C4">
      <w:pPr>
        <w:pStyle w:val="174"/>
      </w:pPr>
      <w:r>
        <w:rPr>
          <w:rFonts w:hint="eastAsia"/>
        </w:rPr>
        <w:t xml:space="preserve">进样量：5 </w:t>
      </w:r>
      <w:r>
        <w:rPr>
          <w:rFonts w:ascii="Times New Roman"/>
        </w:rPr>
        <w:t>μ</w:t>
      </w:r>
      <w:r>
        <w:rPr>
          <w:rFonts w:hint="eastAsia"/>
        </w:rPr>
        <w:t>L；</w:t>
      </w:r>
    </w:p>
    <w:p w14:paraId="46D06770">
      <w:pPr>
        <w:pStyle w:val="174"/>
      </w:pPr>
      <w:r>
        <w:rPr>
          <w:rFonts w:hint="eastAsia"/>
        </w:rPr>
        <w:t>流速：0.3 mL/min；</w:t>
      </w:r>
    </w:p>
    <w:p w14:paraId="4DF64971">
      <w:pPr>
        <w:pStyle w:val="174"/>
      </w:pPr>
      <w:r>
        <w:rPr>
          <w:rFonts w:hint="eastAsia"/>
        </w:rPr>
        <w:t>柱温：40 ℃。</w:t>
      </w:r>
    </w:p>
    <w:p w14:paraId="4AD7928B">
      <w:pPr>
        <w:pStyle w:val="113"/>
        <w:spacing w:before="156" w:after="156"/>
      </w:pPr>
      <w:r>
        <w:rPr>
          <w:rFonts w:hint="eastAsia"/>
        </w:rPr>
        <w:t>流动相梯度洗脱条件</w:t>
      </w:r>
    </w:p>
    <w:tbl>
      <w:tblPr>
        <w:tblStyle w:val="26"/>
        <w:tblW w:w="7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659"/>
        <w:gridCol w:w="2659"/>
        <w:gridCol w:w="2661"/>
      </w:tblGrid>
      <w:tr w14:paraId="283AB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0" w:hRule="exact"/>
          <w:jc w:val="center"/>
        </w:trPr>
        <w:tc>
          <w:tcPr>
            <w:tcW w:w="2659" w:type="dxa"/>
            <w:tcBorders>
              <w:top w:val="single" w:color="auto" w:sz="8" w:space="0"/>
              <w:bottom w:val="single" w:color="auto" w:sz="8" w:space="0"/>
            </w:tcBorders>
            <w:shd w:val="clear" w:color="auto" w:fill="auto"/>
            <w:vAlign w:val="center"/>
          </w:tcPr>
          <w:p w14:paraId="6E1EEF6E">
            <w:pPr>
              <w:adjustRightInd/>
              <w:spacing w:line="240" w:lineRule="auto"/>
              <w:jc w:val="center"/>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时间</w:t>
            </w:r>
          </w:p>
          <w:p w14:paraId="33D44B31">
            <w:pPr>
              <w:adjustRightInd/>
              <w:spacing w:line="240" w:lineRule="auto"/>
              <w:jc w:val="center"/>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min</w:t>
            </w:r>
          </w:p>
        </w:tc>
        <w:tc>
          <w:tcPr>
            <w:tcW w:w="2659" w:type="dxa"/>
            <w:tcBorders>
              <w:top w:val="single" w:color="auto" w:sz="8" w:space="0"/>
              <w:bottom w:val="single" w:color="auto" w:sz="8" w:space="0"/>
            </w:tcBorders>
            <w:shd w:val="clear" w:color="auto" w:fill="auto"/>
            <w:vAlign w:val="center"/>
          </w:tcPr>
          <w:p w14:paraId="725576EE">
            <w:pPr>
              <w:adjustRightInd/>
              <w:spacing w:line="240" w:lineRule="auto"/>
              <w:jc w:val="center"/>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w:t>
            </w:r>
          </w:p>
          <w:p w14:paraId="53C08A63">
            <w:pPr>
              <w:adjustRightInd/>
              <w:spacing w:line="240" w:lineRule="auto"/>
              <w:jc w:val="center"/>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2661" w:type="dxa"/>
            <w:tcBorders>
              <w:top w:val="single" w:color="auto" w:sz="8" w:space="0"/>
              <w:bottom w:val="single" w:color="auto" w:sz="8" w:space="0"/>
            </w:tcBorders>
            <w:shd w:val="clear" w:color="auto" w:fill="auto"/>
            <w:vAlign w:val="center"/>
          </w:tcPr>
          <w:p w14:paraId="1C89D09C">
            <w:pPr>
              <w:adjustRightInd/>
              <w:spacing w:line="240" w:lineRule="auto"/>
              <w:jc w:val="center"/>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B</w:t>
            </w:r>
          </w:p>
          <w:p w14:paraId="6E149F93">
            <w:pPr>
              <w:adjustRightInd/>
              <w:spacing w:line="240" w:lineRule="auto"/>
              <w:jc w:val="center"/>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r>
      <w:tr w14:paraId="69C63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2659" w:type="dxa"/>
            <w:tcBorders>
              <w:top w:val="single" w:color="auto" w:sz="8" w:space="0"/>
            </w:tcBorders>
            <w:shd w:val="clear" w:color="auto" w:fill="auto"/>
            <w:vAlign w:val="center"/>
          </w:tcPr>
          <w:p w14:paraId="70CC4174">
            <w:pPr>
              <w:spacing w:line="240" w:lineRule="auto"/>
              <w:jc w:val="center"/>
              <w:rPr>
                <w:rFonts w:hint="eastAsia" w:ascii="宋体" w:hAnsi="宋体"/>
                <w:sz w:val="18"/>
                <w:szCs w:val="18"/>
              </w:rPr>
            </w:pPr>
            <w:r>
              <w:rPr>
                <w:rFonts w:ascii="宋体" w:hAnsi="宋体"/>
                <w:color w:val="000000" w:themeColor="text1"/>
                <w:sz w:val="18"/>
                <w:szCs w:val="18"/>
                <w14:textFill>
                  <w14:solidFill>
                    <w14:schemeClr w14:val="tx1"/>
                  </w14:solidFill>
                </w14:textFill>
              </w:rPr>
              <w:t>0</w:t>
            </w:r>
          </w:p>
        </w:tc>
        <w:tc>
          <w:tcPr>
            <w:tcW w:w="2659" w:type="dxa"/>
            <w:tcBorders>
              <w:top w:val="single" w:color="auto" w:sz="8" w:space="0"/>
            </w:tcBorders>
            <w:shd w:val="clear" w:color="auto" w:fill="auto"/>
            <w:vAlign w:val="center"/>
          </w:tcPr>
          <w:p w14:paraId="66F7E3D8">
            <w:pPr>
              <w:pStyle w:val="230"/>
              <w:ind w:firstLine="0" w:firstLineChars="0"/>
              <w:jc w:val="center"/>
              <w:rPr>
                <w:rFonts w:hint="eastAsia" w:hAnsi="宋体"/>
                <w:sz w:val="18"/>
                <w:szCs w:val="18"/>
              </w:rPr>
            </w:pPr>
            <w:r>
              <w:rPr>
                <w:rFonts w:hAnsi="宋体"/>
                <w:sz w:val="18"/>
                <w:szCs w:val="18"/>
              </w:rPr>
              <w:t>5.0</w:t>
            </w:r>
          </w:p>
        </w:tc>
        <w:tc>
          <w:tcPr>
            <w:tcW w:w="2661" w:type="dxa"/>
            <w:tcBorders>
              <w:top w:val="single" w:color="auto" w:sz="8" w:space="0"/>
            </w:tcBorders>
            <w:shd w:val="clear" w:color="auto" w:fill="auto"/>
            <w:vAlign w:val="center"/>
          </w:tcPr>
          <w:p w14:paraId="4EECB41A">
            <w:pPr>
              <w:pStyle w:val="230"/>
              <w:ind w:firstLine="0" w:firstLineChars="0"/>
              <w:jc w:val="center"/>
              <w:rPr>
                <w:rFonts w:hint="eastAsia" w:hAnsi="宋体"/>
                <w:sz w:val="18"/>
                <w:szCs w:val="18"/>
              </w:rPr>
            </w:pPr>
            <w:r>
              <w:rPr>
                <w:rFonts w:hAnsi="宋体"/>
                <w:sz w:val="18"/>
                <w:szCs w:val="18"/>
              </w:rPr>
              <w:t>95.0</w:t>
            </w:r>
          </w:p>
        </w:tc>
      </w:tr>
      <w:tr w14:paraId="0F7AF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2659" w:type="dxa"/>
            <w:shd w:val="clear" w:color="auto" w:fill="auto"/>
            <w:vAlign w:val="center"/>
          </w:tcPr>
          <w:p w14:paraId="73A2FDE7">
            <w:pPr>
              <w:spacing w:line="240" w:lineRule="auto"/>
              <w:jc w:val="center"/>
              <w:rPr>
                <w:rFonts w:hint="eastAsia" w:ascii="宋体" w:hAnsi="宋体"/>
                <w:sz w:val="18"/>
                <w:szCs w:val="18"/>
              </w:rPr>
            </w:pPr>
            <w:r>
              <w:rPr>
                <w:rFonts w:hint="eastAsia" w:ascii="宋体" w:hAnsi="宋体"/>
                <w:color w:val="000000" w:themeColor="text1"/>
                <w:sz w:val="18"/>
                <w:szCs w:val="18"/>
                <w14:textFill>
                  <w14:solidFill>
                    <w14:schemeClr w14:val="tx1"/>
                  </w14:solidFill>
                </w14:textFill>
              </w:rPr>
              <w:t>1.2</w:t>
            </w:r>
          </w:p>
        </w:tc>
        <w:tc>
          <w:tcPr>
            <w:tcW w:w="2659" w:type="dxa"/>
            <w:shd w:val="clear" w:color="auto" w:fill="auto"/>
            <w:vAlign w:val="center"/>
          </w:tcPr>
          <w:p w14:paraId="4EF36D1F">
            <w:pPr>
              <w:pStyle w:val="230"/>
              <w:ind w:firstLine="0" w:firstLineChars="0"/>
              <w:jc w:val="center"/>
              <w:rPr>
                <w:rFonts w:hint="eastAsia" w:hAnsi="宋体"/>
                <w:sz w:val="18"/>
                <w:szCs w:val="18"/>
              </w:rPr>
            </w:pPr>
            <w:r>
              <w:rPr>
                <w:rFonts w:hAnsi="宋体"/>
                <w:sz w:val="18"/>
                <w:szCs w:val="18"/>
              </w:rPr>
              <w:t>95.0</w:t>
            </w:r>
          </w:p>
        </w:tc>
        <w:tc>
          <w:tcPr>
            <w:tcW w:w="2661" w:type="dxa"/>
            <w:shd w:val="clear" w:color="auto" w:fill="auto"/>
            <w:vAlign w:val="center"/>
          </w:tcPr>
          <w:p w14:paraId="6BAE0ECF">
            <w:pPr>
              <w:pStyle w:val="230"/>
              <w:ind w:firstLine="0" w:firstLineChars="0"/>
              <w:jc w:val="center"/>
              <w:rPr>
                <w:rFonts w:hint="eastAsia" w:hAnsi="宋体"/>
                <w:sz w:val="18"/>
                <w:szCs w:val="18"/>
              </w:rPr>
            </w:pPr>
            <w:r>
              <w:rPr>
                <w:rFonts w:hAnsi="宋体"/>
                <w:sz w:val="18"/>
                <w:szCs w:val="18"/>
              </w:rPr>
              <w:t>5.0</w:t>
            </w:r>
          </w:p>
        </w:tc>
      </w:tr>
      <w:tr w14:paraId="57FD5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2659" w:type="dxa"/>
            <w:shd w:val="clear" w:color="auto" w:fill="auto"/>
            <w:vAlign w:val="center"/>
          </w:tcPr>
          <w:p w14:paraId="7C9B60FE">
            <w:pPr>
              <w:spacing w:line="240" w:lineRule="auto"/>
              <w:jc w:val="center"/>
              <w:rPr>
                <w:rFonts w:hint="eastAsia" w:ascii="宋体" w:hAnsi="宋体"/>
                <w:sz w:val="18"/>
                <w:szCs w:val="18"/>
              </w:rPr>
            </w:pPr>
            <w:r>
              <w:rPr>
                <w:rFonts w:hint="eastAsia" w:ascii="宋体" w:hAnsi="宋体"/>
                <w:color w:val="000000" w:themeColor="text1"/>
                <w:sz w:val="18"/>
                <w:szCs w:val="18"/>
                <w14:textFill>
                  <w14:solidFill>
                    <w14:schemeClr w14:val="tx1"/>
                  </w14:solidFill>
                </w14:textFill>
              </w:rPr>
              <w:t>2.0</w:t>
            </w:r>
          </w:p>
        </w:tc>
        <w:tc>
          <w:tcPr>
            <w:tcW w:w="2659" w:type="dxa"/>
            <w:shd w:val="clear" w:color="auto" w:fill="auto"/>
            <w:vAlign w:val="center"/>
          </w:tcPr>
          <w:p w14:paraId="6FE4EAB4">
            <w:pPr>
              <w:pStyle w:val="230"/>
              <w:ind w:firstLine="0" w:firstLineChars="0"/>
              <w:jc w:val="center"/>
              <w:rPr>
                <w:rFonts w:hint="eastAsia" w:hAnsi="宋体"/>
                <w:sz w:val="18"/>
                <w:szCs w:val="18"/>
              </w:rPr>
            </w:pPr>
            <w:r>
              <w:rPr>
                <w:rFonts w:hAnsi="宋体"/>
                <w:sz w:val="18"/>
                <w:szCs w:val="18"/>
              </w:rPr>
              <w:t>95.0</w:t>
            </w:r>
          </w:p>
        </w:tc>
        <w:tc>
          <w:tcPr>
            <w:tcW w:w="2661" w:type="dxa"/>
            <w:shd w:val="clear" w:color="auto" w:fill="auto"/>
            <w:vAlign w:val="center"/>
          </w:tcPr>
          <w:p w14:paraId="3C0CF41A">
            <w:pPr>
              <w:pStyle w:val="230"/>
              <w:ind w:firstLine="0" w:firstLineChars="0"/>
              <w:jc w:val="center"/>
              <w:rPr>
                <w:rFonts w:hint="eastAsia" w:hAnsi="宋体"/>
                <w:sz w:val="18"/>
                <w:szCs w:val="18"/>
              </w:rPr>
            </w:pPr>
            <w:r>
              <w:rPr>
                <w:rFonts w:hAnsi="宋体"/>
                <w:sz w:val="18"/>
                <w:szCs w:val="18"/>
              </w:rPr>
              <w:t>5.0</w:t>
            </w:r>
          </w:p>
        </w:tc>
      </w:tr>
      <w:tr w14:paraId="56233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2659" w:type="dxa"/>
            <w:shd w:val="clear" w:color="auto" w:fill="auto"/>
            <w:vAlign w:val="center"/>
          </w:tcPr>
          <w:p w14:paraId="2CAED206">
            <w:pPr>
              <w:spacing w:line="240" w:lineRule="auto"/>
              <w:jc w:val="center"/>
              <w:rPr>
                <w:rFonts w:hint="eastAsia" w:ascii="宋体" w:hAnsi="宋体"/>
                <w:sz w:val="18"/>
                <w:szCs w:val="18"/>
              </w:rPr>
            </w:pPr>
            <w:r>
              <w:rPr>
                <w:rFonts w:hint="eastAsia" w:ascii="宋体" w:hAnsi="宋体"/>
                <w:color w:val="000000" w:themeColor="text1"/>
                <w:sz w:val="18"/>
                <w:szCs w:val="18"/>
                <w14:textFill>
                  <w14:solidFill>
                    <w14:schemeClr w14:val="tx1"/>
                  </w14:solidFill>
                </w14:textFill>
              </w:rPr>
              <w:t>2.1</w:t>
            </w:r>
          </w:p>
        </w:tc>
        <w:tc>
          <w:tcPr>
            <w:tcW w:w="2659" w:type="dxa"/>
            <w:shd w:val="clear" w:color="auto" w:fill="auto"/>
            <w:vAlign w:val="center"/>
          </w:tcPr>
          <w:p w14:paraId="49BBFB2F">
            <w:pPr>
              <w:pStyle w:val="230"/>
              <w:ind w:firstLine="0" w:firstLineChars="0"/>
              <w:jc w:val="center"/>
              <w:rPr>
                <w:rFonts w:hint="eastAsia" w:hAnsi="宋体"/>
                <w:sz w:val="18"/>
                <w:szCs w:val="18"/>
              </w:rPr>
            </w:pPr>
            <w:r>
              <w:rPr>
                <w:rFonts w:hAnsi="宋体"/>
                <w:sz w:val="18"/>
                <w:szCs w:val="18"/>
              </w:rPr>
              <w:t>5.0</w:t>
            </w:r>
          </w:p>
        </w:tc>
        <w:tc>
          <w:tcPr>
            <w:tcW w:w="2661" w:type="dxa"/>
            <w:shd w:val="clear" w:color="auto" w:fill="auto"/>
            <w:vAlign w:val="center"/>
          </w:tcPr>
          <w:p w14:paraId="4BA00D18">
            <w:pPr>
              <w:pStyle w:val="230"/>
              <w:ind w:firstLine="0" w:firstLineChars="0"/>
              <w:jc w:val="center"/>
              <w:rPr>
                <w:rFonts w:hint="eastAsia" w:hAnsi="宋体"/>
                <w:sz w:val="18"/>
                <w:szCs w:val="18"/>
              </w:rPr>
            </w:pPr>
            <w:r>
              <w:rPr>
                <w:rFonts w:hAnsi="宋体"/>
                <w:sz w:val="18"/>
                <w:szCs w:val="18"/>
              </w:rPr>
              <w:t>95.0</w:t>
            </w:r>
          </w:p>
        </w:tc>
      </w:tr>
      <w:tr w14:paraId="25E07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2659" w:type="dxa"/>
            <w:tcBorders>
              <w:bottom w:val="single" w:color="auto" w:sz="8" w:space="0"/>
            </w:tcBorders>
            <w:shd w:val="clear" w:color="auto" w:fill="auto"/>
            <w:vAlign w:val="center"/>
          </w:tcPr>
          <w:p w14:paraId="1FC64D8D">
            <w:pPr>
              <w:spacing w:line="240" w:lineRule="auto"/>
              <w:jc w:val="center"/>
              <w:rPr>
                <w:rFonts w:hint="eastAsia" w:ascii="宋体" w:hAnsi="宋体"/>
                <w:sz w:val="18"/>
                <w:szCs w:val="18"/>
              </w:rPr>
            </w:pPr>
            <w:r>
              <w:rPr>
                <w:rFonts w:hint="eastAsia" w:ascii="宋体" w:hAnsi="宋体"/>
                <w:color w:val="000000" w:themeColor="text1"/>
                <w:sz w:val="18"/>
                <w:szCs w:val="18"/>
                <w14:textFill>
                  <w14:solidFill>
                    <w14:schemeClr w14:val="tx1"/>
                  </w14:solidFill>
                </w14:textFill>
              </w:rPr>
              <w:t>4.0</w:t>
            </w:r>
          </w:p>
        </w:tc>
        <w:tc>
          <w:tcPr>
            <w:tcW w:w="2659" w:type="dxa"/>
            <w:tcBorders>
              <w:bottom w:val="single" w:color="auto" w:sz="8" w:space="0"/>
            </w:tcBorders>
            <w:shd w:val="clear" w:color="auto" w:fill="auto"/>
            <w:vAlign w:val="center"/>
          </w:tcPr>
          <w:p w14:paraId="1599ECB9">
            <w:pPr>
              <w:pStyle w:val="230"/>
              <w:ind w:firstLine="0" w:firstLineChars="0"/>
              <w:jc w:val="center"/>
              <w:rPr>
                <w:rFonts w:hint="eastAsia" w:hAnsi="宋体"/>
                <w:sz w:val="18"/>
                <w:szCs w:val="18"/>
              </w:rPr>
            </w:pPr>
            <w:r>
              <w:rPr>
                <w:rFonts w:hAnsi="宋体"/>
                <w:sz w:val="18"/>
                <w:szCs w:val="18"/>
              </w:rPr>
              <w:t>5.0</w:t>
            </w:r>
          </w:p>
        </w:tc>
        <w:tc>
          <w:tcPr>
            <w:tcW w:w="2661" w:type="dxa"/>
            <w:tcBorders>
              <w:bottom w:val="single" w:color="auto" w:sz="8" w:space="0"/>
            </w:tcBorders>
            <w:shd w:val="clear" w:color="auto" w:fill="auto"/>
            <w:vAlign w:val="center"/>
          </w:tcPr>
          <w:p w14:paraId="4D1B2828">
            <w:pPr>
              <w:pStyle w:val="230"/>
              <w:ind w:firstLine="0" w:firstLineChars="0"/>
              <w:jc w:val="center"/>
              <w:rPr>
                <w:rFonts w:hint="eastAsia" w:hAnsi="宋体"/>
                <w:sz w:val="18"/>
                <w:szCs w:val="18"/>
              </w:rPr>
            </w:pPr>
            <w:r>
              <w:rPr>
                <w:rFonts w:hAnsi="宋体"/>
                <w:sz w:val="18"/>
                <w:szCs w:val="18"/>
              </w:rPr>
              <w:t>95.0</w:t>
            </w:r>
          </w:p>
        </w:tc>
      </w:tr>
    </w:tbl>
    <w:p w14:paraId="5FFAB099">
      <w:pPr>
        <w:pStyle w:val="38"/>
        <w:spacing w:before="156" w:after="156"/>
      </w:pPr>
      <w:r>
        <w:rPr>
          <w:rFonts w:hint="eastAsia"/>
        </w:rPr>
        <w:t>质谱参考条件</w:t>
      </w:r>
    </w:p>
    <w:p w14:paraId="4584A336">
      <w:pPr>
        <w:pStyle w:val="35"/>
        <w:ind w:firstLine="420"/>
      </w:pPr>
      <w:r>
        <w:rPr>
          <w:rFonts w:hint="eastAsia"/>
        </w:rPr>
        <w:t>质谱参考条件如下：</w:t>
      </w:r>
    </w:p>
    <w:p w14:paraId="7D2E8AF4">
      <w:pPr>
        <w:pStyle w:val="174"/>
        <w:numPr>
          <w:ilvl w:val="0"/>
          <w:numId w:val="32"/>
        </w:numPr>
      </w:pPr>
      <w:r>
        <w:rPr>
          <w:rFonts w:hint="eastAsia"/>
        </w:rPr>
        <w:t>离子源：电喷雾离子源；</w:t>
      </w:r>
    </w:p>
    <w:p w14:paraId="70AC3B1F">
      <w:pPr>
        <w:pStyle w:val="174"/>
        <w:numPr>
          <w:ilvl w:val="0"/>
          <w:numId w:val="32"/>
        </w:numPr>
      </w:pPr>
      <w:r>
        <w:rPr>
          <w:rFonts w:hint="eastAsia"/>
        </w:rPr>
        <w:t>扫描方式：正离子扫描；</w:t>
      </w:r>
    </w:p>
    <w:p w14:paraId="4F54693C">
      <w:pPr>
        <w:pStyle w:val="174"/>
        <w:numPr>
          <w:ilvl w:val="0"/>
          <w:numId w:val="32"/>
        </w:numPr>
      </w:pPr>
      <w:r>
        <w:rPr>
          <w:rFonts w:hint="eastAsia"/>
        </w:rPr>
        <w:t>检测方式：多反应监测（MRM）；</w:t>
      </w:r>
    </w:p>
    <w:p w14:paraId="3B4F7831">
      <w:pPr>
        <w:pStyle w:val="174"/>
        <w:numPr>
          <w:ilvl w:val="0"/>
          <w:numId w:val="32"/>
        </w:numPr>
      </w:pPr>
      <w:r>
        <w:rPr>
          <w:rFonts w:hint="eastAsia" w:hAnsi="宋体"/>
        </w:rPr>
        <w:t>喷雾电压：5.5 kV。</w:t>
      </w:r>
    </w:p>
    <w:p w14:paraId="69C04AF3">
      <w:pPr>
        <w:pStyle w:val="174"/>
        <w:numPr>
          <w:ilvl w:val="0"/>
          <w:numId w:val="32"/>
        </w:numPr>
      </w:pPr>
      <w:r>
        <w:rPr>
          <w:rFonts w:hint="eastAsia"/>
        </w:rPr>
        <w:t>脱溶剂气温度：550 ℃；</w:t>
      </w:r>
    </w:p>
    <w:p w14:paraId="2FA41337">
      <w:pPr>
        <w:pStyle w:val="174"/>
        <w:numPr>
          <w:ilvl w:val="0"/>
          <w:numId w:val="32"/>
        </w:numPr>
      </w:pPr>
      <w:r>
        <w:rPr>
          <w:rFonts w:hint="eastAsia"/>
        </w:rPr>
        <w:t>多反应监测母离子、子离子、去簇电压和碰撞能量见表2。</w:t>
      </w:r>
    </w:p>
    <w:p w14:paraId="2D85D555">
      <w:pPr>
        <w:pStyle w:val="113"/>
        <w:spacing w:before="156" w:after="156"/>
      </w:pPr>
      <w:r>
        <w:rPr>
          <w:rFonts w:hint="eastAsia"/>
        </w:rPr>
        <w:t>多反应监测母离子、子离子、去簇电压和碰撞能量</w:t>
      </w:r>
    </w:p>
    <w:tbl>
      <w:tblPr>
        <w:tblStyle w:val="26"/>
        <w:tblW w:w="87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740"/>
        <w:gridCol w:w="1740"/>
        <w:gridCol w:w="1740"/>
        <w:gridCol w:w="1740"/>
      </w:tblGrid>
      <w:tr w14:paraId="2169C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tblHeader/>
          <w:jc w:val="center"/>
        </w:trPr>
        <w:tc>
          <w:tcPr>
            <w:tcW w:w="1740" w:type="dxa"/>
            <w:tcBorders>
              <w:top w:val="single" w:color="auto" w:sz="8" w:space="0"/>
              <w:bottom w:val="single" w:color="auto" w:sz="8" w:space="0"/>
            </w:tcBorders>
            <w:shd w:val="clear" w:color="auto" w:fill="auto"/>
            <w:vAlign w:val="center"/>
          </w:tcPr>
          <w:p w14:paraId="5C69D382">
            <w:pPr>
              <w:pStyle w:val="35"/>
              <w:ind w:firstLine="0" w:firstLineChars="0"/>
              <w:jc w:val="center"/>
            </w:pPr>
            <w:r>
              <w:t>化合物名称</w:t>
            </w:r>
          </w:p>
        </w:tc>
        <w:tc>
          <w:tcPr>
            <w:tcW w:w="1740" w:type="dxa"/>
            <w:tcBorders>
              <w:top w:val="single" w:color="auto" w:sz="8" w:space="0"/>
              <w:bottom w:val="single" w:color="auto" w:sz="8" w:space="0"/>
            </w:tcBorders>
            <w:shd w:val="clear" w:color="auto" w:fill="auto"/>
            <w:vAlign w:val="center"/>
          </w:tcPr>
          <w:p w14:paraId="62E3F9AB">
            <w:pPr>
              <w:pStyle w:val="35"/>
              <w:ind w:firstLine="420"/>
              <w:jc w:val="center"/>
            </w:pPr>
            <w:r>
              <w:t>母离子</w:t>
            </w:r>
          </w:p>
          <w:p w14:paraId="5EEDEDFC">
            <w:pPr>
              <w:pStyle w:val="35"/>
              <w:ind w:firstLine="0" w:firstLineChars="0"/>
              <w:jc w:val="center"/>
            </w:pPr>
            <w:r>
              <w:t>m/z</w:t>
            </w:r>
          </w:p>
        </w:tc>
        <w:tc>
          <w:tcPr>
            <w:tcW w:w="1740" w:type="dxa"/>
            <w:tcBorders>
              <w:top w:val="single" w:color="auto" w:sz="8" w:space="0"/>
              <w:bottom w:val="single" w:color="auto" w:sz="8" w:space="0"/>
            </w:tcBorders>
            <w:shd w:val="clear" w:color="auto" w:fill="auto"/>
            <w:vAlign w:val="center"/>
          </w:tcPr>
          <w:p w14:paraId="68CFC6B8">
            <w:pPr>
              <w:pStyle w:val="35"/>
              <w:ind w:firstLine="420"/>
              <w:jc w:val="center"/>
            </w:pPr>
            <w:r>
              <w:t>子离子</w:t>
            </w:r>
          </w:p>
          <w:p w14:paraId="06076973">
            <w:pPr>
              <w:pStyle w:val="35"/>
              <w:ind w:firstLine="0" w:firstLineChars="0"/>
              <w:jc w:val="center"/>
            </w:pPr>
            <w:r>
              <w:t>m/z</w:t>
            </w:r>
          </w:p>
        </w:tc>
        <w:tc>
          <w:tcPr>
            <w:tcW w:w="1740" w:type="dxa"/>
            <w:tcBorders>
              <w:top w:val="single" w:color="auto" w:sz="8" w:space="0"/>
              <w:bottom w:val="single" w:color="auto" w:sz="8" w:space="0"/>
            </w:tcBorders>
            <w:shd w:val="clear" w:color="auto" w:fill="auto"/>
            <w:vAlign w:val="center"/>
          </w:tcPr>
          <w:p w14:paraId="656503C4">
            <w:pPr>
              <w:pStyle w:val="35"/>
              <w:ind w:firstLine="0" w:firstLineChars="0"/>
              <w:jc w:val="center"/>
            </w:pPr>
            <w:r>
              <w:t>去簇电压</w:t>
            </w:r>
          </w:p>
          <w:p w14:paraId="6F4E6FBC">
            <w:pPr>
              <w:pStyle w:val="35"/>
              <w:ind w:firstLine="0" w:firstLineChars="0"/>
              <w:jc w:val="center"/>
            </w:pPr>
            <w:r>
              <w:t>V</w:t>
            </w:r>
          </w:p>
        </w:tc>
        <w:tc>
          <w:tcPr>
            <w:tcW w:w="1740" w:type="dxa"/>
            <w:tcBorders>
              <w:top w:val="single" w:color="auto" w:sz="8" w:space="0"/>
              <w:bottom w:val="single" w:color="auto" w:sz="8" w:space="0"/>
            </w:tcBorders>
            <w:shd w:val="clear" w:color="auto" w:fill="auto"/>
            <w:vAlign w:val="center"/>
          </w:tcPr>
          <w:p w14:paraId="2F2170F7">
            <w:pPr>
              <w:pStyle w:val="35"/>
              <w:ind w:firstLine="0" w:firstLineChars="0"/>
              <w:jc w:val="center"/>
            </w:pPr>
            <w:r>
              <w:t>碰撞能量</w:t>
            </w:r>
          </w:p>
          <w:p w14:paraId="30F77C56">
            <w:pPr>
              <w:pStyle w:val="35"/>
              <w:ind w:firstLine="0" w:firstLineChars="0"/>
              <w:jc w:val="center"/>
            </w:pPr>
            <w:r>
              <w:t>eV</w:t>
            </w:r>
          </w:p>
        </w:tc>
      </w:tr>
      <w:tr w14:paraId="0477D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1740" w:type="dxa"/>
            <w:vMerge w:val="restart"/>
            <w:tcBorders>
              <w:top w:val="single" w:color="auto" w:sz="8" w:space="0"/>
            </w:tcBorders>
            <w:shd w:val="clear" w:color="auto" w:fill="auto"/>
            <w:vAlign w:val="center"/>
          </w:tcPr>
          <w:p w14:paraId="72625BA7">
            <w:pPr>
              <w:jc w:val="center"/>
              <w:rPr>
                <w:rFonts w:hint="eastAsia" w:ascii="宋体" w:hAnsi="宋体"/>
                <w:sz w:val="18"/>
                <w:szCs w:val="18"/>
              </w:rPr>
            </w:pPr>
            <w:r>
              <w:rPr>
                <w:rFonts w:hint="eastAsia" w:ascii="宋体" w:hAnsi="宋体"/>
                <w:sz w:val="18"/>
                <w:szCs w:val="18"/>
              </w:rPr>
              <w:t>甲霜灵</w:t>
            </w:r>
          </w:p>
        </w:tc>
        <w:tc>
          <w:tcPr>
            <w:tcW w:w="1740" w:type="dxa"/>
            <w:vMerge w:val="restart"/>
            <w:tcBorders>
              <w:top w:val="single" w:color="auto" w:sz="8" w:space="0"/>
            </w:tcBorders>
            <w:shd w:val="clear" w:color="auto" w:fill="auto"/>
            <w:vAlign w:val="center"/>
          </w:tcPr>
          <w:p w14:paraId="426300D1">
            <w:pPr>
              <w:spacing w:line="240" w:lineRule="auto"/>
              <w:jc w:val="center"/>
              <w:rPr>
                <w:rFonts w:hint="eastAsia" w:ascii="宋体" w:hAnsi="宋体"/>
                <w:sz w:val="18"/>
                <w:szCs w:val="18"/>
              </w:rPr>
            </w:pPr>
            <w:r>
              <w:rPr>
                <w:rFonts w:ascii="宋体" w:hAnsi="宋体"/>
                <w:sz w:val="18"/>
                <w:szCs w:val="18"/>
              </w:rPr>
              <w:t>280.2</w:t>
            </w:r>
          </w:p>
        </w:tc>
        <w:tc>
          <w:tcPr>
            <w:tcW w:w="1740" w:type="dxa"/>
            <w:tcBorders>
              <w:top w:val="single" w:color="auto" w:sz="8" w:space="0"/>
            </w:tcBorders>
            <w:shd w:val="clear" w:color="auto" w:fill="auto"/>
            <w:vAlign w:val="center"/>
          </w:tcPr>
          <w:p w14:paraId="6B23222C">
            <w:pPr>
              <w:spacing w:line="240" w:lineRule="auto"/>
              <w:jc w:val="center"/>
              <w:rPr>
                <w:rFonts w:hint="eastAsia" w:ascii="宋体" w:hAnsi="宋体"/>
                <w:sz w:val="18"/>
                <w:szCs w:val="18"/>
              </w:rPr>
            </w:pPr>
            <w:r>
              <w:rPr>
                <w:rFonts w:ascii="宋体" w:hAnsi="宋体"/>
                <w:sz w:val="18"/>
                <w:szCs w:val="18"/>
              </w:rPr>
              <w:t>220.1</w:t>
            </w:r>
            <w:r>
              <w:rPr>
                <w:rFonts w:ascii="宋体" w:hAnsi="宋体"/>
                <w:sz w:val="18"/>
                <w:szCs w:val="18"/>
                <w:vertAlign w:val="superscript"/>
              </w:rPr>
              <w:t>a</w:t>
            </w:r>
          </w:p>
        </w:tc>
        <w:tc>
          <w:tcPr>
            <w:tcW w:w="1740" w:type="dxa"/>
            <w:tcBorders>
              <w:top w:val="single" w:color="auto" w:sz="8" w:space="0"/>
            </w:tcBorders>
            <w:shd w:val="clear" w:color="auto" w:fill="auto"/>
            <w:vAlign w:val="center"/>
          </w:tcPr>
          <w:p w14:paraId="3DE2E06E">
            <w:pPr>
              <w:jc w:val="center"/>
              <w:rPr>
                <w:rFonts w:hint="eastAsia" w:ascii="宋体" w:hAnsi="宋体"/>
                <w:sz w:val="18"/>
                <w:szCs w:val="18"/>
              </w:rPr>
            </w:pPr>
            <w:r>
              <w:rPr>
                <w:rFonts w:ascii="宋体" w:hAnsi="宋体"/>
                <w:color w:val="000000" w:themeColor="text1"/>
                <w:sz w:val="18"/>
                <w:szCs w:val="18"/>
                <w14:textFill>
                  <w14:solidFill>
                    <w14:schemeClr w14:val="tx1"/>
                  </w14:solidFill>
                </w14:textFill>
              </w:rPr>
              <w:t>100</w:t>
            </w:r>
          </w:p>
        </w:tc>
        <w:tc>
          <w:tcPr>
            <w:tcW w:w="1740" w:type="dxa"/>
            <w:tcBorders>
              <w:top w:val="single" w:color="auto" w:sz="8" w:space="0"/>
            </w:tcBorders>
            <w:shd w:val="clear" w:color="auto" w:fill="auto"/>
            <w:vAlign w:val="center"/>
          </w:tcPr>
          <w:p w14:paraId="43C8ABE9">
            <w:pPr>
              <w:jc w:val="center"/>
              <w:rPr>
                <w:rFonts w:hint="eastAsia" w:ascii="宋体" w:hAnsi="宋体"/>
                <w:sz w:val="18"/>
                <w:szCs w:val="18"/>
              </w:rPr>
            </w:pPr>
            <w:r>
              <w:rPr>
                <w:rFonts w:hint="eastAsia" w:ascii="宋体" w:hAnsi="宋体"/>
                <w:color w:val="000000" w:themeColor="text1"/>
                <w:sz w:val="18"/>
                <w:szCs w:val="18"/>
                <w14:textFill>
                  <w14:solidFill>
                    <w14:schemeClr w14:val="tx1"/>
                  </w14:solidFill>
                </w14:textFill>
              </w:rPr>
              <w:t>15</w:t>
            </w:r>
          </w:p>
        </w:tc>
      </w:tr>
      <w:tr w14:paraId="60EC3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1740" w:type="dxa"/>
            <w:vMerge w:val="continue"/>
            <w:shd w:val="clear" w:color="auto" w:fill="auto"/>
            <w:vAlign w:val="center"/>
          </w:tcPr>
          <w:p w14:paraId="05480A44">
            <w:pPr>
              <w:ind w:left="105" w:leftChars="50" w:firstLine="360"/>
              <w:jc w:val="center"/>
              <w:rPr>
                <w:rFonts w:hint="eastAsia" w:ascii="宋体" w:hAnsi="宋体"/>
                <w:sz w:val="18"/>
                <w:szCs w:val="18"/>
              </w:rPr>
            </w:pPr>
          </w:p>
        </w:tc>
        <w:tc>
          <w:tcPr>
            <w:tcW w:w="1740" w:type="dxa"/>
            <w:vMerge w:val="continue"/>
            <w:shd w:val="clear" w:color="auto" w:fill="auto"/>
            <w:vAlign w:val="center"/>
          </w:tcPr>
          <w:p w14:paraId="37BE95D7">
            <w:pPr>
              <w:spacing w:line="240" w:lineRule="auto"/>
              <w:ind w:firstLine="360"/>
              <w:jc w:val="center"/>
              <w:rPr>
                <w:rFonts w:hint="eastAsia" w:ascii="宋体" w:hAnsi="宋体"/>
                <w:sz w:val="18"/>
                <w:szCs w:val="18"/>
              </w:rPr>
            </w:pPr>
          </w:p>
        </w:tc>
        <w:tc>
          <w:tcPr>
            <w:tcW w:w="1740" w:type="dxa"/>
            <w:shd w:val="clear" w:color="auto" w:fill="auto"/>
            <w:vAlign w:val="center"/>
          </w:tcPr>
          <w:p w14:paraId="2587295B">
            <w:pPr>
              <w:spacing w:line="240" w:lineRule="auto"/>
              <w:jc w:val="center"/>
              <w:rPr>
                <w:rFonts w:hint="eastAsia" w:ascii="宋体" w:hAnsi="宋体"/>
                <w:sz w:val="18"/>
                <w:szCs w:val="18"/>
              </w:rPr>
            </w:pPr>
            <w:r>
              <w:rPr>
                <w:rFonts w:ascii="宋体" w:hAnsi="宋体"/>
                <w:sz w:val="18"/>
                <w:szCs w:val="18"/>
              </w:rPr>
              <w:t>192.1</w:t>
            </w:r>
          </w:p>
        </w:tc>
        <w:tc>
          <w:tcPr>
            <w:tcW w:w="1740" w:type="dxa"/>
            <w:shd w:val="clear" w:color="auto" w:fill="auto"/>
            <w:vAlign w:val="center"/>
          </w:tcPr>
          <w:p w14:paraId="4D4A5024">
            <w:pPr>
              <w:jc w:val="center"/>
              <w:rPr>
                <w:rFonts w:hint="eastAsia" w:ascii="宋体" w:hAnsi="宋体"/>
                <w:sz w:val="18"/>
                <w:szCs w:val="18"/>
              </w:rPr>
            </w:pPr>
            <w:r>
              <w:rPr>
                <w:rFonts w:ascii="宋体" w:hAnsi="宋体"/>
                <w:color w:val="000000" w:themeColor="text1"/>
                <w:sz w:val="18"/>
                <w:szCs w:val="18"/>
                <w14:textFill>
                  <w14:solidFill>
                    <w14:schemeClr w14:val="tx1"/>
                  </w14:solidFill>
                </w14:textFill>
              </w:rPr>
              <w:t>100</w:t>
            </w:r>
          </w:p>
        </w:tc>
        <w:tc>
          <w:tcPr>
            <w:tcW w:w="1740" w:type="dxa"/>
            <w:shd w:val="clear" w:color="auto" w:fill="auto"/>
            <w:vAlign w:val="center"/>
          </w:tcPr>
          <w:p w14:paraId="36F144E1">
            <w:pPr>
              <w:jc w:val="center"/>
              <w:rPr>
                <w:rFonts w:hint="eastAsia" w:ascii="宋体" w:hAnsi="宋体"/>
                <w:sz w:val="18"/>
                <w:szCs w:val="18"/>
              </w:rPr>
            </w:pPr>
            <w:r>
              <w:rPr>
                <w:rFonts w:hint="eastAsia" w:ascii="宋体" w:hAnsi="宋体"/>
                <w:color w:val="000000" w:themeColor="text1"/>
                <w:sz w:val="18"/>
                <w:szCs w:val="18"/>
                <w14:textFill>
                  <w14:solidFill>
                    <w14:schemeClr w14:val="tx1"/>
                  </w14:solidFill>
                </w14:textFill>
              </w:rPr>
              <w:t>20</w:t>
            </w:r>
          </w:p>
        </w:tc>
      </w:tr>
      <w:tr w14:paraId="2161A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1740" w:type="dxa"/>
            <w:vMerge w:val="restart"/>
            <w:shd w:val="clear" w:color="auto" w:fill="auto"/>
            <w:vAlign w:val="center"/>
          </w:tcPr>
          <w:p w14:paraId="60089509">
            <w:pPr>
              <w:ind w:left="105" w:leftChars="50" w:firstLine="360"/>
              <w:rPr>
                <w:rFonts w:hint="eastAsia" w:ascii="宋体" w:hAnsi="宋体"/>
                <w:sz w:val="18"/>
                <w:szCs w:val="18"/>
              </w:rPr>
            </w:pPr>
            <w:r>
              <w:rPr>
                <w:rFonts w:hint="eastAsia" w:ascii="宋体" w:hAnsi="宋体"/>
                <w:sz w:val="18"/>
                <w:szCs w:val="18"/>
              </w:rPr>
              <w:t>甲霜灵酸</w:t>
            </w:r>
          </w:p>
        </w:tc>
        <w:tc>
          <w:tcPr>
            <w:tcW w:w="1740" w:type="dxa"/>
            <w:vMerge w:val="restart"/>
            <w:shd w:val="clear" w:color="auto" w:fill="auto"/>
            <w:vAlign w:val="center"/>
          </w:tcPr>
          <w:p w14:paraId="444A6305">
            <w:pPr>
              <w:spacing w:line="240" w:lineRule="auto"/>
              <w:jc w:val="center"/>
              <w:rPr>
                <w:rFonts w:hint="eastAsia" w:ascii="宋体" w:hAnsi="宋体"/>
                <w:sz w:val="18"/>
                <w:szCs w:val="18"/>
              </w:rPr>
            </w:pPr>
            <w:r>
              <w:rPr>
                <w:rFonts w:ascii="宋体" w:hAnsi="宋体"/>
                <w:sz w:val="18"/>
                <w:szCs w:val="18"/>
              </w:rPr>
              <w:t>266.1</w:t>
            </w:r>
          </w:p>
        </w:tc>
        <w:tc>
          <w:tcPr>
            <w:tcW w:w="1740" w:type="dxa"/>
            <w:shd w:val="clear" w:color="auto" w:fill="auto"/>
            <w:vAlign w:val="center"/>
          </w:tcPr>
          <w:p w14:paraId="74C58E1B">
            <w:pPr>
              <w:spacing w:line="240" w:lineRule="auto"/>
              <w:jc w:val="center"/>
              <w:rPr>
                <w:rFonts w:hint="eastAsia" w:ascii="宋体" w:hAnsi="宋体"/>
                <w:sz w:val="18"/>
                <w:szCs w:val="18"/>
              </w:rPr>
            </w:pPr>
            <w:r>
              <w:rPr>
                <w:rFonts w:ascii="宋体" w:hAnsi="宋体"/>
                <w:sz w:val="18"/>
                <w:szCs w:val="18"/>
              </w:rPr>
              <w:t>220.1</w:t>
            </w:r>
            <w:r>
              <w:rPr>
                <w:rFonts w:ascii="宋体" w:hAnsi="宋体"/>
                <w:sz w:val="18"/>
                <w:szCs w:val="18"/>
                <w:vertAlign w:val="superscript"/>
              </w:rPr>
              <w:t>a</w:t>
            </w:r>
          </w:p>
        </w:tc>
        <w:tc>
          <w:tcPr>
            <w:tcW w:w="1740" w:type="dxa"/>
            <w:shd w:val="clear" w:color="auto" w:fill="auto"/>
            <w:vAlign w:val="center"/>
          </w:tcPr>
          <w:p w14:paraId="59E9931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c>
          <w:tcPr>
            <w:tcW w:w="1740" w:type="dxa"/>
            <w:shd w:val="clear" w:color="auto" w:fill="auto"/>
            <w:vAlign w:val="center"/>
          </w:tcPr>
          <w:p w14:paraId="70BD187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r>
      <w:tr w14:paraId="59937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1740" w:type="dxa"/>
            <w:vMerge w:val="continue"/>
            <w:shd w:val="clear" w:color="auto" w:fill="auto"/>
            <w:vAlign w:val="center"/>
          </w:tcPr>
          <w:p w14:paraId="3A766575">
            <w:pPr>
              <w:ind w:left="105" w:leftChars="50" w:firstLine="360"/>
              <w:jc w:val="center"/>
              <w:rPr>
                <w:rFonts w:hint="eastAsia" w:ascii="宋体" w:hAnsi="宋体"/>
                <w:sz w:val="18"/>
                <w:szCs w:val="18"/>
              </w:rPr>
            </w:pPr>
          </w:p>
        </w:tc>
        <w:tc>
          <w:tcPr>
            <w:tcW w:w="1740" w:type="dxa"/>
            <w:vMerge w:val="continue"/>
            <w:shd w:val="clear" w:color="auto" w:fill="auto"/>
            <w:vAlign w:val="center"/>
          </w:tcPr>
          <w:p w14:paraId="6B1F1D75">
            <w:pPr>
              <w:spacing w:line="240" w:lineRule="auto"/>
              <w:ind w:firstLine="360"/>
              <w:jc w:val="center"/>
              <w:rPr>
                <w:rFonts w:hint="eastAsia" w:ascii="宋体" w:hAnsi="宋体"/>
                <w:sz w:val="18"/>
                <w:szCs w:val="18"/>
              </w:rPr>
            </w:pPr>
          </w:p>
        </w:tc>
        <w:tc>
          <w:tcPr>
            <w:tcW w:w="1740" w:type="dxa"/>
            <w:shd w:val="clear" w:color="auto" w:fill="auto"/>
            <w:vAlign w:val="center"/>
          </w:tcPr>
          <w:p w14:paraId="23B9F72F">
            <w:pPr>
              <w:spacing w:line="240" w:lineRule="auto"/>
              <w:jc w:val="center"/>
              <w:rPr>
                <w:rFonts w:hint="eastAsia" w:ascii="宋体" w:hAnsi="宋体"/>
                <w:sz w:val="18"/>
                <w:szCs w:val="18"/>
              </w:rPr>
            </w:pPr>
            <w:r>
              <w:rPr>
                <w:rFonts w:ascii="宋体" w:hAnsi="宋体"/>
                <w:sz w:val="18"/>
                <w:szCs w:val="18"/>
              </w:rPr>
              <w:t>192.1</w:t>
            </w:r>
          </w:p>
        </w:tc>
        <w:tc>
          <w:tcPr>
            <w:tcW w:w="1740" w:type="dxa"/>
            <w:shd w:val="clear" w:color="auto" w:fill="auto"/>
            <w:vAlign w:val="center"/>
          </w:tcPr>
          <w:p w14:paraId="304C8C4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c>
          <w:tcPr>
            <w:tcW w:w="1740" w:type="dxa"/>
            <w:shd w:val="clear" w:color="auto" w:fill="auto"/>
            <w:vAlign w:val="center"/>
          </w:tcPr>
          <w:p w14:paraId="03AE879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r>
      <w:tr w14:paraId="746F9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1740" w:type="dxa"/>
            <w:shd w:val="clear" w:color="auto" w:fill="auto"/>
            <w:vAlign w:val="center"/>
          </w:tcPr>
          <w:p w14:paraId="0A5F160D">
            <w:pPr>
              <w:jc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氘代</w:t>
            </w:r>
            <w:r>
              <w:rPr>
                <w:rFonts w:hint="eastAsia" w:ascii="宋体" w:hAnsi="宋体"/>
                <w:sz w:val="18"/>
                <w:szCs w:val="18"/>
              </w:rPr>
              <w:t>甲霜灵</w:t>
            </w:r>
          </w:p>
        </w:tc>
        <w:tc>
          <w:tcPr>
            <w:tcW w:w="1740" w:type="dxa"/>
            <w:shd w:val="clear" w:color="auto" w:fill="auto"/>
            <w:vAlign w:val="center"/>
          </w:tcPr>
          <w:p w14:paraId="7CDD980E">
            <w:pPr>
              <w:spacing w:line="240" w:lineRule="auto"/>
              <w:jc w:val="center"/>
              <w:rPr>
                <w:rFonts w:hint="eastAsia" w:ascii="宋体" w:hAnsi="宋体"/>
                <w:sz w:val="18"/>
                <w:szCs w:val="18"/>
              </w:rPr>
            </w:pPr>
            <w:r>
              <w:rPr>
                <w:rFonts w:ascii="宋体" w:hAnsi="宋体"/>
                <w:sz w:val="18"/>
                <w:szCs w:val="18"/>
              </w:rPr>
              <w:t>286.2</w:t>
            </w:r>
          </w:p>
        </w:tc>
        <w:tc>
          <w:tcPr>
            <w:tcW w:w="1740" w:type="dxa"/>
            <w:shd w:val="clear" w:color="auto" w:fill="auto"/>
            <w:vAlign w:val="center"/>
          </w:tcPr>
          <w:p w14:paraId="5C1F5F26">
            <w:pPr>
              <w:spacing w:line="240" w:lineRule="auto"/>
              <w:jc w:val="center"/>
              <w:rPr>
                <w:rFonts w:hint="eastAsia" w:ascii="宋体" w:hAnsi="宋体"/>
                <w:sz w:val="18"/>
                <w:szCs w:val="18"/>
              </w:rPr>
            </w:pPr>
            <w:r>
              <w:rPr>
                <w:rFonts w:ascii="宋体" w:hAnsi="宋体"/>
                <w:sz w:val="18"/>
                <w:szCs w:val="18"/>
              </w:rPr>
              <w:t>198.2</w:t>
            </w:r>
          </w:p>
        </w:tc>
        <w:tc>
          <w:tcPr>
            <w:tcW w:w="1740" w:type="dxa"/>
            <w:shd w:val="clear" w:color="auto" w:fill="auto"/>
            <w:vAlign w:val="center"/>
          </w:tcPr>
          <w:p w14:paraId="3A921DA1">
            <w:pPr>
              <w:jc w:val="center"/>
              <w:rPr>
                <w:rFonts w:hint="eastAsia" w:ascii="宋体" w:hAnsi="宋体"/>
                <w:sz w:val="18"/>
                <w:szCs w:val="18"/>
              </w:rPr>
            </w:pPr>
            <w:r>
              <w:rPr>
                <w:rFonts w:ascii="宋体" w:hAnsi="宋体"/>
                <w:color w:val="000000" w:themeColor="text1"/>
                <w:sz w:val="18"/>
                <w:szCs w:val="18"/>
                <w14:textFill>
                  <w14:solidFill>
                    <w14:schemeClr w14:val="tx1"/>
                  </w14:solidFill>
                </w14:textFill>
              </w:rPr>
              <w:t>100</w:t>
            </w:r>
          </w:p>
        </w:tc>
        <w:tc>
          <w:tcPr>
            <w:tcW w:w="1740" w:type="dxa"/>
            <w:shd w:val="clear" w:color="auto" w:fill="auto"/>
            <w:vAlign w:val="center"/>
          </w:tcPr>
          <w:p w14:paraId="128787C0">
            <w:pPr>
              <w:jc w:val="center"/>
              <w:rPr>
                <w:rFonts w:hint="eastAsia" w:ascii="宋体" w:hAnsi="宋体"/>
                <w:sz w:val="18"/>
                <w:szCs w:val="18"/>
              </w:rPr>
            </w:pPr>
            <w:r>
              <w:rPr>
                <w:rFonts w:hint="eastAsia" w:ascii="宋体" w:hAnsi="宋体"/>
                <w:color w:val="000000" w:themeColor="text1"/>
                <w:sz w:val="18"/>
                <w:szCs w:val="18"/>
                <w14:textFill>
                  <w14:solidFill>
                    <w14:schemeClr w14:val="tx1"/>
                  </w14:solidFill>
                </w14:textFill>
              </w:rPr>
              <w:t>22</w:t>
            </w:r>
          </w:p>
        </w:tc>
      </w:tr>
      <w:tr w14:paraId="023EE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8700" w:type="dxa"/>
            <w:gridSpan w:val="5"/>
            <w:tcBorders>
              <w:bottom w:val="single" w:color="auto" w:sz="8" w:space="0"/>
            </w:tcBorders>
            <w:shd w:val="clear" w:color="auto" w:fill="auto"/>
            <w:vAlign w:val="center"/>
          </w:tcPr>
          <w:p w14:paraId="7816155F">
            <w:pPr>
              <w:pStyle w:val="35"/>
              <w:ind w:firstLine="420"/>
            </w:pPr>
            <w:r>
              <w:rPr>
                <w:vertAlign w:val="superscript"/>
              </w:rPr>
              <w:t>a</w:t>
            </w:r>
            <w:r>
              <w:t xml:space="preserve"> 为定量离子。</w:t>
            </w:r>
          </w:p>
        </w:tc>
      </w:tr>
    </w:tbl>
    <w:p w14:paraId="64CFA410">
      <w:pPr>
        <w:pStyle w:val="38"/>
        <w:spacing w:before="156" w:after="156"/>
      </w:pPr>
      <w:r>
        <w:rPr>
          <w:rFonts w:hint="eastAsia"/>
        </w:rPr>
        <w:t>定性测定</w:t>
      </w:r>
    </w:p>
    <w:p w14:paraId="6A9E71DB">
      <w:pPr>
        <w:pStyle w:val="35"/>
        <w:ind w:firstLine="420"/>
      </w:pPr>
      <w:r>
        <w:rPr>
          <w:rFonts w:hint="eastAsia"/>
        </w:rPr>
        <w:t>在相同测试条件下，试样中待测物的保留时间与标准工作液中待测物的保留时间一致，偏差在±2.5%以内，且试样中待测物定性离子的相对丰度与浓度相当的标准溶液对应的定性离子的相对丰度一致。其允许偏差应符合表3的要求。</w:t>
      </w:r>
    </w:p>
    <w:p w14:paraId="5057CA06">
      <w:pPr>
        <w:pStyle w:val="35"/>
        <w:ind w:firstLine="420"/>
      </w:pPr>
    </w:p>
    <w:p w14:paraId="36701581">
      <w:pPr>
        <w:pStyle w:val="35"/>
        <w:ind w:firstLine="420"/>
      </w:pPr>
    </w:p>
    <w:p w14:paraId="6CA0EA22">
      <w:pPr>
        <w:pStyle w:val="113"/>
        <w:spacing w:before="156" w:after="156"/>
      </w:pPr>
      <w:r>
        <w:rPr>
          <w:rFonts w:hint="eastAsia"/>
        </w:rPr>
        <w:t>定性确证时相对离子丰度的最大允许偏差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020C2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shd w:val="clear" w:color="auto" w:fill="auto"/>
            <w:vAlign w:val="center"/>
          </w:tcPr>
          <w:p w14:paraId="178766AE">
            <w:pPr>
              <w:pStyle w:val="178"/>
            </w:pPr>
            <w:r>
              <w:rPr>
                <w:rFonts w:hAnsi="宋体"/>
                <w:lang w:val="en-GB"/>
              </w:rPr>
              <w:t>相对离子丰度，%</w:t>
            </w:r>
          </w:p>
        </w:tc>
        <w:tc>
          <w:tcPr>
            <w:tcW w:w="1867" w:type="dxa"/>
            <w:shd w:val="clear" w:color="auto" w:fill="auto"/>
            <w:vAlign w:val="center"/>
          </w:tcPr>
          <w:p w14:paraId="407ADA28">
            <w:pPr>
              <w:pStyle w:val="178"/>
            </w:pPr>
            <w:r>
              <w:rPr>
                <w:rFonts w:hint="eastAsia" w:hAnsi="宋体"/>
                <w:lang w:val="en-GB"/>
              </w:rPr>
              <w:t>＞</w:t>
            </w:r>
            <w:r>
              <w:rPr>
                <w:rFonts w:hAnsi="宋体"/>
                <w:lang w:val="en-GB"/>
              </w:rPr>
              <w:t>50</w:t>
            </w:r>
          </w:p>
        </w:tc>
        <w:tc>
          <w:tcPr>
            <w:tcW w:w="1867" w:type="dxa"/>
            <w:shd w:val="clear" w:color="auto" w:fill="auto"/>
            <w:vAlign w:val="center"/>
          </w:tcPr>
          <w:p w14:paraId="44100C2B">
            <w:pPr>
              <w:pStyle w:val="178"/>
            </w:pPr>
            <w:r>
              <w:rPr>
                <w:rFonts w:hint="eastAsia" w:hAnsi="宋体"/>
                <w:lang w:val="en-GB"/>
              </w:rPr>
              <w:t>＞</w:t>
            </w:r>
            <w:r>
              <w:rPr>
                <w:rFonts w:hAnsi="宋体"/>
                <w:lang w:val="en-GB"/>
              </w:rPr>
              <w:t>20</w:t>
            </w:r>
            <w:r>
              <w:rPr>
                <w:rFonts w:hAnsi="宋体"/>
              </w:rPr>
              <w:t>～</w:t>
            </w:r>
            <w:r>
              <w:rPr>
                <w:rFonts w:hAnsi="宋体"/>
                <w:lang w:val="en-GB"/>
              </w:rPr>
              <w:t>50</w:t>
            </w:r>
          </w:p>
        </w:tc>
        <w:tc>
          <w:tcPr>
            <w:tcW w:w="1867" w:type="dxa"/>
            <w:shd w:val="clear" w:color="auto" w:fill="auto"/>
            <w:vAlign w:val="center"/>
          </w:tcPr>
          <w:p w14:paraId="36AFAD15">
            <w:pPr>
              <w:pStyle w:val="178"/>
            </w:pPr>
            <w:r>
              <w:rPr>
                <w:rFonts w:hint="eastAsia" w:hAnsi="宋体"/>
                <w:lang w:val="en-GB"/>
              </w:rPr>
              <w:t>＞</w:t>
            </w:r>
            <w:r>
              <w:rPr>
                <w:rFonts w:hAnsi="宋体"/>
                <w:lang w:val="en-GB"/>
              </w:rPr>
              <w:t>10</w:t>
            </w:r>
            <w:r>
              <w:rPr>
                <w:rFonts w:hAnsi="宋体"/>
              </w:rPr>
              <w:t>～</w:t>
            </w:r>
            <w:r>
              <w:rPr>
                <w:rFonts w:hAnsi="宋体"/>
                <w:lang w:val="en-GB"/>
              </w:rPr>
              <w:t>20</w:t>
            </w:r>
          </w:p>
        </w:tc>
        <w:tc>
          <w:tcPr>
            <w:tcW w:w="1867" w:type="dxa"/>
            <w:shd w:val="clear" w:color="auto" w:fill="auto"/>
            <w:vAlign w:val="center"/>
          </w:tcPr>
          <w:p w14:paraId="0C8FC1D8">
            <w:pPr>
              <w:pStyle w:val="178"/>
            </w:pPr>
            <w:r>
              <w:rPr>
                <w:rFonts w:hAnsi="宋体"/>
                <w:lang w:val="en-GB"/>
              </w:rPr>
              <w:t>≤10</w:t>
            </w:r>
          </w:p>
        </w:tc>
      </w:tr>
      <w:tr w14:paraId="21930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80D301D">
            <w:pPr>
              <w:pStyle w:val="178"/>
            </w:pPr>
            <w:r>
              <w:rPr>
                <w:rFonts w:hAnsi="宋体"/>
                <w:lang w:val="en-GB"/>
              </w:rPr>
              <w:t>允许的相对偏差，%</w:t>
            </w:r>
          </w:p>
        </w:tc>
        <w:tc>
          <w:tcPr>
            <w:tcW w:w="1867" w:type="dxa"/>
            <w:shd w:val="clear" w:color="auto" w:fill="auto"/>
            <w:vAlign w:val="center"/>
          </w:tcPr>
          <w:p w14:paraId="1CFB98B7">
            <w:pPr>
              <w:pStyle w:val="178"/>
            </w:pPr>
            <w:r>
              <w:rPr>
                <w:rFonts w:hAnsi="宋体"/>
                <w:lang w:val="en-GB"/>
              </w:rPr>
              <w:t>±</w:t>
            </w:r>
            <w:r>
              <w:rPr>
                <w:rFonts w:hint="eastAsia" w:hAnsi="宋体"/>
              </w:rPr>
              <w:t xml:space="preserve"> </w:t>
            </w:r>
            <w:r>
              <w:rPr>
                <w:rFonts w:hAnsi="宋体"/>
                <w:lang w:val="en-GB"/>
              </w:rPr>
              <w:t>20</w:t>
            </w:r>
          </w:p>
        </w:tc>
        <w:tc>
          <w:tcPr>
            <w:tcW w:w="1867" w:type="dxa"/>
            <w:shd w:val="clear" w:color="auto" w:fill="auto"/>
            <w:vAlign w:val="center"/>
          </w:tcPr>
          <w:p w14:paraId="7B1E563B">
            <w:pPr>
              <w:pStyle w:val="178"/>
            </w:pPr>
            <w:r>
              <w:rPr>
                <w:rFonts w:hAnsi="宋体"/>
                <w:lang w:val="en-GB"/>
              </w:rPr>
              <w:t>±</w:t>
            </w:r>
            <w:r>
              <w:rPr>
                <w:rFonts w:hint="eastAsia" w:hAnsi="宋体"/>
              </w:rPr>
              <w:t xml:space="preserve"> </w:t>
            </w:r>
            <w:r>
              <w:rPr>
                <w:rFonts w:hAnsi="宋体"/>
                <w:lang w:val="en-GB"/>
              </w:rPr>
              <w:t>25</w:t>
            </w:r>
          </w:p>
        </w:tc>
        <w:tc>
          <w:tcPr>
            <w:tcW w:w="1867" w:type="dxa"/>
            <w:shd w:val="clear" w:color="auto" w:fill="auto"/>
            <w:vAlign w:val="center"/>
          </w:tcPr>
          <w:p w14:paraId="55DF06A6">
            <w:pPr>
              <w:pStyle w:val="178"/>
            </w:pPr>
            <w:r>
              <w:rPr>
                <w:rFonts w:hAnsi="宋体"/>
                <w:lang w:val="en-GB"/>
              </w:rPr>
              <w:t>±</w:t>
            </w:r>
            <w:r>
              <w:rPr>
                <w:rFonts w:hint="eastAsia" w:hAnsi="宋体"/>
              </w:rPr>
              <w:t xml:space="preserve"> </w:t>
            </w:r>
            <w:r>
              <w:rPr>
                <w:rFonts w:hAnsi="宋体"/>
                <w:lang w:val="en-GB"/>
              </w:rPr>
              <w:t>30</w:t>
            </w:r>
          </w:p>
        </w:tc>
        <w:tc>
          <w:tcPr>
            <w:tcW w:w="1867" w:type="dxa"/>
            <w:shd w:val="clear" w:color="auto" w:fill="auto"/>
            <w:vAlign w:val="center"/>
          </w:tcPr>
          <w:p w14:paraId="680EF9D3">
            <w:pPr>
              <w:pStyle w:val="178"/>
            </w:pPr>
            <w:r>
              <w:rPr>
                <w:rFonts w:hAnsi="宋体"/>
                <w:lang w:val="en-GB"/>
              </w:rPr>
              <w:t>±</w:t>
            </w:r>
            <w:r>
              <w:rPr>
                <w:rFonts w:hint="eastAsia" w:hAnsi="宋体"/>
              </w:rPr>
              <w:t xml:space="preserve"> </w:t>
            </w:r>
            <w:r>
              <w:rPr>
                <w:rFonts w:hAnsi="宋体"/>
                <w:lang w:val="en-GB"/>
              </w:rPr>
              <w:t>50</w:t>
            </w:r>
          </w:p>
        </w:tc>
      </w:tr>
    </w:tbl>
    <w:p w14:paraId="1819C59B">
      <w:pPr>
        <w:pStyle w:val="38"/>
        <w:spacing w:before="156" w:after="156"/>
      </w:pPr>
      <w:r>
        <w:rPr>
          <w:rFonts w:hint="eastAsia"/>
        </w:rPr>
        <w:t>定量测定</w:t>
      </w:r>
    </w:p>
    <w:p w14:paraId="7B6DAF39">
      <w:pPr>
        <w:pStyle w:val="35"/>
        <w:ind w:firstLine="420"/>
      </w:pPr>
      <w:r>
        <w:rPr>
          <w:rFonts w:hint="eastAsia"/>
        </w:rPr>
        <w:t>按8.5.1和8.5.2设定仪器条件，取标准工作溶液、试样溶液、空白试样溶液等体积进样测定，内标法定量。标准工作溶液和试样溶液中目标物的响应值均应在仪器检测线性范围内。甲霜灵及其代谢物标准溶液特征离子质量色谱图参见附录A。</w:t>
      </w:r>
    </w:p>
    <w:p w14:paraId="6D5B9373">
      <w:pPr>
        <w:pStyle w:val="37"/>
        <w:spacing w:before="156" w:after="156"/>
      </w:pPr>
      <w:bookmarkStart w:id="84" w:name="_Toc197268478"/>
      <w:r>
        <w:rPr>
          <w:rFonts w:hint="eastAsia"/>
        </w:rPr>
        <w:t>空白实验</w:t>
      </w:r>
      <w:bookmarkEnd w:id="84"/>
    </w:p>
    <w:p w14:paraId="0908E4FE">
      <w:pPr>
        <w:pStyle w:val="35"/>
        <w:ind w:firstLine="420"/>
      </w:pPr>
      <w:r>
        <w:rPr>
          <w:rFonts w:hint="eastAsia"/>
        </w:rPr>
        <w:t>按照8.1～8.4相同的测定步骤进行空白试样（见7.3）的测定。</w:t>
      </w:r>
    </w:p>
    <w:p w14:paraId="348FB186">
      <w:pPr>
        <w:pStyle w:val="34"/>
        <w:spacing w:before="312" w:after="312"/>
      </w:pPr>
      <w:bookmarkStart w:id="85" w:name="_Toc197268496"/>
      <w:bookmarkStart w:id="86" w:name="_Toc197268479"/>
      <w:r>
        <w:rPr>
          <w:rFonts w:hint="eastAsia"/>
        </w:rPr>
        <w:t>结果计算和表述</w:t>
      </w:r>
      <w:bookmarkEnd w:id="85"/>
      <w:bookmarkEnd w:id="86"/>
    </w:p>
    <w:p w14:paraId="767F4F83">
      <w:pPr>
        <w:pStyle w:val="37"/>
        <w:spacing w:before="156" w:after="156"/>
      </w:pPr>
      <w:bookmarkStart w:id="87" w:name="_Toc197268480"/>
      <w:r>
        <w:rPr>
          <w:rFonts w:hint="eastAsia"/>
        </w:rPr>
        <w:t>水样中甲霜灵及其代谢物含量</w:t>
      </w:r>
      <w:bookmarkEnd w:id="87"/>
    </w:p>
    <w:p w14:paraId="412AF899">
      <w:pPr>
        <w:pStyle w:val="35"/>
        <w:ind w:firstLine="420"/>
      </w:pPr>
      <w:r>
        <w:rPr>
          <w:rFonts w:hint="eastAsia"/>
        </w:rPr>
        <w:t>水样中甲霜灵及其代谢物含量按式（1）计算。计算结果应扣除空白值，保留2位有效数字。</w:t>
      </w:r>
    </w:p>
    <w:p w14:paraId="06F08D12">
      <w:pPr>
        <w:pStyle w:val="114"/>
        <w:rPr>
          <w:rFonts w:hint="eastAsia"/>
        </w:rPr>
      </w:pPr>
      <w:r>
        <w:rPr>
          <w:rFonts w:hint="eastAsia"/>
        </w:rP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×V</m:t>
            </m:r>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hint="eastAsia" w:ascii="微软雅黑" w:hAnsi="微软雅黑" w:eastAsia="微软雅黑"/>
        </w:rPr>
        <w:tab/>
      </w:r>
      <w:r>
        <w:t>(</w:t>
      </w:r>
      <w:r>
        <w:fldChar w:fldCharType="begin"/>
      </w:r>
      <w:r>
        <w:instrText xml:space="preserve"> AUTONUM </w:instrText>
      </w:r>
      <w:r>
        <w:fldChar w:fldCharType="end"/>
      </w:r>
      <w:r>
        <w:t>)</w:t>
      </w:r>
    </w:p>
    <w:p w14:paraId="3658185B">
      <w:pPr>
        <w:pStyle w:val="63"/>
        <w:ind w:firstLine="420"/>
      </w:pPr>
      <w:r>
        <w:rPr>
          <w:rFonts w:hint="eastAsia"/>
        </w:rPr>
        <w:t>式中：</w:t>
      </w:r>
    </w:p>
    <w:p w14:paraId="0DD47F30">
      <w:pPr>
        <w:ind w:firstLine="420" w:firstLineChars="200"/>
      </w:pPr>
      <w:r>
        <w:rPr>
          <w:rFonts w:hint="eastAsia" w:ascii="Times New Roman" w:hAnsi="Times New Roman"/>
          <w:i/>
          <w:color w:val="000000"/>
          <w:kern w:val="0"/>
        </w:rPr>
        <w:t>X</w:t>
      </w:r>
      <w:r>
        <w:rPr>
          <w:rFonts w:hint="eastAsia" w:ascii="Times New Roman" w:hAnsi="Times New Roman"/>
          <w:color w:val="000000"/>
          <w:kern w:val="0"/>
          <w:vertAlign w:val="subscript"/>
        </w:rPr>
        <w:t>1</w:t>
      </w:r>
      <w:r>
        <w:rPr>
          <w:rFonts w:hint="eastAsia" w:ascii="Times New Roman" w:hAnsi="Times New Roman"/>
          <w:color w:val="000000"/>
          <w:kern w:val="0"/>
        </w:rPr>
        <w:t xml:space="preserve">  </w:t>
      </w:r>
      <w:r>
        <w:rPr>
          <w:rFonts w:ascii="Times New Roman" w:hAnsi="Times New Roman"/>
          <w:color w:val="000000"/>
          <w:kern w:val="0"/>
        </w:rPr>
        <w:t>——</w:t>
      </w:r>
      <w:r>
        <w:rPr>
          <w:rFonts w:hint="eastAsia"/>
        </w:rPr>
        <w:t>试样中甲霜灵及其代谢物的含量，单位为微克每升（</w:t>
      </w:r>
      <w:r>
        <w:t>μ</w:t>
      </w:r>
      <w:r>
        <w:rPr>
          <w:rFonts w:ascii="宋体" w:hAnsi="宋体"/>
        </w:rPr>
        <w:t>g/L</w:t>
      </w:r>
      <w:r>
        <w:rPr>
          <w:rFonts w:hint="eastAsia"/>
        </w:rPr>
        <w:t>）；</w:t>
      </w:r>
    </w:p>
    <w:p w14:paraId="1FD7F919">
      <w:pPr>
        <w:ind w:firstLine="420" w:firstLineChars="200"/>
      </w:pPr>
      <w:r>
        <w:rPr>
          <w:rFonts w:hint="eastAsia" w:ascii="宋体" w:hAnsi="宋体"/>
          <w:i/>
        </w:rPr>
        <w:t>C</w:t>
      </w:r>
      <w:r>
        <w:rPr>
          <w:rFonts w:hint="eastAsia" w:ascii="宋体" w:hAnsi="宋体"/>
          <w:vertAlign w:val="subscript"/>
        </w:rPr>
        <w:t xml:space="preserve">i     </w:t>
      </w:r>
      <w:r>
        <w:rPr>
          <w:rFonts w:ascii="Times New Roman" w:hAnsi="Times New Roman"/>
          <w:color w:val="000000"/>
          <w:kern w:val="0"/>
        </w:rPr>
        <w:t>——</w:t>
      </w:r>
      <w:r>
        <w:rPr>
          <w:rFonts w:hint="eastAsia"/>
        </w:rPr>
        <w:t>从标准工作曲线得到的待测物溶液浓度，单位为微克每升（</w:t>
      </w:r>
      <w:r>
        <w:rPr>
          <w:rFonts w:ascii="Times New Roman" w:hAnsi="Times New Roman"/>
        </w:rPr>
        <w:t>μ</w:t>
      </w:r>
      <w:r>
        <w:rPr>
          <w:rFonts w:hint="eastAsia" w:ascii="宋体" w:hAnsi="宋体"/>
        </w:rPr>
        <w:t>g/L</w:t>
      </w:r>
      <w:r>
        <w:rPr>
          <w:rFonts w:hint="eastAsia"/>
        </w:rPr>
        <w:t>）；</w:t>
      </w:r>
    </w:p>
    <w:p w14:paraId="0D357C79">
      <w:pPr>
        <w:ind w:firstLine="420" w:firstLineChars="200"/>
        <w:rPr>
          <w:rFonts w:ascii="Times New Roman" w:hAnsi="Times New Roman"/>
          <w:color w:val="000000"/>
          <w:kern w:val="0"/>
        </w:rPr>
      </w:pPr>
      <w:r>
        <w:rPr>
          <w:rFonts w:hint="eastAsia" w:ascii="宋体" w:hAnsi="宋体"/>
          <w:i/>
          <w:iCs/>
        </w:rPr>
        <w:t xml:space="preserve">V   </w:t>
      </w:r>
      <w:r>
        <w:rPr>
          <w:rFonts w:ascii="Times New Roman" w:hAnsi="Times New Roman"/>
          <w:color w:val="000000"/>
          <w:kern w:val="0"/>
        </w:rPr>
        <w:t>——</w:t>
      </w:r>
      <w:r>
        <w:rPr>
          <w:rFonts w:hint="eastAsia" w:ascii="Times New Roman" w:hAnsi="Times New Roman"/>
          <w:color w:val="000000"/>
          <w:kern w:val="0"/>
        </w:rPr>
        <w:t>试样最终定容体积，单位为毫升（</w:t>
      </w:r>
      <w:r>
        <w:rPr>
          <w:rFonts w:hint="eastAsia" w:ascii="宋体" w:hAnsi="宋体"/>
          <w:color w:val="000000"/>
          <w:kern w:val="0"/>
        </w:rPr>
        <w:t>mL</w:t>
      </w:r>
      <w:r>
        <w:rPr>
          <w:rFonts w:hint="eastAsia" w:ascii="Times New Roman" w:hAnsi="Times New Roman"/>
          <w:color w:val="000000"/>
          <w:kern w:val="0"/>
        </w:rPr>
        <w:t>）；</w:t>
      </w:r>
    </w:p>
    <w:p w14:paraId="3BF0609A">
      <w:pPr>
        <w:ind w:firstLine="420" w:firstLineChars="200"/>
        <w:rPr>
          <w:rFonts w:ascii="Times New Roman" w:hAnsi="Times New Roman"/>
          <w:color w:val="000000"/>
          <w:kern w:val="0"/>
        </w:rPr>
      </w:pPr>
      <w:r>
        <w:rPr>
          <w:rFonts w:hint="eastAsia" w:ascii="宋体" w:hAnsi="宋体"/>
          <w:i/>
          <w:iCs/>
        </w:rPr>
        <w:t>V</w:t>
      </w:r>
      <w:r>
        <w:rPr>
          <w:rFonts w:hint="eastAsia" w:ascii="宋体" w:hAnsi="宋体"/>
          <w:i/>
          <w:iCs/>
          <w:vertAlign w:val="subscript"/>
        </w:rPr>
        <w:t xml:space="preserve">0     </w:t>
      </w:r>
      <w:r>
        <w:rPr>
          <w:rFonts w:ascii="Times New Roman" w:hAnsi="Times New Roman"/>
          <w:color w:val="000000"/>
          <w:kern w:val="0"/>
        </w:rPr>
        <w:t>——</w:t>
      </w:r>
      <w:r>
        <w:rPr>
          <w:rFonts w:hint="eastAsia" w:ascii="Times New Roman" w:hAnsi="Times New Roman"/>
          <w:color w:val="000000"/>
          <w:kern w:val="0"/>
        </w:rPr>
        <w:t>试样体积，单位为毫升（</w:t>
      </w:r>
      <w:r>
        <w:rPr>
          <w:rFonts w:hint="eastAsia" w:ascii="宋体" w:hAnsi="宋体"/>
          <w:color w:val="000000"/>
          <w:kern w:val="0"/>
        </w:rPr>
        <w:t>mL</w:t>
      </w:r>
      <w:r>
        <w:rPr>
          <w:rFonts w:hint="eastAsia" w:ascii="Times New Roman" w:hAnsi="Times New Roman"/>
          <w:color w:val="000000"/>
          <w:kern w:val="0"/>
        </w:rPr>
        <w:t>）。</w:t>
      </w:r>
    </w:p>
    <w:p w14:paraId="44271EC0">
      <w:pPr>
        <w:pStyle w:val="37"/>
        <w:spacing w:before="156" w:after="156"/>
      </w:pPr>
      <w:bookmarkStart w:id="88" w:name="_Toc197268481"/>
      <w:r>
        <w:rPr>
          <w:rFonts w:hint="eastAsia"/>
        </w:rPr>
        <w:t>底泥中甲霜灵及其代谢物含量</w:t>
      </w:r>
      <w:bookmarkEnd w:id="88"/>
    </w:p>
    <w:p w14:paraId="2C46A8EA">
      <w:pPr>
        <w:pStyle w:val="35"/>
        <w:ind w:firstLine="420"/>
      </w:pPr>
      <w:r>
        <w:rPr>
          <w:rFonts w:hint="eastAsia"/>
        </w:rPr>
        <w:t>底泥中甲霜灵及其代谢物含量按式（2）计算。计算结果应扣除空白值，保留2位有效数字。</w:t>
      </w:r>
    </w:p>
    <w:p w14:paraId="4168B045">
      <w:pPr>
        <w:pStyle w:val="114"/>
        <w:rPr>
          <w:rFonts w:hint="eastAsia"/>
        </w:rPr>
      </w:pPr>
      <w:r>
        <w:rPr>
          <w:rFonts w:hint="eastAsia"/>
        </w:rPr>
        <w:tab/>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×V</m:t>
            </m:r>
            <m:ctrlPr>
              <w:rPr>
                <w:rFonts w:ascii="Cambria Math" w:hAnsi="Cambria Math"/>
                <w:i/>
              </w:rPr>
            </m:ctrlPr>
          </m:num>
          <m:den>
            <m:r>
              <m:rPr/>
              <w:rPr>
                <w:rFonts w:ascii="Cambria Math" w:hAnsi="Cambria Math"/>
              </w:rPr>
              <m:t>m×(1−w)</m:t>
            </m:r>
            <m:ctrlPr>
              <w:rPr>
                <w:rFonts w:ascii="Cambria Math" w:hAnsi="Cambria Math"/>
                <w:i/>
              </w:rPr>
            </m:ctrlPr>
          </m:den>
        </m:f>
      </m:oMath>
      <w:r>
        <w:rPr>
          <w:rFonts w:hint="eastAsia" w:ascii="微软雅黑" w:hAnsi="微软雅黑" w:eastAsia="微软雅黑"/>
        </w:rPr>
        <w:tab/>
      </w:r>
      <w:r>
        <w:t>(</w:t>
      </w:r>
      <w:r>
        <w:fldChar w:fldCharType="begin"/>
      </w:r>
      <w:r>
        <w:instrText xml:space="preserve"> AUTONUM </w:instrText>
      </w:r>
      <w:r>
        <w:fldChar w:fldCharType="end"/>
      </w:r>
      <w:r>
        <w:t>)</w:t>
      </w:r>
    </w:p>
    <w:p w14:paraId="23A7773C">
      <w:pPr>
        <w:pStyle w:val="63"/>
        <w:ind w:firstLine="420"/>
      </w:pPr>
      <w:r>
        <w:rPr>
          <w:rFonts w:hint="eastAsia"/>
        </w:rPr>
        <w:t>式中：</w:t>
      </w:r>
    </w:p>
    <w:p w14:paraId="3E0D4FB3">
      <w:pPr>
        <w:ind w:firstLine="420" w:firstLineChars="200"/>
      </w:pPr>
      <w:r>
        <w:rPr>
          <w:rFonts w:hint="eastAsia" w:ascii="宋体" w:hAnsi="宋体"/>
          <w:i/>
          <w:iCs/>
        </w:rPr>
        <w:t>X</w:t>
      </w:r>
      <w:r>
        <w:rPr>
          <w:rFonts w:hint="eastAsia"/>
          <w:vertAlign w:val="subscript"/>
        </w:rPr>
        <w:t>2</w:t>
      </w:r>
      <w:r>
        <w:rPr>
          <w:rFonts w:hint="eastAsia"/>
        </w:rPr>
        <w:t xml:space="preserve"> </w:t>
      </w:r>
      <w:r>
        <w:rPr>
          <w:rFonts w:hint="eastAsia" w:ascii="Times New Roman" w:hAnsi="Times New Roman"/>
          <w:color w:val="000000"/>
          <w:kern w:val="0"/>
        </w:rPr>
        <w:t xml:space="preserve">  </w:t>
      </w:r>
      <w:r>
        <w:rPr>
          <w:rFonts w:ascii="Times New Roman" w:hAnsi="Times New Roman"/>
          <w:color w:val="000000"/>
          <w:kern w:val="0"/>
        </w:rPr>
        <w:t>——</w:t>
      </w:r>
      <w:r>
        <w:rPr>
          <w:rFonts w:hint="eastAsia"/>
        </w:rPr>
        <w:t>试样中甲霜灵及其代谢物的含量，单位为微克每千克（</w:t>
      </w:r>
      <w:r>
        <w:rPr>
          <w:rFonts w:ascii="Times New Roman" w:hAnsi="Times New Roman"/>
        </w:rPr>
        <w:t>μ</w:t>
      </w:r>
      <w:r>
        <w:rPr>
          <w:rFonts w:hint="eastAsia" w:ascii="宋体" w:hAnsi="宋体"/>
        </w:rPr>
        <w:t>g/kg</w:t>
      </w:r>
      <w:r>
        <w:rPr>
          <w:rFonts w:hint="eastAsia"/>
        </w:rPr>
        <w:t>）；</w:t>
      </w:r>
    </w:p>
    <w:p w14:paraId="1FB74D96">
      <w:pPr>
        <w:ind w:firstLine="420" w:firstLineChars="200"/>
      </w:pPr>
      <w:r>
        <w:rPr>
          <w:rFonts w:hint="eastAsia" w:ascii="宋体" w:hAnsi="宋体"/>
          <w:i/>
          <w:iCs/>
        </w:rPr>
        <w:t>C</w:t>
      </w:r>
      <w:r>
        <w:rPr>
          <w:rFonts w:hint="eastAsia"/>
          <w:vertAlign w:val="subscript"/>
        </w:rPr>
        <w:t>i</w:t>
      </w:r>
      <w:r>
        <w:rPr>
          <w:rFonts w:hint="eastAsia"/>
        </w:rPr>
        <w:t xml:space="preserve"> </w:t>
      </w:r>
      <w:r>
        <w:rPr>
          <w:rFonts w:hint="eastAsia" w:ascii="Times New Roman" w:hAnsi="Times New Roman"/>
          <w:color w:val="000000"/>
          <w:kern w:val="0"/>
        </w:rPr>
        <w:t xml:space="preserve">  </w:t>
      </w:r>
      <w:r>
        <w:rPr>
          <w:rFonts w:ascii="Times New Roman" w:hAnsi="Times New Roman"/>
          <w:color w:val="000000"/>
          <w:kern w:val="0"/>
        </w:rPr>
        <w:t>——</w:t>
      </w:r>
      <w:r>
        <w:rPr>
          <w:rFonts w:hint="eastAsia"/>
        </w:rPr>
        <w:t>从标准工作曲线得到的待测物溶液浓度，单位为微克每升（</w:t>
      </w:r>
      <w:r>
        <w:rPr>
          <w:rFonts w:ascii="Times New Roman" w:hAnsi="Times New Roman"/>
        </w:rPr>
        <w:t>μ</w:t>
      </w:r>
      <w:r>
        <w:rPr>
          <w:rFonts w:hint="eastAsia" w:ascii="宋体" w:hAnsi="宋体"/>
        </w:rPr>
        <w:t>g/L</w:t>
      </w:r>
      <w:r>
        <w:rPr>
          <w:rFonts w:hint="eastAsia"/>
        </w:rPr>
        <w:t>）；</w:t>
      </w:r>
    </w:p>
    <w:p w14:paraId="562838E0">
      <w:pPr>
        <w:ind w:firstLine="420" w:firstLineChars="200"/>
      </w:pPr>
      <w:r>
        <w:rPr>
          <w:rFonts w:hint="eastAsia" w:ascii="宋体" w:hAnsi="宋体"/>
          <w:i/>
          <w:iCs/>
        </w:rPr>
        <w:t>V</w:t>
      </w:r>
      <w:r>
        <w:rPr>
          <w:rFonts w:hint="eastAsia"/>
        </w:rPr>
        <w:t xml:space="preserve">  </w:t>
      </w:r>
      <w:r>
        <w:rPr>
          <w:rFonts w:hint="eastAsia" w:ascii="Times New Roman" w:hAnsi="Times New Roman"/>
          <w:color w:val="000000"/>
          <w:kern w:val="0"/>
        </w:rPr>
        <w:t xml:space="preserve"> </w:t>
      </w:r>
      <w:r>
        <w:rPr>
          <w:rFonts w:ascii="Times New Roman" w:hAnsi="Times New Roman"/>
          <w:color w:val="000000"/>
          <w:kern w:val="0"/>
        </w:rPr>
        <w:t>——</w:t>
      </w:r>
      <w:r>
        <w:rPr>
          <w:rFonts w:hint="eastAsia"/>
        </w:rPr>
        <w:t>试样最终定容体积，单位为毫升（</w:t>
      </w:r>
      <w:r>
        <w:rPr>
          <w:rFonts w:hint="eastAsia" w:ascii="宋体" w:hAnsi="宋体"/>
        </w:rPr>
        <w:t>mL</w:t>
      </w:r>
      <w:r>
        <w:rPr>
          <w:rFonts w:hint="eastAsia"/>
        </w:rPr>
        <w:t>）；</w:t>
      </w:r>
    </w:p>
    <w:p w14:paraId="601ACADB">
      <w:pPr>
        <w:ind w:firstLine="420" w:firstLineChars="200"/>
      </w:pPr>
      <w:r>
        <w:rPr>
          <w:rFonts w:hint="eastAsia" w:ascii="宋体" w:hAnsi="宋体"/>
          <w:i/>
          <w:iCs/>
        </w:rPr>
        <w:t>m</w:t>
      </w:r>
      <w:r>
        <w:rPr>
          <w:rFonts w:hint="eastAsia"/>
        </w:rPr>
        <w:t xml:space="preserve">  </w:t>
      </w:r>
      <w:r>
        <w:rPr>
          <w:rFonts w:hint="eastAsia" w:ascii="Times New Roman" w:hAnsi="Times New Roman"/>
          <w:color w:val="000000"/>
          <w:kern w:val="0"/>
        </w:rPr>
        <w:t xml:space="preserve"> </w:t>
      </w:r>
      <w:r>
        <w:rPr>
          <w:rFonts w:ascii="Times New Roman" w:hAnsi="Times New Roman"/>
          <w:color w:val="000000"/>
          <w:kern w:val="0"/>
        </w:rPr>
        <w:t>——</w:t>
      </w:r>
      <w:r>
        <w:rPr>
          <w:rFonts w:hint="eastAsia"/>
        </w:rPr>
        <w:t>试样质量，单位为克（</w:t>
      </w:r>
      <w:r>
        <w:rPr>
          <w:rFonts w:hint="eastAsia" w:ascii="宋体" w:hAnsi="宋体"/>
        </w:rPr>
        <w:t>g</w:t>
      </w:r>
      <w:r>
        <w:rPr>
          <w:rFonts w:hint="eastAsia"/>
        </w:rPr>
        <w:t>）；</w:t>
      </w:r>
    </w:p>
    <w:p w14:paraId="3089AC73">
      <w:pPr>
        <w:ind w:firstLine="420" w:firstLineChars="200"/>
      </w:pPr>
      <w:r>
        <w:rPr>
          <w:rFonts w:hint="eastAsia" w:ascii="宋体" w:hAnsi="宋体"/>
          <w:i/>
          <w:iCs/>
        </w:rPr>
        <w:t>w</w:t>
      </w:r>
      <w:r>
        <w:rPr>
          <w:rFonts w:hint="eastAsia" w:ascii="宋体" w:hAnsi="宋体"/>
        </w:rPr>
        <w:t xml:space="preserve"> </w:t>
      </w:r>
      <w:r>
        <w:rPr>
          <w:rFonts w:hint="eastAsia"/>
        </w:rPr>
        <w:t xml:space="preserve"> </w:t>
      </w:r>
      <w:r>
        <w:rPr>
          <w:rFonts w:hint="eastAsia" w:ascii="Times New Roman" w:hAnsi="Times New Roman"/>
          <w:color w:val="000000"/>
          <w:kern w:val="0"/>
        </w:rPr>
        <w:t xml:space="preserve"> </w:t>
      </w:r>
      <w:r>
        <w:rPr>
          <w:rFonts w:ascii="Times New Roman" w:hAnsi="Times New Roman"/>
          <w:color w:val="000000"/>
          <w:kern w:val="0"/>
        </w:rPr>
        <w:t>——</w:t>
      </w:r>
      <w:r>
        <w:rPr>
          <w:rFonts w:hint="eastAsia"/>
        </w:rPr>
        <w:t>试样含水率，单位为质量分数（</w:t>
      </w:r>
      <w:r>
        <w:rPr>
          <w:rFonts w:hint="eastAsia" w:ascii="宋体" w:hAnsi="宋体"/>
        </w:rPr>
        <w:t>%</w:t>
      </w:r>
      <w:r>
        <w:rPr>
          <w:rFonts w:hint="eastAsia"/>
        </w:rPr>
        <w:t>）</w:t>
      </w:r>
    </w:p>
    <w:p w14:paraId="2AC7BC39">
      <w:pPr>
        <w:pStyle w:val="34"/>
        <w:spacing w:before="312" w:after="312"/>
      </w:pPr>
      <w:bookmarkStart w:id="89" w:name="_Toc197268497"/>
      <w:bookmarkStart w:id="90" w:name="_Toc197268482"/>
      <w:r>
        <w:rPr>
          <w:rFonts w:hint="eastAsia"/>
        </w:rPr>
        <w:t>检测方法的灵敏度、准确度和精密度</w:t>
      </w:r>
      <w:bookmarkEnd w:id="89"/>
      <w:bookmarkEnd w:id="90"/>
    </w:p>
    <w:p w14:paraId="012A21BA">
      <w:pPr>
        <w:pStyle w:val="37"/>
        <w:spacing w:before="156" w:after="156"/>
      </w:pPr>
      <w:bookmarkStart w:id="91" w:name="_Toc197268483"/>
      <w:r>
        <w:rPr>
          <w:rFonts w:hint="eastAsia"/>
        </w:rPr>
        <w:t>灵敏度</w:t>
      </w:r>
      <w:bookmarkEnd w:id="91"/>
    </w:p>
    <w:p w14:paraId="4B900D20">
      <w:pPr>
        <w:pStyle w:val="35"/>
        <w:ind w:firstLine="420"/>
      </w:pPr>
      <w:r>
        <w:rPr>
          <w:rFonts w:hint="eastAsia"/>
        </w:rPr>
        <w:t xml:space="preserve">本方法在水产养殖环境水中甲霜灵及其代谢物的检出限为0.05 </w:t>
      </w:r>
      <w:r>
        <w:rPr>
          <w:rFonts w:ascii="Times New Roman"/>
        </w:rPr>
        <w:t>μ</w:t>
      </w:r>
      <w:r>
        <w:rPr>
          <w:rFonts w:hint="eastAsia"/>
        </w:rPr>
        <w:t xml:space="preserve">g/L，定量限为0.1 </w:t>
      </w:r>
      <w:r>
        <w:rPr>
          <w:rFonts w:ascii="Times New Roman"/>
        </w:rPr>
        <w:t>μ</w:t>
      </w:r>
      <w:r>
        <w:rPr>
          <w:rFonts w:hint="eastAsia"/>
        </w:rPr>
        <w:t xml:space="preserve">g/L；在水产养殖环境底泥中甲霜灵及其代谢物的检出限为0.5 </w:t>
      </w:r>
      <w:r>
        <w:rPr>
          <w:rFonts w:ascii="Times New Roman"/>
        </w:rPr>
        <w:t>μ</w:t>
      </w:r>
      <w:r>
        <w:rPr>
          <w:rFonts w:hint="eastAsia"/>
        </w:rPr>
        <w:t xml:space="preserve">g/kg，定量限为1.0 </w:t>
      </w:r>
      <w:r>
        <w:rPr>
          <w:rFonts w:ascii="Times New Roman"/>
        </w:rPr>
        <w:t>μ</w:t>
      </w:r>
      <w:r>
        <w:rPr>
          <w:rFonts w:hint="eastAsia"/>
        </w:rPr>
        <w:t>g/kg。</w:t>
      </w:r>
    </w:p>
    <w:p w14:paraId="3342F860">
      <w:pPr>
        <w:pStyle w:val="37"/>
        <w:spacing w:before="156" w:after="156"/>
      </w:pPr>
      <w:bookmarkStart w:id="92" w:name="_Toc197268484"/>
      <w:r>
        <w:rPr>
          <w:rFonts w:hint="eastAsia"/>
        </w:rPr>
        <w:t>准确度</w:t>
      </w:r>
      <w:bookmarkEnd w:id="92"/>
    </w:p>
    <w:p w14:paraId="219AB3C1">
      <w:pPr>
        <w:pStyle w:val="35"/>
        <w:ind w:firstLine="420"/>
      </w:pPr>
      <w:r>
        <w:rPr>
          <w:rFonts w:hint="eastAsia"/>
        </w:rPr>
        <w:t xml:space="preserve">本方法水样在0.1 </w:t>
      </w:r>
      <w:r>
        <w:rPr>
          <w:rFonts w:ascii="Times New Roman"/>
        </w:rPr>
        <w:t>μ</w:t>
      </w:r>
      <w:r>
        <w:rPr>
          <w:rFonts w:hint="eastAsia"/>
        </w:rPr>
        <w:t xml:space="preserve">g/L～1.0 </w:t>
      </w:r>
      <w:r>
        <w:rPr>
          <w:rFonts w:ascii="Times New Roman"/>
        </w:rPr>
        <w:t>μ</w:t>
      </w:r>
      <w:r>
        <w:rPr>
          <w:rFonts w:hint="eastAsia"/>
        </w:rPr>
        <w:t xml:space="preserve">g/L添加浓度水平上的回收率为70%～120%；底泥在1.0 </w:t>
      </w:r>
      <w:r>
        <w:rPr>
          <w:rFonts w:ascii="Times New Roman"/>
        </w:rPr>
        <w:t>μ</w:t>
      </w:r>
      <w:r>
        <w:rPr>
          <w:rFonts w:hint="eastAsia"/>
        </w:rPr>
        <w:t xml:space="preserve">g/kg～10 </w:t>
      </w:r>
      <w:r>
        <w:rPr>
          <w:rFonts w:ascii="Times New Roman"/>
        </w:rPr>
        <w:t>μ</w:t>
      </w:r>
      <w:r>
        <w:rPr>
          <w:rFonts w:hint="eastAsia"/>
        </w:rPr>
        <w:t>g/kg添加浓度水平上的回收率为70%～120%。</w:t>
      </w:r>
    </w:p>
    <w:p w14:paraId="2B130C7C">
      <w:pPr>
        <w:pStyle w:val="37"/>
        <w:spacing w:before="156" w:after="156"/>
      </w:pPr>
      <w:bookmarkStart w:id="93" w:name="_Toc197268485"/>
      <w:r>
        <w:rPr>
          <w:rFonts w:hint="eastAsia"/>
        </w:rPr>
        <w:t>精密度</w:t>
      </w:r>
      <w:bookmarkEnd w:id="93"/>
    </w:p>
    <w:p w14:paraId="1418129F">
      <w:pPr>
        <w:pStyle w:val="35"/>
        <w:ind w:firstLine="420"/>
      </w:pPr>
      <w:r>
        <w:rPr>
          <w:rFonts w:hint="eastAsia"/>
        </w:rPr>
        <w:t>本方法的批内相对标准偏差≤10%，批间相对标准偏差≤15%。</w:t>
      </w:r>
    </w:p>
    <w:p w14:paraId="624ADA63">
      <w:pPr>
        <w:jc w:val="center"/>
      </w:pPr>
    </w:p>
    <w:p w14:paraId="0B3200A6">
      <w:pPr>
        <w:jc w:val="center"/>
      </w:pPr>
    </w:p>
    <w:p w14:paraId="5734D753">
      <w:pPr>
        <w:jc w:val="center"/>
        <w:sectPr>
          <w:pgSz w:w="11906" w:h="16838"/>
          <w:pgMar w:top="1928" w:right="1134" w:bottom="1134" w:left="1134" w:header="1418" w:footer="1134" w:gutter="284"/>
          <w:pgNumType w:start="1"/>
          <w:cols w:space="425" w:num="1"/>
          <w:formProt w:val="0"/>
          <w:docGrid w:type="lines" w:linePitch="312" w:charSpace="0"/>
        </w:sectPr>
      </w:pPr>
    </w:p>
    <w:bookmarkEnd w:id="25"/>
    <w:p w14:paraId="732E2159">
      <w:pPr>
        <w:pStyle w:val="198"/>
        <w:rPr>
          <w:rFonts w:hint="eastAsia"/>
          <w:vanish w:val="0"/>
        </w:rPr>
      </w:pPr>
      <w:bookmarkStart w:id="94" w:name="BookMark5"/>
    </w:p>
    <w:p w14:paraId="66E14A07">
      <w:pPr>
        <w:pStyle w:val="199"/>
        <w:rPr>
          <w:vanish w:val="0"/>
        </w:rPr>
      </w:pPr>
    </w:p>
    <w:p w14:paraId="7A71950C">
      <w:pPr>
        <w:pStyle w:val="82"/>
        <w:spacing w:after="156"/>
      </w:pPr>
      <w:r>
        <w:br w:type="textWrapping"/>
      </w:r>
      <w:bookmarkStart w:id="95" w:name="_Toc197268486"/>
      <w:bookmarkStart w:id="96" w:name="_Toc197268498"/>
      <w:r>
        <w:rPr>
          <w:rFonts w:hint="eastAsia"/>
        </w:rPr>
        <w:t>（资料性）</w:t>
      </w:r>
      <w:r>
        <w:br w:type="textWrapping"/>
      </w:r>
      <w:r>
        <w:rPr>
          <w:rFonts w:hint="eastAsia"/>
        </w:rPr>
        <w:t>甲霜灵及其代谢物标准溶液特征离子质量色谱图</w:t>
      </w:r>
      <w:bookmarkEnd w:id="95"/>
      <w:bookmarkEnd w:id="96"/>
    </w:p>
    <w:p w14:paraId="2A80050F">
      <w:pPr>
        <w:pStyle w:val="35"/>
        <w:ind w:firstLine="420"/>
      </w:pPr>
      <w:r>
        <w:rPr>
          <w:rFonts w:hint="eastAsia"/>
        </w:rPr>
        <w:t>甲霜灵及其代谢物标准溶液特征离子质量色谱图见图A.1。</w:t>
      </w:r>
    </w:p>
    <w:p w14:paraId="28E1675A">
      <w:pPr>
        <w:pStyle w:val="35"/>
        <w:ind w:firstLine="1890" w:firstLineChars="900"/>
      </w:pPr>
      <w:r>
        <w:drawing>
          <wp:inline distT="0" distB="0" distL="0" distR="0">
            <wp:extent cx="3322320" cy="4627245"/>
            <wp:effectExtent l="0" t="0" r="0" b="1905"/>
            <wp:docPr id="1874026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26697"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22320" cy="4627245"/>
                    </a:xfrm>
                    <a:prstGeom prst="rect">
                      <a:avLst/>
                    </a:prstGeom>
                    <a:noFill/>
                  </pic:spPr>
                </pic:pic>
              </a:graphicData>
            </a:graphic>
          </wp:inline>
        </w:drawing>
      </w:r>
    </w:p>
    <w:p w14:paraId="4C21E3C4">
      <w:pPr>
        <w:pStyle w:val="89"/>
        <w:spacing w:before="156" w:after="156"/>
      </w:pPr>
      <w:r>
        <w:rPr>
          <w:rFonts w:hint="eastAsia"/>
        </w:rPr>
        <w:t xml:space="preserve"> 甲霜灵及其代谢物标准溶液特征离子质量色谱图（5 μg/L ）</w:t>
      </w:r>
    </w:p>
    <w:p w14:paraId="4AF5798A">
      <w:pPr>
        <w:pStyle w:val="35"/>
        <w:ind w:firstLine="420"/>
      </w:pPr>
    </w:p>
    <w:bookmarkEnd w:id="94"/>
    <w:p w14:paraId="362A0129">
      <w:pPr>
        <w:pStyle w:val="35"/>
        <w:ind w:firstLine="0" w:firstLineChars="0"/>
        <w:jc w:val="center"/>
      </w:pPr>
      <w:bookmarkStart w:id="97" w:name="BookMark8"/>
      <w:r>
        <w:rPr>
          <w:rFonts w:hint="eastAsia"/>
        </w:rPr>
        <w:drawing>
          <wp:inline distT="0" distB="0" distL="0" distR="0">
            <wp:extent cx="1485900" cy="317500"/>
            <wp:effectExtent l="0" t="0" r="0" b="6350"/>
            <wp:docPr id="1814216568" name="图片 2"/>
            <wp:cNvGraphicFramePr/>
            <a:graphic xmlns:a="http://schemas.openxmlformats.org/drawingml/2006/main">
              <a:graphicData uri="http://schemas.openxmlformats.org/drawingml/2006/picture">
                <pic:pic xmlns:pic="http://schemas.openxmlformats.org/drawingml/2006/picture">
                  <pic:nvPicPr>
                    <pic:cNvPr id="1814216568" name="图片 2"/>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A16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148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5E9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1506">
    <w:pPr>
      <w:pStyle w:val="60"/>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55B4">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8F2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914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7A16">
    <w:pPr>
      <w:pStyle w:val="68"/>
      <w:rPr>
        <w:rFonts w:hint="eastAsia"/>
      </w:rPr>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3831">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36"/>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38"/>
      <w:suff w:val="nothing"/>
      <w:lvlText w:val="%1%2.%3.%4　"/>
      <w:lvlJc w:val="left"/>
      <w:pPr>
        <w:ind w:left="0" w:firstLine="0"/>
      </w:pPr>
      <w:rPr>
        <w:rFonts w:hint="eastAsia" w:ascii="黑体" w:eastAsia="黑体"/>
        <w:b w:val="0"/>
        <w:i w:val="0"/>
        <w:sz w:val="21"/>
      </w:rPr>
    </w:lvl>
    <w:lvl w:ilvl="4" w:tentative="0">
      <w:start w:val="1"/>
      <w:numFmt w:val="decimal"/>
      <w:pStyle w:val="39"/>
      <w:suff w:val="nothing"/>
      <w:lvlText w:val="%1%2.%3.%4.%5　"/>
      <w:lvlJc w:val="left"/>
      <w:pPr>
        <w:ind w:left="0" w:firstLine="0"/>
      </w:pPr>
      <w:rPr>
        <w:rFonts w:hint="eastAsia" w:ascii="黑体" w:eastAsia="黑体"/>
        <w:b w:val="0"/>
        <w:i w:val="0"/>
        <w:sz w:val="21"/>
      </w:rPr>
    </w:lvl>
    <w:lvl w:ilvl="5" w:tentative="0">
      <w:start w:val="1"/>
      <w:numFmt w:val="decimal"/>
      <w:pStyle w:val="40"/>
      <w:suff w:val="nothing"/>
      <w:lvlText w:val="%1%2.%3.%4.%5.%6　"/>
      <w:lvlJc w:val="left"/>
      <w:pPr>
        <w:ind w:left="0" w:firstLine="0"/>
      </w:pPr>
      <w:rPr>
        <w:rFonts w:hint="eastAsia" w:ascii="黑体" w:eastAsia="黑体"/>
        <w:b w:val="0"/>
        <w:i w:val="0"/>
        <w:sz w:val="21"/>
      </w:rPr>
    </w:lvl>
    <w:lvl w:ilvl="6" w:tentative="0">
      <w:start w:val="1"/>
      <w:numFmt w:val="decimal"/>
      <w:pStyle w:val="4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0"/>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mv+TUXkW+Ir0vABcENsvdAGrxf1X+hH+jkwebMRB8kXZRy/CDXJl3PPFjyE4W2R6FA97KTlEuVLc91FFiEwngQ==" w:salt="Dcp6SZYsZN3Paw1vPBPGA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47"/>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BE2"/>
    <w:rsid w:val="000E4C9E"/>
    <w:rsid w:val="000E6FD7"/>
    <w:rsid w:val="000F06E1"/>
    <w:rsid w:val="000F0E3C"/>
    <w:rsid w:val="000F19D5"/>
    <w:rsid w:val="000F4AEA"/>
    <w:rsid w:val="000F633F"/>
    <w:rsid w:val="000F67E9"/>
    <w:rsid w:val="001045AF"/>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2B9"/>
    <w:rsid w:val="001559C7"/>
    <w:rsid w:val="00156B25"/>
    <w:rsid w:val="00156E1A"/>
    <w:rsid w:val="00157894"/>
    <w:rsid w:val="00157B55"/>
    <w:rsid w:val="001642FA"/>
    <w:rsid w:val="001649EB"/>
    <w:rsid w:val="00164BAF"/>
    <w:rsid w:val="00164FA8"/>
    <w:rsid w:val="00165065"/>
    <w:rsid w:val="00165434"/>
    <w:rsid w:val="0016580B"/>
    <w:rsid w:val="00165F49"/>
    <w:rsid w:val="00166B88"/>
    <w:rsid w:val="00166D2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4A"/>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6BA"/>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51B"/>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8DF"/>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1C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D8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0EF1"/>
    <w:rsid w:val="00752B4D"/>
    <w:rsid w:val="007549F9"/>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532"/>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EC5"/>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A9F"/>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5BA5"/>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C99"/>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78D"/>
    <w:rsid w:val="00C25FE2"/>
    <w:rsid w:val="00C26B53"/>
    <w:rsid w:val="00C279B2"/>
    <w:rsid w:val="00C33E50"/>
    <w:rsid w:val="00C34C20"/>
    <w:rsid w:val="00C35A3E"/>
    <w:rsid w:val="00C40D6D"/>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769"/>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26D5"/>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766"/>
    <w:rsid w:val="00EA1E23"/>
    <w:rsid w:val="00EA58D1"/>
    <w:rsid w:val="00EA61BC"/>
    <w:rsid w:val="00EA681A"/>
    <w:rsid w:val="00EA735B"/>
    <w:rsid w:val="00EB17DE"/>
    <w:rsid w:val="00EB1E69"/>
    <w:rsid w:val="00EB2086"/>
    <w:rsid w:val="00EB5EDF"/>
    <w:rsid w:val="00EB60FE"/>
    <w:rsid w:val="00EB74DB"/>
    <w:rsid w:val="00EC5359"/>
    <w:rsid w:val="00EC562A"/>
    <w:rsid w:val="00EC7CAF"/>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92F"/>
    <w:rsid w:val="00F451EA"/>
    <w:rsid w:val="00F45447"/>
    <w:rsid w:val="00F456C6"/>
    <w:rsid w:val="00F4577B"/>
    <w:rsid w:val="00F46496"/>
    <w:rsid w:val="00F474D0"/>
    <w:rsid w:val="00F50179"/>
    <w:rsid w:val="00F515EE"/>
    <w:rsid w:val="00F56511"/>
    <w:rsid w:val="00F6194E"/>
    <w:rsid w:val="00F623AC"/>
    <w:rsid w:val="00F63270"/>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EDA6D87"/>
    <w:rsid w:val="7317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92"/>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53"/>
    <w:semiHidden/>
    <w:unhideWhenUsed/>
    <w:qFormat/>
    <w:uiPriority w:val="99"/>
    <w:rPr>
      <w:sz w:val="18"/>
      <w:szCs w:val="18"/>
    </w:rPr>
  </w:style>
  <w:style w:type="paragraph" w:styleId="17">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51"/>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56"/>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标准文件_章标题"/>
    <w:next w:val="3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7">
    <w:name w:val="标准文件_一级条标题"/>
    <w:basedOn w:val="34"/>
    <w:next w:val="35"/>
    <w:qFormat/>
    <w:uiPriority w:val="0"/>
    <w:pPr>
      <w:numPr>
        <w:ilvl w:val="2"/>
      </w:numPr>
      <w:spacing w:before="50" w:beforeLines="50" w:after="50" w:afterLines="50"/>
      <w:outlineLvl w:val="1"/>
    </w:pPr>
  </w:style>
  <w:style w:type="paragraph" w:customStyle="1" w:styleId="38">
    <w:name w:val="标准文件_二级条标题"/>
    <w:next w:val="35"/>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9">
    <w:name w:val="标准文件_三级条标题"/>
    <w:basedOn w:val="38"/>
    <w:next w:val="35"/>
    <w:qFormat/>
    <w:uiPriority w:val="0"/>
    <w:pPr>
      <w:widowControl/>
      <w:numPr>
        <w:ilvl w:val="4"/>
      </w:numPr>
      <w:outlineLvl w:val="3"/>
    </w:pPr>
  </w:style>
  <w:style w:type="paragraph" w:customStyle="1" w:styleId="40">
    <w:name w:val="标准文件_四级条标题"/>
    <w:next w:val="35"/>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1">
    <w:name w:val="标准文件_五级条标题"/>
    <w:next w:val="35"/>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0"/>
    <w:rPr>
      <w:rFonts w:ascii="Arial" w:hAnsi="Arial" w:eastAsia="黑体"/>
      <w:b/>
      <w:bCs/>
      <w:kern w:val="2"/>
      <w:sz w:val="32"/>
      <w:szCs w:val="32"/>
    </w:rPr>
  </w:style>
  <w:style w:type="character" w:customStyle="1" w:styleId="44">
    <w:name w:val="标题 3 字符"/>
    <w:link w:val="4"/>
    <w:qFormat/>
    <w:uiPriority w:val="0"/>
    <w:rPr>
      <w:b/>
      <w:bCs/>
      <w:kern w:val="2"/>
      <w:sz w:val="32"/>
      <w:szCs w:val="32"/>
    </w:rPr>
  </w:style>
  <w:style w:type="character" w:customStyle="1" w:styleId="45">
    <w:name w:val="标题 4 字符"/>
    <w:link w:val="5"/>
    <w:qFormat/>
    <w:uiPriority w:val="0"/>
    <w:rPr>
      <w:rFonts w:ascii="Arial" w:hAnsi="Arial" w:eastAsia="黑体"/>
      <w:b/>
      <w:bCs/>
      <w:kern w:val="2"/>
      <w:sz w:val="28"/>
      <w:szCs w:val="28"/>
    </w:rPr>
  </w:style>
  <w:style w:type="character" w:customStyle="1" w:styleId="46">
    <w:name w:val="标题 5 字符"/>
    <w:link w:val="6"/>
    <w:qFormat/>
    <w:uiPriority w:val="0"/>
    <w:rPr>
      <w:b/>
      <w:bCs/>
      <w:kern w:val="2"/>
      <w:sz w:val="28"/>
      <w:szCs w:val="28"/>
    </w:rPr>
  </w:style>
  <w:style w:type="character" w:customStyle="1" w:styleId="47">
    <w:name w:val="标题 6 字符"/>
    <w:link w:val="7"/>
    <w:qFormat/>
    <w:uiPriority w:val="0"/>
    <w:rPr>
      <w:rFonts w:ascii="Arial" w:hAnsi="Arial" w:eastAsia="黑体"/>
      <w:b/>
      <w:bCs/>
      <w:kern w:val="2"/>
      <w:sz w:val="24"/>
      <w:szCs w:val="24"/>
    </w:rPr>
  </w:style>
  <w:style w:type="character" w:customStyle="1" w:styleId="48">
    <w:name w:val="标题 7 字符"/>
    <w:link w:val="8"/>
    <w:qFormat/>
    <w:uiPriority w:val="0"/>
    <w:rPr>
      <w:b/>
      <w:bCs/>
      <w:kern w:val="2"/>
      <w:sz w:val="24"/>
      <w:szCs w:val="24"/>
    </w:rPr>
  </w:style>
  <w:style w:type="character" w:customStyle="1" w:styleId="49">
    <w:name w:val="标题 8 字符"/>
    <w:link w:val="9"/>
    <w:qFormat/>
    <w:uiPriority w:val="0"/>
    <w:rPr>
      <w:rFonts w:ascii="Arial" w:hAnsi="Arial" w:eastAsia="黑体"/>
      <w:kern w:val="2"/>
      <w:sz w:val="24"/>
      <w:szCs w:val="24"/>
    </w:rPr>
  </w:style>
  <w:style w:type="character" w:customStyle="1" w:styleId="50">
    <w:name w:val="标题 9 字符"/>
    <w:link w:val="10"/>
    <w:qFormat/>
    <w:uiPriority w:val="0"/>
    <w:rPr>
      <w:rFonts w:ascii="Arial" w:hAnsi="Arial" w:eastAsia="黑体"/>
      <w:kern w:val="2"/>
      <w:sz w:val="21"/>
      <w:szCs w:val="21"/>
    </w:rPr>
  </w:style>
  <w:style w:type="character" w:customStyle="1" w:styleId="51">
    <w:name w:val="页眉 字符"/>
    <w:link w:val="18"/>
    <w:qFormat/>
    <w:uiPriority w:val="99"/>
    <w:rPr>
      <w:kern w:val="2"/>
      <w:sz w:val="18"/>
      <w:szCs w:val="18"/>
    </w:rPr>
  </w:style>
  <w:style w:type="character" w:customStyle="1" w:styleId="52">
    <w:name w:val="页脚 字符"/>
    <w:link w:val="17"/>
    <w:qFormat/>
    <w:uiPriority w:val="99"/>
    <w:rPr>
      <w:rFonts w:ascii="宋体"/>
      <w:kern w:val="2"/>
      <w:sz w:val="18"/>
      <w:szCs w:val="18"/>
    </w:rPr>
  </w:style>
  <w:style w:type="character" w:customStyle="1" w:styleId="53">
    <w:name w:val="批注框文本 字符"/>
    <w:link w:val="16"/>
    <w:semiHidden/>
    <w:qFormat/>
    <w:uiPriority w:val="99"/>
    <w:rPr>
      <w:kern w:val="2"/>
      <w:sz w:val="18"/>
      <w:szCs w:val="18"/>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character" w:customStyle="1" w:styleId="56">
    <w:name w:val="标题 字符"/>
    <w:link w:val="25"/>
    <w:qFormat/>
    <w:uiPriority w:val="0"/>
    <w:rPr>
      <w:rFonts w:ascii="Arial" w:hAnsi="Arial" w:cs="Arial"/>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35"/>
    <w:qFormat/>
    <w:uiPriority w:val="0"/>
    <w:pPr>
      <w:snapToGrid w:val="0"/>
      <w:ind w:firstLine="200" w:firstLineChars="200"/>
    </w:pPr>
    <w:rPr>
      <w:kern w:val="0"/>
    </w:rPr>
  </w:style>
  <w:style w:type="paragraph" w:customStyle="1" w:styleId="64">
    <w:name w:val="标准文件_版本"/>
    <w:basedOn w:val="63"/>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2"/>
      </w:numPr>
    </w:pPr>
    <w:rPr>
      <w:rFonts w:ascii="宋体" w:hAnsi="Times New Roman" w:eastAsia="宋体" w:cs="Times New Roman"/>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35"/>
    <w:qFormat/>
    <w:uiPriority w:val="0"/>
    <w:pPr>
      <w:numPr>
        <w:ilvl w:val="0"/>
        <w:numId w:val="3"/>
      </w:numPr>
      <w:ind w:firstLine="0" w:firstLineChars="0"/>
    </w:pPr>
  </w:style>
  <w:style w:type="paragraph" w:customStyle="1" w:styleId="74">
    <w:name w:val="标准文件_封面标准编号"/>
    <w:basedOn w:val="1"/>
    <w:next w:val="66"/>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35"/>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35"/>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35"/>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35"/>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35"/>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35"/>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35"/>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35"/>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35"/>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3"/>
    <w:qFormat/>
    <w:uiPriority w:val="0"/>
    <w:rPr>
      <w:kern w:val="2"/>
      <w:sz w:val="21"/>
      <w:szCs w:val="21"/>
    </w:rPr>
  </w:style>
  <w:style w:type="paragraph" w:customStyle="1" w:styleId="93">
    <w:name w:val="标准文件_附录章标题"/>
    <w:next w:val="3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35"/>
    <w:next w:val="35"/>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35"/>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character" w:customStyle="1" w:styleId="100">
    <w:name w:val="Subtle Reference"/>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character" w:customStyle="1" w:styleId="103">
    <w:name w:val="脚注文本 字符"/>
    <w:link w:val="21"/>
    <w:semiHidden/>
    <w:qFormat/>
    <w:uiPriority w:val="0"/>
    <w:rPr>
      <w:rFonts w:ascii="宋体"/>
      <w:kern w:val="2"/>
      <w:sz w:val="18"/>
      <w:szCs w:val="18"/>
    </w:rPr>
  </w:style>
  <w:style w:type="paragraph" w:customStyle="1" w:styleId="104">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35"/>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35"/>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35"/>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35"/>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3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35"/>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3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3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35"/>
    <w:uiPriority w:val="0"/>
    <w:pPr>
      <w:outlineLvl w:val="4"/>
    </w:pPr>
  </w:style>
  <w:style w:type="paragraph" w:customStyle="1" w:styleId="131">
    <w:name w:val="附录四级无标题条"/>
    <w:basedOn w:val="130"/>
    <w:next w:val="35"/>
    <w:qFormat/>
    <w:uiPriority w:val="0"/>
    <w:pPr>
      <w:outlineLvl w:val="5"/>
    </w:pPr>
  </w:style>
  <w:style w:type="paragraph" w:customStyle="1" w:styleId="132">
    <w:name w:val="附录图"/>
    <w:next w:val="35"/>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35"/>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93"/>
    <w:next w:val="35"/>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35"/>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1"/>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35"/>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37"/>
    <w:qFormat/>
    <w:uiPriority w:val="0"/>
    <w:pPr>
      <w:spacing w:before="0" w:beforeLines="0" w:after="0" w:afterLines="0"/>
      <w:outlineLvl w:val="9"/>
    </w:pPr>
    <w:rPr>
      <w:rFonts w:ascii="宋体" w:eastAsia="宋体"/>
    </w:rPr>
  </w:style>
  <w:style w:type="paragraph" w:customStyle="1" w:styleId="163">
    <w:name w:val="标准文件_五级无标题"/>
    <w:basedOn w:val="41"/>
    <w:qFormat/>
    <w:uiPriority w:val="0"/>
    <w:pPr>
      <w:spacing w:before="0" w:beforeLines="0" w:after="0" w:afterLines="0"/>
      <w:outlineLvl w:val="9"/>
    </w:pPr>
    <w:rPr>
      <w:rFonts w:ascii="宋体" w:eastAsia="宋体"/>
    </w:rPr>
  </w:style>
  <w:style w:type="paragraph" w:customStyle="1" w:styleId="164">
    <w:name w:val="标准文件_三级无标题"/>
    <w:basedOn w:val="39"/>
    <w:qFormat/>
    <w:uiPriority w:val="0"/>
    <w:pPr>
      <w:spacing w:before="0" w:beforeLines="0" w:after="0" w:afterLines="0"/>
      <w:outlineLvl w:val="9"/>
    </w:pPr>
    <w:rPr>
      <w:rFonts w:ascii="宋体" w:eastAsia="宋体"/>
    </w:rPr>
  </w:style>
  <w:style w:type="paragraph" w:customStyle="1" w:styleId="165">
    <w:name w:val="标准文件_二级无标题"/>
    <w:basedOn w:val="38"/>
    <w:qFormat/>
    <w:uiPriority w:val="0"/>
    <w:pPr>
      <w:spacing w:before="0" w:beforeLines="0" w:after="0" w:afterLines="0"/>
      <w:outlineLvl w:val="9"/>
    </w:pPr>
    <w:rPr>
      <w:rFonts w:ascii="宋体" w:eastAsia="宋体"/>
    </w:rPr>
  </w:style>
  <w:style w:type="paragraph" w:customStyle="1" w:styleId="166">
    <w:name w:val="标准_四级无标题"/>
    <w:basedOn w:val="40"/>
    <w:next w:val="35"/>
    <w:qFormat/>
    <w:uiPriority w:val="0"/>
    <w:rPr>
      <w:rFonts w:eastAsia="宋体"/>
    </w:rPr>
  </w:style>
  <w:style w:type="paragraph" w:customStyle="1" w:styleId="167">
    <w:name w:val="标准文件_四级无标题"/>
    <w:basedOn w:val="40"/>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35"/>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35"/>
    <w:uiPriority w:val="0"/>
    <w:pPr>
      <w:numPr>
        <w:ilvl w:val="0"/>
        <w:numId w:val="24"/>
      </w:numPr>
      <w:ind w:firstLine="0" w:firstLineChars="0"/>
    </w:pPr>
    <w:rPr>
      <w:rFonts w:cs="Arial"/>
      <w:szCs w:val="28"/>
    </w:rPr>
  </w:style>
  <w:style w:type="paragraph" w:customStyle="1" w:styleId="170">
    <w:name w:val="标准文件_附录标题"/>
    <w:basedOn w:val="82"/>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35"/>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35"/>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3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35"/>
    <w:qFormat/>
    <w:uiPriority w:val="0"/>
    <w:pPr>
      <w:ind w:firstLine="0" w:firstLineChars="0"/>
      <w:jc w:val="center"/>
    </w:pPr>
    <w:rPr>
      <w:sz w:val="18"/>
    </w:rPr>
  </w:style>
  <w:style w:type="paragraph" w:customStyle="1" w:styleId="179">
    <w:name w:val="标准文件_注："/>
    <w:next w:val="35"/>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35"/>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35"/>
    <w:qFormat/>
    <w:uiPriority w:val="0"/>
    <w:rPr>
      <w:rFonts w:ascii="宋体" w:hAnsi="Times New Roman"/>
      <w:sz w:val="21"/>
    </w:rPr>
  </w:style>
  <w:style w:type="paragraph" w:customStyle="1" w:styleId="185">
    <w:name w:val="标准文件_表格续"/>
    <w:basedOn w:val="35"/>
    <w:next w:val="35"/>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35"/>
    <w:qFormat/>
    <w:uiPriority w:val="0"/>
    <w:pPr>
      <w:numPr>
        <w:ilvl w:val="1"/>
        <w:numId w:val="21"/>
      </w:numPr>
      <w:ind w:firstLine="0" w:firstLineChars="0"/>
    </w:pPr>
  </w:style>
  <w:style w:type="paragraph" w:customStyle="1" w:styleId="188">
    <w:name w:val="标准文件_三级项2"/>
    <w:basedOn w:val="35"/>
    <w:qFormat/>
    <w:uiPriority w:val="0"/>
    <w:pPr>
      <w:numPr>
        <w:ilvl w:val="0"/>
        <w:numId w:val="30"/>
      </w:numPr>
      <w:spacing w:line="300" w:lineRule="exact"/>
      <w:ind w:firstLineChars="0"/>
    </w:pPr>
    <w:rPr>
      <w:rFonts w:ascii="Times New Roman"/>
    </w:rPr>
  </w:style>
  <w:style w:type="paragraph" w:customStyle="1" w:styleId="189">
    <w:name w:val="标准文件_一级项2"/>
    <w:basedOn w:val="35"/>
    <w:qFormat/>
    <w:uiPriority w:val="0"/>
    <w:pPr>
      <w:numPr>
        <w:ilvl w:val="0"/>
        <w:numId w:val="31"/>
      </w:numPr>
      <w:spacing w:line="300" w:lineRule="exact"/>
      <w:ind w:firstLineChars="0"/>
    </w:pPr>
    <w:rPr>
      <w:rFonts w:ascii="Times New Roman"/>
    </w:rPr>
  </w:style>
  <w:style w:type="paragraph" w:customStyle="1" w:styleId="190">
    <w:name w:val="标准文件_提示"/>
    <w:basedOn w:val="35"/>
    <w:next w:val="35"/>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1"/>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3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35"/>
    <w:next w:val="3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35"/>
    <w:next w:val="3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35"/>
    <w:next w:val="35"/>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35"/>
    <w:next w:val="35"/>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35"/>
    <w:next w:val="35"/>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35"/>
    <w:next w:val="35"/>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35"/>
    <w:next w:val="35"/>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35"/>
    <w:next w:val="35"/>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35"/>
    <w:qFormat/>
    <w:uiPriority w:val="0"/>
    <w:pPr>
      <w:ind w:left="811" w:firstLine="0" w:firstLineChars="0"/>
    </w:pPr>
    <w:rPr>
      <w:sz w:val="18"/>
    </w:rPr>
  </w:style>
  <w:style w:type="paragraph" w:customStyle="1" w:styleId="206">
    <w:name w:val="标准文件_注X后"/>
    <w:basedOn w:val="35"/>
    <w:qFormat/>
    <w:uiPriority w:val="0"/>
    <w:pPr>
      <w:ind w:left="811" w:firstLine="0" w:firstLineChars="0"/>
    </w:pPr>
    <w:rPr>
      <w:sz w:val="18"/>
    </w:rPr>
  </w:style>
  <w:style w:type="paragraph" w:customStyle="1" w:styleId="207">
    <w:name w:val="标准文件_示例后"/>
    <w:basedOn w:val="35"/>
    <w:qFormat/>
    <w:uiPriority w:val="0"/>
    <w:pPr>
      <w:ind w:left="964" w:firstLine="0" w:firstLineChars="0"/>
    </w:pPr>
    <w:rPr>
      <w:sz w:val="18"/>
    </w:rPr>
  </w:style>
  <w:style w:type="paragraph" w:customStyle="1" w:styleId="208">
    <w:name w:val="标准文件_示例X后"/>
    <w:basedOn w:val="35"/>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35"/>
    <w:next w:val="35"/>
    <w:qFormat/>
    <w:uiPriority w:val="0"/>
    <w:pPr>
      <w:tabs>
        <w:tab w:val="right" w:leader="dot" w:pos="9356"/>
      </w:tabs>
      <w:ind w:left="210" w:hanging="210" w:firstLineChars="0"/>
      <w:jc w:val="left"/>
    </w:pPr>
  </w:style>
  <w:style w:type="paragraph" w:customStyle="1" w:styleId="211">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85"/>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35"/>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35"/>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35"/>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35"/>
    <w:qFormat/>
    <w:uiPriority w:val="0"/>
    <w:pPr>
      <w:spacing w:before="0" w:beforeLines="0" w:after="0" w:afterLines="0" w:line="276" w:lineRule="auto"/>
    </w:pPr>
    <w:rPr>
      <w:rFonts w:ascii="宋体" w:eastAsia="宋体"/>
    </w:rPr>
  </w:style>
  <w:style w:type="paragraph" w:customStyle="1" w:styleId="221">
    <w:name w:val="标准文件_索引标题"/>
    <w:basedOn w:val="70"/>
    <w:next w:val="35"/>
    <w:qFormat/>
    <w:uiPriority w:val="0"/>
    <w:rPr>
      <w:rFonts w:hAnsi="黑体"/>
    </w:rPr>
  </w:style>
  <w:style w:type="paragraph" w:customStyle="1" w:styleId="222">
    <w:name w:val="标准文件_脚注内容"/>
    <w:basedOn w:val="35"/>
    <w:qFormat/>
    <w:uiPriority w:val="0"/>
    <w:pPr>
      <w:ind w:left="400" w:leftChars="200" w:hanging="200" w:hangingChars="200"/>
    </w:pPr>
    <w:rPr>
      <w:sz w:val="15"/>
    </w:rPr>
  </w:style>
  <w:style w:type="paragraph" w:customStyle="1" w:styleId="223">
    <w:name w:val="标准文件_术语条一"/>
    <w:basedOn w:val="162"/>
    <w:next w:val="35"/>
    <w:qFormat/>
    <w:uiPriority w:val="0"/>
  </w:style>
  <w:style w:type="paragraph" w:customStyle="1" w:styleId="224">
    <w:name w:val="标准文件_术语条二"/>
    <w:basedOn w:val="165"/>
    <w:next w:val="35"/>
    <w:qFormat/>
    <w:uiPriority w:val="0"/>
  </w:style>
  <w:style w:type="paragraph" w:customStyle="1" w:styleId="225">
    <w:name w:val="标准文件_术语条三"/>
    <w:basedOn w:val="164"/>
    <w:next w:val="35"/>
    <w:qFormat/>
    <w:uiPriority w:val="0"/>
  </w:style>
  <w:style w:type="paragraph" w:customStyle="1" w:styleId="226">
    <w:name w:val="标准文件_术语条四"/>
    <w:basedOn w:val="167"/>
    <w:next w:val="35"/>
    <w:qFormat/>
    <w:uiPriority w:val="0"/>
  </w:style>
  <w:style w:type="paragraph" w:customStyle="1" w:styleId="227">
    <w:name w:val="标准文件_术语条五"/>
    <w:basedOn w:val="163"/>
    <w:next w:val="35"/>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BB229BBD4D405DBCA0C1010413F3C6"/>
        <w:style w:val=""/>
        <w:category>
          <w:name w:val="常规"/>
          <w:gallery w:val="placeholder"/>
        </w:category>
        <w:types>
          <w:type w:val="bbPlcHdr"/>
        </w:types>
        <w:behaviors>
          <w:behavior w:val="content"/>
        </w:behaviors>
        <w:description w:val=""/>
        <w:guid w:val="{E6F7C7AA-E96F-4CEA-8C78-5B1A38ACD71D}"/>
      </w:docPartPr>
      <w:docPartBody>
        <w:p w14:paraId="68CE2D25">
          <w:pPr>
            <w:pStyle w:val="5"/>
            <w:rPr>
              <w:rFonts w:hint="eastAsia"/>
            </w:rPr>
          </w:pPr>
          <w:r>
            <w:rPr>
              <w:rStyle w:val="4"/>
              <w:rFonts w:hint="eastAsia"/>
            </w:rPr>
            <w:t>单击或点击此处输入文字。</w:t>
          </w:r>
        </w:p>
      </w:docPartBody>
    </w:docPart>
    <w:docPart>
      <w:docPartPr>
        <w:name w:val="3AB9EA9AA0A646A68148DC15AD45E8EE"/>
        <w:style w:val=""/>
        <w:category>
          <w:name w:val="常规"/>
          <w:gallery w:val="placeholder"/>
        </w:category>
        <w:types>
          <w:type w:val="bbPlcHdr"/>
        </w:types>
        <w:behaviors>
          <w:behavior w:val="content"/>
        </w:behaviors>
        <w:description w:val=""/>
        <w:guid w:val="{F594D078-101E-4DDC-9D01-AC3D1B65E618}"/>
      </w:docPartPr>
      <w:docPartBody>
        <w:p w14:paraId="6C5C2993">
          <w:pPr>
            <w:pStyle w:val="6"/>
            <w:rPr>
              <w:rFonts w:hint="eastAsia"/>
            </w:rPr>
          </w:pPr>
          <w:r>
            <w:rPr>
              <w:rStyle w:val="4"/>
              <w:rFonts w:hint="eastAsia"/>
            </w:rPr>
            <w:t>选择一项。</w:t>
          </w:r>
        </w:p>
      </w:docPartBody>
    </w:docPart>
    <w:docPart>
      <w:docPartPr>
        <w:name w:val="A0FB3C99E0134B34AABB541EBACFBD16"/>
        <w:style w:val=""/>
        <w:category>
          <w:name w:val="常规"/>
          <w:gallery w:val="placeholder"/>
        </w:category>
        <w:types>
          <w:type w:val="bbPlcHdr"/>
        </w:types>
        <w:behaviors>
          <w:behavior w:val="content"/>
        </w:behaviors>
        <w:description w:val=""/>
        <w:guid w:val="{FB49F93E-0F9A-4B5B-ADC4-F5AB31FB3B74}"/>
      </w:docPartPr>
      <w:docPartBody>
        <w:p w14:paraId="6630A8C5">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CA"/>
    <w:rsid w:val="00382460"/>
    <w:rsid w:val="003C4A69"/>
    <w:rsid w:val="006471C8"/>
    <w:rsid w:val="008F0BCA"/>
    <w:rsid w:val="00914384"/>
    <w:rsid w:val="00EC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6BB229BBD4D405DBCA0C1010413F3C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AB9EA9AA0A646A68148DC15AD45E8E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0FB3C99E0134B34AABB541EBACFBD1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2918</Words>
  <Characters>3708</Characters>
  <Lines>208</Lines>
  <Paragraphs>271</Paragraphs>
  <TotalTime>282</TotalTime>
  <ScaleCrop>false</ScaleCrop>
  <LinksUpToDate>false</LinksUpToDate>
  <CharactersWithSpaces>3943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2025-05-04T01:38:00Z</dcterms:created>
  <dc:creator>zhouc</dc:creator>
  <dc:description>&lt;config cover="true" show_menu="true" version="1.0.0" doctype="SDKXY"&gt;_x000d_
&lt;/config&gt;</dc:description>
  <cp:lastModifiedBy>西部森林</cp:lastModifiedBy>
  <cp:lastPrinted>2020-08-30T10:00:00Z</cp:lastPrinted>
  <dcterms:modified xsi:type="dcterms:W3CDTF">2025-05-06T01:24:41Z</dcterms:modified>
  <dc:title>地方标准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eyJoZGlkIjoiNjE5MzJmZmNiYjQyYzE5YTM5NWQ0Y2MzZDYzYjZhMDQiLCJ1c2VySWQiOiI3Mjk2MzYyMDcifQ==</vt:lpwstr>
  </property>
  <property fmtid="{D5CDD505-2E9C-101B-9397-08002B2CF9AE}" pid="15" name="KSOProductBuildVer">
    <vt:lpwstr>2052-12.1.0.20784</vt:lpwstr>
  </property>
  <property fmtid="{D5CDD505-2E9C-101B-9397-08002B2CF9AE}" pid="16" name="ICV">
    <vt:lpwstr>BDE72C84F79F46FBB11FEDE001285242_12</vt:lpwstr>
  </property>
</Properties>
</file>