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35.240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L70</w:t>
            </w:r>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50"/>
              <w:framePr w:w="0" w:hRule="auto" w:wrap="auto" w:vAnchor="margin" w:hAnchor="text" w:xAlign="left" w:yAlign="inline"/>
              <w:rPr>
                <w:rFonts w:hint="eastAsia"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43</w:t>
            </w:r>
            <w:r>
              <w:fldChar w:fldCharType="end"/>
            </w:r>
            <w:bookmarkEnd w:id="2"/>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43</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7"/>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政务数据分类分级规范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Classification and grading specifications for government affairs data</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2"/>
        <w:spacing w:after="468"/>
      </w:pPr>
      <w:bookmarkStart w:id="20" w:name="BookMark1"/>
      <w:bookmarkStart w:id="21" w:name="_Toc181278511"/>
      <w:bookmarkStart w:id="22" w:name="_Toc175919358"/>
      <w:bookmarkStart w:id="23" w:name="_Toc175929626"/>
      <w:bookmarkStart w:id="24" w:name="_Toc175172434"/>
      <w:bookmarkStart w:id="25" w:name="_Toc180440604"/>
      <w:bookmarkStart w:id="26" w:name="_Toc181210109"/>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"_Toc181286217" </w:instrText>
      </w:r>
      <w:r>
        <w:fldChar w:fldCharType="separate"/>
      </w:r>
      <w:r>
        <w:rPr>
          <w:rStyle w:val="31"/>
          <w:rFonts w:hint="eastAsia"/>
        </w:rPr>
        <w:t>前言</w:t>
      </w:r>
      <w:r>
        <w:rPr>
          <w:rFonts w:hint="eastAsia"/>
        </w:rPr>
        <w:tab/>
      </w:r>
      <w:r>
        <w:rPr>
          <w:rFonts w:hint="eastAsia"/>
        </w:rPr>
        <w:fldChar w:fldCharType="begin"/>
      </w:r>
      <w:r>
        <w:rPr>
          <w:rFonts w:hint="eastAsia"/>
        </w:rPr>
        <w:instrText xml:space="preserve"> </w:instrText>
      </w:r>
      <w:r>
        <w:instrText xml:space="preserve">PAGEREF _Toc181286217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"_Toc181286218" </w:instrText>
      </w:r>
      <w:r>
        <w:fldChar w:fldCharType="separate"/>
      </w:r>
      <w:r>
        <w:rPr>
          <w:rStyle w:val="31"/>
          <w:rFonts w:hint="eastAsia"/>
        </w:rPr>
        <w:t>1</w:t>
      </w:r>
      <w:r>
        <w:rPr>
          <w:rStyle w:val="31"/>
        </w:rPr>
        <w:t xml:space="preserve"> </w:t>
      </w:r>
      <w:r>
        <w:rPr>
          <w:rStyle w:val="31"/>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_Toc181286218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"_Toc181286219" </w:instrText>
      </w:r>
      <w:r>
        <w:fldChar w:fldCharType="separate"/>
      </w:r>
      <w:r>
        <w:rPr>
          <w:rStyle w:val="31"/>
          <w:rFonts w:hint="eastAsia"/>
        </w:rPr>
        <w:t>2</w:t>
      </w:r>
      <w:r>
        <w:rPr>
          <w:rStyle w:val="31"/>
        </w:rPr>
        <w:t xml:space="preserve"> </w:t>
      </w:r>
      <w:r>
        <w:rPr>
          <w:rStyle w:val="31"/>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_Toc181286219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"_Toc181286220" </w:instrText>
      </w:r>
      <w:r>
        <w:fldChar w:fldCharType="separate"/>
      </w:r>
      <w:r>
        <w:rPr>
          <w:rStyle w:val="31"/>
          <w:rFonts w:hint="eastAsia"/>
        </w:rPr>
        <w:t>3</w:t>
      </w:r>
      <w:r>
        <w:rPr>
          <w:rStyle w:val="31"/>
        </w:rPr>
        <w:t xml:space="preserve"> </w:t>
      </w:r>
      <w:r>
        <w:rPr>
          <w:rStyle w:val="31"/>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_Toc181286220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"_Toc181286221" </w:instrText>
      </w:r>
      <w:r>
        <w:fldChar w:fldCharType="separate"/>
      </w:r>
      <w:r>
        <w:rPr>
          <w:rStyle w:val="31"/>
          <w:rFonts w:hint="eastAsia"/>
        </w:rPr>
        <w:t>4</w:t>
      </w:r>
      <w:r>
        <w:rPr>
          <w:rStyle w:val="31"/>
        </w:rPr>
        <w:t xml:space="preserve"> </w:t>
      </w:r>
      <w:r>
        <w:rPr>
          <w:rStyle w:val="31"/>
          <w:rFonts w:hint="eastAsia"/>
        </w:rPr>
        <w:t xml:space="preserve"> 分类分级原则</w:t>
      </w:r>
      <w:r>
        <w:rPr>
          <w:rFonts w:hint="eastAsia"/>
        </w:rPr>
        <w:tab/>
      </w:r>
      <w:r>
        <w:rPr>
          <w:rFonts w:hint="eastAsia"/>
        </w:rPr>
        <w:fldChar w:fldCharType="begin"/>
      </w:r>
      <w:r>
        <w:rPr>
          <w:rFonts w:hint="eastAsia"/>
        </w:rPr>
        <w:instrText xml:space="preserve"> </w:instrText>
      </w:r>
      <w:r>
        <w:instrText xml:space="preserve">PAGEREF _Toc181286221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"_Toc181286222" </w:instrText>
      </w:r>
      <w:r>
        <w:fldChar w:fldCharType="separate"/>
      </w:r>
      <w:r>
        <w:rPr>
          <w:rStyle w:val="31"/>
          <w:rFonts w:hint="eastAsia"/>
        </w:rPr>
        <w:t>5</w:t>
      </w:r>
      <w:r>
        <w:rPr>
          <w:rStyle w:val="31"/>
        </w:rPr>
        <w:t xml:space="preserve"> </w:t>
      </w:r>
      <w:r>
        <w:rPr>
          <w:rStyle w:val="31"/>
          <w:rFonts w:hint="eastAsia"/>
        </w:rPr>
        <w:t xml:space="preserve"> 数据分类</w:t>
      </w:r>
      <w:r>
        <w:rPr>
          <w:rFonts w:hint="eastAsia"/>
        </w:rPr>
        <w:tab/>
      </w:r>
      <w:r>
        <w:rPr>
          <w:rFonts w:hint="eastAsia"/>
        </w:rPr>
        <w:fldChar w:fldCharType="begin"/>
      </w:r>
      <w:r>
        <w:rPr>
          <w:rFonts w:hint="eastAsia"/>
        </w:rPr>
        <w:instrText xml:space="preserve"> </w:instrText>
      </w:r>
      <w:r>
        <w:instrText xml:space="preserve">PAGEREF _Toc181286222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"_Toc181286223" </w:instrText>
      </w:r>
      <w:r>
        <w:fldChar w:fldCharType="separate"/>
      </w:r>
      <w:r>
        <w:rPr>
          <w:rStyle w:val="31"/>
          <w:rFonts w:hint="eastAsia"/>
          <w14:scene3d>
            <w14:lightRig w14:rig="threePt" w14:dir="t">
              <w14:rot w14:lat="0" w14:lon="0" w14:rev="0"/>
            </w14:lightRig>
          </w14:scene3d>
        </w:rPr>
        <w:t>5.1</w:t>
      </w:r>
      <w:r>
        <w:rPr>
          <w:rStyle w:val="31"/>
          <w14:scene3d>
            <w14:lightRig w14:rig="threePt" w14:dir="t">
              <w14:rot w14:lat="0" w14:lon="0" w14:rev="0"/>
            </w14:lightRig>
          </w14:scene3d>
        </w:rPr>
        <w:t xml:space="preserve"> </w:t>
      </w:r>
      <w:r>
        <w:rPr>
          <w:rStyle w:val="31"/>
          <w:rFonts w:hint="eastAsia"/>
        </w:rPr>
        <w:t xml:space="preserve"> 方法</w:t>
      </w:r>
      <w:r>
        <w:rPr>
          <w:rFonts w:hint="eastAsia"/>
        </w:rPr>
        <w:tab/>
      </w:r>
      <w:r>
        <w:rPr>
          <w:rFonts w:hint="eastAsia"/>
        </w:rPr>
        <w:fldChar w:fldCharType="begin"/>
      </w:r>
      <w:r>
        <w:rPr>
          <w:rFonts w:hint="eastAsia"/>
        </w:rPr>
        <w:instrText xml:space="preserve"> </w:instrText>
      </w:r>
      <w:r>
        <w:instrText xml:space="preserve">PAGEREF _Toc181286223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"_Toc181286224" </w:instrText>
      </w:r>
      <w:r>
        <w:fldChar w:fldCharType="separate"/>
      </w:r>
      <w:r>
        <w:rPr>
          <w:rStyle w:val="31"/>
          <w:rFonts w:hint="eastAsia"/>
        </w:rPr>
        <w:t>5.1.1</w:t>
      </w:r>
      <w:r>
        <w:rPr>
          <w:rStyle w:val="31"/>
        </w:rPr>
        <w:t xml:space="preserve"> </w:t>
      </w:r>
      <w:r>
        <w:rPr>
          <w:rStyle w:val="31"/>
          <w:rFonts w:hint="eastAsia"/>
        </w:rPr>
        <w:t xml:space="preserve"> 分类框架</w:t>
      </w:r>
      <w:r>
        <w:rPr>
          <w:rFonts w:hint="eastAsia"/>
        </w:rPr>
        <w:tab/>
      </w:r>
      <w:r>
        <w:rPr>
          <w:rFonts w:hint="eastAsia"/>
        </w:rPr>
        <w:fldChar w:fldCharType="begin"/>
      </w:r>
      <w:r>
        <w:rPr>
          <w:rFonts w:hint="eastAsia"/>
        </w:rPr>
        <w:instrText xml:space="preserve"> </w:instrText>
      </w:r>
      <w:r>
        <w:instrText xml:space="preserve">PAGEREF _Toc181286224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"_Toc181286225" </w:instrText>
      </w:r>
      <w:r>
        <w:fldChar w:fldCharType="separate"/>
      </w:r>
      <w:r>
        <w:rPr>
          <w:rStyle w:val="31"/>
          <w:rFonts w:hint="eastAsia"/>
        </w:rPr>
        <w:t>5.1.2</w:t>
      </w:r>
      <w:r>
        <w:rPr>
          <w:rStyle w:val="31"/>
        </w:rPr>
        <w:t xml:space="preserve"> </w:t>
      </w:r>
      <w:r>
        <w:rPr>
          <w:rStyle w:val="31"/>
          <w:rFonts w:hint="eastAsia"/>
        </w:rPr>
        <w:t xml:space="preserve"> 数据用途维度</w:t>
      </w:r>
      <w:r>
        <w:rPr>
          <w:rFonts w:hint="eastAsia"/>
        </w:rPr>
        <w:tab/>
      </w:r>
      <w:r>
        <w:rPr>
          <w:rFonts w:hint="eastAsia"/>
        </w:rPr>
        <w:fldChar w:fldCharType="begin"/>
      </w:r>
      <w:r>
        <w:rPr>
          <w:rFonts w:hint="eastAsia"/>
        </w:rPr>
        <w:instrText xml:space="preserve"> </w:instrText>
      </w:r>
      <w:r>
        <w:instrText xml:space="preserve">PAGEREF _Toc181286225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"_Toc181286226" </w:instrText>
      </w:r>
      <w:r>
        <w:fldChar w:fldCharType="separate"/>
      </w:r>
      <w:r>
        <w:rPr>
          <w:rStyle w:val="31"/>
          <w:rFonts w:hint="eastAsia"/>
        </w:rPr>
        <w:t>5.1.3</w:t>
      </w:r>
      <w:r>
        <w:rPr>
          <w:rStyle w:val="31"/>
        </w:rPr>
        <w:t xml:space="preserve"> </w:t>
      </w:r>
      <w:r>
        <w:rPr>
          <w:rStyle w:val="31"/>
          <w:rFonts w:hint="eastAsia"/>
        </w:rPr>
        <w:t xml:space="preserve"> 数据主体维度</w:t>
      </w:r>
      <w:r>
        <w:rPr>
          <w:rFonts w:hint="eastAsia"/>
        </w:rPr>
        <w:tab/>
      </w:r>
      <w:r>
        <w:rPr>
          <w:rFonts w:hint="eastAsia"/>
        </w:rPr>
        <w:fldChar w:fldCharType="begin"/>
      </w:r>
      <w:r>
        <w:rPr>
          <w:rFonts w:hint="eastAsia"/>
        </w:rPr>
        <w:instrText xml:space="preserve"> </w:instrText>
      </w:r>
      <w:r>
        <w:instrText xml:space="preserve">PAGEREF _Toc181286226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"_Toc181286227" </w:instrText>
      </w:r>
      <w:r>
        <w:fldChar w:fldCharType="separate"/>
      </w:r>
      <w:r>
        <w:rPr>
          <w:rStyle w:val="31"/>
          <w:rFonts w:hint="eastAsia"/>
        </w:rPr>
        <w:t>5.1.4</w:t>
      </w:r>
      <w:r>
        <w:rPr>
          <w:rStyle w:val="31"/>
        </w:rPr>
        <w:t xml:space="preserve"> </w:t>
      </w:r>
      <w:r>
        <w:rPr>
          <w:rStyle w:val="31"/>
          <w:rFonts w:hint="eastAsia"/>
        </w:rPr>
        <w:t xml:space="preserve"> 数据共享维度</w:t>
      </w:r>
      <w:r>
        <w:rPr>
          <w:rFonts w:hint="eastAsia"/>
        </w:rPr>
        <w:tab/>
      </w:r>
      <w:r>
        <w:rPr>
          <w:rFonts w:hint="eastAsia"/>
        </w:rPr>
        <w:fldChar w:fldCharType="begin"/>
      </w:r>
      <w:r>
        <w:rPr>
          <w:rFonts w:hint="eastAsia"/>
        </w:rPr>
        <w:instrText xml:space="preserve"> </w:instrText>
      </w:r>
      <w:r>
        <w:instrText xml:space="preserve">PAGEREF _Toc181286227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"_Toc181286228" </w:instrText>
      </w:r>
      <w:r>
        <w:fldChar w:fldCharType="separate"/>
      </w:r>
      <w:r>
        <w:rPr>
          <w:rStyle w:val="31"/>
          <w:rFonts w:hint="eastAsia"/>
        </w:rPr>
        <w:t>5.1.5</w:t>
      </w:r>
      <w:r>
        <w:rPr>
          <w:rStyle w:val="31"/>
        </w:rPr>
        <w:t xml:space="preserve"> </w:t>
      </w:r>
      <w:r>
        <w:rPr>
          <w:rStyle w:val="31"/>
          <w:rFonts w:hint="eastAsia"/>
        </w:rPr>
        <w:t xml:space="preserve"> 数据来源维度</w:t>
      </w:r>
      <w:r>
        <w:rPr>
          <w:rFonts w:hint="eastAsia"/>
        </w:rPr>
        <w:tab/>
      </w:r>
      <w:r>
        <w:rPr>
          <w:rFonts w:hint="eastAsia"/>
        </w:rPr>
        <w:fldChar w:fldCharType="begin"/>
      </w:r>
      <w:r>
        <w:rPr>
          <w:rFonts w:hint="eastAsia"/>
        </w:rPr>
        <w:instrText xml:space="preserve"> </w:instrText>
      </w:r>
      <w:r>
        <w:instrText xml:space="preserve">PAGEREF _Toc181286228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"_Toc181286229" </w:instrText>
      </w:r>
      <w:r>
        <w:fldChar w:fldCharType="separate"/>
      </w:r>
      <w:r>
        <w:rPr>
          <w:rStyle w:val="31"/>
          <w:rFonts w:hint="eastAsia"/>
          <w14:scene3d>
            <w14:lightRig w14:rig="threePt" w14:dir="t">
              <w14:rot w14:lat="0" w14:lon="0" w14:rev="0"/>
            </w14:lightRig>
          </w14:scene3d>
        </w:rPr>
        <w:t>5.2</w:t>
      </w:r>
      <w:r>
        <w:rPr>
          <w:rStyle w:val="31"/>
          <w14:scene3d>
            <w14:lightRig w14:rig="threePt" w14:dir="t">
              <w14:rot w14:lat="0" w14:lon="0" w14:rev="0"/>
            </w14:lightRig>
          </w14:scene3d>
        </w:rPr>
        <w:t xml:space="preserve"> </w:t>
      </w:r>
      <w:r>
        <w:rPr>
          <w:rStyle w:val="31"/>
          <w:rFonts w:hint="eastAsia"/>
        </w:rPr>
        <w:t xml:space="preserve"> 流程</w:t>
      </w:r>
      <w:r>
        <w:rPr>
          <w:rFonts w:hint="eastAsia"/>
        </w:rPr>
        <w:tab/>
      </w:r>
      <w:r>
        <w:rPr>
          <w:rFonts w:hint="eastAsia"/>
        </w:rPr>
        <w:fldChar w:fldCharType="begin"/>
      </w:r>
      <w:r>
        <w:rPr>
          <w:rFonts w:hint="eastAsia"/>
        </w:rPr>
        <w:instrText xml:space="preserve"> </w:instrText>
      </w:r>
      <w:r>
        <w:instrText xml:space="preserve">PAGEREF _Toc181286229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"_Toc181286230" </w:instrText>
      </w:r>
      <w:r>
        <w:fldChar w:fldCharType="separate"/>
      </w:r>
      <w:r>
        <w:rPr>
          <w:rStyle w:val="31"/>
          <w:rFonts w:hint="eastAsia"/>
        </w:rPr>
        <w:t>5.2.1</w:t>
      </w:r>
      <w:r>
        <w:rPr>
          <w:rStyle w:val="31"/>
        </w:rPr>
        <w:t xml:space="preserve"> </w:t>
      </w:r>
      <w:r>
        <w:rPr>
          <w:rStyle w:val="31"/>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_Toc181286230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"_Toc181286231" </w:instrText>
      </w:r>
      <w:r>
        <w:fldChar w:fldCharType="separate"/>
      </w:r>
      <w:r>
        <w:rPr>
          <w:rStyle w:val="31"/>
          <w:rFonts w:hint="eastAsia"/>
        </w:rPr>
        <w:t>5.2.2</w:t>
      </w:r>
      <w:r>
        <w:rPr>
          <w:rStyle w:val="31"/>
        </w:rPr>
        <w:t xml:space="preserve"> </w:t>
      </w:r>
      <w:r>
        <w:rPr>
          <w:rStyle w:val="31"/>
          <w:rFonts w:hint="eastAsia"/>
        </w:rPr>
        <w:t xml:space="preserve"> 分类准备</w:t>
      </w:r>
      <w:r>
        <w:rPr>
          <w:rFonts w:hint="eastAsia"/>
        </w:rPr>
        <w:tab/>
      </w:r>
      <w:r>
        <w:rPr>
          <w:rFonts w:hint="eastAsia"/>
        </w:rPr>
        <w:fldChar w:fldCharType="begin"/>
      </w:r>
      <w:r>
        <w:rPr>
          <w:rFonts w:hint="eastAsia"/>
        </w:rPr>
        <w:instrText xml:space="preserve"> </w:instrText>
      </w:r>
      <w:r>
        <w:instrText xml:space="preserve">PAGEREF _Toc181286231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"_Toc181286232" </w:instrText>
      </w:r>
      <w:r>
        <w:fldChar w:fldCharType="separate"/>
      </w:r>
      <w:r>
        <w:rPr>
          <w:rStyle w:val="31"/>
          <w:rFonts w:hint="eastAsia"/>
        </w:rPr>
        <w:t>5.2.3</w:t>
      </w:r>
      <w:r>
        <w:rPr>
          <w:rStyle w:val="31"/>
        </w:rPr>
        <w:t xml:space="preserve"> </w:t>
      </w:r>
      <w:r>
        <w:rPr>
          <w:rStyle w:val="31"/>
          <w:rFonts w:hint="eastAsia"/>
        </w:rPr>
        <w:t xml:space="preserve"> 分类实施</w:t>
      </w:r>
      <w:r>
        <w:rPr>
          <w:rFonts w:hint="eastAsia"/>
        </w:rPr>
        <w:tab/>
      </w:r>
      <w:r>
        <w:rPr>
          <w:rFonts w:hint="eastAsia"/>
        </w:rPr>
        <w:fldChar w:fldCharType="begin"/>
      </w:r>
      <w:r>
        <w:rPr>
          <w:rFonts w:hint="eastAsia"/>
        </w:rPr>
        <w:instrText xml:space="preserve"> </w:instrText>
      </w:r>
      <w:r>
        <w:instrText xml:space="preserve">PAGEREF _Toc181286232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"_Toc181286233" </w:instrText>
      </w:r>
      <w:r>
        <w:fldChar w:fldCharType="separate"/>
      </w:r>
      <w:r>
        <w:rPr>
          <w:rStyle w:val="31"/>
          <w:rFonts w:hint="eastAsia"/>
        </w:rPr>
        <w:t>5.2.4</w:t>
      </w:r>
      <w:r>
        <w:rPr>
          <w:rStyle w:val="31"/>
        </w:rPr>
        <w:t xml:space="preserve"> </w:t>
      </w:r>
      <w:r>
        <w:rPr>
          <w:rStyle w:val="31"/>
          <w:rFonts w:hint="eastAsia"/>
        </w:rPr>
        <w:t xml:space="preserve"> 维护改进</w:t>
      </w:r>
      <w:r>
        <w:rPr>
          <w:rFonts w:hint="eastAsia"/>
        </w:rPr>
        <w:tab/>
      </w:r>
      <w:r>
        <w:rPr>
          <w:rFonts w:hint="eastAsia"/>
        </w:rPr>
        <w:fldChar w:fldCharType="begin"/>
      </w:r>
      <w:r>
        <w:rPr>
          <w:rFonts w:hint="eastAsia"/>
        </w:rPr>
        <w:instrText xml:space="preserve"> </w:instrText>
      </w:r>
      <w:r>
        <w:instrText xml:space="preserve">PAGEREF _Toc181286233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"_Toc181286234" </w:instrText>
      </w:r>
      <w:r>
        <w:fldChar w:fldCharType="separate"/>
      </w:r>
      <w:r>
        <w:rPr>
          <w:rStyle w:val="31"/>
          <w:rFonts w:hint="eastAsia"/>
        </w:rPr>
        <w:t>6</w:t>
      </w:r>
      <w:r>
        <w:rPr>
          <w:rStyle w:val="31"/>
        </w:rPr>
        <w:t xml:space="preserve"> </w:t>
      </w:r>
      <w:r>
        <w:rPr>
          <w:rStyle w:val="31"/>
          <w:rFonts w:hint="eastAsia"/>
        </w:rPr>
        <w:t xml:space="preserve"> 数据分级</w:t>
      </w:r>
      <w:r>
        <w:rPr>
          <w:rFonts w:hint="eastAsia"/>
        </w:rPr>
        <w:tab/>
      </w:r>
      <w:r>
        <w:rPr>
          <w:rFonts w:hint="eastAsia"/>
        </w:rPr>
        <w:fldChar w:fldCharType="begin"/>
      </w:r>
      <w:r>
        <w:rPr>
          <w:rFonts w:hint="eastAsia"/>
        </w:rPr>
        <w:instrText xml:space="preserve"> </w:instrText>
      </w:r>
      <w:r>
        <w:instrText xml:space="preserve">PAGEREF _Toc181286234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"_Toc181286235" </w:instrText>
      </w:r>
      <w:r>
        <w:fldChar w:fldCharType="separate"/>
      </w:r>
      <w:r>
        <w:rPr>
          <w:rStyle w:val="31"/>
          <w:rFonts w:hint="eastAsia"/>
          <w14:scene3d>
            <w14:lightRig w14:rig="threePt" w14:dir="t">
              <w14:rot w14:lat="0" w14:lon="0" w14:rev="0"/>
            </w14:lightRig>
          </w14:scene3d>
        </w:rPr>
        <w:t>6.1</w:t>
      </w:r>
      <w:r>
        <w:rPr>
          <w:rStyle w:val="31"/>
          <w14:scene3d>
            <w14:lightRig w14:rig="threePt" w14:dir="t">
              <w14:rot w14:lat="0" w14:lon="0" w14:rev="0"/>
            </w14:lightRig>
          </w14:scene3d>
        </w:rPr>
        <w:t xml:space="preserve"> </w:t>
      </w:r>
      <w:r>
        <w:rPr>
          <w:rStyle w:val="31"/>
          <w:rFonts w:hint="eastAsia"/>
        </w:rPr>
        <w:t xml:space="preserve"> 方法</w:t>
      </w:r>
      <w:r>
        <w:rPr>
          <w:rFonts w:hint="eastAsia"/>
        </w:rPr>
        <w:tab/>
      </w:r>
      <w:r>
        <w:rPr>
          <w:rFonts w:hint="eastAsia"/>
        </w:rPr>
        <w:fldChar w:fldCharType="begin"/>
      </w:r>
      <w:r>
        <w:rPr>
          <w:rFonts w:hint="eastAsia"/>
        </w:rPr>
        <w:instrText xml:space="preserve"> </w:instrText>
      </w:r>
      <w:r>
        <w:instrText xml:space="preserve">PAGEREF _Toc181286235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"_Toc181286236" </w:instrText>
      </w:r>
      <w:r>
        <w:fldChar w:fldCharType="separate"/>
      </w:r>
      <w:r>
        <w:rPr>
          <w:rStyle w:val="31"/>
          <w:rFonts w:hint="eastAsia"/>
        </w:rPr>
        <w:t>6.1.1</w:t>
      </w:r>
      <w:r>
        <w:rPr>
          <w:rStyle w:val="31"/>
        </w:rPr>
        <w:t xml:space="preserve"> </w:t>
      </w:r>
      <w:r>
        <w:rPr>
          <w:rStyle w:val="31"/>
          <w:rFonts w:hint="eastAsia"/>
        </w:rPr>
        <w:t xml:space="preserve"> 分级对象</w:t>
      </w:r>
      <w:r>
        <w:rPr>
          <w:rFonts w:hint="eastAsia"/>
        </w:rPr>
        <w:tab/>
      </w:r>
      <w:r>
        <w:rPr>
          <w:rFonts w:hint="eastAsia"/>
        </w:rPr>
        <w:fldChar w:fldCharType="begin"/>
      </w:r>
      <w:r>
        <w:rPr>
          <w:rFonts w:hint="eastAsia"/>
        </w:rPr>
        <w:instrText xml:space="preserve"> </w:instrText>
      </w:r>
      <w:r>
        <w:instrText xml:space="preserve">PAGEREF _Toc181286236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"_Toc181286237" </w:instrText>
      </w:r>
      <w:r>
        <w:fldChar w:fldCharType="separate"/>
      </w:r>
      <w:r>
        <w:rPr>
          <w:rStyle w:val="31"/>
          <w:rFonts w:hint="eastAsia"/>
        </w:rPr>
        <w:t>6.1.2</w:t>
      </w:r>
      <w:r>
        <w:rPr>
          <w:rStyle w:val="31"/>
        </w:rPr>
        <w:t xml:space="preserve"> </w:t>
      </w:r>
      <w:r>
        <w:rPr>
          <w:rStyle w:val="31"/>
          <w:rFonts w:hint="eastAsia"/>
        </w:rPr>
        <w:t xml:space="preserve"> 分级框架</w:t>
      </w:r>
      <w:r>
        <w:rPr>
          <w:rFonts w:hint="eastAsia"/>
        </w:rPr>
        <w:tab/>
      </w:r>
      <w:r>
        <w:rPr>
          <w:rFonts w:hint="eastAsia"/>
        </w:rPr>
        <w:fldChar w:fldCharType="begin"/>
      </w:r>
      <w:r>
        <w:rPr>
          <w:rFonts w:hint="eastAsia"/>
        </w:rPr>
        <w:instrText xml:space="preserve"> </w:instrText>
      </w:r>
      <w:r>
        <w:instrText xml:space="preserve">PAGEREF _Toc181286237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"_Toc181286238" </w:instrText>
      </w:r>
      <w:r>
        <w:fldChar w:fldCharType="separate"/>
      </w:r>
      <w:r>
        <w:rPr>
          <w:rStyle w:val="31"/>
          <w:rFonts w:hint="eastAsia"/>
        </w:rPr>
        <w:t>6.1.3</w:t>
      </w:r>
      <w:r>
        <w:rPr>
          <w:rStyle w:val="31"/>
        </w:rPr>
        <w:t xml:space="preserve"> </w:t>
      </w:r>
      <w:r>
        <w:rPr>
          <w:rStyle w:val="31"/>
          <w:rFonts w:hint="eastAsia"/>
        </w:rPr>
        <w:t xml:space="preserve"> 数据影响分析</w:t>
      </w:r>
      <w:r>
        <w:rPr>
          <w:rFonts w:hint="eastAsia"/>
        </w:rPr>
        <w:tab/>
      </w:r>
      <w:r>
        <w:rPr>
          <w:rFonts w:hint="eastAsia"/>
        </w:rPr>
        <w:fldChar w:fldCharType="begin"/>
      </w:r>
      <w:r>
        <w:rPr>
          <w:rFonts w:hint="eastAsia"/>
        </w:rPr>
        <w:instrText xml:space="preserve"> </w:instrText>
      </w:r>
      <w:r>
        <w:instrText xml:space="preserve">PAGEREF _Toc181286238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"_Toc181286239" </w:instrText>
      </w:r>
      <w:r>
        <w:fldChar w:fldCharType="separate"/>
      </w:r>
      <w:r>
        <w:rPr>
          <w:rStyle w:val="31"/>
          <w:rFonts w:hint="eastAsia"/>
        </w:rPr>
        <w:t>6.1.4</w:t>
      </w:r>
      <w:r>
        <w:rPr>
          <w:rStyle w:val="31"/>
        </w:rPr>
        <w:t xml:space="preserve"> </w:t>
      </w:r>
      <w:r>
        <w:rPr>
          <w:rStyle w:val="31"/>
          <w:rFonts w:hint="eastAsia"/>
        </w:rPr>
        <w:t xml:space="preserve"> 分级规则</w:t>
      </w:r>
      <w:r>
        <w:rPr>
          <w:rFonts w:hint="eastAsia"/>
        </w:rPr>
        <w:tab/>
      </w:r>
      <w:r>
        <w:rPr>
          <w:rFonts w:hint="eastAsia"/>
        </w:rPr>
        <w:fldChar w:fldCharType="begin"/>
      </w:r>
      <w:r>
        <w:rPr>
          <w:rFonts w:hint="eastAsia"/>
        </w:rPr>
        <w:instrText xml:space="preserve"> </w:instrText>
      </w:r>
      <w:r>
        <w:instrText xml:space="preserve">PAGEREF _Toc181286239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"_Toc181286240" </w:instrText>
      </w:r>
      <w:r>
        <w:fldChar w:fldCharType="separate"/>
      </w:r>
      <w:r>
        <w:rPr>
          <w:rStyle w:val="31"/>
          <w:rFonts w:hint="eastAsia"/>
          <w14:scene3d>
            <w14:lightRig w14:rig="threePt" w14:dir="t">
              <w14:rot w14:lat="0" w14:lon="0" w14:rev="0"/>
            </w14:lightRig>
          </w14:scene3d>
        </w:rPr>
        <w:t>6.2</w:t>
      </w:r>
      <w:r>
        <w:rPr>
          <w:rStyle w:val="31"/>
          <w14:scene3d>
            <w14:lightRig w14:rig="threePt" w14:dir="t">
              <w14:rot w14:lat="0" w14:lon="0" w14:rev="0"/>
            </w14:lightRig>
          </w14:scene3d>
        </w:rPr>
        <w:t xml:space="preserve"> </w:t>
      </w:r>
      <w:r>
        <w:rPr>
          <w:rStyle w:val="31"/>
          <w:rFonts w:hint="eastAsia"/>
        </w:rPr>
        <w:t xml:space="preserve"> 流程</w:t>
      </w:r>
      <w:r>
        <w:rPr>
          <w:rFonts w:hint="eastAsia"/>
        </w:rPr>
        <w:tab/>
      </w:r>
      <w:r>
        <w:rPr>
          <w:rFonts w:hint="eastAsia"/>
        </w:rPr>
        <w:fldChar w:fldCharType="begin"/>
      </w:r>
      <w:r>
        <w:rPr>
          <w:rFonts w:hint="eastAsia"/>
        </w:rPr>
        <w:instrText xml:space="preserve"> </w:instrText>
      </w:r>
      <w:r>
        <w:instrText xml:space="preserve">PAGEREF _Toc181286240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"_Toc181286241" </w:instrText>
      </w:r>
      <w:r>
        <w:fldChar w:fldCharType="separate"/>
      </w:r>
      <w:r>
        <w:rPr>
          <w:rStyle w:val="31"/>
          <w:rFonts w:hint="eastAsia"/>
        </w:rPr>
        <w:t>6.2.1</w:t>
      </w:r>
      <w:r>
        <w:rPr>
          <w:rStyle w:val="31"/>
        </w:rPr>
        <w:t xml:space="preserve"> </w:t>
      </w:r>
      <w:r>
        <w:rPr>
          <w:rStyle w:val="31"/>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_Toc181286241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"_Toc181286242" </w:instrText>
      </w:r>
      <w:r>
        <w:fldChar w:fldCharType="separate"/>
      </w:r>
      <w:r>
        <w:rPr>
          <w:rStyle w:val="31"/>
          <w:rFonts w:hint="eastAsia"/>
        </w:rPr>
        <w:t>6.2.2</w:t>
      </w:r>
      <w:r>
        <w:rPr>
          <w:rStyle w:val="31"/>
        </w:rPr>
        <w:t xml:space="preserve"> </w:t>
      </w:r>
      <w:r>
        <w:rPr>
          <w:rStyle w:val="31"/>
          <w:rFonts w:hint="eastAsia"/>
        </w:rPr>
        <w:t xml:space="preserve"> 数据梳理</w:t>
      </w:r>
      <w:r>
        <w:rPr>
          <w:rFonts w:hint="eastAsia"/>
        </w:rPr>
        <w:tab/>
      </w:r>
      <w:r>
        <w:rPr>
          <w:rFonts w:hint="eastAsia"/>
        </w:rPr>
        <w:fldChar w:fldCharType="begin"/>
      </w:r>
      <w:r>
        <w:rPr>
          <w:rFonts w:hint="eastAsia"/>
        </w:rPr>
        <w:instrText xml:space="preserve"> </w:instrText>
      </w:r>
      <w:r>
        <w:instrText xml:space="preserve">PAGEREF _Toc181286242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"_Toc181286243" </w:instrText>
      </w:r>
      <w:r>
        <w:fldChar w:fldCharType="separate"/>
      </w:r>
      <w:r>
        <w:rPr>
          <w:rStyle w:val="31"/>
          <w:rFonts w:hint="eastAsia"/>
        </w:rPr>
        <w:t>6.2.3</w:t>
      </w:r>
      <w:r>
        <w:rPr>
          <w:rStyle w:val="31"/>
        </w:rPr>
        <w:t xml:space="preserve"> </w:t>
      </w:r>
      <w:r>
        <w:rPr>
          <w:rStyle w:val="31"/>
          <w:rFonts w:hint="eastAsia"/>
        </w:rPr>
        <w:t xml:space="preserve"> 数据分级准备</w:t>
      </w:r>
      <w:r>
        <w:rPr>
          <w:rFonts w:hint="eastAsia"/>
        </w:rPr>
        <w:tab/>
      </w:r>
      <w:r>
        <w:rPr>
          <w:rFonts w:hint="eastAsia"/>
        </w:rPr>
        <w:fldChar w:fldCharType="begin"/>
      </w:r>
      <w:r>
        <w:rPr>
          <w:rFonts w:hint="eastAsia"/>
        </w:rPr>
        <w:instrText xml:space="preserve"> </w:instrText>
      </w:r>
      <w:r>
        <w:instrText xml:space="preserve">PAGEREF _Toc181286243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"_Toc181286244" </w:instrText>
      </w:r>
      <w:r>
        <w:fldChar w:fldCharType="separate"/>
      </w:r>
      <w:r>
        <w:rPr>
          <w:rStyle w:val="31"/>
          <w:rFonts w:hint="eastAsia"/>
        </w:rPr>
        <w:t>6.2.4</w:t>
      </w:r>
      <w:r>
        <w:rPr>
          <w:rStyle w:val="31"/>
        </w:rPr>
        <w:t xml:space="preserve"> </w:t>
      </w:r>
      <w:r>
        <w:rPr>
          <w:rStyle w:val="31"/>
          <w:rFonts w:hint="eastAsia"/>
        </w:rPr>
        <w:t xml:space="preserve"> 数据级别判定</w:t>
      </w:r>
      <w:r>
        <w:rPr>
          <w:rFonts w:hint="eastAsia"/>
        </w:rPr>
        <w:tab/>
      </w:r>
      <w:r>
        <w:rPr>
          <w:rFonts w:hint="eastAsia"/>
        </w:rPr>
        <w:fldChar w:fldCharType="begin"/>
      </w:r>
      <w:r>
        <w:rPr>
          <w:rFonts w:hint="eastAsia"/>
        </w:rPr>
        <w:instrText xml:space="preserve"> </w:instrText>
      </w:r>
      <w:r>
        <w:instrText xml:space="preserve">PAGEREF _Toc181286244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"_Toc181286245" </w:instrText>
      </w:r>
      <w:r>
        <w:fldChar w:fldCharType="separate"/>
      </w:r>
      <w:r>
        <w:rPr>
          <w:rStyle w:val="31"/>
          <w:rFonts w:hint="eastAsia"/>
        </w:rPr>
        <w:t>6.2.5</w:t>
      </w:r>
      <w:r>
        <w:rPr>
          <w:rStyle w:val="31"/>
        </w:rPr>
        <w:t xml:space="preserve"> </w:t>
      </w:r>
      <w:r>
        <w:rPr>
          <w:rStyle w:val="31"/>
          <w:rFonts w:hint="eastAsia"/>
        </w:rPr>
        <w:t xml:space="preserve"> 数据级别审核</w:t>
      </w:r>
      <w:r>
        <w:rPr>
          <w:rFonts w:hint="eastAsia"/>
        </w:rPr>
        <w:tab/>
      </w:r>
      <w:r>
        <w:rPr>
          <w:rFonts w:hint="eastAsia"/>
        </w:rPr>
        <w:fldChar w:fldCharType="begin"/>
      </w:r>
      <w:r>
        <w:rPr>
          <w:rFonts w:hint="eastAsia"/>
        </w:rPr>
        <w:instrText xml:space="preserve"> </w:instrText>
      </w:r>
      <w:r>
        <w:instrText xml:space="preserve">PAGEREF _Toc181286245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"_Toc181286246" </w:instrText>
      </w:r>
      <w:r>
        <w:fldChar w:fldCharType="separate"/>
      </w:r>
      <w:r>
        <w:rPr>
          <w:rStyle w:val="31"/>
          <w:rFonts w:hint="eastAsia"/>
        </w:rPr>
        <w:t>6.2.6</w:t>
      </w:r>
      <w:r>
        <w:rPr>
          <w:rStyle w:val="31"/>
        </w:rPr>
        <w:t xml:space="preserve"> </w:t>
      </w:r>
      <w:r>
        <w:rPr>
          <w:rStyle w:val="31"/>
          <w:rFonts w:hint="eastAsia"/>
        </w:rPr>
        <w:t xml:space="preserve"> 数据级别批准</w:t>
      </w:r>
      <w:r>
        <w:rPr>
          <w:rFonts w:hint="eastAsia"/>
        </w:rPr>
        <w:tab/>
      </w:r>
      <w:r>
        <w:rPr>
          <w:rFonts w:hint="eastAsia"/>
        </w:rPr>
        <w:fldChar w:fldCharType="begin"/>
      </w:r>
      <w:r>
        <w:rPr>
          <w:rFonts w:hint="eastAsia"/>
        </w:rPr>
        <w:instrText xml:space="preserve"> </w:instrText>
      </w:r>
      <w:r>
        <w:instrText xml:space="preserve">PAGEREF _Toc181286246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"_Toc181286247" </w:instrText>
      </w:r>
      <w:r>
        <w:fldChar w:fldCharType="separate"/>
      </w:r>
      <w:r>
        <w:rPr>
          <w:rStyle w:val="31"/>
          <w:rFonts w:hint="eastAsia"/>
          <w14:scene3d>
            <w14:lightRig w14:rig="threePt" w14:dir="t">
              <w14:rot w14:lat="0" w14:lon="0" w14:rev="0"/>
            </w14:lightRig>
          </w14:scene3d>
        </w:rPr>
        <w:t>6.3</w:t>
      </w:r>
      <w:r>
        <w:rPr>
          <w:rStyle w:val="31"/>
          <w14:scene3d>
            <w14:lightRig w14:rig="threePt" w14:dir="t">
              <w14:rot w14:lat="0" w14:lon="0" w14:rev="0"/>
            </w14:lightRig>
          </w14:scene3d>
        </w:rPr>
        <w:t xml:space="preserve"> </w:t>
      </w:r>
      <w:r>
        <w:rPr>
          <w:rStyle w:val="31"/>
          <w:rFonts w:hint="eastAsia"/>
        </w:rPr>
        <w:t xml:space="preserve"> 级别变更</w:t>
      </w:r>
      <w:r>
        <w:rPr>
          <w:rFonts w:hint="eastAsia"/>
        </w:rPr>
        <w:tab/>
      </w:r>
      <w:r>
        <w:rPr>
          <w:rFonts w:hint="eastAsia"/>
        </w:rPr>
        <w:fldChar w:fldCharType="begin"/>
      </w:r>
      <w:r>
        <w:rPr>
          <w:rFonts w:hint="eastAsia"/>
        </w:rPr>
        <w:instrText xml:space="preserve"> </w:instrText>
      </w:r>
      <w:r>
        <w:instrText xml:space="preserve">PAGEREF _Toc181286247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"_Toc181286248" </w:instrText>
      </w:r>
      <w:r>
        <w:fldChar w:fldCharType="separate"/>
      </w:r>
      <w:r>
        <w:rPr>
          <w:rStyle w:val="31"/>
          <w:rFonts w:hint="eastAsia"/>
        </w:rPr>
        <w:t>6.3.1</w:t>
      </w:r>
      <w:r>
        <w:rPr>
          <w:rStyle w:val="31"/>
        </w:rPr>
        <w:t xml:space="preserve"> </w:t>
      </w:r>
      <w:r>
        <w:rPr>
          <w:rStyle w:val="31"/>
          <w:rFonts w:hint="eastAsia"/>
        </w:rPr>
        <w:t xml:space="preserve"> 变更情形</w:t>
      </w:r>
      <w:r>
        <w:rPr>
          <w:rFonts w:hint="eastAsia"/>
        </w:rPr>
        <w:tab/>
      </w:r>
      <w:r>
        <w:rPr>
          <w:rFonts w:hint="eastAsia"/>
        </w:rPr>
        <w:fldChar w:fldCharType="begin"/>
      </w:r>
      <w:r>
        <w:rPr>
          <w:rFonts w:hint="eastAsia"/>
        </w:rPr>
        <w:instrText xml:space="preserve"> </w:instrText>
      </w:r>
      <w:r>
        <w:instrText xml:space="preserve">PAGEREF _Toc181286248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6"/>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"_Toc181286249" </w:instrText>
      </w:r>
      <w:r>
        <w:fldChar w:fldCharType="separate"/>
      </w:r>
      <w:r>
        <w:rPr>
          <w:rStyle w:val="31"/>
          <w:rFonts w:hint="eastAsia"/>
        </w:rPr>
        <w:t>6.3.2</w:t>
      </w:r>
      <w:r>
        <w:rPr>
          <w:rStyle w:val="31"/>
        </w:rPr>
        <w:t xml:space="preserve"> </w:t>
      </w:r>
      <w:r>
        <w:rPr>
          <w:rStyle w:val="31"/>
          <w:rFonts w:hint="eastAsia"/>
        </w:rPr>
        <w:t xml:space="preserve"> 变更要求</w:t>
      </w:r>
      <w:r>
        <w:rPr>
          <w:rFonts w:hint="eastAsia"/>
        </w:rPr>
        <w:tab/>
      </w:r>
      <w:r>
        <w:rPr>
          <w:rFonts w:hint="eastAsia"/>
        </w:rPr>
        <w:fldChar w:fldCharType="begin"/>
      </w:r>
      <w:r>
        <w:rPr>
          <w:rFonts w:hint="eastAsia"/>
        </w:rPr>
        <w:instrText xml:space="preserve"> </w:instrText>
      </w:r>
      <w:r>
        <w:instrText xml:space="preserve">PAGEREF _Toc181286249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"_Toc181286250" </w:instrText>
      </w:r>
      <w:r>
        <w:fldChar w:fldCharType="separate"/>
      </w:r>
      <w:r>
        <w:rPr>
          <w:rStyle w:val="31"/>
          <w:rFonts w:hint="eastAsia"/>
        </w:rPr>
        <w:t>7</w:t>
      </w:r>
      <w:r>
        <w:rPr>
          <w:rStyle w:val="31"/>
        </w:rPr>
        <w:t xml:space="preserve"> </w:t>
      </w:r>
      <w:r>
        <w:rPr>
          <w:rStyle w:val="31"/>
          <w:rFonts w:hint="eastAsia"/>
        </w:rPr>
        <w:t xml:space="preserve"> 数据分类分级实施流程</w:t>
      </w:r>
      <w:r>
        <w:rPr>
          <w:rFonts w:hint="eastAsia"/>
        </w:rPr>
        <w:tab/>
      </w:r>
      <w:r>
        <w:rPr>
          <w:rFonts w:hint="eastAsia"/>
        </w:rPr>
        <w:fldChar w:fldCharType="begin"/>
      </w:r>
      <w:r>
        <w:rPr>
          <w:rFonts w:hint="eastAsia"/>
        </w:rPr>
        <w:instrText xml:space="preserve"> </w:instrText>
      </w:r>
      <w:r>
        <w:instrText xml:space="preserve">PAGEREF _Toc181286250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"_Toc181286251" </w:instrText>
      </w:r>
      <w:r>
        <w:fldChar w:fldCharType="separate"/>
      </w:r>
      <w:r>
        <w:rPr>
          <w:rStyle w:val="31"/>
          <w:rFonts w:hint="eastAsia"/>
          <w14:scene3d>
            <w14:lightRig w14:rig="threePt" w14:dir="t">
              <w14:rot w14:lat="0" w14:lon="0" w14:rev="0"/>
            </w14:lightRig>
          </w14:scene3d>
        </w:rPr>
        <w:t>7.1</w:t>
      </w:r>
      <w:r>
        <w:rPr>
          <w:rStyle w:val="31"/>
          <w14:scene3d>
            <w14:lightRig w14:rig="threePt" w14:dir="t">
              <w14:rot w14:lat="0" w14:lon="0" w14:rev="0"/>
            </w14:lightRig>
          </w14:scene3d>
        </w:rPr>
        <w:t xml:space="preserve"> </w:t>
      </w:r>
      <w:r>
        <w:rPr>
          <w:rStyle w:val="31"/>
          <w:rFonts w:hint="eastAsia"/>
        </w:rPr>
        <w:t xml:space="preserve"> 实施流程图</w:t>
      </w:r>
      <w:r>
        <w:rPr>
          <w:rFonts w:hint="eastAsia"/>
        </w:rPr>
        <w:tab/>
      </w:r>
      <w:r>
        <w:rPr>
          <w:rFonts w:hint="eastAsia"/>
        </w:rPr>
        <w:fldChar w:fldCharType="begin"/>
      </w:r>
      <w:r>
        <w:rPr>
          <w:rFonts w:hint="eastAsia"/>
        </w:rPr>
        <w:instrText xml:space="preserve"> </w:instrText>
      </w:r>
      <w:r>
        <w:instrText xml:space="preserve">PAGEREF _Toc181286251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"_Toc181286252" </w:instrText>
      </w:r>
      <w:r>
        <w:fldChar w:fldCharType="separate"/>
      </w:r>
      <w:r>
        <w:rPr>
          <w:rStyle w:val="31"/>
          <w:rFonts w:hint="eastAsia"/>
          <w14:scene3d>
            <w14:lightRig w14:rig="threePt" w14:dir="t">
              <w14:rot w14:lat="0" w14:lon="0" w14:rev="0"/>
            </w14:lightRig>
          </w14:scene3d>
        </w:rPr>
        <w:t>7.2</w:t>
      </w:r>
      <w:r>
        <w:rPr>
          <w:rStyle w:val="31"/>
          <w14:scene3d>
            <w14:lightRig w14:rig="threePt" w14:dir="t">
              <w14:rot w14:lat="0" w14:lon="0" w14:rev="0"/>
            </w14:lightRig>
          </w14:scene3d>
        </w:rPr>
        <w:t xml:space="preserve"> </w:t>
      </w:r>
      <w:r>
        <w:rPr>
          <w:rStyle w:val="31"/>
          <w:rFonts w:hint="eastAsia"/>
        </w:rPr>
        <w:t xml:space="preserve"> 主要步骤</w:t>
      </w:r>
      <w:r>
        <w:rPr>
          <w:rFonts w:hint="eastAsia"/>
        </w:rPr>
        <w:tab/>
      </w:r>
      <w:r>
        <w:rPr>
          <w:rFonts w:hint="eastAsia"/>
        </w:rPr>
        <w:fldChar w:fldCharType="begin"/>
      </w:r>
      <w:r>
        <w:rPr>
          <w:rFonts w:hint="eastAsia"/>
        </w:rPr>
        <w:instrText xml:space="preserve"> </w:instrText>
      </w:r>
      <w:r>
        <w:instrText xml:space="preserve">PAGEREF _Toc181286252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"_Toc181286253" </w:instrText>
      </w:r>
      <w:r>
        <w:fldChar w:fldCharType="separate"/>
      </w:r>
      <w:r>
        <w:rPr>
          <w:rStyle w:val="31"/>
          <w:rFonts w:hint="eastAsia"/>
        </w:rPr>
        <w:t>8</w:t>
      </w:r>
      <w:r>
        <w:rPr>
          <w:rStyle w:val="31"/>
        </w:rPr>
        <w:t xml:space="preserve"> </w:t>
      </w:r>
      <w:r>
        <w:rPr>
          <w:rStyle w:val="31"/>
          <w:rFonts w:hint="eastAsia"/>
        </w:rPr>
        <w:t xml:space="preserve"> 数据安全分级管控要求</w:t>
      </w:r>
      <w:r>
        <w:rPr>
          <w:rFonts w:hint="eastAsia"/>
        </w:rPr>
        <w:tab/>
      </w:r>
      <w:r>
        <w:rPr>
          <w:rFonts w:hint="eastAsia"/>
        </w:rPr>
        <w:fldChar w:fldCharType="begin"/>
      </w:r>
      <w:r>
        <w:rPr>
          <w:rFonts w:hint="eastAsia"/>
        </w:rPr>
        <w:instrText xml:space="preserve"> </w:instrText>
      </w:r>
      <w:r>
        <w:instrText xml:space="preserve">PAGEREF _Toc181286253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"_Toc181286254" </w:instrText>
      </w:r>
      <w:r>
        <w:fldChar w:fldCharType="separate"/>
      </w:r>
      <w:r>
        <w:rPr>
          <w:rStyle w:val="31"/>
          <w:rFonts w:hint="eastAsia"/>
        </w:rPr>
        <w:t>附录A（资料性）</w:t>
      </w:r>
      <w:r>
        <w:rPr>
          <w:rStyle w:val="31"/>
        </w:rPr>
        <w:t xml:space="preserve"> </w:t>
      </w:r>
      <w:r>
        <w:rPr>
          <w:rStyle w:val="31"/>
          <w:rFonts w:hint="eastAsia"/>
        </w:rPr>
        <w:t xml:space="preserve"> 数据分级与共享开放对应参考</w:t>
      </w:r>
      <w:r>
        <w:rPr>
          <w:rFonts w:hint="eastAsia"/>
        </w:rPr>
        <w:tab/>
      </w:r>
      <w:r>
        <w:rPr>
          <w:rFonts w:hint="eastAsia"/>
        </w:rPr>
        <w:fldChar w:fldCharType="begin"/>
      </w:r>
      <w:r>
        <w:rPr>
          <w:rFonts w:hint="eastAsia"/>
        </w:rPr>
        <w:instrText xml:space="preserve"> </w:instrText>
      </w:r>
      <w:r>
        <w:instrText xml:space="preserve">PAGEREF _Toc181286254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"_Toc181286255" </w:instrText>
      </w:r>
      <w:r>
        <w:fldChar w:fldCharType="separate"/>
      </w:r>
      <w:r>
        <w:rPr>
          <w:rStyle w:val="31"/>
          <w:rFonts w:hint="eastAsia"/>
        </w:rPr>
        <w:t>附录B（资料性）</w:t>
      </w:r>
      <w:r>
        <w:rPr>
          <w:rStyle w:val="31"/>
        </w:rPr>
        <w:t xml:space="preserve"> </w:t>
      </w:r>
      <w:r>
        <w:rPr>
          <w:rStyle w:val="31"/>
          <w:rFonts w:hint="eastAsia"/>
        </w:rPr>
        <w:t xml:space="preserve"> 数据安全分级管控要求</w:t>
      </w:r>
      <w:r>
        <w:rPr>
          <w:rFonts w:hint="eastAsia"/>
        </w:rPr>
        <w:tab/>
      </w:r>
      <w:r>
        <w:rPr>
          <w:rFonts w:hint="eastAsia"/>
        </w:rPr>
        <w:fldChar w:fldCharType="begin"/>
      </w:r>
      <w:r>
        <w:rPr>
          <w:rFonts w:hint="eastAsia"/>
        </w:rPr>
        <w:instrText xml:space="preserve"> </w:instrText>
      </w:r>
      <w:r>
        <w:instrText xml:space="preserve">PAGEREF _Toc181286255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"_Toc181286256" </w:instrText>
      </w:r>
      <w:r>
        <w:fldChar w:fldCharType="separate"/>
      </w:r>
      <w:r>
        <w:rPr>
          <w:rStyle w:val="31"/>
          <w:rFonts w:hint="eastAsia"/>
        </w:rPr>
        <w:t>附录C（资料性）</w:t>
      </w:r>
      <w:r>
        <w:rPr>
          <w:rStyle w:val="31"/>
        </w:rPr>
        <w:t xml:space="preserve"> </w:t>
      </w:r>
      <w:r>
        <w:rPr>
          <w:rStyle w:val="31"/>
          <w:rFonts w:hint="eastAsia"/>
        </w:rPr>
        <w:t xml:space="preserve"> 个人信息分类分级参考示例</w:t>
      </w:r>
      <w:r>
        <w:rPr>
          <w:rFonts w:hint="eastAsia"/>
        </w:rPr>
        <w:tab/>
      </w:r>
      <w:r>
        <w:rPr>
          <w:rFonts w:hint="eastAsia"/>
        </w:rPr>
        <w:fldChar w:fldCharType="begin"/>
      </w:r>
      <w:r>
        <w:rPr>
          <w:rFonts w:hint="eastAsia"/>
        </w:rPr>
        <w:instrText xml:space="preserve"> </w:instrText>
      </w:r>
      <w:r>
        <w:instrText xml:space="preserve">PAGEREF _Toc181286256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"_Toc181286257" </w:instrText>
      </w:r>
      <w:r>
        <w:fldChar w:fldCharType="separate"/>
      </w:r>
      <w:r>
        <w:rPr>
          <w:rStyle w:val="31"/>
          <w:rFonts w:hint="eastAsia"/>
        </w:rPr>
        <w:t>参考文献</w:t>
      </w:r>
      <w:r>
        <w:rPr>
          <w:rFonts w:hint="eastAsia"/>
        </w:rPr>
        <w:tab/>
      </w:r>
      <w:r>
        <w:rPr>
          <w:rFonts w:hint="eastAsia"/>
        </w:rPr>
        <w:fldChar w:fldCharType="begin"/>
      </w:r>
      <w:r>
        <w:rPr>
          <w:rFonts w:hint="eastAsia"/>
        </w:rPr>
        <w:instrText xml:space="preserve"> </w:instrText>
      </w:r>
      <w:r>
        <w:instrText xml:space="preserve">PAGEREF _Toc181286257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92"/>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90"/>
        <w:spacing w:after="468"/>
      </w:pPr>
      <w:bookmarkStart w:id="27" w:name="_Toc181286217"/>
      <w:bookmarkStart w:id="28" w:name="BookMark2"/>
      <w:r>
        <w:rPr>
          <w:rFonts w:hint="eastAsia"/>
          <w:spacing w:val="320"/>
        </w:rPr>
        <w:t>前</w:t>
      </w:r>
      <w:r>
        <w:rPr>
          <w:rFonts w:hint="eastAsia"/>
        </w:rPr>
        <w:t>言</w:t>
      </w:r>
      <w:bookmarkEnd w:id="21"/>
      <w:bookmarkEnd w:id="22"/>
      <w:bookmarkEnd w:id="23"/>
      <w:bookmarkEnd w:id="24"/>
      <w:bookmarkEnd w:id="25"/>
      <w:bookmarkEnd w:id="26"/>
      <w:bookmarkEnd w:id="27"/>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本文件由湖南省数据局提出</w:t>
      </w:r>
      <w:r>
        <w:rPr>
          <w:rFonts w:hint="eastAsia"/>
          <w:lang w:eastAsia="zh-CN"/>
        </w:rPr>
        <w:t>并归口</w:t>
      </w:r>
      <w:r>
        <w:rPr>
          <w:rFonts w:hint="eastAsia"/>
        </w:rPr>
        <w:t>。</w:t>
      </w:r>
    </w:p>
    <w:p>
      <w:pPr>
        <w:pStyle w:val="57"/>
        <w:ind w:firstLine="420"/>
      </w:pPr>
      <w:r>
        <w:rPr>
          <w:rFonts w:hint="eastAsia"/>
        </w:rPr>
        <w:t>本文件起草单位：</w:t>
      </w:r>
      <w:bookmarkStart w:id="328" w:name="_GoBack"/>
      <w:bookmarkEnd w:id="328"/>
    </w:p>
    <w:p>
      <w:pPr>
        <w:pStyle w:val="57"/>
        <w:ind w:firstLine="420"/>
      </w:pPr>
      <w:r>
        <w:rPr>
          <w:rFonts w:hint="eastAsia"/>
        </w:rPr>
        <w:t>本文件主要起草人：</w:t>
      </w: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8"/>
    <w:p>
      <w:pPr>
        <w:spacing w:line="20" w:lineRule="exact"/>
        <w:jc w:val="center"/>
        <w:rPr>
          <w:rFonts w:hint="eastAsia" w:ascii="黑体" w:hAnsi="黑体" w:eastAsia="黑体"/>
          <w:sz w:val="32"/>
          <w:szCs w:val="32"/>
        </w:rPr>
      </w:pPr>
      <w:bookmarkStart w:id="29"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2C3DC1CB23A747CBADB56E9855F122CA"/>
        </w:placeholder>
      </w:sdtPr>
      <w:sdtContent>
        <w:p>
          <w:pPr>
            <w:pStyle w:val="178"/>
            <w:spacing w:before="3" w:beforeLines="1" w:after="686" w:afterLines="220"/>
            <w:rPr>
              <w:rFonts w:hint="eastAsia"/>
            </w:rPr>
          </w:pPr>
          <w:bookmarkStart w:id="30" w:name="NEW_STAND_NAME"/>
          <w:r>
            <w:rPr>
              <w:rFonts w:hint="eastAsia"/>
            </w:rPr>
            <w:t>政务数据分类分级规范</w:t>
          </w:r>
        </w:p>
      </w:sdtContent>
    </w:sdt>
    <w:bookmarkEnd w:id="30"/>
    <w:p>
      <w:pPr>
        <w:pStyle w:val="105"/>
        <w:spacing w:before="312" w:after="312"/>
      </w:pPr>
      <w:bookmarkStart w:id="31" w:name="_Toc175919359"/>
      <w:bookmarkStart w:id="32" w:name="_Toc26648465"/>
      <w:bookmarkStart w:id="33" w:name="_Toc97191423"/>
      <w:bookmarkStart w:id="34" w:name="_Toc24884211"/>
      <w:bookmarkStart w:id="35" w:name="_Toc24884218"/>
      <w:bookmarkStart w:id="36" w:name="_Toc175172435"/>
      <w:bookmarkStart w:id="37" w:name="_Toc17233333"/>
      <w:bookmarkStart w:id="38" w:name="_Toc26986771"/>
      <w:bookmarkStart w:id="39" w:name="_Toc26718930"/>
      <w:bookmarkStart w:id="40" w:name="_Toc175929627"/>
      <w:bookmarkStart w:id="41" w:name="_Toc180440605"/>
      <w:bookmarkStart w:id="42" w:name="_Toc26986530"/>
      <w:bookmarkStart w:id="43" w:name="_Toc181210110"/>
      <w:bookmarkStart w:id="44" w:name="_Toc181278512"/>
      <w:bookmarkStart w:id="45" w:name="_Toc181286218"/>
      <w:bookmarkStart w:id="46" w:name="_Toc17233325"/>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7"/>
        <w:ind w:firstLine="420"/>
        <w:rPr>
          <w:szCs w:val="21"/>
        </w:rPr>
      </w:pPr>
      <w:bookmarkStart w:id="47" w:name="_Toc24884212"/>
      <w:bookmarkStart w:id="48" w:name="_Toc17233334"/>
      <w:bookmarkStart w:id="49" w:name="_Toc24884219"/>
      <w:bookmarkStart w:id="50" w:name="_Toc17233326"/>
      <w:bookmarkStart w:id="51" w:name="_Toc26648466"/>
      <w:r>
        <w:rPr>
          <w:rFonts w:hint="eastAsia" w:hAnsi="宋体"/>
        </w:rPr>
        <w:t>本文件规定了政务数据分类分级原则、数据分类方法与流程、数据分级方法与分级流程及级别变更情形要求、数据分级分类实施流程、数据安全分级管控要求等。</w:t>
      </w:r>
    </w:p>
    <w:p>
      <w:pPr>
        <w:pStyle w:val="57"/>
        <w:ind w:firstLine="420"/>
        <w:rPr>
          <w:rFonts w:hint="eastAsia" w:hAnsi="宋体"/>
        </w:rPr>
      </w:pPr>
      <w:r>
        <w:rPr>
          <w:rFonts w:hint="eastAsia" w:hAnsi="宋体"/>
        </w:rPr>
        <w:t>本文件适用于指导湖南省范围内政务数据的分类分级工作。</w:t>
      </w:r>
    </w:p>
    <w:p>
      <w:pPr>
        <w:pStyle w:val="57"/>
        <w:ind w:firstLine="420"/>
        <w:rPr>
          <w:rFonts w:hint="eastAsia" w:hAnsi="宋体"/>
        </w:rPr>
      </w:pPr>
      <w:r>
        <w:rPr>
          <w:rFonts w:hint="eastAsia" w:hAnsi="宋体"/>
        </w:rPr>
        <w:t>本文件不适用于涉及国家秘密的政务数据。</w:t>
      </w:r>
    </w:p>
    <w:p>
      <w:pPr>
        <w:pStyle w:val="105"/>
        <w:spacing w:before="312" w:after="312"/>
      </w:pPr>
      <w:bookmarkStart w:id="52" w:name="_Toc175172436"/>
      <w:bookmarkStart w:id="53" w:name="_Toc175929628"/>
      <w:bookmarkStart w:id="54" w:name="_Toc26718931"/>
      <w:bookmarkStart w:id="55" w:name="_Toc181278513"/>
      <w:bookmarkStart w:id="56" w:name="_Toc180440606"/>
      <w:bookmarkStart w:id="57" w:name="_Toc181286219"/>
      <w:bookmarkStart w:id="58" w:name="_Toc26986772"/>
      <w:bookmarkStart w:id="59" w:name="_Toc175919360"/>
      <w:bookmarkStart w:id="60" w:name="_Toc181210111"/>
      <w:bookmarkStart w:id="61" w:name="_Toc26986531"/>
      <w:bookmarkStart w:id="62" w:name="_Toc97191424"/>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9D4018AADAD0499585C143D8E81962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25069 信息安全技术 术语</w:t>
      </w:r>
    </w:p>
    <w:p>
      <w:pPr>
        <w:pStyle w:val="57"/>
        <w:ind w:firstLine="420"/>
      </w:pPr>
      <w:r>
        <w:rPr>
          <w:rFonts w:hint="eastAsia"/>
        </w:rPr>
        <w:t>GB/T 38664.1 信息技术 大数据 政务数据开放共享 第1部分：总则</w:t>
      </w:r>
    </w:p>
    <w:p>
      <w:pPr>
        <w:pStyle w:val="57"/>
        <w:ind w:firstLine="420"/>
      </w:pPr>
      <w:r>
        <w:rPr>
          <w:rFonts w:hint="eastAsia"/>
        </w:rPr>
        <w:t>GB/T 38667 信息技术 大数据 数据分类指南</w:t>
      </w:r>
    </w:p>
    <w:p>
      <w:pPr>
        <w:pStyle w:val="57"/>
        <w:ind w:firstLine="420"/>
      </w:pPr>
      <w:r>
        <w:t>GB/T</w:t>
      </w:r>
      <w:r>
        <w:rPr>
          <w:rFonts w:hint="eastAsia"/>
        </w:rPr>
        <w:t xml:space="preserve"> </w:t>
      </w:r>
      <w:r>
        <w:t>43697 数据安全技术数据分类分级规则</w:t>
      </w:r>
    </w:p>
    <w:p>
      <w:pPr>
        <w:pStyle w:val="105"/>
        <w:spacing w:before="312" w:after="312"/>
      </w:pPr>
      <w:bookmarkStart w:id="63" w:name="_Toc180440607"/>
      <w:bookmarkStart w:id="64" w:name="_Toc181210112"/>
      <w:bookmarkStart w:id="65" w:name="_Toc175172437"/>
      <w:bookmarkStart w:id="66" w:name="_Toc181278514"/>
      <w:bookmarkStart w:id="67" w:name="_Toc97191425"/>
      <w:bookmarkStart w:id="68" w:name="_Toc175919361"/>
      <w:bookmarkStart w:id="69" w:name="_Toc181286220"/>
      <w:bookmarkStart w:id="70" w:name="_Toc175929629"/>
      <w:r>
        <w:rPr>
          <w:rFonts w:hint="eastAsia"/>
          <w:szCs w:val="21"/>
        </w:rPr>
        <w:t>术语和定义</w:t>
      </w:r>
      <w:bookmarkEnd w:id="63"/>
      <w:bookmarkEnd w:id="64"/>
      <w:bookmarkEnd w:id="65"/>
      <w:bookmarkEnd w:id="66"/>
      <w:bookmarkEnd w:id="67"/>
      <w:bookmarkEnd w:id="68"/>
      <w:bookmarkEnd w:id="69"/>
      <w:bookmarkEnd w:id="70"/>
    </w:p>
    <w:sdt>
      <w:sdtPr>
        <w:id w:val="-1909835108"/>
        <w:placeholder>
          <w:docPart w:val="56C0D281BC89451FA07D16D3359E04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71" w:name="_Toc26986532"/>
          <w:bookmarkEnd w:id="71"/>
          <w:r>
            <w:rPr>
              <w:rFonts w:hint="eastAsia"/>
            </w:rPr>
            <w:t>GB/T 25069、GB/T 38664.1、GB/T 38667、GB/T 43697</w:t>
          </w:r>
          <w:r>
            <w:t>界定的以及下列术语和定义适用于本文件。</w:t>
          </w:r>
        </w:p>
      </w:sdtContent>
    </w:sdt>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政务数据 government affairs data</w:t>
      </w:r>
    </w:p>
    <w:p>
      <w:pPr>
        <w:pStyle w:val="57"/>
        <w:ind w:firstLine="420"/>
      </w:pPr>
      <w:r>
        <w:rPr>
          <w:rFonts w:hint="eastAsia"/>
        </w:rPr>
        <w:t>各级政务部门及其技术支撑单位在履行职责过程中依法采集、生成、存储、管理的各类数据资源。</w:t>
      </w:r>
    </w:p>
    <w:p>
      <w:pPr>
        <w:pStyle w:val="57"/>
        <w:ind w:firstLine="420"/>
      </w:pPr>
      <w:r>
        <w:rPr>
          <w:rFonts w:hint="eastAsia"/>
        </w:rPr>
        <w:t>[来源：GB/T 38664.1，3.1，有修改]</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政务数据分类（以下简称“数据分类”） government affairs data categorization</w:t>
      </w:r>
    </w:p>
    <w:p>
      <w:pPr>
        <w:pStyle w:val="57"/>
        <w:ind w:firstLine="420"/>
      </w:pPr>
      <w:r>
        <w:rPr>
          <w:rFonts w:hint="eastAsia"/>
        </w:rPr>
        <w:t>根据数据的属性或特征，将其按一定的原则和方法进行区分和归类，并建立起一定的分类体系和排列顺序的过程。</w:t>
      </w:r>
    </w:p>
    <w:p>
      <w:pPr>
        <w:pStyle w:val="57"/>
        <w:ind w:firstLine="420"/>
      </w:pPr>
      <w:r>
        <w:rPr>
          <w:rFonts w:hint="eastAsia"/>
        </w:rPr>
        <w:t>[来源：GB/T 38667，3.3，有修改]</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政务数据分级（以下简称“数据分级”） government affairs data classification</w:t>
      </w:r>
    </w:p>
    <w:p>
      <w:pPr>
        <w:pStyle w:val="57"/>
        <w:ind w:firstLine="420"/>
      </w:pPr>
      <w:r>
        <w:rPr>
          <w:rFonts w:hint="eastAsia"/>
        </w:rPr>
        <w:t>根据政务数据的敏感程度和遭到破坏、泄露、篡改、非法利用后对国家安全、经济运行、社会稳定、公共利益、组织权益、个人权益造成的影响程度，按照一定的原则和方法进行定级。</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政务数据共享（以下简称“数据共享”） government affairs data sharing</w:t>
      </w:r>
    </w:p>
    <w:p>
      <w:pPr>
        <w:pStyle w:val="57"/>
        <w:ind w:firstLine="420"/>
      </w:pPr>
      <w:r>
        <w:rPr>
          <w:rFonts w:hint="eastAsia"/>
        </w:rPr>
        <w:t>各级政务部门因履行职责需要，使用其他政务部门的政务数据以及为其他政务部门提供政务数据的行为。</w:t>
      </w:r>
    </w:p>
    <w:p>
      <w:pPr>
        <w:pStyle w:val="57"/>
        <w:ind w:firstLine="420"/>
      </w:pPr>
      <w:r>
        <w:rPr>
          <w:rFonts w:hint="eastAsia"/>
        </w:rPr>
        <w:t>[来源：GB/T 38664.1，3.2]</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政务数据开放 government affairs data opening</w:t>
      </w:r>
    </w:p>
    <w:p>
      <w:pPr>
        <w:pStyle w:val="57"/>
        <w:ind w:firstLine="420"/>
      </w:pPr>
      <w:r>
        <w:rPr>
          <w:rFonts w:hint="eastAsia"/>
        </w:rPr>
        <w:t>各级政务部门在安全保密、公共利益导向前提下，面向个人、法人和其他组织提供具有原始性、可机器读取、可供社会化利用的数据集的数据服务。</w:t>
      </w:r>
    </w:p>
    <w:p>
      <w:pPr>
        <w:pStyle w:val="57"/>
        <w:ind w:firstLine="420"/>
      </w:pPr>
      <w:r>
        <w:rPr>
          <w:rFonts w:hint="eastAsia"/>
        </w:rPr>
        <w:t>[来源：GB/T 38664.1，3.3，有修改]</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重要数据 key data</w:t>
      </w:r>
    </w:p>
    <w:p>
      <w:pPr>
        <w:pStyle w:val="57"/>
        <w:ind w:firstLine="420"/>
      </w:pPr>
      <w:r>
        <w:rPr>
          <w:rFonts w:hint="eastAsia"/>
        </w:rPr>
        <w:t>特定领域、特定群体、特定区域或者达到一定精度和规模，一旦遭到篡改、破坏、泄露或者非法获取、非法利用，可能直接危害国家安全、经济运行、社会稳定、公共健康和安全的数据。</w:t>
      </w:r>
    </w:p>
    <w:p>
      <w:pPr>
        <w:pStyle w:val="57"/>
        <w:numPr>
          <w:ilvl w:val="0"/>
          <w:numId w:val="32"/>
        </w:numPr>
        <w:ind w:left="0" w:firstLine="420"/>
      </w:pPr>
      <w:r>
        <w:rPr>
          <w:rFonts w:hint="eastAsia"/>
        </w:rPr>
        <w:t>仅影响组织自身或公民个体的数据一般不作为重要数据。</w:t>
      </w:r>
    </w:p>
    <w:p>
      <w:pPr>
        <w:pStyle w:val="57"/>
        <w:ind w:firstLine="420"/>
      </w:pPr>
      <w:r>
        <w:rPr>
          <w:rFonts w:hint="eastAsia"/>
        </w:rPr>
        <w:t>[来源：GB/T 43697，3.2，有修改]</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核心数据 core data</w:t>
      </w:r>
    </w:p>
    <w:p>
      <w:pPr>
        <w:pStyle w:val="57"/>
        <w:ind w:firstLine="420"/>
      </w:pPr>
      <w:r>
        <w:rPr>
          <w:rFonts w:hint="eastAsia"/>
        </w:rPr>
        <w:t>对领域、群体、区域具有较高覆盖度或达到较高精度、较大规模、一定深度的，一旦被非法使用或共享，可能直接影响政治安全的重要数据。</w:t>
      </w:r>
    </w:p>
    <w:p>
      <w:pPr>
        <w:pStyle w:val="180"/>
      </w:pPr>
      <w:r>
        <w:rPr>
          <w:rFonts w:hint="eastAsia"/>
        </w:rPr>
        <w:t>核心数据主要包括关系国家安全重点领域的数据，关系国民经济命脉、重要民生、重大公共利益的数据，经国家有关部门评估确定的其他数据。</w:t>
      </w:r>
    </w:p>
    <w:p>
      <w:pPr>
        <w:pStyle w:val="57"/>
        <w:ind w:firstLine="420"/>
      </w:pPr>
      <w:r>
        <w:rPr>
          <w:rFonts w:hint="eastAsia"/>
        </w:rPr>
        <w:t>[来源：GB/T 43697，3.3]</w:t>
      </w:r>
    </w:p>
    <w:p>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衍生数据 derived data</w:t>
      </w:r>
    </w:p>
    <w:p>
      <w:pPr>
        <w:pStyle w:val="57"/>
        <w:ind w:firstLine="420"/>
      </w:pPr>
      <w:r>
        <w:rPr>
          <w:rFonts w:hint="eastAsia"/>
        </w:rPr>
        <w:t>经过统计、关联、挖掘、聚合、去标识化等加工活动而产生的数据。</w:t>
      </w:r>
    </w:p>
    <w:p>
      <w:pPr>
        <w:pStyle w:val="57"/>
        <w:ind w:firstLine="420"/>
      </w:pPr>
      <w:r>
        <w:rPr>
          <w:rFonts w:hint="eastAsia"/>
        </w:rPr>
        <w:t>[来源：GB/T 43697，3.10]</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个人信息 personal information</w:t>
      </w:r>
    </w:p>
    <w:p>
      <w:pPr>
        <w:pStyle w:val="57"/>
        <w:ind w:firstLine="420"/>
      </w:pPr>
      <w:r>
        <w:rPr>
          <w:rFonts w:hint="eastAsia"/>
        </w:rPr>
        <w:t>以电子或者其他方式记录的与已识别或者可识别的自然人有关的各种信息，不包括匿名化处理后的信息。</w:t>
      </w:r>
    </w:p>
    <w:p>
      <w:pPr>
        <w:pStyle w:val="57"/>
        <w:ind w:firstLine="420"/>
      </w:pPr>
      <w:r>
        <w:rPr>
          <w:rFonts w:hint="eastAsia"/>
        </w:rPr>
        <w:t>[来源：GB/T 43697，3.5，有修改]</w:t>
      </w:r>
    </w:p>
    <w:p>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敏感个人信息 sensitive personal information</w:t>
      </w:r>
    </w:p>
    <w:p>
      <w:pPr>
        <w:pStyle w:val="57"/>
        <w:ind w:firstLine="420"/>
      </w:pPr>
      <w:r>
        <w:rPr>
          <w:rFonts w:hint="eastAsia"/>
        </w:rPr>
        <w:t>一旦泄露或者非法使用，容易导致自然人的人格尊严受到侵害或者人身、财产安全受到危害的个人信息。</w:t>
      </w:r>
    </w:p>
    <w:p>
      <w:pPr>
        <w:pStyle w:val="180"/>
      </w:pPr>
      <w:r>
        <w:rPr>
          <w:rFonts w:hint="eastAsia"/>
        </w:rPr>
        <w:t>个人敏感数据：生物识别信息、宗教信仰信息、特定身份信息、医疗健康信息、金融账户信息、行踪轨迹信息、未成年人个人信息。</w:t>
      </w:r>
    </w:p>
    <w:p>
      <w:pPr>
        <w:pStyle w:val="57"/>
        <w:ind w:firstLine="420"/>
      </w:pPr>
      <w:r>
        <w:rPr>
          <w:rFonts w:hint="eastAsia"/>
        </w:rPr>
        <w:t>[来源：GB/T 43697，3.6，有修改]</w:t>
      </w:r>
    </w:p>
    <w:p>
      <w:pPr>
        <w:pStyle w:val="105"/>
        <w:spacing w:before="312" w:after="312"/>
      </w:pPr>
      <w:bookmarkStart w:id="72" w:name="_Toc181210113"/>
      <w:bookmarkStart w:id="73" w:name="_Toc175919362"/>
      <w:bookmarkStart w:id="74" w:name="_Toc180440608"/>
      <w:bookmarkStart w:id="75" w:name="_Toc181286221"/>
      <w:bookmarkStart w:id="76" w:name="_Toc175929630"/>
      <w:bookmarkStart w:id="77" w:name="_Toc175172438"/>
      <w:bookmarkStart w:id="78" w:name="_Toc181278515"/>
      <w:r>
        <w:rPr>
          <w:rFonts w:hint="eastAsia"/>
        </w:rPr>
        <w:t>分类分级原则</w:t>
      </w:r>
      <w:bookmarkEnd w:id="72"/>
      <w:bookmarkEnd w:id="73"/>
      <w:bookmarkEnd w:id="74"/>
      <w:bookmarkEnd w:id="75"/>
      <w:bookmarkEnd w:id="76"/>
      <w:bookmarkEnd w:id="77"/>
      <w:bookmarkEnd w:id="78"/>
    </w:p>
    <w:p>
      <w:pPr>
        <w:pStyle w:val="57"/>
        <w:ind w:firstLine="420"/>
      </w:pPr>
      <w:r>
        <w:rPr>
          <w:rFonts w:hint="eastAsia"/>
        </w:rPr>
        <w:t>政务数据分类分级原则按照</w:t>
      </w:r>
      <w:r>
        <w:t>GB/T</w:t>
      </w:r>
      <w:r>
        <w:rPr>
          <w:rFonts w:hint="eastAsia"/>
        </w:rPr>
        <w:t xml:space="preserve"> </w:t>
      </w:r>
      <w:r>
        <w:t>43697</w:t>
      </w:r>
      <w:r>
        <w:rPr>
          <w:rFonts w:hint="eastAsia"/>
        </w:rPr>
        <w:t xml:space="preserve"> 中数据分类分级基本原则要求执行。</w:t>
      </w:r>
    </w:p>
    <w:p>
      <w:pPr>
        <w:pStyle w:val="105"/>
        <w:spacing w:before="312" w:after="312"/>
      </w:pPr>
      <w:bookmarkStart w:id="79" w:name="_Toc180440609"/>
      <w:bookmarkStart w:id="80" w:name="_Toc181210114"/>
      <w:bookmarkStart w:id="81" w:name="_Toc181278516"/>
      <w:bookmarkStart w:id="82" w:name="_Toc175919363"/>
      <w:bookmarkStart w:id="83" w:name="_Toc181286222"/>
      <w:bookmarkStart w:id="84" w:name="_Toc175172444"/>
      <w:bookmarkStart w:id="85" w:name="_Toc175929631"/>
      <w:r>
        <w:rPr>
          <w:rFonts w:hint="eastAsia"/>
        </w:rPr>
        <w:t>数据分类</w:t>
      </w:r>
      <w:bookmarkEnd w:id="79"/>
      <w:bookmarkEnd w:id="80"/>
      <w:bookmarkEnd w:id="81"/>
      <w:bookmarkEnd w:id="82"/>
      <w:bookmarkEnd w:id="83"/>
      <w:bookmarkEnd w:id="84"/>
      <w:bookmarkEnd w:id="85"/>
    </w:p>
    <w:p>
      <w:pPr>
        <w:pStyle w:val="106"/>
        <w:spacing w:before="156" w:after="156"/>
      </w:pPr>
      <w:bookmarkStart w:id="86" w:name="_Toc175919364"/>
      <w:bookmarkStart w:id="87" w:name="_Toc181278517"/>
      <w:bookmarkStart w:id="88" w:name="_Toc181286223"/>
      <w:bookmarkStart w:id="89" w:name="_Toc175172445"/>
      <w:bookmarkStart w:id="90" w:name="_Toc180440610"/>
      <w:bookmarkStart w:id="91" w:name="_Toc181210115"/>
      <w:bookmarkStart w:id="92" w:name="_Toc175929632"/>
      <w:r>
        <w:rPr>
          <w:rFonts w:hint="eastAsia"/>
        </w:rPr>
        <w:t>方法</w:t>
      </w:r>
      <w:bookmarkEnd w:id="86"/>
      <w:bookmarkEnd w:id="87"/>
      <w:bookmarkEnd w:id="88"/>
      <w:bookmarkEnd w:id="89"/>
      <w:bookmarkEnd w:id="90"/>
      <w:bookmarkEnd w:id="91"/>
      <w:bookmarkEnd w:id="92"/>
    </w:p>
    <w:p>
      <w:pPr>
        <w:pStyle w:val="66"/>
        <w:spacing w:before="156" w:after="156"/>
      </w:pPr>
      <w:bookmarkStart w:id="93" w:name="_Toc181278518"/>
      <w:bookmarkStart w:id="94" w:name="_Toc181286224"/>
      <w:bookmarkStart w:id="95" w:name="_Toc175172446"/>
      <w:bookmarkStart w:id="96" w:name="_Toc180440611"/>
      <w:bookmarkStart w:id="97" w:name="_Toc181210116"/>
      <w:bookmarkStart w:id="98" w:name="_Toc175929633"/>
      <w:bookmarkStart w:id="99" w:name="_Toc175919365"/>
      <w:r>
        <w:rPr>
          <w:rFonts w:hint="eastAsia"/>
        </w:rPr>
        <w:t>分类框架</w:t>
      </w:r>
      <w:bookmarkEnd w:id="93"/>
      <w:bookmarkEnd w:id="94"/>
      <w:bookmarkEnd w:id="95"/>
      <w:bookmarkEnd w:id="96"/>
      <w:bookmarkEnd w:id="97"/>
      <w:bookmarkEnd w:id="98"/>
      <w:bookmarkEnd w:id="99"/>
    </w:p>
    <w:p>
      <w:pPr>
        <w:pStyle w:val="57"/>
        <w:ind w:firstLine="420"/>
      </w:pPr>
      <w:r>
        <w:rPr>
          <w:rFonts w:hint="eastAsia"/>
        </w:rPr>
        <w:t>本文件采用多维度和线分类法相结合的方法，政务部门可选择数据用途、数据主体、数据共享、数据来源四个维度中一个或多个维度对数据进行分类，对于各级类别划分，可根据实际需要，采用线分类法（示意图参见图1）进行细分。</w:t>
      </w:r>
    </w:p>
    <w:p>
      <w:pPr>
        <w:pStyle w:val="180"/>
      </w:pPr>
      <w:r>
        <w:rPr>
          <w:rFonts w:hint="eastAsia"/>
        </w:rPr>
        <w:t>线分类法主要是按照选定的若干属性（或特征），逐次地分为若干层级，每个层级又分为若干类目，同一分支的同层级类目之间构成并列关系，不同层级类目之间构成隶属关系。</w:t>
      </w:r>
    </w:p>
    <w:p>
      <w:pPr>
        <w:pStyle w:val="57"/>
        <w:ind w:firstLine="420"/>
        <w:jc w:val="center"/>
      </w:pPr>
      <w:r>
        <w:drawing>
          <wp:inline distT="0" distB="0" distL="0" distR="0">
            <wp:extent cx="4228465" cy="2965450"/>
            <wp:effectExtent l="0" t="0" r="635" b="6350"/>
            <wp:docPr id="1557368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68087" name="图片 1"/>
                    <pic:cNvPicPr>
                      <a:picLocks noChangeAspect="1"/>
                    </pic:cNvPicPr>
                  </pic:nvPicPr>
                  <pic:blipFill>
                    <a:blip r:embed="rId27">
                      <a:grayscl/>
                      <a:extLst>
                        <a:ext uri="{BEBA8EAE-BF5A-486C-A8C5-ECC9F3942E4B}">
                          <a14:imgProps xmlns:a14="http://schemas.microsoft.com/office/drawing/2010/main">
                            <a14:imgLayer r:embed="rId28">
                              <a14:imgEffect>
                                <a14:brightnessContrast bright="20000" contrast="-40000"/>
                              </a14:imgEffect>
                            </a14:imgLayer>
                          </a14:imgProps>
                        </a:ext>
                      </a:extLst>
                    </a:blip>
                    <a:stretch>
                      <a:fillRect/>
                    </a:stretch>
                  </pic:blipFill>
                  <pic:spPr>
                    <a:xfrm>
                      <a:off x="0" y="0"/>
                      <a:ext cx="4228465" cy="2965450"/>
                    </a:xfrm>
                    <a:prstGeom prst="rect">
                      <a:avLst/>
                    </a:prstGeom>
                  </pic:spPr>
                </pic:pic>
              </a:graphicData>
            </a:graphic>
          </wp:inline>
        </w:drawing>
      </w:r>
    </w:p>
    <w:p>
      <w:pPr>
        <w:pStyle w:val="115"/>
        <w:spacing w:before="156" w:after="156"/>
      </w:pPr>
      <w:r>
        <w:rPr>
          <w:rFonts w:hint="eastAsia"/>
        </w:rPr>
        <w:t>线分类法示意图</w:t>
      </w:r>
    </w:p>
    <w:p>
      <w:pPr>
        <w:pStyle w:val="66"/>
        <w:spacing w:before="156" w:after="156"/>
      </w:pPr>
      <w:bookmarkStart w:id="100" w:name="_Toc180440612"/>
      <w:bookmarkStart w:id="101" w:name="_Toc181286225"/>
      <w:bookmarkStart w:id="102" w:name="_Toc181210117"/>
      <w:bookmarkStart w:id="103" w:name="_Toc181278519"/>
      <w:bookmarkStart w:id="104" w:name="_Toc175919366"/>
      <w:bookmarkStart w:id="105" w:name="_Toc175172447"/>
      <w:bookmarkStart w:id="106" w:name="_Toc175929634"/>
      <w:r>
        <w:rPr>
          <w:rFonts w:hint="eastAsia"/>
        </w:rPr>
        <w:t>数据用途维度</w:t>
      </w:r>
      <w:bookmarkEnd w:id="100"/>
      <w:bookmarkEnd w:id="101"/>
      <w:bookmarkEnd w:id="102"/>
      <w:bookmarkEnd w:id="103"/>
      <w:bookmarkEnd w:id="104"/>
      <w:bookmarkEnd w:id="105"/>
      <w:bookmarkEnd w:id="106"/>
    </w:p>
    <w:p>
      <w:pPr>
        <w:pStyle w:val="165"/>
      </w:pPr>
      <w:r>
        <w:rPr>
          <w:rFonts w:hint="eastAsia"/>
        </w:rPr>
        <w:t>按照政务数据的管理属性进行细化分类，一级类别分为基础数据、主题数据、专题数据。</w:t>
      </w:r>
    </w:p>
    <w:p>
      <w:pPr>
        <w:pStyle w:val="165"/>
      </w:pPr>
      <w:r>
        <w:rPr>
          <w:rFonts w:hint="eastAsia"/>
        </w:rPr>
        <w:t>二级类别在一级类别基础上细化，参考如下：</w:t>
      </w:r>
    </w:p>
    <w:p>
      <w:pPr>
        <w:pStyle w:val="133"/>
      </w:pPr>
      <w:r>
        <w:rPr>
          <w:rFonts w:hint="eastAsia"/>
        </w:rPr>
        <w:t>基础数据：国家人口基础数据、法人单位基础数据、自然资源和空间地理基础数据、社会信用基础数据、电子证照基础数据等类别；</w:t>
      </w:r>
    </w:p>
    <w:p>
      <w:pPr>
        <w:pStyle w:val="133"/>
      </w:pPr>
      <w:r>
        <w:rPr>
          <w:rFonts w:hint="eastAsia"/>
        </w:rPr>
        <w:t>主题数据：公共服务、健康保障、社会保障、食品药品安全、安全生产、价格监管、能源安全、信用体系、城乡建设、社区治理、生态环保、应急维稳等类别；</w:t>
      </w:r>
    </w:p>
    <w:p>
      <w:pPr>
        <w:pStyle w:val="133"/>
      </w:pPr>
      <w:r>
        <w:rPr>
          <w:rFonts w:hint="eastAsia"/>
        </w:rPr>
        <w:t>专题数据：社会服务、经济发展、公共安全、城市运行、社会稳定、舆情监测等类别。</w:t>
      </w:r>
    </w:p>
    <w:p>
      <w:pPr>
        <w:pStyle w:val="180"/>
      </w:pPr>
      <w:r>
        <w:rPr>
          <w:rFonts w:hint="eastAsia"/>
        </w:rPr>
        <w:t>主题数据是围绕经济社会发展的同一主题领域，由多部门数据共同形成的政务数据目录。</w:t>
      </w:r>
    </w:p>
    <w:p>
      <w:pPr>
        <w:pStyle w:val="66"/>
        <w:spacing w:before="156" w:after="156"/>
      </w:pPr>
      <w:bookmarkStart w:id="107" w:name="_Toc175929635"/>
      <w:bookmarkStart w:id="108" w:name="_Toc175919367"/>
      <w:bookmarkStart w:id="109" w:name="_Toc181286226"/>
      <w:bookmarkStart w:id="110" w:name="_Toc181210118"/>
      <w:bookmarkStart w:id="111" w:name="_Toc175172448"/>
      <w:bookmarkStart w:id="112" w:name="_Toc181278520"/>
      <w:bookmarkStart w:id="113" w:name="_Toc180440613"/>
      <w:r>
        <w:rPr>
          <w:rFonts w:hint="eastAsia"/>
        </w:rPr>
        <w:t>数据主体维度</w:t>
      </w:r>
      <w:bookmarkEnd w:id="107"/>
      <w:bookmarkEnd w:id="108"/>
      <w:bookmarkEnd w:id="109"/>
      <w:bookmarkEnd w:id="110"/>
      <w:bookmarkEnd w:id="111"/>
      <w:bookmarkEnd w:id="112"/>
      <w:bookmarkEnd w:id="113"/>
    </w:p>
    <w:p>
      <w:pPr>
        <w:pStyle w:val="165"/>
      </w:pPr>
      <w:r>
        <w:rPr>
          <w:rFonts w:hint="eastAsia"/>
        </w:rPr>
        <w:t>按照政务数据所属主体或属性进行细化分类，一级类别分为组织数据、个人信息。其中：</w:t>
      </w:r>
    </w:p>
    <w:p>
      <w:pPr>
        <w:pStyle w:val="133"/>
      </w:pPr>
      <w:r>
        <w:rPr>
          <w:rFonts w:hint="eastAsia"/>
        </w:rPr>
        <w:t>组织数据指政务部门在自身运营活动中收集、产生的不涉及个人信息和公共利益的数据；</w:t>
      </w:r>
    </w:p>
    <w:p>
      <w:pPr>
        <w:pStyle w:val="133"/>
      </w:pPr>
      <w:r>
        <w:rPr>
          <w:rFonts w:hint="eastAsia"/>
        </w:rPr>
        <w:t>个人信息指以电子或者其他方式记录的与已识别或者可识别的自然人有关的各种信息。</w:t>
      </w:r>
    </w:p>
    <w:p>
      <w:pPr>
        <w:pStyle w:val="165"/>
      </w:pPr>
      <w:r>
        <w:rPr>
          <w:rFonts w:hint="eastAsia"/>
        </w:rPr>
        <w:t>二级类别在一级类别基础上细化，参考如下：</w:t>
      </w:r>
    </w:p>
    <w:p>
      <w:pPr>
        <w:pStyle w:val="133"/>
      </w:pPr>
      <w:r>
        <w:rPr>
          <w:rFonts w:hint="eastAsia"/>
        </w:rPr>
        <w:t>组织数据：不涉及个人信息和公共利益的业务数据、经营管理数据、系统运维数据等类别；</w:t>
      </w:r>
    </w:p>
    <w:p>
      <w:pPr>
        <w:pStyle w:val="133"/>
      </w:pPr>
      <w:r>
        <w:rPr>
          <w:rFonts w:hint="eastAsia"/>
        </w:rPr>
        <w:t>个人信息：个人身份信息、个人生物识别信息、个人财产信息、个人通信信息、个人位置信息、个人健康生理信息等类别。</w:t>
      </w:r>
    </w:p>
    <w:p>
      <w:pPr>
        <w:pStyle w:val="66"/>
        <w:spacing w:before="156" w:after="156"/>
      </w:pPr>
      <w:bookmarkStart w:id="114" w:name="_Toc175919368"/>
      <w:bookmarkStart w:id="115" w:name="_Toc181286227"/>
      <w:bookmarkStart w:id="116" w:name="_Toc181278521"/>
      <w:bookmarkStart w:id="117" w:name="_Toc180440614"/>
      <w:bookmarkStart w:id="118" w:name="_Toc175172449"/>
      <w:bookmarkStart w:id="119" w:name="_Toc175929636"/>
      <w:bookmarkStart w:id="120" w:name="_Toc181210119"/>
      <w:r>
        <w:rPr>
          <w:rFonts w:hint="eastAsia"/>
        </w:rPr>
        <w:t>数据共享维度</w:t>
      </w:r>
      <w:bookmarkEnd w:id="114"/>
      <w:bookmarkEnd w:id="115"/>
      <w:bookmarkEnd w:id="116"/>
      <w:bookmarkEnd w:id="117"/>
      <w:bookmarkEnd w:id="118"/>
      <w:bookmarkEnd w:id="119"/>
      <w:bookmarkEnd w:id="120"/>
    </w:p>
    <w:p>
      <w:pPr>
        <w:pStyle w:val="57"/>
        <w:ind w:firstLine="420"/>
      </w:pPr>
      <w:r>
        <w:rPr>
          <w:rFonts w:hint="eastAsia"/>
        </w:rPr>
        <w:t>按照湖南省政务信息资源共享属性及要求将政务数据分类为：</w:t>
      </w:r>
    </w:p>
    <w:p>
      <w:pPr>
        <w:pStyle w:val="133"/>
      </w:pPr>
      <w:r>
        <w:rPr>
          <w:rFonts w:hint="eastAsia"/>
        </w:rPr>
        <w:t>无条件共享类：可提供给所有政务部门共享使用的政务信息资源；</w:t>
      </w:r>
    </w:p>
    <w:p>
      <w:pPr>
        <w:pStyle w:val="133"/>
      </w:pPr>
      <w:r>
        <w:rPr>
          <w:rFonts w:hint="eastAsia"/>
        </w:rPr>
        <w:t>有条件共享类：可提供给相关政务部门或者仅能够部分提供给其他政务部门共享使用的政务信息资源；</w:t>
      </w:r>
    </w:p>
    <w:p>
      <w:pPr>
        <w:pStyle w:val="133"/>
      </w:pPr>
      <w:r>
        <w:rPr>
          <w:rFonts w:hint="eastAsia"/>
        </w:rPr>
        <w:t>不予共享类：不宜提供给其他政务部门共享使用的政务信息资源。</w:t>
      </w:r>
    </w:p>
    <w:p>
      <w:pPr>
        <w:pStyle w:val="66"/>
        <w:spacing w:before="156" w:after="156"/>
      </w:pPr>
      <w:bookmarkStart w:id="121" w:name="_Toc175929637"/>
      <w:bookmarkStart w:id="122" w:name="_Toc181278522"/>
      <w:bookmarkStart w:id="123" w:name="_Toc181210120"/>
      <w:bookmarkStart w:id="124" w:name="_Toc175919369"/>
      <w:bookmarkStart w:id="125" w:name="_Toc175172450"/>
      <w:bookmarkStart w:id="126" w:name="_Toc180440615"/>
      <w:bookmarkStart w:id="127" w:name="_Toc181286228"/>
      <w:r>
        <w:rPr>
          <w:rFonts w:hint="eastAsia"/>
        </w:rPr>
        <w:t>数据来源维度</w:t>
      </w:r>
      <w:bookmarkEnd w:id="121"/>
      <w:bookmarkEnd w:id="122"/>
      <w:bookmarkEnd w:id="123"/>
      <w:bookmarkEnd w:id="124"/>
      <w:bookmarkEnd w:id="125"/>
      <w:bookmarkEnd w:id="126"/>
      <w:bookmarkEnd w:id="127"/>
    </w:p>
    <w:p>
      <w:pPr>
        <w:pStyle w:val="57"/>
        <w:ind w:firstLine="420"/>
      </w:pPr>
      <w:r>
        <w:rPr>
          <w:rFonts w:hint="eastAsia"/>
        </w:rPr>
        <w:t>按照政务数据来源属性，将政务数据分类为：</w:t>
      </w:r>
    </w:p>
    <w:p>
      <w:pPr>
        <w:pStyle w:val="133"/>
      </w:pPr>
      <w:r>
        <w:rPr>
          <w:rFonts w:hint="eastAsia"/>
        </w:rPr>
        <w:t>政府部门数据，根据来源部门进行细化；</w:t>
      </w:r>
    </w:p>
    <w:p>
      <w:pPr>
        <w:pStyle w:val="133"/>
      </w:pPr>
      <w:r>
        <w:rPr>
          <w:rFonts w:hint="eastAsia"/>
        </w:rPr>
        <w:t>法人及其他组织数据；</w:t>
      </w:r>
    </w:p>
    <w:p>
      <w:pPr>
        <w:pStyle w:val="133"/>
      </w:pPr>
      <w:r>
        <w:rPr>
          <w:rFonts w:hint="eastAsia"/>
        </w:rPr>
        <w:t>公民个人数据。</w:t>
      </w:r>
    </w:p>
    <w:p>
      <w:pPr>
        <w:pStyle w:val="106"/>
        <w:spacing w:before="156" w:after="156"/>
      </w:pPr>
      <w:bookmarkStart w:id="128" w:name="_Toc175172451"/>
      <w:bookmarkStart w:id="129" w:name="_Toc181210121"/>
      <w:bookmarkStart w:id="130" w:name="_Toc181278523"/>
      <w:bookmarkStart w:id="131" w:name="_Toc180440616"/>
      <w:bookmarkStart w:id="132" w:name="_Toc175919370"/>
      <w:bookmarkStart w:id="133" w:name="_Toc175929638"/>
      <w:bookmarkStart w:id="134" w:name="_Toc181286229"/>
      <w:r>
        <w:rPr>
          <w:rFonts w:hint="eastAsia"/>
        </w:rPr>
        <w:t>流程</w:t>
      </w:r>
      <w:bookmarkEnd w:id="128"/>
      <w:bookmarkEnd w:id="129"/>
      <w:bookmarkEnd w:id="130"/>
      <w:bookmarkEnd w:id="131"/>
      <w:bookmarkEnd w:id="132"/>
      <w:bookmarkEnd w:id="133"/>
      <w:bookmarkEnd w:id="134"/>
    </w:p>
    <w:p>
      <w:pPr>
        <w:pStyle w:val="66"/>
        <w:spacing w:before="156" w:after="156"/>
      </w:pPr>
      <w:bookmarkStart w:id="135" w:name="_Toc181286230"/>
      <w:bookmarkStart w:id="136" w:name="_Toc181278524"/>
      <w:bookmarkStart w:id="137" w:name="_Toc181210122"/>
      <w:bookmarkStart w:id="138" w:name="_Toc175172452"/>
      <w:bookmarkStart w:id="139" w:name="_Toc180440617"/>
      <w:bookmarkStart w:id="140" w:name="_Toc175919371"/>
      <w:bookmarkStart w:id="141" w:name="_Toc175929639"/>
      <w:r>
        <w:rPr>
          <w:rFonts w:hint="eastAsia"/>
        </w:rPr>
        <w:t>概述</w:t>
      </w:r>
      <w:bookmarkEnd w:id="135"/>
      <w:bookmarkEnd w:id="136"/>
      <w:bookmarkEnd w:id="137"/>
      <w:bookmarkEnd w:id="138"/>
      <w:bookmarkEnd w:id="139"/>
      <w:bookmarkEnd w:id="140"/>
      <w:bookmarkEnd w:id="141"/>
    </w:p>
    <w:p>
      <w:pPr>
        <w:pStyle w:val="57"/>
        <w:ind w:firstLine="420"/>
      </w:pPr>
      <w:r>
        <w:rPr>
          <w:rFonts w:hint="eastAsia"/>
        </w:rPr>
        <w:t>数据分类根据数据管理和使用需求，可结合已有数据分类基础，灵活选择业务属性将数据细化分类，数据分类工作流程参见图2</w:t>
      </w:r>
      <w:r>
        <w:t>。</w:t>
      </w:r>
    </w:p>
    <w:p>
      <w:pPr>
        <w:pStyle w:val="57"/>
        <w:ind w:firstLine="420"/>
        <w:jc w:val="center"/>
      </w:pPr>
      <w:r>
        <w:object>
          <v:shape id="_x0000_i1025" o:spt="75" type="#_x0000_t75" style="height:279.6pt;width:468pt;" o:ole="t" filled="f" o:preferrelative="t" stroked="f" coordsize="21600,21600">
            <v:path/>
            <v:fill on="f" focussize="0,0"/>
            <v:stroke on="f" joinstyle="miter"/>
            <v:imagedata r:id="rId30" o:title=""/>
            <o:lock v:ext="edit" aspectratio="f"/>
            <w10:wrap type="none"/>
            <w10:anchorlock/>
          </v:shape>
          <o:OLEObject Type="Embed" ProgID="Visio.Drawing.11" ShapeID="_x0000_i1025" DrawAspect="Content" ObjectID="_1468075725" r:id="rId29">
            <o:LockedField>false</o:LockedField>
          </o:OLEObject>
        </w:object>
      </w:r>
    </w:p>
    <w:p>
      <w:pPr>
        <w:pStyle w:val="115"/>
        <w:spacing w:before="156" w:after="156"/>
      </w:pPr>
      <w:r>
        <w:rPr>
          <w:rFonts w:hint="eastAsia"/>
        </w:rPr>
        <w:t>数据分类工作流程</w:t>
      </w:r>
    </w:p>
    <w:p>
      <w:pPr>
        <w:pStyle w:val="66"/>
        <w:spacing w:before="156" w:after="156"/>
        <w:rPr>
          <w:szCs w:val="21"/>
        </w:rPr>
      </w:pPr>
      <w:bookmarkStart w:id="142" w:name="_Toc180440618"/>
      <w:bookmarkStart w:id="143" w:name="_Toc181278525"/>
      <w:bookmarkStart w:id="144" w:name="_Toc175172453"/>
      <w:bookmarkStart w:id="145" w:name="_Toc181210123"/>
      <w:bookmarkStart w:id="146" w:name="_Toc175919372"/>
      <w:bookmarkStart w:id="147" w:name="_Toc181286231"/>
      <w:bookmarkStart w:id="148" w:name="_Toc175929640"/>
      <w:r>
        <w:rPr>
          <w:rFonts w:hint="eastAsia"/>
        </w:rPr>
        <w:t>分类准备</w:t>
      </w:r>
      <w:bookmarkEnd w:id="142"/>
      <w:bookmarkEnd w:id="143"/>
      <w:bookmarkEnd w:id="144"/>
      <w:bookmarkEnd w:id="145"/>
      <w:bookmarkEnd w:id="146"/>
      <w:bookmarkEnd w:id="147"/>
      <w:bookmarkEnd w:id="148"/>
    </w:p>
    <w:p>
      <w:pPr>
        <w:pStyle w:val="165"/>
      </w:pPr>
      <w:r>
        <w:rPr>
          <w:rFonts w:hint="eastAsia"/>
        </w:rPr>
        <w:t>调研业务数据。对单位内数据的产生情况、存储现状、质量情况、业务类型、敏感程度、应用情况、时效性情况以及权属情况等进行调查研究。</w:t>
      </w:r>
    </w:p>
    <w:p>
      <w:pPr>
        <w:pStyle w:val="165"/>
      </w:pPr>
      <w:r>
        <w:rPr>
          <w:rFonts w:hint="eastAsia"/>
        </w:rPr>
        <w:t>确定数据范围。政务部门按照行业领域主管（监管）部门职责，结合数据调研情况，明确本单位数据分类范围和对象。</w:t>
      </w:r>
    </w:p>
    <w:p>
      <w:pPr>
        <w:pStyle w:val="165"/>
      </w:pPr>
      <w:r>
        <w:rPr>
          <w:rFonts w:hint="eastAsia"/>
        </w:rPr>
        <w:t>确定分类维度。选择数据分类维度，初步确定使用分类维度方法，可选择单个维度或多个维度组合进行分类。</w:t>
      </w:r>
    </w:p>
    <w:p>
      <w:pPr>
        <w:pStyle w:val="66"/>
        <w:spacing w:before="156" w:after="156"/>
      </w:pPr>
      <w:bookmarkStart w:id="149" w:name="_Toc181286232"/>
      <w:bookmarkStart w:id="150" w:name="_Toc181210124"/>
      <w:bookmarkStart w:id="151" w:name="_Toc175172454"/>
      <w:bookmarkStart w:id="152" w:name="_Toc175919373"/>
      <w:bookmarkStart w:id="153" w:name="_Toc181278526"/>
      <w:bookmarkStart w:id="154" w:name="_Toc180440619"/>
      <w:bookmarkStart w:id="155" w:name="_Toc175929641"/>
      <w:r>
        <w:rPr>
          <w:rFonts w:hint="eastAsia"/>
        </w:rPr>
        <w:t>分类实施</w:t>
      </w:r>
      <w:bookmarkEnd w:id="149"/>
      <w:bookmarkEnd w:id="150"/>
      <w:bookmarkEnd w:id="151"/>
      <w:bookmarkEnd w:id="152"/>
      <w:bookmarkEnd w:id="153"/>
      <w:bookmarkEnd w:id="154"/>
      <w:bookmarkEnd w:id="155"/>
    </w:p>
    <w:p>
      <w:pPr>
        <w:pStyle w:val="165"/>
      </w:pPr>
      <w:r>
        <w:rPr>
          <w:rFonts w:hint="eastAsia"/>
        </w:rPr>
        <w:t>制定分类计划。拟定数据分类工作具体的分类实施计划，包括但不限于明确实施步骤、确定实施人员、拟使用实施工具（含模板材料）、开展实施工作要求和检查实施成果要求等。</w:t>
      </w:r>
    </w:p>
    <w:p>
      <w:pPr>
        <w:pStyle w:val="165"/>
      </w:pPr>
      <w:r>
        <w:rPr>
          <w:rFonts w:hint="eastAsia"/>
        </w:rPr>
        <w:t>分类方法审批。政务部门可组织审核数据分类的对象、方法及分类表，并对数据分类对象、方法及分类表进行审议批准。</w:t>
      </w:r>
    </w:p>
    <w:p>
      <w:pPr>
        <w:pStyle w:val="165"/>
      </w:pPr>
      <w:r>
        <w:rPr>
          <w:rFonts w:hint="eastAsia"/>
        </w:rPr>
        <w:t>分类框架制定。对照分类框架结构，从对应的类别中选择适用的分类将数据逐层分类。一级类别应维持不变，二级类别和三级类别可根据实际需要进行扩展，也可继续划分四级子类，细化形成数据规则。</w:t>
      </w:r>
    </w:p>
    <w:p>
      <w:pPr>
        <w:pStyle w:val="165"/>
      </w:pPr>
      <w:r>
        <w:rPr>
          <w:rFonts w:hint="eastAsia"/>
        </w:rPr>
        <w:t>数据分类实施。结合政务数据的实际应用场景拟定具体的分类实施流程，并使用自动化开发工具或脚本，利用其分类算法对政务数据进行分类。同时记录分类实施过程中的各步骤及其分类结果。</w:t>
      </w:r>
    </w:p>
    <w:p>
      <w:pPr>
        <w:pStyle w:val="165"/>
      </w:pPr>
      <w:r>
        <w:rPr>
          <w:rFonts w:hint="eastAsia"/>
        </w:rPr>
        <w:t>分类结果审核。对最后分类完成结果，应形成相关清单内容，并对其内容进行核查，保障数据分类的准确性、一致性。</w:t>
      </w:r>
    </w:p>
    <w:p>
      <w:pPr>
        <w:pStyle w:val="66"/>
        <w:spacing w:before="156" w:after="156"/>
      </w:pPr>
      <w:bookmarkStart w:id="156" w:name="_Toc181278527"/>
      <w:bookmarkStart w:id="157" w:name="_Toc180440620"/>
      <w:bookmarkStart w:id="158" w:name="_Toc175929642"/>
      <w:bookmarkStart w:id="159" w:name="_Toc181286233"/>
      <w:bookmarkStart w:id="160" w:name="_Toc181210125"/>
      <w:bookmarkStart w:id="161" w:name="_Toc175172455"/>
      <w:bookmarkStart w:id="162" w:name="_Toc175919374"/>
      <w:r>
        <w:rPr>
          <w:rFonts w:hint="eastAsia"/>
        </w:rPr>
        <w:t>维护改进</w:t>
      </w:r>
      <w:bookmarkEnd w:id="156"/>
      <w:bookmarkEnd w:id="157"/>
      <w:bookmarkEnd w:id="158"/>
      <w:bookmarkEnd w:id="159"/>
      <w:bookmarkEnd w:id="160"/>
      <w:bookmarkEnd w:id="161"/>
      <w:bookmarkEnd w:id="162"/>
    </w:p>
    <w:p>
      <w:pPr>
        <w:pStyle w:val="165"/>
      </w:pPr>
      <w:r>
        <w:rPr>
          <w:rFonts w:hint="eastAsia"/>
        </w:rPr>
        <w:t>定期评估。定期评估数据分类维度和方法的合理性，检查其是否符合业务场景变化和数据管理需要，定期评估数据分类结果的有效性和应用情况，检查其是否满足业务应用需求的更新。</w:t>
      </w:r>
    </w:p>
    <w:p>
      <w:pPr>
        <w:pStyle w:val="165"/>
      </w:pPr>
      <w:r>
        <w:rPr>
          <w:rFonts w:hint="eastAsia"/>
        </w:rPr>
        <w:t>变更控制。数据资源分类进行变更时，分析数据资源所属分类变更的必要性和合理性，确定是否实施变更；应对新增的业务数据分类结果进行评估并发布新增的业务数据分类结果。</w:t>
      </w:r>
    </w:p>
    <w:p>
      <w:pPr>
        <w:pStyle w:val="105"/>
        <w:spacing w:before="312" w:after="312"/>
      </w:pPr>
      <w:bookmarkStart w:id="163" w:name="_Toc180440621"/>
      <w:bookmarkStart w:id="164" w:name="_Toc181278528"/>
      <w:bookmarkStart w:id="165" w:name="_Toc181210126"/>
      <w:bookmarkStart w:id="166" w:name="_Toc175172456"/>
      <w:bookmarkStart w:id="167" w:name="_Toc175919375"/>
      <w:bookmarkStart w:id="168" w:name="_Toc175929643"/>
      <w:bookmarkStart w:id="169" w:name="_Toc181286234"/>
      <w:r>
        <w:rPr>
          <w:rFonts w:hint="eastAsia"/>
        </w:rPr>
        <w:t>数据分级</w:t>
      </w:r>
      <w:bookmarkEnd w:id="163"/>
      <w:bookmarkEnd w:id="164"/>
      <w:bookmarkEnd w:id="165"/>
      <w:bookmarkEnd w:id="166"/>
      <w:bookmarkEnd w:id="167"/>
      <w:bookmarkEnd w:id="168"/>
      <w:bookmarkEnd w:id="169"/>
    </w:p>
    <w:p>
      <w:pPr>
        <w:pStyle w:val="106"/>
        <w:spacing w:before="156" w:after="156"/>
      </w:pPr>
      <w:bookmarkStart w:id="170" w:name="_Toc181210127"/>
      <w:bookmarkStart w:id="171" w:name="_Toc175172457"/>
      <w:bookmarkStart w:id="172" w:name="_Toc175929644"/>
      <w:bookmarkStart w:id="173" w:name="_Toc181286235"/>
      <w:bookmarkStart w:id="174" w:name="_Toc181278529"/>
      <w:bookmarkStart w:id="175" w:name="_Toc180440622"/>
      <w:bookmarkStart w:id="176" w:name="_Toc175919376"/>
      <w:r>
        <w:rPr>
          <w:rFonts w:hint="eastAsia"/>
        </w:rPr>
        <w:t>方法</w:t>
      </w:r>
      <w:bookmarkEnd w:id="170"/>
      <w:bookmarkEnd w:id="171"/>
      <w:bookmarkEnd w:id="172"/>
      <w:bookmarkEnd w:id="173"/>
      <w:bookmarkEnd w:id="174"/>
      <w:bookmarkEnd w:id="175"/>
      <w:bookmarkEnd w:id="176"/>
    </w:p>
    <w:p>
      <w:pPr>
        <w:pStyle w:val="66"/>
        <w:spacing w:before="156" w:after="156"/>
      </w:pPr>
      <w:bookmarkStart w:id="177" w:name="_Toc180440623"/>
      <w:bookmarkStart w:id="178" w:name="_Toc181286236"/>
      <w:bookmarkStart w:id="179" w:name="_Toc181210128"/>
      <w:bookmarkStart w:id="180" w:name="_Toc175919377"/>
      <w:bookmarkStart w:id="181" w:name="_Toc175929645"/>
      <w:bookmarkStart w:id="182" w:name="_Toc175172458"/>
      <w:bookmarkStart w:id="183" w:name="_Toc181278530"/>
      <w:r>
        <w:rPr>
          <w:rFonts w:hint="eastAsia"/>
        </w:rPr>
        <w:t>分级对象</w:t>
      </w:r>
      <w:bookmarkEnd w:id="177"/>
      <w:bookmarkEnd w:id="178"/>
      <w:bookmarkEnd w:id="179"/>
      <w:bookmarkEnd w:id="180"/>
      <w:bookmarkEnd w:id="181"/>
      <w:bookmarkEnd w:id="182"/>
      <w:bookmarkEnd w:id="183"/>
    </w:p>
    <w:p>
      <w:pPr>
        <w:pStyle w:val="57"/>
        <w:ind w:firstLine="420"/>
      </w:pPr>
      <w:r>
        <w:rPr>
          <w:rFonts w:hint="eastAsia" w:hAnsi="宋体"/>
        </w:rPr>
        <w:t>数据分级对象主要包括结构化数据、半结构化数据和非结构化数据，数据分级的最小单元为数据项，对数据项进行分级时，默认数据项集合的安全级别为其所包含数据项级别的最高级别。非结构化数据应按照其数据标签及标签聚合情况下的敏感程度进行分级。</w:t>
      </w:r>
    </w:p>
    <w:p>
      <w:pPr>
        <w:pStyle w:val="66"/>
        <w:spacing w:before="156" w:after="156"/>
      </w:pPr>
      <w:bookmarkStart w:id="184" w:name="_Toc181278531"/>
      <w:bookmarkStart w:id="185" w:name="_Toc175172459"/>
      <w:bookmarkStart w:id="186" w:name="_Toc180440624"/>
      <w:bookmarkStart w:id="187" w:name="_Toc181286237"/>
      <w:bookmarkStart w:id="188" w:name="_Toc175929646"/>
      <w:bookmarkStart w:id="189" w:name="_Toc181210129"/>
      <w:bookmarkStart w:id="190" w:name="_Toc175919378"/>
      <w:r>
        <w:rPr>
          <w:rFonts w:hint="eastAsia"/>
        </w:rPr>
        <w:t>分级框架</w:t>
      </w:r>
      <w:bookmarkEnd w:id="184"/>
      <w:bookmarkEnd w:id="185"/>
      <w:bookmarkEnd w:id="186"/>
      <w:bookmarkEnd w:id="187"/>
      <w:bookmarkEnd w:id="188"/>
      <w:bookmarkEnd w:id="189"/>
      <w:bookmarkEnd w:id="190"/>
    </w:p>
    <w:p>
      <w:pPr>
        <w:pStyle w:val="57"/>
        <w:ind w:firstLine="420"/>
        <w:rPr>
          <w:rFonts w:hint="eastAsia" w:hAnsi="宋体"/>
        </w:rPr>
      </w:pPr>
      <w:r>
        <w:rPr>
          <w:rFonts w:hint="eastAsia" w:hAnsi="宋体"/>
        </w:rPr>
        <w:t>根据数据在经济社会发展中的重要程度，以及一旦遭到泄露、篡改、损毁或者非法获取、非法使用、非法共享，对国家安全、经济运行、社会秩序、公共利益、组织权益、个人权益造成的危害程度，将数据从高到低分为核心数据、重要数据、一般数据三个级别；根据单位内部数据安全管控需求，将一般数据继续细分级别，由高到低分为二级、一级，总体包括四个安全等级。</w:t>
      </w:r>
    </w:p>
    <w:p>
      <w:pPr>
        <w:pStyle w:val="66"/>
        <w:spacing w:before="156" w:after="156"/>
      </w:pPr>
      <w:bookmarkStart w:id="191" w:name="_Toc180440625"/>
      <w:bookmarkStart w:id="192" w:name="_Toc181278532"/>
      <w:bookmarkStart w:id="193" w:name="_Toc175929647"/>
      <w:bookmarkStart w:id="194" w:name="_Toc181286238"/>
      <w:bookmarkStart w:id="195" w:name="_Toc181210130"/>
      <w:r>
        <w:rPr>
          <w:rFonts w:hint="eastAsia"/>
        </w:rPr>
        <w:t>数据影响分析</w:t>
      </w:r>
      <w:bookmarkEnd w:id="191"/>
      <w:bookmarkEnd w:id="192"/>
      <w:bookmarkEnd w:id="193"/>
      <w:bookmarkEnd w:id="194"/>
      <w:bookmarkEnd w:id="195"/>
    </w:p>
    <w:p>
      <w:pPr>
        <w:pStyle w:val="165"/>
      </w:pPr>
      <w:r>
        <w:t>影响对象指政务数据安全性遭受破坏后受到影响的对象，包括国家安全、经济运行、社会稳定、公共利益、组织权益、个人权益等</w:t>
      </w:r>
      <w:r>
        <w:rPr>
          <w:rFonts w:hint="eastAsia"/>
        </w:rPr>
        <w:t>，影响对象的判断与分析应按照GB/T 43697中6.4.1要求执行。</w:t>
      </w:r>
    </w:p>
    <w:p>
      <w:pPr>
        <w:pStyle w:val="165"/>
      </w:pPr>
      <w:r>
        <w:t>影响程度是指数据一旦遭到泄露、篡改、破坏或者非法获取、非法利用、非法共享，可能造成的影响程度。影响程度从高到低可分为特别严重危害、严重危害、一般危害。</w:t>
      </w:r>
      <w:r>
        <w:rPr>
          <w:rFonts w:hint="eastAsia"/>
        </w:rPr>
        <w:t>影响程度的规则确定应按照GB/T 43697中6.4.2要求执行。</w:t>
      </w:r>
    </w:p>
    <w:p>
      <w:pPr>
        <w:pStyle w:val="66"/>
        <w:spacing w:before="156" w:after="156"/>
      </w:pPr>
      <w:bookmarkStart w:id="196" w:name="_Toc175919379"/>
      <w:bookmarkStart w:id="197" w:name="_Toc175172460"/>
      <w:bookmarkStart w:id="198" w:name="_Toc180440626"/>
      <w:bookmarkStart w:id="199" w:name="_Toc181286239"/>
      <w:bookmarkStart w:id="200" w:name="_Toc181278533"/>
      <w:bookmarkStart w:id="201" w:name="_Toc175929648"/>
      <w:bookmarkStart w:id="202" w:name="_Toc181210131"/>
      <w:r>
        <w:rPr>
          <w:rFonts w:hint="eastAsia"/>
        </w:rPr>
        <w:t>分级规则</w:t>
      </w:r>
      <w:bookmarkEnd w:id="196"/>
      <w:bookmarkEnd w:id="197"/>
      <w:bookmarkEnd w:id="198"/>
      <w:bookmarkEnd w:id="199"/>
      <w:bookmarkEnd w:id="200"/>
      <w:bookmarkEnd w:id="201"/>
      <w:bookmarkEnd w:id="202"/>
    </w:p>
    <w:p>
      <w:pPr>
        <w:pStyle w:val="57"/>
        <w:ind w:firstLine="420"/>
        <w:rPr>
          <w:rFonts w:hint="eastAsia" w:hAnsi="宋体"/>
        </w:rPr>
      </w:pPr>
      <w:r>
        <w:rPr>
          <w:rFonts w:hint="eastAsia" w:hAnsi="宋体"/>
        </w:rPr>
        <w:t>根据数据的安全属性被破坏后造成的影响对象、影响程度，将数据划分为四个级别，由高到低分别为四级、三级、二级、一级，触发其中一个即达到对应的最低安全等级，具体对应关系见表1。</w:t>
      </w:r>
    </w:p>
    <w:p>
      <w:pPr>
        <w:pStyle w:val="57"/>
        <w:ind w:firstLine="420"/>
        <w:rPr>
          <w:rFonts w:hint="eastAsia" w:hAnsi="宋体"/>
        </w:rPr>
      </w:pPr>
    </w:p>
    <w:p>
      <w:pPr>
        <w:pStyle w:val="113"/>
        <w:spacing w:before="156" w:after="156"/>
      </w:pPr>
      <w:r>
        <w:rPr>
          <w:rFonts w:hint="eastAsia"/>
        </w:rPr>
        <w:t>数据分级规则</w:t>
      </w:r>
    </w:p>
    <w:tbl>
      <w:tblPr>
        <w:tblStyle w:val="33"/>
        <w:tblW w:w="9425"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84"/>
        <w:gridCol w:w="1371"/>
        <w:gridCol w:w="1805"/>
        <w:gridCol w:w="42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046" w:type="dxa"/>
            <w:gridSpan w:val="2"/>
            <w:shd w:val="clear" w:color="auto" w:fill="auto"/>
          </w:tcPr>
          <w:p>
            <w:pPr>
              <w:pStyle w:val="57"/>
              <w:ind w:firstLine="0" w:firstLineChars="0"/>
              <w:jc w:val="center"/>
            </w:pPr>
            <w:bookmarkStart w:id="203" w:name="_Hlk175167063"/>
            <w:r>
              <w:rPr>
                <w:rFonts w:hint="eastAsia"/>
              </w:rPr>
              <w:t>数据</w:t>
            </w:r>
            <w:bookmarkEnd w:id="203"/>
            <w:r>
              <w:rPr>
                <w:rFonts w:hint="eastAsia"/>
              </w:rPr>
              <w:t>等级</w:t>
            </w:r>
          </w:p>
        </w:tc>
        <w:tc>
          <w:tcPr>
            <w:tcW w:w="1371" w:type="dxa"/>
            <w:shd w:val="clear" w:color="auto" w:fill="auto"/>
            <w:vAlign w:val="center"/>
          </w:tcPr>
          <w:p>
            <w:pPr>
              <w:pStyle w:val="57"/>
              <w:ind w:firstLine="0" w:firstLineChars="0"/>
              <w:jc w:val="center"/>
            </w:pPr>
            <w:r>
              <w:rPr>
                <w:rFonts w:hint="eastAsia"/>
              </w:rPr>
              <w:t>影响对象</w:t>
            </w:r>
          </w:p>
        </w:tc>
        <w:tc>
          <w:tcPr>
            <w:tcW w:w="1805" w:type="dxa"/>
            <w:shd w:val="clear" w:color="auto" w:fill="auto"/>
            <w:vAlign w:val="center"/>
          </w:tcPr>
          <w:p>
            <w:pPr>
              <w:pStyle w:val="57"/>
              <w:ind w:firstLine="0" w:firstLineChars="0"/>
              <w:jc w:val="center"/>
            </w:pPr>
            <w:r>
              <w:rPr>
                <w:rFonts w:hint="eastAsia"/>
              </w:rPr>
              <w:t>影响程度</w:t>
            </w:r>
          </w:p>
        </w:tc>
        <w:tc>
          <w:tcPr>
            <w:tcW w:w="4203" w:type="dxa"/>
            <w:shd w:val="clear" w:color="auto" w:fill="auto"/>
            <w:vAlign w:val="center"/>
          </w:tcPr>
          <w:p>
            <w:pPr>
              <w:pStyle w:val="57"/>
              <w:ind w:firstLine="0" w:firstLineChars="0"/>
              <w:jc w:val="center"/>
            </w:pPr>
            <w:r>
              <w:rPr>
                <w:rFonts w:hint="eastAsia"/>
              </w:rPr>
              <w:t>数据示例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restart"/>
            <w:vAlign w:val="center"/>
          </w:tcPr>
          <w:p>
            <w:pPr>
              <w:pStyle w:val="57"/>
              <w:ind w:firstLine="0" w:firstLineChars="0"/>
              <w:jc w:val="center"/>
            </w:pPr>
            <w:r>
              <w:rPr>
                <w:rFonts w:hint="eastAsia"/>
              </w:rPr>
              <w:t>四级</w:t>
            </w:r>
          </w:p>
        </w:tc>
        <w:tc>
          <w:tcPr>
            <w:tcW w:w="1484" w:type="dxa"/>
            <w:vMerge w:val="restart"/>
            <w:vAlign w:val="center"/>
          </w:tcPr>
          <w:p>
            <w:pPr>
              <w:pStyle w:val="57"/>
              <w:ind w:firstLine="0" w:firstLineChars="0"/>
              <w:jc w:val="center"/>
            </w:pPr>
            <w:r>
              <w:rPr>
                <w:rFonts w:hint="eastAsia"/>
              </w:rPr>
              <w:t>核心数据</w:t>
            </w:r>
          </w:p>
        </w:tc>
        <w:tc>
          <w:tcPr>
            <w:tcW w:w="1371" w:type="dxa"/>
            <w:vAlign w:val="center"/>
          </w:tcPr>
          <w:p>
            <w:pPr>
              <w:pStyle w:val="57"/>
              <w:ind w:firstLine="0" w:firstLineChars="0"/>
              <w:jc w:val="center"/>
            </w:pPr>
            <w:r>
              <w:rPr>
                <w:rFonts w:hint="eastAsia"/>
              </w:rPr>
              <w:t>国家安全</w:t>
            </w:r>
          </w:p>
        </w:tc>
        <w:tc>
          <w:tcPr>
            <w:tcW w:w="1805" w:type="dxa"/>
            <w:vAlign w:val="center"/>
          </w:tcPr>
          <w:p>
            <w:pPr>
              <w:pStyle w:val="57"/>
              <w:ind w:firstLine="0" w:firstLineChars="0"/>
              <w:jc w:val="center"/>
            </w:pPr>
            <w:r>
              <w:rPr>
                <w:rFonts w:hint="eastAsia"/>
              </w:rPr>
              <w:t>特别严重危害/</w:t>
            </w:r>
          </w:p>
          <w:p>
            <w:pPr>
              <w:pStyle w:val="57"/>
              <w:ind w:firstLine="0" w:firstLineChars="0"/>
              <w:jc w:val="center"/>
            </w:pPr>
            <w:r>
              <w:rPr>
                <w:rFonts w:hint="eastAsia"/>
              </w:rPr>
              <w:t>严重危害</w:t>
            </w:r>
          </w:p>
        </w:tc>
        <w:tc>
          <w:tcPr>
            <w:tcW w:w="4203" w:type="dxa"/>
            <w:vMerge w:val="restart"/>
            <w:vAlign w:val="center"/>
          </w:tcPr>
          <w:p>
            <w:pPr>
              <w:pStyle w:val="57"/>
              <w:ind w:firstLine="0" w:firstLineChars="0"/>
            </w:pPr>
            <w:r>
              <w:rPr>
                <w:rFonts w:hint="eastAsia"/>
              </w:rPr>
              <w:t>如：直接关系国民经济命脉的重要行业和关键领域的经济利益安全的数据。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经济运行</w:t>
            </w:r>
          </w:p>
        </w:tc>
        <w:tc>
          <w:tcPr>
            <w:tcW w:w="1805" w:type="dxa"/>
            <w:vAlign w:val="center"/>
          </w:tcPr>
          <w:p>
            <w:pPr>
              <w:pStyle w:val="57"/>
              <w:ind w:firstLine="0" w:firstLineChars="0"/>
              <w:jc w:val="center"/>
            </w:pPr>
            <w:r>
              <w:rPr>
                <w:rFonts w:hint="eastAsia"/>
              </w:rPr>
              <w:t>特别严重危害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社会秩序</w:t>
            </w:r>
          </w:p>
        </w:tc>
        <w:tc>
          <w:tcPr>
            <w:tcW w:w="1805" w:type="dxa"/>
            <w:vAlign w:val="center"/>
          </w:tcPr>
          <w:p>
            <w:pPr>
              <w:pStyle w:val="57"/>
              <w:ind w:firstLine="0" w:firstLineChars="0"/>
              <w:jc w:val="center"/>
            </w:pPr>
            <w:r>
              <w:rPr>
                <w:rFonts w:hint="eastAsia"/>
              </w:rPr>
              <w:t>特别严重危害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公共利益</w:t>
            </w:r>
          </w:p>
        </w:tc>
        <w:tc>
          <w:tcPr>
            <w:tcW w:w="1805" w:type="dxa"/>
            <w:vAlign w:val="center"/>
          </w:tcPr>
          <w:p>
            <w:pPr>
              <w:pStyle w:val="57"/>
              <w:ind w:firstLine="0" w:firstLineChars="0"/>
              <w:jc w:val="center"/>
            </w:pPr>
            <w:r>
              <w:rPr>
                <w:rFonts w:hint="eastAsia"/>
              </w:rPr>
              <w:t>特别严重危害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restart"/>
            <w:vAlign w:val="center"/>
          </w:tcPr>
          <w:p>
            <w:pPr>
              <w:pStyle w:val="57"/>
              <w:ind w:firstLine="0" w:firstLineChars="0"/>
              <w:jc w:val="center"/>
            </w:pPr>
            <w:r>
              <w:rPr>
                <w:rFonts w:hint="eastAsia"/>
              </w:rPr>
              <w:t>三级</w:t>
            </w:r>
          </w:p>
        </w:tc>
        <w:tc>
          <w:tcPr>
            <w:tcW w:w="1484" w:type="dxa"/>
            <w:vMerge w:val="restart"/>
            <w:vAlign w:val="center"/>
          </w:tcPr>
          <w:p>
            <w:pPr>
              <w:pStyle w:val="57"/>
              <w:ind w:firstLine="0" w:firstLineChars="0"/>
              <w:jc w:val="center"/>
            </w:pPr>
            <w:r>
              <w:rPr>
                <w:rFonts w:hint="eastAsia"/>
              </w:rPr>
              <w:t>重要数据</w:t>
            </w:r>
          </w:p>
        </w:tc>
        <w:tc>
          <w:tcPr>
            <w:tcW w:w="1371" w:type="dxa"/>
            <w:vAlign w:val="center"/>
          </w:tcPr>
          <w:p>
            <w:pPr>
              <w:pStyle w:val="57"/>
              <w:ind w:firstLine="0" w:firstLineChars="0"/>
              <w:jc w:val="center"/>
            </w:pPr>
            <w:r>
              <w:rPr>
                <w:rFonts w:hint="eastAsia"/>
              </w:rPr>
              <w:t>国家安全</w:t>
            </w:r>
          </w:p>
        </w:tc>
        <w:tc>
          <w:tcPr>
            <w:tcW w:w="1805" w:type="dxa"/>
            <w:vAlign w:val="center"/>
          </w:tcPr>
          <w:p>
            <w:pPr>
              <w:pStyle w:val="57"/>
              <w:ind w:firstLine="0" w:firstLineChars="0"/>
              <w:jc w:val="center"/>
            </w:pPr>
            <w:r>
              <w:rPr>
                <w:rFonts w:hint="eastAsia"/>
              </w:rPr>
              <w:t>一般危害</w:t>
            </w:r>
          </w:p>
        </w:tc>
        <w:tc>
          <w:tcPr>
            <w:tcW w:w="4203" w:type="dxa"/>
            <w:vMerge w:val="restart"/>
            <w:vAlign w:val="center"/>
          </w:tcPr>
          <w:p>
            <w:pPr>
              <w:pStyle w:val="57"/>
              <w:ind w:firstLine="0" w:firstLineChars="0"/>
            </w:pPr>
            <w:r>
              <w:rPr>
                <w:rFonts w:hint="eastAsia"/>
              </w:rPr>
              <w:t>如：如未公开的领陆、领水、领空数据、满足一定精度指标的地理数据或与战略物资产能、储备量有关的数据、记录历史文化遗产的数据、描述重点安保单位、重要生产企业、国家重要资产（如铁路、输油管道）的施工图、内部结构、安防情况的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经济运行</w:t>
            </w:r>
          </w:p>
        </w:tc>
        <w:tc>
          <w:tcPr>
            <w:tcW w:w="1805" w:type="dxa"/>
            <w:vAlign w:val="center"/>
          </w:tcPr>
          <w:p>
            <w:pPr>
              <w:pStyle w:val="57"/>
              <w:ind w:firstLine="0" w:firstLineChars="0"/>
              <w:jc w:val="center"/>
            </w:pPr>
            <w:r>
              <w:rPr>
                <w:rFonts w:hint="eastAsia"/>
              </w:rPr>
              <w:t>严重危害/</w:t>
            </w:r>
          </w:p>
          <w:p>
            <w:pPr>
              <w:pStyle w:val="57"/>
              <w:ind w:firstLine="0" w:firstLineChars="0"/>
              <w:jc w:val="center"/>
            </w:pPr>
            <w:r>
              <w:rPr>
                <w:rFonts w:hint="eastAsia"/>
              </w:rPr>
              <w:t>一般危害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社会秩序</w:t>
            </w:r>
          </w:p>
        </w:tc>
        <w:tc>
          <w:tcPr>
            <w:tcW w:w="1805" w:type="dxa"/>
            <w:vAlign w:val="center"/>
          </w:tcPr>
          <w:p>
            <w:pPr>
              <w:pStyle w:val="57"/>
              <w:ind w:firstLine="0" w:firstLineChars="0"/>
              <w:jc w:val="center"/>
            </w:pPr>
            <w:r>
              <w:rPr>
                <w:rFonts w:hint="eastAsia"/>
              </w:rPr>
              <w:t>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公共利益</w:t>
            </w:r>
          </w:p>
        </w:tc>
        <w:tc>
          <w:tcPr>
            <w:tcW w:w="1805" w:type="dxa"/>
            <w:vAlign w:val="center"/>
          </w:tcPr>
          <w:p>
            <w:pPr>
              <w:pStyle w:val="57"/>
              <w:ind w:firstLine="0" w:firstLineChars="0"/>
              <w:jc w:val="center"/>
            </w:pPr>
            <w:r>
              <w:rPr>
                <w:rFonts w:hint="eastAsia"/>
              </w:rPr>
              <w:t>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restart"/>
            <w:vAlign w:val="center"/>
          </w:tcPr>
          <w:p>
            <w:pPr>
              <w:pStyle w:val="57"/>
              <w:ind w:firstLine="0" w:firstLineChars="0"/>
              <w:jc w:val="center"/>
            </w:pPr>
            <w:r>
              <w:rPr>
                <w:rFonts w:hint="eastAsia"/>
              </w:rPr>
              <w:t>二级</w:t>
            </w:r>
          </w:p>
        </w:tc>
        <w:tc>
          <w:tcPr>
            <w:tcW w:w="1484" w:type="dxa"/>
            <w:vMerge w:val="restart"/>
            <w:vAlign w:val="center"/>
          </w:tcPr>
          <w:p>
            <w:pPr>
              <w:pStyle w:val="57"/>
              <w:ind w:firstLine="0" w:firstLineChars="0"/>
              <w:jc w:val="center"/>
            </w:pPr>
            <w:r>
              <w:rPr>
                <w:rFonts w:hint="eastAsia"/>
              </w:rPr>
              <w:t>一般数据</w:t>
            </w:r>
          </w:p>
          <w:p>
            <w:pPr>
              <w:pStyle w:val="57"/>
              <w:ind w:firstLine="0" w:firstLineChars="0"/>
              <w:jc w:val="center"/>
            </w:pPr>
            <w:r>
              <w:rPr>
                <w:rFonts w:hint="eastAsia"/>
              </w:rPr>
              <w:t>（极敏感）</w:t>
            </w:r>
          </w:p>
        </w:tc>
        <w:tc>
          <w:tcPr>
            <w:tcW w:w="1371" w:type="dxa"/>
            <w:shd w:val="clear" w:color="auto" w:fill="auto"/>
            <w:vAlign w:val="center"/>
          </w:tcPr>
          <w:p>
            <w:pPr>
              <w:pStyle w:val="57"/>
              <w:ind w:firstLine="0" w:firstLineChars="0"/>
              <w:jc w:val="center"/>
            </w:pPr>
            <w:r>
              <w:rPr>
                <w:rFonts w:hint="eastAsia"/>
              </w:rPr>
              <w:t>经济运行</w:t>
            </w:r>
          </w:p>
        </w:tc>
        <w:tc>
          <w:tcPr>
            <w:tcW w:w="1805" w:type="dxa"/>
            <w:shd w:val="clear" w:color="auto" w:fill="auto"/>
            <w:vAlign w:val="center"/>
          </w:tcPr>
          <w:p>
            <w:pPr>
              <w:pStyle w:val="57"/>
              <w:ind w:firstLine="0" w:firstLineChars="0"/>
              <w:jc w:val="center"/>
            </w:pPr>
            <w:r>
              <w:rPr>
                <w:rFonts w:hint="eastAsia"/>
              </w:rPr>
              <w:t>一般危害</w:t>
            </w:r>
          </w:p>
        </w:tc>
        <w:tc>
          <w:tcPr>
            <w:tcW w:w="4203" w:type="dxa"/>
            <w:vMerge w:val="restart"/>
            <w:vAlign w:val="center"/>
          </w:tcPr>
          <w:p>
            <w:pPr>
              <w:pStyle w:val="57"/>
              <w:ind w:firstLine="0" w:firstLineChars="0"/>
            </w:pPr>
            <w:r>
              <w:rPr>
                <w:rFonts w:hint="eastAsia"/>
              </w:rPr>
              <w:t>如：公共交通调度数据，敏感个人信息或组织商业秘密中的核心技术等秘密信息。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0" w:firstLineChars="0"/>
              <w:jc w:val="center"/>
            </w:pPr>
          </w:p>
        </w:tc>
        <w:tc>
          <w:tcPr>
            <w:tcW w:w="1484" w:type="dxa"/>
            <w:vMerge w:val="continue"/>
            <w:vAlign w:val="center"/>
          </w:tcPr>
          <w:p>
            <w:pPr>
              <w:pStyle w:val="57"/>
              <w:ind w:firstLine="0" w:firstLineChars="0"/>
              <w:jc w:val="center"/>
            </w:pPr>
          </w:p>
        </w:tc>
        <w:tc>
          <w:tcPr>
            <w:tcW w:w="1371" w:type="dxa"/>
            <w:vAlign w:val="center"/>
          </w:tcPr>
          <w:p>
            <w:pPr>
              <w:pStyle w:val="57"/>
              <w:ind w:firstLine="0" w:firstLineChars="0"/>
              <w:jc w:val="center"/>
            </w:pPr>
            <w:r>
              <w:rPr>
                <w:rFonts w:hint="eastAsia"/>
              </w:rPr>
              <w:t>社会秩序</w:t>
            </w:r>
          </w:p>
        </w:tc>
        <w:tc>
          <w:tcPr>
            <w:tcW w:w="1805" w:type="dxa"/>
            <w:vAlign w:val="center"/>
          </w:tcPr>
          <w:p>
            <w:pPr>
              <w:pStyle w:val="57"/>
              <w:ind w:firstLine="0" w:firstLineChars="0"/>
              <w:jc w:val="center"/>
            </w:pPr>
            <w:r>
              <w:rPr>
                <w:rFonts w:hint="eastAsia"/>
              </w:rPr>
              <w:t>一般危害</w:t>
            </w:r>
          </w:p>
        </w:tc>
        <w:tc>
          <w:tcPr>
            <w:tcW w:w="4203" w:type="dxa"/>
            <w:vMerge w:val="continue"/>
            <w:vAlign w:val="center"/>
          </w:tcPr>
          <w:p>
            <w:pPr>
              <w:pStyle w:val="57"/>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公共利益</w:t>
            </w:r>
          </w:p>
        </w:tc>
        <w:tc>
          <w:tcPr>
            <w:tcW w:w="1805" w:type="dxa"/>
            <w:vAlign w:val="center"/>
          </w:tcPr>
          <w:p>
            <w:pPr>
              <w:pStyle w:val="57"/>
              <w:ind w:firstLine="0" w:firstLineChars="0"/>
              <w:jc w:val="center"/>
            </w:pPr>
            <w:r>
              <w:rPr>
                <w:rFonts w:hint="eastAsia"/>
              </w:rPr>
              <w:t>一般危害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shd w:val="clear" w:color="auto" w:fill="auto"/>
            <w:vAlign w:val="center"/>
          </w:tcPr>
          <w:p>
            <w:pPr>
              <w:pStyle w:val="57"/>
              <w:ind w:firstLine="0" w:firstLineChars="0"/>
              <w:jc w:val="center"/>
            </w:pPr>
            <w:r>
              <w:rPr>
                <w:rFonts w:hint="eastAsia"/>
              </w:rPr>
              <w:t>组织权益</w:t>
            </w:r>
          </w:p>
        </w:tc>
        <w:tc>
          <w:tcPr>
            <w:tcW w:w="1805" w:type="dxa"/>
            <w:shd w:val="clear" w:color="auto" w:fill="auto"/>
            <w:vAlign w:val="center"/>
          </w:tcPr>
          <w:p>
            <w:pPr>
              <w:pStyle w:val="57"/>
              <w:ind w:firstLine="0" w:firstLineChars="0"/>
              <w:jc w:val="center"/>
            </w:pPr>
            <w:r>
              <w:rPr>
                <w:rFonts w:hint="eastAsia"/>
              </w:rPr>
              <w:t>特别严重危害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shd w:val="clear" w:color="auto" w:fill="auto"/>
            <w:vAlign w:val="center"/>
          </w:tcPr>
          <w:p>
            <w:pPr>
              <w:pStyle w:val="57"/>
              <w:ind w:firstLine="0" w:firstLineChars="0"/>
              <w:jc w:val="center"/>
            </w:pPr>
            <w:r>
              <w:rPr>
                <w:rFonts w:hint="eastAsia"/>
              </w:rPr>
              <w:t>个人权益</w:t>
            </w:r>
          </w:p>
        </w:tc>
        <w:tc>
          <w:tcPr>
            <w:tcW w:w="1805" w:type="dxa"/>
            <w:shd w:val="clear" w:color="auto" w:fill="auto"/>
            <w:vAlign w:val="center"/>
          </w:tcPr>
          <w:p>
            <w:pPr>
              <w:pStyle w:val="57"/>
              <w:ind w:firstLine="0" w:firstLineChars="0"/>
              <w:jc w:val="center"/>
            </w:pPr>
            <w:r>
              <w:rPr>
                <w:rFonts w:hint="eastAsia"/>
              </w:rPr>
              <w:t>特别严重危害</w:t>
            </w:r>
          </w:p>
        </w:tc>
        <w:tc>
          <w:tcPr>
            <w:tcW w:w="4203"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restart"/>
            <w:vAlign w:val="center"/>
          </w:tcPr>
          <w:p>
            <w:pPr>
              <w:pStyle w:val="57"/>
              <w:ind w:firstLine="0" w:firstLineChars="0"/>
              <w:jc w:val="center"/>
            </w:pPr>
            <w:r>
              <w:rPr>
                <w:rFonts w:hint="eastAsia"/>
              </w:rPr>
              <w:t>一级</w:t>
            </w:r>
          </w:p>
        </w:tc>
        <w:tc>
          <w:tcPr>
            <w:tcW w:w="1484" w:type="dxa"/>
            <w:vMerge w:val="restart"/>
            <w:vAlign w:val="center"/>
          </w:tcPr>
          <w:p>
            <w:pPr>
              <w:pStyle w:val="57"/>
              <w:ind w:firstLine="0" w:firstLineChars="0"/>
              <w:jc w:val="center"/>
            </w:pPr>
            <w:r>
              <w:rPr>
                <w:rFonts w:hint="eastAsia"/>
              </w:rPr>
              <w:t>一般数据</w:t>
            </w:r>
          </w:p>
          <w:p>
            <w:pPr>
              <w:pStyle w:val="57"/>
              <w:ind w:firstLine="0" w:firstLineChars="0"/>
              <w:jc w:val="center"/>
            </w:pPr>
            <w:r>
              <w:rPr>
                <w:rFonts w:hint="eastAsia"/>
              </w:rPr>
              <w:t>（一般/敏感）</w:t>
            </w:r>
          </w:p>
        </w:tc>
        <w:tc>
          <w:tcPr>
            <w:tcW w:w="1371" w:type="dxa"/>
            <w:vAlign w:val="center"/>
          </w:tcPr>
          <w:p>
            <w:pPr>
              <w:pStyle w:val="57"/>
              <w:ind w:firstLine="0" w:firstLineChars="0"/>
              <w:jc w:val="center"/>
            </w:pPr>
            <w:r>
              <w:rPr>
                <w:rFonts w:hint="eastAsia"/>
              </w:rPr>
              <w:t>组织权益</w:t>
            </w:r>
          </w:p>
        </w:tc>
        <w:tc>
          <w:tcPr>
            <w:tcW w:w="1805" w:type="dxa"/>
            <w:vAlign w:val="center"/>
          </w:tcPr>
          <w:p>
            <w:pPr>
              <w:pStyle w:val="57"/>
              <w:ind w:firstLine="0" w:firstLineChars="0"/>
              <w:jc w:val="center"/>
            </w:pPr>
            <w:r>
              <w:rPr>
                <w:rFonts w:hint="eastAsia"/>
              </w:rPr>
              <w:t>一般危害/严重危害/无危害</w:t>
            </w:r>
          </w:p>
        </w:tc>
        <w:tc>
          <w:tcPr>
            <w:tcW w:w="4203" w:type="dxa"/>
            <w:vMerge w:val="restart"/>
            <w:vAlign w:val="center"/>
          </w:tcPr>
          <w:p>
            <w:pPr>
              <w:pStyle w:val="57"/>
              <w:ind w:firstLine="0" w:firstLineChars="0"/>
            </w:pPr>
            <w:r>
              <w:rPr>
                <w:rFonts w:hint="eastAsia"/>
              </w:rPr>
              <w:t>如：已去标识化的个人信息或统计数据，组织商业秘密中的一般信息。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pStyle w:val="57"/>
              <w:ind w:firstLine="420"/>
              <w:jc w:val="center"/>
            </w:pPr>
          </w:p>
        </w:tc>
        <w:tc>
          <w:tcPr>
            <w:tcW w:w="1484" w:type="dxa"/>
            <w:vMerge w:val="continue"/>
            <w:vAlign w:val="center"/>
          </w:tcPr>
          <w:p>
            <w:pPr>
              <w:pStyle w:val="57"/>
              <w:ind w:firstLine="420"/>
              <w:jc w:val="center"/>
            </w:pPr>
          </w:p>
        </w:tc>
        <w:tc>
          <w:tcPr>
            <w:tcW w:w="1371" w:type="dxa"/>
            <w:vAlign w:val="center"/>
          </w:tcPr>
          <w:p>
            <w:pPr>
              <w:pStyle w:val="57"/>
              <w:ind w:firstLine="0" w:firstLineChars="0"/>
              <w:jc w:val="center"/>
            </w:pPr>
            <w:r>
              <w:rPr>
                <w:rFonts w:hint="eastAsia"/>
              </w:rPr>
              <w:t>个人权益</w:t>
            </w:r>
          </w:p>
        </w:tc>
        <w:tc>
          <w:tcPr>
            <w:tcW w:w="1805" w:type="dxa"/>
            <w:vAlign w:val="center"/>
          </w:tcPr>
          <w:p>
            <w:pPr>
              <w:pStyle w:val="57"/>
              <w:ind w:firstLine="0" w:firstLineChars="0"/>
              <w:jc w:val="center"/>
            </w:pPr>
            <w:r>
              <w:rPr>
                <w:rFonts w:hint="eastAsia"/>
              </w:rPr>
              <w:t>一般危害/严重危害/无危害</w:t>
            </w:r>
          </w:p>
        </w:tc>
        <w:tc>
          <w:tcPr>
            <w:tcW w:w="4203" w:type="dxa"/>
            <w:vMerge w:val="continue"/>
            <w:vAlign w:val="center"/>
          </w:tcPr>
          <w:p>
            <w:pPr>
              <w:pStyle w:val="57"/>
              <w:ind w:firstLine="420"/>
            </w:pPr>
          </w:p>
        </w:tc>
      </w:tr>
    </w:tbl>
    <w:p>
      <w:pPr>
        <w:pStyle w:val="106"/>
        <w:spacing w:before="156" w:after="156"/>
      </w:pPr>
      <w:bookmarkStart w:id="204" w:name="_Toc181286240"/>
      <w:bookmarkStart w:id="205" w:name="_Toc175172461"/>
      <w:bookmarkStart w:id="206" w:name="_Toc181278534"/>
      <w:bookmarkStart w:id="207" w:name="_Toc181210132"/>
      <w:bookmarkStart w:id="208" w:name="_Toc175919380"/>
      <w:bookmarkStart w:id="209" w:name="_Toc180440627"/>
      <w:bookmarkStart w:id="210" w:name="_Toc175929649"/>
      <w:r>
        <w:rPr>
          <w:rFonts w:hint="eastAsia"/>
        </w:rPr>
        <w:t>流程</w:t>
      </w:r>
      <w:bookmarkEnd w:id="204"/>
      <w:bookmarkEnd w:id="205"/>
      <w:bookmarkEnd w:id="206"/>
      <w:bookmarkEnd w:id="207"/>
      <w:bookmarkEnd w:id="208"/>
      <w:bookmarkEnd w:id="209"/>
      <w:bookmarkEnd w:id="210"/>
    </w:p>
    <w:p>
      <w:pPr>
        <w:pStyle w:val="66"/>
        <w:spacing w:before="156" w:after="156"/>
      </w:pPr>
      <w:bookmarkStart w:id="211" w:name="_Toc175929650"/>
      <w:bookmarkStart w:id="212" w:name="_Toc180440628"/>
      <w:bookmarkStart w:id="213" w:name="_Toc181210133"/>
      <w:bookmarkStart w:id="214" w:name="_Toc181278535"/>
      <w:bookmarkStart w:id="215" w:name="_Toc175919381"/>
      <w:bookmarkStart w:id="216" w:name="_Toc181286241"/>
      <w:bookmarkStart w:id="217" w:name="_Toc175172462"/>
      <w:r>
        <w:rPr>
          <w:rFonts w:hint="eastAsia"/>
        </w:rPr>
        <w:t>概述</w:t>
      </w:r>
      <w:bookmarkEnd w:id="211"/>
      <w:bookmarkEnd w:id="212"/>
      <w:bookmarkEnd w:id="213"/>
      <w:bookmarkEnd w:id="214"/>
      <w:bookmarkEnd w:id="215"/>
      <w:bookmarkEnd w:id="216"/>
    </w:p>
    <w:p>
      <w:pPr>
        <w:pStyle w:val="57"/>
        <w:ind w:firstLine="420"/>
      </w:pPr>
      <w:r>
        <w:rPr>
          <w:rFonts w:hint="eastAsia"/>
        </w:rPr>
        <w:t>数据分级根据数据内容和安全属性，结合国家及行业有关法律法规、部门规章要求与数据规模、数据时效性、数据形态进行数据分级，数据分级工作流程参见图3</w:t>
      </w:r>
      <w:r>
        <w:t>。</w:t>
      </w:r>
    </w:p>
    <w:p>
      <w:pPr>
        <w:pStyle w:val="57"/>
        <w:ind w:firstLine="420"/>
        <w:jc w:val="center"/>
      </w:pPr>
      <w:r>
        <w:object>
          <v:shape id="_x0000_i1026" o:spt="75" type="#_x0000_t75" style="height:289.4pt;width:240.8pt;" o:ole="t" filled="f" o:preferrelative="t" stroked="f" coordsize="21600,21600">
            <v:path/>
            <v:fill on="f" focussize="0,0"/>
            <v:stroke on="f" joinstyle="miter"/>
            <v:imagedata r:id="rId32" o:title=""/>
            <o:lock v:ext="edit" aspectratio="f"/>
            <w10:wrap type="none"/>
            <w10:anchorlock/>
          </v:shape>
          <o:OLEObject Type="Embed" ProgID="Visio.Drawing.11" ShapeID="_x0000_i1026" DrawAspect="Content" ObjectID="_1468075726" r:id="rId31">
            <o:LockedField>false</o:LockedField>
          </o:OLEObject>
        </w:object>
      </w:r>
    </w:p>
    <w:p>
      <w:pPr>
        <w:pStyle w:val="115"/>
        <w:spacing w:before="156" w:after="156"/>
      </w:pPr>
      <w:r>
        <w:rPr>
          <w:rFonts w:hint="eastAsia"/>
        </w:rPr>
        <w:t>数据分级工作流程</w:t>
      </w:r>
    </w:p>
    <w:p>
      <w:pPr>
        <w:pStyle w:val="66"/>
        <w:spacing w:before="156" w:after="156"/>
      </w:pPr>
      <w:bookmarkStart w:id="218" w:name="_Toc181210134"/>
      <w:bookmarkStart w:id="219" w:name="_Toc181286242"/>
      <w:bookmarkStart w:id="220" w:name="_Toc175929651"/>
      <w:bookmarkStart w:id="221" w:name="_Toc181278536"/>
      <w:bookmarkStart w:id="222" w:name="_Toc180440629"/>
      <w:bookmarkStart w:id="223" w:name="_Toc175919382"/>
      <w:r>
        <w:rPr>
          <w:rFonts w:hint="eastAsia"/>
        </w:rPr>
        <w:t>数据梳理</w:t>
      </w:r>
      <w:bookmarkEnd w:id="217"/>
      <w:bookmarkEnd w:id="218"/>
      <w:bookmarkEnd w:id="219"/>
      <w:bookmarkEnd w:id="220"/>
      <w:bookmarkEnd w:id="221"/>
      <w:bookmarkEnd w:id="222"/>
      <w:bookmarkEnd w:id="223"/>
    </w:p>
    <w:p>
      <w:pPr>
        <w:pStyle w:val="57"/>
        <w:ind w:firstLine="420"/>
      </w:pPr>
      <w:r>
        <w:rPr>
          <w:rFonts w:hint="eastAsia"/>
        </w:rPr>
        <w:t>对数据进行盘点后，按照本文件5.1.1进行梳理与分类，形成统一的数据清单，并按类别进行数据分级准备工作。</w:t>
      </w:r>
    </w:p>
    <w:p>
      <w:pPr>
        <w:pStyle w:val="66"/>
        <w:spacing w:before="156" w:after="156"/>
      </w:pPr>
      <w:bookmarkStart w:id="224" w:name="_Toc181278537"/>
      <w:bookmarkStart w:id="225" w:name="_Toc175929652"/>
      <w:bookmarkStart w:id="226" w:name="_Toc181210135"/>
      <w:bookmarkStart w:id="227" w:name="_Toc180440630"/>
      <w:bookmarkStart w:id="228" w:name="_Toc175919383"/>
      <w:bookmarkStart w:id="229" w:name="_Toc181286243"/>
      <w:bookmarkStart w:id="230" w:name="_Toc175172463"/>
      <w:r>
        <w:rPr>
          <w:rFonts w:hint="eastAsia"/>
        </w:rPr>
        <w:t>数据分级准备</w:t>
      </w:r>
      <w:bookmarkEnd w:id="224"/>
      <w:bookmarkEnd w:id="225"/>
      <w:bookmarkEnd w:id="226"/>
      <w:bookmarkEnd w:id="227"/>
      <w:bookmarkEnd w:id="228"/>
      <w:bookmarkEnd w:id="229"/>
      <w:bookmarkEnd w:id="230"/>
    </w:p>
    <w:p>
      <w:pPr>
        <w:pStyle w:val="57"/>
        <w:ind w:firstLine="420"/>
      </w:pPr>
      <w:r>
        <w:rPr>
          <w:rFonts w:hint="eastAsia"/>
        </w:rPr>
        <w:t>识别不同类别数据内容及其安全属性遭到破坏后可能影响的对象和范围。</w:t>
      </w:r>
    </w:p>
    <w:p>
      <w:pPr>
        <w:pStyle w:val="66"/>
        <w:spacing w:before="156" w:after="156"/>
      </w:pPr>
      <w:bookmarkStart w:id="231" w:name="_Toc175929653"/>
      <w:bookmarkStart w:id="232" w:name="_Toc175919384"/>
      <w:bookmarkStart w:id="233" w:name="_Toc181286244"/>
      <w:bookmarkStart w:id="234" w:name="_Toc180440631"/>
      <w:bookmarkStart w:id="235" w:name="_Toc181210136"/>
      <w:bookmarkStart w:id="236" w:name="_Toc175172464"/>
      <w:bookmarkStart w:id="237" w:name="_Toc181278538"/>
      <w:r>
        <w:rPr>
          <w:rFonts w:hint="eastAsia"/>
        </w:rPr>
        <w:t>数据级别判定</w:t>
      </w:r>
      <w:bookmarkEnd w:id="231"/>
      <w:bookmarkEnd w:id="232"/>
      <w:bookmarkEnd w:id="233"/>
      <w:bookmarkEnd w:id="234"/>
      <w:bookmarkEnd w:id="235"/>
      <w:bookmarkEnd w:id="236"/>
      <w:bookmarkEnd w:id="237"/>
    </w:p>
    <w:p>
      <w:pPr>
        <w:pStyle w:val="57"/>
        <w:ind w:firstLine="420"/>
      </w:pPr>
      <w:r>
        <w:rPr>
          <w:rFonts w:hint="eastAsia"/>
        </w:rPr>
        <w:t>在6.1.4基础上，结合国家及行业有关法律法规、部门规章要求，按照以。下规则对数据级别进行综合判定，形成数据级别评定结果及不同级别的数据清单：</w:t>
      </w:r>
    </w:p>
    <w:p>
      <w:pPr>
        <w:pStyle w:val="175"/>
      </w:pPr>
      <w:r>
        <w:rPr>
          <w:rFonts w:hint="eastAsia"/>
        </w:rPr>
        <w:t>如数据涉及多个要素、多个影响对象或影响程度,应按照就高从严原则确定数据级别；</w:t>
      </w:r>
    </w:p>
    <w:p>
      <w:pPr>
        <w:pStyle w:val="175"/>
      </w:pPr>
      <w:r>
        <w:rPr>
          <w:rFonts w:hint="eastAsia"/>
        </w:rPr>
        <w:t>数据项集合级别可在数据项级别的基础上,按照就高从严的原则,将数据项集合包含数据项的最高级别作为数据集默认级别,但同时也要考虑分级要素(如数据规模)变化可能需要调高级别；</w:t>
      </w:r>
    </w:p>
    <w:p>
      <w:pPr>
        <w:pStyle w:val="180"/>
      </w:pPr>
      <w:r>
        <w:rPr>
          <w:rFonts w:hint="eastAsia"/>
        </w:rPr>
        <w:t>数据集中各数据项级别与数据集级别不一定相同,具体要根据该数据项的影响对象和影响程度进行判断。</w:t>
      </w:r>
    </w:p>
    <w:p>
      <w:pPr>
        <w:pStyle w:val="175"/>
      </w:pPr>
      <w:r>
        <w:rPr>
          <w:rFonts w:hint="eastAsia"/>
        </w:rPr>
        <w:t>衍生数据级别可按照就高从严原则，在原始数据级别的基础上,综合考虑加工后的数据深度等分级要素对国家安全、经济运行、社会秩序、公共利益、组织权益、个人权益的影响进行确定；</w:t>
      </w:r>
    </w:p>
    <w:p>
      <w:pPr>
        <w:pStyle w:val="175"/>
      </w:pPr>
      <w:r>
        <w:rPr>
          <w:rFonts w:hint="eastAsia"/>
        </w:rPr>
        <w:t>跨行业领域数据分级,原则上可按照数据来源的行业领域数据分级规则确定级别,如果存在跨行业领域数据融合加工,需考虑融合加工对数据分级要素的影响,按照衍生数据确定级别。</w:t>
      </w:r>
    </w:p>
    <w:p>
      <w:pPr>
        <w:pStyle w:val="66"/>
        <w:spacing w:before="156" w:after="156"/>
      </w:pPr>
      <w:bookmarkStart w:id="238" w:name="_Toc181286245"/>
      <w:bookmarkStart w:id="239" w:name="_Toc175929654"/>
      <w:bookmarkStart w:id="240" w:name="_Toc181210137"/>
      <w:bookmarkStart w:id="241" w:name="_Toc181278539"/>
      <w:bookmarkStart w:id="242" w:name="_Toc175172465"/>
      <w:bookmarkStart w:id="243" w:name="_Toc175919385"/>
      <w:bookmarkStart w:id="244" w:name="_Toc180440632"/>
      <w:r>
        <w:rPr>
          <w:rFonts w:hint="eastAsia"/>
        </w:rPr>
        <w:t>数据级别审核</w:t>
      </w:r>
      <w:bookmarkEnd w:id="238"/>
      <w:bookmarkEnd w:id="239"/>
      <w:bookmarkEnd w:id="240"/>
      <w:bookmarkEnd w:id="241"/>
      <w:bookmarkEnd w:id="242"/>
      <w:bookmarkEnd w:id="243"/>
      <w:bookmarkEnd w:id="244"/>
    </w:p>
    <w:p>
      <w:pPr>
        <w:pStyle w:val="57"/>
        <w:ind w:firstLine="420"/>
      </w:pPr>
      <w:r>
        <w:rPr>
          <w:rFonts w:hint="eastAsia"/>
        </w:rPr>
        <w:t>审核数据分级评定过程和结果，必要时重复本文件6.2.4及其后工作，直至级别的划定与数据安全保护目标一致。</w:t>
      </w:r>
    </w:p>
    <w:p>
      <w:pPr>
        <w:pStyle w:val="66"/>
        <w:spacing w:before="156" w:after="156"/>
      </w:pPr>
      <w:bookmarkStart w:id="245" w:name="_Toc181210138"/>
      <w:bookmarkStart w:id="246" w:name="_Toc180440633"/>
      <w:bookmarkStart w:id="247" w:name="_Toc181278540"/>
      <w:bookmarkStart w:id="248" w:name="_Toc175172466"/>
      <w:bookmarkStart w:id="249" w:name="_Toc175929655"/>
      <w:bookmarkStart w:id="250" w:name="_Toc175919386"/>
      <w:bookmarkStart w:id="251" w:name="_Toc181286246"/>
      <w:r>
        <w:rPr>
          <w:rFonts w:hint="eastAsia" w:ascii="宋体"/>
        </w:rPr>
        <w:t>数据级别批准</w:t>
      </w:r>
      <w:bookmarkEnd w:id="245"/>
      <w:bookmarkEnd w:id="246"/>
      <w:bookmarkEnd w:id="247"/>
      <w:bookmarkEnd w:id="248"/>
      <w:bookmarkEnd w:id="249"/>
      <w:bookmarkEnd w:id="250"/>
      <w:bookmarkEnd w:id="251"/>
    </w:p>
    <w:p>
      <w:pPr>
        <w:pStyle w:val="57"/>
        <w:ind w:firstLine="420"/>
      </w:pPr>
      <w:r>
        <w:rPr>
          <w:rFonts w:hint="eastAsia"/>
        </w:rPr>
        <w:t>应由数据安全管理决策组织对数据分级结果进行审议批准。</w:t>
      </w:r>
    </w:p>
    <w:p>
      <w:pPr>
        <w:pStyle w:val="106"/>
        <w:spacing w:before="156" w:after="156"/>
      </w:pPr>
      <w:bookmarkStart w:id="252" w:name="_Toc175919387"/>
      <w:bookmarkStart w:id="253" w:name="_Toc181210139"/>
      <w:bookmarkStart w:id="254" w:name="_Toc175172467"/>
      <w:bookmarkStart w:id="255" w:name="_Toc175929656"/>
      <w:bookmarkStart w:id="256" w:name="_Toc180440634"/>
      <w:bookmarkStart w:id="257" w:name="_Toc181286247"/>
      <w:bookmarkStart w:id="258" w:name="_Toc181278541"/>
      <w:r>
        <w:rPr>
          <w:rFonts w:hint="eastAsia"/>
        </w:rPr>
        <w:t>级别变更</w:t>
      </w:r>
      <w:bookmarkEnd w:id="252"/>
      <w:bookmarkEnd w:id="253"/>
      <w:bookmarkEnd w:id="254"/>
      <w:bookmarkEnd w:id="255"/>
      <w:bookmarkEnd w:id="256"/>
      <w:bookmarkEnd w:id="257"/>
      <w:bookmarkEnd w:id="258"/>
    </w:p>
    <w:p>
      <w:pPr>
        <w:pStyle w:val="66"/>
        <w:spacing w:before="156" w:after="156"/>
      </w:pPr>
      <w:bookmarkStart w:id="259" w:name="_Toc181278542"/>
      <w:bookmarkStart w:id="260" w:name="_Toc175172468"/>
      <w:bookmarkStart w:id="261" w:name="_Toc180440635"/>
      <w:bookmarkStart w:id="262" w:name="_Toc175919388"/>
      <w:bookmarkStart w:id="263" w:name="_Toc181210140"/>
      <w:bookmarkStart w:id="264" w:name="_Toc175929657"/>
      <w:bookmarkStart w:id="265" w:name="_Toc181286248"/>
      <w:r>
        <w:rPr>
          <w:rFonts w:hint="eastAsia"/>
        </w:rPr>
        <w:t>变更情形</w:t>
      </w:r>
      <w:bookmarkEnd w:id="259"/>
      <w:bookmarkEnd w:id="260"/>
      <w:bookmarkEnd w:id="261"/>
      <w:bookmarkEnd w:id="262"/>
      <w:bookmarkEnd w:id="263"/>
      <w:bookmarkEnd w:id="264"/>
      <w:bookmarkEnd w:id="265"/>
    </w:p>
    <w:p>
      <w:pPr>
        <w:pStyle w:val="57"/>
        <w:ind w:firstLine="420"/>
      </w:pPr>
      <w:r>
        <w:rPr>
          <w:rFonts w:hint="eastAsia"/>
        </w:rPr>
        <w:t>数据分级完成后，出现下列情形之一时，政务部门应对相关数据的级别进行变更，并按照数据分级流程实施：</w:t>
      </w:r>
    </w:p>
    <w:p>
      <w:pPr>
        <w:pStyle w:val="175"/>
        <w:numPr>
          <w:ilvl w:val="0"/>
          <w:numId w:val="33"/>
        </w:numPr>
      </w:pPr>
      <w:r>
        <w:rPr>
          <w:rFonts w:hint="eastAsia"/>
        </w:rPr>
        <w:t>数据内容发生变化，导致原有数据的分级级别不适用变化后的数据；</w:t>
      </w:r>
    </w:p>
    <w:p>
      <w:pPr>
        <w:pStyle w:val="175"/>
        <w:numPr>
          <w:ilvl w:val="0"/>
          <w:numId w:val="33"/>
        </w:numPr>
      </w:pPr>
      <w:r>
        <w:rPr>
          <w:rFonts w:hint="eastAsia"/>
        </w:rPr>
        <w:t>数据内容未发生变化，但因数据时效性、数据规模、数据使用场景、数据加工处理方式等发生变化，导致原定的数据级别不再适用；</w:t>
      </w:r>
    </w:p>
    <w:p>
      <w:pPr>
        <w:pStyle w:val="175"/>
        <w:numPr>
          <w:ilvl w:val="0"/>
          <w:numId w:val="33"/>
        </w:numPr>
      </w:pPr>
      <w:r>
        <w:rPr>
          <w:rFonts w:hint="eastAsia"/>
        </w:rPr>
        <w:t>因数据汇聚融合，导致原有数据级别不再适用汇聚融合后的数据；</w:t>
      </w:r>
    </w:p>
    <w:p>
      <w:pPr>
        <w:pStyle w:val="175"/>
        <w:numPr>
          <w:ilvl w:val="0"/>
          <w:numId w:val="33"/>
        </w:numPr>
      </w:pPr>
      <w:r>
        <w:rPr>
          <w:rFonts w:hint="eastAsia"/>
        </w:rPr>
        <w:t>因国家或行业主管部门要求变化，导致原定的数据级别不再适用；</w:t>
      </w:r>
    </w:p>
    <w:p>
      <w:pPr>
        <w:pStyle w:val="175"/>
        <w:numPr>
          <w:ilvl w:val="0"/>
          <w:numId w:val="33"/>
        </w:numPr>
      </w:pPr>
      <w:r>
        <w:rPr>
          <w:rFonts w:hint="eastAsia"/>
        </w:rPr>
        <w:t>需要对数据级别进行变更的其他情形。</w:t>
      </w:r>
    </w:p>
    <w:p>
      <w:pPr>
        <w:pStyle w:val="66"/>
        <w:spacing w:before="156" w:after="156"/>
      </w:pPr>
      <w:bookmarkStart w:id="266" w:name="_Toc180440636"/>
      <w:bookmarkStart w:id="267" w:name="_Toc181210141"/>
      <w:bookmarkStart w:id="268" w:name="_Toc181278543"/>
      <w:bookmarkStart w:id="269" w:name="_Toc175172469"/>
      <w:bookmarkStart w:id="270" w:name="_Toc175919389"/>
      <w:bookmarkStart w:id="271" w:name="_Toc181286249"/>
      <w:bookmarkStart w:id="272" w:name="_Toc175929658"/>
      <w:r>
        <w:rPr>
          <w:rFonts w:hint="eastAsia"/>
        </w:rPr>
        <w:t>变更要求</w:t>
      </w:r>
      <w:bookmarkEnd w:id="266"/>
      <w:bookmarkEnd w:id="267"/>
      <w:bookmarkEnd w:id="268"/>
      <w:bookmarkEnd w:id="269"/>
      <w:bookmarkEnd w:id="270"/>
      <w:bookmarkEnd w:id="271"/>
      <w:bookmarkEnd w:id="272"/>
    </w:p>
    <w:p>
      <w:pPr>
        <w:pStyle w:val="57"/>
        <w:ind w:firstLine="420"/>
      </w:pPr>
      <w:r>
        <w:rPr>
          <w:rFonts w:hint="eastAsia"/>
        </w:rPr>
        <w:t>安全级别变更要求包括：</w:t>
      </w:r>
    </w:p>
    <w:p>
      <w:pPr>
        <w:pStyle w:val="175"/>
        <w:numPr>
          <w:ilvl w:val="0"/>
          <w:numId w:val="34"/>
        </w:numPr>
      </w:pPr>
      <w:r>
        <w:rPr>
          <w:rFonts w:hint="eastAsia"/>
        </w:rPr>
        <w:t>从原始数据中直接部分复制出来的新数据级别不应高于原有数据级别；</w:t>
      </w:r>
    </w:p>
    <w:p>
      <w:pPr>
        <w:pStyle w:val="175"/>
      </w:pPr>
      <w:r>
        <w:rPr>
          <w:rFonts w:hint="eastAsia"/>
        </w:rPr>
        <w:t>从多个原始数据直接合并的新数据不应低于原有数据级别；</w:t>
      </w:r>
    </w:p>
    <w:p>
      <w:pPr>
        <w:pStyle w:val="175"/>
      </w:pPr>
      <w:r>
        <w:rPr>
          <w:rFonts w:hint="eastAsia"/>
        </w:rPr>
        <w:t>对不同数据选取部分数据进行合并形成的新数据，应根据新数据的关键要素进行重新判定；</w:t>
      </w:r>
    </w:p>
    <w:p>
      <w:pPr>
        <w:pStyle w:val="175"/>
      </w:pPr>
      <w:r>
        <w:rPr>
          <w:rFonts w:hint="eastAsia"/>
        </w:rPr>
        <w:t>数据内容不发生变化时，级别变更需有明确的依据；</w:t>
      </w:r>
    </w:p>
    <w:p>
      <w:pPr>
        <w:pStyle w:val="175"/>
      </w:pPr>
      <w:r>
        <w:rPr>
          <w:rFonts w:hint="eastAsia"/>
        </w:rPr>
        <w:t>安全级别变更时，应由数据管理部门的相关主要领导人进行审批同意；</w:t>
      </w:r>
    </w:p>
    <w:p>
      <w:pPr>
        <w:pStyle w:val="175"/>
      </w:pPr>
      <w:r>
        <w:rPr>
          <w:rFonts w:hint="eastAsia"/>
        </w:rPr>
        <w:t>汇聚数据的安全级别须经数据使用方和数据所属方联合评估确认后进行判定。</w:t>
      </w:r>
    </w:p>
    <w:p>
      <w:pPr>
        <w:pStyle w:val="105"/>
        <w:spacing w:before="312" w:after="312"/>
      </w:pPr>
      <w:bookmarkStart w:id="273" w:name="_Toc181278544"/>
      <w:bookmarkStart w:id="274" w:name="_Toc175929659"/>
      <w:bookmarkStart w:id="275" w:name="_Toc181210142"/>
      <w:bookmarkStart w:id="276" w:name="_Toc175172470"/>
      <w:bookmarkStart w:id="277" w:name="_Toc175919390"/>
      <w:bookmarkStart w:id="278" w:name="_Toc181286250"/>
      <w:bookmarkStart w:id="279" w:name="_Toc180440637"/>
      <w:r>
        <w:rPr>
          <w:rFonts w:hint="eastAsia"/>
        </w:rPr>
        <w:t>数据分类分级实施流程</w:t>
      </w:r>
      <w:bookmarkEnd w:id="273"/>
      <w:bookmarkEnd w:id="274"/>
      <w:bookmarkEnd w:id="275"/>
      <w:bookmarkEnd w:id="276"/>
      <w:bookmarkEnd w:id="277"/>
      <w:bookmarkEnd w:id="278"/>
      <w:bookmarkEnd w:id="279"/>
    </w:p>
    <w:p>
      <w:pPr>
        <w:pStyle w:val="106"/>
        <w:spacing w:before="156" w:after="156"/>
      </w:pPr>
      <w:bookmarkStart w:id="280" w:name="_Toc175919391"/>
      <w:bookmarkStart w:id="281" w:name="_Toc175172471"/>
      <w:bookmarkStart w:id="282" w:name="_Toc181210143"/>
      <w:bookmarkStart w:id="283" w:name="_Toc181278545"/>
      <w:bookmarkStart w:id="284" w:name="_Toc181286251"/>
      <w:bookmarkStart w:id="285" w:name="_Toc180440638"/>
      <w:bookmarkStart w:id="286" w:name="_Toc175929660"/>
      <w:r>
        <w:rPr>
          <w:rFonts w:hint="eastAsia"/>
        </w:rPr>
        <w:t>实施流程图</w:t>
      </w:r>
      <w:bookmarkEnd w:id="280"/>
      <w:bookmarkEnd w:id="281"/>
      <w:bookmarkEnd w:id="282"/>
      <w:bookmarkEnd w:id="283"/>
      <w:bookmarkEnd w:id="284"/>
      <w:bookmarkEnd w:id="285"/>
      <w:bookmarkEnd w:id="286"/>
    </w:p>
    <w:p>
      <w:pPr>
        <w:pStyle w:val="57"/>
        <w:ind w:firstLine="420"/>
      </w:pPr>
      <w:r>
        <w:rPr>
          <w:rFonts w:hint="eastAsia"/>
        </w:rPr>
        <w:t>数据分类分级实施流程参见图4。</w:t>
      </w:r>
    </w:p>
    <w:p>
      <w:pPr>
        <w:pStyle w:val="57"/>
        <w:ind w:firstLine="0" w:firstLineChars="0"/>
      </w:pPr>
      <w:r>
        <w:rPr>
          <w:rFonts w:hint="eastAsia"/>
        </w:rPr>
        <w:drawing>
          <wp:inline distT="0" distB="0" distL="114300" distR="114300">
            <wp:extent cx="5975985" cy="2330450"/>
            <wp:effectExtent l="0" t="0" r="5715" b="3175"/>
            <wp:docPr id="1" name="图片 1" descr="562fd7eaebc0e782185cdf3c0ebd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2fd7eaebc0e782185cdf3c0ebdace"/>
                    <pic:cNvPicPr>
                      <a:picLocks noChangeAspect="1"/>
                    </pic:cNvPicPr>
                  </pic:nvPicPr>
                  <pic:blipFill>
                    <a:blip r:embed="rId33"/>
                    <a:stretch>
                      <a:fillRect/>
                    </a:stretch>
                  </pic:blipFill>
                  <pic:spPr>
                    <a:xfrm>
                      <a:off x="0" y="0"/>
                      <a:ext cx="5975985" cy="2330450"/>
                    </a:xfrm>
                    <a:prstGeom prst="rect">
                      <a:avLst/>
                    </a:prstGeom>
                  </pic:spPr>
                </pic:pic>
              </a:graphicData>
            </a:graphic>
          </wp:inline>
        </w:drawing>
      </w:r>
    </w:p>
    <w:p>
      <w:pPr>
        <w:pStyle w:val="115"/>
        <w:spacing w:before="156" w:after="156"/>
      </w:pPr>
      <w:r>
        <w:rPr>
          <w:rFonts w:hint="eastAsia"/>
        </w:rPr>
        <w:t>数据分类分级实施流程图</w:t>
      </w:r>
    </w:p>
    <w:p>
      <w:pPr>
        <w:pStyle w:val="106"/>
        <w:spacing w:before="156" w:after="156"/>
        <w:rPr>
          <w:szCs w:val="21"/>
        </w:rPr>
      </w:pPr>
      <w:bookmarkStart w:id="287" w:name="_Toc180440639"/>
      <w:bookmarkStart w:id="288" w:name="_Toc181210144"/>
      <w:bookmarkStart w:id="289" w:name="_Toc181286252"/>
      <w:bookmarkStart w:id="290" w:name="_Toc175919392"/>
      <w:bookmarkStart w:id="291" w:name="_Toc175172472"/>
      <w:bookmarkStart w:id="292" w:name="_Toc181278546"/>
      <w:bookmarkStart w:id="293" w:name="_Toc175929661"/>
      <w:r>
        <w:rPr>
          <w:rFonts w:hint="eastAsia"/>
        </w:rPr>
        <w:t>主要步骤</w:t>
      </w:r>
      <w:bookmarkEnd w:id="287"/>
      <w:bookmarkEnd w:id="288"/>
      <w:bookmarkEnd w:id="289"/>
      <w:bookmarkEnd w:id="290"/>
      <w:bookmarkEnd w:id="291"/>
      <w:bookmarkEnd w:id="292"/>
      <w:bookmarkEnd w:id="293"/>
    </w:p>
    <w:p>
      <w:pPr>
        <w:pStyle w:val="166"/>
      </w:pPr>
      <w:r>
        <w:rPr>
          <w:rFonts w:hint="eastAsia"/>
        </w:rPr>
        <w:t>数据资产识别。对数据资产进行全面梳理，包括以物理或电子形式记录的数据库表、数据项、数据文件等结构化和非结构化数据资产，明确数据资产基本信息和相关方，形成数据资产清单。</w:t>
      </w:r>
    </w:p>
    <w:p>
      <w:pPr>
        <w:pStyle w:val="166"/>
      </w:pPr>
      <w:r>
        <w:rPr>
          <w:rFonts w:hint="eastAsia"/>
        </w:rPr>
        <w:t>数据分类确定。依据本文件5.2数据分类流程，参考本文件5.1.1分类框架，建立数据分类规则及框架，对相关数据资产进行识别和分类。</w:t>
      </w:r>
    </w:p>
    <w:p>
      <w:pPr>
        <w:pStyle w:val="166"/>
      </w:pPr>
      <w:r>
        <w:rPr>
          <w:rFonts w:hint="eastAsia"/>
        </w:rPr>
        <w:t>数据级别判定。依据本文件6.2数据分级流程，结合本文件6.1.4分级规则，对数据分类框架判定级别，形成分类分级框架，统一分类分级标准，并实施数据分类分级。</w:t>
      </w:r>
    </w:p>
    <w:p>
      <w:pPr>
        <w:pStyle w:val="166"/>
      </w:pPr>
      <w:r>
        <w:rPr>
          <w:rFonts w:hint="eastAsia"/>
        </w:rPr>
        <w:t>审核标识管理。对数据分类分级结果进行审核和完善，最后批准发布实施，对数据进行分类分级标识，形成数据分类分级清单、政务数据目录清单和重要数据、核心数据目录。政务数据目录清单宜细化到表、文件级别，必要情况下需细化到字段级别，清单应至少包含数据基础信息、数据存储信息、分类分级信息。重要数据、核心数据目录形成后应按有关程序报送。</w:t>
      </w:r>
    </w:p>
    <w:p>
      <w:pPr>
        <w:pStyle w:val="166"/>
      </w:pPr>
      <w:r>
        <w:rPr>
          <w:rFonts w:hint="eastAsia"/>
        </w:rPr>
        <w:t>动态更新管理。根据数据重要程度和可能造成危害程度的变化，对数据分类分级规则、重要数据/核心数据目录、数据分类分级清单及标识等进行动态更新管理，动态更新场景及数据安全级别变化示例见表2。</w:t>
      </w:r>
    </w:p>
    <w:p>
      <w:pPr>
        <w:pStyle w:val="113"/>
        <w:spacing w:before="156" w:after="156"/>
        <w:rPr>
          <w:szCs w:val="21"/>
        </w:rPr>
      </w:pPr>
      <w:r>
        <w:rPr>
          <w:rFonts w:hint="eastAsia"/>
        </w:rPr>
        <w:t>数据安全级别变化示例</w:t>
      </w:r>
    </w:p>
    <w:tbl>
      <w:tblPr>
        <w:tblStyle w:val="33"/>
        <w:tblW w:w="93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03"/>
        <w:gridCol w:w="7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tcBorders>
              <w:top w:val="single" w:color="auto" w:sz="8" w:space="0"/>
              <w:bottom w:val="single" w:color="auto" w:sz="8" w:space="0"/>
            </w:tcBorders>
            <w:shd w:val="clear" w:color="auto" w:fill="auto"/>
            <w:vAlign w:val="center"/>
          </w:tcPr>
          <w:p>
            <w:pPr>
              <w:pStyle w:val="57"/>
              <w:ind w:firstLine="0" w:firstLineChars="0"/>
              <w:jc w:val="center"/>
              <w:rPr>
                <w:sz w:val="18"/>
              </w:rPr>
            </w:pPr>
            <w:r>
              <w:rPr>
                <w:rFonts w:hint="eastAsia"/>
                <w:sz w:val="18"/>
              </w:rPr>
              <w:t>数据级别变更</w:t>
            </w:r>
          </w:p>
        </w:tc>
        <w:tc>
          <w:tcPr>
            <w:tcW w:w="7471" w:type="dxa"/>
            <w:tcBorders>
              <w:top w:val="single" w:color="auto" w:sz="8" w:space="0"/>
              <w:bottom w:val="single" w:color="auto" w:sz="8" w:space="0"/>
            </w:tcBorders>
            <w:shd w:val="clear" w:color="auto" w:fill="auto"/>
            <w:vAlign w:val="center"/>
          </w:tcPr>
          <w:p>
            <w:pPr>
              <w:pStyle w:val="57"/>
              <w:ind w:firstLine="0" w:firstLineChars="0"/>
              <w:jc w:val="center"/>
              <w:rPr>
                <w:sz w:val="18"/>
              </w:rPr>
            </w:pPr>
            <w:r>
              <w:rPr>
                <w:rFonts w:hint="eastAsia"/>
                <w:sz w:val="18"/>
              </w:rPr>
              <w:t>场景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tcBorders>
              <w:top w:val="single" w:color="auto" w:sz="8" w:space="0"/>
            </w:tcBorders>
            <w:vAlign w:val="center"/>
          </w:tcPr>
          <w:p>
            <w:pPr>
              <w:pStyle w:val="57"/>
              <w:ind w:firstLine="0" w:firstLineChars="0"/>
              <w:jc w:val="center"/>
              <w:rPr>
                <w:sz w:val="18"/>
              </w:rPr>
            </w:pPr>
            <w:r>
              <w:rPr>
                <w:rFonts w:hint="eastAsia"/>
                <w:sz w:val="18"/>
              </w:rPr>
              <w:t>升级</w:t>
            </w:r>
          </w:p>
        </w:tc>
        <w:tc>
          <w:tcPr>
            <w:tcW w:w="7471" w:type="dxa"/>
            <w:tcBorders>
              <w:top w:val="single" w:color="auto" w:sz="8" w:space="0"/>
            </w:tcBorders>
            <w:vAlign w:val="center"/>
          </w:tcPr>
          <w:p>
            <w:pPr>
              <w:pStyle w:val="57"/>
              <w:ind w:firstLine="0" w:firstLineChars="0"/>
              <w:rPr>
                <w:sz w:val="18"/>
              </w:rPr>
            </w:pPr>
            <w:r>
              <w:rPr>
                <w:rFonts w:hint="eastAsia"/>
                <w:sz w:val="18"/>
              </w:rPr>
              <w:t>数据体量增加到特定规模导致产生社会重大影响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升级</w:t>
            </w:r>
          </w:p>
        </w:tc>
        <w:tc>
          <w:tcPr>
            <w:tcW w:w="7471" w:type="dxa"/>
            <w:vAlign w:val="center"/>
          </w:tcPr>
          <w:p>
            <w:pPr>
              <w:pStyle w:val="57"/>
              <w:ind w:firstLine="0" w:firstLineChars="0"/>
              <w:rPr>
                <w:sz w:val="18"/>
              </w:rPr>
            </w:pPr>
            <w:r>
              <w:rPr>
                <w:rFonts w:hint="eastAsia"/>
                <w:sz w:val="18"/>
              </w:rPr>
              <w:t>达到国家有关部门规定精度的数据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升级</w:t>
            </w:r>
          </w:p>
        </w:tc>
        <w:tc>
          <w:tcPr>
            <w:tcW w:w="7471" w:type="dxa"/>
            <w:vAlign w:val="center"/>
          </w:tcPr>
          <w:p>
            <w:pPr>
              <w:pStyle w:val="57"/>
              <w:ind w:firstLine="0" w:firstLineChars="0"/>
              <w:rPr>
                <w:sz w:val="18"/>
              </w:rPr>
            </w:pPr>
            <w:r>
              <w:rPr>
                <w:rFonts w:hint="eastAsia"/>
                <w:sz w:val="18"/>
              </w:rPr>
              <w:t>关联多个业务部门的数据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升级</w:t>
            </w:r>
          </w:p>
        </w:tc>
        <w:tc>
          <w:tcPr>
            <w:tcW w:w="7471" w:type="dxa"/>
            <w:vAlign w:val="center"/>
          </w:tcPr>
          <w:p>
            <w:pPr>
              <w:pStyle w:val="57"/>
              <w:ind w:firstLine="0" w:firstLineChars="0"/>
              <w:rPr>
                <w:sz w:val="18"/>
              </w:rPr>
            </w:pPr>
            <w:r>
              <w:rPr>
                <w:rFonts w:hint="eastAsia"/>
                <w:sz w:val="18"/>
              </w:rPr>
              <w:t>大量多维数据进行关联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升级</w:t>
            </w:r>
          </w:p>
        </w:tc>
        <w:tc>
          <w:tcPr>
            <w:tcW w:w="7471" w:type="dxa"/>
            <w:vAlign w:val="center"/>
          </w:tcPr>
          <w:p>
            <w:pPr>
              <w:pStyle w:val="57"/>
              <w:ind w:firstLine="0" w:firstLineChars="0"/>
              <w:rPr>
                <w:sz w:val="18"/>
              </w:rPr>
            </w:pPr>
            <w:r>
              <w:rPr>
                <w:rFonts w:hint="eastAsia"/>
                <w:sz w:val="18"/>
              </w:rPr>
              <w:t>发生特定事件导致数据敏感性增强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降级</w:t>
            </w:r>
          </w:p>
        </w:tc>
        <w:tc>
          <w:tcPr>
            <w:tcW w:w="7471" w:type="dxa"/>
            <w:vAlign w:val="center"/>
          </w:tcPr>
          <w:p>
            <w:pPr>
              <w:pStyle w:val="57"/>
              <w:ind w:firstLine="0" w:firstLineChars="0"/>
              <w:rPr>
                <w:sz w:val="18"/>
              </w:rPr>
            </w:pPr>
            <w:r>
              <w:rPr>
                <w:rFonts w:hint="eastAsia"/>
                <w:sz w:val="18"/>
              </w:rPr>
              <w:t>数据已被公开或披露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降级</w:t>
            </w:r>
          </w:p>
        </w:tc>
        <w:tc>
          <w:tcPr>
            <w:tcW w:w="7471" w:type="dxa"/>
            <w:vAlign w:val="center"/>
          </w:tcPr>
          <w:p>
            <w:pPr>
              <w:pStyle w:val="57"/>
              <w:ind w:firstLine="0" w:firstLineChars="0"/>
              <w:rPr>
                <w:sz w:val="18"/>
              </w:rPr>
            </w:pPr>
            <w:r>
              <w:rPr>
                <w:rFonts w:hint="eastAsia"/>
                <w:sz w:val="18"/>
              </w:rPr>
              <w:t>数据进行脱敏或删除关键字段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降级</w:t>
            </w:r>
          </w:p>
        </w:tc>
        <w:tc>
          <w:tcPr>
            <w:tcW w:w="7471" w:type="dxa"/>
            <w:vAlign w:val="center"/>
          </w:tcPr>
          <w:p>
            <w:pPr>
              <w:pStyle w:val="57"/>
              <w:ind w:firstLine="0" w:firstLineChars="0"/>
              <w:rPr>
                <w:sz w:val="18"/>
              </w:rPr>
            </w:pPr>
            <w:r>
              <w:rPr>
                <w:rFonts w:hint="eastAsia"/>
                <w:sz w:val="18"/>
              </w:rPr>
              <w:t>数据进行去标识化、假名化、匿名化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trPr>
        <w:tc>
          <w:tcPr>
            <w:tcW w:w="1903" w:type="dxa"/>
            <w:vAlign w:val="center"/>
          </w:tcPr>
          <w:p>
            <w:pPr>
              <w:pStyle w:val="57"/>
              <w:ind w:firstLine="0" w:firstLineChars="0"/>
              <w:jc w:val="center"/>
              <w:rPr>
                <w:sz w:val="18"/>
              </w:rPr>
            </w:pPr>
            <w:r>
              <w:rPr>
                <w:rFonts w:hint="eastAsia"/>
                <w:sz w:val="18"/>
              </w:rPr>
              <w:t>降级</w:t>
            </w:r>
          </w:p>
        </w:tc>
        <w:tc>
          <w:tcPr>
            <w:tcW w:w="7471" w:type="dxa"/>
            <w:vAlign w:val="center"/>
          </w:tcPr>
          <w:p>
            <w:pPr>
              <w:pStyle w:val="57"/>
              <w:ind w:firstLine="0" w:firstLineChars="0"/>
              <w:rPr>
                <w:sz w:val="18"/>
              </w:rPr>
            </w:pPr>
            <w:r>
              <w:rPr>
                <w:rFonts w:hint="eastAsia"/>
                <w:sz w:val="18"/>
              </w:rPr>
              <w:t>数据发生特定事件导致数据失去敏感性</w:t>
            </w:r>
          </w:p>
        </w:tc>
      </w:tr>
    </w:tbl>
    <w:p>
      <w:pPr>
        <w:pStyle w:val="105"/>
        <w:spacing w:before="312" w:after="312"/>
      </w:pPr>
      <w:bookmarkStart w:id="294" w:name="_Toc181286253"/>
      <w:bookmarkStart w:id="295" w:name="_Toc175172474"/>
      <w:bookmarkStart w:id="296" w:name="_Toc181210145"/>
      <w:bookmarkStart w:id="297" w:name="_Toc180440640"/>
      <w:bookmarkStart w:id="298" w:name="_Toc175919393"/>
      <w:bookmarkStart w:id="299" w:name="_Toc181278547"/>
      <w:bookmarkStart w:id="300" w:name="_Toc175929662"/>
      <w:r>
        <w:rPr>
          <w:rFonts w:hint="eastAsia"/>
        </w:rPr>
        <w:t>数据安全分级管控要求</w:t>
      </w:r>
      <w:bookmarkEnd w:id="294"/>
      <w:bookmarkEnd w:id="295"/>
      <w:bookmarkEnd w:id="296"/>
      <w:bookmarkEnd w:id="297"/>
      <w:bookmarkEnd w:id="298"/>
      <w:bookmarkEnd w:id="299"/>
      <w:bookmarkEnd w:id="300"/>
    </w:p>
    <w:p>
      <w:pPr>
        <w:pStyle w:val="163"/>
      </w:pPr>
      <w:r>
        <w:rPr>
          <w:rFonts w:hint="eastAsia"/>
        </w:rPr>
        <w:t>数据安全分级管控应依据数据分类分级结果与共享开放属性进行对应，将业务属性与安全级别关联（参见附录A），按照数据处理活动制定数据分级安全管控要求（参见附录B），制定个人信息分类分级参考示例（参见附录C）。</w:t>
      </w:r>
    </w:p>
    <w:p>
      <w:pPr>
        <w:pStyle w:val="163"/>
      </w:pPr>
      <w:r>
        <w:rPr>
          <w:rFonts w:hint="eastAsia"/>
        </w:rPr>
        <w:t>政务部门在进行数据安全分级管控时，除满足国家信息安全相关规范之外，还应满足本文件要求。</w:t>
      </w: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pPr>
        <w:pStyle w:val="163"/>
        <w:numPr>
          <w:ilvl w:val="2"/>
          <w:numId w:val="0"/>
        </w:numPr>
      </w:pPr>
    </w:p>
    <w:p>
      <w:r>
        <w:br w:type="page"/>
      </w:r>
    </w:p>
    <w:p>
      <w:pPr>
        <w:pStyle w:val="77"/>
        <w:spacing w:after="156"/>
      </w:pPr>
      <w:r>
        <w:br w:type="textWrapping"/>
      </w:r>
      <w:bookmarkStart w:id="301" w:name="_Toc181210146"/>
      <w:bookmarkStart w:id="302" w:name="_Toc180440642"/>
      <w:bookmarkStart w:id="303" w:name="_Toc175172478"/>
      <w:bookmarkStart w:id="304" w:name="_Toc175929663"/>
      <w:bookmarkStart w:id="305" w:name="_Toc181286254"/>
      <w:bookmarkStart w:id="306" w:name="_Toc181278548"/>
      <w:bookmarkStart w:id="307" w:name="_Toc175919397"/>
      <w:r>
        <w:rPr>
          <w:rFonts w:hint="eastAsia"/>
        </w:rPr>
        <w:t>（资料性）</w:t>
      </w:r>
      <w:r>
        <w:br w:type="textWrapping"/>
      </w:r>
      <w:r>
        <w:rPr>
          <w:rFonts w:hint="eastAsia"/>
        </w:rPr>
        <w:t>数据分级与共享开放对应参考</w:t>
      </w:r>
      <w:bookmarkEnd w:id="301"/>
      <w:bookmarkEnd w:id="302"/>
      <w:bookmarkEnd w:id="303"/>
      <w:bookmarkEnd w:id="304"/>
      <w:bookmarkEnd w:id="305"/>
      <w:bookmarkEnd w:id="306"/>
      <w:bookmarkEnd w:id="307"/>
    </w:p>
    <w:p>
      <w:pPr>
        <w:pStyle w:val="57"/>
        <w:ind w:firstLine="420"/>
      </w:pPr>
      <w:r>
        <w:rPr>
          <w:rFonts w:hint="eastAsia"/>
        </w:rPr>
        <w:t>数据分级及共享开放属性与数据分级的对应参考见表A.1。</w:t>
      </w:r>
    </w:p>
    <w:p>
      <w:pPr>
        <w:pStyle w:val="78"/>
        <w:spacing w:before="156" w:after="156"/>
      </w:pPr>
      <w:r>
        <w:rPr>
          <w:rFonts w:hint="eastAsia"/>
        </w:rPr>
        <w:t>数据分级及共享开放对应参考</w:t>
      </w:r>
    </w:p>
    <w:tbl>
      <w:tblPr>
        <w:tblStyle w:val="33"/>
        <w:tblW w:w="939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11"/>
        <w:gridCol w:w="4042"/>
        <w:gridCol w:w="4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11" w:type="dxa"/>
            <w:tcBorders>
              <w:top w:val="single" w:color="auto" w:sz="8" w:space="0"/>
              <w:bottom w:val="single" w:color="auto" w:sz="8" w:space="0"/>
            </w:tcBorders>
            <w:shd w:val="clear" w:color="auto" w:fill="auto"/>
            <w:vAlign w:val="center"/>
          </w:tcPr>
          <w:p>
            <w:pPr>
              <w:pStyle w:val="57"/>
              <w:ind w:firstLine="0" w:firstLineChars="0"/>
              <w:jc w:val="center"/>
              <w:rPr>
                <w:sz w:val="18"/>
              </w:rPr>
            </w:pPr>
            <w:r>
              <w:rPr>
                <w:rFonts w:hint="eastAsia"/>
                <w:sz w:val="18"/>
              </w:rPr>
              <w:t>数据分级</w:t>
            </w:r>
          </w:p>
        </w:tc>
        <w:tc>
          <w:tcPr>
            <w:tcW w:w="4042" w:type="dxa"/>
            <w:tcBorders>
              <w:top w:val="single" w:color="auto" w:sz="8" w:space="0"/>
              <w:bottom w:val="single" w:color="auto" w:sz="8" w:space="0"/>
            </w:tcBorders>
            <w:shd w:val="clear" w:color="auto" w:fill="auto"/>
            <w:vAlign w:val="center"/>
          </w:tcPr>
          <w:p>
            <w:pPr>
              <w:pStyle w:val="57"/>
              <w:ind w:firstLine="0" w:firstLineChars="0"/>
              <w:jc w:val="center"/>
              <w:rPr>
                <w:sz w:val="18"/>
              </w:rPr>
            </w:pPr>
            <w:r>
              <w:rPr>
                <w:rFonts w:hint="eastAsia"/>
                <w:sz w:val="18"/>
              </w:rPr>
              <w:t>共享</w:t>
            </w:r>
          </w:p>
        </w:tc>
        <w:tc>
          <w:tcPr>
            <w:tcW w:w="4040" w:type="dxa"/>
            <w:tcBorders>
              <w:top w:val="single" w:color="auto" w:sz="8" w:space="0"/>
              <w:bottom w:val="single" w:color="auto" w:sz="8" w:space="0"/>
            </w:tcBorders>
            <w:shd w:val="clear" w:color="auto" w:fill="auto"/>
            <w:vAlign w:val="center"/>
          </w:tcPr>
          <w:p>
            <w:pPr>
              <w:pStyle w:val="57"/>
              <w:ind w:firstLine="0" w:firstLineChars="0"/>
              <w:jc w:val="center"/>
              <w:rPr>
                <w:sz w:val="18"/>
              </w:rPr>
            </w:pPr>
            <w:r>
              <w:rPr>
                <w:rFonts w:hint="eastAsia"/>
                <w:sz w:val="18"/>
              </w:rPr>
              <w:t>开放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11" w:type="dxa"/>
            <w:shd w:val="clear" w:color="auto" w:fill="auto"/>
            <w:vAlign w:val="center"/>
          </w:tcPr>
          <w:p>
            <w:pPr>
              <w:pStyle w:val="57"/>
              <w:ind w:firstLine="0" w:firstLineChars="0"/>
              <w:jc w:val="center"/>
              <w:rPr>
                <w:sz w:val="18"/>
              </w:rPr>
            </w:pPr>
            <w:r>
              <w:rPr>
                <w:rFonts w:hint="eastAsia"/>
                <w:sz w:val="18"/>
              </w:rPr>
              <w:t>一级</w:t>
            </w:r>
          </w:p>
        </w:tc>
        <w:tc>
          <w:tcPr>
            <w:tcW w:w="4042" w:type="dxa"/>
            <w:shd w:val="clear" w:color="auto" w:fill="auto"/>
            <w:vAlign w:val="center"/>
          </w:tcPr>
          <w:p>
            <w:pPr>
              <w:pStyle w:val="57"/>
              <w:ind w:firstLine="0" w:firstLineChars="0"/>
              <w:jc w:val="center"/>
              <w:rPr>
                <w:sz w:val="18"/>
              </w:rPr>
            </w:pPr>
            <w:r>
              <w:rPr>
                <w:rFonts w:hint="eastAsia"/>
                <w:sz w:val="18"/>
              </w:rPr>
              <w:t>无条件共享</w:t>
            </w:r>
          </w:p>
        </w:tc>
        <w:tc>
          <w:tcPr>
            <w:tcW w:w="4040" w:type="dxa"/>
            <w:shd w:val="clear" w:color="auto" w:fill="auto"/>
            <w:vAlign w:val="center"/>
          </w:tcPr>
          <w:p>
            <w:pPr>
              <w:pStyle w:val="57"/>
              <w:ind w:firstLine="0" w:firstLineChars="0"/>
              <w:jc w:val="center"/>
              <w:rPr>
                <w:sz w:val="18"/>
              </w:rPr>
            </w:pPr>
            <w:r>
              <w:rPr>
                <w:rFonts w:hint="eastAsia"/>
                <w:sz w:val="18"/>
              </w:rPr>
              <w:t>有条件开放（审批/脱敏）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11" w:type="dxa"/>
            <w:shd w:val="clear" w:color="auto" w:fill="auto"/>
            <w:vAlign w:val="center"/>
          </w:tcPr>
          <w:p>
            <w:pPr>
              <w:pStyle w:val="57"/>
              <w:ind w:firstLine="0" w:firstLineChars="0"/>
              <w:jc w:val="center"/>
              <w:rPr>
                <w:sz w:val="18"/>
              </w:rPr>
            </w:pPr>
            <w:r>
              <w:rPr>
                <w:rFonts w:hint="eastAsia"/>
                <w:sz w:val="18"/>
              </w:rPr>
              <w:t>二级</w:t>
            </w:r>
          </w:p>
        </w:tc>
        <w:tc>
          <w:tcPr>
            <w:tcW w:w="4042" w:type="dxa"/>
            <w:shd w:val="clear" w:color="auto" w:fill="auto"/>
            <w:vAlign w:val="center"/>
          </w:tcPr>
          <w:p>
            <w:pPr>
              <w:pStyle w:val="57"/>
              <w:ind w:firstLine="0" w:firstLineChars="0"/>
              <w:jc w:val="center"/>
              <w:rPr>
                <w:sz w:val="18"/>
              </w:rPr>
            </w:pPr>
            <w:r>
              <w:rPr>
                <w:rFonts w:hint="eastAsia"/>
                <w:sz w:val="18"/>
              </w:rPr>
              <w:t>有条件共享</w:t>
            </w:r>
          </w:p>
        </w:tc>
        <w:tc>
          <w:tcPr>
            <w:tcW w:w="4040" w:type="dxa"/>
            <w:shd w:val="clear" w:color="auto" w:fill="auto"/>
            <w:vAlign w:val="center"/>
          </w:tcPr>
          <w:p>
            <w:pPr>
              <w:pStyle w:val="57"/>
              <w:ind w:firstLine="0" w:firstLineChars="0"/>
              <w:jc w:val="center"/>
              <w:rPr>
                <w:sz w:val="18"/>
              </w:rPr>
            </w:pPr>
            <w:r>
              <w:rPr>
                <w:rFonts w:hint="eastAsia"/>
                <w:sz w:val="18"/>
              </w:rPr>
              <w:t>有条件开放/不予开放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11" w:type="dxa"/>
            <w:shd w:val="clear" w:color="auto" w:fill="auto"/>
            <w:vAlign w:val="center"/>
          </w:tcPr>
          <w:p>
            <w:pPr>
              <w:pStyle w:val="57"/>
              <w:ind w:firstLine="0" w:firstLineChars="0"/>
              <w:jc w:val="center"/>
              <w:rPr>
                <w:sz w:val="18"/>
              </w:rPr>
            </w:pPr>
            <w:r>
              <w:rPr>
                <w:rFonts w:hint="eastAsia"/>
                <w:sz w:val="18"/>
              </w:rPr>
              <w:t>三级</w:t>
            </w:r>
          </w:p>
        </w:tc>
        <w:tc>
          <w:tcPr>
            <w:tcW w:w="4042" w:type="dxa"/>
            <w:shd w:val="clear" w:color="auto" w:fill="auto"/>
            <w:vAlign w:val="center"/>
          </w:tcPr>
          <w:p>
            <w:pPr>
              <w:pStyle w:val="57"/>
              <w:ind w:firstLine="0" w:firstLineChars="0"/>
              <w:jc w:val="center"/>
              <w:rPr>
                <w:sz w:val="18"/>
              </w:rPr>
            </w:pPr>
            <w:r>
              <w:rPr>
                <w:rFonts w:hint="eastAsia"/>
                <w:sz w:val="18"/>
              </w:rPr>
              <w:t>有条件共享</w:t>
            </w:r>
          </w:p>
        </w:tc>
        <w:tc>
          <w:tcPr>
            <w:tcW w:w="4040" w:type="dxa"/>
            <w:shd w:val="clear" w:color="auto" w:fill="auto"/>
            <w:vAlign w:val="center"/>
          </w:tcPr>
          <w:p>
            <w:pPr>
              <w:pStyle w:val="57"/>
              <w:ind w:firstLine="0" w:firstLineChars="0"/>
              <w:jc w:val="center"/>
              <w:rPr>
                <w:sz w:val="18"/>
              </w:rPr>
            </w:pPr>
            <w:r>
              <w:rPr>
                <w:rFonts w:hint="eastAsia"/>
                <w:sz w:val="18"/>
              </w:rPr>
              <w:t>不予开放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11" w:type="dxa"/>
            <w:tcBorders>
              <w:bottom w:val="single" w:color="auto" w:sz="8" w:space="0"/>
            </w:tcBorders>
            <w:shd w:val="clear" w:color="auto" w:fill="auto"/>
            <w:vAlign w:val="center"/>
          </w:tcPr>
          <w:p>
            <w:pPr>
              <w:pStyle w:val="57"/>
              <w:ind w:firstLine="0" w:firstLineChars="0"/>
              <w:jc w:val="center"/>
              <w:rPr>
                <w:sz w:val="18"/>
              </w:rPr>
            </w:pPr>
            <w:r>
              <w:rPr>
                <w:rFonts w:hint="eastAsia"/>
                <w:sz w:val="18"/>
              </w:rPr>
              <w:t>四级</w:t>
            </w:r>
          </w:p>
        </w:tc>
        <w:tc>
          <w:tcPr>
            <w:tcW w:w="4042" w:type="dxa"/>
            <w:tcBorders>
              <w:bottom w:val="single" w:color="auto" w:sz="8" w:space="0"/>
            </w:tcBorders>
            <w:shd w:val="clear" w:color="auto" w:fill="auto"/>
            <w:vAlign w:val="center"/>
          </w:tcPr>
          <w:p>
            <w:pPr>
              <w:pStyle w:val="57"/>
              <w:ind w:firstLine="0" w:firstLineChars="0"/>
              <w:jc w:val="center"/>
              <w:rPr>
                <w:sz w:val="18"/>
              </w:rPr>
            </w:pPr>
            <w:r>
              <w:rPr>
                <w:rFonts w:hint="eastAsia"/>
                <w:sz w:val="18"/>
              </w:rPr>
              <w:t>不予共享</w:t>
            </w:r>
          </w:p>
        </w:tc>
        <w:tc>
          <w:tcPr>
            <w:tcW w:w="4040" w:type="dxa"/>
            <w:tcBorders>
              <w:bottom w:val="single" w:color="auto" w:sz="8" w:space="0"/>
            </w:tcBorders>
            <w:shd w:val="clear" w:color="auto" w:fill="auto"/>
            <w:vAlign w:val="center"/>
          </w:tcPr>
          <w:p>
            <w:pPr>
              <w:pStyle w:val="57"/>
              <w:ind w:firstLine="0" w:firstLineChars="0"/>
              <w:jc w:val="center"/>
              <w:rPr>
                <w:sz w:val="18"/>
              </w:rPr>
            </w:pPr>
            <w:r>
              <w:rPr>
                <w:rFonts w:hint="eastAsia"/>
                <w:sz w:val="18"/>
              </w:rPr>
              <w:t>不予开放</w:t>
            </w:r>
          </w:p>
        </w:tc>
      </w:tr>
    </w:tbl>
    <w:p>
      <w:pPr>
        <w:pStyle w:val="57"/>
        <w:ind w:firstLine="0" w:firstLineChars="0"/>
      </w:pPr>
    </w:p>
    <w:p>
      <w:pPr>
        <w:pStyle w:val="57"/>
        <w:ind w:firstLine="420"/>
      </w:pPr>
    </w:p>
    <w:p>
      <w:pPr>
        <w:pStyle w:val="57"/>
        <w:ind w:firstLine="420"/>
      </w:pPr>
    </w:p>
    <w:p>
      <w:pPr>
        <w:pStyle w:val="57"/>
        <w:ind w:firstLine="420"/>
      </w:pPr>
    </w:p>
    <w:p>
      <w:pPr>
        <w:pStyle w:val="57"/>
        <w:ind w:firstLine="420"/>
      </w:pPr>
    </w:p>
    <w:p>
      <w:pPr>
        <w:pStyle w:val="57"/>
        <w:ind w:firstLine="420"/>
      </w:pPr>
    </w:p>
    <w:bookmarkEnd w:id="29"/>
    <w:p>
      <w:pPr>
        <w:pStyle w:val="199"/>
        <w:rPr>
          <w:rFonts w:hint="eastAsia"/>
          <w:vanish w:val="0"/>
        </w:rPr>
      </w:pPr>
      <w:bookmarkStart w:id="308" w:name="BookMark5"/>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200"/>
        <w:rPr>
          <w:vanish w:val="0"/>
        </w:rPr>
      </w:pPr>
    </w:p>
    <w:p>
      <w:pPr>
        <w:pStyle w:val="77"/>
        <w:spacing w:after="156"/>
      </w:pPr>
      <w:r>
        <w:br w:type="textWrapping"/>
      </w:r>
      <w:bookmarkStart w:id="309" w:name="_Toc180440643"/>
      <w:bookmarkStart w:id="310" w:name="_Toc181278549"/>
      <w:bookmarkStart w:id="311" w:name="_Toc181210147"/>
      <w:bookmarkStart w:id="312" w:name="_Toc175919398"/>
      <w:bookmarkStart w:id="313" w:name="_Toc175929664"/>
      <w:bookmarkStart w:id="314" w:name="_Toc181286255"/>
      <w:bookmarkStart w:id="315" w:name="_Toc175172479"/>
      <w:r>
        <w:rPr>
          <w:rFonts w:hint="eastAsia"/>
        </w:rPr>
        <w:t>（资料性）</w:t>
      </w:r>
      <w:r>
        <w:br w:type="textWrapping"/>
      </w:r>
      <w:r>
        <w:rPr>
          <w:rFonts w:hint="eastAsia"/>
        </w:rPr>
        <w:t>数据安全分级管控要求</w:t>
      </w:r>
      <w:bookmarkEnd w:id="309"/>
      <w:bookmarkEnd w:id="310"/>
      <w:bookmarkEnd w:id="311"/>
      <w:bookmarkEnd w:id="312"/>
      <w:bookmarkEnd w:id="313"/>
      <w:bookmarkEnd w:id="314"/>
      <w:bookmarkEnd w:id="315"/>
    </w:p>
    <w:p>
      <w:pPr>
        <w:pStyle w:val="57"/>
        <w:ind w:firstLine="420"/>
      </w:pPr>
      <w:r>
        <w:rPr>
          <w:rFonts w:hint="eastAsia"/>
        </w:rPr>
        <w:t>数据分级安全管控要求见表B.1。</w:t>
      </w:r>
    </w:p>
    <w:p>
      <w:pPr>
        <w:pStyle w:val="78"/>
        <w:spacing w:before="156" w:after="156"/>
      </w:pPr>
      <w:r>
        <w:rPr>
          <w:rFonts w:hint="eastAsia"/>
        </w:rPr>
        <w:t>数据分级安全管控要求</w:t>
      </w:r>
    </w:p>
    <w:tbl>
      <w:tblPr>
        <w:tblStyle w:val="34"/>
        <w:tblW w:w="1110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884"/>
        <w:gridCol w:w="1157"/>
        <w:gridCol w:w="2079"/>
        <w:gridCol w:w="2368"/>
        <w:gridCol w:w="28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blHeader/>
          <w:jc w:val="center"/>
        </w:trPr>
        <w:tc>
          <w:tcPr>
            <w:tcW w:w="774" w:type="dxa"/>
            <w:vMerge w:val="restart"/>
            <w:shd w:val="clear" w:color="auto" w:fill="auto"/>
            <w:vAlign w:val="center"/>
          </w:tcPr>
          <w:p>
            <w:pPr>
              <w:pStyle w:val="57"/>
              <w:ind w:firstLine="0" w:firstLineChars="0"/>
              <w:jc w:val="center"/>
            </w:pPr>
            <w:r>
              <w:rPr>
                <w:rFonts w:hint="eastAsia"/>
              </w:rPr>
              <w:t>政务数据</w:t>
            </w:r>
          </w:p>
          <w:p>
            <w:pPr>
              <w:pStyle w:val="57"/>
              <w:ind w:firstLine="0" w:firstLineChars="0"/>
              <w:jc w:val="center"/>
            </w:pPr>
            <w:r>
              <w:rPr>
                <w:rFonts w:hint="eastAsia"/>
              </w:rPr>
              <w:t>管理活动</w:t>
            </w:r>
          </w:p>
        </w:tc>
        <w:tc>
          <w:tcPr>
            <w:tcW w:w="10335" w:type="dxa"/>
            <w:gridSpan w:val="5"/>
            <w:shd w:val="clear" w:color="auto" w:fill="auto"/>
            <w:vAlign w:val="center"/>
          </w:tcPr>
          <w:p>
            <w:pPr>
              <w:pStyle w:val="57"/>
              <w:ind w:firstLine="0" w:firstLineChars="0"/>
              <w:jc w:val="center"/>
            </w:pPr>
            <w:r>
              <w:rPr>
                <w:rFonts w:hint="eastAsia"/>
              </w:rPr>
              <w:t>数据分级安全管控要求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blHeader/>
          <w:jc w:val="center"/>
        </w:trPr>
        <w:tc>
          <w:tcPr>
            <w:tcW w:w="774" w:type="dxa"/>
            <w:vMerge w:val="continue"/>
            <w:shd w:val="clear" w:color="auto" w:fill="auto"/>
            <w:vAlign w:val="center"/>
          </w:tcPr>
          <w:p>
            <w:pPr>
              <w:pStyle w:val="57"/>
              <w:ind w:firstLine="420"/>
              <w:jc w:val="center"/>
            </w:pPr>
          </w:p>
        </w:tc>
        <w:tc>
          <w:tcPr>
            <w:tcW w:w="1884" w:type="dxa"/>
            <w:shd w:val="clear" w:color="auto" w:fill="auto"/>
            <w:vAlign w:val="center"/>
          </w:tcPr>
          <w:p>
            <w:pPr>
              <w:pStyle w:val="57"/>
              <w:ind w:firstLine="0" w:firstLineChars="0"/>
              <w:jc w:val="center"/>
            </w:pPr>
            <w:r>
              <w:rPr>
                <w:rFonts w:hint="eastAsia"/>
              </w:rPr>
              <w:t>通用要求</w:t>
            </w:r>
          </w:p>
        </w:tc>
        <w:tc>
          <w:tcPr>
            <w:tcW w:w="1157" w:type="dxa"/>
            <w:shd w:val="clear" w:color="auto" w:fill="auto"/>
            <w:vAlign w:val="center"/>
          </w:tcPr>
          <w:p>
            <w:pPr>
              <w:pStyle w:val="57"/>
              <w:ind w:firstLine="0" w:firstLineChars="0"/>
              <w:jc w:val="center"/>
            </w:pPr>
            <w:r>
              <w:rPr>
                <w:rFonts w:hint="eastAsia"/>
              </w:rPr>
              <w:t>一级数据</w:t>
            </w:r>
          </w:p>
        </w:tc>
        <w:tc>
          <w:tcPr>
            <w:tcW w:w="2079" w:type="dxa"/>
            <w:shd w:val="clear" w:color="auto" w:fill="auto"/>
            <w:vAlign w:val="center"/>
          </w:tcPr>
          <w:p>
            <w:pPr>
              <w:pStyle w:val="57"/>
              <w:ind w:firstLine="0" w:firstLineChars="0"/>
              <w:jc w:val="center"/>
            </w:pPr>
            <w:r>
              <w:rPr>
                <w:rFonts w:hint="eastAsia"/>
              </w:rPr>
              <w:t>二级数据</w:t>
            </w:r>
          </w:p>
        </w:tc>
        <w:tc>
          <w:tcPr>
            <w:tcW w:w="2368" w:type="dxa"/>
            <w:shd w:val="clear" w:color="auto" w:fill="auto"/>
            <w:vAlign w:val="center"/>
          </w:tcPr>
          <w:p>
            <w:pPr>
              <w:pStyle w:val="57"/>
              <w:ind w:firstLine="0" w:firstLineChars="0"/>
              <w:jc w:val="center"/>
            </w:pPr>
            <w:r>
              <w:rPr>
                <w:rFonts w:hint="eastAsia"/>
              </w:rPr>
              <w:t>三级数据</w:t>
            </w:r>
          </w:p>
        </w:tc>
        <w:tc>
          <w:tcPr>
            <w:tcW w:w="2847" w:type="dxa"/>
            <w:shd w:val="clear" w:color="auto" w:fill="auto"/>
            <w:vAlign w:val="center"/>
          </w:tcPr>
          <w:p>
            <w:pPr>
              <w:pStyle w:val="57"/>
              <w:ind w:firstLine="0" w:firstLineChars="0"/>
              <w:jc w:val="center"/>
            </w:pPr>
            <w:r>
              <w:rPr>
                <w:rFonts w:hint="eastAsia"/>
              </w:rPr>
              <w:t>四级数据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0093" w:hRule="atLeast"/>
          <w:jc w:val="center"/>
        </w:trPr>
        <w:tc>
          <w:tcPr>
            <w:tcW w:w="774" w:type="dxa"/>
            <w:shd w:val="clear" w:color="auto" w:fill="auto"/>
            <w:vAlign w:val="center"/>
          </w:tcPr>
          <w:p>
            <w:pPr>
              <w:pStyle w:val="57"/>
              <w:ind w:firstLine="0" w:firstLineChars="0"/>
              <w:jc w:val="center"/>
            </w:pPr>
            <w:r>
              <w:rPr>
                <w:rFonts w:hint="eastAsia"/>
              </w:rPr>
              <w:t>数据</w:t>
            </w:r>
          </w:p>
          <w:p>
            <w:pPr>
              <w:pStyle w:val="57"/>
              <w:ind w:firstLine="0" w:firstLineChars="0"/>
              <w:jc w:val="center"/>
            </w:pPr>
            <w:r>
              <w:rPr>
                <w:rFonts w:hint="eastAsia"/>
              </w:rPr>
              <w:t>采集</w:t>
            </w:r>
          </w:p>
        </w:tc>
        <w:tc>
          <w:tcPr>
            <w:tcW w:w="1884" w:type="dxa"/>
            <w:shd w:val="clear" w:color="auto" w:fill="auto"/>
            <w:vAlign w:val="center"/>
          </w:tcPr>
          <w:p>
            <w:pPr>
              <w:widowControl/>
              <w:spacing w:line="240" w:lineRule="auto"/>
              <w:jc w:val="left"/>
              <w:textAlignment w:val="center"/>
            </w:pPr>
            <w:r>
              <w:rPr>
                <w:rFonts w:hint="eastAsia" w:ascii="宋体" w:hAnsi="宋体" w:cs="宋体"/>
                <w:kern w:val="0"/>
                <w:lang w:bidi="ar"/>
              </w:rPr>
              <w:t>1.明确数据采集目的、方式、数量、用途、获取源、接收方、范围、频率和周期等，规范数据采集的流程和方法；</w:t>
            </w:r>
            <w:r>
              <w:rPr>
                <w:rFonts w:hint="eastAsia" w:ascii="宋体" w:hAnsi="宋体" w:cs="宋体"/>
                <w:kern w:val="0"/>
                <w:lang w:bidi="ar"/>
              </w:rPr>
              <w:br w:type="textWrapping"/>
            </w:r>
            <w:r>
              <w:rPr>
                <w:rFonts w:hint="eastAsia" w:ascii="宋体" w:hAnsi="宋体" w:cs="宋体"/>
                <w:kern w:val="0"/>
                <w:lang w:bidi="ar"/>
              </w:rPr>
              <w:t>2.对数据采集行为进行监控与审计，一旦发现异常行为（如采集异常、传输量超过设定阀值）需及时告警。</w:t>
            </w:r>
          </w:p>
        </w:tc>
        <w:tc>
          <w:tcPr>
            <w:tcW w:w="1157" w:type="dxa"/>
            <w:shd w:val="clear" w:color="auto" w:fill="auto"/>
            <w:vAlign w:val="center"/>
          </w:tcPr>
          <w:p>
            <w:pPr>
              <w:widowControl/>
              <w:spacing w:line="240" w:lineRule="auto"/>
              <w:textAlignment w:val="center"/>
              <w:rPr>
                <w:rFonts w:ascii="宋体" w:hAnsi="Times New Roman"/>
                <w:kern w:val="0"/>
              </w:rPr>
            </w:pPr>
            <w:r>
              <w:rPr>
                <w:rFonts w:hint="eastAsia" w:ascii="宋体" w:hAnsi="宋体" w:cs="宋体"/>
                <w:kern w:val="0"/>
                <w:lang w:bidi="ar"/>
              </w:rPr>
              <w:t>在有可参照原始数据的情况下，采取双向认证及完整性校验，保障数据采集前后的完整性、一致性。</w:t>
            </w:r>
          </w:p>
        </w:tc>
        <w:tc>
          <w:tcPr>
            <w:tcW w:w="2079" w:type="dxa"/>
            <w:shd w:val="clear" w:color="auto" w:fill="auto"/>
            <w:vAlign w:val="center"/>
          </w:tcPr>
          <w:p>
            <w:pPr>
              <w:widowControl/>
              <w:spacing w:line="240" w:lineRule="auto"/>
              <w:jc w:val="left"/>
              <w:textAlignment w:val="center"/>
            </w:pPr>
            <w:r>
              <w:rPr>
                <w:rFonts w:hint="eastAsia" w:ascii="宋体" w:hAnsi="宋体" w:cs="宋体"/>
                <w:kern w:val="0"/>
                <w:lang w:bidi="ar"/>
              </w:rPr>
              <w:t>1.在有可参照原始数据的情况下，采取双向认证及完整性校验，保障数据采集前后的完整性、一致性；</w:t>
            </w:r>
            <w:r>
              <w:rPr>
                <w:rFonts w:hint="eastAsia" w:ascii="宋体" w:hAnsi="宋体" w:cs="宋体"/>
                <w:kern w:val="0"/>
                <w:lang w:bidi="ar"/>
              </w:rPr>
              <w:br w:type="textWrapping"/>
            </w:r>
            <w:r>
              <w:rPr>
                <w:rFonts w:hint="eastAsia" w:ascii="宋体" w:hAnsi="宋体" w:cs="宋体"/>
                <w:kern w:val="0"/>
                <w:lang w:bidi="ar"/>
              </w:rPr>
              <w:t>2.数据采集前应与数据拥有者进行协商，在获得数据拥有者的明确授权后方可进行数据采集；</w:t>
            </w:r>
            <w:r>
              <w:rPr>
                <w:rFonts w:hint="eastAsia" w:ascii="宋体" w:hAnsi="宋体" w:cs="宋体"/>
                <w:kern w:val="0"/>
                <w:lang w:bidi="ar"/>
              </w:rPr>
              <w:br w:type="textWrapping"/>
            </w:r>
            <w:r>
              <w:rPr>
                <w:rFonts w:hint="eastAsia" w:ascii="宋体" w:hAnsi="宋体" w:cs="宋体"/>
                <w:kern w:val="0"/>
                <w:lang w:bidi="ar"/>
              </w:rPr>
              <w:t>3.对数据采集的工具、系统、设备等进行安全检测，确保数据采集端安全；</w:t>
            </w:r>
            <w:r>
              <w:rPr>
                <w:rFonts w:hint="eastAsia" w:ascii="宋体" w:hAnsi="宋体" w:cs="宋体"/>
                <w:kern w:val="0"/>
                <w:lang w:bidi="ar"/>
              </w:rPr>
              <w:br w:type="textWrapping"/>
            </w:r>
            <w:r>
              <w:rPr>
                <w:rFonts w:hint="eastAsia" w:ascii="宋体" w:hAnsi="宋体" w:cs="宋体"/>
                <w:kern w:val="0"/>
                <w:lang w:bidi="ar"/>
              </w:rPr>
              <w:t>4.对数据采集的工具、系统、设备采用准入控制、身份认证和访问权限控制，避免非法访问；</w:t>
            </w:r>
            <w:r>
              <w:rPr>
                <w:rFonts w:hint="eastAsia" w:ascii="宋体" w:hAnsi="宋体" w:cs="宋体"/>
                <w:kern w:val="0"/>
                <w:lang w:bidi="ar"/>
              </w:rPr>
              <w:br w:type="textWrapping"/>
            </w:r>
            <w:r>
              <w:rPr>
                <w:rFonts w:hint="eastAsia" w:ascii="宋体" w:hAnsi="宋体" w:cs="宋体"/>
                <w:kern w:val="0"/>
                <w:lang w:bidi="ar"/>
              </w:rPr>
              <w:t>5.对采集的数据源的有效性、安全性进行鉴别，禁止采集来源不明的数据；</w:t>
            </w:r>
            <w:r>
              <w:rPr>
                <w:rFonts w:hint="eastAsia" w:ascii="宋体" w:hAnsi="宋体" w:cs="宋体"/>
                <w:kern w:val="0"/>
                <w:lang w:bidi="ar"/>
              </w:rPr>
              <w:br w:type="textWrapping"/>
            </w:r>
            <w:r>
              <w:rPr>
                <w:rFonts w:hint="eastAsia" w:ascii="宋体" w:hAnsi="宋体" w:cs="宋体"/>
                <w:kern w:val="0"/>
                <w:lang w:bidi="ar"/>
              </w:rPr>
              <w:t>6.对采集数据内容的完整性、可用性进行校验；</w:t>
            </w:r>
            <w:r>
              <w:rPr>
                <w:rFonts w:hint="eastAsia" w:ascii="宋体" w:hAnsi="宋体" w:cs="宋体"/>
                <w:kern w:val="0"/>
                <w:lang w:bidi="ar"/>
              </w:rPr>
              <w:br w:type="textWrapping"/>
            </w:r>
            <w:r>
              <w:rPr>
                <w:rFonts w:hint="eastAsia" w:ascii="宋体" w:hAnsi="宋体" w:cs="宋体"/>
                <w:kern w:val="0"/>
                <w:lang w:bidi="ar"/>
              </w:rPr>
              <w:t>7.在数据采集过程中采取管理和技术措施防止数据泄漏。</w:t>
            </w:r>
          </w:p>
        </w:tc>
        <w:tc>
          <w:tcPr>
            <w:tcW w:w="2368" w:type="dxa"/>
            <w:shd w:val="clear" w:color="auto" w:fill="auto"/>
            <w:vAlign w:val="center"/>
          </w:tcPr>
          <w:p>
            <w:pPr>
              <w:widowControl/>
              <w:spacing w:line="240" w:lineRule="auto"/>
              <w:jc w:val="left"/>
              <w:textAlignment w:val="center"/>
            </w:pPr>
            <w:r>
              <w:rPr>
                <w:rFonts w:hint="eastAsia" w:ascii="宋体" w:hAnsi="宋体" w:cs="宋体"/>
                <w:kern w:val="0"/>
                <w:lang w:bidi="ar"/>
              </w:rPr>
              <w:br w:type="textWrapping"/>
            </w:r>
            <w:r>
              <w:rPr>
                <w:rFonts w:hint="eastAsia" w:ascii="宋体" w:hAnsi="宋体" w:cs="宋体"/>
                <w:kern w:val="0"/>
                <w:lang w:bidi="ar"/>
              </w:rPr>
              <w:t>1.数据采集前应与数据拥有者进行协商，在获得数据拥有者的明确授权后方可进行数据采集；</w:t>
            </w:r>
            <w:r>
              <w:rPr>
                <w:rFonts w:hint="eastAsia" w:ascii="宋体" w:hAnsi="宋体" w:cs="宋体"/>
                <w:kern w:val="0"/>
                <w:lang w:bidi="ar"/>
              </w:rPr>
              <w:br w:type="textWrapping"/>
            </w:r>
            <w:r>
              <w:rPr>
                <w:rFonts w:hint="eastAsia" w:ascii="宋体" w:hAnsi="宋体" w:cs="宋体"/>
                <w:kern w:val="0"/>
                <w:lang w:bidi="ar"/>
              </w:rPr>
              <w:t>2.对数据采集的工具、系统、设备等进行安全检测，确保数据采集端安全；</w:t>
            </w:r>
            <w:r>
              <w:rPr>
                <w:rFonts w:hint="eastAsia" w:ascii="宋体" w:hAnsi="宋体" w:cs="宋体"/>
                <w:kern w:val="0"/>
                <w:lang w:bidi="ar"/>
              </w:rPr>
              <w:br w:type="textWrapping"/>
            </w:r>
            <w:r>
              <w:rPr>
                <w:rFonts w:hint="eastAsia" w:ascii="宋体" w:hAnsi="宋体" w:cs="宋体"/>
                <w:kern w:val="0"/>
                <w:lang w:bidi="ar"/>
              </w:rPr>
              <w:t>3.对数据采集的工具、系统、设备采用准入控制、身份认证和访问权限控制，避免非法访问；</w:t>
            </w:r>
            <w:r>
              <w:rPr>
                <w:rFonts w:hint="eastAsia" w:ascii="宋体" w:hAnsi="宋体" w:cs="宋体"/>
                <w:kern w:val="0"/>
                <w:lang w:bidi="ar"/>
              </w:rPr>
              <w:br w:type="textWrapping"/>
            </w:r>
            <w:r>
              <w:rPr>
                <w:rFonts w:hint="eastAsia" w:ascii="宋体" w:hAnsi="宋体" w:cs="宋体"/>
                <w:kern w:val="0"/>
                <w:lang w:bidi="ar"/>
              </w:rPr>
              <w:t>4.对采集的数据源的有效性、安全性进行鉴别，禁止采集来源不明的数据；</w:t>
            </w:r>
            <w:r>
              <w:rPr>
                <w:rFonts w:hint="eastAsia" w:ascii="宋体" w:hAnsi="宋体" w:cs="宋体"/>
                <w:kern w:val="0"/>
                <w:lang w:bidi="ar"/>
              </w:rPr>
              <w:br w:type="textWrapping"/>
            </w:r>
            <w:r>
              <w:rPr>
                <w:rFonts w:hint="eastAsia" w:ascii="宋体" w:hAnsi="宋体" w:cs="宋体"/>
                <w:kern w:val="0"/>
                <w:lang w:bidi="ar"/>
              </w:rPr>
              <w:t>5.在有可参照原始数据的情况下，采取双向认证及完整性校验，保障采集数据的完整性、一致性；</w:t>
            </w:r>
            <w:r>
              <w:rPr>
                <w:rFonts w:hint="eastAsia" w:ascii="宋体" w:hAnsi="宋体" w:cs="宋体"/>
                <w:kern w:val="0"/>
                <w:lang w:bidi="ar"/>
              </w:rPr>
              <w:br w:type="textWrapping"/>
            </w:r>
            <w:r>
              <w:rPr>
                <w:rFonts w:hint="eastAsia" w:ascii="宋体" w:hAnsi="宋体" w:cs="宋体"/>
                <w:kern w:val="0"/>
                <w:lang w:bidi="ar"/>
              </w:rPr>
              <w:t>6.对采集数据内容的可用性进行校验；</w:t>
            </w:r>
            <w:r>
              <w:rPr>
                <w:rFonts w:hint="eastAsia" w:ascii="宋体" w:hAnsi="宋体" w:cs="宋体"/>
                <w:kern w:val="0"/>
                <w:lang w:bidi="ar"/>
              </w:rPr>
              <w:br w:type="textWrapping"/>
            </w:r>
            <w:r>
              <w:rPr>
                <w:rFonts w:hint="eastAsia" w:ascii="宋体" w:hAnsi="宋体" w:cs="宋体"/>
                <w:kern w:val="0"/>
                <w:lang w:bidi="ar"/>
              </w:rPr>
              <w:t>7.在数据采集过程中采取管理和技术措施防止数据泄漏；</w:t>
            </w:r>
            <w:r>
              <w:rPr>
                <w:rFonts w:hint="eastAsia" w:ascii="宋体" w:hAnsi="宋体" w:cs="宋体"/>
                <w:kern w:val="0"/>
                <w:lang w:bidi="ar"/>
              </w:rPr>
              <w:br w:type="textWrapping"/>
            </w:r>
            <w:r>
              <w:rPr>
                <w:rFonts w:hint="eastAsia" w:ascii="宋体" w:hAnsi="宋体" w:cs="宋体"/>
                <w:kern w:val="0"/>
                <w:lang w:bidi="ar"/>
              </w:rPr>
              <w:t>8.对采集的数据进行加密保护；</w:t>
            </w:r>
            <w:r>
              <w:rPr>
                <w:rFonts w:hint="eastAsia" w:ascii="宋体" w:hAnsi="宋体" w:cs="宋体"/>
                <w:kern w:val="0"/>
                <w:lang w:bidi="ar"/>
              </w:rPr>
              <w:br w:type="textWrapping"/>
            </w:r>
            <w:r>
              <w:rPr>
                <w:rFonts w:hint="eastAsia" w:ascii="宋体" w:hAnsi="宋体" w:cs="宋体"/>
                <w:kern w:val="0"/>
                <w:lang w:bidi="ar"/>
              </w:rPr>
              <w:t>9.采集的数据禁止在终端留存。</w:t>
            </w:r>
          </w:p>
        </w:tc>
        <w:tc>
          <w:tcPr>
            <w:tcW w:w="2847" w:type="dxa"/>
            <w:shd w:val="clear" w:color="auto" w:fill="auto"/>
            <w:vAlign w:val="center"/>
          </w:tcPr>
          <w:p>
            <w:pPr>
              <w:widowControl/>
              <w:spacing w:line="240" w:lineRule="auto"/>
              <w:jc w:val="left"/>
              <w:textAlignment w:val="center"/>
            </w:pPr>
            <w:r>
              <w:rPr>
                <w:rFonts w:hint="eastAsia" w:ascii="宋体" w:hAnsi="宋体" w:cs="宋体"/>
                <w:kern w:val="0"/>
                <w:lang w:bidi="ar"/>
              </w:rPr>
              <w:t>1.在有可参照原始数据的情况下，采取双向认证及完整性校验，保障数据采集前后的完整性、一致性；</w:t>
            </w:r>
            <w:r>
              <w:rPr>
                <w:rFonts w:hint="eastAsia" w:ascii="宋体" w:hAnsi="宋体" w:cs="宋体"/>
                <w:kern w:val="0"/>
                <w:lang w:bidi="ar"/>
              </w:rPr>
              <w:br w:type="textWrapping"/>
            </w:r>
            <w:r>
              <w:rPr>
                <w:rFonts w:hint="eastAsia" w:ascii="宋体" w:hAnsi="宋体" w:cs="宋体"/>
                <w:kern w:val="0"/>
                <w:lang w:bidi="ar"/>
              </w:rPr>
              <w:t>2.数据采集前应与数据拥有者进行协商，在获得数据拥有者的明确授权后方可进行数据采集；</w:t>
            </w:r>
            <w:r>
              <w:rPr>
                <w:rFonts w:hint="eastAsia" w:ascii="宋体" w:hAnsi="宋体" w:cs="宋体"/>
                <w:kern w:val="0"/>
                <w:lang w:bidi="ar"/>
              </w:rPr>
              <w:br w:type="textWrapping"/>
            </w:r>
            <w:r>
              <w:rPr>
                <w:rFonts w:hint="eastAsia" w:ascii="宋体" w:hAnsi="宋体" w:cs="宋体"/>
                <w:kern w:val="0"/>
                <w:lang w:bidi="ar"/>
              </w:rPr>
              <w:t>3.对数据采集的工具、系统、设备等进行安全检测，确保数据采集端安全；</w:t>
            </w:r>
            <w:r>
              <w:rPr>
                <w:rFonts w:hint="eastAsia" w:ascii="宋体" w:hAnsi="宋体" w:cs="宋体"/>
                <w:kern w:val="0"/>
                <w:lang w:bidi="ar"/>
              </w:rPr>
              <w:br w:type="textWrapping"/>
            </w:r>
            <w:r>
              <w:rPr>
                <w:rFonts w:hint="eastAsia" w:ascii="宋体" w:hAnsi="宋体" w:cs="宋体"/>
                <w:kern w:val="0"/>
                <w:lang w:bidi="ar"/>
              </w:rPr>
              <w:t>4.对数据采集的工具、系统、设备采用准入控制、身份认证和访问权限控制，避免非法访问；</w:t>
            </w:r>
            <w:r>
              <w:rPr>
                <w:rFonts w:hint="eastAsia" w:ascii="宋体" w:hAnsi="宋体" w:cs="宋体"/>
                <w:kern w:val="0"/>
                <w:lang w:bidi="ar"/>
              </w:rPr>
              <w:br w:type="textWrapping"/>
            </w:r>
            <w:r>
              <w:rPr>
                <w:rFonts w:hint="eastAsia" w:ascii="宋体" w:hAnsi="宋体" w:cs="宋体"/>
                <w:kern w:val="0"/>
                <w:lang w:bidi="ar"/>
              </w:rPr>
              <w:t>5.对采集的数据源的有效性、安全性进行鉴别，禁止采集来源不明的数据；</w:t>
            </w:r>
            <w:r>
              <w:rPr>
                <w:rFonts w:hint="eastAsia" w:ascii="宋体" w:hAnsi="宋体" w:cs="宋体"/>
                <w:kern w:val="0"/>
                <w:lang w:bidi="ar"/>
              </w:rPr>
              <w:br w:type="textWrapping"/>
            </w:r>
            <w:r>
              <w:rPr>
                <w:rFonts w:hint="eastAsia" w:ascii="宋体" w:hAnsi="宋体" w:cs="宋体"/>
                <w:kern w:val="0"/>
                <w:lang w:bidi="ar"/>
              </w:rPr>
              <w:t>6.对采集数据内容的完整性、可用性进行校验；</w:t>
            </w:r>
            <w:r>
              <w:rPr>
                <w:rFonts w:hint="eastAsia" w:ascii="宋体" w:hAnsi="宋体" w:cs="宋体"/>
                <w:kern w:val="0"/>
                <w:lang w:bidi="ar"/>
              </w:rPr>
              <w:br w:type="textWrapping"/>
            </w:r>
            <w:r>
              <w:rPr>
                <w:rFonts w:hint="eastAsia" w:ascii="宋体" w:hAnsi="宋体" w:cs="宋体"/>
                <w:kern w:val="0"/>
                <w:lang w:bidi="ar"/>
              </w:rPr>
              <w:t>7.在数据采集过程中采取管理和技术措施防止数据泄漏；</w:t>
            </w:r>
            <w:r>
              <w:rPr>
                <w:rFonts w:hint="eastAsia" w:ascii="宋体" w:hAnsi="宋体" w:cs="宋体"/>
                <w:kern w:val="0"/>
                <w:lang w:bidi="ar"/>
              </w:rPr>
              <w:br w:type="textWrapping"/>
            </w:r>
            <w:r>
              <w:rPr>
                <w:rFonts w:hint="eastAsia" w:ascii="宋体" w:hAnsi="宋体" w:cs="宋体"/>
                <w:kern w:val="0"/>
                <w:lang w:bidi="ar"/>
              </w:rPr>
              <w:t>8.数据采集的工具、系统、设备账号应采用双因素认证；</w:t>
            </w:r>
            <w:r>
              <w:rPr>
                <w:rFonts w:hint="eastAsia" w:ascii="宋体" w:hAnsi="宋体" w:cs="宋体"/>
                <w:kern w:val="0"/>
                <w:lang w:bidi="ar"/>
              </w:rPr>
              <w:br w:type="textWrapping"/>
            </w:r>
            <w:r>
              <w:rPr>
                <w:rFonts w:hint="eastAsia" w:ascii="宋体" w:hAnsi="宋体" w:cs="宋体"/>
                <w:kern w:val="0"/>
                <w:lang w:bidi="ar"/>
              </w:rPr>
              <w:t>9.采取合理的加密方式对数据进行保护；</w:t>
            </w:r>
            <w:r>
              <w:rPr>
                <w:rFonts w:hint="eastAsia" w:ascii="宋体" w:hAnsi="宋体" w:cs="宋体"/>
                <w:kern w:val="0"/>
                <w:lang w:bidi="ar"/>
              </w:rPr>
              <w:br w:type="textWrapping"/>
            </w:r>
            <w:r>
              <w:rPr>
                <w:rFonts w:hint="eastAsia" w:ascii="宋体" w:hAnsi="宋体" w:cs="宋体"/>
                <w:kern w:val="0"/>
                <w:lang w:bidi="ar"/>
              </w:rPr>
              <w:t>10.采集的数据禁止在终端留存；</w:t>
            </w:r>
            <w:r>
              <w:rPr>
                <w:rFonts w:hint="eastAsia" w:ascii="宋体" w:hAnsi="宋体" w:cs="宋体"/>
                <w:kern w:val="0"/>
                <w:lang w:bidi="ar"/>
              </w:rPr>
              <w:br w:type="textWrapping"/>
            </w:r>
            <w:r>
              <w:rPr>
                <w:rFonts w:hint="eastAsia" w:ascii="宋体" w:hAnsi="宋体" w:cs="宋体"/>
                <w:kern w:val="0"/>
                <w:lang w:bidi="ar"/>
              </w:rPr>
              <w:t>11.使用溯源分析等技术手段，对数据泄露风险进行分析，对采集行为进行追踪溯源。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164" w:hRule="atLeast"/>
          <w:jc w:val="center"/>
        </w:trPr>
        <w:tc>
          <w:tcPr>
            <w:tcW w:w="774" w:type="dxa"/>
            <w:shd w:val="clear" w:color="auto" w:fill="auto"/>
            <w:vAlign w:val="center"/>
          </w:tcPr>
          <w:p>
            <w:pPr>
              <w:pStyle w:val="57"/>
              <w:ind w:firstLine="0" w:firstLineChars="0"/>
              <w:jc w:val="center"/>
            </w:pPr>
            <w:r>
              <w:rPr>
                <w:rFonts w:hint="eastAsia"/>
              </w:rPr>
              <w:t>数据传输</w:t>
            </w:r>
          </w:p>
        </w:tc>
        <w:tc>
          <w:tcPr>
            <w:tcW w:w="1884" w:type="dxa"/>
            <w:shd w:val="clear" w:color="auto" w:fill="auto"/>
            <w:vAlign w:val="center"/>
          </w:tcPr>
          <w:p>
            <w:pPr>
              <w:widowControl/>
              <w:spacing w:line="240" w:lineRule="auto"/>
              <w:jc w:val="left"/>
              <w:textAlignment w:val="center"/>
            </w:pPr>
            <w:r>
              <w:rPr>
                <w:rFonts w:hint="eastAsia" w:ascii="宋体" w:hAnsi="Times New Roman"/>
                <w:kern w:val="0"/>
                <w:szCs w:val="20"/>
              </w:rPr>
              <w:t>1.对数据传输范围进行控制，仅发送给内部人员，外部人员需使用数据时</w:t>
            </w:r>
            <w:r>
              <w:rPr>
                <w:rFonts w:hint="eastAsia" w:ascii="宋体" w:hAnsi="Times New Roman"/>
                <w:b/>
                <w:bCs/>
                <w:kern w:val="0"/>
                <w:szCs w:val="20"/>
              </w:rPr>
              <w:t>，</w:t>
            </w:r>
            <w:r>
              <w:rPr>
                <w:rFonts w:hint="eastAsia" w:ascii="宋体" w:hAnsi="Times New Roman"/>
                <w:kern w:val="0"/>
                <w:szCs w:val="20"/>
              </w:rPr>
              <w:t>只能通过堡垒机、云桌面或大数据中心内部配发的终端；</w:t>
            </w:r>
            <w:r>
              <w:rPr>
                <w:rFonts w:hint="eastAsia" w:ascii="宋体" w:hAnsi="Times New Roman"/>
                <w:kern w:val="0"/>
                <w:szCs w:val="20"/>
              </w:rPr>
              <w:br w:type="textWrapping"/>
            </w:r>
            <w:r>
              <w:rPr>
                <w:rFonts w:hint="eastAsia" w:ascii="宋体" w:hAnsi="Times New Roman"/>
                <w:kern w:val="0"/>
                <w:szCs w:val="20"/>
              </w:rPr>
              <w:t>2.对数据传输过程和内容进行记录；</w:t>
            </w:r>
            <w:r>
              <w:rPr>
                <w:rFonts w:hint="eastAsia" w:ascii="宋体" w:hAnsi="Times New Roman"/>
                <w:kern w:val="0"/>
                <w:szCs w:val="20"/>
              </w:rPr>
              <w:br w:type="textWrapping"/>
            </w:r>
            <w:r>
              <w:rPr>
                <w:rFonts w:hint="eastAsia" w:ascii="宋体" w:hAnsi="Times New Roman"/>
                <w:kern w:val="0"/>
                <w:szCs w:val="20"/>
              </w:rPr>
              <w:t>3.对传输的数据内容进行敏感信息的监测与识别，对违规传输行为进行告警与处置。</w:t>
            </w:r>
          </w:p>
        </w:tc>
        <w:tc>
          <w:tcPr>
            <w:tcW w:w="1157" w:type="dxa"/>
            <w:shd w:val="clear" w:color="auto" w:fill="auto"/>
            <w:vAlign w:val="center"/>
          </w:tcPr>
          <w:p>
            <w:pPr>
              <w:widowControl/>
              <w:spacing w:line="240" w:lineRule="auto"/>
              <w:textAlignment w:val="center"/>
            </w:pPr>
            <w:r>
              <w:rPr>
                <w:rFonts w:hint="eastAsia" w:ascii="宋体" w:hAnsi="宋体" w:cs="宋体"/>
                <w:kern w:val="0"/>
                <w:lang w:bidi="ar"/>
              </w:rPr>
              <w:br w:type="textWrapping"/>
            </w:r>
            <w:r>
              <w:rPr>
                <w:rFonts w:hint="eastAsia" w:ascii="宋体" w:hAnsi="宋体" w:cs="宋体"/>
                <w:kern w:val="0"/>
                <w:lang w:bidi="ar"/>
              </w:rPr>
              <w:t>建立数据传输接口安全管理规范，包括跨机构内部区域、跨机构和跨境数据传输接口等。</w:t>
            </w:r>
          </w:p>
        </w:tc>
        <w:tc>
          <w:tcPr>
            <w:tcW w:w="2079" w:type="dxa"/>
            <w:shd w:val="clear" w:color="auto" w:fill="auto"/>
            <w:vAlign w:val="center"/>
          </w:tcPr>
          <w:p>
            <w:pPr>
              <w:widowControl/>
              <w:spacing w:line="240" w:lineRule="auto"/>
              <w:textAlignment w:val="center"/>
            </w:pPr>
            <w:r>
              <w:rPr>
                <w:rFonts w:hint="eastAsia" w:ascii="宋体" w:hAnsi="宋体" w:cs="宋体"/>
                <w:kern w:val="0"/>
                <w:lang w:bidi="ar"/>
              </w:rPr>
              <w:br w:type="textWrapping"/>
            </w:r>
            <w:r>
              <w:rPr>
                <w:rFonts w:hint="eastAsia" w:ascii="宋体" w:hAnsi="宋体" w:cs="宋体"/>
                <w:kern w:val="0"/>
                <w:lang w:bidi="ar"/>
              </w:rPr>
              <w:t>1.建立数据传输接口安全管理规范，包括跨机构内部区域、跨机构和跨境数据传输接口等；</w:t>
            </w:r>
            <w:r>
              <w:rPr>
                <w:rFonts w:hint="eastAsia" w:ascii="宋体" w:hAnsi="宋体" w:cs="宋体"/>
                <w:kern w:val="0"/>
                <w:lang w:bidi="ar"/>
              </w:rPr>
              <w:br w:type="textWrapping"/>
            </w:r>
            <w:r>
              <w:rPr>
                <w:rFonts w:hint="eastAsia" w:ascii="宋体" w:hAnsi="宋体" w:cs="宋体"/>
                <w:kern w:val="0"/>
                <w:lang w:bidi="ar"/>
              </w:rPr>
              <w:t>2.对数据传输范围进行控制，仅发送给相关人员；</w:t>
            </w:r>
            <w:r>
              <w:rPr>
                <w:rFonts w:hint="eastAsia" w:ascii="宋体" w:hAnsi="宋体" w:cs="宋体"/>
                <w:kern w:val="0"/>
                <w:lang w:bidi="ar"/>
              </w:rPr>
              <w:br w:type="textWrapping"/>
            </w:r>
            <w:r>
              <w:rPr>
                <w:rFonts w:hint="eastAsia" w:ascii="宋体" w:hAnsi="宋体" w:cs="宋体"/>
                <w:kern w:val="0"/>
                <w:lang w:bidi="ar"/>
              </w:rPr>
              <w:t>3.建立传输两端的身份认证机制，使用身份认证技术（如密码、证书等）；</w:t>
            </w:r>
            <w:r>
              <w:rPr>
                <w:rFonts w:hint="eastAsia" w:ascii="宋体" w:hAnsi="宋体" w:cs="宋体"/>
                <w:kern w:val="0"/>
                <w:lang w:bidi="ar"/>
              </w:rPr>
              <w:br w:type="textWrapping"/>
            </w:r>
            <w:r>
              <w:rPr>
                <w:rFonts w:hint="eastAsia" w:ascii="宋体" w:hAnsi="宋体" w:cs="宋体"/>
                <w:kern w:val="0"/>
                <w:lang w:bidi="ar"/>
              </w:rPr>
              <w:t>4.应采用加密通道进行数据传输，如SSL、TLS等安全协议进行数据传输，保证传输数据的保密性、完整性。</w:t>
            </w:r>
          </w:p>
        </w:tc>
        <w:tc>
          <w:tcPr>
            <w:tcW w:w="2368" w:type="dxa"/>
            <w:shd w:val="clear" w:color="auto" w:fill="auto"/>
            <w:vAlign w:val="center"/>
          </w:tcPr>
          <w:p>
            <w:pPr>
              <w:widowControl/>
              <w:spacing w:line="240" w:lineRule="auto"/>
              <w:textAlignment w:val="center"/>
            </w:pPr>
            <w:r>
              <w:rPr>
                <w:rFonts w:hint="eastAsia" w:ascii="宋体" w:hAnsi="宋体" w:cs="宋体"/>
                <w:kern w:val="0"/>
                <w:lang w:bidi="ar"/>
              </w:rPr>
              <w:br w:type="textWrapping"/>
            </w:r>
            <w:r>
              <w:rPr>
                <w:rFonts w:hint="eastAsia" w:ascii="宋体" w:hAnsi="宋体" w:cs="宋体"/>
                <w:kern w:val="0"/>
                <w:lang w:bidi="ar"/>
              </w:rPr>
              <w:t>1.建立数据传输接口安全管理规范，包括跨机构内部区域、跨机构和跨境数据传输接口等；</w:t>
            </w:r>
            <w:r>
              <w:rPr>
                <w:rFonts w:hint="eastAsia" w:ascii="宋体" w:hAnsi="宋体" w:cs="宋体"/>
                <w:kern w:val="0"/>
                <w:lang w:bidi="ar"/>
              </w:rPr>
              <w:br w:type="textWrapping"/>
            </w:r>
            <w:r>
              <w:rPr>
                <w:rFonts w:hint="eastAsia" w:ascii="宋体" w:hAnsi="宋体" w:cs="宋体"/>
                <w:kern w:val="0"/>
                <w:lang w:bidi="ar"/>
              </w:rPr>
              <w:t>2.对数据传输范围进行控制，仅发送给相关人员；</w:t>
            </w:r>
            <w:r>
              <w:rPr>
                <w:rFonts w:hint="eastAsia" w:ascii="宋体" w:hAnsi="宋体" w:cs="宋体"/>
                <w:kern w:val="0"/>
                <w:lang w:bidi="ar"/>
              </w:rPr>
              <w:br w:type="textWrapping"/>
            </w:r>
            <w:r>
              <w:rPr>
                <w:rFonts w:hint="eastAsia" w:ascii="宋体" w:hAnsi="宋体" w:cs="宋体"/>
                <w:kern w:val="0"/>
                <w:lang w:bidi="ar"/>
              </w:rPr>
              <w:t>3.建立传输两端的身份认证机制，使用身份认证技术（如密码、证书等）；</w:t>
            </w:r>
            <w:r>
              <w:rPr>
                <w:rFonts w:hint="eastAsia" w:ascii="宋体" w:hAnsi="宋体" w:cs="宋体"/>
                <w:kern w:val="0"/>
                <w:lang w:bidi="ar"/>
              </w:rPr>
              <w:br w:type="textWrapping"/>
            </w:r>
            <w:r>
              <w:rPr>
                <w:rFonts w:hint="eastAsia" w:ascii="宋体" w:hAnsi="宋体" w:cs="宋体"/>
                <w:kern w:val="0"/>
                <w:lang w:bidi="ar"/>
              </w:rPr>
              <w:t>4.应采用加密通道进行数据传输，如SSL、TLS等安全协议进行数据传输，保证传输数据的保密性、完整性；</w:t>
            </w:r>
            <w:r>
              <w:rPr>
                <w:rFonts w:hint="eastAsia" w:ascii="宋体" w:hAnsi="宋体" w:cs="宋体"/>
                <w:kern w:val="0"/>
                <w:lang w:bidi="ar"/>
              </w:rPr>
              <w:br w:type="textWrapping"/>
            </w:r>
            <w:r>
              <w:rPr>
                <w:rFonts w:hint="eastAsia" w:ascii="宋体" w:hAnsi="宋体" w:cs="宋体"/>
                <w:kern w:val="0"/>
                <w:lang w:bidi="ar"/>
              </w:rPr>
              <w:t>5.采用加密技术，保证数据在传输过程中的完整性、保密性和可用性，加密算法和产品的选择应符合国家有关规定。</w:t>
            </w:r>
          </w:p>
        </w:tc>
        <w:tc>
          <w:tcPr>
            <w:tcW w:w="2847" w:type="dxa"/>
            <w:shd w:val="clear" w:color="auto" w:fill="auto"/>
            <w:vAlign w:val="center"/>
          </w:tcPr>
          <w:p>
            <w:pPr>
              <w:widowControl/>
              <w:spacing w:line="240" w:lineRule="auto"/>
              <w:textAlignment w:val="center"/>
              <w:rPr>
                <w:rFonts w:hint="eastAsia" w:ascii="宋体" w:hAnsi="宋体" w:cs="宋体"/>
                <w:kern w:val="0"/>
                <w:lang w:bidi="ar"/>
              </w:rPr>
            </w:pPr>
            <w:r>
              <w:rPr>
                <w:rFonts w:hint="eastAsia" w:ascii="宋体" w:hAnsi="宋体" w:cs="宋体"/>
                <w:kern w:val="0"/>
                <w:lang w:bidi="ar"/>
              </w:rPr>
              <w:br w:type="textWrapping"/>
            </w:r>
            <w:r>
              <w:rPr>
                <w:rFonts w:hint="eastAsia" w:ascii="宋体" w:hAnsi="宋体" w:cs="宋体"/>
                <w:kern w:val="0"/>
                <w:lang w:bidi="ar"/>
              </w:rPr>
              <w:t>1.建立数据传输接口安全管理规范，包括跨机构内部区域、跨机构和跨境数据传输接口等；</w:t>
            </w:r>
          </w:p>
          <w:p>
            <w:pPr>
              <w:widowControl/>
              <w:spacing w:line="240" w:lineRule="auto"/>
              <w:textAlignment w:val="center"/>
            </w:pPr>
            <w:r>
              <w:rPr>
                <w:rFonts w:hint="eastAsia" w:ascii="宋体" w:hAnsi="宋体" w:cs="宋体"/>
                <w:kern w:val="0"/>
                <w:lang w:bidi="ar"/>
              </w:rPr>
              <w:t>2.对数据传输范围进行控制，仅发送给相关人员；</w:t>
            </w:r>
            <w:r>
              <w:rPr>
                <w:rFonts w:hint="eastAsia" w:ascii="宋体" w:hAnsi="宋体" w:cs="宋体"/>
                <w:kern w:val="0"/>
                <w:lang w:bidi="ar"/>
              </w:rPr>
              <w:br w:type="textWrapping"/>
            </w:r>
            <w:r>
              <w:rPr>
                <w:rFonts w:hint="eastAsia" w:ascii="宋体" w:hAnsi="宋体" w:cs="宋体"/>
                <w:kern w:val="0"/>
                <w:lang w:bidi="ar"/>
              </w:rPr>
              <w:t>3.建立传输两端的身份认证机制，使用身份认证技术（如密码、证书等）；</w:t>
            </w:r>
            <w:r>
              <w:rPr>
                <w:rFonts w:hint="eastAsia" w:ascii="宋体" w:hAnsi="宋体" w:cs="宋体"/>
                <w:kern w:val="0"/>
                <w:lang w:bidi="ar"/>
              </w:rPr>
              <w:br w:type="textWrapping"/>
            </w:r>
            <w:r>
              <w:rPr>
                <w:rFonts w:hint="eastAsia" w:ascii="宋体" w:hAnsi="宋体" w:cs="宋体"/>
                <w:kern w:val="0"/>
                <w:lang w:bidi="ar"/>
              </w:rPr>
              <w:t>4.应采用加密通道进行数据传输，如SSL、TLS等安全协议进行数据传输，保证传输数据的保密性、完整性；</w:t>
            </w:r>
            <w:r>
              <w:rPr>
                <w:rFonts w:hint="eastAsia" w:ascii="宋体" w:hAnsi="宋体" w:cs="宋体"/>
                <w:kern w:val="0"/>
                <w:lang w:bidi="ar"/>
              </w:rPr>
              <w:br w:type="textWrapping"/>
            </w:r>
            <w:r>
              <w:rPr>
                <w:rFonts w:hint="eastAsia" w:ascii="宋体" w:hAnsi="宋体" w:cs="宋体"/>
                <w:kern w:val="0"/>
                <w:lang w:bidi="ar"/>
              </w:rPr>
              <w:t>5.采用加密技术，保证数据在传输过程中的完整性、保密性和可用性，加密算法和产品的选择应符合国家有关规定；</w:t>
            </w:r>
            <w:r>
              <w:rPr>
                <w:rFonts w:hint="eastAsia" w:ascii="宋体" w:hAnsi="宋体" w:cs="宋体"/>
                <w:kern w:val="0"/>
                <w:lang w:bidi="ar"/>
              </w:rPr>
              <w:br w:type="textWrapping"/>
            </w:r>
            <w:r>
              <w:rPr>
                <w:rFonts w:hint="eastAsia" w:ascii="宋体" w:hAnsi="宋体" w:cs="宋体"/>
                <w:kern w:val="0"/>
                <w:lang w:bidi="ar"/>
              </w:rPr>
              <w:t>6.应具备数据溯源能力，确保所有数据传输路径可恢复，数据传输行为可溯源；</w:t>
            </w:r>
            <w:r>
              <w:rPr>
                <w:rFonts w:hint="eastAsia" w:ascii="宋体" w:hAnsi="宋体" w:cs="宋体"/>
                <w:kern w:val="0"/>
                <w:lang w:bidi="ar"/>
              </w:rPr>
              <w:br w:type="textWrapping"/>
            </w:r>
            <w:r>
              <w:rPr>
                <w:rFonts w:hint="eastAsia" w:ascii="宋体" w:hAnsi="宋体" w:cs="宋体"/>
                <w:kern w:val="0"/>
                <w:lang w:bidi="ar"/>
              </w:rPr>
              <w:t>7.应具备数据传输实时监测处置能力，保证能够及时告警并阻断违规传输。</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899" w:hRule="atLeast"/>
          <w:jc w:val="center"/>
        </w:trPr>
        <w:tc>
          <w:tcPr>
            <w:tcW w:w="774" w:type="dxa"/>
            <w:shd w:val="clear" w:color="auto" w:fill="auto"/>
            <w:vAlign w:val="center"/>
          </w:tcPr>
          <w:p>
            <w:pPr>
              <w:pStyle w:val="57"/>
              <w:ind w:firstLine="0" w:firstLineChars="0"/>
              <w:jc w:val="center"/>
            </w:pPr>
            <w:r>
              <w:rPr>
                <w:rFonts w:hint="eastAsia"/>
              </w:rPr>
              <w:t>数据存储</w:t>
            </w:r>
          </w:p>
        </w:tc>
        <w:tc>
          <w:tcPr>
            <w:tcW w:w="1884" w:type="dxa"/>
            <w:shd w:val="clear" w:color="auto" w:fill="auto"/>
            <w:vAlign w:val="center"/>
          </w:tcPr>
          <w:p>
            <w:pPr>
              <w:widowControl/>
              <w:spacing w:line="240" w:lineRule="auto"/>
              <w:textAlignment w:val="center"/>
            </w:pPr>
            <w:r>
              <w:rPr>
                <w:rFonts w:hint="eastAsia" w:ascii="宋体" w:hAnsi="宋体" w:cs="宋体"/>
                <w:kern w:val="0"/>
                <w:lang w:bidi="ar"/>
              </w:rPr>
              <w:t>1.建立数据存储管理规范和制度；</w:t>
            </w:r>
            <w:r>
              <w:rPr>
                <w:rFonts w:hint="eastAsia" w:ascii="宋体" w:hAnsi="宋体" w:cs="宋体"/>
                <w:kern w:val="0"/>
                <w:lang w:bidi="ar"/>
              </w:rPr>
              <w:br w:type="textWrapping"/>
            </w:r>
            <w:r>
              <w:rPr>
                <w:rFonts w:hint="eastAsia" w:ascii="宋体" w:hAnsi="宋体" w:cs="宋体"/>
                <w:kern w:val="0"/>
                <w:lang w:bidi="ar"/>
              </w:rPr>
              <w:t>2.对存储服务器、数据库服务器、文件系统等进行主机加固、漏洞扫描，确保数据存储环境安全，终端访问应符合大数据中心内部接入要求，数据库访问通过堡垒机、数据库运维工具进行，确保数据访问环境安全；</w:t>
            </w:r>
            <w:r>
              <w:rPr>
                <w:rFonts w:hint="eastAsia" w:ascii="宋体" w:hAnsi="宋体" w:cs="宋体"/>
                <w:kern w:val="0"/>
                <w:lang w:bidi="ar"/>
              </w:rPr>
              <w:br w:type="textWrapping"/>
            </w:r>
            <w:r>
              <w:rPr>
                <w:rFonts w:hint="eastAsia" w:ascii="宋体" w:hAnsi="宋体" w:cs="宋体"/>
                <w:kern w:val="0"/>
                <w:lang w:bidi="ar"/>
              </w:rPr>
              <w:t>3.定期对数据库进行漏洞扫描；</w:t>
            </w:r>
            <w:r>
              <w:rPr>
                <w:rFonts w:hint="eastAsia" w:ascii="宋体" w:hAnsi="宋体" w:cs="宋体"/>
                <w:kern w:val="0"/>
                <w:lang w:bidi="ar"/>
              </w:rPr>
              <w:br w:type="textWrapping"/>
            </w:r>
            <w:r>
              <w:rPr>
                <w:rFonts w:hint="eastAsia" w:ascii="宋体" w:hAnsi="宋体" w:cs="宋体"/>
                <w:kern w:val="0"/>
                <w:lang w:bidi="ar"/>
              </w:rPr>
              <w:t>4.对应用服务器、数据库服务器的访问开启身份认证和访问控制，防止非法访问；</w:t>
            </w:r>
            <w:r>
              <w:rPr>
                <w:rFonts w:hint="eastAsia" w:ascii="宋体" w:hAnsi="宋体" w:cs="宋体"/>
                <w:kern w:val="0"/>
                <w:lang w:bidi="ar"/>
              </w:rPr>
              <w:br w:type="textWrapping"/>
            </w:r>
            <w:r>
              <w:rPr>
                <w:rFonts w:hint="eastAsia" w:ascii="宋体" w:hAnsi="宋体" w:cs="宋体"/>
                <w:kern w:val="0"/>
                <w:lang w:bidi="ar"/>
              </w:rPr>
              <w:t>5.利用数据库审计、日志审计、主机审计等技术措施对数据存储情况进行记录；</w:t>
            </w:r>
            <w:r>
              <w:rPr>
                <w:rFonts w:hint="eastAsia" w:ascii="宋体" w:hAnsi="宋体" w:cs="宋体"/>
                <w:kern w:val="0"/>
                <w:lang w:bidi="ar"/>
              </w:rPr>
              <w:br w:type="textWrapping"/>
            </w:r>
            <w:r>
              <w:rPr>
                <w:rFonts w:hint="eastAsia" w:ascii="宋体" w:hAnsi="宋体" w:cs="宋体"/>
                <w:kern w:val="0"/>
                <w:lang w:bidi="ar"/>
              </w:rPr>
              <w:t>6.数据存储位置仅允许存放大数据中心内部电脑或服务器；</w:t>
            </w:r>
            <w:r>
              <w:rPr>
                <w:rFonts w:hint="eastAsia" w:ascii="宋体" w:hAnsi="宋体" w:cs="宋体"/>
                <w:kern w:val="0"/>
                <w:lang w:bidi="ar"/>
              </w:rPr>
              <w:br w:type="textWrapping"/>
            </w:r>
            <w:r>
              <w:rPr>
                <w:rFonts w:hint="eastAsia" w:ascii="宋体" w:hAnsi="宋体" w:cs="宋体"/>
                <w:kern w:val="0"/>
                <w:lang w:bidi="ar"/>
              </w:rPr>
              <w:t>7.定期对系统数据进行备份，如每月对数据库表进行全量备份，每周对数据库表进行数据增量备份，每天进行数据差量备份。</w:t>
            </w:r>
          </w:p>
        </w:tc>
        <w:tc>
          <w:tcPr>
            <w:tcW w:w="1157" w:type="dxa"/>
            <w:shd w:val="clear" w:color="auto" w:fill="auto"/>
            <w:vAlign w:val="center"/>
          </w:tcPr>
          <w:p>
            <w:pPr>
              <w:widowControl/>
              <w:spacing w:line="240" w:lineRule="auto"/>
              <w:textAlignment w:val="center"/>
            </w:pPr>
            <w:r>
              <w:rPr>
                <w:rFonts w:hint="eastAsia" w:ascii="宋体" w:hAnsi="宋体" w:cs="宋体"/>
                <w:kern w:val="0"/>
                <w:lang w:bidi="ar"/>
              </w:rPr>
              <w:t>遵循通用要求</w:t>
            </w:r>
          </w:p>
        </w:tc>
        <w:tc>
          <w:tcPr>
            <w:tcW w:w="2079" w:type="dxa"/>
            <w:shd w:val="clear" w:color="auto" w:fill="auto"/>
            <w:vAlign w:val="center"/>
          </w:tcPr>
          <w:p>
            <w:pPr>
              <w:widowControl/>
              <w:spacing w:line="240" w:lineRule="auto"/>
              <w:textAlignment w:val="center"/>
            </w:pPr>
            <w:r>
              <w:rPr>
                <w:rFonts w:hint="eastAsia" w:ascii="宋体" w:hAnsi="宋体" w:cs="宋体"/>
                <w:kern w:val="0"/>
                <w:lang w:bidi="ar"/>
              </w:rPr>
              <w:br w:type="textWrapping"/>
            </w:r>
            <w:r>
              <w:rPr>
                <w:rFonts w:hint="eastAsia" w:ascii="宋体" w:hAnsi="宋体" w:cs="宋体"/>
                <w:kern w:val="0"/>
                <w:lang w:bidi="ar"/>
              </w:rPr>
              <w:t>1.建立数据存储系统的账号权限管理制度；</w:t>
            </w:r>
            <w:r>
              <w:rPr>
                <w:rFonts w:hint="eastAsia" w:ascii="宋体" w:hAnsi="宋体" w:cs="宋体"/>
                <w:kern w:val="0"/>
                <w:lang w:bidi="ar"/>
              </w:rPr>
              <w:br w:type="textWrapping"/>
            </w:r>
            <w:r>
              <w:rPr>
                <w:rFonts w:hint="eastAsia" w:ascii="宋体" w:hAnsi="宋体" w:cs="宋体"/>
                <w:kern w:val="0"/>
                <w:lang w:bidi="ar"/>
              </w:rPr>
              <w:t>2.设置数据访问控制规则；</w:t>
            </w:r>
            <w:r>
              <w:rPr>
                <w:rFonts w:hint="eastAsia" w:ascii="宋体" w:hAnsi="宋体" w:cs="宋体"/>
                <w:kern w:val="0"/>
                <w:lang w:bidi="ar"/>
              </w:rPr>
              <w:br w:type="textWrapping"/>
            </w:r>
            <w:r>
              <w:rPr>
                <w:rFonts w:hint="eastAsia" w:ascii="宋体" w:hAnsi="宋体" w:cs="宋体"/>
                <w:kern w:val="0"/>
                <w:lang w:bidi="ar"/>
              </w:rPr>
              <w:t>3.应采取技术手段防止数据的泄漏、篡改。</w:t>
            </w:r>
          </w:p>
        </w:tc>
        <w:tc>
          <w:tcPr>
            <w:tcW w:w="2368" w:type="dxa"/>
            <w:shd w:val="clear" w:color="auto" w:fill="auto"/>
            <w:vAlign w:val="center"/>
          </w:tcPr>
          <w:p>
            <w:pPr>
              <w:widowControl/>
              <w:spacing w:line="240" w:lineRule="auto"/>
              <w:textAlignment w:val="center"/>
            </w:pPr>
            <w:r>
              <w:rPr>
                <w:rFonts w:hint="eastAsia" w:ascii="宋体" w:hAnsi="宋体" w:cs="宋体"/>
                <w:kern w:val="0"/>
                <w:lang w:bidi="ar"/>
              </w:rPr>
              <w:br w:type="textWrapping"/>
            </w:r>
            <w:r>
              <w:rPr>
                <w:rFonts w:hint="eastAsia" w:ascii="宋体" w:hAnsi="宋体" w:cs="宋体"/>
                <w:kern w:val="0"/>
                <w:lang w:bidi="ar"/>
              </w:rPr>
              <w:t>1.建立数据存储系统的账号权限管理制度；</w:t>
            </w:r>
            <w:r>
              <w:rPr>
                <w:rFonts w:hint="eastAsia" w:ascii="宋体" w:hAnsi="宋体" w:cs="宋体"/>
                <w:kern w:val="0"/>
                <w:lang w:bidi="ar"/>
              </w:rPr>
              <w:br w:type="textWrapping"/>
            </w:r>
            <w:r>
              <w:rPr>
                <w:rFonts w:hint="eastAsia" w:ascii="宋体" w:hAnsi="宋体" w:cs="宋体"/>
                <w:kern w:val="0"/>
                <w:lang w:bidi="ar"/>
              </w:rPr>
              <w:t>2.设置数据访问控制规则；</w:t>
            </w:r>
            <w:r>
              <w:rPr>
                <w:rFonts w:hint="eastAsia" w:ascii="宋体" w:hAnsi="宋体" w:cs="宋体"/>
                <w:kern w:val="0"/>
                <w:lang w:bidi="ar"/>
              </w:rPr>
              <w:br w:type="textWrapping"/>
            </w:r>
            <w:r>
              <w:rPr>
                <w:rFonts w:hint="eastAsia" w:ascii="宋体" w:hAnsi="宋体" w:cs="宋体"/>
                <w:kern w:val="0"/>
                <w:lang w:bidi="ar"/>
              </w:rPr>
              <w:t>3.应采取技术手段防止数据的泄漏、篡改；</w:t>
            </w:r>
            <w:r>
              <w:rPr>
                <w:rFonts w:hint="eastAsia" w:ascii="宋体" w:hAnsi="宋体" w:cs="宋体"/>
                <w:kern w:val="0"/>
                <w:lang w:bidi="ar"/>
              </w:rPr>
              <w:br w:type="textWrapping"/>
            </w:r>
            <w:r>
              <w:rPr>
                <w:rFonts w:hint="eastAsia" w:ascii="宋体" w:hAnsi="宋体" w:cs="宋体"/>
                <w:kern w:val="0"/>
                <w:lang w:bidi="ar"/>
              </w:rPr>
              <w:t>4.应采取技术手段对存储数据的使用身份进行认证和鉴权；</w:t>
            </w:r>
            <w:r>
              <w:rPr>
                <w:rFonts w:hint="eastAsia" w:ascii="宋体" w:hAnsi="宋体" w:cs="宋体"/>
                <w:kern w:val="0"/>
                <w:lang w:bidi="ar"/>
              </w:rPr>
              <w:br w:type="textWrapping"/>
            </w:r>
            <w:r>
              <w:rPr>
                <w:rFonts w:hint="eastAsia" w:ascii="宋体" w:hAnsi="宋体" w:cs="宋体"/>
                <w:kern w:val="0"/>
                <w:lang w:bidi="ar"/>
              </w:rPr>
              <w:t>5.应提供对数据泄漏、篡改、破坏的监测和告警；</w:t>
            </w:r>
            <w:r>
              <w:rPr>
                <w:rFonts w:hint="eastAsia" w:ascii="宋体" w:hAnsi="宋体" w:cs="宋体"/>
                <w:kern w:val="0"/>
                <w:lang w:bidi="ar"/>
              </w:rPr>
              <w:br w:type="textWrapping"/>
            </w:r>
            <w:r>
              <w:rPr>
                <w:rFonts w:hint="eastAsia" w:ascii="宋体" w:hAnsi="宋体" w:cs="宋体"/>
                <w:kern w:val="0"/>
                <w:lang w:bidi="ar"/>
              </w:rPr>
              <w:t>6.应采用文件加密或数据加密方式存储，实现存储数据的保密性、完整性和可用性。</w:t>
            </w:r>
          </w:p>
        </w:tc>
        <w:tc>
          <w:tcPr>
            <w:tcW w:w="2847" w:type="dxa"/>
            <w:shd w:val="clear" w:color="auto" w:fill="auto"/>
            <w:vAlign w:val="center"/>
          </w:tcPr>
          <w:p>
            <w:pPr>
              <w:widowControl/>
              <w:spacing w:line="240" w:lineRule="auto"/>
              <w:textAlignment w:val="center"/>
            </w:pPr>
            <w:r>
              <w:rPr>
                <w:rFonts w:hint="eastAsia" w:ascii="宋体" w:hAnsi="宋体" w:cs="宋体"/>
                <w:kern w:val="0"/>
                <w:lang w:bidi="ar"/>
              </w:rPr>
              <w:t>1.建立数据存储系统的账号权限管理制度；</w:t>
            </w:r>
            <w:r>
              <w:rPr>
                <w:rFonts w:hint="eastAsia" w:ascii="宋体" w:hAnsi="宋体" w:cs="宋体"/>
                <w:kern w:val="0"/>
                <w:lang w:bidi="ar"/>
              </w:rPr>
              <w:br w:type="textWrapping"/>
            </w:r>
            <w:r>
              <w:rPr>
                <w:rFonts w:hint="eastAsia" w:ascii="宋体" w:hAnsi="宋体" w:cs="宋体"/>
                <w:kern w:val="0"/>
                <w:lang w:bidi="ar"/>
              </w:rPr>
              <w:t>2.设置数据访问控制规则；</w:t>
            </w:r>
            <w:r>
              <w:rPr>
                <w:rFonts w:hint="eastAsia" w:ascii="宋体" w:hAnsi="宋体" w:cs="宋体"/>
                <w:kern w:val="0"/>
                <w:lang w:bidi="ar"/>
              </w:rPr>
              <w:br w:type="textWrapping"/>
            </w:r>
            <w:r>
              <w:rPr>
                <w:rFonts w:hint="eastAsia" w:ascii="宋体" w:hAnsi="宋体" w:cs="宋体"/>
                <w:kern w:val="0"/>
                <w:lang w:bidi="ar"/>
              </w:rPr>
              <w:t>3.应采取技术手段防止数据的泄漏、篡改；</w:t>
            </w:r>
            <w:r>
              <w:rPr>
                <w:rFonts w:hint="eastAsia" w:ascii="宋体" w:hAnsi="宋体" w:cs="宋体"/>
                <w:kern w:val="0"/>
                <w:lang w:bidi="ar"/>
              </w:rPr>
              <w:br w:type="textWrapping"/>
            </w:r>
            <w:r>
              <w:rPr>
                <w:rFonts w:hint="eastAsia" w:ascii="宋体" w:hAnsi="宋体" w:cs="宋体"/>
                <w:kern w:val="0"/>
                <w:lang w:bidi="ar"/>
              </w:rPr>
              <w:t>4.应采取技术手段对存储数据的使用身份进行认证和鉴权；</w:t>
            </w:r>
            <w:r>
              <w:rPr>
                <w:rFonts w:hint="eastAsia" w:ascii="宋体" w:hAnsi="宋体" w:cs="宋体"/>
                <w:kern w:val="0"/>
                <w:lang w:bidi="ar"/>
              </w:rPr>
              <w:br w:type="textWrapping"/>
            </w:r>
            <w:r>
              <w:rPr>
                <w:rFonts w:hint="eastAsia" w:ascii="宋体" w:hAnsi="宋体" w:cs="宋体"/>
                <w:kern w:val="0"/>
                <w:lang w:bidi="ar"/>
              </w:rPr>
              <w:t>5.应提供对数据泄漏、篡改、破坏的监测和告警；</w:t>
            </w:r>
            <w:r>
              <w:rPr>
                <w:rFonts w:hint="eastAsia" w:ascii="宋体" w:hAnsi="宋体" w:cs="宋体"/>
                <w:kern w:val="0"/>
                <w:lang w:bidi="ar"/>
              </w:rPr>
              <w:br w:type="textWrapping"/>
            </w:r>
            <w:r>
              <w:rPr>
                <w:rFonts w:hint="eastAsia" w:ascii="宋体" w:hAnsi="宋体" w:cs="宋体"/>
                <w:kern w:val="0"/>
                <w:lang w:bidi="ar"/>
              </w:rPr>
              <w:t>6.应采用文件加密或数据加密方式存储，实现存储数据的保密性、完整性和可用性；</w:t>
            </w:r>
            <w:r>
              <w:rPr>
                <w:rFonts w:hint="eastAsia" w:ascii="宋体" w:hAnsi="宋体" w:cs="宋体"/>
                <w:kern w:val="0"/>
                <w:lang w:bidi="ar"/>
              </w:rPr>
              <w:br w:type="textWrapping"/>
            </w:r>
            <w:r>
              <w:rPr>
                <w:rFonts w:hint="eastAsia" w:ascii="宋体" w:hAnsi="宋体" w:cs="宋体"/>
                <w:kern w:val="0"/>
                <w:lang w:bidi="ar"/>
              </w:rPr>
              <w:t>7.建立本地备份及异地备份保护和恢复措施，应设置合理的恢复点和恢复时间；</w:t>
            </w:r>
            <w:r>
              <w:rPr>
                <w:rFonts w:hint="eastAsia" w:ascii="宋体" w:hAnsi="宋体" w:cs="宋体"/>
                <w:kern w:val="0"/>
                <w:lang w:bidi="ar"/>
              </w:rPr>
              <w:br w:type="textWrapping"/>
            </w:r>
            <w:r>
              <w:rPr>
                <w:rFonts w:hint="eastAsia" w:ascii="宋体" w:hAnsi="宋体" w:cs="宋体"/>
                <w:kern w:val="0"/>
                <w:lang w:bidi="ar"/>
              </w:rPr>
              <w:t>8.应采取措施对数据实行区域隔离存储。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149" w:hRule="atLeast"/>
          <w:jc w:val="center"/>
        </w:trPr>
        <w:tc>
          <w:tcPr>
            <w:tcW w:w="774" w:type="dxa"/>
            <w:shd w:val="clear" w:color="auto" w:fill="auto"/>
            <w:vAlign w:val="center"/>
          </w:tcPr>
          <w:p>
            <w:pPr>
              <w:pStyle w:val="57"/>
              <w:ind w:firstLine="0" w:firstLineChars="0"/>
              <w:jc w:val="center"/>
            </w:pPr>
            <w:r>
              <w:rPr>
                <w:rFonts w:hint="eastAsia"/>
              </w:rPr>
              <w:t>数据使用</w:t>
            </w:r>
          </w:p>
        </w:tc>
        <w:tc>
          <w:tcPr>
            <w:tcW w:w="1884" w:type="dxa"/>
            <w:shd w:val="clear" w:color="auto" w:fill="auto"/>
            <w:vAlign w:val="center"/>
          </w:tcPr>
          <w:p>
            <w:pPr>
              <w:widowControl/>
              <w:spacing w:line="240" w:lineRule="auto"/>
              <w:textAlignment w:val="center"/>
            </w:pPr>
            <w:r>
              <w:rPr>
                <w:rFonts w:hint="eastAsia" w:ascii="宋体" w:hAnsi="宋体" w:cs="宋体"/>
                <w:kern w:val="0"/>
                <w:lang w:bidi="ar"/>
              </w:rPr>
              <w:t>1.建立数据使用管理流程，明确使用目的、范围及使用属性；</w:t>
            </w:r>
            <w:r>
              <w:rPr>
                <w:rFonts w:hint="eastAsia" w:ascii="宋体" w:hAnsi="宋体" w:cs="宋体"/>
                <w:kern w:val="0"/>
                <w:lang w:bidi="ar"/>
              </w:rPr>
              <w:br w:type="textWrapping"/>
            </w:r>
            <w:r>
              <w:rPr>
                <w:rFonts w:hint="eastAsia" w:ascii="宋体" w:hAnsi="宋体" w:cs="宋体"/>
                <w:kern w:val="0"/>
                <w:lang w:bidi="ar"/>
              </w:rPr>
              <w:t>2.应提供数据使用测试环境，在测试环境开展数据使用过程的设计和开发，验证通过后再置入生产环境运行；</w:t>
            </w:r>
            <w:r>
              <w:rPr>
                <w:rFonts w:hint="eastAsia" w:ascii="宋体" w:hAnsi="宋体" w:cs="宋体"/>
                <w:kern w:val="0"/>
                <w:lang w:bidi="ar"/>
              </w:rPr>
              <w:br w:type="textWrapping"/>
            </w:r>
            <w:r>
              <w:rPr>
                <w:rFonts w:hint="eastAsia" w:ascii="宋体" w:hAnsi="宋体" w:cs="宋体"/>
                <w:kern w:val="0"/>
                <w:lang w:bidi="ar"/>
              </w:rPr>
              <w:t>3.应采取措施确保数据在使用中的环境安全。</w:t>
            </w:r>
          </w:p>
        </w:tc>
        <w:tc>
          <w:tcPr>
            <w:tcW w:w="1157" w:type="dxa"/>
            <w:shd w:val="clear" w:color="auto" w:fill="auto"/>
            <w:vAlign w:val="center"/>
          </w:tcPr>
          <w:p>
            <w:pPr>
              <w:widowControl/>
              <w:spacing w:line="240" w:lineRule="auto"/>
              <w:textAlignment w:val="center"/>
            </w:pPr>
            <w:r>
              <w:rPr>
                <w:rFonts w:hint="eastAsia" w:ascii="宋体" w:hAnsi="宋体" w:cs="宋体"/>
                <w:kern w:val="0"/>
                <w:lang w:bidi="ar"/>
              </w:rPr>
              <w:t>对数据使用系统的账户进行统一管理、统一认证、统一授权。</w:t>
            </w:r>
          </w:p>
        </w:tc>
        <w:tc>
          <w:tcPr>
            <w:tcW w:w="2079" w:type="dxa"/>
            <w:shd w:val="clear" w:color="auto" w:fill="auto"/>
            <w:vAlign w:val="center"/>
          </w:tcPr>
          <w:p>
            <w:pPr>
              <w:widowControl/>
              <w:spacing w:line="240" w:lineRule="auto"/>
              <w:textAlignment w:val="center"/>
            </w:pPr>
            <w:r>
              <w:rPr>
                <w:rFonts w:hint="eastAsia" w:ascii="宋体" w:hAnsi="宋体" w:cs="宋体"/>
                <w:kern w:val="0"/>
                <w:lang w:bidi="ar"/>
              </w:rPr>
              <w:t>1.对数据使用系统的账户进行统一管理、统一认证、统一授权；</w:t>
            </w:r>
            <w:r>
              <w:rPr>
                <w:rFonts w:hint="eastAsia" w:ascii="宋体" w:hAnsi="宋体" w:cs="宋体"/>
                <w:kern w:val="0"/>
                <w:lang w:bidi="ar"/>
              </w:rPr>
              <w:br w:type="textWrapping"/>
            </w:r>
            <w:r>
              <w:rPr>
                <w:rFonts w:hint="eastAsia" w:ascii="宋体" w:hAnsi="宋体" w:cs="宋体"/>
                <w:kern w:val="0"/>
                <w:lang w:bidi="ar"/>
              </w:rPr>
              <w:t>2.建立访问权限管理及身份认证机制，对系统用户采用身份鉴别手段，</w:t>
            </w:r>
            <w:r>
              <w:rPr>
                <w:rFonts w:hint="eastAsia" w:ascii="宋体" w:hAnsi="宋体" w:cs="宋体"/>
                <w:b/>
                <w:bCs/>
                <w:kern w:val="0"/>
                <w:lang w:bidi="ar"/>
              </w:rPr>
              <w:t>并</w:t>
            </w:r>
            <w:r>
              <w:rPr>
                <w:rFonts w:hint="eastAsia" w:ascii="宋体" w:hAnsi="宋体" w:cs="宋体"/>
                <w:kern w:val="0"/>
                <w:lang w:bidi="ar"/>
              </w:rPr>
              <w:t>对数据的使用进行授权和验证；</w:t>
            </w:r>
            <w:r>
              <w:rPr>
                <w:rFonts w:hint="eastAsia" w:ascii="宋体" w:hAnsi="宋体" w:cs="宋体"/>
                <w:kern w:val="0"/>
                <w:lang w:bidi="ar"/>
              </w:rPr>
              <w:br w:type="textWrapping"/>
            </w:r>
            <w:r>
              <w:rPr>
                <w:rFonts w:hint="eastAsia" w:ascii="宋体" w:hAnsi="宋体" w:cs="宋体"/>
                <w:kern w:val="0"/>
                <w:lang w:bidi="ar"/>
              </w:rPr>
              <w:t>3.应在不影响数据使用的情况下，对数据脱敏后再进行处理；</w:t>
            </w:r>
            <w:r>
              <w:rPr>
                <w:rFonts w:hint="eastAsia" w:ascii="宋体" w:hAnsi="宋体" w:cs="宋体"/>
                <w:kern w:val="0"/>
                <w:lang w:bidi="ar"/>
              </w:rPr>
              <w:br w:type="textWrapping"/>
            </w:r>
            <w:r>
              <w:rPr>
                <w:rFonts w:hint="eastAsia" w:ascii="宋体" w:hAnsi="宋体" w:cs="宋体"/>
                <w:kern w:val="0"/>
                <w:lang w:bidi="ar"/>
              </w:rPr>
              <w:t>4.应对超出范围和超出规模的数据使用行为开展监测和告警。</w:t>
            </w:r>
          </w:p>
        </w:tc>
        <w:tc>
          <w:tcPr>
            <w:tcW w:w="2368" w:type="dxa"/>
            <w:shd w:val="clear" w:color="auto" w:fill="auto"/>
            <w:vAlign w:val="center"/>
          </w:tcPr>
          <w:p>
            <w:pPr>
              <w:widowControl/>
              <w:spacing w:line="240" w:lineRule="auto"/>
              <w:textAlignment w:val="center"/>
            </w:pPr>
            <w:r>
              <w:rPr>
                <w:rFonts w:hint="eastAsia" w:ascii="宋体" w:hAnsi="宋体" w:cs="宋体"/>
                <w:kern w:val="0"/>
                <w:lang w:bidi="ar"/>
              </w:rPr>
              <w:t>1.对数据使用系统的账户进行统一管理、统一认证、统一授权；</w:t>
            </w:r>
            <w:r>
              <w:rPr>
                <w:rFonts w:hint="eastAsia" w:ascii="宋体" w:hAnsi="宋体" w:cs="宋体"/>
                <w:kern w:val="0"/>
                <w:lang w:bidi="ar"/>
              </w:rPr>
              <w:br w:type="textWrapping"/>
            </w:r>
            <w:r>
              <w:rPr>
                <w:rFonts w:hint="eastAsia" w:ascii="宋体" w:hAnsi="宋体" w:cs="宋体"/>
                <w:kern w:val="0"/>
                <w:lang w:bidi="ar"/>
              </w:rPr>
              <w:t>2.建立访问权限管理及身份认证机制，对系统用户采用身份鉴别手段，</w:t>
            </w:r>
            <w:r>
              <w:rPr>
                <w:rFonts w:hint="eastAsia" w:ascii="宋体" w:hAnsi="宋体" w:cs="宋体"/>
                <w:b/>
                <w:bCs/>
                <w:kern w:val="0"/>
                <w:lang w:bidi="ar"/>
              </w:rPr>
              <w:t>并</w:t>
            </w:r>
            <w:r>
              <w:rPr>
                <w:rFonts w:hint="eastAsia" w:ascii="宋体" w:hAnsi="宋体" w:cs="宋体"/>
                <w:kern w:val="0"/>
                <w:lang w:bidi="ar"/>
              </w:rPr>
              <w:t>对数据的使用进行授权和验证；</w:t>
            </w:r>
            <w:r>
              <w:rPr>
                <w:rFonts w:hint="eastAsia" w:ascii="宋体" w:hAnsi="宋体" w:cs="宋体"/>
                <w:kern w:val="0"/>
                <w:lang w:bidi="ar"/>
              </w:rPr>
              <w:br w:type="textWrapping"/>
            </w:r>
            <w:r>
              <w:rPr>
                <w:rFonts w:hint="eastAsia" w:ascii="宋体" w:hAnsi="宋体" w:cs="宋体"/>
                <w:kern w:val="0"/>
                <w:lang w:bidi="ar"/>
              </w:rPr>
              <w:t>3.应在不影响数据使用的情况下，对数据脱敏后再进行处理；</w:t>
            </w:r>
            <w:r>
              <w:rPr>
                <w:rFonts w:hint="eastAsia" w:ascii="宋体" w:hAnsi="宋体" w:cs="宋体"/>
                <w:kern w:val="0"/>
                <w:lang w:bidi="ar"/>
              </w:rPr>
              <w:br w:type="textWrapping"/>
            </w:r>
            <w:r>
              <w:rPr>
                <w:rFonts w:hint="eastAsia" w:ascii="宋体" w:hAnsi="宋体" w:cs="宋体"/>
                <w:kern w:val="0"/>
                <w:lang w:bidi="ar"/>
              </w:rPr>
              <w:t>4.应对超出范围和超出规模的数据使用行为开展监测和告警；</w:t>
            </w:r>
            <w:r>
              <w:rPr>
                <w:rFonts w:hint="eastAsia" w:ascii="宋体" w:hAnsi="宋体" w:cs="宋体"/>
                <w:kern w:val="0"/>
                <w:lang w:bidi="ar"/>
              </w:rPr>
              <w:br w:type="textWrapping"/>
            </w:r>
            <w:r>
              <w:rPr>
                <w:rFonts w:hint="eastAsia" w:ascii="宋体" w:hAnsi="宋体" w:cs="宋体"/>
                <w:kern w:val="0"/>
                <w:lang w:bidi="ar"/>
              </w:rPr>
              <w:t>5.对数据使用权限进行访问控制，仅允许授权人员访问；</w:t>
            </w:r>
            <w:r>
              <w:rPr>
                <w:rFonts w:hint="eastAsia" w:ascii="宋体" w:hAnsi="宋体" w:cs="宋体"/>
                <w:kern w:val="0"/>
                <w:lang w:bidi="ar"/>
              </w:rPr>
              <w:br w:type="textWrapping"/>
            </w:r>
            <w:r>
              <w:rPr>
                <w:rFonts w:hint="eastAsia" w:ascii="宋体" w:hAnsi="宋体" w:cs="宋体"/>
                <w:kern w:val="0"/>
                <w:lang w:bidi="ar"/>
              </w:rPr>
              <w:t>6.应周期性的检查数据使用系统用户操作数据的情况。</w:t>
            </w:r>
          </w:p>
        </w:tc>
        <w:tc>
          <w:tcPr>
            <w:tcW w:w="2847" w:type="dxa"/>
            <w:shd w:val="clear" w:color="auto" w:fill="auto"/>
            <w:vAlign w:val="center"/>
          </w:tcPr>
          <w:p>
            <w:pPr>
              <w:widowControl/>
              <w:spacing w:line="240" w:lineRule="auto"/>
              <w:textAlignment w:val="center"/>
            </w:pPr>
            <w:r>
              <w:rPr>
                <w:rFonts w:hint="eastAsia" w:ascii="宋体" w:hAnsi="宋体" w:cs="宋体"/>
                <w:kern w:val="0"/>
                <w:lang w:bidi="ar"/>
              </w:rPr>
              <w:t>1.对数据使用系统的账户进行统一管理、统一认证、统一授权；</w:t>
            </w:r>
            <w:r>
              <w:rPr>
                <w:rFonts w:hint="eastAsia" w:ascii="宋体" w:hAnsi="宋体" w:cs="宋体"/>
                <w:kern w:val="0"/>
                <w:lang w:bidi="ar"/>
              </w:rPr>
              <w:br w:type="textWrapping"/>
            </w:r>
            <w:r>
              <w:rPr>
                <w:rFonts w:hint="eastAsia" w:ascii="宋体" w:hAnsi="宋体" w:cs="宋体"/>
                <w:kern w:val="0"/>
                <w:lang w:bidi="ar"/>
              </w:rPr>
              <w:t>2.建立访问权限管理及身份认证机制，对系统用户采用身份鉴别手段，</w:t>
            </w:r>
            <w:r>
              <w:rPr>
                <w:rFonts w:hint="eastAsia" w:ascii="宋体" w:hAnsi="宋体" w:cs="宋体"/>
                <w:b/>
                <w:bCs/>
                <w:kern w:val="0"/>
                <w:lang w:bidi="ar"/>
              </w:rPr>
              <w:t>并</w:t>
            </w:r>
            <w:r>
              <w:rPr>
                <w:rFonts w:hint="eastAsia" w:ascii="宋体" w:hAnsi="宋体" w:cs="宋体"/>
                <w:kern w:val="0"/>
                <w:lang w:bidi="ar"/>
              </w:rPr>
              <w:t>对数据的使用进行授权和验证；</w:t>
            </w:r>
            <w:r>
              <w:rPr>
                <w:rFonts w:hint="eastAsia" w:ascii="宋体" w:hAnsi="宋体" w:cs="宋体"/>
                <w:kern w:val="0"/>
                <w:lang w:bidi="ar"/>
              </w:rPr>
              <w:br w:type="textWrapping"/>
            </w:r>
            <w:r>
              <w:rPr>
                <w:rFonts w:hint="eastAsia" w:ascii="宋体" w:hAnsi="宋体" w:cs="宋体"/>
                <w:kern w:val="0"/>
                <w:lang w:bidi="ar"/>
              </w:rPr>
              <w:t>3.应在不影响数据使用的情况下，对数据脱敏后再进行处理；</w:t>
            </w:r>
            <w:r>
              <w:rPr>
                <w:rFonts w:hint="eastAsia" w:ascii="宋体" w:hAnsi="宋体" w:cs="宋体"/>
                <w:kern w:val="0"/>
                <w:lang w:bidi="ar"/>
              </w:rPr>
              <w:br w:type="textWrapping"/>
            </w:r>
            <w:r>
              <w:rPr>
                <w:rFonts w:hint="eastAsia" w:ascii="宋体" w:hAnsi="宋体" w:cs="宋体"/>
                <w:kern w:val="0"/>
                <w:lang w:bidi="ar"/>
              </w:rPr>
              <w:t>4.应对超出范围和超出规模的数据使用行为开展监测和告警；</w:t>
            </w:r>
            <w:r>
              <w:rPr>
                <w:rFonts w:hint="eastAsia" w:ascii="宋体" w:hAnsi="宋体" w:cs="宋体"/>
                <w:kern w:val="0"/>
                <w:lang w:bidi="ar"/>
              </w:rPr>
              <w:br w:type="textWrapping"/>
            </w:r>
            <w:r>
              <w:rPr>
                <w:rFonts w:hint="eastAsia" w:ascii="宋体" w:hAnsi="宋体" w:cs="宋体"/>
                <w:kern w:val="0"/>
                <w:lang w:bidi="ar"/>
              </w:rPr>
              <w:t>5.对数据使用权限进行访问控制，仅允许授权人员访问；</w:t>
            </w:r>
            <w:r>
              <w:rPr>
                <w:rFonts w:hint="eastAsia" w:ascii="宋体" w:hAnsi="宋体" w:cs="宋体"/>
                <w:kern w:val="0"/>
                <w:lang w:bidi="ar"/>
              </w:rPr>
              <w:br w:type="textWrapping"/>
            </w:r>
            <w:r>
              <w:rPr>
                <w:rFonts w:hint="eastAsia" w:ascii="宋体" w:hAnsi="宋体" w:cs="宋体"/>
                <w:kern w:val="0"/>
                <w:lang w:bidi="ar"/>
              </w:rPr>
              <w:t>6.应周期性的检查数据使用系统用户操作数据的情况；</w:t>
            </w:r>
            <w:r>
              <w:rPr>
                <w:rFonts w:hint="eastAsia" w:ascii="宋体" w:hAnsi="宋体" w:cs="宋体"/>
                <w:kern w:val="0"/>
                <w:lang w:bidi="ar"/>
              </w:rPr>
              <w:br w:type="textWrapping"/>
            </w:r>
            <w:r>
              <w:rPr>
                <w:rFonts w:hint="eastAsia" w:ascii="宋体" w:hAnsi="宋体" w:cs="宋体"/>
                <w:kern w:val="0"/>
                <w:lang w:bidi="ar"/>
              </w:rPr>
              <w:t>7.应具备数据使用行为实时监控能力，在发现异常时及时终止数据使用行为，并采用技术手段确保所有数据挖掘、使用、使用、分析等行为可溯源。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62" w:hRule="atLeast"/>
          <w:jc w:val="center"/>
        </w:trPr>
        <w:tc>
          <w:tcPr>
            <w:tcW w:w="774" w:type="dxa"/>
            <w:shd w:val="clear" w:color="auto" w:fill="auto"/>
            <w:vAlign w:val="center"/>
          </w:tcPr>
          <w:p>
            <w:pPr>
              <w:pStyle w:val="57"/>
              <w:ind w:firstLine="0" w:firstLineChars="0"/>
              <w:jc w:val="center"/>
            </w:pPr>
            <w:r>
              <w:rPr>
                <w:rFonts w:hint="eastAsia"/>
              </w:rPr>
              <w:t>数据共享</w:t>
            </w:r>
          </w:p>
          <w:p>
            <w:pPr>
              <w:pStyle w:val="57"/>
              <w:ind w:firstLine="0" w:firstLineChars="0"/>
              <w:jc w:val="center"/>
            </w:pPr>
            <w:r>
              <w:rPr>
                <w:rFonts w:hint="eastAsia"/>
              </w:rPr>
              <w:t>开放</w:t>
            </w:r>
          </w:p>
        </w:tc>
        <w:tc>
          <w:tcPr>
            <w:tcW w:w="1884" w:type="dxa"/>
            <w:shd w:val="clear" w:color="auto" w:fill="auto"/>
            <w:vAlign w:val="center"/>
          </w:tcPr>
          <w:p>
            <w:pPr>
              <w:widowControl/>
              <w:spacing w:line="240" w:lineRule="auto"/>
              <w:jc w:val="left"/>
              <w:textAlignment w:val="center"/>
            </w:pPr>
            <w:r>
              <w:rPr>
                <w:rFonts w:hint="eastAsia" w:ascii="宋体" w:hAnsi="宋体" w:cs="宋体"/>
                <w:kern w:val="0"/>
                <w:lang w:bidi="ar"/>
              </w:rPr>
              <w:t>1.应建立数据共享开放管理流程，明确数据共享开放的范围、数量、条件、程序等，并与数据获取方签订数据安全协议；</w:t>
            </w:r>
            <w:r>
              <w:rPr>
                <w:rFonts w:hint="eastAsia" w:ascii="宋体" w:hAnsi="宋体" w:cs="宋体"/>
                <w:kern w:val="0"/>
                <w:lang w:bidi="ar"/>
              </w:rPr>
              <w:br w:type="textWrapping"/>
            </w:r>
            <w:r>
              <w:rPr>
                <w:rFonts w:hint="eastAsia" w:ascii="宋体" w:hAnsi="宋体" w:cs="宋体"/>
                <w:kern w:val="0"/>
                <w:lang w:bidi="ar"/>
              </w:rPr>
              <w:t>2.应具备数据共享开放安全监控技术能力，确保提供的数据合理规范使用，未超出授权范围。</w:t>
            </w:r>
          </w:p>
        </w:tc>
        <w:tc>
          <w:tcPr>
            <w:tcW w:w="1157" w:type="dxa"/>
            <w:shd w:val="clear" w:color="auto" w:fill="auto"/>
            <w:vAlign w:val="center"/>
          </w:tcPr>
          <w:p>
            <w:pPr>
              <w:widowControl/>
              <w:spacing w:line="240" w:lineRule="auto"/>
              <w:textAlignment w:val="center"/>
            </w:pPr>
            <w:r>
              <w:rPr>
                <w:rFonts w:hint="eastAsia" w:ascii="宋体" w:hAnsi="宋体" w:cs="宋体"/>
                <w:kern w:val="0"/>
                <w:lang w:bidi="ar"/>
              </w:rPr>
              <w:t>1.数据共享开放应由数据所有者进行审批，并对相关操作进行记录；</w:t>
            </w:r>
            <w:r>
              <w:rPr>
                <w:rFonts w:hint="eastAsia" w:ascii="宋体" w:hAnsi="宋体" w:cs="宋体"/>
                <w:kern w:val="0"/>
                <w:lang w:bidi="ar"/>
              </w:rPr>
              <w:br w:type="textWrapping"/>
            </w:r>
            <w:r>
              <w:rPr>
                <w:rFonts w:hint="eastAsia" w:ascii="宋体" w:hAnsi="宋体" w:cs="宋体"/>
                <w:kern w:val="0"/>
                <w:lang w:bidi="ar"/>
              </w:rPr>
              <w:t>2.数据共享开放应通过指定平台或方式进行，如共享交换平台、共享网站等。</w:t>
            </w:r>
          </w:p>
        </w:tc>
        <w:tc>
          <w:tcPr>
            <w:tcW w:w="2079" w:type="dxa"/>
            <w:shd w:val="clear" w:color="auto" w:fill="auto"/>
            <w:vAlign w:val="center"/>
          </w:tcPr>
          <w:p>
            <w:pPr>
              <w:widowControl/>
              <w:spacing w:line="240" w:lineRule="auto"/>
              <w:jc w:val="left"/>
              <w:textAlignment w:val="center"/>
            </w:pPr>
            <w:r>
              <w:rPr>
                <w:rFonts w:hint="eastAsia" w:ascii="宋体" w:hAnsi="宋体" w:cs="宋体"/>
                <w:kern w:val="0"/>
                <w:lang w:bidi="ar"/>
              </w:rPr>
              <w:t>1.数据共享开放应由数据所有者进行审批，并对相关操作进行记录；</w:t>
            </w:r>
            <w:r>
              <w:rPr>
                <w:rFonts w:hint="eastAsia" w:ascii="宋体" w:hAnsi="宋体" w:cs="宋体"/>
                <w:kern w:val="0"/>
                <w:lang w:bidi="ar"/>
              </w:rPr>
              <w:br w:type="textWrapping"/>
            </w:r>
            <w:r>
              <w:rPr>
                <w:rFonts w:hint="eastAsia" w:ascii="宋体" w:hAnsi="宋体" w:cs="宋体"/>
                <w:kern w:val="0"/>
                <w:lang w:bidi="ar"/>
              </w:rPr>
              <w:t>2.数据共享开放应通过指定平台或方式进行，如共享交换平台、共享网站等；</w:t>
            </w:r>
            <w:r>
              <w:rPr>
                <w:rFonts w:hint="eastAsia" w:ascii="宋体" w:hAnsi="宋体" w:cs="宋体"/>
                <w:kern w:val="0"/>
                <w:lang w:bidi="ar"/>
              </w:rPr>
              <w:br w:type="textWrapping"/>
            </w:r>
            <w:r>
              <w:rPr>
                <w:rFonts w:hint="eastAsia" w:ascii="宋体" w:hAnsi="宋体" w:cs="宋体"/>
                <w:kern w:val="0"/>
                <w:lang w:bidi="ar"/>
              </w:rPr>
              <w:t>3.建立数据共享开放的工具、系统，对提供过程进行审批授权，并采用不可篡改技术实现提供过程审批授权的记录；</w:t>
            </w:r>
            <w:r>
              <w:rPr>
                <w:rFonts w:hint="eastAsia" w:ascii="宋体" w:hAnsi="宋体" w:cs="宋体"/>
                <w:kern w:val="0"/>
                <w:lang w:bidi="ar"/>
              </w:rPr>
              <w:br w:type="textWrapping"/>
            </w:r>
            <w:r>
              <w:rPr>
                <w:rFonts w:hint="eastAsia" w:ascii="宋体" w:hAnsi="宋体" w:cs="宋体"/>
                <w:kern w:val="0"/>
                <w:lang w:bidi="ar"/>
              </w:rPr>
              <w:t>4.数据共享开放前应与数据拥有者进行协商，在获得数据拥有者的明确授权后方可提供相关数据。</w:t>
            </w:r>
          </w:p>
        </w:tc>
        <w:tc>
          <w:tcPr>
            <w:tcW w:w="2368" w:type="dxa"/>
            <w:shd w:val="clear" w:color="auto" w:fill="auto"/>
            <w:vAlign w:val="center"/>
          </w:tcPr>
          <w:p>
            <w:pPr>
              <w:widowControl/>
              <w:spacing w:line="240" w:lineRule="auto"/>
              <w:jc w:val="left"/>
              <w:textAlignment w:val="center"/>
            </w:pPr>
            <w:r>
              <w:rPr>
                <w:rFonts w:hint="eastAsia" w:ascii="宋体" w:hAnsi="宋体" w:cs="宋体"/>
                <w:kern w:val="0"/>
                <w:lang w:bidi="ar"/>
              </w:rPr>
              <w:t>1.数据共享开放应由数据所有者进行审批，并对相关操作进行记录；</w:t>
            </w:r>
            <w:r>
              <w:rPr>
                <w:rFonts w:hint="eastAsia" w:ascii="宋体" w:hAnsi="宋体" w:cs="宋体"/>
                <w:kern w:val="0"/>
                <w:lang w:bidi="ar"/>
              </w:rPr>
              <w:br w:type="textWrapping"/>
            </w:r>
            <w:r>
              <w:rPr>
                <w:rFonts w:hint="eastAsia" w:ascii="宋体" w:hAnsi="宋体" w:cs="宋体"/>
                <w:kern w:val="0"/>
                <w:lang w:bidi="ar"/>
              </w:rPr>
              <w:t>2.数据共享开放应通过指定平台或方式进行，如共享交换平台、共享网站等；</w:t>
            </w:r>
            <w:r>
              <w:rPr>
                <w:rFonts w:hint="eastAsia" w:ascii="宋体" w:hAnsi="宋体" w:cs="宋体"/>
                <w:kern w:val="0"/>
                <w:lang w:bidi="ar"/>
              </w:rPr>
              <w:br w:type="textWrapping"/>
            </w:r>
            <w:r>
              <w:rPr>
                <w:rFonts w:hint="eastAsia" w:ascii="宋体" w:hAnsi="宋体" w:cs="宋体"/>
                <w:kern w:val="0"/>
                <w:lang w:bidi="ar"/>
              </w:rPr>
              <w:t>3.建立数据共享开放的工具、系统，对提供过程进行审批授权，并采用不可篡改技术实现提供过程审批授权的记录；</w:t>
            </w:r>
            <w:r>
              <w:rPr>
                <w:rFonts w:hint="eastAsia" w:ascii="宋体" w:hAnsi="宋体" w:cs="宋体"/>
                <w:kern w:val="0"/>
                <w:lang w:bidi="ar"/>
              </w:rPr>
              <w:br w:type="textWrapping"/>
            </w:r>
            <w:r>
              <w:rPr>
                <w:rFonts w:hint="eastAsia" w:ascii="宋体" w:hAnsi="宋体" w:cs="宋体"/>
                <w:kern w:val="0"/>
                <w:lang w:bidi="ar"/>
              </w:rPr>
              <w:t>4.数据共享开放前应与数据拥有者进行协商，在获得数据拥有者的明确授权后方可提供相关数据；</w:t>
            </w:r>
            <w:r>
              <w:rPr>
                <w:rFonts w:hint="eastAsia" w:ascii="宋体" w:hAnsi="宋体" w:cs="宋体"/>
                <w:kern w:val="0"/>
                <w:lang w:bidi="ar"/>
              </w:rPr>
              <w:br w:type="textWrapping"/>
            </w:r>
            <w:r>
              <w:rPr>
                <w:rFonts w:hint="eastAsia" w:ascii="宋体" w:hAnsi="宋体" w:cs="宋体"/>
                <w:kern w:val="0"/>
                <w:lang w:bidi="ar"/>
              </w:rPr>
              <w:t>5.应采取技术措施对提供审批的业务过程和数据共享开放的技术过程开展风险监测和预警，对违规行为及时报警或阻断；</w:t>
            </w:r>
            <w:r>
              <w:rPr>
                <w:rFonts w:hint="eastAsia" w:ascii="宋体" w:hAnsi="宋体" w:cs="宋体"/>
                <w:kern w:val="0"/>
                <w:lang w:bidi="ar"/>
              </w:rPr>
              <w:br w:type="textWrapping"/>
            </w:r>
            <w:r>
              <w:rPr>
                <w:rFonts w:hint="eastAsia" w:ascii="宋体" w:hAnsi="宋体" w:cs="宋体"/>
                <w:kern w:val="0"/>
                <w:lang w:bidi="ar"/>
              </w:rPr>
              <w:t>6.应采取必要的保护措施，包括但不限于数据脱敏、数据水印等技术手段进行数据共享开放。</w:t>
            </w:r>
          </w:p>
        </w:tc>
        <w:tc>
          <w:tcPr>
            <w:tcW w:w="2847" w:type="dxa"/>
            <w:shd w:val="clear" w:color="auto" w:fill="auto"/>
            <w:vAlign w:val="center"/>
          </w:tcPr>
          <w:p>
            <w:pPr>
              <w:widowControl/>
              <w:spacing w:line="240" w:lineRule="auto"/>
              <w:jc w:val="left"/>
              <w:textAlignment w:val="center"/>
            </w:pPr>
            <w:r>
              <w:rPr>
                <w:rFonts w:hint="eastAsia" w:ascii="宋体" w:hAnsi="宋体" w:cs="宋体"/>
                <w:kern w:val="0"/>
                <w:lang w:bidi="ar"/>
              </w:rPr>
              <w:br w:type="textWrapping"/>
            </w:r>
            <w:r>
              <w:rPr>
                <w:rFonts w:hint="eastAsia" w:ascii="宋体" w:hAnsi="宋体" w:cs="宋体"/>
                <w:kern w:val="0"/>
                <w:lang w:bidi="ar"/>
              </w:rPr>
              <w:t>1.数据共享开放应由数据所有者进行审批，并对相关操作进行记录；</w:t>
            </w:r>
            <w:r>
              <w:rPr>
                <w:rFonts w:hint="eastAsia" w:ascii="宋体" w:hAnsi="宋体" w:cs="宋体"/>
                <w:kern w:val="0"/>
                <w:lang w:bidi="ar"/>
              </w:rPr>
              <w:br w:type="textWrapping"/>
            </w:r>
            <w:r>
              <w:rPr>
                <w:rFonts w:hint="eastAsia" w:ascii="宋体" w:hAnsi="宋体" w:cs="宋体"/>
                <w:kern w:val="0"/>
                <w:lang w:bidi="ar"/>
              </w:rPr>
              <w:t>2.数据共享开放应通过指定平台或方式进行，如共享交换平台、共享网站等；</w:t>
            </w:r>
            <w:r>
              <w:rPr>
                <w:rFonts w:hint="eastAsia" w:ascii="宋体" w:hAnsi="宋体" w:cs="宋体"/>
                <w:kern w:val="0"/>
                <w:lang w:bidi="ar"/>
              </w:rPr>
              <w:br w:type="textWrapping"/>
            </w:r>
            <w:r>
              <w:rPr>
                <w:rFonts w:hint="eastAsia" w:ascii="宋体" w:hAnsi="宋体" w:cs="宋体"/>
                <w:kern w:val="0"/>
                <w:lang w:bidi="ar"/>
              </w:rPr>
              <w:t>3.建立数据共享开放的工具、系统，对提供过程进行审批授权，并采用不可篡改技术实现提供过程审批授权的记录；</w:t>
            </w:r>
            <w:r>
              <w:rPr>
                <w:rFonts w:hint="eastAsia" w:ascii="宋体" w:hAnsi="宋体" w:cs="宋体"/>
                <w:kern w:val="0"/>
                <w:lang w:bidi="ar"/>
              </w:rPr>
              <w:br w:type="textWrapping"/>
            </w:r>
            <w:r>
              <w:rPr>
                <w:rFonts w:hint="eastAsia" w:ascii="宋体" w:hAnsi="宋体" w:cs="宋体"/>
                <w:kern w:val="0"/>
                <w:lang w:bidi="ar"/>
              </w:rPr>
              <w:t>4.数据共享开放前应与数据拥有者进行协商，在获得数据拥有者的明确授权后方可提供相关数据；</w:t>
            </w:r>
            <w:r>
              <w:rPr>
                <w:rFonts w:hint="eastAsia" w:ascii="宋体" w:hAnsi="宋体" w:cs="宋体"/>
                <w:kern w:val="0"/>
                <w:lang w:bidi="ar"/>
              </w:rPr>
              <w:br w:type="textWrapping"/>
            </w:r>
            <w:r>
              <w:rPr>
                <w:rFonts w:hint="eastAsia" w:ascii="宋体" w:hAnsi="宋体" w:cs="宋体"/>
                <w:kern w:val="0"/>
                <w:lang w:bidi="ar"/>
              </w:rPr>
              <w:t>5.应采取技术措施对提供审批的业务过程和数据共享开放的技术过程开展风险监测和预警，对违规行为及时报警或阻断；</w:t>
            </w:r>
            <w:r>
              <w:rPr>
                <w:rFonts w:hint="eastAsia" w:ascii="宋体" w:hAnsi="宋体" w:cs="宋体"/>
                <w:kern w:val="0"/>
                <w:lang w:bidi="ar"/>
              </w:rPr>
              <w:br w:type="textWrapping"/>
            </w:r>
            <w:r>
              <w:rPr>
                <w:rFonts w:hint="eastAsia" w:ascii="宋体" w:hAnsi="宋体" w:cs="宋体"/>
                <w:kern w:val="0"/>
                <w:lang w:bidi="ar"/>
              </w:rPr>
              <w:t>6.应采取必要的保护措施，包括但不限于数据脱敏、数据水印等技术手段进行数据共享开放；</w:t>
            </w:r>
            <w:r>
              <w:rPr>
                <w:rFonts w:hint="eastAsia" w:ascii="宋体" w:hAnsi="宋体" w:cs="宋体"/>
                <w:kern w:val="0"/>
                <w:lang w:bidi="ar"/>
              </w:rPr>
              <w:br w:type="textWrapping"/>
            </w:r>
            <w:r>
              <w:rPr>
                <w:rFonts w:hint="eastAsia" w:ascii="宋体" w:hAnsi="宋体" w:cs="宋体"/>
                <w:kern w:val="0"/>
                <w:lang w:bidi="ar"/>
              </w:rPr>
              <w:t>7.采用可用不可见的方式进行数据共享开放，如有特殊情况应采取“一事一议”进行审批。</w:t>
            </w:r>
          </w:p>
        </w:tc>
      </w:tr>
    </w:tbl>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77"/>
        <w:spacing w:after="156"/>
      </w:pPr>
      <w:r>
        <w:br w:type="textWrapping"/>
      </w:r>
      <w:bookmarkStart w:id="316" w:name="_Toc181286256"/>
      <w:bookmarkStart w:id="317" w:name="_Toc181210148"/>
      <w:bookmarkStart w:id="318" w:name="_Toc181278550"/>
      <w:r>
        <w:rPr>
          <w:rFonts w:hint="eastAsia"/>
        </w:rPr>
        <w:t>（资料性）</w:t>
      </w:r>
      <w:r>
        <w:br w:type="textWrapping"/>
      </w:r>
      <w:r>
        <w:rPr>
          <w:rFonts w:hint="eastAsia"/>
        </w:rPr>
        <w:t>个人信息分类分级参考示例</w:t>
      </w:r>
      <w:bookmarkEnd w:id="316"/>
      <w:bookmarkEnd w:id="317"/>
      <w:bookmarkEnd w:id="318"/>
    </w:p>
    <w:p>
      <w:pPr>
        <w:pStyle w:val="57"/>
        <w:ind w:firstLine="420"/>
        <w:rPr>
          <w:szCs w:val="21"/>
        </w:rPr>
      </w:pPr>
      <w:r>
        <w:rPr>
          <w:rFonts w:hint="eastAsia"/>
        </w:rPr>
        <w:t>个人信息分类分级参考示例见表C.1。</w:t>
      </w:r>
    </w:p>
    <w:p>
      <w:pPr>
        <w:pStyle w:val="78"/>
        <w:numPr>
          <w:ilvl w:val="1"/>
          <w:numId w:val="0"/>
        </w:numPr>
        <w:spacing w:before="156" w:after="156"/>
      </w:pPr>
      <w:r>
        <w:rPr>
          <w:rFonts w:hint="eastAsia"/>
        </w:rPr>
        <w:t>表C.1 个人信息分类分级参考示例</w:t>
      </w:r>
    </w:p>
    <w:tbl>
      <w:tblPr>
        <w:tblStyle w:val="33"/>
        <w:tblW w:w="84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
      <w:tblGrid>
        <w:gridCol w:w="1131"/>
        <w:gridCol w:w="1184"/>
        <w:gridCol w:w="4348"/>
        <w:gridCol w:w="992"/>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283" w:hRule="atLeast"/>
          <w:tblHeader/>
          <w:jc w:val="center"/>
        </w:trPr>
        <w:tc>
          <w:tcPr>
            <w:tcW w:w="1131" w:type="dxa"/>
            <w:shd w:val="clear" w:color="auto" w:fill="auto"/>
            <w:vAlign w:val="center"/>
          </w:tcPr>
          <w:p>
            <w:pPr>
              <w:pStyle w:val="57"/>
              <w:ind w:firstLine="0" w:firstLineChars="0"/>
              <w:jc w:val="center"/>
            </w:pPr>
            <w:r>
              <w:rPr>
                <w:rFonts w:hint="eastAsia"/>
              </w:rPr>
              <w:t>一级类别</w:t>
            </w:r>
          </w:p>
        </w:tc>
        <w:tc>
          <w:tcPr>
            <w:tcW w:w="1184" w:type="dxa"/>
            <w:shd w:val="clear" w:color="auto" w:fill="auto"/>
            <w:vAlign w:val="center"/>
          </w:tcPr>
          <w:p>
            <w:pPr>
              <w:pStyle w:val="57"/>
              <w:ind w:firstLine="0" w:firstLineChars="0"/>
              <w:jc w:val="center"/>
            </w:pPr>
            <w:r>
              <w:rPr>
                <w:rFonts w:hint="eastAsia"/>
              </w:rPr>
              <w:t>二级类别</w:t>
            </w:r>
          </w:p>
        </w:tc>
        <w:tc>
          <w:tcPr>
            <w:tcW w:w="4348" w:type="dxa"/>
            <w:shd w:val="clear" w:color="auto" w:fill="auto"/>
            <w:vAlign w:val="center"/>
          </w:tcPr>
          <w:p>
            <w:pPr>
              <w:pStyle w:val="57"/>
              <w:ind w:firstLine="0" w:firstLineChars="0"/>
              <w:jc w:val="center"/>
            </w:pPr>
            <w:r>
              <w:rPr>
                <w:rFonts w:hint="eastAsia"/>
              </w:rPr>
              <w:t>典型示例和说明</w:t>
            </w:r>
          </w:p>
        </w:tc>
        <w:tc>
          <w:tcPr>
            <w:tcW w:w="992" w:type="dxa"/>
            <w:shd w:val="clear" w:color="auto" w:fill="auto"/>
            <w:vAlign w:val="center"/>
          </w:tcPr>
          <w:p>
            <w:pPr>
              <w:pStyle w:val="57"/>
              <w:ind w:firstLine="0" w:firstLineChars="0"/>
              <w:jc w:val="center"/>
            </w:pPr>
            <w:r>
              <w:rPr>
                <w:rFonts w:hint="eastAsia"/>
              </w:rPr>
              <w:t>级别</w:t>
            </w:r>
          </w:p>
        </w:tc>
        <w:tc>
          <w:tcPr>
            <w:tcW w:w="840" w:type="dxa"/>
            <w:shd w:val="clear" w:color="auto" w:fill="auto"/>
            <w:vAlign w:val="center"/>
          </w:tcPr>
          <w:p>
            <w:pPr>
              <w:pStyle w:val="57"/>
              <w:ind w:firstLine="0" w:firstLineChars="0"/>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905" w:hRule="atLeast"/>
          <w:jc w:val="center"/>
        </w:trPr>
        <w:tc>
          <w:tcPr>
            <w:tcW w:w="1131" w:type="dxa"/>
            <w:vAlign w:val="center"/>
          </w:tcPr>
          <w:p>
            <w:pPr>
              <w:pStyle w:val="57"/>
              <w:ind w:firstLine="0" w:firstLineChars="0"/>
              <w:jc w:val="center"/>
            </w:pPr>
            <w:r>
              <w:rPr>
                <w:rFonts w:hint="eastAsia"/>
              </w:rPr>
              <w:t>个人基本资料</w:t>
            </w:r>
          </w:p>
        </w:tc>
        <w:tc>
          <w:tcPr>
            <w:tcW w:w="1184" w:type="dxa"/>
            <w:vAlign w:val="center"/>
          </w:tcPr>
          <w:p>
            <w:pPr>
              <w:pStyle w:val="57"/>
              <w:ind w:firstLine="0" w:firstLineChars="0"/>
              <w:jc w:val="center"/>
            </w:pPr>
            <w:r>
              <w:rPr>
                <w:rFonts w:hint="eastAsia"/>
              </w:rPr>
              <w:t>个人基本资料</w:t>
            </w:r>
          </w:p>
        </w:tc>
        <w:tc>
          <w:tcPr>
            <w:tcW w:w="4348" w:type="dxa"/>
            <w:vAlign w:val="center"/>
          </w:tcPr>
          <w:p>
            <w:pPr>
              <w:pStyle w:val="57"/>
              <w:ind w:firstLine="0" w:firstLineChars="0"/>
            </w:pPr>
            <w:r>
              <w:rPr>
                <w:rFonts w:hint="eastAsia"/>
              </w:rPr>
              <w:t>自然人基本情况信息，如个人姓名、生日、年龄、性别、民族、国籍、籍贯、婚姻状况、家庭关系、住址、个人电话号码、电子邮件地址、兴趣爱好等。</w:t>
            </w:r>
          </w:p>
        </w:tc>
        <w:tc>
          <w:tcPr>
            <w:tcW w:w="992" w:type="dxa"/>
            <w:vAlign w:val="center"/>
          </w:tcPr>
          <w:p>
            <w:pPr>
              <w:pStyle w:val="57"/>
              <w:ind w:firstLine="0" w:firstLineChars="0"/>
              <w:jc w:val="center"/>
            </w:pPr>
            <w:r>
              <w:rPr>
                <w:rFonts w:hint="eastAsia"/>
              </w:rPr>
              <w:t>一级</w:t>
            </w:r>
          </w:p>
        </w:tc>
        <w:tc>
          <w:tcPr>
            <w:tcW w:w="840" w:type="dxa"/>
            <w:vMerge w:val="restart"/>
            <w:vAlign w:val="center"/>
          </w:tcPr>
          <w:p>
            <w:pPr>
              <w:pStyle w:val="57"/>
              <w:ind w:firstLine="0" w:firstLineChars="0"/>
            </w:pPr>
            <w:r>
              <w:rPr>
                <w:rFonts w:hint="eastAsia"/>
              </w:rPr>
              <w:t>100万条以上或覆盖范围超过1个地市为重要数据（三级）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970" w:hRule="atLeast"/>
          <w:jc w:val="center"/>
        </w:trPr>
        <w:tc>
          <w:tcPr>
            <w:tcW w:w="1131" w:type="dxa"/>
            <w:vAlign w:val="center"/>
          </w:tcPr>
          <w:p>
            <w:pPr>
              <w:pStyle w:val="57"/>
              <w:ind w:firstLine="0" w:firstLineChars="0"/>
              <w:jc w:val="center"/>
            </w:pPr>
            <w:r>
              <w:rPr>
                <w:rFonts w:hint="eastAsia"/>
              </w:rPr>
              <w:t>个人身份信息</w:t>
            </w:r>
          </w:p>
        </w:tc>
        <w:tc>
          <w:tcPr>
            <w:tcW w:w="1184" w:type="dxa"/>
            <w:vAlign w:val="center"/>
          </w:tcPr>
          <w:p>
            <w:pPr>
              <w:pStyle w:val="57"/>
              <w:ind w:firstLine="0" w:firstLineChars="0"/>
              <w:jc w:val="center"/>
            </w:pPr>
            <w:r>
              <w:rPr>
                <w:rFonts w:hint="eastAsia"/>
              </w:rPr>
              <w:t>个人身份信息</w:t>
            </w:r>
          </w:p>
        </w:tc>
        <w:tc>
          <w:tcPr>
            <w:tcW w:w="4348" w:type="dxa"/>
            <w:vAlign w:val="center"/>
          </w:tcPr>
          <w:p>
            <w:pPr>
              <w:pStyle w:val="57"/>
              <w:ind w:firstLine="0" w:firstLineChars="0"/>
            </w:pPr>
            <w:r>
              <w:rPr>
                <w:rFonts w:hint="eastAsia"/>
              </w:rPr>
              <w:t>可直接标识自然人身份的信息，如身份证、军官证、护照、驾驶证、工作证、出入证、社保卡、居住证、港澳台通行证等证件号码、证件有效期、证件照片或影印件等。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710" w:hRule="atLeast"/>
          <w:jc w:val="center"/>
        </w:trPr>
        <w:tc>
          <w:tcPr>
            <w:tcW w:w="1131" w:type="dxa"/>
            <w:vAlign w:val="center"/>
          </w:tcPr>
          <w:p>
            <w:pPr>
              <w:pStyle w:val="57"/>
              <w:ind w:firstLine="0" w:firstLineChars="0"/>
              <w:jc w:val="center"/>
            </w:pPr>
            <w:r>
              <w:rPr>
                <w:rFonts w:hint="eastAsia"/>
              </w:rPr>
              <w:t>个人生物识别信息</w:t>
            </w:r>
          </w:p>
        </w:tc>
        <w:tc>
          <w:tcPr>
            <w:tcW w:w="1184" w:type="dxa"/>
            <w:vAlign w:val="center"/>
          </w:tcPr>
          <w:p>
            <w:pPr>
              <w:pStyle w:val="57"/>
              <w:ind w:firstLine="0" w:firstLineChars="0"/>
              <w:jc w:val="center"/>
            </w:pPr>
            <w:r>
              <w:rPr>
                <w:rFonts w:hint="eastAsia"/>
              </w:rPr>
              <w:t>个人生物识别信息</w:t>
            </w:r>
          </w:p>
        </w:tc>
        <w:tc>
          <w:tcPr>
            <w:tcW w:w="4348" w:type="dxa"/>
            <w:vAlign w:val="center"/>
          </w:tcPr>
          <w:p>
            <w:pPr>
              <w:pStyle w:val="57"/>
              <w:ind w:firstLine="0" w:firstLineChars="0"/>
            </w:pPr>
            <w:r>
              <w:rPr>
                <w:rFonts w:hint="eastAsia"/>
              </w:rPr>
              <w:t>生物识别原始信息（如样本、图像等）和比对信息（如特征值、模板等），如人脸、指纹、步态、声纹、基因、虹膜、笔迹、掌纹、耳廓、眼纹等。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943" w:hRule="atLeast"/>
          <w:jc w:val="center"/>
        </w:trPr>
        <w:tc>
          <w:tcPr>
            <w:tcW w:w="1131" w:type="dxa"/>
            <w:vAlign w:val="center"/>
          </w:tcPr>
          <w:p>
            <w:pPr>
              <w:pStyle w:val="57"/>
              <w:ind w:firstLine="0" w:firstLineChars="0"/>
              <w:jc w:val="center"/>
            </w:pPr>
            <w:r>
              <w:rPr>
                <w:rFonts w:hint="eastAsia"/>
              </w:rPr>
              <w:t>网络身份标识信息</w:t>
            </w:r>
          </w:p>
        </w:tc>
        <w:tc>
          <w:tcPr>
            <w:tcW w:w="1184" w:type="dxa"/>
            <w:vAlign w:val="center"/>
          </w:tcPr>
          <w:p>
            <w:pPr>
              <w:pStyle w:val="57"/>
              <w:ind w:firstLine="0" w:firstLineChars="0"/>
              <w:jc w:val="center"/>
            </w:pPr>
            <w:r>
              <w:rPr>
                <w:rFonts w:hint="eastAsia"/>
              </w:rPr>
              <w:t>网络身份标识信息</w:t>
            </w:r>
          </w:p>
        </w:tc>
        <w:tc>
          <w:tcPr>
            <w:tcW w:w="4348" w:type="dxa"/>
            <w:vAlign w:val="center"/>
          </w:tcPr>
          <w:p>
            <w:pPr>
              <w:pStyle w:val="57"/>
              <w:ind w:firstLine="0" w:firstLineChars="0"/>
            </w:pPr>
            <w:r>
              <w:rPr>
                <w:rFonts w:hint="eastAsia"/>
              </w:rPr>
              <w:t>可直接标识网络或通信用户身份的信息及账户相关资料信息（金融账户除外），如用户账号、用户ID、即时通信账号、网络社交用户账号、用户头像、昵称、个性签名、IP地址、账户开立时间等。</w:t>
            </w:r>
          </w:p>
        </w:tc>
        <w:tc>
          <w:tcPr>
            <w:tcW w:w="992" w:type="dxa"/>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807" w:hRule="atLeast"/>
          <w:jc w:val="center"/>
        </w:trPr>
        <w:tc>
          <w:tcPr>
            <w:tcW w:w="1131" w:type="dxa"/>
            <w:vMerge w:val="restart"/>
            <w:vAlign w:val="center"/>
          </w:tcPr>
          <w:p>
            <w:pPr>
              <w:pStyle w:val="57"/>
              <w:ind w:firstLine="0" w:firstLineChars="0"/>
              <w:jc w:val="center"/>
            </w:pPr>
            <w:r>
              <w:rPr>
                <w:rFonts w:hint="eastAsia"/>
              </w:rPr>
              <w:t>个人健康生理信息</w:t>
            </w:r>
          </w:p>
        </w:tc>
        <w:tc>
          <w:tcPr>
            <w:tcW w:w="1184" w:type="dxa"/>
            <w:vAlign w:val="center"/>
          </w:tcPr>
          <w:p>
            <w:pPr>
              <w:pStyle w:val="57"/>
              <w:ind w:firstLine="0" w:firstLineChars="0"/>
              <w:jc w:val="center"/>
            </w:pPr>
            <w:r>
              <w:rPr>
                <w:rFonts w:hint="eastAsia"/>
              </w:rPr>
              <w:t>健康状况信息</w:t>
            </w:r>
          </w:p>
        </w:tc>
        <w:tc>
          <w:tcPr>
            <w:tcW w:w="4348" w:type="dxa"/>
            <w:vAlign w:val="center"/>
          </w:tcPr>
          <w:p>
            <w:pPr>
              <w:pStyle w:val="57"/>
              <w:ind w:firstLine="0" w:firstLineChars="0"/>
            </w:pPr>
            <w:r>
              <w:rPr>
                <w:rFonts w:hint="eastAsia"/>
              </w:rPr>
              <w:t>与个人身体健康状况相关的一般信息，如体重、身高、体温、肺活量、血压、血型等。</w:t>
            </w:r>
          </w:p>
        </w:tc>
        <w:tc>
          <w:tcPr>
            <w:tcW w:w="992" w:type="dxa"/>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872" w:hRule="atLeast"/>
          <w:jc w:val="center"/>
        </w:trPr>
        <w:tc>
          <w:tcPr>
            <w:tcW w:w="1131" w:type="dxa"/>
            <w:vMerge w:val="continue"/>
            <w:vAlign w:val="center"/>
          </w:tcPr>
          <w:p>
            <w:pPr>
              <w:pStyle w:val="57"/>
              <w:ind w:firstLine="420"/>
              <w:jc w:val="center"/>
            </w:pPr>
          </w:p>
        </w:tc>
        <w:tc>
          <w:tcPr>
            <w:tcW w:w="1184" w:type="dxa"/>
            <w:vAlign w:val="center"/>
          </w:tcPr>
          <w:p>
            <w:pPr>
              <w:pStyle w:val="57"/>
              <w:ind w:firstLine="0" w:firstLineChars="0"/>
              <w:jc w:val="center"/>
            </w:pPr>
            <w:r>
              <w:rPr>
                <w:rFonts w:hint="eastAsia"/>
              </w:rPr>
              <w:t>个人医疗信息</w:t>
            </w:r>
          </w:p>
        </w:tc>
        <w:tc>
          <w:tcPr>
            <w:tcW w:w="4348" w:type="dxa"/>
            <w:vAlign w:val="center"/>
          </w:tcPr>
          <w:p>
            <w:pPr>
              <w:pStyle w:val="57"/>
              <w:ind w:firstLine="0" w:firstLineChars="0"/>
            </w:pPr>
            <w:r>
              <w:rPr>
                <w:rFonts w:hint="eastAsia"/>
              </w:rPr>
              <w:t>个人因生病医治等产生的相关记录，如病症、住院志、医嘱单、检验报告、体检报告、手术及麻醉记录、护理记录、用药记录、药物食物过敏信息、生育信息、既往病史、诊治情况、家族病史、现病史、传染病史、吸烟史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905" w:hRule="atLeast"/>
          <w:jc w:val="center"/>
        </w:trPr>
        <w:tc>
          <w:tcPr>
            <w:tcW w:w="1131" w:type="dxa"/>
            <w:vMerge w:val="restart"/>
            <w:vAlign w:val="center"/>
          </w:tcPr>
          <w:p>
            <w:pPr>
              <w:pStyle w:val="57"/>
              <w:ind w:firstLine="0" w:firstLineChars="0"/>
              <w:jc w:val="center"/>
            </w:pPr>
            <w:r>
              <w:rPr>
                <w:rFonts w:hint="eastAsia"/>
              </w:rPr>
              <w:t>个人教育工作信息</w:t>
            </w:r>
          </w:p>
        </w:tc>
        <w:tc>
          <w:tcPr>
            <w:tcW w:w="1184" w:type="dxa"/>
            <w:vAlign w:val="center"/>
          </w:tcPr>
          <w:p>
            <w:pPr>
              <w:pStyle w:val="57"/>
              <w:ind w:firstLine="0" w:firstLineChars="0"/>
              <w:jc w:val="center"/>
            </w:pPr>
            <w:r>
              <w:rPr>
                <w:rFonts w:hint="eastAsia"/>
              </w:rPr>
              <w:t>个人教育信息</w:t>
            </w:r>
          </w:p>
        </w:tc>
        <w:tc>
          <w:tcPr>
            <w:tcW w:w="4348" w:type="dxa"/>
            <w:vAlign w:val="center"/>
          </w:tcPr>
          <w:p>
            <w:pPr>
              <w:pStyle w:val="57"/>
              <w:ind w:firstLine="0" w:firstLineChars="0"/>
            </w:pPr>
            <w:r>
              <w:rPr>
                <w:rFonts w:hint="eastAsia"/>
              </w:rPr>
              <w:t>个人受教育和培训情况相关信息，如学历、学位、教育经历（入学日期、毕业日期、学校、院系、专业等）、成绩单、资质证书、培训记录、奖惩信息、受资助信息等。</w:t>
            </w:r>
          </w:p>
        </w:tc>
        <w:tc>
          <w:tcPr>
            <w:tcW w:w="992" w:type="dxa"/>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495" w:hRule="atLeast"/>
          <w:jc w:val="center"/>
        </w:trPr>
        <w:tc>
          <w:tcPr>
            <w:tcW w:w="1131" w:type="dxa"/>
            <w:vMerge w:val="continue"/>
            <w:vAlign w:val="center"/>
          </w:tcPr>
          <w:p>
            <w:pPr>
              <w:pStyle w:val="57"/>
              <w:ind w:firstLine="420"/>
              <w:jc w:val="center"/>
            </w:pPr>
          </w:p>
        </w:tc>
        <w:tc>
          <w:tcPr>
            <w:tcW w:w="1184" w:type="dxa"/>
            <w:vAlign w:val="center"/>
          </w:tcPr>
          <w:p>
            <w:pPr>
              <w:pStyle w:val="57"/>
              <w:ind w:firstLine="0" w:firstLineChars="0"/>
              <w:jc w:val="center"/>
            </w:pPr>
            <w:r>
              <w:rPr>
                <w:rFonts w:hint="eastAsia"/>
              </w:rPr>
              <w:t>个人工作信息</w:t>
            </w:r>
          </w:p>
        </w:tc>
        <w:tc>
          <w:tcPr>
            <w:tcW w:w="4348" w:type="dxa"/>
            <w:vAlign w:val="center"/>
          </w:tcPr>
          <w:p>
            <w:pPr>
              <w:pStyle w:val="57"/>
              <w:ind w:firstLine="0" w:firstLineChars="0"/>
            </w:pPr>
            <w:r>
              <w:rPr>
                <w:rFonts w:hint="eastAsia"/>
              </w:rPr>
              <w:t>个人求职和工作情况相关信息，如个人职业、职位、职称、工作单位、工作地点、工作经历、工资、工作表现、简历等。</w:t>
            </w:r>
          </w:p>
        </w:tc>
        <w:tc>
          <w:tcPr>
            <w:tcW w:w="992" w:type="dxa"/>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304" w:hRule="atLeast"/>
          <w:jc w:val="center"/>
        </w:trPr>
        <w:tc>
          <w:tcPr>
            <w:tcW w:w="1131" w:type="dxa"/>
            <w:vMerge w:val="restart"/>
            <w:vAlign w:val="center"/>
          </w:tcPr>
          <w:p>
            <w:pPr>
              <w:pStyle w:val="57"/>
              <w:ind w:firstLine="0" w:firstLineChars="0"/>
              <w:jc w:val="center"/>
            </w:pPr>
            <w:r>
              <w:rPr>
                <w:rFonts w:hint="eastAsia"/>
              </w:rPr>
              <w:t>个人财产信息</w:t>
            </w:r>
          </w:p>
        </w:tc>
        <w:tc>
          <w:tcPr>
            <w:tcW w:w="1184" w:type="dxa"/>
            <w:vAlign w:val="center"/>
          </w:tcPr>
          <w:p>
            <w:pPr>
              <w:pStyle w:val="57"/>
              <w:ind w:firstLine="0" w:firstLineChars="0"/>
              <w:jc w:val="center"/>
            </w:pPr>
            <w:r>
              <w:rPr>
                <w:rFonts w:hint="eastAsia"/>
              </w:rPr>
              <w:t>金融账户信息</w:t>
            </w:r>
          </w:p>
        </w:tc>
        <w:tc>
          <w:tcPr>
            <w:tcW w:w="4348" w:type="dxa"/>
            <w:vAlign w:val="center"/>
          </w:tcPr>
          <w:p>
            <w:pPr>
              <w:pStyle w:val="57"/>
              <w:ind w:firstLine="0" w:firstLineChars="0"/>
            </w:pPr>
            <w:r>
              <w:rPr>
                <w:rFonts w:hint="eastAsia"/>
              </w:rPr>
              <w:t>金融账户及账户相关信息，如银行卡号、支付账号、银行卡磁道数据（或芯片等效信息）、证券账户、基金账户、保险账户、公积金账户、公积金联名账号、账户余额、支付标记信息等。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210" w:hRule="atLeast"/>
          <w:jc w:val="center"/>
        </w:trPr>
        <w:tc>
          <w:tcPr>
            <w:tcW w:w="1131" w:type="dxa"/>
            <w:vMerge w:val="continue"/>
            <w:vAlign w:val="center"/>
          </w:tcPr>
          <w:p>
            <w:pPr>
              <w:pStyle w:val="57"/>
              <w:ind w:firstLine="420"/>
              <w:jc w:val="center"/>
            </w:pPr>
          </w:p>
        </w:tc>
        <w:tc>
          <w:tcPr>
            <w:tcW w:w="1184" w:type="dxa"/>
            <w:vAlign w:val="center"/>
          </w:tcPr>
          <w:p>
            <w:pPr>
              <w:pStyle w:val="57"/>
              <w:ind w:firstLine="0" w:firstLineChars="0"/>
              <w:jc w:val="center"/>
            </w:pPr>
            <w:r>
              <w:rPr>
                <w:rFonts w:hint="eastAsia"/>
              </w:rPr>
              <w:t>个人交易信息</w:t>
            </w:r>
          </w:p>
        </w:tc>
        <w:tc>
          <w:tcPr>
            <w:tcW w:w="4348" w:type="dxa"/>
            <w:vAlign w:val="center"/>
          </w:tcPr>
          <w:p>
            <w:pPr>
              <w:pStyle w:val="57"/>
              <w:ind w:firstLine="0" w:firstLineChars="0"/>
            </w:pPr>
            <w:r>
              <w:rPr>
                <w:rFonts w:hint="eastAsia"/>
              </w:rPr>
              <w:t>交易过程中产生的交易信息和消费记录，如交易订单、交易金额、支付记录、透支记录、交易状态、交易日志、交易凭证、账单，证券委托、成交、持仓信息，保单信息、理赔信息等。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412" w:hRule="atLeast"/>
          <w:jc w:val="center"/>
        </w:trPr>
        <w:tc>
          <w:tcPr>
            <w:tcW w:w="1131" w:type="dxa"/>
            <w:vMerge w:val="continue"/>
            <w:vAlign w:val="center"/>
          </w:tcPr>
          <w:p>
            <w:pPr>
              <w:pStyle w:val="57"/>
              <w:ind w:firstLine="420"/>
              <w:jc w:val="center"/>
            </w:pPr>
          </w:p>
        </w:tc>
        <w:tc>
          <w:tcPr>
            <w:tcW w:w="1184" w:type="dxa"/>
            <w:vAlign w:val="center"/>
          </w:tcPr>
          <w:p>
            <w:pPr>
              <w:pStyle w:val="57"/>
              <w:ind w:firstLine="0" w:firstLineChars="0"/>
              <w:jc w:val="center"/>
            </w:pPr>
            <w:r>
              <w:rPr>
                <w:rFonts w:hint="eastAsia"/>
              </w:rPr>
              <w:t>个人资产信息</w:t>
            </w:r>
          </w:p>
        </w:tc>
        <w:tc>
          <w:tcPr>
            <w:tcW w:w="4348" w:type="dxa"/>
            <w:vAlign w:val="center"/>
          </w:tcPr>
          <w:p>
            <w:pPr>
              <w:pStyle w:val="57"/>
              <w:ind w:firstLine="0" w:firstLineChars="0"/>
            </w:pPr>
            <w:r>
              <w:rPr>
                <w:rFonts w:hint="eastAsia"/>
              </w:rPr>
              <w:t>个人实体和虚拟财产信息，如个人收入状况、房产信息、存款信息、车辆信息、纳税额、公积金缴存明细（含余额、基数、缴纳公司、公积金中心、状态等）、银行流水、虚拟财产（含虚拟货币、虚拟交易、游戏类兑换码等）、个人社保与医保存缴金额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412" w:hRule="atLeast"/>
          <w:jc w:val="center"/>
        </w:trPr>
        <w:tc>
          <w:tcPr>
            <w:tcW w:w="1131" w:type="dxa"/>
            <w:vMerge w:val="continue"/>
            <w:vAlign w:val="center"/>
          </w:tcPr>
          <w:p>
            <w:pPr>
              <w:pStyle w:val="57"/>
              <w:ind w:firstLine="420"/>
              <w:jc w:val="center"/>
            </w:pPr>
          </w:p>
        </w:tc>
        <w:tc>
          <w:tcPr>
            <w:tcW w:w="1184" w:type="dxa"/>
            <w:vAlign w:val="center"/>
          </w:tcPr>
          <w:p>
            <w:pPr>
              <w:pStyle w:val="57"/>
              <w:ind w:firstLine="0" w:firstLineChars="0"/>
              <w:jc w:val="center"/>
            </w:pPr>
            <w:r>
              <w:rPr>
                <w:rFonts w:hint="eastAsia"/>
              </w:rPr>
              <w:t>个人借贷信息</w:t>
            </w:r>
          </w:p>
        </w:tc>
        <w:tc>
          <w:tcPr>
            <w:tcW w:w="4348" w:type="dxa"/>
            <w:vAlign w:val="center"/>
          </w:tcPr>
          <w:p>
            <w:pPr>
              <w:pStyle w:val="57"/>
              <w:ind w:firstLine="0" w:firstLineChars="0"/>
            </w:pPr>
            <w:r>
              <w:rPr>
                <w:rFonts w:hint="eastAsia"/>
              </w:rPr>
              <w:t>个人在借贷过程中产生的信息，如个人借款信息、还款信息、欠款信息、信贷记录、征信信息、担保情况等。</w:t>
            </w:r>
          </w:p>
        </w:tc>
        <w:tc>
          <w:tcPr>
            <w:tcW w:w="992" w:type="dxa"/>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555"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身份鉴别信息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身份鉴别信息</w:t>
            </w:r>
          </w:p>
        </w:tc>
        <w:tc>
          <w:tcPr>
            <w:tcW w:w="4348" w:type="dxa"/>
            <w:tcMar>
              <w:top w:w="31" w:type="dxa"/>
              <w:left w:w="108" w:type="dxa"/>
              <w:bottom w:w="0" w:type="dxa"/>
              <w:right w:w="106" w:type="dxa"/>
            </w:tcMar>
            <w:vAlign w:val="center"/>
          </w:tcPr>
          <w:p>
            <w:pPr>
              <w:pStyle w:val="57"/>
              <w:ind w:firstLine="0" w:firstLineChars="0"/>
            </w:pPr>
            <w:r>
              <w:rPr>
                <w:rFonts w:hint="eastAsia"/>
              </w:rPr>
              <w:t>用于身份鉴别的数据，如账户登录密码、银行卡密码、支付密码、账户查询密码、交易密码、银行卡有效期、银行卡片验证码（CVN和CVN2）、USBKEY、动态口令、U盾（网银、手机银行密保工具信息）、短信验证码、密码提示问题答案、手机客服密码、个人数字证书、随机令牌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850"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个人通信信息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个人通信信息</w:t>
            </w:r>
          </w:p>
        </w:tc>
        <w:tc>
          <w:tcPr>
            <w:tcW w:w="4348" w:type="dxa"/>
            <w:tcMar>
              <w:top w:w="31" w:type="dxa"/>
              <w:left w:w="108" w:type="dxa"/>
              <w:bottom w:w="0" w:type="dxa"/>
              <w:right w:w="106" w:type="dxa"/>
            </w:tcMar>
            <w:vAlign w:val="center"/>
          </w:tcPr>
          <w:p>
            <w:pPr>
              <w:pStyle w:val="57"/>
              <w:ind w:firstLine="0" w:firstLineChars="0"/>
            </w:pPr>
            <w:r>
              <w:rPr>
                <w:rFonts w:hint="eastAsia"/>
              </w:rPr>
              <w:t>通信记录，短信、彩信、话音、电子邮件、即时通信等通信内容（如文字、图片、音频、视频、文件等），及描述个人通信的元数据（如通话时长）等。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850"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联系人信息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联系人信息</w:t>
            </w:r>
          </w:p>
        </w:tc>
        <w:tc>
          <w:tcPr>
            <w:tcW w:w="4348" w:type="dxa"/>
            <w:tcMar>
              <w:top w:w="31" w:type="dxa"/>
              <w:left w:w="108" w:type="dxa"/>
              <w:bottom w:w="0" w:type="dxa"/>
              <w:right w:w="106" w:type="dxa"/>
            </w:tcMar>
            <w:vAlign w:val="center"/>
          </w:tcPr>
          <w:p>
            <w:pPr>
              <w:pStyle w:val="57"/>
              <w:ind w:firstLine="0" w:firstLineChars="0"/>
            </w:pPr>
            <w:r>
              <w:rPr>
                <w:rFonts w:hint="eastAsia"/>
              </w:rPr>
              <w:t>描述个人与关联方关系的信息，如通讯录、好友列表、群列表、电子邮件地址列表、家庭关系、工作关系、社交关系等。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1013" w:hRule="atLeast"/>
          <w:jc w:val="center"/>
        </w:trPr>
        <w:tc>
          <w:tcPr>
            <w:tcW w:w="1131" w:type="dxa"/>
            <w:vMerge w:val="restart"/>
            <w:tcMar>
              <w:top w:w="31" w:type="dxa"/>
              <w:left w:w="108" w:type="dxa"/>
              <w:bottom w:w="0" w:type="dxa"/>
              <w:right w:w="106" w:type="dxa"/>
            </w:tcMar>
            <w:vAlign w:val="center"/>
          </w:tcPr>
          <w:p>
            <w:pPr>
              <w:pStyle w:val="57"/>
              <w:ind w:firstLine="0" w:firstLineChars="0"/>
              <w:jc w:val="center"/>
            </w:pPr>
            <w:r>
              <w:rPr>
                <w:rFonts w:hint="eastAsia"/>
              </w:rPr>
              <w:t>个人上网记录</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个人操作记录</w:t>
            </w:r>
          </w:p>
        </w:tc>
        <w:tc>
          <w:tcPr>
            <w:tcW w:w="4348" w:type="dxa"/>
            <w:tcMar>
              <w:top w:w="31" w:type="dxa"/>
              <w:left w:w="108" w:type="dxa"/>
              <w:bottom w:w="0" w:type="dxa"/>
              <w:right w:w="106" w:type="dxa"/>
            </w:tcMar>
            <w:vAlign w:val="center"/>
          </w:tcPr>
          <w:p>
            <w:pPr>
              <w:pStyle w:val="57"/>
              <w:ind w:firstLine="0" w:firstLineChars="0"/>
            </w:pPr>
            <w:r>
              <w:rPr>
                <w:rFonts w:hint="eastAsia"/>
              </w:rPr>
              <w:t>个人在业务服务过程中的操作记录和行为数据，包括网页浏览记录、软件使用记录、点击记录、Cookie、发布的社交信息、收藏列表、搜索记录、服务使用时间、下载记录、访问时间（含登录时间、退出时间）等。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586" w:hRule="atLeast"/>
          <w:jc w:val="center"/>
        </w:trPr>
        <w:tc>
          <w:tcPr>
            <w:tcW w:w="1131" w:type="dxa"/>
            <w:vMerge w:val="continue"/>
            <w:vAlign w:val="center"/>
          </w:tcPr>
          <w:p>
            <w:pPr>
              <w:pStyle w:val="57"/>
              <w:ind w:firstLine="420"/>
              <w:jc w:val="center"/>
            </w:pPr>
          </w:p>
        </w:tc>
        <w:tc>
          <w:tcPr>
            <w:tcW w:w="1184" w:type="dxa"/>
            <w:tcMar>
              <w:top w:w="31" w:type="dxa"/>
              <w:left w:w="108" w:type="dxa"/>
              <w:bottom w:w="0" w:type="dxa"/>
              <w:right w:w="106" w:type="dxa"/>
            </w:tcMar>
            <w:vAlign w:val="center"/>
          </w:tcPr>
          <w:p>
            <w:pPr>
              <w:pStyle w:val="57"/>
              <w:ind w:firstLine="0" w:firstLineChars="0"/>
              <w:jc w:val="center"/>
            </w:pPr>
            <w:r>
              <w:rPr>
                <w:rFonts w:hint="eastAsia"/>
              </w:rPr>
              <w:t>业务行为数据</w:t>
            </w:r>
          </w:p>
        </w:tc>
        <w:tc>
          <w:tcPr>
            <w:tcW w:w="4348" w:type="dxa"/>
            <w:tcMar>
              <w:top w:w="31" w:type="dxa"/>
              <w:left w:w="108" w:type="dxa"/>
              <w:bottom w:w="0" w:type="dxa"/>
              <w:right w:w="106" w:type="dxa"/>
            </w:tcMar>
            <w:vAlign w:val="center"/>
          </w:tcPr>
          <w:p>
            <w:pPr>
              <w:pStyle w:val="57"/>
              <w:ind w:firstLine="0" w:firstLineChars="0"/>
            </w:pPr>
            <w:r>
              <w:rPr>
                <w:rFonts w:hint="eastAsia"/>
              </w:rPr>
              <w:t>用户使用某业务的行为记录（如游戏业务：用户游戏登录时间、最近充值时间、累计充值额度、用户通关记录）等。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478" w:hRule="atLeast"/>
          <w:jc w:val="center"/>
        </w:trPr>
        <w:tc>
          <w:tcPr>
            <w:tcW w:w="1131" w:type="dxa"/>
            <w:vMerge w:val="restart"/>
            <w:tcMar>
              <w:top w:w="31" w:type="dxa"/>
              <w:left w:w="108" w:type="dxa"/>
              <w:bottom w:w="0" w:type="dxa"/>
              <w:right w:w="106" w:type="dxa"/>
            </w:tcMar>
            <w:vAlign w:val="center"/>
          </w:tcPr>
          <w:p>
            <w:pPr>
              <w:pStyle w:val="57"/>
              <w:ind w:firstLine="0" w:firstLineChars="0"/>
              <w:jc w:val="center"/>
            </w:pPr>
            <w:r>
              <w:rPr>
                <w:rFonts w:hint="eastAsia"/>
              </w:rPr>
              <w:t>个人设备信息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可变更的唯一设备识别码</w:t>
            </w:r>
          </w:p>
        </w:tc>
        <w:tc>
          <w:tcPr>
            <w:tcW w:w="4348" w:type="dxa"/>
            <w:tcMar>
              <w:top w:w="31" w:type="dxa"/>
              <w:left w:w="108" w:type="dxa"/>
              <w:bottom w:w="0" w:type="dxa"/>
              <w:right w:w="106" w:type="dxa"/>
            </w:tcMar>
            <w:vAlign w:val="center"/>
          </w:tcPr>
          <w:p>
            <w:pPr>
              <w:pStyle w:val="57"/>
              <w:ind w:firstLine="0" w:firstLineChars="0"/>
            </w:pPr>
            <w:r>
              <w:rPr>
                <w:rFonts w:hint="eastAsia"/>
              </w:rPr>
              <w:t>AndroidID、IDFA、IDFV、OAID等。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478" w:hRule="atLeast"/>
          <w:jc w:val="center"/>
        </w:trPr>
        <w:tc>
          <w:tcPr>
            <w:tcW w:w="1131" w:type="dxa"/>
            <w:vMerge w:val="continue"/>
            <w:vAlign w:val="center"/>
          </w:tcPr>
          <w:p>
            <w:pPr>
              <w:pStyle w:val="57"/>
              <w:ind w:firstLine="420"/>
              <w:jc w:val="center"/>
            </w:pPr>
          </w:p>
        </w:tc>
        <w:tc>
          <w:tcPr>
            <w:tcW w:w="1184" w:type="dxa"/>
            <w:tcMar>
              <w:top w:w="31" w:type="dxa"/>
              <w:left w:w="108" w:type="dxa"/>
              <w:bottom w:w="0" w:type="dxa"/>
              <w:right w:w="106" w:type="dxa"/>
            </w:tcMar>
            <w:vAlign w:val="center"/>
          </w:tcPr>
          <w:p>
            <w:pPr>
              <w:pStyle w:val="57"/>
              <w:ind w:firstLine="0" w:firstLineChars="0"/>
              <w:jc w:val="center"/>
            </w:pPr>
            <w:r>
              <w:rPr>
                <w:rFonts w:hint="eastAsia"/>
              </w:rPr>
              <w:t>不可变更的唯一设备识别码</w:t>
            </w:r>
          </w:p>
        </w:tc>
        <w:tc>
          <w:tcPr>
            <w:tcW w:w="4348" w:type="dxa"/>
            <w:tcMar>
              <w:top w:w="31" w:type="dxa"/>
              <w:left w:w="108" w:type="dxa"/>
              <w:bottom w:w="0" w:type="dxa"/>
              <w:right w:w="106" w:type="dxa"/>
            </w:tcMar>
            <w:vAlign w:val="center"/>
          </w:tcPr>
          <w:p>
            <w:pPr>
              <w:pStyle w:val="57"/>
              <w:ind w:firstLine="0" w:firstLineChars="0"/>
            </w:pPr>
            <w:r>
              <w:rPr>
                <w:rFonts w:hint="eastAsia"/>
              </w:rPr>
              <w:t>IMEI、IMSI、MEID、设备MAC地址、硬件序列号、ICCID等。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576" w:hRule="atLeast"/>
          <w:jc w:val="center"/>
        </w:trPr>
        <w:tc>
          <w:tcPr>
            <w:tcW w:w="1131" w:type="dxa"/>
            <w:vMerge w:val="continue"/>
            <w:vAlign w:val="center"/>
          </w:tcPr>
          <w:p>
            <w:pPr>
              <w:pStyle w:val="57"/>
              <w:ind w:firstLine="420"/>
              <w:jc w:val="center"/>
            </w:pPr>
          </w:p>
        </w:tc>
        <w:tc>
          <w:tcPr>
            <w:tcW w:w="1184" w:type="dxa"/>
            <w:tcMar>
              <w:top w:w="31" w:type="dxa"/>
              <w:left w:w="108" w:type="dxa"/>
              <w:bottom w:w="0" w:type="dxa"/>
              <w:right w:w="106" w:type="dxa"/>
            </w:tcMar>
            <w:vAlign w:val="center"/>
          </w:tcPr>
          <w:p>
            <w:pPr>
              <w:pStyle w:val="57"/>
              <w:ind w:firstLine="0" w:firstLineChars="0"/>
              <w:jc w:val="center"/>
            </w:pPr>
            <w:r>
              <w:rPr>
                <w:rFonts w:hint="eastAsia"/>
              </w:rPr>
              <w:t>应用软件列表</w:t>
            </w:r>
          </w:p>
        </w:tc>
        <w:tc>
          <w:tcPr>
            <w:tcW w:w="4348" w:type="dxa"/>
            <w:tcMar>
              <w:top w:w="31" w:type="dxa"/>
              <w:left w:w="108" w:type="dxa"/>
              <w:bottom w:w="0" w:type="dxa"/>
              <w:right w:w="106" w:type="dxa"/>
            </w:tcMar>
            <w:vAlign w:val="center"/>
          </w:tcPr>
          <w:p>
            <w:pPr>
              <w:pStyle w:val="57"/>
              <w:ind w:firstLine="0" w:firstLineChars="0"/>
            </w:pPr>
            <w:r>
              <w:rPr>
                <w:rFonts w:hint="eastAsia"/>
              </w:rPr>
              <w:t>终端上安装的应用程序列表，如每款应用软件的名称、版本等。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670" w:hRule="atLeast"/>
          <w:jc w:val="center"/>
        </w:trPr>
        <w:tc>
          <w:tcPr>
            <w:tcW w:w="1131" w:type="dxa"/>
            <w:vMerge w:val="restart"/>
            <w:tcMar>
              <w:top w:w="31" w:type="dxa"/>
              <w:left w:w="108" w:type="dxa"/>
              <w:bottom w:w="0" w:type="dxa"/>
              <w:right w:w="106" w:type="dxa"/>
            </w:tcMar>
            <w:vAlign w:val="center"/>
          </w:tcPr>
          <w:p>
            <w:pPr>
              <w:pStyle w:val="57"/>
              <w:ind w:firstLine="0" w:firstLineChars="0"/>
              <w:jc w:val="center"/>
            </w:pPr>
            <w:r>
              <w:rPr>
                <w:rFonts w:hint="eastAsia"/>
              </w:rPr>
              <w:t>个人位置信息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粗略位置信息</w:t>
            </w:r>
          </w:p>
        </w:tc>
        <w:tc>
          <w:tcPr>
            <w:tcW w:w="4348" w:type="dxa"/>
            <w:tcMar>
              <w:top w:w="31" w:type="dxa"/>
              <w:left w:w="108" w:type="dxa"/>
              <w:bottom w:w="0" w:type="dxa"/>
              <w:right w:w="106" w:type="dxa"/>
            </w:tcMar>
            <w:vAlign w:val="center"/>
          </w:tcPr>
          <w:p>
            <w:pPr>
              <w:pStyle w:val="57"/>
              <w:ind w:firstLine="0" w:firstLineChars="0"/>
            </w:pPr>
            <w:r>
              <w:rPr>
                <w:rFonts w:hint="eastAsia"/>
              </w:rPr>
              <w:t>仅能定位到行政区、县级等的位置信息，如地区代码、城市代码等。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770" w:hRule="atLeast"/>
          <w:jc w:val="center"/>
        </w:trPr>
        <w:tc>
          <w:tcPr>
            <w:tcW w:w="1131" w:type="dxa"/>
            <w:vMerge w:val="continue"/>
            <w:vAlign w:val="center"/>
          </w:tcPr>
          <w:p>
            <w:pPr>
              <w:pStyle w:val="57"/>
              <w:ind w:firstLine="420"/>
              <w:jc w:val="center"/>
            </w:pPr>
          </w:p>
        </w:tc>
        <w:tc>
          <w:tcPr>
            <w:tcW w:w="1184" w:type="dxa"/>
            <w:tcMar>
              <w:top w:w="31" w:type="dxa"/>
              <w:left w:w="108" w:type="dxa"/>
              <w:bottom w:w="0" w:type="dxa"/>
              <w:right w:w="106" w:type="dxa"/>
            </w:tcMar>
            <w:vAlign w:val="center"/>
          </w:tcPr>
          <w:p>
            <w:pPr>
              <w:pStyle w:val="57"/>
              <w:ind w:firstLine="0" w:firstLineChars="0"/>
              <w:jc w:val="center"/>
            </w:pPr>
            <w:r>
              <w:rPr>
                <w:rFonts w:hint="eastAsia"/>
              </w:rPr>
              <w:t>精确位置信息</w:t>
            </w:r>
          </w:p>
        </w:tc>
        <w:tc>
          <w:tcPr>
            <w:tcW w:w="4348" w:type="dxa"/>
            <w:tcMar>
              <w:top w:w="31" w:type="dxa"/>
              <w:left w:w="108" w:type="dxa"/>
              <w:bottom w:w="0" w:type="dxa"/>
              <w:right w:w="106" w:type="dxa"/>
            </w:tcMar>
            <w:vAlign w:val="center"/>
          </w:tcPr>
          <w:p>
            <w:pPr>
              <w:pStyle w:val="57"/>
              <w:ind w:firstLine="0" w:firstLineChars="0"/>
            </w:pPr>
            <w:r>
              <w:rPr>
                <w:rFonts w:hint="eastAsia"/>
              </w:rPr>
              <w:t>能具体定位到个人的地理位置数据，包括经纬度、住宿信息、小区代码、基站号、基站经纬度坐标等。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536" w:hRule="atLeast"/>
          <w:jc w:val="center"/>
        </w:trPr>
        <w:tc>
          <w:tcPr>
            <w:tcW w:w="1131" w:type="dxa"/>
            <w:vMerge w:val="continue"/>
            <w:vAlign w:val="center"/>
          </w:tcPr>
          <w:p>
            <w:pPr>
              <w:pStyle w:val="57"/>
              <w:ind w:firstLine="420"/>
              <w:jc w:val="center"/>
            </w:pPr>
          </w:p>
        </w:tc>
        <w:tc>
          <w:tcPr>
            <w:tcW w:w="1184" w:type="dxa"/>
            <w:tcMar>
              <w:top w:w="31" w:type="dxa"/>
              <w:left w:w="108" w:type="dxa"/>
              <w:bottom w:w="0" w:type="dxa"/>
              <w:right w:w="106" w:type="dxa"/>
            </w:tcMar>
            <w:vAlign w:val="center"/>
          </w:tcPr>
          <w:p>
            <w:pPr>
              <w:pStyle w:val="57"/>
              <w:ind w:firstLine="0" w:firstLineChars="0"/>
              <w:jc w:val="center"/>
            </w:pPr>
            <w:r>
              <w:rPr>
                <w:rFonts w:hint="eastAsia"/>
              </w:rPr>
              <w:t>个人出行信息</w:t>
            </w:r>
          </w:p>
        </w:tc>
        <w:tc>
          <w:tcPr>
            <w:tcW w:w="4348" w:type="dxa"/>
            <w:tcMar>
              <w:top w:w="31" w:type="dxa"/>
              <w:left w:w="108" w:type="dxa"/>
              <w:bottom w:w="0" w:type="dxa"/>
              <w:right w:w="106" w:type="dxa"/>
            </w:tcMar>
            <w:vAlign w:val="center"/>
          </w:tcPr>
          <w:p>
            <w:pPr>
              <w:pStyle w:val="57"/>
              <w:ind w:firstLine="0" w:firstLineChars="0"/>
            </w:pPr>
            <w:r>
              <w:rPr>
                <w:rFonts w:hint="eastAsia"/>
              </w:rPr>
              <w:t>乘坐飞机、火车、汽车、轮船等交通信息，行踪轨迹等。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770"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个人标签信息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个人标签信息</w:t>
            </w:r>
          </w:p>
        </w:tc>
        <w:tc>
          <w:tcPr>
            <w:tcW w:w="4348" w:type="dxa"/>
            <w:tcMar>
              <w:top w:w="31" w:type="dxa"/>
              <w:left w:w="108" w:type="dxa"/>
              <w:bottom w:w="0" w:type="dxa"/>
              <w:right w:w="106" w:type="dxa"/>
            </w:tcMar>
            <w:vAlign w:val="center"/>
          </w:tcPr>
          <w:p>
            <w:pPr>
              <w:pStyle w:val="57"/>
              <w:ind w:firstLine="0" w:firstLineChars="0"/>
            </w:pPr>
            <w:r>
              <w:rPr>
                <w:rFonts w:hint="eastAsia"/>
              </w:rPr>
              <w:t>基于个人上网记录等各类个人信息加工产生的用于对个人用户分类分析的描述信息，如App偏好、关系标签、终端偏好、内容偏好等标签信息。</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514"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个人运动信息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个人运动信息</w:t>
            </w:r>
          </w:p>
        </w:tc>
        <w:tc>
          <w:tcPr>
            <w:tcW w:w="4348" w:type="dxa"/>
            <w:tcMar>
              <w:top w:w="31" w:type="dxa"/>
              <w:left w:w="108" w:type="dxa"/>
              <w:bottom w:w="0" w:type="dxa"/>
              <w:right w:w="106" w:type="dxa"/>
            </w:tcMar>
            <w:vAlign w:val="center"/>
          </w:tcPr>
          <w:p>
            <w:pPr>
              <w:pStyle w:val="57"/>
              <w:ind w:firstLine="0" w:firstLineChars="0"/>
            </w:pPr>
            <w:r>
              <w:rPr>
                <w:rFonts w:hint="eastAsia"/>
              </w:rPr>
              <w:t>步数、步频、运动时长、运动距离、运动方式、运动心率等。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一级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514"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未成年</w:t>
            </w:r>
          </w:p>
          <w:p>
            <w:pPr>
              <w:pStyle w:val="57"/>
              <w:ind w:firstLine="0" w:firstLineChars="0"/>
              <w:jc w:val="center"/>
            </w:pPr>
            <w:r>
              <w:rPr>
                <w:rFonts w:hint="eastAsia"/>
              </w:rPr>
              <w:t>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不满十四岁未成年个人信息</w:t>
            </w:r>
          </w:p>
        </w:tc>
        <w:tc>
          <w:tcPr>
            <w:tcW w:w="4348" w:type="dxa"/>
            <w:tcMar>
              <w:top w:w="31" w:type="dxa"/>
              <w:left w:w="108" w:type="dxa"/>
              <w:bottom w:w="0" w:type="dxa"/>
              <w:right w:w="106" w:type="dxa"/>
            </w:tcMar>
            <w:vAlign w:val="center"/>
          </w:tcPr>
          <w:p>
            <w:pPr>
              <w:pStyle w:val="57"/>
              <w:ind w:firstLine="0" w:firstLineChars="0"/>
            </w:pPr>
            <w:r>
              <w:rPr>
                <w:rFonts w:hint="eastAsia"/>
              </w:rPr>
              <w:t>不满十四岁未成年个人信息。</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768" w:hRule="atLeast"/>
          <w:jc w:val="center"/>
        </w:trPr>
        <w:tc>
          <w:tcPr>
            <w:tcW w:w="1131" w:type="dxa"/>
            <w:tcMar>
              <w:top w:w="31" w:type="dxa"/>
              <w:left w:w="108" w:type="dxa"/>
              <w:bottom w:w="0" w:type="dxa"/>
              <w:right w:w="106" w:type="dxa"/>
            </w:tcMar>
            <w:vAlign w:val="center"/>
          </w:tcPr>
          <w:p>
            <w:pPr>
              <w:pStyle w:val="57"/>
              <w:ind w:firstLine="0" w:firstLineChars="0"/>
              <w:jc w:val="center"/>
            </w:pPr>
            <w:r>
              <w:rPr>
                <w:rFonts w:hint="eastAsia"/>
              </w:rPr>
              <w:t>其他个人信息</w:t>
            </w:r>
          </w:p>
        </w:tc>
        <w:tc>
          <w:tcPr>
            <w:tcW w:w="1184" w:type="dxa"/>
            <w:tcMar>
              <w:top w:w="31" w:type="dxa"/>
              <w:left w:w="108" w:type="dxa"/>
              <w:bottom w:w="0" w:type="dxa"/>
              <w:right w:w="106" w:type="dxa"/>
            </w:tcMar>
            <w:vAlign w:val="center"/>
          </w:tcPr>
          <w:p>
            <w:pPr>
              <w:pStyle w:val="57"/>
              <w:ind w:firstLine="0" w:firstLineChars="0"/>
              <w:jc w:val="center"/>
            </w:pPr>
            <w:r>
              <w:rPr>
                <w:rFonts w:hint="eastAsia"/>
              </w:rPr>
              <w:t>其他个人信息</w:t>
            </w:r>
          </w:p>
        </w:tc>
        <w:tc>
          <w:tcPr>
            <w:tcW w:w="4348" w:type="dxa"/>
            <w:tcMar>
              <w:top w:w="31" w:type="dxa"/>
              <w:left w:w="108" w:type="dxa"/>
              <w:bottom w:w="0" w:type="dxa"/>
              <w:right w:w="106" w:type="dxa"/>
            </w:tcMar>
            <w:vAlign w:val="center"/>
          </w:tcPr>
          <w:p>
            <w:pPr>
              <w:pStyle w:val="57"/>
              <w:ind w:firstLine="0" w:firstLineChars="0"/>
            </w:pPr>
            <w:r>
              <w:rPr>
                <w:rFonts w:hint="eastAsia"/>
              </w:rPr>
              <w:t>性取向、婚史、宗教信仰、未公开的违法犯罪记录等。</w:t>
            </w:r>
          </w:p>
        </w:tc>
        <w:tc>
          <w:tcPr>
            <w:tcW w:w="992" w:type="dxa"/>
            <w:tcMar>
              <w:top w:w="31" w:type="dxa"/>
              <w:left w:w="108" w:type="dxa"/>
              <w:bottom w:w="0" w:type="dxa"/>
              <w:right w:w="106" w:type="dxa"/>
            </w:tcMar>
            <w:vAlign w:val="center"/>
          </w:tcPr>
          <w:p>
            <w:pPr>
              <w:pStyle w:val="57"/>
              <w:ind w:firstLine="0" w:firstLineChars="0"/>
              <w:jc w:val="center"/>
            </w:pPr>
            <w:r>
              <w:rPr>
                <w:rFonts w:hint="eastAsia"/>
              </w:rPr>
              <w:t>二级</w:t>
            </w:r>
          </w:p>
        </w:tc>
        <w:tc>
          <w:tcPr>
            <w:tcW w:w="840" w:type="dxa"/>
            <w:vMerge w:val="continue"/>
            <w:vAlign w:val="center"/>
          </w:tcPr>
          <w:p>
            <w:pPr>
              <w:pStyle w:val="57"/>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33" w:type="dxa"/>
            <w:left w:w="108" w:type="dxa"/>
            <w:bottom w:w="0" w:type="dxa"/>
            <w:right w:w="88" w:type="dxa"/>
          </w:tblCellMar>
        </w:tblPrEx>
        <w:trPr>
          <w:trHeight w:val="322" w:hRule="atLeast"/>
          <w:jc w:val="center"/>
        </w:trPr>
        <w:tc>
          <w:tcPr>
            <w:tcW w:w="8495" w:type="dxa"/>
            <w:gridSpan w:val="5"/>
            <w:tcMar>
              <w:top w:w="31" w:type="dxa"/>
              <w:left w:w="108" w:type="dxa"/>
              <w:bottom w:w="0" w:type="dxa"/>
              <w:right w:w="106" w:type="dxa"/>
            </w:tcMar>
            <w:vAlign w:val="center"/>
          </w:tcPr>
          <w:p>
            <w:pPr>
              <w:pStyle w:val="180"/>
            </w:pPr>
            <w:r>
              <w:rPr>
                <w:rFonts w:hint="eastAsia"/>
              </w:rPr>
              <w:t>个人画像，是由多个用户个人标签组成的数据集。</w:t>
            </w:r>
          </w:p>
        </w:tc>
      </w:tr>
    </w:tbl>
    <w:p>
      <w:pPr>
        <w:pStyle w:val="57"/>
        <w:ind w:firstLine="0" w:firstLineChars="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pStyle w:val="199"/>
        <w:numPr>
          <w:ilvl w:val="0"/>
          <w:numId w:val="0"/>
        </w:numPr>
        <w:jc w:val="both"/>
        <w:rPr>
          <w:rFonts w:hint="eastAsia"/>
          <w:vanish w:val="0"/>
        </w:rPr>
      </w:pPr>
    </w:p>
    <w:p>
      <w:pPr>
        <w:pStyle w:val="200"/>
        <w:ind w:hanging="425"/>
        <w:rPr>
          <w:vanish w:val="0"/>
        </w:rPr>
      </w:pPr>
    </w:p>
    <w:bookmarkEnd w:id="308"/>
    <w:p>
      <w:pPr>
        <w:pStyle w:val="64"/>
        <w:spacing w:after="156"/>
      </w:pPr>
      <w:bookmarkStart w:id="319" w:name="_Toc181278551"/>
      <w:bookmarkStart w:id="320" w:name="_Toc175172481"/>
      <w:bookmarkStart w:id="321" w:name="_Toc181210149"/>
      <w:bookmarkStart w:id="322" w:name="_Toc180440644"/>
      <w:bookmarkStart w:id="323" w:name="_Toc175929666"/>
      <w:bookmarkStart w:id="324" w:name="_Toc181286257"/>
      <w:bookmarkStart w:id="325" w:name="_Toc175919400"/>
      <w:bookmarkStart w:id="326" w:name="BookMark6"/>
      <w:r>
        <w:rPr>
          <w:rFonts w:hint="eastAsia"/>
          <w:spacing w:val="105"/>
        </w:rPr>
        <w:t>参考文</w:t>
      </w:r>
      <w:r>
        <w:rPr>
          <w:rFonts w:hint="eastAsia"/>
        </w:rPr>
        <w:t>献</w:t>
      </w:r>
      <w:bookmarkEnd w:id="319"/>
      <w:bookmarkEnd w:id="320"/>
      <w:bookmarkEnd w:id="321"/>
      <w:bookmarkEnd w:id="322"/>
      <w:bookmarkEnd w:id="323"/>
      <w:bookmarkEnd w:id="324"/>
      <w:bookmarkEnd w:id="325"/>
    </w:p>
    <w:p>
      <w:pPr>
        <w:pStyle w:val="57"/>
        <w:ind w:firstLine="420"/>
      </w:pPr>
      <w:r>
        <w:rPr>
          <w:rFonts w:hint="eastAsia"/>
        </w:rPr>
        <w:t>[1] GB/T 35273-2020 信息安全技术个人信息安全规范</w:t>
      </w:r>
    </w:p>
    <w:p>
      <w:pPr>
        <w:pStyle w:val="57"/>
        <w:ind w:firstLine="420"/>
      </w:pPr>
      <w:r>
        <w:rPr>
          <w:rFonts w:hint="eastAsia"/>
        </w:rPr>
        <w:t>[2] GB/T 37964-2019 信息安全技术个人信息去标识化指南</w:t>
      </w:r>
    </w:p>
    <w:p>
      <w:pPr>
        <w:pStyle w:val="57"/>
        <w:ind w:firstLine="420"/>
      </w:pPr>
      <w:r>
        <w:rPr>
          <w:rFonts w:hint="eastAsia"/>
        </w:rPr>
        <w:t>[3] GB/T 37973-2019 信息安全技术大数据安全管理指南</w:t>
      </w:r>
    </w:p>
    <w:p>
      <w:pPr>
        <w:pStyle w:val="57"/>
        <w:ind w:firstLine="420"/>
      </w:pPr>
      <w:r>
        <w:rPr>
          <w:rFonts w:hint="eastAsia"/>
        </w:rPr>
        <w:t>[4] GB/T 37988-2019 信息安全技术—数据安全能力成熟度模型</w:t>
      </w:r>
    </w:p>
    <w:p>
      <w:pPr>
        <w:pStyle w:val="57"/>
        <w:ind w:firstLine="420"/>
      </w:pPr>
      <w:r>
        <w:rPr>
          <w:rFonts w:hint="eastAsia"/>
        </w:rPr>
        <w:t xml:space="preserve">[5] </w:t>
      </w:r>
      <w:r>
        <w:t>GB/T</w:t>
      </w:r>
      <w:r>
        <w:rPr>
          <w:rFonts w:hint="eastAsia"/>
        </w:rPr>
        <w:t xml:space="preserve"> </w:t>
      </w:r>
      <w:r>
        <w:t>43697-2024 数据安全技术数据分类分级规则</w:t>
      </w:r>
    </w:p>
    <w:p>
      <w:pPr>
        <w:pStyle w:val="57"/>
        <w:ind w:firstLine="420"/>
      </w:pPr>
      <w:r>
        <w:rPr>
          <w:rFonts w:hint="eastAsia"/>
        </w:rPr>
        <w:t>[6]《网络数据安全管理条例》（中华人民共和国国务院令 第790号）</w:t>
      </w:r>
    </w:p>
    <w:p>
      <w:pPr>
        <w:pStyle w:val="57"/>
        <w:ind w:firstLine="420"/>
      </w:pPr>
      <w:r>
        <w:rPr>
          <w:rFonts w:hint="eastAsia"/>
        </w:rPr>
        <w:t>[7]《湖南省政务信息资源共享管理办法》（湖南省人民政府令第301号）</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bookmarkEnd w:id="326"/>
    <w:p>
      <w:pPr>
        <w:pStyle w:val="57"/>
        <w:ind w:firstLine="0" w:firstLineChars="0"/>
        <w:jc w:val="center"/>
      </w:pPr>
      <w:bookmarkStart w:id="327" w:name="BookMark8"/>
      <w:r>
        <w:rPr>
          <w:rFonts w:hint="eastAsia"/>
        </w:rPr>
        <w:drawing>
          <wp:inline distT="0" distB="0" distL="0" distR="0">
            <wp:extent cx="1485900" cy="317500"/>
            <wp:effectExtent l="0" t="0" r="0" b="6350"/>
            <wp:docPr id="358954820" name="图片 1"/>
            <wp:cNvGraphicFramePr/>
            <a:graphic xmlns:a="http://schemas.openxmlformats.org/drawingml/2006/main">
              <a:graphicData uri="http://schemas.openxmlformats.org/drawingml/2006/picture">
                <pic:pic xmlns:pic="http://schemas.openxmlformats.org/drawingml/2006/picture">
                  <pic:nvPicPr>
                    <pic:cNvPr id="358954820" name="图片 1"/>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27"/>
    </w:p>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5F31546"/>
    <w:multiLevelType w:val="multilevel"/>
    <w:tmpl w:val="55F31546"/>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default" w:ascii="黑体" w:eastAsia="黑体"/>
        <w:b w:val="0"/>
        <w:i w:val="0"/>
        <w:color w:val="auto"/>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default" w:ascii="黑体" w:eastAsia="黑体"/>
        <w:b w:val="0"/>
        <w:i w:val="0"/>
        <w:color w:val="auto"/>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MGE1ODI0MjVjMDQ3YTNkYTJlN2IxYzAwZDg0MTUifQ=="/>
  </w:docVars>
  <w:rsids>
    <w:rsidRoot w:val="00666CE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DCD"/>
    <w:rsid w:val="000331D3"/>
    <w:rsid w:val="000346A5"/>
    <w:rsid w:val="000359C3"/>
    <w:rsid w:val="00035A7D"/>
    <w:rsid w:val="000365ED"/>
    <w:rsid w:val="00036BF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701"/>
    <w:rsid w:val="00066186"/>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26A"/>
    <w:rsid w:val="000B3CDA"/>
    <w:rsid w:val="000B6A0B"/>
    <w:rsid w:val="000C05E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062"/>
    <w:rsid w:val="001B06E8"/>
    <w:rsid w:val="001B1DC2"/>
    <w:rsid w:val="001B2AE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30B"/>
    <w:rsid w:val="002204BB"/>
    <w:rsid w:val="00221B79"/>
    <w:rsid w:val="00221C6B"/>
    <w:rsid w:val="00224B05"/>
    <w:rsid w:val="002253A1"/>
    <w:rsid w:val="00225CF8"/>
    <w:rsid w:val="0022794E"/>
    <w:rsid w:val="00233D64"/>
    <w:rsid w:val="0023482A"/>
    <w:rsid w:val="0023587C"/>
    <w:rsid w:val="002359CB"/>
    <w:rsid w:val="00243540"/>
    <w:rsid w:val="0024497B"/>
    <w:rsid w:val="0024515B"/>
    <w:rsid w:val="00246021"/>
    <w:rsid w:val="0024666E"/>
    <w:rsid w:val="002476DA"/>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16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95D"/>
    <w:rsid w:val="002A3AAB"/>
    <w:rsid w:val="002A4CEA"/>
    <w:rsid w:val="002A5977"/>
    <w:rsid w:val="002A5A13"/>
    <w:rsid w:val="002A6DFF"/>
    <w:rsid w:val="002A757F"/>
    <w:rsid w:val="002A7F44"/>
    <w:rsid w:val="002B0C40"/>
    <w:rsid w:val="002B1966"/>
    <w:rsid w:val="002B4508"/>
    <w:rsid w:val="002B5779"/>
    <w:rsid w:val="002B7332"/>
    <w:rsid w:val="002B7F51"/>
    <w:rsid w:val="002C09E7"/>
    <w:rsid w:val="002C1E06"/>
    <w:rsid w:val="002C1E1C"/>
    <w:rsid w:val="002C3F07"/>
    <w:rsid w:val="002C5278"/>
    <w:rsid w:val="002C7DA1"/>
    <w:rsid w:val="002C7EBB"/>
    <w:rsid w:val="002D06C1"/>
    <w:rsid w:val="002D42B5"/>
    <w:rsid w:val="002D4F1A"/>
    <w:rsid w:val="002D57AA"/>
    <w:rsid w:val="002D6EC6"/>
    <w:rsid w:val="002D79AC"/>
    <w:rsid w:val="002E039D"/>
    <w:rsid w:val="002E4D5A"/>
    <w:rsid w:val="002E51E9"/>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025"/>
    <w:rsid w:val="003D6D61"/>
    <w:rsid w:val="003D79C6"/>
    <w:rsid w:val="003E091D"/>
    <w:rsid w:val="003E1C53"/>
    <w:rsid w:val="003E2A69"/>
    <w:rsid w:val="003E2D49"/>
    <w:rsid w:val="003E2FD4"/>
    <w:rsid w:val="003E49F6"/>
    <w:rsid w:val="003E660F"/>
    <w:rsid w:val="003F0841"/>
    <w:rsid w:val="003F23D3"/>
    <w:rsid w:val="003F3F08"/>
    <w:rsid w:val="003F49F1"/>
    <w:rsid w:val="003F5913"/>
    <w:rsid w:val="003F6272"/>
    <w:rsid w:val="00400E72"/>
    <w:rsid w:val="00401400"/>
    <w:rsid w:val="0040268F"/>
    <w:rsid w:val="00404869"/>
    <w:rsid w:val="00405884"/>
    <w:rsid w:val="00407D39"/>
    <w:rsid w:val="0041477A"/>
    <w:rsid w:val="004167A3"/>
    <w:rsid w:val="004211F4"/>
    <w:rsid w:val="00432DAA"/>
    <w:rsid w:val="00434305"/>
    <w:rsid w:val="00435DF7"/>
    <w:rsid w:val="0044083F"/>
    <w:rsid w:val="00441AE7"/>
    <w:rsid w:val="00441DA2"/>
    <w:rsid w:val="00445574"/>
    <w:rsid w:val="004467FB"/>
    <w:rsid w:val="00452D6B"/>
    <w:rsid w:val="00454484"/>
    <w:rsid w:val="0045517B"/>
    <w:rsid w:val="00463B77"/>
    <w:rsid w:val="00463C7B"/>
    <w:rsid w:val="004644A6"/>
    <w:rsid w:val="004659BD"/>
    <w:rsid w:val="00470775"/>
    <w:rsid w:val="004746B1"/>
    <w:rsid w:val="0047583F"/>
    <w:rsid w:val="00475DE8"/>
    <w:rsid w:val="00480882"/>
    <w:rsid w:val="00481C44"/>
    <w:rsid w:val="0048420E"/>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48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083"/>
    <w:rsid w:val="00561475"/>
    <w:rsid w:val="0056487B"/>
    <w:rsid w:val="00564FB9"/>
    <w:rsid w:val="00572E8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762"/>
    <w:rsid w:val="005C29B8"/>
    <w:rsid w:val="005C5F21"/>
    <w:rsid w:val="005C7156"/>
    <w:rsid w:val="005D0C75"/>
    <w:rsid w:val="005D336E"/>
    <w:rsid w:val="005D4171"/>
    <w:rsid w:val="005D6A95"/>
    <w:rsid w:val="005D6B2C"/>
    <w:rsid w:val="005D6D9C"/>
    <w:rsid w:val="005E0556"/>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35E"/>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CE0"/>
    <w:rsid w:val="00672060"/>
    <w:rsid w:val="00672BFD"/>
    <w:rsid w:val="00674E75"/>
    <w:rsid w:val="006770F4"/>
    <w:rsid w:val="00677A84"/>
    <w:rsid w:val="0068026D"/>
    <w:rsid w:val="00680A27"/>
    <w:rsid w:val="006816A4"/>
    <w:rsid w:val="006819B8"/>
    <w:rsid w:val="006840A6"/>
    <w:rsid w:val="006850CD"/>
    <w:rsid w:val="00685AAB"/>
    <w:rsid w:val="0069304B"/>
    <w:rsid w:val="00695D22"/>
    <w:rsid w:val="006A07AA"/>
    <w:rsid w:val="006A25E5"/>
    <w:rsid w:val="006A2B46"/>
    <w:rsid w:val="006A336D"/>
    <w:rsid w:val="006A37B9"/>
    <w:rsid w:val="006B2672"/>
    <w:rsid w:val="006B54BF"/>
    <w:rsid w:val="006B5F44"/>
    <w:rsid w:val="006B5F90"/>
    <w:rsid w:val="006B62E4"/>
    <w:rsid w:val="006C1BBA"/>
    <w:rsid w:val="006C2079"/>
    <w:rsid w:val="006C2D84"/>
    <w:rsid w:val="006C5A62"/>
    <w:rsid w:val="006C5D68"/>
    <w:rsid w:val="006C686B"/>
    <w:rsid w:val="006C6976"/>
    <w:rsid w:val="006C6DD0"/>
    <w:rsid w:val="006D04EA"/>
    <w:rsid w:val="006D0AB7"/>
    <w:rsid w:val="006D16C4"/>
    <w:rsid w:val="006D3E96"/>
    <w:rsid w:val="006D4515"/>
    <w:rsid w:val="006D4BB1"/>
    <w:rsid w:val="006D6593"/>
    <w:rsid w:val="006D6914"/>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FA7"/>
    <w:rsid w:val="00746800"/>
    <w:rsid w:val="007501A8"/>
    <w:rsid w:val="00750D61"/>
    <w:rsid w:val="00750EE1"/>
    <w:rsid w:val="007518CD"/>
    <w:rsid w:val="00752B4D"/>
    <w:rsid w:val="00755402"/>
    <w:rsid w:val="00756B26"/>
    <w:rsid w:val="00756EDF"/>
    <w:rsid w:val="007600E3"/>
    <w:rsid w:val="00763991"/>
    <w:rsid w:val="00765C43"/>
    <w:rsid w:val="00765EFB"/>
    <w:rsid w:val="00766AC7"/>
    <w:rsid w:val="007671CA"/>
    <w:rsid w:val="00767C61"/>
    <w:rsid w:val="0077008A"/>
    <w:rsid w:val="00773C1F"/>
    <w:rsid w:val="00774DA4"/>
    <w:rsid w:val="00776599"/>
    <w:rsid w:val="0078114B"/>
    <w:rsid w:val="00781DD2"/>
    <w:rsid w:val="00783ECF"/>
    <w:rsid w:val="0078413A"/>
    <w:rsid w:val="007927F4"/>
    <w:rsid w:val="007959E8"/>
    <w:rsid w:val="00795E9C"/>
    <w:rsid w:val="00797FB7"/>
    <w:rsid w:val="007A0521"/>
    <w:rsid w:val="007A2E12"/>
    <w:rsid w:val="007A3475"/>
    <w:rsid w:val="007A41C8"/>
    <w:rsid w:val="007A54CE"/>
    <w:rsid w:val="007A5FD7"/>
    <w:rsid w:val="007A6FD9"/>
    <w:rsid w:val="007A7FFA"/>
    <w:rsid w:val="007B04EB"/>
    <w:rsid w:val="007B0D4F"/>
    <w:rsid w:val="007B1389"/>
    <w:rsid w:val="007B5A3D"/>
    <w:rsid w:val="007B5B95"/>
    <w:rsid w:val="007B68EA"/>
    <w:rsid w:val="007B7453"/>
    <w:rsid w:val="007C1E8B"/>
    <w:rsid w:val="007C2D89"/>
    <w:rsid w:val="007C4593"/>
    <w:rsid w:val="007C5309"/>
    <w:rsid w:val="007C6069"/>
    <w:rsid w:val="007C61D8"/>
    <w:rsid w:val="007C6663"/>
    <w:rsid w:val="007D06C4"/>
    <w:rsid w:val="007D1352"/>
    <w:rsid w:val="007D2508"/>
    <w:rsid w:val="007D346A"/>
    <w:rsid w:val="007D4F1D"/>
    <w:rsid w:val="007D6518"/>
    <w:rsid w:val="007D76BD"/>
    <w:rsid w:val="007D7E39"/>
    <w:rsid w:val="007E0BF1"/>
    <w:rsid w:val="007F0ED8"/>
    <w:rsid w:val="007F0F63"/>
    <w:rsid w:val="007F1DA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785"/>
    <w:rsid w:val="008269DD"/>
    <w:rsid w:val="00830621"/>
    <w:rsid w:val="0083348C"/>
    <w:rsid w:val="008373D3"/>
    <w:rsid w:val="00840617"/>
    <w:rsid w:val="00840F84"/>
    <w:rsid w:val="00842A47"/>
    <w:rsid w:val="00843C13"/>
    <w:rsid w:val="008454F8"/>
    <w:rsid w:val="0085173A"/>
    <w:rsid w:val="00851F28"/>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B86"/>
    <w:rsid w:val="008A57E6"/>
    <w:rsid w:val="008A63C2"/>
    <w:rsid w:val="008A6F81"/>
    <w:rsid w:val="008A769A"/>
    <w:rsid w:val="008B0C9C"/>
    <w:rsid w:val="008B166D"/>
    <w:rsid w:val="008B17F4"/>
    <w:rsid w:val="008B3615"/>
    <w:rsid w:val="008B4AC4"/>
    <w:rsid w:val="008B50C8"/>
    <w:rsid w:val="008B5281"/>
    <w:rsid w:val="008B7B44"/>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8B0"/>
    <w:rsid w:val="009062E6"/>
    <w:rsid w:val="00911BE5"/>
    <w:rsid w:val="00913880"/>
    <w:rsid w:val="00913CA9"/>
    <w:rsid w:val="009145AE"/>
    <w:rsid w:val="009146CE"/>
    <w:rsid w:val="00914CA7"/>
    <w:rsid w:val="00915C3E"/>
    <w:rsid w:val="009161A8"/>
    <w:rsid w:val="009245F5"/>
    <w:rsid w:val="009249EC"/>
    <w:rsid w:val="009273B3"/>
    <w:rsid w:val="009305B5"/>
    <w:rsid w:val="00934F99"/>
    <w:rsid w:val="009354EB"/>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0BF5"/>
    <w:rsid w:val="009911AF"/>
    <w:rsid w:val="00991875"/>
    <w:rsid w:val="00991CE6"/>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79E"/>
    <w:rsid w:val="00A0096C"/>
    <w:rsid w:val="00A01757"/>
    <w:rsid w:val="00A028C0"/>
    <w:rsid w:val="00A02BAE"/>
    <w:rsid w:val="00A06A6B"/>
    <w:rsid w:val="00A06A81"/>
    <w:rsid w:val="00A07E47"/>
    <w:rsid w:val="00A129D0"/>
    <w:rsid w:val="00A12C33"/>
    <w:rsid w:val="00A138BA"/>
    <w:rsid w:val="00A14C8E"/>
    <w:rsid w:val="00A153D9"/>
    <w:rsid w:val="00A15F09"/>
    <w:rsid w:val="00A169B6"/>
    <w:rsid w:val="00A207C3"/>
    <w:rsid w:val="00A2271D"/>
    <w:rsid w:val="00A237D5"/>
    <w:rsid w:val="00A25395"/>
    <w:rsid w:val="00A271ED"/>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C03"/>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0C9"/>
    <w:rsid w:val="00AB41D5"/>
    <w:rsid w:val="00AB6309"/>
    <w:rsid w:val="00AB6C5F"/>
    <w:rsid w:val="00AB7129"/>
    <w:rsid w:val="00AC27A6"/>
    <w:rsid w:val="00AC30F7"/>
    <w:rsid w:val="00AC3A5A"/>
    <w:rsid w:val="00AC4D95"/>
    <w:rsid w:val="00AC5DF4"/>
    <w:rsid w:val="00AC68C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127"/>
    <w:rsid w:val="00B049AF"/>
    <w:rsid w:val="00B07242"/>
    <w:rsid w:val="00B10534"/>
    <w:rsid w:val="00B113DB"/>
    <w:rsid w:val="00B11D8A"/>
    <w:rsid w:val="00B12981"/>
    <w:rsid w:val="00B147DD"/>
    <w:rsid w:val="00B156FD"/>
    <w:rsid w:val="00B21F61"/>
    <w:rsid w:val="00B24A5C"/>
    <w:rsid w:val="00B25B93"/>
    <w:rsid w:val="00B261F1"/>
    <w:rsid w:val="00B265BC"/>
    <w:rsid w:val="00B31FB1"/>
    <w:rsid w:val="00B32ADF"/>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10D"/>
    <w:rsid w:val="00B94DE8"/>
    <w:rsid w:val="00B96D40"/>
    <w:rsid w:val="00B97386"/>
    <w:rsid w:val="00BA263B"/>
    <w:rsid w:val="00BA42B2"/>
    <w:rsid w:val="00BA58D4"/>
    <w:rsid w:val="00BA5B9E"/>
    <w:rsid w:val="00BA7C9A"/>
    <w:rsid w:val="00BB203B"/>
    <w:rsid w:val="00BB2A71"/>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397"/>
    <w:rsid w:val="00BF1703"/>
    <w:rsid w:val="00BF231C"/>
    <w:rsid w:val="00BF51E5"/>
    <w:rsid w:val="00BF74A6"/>
    <w:rsid w:val="00C013AD"/>
    <w:rsid w:val="00C04904"/>
    <w:rsid w:val="00C056B3"/>
    <w:rsid w:val="00C103E5"/>
    <w:rsid w:val="00C13319"/>
    <w:rsid w:val="00C13EE9"/>
    <w:rsid w:val="00C21540"/>
    <w:rsid w:val="00C21906"/>
    <w:rsid w:val="00C219A2"/>
    <w:rsid w:val="00C21BFA"/>
    <w:rsid w:val="00C22148"/>
    <w:rsid w:val="00C24C8D"/>
    <w:rsid w:val="00C25FE2"/>
    <w:rsid w:val="00C26B53"/>
    <w:rsid w:val="00C279B2"/>
    <w:rsid w:val="00C3029F"/>
    <w:rsid w:val="00C33E50"/>
    <w:rsid w:val="00C34C20"/>
    <w:rsid w:val="00C35A3E"/>
    <w:rsid w:val="00C42130"/>
    <w:rsid w:val="00C423A4"/>
    <w:rsid w:val="00C42D13"/>
    <w:rsid w:val="00C44BF5"/>
    <w:rsid w:val="00C521D6"/>
    <w:rsid w:val="00C55232"/>
    <w:rsid w:val="00C553A4"/>
    <w:rsid w:val="00C55A06"/>
    <w:rsid w:val="00C55C1E"/>
    <w:rsid w:val="00C55D03"/>
    <w:rsid w:val="00C601BC"/>
    <w:rsid w:val="00C60F6F"/>
    <w:rsid w:val="00C6329F"/>
    <w:rsid w:val="00C63340"/>
    <w:rsid w:val="00C643F9"/>
    <w:rsid w:val="00C64E95"/>
    <w:rsid w:val="00C71372"/>
    <w:rsid w:val="00C72410"/>
    <w:rsid w:val="00C7287F"/>
    <w:rsid w:val="00C80CB8"/>
    <w:rsid w:val="00C819F8"/>
    <w:rsid w:val="00C8248C"/>
    <w:rsid w:val="00C84E33"/>
    <w:rsid w:val="00C8634A"/>
    <w:rsid w:val="00C86D6F"/>
    <w:rsid w:val="00C905FC"/>
    <w:rsid w:val="00C92D03"/>
    <w:rsid w:val="00C9319C"/>
    <w:rsid w:val="00C9435D"/>
    <w:rsid w:val="00C94DF2"/>
    <w:rsid w:val="00C96741"/>
    <w:rsid w:val="00CA1A0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DED"/>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904"/>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247"/>
    <w:rsid w:val="00DC5B90"/>
    <w:rsid w:val="00DD00FF"/>
    <w:rsid w:val="00DD0619"/>
    <w:rsid w:val="00DD07FB"/>
    <w:rsid w:val="00DD1B4E"/>
    <w:rsid w:val="00DD25C6"/>
    <w:rsid w:val="00DD4FE5"/>
    <w:rsid w:val="00DD54B0"/>
    <w:rsid w:val="00DD57EE"/>
    <w:rsid w:val="00DD6BCC"/>
    <w:rsid w:val="00DE0A4B"/>
    <w:rsid w:val="00DE2410"/>
    <w:rsid w:val="00DE2939"/>
    <w:rsid w:val="00DE6E81"/>
    <w:rsid w:val="00DE703F"/>
    <w:rsid w:val="00DE7595"/>
    <w:rsid w:val="00DF1961"/>
    <w:rsid w:val="00DF44DE"/>
    <w:rsid w:val="00DF4FDA"/>
    <w:rsid w:val="00DF5E48"/>
    <w:rsid w:val="00DF5F11"/>
    <w:rsid w:val="00DF77D9"/>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091"/>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441"/>
    <w:rsid w:val="00EB5EDF"/>
    <w:rsid w:val="00EB60FE"/>
    <w:rsid w:val="00EB74DB"/>
    <w:rsid w:val="00EC5359"/>
    <w:rsid w:val="00EC562A"/>
    <w:rsid w:val="00EC6F47"/>
    <w:rsid w:val="00ED067A"/>
    <w:rsid w:val="00ED2B50"/>
    <w:rsid w:val="00EE0350"/>
    <w:rsid w:val="00EE0719"/>
    <w:rsid w:val="00EE0E80"/>
    <w:rsid w:val="00EE54A6"/>
    <w:rsid w:val="00EE613F"/>
    <w:rsid w:val="00EE7295"/>
    <w:rsid w:val="00EE7869"/>
    <w:rsid w:val="00EF054A"/>
    <w:rsid w:val="00EF3235"/>
    <w:rsid w:val="00EF7E72"/>
    <w:rsid w:val="00F06683"/>
    <w:rsid w:val="00F06D37"/>
    <w:rsid w:val="00F07B9D"/>
    <w:rsid w:val="00F10B1A"/>
    <w:rsid w:val="00F11586"/>
    <w:rsid w:val="00F1183B"/>
    <w:rsid w:val="00F11C9F"/>
    <w:rsid w:val="00F12263"/>
    <w:rsid w:val="00F1409D"/>
    <w:rsid w:val="00F14214"/>
    <w:rsid w:val="00F157A9"/>
    <w:rsid w:val="00F25BB6"/>
    <w:rsid w:val="00F26B7E"/>
    <w:rsid w:val="00F27A3B"/>
    <w:rsid w:val="00F33817"/>
    <w:rsid w:val="00F34708"/>
    <w:rsid w:val="00F420D5"/>
    <w:rsid w:val="00F42EE7"/>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D99"/>
    <w:rsid w:val="00FA4DAC"/>
    <w:rsid w:val="00FA662D"/>
    <w:rsid w:val="00FA73B1"/>
    <w:rsid w:val="00FA7ECB"/>
    <w:rsid w:val="00FB0CB9"/>
    <w:rsid w:val="00FB231D"/>
    <w:rsid w:val="00FB45F1"/>
    <w:rsid w:val="00FB4A72"/>
    <w:rsid w:val="00FB54E8"/>
    <w:rsid w:val="00FB7054"/>
    <w:rsid w:val="00FC17B7"/>
    <w:rsid w:val="00FC2CB7"/>
    <w:rsid w:val="00FC4090"/>
    <w:rsid w:val="00FC55B4"/>
    <w:rsid w:val="00FD00E6"/>
    <w:rsid w:val="00FD09A1"/>
    <w:rsid w:val="00FD2A7C"/>
    <w:rsid w:val="00FD2CD6"/>
    <w:rsid w:val="00FD3F80"/>
    <w:rsid w:val="00FD59EB"/>
    <w:rsid w:val="00FD7299"/>
    <w:rsid w:val="00FE1FBE"/>
    <w:rsid w:val="00FE3901"/>
    <w:rsid w:val="00FE39D3"/>
    <w:rsid w:val="00FE4BCE"/>
    <w:rsid w:val="00FE54AE"/>
    <w:rsid w:val="00FE576A"/>
    <w:rsid w:val="00FE5D8F"/>
    <w:rsid w:val="00FE7E79"/>
    <w:rsid w:val="00FF3E7D"/>
    <w:rsid w:val="00FF5B99"/>
    <w:rsid w:val="00FF730C"/>
    <w:rsid w:val="00FF73F4"/>
    <w:rsid w:val="00FF7CE4"/>
    <w:rsid w:val="00FF7E39"/>
    <w:rsid w:val="01807545"/>
    <w:rsid w:val="022E2528"/>
    <w:rsid w:val="03831BF5"/>
    <w:rsid w:val="03A1376C"/>
    <w:rsid w:val="03A265BE"/>
    <w:rsid w:val="0935611C"/>
    <w:rsid w:val="0A303CB1"/>
    <w:rsid w:val="0EBB2138"/>
    <w:rsid w:val="0ED1113E"/>
    <w:rsid w:val="0FD4210B"/>
    <w:rsid w:val="125178DC"/>
    <w:rsid w:val="13B31194"/>
    <w:rsid w:val="178B0EC3"/>
    <w:rsid w:val="19DC30FC"/>
    <w:rsid w:val="19E76466"/>
    <w:rsid w:val="1C0B3C8B"/>
    <w:rsid w:val="1CB05004"/>
    <w:rsid w:val="1D3C6C87"/>
    <w:rsid w:val="1FA83C13"/>
    <w:rsid w:val="20C30CC0"/>
    <w:rsid w:val="2B300D50"/>
    <w:rsid w:val="31E930FB"/>
    <w:rsid w:val="34B27E2F"/>
    <w:rsid w:val="36B32DAA"/>
    <w:rsid w:val="3E1137FF"/>
    <w:rsid w:val="428B6B72"/>
    <w:rsid w:val="438E7920"/>
    <w:rsid w:val="439C16EE"/>
    <w:rsid w:val="463F01DA"/>
    <w:rsid w:val="46616CA8"/>
    <w:rsid w:val="46A72908"/>
    <w:rsid w:val="47583F65"/>
    <w:rsid w:val="4A272033"/>
    <w:rsid w:val="50D55391"/>
    <w:rsid w:val="51654692"/>
    <w:rsid w:val="53002BF7"/>
    <w:rsid w:val="548B07F7"/>
    <w:rsid w:val="576637DE"/>
    <w:rsid w:val="591D432F"/>
    <w:rsid w:val="59E77710"/>
    <w:rsid w:val="5ABF0954"/>
    <w:rsid w:val="5AC17A68"/>
    <w:rsid w:val="5BDE2C7F"/>
    <w:rsid w:val="5F840DB0"/>
    <w:rsid w:val="67B53030"/>
    <w:rsid w:val="68C57357"/>
    <w:rsid w:val="6C262F44"/>
    <w:rsid w:val="710233E5"/>
    <w:rsid w:val="745659A3"/>
    <w:rsid w:val="76F61A9D"/>
    <w:rsid w:val="7A0E2B2A"/>
    <w:rsid w:val="7CF31E2C"/>
    <w:rsid w:val="7E75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6.jpeg"/><Relationship Id="rId33" Type="http://schemas.openxmlformats.org/officeDocument/2006/relationships/image" Target="media/image5.png"/><Relationship Id="rId32" Type="http://schemas.openxmlformats.org/officeDocument/2006/relationships/image" Target="media/image4.emf"/><Relationship Id="rId31" Type="http://schemas.openxmlformats.org/officeDocument/2006/relationships/oleObject" Target="embeddings/oleObject2.bin"/><Relationship Id="rId30" Type="http://schemas.openxmlformats.org/officeDocument/2006/relationships/image" Target="media/image3.emf"/><Relationship Id="rId3" Type="http://schemas.openxmlformats.org/officeDocument/2006/relationships/header" Target="header1.xml"/><Relationship Id="rId29" Type="http://schemas.openxmlformats.org/officeDocument/2006/relationships/oleObject" Target="embeddings/oleObject1.bin"/><Relationship Id="rId28" Type="http://schemas.microsoft.com/office/2007/relationships/hdphoto" Target="media/hdphoto1.wdp"/><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3DC1CB23A747CBADB56E9855F122CA"/>
        <w:style w:val=""/>
        <w:category>
          <w:name w:val="常规"/>
          <w:gallery w:val="placeholder"/>
        </w:category>
        <w:types>
          <w:type w:val="bbPlcHdr"/>
        </w:types>
        <w:behaviors>
          <w:behavior w:val="content"/>
        </w:behaviors>
        <w:description w:val=""/>
        <w:guid w:val="{C29F13DF-B821-4235-B17B-9B2F12D86879}"/>
      </w:docPartPr>
      <w:docPartBody>
        <w:p>
          <w:pPr>
            <w:pStyle w:val="5"/>
            <w:rPr>
              <w:rFonts w:hint="eastAsia"/>
            </w:rPr>
          </w:pPr>
          <w:r>
            <w:rPr>
              <w:rStyle w:val="4"/>
              <w:rFonts w:hint="eastAsia"/>
            </w:rPr>
            <w:t>单击或点击此处输入文字。</w:t>
          </w:r>
        </w:p>
      </w:docPartBody>
    </w:docPart>
    <w:docPart>
      <w:docPartPr>
        <w:name w:val="9D4018AADAD0499585C143D8E81962A4"/>
        <w:style w:val=""/>
        <w:category>
          <w:name w:val="常规"/>
          <w:gallery w:val="placeholder"/>
        </w:category>
        <w:types>
          <w:type w:val="bbPlcHdr"/>
        </w:types>
        <w:behaviors>
          <w:behavior w:val="content"/>
        </w:behaviors>
        <w:description w:val=""/>
        <w:guid w:val="{E751E556-5A1C-4B2F-A1D7-8E5784579219}"/>
      </w:docPartPr>
      <w:docPartBody>
        <w:p>
          <w:pPr>
            <w:pStyle w:val="6"/>
            <w:rPr>
              <w:rFonts w:hint="eastAsia"/>
            </w:rPr>
          </w:pPr>
          <w:r>
            <w:rPr>
              <w:rStyle w:val="4"/>
              <w:rFonts w:hint="eastAsia"/>
            </w:rPr>
            <w:t>选择一项。</w:t>
          </w:r>
        </w:p>
      </w:docPartBody>
    </w:docPart>
    <w:docPart>
      <w:docPartPr>
        <w:name w:val="56C0D281BC89451FA07D16D3359E0485"/>
        <w:style w:val=""/>
        <w:category>
          <w:name w:val="常规"/>
          <w:gallery w:val="placeholder"/>
        </w:category>
        <w:types>
          <w:type w:val="bbPlcHdr"/>
        </w:types>
        <w:behaviors>
          <w:behavior w:val="content"/>
        </w:behaviors>
        <w:description w:val=""/>
        <w:guid w:val="{EFC2504B-C334-4E68-AABA-E3E9635989AB}"/>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8A"/>
    <w:rsid w:val="00000031"/>
    <w:rsid w:val="00007A94"/>
    <w:rsid w:val="000229DF"/>
    <w:rsid w:val="00061051"/>
    <w:rsid w:val="00064701"/>
    <w:rsid w:val="000C05EE"/>
    <w:rsid w:val="00185A7E"/>
    <w:rsid w:val="0020452B"/>
    <w:rsid w:val="0021430B"/>
    <w:rsid w:val="0023587C"/>
    <w:rsid w:val="00244434"/>
    <w:rsid w:val="00276D25"/>
    <w:rsid w:val="002A6A2B"/>
    <w:rsid w:val="002E51E9"/>
    <w:rsid w:val="00347443"/>
    <w:rsid w:val="00374B9A"/>
    <w:rsid w:val="003F5913"/>
    <w:rsid w:val="0040268F"/>
    <w:rsid w:val="00406EE4"/>
    <w:rsid w:val="00441DA2"/>
    <w:rsid w:val="004624C3"/>
    <w:rsid w:val="00527484"/>
    <w:rsid w:val="00541591"/>
    <w:rsid w:val="005A1714"/>
    <w:rsid w:val="005D336E"/>
    <w:rsid w:val="005F7E7C"/>
    <w:rsid w:val="00621186"/>
    <w:rsid w:val="00636690"/>
    <w:rsid w:val="006C2D84"/>
    <w:rsid w:val="006F73A7"/>
    <w:rsid w:val="00745FA7"/>
    <w:rsid w:val="007927F4"/>
    <w:rsid w:val="007A12B9"/>
    <w:rsid w:val="007A518A"/>
    <w:rsid w:val="007D7E39"/>
    <w:rsid w:val="00817ABC"/>
    <w:rsid w:val="008368F9"/>
    <w:rsid w:val="00865531"/>
    <w:rsid w:val="008B31DB"/>
    <w:rsid w:val="009A2344"/>
    <w:rsid w:val="009A500D"/>
    <w:rsid w:val="009D3F57"/>
    <w:rsid w:val="00A25395"/>
    <w:rsid w:val="00A271ED"/>
    <w:rsid w:val="00A43C65"/>
    <w:rsid w:val="00B24A5C"/>
    <w:rsid w:val="00B25B93"/>
    <w:rsid w:val="00B9294A"/>
    <w:rsid w:val="00B9410D"/>
    <w:rsid w:val="00B94DE8"/>
    <w:rsid w:val="00BD3DFD"/>
    <w:rsid w:val="00C41C50"/>
    <w:rsid w:val="00C42D13"/>
    <w:rsid w:val="00C67BA1"/>
    <w:rsid w:val="00C8634A"/>
    <w:rsid w:val="00D70648"/>
    <w:rsid w:val="00D96B8A"/>
    <w:rsid w:val="00E732FC"/>
    <w:rsid w:val="00E815D1"/>
    <w:rsid w:val="00EE199E"/>
    <w:rsid w:val="00FC7280"/>
    <w:rsid w:val="00FD6DD9"/>
    <w:rsid w:val="00FF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2C3DC1CB23A747CBADB56E9855F122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D4018AADAD0499585C143D8E81962A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6C0D281BC89451FA07D16D3359E048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4110</Words>
  <Characters>4699</Characters>
  <Lines>124</Lines>
  <Paragraphs>35</Paragraphs>
  <TotalTime>3</TotalTime>
  <ScaleCrop>false</ScaleCrop>
  <LinksUpToDate>false</LinksUpToDate>
  <CharactersWithSpaces>4905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2024-08-21T13:56:00Z</dcterms:created>
  <dc:creator>superdream</dc:creator>
  <dc:description>&lt;config cover="true" show_menu="true" version="1.0.0" doctype="SDKXY"&gt;_x000d_
&lt;/config&gt;</dc:description>
  <cp:lastModifiedBy>admin</cp:lastModifiedBy>
  <cp:lastPrinted>2020-08-30T10:00:00Z</cp:lastPrinted>
  <dcterms:modified xsi:type="dcterms:W3CDTF">2024-12-16T08:09:57Z</dcterms:modified>
  <dc:title>地方标准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E36C24C6C1224EF3B594BEF3DAB88C85_13</vt:lpwstr>
  </property>
  <property fmtid="{D5CDD505-2E9C-101B-9397-08002B2CF9AE}" pid="16" name="DoublePage">
    <vt:lpwstr>true</vt:lpwstr>
  </property>
</Properties>
</file>