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29.220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K01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锂离子电池产品</w:t>
      </w:r>
      <w:r>
        <w:rPr>
          <w:rFonts w:hint="eastAsia"/>
        </w:rPr>
        <w:t>碳足迹</w:t>
      </w:r>
      <w:r>
        <w:t>核算方法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Carbon footprint calculation method for lithium-ion battery products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83023581"/>
      <w:bookmarkStart w:id="23" w:name="_Toc182389378"/>
      <w:bookmarkStart w:id="24" w:name="_Toc184199757"/>
      <w:bookmarkStart w:id="25" w:name="_Toc180498943"/>
      <w:bookmarkStart w:id="26" w:name="_Toc180411310"/>
      <w:bookmarkStart w:id="27" w:name="_Toc182385842"/>
      <w:bookmarkStart w:id="28" w:name="_Toc18238685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"_Toc184200468" </w:instrText>
      </w:r>
      <w:r>
        <w:fldChar w:fldCharType="separate"/>
      </w:r>
      <w:r>
        <w:rPr>
          <w:rStyle w:val="32"/>
        </w:rPr>
        <w:t>前言</w:t>
      </w:r>
      <w:r>
        <w:tab/>
      </w:r>
      <w:r>
        <w:fldChar w:fldCharType="begin"/>
      </w:r>
      <w:r>
        <w:instrText xml:space="preserve"> PAGEREF _Toc184200468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"_Toc184200469" </w:instrText>
      </w:r>
      <w:r>
        <w:fldChar w:fldCharType="separate"/>
      </w:r>
      <w:r>
        <w:rPr>
          <w:rStyle w:val="32"/>
        </w:rPr>
        <w:t xml:space="preserve">1 </w:t>
      </w:r>
      <w:r>
        <w:rPr>
          <w:rStyle w:val="32"/>
          <w:rFonts w:ascii="Times New Roman"/>
        </w:rPr>
        <w:t xml:space="preserve"> 范围</w:t>
      </w:r>
      <w:r>
        <w:tab/>
      </w:r>
      <w:r>
        <w:fldChar w:fldCharType="begin"/>
      </w:r>
      <w:r>
        <w:instrText xml:space="preserve"> PAGEREF _Toc184200469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"_Toc184200470" </w:instrText>
      </w:r>
      <w:r>
        <w:fldChar w:fldCharType="separate"/>
      </w:r>
      <w:r>
        <w:rPr>
          <w:rStyle w:val="32"/>
        </w:rPr>
        <w:t xml:space="preserve">2 </w:t>
      </w:r>
      <w:r>
        <w:rPr>
          <w:rStyle w:val="32"/>
          <w:rFonts w:ascii="Times New Roman"/>
        </w:rPr>
        <w:t xml:space="preserve"> 规范性引用文件</w:t>
      </w:r>
      <w:r>
        <w:tab/>
      </w:r>
      <w:r>
        <w:fldChar w:fldCharType="begin"/>
      </w:r>
      <w:r>
        <w:instrText xml:space="preserve"> PAGEREF _Toc184200470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"_Toc184200471" </w:instrText>
      </w:r>
      <w:r>
        <w:fldChar w:fldCharType="separate"/>
      </w:r>
      <w:r>
        <w:rPr>
          <w:rStyle w:val="32"/>
        </w:rPr>
        <w:t xml:space="preserve">3 </w:t>
      </w:r>
      <w:r>
        <w:rPr>
          <w:rStyle w:val="32"/>
          <w:rFonts w:ascii="Times New Roman"/>
        </w:rPr>
        <w:t xml:space="preserve"> 术语和定义</w:t>
      </w:r>
      <w:r>
        <w:tab/>
      </w:r>
      <w:r>
        <w:fldChar w:fldCharType="begin"/>
      </w:r>
      <w:r>
        <w:instrText xml:space="preserve"> PAGEREF _Toc184200471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"_Toc184200472" </w:instrText>
      </w:r>
      <w:r>
        <w:fldChar w:fldCharType="separate"/>
      </w:r>
      <w:r>
        <w:rPr>
          <w:rStyle w:val="32"/>
        </w:rPr>
        <w:t xml:space="preserve">4 </w:t>
      </w:r>
      <w:r>
        <w:rPr>
          <w:rStyle w:val="32"/>
          <w:rFonts w:ascii="Times New Roman"/>
        </w:rPr>
        <w:t xml:space="preserve"> 量化目的</w:t>
      </w:r>
      <w:r>
        <w:tab/>
      </w:r>
      <w:r>
        <w:fldChar w:fldCharType="begin"/>
      </w:r>
      <w:r>
        <w:instrText xml:space="preserve"> PAGEREF _Toc184200472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"_Toc184200473" </w:instrText>
      </w:r>
      <w:r>
        <w:fldChar w:fldCharType="separate"/>
      </w:r>
      <w:r>
        <w:rPr>
          <w:rStyle w:val="32"/>
        </w:rPr>
        <w:t xml:space="preserve">5 </w:t>
      </w:r>
      <w:r>
        <w:rPr>
          <w:rStyle w:val="32"/>
          <w:rFonts w:ascii="Times New Roman"/>
        </w:rPr>
        <w:t xml:space="preserve"> 量化范围</w:t>
      </w:r>
      <w:r>
        <w:tab/>
      </w:r>
      <w:r>
        <w:fldChar w:fldCharType="begin"/>
      </w:r>
      <w:r>
        <w:instrText xml:space="preserve"> PAGEREF _Toc184200473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"_Toc184200474" </w:instrText>
      </w:r>
      <w:r>
        <w:fldChar w:fldCharType="separate"/>
      </w:r>
      <w:r>
        <w:rPr>
          <w:rStyle w:val="32"/>
          <w14:scene3d w14:prst="orthographicFront">
            <w14:lightRig w14:rig="threePt" w14:dir="t">
              <w14:rot w14:lat="0" w14:lon="0" w14:rev="0"/>
            </w14:lightRig>
          </w14:scene3d>
        </w:rPr>
        <w:t xml:space="preserve">5.1 </w:t>
      </w:r>
      <w:r>
        <w:rPr>
          <w:rStyle w:val="32"/>
          <w:rFonts w:ascii="Times New Roman"/>
        </w:rPr>
        <w:t xml:space="preserve"> 功能单位或声明单位</w:t>
      </w:r>
      <w:r>
        <w:tab/>
      </w:r>
      <w:r>
        <w:fldChar w:fldCharType="begin"/>
      </w:r>
      <w:r>
        <w:instrText xml:space="preserve"> PAGEREF _Toc184200474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"_Toc184200475" </w:instrText>
      </w:r>
      <w:r>
        <w:fldChar w:fldCharType="separate"/>
      </w:r>
      <w:r>
        <w:rPr>
          <w:rStyle w:val="32"/>
          <w14:scene3d w14:prst="orthographicFront">
            <w14:lightRig w14:rig="threePt" w14:dir="t">
              <w14:rot w14:lat="0" w14:lon="0" w14:rev="0"/>
            </w14:lightRig>
          </w14:scene3d>
        </w:rPr>
        <w:t xml:space="preserve">5.2 </w:t>
      </w:r>
      <w:r>
        <w:rPr>
          <w:rStyle w:val="32"/>
          <w:rFonts w:ascii="Times New Roman"/>
        </w:rPr>
        <w:t xml:space="preserve"> 总能量</w:t>
      </w:r>
      <w:r>
        <w:tab/>
      </w:r>
      <w:r>
        <w:fldChar w:fldCharType="begin"/>
      </w:r>
      <w:r>
        <w:instrText xml:space="preserve"> PAGEREF _Toc184200475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"_Toc184200476" </w:instrText>
      </w:r>
      <w:r>
        <w:fldChar w:fldCharType="separate"/>
      </w:r>
      <w:r>
        <w:rPr>
          <w:rStyle w:val="32"/>
          <w14:scene3d w14:prst="orthographicFront">
            <w14:lightRig w14:rig="threePt" w14:dir="t">
              <w14:rot w14:lat="0" w14:lon="0" w14:rev="0"/>
            </w14:lightRig>
          </w14:scene3d>
        </w:rPr>
        <w:t xml:space="preserve">5.3 </w:t>
      </w:r>
      <w:r>
        <w:rPr>
          <w:rStyle w:val="32"/>
          <w:rFonts w:ascii="Times New Roman"/>
        </w:rPr>
        <w:t xml:space="preserve"> 系统边界</w:t>
      </w:r>
      <w:r>
        <w:tab/>
      </w:r>
      <w:r>
        <w:fldChar w:fldCharType="begin"/>
      </w:r>
      <w:r>
        <w:instrText xml:space="preserve"> PAGEREF _Toc184200476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"_Toc184200477" </w:instrText>
      </w:r>
      <w:r>
        <w:fldChar w:fldCharType="separate"/>
      </w:r>
      <w:r>
        <w:rPr>
          <w:rStyle w:val="32"/>
        </w:rPr>
        <w:t xml:space="preserve">6 </w:t>
      </w:r>
      <w:r>
        <w:rPr>
          <w:rStyle w:val="32"/>
          <w:rFonts w:ascii="Times New Roman"/>
        </w:rPr>
        <w:t xml:space="preserve"> 清单分析</w:t>
      </w:r>
      <w:r>
        <w:tab/>
      </w:r>
      <w:r>
        <w:fldChar w:fldCharType="begin"/>
      </w:r>
      <w:r>
        <w:instrText xml:space="preserve"> PAGEREF _Toc184200477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"_Toc184200478" </w:instrText>
      </w:r>
      <w:r>
        <w:fldChar w:fldCharType="separate"/>
      </w:r>
      <w:r>
        <w:rPr>
          <w:rStyle w:val="32"/>
          <w14:scene3d w14:prst="orthographicFront">
            <w14:lightRig w14:rig="threePt" w14:dir="t">
              <w14:rot w14:lat="0" w14:lon="0" w14:rev="0"/>
            </w14:lightRig>
          </w14:scene3d>
        </w:rPr>
        <w:t xml:space="preserve">6.1 </w:t>
      </w:r>
      <w:r>
        <w:rPr>
          <w:rStyle w:val="32"/>
          <w:rFonts w:ascii="Times New Roman"/>
        </w:rPr>
        <w:t xml:space="preserve"> 数据收集和确认</w:t>
      </w:r>
      <w:r>
        <w:tab/>
      </w:r>
      <w:r>
        <w:fldChar w:fldCharType="begin"/>
      </w:r>
      <w:r>
        <w:instrText xml:space="preserve"> PAGEREF _Toc184200478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"_Toc184200479" </w:instrText>
      </w:r>
      <w:r>
        <w:fldChar w:fldCharType="separate"/>
      </w:r>
      <w:r>
        <w:rPr>
          <w:rStyle w:val="32"/>
          <w14:scene3d w14:prst="orthographicFront">
            <w14:lightRig w14:rig="threePt" w14:dir="t">
              <w14:rot w14:lat="0" w14:lon="0" w14:rev="0"/>
            </w14:lightRig>
          </w14:scene3d>
        </w:rPr>
        <w:t xml:space="preserve">6.2 </w:t>
      </w:r>
      <w:r>
        <w:rPr>
          <w:rStyle w:val="32"/>
          <w:rFonts w:ascii="Times New Roman"/>
        </w:rPr>
        <w:t xml:space="preserve"> 数据分配</w:t>
      </w:r>
      <w:r>
        <w:tab/>
      </w:r>
      <w:r>
        <w:fldChar w:fldCharType="begin"/>
      </w:r>
      <w:r>
        <w:instrText xml:space="preserve"> PAGEREF _Toc184200479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"_Toc184200480" </w:instrText>
      </w:r>
      <w:r>
        <w:fldChar w:fldCharType="separate"/>
      </w:r>
      <w:r>
        <w:rPr>
          <w:rStyle w:val="32"/>
          <w14:scene3d w14:prst="orthographicFront">
            <w14:lightRig w14:rig="threePt" w14:dir="t">
              <w14:rot w14:lat="0" w14:lon="0" w14:rev="0"/>
            </w14:lightRig>
          </w14:scene3d>
        </w:rPr>
        <w:t xml:space="preserve">6.3 </w:t>
      </w:r>
      <w:r>
        <w:rPr>
          <w:rStyle w:val="32"/>
          <w:rFonts w:ascii="Times New Roman"/>
        </w:rPr>
        <w:t xml:space="preserve"> 产品碳足迹绩效追踪</w:t>
      </w:r>
      <w:r>
        <w:tab/>
      </w:r>
      <w:r>
        <w:fldChar w:fldCharType="begin"/>
      </w:r>
      <w:r>
        <w:instrText xml:space="preserve"> PAGEREF _Toc184200480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"_Toc184200481" </w:instrText>
      </w:r>
      <w:r>
        <w:fldChar w:fldCharType="separate"/>
      </w:r>
      <w:r>
        <w:rPr>
          <w:rStyle w:val="32"/>
          <w14:scene3d w14:prst="orthographicFront">
            <w14:lightRig w14:rig="threePt" w14:dir="t">
              <w14:rot w14:lat="0" w14:lon="0" w14:rev="0"/>
            </w14:lightRig>
          </w14:scene3d>
        </w:rPr>
        <w:t xml:space="preserve">6.4 </w:t>
      </w:r>
      <w:r>
        <w:rPr>
          <w:rStyle w:val="32"/>
          <w:rFonts w:ascii="Times New Roman"/>
        </w:rPr>
        <w:t xml:space="preserve"> 电力</w:t>
      </w:r>
      <w:r>
        <w:tab/>
      </w:r>
      <w:r>
        <w:fldChar w:fldCharType="begin"/>
      </w:r>
      <w:r>
        <w:instrText xml:space="preserve"> PAGEREF _Toc184200481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"_Toc184200482" </w:instrText>
      </w:r>
      <w:r>
        <w:fldChar w:fldCharType="separate"/>
      </w:r>
      <w:r>
        <w:rPr>
          <w:rStyle w:val="32"/>
        </w:rPr>
        <w:t xml:space="preserve">7 </w:t>
      </w:r>
      <w:r>
        <w:rPr>
          <w:rStyle w:val="32"/>
          <w:rFonts w:ascii="Times New Roman"/>
        </w:rPr>
        <w:t xml:space="preserve"> 影响评价</w:t>
      </w:r>
      <w:r>
        <w:tab/>
      </w:r>
      <w:r>
        <w:fldChar w:fldCharType="begin"/>
      </w:r>
      <w:r>
        <w:instrText xml:space="preserve"> PAGEREF _Toc184200482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"_Toc184200483" </w:instrText>
      </w:r>
      <w:r>
        <w:fldChar w:fldCharType="separate"/>
      </w:r>
      <w:r>
        <w:rPr>
          <w:rStyle w:val="32"/>
          <w14:scene3d w14:prst="orthographicFront">
            <w14:lightRig w14:rig="threePt" w14:dir="t">
              <w14:rot w14:lat="0" w14:lon="0" w14:rev="0"/>
            </w14:lightRig>
          </w14:scene3d>
        </w:rPr>
        <w:t xml:space="preserve">7.1 </w:t>
      </w:r>
      <w:r>
        <w:rPr>
          <w:rStyle w:val="32"/>
          <w:rFonts w:ascii="Times New Roman"/>
        </w:rPr>
        <w:t xml:space="preserve"> 产品碳足迹核算</w:t>
      </w:r>
      <w:r>
        <w:tab/>
      </w:r>
      <w:r>
        <w:fldChar w:fldCharType="begin"/>
      </w:r>
      <w:r>
        <w:instrText xml:space="preserve"> PAGEREF _Toc184200483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"_Toc184200484" </w:instrText>
      </w:r>
      <w:r>
        <w:fldChar w:fldCharType="separate"/>
      </w:r>
      <w:r>
        <w:rPr>
          <w:rStyle w:val="32"/>
          <w14:scene3d w14:prst="orthographicFront">
            <w14:lightRig w14:rig="threePt" w14:dir="t">
              <w14:rot w14:lat="0" w14:lon="0" w14:rev="0"/>
            </w14:lightRig>
          </w14:scene3d>
        </w:rPr>
        <w:t xml:space="preserve">7.2 </w:t>
      </w:r>
      <w:r>
        <w:rPr>
          <w:rStyle w:val="32"/>
        </w:rPr>
        <w:t xml:space="preserve"> 结果解释</w:t>
      </w:r>
      <w:r>
        <w:tab/>
      </w:r>
      <w:r>
        <w:fldChar w:fldCharType="begin"/>
      </w:r>
      <w:r>
        <w:instrText xml:space="preserve"> PAGEREF _Toc184200484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"_Toc184200485" </w:instrText>
      </w:r>
      <w:r>
        <w:fldChar w:fldCharType="separate"/>
      </w:r>
      <w:r>
        <w:rPr>
          <w:rStyle w:val="32"/>
        </w:rPr>
        <w:t xml:space="preserve">8 </w:t>
      </w:r>
      <w:r>
        <w:rPr>
          <w:rStyle w:val="32"/>
          <w:rFonts w:ascii="Times New Roman"/>
        </w:rPr>
        <w:t xml:space="preserve"> 产品碳足迹报告</w:t>
      </w:r>
      <w:r>
        <w:tab/>
      </w:r>
      <w:r>
        <w:fldChar w:fldCharType="begin"/>
      </w:r>
      <w:r>
        <w:instrText xml:space="preserve"> PAGEREF _Toc184200485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"_Toc184200486" </w:instrText>
      </w:r>
      <w:r>
        <w:fldChar w:fldCharType="separate"/>
      </w:r>
      <w:r>
        <w:rPr>
          <w:rStyle w:val="32"/>
        </w:rPr>
        <w:t xml:space="preserve">9 </w:t>
      </w:r>
      <w:r>
        <w:rPr>
          <w:rStyle w:val="32"/>
          <w:rFonts w:ascii="Times New Roman"/>
        </w:rPr>
        <w:t xml:space="preserve"> 产品碳足迹声明</w:t>
      </w:r>
      <w:r>
        <w:tab/>
      </w:r>
      <w:r>
        <w:fldChar w:fldCharType="begin"/>
      </w:r>
      <w:r>
        <w:instrText xml:space="preserve"> PAGEREF _Toc184200486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"_Toc184200487" </w:instrText>
      </w:r>
      <w:r>
        <w:fldChar w:fldCharType="separate"/>
      </w:r>
      <w:r>
        <w:rPr>
          <w:rStyle w:val="32"/>
          <w:rFonts w:ascii="Times New Roman"/>
        </w:rPr>
        <w:t>附录A（资料性）  锂离子电池产品碳足迹量化数据收集表</w:t>
      </w:r>
      <w:r>
        <w:tab/>
      </w:r>
      <w:r>
        <w:fldChar w:fldCharType="begin"/>
      </w:r>
      <w:r>
        <w:instrText xml:space="preserve"> PAGEREF _Toc184200487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"_Toc184200488" </w:instrText>
      </w:r>
      <w:r>
        <w:fldChar w:fldCharType="separate"/>
      </w:r>
      <w:r>
        <w:rPr>
          <w:rStyle w:val="32"/>
        </w:rPr>
        <w:t xml:space="preserve">A.1 </w:t>
      </w:r>
      <w:r>
        <w:rPr>
          <w:rStyle w:val="32"/>
          <w:rFonts w:ascii="Times New Roman"/>
        </w:rPr>
        <w:t xml:space="preserve"> 产品基本信息</w:t>
      </w:r>
      <w:r>
        <w:tab/>
      </w:r>
      <w:r>
        <w:fldChar w:fldCharType="begin"/>
      </w:r>
      <w:r>
        <w:instrText xml:space="preserve"> PAGEREF _Toc184200488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"_Toc184200489" </w:instrText>
      </w:r>
      <w:r>
        <w:fldChar w:fldCharType="separate"/>
      </w:r>
      <w:r>
        <w:rPr>
          <w:rStyle w:val="32"/>
        </w:rPr>
        <w:t xml:space="preserve">A.2 </w:t>
      </w:r>
      <w:r>
        <w:rPr>
          <w:rStyle w:val="32"/>
          <w:rFonts w:ascii="Times New Roman"/>
        </w:rPr>
        <w:t xml:space="preserve"> 碳足迹评价现场数据清单</w:t>
      </w:r>
      <w:r>
        <w:tab/>
      </w:r>
      <w:r>
        <w:fldChar w:fldCharType="begin"/>
      </w:r>
      <w:r>
        <w:instrText xml:space="preserve"> PAGEREF _Toc184200489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"_Toc184200490" </w:instrText>
      </w:r>
      <w:r>
        <w:fldChar w:fldCharType="separate"/>
      </w:r>
      <w:r>
        <w:rPr>
          <w:rStyle w:val="32"/>
        </w:rPr>
        <w:t>附录B（资料性）  GWP 参考值</w:t>
      </w:r>
      <w:r>
        <w:tab/>
      </w:r>
      <w:r>
        <w:fldChar w:fldCharType="begin"/>
      </w:r>
      <w:r>
        <w:instrText xml:space="preserve"> PAGEREF _Toc184200490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"_Toc184200491" </w:instrText>
      </w:r>
      <w:r>
        <w:fldChar w:fldCharType="separate"/>
      </w:r>
      <w:r>
        <w:rPr>
          <w:rStyle w:val="32"/>
        </w:rPr>
        <w:t>附录C（资料性）  锂离子电池产品碳足迹报告（模板）</w:t>
      </w:r>
      <w:r>
        <w:tab/>
      </w:r>
      <w:r>
        <w:fldChar w:fldCharType="begin"/>
      </w:r>
      <w:r>
        <w:instrText xml:space="preserve"> PAGEREF _Toc184200491 \h </w:instrText>
      </w:r>
      <w:r>
        <w:fldChar w:fldCharType="separate"/>
      </w:r>
      <w:r>
        <w:t>19</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9" w:name="_Toc184200468"/>
      <w:bookmarkStart w:id="30" w:name="BookMark2"/>
      <w:r>
        <w:rPr>
          <w:spacing w:val="320"/>
        </w:rPr>
        <w:t>前</w:t>
      </w:r>
      <w:r>
        <w:t>言</w:t>
      </w:r>
      <w:bookmarkEnd w:id="22"/>
      <w:bookmarkEnd w:id="23"/>
      <w:bookmarkEnd w:id="24"/>
      <w:bookmarkEnd w:id="25"/>
      <w:bookmarkEnd w:id="26"/>
      <w:bookmarkEnd w:id="27"/>
      <w:bookmarkEnd w:id="28"/>
      <w:bookmarkEnd w:id="29"/>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本文件的某些内容可能涉及专利，本文件的发布机构不承担识别专利的责任。</w:t>
      </w:r>
    </w:p>
    <w:p>
      <w:pPr>
        <w:pStyle w:val="56"/>
        <w:ind w:firstLine="420"/>
      </w:pPr>
      <w:r>
        <w:rPr>
          <w:rFonts w:hint="eastAsia"/>
        </w:rPr>
        <w:t>本文件由湖南省工业</w:t>
      </w:r>
      <w:r>
        <w:t>和信息化厅</w:t>
      </w:r>
      <w:r>
        <w:rPr>
          <w:rFonts w:hint="eastAsia"/>
        </w:rPr>
        <w:t>提出并归口。</w:t>
      </w:r>
    </w:p>
    <w:p>
      <w:pPr>
        <w:pStyle w:val="56"/>
        <w:ind w:firstLine="420"/>
      </w:pPr>
      <w:r>
        <w:rPr>
          <w:rFonts w:hint="eastAsia"/>
        </w:rPr>
        <w:t>本文件起草单位：一都科技有限公司，巴斯夫杉杉电池材料有限公司，国联汽车动力电池研究院有限责任公司，弗迪电池有限公司。</w:t>
      </w:r>
      <w:r>
        <w:tab/>
      </w:r>
    </w:p>
    <w:p>
      <w:pPr>
        <w:pStyle w:val="56"/>
        <w:ind w:firstLine="420"/>
      </w:pPr>
      <w:r>
        <w:rPr>
          <w:rFonts w:hint="eastAsia"/>
        </w:rPr>
        <w:t>本文件主要起草人：姚青，肖来荣，瞿丹，梁兰，</w:t>
      </w:r>
      <w:bookmarkStart w:id="207" w:name="_GoBack"/>
      <w:bookmarkEnd w:id="207"/>
      <w:r>
        <w:rPr>
          <w:rFonts w:hint="eastAsia"/>
        </w:rPr>
        <w:t>苏子龙，张叔亚，汤冰，廖奔。</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30"/>
    <w:p>
      <w:pPr>
        <w:spacing w:line="20" w:lineRule="exact"/>
        <w:jc w:val="center"/>
        <w:rPr>
          <w:rFonts w:ascii="黑体" w:hAnsi="黑体" w:eastAsia="黑体"/>
          <w:sz w:val="32"/>
          <w:szCs w:val="32"/>
        </w:rPr>
      </w:pPr>
      <w:bookmarkStart w:id="31" w:name="BookMark4"/>
    </w:p>
    <w:p>
      <w:pPr>
        <w:spacing w:line="20" w:lineRule="exact"/>
        <w:jc w:val="center"/>
        <w:rPr>
          <w:rFonts w:ascii="黑体" w:hAnsi="黑体" w:eastAsia="黑体"/>
          <w:sz w:val="32"/>
          <w:szCs w:val="32"/>
        </w:rPr>
      </w:pPr>
    </w:p>
    <w:sdt>
      <w:sdtPr>
        <w:tag w:val="NEW_STAND_NAME"/>
        <w:id w:val="595910757"/>
        <w:lock w:val="sdtLocked"/>
        <w:placeholder>
          <w:docPart w:val="9108060CD25B4C70928D981103119B9B"/>
        </w:placeholder>
      </w:sdtPr>
      <w:sdtContent>
        <w:p>
          <w:pPr>
            <w:pStyle w:val="177"/>
            <w:spacing w:before="312" w:beforeLines="100" w:after="686" w:afterLines="220"/>
          </w:pPr>
          <w:bookmarkStart w:id="32" w:name="NEW_STAND_NAME"/>
          <w:r>
            <w:rPr>
              <w:rFonts w:hint="eastAsia"/>
            </w:rPr>
            <w:t>锂离子电池产品碳足迹核算方法</w:t>
          </w:r>
        </w:p>
      </w:sdtContent>
    </w:sdt>
    <w:bookmarkEnd w:id="32"/>
    <w:p>
      <w:pPr>
        <w:pStyle w:val="104"/>
        <w:spacing w:before="312" w:after="312"/>
        <w:rPr>
          <w:rFonts w:ascii="Times New Roman"/>
        </w:rPr>
      </w:pPr>
      <w:bookmarkStart w:id="33" w:name="_Toc184199758"/>
      <w:bookmarkStart w:id="34" w:name="_Toc184200469"/>
      <w:bookmarkStart w:id="35" w:name="_Toc17233333"/>
      <w:bookmarkStart w:id="36" w:name="_Toc183023582"/>
      <w:bookmarkStart w:id="37" w:name="_Toc182389379"/>
      <w:bookmarkStart w:id="38" w:name="_Toc182386856"/>
      <w:bookmarkStart w:id="39" w:name="_Toc26986530"/>
      <w:bookmarkStart w:id="40" w:name="_Toc26986771"/>
      <w:bookmarkStart w:id="41" w:name="_Toc26648465"/>
      <w:bookmarkStart w:id="42" w:name="_Toc24884218"/>
      <w:bookmarkStart w:id="43" w:name="_Toc180498944"/>
      <w:bookmarkStart w:id="44" w:name="_Toc17233325"/>
      <w:bookmarkStart w:id="45" w:name="_Toc24884211"/>
      <w:bookmarkStart w:id="46" w:name="_Toc182385843"/>
      <w:bookmarkStart w:id="47" w:name="_Toc180411311"/>
      <w:bookmarkStart w:id="48" w:name="_Toc97191423"/>
      <w:bookmarkStart w:id="49" w:name="_Toc26718930"/>
      <w:r>
        <w:rPr>
          <w:rFonts w:hint="eastAsia" w:ascii="Times New Roman"/>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56"/>
        <w:ind w:firstLine="420"/>
        <w:rPr>
          <w:rFonts w:hint="eastAsia" w:ascii="Times New Roman"/>
        </w:rPr>
      </w:pPr>
      <w:bookmarkStart w:id="50" w:name="_Toc26648466"/>
      <w:bookmarkStart w:id="51" w:name="_Toc17233334"/>
      <w:bookmarkStart w:id="52" w:name="_Toc24884219"/>
      <w:bookmarkStart w:id="53" w:name="_Toc24884212"/>
      <w:bookmarkStart w:id="54" w:name="_Toc17233326"/>
      <w:r>
        <w:rPr>
          <w:rFonts w:hint="eastAsia" w:ascii="Times New Roman"/>
        </w:rPr>
        <w:t>本文件采用与生命周期评价标准（GB/T 24040和GB/T 24044）一致的方式，规定了锂离子电池产品碳足迹和锂离子电池产品部分碳足迹量化和报告的原则、要求和指南。</w:t>
      </w:r>
    </w:p>
    <w:p>
      <w:pPr>
        <w:pStyle w:val="56"/>
        <w:ind w:firstLine="420"/>
        <w:rPr>
          <w:rFonts w:hint="eastAsia" w:ascii="Times New Roman"/>
        </w:rPr>
      </w:pPr>
      <w:r>
        <w:rPr>
          <w:rFonts w:hint="eastAsia" w:ascii="Times New Roman"/>
        </w:rPr>
        <w:t>本文件适用于锂离子电池产品（括消费型锂电池、小动力型锂电池、大动力型锂电池和储能型锂电池）碳足迹相关研究，其结果可应用于不同的场景。碳抵消以及锂离子电池产品碳足迹或锂离子电池产品部分碳足迹信息交流不在本文件的范围内。</w:t>
      </w:r>
    </w:p>
    <w:p>
      <w:pPr>
        <w:pStyle w:val="56"/>
        <w:ind w:firstLine="420"/>
        <w:rPr>
          <w:rFonts w:ascii="Times New Roman"/>
        </w:rPr>
      </w:pPr>
      <w:r>
        <w:rPr>
          <w:rFonts w:hint="eastAsia" w:ascii="Times New Roman"/>
        </w:rPr>
        <w:t>本文件仅针对单一环境影响类型，即气候变化，不评价锂离子电池产品生命周期产生的其他潜在环境影响，也不评价锂离子电池产品生命周期内可能产生的社会和经济影响。</w:t>
      </w:r>
    </w:p>
    <w:p>
      <w:pPr>
        <w:pStyle w:val="104"/>
        <w:spacing w:before="312" w:after="312"/>
        <w:rPr>
          <w:rFonts w:ascii="Times New Roman"/>
        </w:rPr>
      </w:pPr>
      <w:bookmarkStart w:id="55" w:name="_Toc184199759"/>
      <w:bookmarkStart w:id="56" w:name="_Toc184200470"/>
      <w:bookmarkStart w:id="57" w:name="_Toc182389380"/>
      <w:bookmarkStart w:id="58" w:name="_Toc183023583"/>
      <w:bookmarkStart w:id="59" w:name="_Toc182385844"/>
      <w:bookmarkStart w:id="60" w:name="_Toc182386857"/>
      <w:bookmarkStart w:id="61" w:name="_Toc180411312"/>
      <w:bookmarkStart w:id="62" w:name="_Toc180498945"/>
      <w:bookmarkStart w:id="63" w:name="_Toc26986772"/>
      <w:bookmarkStart w:id="64" w:name="_Toc97191424"/>
      <w:bookmarkStart w:id="65" w:name="_Toc26718931"/>
      <w:bookmarkStart w:id="66" w:name="_Toc26986531"/>
      <w:r>
        <w:rPr>
          <w:rFonts w:hint="eastAsia" w:ascii="Times New Roman"/>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dt>
      <w:sdtPr>
        <w:rPr>
          <w:rFonts w:hint="eastAsia" w:ascii="Times New Roman"/>
        </w:rPr>
        <w:id w:val="715848253"/>
        <w:placeholder>
          <w:docPart w:val="DCF2809227324BA08BF6920D27E1D5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56"/>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hint="eastAsia" w:ascii="Times New Roman"/>
        </w:rPr>
        <w:t>GB/T 24025</w:t>
      </w:r>
      <w:r>
        <w:rPr>
          <w:rFonts w:ascii="Times New Roman"/>
        </w:rPr>
        <w:t xml:space="preserve"> </w:t>
      </w:r>
      <w:r>
        <w:rPr>
          <w:rFonts w:hint="eastAsia" w:ascii="Times New Roman"/>
        </w:rPr>
        <w:t>环境标志和声明III型环境声明原则和程序（ISO 14025：2006，IDT）</w:t>
      </w:r>
    </w:p>
    <w:p>
      <w:pPr>
        <w:pStyle w:val="56"/>
        <w:ind w:firstLine="420"/>
        <w:rPr>
          <w:rFonts w:ascii="Times New Roman"/>
        </w:rPr>
      </w:pPr>
      <w:r>
        <w:rPr>
          <w:rFonts w:hint="eastAsia" w:ascii="Times New Roman"/>
        </w:rPr>
        <w:t>GB/T</w:t>
      </w:r>
      <w:r>
        <w:rPr>
          <w:rFonts w:ascii="Times New Roman"/>
        </w:rPr>
        <w:t xml:space="preserve"> </w:t>
      </w:r>
      <w:r>
        <w:rPr>
          <w:rFonts w:hint="eastAsia" w:ascii="Times New Roman"/>
        </w:rPr>
        <w:t>24040</w:t>
      </w:r>
      <w:r>
        <w:rPr>
          <w:rFonts w:ascii="Times New Roman"/>
        </w:rPr>
        <w:t xml:space="preserve"> </w:t>
      </w:r>
      <w:r>
        <w:rPr>
          <w:rFonts w:hint="eastAsia" w:ascii="Times New Roman"/>
        </w:rPr>
        <w:t>环境管理生命周期评价原则与框架（ISO 14040：2006，IDT）</w:t>
      </w:r>
    </w:p>
    <w:p>
      <w:pPr>
        <w:pStyle w:val="56"/>
        <w:ind w:firstLine="420"/>
        <w:rPr>
          <w:rFonts w:ascii="Times New Roman"/>
        </w:rPr>
      </w:pPr>
      <w:r>
        <w:rPr>
          <w:rFonts w:hint="eastAsia" w:ascii="Times New Roman"/>
        </w:rPr>
        <w:t>GB/T 24044</w:t>
      </w:r>
      <w:r>
        <w:rPr>
          <w:rFonts w:ascii="Times New Roman"/>
        </w:rPr>
        <w:t xml:space="preserve"> </w:t>
      </w:r>
      <w:r>
        <w:rPr>
          <w:rFonts w:hint="eastAsia" w:ascii="Times New Roman"/>
        </w:rPr>
        <w:t>环境管理生命周期评价 要求与指南（ISO 14044：2006，IDT）</w:t>
      </w:r>
    </w:p>
    <w:p>
      <w:pPr>
        <w:pStyle w:val="56"/>
        <w:ind w:firstLine="420"/>
        <w:rPr>
          <w:rFonts w:ascii="Times New Roman"/>
        </w:rPr>
      </w:pPr>
      <w:r>
        <w:rPr>
          <w:rFonts w:ascii="Times New Roman"/>
        </w:rPr>
        <w:t xml:space="preserve">GB/T 24067 </w:t>
      </w:r>
      <w:r>
        <w:rPr>
          <w:rFonts w:hint="eastAsia" w:ascii="Times New Roman"/>
        </w:rPr>
        <w:t>温室气体 产品碳足迹 量化要求和指南</w:t>
      </w:r>
    </w:p>
    <w:p>
      <w:pPr>
        <w:pStyle w:val="56"/>
        <w:ind w:firstLine="420"/>
        <w:rPr>
          <w:rFonts w:ascii="Times New Roman"/>
        </w:rPr>
      </w:pPr>
      <w:r>
        <w:rPr>
          <w:rFonts w:hint="eastAsia" w:ascii="Times New Roman"/>
        </w:rPr>
        <w:t>GB/T 31241</w:t>
      </w:r>
      <w:r>
        <w:rPr>
          <w:rFonts w:ascii="Times New Roman"/>
        </w:rPr>
        <w:t xml:space="preserve"> </w:t>
      </w:r>
      <w:r>
        <w:rPr>
          <w:rFonts w:hint="eastAsia" w:ascii="Times New Roman"/>
        </w:rPr>
        <w:t>便携式电子产品用锂离子电池产品安全技术规范</w:t>
      </w:r>
    </w:p>
    <w:p>
      <w:pPr>
        <w:pStyle w:val="56"/>
        <w:ind w:firstLine="420"/>
        <w:rPr>
          <w:rFonts w:ascii="Times New Roman"/>
        </w:rPr>
      </w:pPr>
      <w:r>
        <w:rPr>
          <w:rFonts w:hint="eastAsia" w:ascii="Times New Roman"/>
        </w:rPr>
        <w:t>GB/T 32150</w:t>
      </w:r>
      <w:r>
        <w:rPr>
          <w:rFonts w:ascii="Times New Roman"/>
        </w:rPr>
        <w:t xml:space="preserve"> </w:t>
      </w:r>
      <w:r>
        <w:rPr>
          <w:rFonts w:hint="eastAsia" w:ascii="Times New Roman"/>
        </w:rPr>
        <w:t>工业企业温室气体排放核算和报告通则</w:t>
      </w:r>
    </w:p>
    <w:p>
      <w:pPr>
        <w:pStyle w:val="56"/>
        <w:ind w:firstLine="420"/>
        <w:rPr>
          <w:rFonts w:ascii="Times New Roman"/>
        </w:rPr>
      </w:pPr>
      <w:r>
        <w:rPr>
          <w:rFonts w:hint="eastAsia" w:ascii="Times New Roman"/>
        </w:rPr>
        <w:t>ISO 14026</w:t>
      </w:r>
      <w:r>
        <w:rPr>
          <w:rFonts w:ascii="Times New Roman"/>
        </w:rPr>
        <w:t xml:space="preserve"> </w:t>
      </w:r>
      <w:r>
        <w:rPr>
          <w:rFonts w:hint="eastAsia" w:ascii="Times New Roman"/>
        </w:rPr>
        <w:t>环境标志和声明足迹信息交流的原则、要求和指南（Environmental labels and decla-rations—Principles， requirements and guidelines for communication of footprint information）</w:t>
      </w:r>
    </w:p>
    <w:p>
      <w:pPr>
        <w:pStyle w:val="56"/>
        <w:ind w:firstLine="420"/>
        <w:rPr>
          <w:rFonts w:ascii="Times New Roman"/>
        </w:rPr>
      </w:pPr>
      <w:r>
        <w:rPr>
          <w:rFonts w:hint="eastAsia" w:ascii="Times New Roman"/>
        </w:rPr>
        <w:t>ISO/TS 14027</w:t>
      </w:r>
      <w:r>
        <w:rPr>
          <w:rFonts w:ascii="Times New Roman"/>
        </w:rPr>
        <w:t xml:space="preserve"> </w:t>
      </w:r>
      <w:r>
        <w:rPr>
          <w:rFonts w:hint="eastAsia" w:ascii="Times New Roman"/>
        </w:rPr>
        <w:t>环境标志和声明 产品种类规则的制定（Environmental labels and declara-tions—Development of product category rules ）</w:t>
      </w:r>
    </w:p>
    <w:p>
      <w:pPr>
        <w:pStyle w:val="56"/>
        <w:ind w:firstLine="420"/>
        <w:rPr>
          <w:rFonts w:ascii="Times New Roman"/>
        </w:rPr>
      </w:pPr>
      <w:r>
        <w:rPr>
          <w:rFonts w:hint="eastAsia" w:ascii="Times New Roman"/>
        </w:rPr>
        <w:t>ISO/TS 14071</w:t>
      </w:r>
      <w:r>
        <w:rPr>
          <w:rFonts w:ascii="Times New Roman"/>
        </w:rPr>
        <w:t xml:space="preserve"> </w:t>
      </w:r>
      <w:r>
        <w:rPr>
          <w:rFonts w:hint="eastAsia" w:ascii="Times New Roman"/>
        </w:rPr>
        <w:t>环境管理生命周期评价鉴定性评审过程和评审员能力：ISO 14044：2006的附加要求和指南（Environmental management—Life cycle assessment-Critical review processes and re-</w:t>
      </w:r>
      <w:r>
        <w:rPr>
          <w:rFonts w:ascii="Times New Roman"/>
        </w:rPr>
        <w:t>viewer competencies： Additional requirements and guidelines to ISO 14044：2006）</w:t>
      </w:r>
    </w:p>
    <w:p>
      <w:pPr>
        <w:pStyle w:val="104"/>
        <w:spacing w:before="312" w:after="312"/>
        <w:rPr>
          <w:rFonts w:ascii="Times New Roman"/>
        </w:rPr>
      </w:pPr>
      <w:bookmarkStart w:id="67" w:name="_Toc184199760"/>
      <w:bookmarkStart w:id="68" w:name="_Toc184200471"/>
      <w:bookmarkStart w:id="69" w:name="_Toc183023584"/>
      <w:bookmarkStart w:id="70" w:name="_Toc182386858"/>
      <w:bookmarkStart w:id="71" w:name="_Toc182389381"/>
      <w:bookmarkStart w:id="72" w:name="_Toc180498946"/>
      <w:bookmarkStart w:id="73" w:name="_Toc182385845"/>
      <w:bookmarkStart w:id="74" w:name="_Toc97191425"/>
      <w:bookmarkStart w:id="75" w:name="_Toc180411313"/>
      <w:r>
        <w:rPr>
          <w:rFonts w:hint="eastAsia" w:ascii="Times New Roman"/>
          <w:szCs w:val="21"/>
        </w:rPr>
        <w:t>术语和定义</w:t>
      </w:r>
      <w:bookmarkEnd w:id="67"/>
      <w:bookmarkEnd w:id="68"/>
      <w:bookmarkEnd w:id="69"/>
      <w:bookmarkEnd w:id="70"/>
      <w:bookmarkEnd w:id="71"/>
      <w:bookmarkEnd w:id="72"/>
      <w:bookmarkEnd w:id="73"/>
      <w:bookmarkEnd w:id="74"/>
      <w:bookmarkEnd w:id="75"/>
    </w:p>
    <w:sdt>
      <w:sdtPr>
        <w:rPr>
          <w:rFonts w:ascii="Times New Roman"/>
        </w:rPr>
        <w:id w:val="-1909835108"/>
        <w:placeholder>
          <w:docPart w:val="7A4A1381E1344A7881C77DE25E3751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6"/>
            <w:ind w:firstLine="420"/>
            <w:rPr>
              <w:rFonts w:ascii="Times New Roman"/>
              <w:highlight w:val="yellow"/>
            </w:rPr>
          </w:pPr>
          <w:bookmarkStart w:id="76" w:name="_Toc26986532"/>
          <w:bookmarkEnd w:id="76"/>
          <w:r>
            <w:rPr>
              <w:rFonts w:hint="eastAsia" w:ascii="Times New Roman"/>
            </w:rPr>
            <w:t>GB/T</w:t>
          </w:r>
          <w:r>
            <w:rPr>
              <w:rFonts w:ascii="Times New Roman"/>
            </w:rPr>
            <w:t xml:space="preserve"> </w:t>
          </w:r>
          <w:r>
            <w:rPr>
              <w:rFonts w:hint="eastAsia" w:ascii="Times New Roman"/>
            </w:rPr>
            <w:t>24040、GB/T</w:t>
          </w:r>
          <w:r>
            <w:rPr>
              <w:rFonts w:ascii="Times New Roman"/>
            </w:rPr>
            <w:t xml:space="preserve"> </w:t>
          </w:r>
          <w:r>
            <w:rPr>
              <w:rFonts w:hint="eastAsia" w:ascii="Times New Roman"/>
            </w:rPr>
            <w:t>24044和GB/T</w:t>
          </w:r>
          <w:r>
            <w:rPr>
              <w:rFonts w:ascii="Times New Roman"/>
            </w:rPr>
            <w:t xml:space="preserve"> </w:t>
          </w:r>
          <w:r>
            <w:rPr>
              <w:rFonts w:hint="eastAsia" w:ascii="Times New Roman"/>
            </w:rPr>
            <w:t>24067界定的以及下列术语和定义适用于本文件。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产品碳足迹carbon footprint of a product</w:t>
      </w:r>
    </w:p>
    <w:p>
      <w:pPr>
        <w:pStyle w:val="56"/>
        <w:ind w:firstLine="420"/>
        <w:rPr>
          <w:rFonts w:ascii="Times New Roman"/>
        </w:rPr>
      </w:pPr>
      <w:r>
        <w:rPr>
          <w:rFonts w:hint="eastAsia" w:ascii="Times New Roman"/>
        </w:rPr>
        <w:t>CFP</w:t>
      </w:r>
    </w:p>
    <w:p>
      <w:pPr>
        <w:pStyle w:val="56"/>
        <w:ind w:firstLine="420"/>
        <w:rPr>
          <w:rFonts w:ascii="Times New Roman"/>
        </w:rPr>
      </w:pPr>
      <w:r>
        <w:rPr>
          <w:rFonts w:hint="eastAsia" w:ascii="Times New Roman"/>
        </w:rPr>
        <w:t>产品系统中的GHG排放量和GHG清除量之和，以二氧化碳当量表示，并基于气候变化这一单一环境影响类型进行生命周期评价。</w:t>
      </w:r>
    </w:p>
    <w:p>
      <w:pPr>
        <w:pStyle w:val="180"/>
      </w:pPr>
      <w:r>
        <w:rPr>
          <w:rFonts w:hint="eastAsia"/>
        </w:rPr>
        <w:t>产品碳足迹可用不同的图例区分和标示具体的GHG排放量和清除量，产品碳足迹也可被分解到其生命周期的各个阶段。</w:t>
      </w:r>
    </w:p>
    <w:p>
      <w:pPr>
        <w:pStyle w:val="180"/>
      </w:pPr>
      <w:r>
        <w:rPr>
          <w:rFonts w:hint="eastAsia"/>
        </w:rPr>
        <w:t>产品碳足迹核算报告中记录了产品碳足迹的量化结果，以每个功能单位的二氧化碳当量表示。</w:t>
      </w:r>
    </w:p>
    <w:p>
      <w:pPr>
        <w:pStyle w:val="56"/>
        <w:ind w:firstLine="420"/>
        <w:rPr>
          <w:rFonts w:ascii="Times New Roman"/>
        </w:rPr>
      </w:pPr>
      <w:r>
        <w:rPr>
          <w:rFonts w:hint="eastAsia" w:ascii="Times New Roman"/>
        </w:rPr>
        <w:t>[来源：GB/T</w:t>
      </w:r>
      <w:r>
        <w:rPr>
          <w:rFonts w:ascii="Times New Roman"/>
        </w:rPr>
        <w:t xml:space="preserve"> </w:t>
      </w:r>
      <w:r>
        <w:rPr>
          <w:rFonts w:hint="eastAsia" w:ascii="Times New Roman"/>
        </w:rPr>
        <w:t>24067，3.1.1]</w:t>
      </w:r>
    </w:p>
    <w:p>
      <w:pPr>
        <w:pStyle w:val="223"/>
        <w:ind w:left="420" w:hanging="420" w:hangingChars="200"/>
        <w:rPr>
          <w:rFonts w:ascii="Times New Roman" w:eastAsia="黑体"/>
        </w:rPr>
      </w:pPr>
      <w:r>
        <w:rPr>
          <w:rFonts w:ascii="Times New Roman" w:eastAsia="黑体"/>
        </w:rPr>
        <w:br w:type="textWrapping"/>
      </w:r>
      <w:r>
        <w:rPr>
          <w:rFonts w:hint="eastAsia" w:ascii="Times New Roman" w:eastAsia="黑体"/>
        </w:rPr>
        <w:t>锂离子电池</w:t>
      </w:r>
      <w:r>
        <w:rPr>
          <w:rFonts w:ascii="Times New Roman" w:eastAsia="黑体"/>
        </w:rPr>
        <w:t xml:space="preserve"> </w:t>
      </w:r>
      <w:r>
        <w:rPr>
          <w:rFonts w:hint="eastAsia" w:ascii="Times New Roman" w:eastAsia="黑体"/>
        </w:rPr>
        <w:t>lithium ion battery</w:t>
      </w:r>
    </w:p>
    <w:p>
      <w:pPr>
        <w:pStyle w:val="56"/>
        <w:ind w:firstLine="420"/>
        <w:rPr>
          <w:rFonts w:ascii="Times New Roman"/>
        </w:rPr>
      </w:pPr>
      <w:r>
        <w:rPr>
          <w:rFonts w:hint="eastAsia" w:ascii="Times New Roman"/>
        </w:rPr>
        <w:t>依靠锂离子电池在正极和负极之间移动实现化学能和电能相互转化的装置，并被设计成可充电。</w:t>
      </w:r>
    </w:p>
    <w:p>
      <w:pPr>
        <w:pStyle w:val="179"/>
      </w:pPr>
      <w:r>
        <w:rPr>
          <w:rFonts w:hint="eastAsia"/>
        </w:rPr>
        <w:t>该装置包括电极、隔膜、电解质、容器和端子等。</w:t>
      </w:r>
    </w:p>
    <w:p>
      <w:pPr>
        <w:pStyle w:val="56"/>
        <w:ind w:firstLine="420"/>
        <w:rPr>
          <w:rFonts w:ascii="Times New Roman"/>
        </w:rPr>
      </w:pPr>
      <w:r>
        <w:rPr>
          <w:rFonts w:hint="eastAsia" w:ascii="Times New Roman"/>
        </w:rPr>
        <w:t>[来源：GB 31241，定义3</w:t>
      </w:r>
      <w:r>
        <w:rPr>
          <w:rFonts w:ascii="Times New Roman"/>
        </w:rPr>
        <w:t>.</w:t>
      </w:r>
      <w:r>
        <w:rPr>
          <w:rFonts w:hint="eastAsia" w:ascii="Times New Roman"/>
        </w:rPr>
        <w:t>1]</w:t>
      </w:r>
    </w:p>
    <w:p>
      <w:pPr>
        <w:pStyle w:val="223"/>
        <w:ind w:left="420" w:hanging="420" w:hangingChars="200"/>
        <w:rPr>
          <w:rFonts w:ascii="Times New Roman" w:eastAsia="黑体"/>
        </w:rPr>
      </w:pPr>
      <w:r>
        <w:rPr>
          <w:rFonts w:ascii="Times New Roman" w:eastAsia="黑体"/>
        </w:rPr>
        <w:br w:type="textWrapping"/>
      </w:r>
      <w:r>
        <w:rPr>
          <w:rFonts w:hint="eastAsia" w:ascii="Times New Roman" w:eastAsia="黑体"/>
        </w:rPr>
        <w:t>温室气体greenhouse gas</w:t>
      </w:r>
    </w:p>
    <w:p>
      <w:pPr>
        <w:pStyle w:val="56"/>
        <w:ind w:firstLine="420"/>
        <w:rPr>
          <w:rFonts w:ascii="Times New Roman"/>
        </w:rPr>
      </w:pPr>
      <w:r>
        <w:rPr>
          <w:rFonts w:ascii="Times New Roman"/>
        </w:rPr>
        <w:t>GHG</w:t>
      </w:r>
    </w:p>
    <w:p>
      <w:pPr>
        <w:pStyle w:val="56"/>
        <w:ind w:firstLine="420"/>
        <w:rPr>
          <w:rFonts w:ascii="Times New Roman"/>
        </w:rPr>
      </w:pPr>
      <w:r>
        <w:rPr>
          <w:rFonts w:hint="eastAsia" w:ascii="Times New Roman"/>
        </w:rPr>
        <w:t>大气层中自然存在的和由于人类活动产生的能够吸收和散发由地球表面、大气层和云层所产生的、波长在红外光谱的辐射的气态成分。</w:t>
      </w:r>
    </w:p>
    <w:p>
      <w:pPr>
        <w:pStyle w:val="179"/>
      </w:pPr>
      <w:r>
        <w:rPr>
          <w:rFonts w:hint="eastAsia"/>
        </w:rPr>
        <w:t>本文件涉及</w:t>
      </w:r>
      <w:r>
        <w:t>的</w:t>
      </w:r>
      <w:r>
        <w:rPr>
          <w:rFonts w:hint="eastAsia"/>
        </w:rPr>
        <w:t>温室气体包括二氧化碳（CO</w:t>
      </w:r>
      <w:r>
        <w:rPr>
          <w:rFonts w:hint="eastAsia"/>
          <w:vertAlign w:val="subscript"/>
        </w:rPr>
        <w:t>2</w:t>
      </w:r>
      <w:r>
        <w:rPr>
          <w:rFonts w:hint="eastAsia"/>
        </w:rPr>
        <w:t>）、甲烷（CH</w:t>
      </w:r>
      <w:r>
        <w:rPr>
          <w:rFonts w:hint="eastAsia"/>
          <w:vertAlign w:val="subscript"/>
        </w:rPr>
        <w:t>4</w:t>
      </w:r>
      <w:r>
        <w:rPr>
          <w:rFonts w:hint="eastAsia"/>
        </w:rPr>
        <w:t>）、氧化亚氮（N</w:t>
      </w:r>
      <w:r>
        <w:rPr>
          <w:rFonts w:hint="eastAsia"/>
          <w:vertAlign w:val="subscript"/>
        </w:rPr>
        <w:t>2</w:t>
      </w:r>
      <w:r>
        <w:rPr>
          <w:rFonts w:hint="eastAsia"/>
        </w:rPr>
        <w:t>O）、氢氟碳化物（HFC</w:t>
      </w:r>
      <w:r>
        <w:rPr>
          <w:rFonts w:hint="eastAsia"/>
          <w:vertAlign w:val="subscript"/>
        </w:rPr>
        <w:t>S</w:t>
      </w:r>
      <w:r>
        <w:rPr>
          <w:rFonts w:hint="eastAsia"/>
        </w:rPr>
        <w:t>）、全氟碳化物（PFC</w:t>
      </w:r>
      <w:r>
        <w:rPr>
          <w:rFonts w:hint="eastAsia"/>
          <w:vertAlign w:val="subscript"/>
        </w:rPr>
        <w:t>S</w:t>
      </w:r>
      <w:r>
        <w:rPr>
          <w:rFonts w:hint="eastAsia"/>
        </w:rPr>
        <w:t>）、六氟化硫（SF</w:t>
      </w:r>
      <w:r>
        <w:rPr>
          <w:rFonts w:hint="eastAsia"/>
          <w:vertAlign w:val="subscript"/>
        </w:rPr>
        <w:t>6</w:t>
      </w:r>
      <w:r>
        <w:rPr>
          <w:rFonts w:hint="eastAsia"/>
        </w:rPr>
        <w:t>）和三氟化氮（NF</w:t>
      </w:r>
      <w:r>
        <w:rPr>
          <w:rFonts w:hint="eastAsia"/>
          <w:vertAlign w:val="subscript"/>
        </w:rPr>
        <w:t>3</w:t>
      </w:r>
      <w:r>
        <w:rPr>
          <w:rFonts w:hint="eastAsia"/>
        </w:rPr>
        <w:t>）。</w:t>
      </w:r>
    </w:p>
    <w:p>
      <w:pPr>
        <w:pStyle w:val="56"/>
        <w:ind w:firstLine="420"/>
        <w:rPr>
          <w:rFonts w:ascii="Times New Roman"/>
        </w:rPr>
      </w:pPr>
      <w:r>
        <w:rPr>
          <w:rFonts w:hint="eastAsia" w:ascii="Times New Roman"/>
        </w:rPr>
        <w:t>[来源：GB/T 24067，3.2.1]</w:t>
      </w:r>
    </w:p>
    <w:p>
      <w:pPr>
        <w:pStyle w:val="223"/>
        <w:ind w:left="420" w:hanging="420" w:hangingChars="200"/>
        <w:rPr>
          <w:rFonts w:ascii="Times New Roman" w:eastAsia="黑体"/>
        </w:rPr>
      </w:pPr>
      <w:r>
        <w:rPr>
          <w:rFonts w:ascii="Times New Roman" w:eastAsia="黑体"/>
        </w:rPr>
        <w:br w:type="textWrapping"/>
      </w:r>
      <w:r>
        <w:rPr>
          <w:rFonts w:hint="eastAsia" w:ascii="Times New Roman" w:eastAsia="黑体"/>
        </w:rPr>
        <w:t>功能单位 functional unit</w:t>
      </w:r>
    </w:p>
    <w:p>
      <w:pPr>
        <w:pStyle w:val="56"/>
        <w:ind w:firstLine="420"/>
        <w:rPr>
          <w:rFonts w:ascii="Times New Roman"/>
        </w:rPr>
      </w:pPr>
      <w:r>
        <w:rPr>
          <w:rFonts w:hint="eastAsia" w:ascii="Times New Roman"/>
        </w:rPr>
        <w:t>用来作为基准单位的量化的产品系统性能。</w:t>
      </w:r>
    </w:p>
    <w:p>
      <w:pPr>
        <w:pStyle w:val="56"/>
        <w:ind w:firstLine="420"/>
        <w:rPr>
          <w:rFonts w:ascii="Times New Roman"/>
        </w:rPr>
      </w:pPr>
      <w:r>
        <w:rPr>
          <w:rFonts w:hint="eastAsia" w:ascii="Times New Roman"/>
        </w:rPr>
        <w:t>[GB/T 24040，定义3.20]</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声明单位declared unit</w:t>
      </w:r>
    </w:p>
    <w:p>
      <w:pPr>
        <w:pStyle w:val="56"/>
        <w:ind w:firstLine="420"/>
        <w:rPr>
          <w:rFonts w:ascii="Times New Roman"/>
        </w:rPr>
      </w:pPr>
      <w:r>
        <w:rPr>
          <w:rFonts w:hint="eastAsia" w:ascii="Times New Roman"/>
        </w:rPr>
        <w:t>用来量化产品部分碳足迹的基准单位。</w:t>
      </w:r>
    </w:p>
    <w:p>
      <w:pPr>
        <w:pStyle w:val="56"/>
        <w:ind w:firstLine="420"/>
        <w:rPr>
          <w:rFonts w:ascii="Times New Roman"/>
        </w:rPr>
      </w:pPr>
      <w:r>
        <w:rPr>
          <w:rFonts w:hint="eastAsia" w:ascii="Times New Roman"/>
        </w:rPr>
        <w:t xml:space="preserve"> [来源：GB/T 24067，3.3.8]</w:t>
      </w:r>
    </w:p>
    <w:p>
      <w:pPr>
        <w:pStyle w:val="223"/>
        <w:ind w:left="420" w:hanging="420" w:hangingChars="200"/>
        <w:rPr>
          <w:rFonts w:ascii="Times New Roman" w:eastAsia="黑体"/>
        </w:rPr>
      </w:pPr>
      <w:r>
        <w:rPr>
          <w:rFonts w:ascii="Times New Roman" w:eastAsia="黑体"/>
        </w:rPr>
        <w:br w:type="textWrapping"/>
      </w:r>
      <w:r>
        <w:rPr>
          <w:rFonts w:hint="eastAsia" w:ascii="Times New Roman" w:eastAsia="黑体"/>
        </w:rPr>
        <w:t>系统边界system boundary</w:t>
      </w:r>
    </w:p>
    <w:p>
      <w:pPr>
        <w:pStyle w:val="56"/>
        <w:ind w:firstLine="420"/>
        <w:rPr>
          <w:rFonts w:ascii="Times New Roman"/>
        </w:rPr>
      </w:pPr>
      <w:r>
        <w:rPr>
          <w:rFonts w:hint="eastAsia" w:ascii="Times New Roman"/>
        </w:rPr>
        <w:t>通过一组准则确定哪些单元过程属于产品系统的一部分。</w:t>
      </w:r>
    </w:p>
    <w:p>
      <w:pPr>
        <w:pStyle w:val="56"/>
        <w:ind w:firstLine="420"/>
        <w:rPr>
          <w:rFonts w:ascii="Times New Roman"/>
        </w:rPr>
      </w:pPr>
      <w:r>
        <w:rPr>
          <w:rFonts w:hint="eastAsia" w:ascii="Times New Roman"/>
        </w:rPr>
        <w:t>[来源：GB/T 24067，3.3.4]</w:t>
      </w:r>
    </w:p>
    <w:p>
      <w:pPr>
        <w:pStyle w:val="223"/>
        <w:ind w:left="420" w:hanging="420" w:hangingChars="200"/>
        <w:rPr>
          <w:rFonts w:ascii="Times New Roman"/>
        </w:rPr>
      </w:pPr>
      <w:r>
        <w:rPr>
          <w:rFonts w:ascii="Times New Roman"/>
        </w:rPr>
        <w:br w:type="textWrapping"/>
      </w:r>
      <w:r>
        <w:rPr>
          <w:rFonts w:hint="eastAsia" w:ascii="黑体" w:hAnsi="黑体" w:eastAsia="黑体"/>
        </w:rPr>
        <w:t xml:space="preserve">全球增温潜势global warning potential </w:t>
      </w:r>
      <w:r>
        <w:rPr>
          <w:rFonts w:ascii="黑体" w:hAnsi="黑体" w:eastAsia="黑体"/>
        </w:rPr>
        <w:t>GWP</w:t>
      </w:r>
    </w:p>
    <w:p>
      <w:pPr>
        <w:pStyle w:val="56"/>
        <w:ind w:firstLine="420"/>
        <w:rPr>
          <w:rFonts w:ascii="Times New Roman"/>
        </w:rPr>
      </w:pPr>
      <w:r>
        <w:rPr>
          <w:rFonts w:hint="eastAsia" w:ascii="Times New Roman"/>
        </w:rPr>
        <w:t>将单位质量的某种温室气体在给定时间内辐射强迫的影响与等量二氧化碳辐射强度影响相关联的系数。</w:t>
      </w:r>
    </w:p>
    <w:p>
      <w:pPr>
        <w:pStyle w:val="56"/>
        <w:ind w:firstLine="420"/>
        <w:rPr>
          <w:rFonts w:ascii="Times New Roman"/>
        </w:rPr>
      </w:pPr>
      <w:r>
        <w:rPr>
          <w:rFonts w:hint="eastAsia" w:ascii="Times New Roman"/>
        </w:rPr>
        <w:t>[来源：GB/T 32150-2015，3.15]</w:t>
      </w:r>
    </w:p>
    <w:p>
      <w:pPr>
        <w:pStyle w:val="223"/>
        <w:ind w:left="420" w:hanging="420" w:hangingChars="200"/>
        <w:rPr>
          <w:rFonts w:ascii="Times New Roman"/>
        </w:rPr>
      </w:pPr>
      <w:r>
        <w:rPr>
          <w:rFonts w:ascii="Times New Roman"/>
        </w:rPr>
        <w:br w:type="textWrapping"/>
      </w:r>
      <w:r>
        <w:rPr>
          <w:rFonts w:hint="eastAsia" w:ascii="黑体" w:hAnsi="黑体" w:eastAsia="黑体"/>
        </w:rPr>
        <w:t>取舍准则cut-off criteria</w:t>
      </w:r>
    </w:p>
    <w:p>
      <w:pPr>
        <w:pStyle w:val="56"/>
        <w:ind w:firstLine="420"/>
        <w:rPr>
          <w:rFonts w:ascii="Times New Roman"/>
        </w:rPr>
      </w:pPr>
      <w:r>
        <w:rPr>
          <w:rFonts w:hint="eastAsia" w:ascii="Times New Roman"/>
        </w:rPr>
        <w:t>对与单元过程或产品系统相关的物质和能量流的数量或环境影响重要性成都是否排除在研究范围之外所做的规定。</w:t>
      </w:r>
    </w:p>
    <w:p>
      <w:pPr>
        <w:pStyle w:val="56"/>
        <w:ind w:firstLine="420"/>
        <w:rPr>
          <w:rFonts w:ascii="Times New Roman"/>
        </w:rPr>
      </w:pPr>
      <w:r>
        <w:rPr>
          <w:rFonts w:hint="eastAsia" w:ascii="Times New Roman"/>
        </w:rPr>
        <w:t>[来源：GB/T 24040，3.18]</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使用寿命 service life</w:t>
      </w:r>
    </w:p>
    <w:p>
      <w:pPr>
        <w:pStyle w:val="56"/>
        <w:ind w:firstLine="420"/>
        <w:rPr>
          <w:rFonts w:ascii="Times New Roman"/>
        </w:rPr>
      </w:pPr>
      <w:r>
        <w:rPr>
          <w:rFonts w:hint="eastAsia" w:ascii="Times New Roman"/>
        </w:rPr>
        <w:t>使用中的产品达到或超出设计寿命的时间段。</w:t>
      </w:r>
    </w:p>
    <w:p>
      <w:pPr>
        <w:pStyle w:val="56"/>
        <w:ind w:firstLine="420"/>
        <w:rPr>
          <w:rFonts w:ascii="Times New Roman"/>
        </w:rPr>
      </w:pPr>
      <w:r>
        <w:rPr>
          <w:rFonts w:hint="eastAsia" w:ascii="Times New Roman"/>
        </w:rPr>
        <w:t>[来源：ISO</w:t>
      </w:r>
      <w:r>
        <w:rPr>
          <w:rFonts w:ascii="Times New Roman"/>
        </w:rPr>
        <w:t xml:space="preserve"> </w:t>
      </w:r>
      <w:r>
        <w:rPr>
          <w:rFonts w:hint="eastAsia" w:ascii="Times New Roman"/>
        </w:rPr>
        <w:t>15686-1:2011,3.25，有修改]</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初级数据 primary data</w:t>
      </w:r>
    </w:p>
    <w:p>
      <w:pPr>
        <w:pStyle w:val="56"/>
        <w:ind w:firstLine="420"/>
        <w:rPr>
          <w:rFonts w:ascii="Times New Roman"/>
        </w:rPr>
      </w:pPr>
      <w:r>
        <w:rPr>
          <w:rFonts w:hint="eastAsia" w:ascii="Times New Roman"/>
        </w:rPr>
        <w:t>通过直接测量或基于直接测量的计算得到的过程或活动的量化值。</w:t>
      </w:r>
    </w:p>
    <w:p>
      <w:pPr>
        <w:pStyle w:val="180"/>
      </w:pPr>
      <w:r>
        <w:rPr>
          <w:rFonts w:hint="eastAsia"/>
        </w:rPr>
        <w:t>初级数据并非必须来自所研究的产品系统，因为初级数据可能涉及其他与所研究的产品系统具有可比性的产品系统。</w:t>
      </w:r>
    </w:p>
    <w:p>
      <w:pPr>
        <w:pStyle w:val="180"/>
      </w:pPr>
      <w:r>
        <w:rPr>
          <w:rFonts w:hint="eastAsia"/>
        </w:rPr>
        <w:t>初级数据可以包括温室气体排放因子或温室气体活动数据。</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次级数据 secondary data</w:t>
      </w:r>
    </w:p>
    <w:p>
      <w:pPr>
        <w:pStyle w:val="56"/>
        <w:ind w:firstLine="420"/>
        <w:rPr>
          <w:rFonts w:ascii="Times New Roman"/>
        </w:rPr>
      </w:pPr>
      <w:r>
        <w:rPr>
          <w:rFonts w:hint="eastAsia" w:ascii="Times New Roman"/>
        </w:rPr>
        <w:t>不符合初级数据要求的数据。</w:t>
      </w:r>
    </w:p>
    <w:p>
      <w:pPr>
        <w:pStyle w:val="180"/>
        <w:numPr>
          <w:ilvl w:val="0"/>
          <w:numId w:val="32"/>
        </w:numPr>
      </w:pPr>
      <w:r>
        <w:rPr>
          <w:rFonts w:hint="eastAsia"/>
        </w:rPr>
        <w:t xml:space="preserve">次级数据是经权威机构验证且具有可信度的数据，可来源于数据库、公开文献、国家排放因子、计算估算数据或其他具有代表性的数据，推荐使用本土化数据库。 </w:t>
      </w:r>
    </w:p>
    <w:p>
      <w:pPr>
        <w:pStyle w:val="180"/>
      </w:pPr>
      <w:r>
        <w:rPr>
          <w:rFonts w:hint="eastAsia"/>
        </w:rPr>
        <w:t>次级数据可包括从代替过程或估计获得的数据。</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数据质量 data quality</w:t>
      </w:r>
    </w:p>
    <w:p>
      <w:pPr>
        <w:pStyle w:val="56"/>
        <w:ind w:firstLine="420"/>
        <w:rPr>
          <w:rFonts w:ascii="Times New Roman"/>
        </w:rPr>
      </w:pPr>
      <w:r>
        <w:rPr>
          <w:rFonts w:hint="eastAsia" w:ascii="Times New Roman"/>
        </w:rPr>
        <w:t>数据在满足所声明的要求方面的能力特性。</w:t>
      </w:r>
    </w:p>
    <w:p>
      <w:pPr>
        <w:pStyle w:val="56"/>
        <w:ind w:firstLine="420"/>
        <w:rPr>
          <w:rFonts w:ascii="Times New Roman"/>
        </w:rPr>
      </w:pPr>
      <w:r>
        <w:rPr>
          <w:rFonts w:hint="eastAsia" w:ascii="Times New Roman"/>
        </w:rPr>
        <w:t>[来源：GB/T 24040，定义3.19]</w:t>
      </w:r>
    </w:p>
    <w:p>
      <w:pPr>
        <w:pStyle w:val="104"/>
        <w:spacing w:before="312" w:after="312"/>
        <w:rPr>
          <w:rFonts w:ascii="Times New Roman"/>
        </w:rPr>
      </w:pPr>
      <w:bookmarkStart w:id="77" w:name="_Toc184200472"/>
      <w:bookmarkStart w:id="78" w:name="_Toc184199761"/>
      <w:bookmarkStart w:id="79" w:name="_Toc182389382"/>
      <w:bookmarkStart w:id="80" w:name="_Toc183023585"/>
      <w:bookmarkStart w:id="81" w:name="_Toc182385846"/>
      <w:bookmarkStart w:id="82" w:name="_Toc182386859"/>
      <w:bookmarkStart w:id="83" w:name="_Toc180498947"/>
      <w:r>
        <w:rPr>
          <w:rFonts w:hint="eastAsia" w:ascii="Times New Roman"/>
        </w:rPr>
        <w:t>量化</w:t>
      </w:r>
      <w:r>
        <w:rPr>
          <w:rFonts w:ascii="Times New Roman"/>
        </w:rPr>
        <w:t>目的</w:t>
      </w:r>
      <w:bookmarkEnd w:id="77"/>
      <w:bookmarkEnd w:id="78"/>
      <w:bookmarkEnd w:id="79"/>
      <w:bookmarkEnd w:id="80"/>
      <w:bookmarkEnd w:id="81"/>
      <w:bookmarkEnd w:id="82"/>
      <w:bookmarkEnd w:id="83"/>
    </w:p>
    <w:p>
      <w:pPr>
        <w:pStyle w:val="56"/>
        <w:ind w:firstLine="420"/>
        <w:rPr>
          <w:rFonts w:ascii="Times New Roman"/>
        </w:rPr>
      </w:pPr>
      <w:r>
        <w:rPr>
          <w:rFonts w:hint="eastAsia" w:ascii="Times New Roman"/>
        </w:rPr>
        <w:t>开展锂离子电池产品产品碳足迹核算的总体目的是结合取舍准则（见</w:t>
      </w:r>
      <w:r>
        <w:rPr>
          <w:rFonts w:ascii="Times New Roman"/>
        </w:rPr>
        <w:t>5.3.7</w:t>
      </w:r>
      <w:r>
        <w:rPr>
          <w:rFonts w:hint="eastAsia" w:ascii="Times New Roman"/>
        </w:rPr>
        <w:t>），通过量化产品生命周期所有显著的温室气体排放量，计算产品对全球变暖的潜在影响，以及在不同阶段和不同过程的影响构成（以二氧化碳当量（CO</w:t>
      </w:r>
      <w:r>
        <w:rPr>
          <w:rFonts w:ascii="Times New Roman"/>
          <w:vertAlign w:val="subscript"/>
        </w:rPr>
        <w:t>2</w:t>
      </w:r>
      <w:r>
        <w:rPr>
          <w:rFonts w:hint="eastAsia" w:ascii="Times New Roman"/>
        </w:rPr>
        <w:t>e）表示）。</w:t>
      </w:r>
    </w:p>
    <w:p>
      <w:pPr>
        <w:pStyle w:val="179"/>
        <w:rPr>
          <w:rFonts w:ascii="Times New Roman"/>
        </w:rPr>
      </w:pPr>
      <w:r>
        <w:rPr>
          <w:rFonts w:hint="eastAsia" w:ascii="Times New Roman"/>
        </w:rPr>
        <w:t>这种量化面向一系列受众，支持一系列的目的和应用，包括但不限于进行的独立研究和比较研究，以及长期绩效追踪。</w:t>
      </w:r>
    </w:p>
    <w:p>
      <w:pPr>
        <w:pStyle w:val="56"/>
        <w:ind w:firstLine="420"/>
        <w:rPr>
          <w:rFonts w:ascii="Times New Roman"/>
        </w:rPr>
      </w:pPr>
      <w:r>
        <w:rPr>
          <w:rFonts w:hint="eastAsia" w:ascii="Times New Roman"/>
        </w:rPr>
        <w:t>在确定产品碳足迹核算目的时，应明确说明以下问题：</w:t>
      </w:r>
    </w:p>
    <w:p>
      <w:pPr>
        <w:pStyle w:val="56"/>
        <w:ind w:firstLine="420"/>
        <w:rPr>
          <w:rFonts w:ascii="Times New Roman"/>
        </w:rPr>
      </w:pPr>
      <w:r>
        <w:rPr>
          <w:rFonts w:hint="eastAsia" w:ascii="Times New Roman"/>
        </w:rPr>
        <w:t>一一应用意图；</w:t>
      </w:r>
    </w:p>
    <w:p>
      <w:pPr>
        <w:pStyle w:val="56"/>
        <w:ind w:firstLine="420"/>
        <w:rPr>
          <w:rFonts w:ascii="Times New Roman"/>
        </w:rPr>
      </w:pPr>
      <w:r>
        <w:rPr>
          <w:rFonts w:hint="eastAsia" w:ascii="Times New Roman"/>
        </w:rPr>
        <w:t>一一开展该项研究的理由；</w:t>
      </w:r>
    </w:p>
    <w:p>
      <w:pPr>
        <w:pStyle w:val="56"/>
        <w:ind w:firstLine="420"/>
        <w:rPr>
          <w:rFonts w:ascii="Times New Roman"/>
        </w:rPr>
      </w:pPr>
      <w:r>
        <w:rPr>
          <w:rFonts w:hint="eastAsia" w:ascii="Times New Roman"/>
        </w:rPr>
        <w:t>一一目标受众（即研究结果的接收者）；</w:t>
      </w:r>
    </w:p>
    <w:p>
      <w:pPr>
        <w:pStyle w:val="56"/>
        <w:ind w:firstLine="420"/>
        <w:rPr>
          <w:rFonts w:ascii="Times New Roman"/>
        </w:rPr>
      </w:pPr>
      <w:r>
        <w:rPr>
          <w:rFonts w:hint="eastAsia" w:ascii="Times New Roman"/>
        </w:rPr>
        <w:t>一一根据ISO14026：2017的预期信息交流（如有）。</w:t>
      </w:r>
    </w:p>
    <w:p>
      <w:pPr>
        <w:pStyle w:val="104"/>
        <w:spacing w:before="312" w:after="312"/>
        <w:rPr>
          <w:rFonts w:ascii="Times New Roman"/>
        </w:rPr>
      </w:pPr>
      <w:bookmarkStart w:id="84" w:name="_Toc184200473"/>
      <w:bookmarkStart w:id="85" w:name="_Toc183023586"/>
      <w:bookmarkStart w:id="86" w:name="_Toc184199762"/>
      <w:bookmarkStart w:id="87" w:name="_Toc182386860"/>
      <w:bookmarkStart w:id="88" w:name="_Toc182389383"/>
      <w:bookmarkStart w:id="89" w:name="_Toc182385847"/>
      <w:bookmarkStart w:id="90" w:name="_Toc180498951"/>
      <w:r>
        <w:rPr>
          <w:rFonts w:hint="eastAsia" w:ascii="Times New Roman"/>
        </w:rPr>
        <w:t>量化</w:t>
      </w:r>
      <w:r>
        <w:rPr>
          <w:rFonts w:ascii="Times New Roman"/>
        </w:rPr>
        <w:t>范围</w:t>
      </w:r>
      <w:bookmarkEnd w:id="84"/>
      <w:bookmarkEnd w:id="85"/>
      <w:bookmarkEnd w:id="86"/>
      <w:bookmarkEnd w:id="87"/>
      <w:bookmarkEnd w:id="88"/>
      <w:bookmarkEnd w:id="89"/>
      <w:bookmarkEnd w:id="90"/>
    </w:p>
    <w:p>
      <w:pPr>
        <w:pStyle w:val="105"/>
        <w:spacing w:before="156" w:after="156"/>
        <w:rPr>
          <w:rFonts w:ascii="Times New Roman"/>
        </w:rPr>
      </w:pPr>
      <w:bookmarkStart w:id="91" w:name="_Toc182386861"/>
      <w:bookmarkStart w:id="92" w:name="_Toc182389384"/>
      <w:bookmarkStart w:id="93" w:name="_Toc182385848"/>
      <w:bookmarkStart w:id="94" w:name="_Toc184200474"/>
      <w:bookmarkStart w:id="95" w:name="_Toc183023587"/>
      <w:bookmarkStart w:id="96" w:name="_Toc184199763"/>
      <w:bookmarkStart w:id="97" w:name="_Toc182386862"/>
      <w:bookmarkStart w:id="98" w:name="_Toc182389385"/>
      <w:bookmarkStart w:id="99" w:name="_Toc182385849"/>
      <w:bookmarkStart w:id="100" w:name="_Toc180411315"/>
      <w:r>
        <w:rPr>
          <w:rFonts w:hint="eastAsia" w:ascii="Times New Roman"/>
        </w:rPr>
        <w:t>功能单位</w:t>
      </w:r>
      <w:bookmarkEnd w:id="91"/>
      <w:bookmarkEnd w:id="92"/>
      <w:bookmarkEnd w:id="93"/>
      <w:r>
        <w:rPr>
          <w:rFonts w:hint="eastAsia" w:ascii="Times New Roman"/>
        </w:rPr>
        <w:t>或</w:t>
      </w:r>
      <w:r>
        <w:rPr>
          <w:rFonts w:ascii="Times New Roman"/>
        </w:rPr>
        <w:t>声明单位</w:t>
      </w:r>
      <w:bookmarkEnd w:id="94"/>
      <w:bookmarkEnd w:id="95"/>
      <w:bookmarkEnd w:id="96"/>
    </w:p>
    <w:p>
      <w:pPr>
        <w:pStyle w:val="56"/>
        <w:ind w:firstLine="420"/>
        <w:rPr>
          <w:rFonts w:ascii="Times New Roman"/>
        </w:rPr>
      </w:pPr>
      <w:r>
        <w:rPr>
          <w:rFonts w:hint="eastAsia" w:ascii="Times New Roman"/>
        </w:rPr>
        <w:t>产品碳足迹核算应基于产品功能单位或声明单位进行。</w:t>
      </w:r>
    </w:p>
    <w:p>
      <w:pPr>
        <w:pStyle w:val="56"/>
        <w:ind w:firstLine="420"/>
        <w:rPr>
          <w:rFonts w:ascii="Times New Roman"/>
        </w:rPr>
      </w:pPr>
      <w:r>
        <w:rPr>
          <w:rFonts w:hint="eastAsia" w:ascii="Times New Roman"/>
        </w:rPr>
        <w:t>锂离子电池产品可提供以下两种不同的服务：</w:t>
      </w:r>
    </w:p>
    <w:p>
      <w:pPr>
        <w:pStyle w:val="174"/>
      </w:pPr>
      <w:r>
        <w:rPr>
          <w:rFonts w:hint="eastAsia"/>
        </w:rPr>
        <w:t>重复能量供应：对</w:t>
      </w:r>
      <w:r>
        <w:rPr>
          <w:rFonts w:hint="eastAsia" w:ascii="Times New Roman"/>
        </w:rPr>
        <w:t>锂离子电池产品</w:t>
      </w:r>
      <w:r>
        <w:rPr>
          <w:rFonts w:hint="eastAsia"/>
        </w:rPr>
        <w:t>进行重复充电放电循环，以为设备提供能量；</w:t>
      </w:r>
    </w:p>
    <w:p>
      <w:pPr>
        <w:pStyle w:val="174"/>
      </w:pPr>
      <w:r>
        <w:rPr>
          <w:rFonts w:hint="eastAsia"/>
        </w:rPr>
        <w:t>按需能量供应：使</w:t>
      </w:r>
      <w:r>
        <w:rPr>
          <w:rFonts w:hint="eastAsia" w:ascii="Times New Roman"/>
        </w:rPr>
        <w:t>锂离子电池产品</w:t>
      </w:r>
      <w:r>
        <w:rPr>
          <w:rFonts w:hint="eastAsia"/>
        </w:rPr>
        <w:t>长期保持充电状态，提供短时供电服务（如在停电时）。</w:t>
      </w:r>
    </w:p>
    <w:p>
      <w:pPr>
        <w:pStyle w:val="56"/>
        <w:ind w:firstLine="420"/>
        <w:rPr>
          <w:rFonts w:ascii="Times New Roman"/>
        </w:rPr>
      </w:pPr>
      <w:r>
        <w:rPr>
          <w:rFonts w:hint="eastAsia" w:ascii="Times New Roman"/>
        </w:rPr>
        <w:t>对于重复能量供应锂离子电池产品，其功能单位为在整个使用寿命内提供的总能量的1kW·h；对于按需能量供应的锂离子电池产品，其功能单位为在整个使用寿命内提供的备用能量的1kW·min，提供备用能量是指在给定功率下随时以高于最低电压连续放电而不中断。</w:t>
      </w:r>
    </w:p>
    <w:p>
      <w:pPr>
        <w:pStyle w:val="56"/>
        <w:ind w:firstLine="420"/>
        <w:rPr>
          <w:rFonts w:ascii="Times New Roman"/>
        </w:rPr>
      </w:pPr>
      <w:r>
        <w:rPr>
          <w:rFonts w:hint="eastAsia" w:ascii="Times New Roman"/>
        </w:rPr>
        <w:t>不同类型的锂离子电池产品在其使用寿命内向设备提供的总能量，可依据额定能量、生命周期可使用寿命、循环次数、能量效率、辅助设备能耗、寿命衰减率等参数进行计算。</w:t>
      </w:r>
    </w:p>
    <w:p>
      <w:pPr>
        <w:pStyle w:val="56"/>
        <w:ind w:firstLine="420"/>
        <w:rPr>
          <w:rFonts w:ascii="Times New Roman"/>
        </w:rPr>
      </w:pPr>
      <w:r>
        <w:rPr>
          <w:rFonts w:hint="eastAsia" w:ascii="Times New Roman"/>
        </w:rPr>
        <w:t>过程中或产品部分碳足迹可使用声明单位。</w:t>
      </w:r>
    </w:p>
    <w:p>
      <w:pPr>
        <w:pStyle w:val="105"/>
        <w:spacing w:before="156" w:after="156"/>
        <w:rPr>
          <w:rFonts w:ascii="Times New Roman"/>
        </w:rPr>
      </w:pPr>
      <w:bookmarkStart w:id="101" w:name="_Toc184199764"/>
      <w:bookmarkStart w:id="102" w:name="_Toc184200475"/>
      <w:bookmarkStart w:id="103" w:name="_Toc183023588"/>
      <w:r>
        <w:rPr>
          <w:rFonts w:hint="eastAsia" w:ascii="Times New Roman"/>
        </w:rPr>
        <w:t>总能量</w:t>
      </w:r>
      <w:bookmarkEnd w:id="101"/>
      <w:bookmarkEnd w:id="102"/>
      <w:bookmarkEnd w:id="103"/>
    </w:p>
    <w:p>
      <w:pPr>
        <w:pStyle w:val="56"/>
        <w:ind w:firstLine="420"/>
        <w:rPr>
          <w:rFonts w:ascii="Times New Roman"/>
        </w:rPr>
      </w:pPr>
      <w:r>
        <w:rPr>
          <w:rFonts w:hint="eastAsia" w:ascii="Times New Roman"/>
        </w:rPr>
        <w:t>锂离子电池总能量</w:t>
      </w:r>
      <w:r>
        <w:rPr>
          <w:rFonts w:ascii="Times New Roman"/>
        </w:rPr>
        <w:t>按</w:t>
      </w:r>
      <w:r>
        <w:rPr>
          <w:rFonts w:hint="eastAsia" w:ascii="Times New Roman"/>
        </w:rPr>
        <w:t>公式</w:t>
      </w:r>
      <w:r>
        <w:rPr>
          <w:rFonts w:ascii="Times New Roman"/>
        </w:rPr>
        <w:t>（</w:t>
      </w:r>
      <w:r>
        <w:rPr>
          <w:rFonts w:hint="eastAsia" w:ascii="Times New Roman"/>
        </w:rPr>
        <w:t>1</w:t>
      </w:r>
      <w:r>
        <w:rPr>
          <w:rFonts w:ascii="Times New Roman"/>
        </w:rPr>
        <w:t>）</w:t>
      </w:r>
      <w:r>
        <w:rPr>
          <w:rFonts w:hint="eastAsia" w:ascii="Times New Roman"/>
        </w:rPr>
        <w:t>计算</w:t>
      </w:r>
      <w:r>
        <w:rPr>
          <w:rFonts w:ascii="Times New Roman"/>
        </w:rPr>
        <w:t>，</w:t>
      </w:r>
    </w:p>
    <w:p>
      <w:pPr>
        <w:pStyle w:val="113"/>
      </w:pPr>
      <w:r>
        <w:tab/>
      </w:r>
      <m:oMath>
        <m:r>
          <m:rPr/>
          <w:rPr>
            <w:rFonts w:ascii="Cambria Math" w:hAnsi="Cambria Math"/>
          </w:rPr>
          <m:t>c=</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energy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count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soℎ</m:t>
            </m:r>
            <m:ctrlPr>
              <w:rPr>
                <w:rFonts w:ascii="Cambria Math" w:hAnsi="Cambria Math"/>
                <w:i/>
              </w:rPr>
            </m:ctrlPr>
          </m:sub>
        </m:sSub>
        <m:r>
          <m:rPr/>
          <w:rPr>
            <w:rFonts w:ascii="Cambria Math" w:hAnsi="Cambria Math"/>
          </w:rPr>
          <m:t xml:space="preserve"> ×K×</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Attenuation</m:t>
            </m:r>
            <m:ctrlPr>
              <w:rPr>
                <w:rFonts w:ascii="Cambria Math" w:hAnsi="Cambria Math"/>
                <w:i/>
              </w:rPr>
            </m:ctrlPr>
          </m:sub>
        </m:sSub>
        <m:r>
          <m:rPr/>
          <w:rPr>
            <w:rFonts w:ascii="Cambria Math" w:hAnsi="Cambria Math"/>
          </w:rPr>
          <m:t xml:space="preserve"> ×T</m:t>
        </m:r>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pPr>
      <m:oMath>
        <m:r>
          <m:rPr>
            <m:sty m:val="p"/>
          </m:rPr>
          <w:rPr>
            <w:rFonts w:ascii="Cambria Math" w:hAnsi="Cambria Math"/>
          </w:rPr>
          <m:t>c</m:t>
        </m:r>
      </m:oMath>
      <w:r>
        <w:rPr>
          <w:rFonts w:ascii="Times New Roman"/>
        </w:rPr>
        <w:t>——</w:t>
      </w:r>
      <w:r>
        <w:rPr>
          <w:rFonts w:hint="eastAsia" w:ascii="Times New Roman"/>
        </w:rPr>
        <w:t>锂离子电池提供的总能量，单位为千瓦时（kW·h）；</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energy</m:t>
            </m:r>
            <m:ctrlPr>
              <w:rPr>
                <w:rFonts w:ascii="Cambria Math" w:hAnsi="Cambria Math"/>
                <w:i/>
                <w:kern w:val="2"/>
                <w:szCs w:val="21"/>
              </w:rPr>
            </m:ctrlPr>
          </m:sub>
        </m:sSub>
      </m:oMath>
      <w:r>
        <w:rPr>
          <w:rFonts w:ascii="Times New Roman"/>
        </w:rPr>
        <w:t>——</w:t>
      </w:r>
      <w:r>
        <w:rPr>
          <w:rFonts w:hint="eastAsia" w:ascii="Times New Roman"/>
        </w:rPr>
        <w:t>电池和电池组提供的额定能量，单位为千瓦时（kW·h）等；</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count</m:t>
            </m:r>
            <m:ctrlPr>
              <w:rPr>
                <w:rFonts w:ascii="Cambria Math" w:hAnsi="Cambria Math"/>
                <w:i/>
                <w:kern w:val="2"/>
                <w:szCs w:val="21"/>
              </w:rPr>
            </m:ctrlPr>
          </m:sub>
        </m:sSub>
      </m:oMath>
      <w:r>
        <w:rPr>
          <w:rFonts w:ascii="Times New Roman"/>
        </w:rPr>
        <w:t>——</w:t>
      </w:r>
      <w:r>
        <w:rPr>
          <w:rFonts w:hint="eastAsia" w:ascii="Times New Roman"/>
        </w:rPr>
        <w:t>制造商规定的电池和电池组每年完全等效充放电循环的典型次数；</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K</m:t>
            </m:r>
            <m:ctrlPr>
              <w:rPr>
                <w:rFonts w:ascii="Cambria Math" w:hAnsi="Cambria Math"/>
                <w:i/>
                <w:kern w:val="2"/>
                <w:szCs w:val="21"/>
              </w:rPr>
            </m:ctrlPr>
          </m:e>
          <m:sub>
            <m:r>
              <m:rPr/>
              <w:rPr>
                <w:rFonts w:ascii="Cambria Math" w:hAnsi="Cambria Math"/>
              </w:rPr>
              <m:t>soℎ</m:t>
            </m:r>
            <m:ctrlPr>
              <w:rPr>
                <w:rFonts w:ascii="Cambria Math" w:hAnsi="Cambria Math"/>
                <w:i/>
                <w:kern w:val="2"/>
                <w:szCs w:val="21"/>
              </w:rPr>
            </m:ctrlPr>
          </m:sub>
        </m:sSub>
      </m:oMath>
      <w:r>
        <w:rPr>
          <w:rFonts w:ascii="Times New Roman"/>
        </w:rPr>
        <w:t>——</w:t>
      </w:r>
      <w:r>
        <w:rPr>
          <w:rFonts w:hint="eastAsia" w:ascii="Times New Roman"/>
        </w:rPr>
        <w:t>电池健康状态衰减率，即随着在一定条件下使用，额定能量会逐步降低，按</w:t>
      </w:r>
      <w:r>
        <w:rPr>
          <w:rFonts w:ascii="Times New Roman"/>
        </w:rPr>
        <w:t>统计期</w:t>
      </w:r>
      <w:r>
        <w:rPr>
          <w:rFonts w:hint="eastAsia" w:ascii="Times New Roman"/>
        </w:rPr>
        <w:t>内</w:t>
      </w:r>
      <w:r>
        <w:rPr>
          <w:rFonts w:ascii="Times New Roman"/>
        </w:rPr>
        <w:t>平均值计算</w:t>
      </w:r>
      <w:r>
        <w:rPr>
          <w:rFonts w:hint="eastAsia" w:ascii="Times New Roman"/>
        </w:rPr>
        <w:t>，单位为</w:t>
      </w:r>
      <w:r>
        <w:rPr>
          <w:rFonts w:ascii="Times New Roman"/>
        </w:rPr>
        <w:t>%</w:t>
      </w:r>
      <w:r>
        <w:rPr>
          <w:rFonts w:hint="eastAsia" w:ascii="Times New Roman"/>
        </w:rPr>
        <w:t>；</w:t>
      </w:r>
    </w:p>
    <w:p>
      <w:pPr>
        <w:pStyle w:val="56"/>
        <w:ind w:firstLine="420"/>
        <w:rPr>
          <w:rFonts w:ascii="Times New Roman"/>
        </w:rPr>
      </w:pPr>
      <m:oMath>
        <m:r>
          <m:rPr/>
          <w:rPr>
            <w:rFonts w:ascii="Cambria Math" w:hAnsi="Cambria Math"/>
          </w:rPr>
          <m:t>K</m:t>
        </m:r>
      </m:oMath>
      <w:r>
        <w:rPr>
          <w:rFonts w:ascii="Times New Roman"/>
        </w:rPr>
        <w:t>——</w:t>
      </w:r>
      <w:r>
        <w:rPr>
          <w:rFonts w:hint="eastAsia" w:ascii="Times New Roman"/>
        </w:rPr>
        <w:t>能量效率，即电池放电时输出的能量与此前充电时输入的能量之比的百分数，单位为%；</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K</m:t>
            </m:r>
            <m:ctrlPr>
              <w:rPr>
                <w:rFonts w:ascii="Cambria Math" w:hAnsi="Cambria Math"/>
                <w:i/>
                <w:kern w:val="2"/>
                <w:szCs w:val="21"/>
              </w:rPr>
            </m:ctrlPr>
          </m:e>
          <m:sub>
            <m:r>
              <m:rPr/>
              <w:rPr>
                <w:rFonts w:ascii="Cambria Math" w:hAnsi="Cambria Math"/>
              </w:rPr>
              <m:t>Attenuation</m:t>
            </m:r>
            <m:ctrlPr>
              <w:rPr>
                <w:rFonts w:ascii="Cambria Math" w:hAnsi="Cambria Math"/>
                <w:i/>
                <w:kern w:val="2"/>
                <w:szCs w:val="21"/>
              </w:rPr>
            </m:ctrlPr>
          </m:sub>
        </m:sSub>
      </m:oMath>
      <w:r>
        <w:rPr>
          <w:rFonts w:ascii="Times New Roman"/>
        </w:rPr>
        <w:t>——</w:t>
      </w:r>
      <w:r>
        <w:rPr>
          <w:rFonts w:hint="eastAsia" w:ascii="Times New Roman"/>
        </w:rPr>
        <w:t>能量效率衰减率，即随着在一定条件下使用，能减效率会逐步降低，直至生命终止，单位为%；</w:t>
      </w:r>
    </w:p>
    <w:p>
      <w:pPr>
        <w:pStyle w:val="56"/>
        <w:ind w:firstLine="420"/>
        <w:rPr>
          <w:rFonts w:ascii="Times New Roman"/>
        </w:rPr>
      </w:pPr>
      <w:r>
        <w:rPr>
          <w:rFonts w:hint="eastAsia" w:ascii="Times New Roman"/>
          <w:i/>
        </w:rPr>
        <w:t>T</w:t>
      </w:r>
      <w:r>
        <w:rPr>
          <w:rFonts w:ascii="Times New Roman"/>
        </w:rPr>
        <w:t>——</w:t>
      </w:r>
      <w:r>
        <w:rPr>
          <w:rFonts w:hint="eastAsia" w:ascii="Times New Roman"/>
        </w:rPr>
        <w:t>电池</w:t>
      </w:r>
      <w:r>
        <w:rPr>
          <w:rFonts w:ascii="Times New Roman"/>
        </w:rPr>
        <w:t>能量达到</w:t>
      </w:r>
      <w:r>
        <w:rPr>
          <w:rFonts w:hint="eastAsia" w:ascii="Times New Roman"/>
        </w:rPr>
        <w:t>70%的时间，单位为年。</w:t>
      </w:r>
    </w:p>
    <w:p>
      <w:pPr>
        <w:pStyle w:val="179"/>
      </w:pPr>
      <w:r>
        <w:rPr>
          <w:rFonts w:hint="eastAsia"/>
        </w:rPr>
        <w:t>以上公式参数可参考产品规格进行计算。</w:t>
      </w:r>
    </w:p>
    <w:p>
      <w:pPr>
        <w:pStyle w:val="105"/>
        <w:spacing w:before="156" w:after="156"/>
        <w:rPr>
          <w:rFonts w:ascii="Times New Roman"/>
        </w:rPr>
      </w:pPr>
      <w:bookmarkStart w:id="104" w:name="_Toc184200476"/>
      <w:bookmarkStart w:id="105" w:name="_Toc183023589"/>
      <w:bookmarkStart w:id="106" w:name="_Toc184199765"/>
      <w:r>
        <w:rPr>
          <w:rFonts w:hint="eastAsia" w:ascii="Times New Roman"/>
        </w:rPr>
        <w:t>系统边界</w:t>
      </w:r>
      <w:bookmarkEnd w:id="97"/>
      <w:bookmarkEnd w:id="98"/>
      <w:bookmarkEnd w:id="99"/>
      <w:bookmarkEnd w:id="104"/>
      <w:bookmarkEnd w:id="105"/>
      <w:bookmarkEnd w:id="106"/>
    </w:p>
    <w:p>
      <w:pPr>
        <w:pStyle w:val="65"/>
        <w:spacing w:before="156" w:after="156"/>
        <w:rPr>
          <w:rFonts w:ascii="Times New Roman"/>
        </w:rPr>
      </w:pPr>
      <w:r>
        <w:rPr>
          <w:rFonts w:hint="eastAsia" w:ascii="Times New Roman"/>
        </w:rPr>
        <w:t>概述</w:t>
      </w:r>
    </w:p>
    <w:p>
      <w:pPr>
        <w:pStyle w:val="56"/>
        <w:ind w:firstLine="420"/>
        <w:rPr>
          <w:rFonts w:ascii="Times New Roman"/>
        </w:rPr>
      </w:pPr>
      <w:r>
        <w:rPr>
          <w:rFonts w:hint="eastAsia" w:ascii="Times New Roman"/>
        </w:rPr>
        <w:t>锂离子电池产品系统边界的选择应与产品碳足迹核算的目标相一致，并应明确和解释用于建立系统边界的准则，如取舍准则等。</w:t>
      </w:r>
    </w:p>
    <w:p>
      <w:pPr>
        <w:pStyle w:val="56"/>
        <w:ind w:firstLine="420"/>
        <w:rPr>
          <w:rFonts w:ascii="Times New Roman"/>
        </w:rPr>
      </w:pPr>
      <w:r>
        <w:rPr>
          <w:rFonts w:hint="eastAsia" w:ascii="Times New Roman"/>
        </w:rPr>
        <w:t>在产品碳足迹核算报告对外发布时，系统边界的设定包含但不限于下列两种形式：</w:t>
      </w:r>
    </w:p>
    <w:p>
      <w:pPr>
        <w:pStyle w:val="174"/>
        <w:numPr>
          <w:ilvl w:val="0"/>
          <w:numId w:val="33"/>
        </w:numPr>
        <w:rPr>
          <w:rFonts w:ascii="Times New Roman"/>
        </w:rPr>
      </w:pPr>
      <w:r>
        <w:rPr>
          <w:rFonts w:hint="eastAsia" w:ascii="Times New Roman"/>
        </w:rPr>
        <w:t>涵盖从原材料获取到生命末期阶段的整个生命周期阶段的产品碳足迹核算；</w:t>
      </w:r>
    </w:p>
    <w:p>
      <w:pPr>
        <w:pStyle w:val="174"/>
        <w:rPr>
          <w:rFonts w:ascii="Times New Roman"/>
        </w:rPr>
      </w:pPr>
      <w:r>
        <w:rPr>
          <w:rFonts w:hint="eastAsia" w:ascii="Times New Roman"/>
        </w:rPr>
        <w:t>涵盖从原材料获取到产品离开制造工厂的产品碳足迹核算。</w:t>
      </w:r>
    </w:p>
    <w:p>
      <w:pPr>
        <w:pStyle w:val="56"/>
        <w:ind w:firstLine="420"/>
        <w:rPr>
          <w:rFonts w:ascii="Times New Roman"/>
        </w:rPr>
      </w:pPr>
      <w:r>
        <w:rPr>
          <w:rFonts w:hint="eastAsia" w:ascii="Times New Roman"/>
        </w:rPr>
        <w:t>在产品碳足迹核算报告内部使用时，系统边界的设定包含但不限于下列三种形式：</w:t>
      </w:r>
    </w:p>
    <w:p>
      <w:pPr>
        <w:pStyle w:val="174"/>
        <w:numPr>
          <w:ilvl w:val="0"/>
          <w:numId w:val="34"/>
        </w:numPr>
        <w:rPr>
          <w:rFonts w:ascii="Times New Roman"/>
        </w:rPr>
      </w:pPr>
      <w:r>
        <w:rPr>
          <w:rFonts w:hint="eastAsia" w:ascii="Times New Roman"/>
        </w:rPr>
        <w:t>从锂离子电池产品制造阶段到终端产品使用阶段的产品碳足迹核算；</w:t>
      </w:r>
    </w:p>
    <w:p>
      <w:pPr>
        <w:pStyle w:val="174"/>
        <w:rPr>
          <w:rFonts w:ascii="Times New Roman"/>
        </w:rPr>
      </w:pPr>
      <w:r>
        <w:rPr>
          <w:rFonts w:hint="eastAsia" w:ascii="Times New Roman"/>
        </w:rPr>
        <w:t>锂离子电池产品产品制造阶段的产品碳足迹核算；</w:t>
      </w:r>
    </w:p>
    <w:p>
      <w:pPr>
        <w:pStyle w:val="174"/>
        <w:rPr>
          <w:rFonts w:ascii="Times New Roman"/>
        </w:rPr>
      </w:pPr>
      <w:r>
        <w:rPr>
          <w:rFonts w:hint="eastAsia" w:ascii="Times New Roman"/>
        </w:rPr>
        <w:t>锂离子电池产品终端客户使用阶段的产品碳足迹核算。</w:t>
      </w:r>
    </w:p>
    <w:p>
      <w:pPr>
        <w:pStyle w:val="56"/>
        <w:ind w:firstLine="420"/>
        <w:rPr>
          <w:rFonts w:ascii="Times New Roman"/>
        </w:rPr>
      </w:pPr>
      <w:r>
        <w:rPr>
          <w:rFonts w:hint="eastAsia" w:ascii="Times New Roman"/>
        </w:rPr>
        <w:t>锂离子电池产品系统边界应包括原材料获取、制造、分销、使用和生命末期阶段，如图</w:t>
      </w:r>
      <w:r>
        <w:rPr>
          <w:rFonts w:ascii="Times New Roman"/>
        </w:rPr>
        <w:t>1</w:t>
      </w:r>
      <w:r>
        <w:rPr>
          <w:rFonts w:hint="eastAsia" w:ascii="Times New Roman"/>
        </w:rPr>
        <w:t>所示。</w:t>
      </w:r>
    </w:p>
    <w:p>
      <w:pPr>
        <w:pStyle w:val="56"/>
        <w:ind w:firstLine="199" w:firstLineChars="95"/>
        <w:jc w:val="center"/>
        <w:rPr>
          <w:rFonts w:ascii="Times New Roman"/>
        </w:rPr>
      </w:pPr>
      <w:r>
        <w:rPr>
          <w:rFonts w:ascii="Times New Roman"/>
        </w:rPr>
        <w:drawing>
          <wp:inline distT="0" distB="0" distL="0" distR="0">
            <wp:extent cx="5681980" cy="2661920"/>
            <wp:effectExtent l="0" t="0" r="0" b="0"/>
            <wp:docPr id="1" name="图片 1" descr="D:\联合会标准（汇总）\地方标准《温室气体 产品碳足迹 量化方法与要求 锂离子电池产品》\碳足迹-锂电池-11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联合会标准（汇总）\地方标准《温室气体 产品碳足迹 量化方法与要求 锂离子电池产品》\碳足迹-锂电池-111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89287" cy="2665513"/>
                    </a:xfrm>
                    <a:prstGeom prst="rect">
                      <a:avLst/>
                    </a:prstGeom>
                    <a:noFill/>
                    <a:ln>
                      <a:noFill/>
                    </a:ln>
                  </pic:spPr>
                </pic:pic>
              </a:graphicData>
            </a:graphic>
          </wp:inline>
        </w:drawing>
      </w:r>
    </w:p>
    <w:p>
      <w:pPr>
        <w:pStyle w:val="114"/>
        <w:spacing w:before="156" w:after="156"/>
      </w:pPr>
      <w:r>
        <w:rPr>
          <w:rFonts w:hint="eastAsia"/>
        </w:rPr>
        <w:t>锂离子电池产品系统边界示意图</w:t>
      </w:r>
    </w:p>
    <w:p>
      <w:pPr>
        <w:pStyle w:val="65"/>
        <w:spacing w:before="156" w:after="156"/>
        <w:rPr>
          <w:rFonts w:ascii="Times New Roman"/>
        </w:rPr>
      </w:pPr>
      <w:r>
        <w:rPr>
          <w:rFonts w:hint="eastAsia" w:ascii="Times New Roman"/>
        </w:rPr>
        <w:t>原材料获取阶段</w:t>
      </w:r>
    </w:p>
    <w:p>
      <w:pPr>
        <w:pStyle w:val="56"/>
        <w:ind w:firstLine="420"/>
        <w:rPr>
          <w:rFonts w:ascii="Times New Roman"/>
        </w:rPr>
      </w:pPr>
      <w:r>
        <w:rPr>
          <w:rFonts w:hint="eastAsia" w:ascii="Times New Roman"/>
        </w:rPr>
        <w:t>原材料获取阶段从自然界提取资源以及再生材料的回收和加工开始，到形成电池组件或电池组部件进入电池或电池组制造工厂结束。</w:t>
      </w:r>
    </w:p>
    <w:p>
      <w:pPr>
        <w:pStyle w:val="56"/>
        <w:ind w:firstLine="420"/>
        <w:rPr>
          <w:rFonts w:ascii="Times New Roman"/>
        </w:rPr>
      </w:pPr>
      <w:r>
        <w:rPr>
          <w:rFonts w:hint="eastAsia" w:ascii="Times New Roman"/>
        </w:rPr>
        <w:t>原材料获取阶段包括但不限于以下过程：</w:t>
      </w:r>
    </w:p>
    <w:p>
      <w:pPr>
        <w:pStyle w:val="174"/>
        <w:numPr>
          <w:ilvl w:val="0"/>
          <w:numId w:val="35"/>
        </w:numPr>
        <w:rPr>
          <w:rFonts w:ascii="Times New Roman"/>
        </w:rPr>
      </w:pPr>
      <w:r>
        <w:rPr>
          <w:rFonts w:hint="eastAsia" w:ascii="Times New Roman"/>
        </w:rPr>
        <w:t>原材料获取：原材料开采、加工（材料或化石燃料）以及再生材料的回收与加工。</w:t>
      </w:r>
    </w:p>
    <w:p>
      <w:pPr>
        <w:pStyle w:val="174"/>
        <w:numPr>
          <w:ilvl w:val="0"/>
          <w:numId w:val="35"/>
        </w:numPr>
        <w:rPr>
          <w:rFonts w:ascii="Times New Roman"/>
        </w:rPr>
      </w:pPr>
      <w:r>
        <w:rPr>
          <w:rFonts w:hint="eastAsia" w:ascii="Times New Roman"/>
        </w:rPr>
        <w:t>能源消耗：原材料或部件生产过程中的煤、天然气、电力等能源消耗；</w:t>
      </w:r>
    </w:p>
    <w:p>
      <w:pPr>
        <w:pStyle w:val="174"/>
        <w:numPr>
          <w:ilvl w:val="0"/>
          <w:numId w:val="35"/>
        </w:numPr>
        <w:rPr>
          <w:rFonts w:ascii="Times New Roman"/>
        </w:rPr>
      </w:pPr>
      <w:r>
        <w:rPr>
          <w:rFonts w:hint="eastAsia" w:ascii="Times New Roman"/>
        </w:rPr>
        <w:t>废弃物的产生和处理以及其他与材料或部件生产直接排放相关的过程；</w:t>
      </w:r>
    </w:p>
    <w:p>
      <w:pPr>
        <w:pStyle w:val="174"/>
        <w:numPr>
          <w:ilvl w:val="0"/>
          <w:numId w:val="35"/>
        </w:numPr>
        <w:rPr>
          <w:rFonts w:ascii="Times New Roman"/>
        </w:rPr>
      </w:pPr>
      <w:r>
        <w:rPr>
          <w:rFonts w:hint="eastAsia" w:ascii="Times New Roman"/>
        </w:rPr>
        <w:t>原材料运输至加工地点、生产过程的内部运输，以及电池组件或电池组部件从相应供应商生产地点运输到电池或电池组制造工厂。</w:t>
      </w:r>
    </w:p>
    <w:p>
      <w:pPr>
        <w:pStyle w:val="65"/>
        <w:spacing w:before="156" w:after="156"/>
        <w:rPr>
          <w:rFonts w:ascii="Times New Roman"/>
        </w:rPr>
      </w:pPr>
      <w:r>
        <w:rPr>
          <w:rFonts w:hint="eastAsia" w:ascii="Times New Roman"/>
        </w:rPr>
        <w:t>制造阶段</w:t>
      </w:r>
    </w:p>
    <w:p>
      <w:pPr>
        <w:pStyle w:val="56"/>
        <w:ind w:firstLine="420"/>
        <w:rPr>
          <w:rFonts w:ascii="Times New Roman"/>
        </w:rPr>
      </w:pPr>
      <w:r>
        <w:rPr>
          <w:rFonts w:hint="eastAsia" w:ascii="Times New Roman"/>
        </w:rPr>
        <w:t>制造阶段从电池生产原材料进入工厂开始，在最终产品离开工厂时结束。</w:t>
      </w:r>
    </w:p>
    <w:p>
      <w:pPr>
        <w:pStyle w:val="56"/>
        <w:ind w:firstLine="420"/>
        <w:rPr>
          <w:rFonts w:ascii="Times New Roman"/>
        </w:rPr>
      </w:pPr>
      <w:r>
        <w:rPr>
          <w:rFonts w:hint="eastAsia" w:ascii="Times New Roman"/>
        </w:rPr>
        <w:t>制造阶段包括但不限于以下过程：</w:t>
      </w:r>
    </w:p>
    <w:p>
      <w:pPr>
        <w:pStyle w:val="174"/>
        <w:numPr>
          <w:ilvl w:val="0"/>
          <w:numId w:val="36"/>
        </w:numPr>
        <w:rPr>
          <w:rFonts w:ascii="Times New Roman"/>
        </w:rPr>
      </w:pPr>
      <w:r>
        <w:rPr>
          <w:rFonts w:hint="eastAsia" w:ascii="Times New Roman"/>
        </w:rPr>
        <w:t>产品制造（包括电池电芯制造、外壳</w:t>
      </w:r>
      <w:r>
        <w:rPr>
          <w:rFonts w:ascii="Times New Roman"/>
        </w:rPr>
        <w:t>制造、</w:t>
      </w:r>
      <w:r>
        <w:rPr>
          <w:rFonts w:hint="eastAsia" w:ascii="Times New Roman"/>
        </w:rPr>
        <w:t>模块组装、电池组装、化成、检验和包装过程等）：</w:t>
      </w:r>
    </w:p>
    <w:p>
      <w:pPr>
        <w:pStyle w:val="174"/>
        <w:numPr>
          <w:ilvl w:val="0"/>
          <w:numId w:val="36"/>
        </w:numPr>
        <w:rPr>
          <w:rFonts w:ascii="Times New Roman"/>
        </w:rPr>
      </w:pPr>
      <w:r>
        <w:rPr>
          <w:rFonts w:hint="eastAsia" w:ascii="Times New Roman"/>
        </w:rPr>
        <w:t>制造阶段中能源、资源的消耗，废弃物的产生和处理以及其他与产品生产制造直接相关的过程。</w:t>
      </w:r>
    </w:p>
    <w:p>
      <w:pPr>
        <w:pStyle w:val="65"/>
        <w:spacing w:before="156" w:after="156"/>
        <w:rPr>
          <w:rFonts w:ascii="Times New Roman"/>
        </w:rPr>
      </w:pPr>
      <w:r>
        <w:rPr>
          <w:rFonts w:hint="eastAsia" w:ascii="Times New Roman"/>
        </w:rPr>
        <w:t>分销阶段</w:t>
      </w:r>
    </w:p>
    <w:p>
      <w:pPr>
        <w:pStyle w:val="56"/>
        <w:ind w:firstLine="420"/>
        <w:rPr>
          <w:rFonts w:ascii="Times New Roman"/>
        </w:rPr>
      </w:pPr>
      <w:r>
        <w:rPr>
          <w:rFonts w:hint="eastAsia" w:ascii="Times New Roman"/>
        </w:rPr>
        <w:t>分销阶段从最终产品离开工厂开始，到客户得到产品结束。一个产品在分销阶段可能发生多段式运输和销售，适用情况下包括在物流中心和零售地点的储存。</w:t>
      </w:r>
    </w:p>
    <w:p>
      <w:pPr>
        <w:pStyle w:val="56"/>
        <w:ind w:firstLine="420"/>
      </w:pPr>
      <w:r>
        <w:rPr>
          <w:rFonts w:hint="eastAsia" w:ascii="Times New Roman"/>
        </w:rPr>
        <w:t>分销阶段包括</w:t>
      </w:r>
      <w:r>
        <w:rPr>
          <w:rFonts w:hint="eastAsia"/>
        </w:rPr>
        <w:t>工厂、仓库、销售地点间的各类运输，包括空运、船运及陆路运输。</w:t>
      </w:r>
    </w:p>
    <w:p>
      <w:pPr>
        <w:pStyle w:val="65"/>
        <w:spacing w:before="156" w:after="156"/>
        <w:rPr>
          <w:rFonts w:ascii="Times New Roman"/>
        </w:rPr>
      </w:pPr>
      <w:r>
        <w:rPr>
          <w:rFonts w:hint="eastAsia" w:ascii="Times New Roman"/>
        </w:rPr>
        <w:t>使用</w:t>
      </w:r>
      <w:r>
        <w:rPr>
          <w:rFonts w:ascii="Times New Roman"/>
        </w:rPr>
        <w:t>阶段</w:t>
      </w:r>
    </w:p>
    <w:p>
      <w:pPr>
        <w:pStyle w:val="56"/>
        <w:ind w:firstLine="420"/>
        <w:rPr>
          <w:rFonts w:ascii="Times New Roman"/>
        </w:rPr>
      </w:pPr>
      <w:r>
        <w:rPr>
          <w:rFonts w:hint="eastAsia" w:ascii="Times New Roman"/>
        </w:rPr>
        <w:t>使用阶段从客户得到产品开始，到产品废弃结束。</w:t>
      </w:r>
    </w:p>
    <w:p>
      <w:pPr>
        <w:pStyle w:val="56"/>
        <w:ind w:firstLine="420"/>
        <w:rPr>
          <w:rFonts w:ascii="Times New Roman"/>
        </w:rPr>
      </w:pPr>
      <w:r>
        <w:rPr>
          <w:rFonts w:hint="eastAsia" w:ascii="Times New Roman"/>
        </w:rPr>
        <w:t>电池和电池组使用阶段的能量消耗定义为制造商应考虑其产品生命周期内的总能耗，应包括与电池组使用相关能效导致的能量损失、辅助设备能源消耗等。</w:t>
      </w:r>
    </w:p>
    <w:p>
      <w:pPr>
        <w:pStyle w:val="65"/>
        <w:spacing w:before="156" w:after="156"/>
        <w:rPr>
          <w:rFonts w:ascii="Times New Roman"/>
        </w:rPr>
      </w:pPr>
      <w:r>
        <w:rPr>
          <w:rFonts w:hint="eastAsia" w:ascii="Times New Roman"/>
        </w:rPr>
        <w:t>生命末期阶段</w:t>
      </w:r>
    </w:p>
    <w:p>
      <w:pPr>
        <w:pStyle w:val="56"/>
        <w:ind w:firstLine="420"/>
        <w:rPr>
          <w:rFonts w:ascii="Times New Roman"/>
        </w:rPr>
      </w:pPr>
      <w:r>
        <w:rPr>
          <w:rFonts w:hint="eastAsia" w:ascii="Times New Roman"/>
        </w:rPr>
        <w:t>生命末期阶段从产品废弃开始，到产品回归到自然或进入另一种产品的生命周期结束。</w:t>
      </w:r>
    </w:p>
    <w:p>
      <w:pPr>
        <w:pStyle w:val="56"/>
        <w:ind w:firstLine="420"/>
        <w:rPr>
          <w:rFonts w:ascii="Times New Roman"/>
        </w:rPr>
      </w:pPr>
      <w:r>
        <w:rPr>
          <w:rFonts w:hint="eastAsia" w:ascii="Times New Roman"/>
        </w:rPr>
        <w:t>基于核算系统边界相统一和避免重复计算的原则，生命末期阶段仅针对于未进入下游回收流程的报废电池（无回收潜力或有回收潜力但直接被处置的部分电池</w:t>
      </w:r>
      <w:r>
        <w:rPr>
          <w:rFonts w:ascii="Times New Roman"/>
        </w:rPr>
        <w:t>产品</w:t>
      </w:r>
      <w:r>
        <w:rPr>
          <w:rFonts w:hint="eastAsia" w:ascii="Times New Roman"/>
        </w:rPr>
        <w:t>），不包括与回收再生相关的自报废电池</w:t>
      </w:r>
      <w:r>
        <w:rPr>
          <w:rFonts w:ascii="Times New Roman"/>
        </w:rPr>
        <w:t>产品</w:t>
      </w:r>
      <w:r>
        <w:rPr>
          <w:rFonts w:hint="eastAsia" w:ascii="Times New Roman"/>
        </w:rPr>
        <w:t>收集运输起的下游各工序。</w:t>
      </w:r>
    </w:p>
    <w:p>
      <w:pPr>
        <w:pStyle w:val="65"/>
        <w:spacing w:before="156" w:after="156"/>
        <w:jc w:val="left"/>
        <w:rPr>
          <w:rFonts w:ascii="Times New Roman"/>
        </w:rPr>
      </w:pPr>
      <w:r>
        <w:rPr>
          <w:rFonts w:hint="eastAsia" w:ascii="Times New Roman"/>
        </w:rPr>
        <w:t>取舍原则</w:t>
      </w:r>
    </w:p>
    <w:p>
      <w:pPr>
        <w:pStyle w:val="56"/>
        <w:ind w:firstLine="420"/>
        <w:rPr>
          <w:rFonts w:ascii="Times New Roman"/>
        </w:rPr>
      </w:pPr>
      <w:r>
        <w:rPr>
          <w:rFonts w:hint="eastAsia" w:ascii="Times New Roman"/>
        </w:rPr>
        <w:t>生产过程数据种类很多，应对数据进行适当的取舍，取舍准则如下：</w:t>
      </w:r>
    </w:p>
    <w:p>
      <w:pPr>
        <w:pStyle w:val="174"/>
        <w:numPr>
          <w:ilvl w:val="0"/>
          <w:numId w:val="37"/>
        </w:numPr>
      </w:pPr>
      <w:r>
        <w:rPr>
          <w:rFonts w:hint="eastAsia"/>
        </w:rPr>
        <w:t>对于每个产品组件，输入质量占比小于</w:t>
      </w:r>
      <w:r>
        <w:t>1%</w:t>
      </w:r>
      <w:r>
        <w:rPr>
          <w:rFonts w:hint="eastAsia"/>
        </w:rPr>
        <w:t>的材料可舍去，但为了保持输入材料质量平衡，应将舍去的材料质量加到相同系统组件中的碳足迹最高的输入材料中；</w:t>
      </w:r>
    </w:p>
    <w:p>
      <w:pPr>
        <w:pStyle w:val="174"/>
      </w:pPr>
      <w:r>
        <w:rPr>
          <w:rFonts w:hint="eastAsia"/>
        </w:rPr>
        <w:t>各生命周期阶段生产设备的制造，可以舍去；</w:t>
      </w:r>
    </w:p>
    <w:p>
      <w:pPr>
        <w:pStyle w:val="174"/>
      </w:pPr>
      <w:r>
        <w:rPr>
          <w:rFonts w:hint="eastAsia"/>
        </w:rPr>
        <w:t>与生产过程没有直接关系的制造厂的附属生产设施（如相关办公用房的加热和照明、辅助服务、销售过程、行政和研究部门等）可以舍去；</w:t>
      </w:r>
    </w:p>
    <w:p>
      <w:pPr>
        <w:pStyle w:val="174"/>
      </w:pPr>
      <w:r>
        <w:rPr>
          <w:rFonts w:hint="eastAsia"/>
        </w:rPr>
        <w:t>应量化对产品碳足迹有实质性贡献的所有温室气体的排放；</w:t>
      </w:r>
    </w:p>
    <w:p>
      <w:pPr>
        <w:pStyle w:val="174"/>
      </w:pPr>
      <w:r>
        <w:rPr>
          <w:rFonts w:hint="eastAsia"/>
        </w:rPr>
        <w:t>应量化至少95%与功能单位相关的生命周期内预计会产生的排放；</w:t>
      </w:r>
    </w:p>
    <w:p>
      <w:pPr>
        <w:pStyle w:val="174"/>
      </w:pPr>
      <w:r>
        <w:rPr>
          <w:rFonts w:hint="eastAsia"/>
        </w:rPr>
        <w:t>取舍准则不适用于有毒有害物质，任何有毒有害的材料和物质均应包含于报告清单中；</w:t>
      </w:r>
    </w:p>
    <w:p>
      <w:pPr>
        <w:pStyle w:val="174"/>
      </w:pPr>
      <w:r>
        <w:rPr>
          <w:rFonts w:hint="eastAsia"/>
        </w:rPr>
        <w:t>舍去部分应有书面记录并说明舍去原因。</w:t>
      </w:r>
    </w:p>
    <w:bookmarkEnd w:id="100"/>
    <w:p>
      <w:pPr>
        <w:pStyle w:val="104"/>
        <w:spacing w:before="312" w:after="312"/>
        <w:rPr>
          <w:rFonts w:ascii="Times New Roman"/>
        </w:rPr>
      </w:pPr>
      <w:bookmarkStart w:id="107" w:name="_Toc184199766"/>
      <w:bookmarkStart w:id="108" w:name="_Toc184200477"/>
      <w:bookmarkStart w:id="109" w:name="_Toc183023590"/>
      <w:bookmarkStart w:id="110" w:name="_Toc180498955"/>
      <w:bookmarkStart w:id="111" w:name="_Toc182389386"/>
      <w:bookmarkStart w:id="112" w:name="_Toc182385850"/>
      <w:bookmarkStart w:id="113" w:name="_Toc180411321"/>
      <w:bookmarkStart w:id="114" w:name="_Toc182386863"/>
      <w:r>
        <w:rPr>
          <w:rFonts w:hint="eastAsia" w:ascii="Times New Roman"/>
        </w:rPr>
        <w:t>清单</w:t>
      </w:r>
      <w:r>
        <w:rPr>
          <w:rFonts w:ascii="Times New Roman"/>
        </w:rPr>
        <w:t>分析</w:t>
      </w:r>
      <w:bookmarkEnd w:id="107"/>
      <w:bookmarkEnd w:id="108"/>
      <w:bookmarkEnd w:id="109"/>
      <w:bookmarkEnd w:id="110"/>
      <w:bookmarkEnd w:id="111"/>
      <w:bookmarkEnd w:id="112"/>
      <w:bookmarkEnd w:id="113"/>
      <w:bookmarkEnd w:id="114"/>
    </w:p>
    <w:p>
      <w:pPr>
        <w:pStyle w:val="105"/>
        <w:spacing w:before="156" w:after="156"/>
        <w:rPr>
          <w:rFonts w:ascii="Times New Roman"/>
        </w:rPr>
      </w:pPr>
      <w:bookmarkStart w:id="115" w:name="_Toc182389387"/>
      <w:bookmarkStart w:id="116" w:name="_Toc184200478"/>
      <w:bookmarkStart w:id="117" w:name="_Toc183023591"/>
      <w:bookmarkStart w:id="118" w:name="_Toc184199767"/>
      <w:bookmarkStart w:id="119" w:name="_Toc182386864"/>
      <w:bookmarkStart w:id="120" w:name="_Toc180498956"/>
      <w:bookmarkStart w:id="121" w:name="_Toc182385851"/>
      <w:bookmarkStart w:id="122" w:name="_Toc180411322"/>
      <w:r>
        <w:rPr>
          <w:rFonts w:hint="eastAsia" w:ascii="Times New Roman"/>
        </w:rPr>
        <w:t>数据收集和</w:t>
      </w:r>
      <w:r>
        <w:rPr>
          <w:rFonts w:ascii="Times New Roman"/>
        </w:rPr>
        <w:t>确认</w:t>
      </w:r>
      <w:bookmarkEnd w:id="115"/>
      <w:bookmarkEnd w:id="116"/>
      <w:bookmarkEnd w:id="117"/>
      <w:bookmarkEnd w:id="118"/>
      <w:bookmarkEnd w:id="119"/>
      <w:bookmarkEnd w:id="120"/>
      <w:bookmarkEnd w:id="121"/>
      <w:bookmarkEnd w:id="122"/>
    </w:p>
    <w:p>
      <w:pPr>
        <w:pStyle w:val="65"/>
        <w:spacing w:before="156" w:after="156"/>
        <w:rPr>
          <w:rFonts w:ascii="Times New Roman"/>
        </w:rPr>
      </w:pPr>
      <w:r>
        <w:rPr>
          <w:rFonts w:hint="eastAsia" w:ascii="Times New Roman"/>
        </w:rPr>
        <w:t>概述</w:t>
      </w:r>
    </w:p>
    <w:p>
      <w:pPr>
        <w:pStyle w:val="56"/>
        <w:ind w:firstLine="420"/>
        <w:rPr>
          <w:rFonts w:ascii="Times New Roman"/>
        </w:rPr>
      </w:pPr>
      <w:r>
        <w:rPr>
          <w:rFonts w:hint="eastAsia" w:ascii="Times New Roman"/>
        </w:rPr>
        <w:t>对于系统边界内的所有单元过程，应收集纳入生命周期清单中的定量数据。这些数据是通过测量、计算或估算得到的，用来量化单元过程的输入和输出。</w:t>
      </w:r>
    </w:p>
    <w:p>
      <w:pPr>
        <w:pStyle w:val="56"/>
        <w:ind w:firstLine="420"/>
        <w:rPr>
          <w:rFonts w:ascii="Times New Roman"/>
        </w:rPr>
      </w:pPr>
      <w:r>
        <w:rPr>
          <w:rFonts w:hint="eastAsia" w:ascii="Times New Roman"/>
        </w:rPr>
        <w:t>对于可能对研究结论有显著影响的数据，应说明相关数据的收集过程、收集时间以及数据质量的详细信息。如果这些数据不符合数据质量的要求，也应做出说明。</w:t>
      </w:r>
    </w:p>
    <w:p>
      <w:pPr>
        <w:pStyle w:val="56"/>
        <w:ind w:firstLine="420"/>
        <w:rPr>
          <w:rFonts w:ascii="Times New Roman"/>
        </w:rPr>
      </w:pPr>
      <w:r>
        <w:rPr>
          <w:rFonts w:hint="eastAsia" w:ascii="Times New Roman"/>
        </w:rPr>
        <w:t>对于初级数据，应收集年平均数据，如相关过程运行未超过一年，可以在有文字说明的情况下采用不同时间段的数据。</w:t>
      </w:r>
    </w:p>
    <w:p>
      <w:pPr>
        <w:pStyle w:val="65"/>
        <w:spacing w:before="156" w:after="156"/>
        <w:rPr>
          <w:rFonts w:ascii="Times New Roman"/>
        </w:rPr>
      </w:pPr>
      <w:bookmarkStart w:id="123" w:name="_Toc180411323"/>
      <w:bookmarkStart w:id="124" w:name="_Toc180498957"/>
      <w:r>
        <w:rPr>
          <w:rFonts w:hint="eastAsia" w:ascii="Times New Roman"/>
        </w:rPr>
        <w:t>数据质量</w:t>
      </w:r>
      <w:bookmarkEnd w:id="123"/>
      <w:bookmarkEnd w:id="124"/>
      <w:r>
        <w:rPr>
          <w:rFonts w:hint="eastAsia" w:ascii="Times New Roman"/>
        </w:rPr>
        <w:t>要求</w:t>
      </w:r>
    </w:p>
    <w:p>
      <w:pPr>
        <w:pStyle w:val="56"/>
        <w:ind w:firstLine="420"/>
        <w:rPr>
          <w:rFonts w:ascii="Times New Roman"/>
        </w:rPr>
      </w:pPr>
      <w:r>
        <w:rPr>
          <w:rFonts w:hint="eastAsia" w:ascii="Times New Roman"/>
        </w:rPr>
        <w:t>在确定产品碳足迹量化所使用的初级数据和次级数据时，应优先考虑以下方面：</w:t>
      </w:r>
    </w:p>
    <w:p>
      <w:pPr>
        <w:pStyle w:val="174"/>
        <w:numPr>
          <w:ilvl w:val="0"/>
          <w:numId w:val="38"/>
        </w:numPr>
      </w:pPr>
      <w:r>
        <w:rPr>
          <w:rFonts w:hint="eastAsia"/>
        </w:rPr>
        <w:t>覆盖范围：数据的覆盖范围与产品系统边界保持一致，且能够满足产品碳足迹量化的需要；</w:t>
      </w:r>
    </w:p>
    <w:p>
      <w:pPr>
        <w:pStyle w:val="174"/>
      </w:pPr>
      <w:r>
        <w:rPr>
          <w:rFonts w:hint="eastAsia"/>
        </w:rPr>
        <w:t>地理代表性：收集数据所在的地理区域，以及针对具有地理特性的产品的具体数据；</w:t>
      </w:r>
    </w:p>
    <w:p>
      <w:pPr>
        <w:pStyle w:val="174"/>
      </w:pPr>
      <w:r>
        <w:rPr>
          <w:rFonts w:hint="eastAsia"/>
        </w:rPr>
        <w:t>技术代表性：数据是否针对具体某项技术或一套混合技术，以及针对产品的具体技术数据；</w:t>
      </w:r>
    </w:p>
    <w:p>
      <w:pPr>
        <w:pStyle w:val="174"/>
      </w:pPr>
      <w:r>
        <w:rPr>
          <w:rFonts w:hint="eastAsia"/>
        </w:rPr>
        <w:t>时间代表性：数据的年份和收集数据的最小时间长度；</w:t>
      </w:r>
    </w:p>
    <w:p>
      <w:pPr>
        <w:pStyle w:val="174"/>
      </w:pPr>
      <w:r>
        <w:rPr>
          <w:rFonts w:hint="eastAsia"/>
        </w:rPr>
        <w:t>精度：当数据、模式和假设等存在多种选择时，应优先考虑最准确的数据；</w:t>
      </w:r>
    </w:p>
    <w:p>
      <w:pPr>
        <w:pStyle w:val="174"/>
      </w:pPr>
      <w:r>
        <w:rPr>
          <w:rFonts w:hint="eastAsia"/>
        </w:rPr>
        <w:t>完整性：数据采样范围应足够大，数据取舍应满足</w:t>
      </w:r>
      <w:r>
        <w:t>5.3.7</w:t>
      </w:r>
      <w:r>
        <w:rPr>
          <w:rFonts w:hint="eastAsia"/>
        </w:rPr>
        <w:t>的取舍准则；</w:t>
      </w:r>
    </w:p>
    <w:p>
      <w:pPr>
        <w:pStyle w:val="174"/>
      </w:pPr>
      <w:r>
        <w:rPr>
          <w:rFonts w:hint="eastAsia"/>
        </w:rPr>
        <w:t>一致性：数据收集时应保持相同的数据来源、统计口径、处理规则等；</w:t>
      </w:r>
    </w:p>
    <w:p>
      <w:pPr>
        <w:pStyle w:val="174"/>
      </w:pPr>
      <w:r>
        <w:rPr>
          <w:rFonts w:hint="eastAsia"/>
        </w:rPr>
        <w:t>可再现性：有关方法和数据值的信息应能允许独立的专人再现研究的结果；</w:t>
      </w:r>
    </w:p>
    <w:p>
      <w:pPr>
        <w:pStyle w:val="174"/>
      </w:pPr>
      <w:r>
        <w:rPr>
          <w:rFonts w:hint="eastAsia"/>
        </w:rPr>
        <w:t>数据来源：当初级数据易于获取时，产品碳足迹的量化应优先使用初级数据；用于产品碳足迹量化的所有数据，其获得方式和来源均应予以说明；</w:t>
      </w:r>
    </w:p>
    <w:p>
      <w:pPr>
        <w:pStyle w:val="174"/>
      </w:pPr>
      <w:r>
        <w:rPr>
          <w:rFonts w:hint="eastAsia"/>
        </w:rPr>
        <w:t>不确定性：尽可能使用现有的最准确的数据，以减少偏差和不确定性。</w:t>
      </w:r>
    </w:p>
    <w:p>
      <w:pPr>
        <w:pStyle w:val="65"/>
        <w:spacing w:before="156" w:after="156"/>
        <w:rPr>
          <w:rFonts w:ascii="Times New Roman"/>
        </w:rPr>
      </w:pPr>
      <w:r>
        <w:rPr>
          <w:rFonts w:hint="eastAsia" w:ascii="Times New Roman"/>
        </w:rPr>
        <w:t>原材料获取阶段</w:t>
      </w:r>
    </w:p>
    <w:p>
      <w:pPr>
        <w:pStyle w:val="56"/>
        <w:ind w:firstLine="420"/>
        <w:rPr>
          <w:rFonts w:ascii="Times New Roman"/>
        </w:rPr>
      </w:pPr>
      <w:r>
        <w:rPr>
          <w:rFonts w:hint="eastAsia" w:ascii="Times New Roman"/>
        </w:rPr>
        <w:t>以下过程（含再生材料及原生材料）应收集初级数据：</w:t>
      </w:r>
    </w:p>
    <w:p>
      <w:pPr>
        <w:pStyle w:val="174"/>
        <w:numPr>
          <w:ilvl w:val="0"/>
          <w:numId w:val="39"/>
        </w:numPr>
        <w:rPr>
          <w:rFonts w:ascii="Times New Roman"/>
        </w:rPr>
      </w:pPr>
      <w:r>
        <w:rPr>
          <w:rFonts w:hint="eastAsia" w:ascii="Times New Roman"/>
        </w:rPr>
        <w:t>正极活性材料的生产、负极活性材料的生产以及电解质的生产；</w:t>
      </w:r>
    </w:p>
    <w:p>
      <w:pPr>
        <w:pStyle w:val="174"/>
        <w:rPr>
          <w:rFonts w:ascii="Times New Roman"/>
        </w:rPr>
      </w:pPr>
      <w:r>
        <w:rPr>
          <w:rFonts w:hint="eastAsia" w:ascii="Times New Roman"/>
        </w:rPr>
        <w:t>原材料运输至加工地点、生产过程的内部运输，以及电池组件或电池组部件从相应供应商生产地点运输到电池或电池组制造工厂。</w:t>
      </w:r>
    </w:p>
    <w:p>
      <w:pPr>
        <w:pStyle w:val="179"/>
        <w:rPr>
          <w:rFonts w:ascii="Times New Roman"/>
        </w:rPr>
      </w:pPr>
      <w:r>
        <w:rPr>
          <w:rFonts w:hint="eastAsia" w:ascii="Times New Roman"/>
        </w:rPr>
        <w:t>运输距离可以通过地图进行估算，计算规则和相关假设应该在报告中进行说明。</w:t>
      </w:r>
    </w:p>
    <w:p>
      <w:pPr>
        <w:pStyle w:val="56"/>
        <w:ind w:firstLine="420"/>
        <w:rPr>
          <w:rFonts w:ascii="Times New Roman"/>
        </w:rPr>
      </w:pPr>
      <w:r>
        <w:rPr>
          <w:rFonts w:hint="eastAsia" w:ascii="Times New Roman"/>
        </w:rPr>
        <w:t>以下过程（含再生材料及原生材料）可收集次级数据：</w:t>
      </w:r>
    </w:p>
    <w:p>
      <w:pPr>
        <w:pStyle w:val="174"/>
        <w:numPr>
          <w:ilvl w:val="0"/>
          <w:numId w:val="40"/>
        </w:numPr>
        <w:rPr>
          <w:rFonts w:ascii="Times New Roman"/>
        </w:rPr>
      </w:pPr>
      <w:r>
        <w:rPr>
          <w:rFonts w:hint="eastAsia" w:ascii="Times New Roman"/>
        </w:rPr>
        <w:t>金属材料、电池外壳和热调节系统等零部件的生产；</w:t>
      </w:r>
    </w:p>
    <w:p>
      <w:pPr>
        <w:pStyle w:val="174"/>
        <w:rPr>
          <w:rFonts w:ascii="Times New Roman"/>
        </w:rPr>
      </w:pPr>
      <w:r>
        <w:rPr>
          <w:rFonts w:hint="eastAsia" w:ascii="Times New Roman"/>
        </w:rPr>
        <w:t>基础原材料提取、成型、精炼、生产等过程；</w:t>
      </w:r>
    </w:p>
    <w:p>
      <w:pPr>
        <w:pStyle w:val="174"/>
        <w:rPr>
          <w:rFonts w:ascii="Times New Roman"/>
        </w:rPr>
      </w:pPr>
      <w:r>
        <w:rPr>
          <w:rFonts w:hint="eastAsia" w:ascii="Times New Roman"/>
        </w:rPr>
        <w:t>包装材料生产相关的过程；</w:t>
      </w:r>
    </w:p>
    <w:p>
      <w:pPr>
        <w:pStyle w:val="174"/>
        <w:rPr>
          <w:rFonts w:ascii="Times New Roman"/>
        </w:rPr>
      </w:pPr>
      <w:r>
        <w:rPr>
          <w:rFonts w:hint="eastAsia" w:ascii="Times New Roman"/>
        </w:rPr>
        <w:t>能源的开采生产、输送相关的过程。</w:t>
      </w:r>
    </w:p>
    <w:p>
      <w:pPr>
        <w:pStyle w:val="179"/>
        <w:rPr>
          <w:rFonts w:ascii="Times New Roman"/>
        </w:rPr>
      </w:pPr>
      <w:r>
        <w:rPr>
          <w:rFonts w:hint="eastAsia" w:ascii="Times New Roman"/>
        </w:rPr>
        <w:t>与运输、原材料生产等过程相关的温室气体排放因子可收集次级数据。</w:t>
      </w:r>
    </w:p>
    <w:p>
      <w:pPr>
        <w:pStyle w:val="65"/>
        <w:spacing w:before="156" w:after="156"/>
        <w:rPr>
          <w:rFonts w:ascii="Times New Roman"/>
        </w:rPr>
      </w:pPr>
      <w:r>
        <w:rPr>
          <w:rFonts w:hint="eastAsia" w:ascii="Times New Roman"/>
        </w:rPr>
        <w:t>制造阶段</w:t>
      </w:r>
    </w:p>
    <w:p>
      <w:pPr>
        <w:pStyle w:val="56"/>
        <w:ind w:firstLine="420"/>
        <w:rPr>
          <w:rFonts w:ascii="Times New Roman"/>
        </w:rPr>
      </w:pPr>
      <w:r>
        <w:rPr>
          <w:rFonts w:hint="eastAsia" w:ascii="Times New Roman"/>
        </w:rPr>
        <w:t>以下过程应收集初级数据：</w:t>
      </w:r>
    </w:p>
    <w:p>
      <w:pPr>
        <w:pStyle w:val="174"/>
        <w:numPr>
          <w:ilvl w:val="0"/>
          <w:numId w:val="41"/>
        </w:numPr>
        <w:rPr>
          <w:rFonts w:ascii="Times New Roman"/>
        </w:rPr>
      </w:pPr>
      <w:r>
        <w:rPr>
          <w:rFonts w:hint="eastAsia" w:ascii="Times New Roman"/>
        </w:rPr>
        <w:t>电池制造，包括极片制造（负极/正极匀浆、涂布、干燥、辊压、分切、烘烤等工序）、叠片或卷绕、装配、烘烤、注液、测试等过程；</w:t>
      </w:r>
    </w:p>
    <w:p>
      <w:pPr>
        <w:pStyle w:val="174"/>
        <w:rPr>
          <w:rFonts w:ascii="Times New Roman"/>
        </w:rPr>
      </w:pPr>
      <w:r>
        <w:rPr>
          <w:rFonts w:hint="eastAsia" w:ascii="Times New Roman"/>
        </w:rPr>
        <w:t>模块组装，包括将电池与电子部件、结构部件（如外壳）组装在一起的过程；</w:t>
      </w:r>
    </w:p>
    <w:p>
      <w:pPr>
        <w:pStyle w:val="174"/>
        <w:rPr>
          <w:rFonts w:ascii="Times New Roman"/>
        </w:rPr>
      </w:pPr>
      <w:r>
        <w:rPr>
          <w:rFonts w:hint="eastAsia" w:ascii="Times New Roman"/>
        </w:rPr>
        <w:t>电池组组装，包括将模块（或电池）组装在电池组系统外壳中，模块（或电池）与电子部件、机械部件（例如电池组系统外壳或冷却系统）组装在一起的过程；</w:t>
      </w:r>
    </w:p>
    <w:p>
      <w:pPr>
        <w:pStyle w:val="174"/>
        <w:rPr>
          <w:rFonts w:ascii="Times New Roman"/>
        </w:rPr>
      </w:pPr>
      <w:r>
        <w:rPr>
          <w:rFonts w:hint="eastAsia" w:ascii="Times New Roman"/>
        </w:rPr>
        <w:t>中间产品和最终产品制造阶段的内部转运运输。</w:t>
      </w:r>
    </w:p>
    <w:p>
      <w:pPr>
        <w:pStyle w:val="179"/>
        <w:rPr>
          <w:rFonts w:ascii="Times New Roman"/>
        </w:rPr>
      </w:pPr>
      <w:r>
        <w:rPr>
          <w:rFonts w:hint="eastAsia" w:ascii="Times New Roman"/>
        </w:rPr>
        <w:t>与运输、制造、组装相关生产过程的温室气体排放因子可收集次级数据。</w:t>
      </w:r>
    </w:p>
    <w:p>
      <w:pPr>
        <w:pStyle w:val="65"/>
        <w:spacing w:before="156" w:after="156"/>
        <w:rPr>
          <w:rFonts w:ascii="Times New Roman"/>
        </w:rPr>
      </w:pPr>
      <w:r>
        <w:rPr>
          <w:rFonts w:hint="eastAsia" w:ascii="Times New Roman"/>
        </w:rPr>
        <w:t>分销阶段</w:t>
      </w:r>
    </w:p>
    <w:p>
      <w:pPr>
        <w:pStyle w:val="56"/>
        <w:ind w:firstLine="420"/>
        <w:rPr>
          <w:rFonts w:ascii="Times New Roman"/>
        </w:rPr>
      </w:pPr>
      <w:r>
        <w:rPr>
          <w:rFonts w:hint="eastAsia" w:ascii="Times New Roman"/>
        </w:rPr>
        <w:t>以下项目应收集初级数据：</w:t>
      </w:r>
    </w:p>
    <w:p>
      <w:pPr>
        <w:pStyle w:val="174"/>
        <w:numPr>
          <w:ilvl w:val="0"/>
          <w:numId w:val="42"/>
        </w:numPr>
        <w:rPr>
          <w:rFonts w:ascii="Times New Roman"/>
        </w:rPr>
      </w:pPr>
      <w:r>
        <w:rPr>
          <w:rFonts w:hint="eastAsia" w:ascii="Times New Roman"/>
        </w:rPr>
        <w:t>每种运输方式的产品运输的数量和重量；</w:t>
      </w:r>
    </w:p>
    <w:p>
      <w:pPr>
        <w:pStyle w:val="174"/>
        <w:rPr>
          <w:rFonts w:ascii="Times New Roman"/>
        </w:rPr>
      </w:pPr>
      <w:r>
        <w:rPr>
          <w:rFonts w:hint="eastAsia" w:ascii="Times New Roman"/>
        </w:rPr>
        <w:t>每种运输方式的公里数。</w:t>
      </w:r>
    </w:p>
    <w:p>
      <w:pPr>
        <w:pStyle w:val="179"/>
        <w:rPr>
          <w:rFonts w:ascii="Times New Roman"/>
        </w:rPr>
      </w:pPr>
      <w:r>
        <w:rPr>
          <w:rFonts w:hint="eastAsia" w:ascii="Times New Roman"/>
        </w:rPr>
        <w:t>与运输相关的温室气体排放因子可收集次级数据。</w:t>
      </w:r>
    </w:p>
    <w:p>
      <w:pPr>
        <w:pStyle w:val="65"/>
        <w:spacing w:before="156" w:after="156"/>
        <w:rPr>
          <w:rFonts w:ascii="Times New Roman"/>
        </w:rPr>
      </w:pPr>
      <w:r>
        <w:rPr>
          <w:rFonts w:hint="eastAsia" w:ascii="Times New Roman"/>
        </w:rPr>
        <w:t>使用阶段</w:t>
      </w:r>
    </w:p>
    <w:p>
      <w:pPr>
        <w:pStyle w:val="56"/>
        <w:ind w:firstLine="420"/>
        <w:rPr>
          <w:rFonts w:ascii="Times New Roman"/>
        </w:rPr>
      </w:pPr>
      <w:r>
        <w:rPr>
          <w:rFonts w:hint="eastAsia" w:ascii="Times New Roman"/>
        </w:rPr>
        <w:t>以下项目应收集次级数据或使用典型应用场景下的工况数据：</w:t>
      </w:r>
    </w:p>
    <w:p>
      <w:pPr>
        <w:pStyle w:val="174"/>
        <w:numPr>
          <w:ilvl w:val="0"/>
          <w:numId w:val="43"/>
        </w:numPr>
        <w:rPr>
          <w:rFonts w:ascii="Times New Roman"/>
        </w:rPr>
      </w:pPr>
      <w:r>
        <w:rPr>
          <w:rFonts w:hint="eastAsia" w:ascii="Times New Roman"/>
        </w:rPr>
        <w:t>额定能量、生命周期可使用寿命、年循环次数、能量效率、寿命衰减率等；</w:t>
      </w:r>
    </w:p>
    <w:p>
      <w:pPr>
        <w:pStyle w:val="174"/>
        <w:rPr>
          <w:rFonts w:ascii="Times New Roman"/>
        </w:rPr>
      </w:pPr>
      <w:r>
        <w:rPr>
          <w:rFonts w:hint="eastAsia" w:ascii="Times New Roman"/>
        </w:rPr>
        <w:t>辅助设备能耗、环境温度等。</w:t>
      </w:r>
    </w:p>
    <w:p>
      <w:pPr>
        <w:pStyle w:val="179"/>
        <w:rPr>
          <w:rFonts w:ascii="Times New Roman"/>
        </w:rPr>
      </w:pPr>
      <w:r>
        <w:rPr>
          <w:rFonts w:hint="eastAsia" w:ascii="Times New Roman"/>
        </w:rPr>
        <w:t>能源的开采生产、输送相关温室气体排放因子可使用次级数据。</w:t>
      </w:r>
    </w:p>
    <w:p>
      <w:pPr>
        <w:pStyle w:val="65"/>
        <w:spacing w:before="156" w:after="156"/>
        <w:rPr>
          <w:rFonts w:ascii="Times New Roman"/>
        </w:rPr>
      </w:pPr>
      <w:r>
        <w:rPr>
          <w:rFonts w:hint="eastAsia" w:ascii="Times New Roman"/>
        </w:rPr>
        <w:t>生命末期阶段</w:t>
      </w:r>
    </w:p>
    <w:p>
      <w:pPr>
        <w:pStyle w:val="56"/>
        <w:ind w:firstLine="420"/>
        <w:rPr>
          <w:rFonts w:ascii="Times New Roman"/>
        </w:rPr>
      </w:pPr>
      <w:r>
        <w:rPr>
          <w:rFonts w:hint="eastAsia" w:ascii="Times New Roman"/>
        </w:rPr>
        <w:t>本阶段可不收集初级数据。</w:t>
      </w:r>
    </w:p>
    <w:p>
      <w:pPr>
        <w:pStyle w:val="56"/>
        <w:ind w:firstLine="420"/>
        <w:rPr>
          <w:rFonts w:ascii="Times New Roman"/>
        </w:rPr>
      </w:pPr>
      <w:r>
        <w:rPr>
          <w:rFonts w:hint="eastAsia" w:ascii="Times New Roman"/>
        </w:rPr>
        <w:t>以下过程可收集次级数据：</w:t>
      </w:r>
    </w:p>
    <w:p>
      <w:pPr>
        <w:pStyle w:val="174"/>
        <w:numPr>
          <w:ilvl w:val="0"/>
          <w:numId w:val="44"/>
        </w:numPr>
        <w:rPr>
          <w:rFonts w:ascii="Times New Roman"/>
        </w:rPr>
      </w:pPr>
      <w:r>
        <w:rPr>
          <w:rFonts w:hint="eastAsia" w:ascii="Times New Roman"/>
        </w:rPr>
        <w:t>废弃产品最终处置相关运输过程；</w:t>
      </w:r>
    </w:p>
    <w:p>
      <w:pPr>
        <w:pStyle w:val="174"/>
        <w:rPr>
          <w:rFonts w:ascii="Times New Roman"/>
        </w:rPr>
      </w:pPr>
      <w:r>
        <w:rPr>
          <w:rFonts w:hint="eastAsia" w:ascii="Times New Roman"/>
        </w:rPr>
        <w:t>废弃产品的最终处置过程。</w:t>
      </w:r>
    </w:p>
    <w:p>
      <w:pPr>
        <w:pStyle w:val="179"/>
        <w:rPr>
          <w:rFonts w:ascii="Times New Roman"/>
        </w:rPr>
      </w:pPr>
      <w:r>
        <w:rPr>
          <w:rFonts w:hint="eastAsia" w:ascii="Times New Roman"/>
        </w:rPr>
        <w:t>与运输、最终处置等过程相关温室气体排放因子可收集次级数据。</w:t>
      </w:r>
    </w:p>
    <w:p>
      <w:pPr>
        <w:pStyle w:val="105"/>
        <w:spacing w:before="156" w:after="156"/>
        <w:rPr>
          <w:rFonts w:ascii="Times New Roman"/>
        </w:rPr>
      </w:pPr>
      <w:bookmarkStart w:id="125" w:name="_Toc183023592"/>
      <w:bookmarkStart w:id="126" w:name="_Toc182389388"/>
      <w:bookmarkStart w:id="127" w:name="_Toc182385852"/>
      <w:bookmarkStart w:id="128" w:name="_Toc184200479"/>
      <w:bookmarkStart w:id="129" w:name="_Toc184199768"/>
      <w:bookmarkStart w:id="130" w:name="_Toc182386865"/>
      <w:r>
        <w:rPr>
          <w:rFonts w:hint="eastAsia" w:ascii="Times New Roman"/>
        </w:rPr>
        <w:t>数据分配</w:t>
      </w:r>
      <w:bookmarkEnd w:id="125"/>
      <w:bookmarkEnd w:id="126"/>
      <w:bookmarkEnd w:id="127"/>
      <w:bookmarkEnd w:id="128"/>
      <w:bookmarkEnd w:id="129"/>
      <w:bookmarkEnd w:id="130"/>
    </w:p>
    <w:p>
      <w:pPr>
        <w:pStyle w:val="65"/>
        <w:spacing w:before="156" w:after="156"/>
        <w:rPr>
          <w:rFonts w:ascii="Times New Roman"/>
        </w:rPr>
      </w:pPr>
      <w:r>
        <w:rPr>
          <w:rFonts w:hint="eastAsia" w:ascii="Times New Roman"/>
        </w:rPr>
        <w:t>分配原则</w:t>
      </w:r>
    </w:p>
    <w:p>
      <w:pPr>
        <w:pStyle w:val="56"/>
        <w:ind w:firstLine="420"/>
        <w:rPr>
          <w:rFonts w:ascii="Times New Roman"/>
        </w:rPr>
      </w:pPr>
      <w:r>
        <w:rPr>
          <w:rFonts w:hint="eastAsia" w:ascii="Times New Roman"/>
        </w:rPr>
        <w:t>应根据明确规定的分配程序将输入和输出分配到不同的产品中。</w:t>
      </w:r>
    </w:p>
    <w:p>
      <w:pPr>
        <w:pStyle w:val="56"/>
        <w:ind w:firstLine="420"/>
        <w:rPr>
          <w:rFonts w:ascii="Times New Roman"/>
        </w:rPr>
      </w:pPr>
      <w:r>
        <w:rPr>
          <w:rFonts w:hint="eastAsia" w:ascii="Times New Roman"/>
        </w:rPr>
        <w:t>一个单元过程分配的输入和输出总和应与其分配前的输入和输出相等。</w:t>
      </w:r>
    </w:p>
    <w:p>
      <w:pPr>
        <w:pStyle w:val="56"/>
        <w:ind w:firstLine="420"/>
        <w:rPr>
          <w:rFonts w:ascii="Times New Roman"/>
        </w:rPr>
      </w:pPr>
      <w:r>
        <w:rPr>
          <w:rFonts w:hint="eastAsia" w:ascii="Times New Roman"/>
        </w:rPr>
        <w:t>当同时有几种备选分配程序时，应通过敏感性分析阐明不同方法产生影响的差别。</w:t>
      </w:r>
    </w:p>
    <w:p>
      <w:pPr>
        <w:pStyle w:val="65"/>
        <w:spacing w:before="156" w:after="156"/>
        <w:rPr>
          <w:rFonts w:ascii="Times New Roman"/>
        </w:rPr>
      </w:pPr>
      <w:r>
        <w:rPr>
          <w:rFonts w:hint="eastAsia" w:ascii="Times New Roman"/>
        </w:rPr>
        <w:t>分配程序</w:t>
      </w:r>
    </w:p>
    <w:p>
      <w:pPr>
        <w:pStyle w:val="56"/>
        <w:ind w:firstLine="420"/>
        <w:rPr>
          <w:rFonts w:ascii="Times New Roman"/>
        </w:rPr>
      </w:pPr>
      <w:r>
        <w:rPr>
          <w:rFonts w:hint="eastAsia" w:ascii="Times New Roman"/>
        </w:rPr>
        <w:t>应确定与其他产品系统共享的过程，并按照以下步骤进行处理。</w:t>
      </w:r>
    </w:p>
    <w:p>
      <w:pPr>
        <w:pStyle w:val="174"/>
        <w:numPr>
          <w:ilvl w:val="0"/>
          <w:numId w:val="45"/>
        </w:numPr>
      </w:pPr>
      <w:r>
        <w:rPr>
          <w:rFonts w:hint="eastAsia"/>
        </w:rPr>
        <w:t>第1步：可通过以下方法避免分配；</w:t>
      </w:r>
    </w:p>
    <w:p>
      <w:pPr>
        <w:pStyle w:val="109"/>
      </w:pPr>
      <w:r>
        <w:rPr>
          <w:rFonts w:hint="eastAsia"/>
        </w:rPr>
        <w:t>将拟分配的单元过程划分为两个或多个子过程，并收集与这些子过程相关的输入输出数据；</w:t>
      </w:r>
    </w:p>
    <w:p>
      <w:pPr>
        <w:pStyle w:val="109"/>
      </w:pPr>
      <w:r>
        <w:rPr>
          <w:rFonts w:hint="eastAsia"/>
        </w:rPr>
        <w:t>扩展产品系统，使其包括共生产品相关的额外功能。</w:t>
      </w:r>
    </w:p>
    <w:p>
      <w:pPr>
        <w:pStyle w:val="174"/>
        <w:numPr>
          <w:ilvl w:val="0"/>
          <w:numId w:val="45"/>
        </w:numPr>
      </w:pPr>
      <w:r>
        <w:rPr>
          <w:rFonts w:hint="eastAsia"/>
        </w:rPr>
        <w:t>第2步：若无法避免分配，则宜以能反映它们之间潜在物理关系的方式，将系统的输入输出划分到不同产品或功能中；</w:t>
      </w:r>
    </w:p>
    <w:p>
      <w:pPr>
        <w:pStyle w:val="174"/>
        <w:numPr>
          <w:ilvl w:val="0"/>
          <w:numId w:val="45"/>
        </w:numPr>
      </w:pPr>
      <w:r>
        <w:rPr>
          <w:rFonts w:hint="eastAsia"/>
        </w:rPr>
        <w:t>第3步：当物理关系无法建立或无法用来作为分配基础时，则宜以能反映它们之间其他关系的方式将输入输出在产品或功能之间进行分配。例如可以根据产品的经济价值按比例将输入输出数据分配到共生产品。</w:t>
      </w:r>
    </w:p>
    <w:p>
      <w:pPr>
        <w:pStyle w:val="56"/>
        <w:ind w:firstLine="420"/>
        <w:rPr>
          <w:rFonts w:ascii="Times New Roman"/>
        </w:rPr>
      </w:pPr>
      <w:r>
        <w:rPr>
          <w:rFonts w:hint="eastAsia" w:ascii="Times New Roman"/>
        </w:rPr>
        <w:t>有些输出可能同时包括共生产品和废物，此时应确定两者的比例，因为输入输出只对其中共生产品部分进行分配。对系统中相似的输入输出，应采用同样的分配程序。例如离开系统的可用产品（例如中间产品或废弃产品）的分配程序应和进入系统的同类产品的分配程序相同。</w:t>
      </w:r>
    </w:p>
    <w:p>
      <w:pPr>
        <w:pStyle w:val="56"/>
        <w:ind w:firstLine="420"/>
        <w:rPr>
          <w:rFonts w:ascii="Times New Roman"/>
        </w:rPr>
      </w:pPr>
      <w:r>
        <w:rPr>
          <w:rFonts w:hint="eastAsia" w:ascii="Times New Roman"/>
        </w:rPr>
        <w:t>生命周期清单是以输入和输出之间的物质平衡为基础的。因此，分配程序应尽可能的接近这些基本的输入输出关系和特征。</w:t>
      </w:r>
    </w:p>
    <w:p>
      <w:pPr>
        <w:pStyle w:val="105"/>
        <w:spacing w:before="156" w:after="156"/>
        <w:rPr>
          <w:rFonts w:ascii="Times New Roman"/>
        </w:rPr>
      </w:pPr>
      <w:bookmarkStart w:id="131" w:name="_Toc184199769"/>
      <w:bookmarkStart w:id="132" w:name="_Toc184200480"/>
      <w:bookmarkStart w:id="133" w:name="_Toc182389390"/>
      <w:bookmarkStart w:id="134" w:name="_Toc183023594"/>
      <w:bookmarkStart w:id="135" w:name="_Toc182386867"/>
      <w:bookmarkStart w:id="136" w:name="_Toc182385854"/>
      <w:r>
        <w:rPr>
          <w:rFonts w:hint="eastAsia" w:ascii="Times New Roman"/>
        </w:rPr>
        <w:t>产品碳足迹绩效追踪</w:t>
      </w:r>
      <w:bookmarkEnd w:id="131"/>
      <w:bookmarkEnd w:id="132"/>
      <w:bookmarkEnd w:id="133"/>
      <w:bookmarkEnd w:id="134"/>
      <w:bookmarkEnd w:id="135"/>
      <w:bookmarkEnd w:id="136"/>
    </w:p>
    <w:p>
      <w:pPr>
        <w:pStyle w:val="56"/>
        <w:ind w:firstLine="420"/>
        <w:rPr>
          <w:rFonts w:ascii="Times New Roman"/>
        </w:rPr>
      </w:pPr>
      <w:r>
        <w:rPr>
          <w:rFonts w:hint="eastAsia" w:ascii="Times New Roman"/>
        </w:rPr>
        <w:t>应依据GB/T 24067的6.4.7进行产品碳足迹绩效追踪。</w:t>
      </w:r>
    </w:p>
    <w:p>
      <w:pPr>
        <w:pStyle w:val="105"/>
        <w:spacing w:before="156" w:after="156"/>
        <w:rPr>
          <w:rFonts w:ascii="Times New Roman"/>
        </w:rPr>
      </w:pPr>
      <w:bookmarkStart w:id="137" w:name="_Toc184200481"/>
      <w:bookmarkStart w:id="138" w:name="_Toc183023595"/>
      <w:bookmarkStart w:id="139" w:name="_Toc184199770"/>
      <w:bookmarkStart w:id="140" w:name="_Toc182386868"/>
      <w:bookmarkStart w:id="141" w:name="_Toc182389391"/>
      <w:bookmarkStart w:id="142" w:name="_Toc182385855"/>
      <w:r>
        <w:rPr>
          <w:rFonts w:hint="eastAsia" w:ascii="Times New Roman"/>
        </w:rPr>
        <w:t>电力</w:t>
      </w:r>
      <w:bookmarkEnd w:id="137"/>
      <w:bookmarkEnd w:id="138"/>
      <w:bookmarkEnd w:id="139"/>
      <w:bookmarkEnd w:id="140"/>
      <w:bookmarkEnd w:id="141"/>
      <w:bookmarkEnd w:id="142"/>
    </w:p>
    <w:p>
      <w:pPr>
        <w:pStyle w:val="56"/>
        <w:ind w:firstLine="420"/>
        <w:rPr>
          <w:rFonts w:ascii="Times New Roman"/>
        </w:rPr>
      </w:pPr>
      <w:r>
        <w:rPr>
          <w:rFonts w:hint="eastAsia" w:ascii="Times New Roman"/>
        </w:rPr>
        <w:t>应按GB/T 24067的6.4.9.4开展电力建模。</w:t>
      </w:r>
    </w:p>
    <w:p>
      <w:pPr>
        <w:pStyle w:val="179"/>
        <w:rPr>
          <w:rFonts w:ascii="Times New Roman"/>
        </w:rPr>
      </w:pPr>
      <w:r>
        <w:rPr>
          <w:rFonts w:hint="eastAsia" w:ascii="Times New Roman"/>
        </w:rPr>
        <w:t>在以上条件之外，也可使用通过生产活动所在省、市区域的电力消费组合来确定的区域电力碳足迹因子，如使用联合国认可的IPCC公布的各种电能种类的排放因子乘以某种电能在区域的比例获得混合电力碳足迹因子。</w:t>
      </w:r>
    </w:p>
    <w:p>
      <w:pPr>
        <w:pStyle w:val="104"/>
        <w:spacing w:before="312" w:after="312"/>
        <w:rPr>
          <w:rFonts w:ascii="Times New Roman"/>
        </w:rPr>
      </w:pPr>
      <w:bookmarkStart w:id="143" w:name="_Toc184200482"/>
      <w:bookmarkStart w:id="144" w:name="_Toc183023596"/>
      <w:bookmarkStart w:id="145" w:name="_Toc184199771"/>
      <w:bookmarkStart w:id="146" w:name="_Toc182386869"/>
      <w:bookmarkStart w:id="147" w:name="_Toc182389392"/>
      <w:bookmarkStart w:id="148" w:name="_Toc182385856"/>
      <w:bookmarkStart w:id="149" w:name="_Toc180498960"/>
      <w:r>
        <w:rPr>
          <w:rFonts w:hint="eastAsia" w:ascii="Times New Roman"/>
        </w:rPr>
        <w:t>影响</w:t>
      </w:r>
      <w:r>
        <w:rPr>
          <w:rFonts w:ascii="Times New Roman"/>
        </w:rPr>
        <w:t>评价</w:t>
      </w:r>
      <w:bookmarkEnd w:id="143"/>
      <w:bookmarkEnd w:id="144"/>
      <w:bookmarkEnd w:id="145"/>
      <w:bookmarkEnd w:id="146"/>
      <w:bookmarkEnd w:id="147"/>
      <w:bookmarkEnd w:id="148"/>
      <w:bookmarkEnd w:id="149"/>
    </w:p>
    <w:p>
      <w:pPr>
        <w:pStyle w:val="105"/>
        <w:spacing w:before="156" w:after="156"/>
        <w:rPr>
          <w:rFonts w:ascii="Times New Roman"/>
        </w:rPr>
      </w:pPr>
      <w:bookmarkStart w:id="150" w:name="_Toc184199772"/>
      <w:bookmarkStart w:id="151" w:name="_Toc184200483"/>
      <w:bookmarkStart w:id="152" w:name="_Toc182389393"/>
      <w:bookmarkStart w:id="153" w:name="_Toc183023597"/>
      <w:bookmarkStart w:id="154" w:name="_Toc182386870"/>
      <w:bookmarkStart w:id="155" w:name="_Toc182385857"/>
      <w:r>
        <w:rPr>
          <w:rFonts w:hint="eastAsia" w:ascii="Times New Roman"/>
        </w:rPr>
        <w:t>产品碳足迹核算</w:t>
      </w:r>
      <w:bookmarkEnd w:id="150"/>
      <w:bookmarkEnd w:id="151"/>
      <w:bookmarkEnd w:id="152"/>
      <w:bookmarkEnd w:id="153"/>
      <w:bookmarkEnd w:id="154"/>
      <w:bookmarkEnd w:id="155"/>
    </w:p>
    <w:p>
      <w:pPr>
        <w:pStyle w:val="65"/>
        <w:spacing w:before="156" w:after="156"/>
        <w:rPr>
          <w:rFonts w:ascii="Times New Roman"/>
        </w:rPr>
      </w:pPr>
      <w:r>
        <w:rPr>
          <w:rFonts w:hint="eastAsia" w:ascii="Times New Roman"/>
        </w:rPr>
        <w:t>产品碳足迹总量</w:t>
      </w:r>
    </w:p>
    <w:p>
      <w:pPr>
        <w:pStyle w:val="56"/>
        <w:ind w:firstLine="420"/>
        <w:rPr>
          <w:rFonts w:ascii="Times New Roman"/>
        </w:rPr>
      </w:pPr>
      <w:r>
        <w:rPr>
          <w:rFonts w:hint="eastAsia" w:ascii="Times New Roman"/>
        </w:rPr>
        <w:t>锂离子电池产品碳足迹总量应按公式（</w:t>
      </w:r>
      <w:r>
        <w:rPr>
          <w:rFonts w:ascii="Times New Roman"/>
        </w:rPr>
        <w:t>2</w:t>
      </w:r>
      <w:r>
        <w:rPr>
          <w:rFonts w:hint="eastAsia" w:ascii="Times New Roman"/>
        </w:rPr>
        <w:t>）进行计算：</w:t>
      </w:r>
    </w:p>
    <w:p>
      <w:pPr>
        <w:pStyle w:val="113"/>
        <w:rPr>
          <w:rFonts w:ascii="Times New Roman" w:hAnsi="Times New Roman"/>
        </w:rPr>
      </w:pPr>
      <w:r>
        <w:rPr>
          <w:rFonts w:ascii="Times New Roman" w:hAnsi="Times New Roman"/>
        </w:rPr>
        <w:tab/>
      </w:r>
      <m:oMath>
        <m:r>
          <m:rPr>
            <m:sty m:val="p"/>
          </m:rPr>
          <w:rPr>
            <w:rFonts w:ascii="Cambria Math" w:hAnsi="Cambria Math"/>
          </w:rPr>
          <m:t>CFP=</m:t>
        </m:r>
        <m:r>
          <m:rPr>
            <m:sty m:val="p"/>
          </m:rPr>
          <w:rPr>
            <w:rFonts w:hint="eastAsia" w:ascii="Cambria Math" w:hAnsi="Cambria Math"/>
          </w:rPr>
          <m: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hint="eastAsia" w:ascii="Cambria Math" w:hAnsi="Cambria Math"/>
              </w:rPr>
              <m:t>原材料</m:t>
            </m:r>
            <m:r>
              <m:rPr>
                <m:sty m:val="p"/>
              </m:rPr>
              <w:rPr>
                <w:rFonts w:ascii="Cambria Math" w:hAnsi="Cambria Math"/>
              </w:rPr>
              <m:t>获取</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hint="eastAsia" w:ascii="Cambria Math" w:hAnsi="Cambria Math"/>
              </w:rPr>
              <m:t>制造</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hint="eastAsia" w:ascii="Cambria Math" w:hAnsi="Cambria Math"/>
              </w:rPr>
              <m:t>分销</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hint="eastAsia" w:ascii="Cambria Math" w:hAnsi="Cambria Math"/>
              </w:rPr>
              <m:t>使用</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hint="eastAsia" w:ascii="Cambria Math" w:hAnsi="Cambria Math"/>
              </w:rPr>
              <m:t>生命末期</m:t>
            </m:r>
            <m:ctrlPr>
              <w:rPr>
                <w:rFonts w:ascii="Cambria Math" w:hAnsi="Cambria Math"/>
                <w:i/>
              </w:rPr>
            </m:ctrlPr>
          </m:sub>
        </m:sSub>
        <m:r>
          <m:rPr>
            <m:sty m:val="p"/>
          </m:rPr>
          <w:rPr>
            <w:rFonts w:hint="eastAsia" w:ascii="Cambria Math" w:hAnsi="Cambria Math"/>
          </w:rPr>
          <m:t>）</m:t>
        </m:r>
        <m:r>
          <m:rPr>
            <m:sty m:val="p"/>
          </m:rPr>
          <w:rPr>
            <w:rFonts w:ascii="Cambria Math" w:hAnsi="Cambria Math"/>
          </w:rPr>
          <m:t>/</m:t>
        </m:r>
        <m:r>
          <m:rPr/>
          <w:rPr>
            <w:rFonts w:ascii="Cambria Math" w:hAnsi="Cambria Math"/>
          </w:rPr>
          <m:t>c</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w:r>
        <w:rPr>
          <w:rFonts w:ascii="Times New Roman"/>
        </w:rPr>
        <w:t>CFP——</w:t>
      </w:r>
      <w:r>
        <w:rPr>
          <w:rFonts w:hint="eastAsia" w:ascii="Times New Roman"/>
        </w:rPr>
        <w:t>锂离子电池产品碳足迹，单位为千克二氧化碳当量每千瓦时（kgCO</w:t>
      </w:r>
      <w:r>
        <w:rPr>
          <w:rFonts w:hint="eastAsia" w:ascii="Times New Roman"/>
          <w:vertAlign w:val="subscript"/>
        </w:rPr>
        <w:t>2</w:t>
      </w:r>
      <w:r>
        <w:rPr>
          <w:rFonts w:hint="eastAsia" w:ascii="Times New Roman"/>
        </w:rPr>
        <w:t>e/</w:t>
      </w:r>
      <w:r>
        <w:rPr>
          <w:rFonts w:ascii="Times New Roman"/>
        </w:rPr>
        <w:t>kW·h</w:t>
      </w:r>
      <w:r>
        <w:rPr>
          <w:rFonts w:hint="eastAsia" w:ascii="Times New Roman"/>
        </w:rPr>
        <w:t>）；</w:t>
      </w:r>
    </w:p>
    <w:p>
      <w:pPr>
        <w:pStyle w:val="56"/>
        <w:ind w:firstLine="420"/>
        <w:rPr>
          <w:rFonts w:ascii="Times New Roman"/>
        </w:rPr>
      </w:pPr>
      <w:r>
        <w:rPr>
          <w:rFonts w:hint="eastAsia" w:ascii="Times New Roman"/>
        </w:rPr>
        <w:t>E</w:t>
      </w:r>
      <w:r>
        <w:rPr>
          <w:rFonts w:hint="eastAsia" w:ascii="Times New Roman"/>
          <w:vertAlign w:val="subscript"/>
        </w:rPr>
        <w:t>原材料获取</w:t>
      </w:r>
      <w:r>
        <w:rPr>
          <w:rFonts w:ascii="Times New Roman"/>
        </w:rPr>
        <w:t>——</w:t>
      </w:r>
      <w:r>
        <w:rPr>
          <w:rFonts w:hint="eastAsia" w:ascii="Times New Roman"/>
        </w:rPr>
        <w:t>原材料获取阶段温室气体排放量，单位为千克二氧化碳当量（kgCO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w:r>
        <w:rPr>
          <w:rFonts w:ascii="Times New Roman"/>
        </w:rPr>
        <w:t>E</w:t>
      </w:r>
      <w:r>
        <w:rPr>
          <w:rFonts w:hint="eastAsia" w:ascii="Times New Roman"/>
          <w:vertAlign w:val="subscript"/>
        </w:rPr>
        <w:t>制造</w:t>
      </w:r>
      <w:r>
        <w:rPr>
          <w:rFonts w:ascii="Times New Roman"/>
        </w:rPr>
        <w:t>——</w:t>
      </w:r>
      <w:r>
        <w:rPr>
          <w:rFonts w:hint="eastAsia" w:ascii="Times New Roman"/>
        </w:rPr>
        <w:t>制造阶段温室气体排放量，单位为千克二氧化碳当量（kgCO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w:r>
        <w:rPr>
          <w:rFonts w:hint="eastAsia" w:ascii="Times New Roman"/>
        </w:rPr>
        <w:t>E</w:t>
      </w:r>
      <w:r>
        <w:rPr>
          <w:rFonts w:hint="eastAsia" w:ascii="Times New Roman"/>
          <w:vertAlign w:val="subscript"/>
        </w:rPr>
        <w:t>分销</w:t>
      </w:r>
      <w:r>
        <w:rPr>
          <w:rFonts w:ascii="Times New Roman"/>
        </w:rPr>
        <w:t>——</w:t>
      </w:r>
      <w:r>
        <w:rPr>
          <w:rFonts w:hint="eastAsia" w:ascii="Times New Roman"/>
        </w:rPr>
        <w:t>分销阶段温室气体排放量，单位为千克二氧化碳当量（kgCO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w:r>
        <w:rPr>
          <w:rFonts w:hint="eastAsia" w:ascii="Times New Roman"/>
        </w:rPr>
        <w:t>E</w:t>
      </w:r>
      <w:r>
        <w:rPr>
          <w:rFonts w:hint="eastAsia" w:ascii="Times New Roman"/>
          <w:vertAlign w:val="subscript"/>
        </w:rPr>
        <w:t>使用</w:t>
      </w:r>
      <w:r>
        <w:rPr>
          <w:rFonts w:ascii="Times New Roman"/>
        </w:rPr>
        <w:t>——</w:t>
      </w:r>
      <w:r>
        <w:rPr>
          <w:rFonts w:hint="eastAsia" w:ascii="Times New Roman"/>
        </w:rPr>
        <w:t>使用阶段温室气体排放量，单位为千克二氧化碳当量（kgCO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w:r>
        <w:rPr>
          <w:rFonts w:hint="eastAsia" w:ascii="Times New Roman"/>
        </w:rPr>
        <w:t>E</w:t>
      </w:r>
      <w:r>
        <w:rPr>
          <w:rFonts w:hint="eastAsia" w:ascii="Times New Roman"/>
          <w:vertAlign w:val="subscript"/>
        </w:rPr>
        <w:t>生命末期</w:t>
      </w:r>
      <w:r>
        <w:rPr>
          <w:rFonts w:ascii="Times New Roman"/>
        </w:rPr>
        <w:t>——</w:t>
      </w:r>
      <w:r>
        <w:rPr>
          <w:rFonts w:hint="eastAsia" w:ascii="Times New Roman"/>
        </w:rPr>
        <w:t>生命末期阶段温室气体排放量，单位为千克二氧化碳当量（kgCO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w:r>
        <w:rPr>
          <w:rFonts w:ascii="Times New Roman"/>
          <w:i/>
        </w:rPr>
        <w:t>c</w:t>
      </w:r>
      <w:r>
        <w:rPr>
          <w:rFonts w:ascii="Times New Roman"/>
        </w:rPr>
        <w:t>——</w:t>
      </w:r>
      <w:r>
        <w:rPr>
          <w:rFonts w:hint="eastAsia" w:ascii="Times New Roman"/>
        </w:rPr>
        <w:t>锂离子电池产品提供的总能量，单位为千瓦时（kW·h）等，计算公式见式（</w:t>
      </w:r>
      <w:r>
        <w:rPr>
          <w:rFonts w:ascii="Times New Roman"/>
        </w:rPr>
        <w:t>1</w:t>
      </w:r>
      <w:r>
        <w:rPr>
          <w:rFonts w:hint="eastAsia" w:ascii="Times New Roman"/>
        </w:rPr>
        <w:t>）。</w:t>
      </w:r>
    </w:p>
    <w:p>
      <w:pPr>
        <w:pStyle w:val="56"/>
        <w:ind w:firstLine="420"/>
        <w:rPr>
          <w:rFonts w:ascii="Times New Roman"/>
        </w:rPr>
      </w:pPr>
      <w:r>
        <w:rPr>
          <w:rFonts w:hint="eastAsia" w:ascii="Times New Roman"/>
        </w:rPr>
        <w:t>按照以下方法分别核算锂离子电池产品在原材料获取阶段、制造阶段、分销阶段、使用阶段以及生命末期阶段的温室气体排放量。</w:t>
      </w:r>
    </w:p>
    <w:p>
      <w:pPr>
        <w:pStyle w:val="65"/>
        <w:spacing w:before="156" w:after="156"/>
        <w:rPr>
          <w:rFonts w:ascii="Times New Roman"/>
        </w:rPr>
      </w:pPr>
      <w:r>
        <w:rPr>
          <w:rFonts w:hint="eastAsia" w:ascii="Times New Roman"/>
        </w:rPr>
        <w:t>原材料获取阶段温室气体排放</w:t>
      </w:r>
    </w:p>
    <w:p>
      <w:pPr>
        <w:pStyle w:val="56"/>
        <w:ind w:firstLine="420"/>
        <w:rPr>
          <w:rFonts w:ascii="Times New Roman"/>
        </w:rPr>
      </w:pPr>
      <w:r>
        <w:rPr>
          <w:rFonts w:hint="eastAsia" w:ascii="Times New Roman"/>
        </w:rPr>
        <w:t>锂离子电池产品原材料阶段温室气体排放按照公式（</w:t>
      </w:r>
      <w:r>
        <w:rPr>
          <w:rFonts w:ascii="Times New Roman"/>
        </w:rPr>
        <w:t>3</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hint="eastAsia" w:ascii="Cambria Math" w:hAnsi="Cambria Math"/>
              </w:rPr>
              <m:t>原材料</m:t>
            </m:r>
            <m:r>
              <m:rPr>
                <m:sty m:val="p"/>
              </m:rPr>
              <w:rPr>
                <w:rFonts w:ascii="Cambria Math" w:hAnsi="Cambria Math"/>
              </w:rPr>
              <m:t>获取</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hint="eastAsia" w:ascii="Cambria Math" w:hAnsi="Cambria Math"/>
              </w:rPr>
              <m:t>∑</m:t>
            </m:r>
            <m:ctrlPr>
              <w:rPr>
                <w:rFonts w:ascii="Cambria Math" w:hAnsi="Cambria Math"/>
                <w:i/>
              </w:rPr>
            </m:ctrlPr>
          </m:e>
          <m:sub>
            <m:r>
              <m:rPr/>
              <w:rPr>
                <w:rFonts w:ascii="Cambria Math" w:hAnsi="Cambria Math"/>
              </w:rPr>
              <m:t>i,j</m:t>
            </m:r>
            <m:ctrlPr>
              <w:rPr>
                <w:rFonts w:ascii="Cambria Math" w:hAnsi="Cambria Math"/>
                <w:i/>
              </w:rPr>
            </m:ctrlPr>
          </m:sub>
        </m:sSub>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e>
        </m:d>
        <m:r>
          <m:rPr>
            <m:sty m:val="p"/>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w:rPr>
                <w:rFonts w:ascii="Cambria Math" w:hAnsi="Cambria Math"/>
              </w:rPr>
              <m:t>i,j</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j</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w:r>
        <w:rPr>
          <w:rFonts w:hint="eastAsia" w:ascii="Times New Roman"/>
        </w:rPr>
        <w:t>E</w:t>
      </w:r>
      <w:r>
        <w:rPr>
          <w:rFonts w:hint="eastAsia" w:ascii="Times New Roman"/>
          <w:vertAlign w:val="subscript"/>
        </w:rPr>
        <w:t>原材料获取</w:t>
      </w:r>
      <w:r>
        <w:rPr>
          <w:rFonts w:ascii="Times New Roman"/>
        </w:rPr>
        <w:t>——</w:t>
      </w:r>
      <w:r>
        <w:rPr>
          <w:rFonts w:hint="eastAsia" w:ascii="Times New Roman"/>
        </w:rPr>
        <w:t>原材料获取阶段温室气体排放量，单位为千克二氧化碳当量（kgCO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rPr>
        <w:t>——</w:t>
      </w:r>
      <w:r>
        <w:rPr>
          <w:rFonts w:hint="eastAsia" w:ascii="Times New Roman"/>
        </w:rPr>
        <w:t>原材料获取阶段每功能单位第</w:t>
      </w:r>
      <w:r>
        <w:rPr>
          <w:rFonts w:ascii="Times New Roman"/>
        </w:rPr>
        <w:t>j</w:t>
      </w:r>
      <w:r>
        <w:rPr>
          <w:rFonts w:hint="eastAsia" w:ascii="Times New Roman"/>
        </w:rPr>
        <w:t>种原材料的消耗量，单位为千克(kg)、立方米(m</w:t>
      </w:r>
      <w:r>
        <w:rPr>
          <w:rFonts w:hint="eastAsia" w:ascii="Times New Roman"/>
          <w:vertAlign w:val="superscript"/>
        </w:rPr>
        <w:t>3</w:t>
      </w:r>
      <w:r>
        <w:rPr>
          <w:rFonts w:hint="eastAsia" w:ascii="Times New Roman"/>
        </w:rPr>
        <w:t>)等，视不同原材料统计量纲确定；</w:t>
      </w:r>
    </w:p>
    <w:p>
      <w:pPr>
        <w:pStyle w:val="56"/>
        <w:ind w:firstLine="420"/>
        <w:rPr>
          <w:rFonts w:ascii="Times New Roman"/>
        </w:rPr>
      </w:pPr>
      <m:oMath>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rPr>
        <w:t>——</w:t>
      </w:r>
      <w:r>
        <w:rPr>
          <w:rFonts w:hint="eastAsia" w:ascii="Times New Roman"/>
        </w:rPr>
        <w:t>第</w:t>
      </w:r>
      <w:r>
        <w:rPr>
          <w:rFonts w:ascii="Times New Roman"/>
        </w:rPr>
        <w:t>j</w:t>
      </w:r>
      <w:r>
        <w:rPr>
          <w:rFonts w:hint="eastAsia" w:ascii="Times New Roman"/>
        </w:rPr>
        <w:t>种原材料单位耗材的温室气体排放因子，可参考国际权威数据库中单位耗材的行业平均碳排放系数，或选择特定供应商提供的产品原材料温室气体排放系数，单位与原材料的单位相匹配；</w:t>
      </w:r>
    </w:p>
    <w:p>
      <w:pPr>
        <w:pStyle w:val="56"/>
        <w:ind w:firstLine="420"/>
        <w:rPr>
          <w:rFonts w:ascii="Times New Roman"/>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rPr>
        <w:t>——</w:t>
      </w:r>
      <w:r>
        <w:rPr>
          <w:rFonts w:hint="eastAsia" w:ascii="Times New Roman"/>
        </w:rPr>
        <w:t>第</w:t>
      </w:r>
      <w:r>
        <w:rPr>
          <w:rFonts w:ascii="Times New Roman"/>
        </w:rPr>
        <w:t>j</w:t>
      </w:r>
      <w:r>
        <w:rPr>
          <w:rFonts w:hint="eastAsia" w:ascii="Times New Roman"/>
        </w:rPr>
        <w:t>种原材料运输的距离，单位为千米（km）；</w:t>
      </w:r>
    </w:p>
    <w:p>
      <w:pPr>
        <w:pStyle w:val="56"/>
        <w:ind w:firstLine="420"/>
        <w:rPr>
          <w:rFonts w:ascii="Times New Roman"/>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j</m:t>
            </m:r>
            <m:ctrlPr>
              <w:rPr>
                <w:rFonts w:ascii="Cambria Math" w:hAnsi="Cambria Math"/>
                <w:i/>
              </w:rPr>
            </m:ctrlPr>
          </m:sub>
        </m:sSub>
      </m:oMath>
      <w:r>
        <w:rPr>
          <w:rFonts w:ascii="Times New Roman"/>
        </w:rPr>
        <w:t>——</w:t>
      </w:r>
      <w:r>
        <w:rPr>
          <w:rFonts w:hint="eastAsia" w:ascii="Times New Roman"/>
        </w:rPr>
        <w:t>第</w:t>
      </w:r>
      <w:r>
        <w:rPr>
          <w:rFonts w:ascii="Times New Roman"/>
        </w:rPr>
        <w:t>j</w:t>
      </w:r>
      <w:r>
        <w:rPr>
          <w:rFonts w:hint="eastAsia" w:ascii="Times New Roman"/>
        </w:rPr>
        <w:t>种原材料的运输方式或车辆类型的温室气体排放因子，单位为千克二氧化碳当量/千克千米（kgCO2e/</w:t>
      </w:r>
      <w:r>
        <w:rPr>
          <w:rFonts w:ascii="Times New Roman"/>
        </w:rPr>
        <w:t>kg</w:t>
      </w:r>
      <w:r>
        <w:rPr>
          <w:rFonts w:hint="eastAsia" w:ascii="Times New Roman"/>
        </w:rPr>
        <w:t>·km）；</w:t>
      </w:r>
    </w:p>
    <w:p>
      <w:pPr>
        <w:pStyle w:val="56"/>
        <w:ind w:firstLine="420"/>
        <w:rPr>
          <w:rFonts w:ascii="Times New Roman"/>
        </w:rPr>
      </w:pPr>
      <w:r>
        <w:rPr>
          <w:rFonts w:hint="eastAsia" w:ascii="Times New Roman"/>
          <w:i/>
        </w:rPr>
        <w:t>GWP</w:t>
      </w:r>
      <w:r>
        <w:rPr>
          <w:rFonts w:ascii="Times New Roman"/>
          <w:i/>
          <w:vertAlign w:val="subscript"/>
        </w:rPr>
        <w:t>i</w:t>
      </w:r>
      <w:r>
        <w:rPr>
          <w:rFonts w:ascii="Times New Roman"/>
        </w:rPr>
        <w:t>——</w:t>
      </w:r>
      <w:r>
        <w:rPr>
          <w:rFonts w:hint="eastAsia" w:ascii="Times New Roman"/>
        </w:rPr>
        <w:t>第</w:t>
      </w:r>
      <w:r>
        <w:rPr>
          <w:rFonts w:ascii="Times New Roman"/>
        </w:rPr>
        <w:t>i</w:t>
      </w:r>
      <w:r>
        <w:rPr>
          <w:rFonts w:hint="eastAsia" w:ascii="Times New Roman"/>
        </w:rPr>
        <w:t>类温室气体的GWP值，采用IPCC给出的100年GWP值，见表B.1；</w:t>
      </w:r>
    </w:p>
    <w:p>
      <w:pPr>
        <w:pStyle w:val="56"/>
        <w:ind w:firstLine="420"/>
        <w:rPr>
          <w:rFonts w:ascii="Times New Roman"/>
        </w:rPr>
      </w:pPr>
      <w:r>
        <w:rPr>
          <w:rFonts w:ascii="Times New Roman"/>
          <w:i/>
        </w:rPr>
        <w:t>i</w:t>
      </w:r>
      <w:r>
        <w:rPr>
          <w:rFonts w:ascii="Times New Roman"/>
        </w:rPr>
        <w:t>——</w:t>
      </w:r>
      <w:r>
        <w:rPr>
          <w:rFonts w:hint="eastAsia" w:ascii="Times New Roman"/>
        </w:rPr>
        <w:t>温室气体种类；</w:t>
      </w:r>
    </w:p>
    <w:p>
      <w:pPr>
        <w:pStyle w:val="56"/>
        <w:ind w:firstLine="420"/>
        <w:rPr>
          <w:rFonts w:ascii="Times New Roman"/>
        </w:rPr>
      </w:pPr>
      <w:r>
        <w:rPr>
          <w:rFonts w:ascii="Times New Roman"/>
          <w:i/>
        </w:rPr>
        <w:t>j</w:t>
      </w:r>
      <w:r>
        <w:rPr>
          <w:rFonts w:ascii="Times New Roman"/>
        </w:rPr>
        <w:t>——</w:t>
      </w:r>
      <w:r>
        <w:rPr>
          <w:rFonts w:hint="eastAsia" w:ascii="Times New Roman"/>
        </w:rPr>
        <w:t>原材料种类。</w:t>
      </w:r>
    </w:p>
    <w:p>
      <w:pPr>
        <w:pStyle w:val="65"/>
        <w:spacing w:before="156" w:after="156"/>
        <w:rPr>
          <w:rFonts w:ascii="Times New Roman"/>
        </w:rPr>
      </w:pPr>
      <w:r>
        <w:rPr>
          <w:rFonts w:hint="eastAsia" w:ascii="Times New Roman"/>
        </w:rPr>
        <w:t>制造阶段温室气体排放</w:t>
      </w:r>
    </w:p>
    <w:p>
      <w:pPr>
        <w:pStyle w:val="56"/>
        <w:ind w:firstLine="420"/>
        <w:rPr>
          <w:rFonts w:ascii="Times New Roman"/>
        </w:rPr>
      </w:pPr>
      <w:r>
        <w:rPr>
          <w:rFonts w:hint="eastAsia" w:ascii="Times New Roman"/>
        </w:rPr>
        <w:t>锂离子电池产品制造阶段温室气体排放量按照公式（</w:t>
      </w:r>
      <w:r>
        <w:rPr>
          <w:rFonts w:ascii="Times New Roman"/>
        </w:rPr>
        <w:t>4</w:t>
      </w:r>
      <w:r>
        <w:rPr>
          <w:rFonts w:hint="eastAsia" w:ascii="Times New Roman"/>
        </w:rPr>
        <w:t>）计算：</w:t>
      </w:r>
    </w:p>
    <w:p>
      <w:pPr>
        <w:pStyle w:val="113"/>
        <w:jc w:val="center"/>
        <w:rPr>
          <w:rFonts w:ascii="Times New Roman" w:hAnsi="Times New Roman"/>
        </w:rPr>
      </w:pPr>
      <m:oMath>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hint="eastAsia" w:ascii="Cambria Math" w:hAnsi="Cambria Math"/>
              </w:rPr>
              <m:t>制造</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hint="eastAsia" w:ascii="Cambria Math" w:hAnsi="Cambria Math"/>
              </w:rPr>
              <m:t>∑</m:t>
            </m:r>
            <m:ctrlPr>
              <w:rPr>
                <w:rFonts w:ascii="Cambria Math" w:hAnsi="Cambria Math"/>
                <w:i/>
              </w:rPr>
            </m:ctrlPr>
          </m:e>
          <m:sub>
            <m:r>
              <m:rPr/>
              <w:rPr>
                <w:rFonts w:ascii="Cambria Math" w:hAnsi="Cambria Math"/>
              </w:rPr>
              <m:t>i,j</m:t>
            </m:r>
            <m:ctrlPr>
              <w:rPr>
                <w:rFonts w:ascii="Cambria Math" w:hAnsi="Cambria Math"/>
                <w:i/>
              </w:rPr>
            </m:ctrlPr>
          </m:sub>
        </m:sSub>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1,j</m:t>
                </m:r>
                <m:ctrlPr>
                  <w:rPr>
                    <w:rFonts w:ascii="Cambria Math" w:hAnsi="Cambria Math"/>
                    <w:i/>
                  </w:rPr>
                </m:ctrlPr>
              </m:sub>
            </m:sSub>
            <m:r>
              <m:rPr/>
              <w:rPr>
                <w:rFonts w:ascii="Cambria Math" w:hAnsi="Cambria Math"/>
              </w:rPr>
              <m:t>×</m:t>
            </m:r>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1,j</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1,j</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d>
        <m:r>
          <m:rPr>
            <m:sty m:val="p"/>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1,i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m:t>
        </m:r>
        <m:r>
          <m:rPr>
            <m:sty m:val="p"/>
          </m:rPr>
          <w:rPr>
            <w:rFonts w:ascii="Cambria Math" w:hAnsi="Cambria Math"/>
          </w:rPr>
          <m:t>+</m:t>
        </m:r>
        <m:sSub>
          <m:sSubPr>
            <m:ctrlPr>
              <w:rPr>
                <w:rFonts w:ascii="Cambria Math" w:hAnsi="Cambria Math"/>
                <w:i/>
              </w:rPr>
            </m:ctrlPr>
          </m:sSubPr>
          <m:e>
            <m:r>
              <m:rPr/>
              <w:rPr>
                <w:rFonts w:hint="eastAsia" w:ascii="Cambria Math" w:hAnsi="Cambria Math"/>
              </w:rPr>
              <m:t>∑</m:t>
            </m:r>
            <m:ctrlPr>
              <w:rPr>
                <w:rFonts w:ascii="Cambria Math" w:hAnsi="Cambria Math"/>
                <w:i/>
              </w:rPr>
            </m:ctrlPr>
          </m:e>
          <m:sub>
            <m:r>
              <m:rPr/>
              <w:rPr>
                <w:rFonts w:ascii="Cambria Math" w:hAnsi="Cambria Math"/>
              </w:rPr>
              <m:t>i,j</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1,j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1,j</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m:t>
        </m:r>
        <m:r>
          <m:rPr>
            <m:sty m:val="p"/>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w:rPr>
                <w:rFonts w:ascii="Cambria Math" w:hAnsi="Cambria Math"/>
              </w:rPr>
              <m:t>k,j</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1,k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1,k</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m:t>
        </m:r>
      </m:oMath>
      <w:r>
        <w:rPr>
          <w:rFonts w:ascii="Times New Roman" w:hAnsi="Times New Roman" w:eastAsia="微软雅黑"/>
        </w:rPr>
        <w:tab/>
      </w:r>
      <w:r>
        <w:rPr>
          <w:rFonts w:ascii="Times New Roman" w:hAnsi="Times New Roman" w:eastAsia="微软雅黑"/>
        </w:rPr>
        <w:tab/>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w:r>
        <w:rPr>
          <w:rFonts w:hint="eastAsia" w:ascii="Times New Roman"/>
          <w:i/>
        </w:rPr>
        <w:t>E</w:t>
      </w:r>
      <w:r>
        <w:rPr>
          <w:rFonts w:hint="eastAsia" w:ascii="Times New Roman"/>
          <w:i/>
          <w:vertAlign w:val="subscript"/>
        </w:rPr>
        <w:t>制造</w:t>
      </w:r>
      <w:r>
        <w:rPr>
          <w:rFonts w:ascii="Times New Roman"/>
        </w:rPr>
        <w:t>——</w:t>
      </w:r>
      <w:r>
        <w:rPr>
          <w:rFonts w:hint="eastAsia" w:ascii="Times New Roman"/>
        </w:rPr>
        <w:t>制造阶段温室气体排放量，单位为千克二氧化碳当量（kgCO</w:t>
      </w:r>
      <w:r>
        <w:rPr>
          <w:rFonts w:ascii="Times New Roman"/>
          <w:vertAlign w:val="subscript"/>
        </w:rPr>
        <w:t>2</w:t>
      </w:r>
      <w:r>
        <w:rPr>
          <w:rFonts w:hint="eastAsia" w:ascii="Times New Roman"/>
        </w:rPr>
        <w:t>e）；</w:t>
      </w:r>
    </w:p>
    <w:p>
      <w:pPr>
        <w:pStyle w:val="56"/>
        <w:ind w:firstLine="420"/>
        <w:rPr>
          <w:rFonts w:ascii="Times New Roman"/>
        </w:rPr>
      </w:pPr>
      <w:r>
        <w:rPr>
          <w:rFonts w:hint="eastAsia" w:ascii="Times New Roman"/>
          <w:i/>
        </w:rPr>
        <w:t>E</w:t>
      </w:r>
      <w:r>
        <w:rPr>
          <w:rFonts w:ascii="Times New Roman"/>
          <w:i/>
          <w:vertAlign w:val="subscript"/>
        </w:rPr>
        <w:t>1,j</w:t>
      </w:r>
      <w:r>
        <w:rPr>
          <w:rFonts w:ascii="Times New Roman"/>
        </w:rPr>
        <w:t>——</w:t>
      </w:r>
      <w:r>
        <w:rPr>
          <w:rFonts w:hint="eastAsia" w:ascii="Times New Roman"/>
        </w:rPr>
        <w:t>制造阶段每功能单位第j种能源的消耗量，单位为千克(kg)、立方米(m</w:t>
      </w:r>
      <w:r>
        <w:rPr>
          <w:rFonts w:hint="eastAsia" w:ascii="Times New Roman"/>
          <w:vertAlign w:val="superscript"/>
        </w:rPr>
        <w:t>3</w:t>
      </w:r>
      <w:r>
        <w:rPr>
          <w:rFonts w:hint="eastAsia" w:ascii="Times New Roman"/>
        </w:rPr>
        <w:t>)等，视不同能源统计量纲确定；</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vertAlign w:val="subscript"/>
              </w:rPr>
              <m:t>1,j</m:t>
            </m:r>
            <m:ctrlPr>
              <w:rPr>
                <w:rFonts w:ascii="Cambria Math" w:hAnsi="Cambria Math"/>
                <w:i/>
                <w:kern w:val="2"/>
                <w:szCs w:val="21"/>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 xml:space="preserve"> </m:t>
        </m:r>
      </m:oMath>
      <w:r>
        <w:rPr>
          <w:rFonts w:ascii="Times New Roman"/>
        </w:rPr>
        <w:t>——</w:t>
      </w:r>
      <w:r>
        <w:rPr>
          <w:rFonts w:hint="eastAsia" w:ascii="Times New Roman"/>
        </w:rPr>
        <w:t>制造阶段第j种能源生产的第i种温室气体排放因子，单位与能源的单位相匹配；</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F</m:t>
            </m:r>
            <m:ctrlPr>
              <w:rPr>
                <w:rFonts w:ascii="Cambria Math" w:hAnsi="Cambria Math"/>
                <w:i/>
                <w:kern w:val="2"/>
                <w:szCs w:val="21"/>
              </w:rPr>
            </m:ctrlPr>
          </m:e>
          <m:sub>
            <m:r>
              <m:rPr/>
              <w:rPr>
                <w:rFonts w:ascii="Cambria Math" w:hAnsi="Cambria Math"/>
                <w:vertAlign w:val="subscript"/>
              </w:rPr>
              <m:t>1,j</m:t>
            </m:r>
            <m:ctrlPr>
              <w:rPr>
                <w:rFonts w:ascii="Cambria Math" w:hAnsi="Cambria Math"/>
                <w:i/>
                <w:kern w:val="2"/>
                <w:szCs w:val="21"/>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ascii="Times New Roman"/>
        </w:rPr>
        <w:t xml:space="preserve"> </w:t>
      </w:r>
      <w:r>
        <w:rPr>
          <w:rFonts w:ascii="Times New Roman"/>
        </w:rPr>
        <w:t>——</w:t>
      </w:r>
      <w:r>
        <w:rPr>
          <w:rFonts w:hint="eastAsia" w:ascii="Times New Roman"/>
        </w:rPr>
        <w:t>制造阶段第j种能源燃烧的第i种温室气体排放因子，单位与能源的单位相匹配；</w:t>
      </w:r>
    </w:p>
    <w:p>
      <w:pPr>
        <w:pStyle w:val="56"/>
        <w:ind w:firstLine="420"/>
        <w:rPr>
          <w:rFonts w:ascii="Times New Roman"/>
        </w:rPr>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vertAlign w:val="subscript"/>
              </w:rPr>
              <m:t>1,</m:t>
            </m:r>
            <m:r>
              <m:rPr/>
              <w:rPr>
                <w:rFonts w:ascii="Cambria Math" w:hAnsi="Cambria Math"/>
              </w:rPr>
              <m:t>i</m:t>
            </m:r>
            <m:ctrlPr>
              <w:rPr>
                <w:rFonts w:ascii="Cambria Math" w:hAnsi="Cambria Math"/>
                <w:i/>
              </w:rPr>
            </m:ctrlPr>
          </m:sub>
        </m:sSub>
      </m:oMath>
      <w:r>
        <w:rPr>
          <w:rFonts w:ascii="Times New Roman"/>
        </w:rPr>
        <w:t>——</w:t>
      </w:r>
      <w:r>
        <w:rPr>
          <w:rFonts w:hint="eastAsia" w:ascii="Times New Roman"/>
        </w:rPr>
        <w:t>制造阶段每功能单位除能源燃烧之外的第i种温室气体的直接排放，单位为千克（kg）；</w:t>
      </w:r>
    </w:p>
    <w:p>
      <w:pPr>
        <w:pStyle w:val="56"/>
        <w:ind w:firstLine="420"/>
        <w:rPr>
          <w:rFonts w:ascii="Times New Roman"/>
        </w:rPr>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vertAlign w:val="subscript"/>
              </w:rPr>
              <m:t>1,j</m:t>
            </m:r>
            <m:ctrlPr>
              <w:rPr>
                <w:rFonts w:ascii="Cambria Math" w:hAnsi="Cambria Math"/>
                <w:i/>
              </w:rPr>
            </m:ctrlPr>
          </m:sub>
        </m:sSub>
      </m:oMath>
      <w:r>
        <w:rPr>
          <w:rFonts w:ascii="Times New Roman"/>
        </w:rPr>
        <w:t>——</w:t>
      </w:r>
      <w:r>
        <w:rPr>
          <w:rFonts w:hint="eastAsia" w:ascii="Times New Roman"/>
        </w:rPr>
        <w:t>制造阶段每功能单位第j种废弃物的排放量，单位为千克（kg）；</w:t>
      </w:r>
    </w:p>
    <w:p>
      <w:pPr>
        <w:pStyle w:val="56"/>
        <w:ind w:firstLine="420"/>
        <w:rPr>
          <w:rFonts w:ascii="Times New Roman"/>
        </w:rPr>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vertAlign w:val="subscript"/>
              </w:rPr>
              <m:t>1,j</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rPr>
        <w:t>——</w:t>
      </w:r>
      <w:r>
        <w:rPr>
          <w:rFonts w:hint="eastAsia" w:ascii="Times New Roman"/>
        </w:rPr>
        <w:t>制造阶段第j种废弃物处置产生的第i种温室气体排放因子，单位为千克每千克（kg</w:t>
      </w:r>
      <w:r>
        <w:rPr>
          <w:rFonts w:ascii="Times New Roman"/>
        </w:rPr>
        <w:t>/</w:t>
      </w:r>
      <w:r>
        <w:rPr>
          <w:rFonts w:hint="eastAsia" w:ascii="Times New Roman"/>
        </w:rPr>
        <w:t xml:space="preserve"> kg）。</w:t>
      </w:r>
    </w:p>
    <w:p>
      <w:pPr>
        <w:pStyle w:val="56"/>
        <w:ind w:firstLine="420"/>
        <w:rPr>
          <w:rFonts w:ascii="Times New Roman"/>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vertAlign w:val="subscript"/>
              </w:rPr>
              <m:t>1,</m:t>
            </m:r>
            <m:r>
              <m:rPr/>
              <w:rPr>
                <w:rFonts w:ascii="Cambria Math" w:hAnsi="Cambria Math"/>
              </w:rPr>
              <m:t>k</m:t>
            </m:r>
            <m:ctrlPr>
              <w:rPr>
                <w:rFonts w:ascii="Cambria Math" w:hAnsi="Cambria Math"/>
                <w:i/>
              </w:rPr>
            </m:ctrlPr>
          </m:sub>
        </m:sSub>
      </m:oMath>
      <w:r>
        <w:rPr>
          <w:rFonts w:ascii="Times New Roman"/>
        </w:rPr>
        <w:t>——</w:t>
      </w:r>
      <w:r>
        <w:rPr>
          <w:rFonts w:hint="eastAsia" w:ascii="Times New Roman"/>
        </w:rPr>
        <w:t>制造阶段每功能单位与第k种运输方式的运输质量，单位视物料的种类而定；</w:t>
      </w:r>
    </w:p>
    <w:p>
      <w:pPr>
        <w:pStyle w:val="56"/>
        <w:ind w:firstLine="420"/>
        <w:rPr>
          <w:rFonts w:ascii="Times New Roman"/>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vertAlign w:val="subscript"/>
              </w:rPr>
              <m:t>1,</m:t>
            </m:r>
            <m:r>
              <m:rPr/>
              <w:rPr>
                <w:rFonts w:ascii="Cambria Math"/>
                <w:vertAlign w:val="subscript"/>
              </w:rPr>
              <m:t>k</m:t>
            </m:r>
            <m:ctrlPr>
              <w:rPr>
                <w:rFonts w:ascii="Cambria Math" w:hAnsi="Cambria Math"/>
                <w:i/>
              </w:rPr>
            </m:ctrlPr>
          </m:sub>
        </m:sSub>
      </m:oMath>
      <w:r>
        <w:rPr>
          <w:rFonts w:ascii="Times New Roman"/>
        </w:rPr>
        <w:t>——</w:t>
      </w:r>
      <w:r>
        <w:rPr>
          <w:rFonts w:hint="eastAsia" w:ascii="Times New Roman"/>
        </w:rPr>
        <w:t>制造阶段每功能单位第k种运输方式的运输距离，单位为千米（km）；</w:t>
      </w:r>
    </w:p>
    <w:p>
      <w:pPr>
        <w:pStyle w:val="56"/>
        <w:ind w:firstLine="420"/>
        <w:rPr>
          <w:rFonts w:ascii="Times New Roman"/>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vertAlign w:val="subscript"/>
              </w:rPr>
              <m:t>1,</m:t>
            </m:r>
            <m:r>
              <m:rPr/>
              <w:rPr>
                <w:rFonts w:ascii="Cambria Math" w:hAnsi="Cambria Math"/>
              </w:rPr>
              <m:t>k</m:t>
            </m:r>
            <m:ctrlPr>
              <w:rPr>
                <w:rFonts w:ascii="Cambria Math" w:hAnsi="Cambria Math"/>
                <w:i/>
              </w:rPr>
            </m:ctrlPr>
          </m:sub>
        </m:sSub>
      </m:oMath>
      <w:r>
        <w:rPr>
          <w:rFonts w:ascii="Times New Roman"/>
        </w:rPr>
        <w:t>——</w:t>
      </w:r>
      <w:r>
        <w:rPr>
          <w:rFonts w:hint="eastAsia" w:ascii="Times New Roman"/>
        </w:rPr>
        <w:t>第k种运输方式或车辆类型的温室气体排放因子，单位为千克二氧化碳当量/千克千米（kgCO</w:t>
      </w:r>
      <w:r>
        <w:rPr>
          <w:rFonts w:hint="eastAsia" w:ascii="Times New Roman"/>
          <w:vertAlign w:val="subscript"/>
        </w:rPr>
        <w:t>2</w:t>
      </w:r>
      <w:r>
        <w:rPr>
          <w:rFonts w:hint="eastAsia" w:ascii="Times New Roman"/>
        </w:rPr>
        <w:t>e/</w:t>
      </w:r>
      <w:r>
        <w:rPr>
          <w:rFonts w:ascii="Times New Roman"/>
        </w:rPr>
        <w:t>kg</w:t>
      </w:r>
      <w:r>
        <w:rPr>
          <w:rFonts w:hint="eastAsia" w:ascii="Times New Roman"/>
        </w:rPr>
        <w:t>·km）；</w:t>
      </w:r>
    </w:p>
    <w:p>
      <w:pPr>
        <w:pStyle w:val="56"/>
        <w:ind w:firstLine="420"/>
        <w:rPr>
          <w:rFonts w:ascii="Times New Roman"/>
        </w:rPr>
      </w:pPr>
      <w:r>
        <w:rPr>
          <w:rFonts w:hint="eastAsia" w:ascii="Times New Roman"/>
          <w:i/>
        </w:rPr>
        <w:t>GWP</w:t>
      </w:r>
      <w:r>
        <w:rPr>
          <w:rFonts w:ascii="Times New Roman"/>
          <w:i/>
          <w:vertAlign w:val="subscript"/>
        </w:rPr>
        <w:t>i</w:t>
      </w:r>
      <w:r>
        <w:rPr>
          <w:rFonts w:ascii="Times New Roman"/>
        </w:rPr>
        <w:t>——</w:t>
      </w:r>
      <w:r>
        <w:rPr>
          <w:rFonts w:hint="eastAsia" w:ascii="Times New Roman"/>
        </w:rPr>
        <w:t>第</w:t>
      </w:r>
      <w:r>
        <w:rPr>
          <w:rFonts w:ascii="Times New Roman"/>
        </w:rPr>
        <w:t>i</w:t>
      </w:r>
      <w:r>
        <w:rPr>
          <w:rFonts w:hint="eastAsia" w:ascii="Times New Roman"/>
        </w:rPr>
        <w:t>类温室气体的GWP值，采用IPCC给出的100年GWP值，见表B.1。</w:t>
      </w:r>
    </w:p>
    <w:p>
      <w:pPr>
        <w:pStyle w:val="65"/>
        <w:spacing w:before="156" w:after="156"/>
        <w:rPr>
          <w:rFonts w:ascii="Times New Roman"/>
        </w:rPr>
      </w:pPr>
      <w:r>
        <w:rPr>
          <w:rFonts w:hint="eastAsia" w:ascii="Times New Roman"/>
        </w:rPr>
        <w:t>分销阶段温室气体排放</w:t>
      </w:r>
    </w:p>
    <w:p>
      <w:pPr>
        <w:pStyle w:val="56"/>
        <w:ind w:firstLine="420"/>
        <w:rPr>
          <w:rFonts w:ascii="Times New Roman"/>
        </w:rPr>
      </w:pPr>
      <w:r>
        <w:rPr>
          <w:rFonts w:hint="eastAsia" w:ascii="Times New Roman"/>
        </w:rPr>
        <w:t>锂离子电池产品分销阶段温室气体排放按照公式（</w:t>
      </w:r>
      <w:r>
        <w:rPr>
          <w:rFonts w:ascii="Times New Roman"/>
        </w:rPr>
        <w:t>5</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hint="eastAsia" w:ascii="Cambria Math" w:hAnsi="Cambria Math"/>
              </w:rPr>
              <m:t>运输</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m:t>
            </m:r>
            <m:r>
              <m:rPr>
                <m:sty m:val="p"/>
              </m:rPr>
              <w:rPr>
                <w:rFonts w:hint="eastAsia" w:ascii="Cambria Math" w:hAnsi="Cambria Math"/>
              </w:rPr>
              <m:t>（</m:t>
            </m:r>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w:r>
        <w:rPr>
          <w:rFonts w:hint="eastAsia" w:ascii="Times New Roman"/>
        </w:rPr>
        <w:t>E</w:t>
      </w:r>
      <w:r>
        <w:rPr>
          <w:rFonts w:hint="eastAsia" w:ascii="Times New Roman"/>
          <w:vertAlign w:val="subscript"/>
        </w:rPr>
        <w:t>分销</w:t>
      </w:r>
      <w:r>
        <w:rPr>
          <w:rFonts w:ascii="Times New Roman"/>
        </w:rPr>
        <w:t>——</w:t>
      </w:r>
      <w:r>
        <w:rPr>
          <w:rFonts w:hint="eastAsia" w:ascii="Times New Roman"/>
        </w:rPr>
        <w:t>分销阶段温室气体排放量，单位为千克二氧化碳当量（kgCO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w:r>
        <w:rPr>
          <w:rFonts w:ascii="Times New Roman"/>
          <w:i/>
        </w:rPr>
        <w:t>M</w:t>
      </w:r>
      <w:r>
        <w:rPr>
          <w:rFonts w:ascii="Times New Roman"/>
          <w:i/>
          <w:vertAlign w:val="subscript"/>
        </w:rPr>
        <w:t>2</w:t>
      </w:r>
      <w:r>
        <w:rPr>
          <w:rFonts w:ascii="Times New Roman"/>
        </w:rPr>
        <w:t>——</w:t>
      </w:r>
      <w:r>
        <w:rPr>
          <w:rFonts w:hint="eastAsia" w:ascii="Times New Roman"/>
        </w:rPr>
        <w:t>锂离子</w:t>
      </w:r>
      <w:r>
        <w:rPr>
          <w:rFonts w:ascii="Times New Roman"/>
        </w:rPr>
        <w:t>电池</w:t>
      </w:r>
      <w:r>
        <w:rPr>
          <w:rFonts w:hint="eastAsia" w:ascii="Times New Roman"/>
        </w:rPr>
        <w:t>产品重量，单位为千克(kg)等（kg）；</w:t>
      </w:r>
    </w:p>
    <w:p>
      <w:pPr>
        <w:pStyle w:val="56"/>
        <w:ind w:firstLine="420"/>
        <w:rPr>
          <w:rFonts w:ascii="Times New Roman"/>
        </w:rPr>
      </w:pPr>
      <w:r>
        <w:rPr>
          <w:rFonts w:ascii="Times New Roman"/>
          <w:i/>
        </w:rPr>
        <w:t>D</w:t>
      </w:r>
      <w:r>
        <w:rPr>
          <w:rFonts w:ascii="Times New Roman"/>
          <w:i/>
          <w:vertAlign w:val="subscript"/>
        </w:rPr>
        <w:t>k</w:t>
      </w:r>
      <w:r>
        <w:rPr>
          <w:rFonts w:ascii="Times New Roman"/>
        </w:rPr>
        <w:t>——</w:t>
      </w:r>
      <w:r>
        <w:rPr>
          <w:rFonts w:hint="eastAsia" w:ascii="Times New Roman"/>
        </w:rPr>
        <w:t>第</w:t>
      </w:r>
      <w:r>
        <w:rPr>
          <w:rFonts w:ascii="Times New Roman"/>
        </w:rPr>
        <w:t>k</w:t>
      </w:r>
      <w:r>
        <w:rPr>
          <w:rFonts w:hint="eastAsia" w:ascii="Times New Roman"/>
        </w:rPr>
        <w:t>种运输方式的距离，单位为千米（km）；</w:t>
      </w:r>
    </w:p>
    <w:p>
      <w:pPr>
        <w:pStyle w:val="56"/>
        <w:ind w:firstLine="420"/>
        <w:rPr>
          <w:rFonts w:ascii="Times New Roman"/>
        </w:rPr>
      </w:pPr>
      <w:r>
        <w:rPr>
          <w:rFonts w:ascii="Times New Roman"/>
          <w:i/>
        </w:rPr>
        <w:t>T</w:t>
      </w:r>
      <w:r>
        <w:rPr>
          <w:rFonts w:ascii="Times New Roman"/>
          <w:i/>
          <w:vertAlign w:val="subscript"/>
        </w:rPr>
        <w:t>k</w:t>
      </w:r>
      <w:r>
        <w:rPr>
          <w:rFonts w:ascii="Times New Roman"/>
        </w:rPr>
        <w:t>——</w:t>
      </w:r>
      <w:r>
        <w:rPr>
          <w:rFonts w:hint="eastAsia" w:ascii="Times New Roman"/>
        </w:rPr>
        <w:t>第</w:t>
      </w:r>
      <w:r>
        <w:rPr>
          <w:rFonts w:ascii="Times New Roman"/>
        </w:rPr>
        <w:t>k</w:t>
      </w:r>
      <w:r>
        <w:rPr>
          <w:rFonts w:hint="eastAsia" w:ascii="Times New Roman"/>
        </w:rPr>
        <w:t>种运输方式或车辆类型的温室气体排放因子，单位为千克二氧化碳当量/千克千米（kgCO</w:t>
      </w:r>
      <w:r>
        <w:rPr>
          <w:rFonts w:hint="eastAsia" w:ascii="Times New Roman"/>
          <w:vertAlign w:val="subscript"/>
        </w:rPr>
        <w:t>2</w:t>
      </w:r>
      <w:r>
        <w:rPr>
          <w:rFonts w:hint="eastAsia" w:ascii="Times New Roman"/>
        </w:rPr>
        <w:t>e/</w:t>
      </w:r>
      <w:r>
        <w:rPr>
          <w:rFonts w:ascii="Times New Roman"/>
        </w:rPr>
        <w:t>kg</w:t>
      </w:r>
      <w:r>
        <w:rPr>
          <w:rFonts w:hint="eastAsia" w:ascii="Times New Roman"/>
        </w:rPr>
        <w:t>·km）；</w:t>
      </w:r>
    </w:p>
    <w:p>
      <w:pPr>
        <w:pStyle w:val="56"/>
        <w:ind w:firstLine="420"/>
        <w:rPr>
          <w:rFonts w:ascii="Times New Roman"/>
        </w:rPr>
      </w:pPr>
      <w:r>
        <w:rPr>
          <w:rFonts w:hint="eastAsia" w:ascii="Times New Roman"/>
          <w:i/>
        </w:rPr>
        <w:t>GWP</w:t>
      </w:r>
      <w:r>
        <w:rPr>
          <w:rFonts w:ascii="Times New Roman"/>
          <w:i/>
          <w:vertAlign w:val="subscript"/>
        </w:rPr>
        <w:t>i</w:t>
      </w:r>
      <w:r>
        <w:rPr>
          <w:rFonts w:ascii="Times New Roman"/>
        </w:rPr>
        <w:t>——</w:t>
      </w:r>
      <w:r>
        <w:rPr>
          <w:rFonts w:hint="eastAsia" w:ascii="Times New Roman"/>
        </w:rPr>
        <w:t>第</w:t>
      </w:r>
      <w:r>
        <w:rPr>
          <w:rFonts w:ascii="Times New Roman"/>
        </w:rPr>
        <w:t>i</w:t>
      </w:r>
      <w:r>
        <w:rPr>
          <w:rFonts w:hint="eastAsia" w:ascii="Times New Roman"/>
        </w:rPr>
        <w:t>类温室气体的GWP值，采用IPCC给出的100年GWP值，见表B.1；</w:t>
      </w:r>
    </w:p>
    <w:p>
      <w:pPr>
        <w:pStyle w:val="56"/>
        <w:ind w:firstLine="420"/>
        <w:rPr>
          <w:rFonts w:ascii="Times New Roman"/>
        </w:rPr>
      </w:pPr>
      <w:r>
        <w:rPr>
          <w:rFonts w:ascii="Times New Roman"/>
        </w:rPr>
        <w:t>k——</w:t>
      </w:r>
      <w:r>
        <w:rPr>
          <w:rFonts w:hint="eastAsia" w:ascii="Times New Roman"/>
        </w:rPr>
        <w:t>货物运输方式，包括空运、船运及陆路运输。</w:t>
      </w:r>
    </w:p>
    <w:p>
      <w:pPr>
        <w:pStyle w:val="65"/>
        <w:spacing w:before="156" w:after="156"/>
        <w:rPr>
          <w:rFonts w:ascii="Times New Roman"/>
        </w:rPr>
      </w:pPr>
      <w:r>
        <w:rPr>
          <w:rFonts w:hint="eastAsia" w:ascii="Times New Roman"/>
        </w:rPr>
        <w:t>使用阶段温室气体排放</w:t>
      </w:r>
    </w:p>
    <w:p>
      <w:pPr>
        <w:pStyle w:val="56"/>
        <w:ind w:firstLine="420"/>
        <w:rPr>
          <w:rFonts w:ascii="Times New Roman"/>
        </w:rPr>
      </w:pPr>
      <w:r>
        <w:rPr>
          <w:rFonts w:hint="eastAsia" w:ascii="Times New Roman"/>
        </w:rPr>
        <w:t>锂离子电池产品使用阶段温室气体排放按照公式（</w:t>
      </w:r>
      <w:r>
        <w:rPr>
          <w:rFonts w:ascii="Times New Roman"/>
        </w:rPr>
        <w:t>6</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使用</m:t>
            </m:r>
            <m:ctrlPr>
              <w:rPr>
                <w:rFonts w:ascii="Cambria Math" w:hAnsi="Cambria Math"/>
                <w:i/>
              </w:rPr>
            </m:ctrlPr>
          </m:sub>
        </m:sSub>
        <m:r>
          <m:rPr>
            <m:sty m:val="p"/>
          </m:rPr>
          <w:rPr>
            <w:rFonts w:ascii="Cambria Math" w:hAnsi="Cambria Math"/>
          </w:rPr>
          <m:t>=</m:t>
        </m:r>
        <m:r>
          <m:rPr/>
          <w:rPr>
            <w:rFonts w:ascii="Cambria Math" w:hAnsi="Cambria Math"/>
          </w:rPr>
          <m:t>c×</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电力</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snapToGrid w:val="0"/>
        <w:ind w:firstLine="420"/>
        <w:rPr>
          <w:rFonts w:asci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使用</m:t>
            </m:r>
            <m:ctrlPr>
              <w:rPr>
                <w:rFonts w:ascii="Cambria Math" w:hAnsi="Cambria Math"/>
                <w:i/>
              </w:rPr>
            </m:ctrlPr>
          </m:sub>
        </m:sSub>
      </m:oMath>
      <w:r>
        <w:rPr>
          <w:rFonts w:ascii="Times New Roman"/>
        </w:rPr>
        <w:t>——</w:t>
      </w:r>
      <w:r>
        <w:rPr>
          <w:rFonts w:hint="eastAsia" w:ascii="Times New Roman"/>
        </w:rPr>
        <w:t>使用阶段温室气体排放量，单位为千克二氧化碳当量（kgCO</w:t>
      </w:r>
      <w:r>
        <w:rPr>
          <w:rFonts w:hint="eastAsia" w:ascii="Times New Roman"/>
          <w:vertAlign w:val="subscript"/>
        </w:rPr>
        <w:t>2</w:t>
      </w:r>
      <w:r>
        <w:rPr>
          <w:rFonts w:hint="eastAsia" w:ascii="Times New Roman"/>
        </w:rPr>
        <w:t>e）；</w:t>
      </w:r>
    </w:p>
    <w:p>
      <w:pPr>
        <w:pStyle w:val="56"/>
        <w:snapToGrid w:val="0"/>
        <w:ind w:firstLine="420"/>
        <w:rPr>
          <w:rFonts w:ascii="Times New Roman"/>
        </w:rPr>
      </w:pPr>
      <w:r>
        <w:rPr>
          <w:rFonts w:ascii="Times New Roman"/>
          <w:i/>
        </w:rPr>
        <w:t>c</w:t>
      </w:r>
      <w:r>
        <w:rPr>
          <w:rFonts w:ascii="Times New Roman"/>
        </w:rPr>
        <w:t>——</w:t>
      </w:r>
      <w:r>
        <w:rPr>
          <w:rFonts w:hint="eastAsia" w:ascii="Times New Roman"/>
        </w:rPr>
        <w:t>锂离子电池产品提供的总能量，单位为千瓦时（kW·h）等，计算公式见式（</w:t>
      </w:r>
      <w:r>
        <w:rPr>
          <w:rFonts w:ascii="Times New Roman"/>
        </w:rPr>
        <w:t>1</w:t>
      </w:r>
      <w:r>
        <w:rPr>
          <w:rFonts w:hint="eastAsia" w:ascii="Times New Roman"/>
        </w:rPr>
        <w:t>）。</w:t>
      </w:r>
    </w:p>
    <w:p>
      <w:pPr>
        <w:pStyle w:val="56"/>
        <w:snapToGrid w:val="0"/>
        <w:ind w:firstLine="420"/>
        <w:rPr>
          <w:rFonts w:ascii="Times New Roman"/>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电力</m:t>
            </m:r>
            <m:ctrlPr>
              <w:rPr>
                <w:rFonts w:ascii="Cambria Math" w:hAnsi="Cambria Math"/>
                <w:i/>
              </w:rPr>
            </m:ctrlPr>
          </m:sub>
        </m:sSub>
      </m:oMath>
      <w:r>
        <w:rPr>
          <w:rFonts w:ascii="Times New Roman"/>
        </w:rPr>
        <w:t>——</w:t>
      </w:r>
      <w:r>
        <w:rPr>
          <w:rFonts w:hint="eastAsia" w:ascii="Times New Roman"/>
        </w:rPr>
        <w:t>电力排放因子，单位为千克二氧化碳/千瓦时（kgCO</w:t>
      </w:r>
      <w:r>
        <w:rPr>
          <w:rFonts w:hint="eastAsia" w:ascii="Times New Roman"/>
          <w:vertAlign w:val="subscript"/>
        </w:rPr>
        <w:t>2</w:t>
      </w:r>
      <w:r>
        <w:rPr>
          <w:rFonts w:hint="eastAsia" w:ascii="Times New Roman"/>
        </w:rPr>
        <w:t>/KW·h）；</w:t>
      </w:r>
    </w:p>
    <w:p>
      <w:pPr>
        <w:pStyle w:val="56"/>
        <w:ind w:firstLine="420"/>
        <w:rPr>
          <w:rFonts w:ascii="Times New Roman"/>
        </w:rPr>
      </w:pPr>
      <w:r>
        <w:rPr>
          <w:rFonts w:hint="eastAsia" w:ascii="Times New Roman"/>
          <w:i/>
        </w:rPr>
        <w:t>GWP</w:t>
      </w:r>
      <w:r>
        <w:rPr>
          <w:rFonts w:ascii="Times New Roman"/>
          <w:i/>
          <w:vertAlign w:val="subscript"/>
        </w:rPr>
        <w:t>i</w:t>
      </w:r>
      <w:r>
        <w:rPr>
          <w:rFonts w:ascii="Times New Roman"/>
        </w:rPr>
        <w:t>——</w:t>
      </w:r>
      <w:r>
        <w:rPr>
          <w:rFonts w:hint="eastAsia" w:ascii="Times New Roman"/>
        </w:rPr>
        <w:t>第</w:t>
      </w:r>
      <w:r>
        <w:rPr>
          <w:rFonts w:ascii="Times New Roman"/>
        </w:rPr>
        <w:t>i</w:t>
      </w:r>
      <w:r>
        <w:rPr>
          <w:rFonts w:hint="eastAsia" w:ascii="Times New Roman"/>
        </w:rPr>
        <w:t>类温室气体的GWP值，采用IPCC给出的100年GWP值，见表B.1</w:t>
      </w:r>
      <w:r>
        <w:rPr>
          <w:rFonts w:ascii="Times New Roman"/>
        </w:rPr>
        <w:t>。</w:t>
      </w:r>
    </w:p>
    <w:p>
      <w:pPr>
        <w:pStyle w:val="65"/>
        <w:spacing w:before="156" w:after="156"/>
        <w:rPr>
          <w:rFonts w:ascii="Times New Roman"/>
        </w:rPr>
      </w:pPr>
      <w:r>
        <w:rPr>
          <w:rFonts w:hint="eastAsia" w:ascii="Times New Roman"/>
        </w:rPr>
        <w:t>生命末期阶段温室气体排放</w:t>
      </w:r>
    </w:p>
    <w:p>
      <w:pPr>
        <w:pStyle w:val="56"/>
        <w:ind w:firstLine="420"/>
        <w:rPr>
          <w:rFonts w:ascii="Times New Roman"/>
        </w:rPr>
      </w:pPr>
      <w:r>
        <w:rPr>
          <w:rFonts w:hint="eastAsia" w:ascii="Times New Roman"/>
        </w:rPr>
        <w:t>锂离子电池产品生命末期阶段温室气体排放按照公式（</w:t>
      </w:r>
      <w:r>
        <w:rPr>
          <w:rFonts w:ascii="Times New Roman"/>
        </w:rPr>
        <w:t>7</w:t>
      </w:r>
      <w:r>
        <w:rPr>
          <w:rFonts w:hint="eastAsia" w:ascii="Times New Roman"/>
        </w:rPr>
        <w:t>）计算：</w:t>
      </w:r>
    </w:p>
    <w:p>
      <w:pPr>
        <w:pStyle w:val="113"/>
        <w:jc w:val="center"/>
        <w:rPr>
          <w:rFonts w:ascii="Times New Roman" w:hAnsi="Times New Roman"/>
        </w:rPr>
      </w:pPr>
      <m:oMath>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hint="eastAsia" w:ascii="Cambria Math" w:hAnsi="Cambria Math"/>
              </w:rPr>
              <m:t>生命末期</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hint="eastAsia" w:ascii="Cambria Math" w:hAnsi="Cambria Math"/>
              </w:rPr>
              <m:t>∑</m:t>
            </m:r>
            <m:ctrlPr>
              <w:rPr>
                <w:rFonts w:ascii="Cambria Math" w:hAnsi="Cambria Math"/>
                <w:i/>
              </w:rPr>
            </m:ctrlPr>
          </m:e>
          <m:sub>
            <m:r>
              <m:rPr/>
              <w:rPr>
                <w:rFonts w:ascii="Cambria Math" w:hAnsi="Cambria Math"/>
              </w:rPr>
              <m:t>i,j</m:t>
            </m:r>
            <m:ctrlPr>
              <w:rPr>
                <w:rFonts w:ascii="Cambria Math" w:hAnsi="Cambria Math"/>
                <w:i/>
              </w:rPr>
            </m:ctrlPr>
          </m:sub>
        </m:sSub>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ascii="Cambria Math" w:hAnsi="Cambria Math"/>
                  </w:rPr>
                  <m:t>3,</m:t>
                </m:r>
                <m:r>
                  <m:rPr/>
                  <w:rPr>
                    <w:rFonts w:ascii="Cambria Math" w:hAnsi="Cambria Math"/>
                  </w:rPr>
                  <m:t>j</m:t>
                </m:r>
                <m:ctrlPr>
                  <w:rPr>
                    <w:rFonts w:ascii="Cambria Math" w:hAnsi="Cambria Math"/>
                    <w:i/>
                  </w:rPr>
                </m:ctrlPr>
              </m:sub>
            </m:sSub>
            <m:r>
              <m:rPr/>
              <w:rPr>
                <w:rFonts w:ascii="Cambria Math" w:hAnsi="Cambria Math"/>
              </w:rPr>
              <m:t>×</m:t>
            </m:r>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ascii="Cambria Math" w:hAnsi="Cambria Math"/>
                      </w:rPr>
                      <m:t>3</m:t>
                    </m:r>
                    <m:r>
                      <m:rPr>
                        <m:sty m:val="p"/>
                      </m:rPr>
                      <w:rPr>
                        <w:rFonts w:hint="eastAsia" w:ascii="Cambria Math" w:hAnsi="Cambria Math"/>
                      </w:rPr>
                      <m:t>,</m:t>
                    </m:r>
                    <m:r>
                      <m:rPr/>
                      <w:rPr>
                        <w:rFonts w:ascii="Cambria Math" w:hAnsi="Cambria Math"/>
                      </w:rPr>
                      <m:t>j</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ascii="Cambria Math" w:hAnsi="Cambria Math"/>
                      </w:rPr>
                      <m:t>3</m:t>
                    </m:r>
                    <m:r>
                      <m:rPr>
                        <m:sty m:val="p"/>
                      </m:rPr>
                      <w:rPr>
                        <w:rFonts w:hint="eastAsia" w:ascii="Cambria Math" w:hAnsi="Cambria Math"/>
                      </w:rPr>
                      <m:t>,</m:t>
                    </m:r>
                    <m:r>
                      <m:rPr/>
                      <w:rPr>
                        <w:rFonts w:ascii="Cambria Math" w:hAnsi="Cambria Math"/>
                      </w:rPr>
                      <m:t>j</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d>
        <m:r>
          <m:rPr>
            <m:sty m:val="p"/>
          </m:rPr>
          <w:rPr>
            <w:rFonts w:ascii="Cambria Math" w:hAnsi="Cambria Math"/>
          </w:rPr>
          <m:t>+</m:t>
        </m:r>
        <m:sSub>
          <m:sSubPr>
            <m:ctrlPr>
              <w:rPr>
                <w:rFonts w:ascii="Cambria Math" w:hAnsi="Cambria Math"/>
                <w:i/>
              </w:rPr>
            </m:ctrlPr>
          </m:sSubPr>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ctrlPr>
                  <w:rPr>
                    <w:rFonts w:ascii="Cambria Math" w:hAnsi="Cambria Math"/>
                    <w:i/>
                  </w:rPr>
                </m:ctrlPr>
              </m:e>
            </m:nary>
            <m:ctrlPr>
              <w:rPr>
                <w:rFonts w:ascii="Cambria Math" w:hAnsi="Cambria Math"/>
                <w:i/>
              </w:rPr>
            </m:ctrlPr>
          </m:e>
          <m:sub>
            <m:r>
              <m:rPr/>
              <w:rPr>
                <w:rFonts w:ascii="Cambria Math" w:hAnsi="Cambria Math"/>
              </w:rPr>
              <m:t>k,j</m:t>
            </m:r>
            <m:ctrlPr>
              <w:rPr>
                <w:rFonts w:ascii="Cambria Math" w:hAnsi="Cambria Math"/>
                <w:i/>
              </w:rPr>
            </m:ctrlPr>
          </m:sub>
        </m:sSub>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3</m:t>
                </m:r>
                <m:r>
                  <m:rPr>
                    <m:sty m:val="p"/>
                  </m:rPr>
                  <w:rPr>
                    <w:rFonts w:ascii="Cambria Math" w:hAnsi="Cambria Math"/>
                  </w:rPr>
                  <m:t>,</m:t>
                </m:r>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3,k</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e>
        </m:d>
        <m:r>
          <m:rPr>
            <m:sty m:val="p"/>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w:rPr>
                <w:rFonts w:ascii="Cambria Math" w:hAnsi="Cambria Math"/>
              </w:rPr>
              <m:t>k,j</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3</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m:t>
        </m:r>
      </m:oMath>
      <w:r>
        <w:rPr>
          <w:rFonts w:ascii="Times New Roman" w:hAnsi="Times New Roman" w:eastAsia="微软雅黑"/>
        </w:rPr>
        <w:tab/>
      </w:r>
      <w:r>
        <w:rPr>
          <w:rFonts w:ascii="Times New Roman" w:hAnsi="Times New Roman" w:eastAsia="微软雅黑"/>
        </w:rPr>
        <w:tab/>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56"/>
        <w:ind w:firstLine="420"/>
        <w:rPr>
          <w:rFonts w:ascii="Times New Roman"/>
        </w:rPr>
      </w:pPr>
      <w:r>
        <w:rPr>
          <w:rFonts w:hint="eastAsia" w:ascii="Times New Roman"/>
        </w:rPr>
        <w:t>式中：</w:t>
      </w:r>
    </w:p>
    <w:p>
      <w:pPr>
        <w:pStyle w:val="56"/>
        <w:snapToGrid w:val="0"/>
        <w:ind w:firstLine="420"/>
        <w:rPr>
          <w:rFonts w:asci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生命末期</m:t>
            </m:r>
            <m:ctrlPr>
              <w:rPr>
                <w:rFonts w:ascii="Cambria Math" w:hAnsi="Cambria Math"/>
                <w:i/>
              </w:rPr>
            </m:ctrlPr>
          </m:sub>
        </m:sSub>
      </m:oMath>
      <w:r>
        <w:rPr>
          <w:rFonts w:ascii="Times New Roman"/>
        </w:rPr>
        <w:t>——</w:t>
      </w:r>
      <w:r>
        <w:rPr>
          <w:rFonts w:hint="eastAsia" w:ascii="Times New Roman"/>
        </w:rPr>
        <w:t>生命末期阶段温室气体排放量，单位为千克二氧化碳当量（kgCO</w:t>
      </w:r>
      <w:r>
        <w:rPr>
          <w:rFonts w:hint="eastAsia" w:ascii="Times New Roman"/>
          <w:vertAlign w:val="subscript"/>
        </w:rPr>
        <w:t>2</w:t>
      </w:r>
      <w:r>
        <w:rPr>
          <w:rFonts w:hint="eastAsia" w:ascii="Times New Roman"/>
        </w:rPr>
        <w:t>e）；</w:t>
      </w:r>
    </w:p>
    <w:p>
      <w:pPr>
        <w:pStyle w:val="56"/>
        <w:ind w:firstLine="420"/>
        <w:rPr>
          <w:rFonts w:ascii="Times New Roman"/>
        </w:rPr>
      </w:pPr>
      <w:r>
        <w:rPr>
          <w:rFonts w:hint="eastAsia" w:ascii="Times New Roman"/>
          <w:i/>
        </w:rPr>
        <w:t>E</w:t>
      </w:r>
      <w:r>
        <w:rPr>
          <w:rFonts w:ascii="Times New Roman"/>
          <w:i/>
          <w:vertAlign w:val="subscript"/>
        </w:rPr>
        <w:t>3,j</w:t>
      </w:r>
      <w:r>
        <w:rPr>
          <w:rFonts w:ascii="Times New Roman"/>
        </w:rPr>
        <w:t>——</w:t>
      </w:r>
      <w:r>
        <w:rPr>
          <w:rFonts w:hint="eastAsia" w:ascii="Times New Roman"/>
        </w:rPr>
        <w:t>生命末期阶段每功能单位第j种能源的消耗量，单位为千克(kg)、立方米(m</w:t>
      </w:r>
      <w:r>
        <w:rPr>
          <w:rFonts w:hint="eastAsia" w:ascii="Times New Roman"/>
          <w:vertAlign w:val="superscript"/>
        </w:rPr>
        <w:t>3</w:t>
      </w:r>
      <w:r>
        <w:rPr>
          <w:rFonts w:hint="eastAsia" w:ascii="Times New Roman"/>
        </w:rPr>
        <w:t>)等，视不同能源统计量纲确定；</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vertAlign w:val="subscript"/>
              </w:rPr>
              <m:t>3,j</m:t>
            </m:r>
            <m:ctrlPr>
              <w:rPr>
                <w:rFonts w:ascii="Cambria Math" w:hAnsi="Cambria Math"/>
                <w:i/>
                <w:kern w:val="2"/>
                <w:szCs w:val="21"/>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hint="eastAsia" w:ascii="Cambria Math" w:hAnsi="Cambria Math"/>
          </w:rPr>
          <m:t xml:space="preserve"> </m:t>
        </m:r>
      </m:oMath>
      <w:r>
        <w:rPr>
          <w:rFonts w:ascii="Times New Roman"/>
        </w:rPr>
        <w:t>——</w:t>
      </w:r>
      <w:r>
        <w:rPr>
          <w:rFonts w:hint="eastAsia" w:ascii="Times New Roman"/>
        </w:rPr>
        <w:t>生命末期阶段第j种能源生产的第i种温室气体排放因子，单位与能源的单位相匹配；</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F</m:t>
            </m:r>
            <m:ctrlPr>
              <w:rPr>
                <w:rFonts w:ascii="Cambria Math" w:hAnsi="Cambria Math"/>
                <w:i/>
                <w:kern w:val="2"/>
                <w:szCs w:val="21"/>
              </w:rPr>
            </m:ctrlPr>
          </m:e>
          <m:sub>
            <m:r>
              <m:rPr/>
              <w:rPr>
                <w:rFonts w:ascii="Cambria Math" w:hAnsi="Cambria Math"/>
                <w:vertAlign w:val="subscript"/>
              </w:rPr>
              <m:t>3,j</m:t>
            </m:r>
            <m:ctrlPr>
              <w:rPr>
                <w:rFonts w:ascii="Cambria Math" w:hAnsi="Cambria Math"/>
                <w:i/>
                <w:kern w:val="2"/>
                <w:szCs w:val="21"/>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ascii="Times New Roman"/>
        </w:rPr>
        <w:t xml:space="preserve"> </w:t>
      </w:r>
      <w:r>
        <w:rPr>
          <w:rFonts w:ascii="Times New Roman"/>
        </w:rPr>
        <w:t>——</w:t>
      </w:r>
      <w:r>
        <w:rPr>
          <w:rFonts w:hint="eastAsia" w:ascii="Times New Roman"/>
        </w:rPr>
        <w:t>生命末期阶段第j种能源燃烧的第i种温室气体排放因子，单位与能源的单位相匹配；</w:t>
      </w:r>
    </w:p>
    <w:p>
      <w:pPr>
        <w:pStyle w:val="56"/>
        <w:ind w:firstLine="420"/>
        <w:rPr>
          <w:rFonts w:ascii="Times New Roman"/>
        </w:rPr>
      </w:pPr>
      <w:r>
        <w:rPr>
          <w:rFonts w:ascii="Times New Roman"/>
          <w:i/>
        </w:rPr>
        <w:t>M</w:t>
      </w:r>
      <w:r>
        <w:rPr>
          <w:rFonts w:ascii="Times New Roman"/>
          <w:i/>
          <w:vertAlign w:val="subscript"/>
        </w:rPr>
        <w:t>3</w:t>
      </w:r>
      <w:r>
        <w:rPr>
          <w:rFonts w:ascii="Times New Roman"/>
        </w:rPr>
        <w:t>——</w:t>
      </w:r>
      <w:r>
        <w:rPr>
          <w:rFonts w:hint="eastAsia" w:ascii="Times New Roman"/>
        </w:rPr>
        <w:t>生命末期阶段最终处置量(焚烧、填埋等)，单位为千克(kg)等;（kg）；</w:t>
      </w:r>
    </w:p>
    <w:p>
      <w:pPr>
        <w:pStyle w:val="56"/>
        <w:ind w:firstLine="420"/>
        <w:rPr>
          <w:rFonts w:ascii="Times New Roman"/>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vertAlign w:val="subscript"/>
              </w:rPr>
              <m:t>3,</m:t>
            </m:r>
            <m:r>
              <m:rPr/>
              <w:rPr>
                <w:rFonts w:ascii="Cambria Math"/>
                <w:vertAlign w:val="subscript"/>
              </w:rPr>
              <m:t>k</m:t>
            </m:r>
            <m:ctrlPr>
              <w:rPr>
                <w:rFonts w:ascii="Cambria Math" w:hAnsi="Cambria Math"/>
                <w:i/>
              </w:rPr>
            </m:ctrlPr>
          </m:sub>
        </m:sSub>
      </m:oMath>
      <w:r>
        <w:rPr>
          <w:rFonts w:ascii="Times New Roman"/>
        </w:rPr>
        <w:t>——</w:t>
      </w:r>
      <w:r>
        <w:rPr>
          <w:rFonts w:hint="eastAsia" w:ascii="Times New Roman"/>
        </w:rPr>
        <w:t>生命末期阶段第k种运输方式的运输距离，单位为千米（km）；</w:t>
      </w:r>
    </w:p>
    <w:p>
      <w:pPr>
        <w:pStyle w:val="56"/>
        <w:ind w:firstLine="420"/>
        <w:rPr>
          <w:rFonts w:ascii="Times New Roman"/>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vertAlign w:val="subscript"/>
              </w:rPr>
              <m:t>3,</m:t>
            </m:r>
            <m:r>
              <m:rPr/>
              <w:rPr>
                <w:rFonts w:ascii="Cambria Math" w:hAnsi="Cambria Math"/>
              </w:rPr>
              <m:t>k</m:t>
            </m:r>
            <m:ctrlPr>
              <w:rPr>
                <w:rFonts w:ascii="Cambria Math" w:hAnsi="Cambria Math"/>
                <w:i/>
              </w:rPr>
            </m:ctrlPr>
          </m:sub>
        </m:sSub>
      </m:oMath>
      <w:r>
        <w:rPr>
          <w:rFonts w:ascii="Times New Roman"/>
        </w:rPr>
        <w:t>——</w:t>
      </w:r>
      <w:r>
        <w:rPr>
          <w:rFonts w:hint="eastAsia" w:ascii="Times New Roman"/>
        </w:rPr>
        <w:t>第k种运输方式或车辆类型的温室气体排放因子，单位为千克二氧化碳当量/千克千米（kgCO</w:t>
      </w:r>
      <w:r>
        <w:rPr>
          <w:rFonts w:hint="eastAsia" w:ascii="Times New Roman"/>
          <w:vertAlign w:val="subscript"/>
        </w:rPr>
        <w:t>2</w:t>
      </w:r>
      <w:r>
        <w:rPr>
          <w:rFonts w:hint="eastAsia" w:ascii="Times New Roman"/>
        </w:rPr>
        <w:t>e/</w:t>
      </w:r>
      <w:r>
        <w:rPr>
          <w:rFonts w:ascii="Times New Roman"/>
        </w:rPr>
        <w:t>kg</w:t>
      </w:r>
      <w:r>
        <w:rPr>
          <w:rFonts w:hint="eastAsia" w:ascii="Times New Roman"/>
        </w:rPr>
        <w:t>·km）；</w:t>
      </w:r>
    </w:p>
    <w:p>
      <w:pPr>
        <w:pStyle w:val="56"/>
        <w:ind w:firstLine="420"/>
        <w:rPr>
          <w:rFonts w:ascii="Times New Roman"/>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3</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rPr>
        <w:t>——</w:t>
      </w:r>
      <w:r>
        <w:rPr>
          <w:rFonts w:hint="eastAsia" w:ascii="Times New Roman"/>
        </w:rPr>
        <w:t>生命末期阶段需要进行最终处置(焚烧、填埋等)的第i种温室气体排放因子，单位为千克每千克(kg/kg)。</w:t>
      </w:r>
    </w:p>
    <w:p>
      <w:pPr>
        <w:pStyle w:val="56"/>
        <w:ind w:firstLine="420"/>
        <w:rPr>
          <w:rFonts w:ascii="Times New Roman"/>
        </w:rPr>
      </w:pPr>
      <w:r>
        <w:rPr>
          <w:rFonts w:hint="eastAsia" w:ascii="Times New Roman"/>
          <w:i/>
        </w:rPr>
        <w:t>GWP</w:t>
      </w:r>
      <w:r>
        <w:rPr>
          <w:rFonts w:ascii="Times New Roman"/>
          <w:i/>
          <w:vertAlign w:val="subscript"/>
        </w:rPr>
        <w:t>i</w:t>
      </w:r>
      <w:r>
        <w:rPr>
          <w:rFonts w:ascii="Times New Roman"/>
        </w:rPr>
        <w:t>——</w:t>
      </w:r>
      <w:r>
        <w:rPr>
          <w:rFonts w:hint="eastAsia" w:ascii="Times New Roman"/>
        </w:rPr>
        <w:t>第</w:t>
      </w:r>
      <w:r>
        <w:rPr>
          <w:rFonts w:ascii="Times New Roman"/>
        </w:rPr>
        <w:t>i</w:t>
      </w:r>
      <w:r>
        <w:rPr>
          <w:rFonts w:hint="eastAsia" w:ascii="Times New Roman"/>
        </w:rPr>
        <w:t>类温室气体的GWP值，采用IPCC给出的100年GWP值，见表B.1。</w:t>
      </w:r>
    </w:p>
    <w:p>
      <w:pPr>
        <w:pStyle w:val="105"/>
        <w:spacing w:before="156" w:after="156"/>
      </w:pPr>
      <w:bookmarkStart w:id="156" w:name="_Toc184200484"/>
      <w:bookmarkStart w:id="157" w:name="_Toc183703794"/>
      <w:bookmarkStart w:id="158" w:name="_Toc184199773"/>
      <w:bookmarkStart w:id="159" w:name="_Toc183702810"/>
      <w:bookmarkStart w:id="160" w:name="_Toc183703748"/>
      <w:r>
        <w:rPr>
          <w:rFonts w:hint="eastAsia"/>
        </w:rPr>
        <w:t>结果解释</w:t>
      </w:r>
      <w:bookmarkEnd w:id="156"/>
      <w:bookmarkEnd w:id="157"/>
      <w:bookmarkEnd w:id="158"/>
      <w:bookmarkEnd w:id="159"/>
      <w:bookmarkEnd w:id="160"/>
    </w:p>
    <w:p>
      <w:pPr>
        <w:pStyle w:val="56"/>
        <w:ind w:firstLine="420"/>
        <w:rPr>
          <w:rFonts w:ascii="Times New Roman"/>
        </w:rPr>
      </w:pPr>
      <w:r>
        <w:rPr>
          <w:rFonts w:hint="eastAsia" w:ascii="Times New Roman"/>
        </w:rPr>
        <w:t>产品碳足迹研究的生命周期结果解释阶段应包括以下步骤：</w:t>
      </w:r>
    </w:p>
    <w:p>
      <w:pPr>
        <w:pStyle w:val="174"/>
        <w:numPr>
          <w:ilvl w:val="0"/>
          <w:numId w:val="46"/>
        </w:numPr>
      </w:pPr>
      <w:r>
        <w:rPr>
          <w:rFonts w:hint="eastAsia"/>
        </w:rPr>
        <w:t>根据生命周期清单分析和生命周期影响评价的产品碳足迹和产品部分碳足迹的量化结果，识别显著环节；</w:t>
      </w:r>
    </w:p>
    <w:p>
      <w:pPr>
        <w:pStyle w:val="180"/>
        <w:numPr>
          <w:ilvl w:val="0"/>
          <w:numId w:val="47"/>
        </w:numPr>
      </w:pPr>
      <w:r>
        <w:rPr>
          <w:rFonts w:hint="eastAsia"/>
        </w:rPr>
        <w:t>显著环节可包括生命周期阶段、单元过程或流。</w:t>
      </w:r>
    </w:p>
    <w:p>
      <w:pPr>
        <w:pStyle w:val="174"/>
        <w:numPr>
          <w:ilvl w:val="0"/>
          <w:numId w:val="34"/>
        </w:numPr>
      </w:pPr>
      <w:r>
        <w:rPr>
          <w:rFonts w:hint="eastAsia"/>
        </w:rPr>
        <w:t>完整性、一致性和敏感性分析的评估；</w:t>
      </w:r>
    </w:p>
    <w:p>
      <w:pPr>
        <w:pStyle w:val="174"/>
        <w:numPr>
          <w:ilvl w:val="0"/>
          <w:numId w:val="34"/>
        </w:numPr>
      </w:pPr>
      <w:r>
        <w:rPr>
          <w:rFonts w:hint="eastAsia"/>
        </w:rPr>
        <w:t>结论、局限性和建议的编制。</w:t>
      </w:r>
    </w:p>
    <w:p>
      <w:pPr>
        <w:pStyle w:val="56"/>
        <w:ind w:firstLine="420"/>
        <w:rPr>
          <w:rFonts w:ascii="Times New Roman"/>
        </w:rPr>
      </w:pPr>
      <w:r>
        <w:rPr>
          <w:rFonts w:hint="eastAsia" w:ascii="Times New Roman"/>
        </w:rPr>
        <w:t>应根据产品碳足迹研究的目的和范围进行结果解释，解释应包括以下内容：</w:t>
      </w:r>
    </w:p>
    <w:p>
      <w:pPr>
        <w:pStyle w:val="132"/>
      </w:pPr>
      <w:r>
        <w:rPr>
          <w:rFonts w:hint="eastAsia"/>
        </w:rPr>
        <w:t>说明产品碳足迹和各生命周期阶段的碳足迹；</w:t>
      </w:r>
    </w:p>
    <w:p>
      <w:pPr>
        <w:pStyle w:val="132"/>
      </w:pPr>
      <w:r>
        <w:rPr>
          <w:rFonts w:hint="eastAsia"/>
        </w:rPr>
        <w:t>分析不确定性,包括取舍准则的应用或范围；</w:t>
      </w:r>
    </w:p>
    <w:p>
      <w:pPr>
        <w:pStyle w:val="132"/>
      </w:pPr>
      <w:r>
        <w:rPr>
          <w:rFonts w:hint="eastAsia"/>
        </w:rPr>
        <w:t>详细记录选定的分配程序；</w:t>
      </w:r>
    </w:p>
    <w:p>
      <w:pPr>
        <w:pStyle w:val="132"/>
      </w:pPr>
      <w:r>
        <w:rPr>
          <w:rFonts w:hint="eastAsia"/>
        </w:rPr>
        <w:t>说明产品碳足迹研究的局限性。</w:t>
      </w:r>
    </w:p>
    <w:p>
      <w:pPr>
        <w:pStyle w:val="56"/>
        <w:ind w:firstLine="420"/>
        <w:rPr>
          <w:rFonts w:ascii="Times New Roman"/>
        </w:rPr>
      </w:pPr>
      <w:r>
        <w:rPr>
          <w:rFonts w:hint="eastAsia" w:ascii="Times New Roman"/>
        </w:rPr>
        <w:t>结果解释宜包括以下内容：</w:t>
      </w:r>
    </w:p>
    <w:p>
      <w:pPr>
        <w:pStyle w:val="132"/>
      </w:pPr>
      <w:r>
        <w:rPr>
          <w:rFonts w:hint="eastAsia"/>
        </w:rPr>
        <w:t>分析重要输入、输出和方法学选择(包括分配程序)的敏感性，以</w:t>
      </w:r>
      <w:r>
        <w:t>了</w:t>
      </w:r>
      <w:r>
        <w:rPr>
          <w:rFonts w:hint="eastAsia"/>
        </w:rPr>
        <w:t>解结果的敏感性和不确定性；</w:t>
      </w:r>
    </w:p>
    <w:p>
      <w:pPr>
        <w:pStyle w:val="132"/>
      </w:pPr>
      <w:r>
        <w:rPr>
          <w:rFonts w:hint="eastAsia"/>
        </w:rPr>
        <w:t>评估替代使用情景对最终结果的影响评价;</w:t>
      </w:r>
    </w:p>
    <w:p>
      <w:pPr>
        <w:pStyle w:val="132"/>
      </w:pPr>
      <w:r>
        <w:rPr>
          <w:rFonts w:hint="eastAsia"/>
        </w:rPr>
        <w:t>评估不同生命末期阶段情景对最终结果的影响评价；</w:t>
      </w:r>
    </w:p>
    <w:p>
      <w:pPr>
        <w:pStyle w:val="132"/>
      </w:pPr>
      <w:r>
        <w:rPr>
          <w:rFonts w:hint="eastAsia"/>
        </w:rPr>
        <w:t>评估建议对结果的影响；</w:t>
      </w:r>
    </w:p>
    <w:p>
      <w:pPr>
        <w:pStyle w:val="132"/>
      </w:pPr>
      <w:r>
        <w:rPr>
          <w:rFonts w:hint="eastAsia"/>
        </w:rPr>
        <w:t>描述地理格网的划分方法及地理格网的尺度要求原则(如适用)。</w:t>
      </w:r>
    </w:p>
    <w:p>
      <w:pPr>
        <w:pStyle w:val="180"/>
      </w:pPr>
      <w:r>
        <w:rPr>
          <w:rFonts w:hint="eastAsia"/>
        </w:rPr>
        <w:t>更多信息见GB/T 24044-2008的4.5和GB/T 24044-2008的附录B。</w:t>
      </w:r>
    </w:p>
    <w:p>
      <w:pPr>
        <w:pStyle w:val="104"/>
        <w:spacing w:before="312" w:after="312"/>
        <w:rPr>
          <w:rFonts w:ascii="Times New Roman"/>
        </w:rPr>
      </w:pPr>
      <w:bookmarkStart w:id="161" w:name="_Toc184200485"/>
      <w:bookmarkStart w:id="162" w:name="_Toc183023600"/>
      <w:bookmarkStart w:id="163" w:name="_Toc184199774"/>
      <w:bookmarkStart w:id="164" w:name="_Toc182386873"/>
      <w:bookmarkStart w:id="165" w:name="_Toc182389396"/>
      <w:bookmarkStart w:id="166" w:name="_Toc182385860"/>
      <w:bookmarkStart w:id="167" w:name="_Toc180498964"/>
      <w:r>
        <w:rPr>
          <w:rFonts w:hint="eastAsia" w:ascii="Times New Roman"/>
        </w:rPr>
        <w:t>产品</w:t>
      </w:r>
      <w:r>
        <w:rPr>
          <w:rFonts w:ascii="Times New Roman"/>
        </w:rPr>
        <w:t>碳足迹</w:t>
      </w:r>
      <w:r>
        <w:rPr>
          <w:rFonts w:hint="eastAsia" w:ascii="Times New Roman"/>
        </w:rPr>
        <w:t>报告</w:t>
      </w:r>
      <w:bookmarkEnd w:id="161"/>
      <w:bookmarkEnd w:id="162"/>
      <w:bookmarkEnd w:id="163"/>
      <w:bookmarkEnd w:id="164"/>
      <w:bookmarkEnd w:id="165"/>
      <w:bookmarkEnd w:id="166"/>
      <w:bookmarkEnd w:id="167"/>
    </w:p>
    <w:p>
      <w:pPr>
        <w:pStyle w:val="56"/>
        <w:ind w:firstLine="420"/>
        <w:rPr>
          <w:rFonts w:ascii="Times New Roman"/>
        </w:rPr>
      </w:pPr>
      <w:r>
        <w:rPr>
          <w:rFonts w:hint="eastAsia" w:ascii="Times New Roman"/>
        </w:rPr>
        <w:t>应将以下信息（包括但不限于）纳入锂离子电池</w:t>
      </w:r>
      <w:r>
        <w:rPr>
          <w:rFonts w:ascii="Times New Roman"/>
        </w:rPr>
        <w:t>产品</w:t>
      </w:r>
      <w:r>
        <w:rPr>
          <w:rFonts w:hint="eastAsia" w:ascii="Times New Roman"/>
        </w:rPr>
        <w:t>碳足迹研究报告（参考格式见附录</w:t>
      </w:r>
      <w:r>
        <w:rPr>
          <w:rFonts w:ascii="Times New Roman"/>
        </w:rPr>
        <w:t>C</w:t>
      </w:r>
      <w:r>
        <w:rPr>
          <w:rFonts w:hint="eastAsia" w:ascii="Times New Roman"/>
        </w:rPr>
        <w:t>）。</w:t>
      </w:r>
    </w:p>
    <w:p>
      <w:pPr>
        <w:pStyle w:val="174"/>
        <w:numPr>
          <w:ilvl w:val="0"/>
          <w:numId w:val="48"/>
        </w:numPr>
      </w:pPr>
      <w:r>
        <w:rPr>
          <w:rFonts w:hint="eastAsia"/>
        </w:rPr>
        <w:t>基本情况：</w:t>
      </w:r>
    </w:p>
    <w:p>
      <w:pPr>
        <w:pStyle w:val="109"/>
        <w:tabs>
          <w:tab w:val="left" w:pos="851"/>
        </w:tabs>
      </w:pPr>
      <w:r>
        <w:rPr>
          <w:rFonts w:hint="eastAsia"/>
        </w:rPr>
        <w:t>委托方和评价方信息；</w:t>
      </w:r>
    </w:p>
    <w:p>
      <w:pPr>
        <w:pStyle w:val="109"/>
        <w:tabs>
          <w:tab w:val="left" w:pos="851"/>
        </w:tabs>
      </w:pPr>
      <w:r>
        <w:rPr>
          <w:rFonts w:hint="eastAsia"/>
        </w:rPr>
        <w:t>报告信息；</w:t>
      </w:r>
    </w:p>
    <w:p>
      <w:pPr>
        <w:pStyle w:val="109"/>
        <w:tabs>
          <w:tab w:val="left" w:pos="851"/>
        </w:tabs>
      </w:pPr>
      <w:r>
        <w:rPr>
          <w:rFonts w:hint="eastAsia"/>
        </w:rPr>
        <w:t>依据的标准；</w:t>
      </w:r>
    </w:p>
    <w:p>
      <w:pPr>
        <w:pStyle w:val="109"/>
        <w:tabs>
          <w:tab w:val="left" w:pos="851"/>
        </w:tabs>
      </w:pPr>
      <w:r>
        <w:rPr>
          <w:rFonts w:hint="eastAsia"/>
        </w:rPr>
        <w:t>使用的产品种类规则或其他补充要求的参考资料(如有)。</w:t>
      </w:r>
    </w:p>
    <w:p>
      <w:pPr>
        <w:pStyle w:val="174"/>
        <w:numPr>
          <w:ilvl w:val="0"/>
          <w:numId w:val="34"/>
        </w:numPr>
      </w:pPr>
      <w:r>
        <w:rPr>
          <w:rFonts w:hint="eastAsia"/>
        </w:rPr>
        <w:t>目的：</w:t>
      </w:r>
    </w:p>
    <w:p>
      <w:pPr>
        <w:pStyle w:val="109"/>
        <w:tabs>
          <w:tab w:val="left" w:pos="851"/>
        </w:tabs>
      </w:pPr>
      <w:r>
        <w:rPr>
          <w:rFonts w:hint="eastAsia"/>
        </w:rPr>
        <w:t>开展研究的目的；</w:t>
      </w:r>
    </w:p>
    <w:p>
      <w:pPr>
        <w:pStyle w:val="109"/>
        <w:tabs>
          <w:tab w:val="left" w:pos="851"/>
        </w:tabs>
      </w:pPr>
      <w:r>
        <w:rPr>
          <w:rFonts w:hint="eastAsia"/>
        </w:rPr>
        <w:t>预期用途。</w:t>
      </w:r>
    </w:p>
    <w:p>
      <w:pPr>
        <w:pStyle w:val="174"/>
        <w:numPr>
          <w:ilvl w:val="0"/>
          <w:numId w:val="34"/>
        </w:numPr>
      </w:pPr>
      <w:r>
        <w:rPr>
          <w:rFonts w:hint="eastAsia"/>
        </w:rPr>
        <w:t>范围：</w:t>
      </w:r>
    </w:p>
    <w:p>
      <w:pPr>
        <w:pStyle w:val="109"/>
        <w:numPr>
          <w:ilvl w:val="1"/>
          <w:numId w:val="34"/>
        </w:numPr>
        <w:tabs>
          <w:tab w:val="left" w:pos="851"/>
        </w:tabs>
      </w:pPr>
      <w:r>
        <w:rPr>
          <w:rFonts w:hint="eastAsia"/>
        </w:rPr>
        <w:t>产品说明，包括功能和技术参数；</w:t>
      </w:r>
    </w:p>
    <w:p>
      <w:pPr>
        <w:pStyle w:val="109"/>
        <w:tabs>
          <w:tab w:val="left" w:pos="851"/>
        </w:tabs>
      </w:pPr>
      <w:r>
        <w:rPr>
          <w:rFonts w:hint="eastAsia"/>
        </w:rPr>
        <w:t>功能单位或声明单位以及基准流;</w:t>
      </w:r>
    </w:p>
    <w:p>
      <w:pPr>
        <w:pStyle w:val="109"/>
        <w:tabs>
          <w:tab w:val="left" w:pos="851"/>
        </w:tabs>
      </w:pPr>
      <w:r>
        <w:rPr>
          <w:rFonts w:hint="eastAsia"/>
        </w:rPr>
        <w:t>系统边界；</w:t>
      </w:r>
    </w:p>
    <w:p>
      <w:pPr>
        <w:pStyle w:val="109"/>
        <w:numPr>
          <w:ilvl w:val="1"/>
          <w:numId w:val="34"/>
        </w:numPr>
        <w:tabs>
          <w:tab w:val="left" w:pos="851"/>
        </w:tabs>
      </w:pPr>
      <w:r>
        <w:rPr>
          <w:rFonts w:hint="eastAsia"/>
        </w:rPr>
        <w:t>取舍准则</w:t>
      </w:r>
      <w:r>
        <w:rPr>
          <w:rFonts w:hint="eastAsia" w:ascii="Times New Roman"/>
        </w:rPr>
        <w:t>；</w:t>
      </w:r>
    </w:p>
    <w:p>
      <w:pPr>
        <w:pStyle w:val="109"/>
        <w:numPr>
          <w:ilvl w:val="1"/>
          <w:numId w:val="34"/>
        </w:numPr>
        <w:tabs>
          <w:tab w:val="left" w:pos="851"/>
        </w:tabs>
      </w:pPr>
      <w:r>
        <w:rPr>
          <w:rFonts w:hint="eastAsia"/>
        </w:rPr>
        <w:t>生命周期各阶段的描述。</w:t>
      </w:r>
    </w:p>
    <w:p>
      <w:pPr>
        <w:pStyle w:val="174"/>
        <w:numPr>
          <w:ilvl w:val="0"/>
          <w:numId w:val="34"/>
        </w:numPr>
      </w:pPr>
      <w:r>
        <w:rPr>
          <w:rFonts w:hint="eastAsia"/>
        </w:rPr>
        <w:t>清单分析：</w:t>
      </w:r>
    </w:p>
    <w:p>
      <w:pPr>
        <w:pStyle w:val="109"/>
        <w:numPr>
          <w:ilvl w:val="1"/>
          <w:numId w:val="34"/>
        </w:numPr>
        <w:tabs>
          <w:tab w:val="left" w:pos="851"/>
        </w:tabs>
      </w:pPr>
      <w:r>
        <w:rPr>
          <w:rFonts w:hint="eastAsia"/>
        </w:rPr>
        <w:t>数据收集信息，包括数据来源;</w:t>
      </w:r>
    </w:p>
    <w:p>
      <w:pPr>
        <w:pStyle w:val="109"/>
        <w:tabs>
          <w:tab w:val="left" w:pos="851"/>
        </w:tabs>
      </w:pPr>
      <w:r>
        <w:rPr>
          <w:rFonts w:hint="eastAsia"/>
        </w:rPr>
        <w:t>分配原则</w:t>
      </w:r>
      <w:r>
        <w:t>与程序；</w:t>
      </w:r>
    </w:p>
    <w:p>
      <w:pPr>
        <w:pStyle w:val="109"/>
      </w:pPr>
      <w:r>
        <w:rPr>
          <w:rFonts w:hint="eastAsia"/>
        </w:rPr>
        <w:t>清单结果及计算；</w:t>
      </w:r>
    </w:p>
    <w:p>
      <w:pPr>
        <w:pStyle w:val="109"/>
      </w:pPr>
      <w:r>
        <w:rPr>
          <w:rFonts w:hint="eastAsia"/>
        </w:rPr>
        <w:t>数据质量评价（可选项）。</w:t>
      </w:r>
    </w:p>
    <w:p>
      <w:pPr>
        <w:pStyle w:val="174"/>
        <w:numPr>
          <w:ilvl w:val="0"/>
          <w:numId w:val="34"/>
        </w:numPr>
      </w:pPr>
      <w:r>
        <w:rPr>
          <w:rFonts w:hint="eastAsia"/>
        </w:rPr>
        <w:t>影响评价：</w:t>
      </w:r>
    </w:p>
    <w:p>
      <w:pPr>
        <w:pStyle w:val="109"/>
        <w:numPr>
          <w:ilvl w:val="1"/>
          <w:numId w:val="34"/>
        </w:numPr>
        <w:tabs>
          <w:tab w:val="left" w:pos="851"/>
        </w:tabs>
      </w:pPr>
      <w:r>
        <w:rPr>
          <w:rFonts w:hint="eastAsia"/>
        </w:rPr>
        <w:t>影响评价方法；</w:t>
      </w:r>
    </w:p>
    <w:p>
      <w:pPr>
        <w:pStyle w:val="109"/>
        <w:numPr>
          <w:ilvl w:val="1"/>
          <w:numId w:val="34"/>
        </w:numPr>
        <w:tabs>
          <w:tab w:val="left" w:pos="851"/>
        </w:tabs>
      </w:pPr>
      <w:r>
        <w:rPr>
          <w:rFonts w:hint="eastAsia"/>
        </w:rPr>
        <w:t>特征化因子；</w:t>
      </w:r>
    </w:p>
    <w:p>
      <w:pPr>
        <w:pStyle w:val="109"/>
        <w:numPr>
          <w:ilvl w:val="1"/>
          <w:numId w:val="34"/>
        </w:numPr>
        <w:tabs>
          <w:tab w:val="left" w:pos="851"/>
        </w:tabs>
      </w:pPr>
      <w:r>
        <w:rPr>
          <w:rFonts w:hint="eastAsia"/>
        </w:rPr>
        <w:t>清单结果与计算；</w:t>
      </w:r>
    </w:p>
    <w:p>
      <w:pPr>
        <w:pStyle w:val="109"/>
        <w:numPr>
          <w:ilvl w:val="1"/>
          <w:numId w:val="34"/>
        </w:numPr>
        <w:tabs>
          <w:tab w:val="left" w:pos="851"/>
        </w:tabs>
      </w:pPr>
      <w:r>
        <w:rPr>
          <w:rFonts w:hint="eastAsia"/>
        </w:rPr>
        <w:t>结果的图示(可选项)。</w:t>
      </w:r>
    </w:p>
    <w:p>
      <w:pPr>
        <w:pStyle w:val="174"/>
        <w:numPr>
          <w:ilvl w:val="0"/>
          <w:numId w:val="34"/>
        </w:numPr>
      </w:pPr>
      <w:r>
        <w:rPr>
          <w:rFonts w:hint="eastAsia"/>
        </w:rPr>
        <w:t>结果解释:</w:t>
      </w:r>
    </w:p>
    <w:p>
      <w:pPr>
        <w:pStyle w:val="109"/>
        <w:numPr>
          <w:ilvl w:val="1"/>
          <w:numId w:val="34"/>
        </w:numPr>
        <w:tabs>
          <w:tab w:val="left" w:pos="851"/>
        </w:tabs>
      </w:pPr>
      <w:r>
        <w:rPr>
          <w:rFonts w:hint="eastAsia"/>
        </w:rPr>
        <w:t>结论；</w:t>
      </w:r>
    </w:p>
    <w:p>
      <w:pPr>
        <w:pStyle w:val="109"/>
        <w:numPr>
          <w:ilvl w:val="1"/>
          <w:numId w:val="34"/>
        </w:numPr>
        <w:tabs>
          <w:tab w:val="left" w:pos="851"/>
        </w:tabs>
      </w:pPr>
      <w:r>
        <w:rPr>
          <w:rFonts w:hint="eastAsia"/>
        </w:rPr>
        <w:t>假设和局限性说明（可选项）；</w:t>
      </w:r>
    </w:p>
    <w:p>
      <w:pPr>
        <w:pStyle w:val="109"/>
        <w:numPr>
          <w:ilvl w:val="1"/>
          <w:numId w:val="34"/>
        </w:numPr>
        <w:tabs>
          <w:tab w:val="left" w:pos="851"/>
        </w:tabs>
      </w:pPr>
      <w:r>
        <w:rPr>
          <w:rFonts w:hint="eastAsia"/>
        </w:rPr>
        <w:t>改进建议；</w:t>
      </w:r>
    </w:p>
    <w:p>
      <w:pPr>
        <w:pStyle w:val="174"/>
        <w:numPr>
          <w:ilvl w:val="0"/>
          <w:numId w:val="34"/>
        </w:numPr>
      </w:pPr>
      <w:r>
        <w:rPr>
          <w:rFonts w:hint="eastAsia"/>
        </w:rPr>
        <w:t>研究中使用的产品种类规则或其他补充要求的参考资料。</w:t>
      </w:r>
    </w:p>
    <w:p>
      <w:pPr>
        <w:pStyle w:val="174"/>
        <w:numPr>
          <w:ilvl w:val="0"/>
          <w:numId w:val="34"/>
        </w:numPr>
      </w:pPr>
      <w:r>
        <w:rPr>
          <w:rFonts w:hint="eastAsia"/>
        </w:rPr>
        <w:t>绩效追踪说明(见GB</w:t>
      </w:r>
      <w:r>
        <w:t>/T 24067</w:t>
      </w:r>
      <w:r>
        <w:rPr>
          <w:rFonts w:hint="eastAsia"/>
        </w:rPr>
        <w:t>中6.4.7)(如适用)。</w:t>
      </w:r>
    </w:p>
    <w:p>
      <w:pPr>
        <w:pStyle w:val="174"/>
        <w:numPr>
          <w:ilvl w:val="0"/>
          <w:numId w:val="34"/>
        </w:numPr>
      </w:pPr>
      <w:r>
        <w:rPr>
          <w:rFonts w:hint="eastAsia"/>
        </w:rPr>
        <w:t>产品碳足迹比较,与GB</w:t>
      </w:r>
      <w:r>
        <w:t>/T 24067</w:t>
      </w:r>
      <w:r>
        <w:rPr>
          <w:rFonts w:hint="eastAsia"/>
        </w:rPr>
        <w:t>附录B的符合性(如适用)。</w:t>
      </w:r>
    </w:p>
    <w:p>
      <w:pPr>
        <w:pStyle w:val="104"/>
        <w:spacing w:before="312" w:after="312"/>
        <w:rPr>
          <w:rFonts w:ascii="Times New Roman"/>
        </w:rPr>
      </w:pPr>
      <w:bookmarkStart w:id="168" w:name="_Toc184200486"/>
      <w:bookmarkStart w:id="169" w:name="_Toc183023601"/>
      <w:bookmarkStart w:id="170" w:name="_Toc184199775"/>
      <w:bookmarkStart w:id="171" w:name="_Toc182386874"/>
      <w:bookmarkStart w:id="172" w:name="_Toc182389397"/>
      <w:bookmarkStart w:id="173" w:name="_Toc182385861"/>
      <w:r>
        <w:rPr>
          <w:rFonts w:hint="eastAsia" w:ascii="Times New Roman"/>
        </w:rPr>
        <w:t>产品</w:t>
      </w:r>
      <w:r>
        <w:rPr>
          <w:rFonts w:ascii="Times New Roman"/>
        </w:rPr>
        <w:t>碳足迹声明</w:t>
      </w:r>
      <w:bookmarkEnd w:id="168"/>
      <w:bookmarkEnd w:id="169"/>
      <w:bookmarkEnd w:id="170"/>
      <w:bookmarkEnd w:id="171"/>
      <w:bookmarkEnd w:id="172"/>
      <w:bookmarkEnd w:id="173"/>
    </w:p>
    <w:p>
      <w:pPr>
        <w:pStyle w:val="56"/>
        <w:ind w:firstLine="420"/>
        <w:rPr>
          <w:rFonts w:ascii="Times New Roman"/>
        </w:rPr>
      </w:pPr>
      <w:r>
        <w:rPr>
          <w:rFonts w:hint="eastAsia" w:ascii="Times New Roman"/>
        </w:rPr>
        <w:t>如需声明时，可按照GB/T</w:t>
      </w:r>
      <w:r>
        <w:rPr>
          <w:rFonts w:ascii="Times New Roman"/>
        </w:rPr>
        <w:t xml:space="preserve"> </w:t>
      </w:r>
      <w:r>
        <w:rPr>
          <w:rFonts w:hint="eastAsia" w:ascii="Times New Roman"/>
        </w:rPr>
        <w:t>24025或ISO</w:t>
      </w:r>
      <w:r>
        <w:rPr>
          <w:rFonts w:ascii="Times New Roman"/>
        </w:rPr>
        <w:t xml:space="preserve"> </w:t>
      </w:r>
      <w:r>
        <w:rPr>
          <w:rFonts w:hint="eastAsia" w:ascii="Times New Roman"/>
        </w:rPr>
        <w:t>14026的规定开展产品碳足迹声明或信息交流，具有同样功能的产品之间可进行比较。</w:t>
      </w:r>
    </w:p>
    <w:p>
      <w:pPr>
        <w:pStyle w:val="56"/>
        <w:ind w:firstLine="420"/>
        <w:rPr>
          <w:rFonts w:ascii="Times New Roman"/>
        </w:rPr>
        <w:sectPr>
          <w:pgSz w:w="11906" w:h="16838"/>
          <w:pgMar w:top="1928" w:right="1134" w:bottom="1134" w:left="1134" w:header="1418" w:footer="1134" w:gutter="284"/>
          <w:pgNumType w:start="1"/>
          <w:cols w:space="425" w:num="1"/>
          <w:formProt w:val="0"/>
          <w:docGrid w:type="lines" w:linePitch="312" w:charSpace="0"/>
        </w:sectPr>
      </w:pPr>
    </w:p>
    <w:bookmarkEnd w:id="31"/>
    <w:p>
      <w:pPr>
        <w:pStyle w:val="198"/>
        <w:rPr>
          <w:rFonts w:ascii="Times New Roman" w:hAnsi="Times New Roman"/>
          <w:vanish w:val="0"/>
        </w:rPr>
      </w:pPr>
      <w:bookmarkStart w:id="174" w:name="BookMark5"/>
    </w:p>
    <w:p>
      <w:pPr>
        <w:pStyle w:val="199"/>
        <w:rPr>
          <w:rFonts w:ascii="Times New Roman"/>
          <w:vanish w:val="0"/>
        </w:rPr>
      </w:pPr>
    </w:p>
    <w:p>
      <w:pPr>
        <w:pStyle w:val="76"/>
        <w:spacing w:after="156"/>
        <w:rPr>
          <w:rFonts w:ascii="Times New Roman"/>
        </w:rPr>
      </w:pPr>
      <w:r>
        <w:rPr>
          <w:rFonts w:ascii="Times New Roman"/>
        </w:rPr>
        <w:br w:type="textWrapping"/>
      </w:r>
      <w:bookmarkStart w:id="175" w:name="_Toc184200487"/>
      <w:bookmarkStart w:id="176" w:name="_Toc183023602"/>
      <w:bookmarkStart w:id="177" w:name="_Toc184199776"/>
      <w:bookmarkStart w:id="178" w:name="_Toc182386875"/>
      <w:bookmarkStart w:id="179" w:name="_Toc182389398"/>
      <w:bookmarkStart w:id="180" w:name="_Toc180498966"/>
      <w:bookmarkStart w:id="181" w:name="_Toc182385862"/>
      <w:r>
        <w:rPr>
          <w:rFonts w:hint="eastAsia" w:ascii="Times New Roman"/>
        </w:rPr>
        <w:t>（资料性）</w:t>
      </w:r>
      <w:r>
        <w:rPr>
          <w:rFonts w:ascii="Times New Roman"/>
        </w:rPr>
        <w:br w:type="textWrapping"/>
      </w:r>
      <w:r>
        <w:rPr>
          <w:rFonts w:hint="eastAsia" w:ascii="Times New Roman"/>
        </w:rPr>
        <w:t>锂离子电池产品碳足迹量化数据收集表</w:t>
      </w:r>
      <w:bookmarkEnd w:id="175"/>
      <w:bookmarkEnd w:id="176"/>
      <w:bookmarkEnd w:id="177"/>
      <w:bookmarkEnd w:id="178"/>
      <w:bookmarkEnd w:id="179"/>
      <w:bookmarkEnd w:id="180"/>
      <w:bookmarkEnd w:id="181"/>
    </w:p>
    <w:p>
      <w:pPr>
        <w:pStyle w:val="78"/>
        <w:spacing w:before="156" w:after="156"/>
        <w:rPr>
          <w:rFonts w:ascii="Times New Roman"/>
        </w:rPr>
      </w:pPr>
      <w:bookmarkStart w:id="182" w:name="_Toc184199777"/>
      <w:bookmarkStart w:id="183" w:name="_Toc184200488"/>
      <w:bookmarkStart w:id="184" w:name="_Toc182389399"/>
      <w:bookmarkStart w:id="185" w:name="_Toc183023603"/>
      <w:bookmarkStart w:id="186" w:name="_Toc182386876"/>
      <w:bookmarkStart w:id="187" w:name="_Toc182385863"/>
      <w:r>
        <w:rPr>
          <w:rFonts w:hint="eastAsia" w:ascii="Times New Roman"/>
        </w:rPr>
        <w:t>产品</w:t>
      </w:r>
      <w:r>
        <w:rPr>
          <w:rFonts w:ascii="Times New Roman"/>
        </w:rPr>
        <w:t>基本信息</w:t>
      </w:r>
      <w:bookmarkEnd w:id="182"/>
      <w:bookmarkEnd w:id="183"/>
      <w:bookmarkEnd w:id="184"/>
      <w:bookmarkEnd w:id="185"/>
      <w:bookmarkEnd w:id="186"/>
      <w:bookmarkEnd w:id="187"/>
    </w:p>
    <w:p>
      <w:pPr>
        <w:pStyle w:val="77"/>
        <w:spacing w:before="156" w:after="156"/>
        <w:rPr>
          <w:rFonts w:ascii="Times New Roman"/>
        </w:rPr>
      </w:pPr>
      <w:r>
        <w:rPr>
          <w:rFonts w:hint="eastAsia" w:ascii="Times New Roman"/>
        </w:rPr>
        <w:t>产品</w:t>
      </w:r>
      <w:r>
        <w:rPr>
          <w:rFonts w:ascii="Times New Roman"/>
        </w:rPr>
        <w:t>基本信息表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3118"/>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983"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产品</w:t>
            </w:r>
          </w:p>
          <w:p>
            <w:pPr>
              <w:pStyle w:val="178"/>
              <w:rPr>
                <w:rFonts w:ascii="Times New Roman"/>
              </w:rPr>
            </w:pPr>
            <w:r>
              <w:rPr>
                <w:rFonts w:hint="eastAsia" w:ascii="Times New Roman"/>
              </w:rPr>
              <w:t>基本</w:t>
            </w:r>
          </w:p>
          <w:p>
            <w:pPr>
              <w:pStyle w:val="178"/>
              <w:rPr>
                <w:rFonts w:ascii="Times New Roman"/>
              </w:rPr>
            </w:pPr>
            <w:r>
              <w:rPr>
                <w:rFonts w:hint="eastAsia" w:ascii="Times New Roman"/>
              </w:rPr>
              <w:t>信息</w:t>
            </w:r>
          </w:p>
        </w:tc>
        <w:tc>
          <w:tcPr>
            <w:tcW w:w="3118" w:type="dxa"/>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产品名称及型号</w:t>
            </w:r>
          </w:p>
        </w:tc>
        <w:tc>
          <w:tcPr>
            <w:tcW w:w="5233" w:type="dxa"/>
            <w:tcBorders>
              <w:top w:val="single" w:color="auto" w:sz="8" w:space="0"/>
              <w:bottom w:val="single" w:color="auto" w:sz="8" w:space="0"/>
            </w:tcBorders>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pPr>
              <w:pStyle w:val="178"/>
              <w:rPr>
                <w:rFonts w:ascii="Times New Roman"/>
              </w:rPr>
            </w:pPr>
          </w:p>
        </w:tc>
        <w:tc>
          <w:tcPr>
            <w:tcW w:w="3118" w:type="dxa"/>
            <w:tcBorders>
              <w:top w:val="single" w:color="auto" w:sz="8" w:space="0"/>
            </w:tcBorders>
            <w:shd w:val="clear" w:color="auto" w:fill="auto"/>
            <w:vAlign w:val="center"/>
          </w:tcPr>
          <w:p>
            <w:pPr>
              <w:pStyle w:val="178"/>
              <w:rPr>
                <w:rFonts w:ascii="Times New Roman"/>
              </w:rPr>
            </w:pPr>
            <w:r>
              <w:rPr>
                <w:rFonts w:hint="eastAsia" w:ascii="Times New Roman"/>
              </w:rPr>
              <w:t>产品所属类别</w:t>
            </w:r>
          </w:p>
        </w:tc>
        <w:tc>
          <w:tcPr>
            <w:tcW w:w="5233" w:type="dxa"/>
            <w:tcBorders>
              <w:top w:val="single" w:color="auto" w:sz="8" w:space="0"/>
            </w:tcBorders>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功能及应用场景描述</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单个电池产品净重</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电池数量/单个电池重量</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产品制造工艺</w:t>
            </w:r>
            <w:r>
              <w:rPr>
                <w:rFonts w:ascii="Times New Roman"/>
                <w:vertAlign w:val="superscript"/>
              </w:rPr>
              <w:t>a</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电池组技术参数</w:t>
            </w:r>
            <w:r>
              <w:rPr>
                <w:rFonts w:ascii="Times New Roman"/>
                <w:vertAlign w:val="superscript"/>
              </w:rPr>
              <w:t>b</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生产地点</w:t>
            </w:r>
            <w:r>
              <w:rPr>
                <w:rFonts w:ascii="Times New Roman"/>
                <w:vertAlign w:val="superscript"/>
              </w:rPr>
              <w:t>c</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销售及使用区域</w:t>
            </w:r>
            <w:r>
              <w:rPr>
                <w:rFonts w:ascii="Times New Roman"/>
                <w:vertAlign w:val="superscript"/>
              </w:rPr>
              <w:t>c</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产品交付的主要运输方式</w:t>
            </w:r>
            <w:r>
              <w:rPr>
                <w:rFonts w:ascii="Times New Roman"/>
                <w:vertAlign w:val="superscript"/>
              </w:rPr>
              <w:t>c</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产品寿命和使用年限</w:t>
            </w:r>
            <w:r>
              <w:rPr>
                <w:rFonts w:ascii="Times New Roman"/>
                <w:vertAlign w:val="superscript"/>
              </w:rPr>
              <w:t>d</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pPr>
              <w:pStyle w:val="178"/>
              <w:rPr>
                <w:rFonts w:ascii="Times New Roman"/>
              </w:rPr>
            </w:pPr>
          </w:p>
        </w:tc>
        <w:tc>
          <w:tcPr>
            <w:tcW w:w="3118" w:type="dxa"/>
            <w:shd w:val="clear" w:color="auto" w:fill="auto"/>
            <w:vAlign w:val="center"/>
          </w:tcPr>
          <w:p>
            <w:pPr>
              <w:pStyle w:val="178"/>
              <w:rPr>
                <w:rFonts w:ascii="Times New Roman"/>
              </w:rPr>
            </w:pPr>
            <w:r>
              <w:rPr>
                <w:rFonts w:hint="eastAsia" w:ascii="Times New Roman"/>
              </w:rPr>
              <w:t>数据统计周期</w:t>
            </w:r>
          </w:p>
        </w:tc>
        <w:tc>
          <w:tcPr>
            <w:tcW w:w="5233" w:type="dxa"/>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3"/>
            <w:tcBorders>
              <w:top w:val="single" w:color="auto" w:sz="8" w:space="0"/>
              <w:bottom w:val="single" w:color="auto" w:sz="8" w:space="0"/>
            </w:tcBorders>
            <w:shd w:val="clear" w:color="auto" w:fill="auto"/>
            <w:vAlign w:val="center"/>
          </w:tcPr>
          <w:p>
            <w:pPr>
              <w:pStyle w:val="101"/>
              <w:rPr>
                <w:rFonts w:ascii="Times New Roman" w:hAnsi="Times New Roman"/>
              </w:rPr>
            </w:pPr>
            <w:r>
              <w:rPr>
                <w:rFonts w:hint="eastAsia" w:ascii="Times New Roman" w:hAnsi="Times New Roman"/>
              </w:rPr>
              <w:t>绘制工艺流程示意图，确定企业所涵盖生产环节，并对重点工艺进行描述。</w:t>
            </w:r>
          </w:p>
          <w:p>
            <w:pPr>
              <w:pStyle w:val="101"/>
              <w:rPr>
                <w:rFonts w:ascii="Times New Roman" w:hAnsi="Times New Roman"/>
              </w:rPr>
            </w:pPr>
            <w:r>
              <w:rPr>
                <w:rFonts w:hint="eastAsia" w:ascii="Times New Roman" w:hAnsi="Times New Roman"/>
              </w:rPr>
              <w:t>需收集电池组系统的额定能量、循环次数等技术参数，并提供相关佐证材料。</w:t>
            </w:r>
          </w:p>
          <w:p>
            <w:pPr>
              <w:pStyle w:val="101"/>
              <w:rPr>
                <w:rFonts w:ascii="Times New Roman" w:hAnsi="Times New Roman"/>
              </w:rPr>
            </w:pPr>
            <w:r>
              <w:rPr>
                <w:rFonts w:hint="eastAsia" w:ascii="Times New Roman" w:hAnsi="Times New Roman"/>
              </w:rPr>
              <w:t>若存在多个生产和销售使用地点，应提供各地产量或销量比例，并分别说明运输方式。</w:t>
            </w:r>
          </w:p>
          <w:p>
            <w:pPr>
              <w:pStyle w:val="101"/>
              <w:rPr>
                <w:rFonts w:ascii="Times New Roman" w:hAnsi="Times New Roman"/>
              </w:rPr>
            </w:pPr>
            <w:r>
              <w:rPr>
                <w:rFonts w:hint="eastAsia" w:ascii="Times New Roman" w:hAnsi="Times New Roman"/>
              </w:rPr>
              <w:t>若进行整个生命周期阶段的产品碳足迹评价，应对产品寿命和使用年限进行估计，并提供相关假设依据说明。</w:t>
            </w:r>
          </w:p>
        </w:tc>
      </w:tr>
    </w:tbl>
    <w:p>
      <w:pPr>
        <w:pStyle w:val="78"/>
        <w:spacing w:before="156" w:after="156"/>
        <w:rPr>
          <w:rFonts w:ascii="Times New Roman"/>
        </w:rPr>
      </w:pPr>
      <w:bookmarkStart w:id="188" w:name="_Toc184200489"/>
      <w:bookmarkStart w:id="189" w:name="_Toc183023604"/>
      <w:bookmarkStart w:id="190" w:name="_Toc182389400"/>
      <w:bookmarkStart w:id="191" w:name="_Toc184199778"/>
      <w:bookmarkStart w:id="192" w:name="_Toc182385864"/>
      <w:bookmarkStart w:id="193" w:name="_Toc182386877"/>
      <w:r>
        <w:rPr>
          <w:rFonts w:hint="eastAsia" w:ascii="Times New Roman"/>
        </w:rPr>
        <w:t>碳足迹评价现场数据清单</w:t>
      </w:r>
      <w:bookmarkEnd w:id="188"/>
      <w:bookmarkEnd w:id="189"/>
      <w:bookmarkEnd w:id="190"/>
      <w:bookmarkEnd w:id="191"/>
      <w:bookmarkEnd w:id="192"/>
      <w:bookmarkEnd w:id="193"/>
    </w:p>
    <w:p>
      <w:pPr>
        <w:pStyle w:val="77"/>
        <w:spacing w:before="156" w:after="156"/>
        <w:rPr>
          <w:rFonts w:ascii="Times New Roman"/>
        </w:rPr>
      </w:pPr>
      <w:r>
        <w:rPr>
          <w:rFonts w:hint="eastAsia" w:ascii="Times New Roman"/>
        </w:rPr>
        <w:t>电池（由电池生产企业提供）</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134"/>
        <w:gridCol w:w="851"/>
        <w:gridCol w:w="992"/>
        <w:gridCol w:w="1559"/>
        <w:gridCol w:w="85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3" w:hRule="atLeast"/>
          <w:tblHeader/>
          <w:jc w:val="center"/>
        </w:trPr>
        <w:tc>
          <w:tcPr>
            <w:tcW w:w="1833"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材料/组件/能源资源</w:t>
            </w:r>
          </w:p>
        </w:tc>
        <w:tc>
          <w:tcPr>
            <w:tcW w:w="1134"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用量</w:t>
            </w:r>
            <w:r>
              <w:rPr>
                <w:rFonts w:ascii="Times New Roman"/>
                <w:vertAlign w:val="superscript"/>
              </w:rPr>
              <w:t>a</w:t>
            </w:r>
          </w:p>
        </w:tc>
        <w:tc>
          <w:tcPr>
            <w:tcW w:w="851"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单位</w:t>
            </w:r>
            <w:r>
              <w:rPr>
                <w:rFonts w:ascii="Times New Roman"/>
                <w:vertAlign w:val="superscript"/>
              </w:rPr>
              <w:t>b</w:t>
            </w:r>
          </w:p>
        </w:tc>
        <w:tc>
          <w:tcPr>
            <w:tcW w:w="3402" w:type="dxa"/>
            <w:gridSpan w:val="3"/>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获取方式</w:t>
            </w:r>
            <w:r>
              <w:rPr>
                <w:rFonts w:ascii="Times New Roman"/>
                <w:vertAlign w:val="superscript"/>
              </w:rPr>
              <w:t>c</w:t>
            </w:r>
          </w:p>
        </w:tc>
        <w:tc>
          <w:tcPr>
            <w:tcW w:w="2114"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备注</w:t>
            </w:r>
            <w:r>
              <w:rPr>
                <w:rFonts w:ascii="Times New Roman"/>
                <w:vertAlign w:val="superscript"/>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tblHeader/>
          <w:jc w:val="center"/>
        </w:trPr>
        <w:tc>
          <w:tcPr>
            <w:tcW w:w="1833" w:type="dxa"/>
            <w:vMerge w:val="continue"/>
            <w:tcBorders>
              <w:bottom w:val="single" w:color="auto" w:sz="8" w:space="0"/>
            </w:tcBorders>
            <w:shd w:val="clear" w:color="auto" w:fill="auto"/>
            <w:vAlign w:val="center"/>
          </w:tcPr>
          <w:p>
            <w:pPr>
              <w:pStyle w:val="178"/>
              <w:rPr>
                <w:rFonts w:ascii="Times New Roman"/>
              </w:rPr>
            </w:pPr>
          </w:p>
        </w:tc>
        <w:tc>
          <w:tcPr>
            <w:tcW w:w="1134" w:type="dxa"/>
            <w:vMerge w:val="continue"/>
            <w:tcBorders>
              <w:bottom w:val="single" w:color="auto" w:sz="8" w:space="0"/>
            </w:tcBorders>
            <w:shd w:val="clear" w:color="auto" w:fill="auto"/>
            <w:vAlign w:val="center"/>
          </w:tcPr>
          <w:p>
            <w:pPr>
              <w:pStyle w:val="178"/>
              <w:rPr>
                <w:rFonts w:ascii="Times New Roman"/>
              </w:rPr>
            </w:pPr>
          </w:p>
        </w:tc>
        <w:tc>
          <w:tcPr>
            <w:tcW w:w="851" w:type="dxa"/>
            <w:vMerge w:val="continue"/>
            <w:tcBorders>
              <w:bottom w:val="single" w:color="auto" w:sz="8" w:space="0"/>
            </w:tcBorders>
            <w:shd w:val="clear" w:color="auto" w:fill="auto"/>
            <w:vAlign w:val="center"/>
          </w:tcPr>
          <w:p>
            <w:pPr>
              <w:pStyle w:val="178"/>
              <w:rPr>
                <w:rFonts w:ascii="Times New Roman"/>
              </w:rPr>
            </w:pPr>
          </w:p>
        </w:tc>
        <w:tc>
          <w:tcPr>
            <w:tcW w:w="992" w:type="dxa"/>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自产/</w:t>
            </w:r>
          </w:p>
          <w:p>
            <w:pPr>
              <w:pStyle w:val="178"/>
              <w:rPr>
                <w:rFonts w:ascii="Times New Roman"/>
              </w:rPr>
            </w:pPr>
            <w:r>
              <w:rPr>
                <w:rFonts w:hint="eastAsia" w:ascii="Times New Roman"/>
              </w:rPr>
              <w:t>外购</w:t>
            </w:r>
          </w:p>
        </w:tc>
        <w:tc>
          <w:tcPr>
            <w:tcW w:w="1559" w:type="dxa"/>
            <w:tcBorders>
              <w:bottom w:val="single" w:color="auto" w:sz="8" w:space="0"/>
            </w:tcBorders>
            <w:shd w:val="clear" w:color="auto" w:fill="auto"/>
            <w:vAlign w:val="center"/>
          </w:tcPr>
          <w:p>
            <w:pPr>
              <w:pStyle w:val="178"/>
              <w:rPr>
                <w:rFonts w:ascii="Times New Roman"/>
              </w:rPr>
            </w:pPr>
            <w:r>
              <w:rPr>
                <w:rFonts w:hint="eastAsia" w:ascii="Times New Roman"/>
              </w:rPr>
              <w:t>距离估算/</w:t>
            </w:r>
          </w:p>
          <w:p>
            <w:pPr>
              <w:pStyle w:val="178"/>
              <w:rPr>
                <w:rFonts w:ascii="Times New Roman"/>
              </w:rPr>
            </w:pPr>
            <w:r>
              <w:rPr>
                <w:rFonts w:hint="eastAsia" w:ascii="Times New Roman"/>
              </w:rPr>
              <w:t>来源地</w:t>
            </w:r>
          </w:p>
        </w:tc>
        <w:tc>
          <w:tcPr>
            <w:tcW w:w="851" w:type="dxa"/>
            <w:tcBorders>
              <w:bottom w:val="single" w:color="auto" w:sz="8" w:space="0"/>
            </w:tcBorders>
            <w:shd w:val="clear" w:color="auto" w:fill="auto"/>
            <w:vAlign w:val="center"/>
          </w:tcPr>
          <w:p>
            <w:pPr>
              <w:pStyle w:val="178"/>
              <w:rPr>
                <w:rFonts w:ascii="Times New Roman"/>
              </w:rPr>
            </w:pPr>
            <w:r>
              <w:rPr>
                <w:rFonts w:hint="eastAsia" w:ascii="Times New Roman"/>
              </w:rPr>
              <w:t>运输</w:t>
            </w:r>
          </w:p>
          <w:p>
            <w:pPr>
              <w:pStyle w:val="178"/>
              <w:rPr>
                <w:rFonts w:ascii="Times New Roman"/>
              </w:rPr>
            </w:pPr>
            <w:r>
              <w:rPr>
                <w:rFonts w:ascii="Times New Roman"/>
              </w:rPr>
              <w:t>方式</w:t>
            </w:r>
          </w:p>
        </w:tc>
        <w:tc>
          <w:tcPr>
            <w:tcW w:w="2114" w:type="dxa"/>
            <w:vMerge w:val="continue"/>
            <w:tcBorders>
              <w:bottom w:val="single" w:color="auto" w:sz="8" w:space="0"/>
            </w:tcBorders>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7"/>
            <w:tcBorders>
              <w:top w:val="single" w:color="auto" w:sz="8" w:space="0"/>
            </w:tcBorders>
            <w:shd w:val="clear" w:color="auto" w:fill="auto"/>
            <w:vAlign w:val="center"/>
          </w:tcPr>
          <w:p>
            <w:pPr>
              <w:pStyle w:val="178"/>
              <w:jc w:val="left"/>
              <w:rPr>
                <w:rFonts w:ascii="Times New Roman"/>
                <w:b/>
              </w:rPr>
            </w:pPr>
            <w:r>
              <w:rPr>
                <w:rFonts w:hint="eastAsia" w:ascii="Times New Roman"/>
                <w:b/>
              </w:rPr>
              <w:t>材料</w:t>
            </w:r>
            <w:r>
              <w:rPr>
                <w:rFonts w:ascii="Times New Roman"/>
                <w:b/>
              </w:rPr>
              <w:t>需求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b/>
              </w:rPr>
            </w:pPr>
            <w:r>
              <w:rPr>
                <w:rFonts w:hint="eastAsia" w:ascii="Times New Roman"/>
                <w:b/>
              </w:rPr>
              <w:t>负极</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rPr>
            </w:pPr>
            <w:r>
              <w:rPr>
                <w:rFonts w:hint="eastAsia" w:ascii="Times New Roman"/>
              </w:rPr>
              <w:t>铜箔</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rPr>
            </w:pPr>
            <w:r>
              <w:rPr>
                <w:rFonts w:hint="eastAsia" w:ascii="Times New Roman"/>
              </w:rPr>
              <w:t>石墨粉</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vAlign w:val="center"/>
          </w:tcPr>
          <w:p>
            <w:pPr>
              <w:pStyle w:val="178"/>
              <w:jc w:val="left"/>
              <w:rPr>
                <w:rFonts w:ascii="Times New Roman"/>
              </w:rPr>
            </w:pPr>
            <w:r>
              <w:rPr>
                <w:rFonts w:hint="eastAsia" w:ascii="Times New Roman"/>
              </w:rPr>
              <w:t>粘结剂</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vAlign w:val="center"/>
          </w:tcPr>
          <w:p>
            <w:pPr>
              <w:pStyle w:val="178"/>
              <w:jc w:val="left"/>
              <w:rPr>
                <w:rFonts w:ascii="Times New Roman"/>
              </w:rPr>
            </w:pPr>
            <w:r>
              <w:rPr>
                <w:rFonts w:hint="eastAsia" w:ascii="Times New Roman"/>
              </w:rPr>
              <w:t>溶剂</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b/>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rPr>
            </w:pPr>
            <w:r>
              <w:rPr>
                <w:rFonts w:hint="eastAsia" w:ascii="Times New Roman"/>
              </w:rPr>
              <w:t>其他负极材料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正极</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铝箔</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炭黑</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粘结剂</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正极活性材料</w:t>
            </w:r>
            <w:r>
              <w:rPr>
                <w:rFonts w:ascii="Times New Roman"/>
                <w:vertAlign w:val="superscript"/>
              </w:rPr>
              <w:t>e</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其他正极材料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电解液</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六氟磷酸锂</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碳酸盐溶剂</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隔膜</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聚丙烯薄膜（PP）</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聚乙烯膜（P</w:t>
            </w:r>
            <w:r>
              <w:rPr>
                <w:rFonts w:ascii="Times New Roman"/>
              </w:rPr>
              <w:t>E</w:t>
            </w:r>
            <w:r>
              <w:rPr>
                <w:rFonts w:hint="eastAsia" w:ascii="Times New Roman"/>
              </w:rPr>
              <w:t>）</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b/>
              </w:rPr>
            </w:pPr>
            <w:r>
              <w:rPr>
                <w:rFonts w:hint="eastAsia" w:ascii="Times New Roman"/>
                <w:b/>
              </w:rPr>
              <w:t>电池外壳</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铝板</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钢板</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铜</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尼龙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其他聚合物材料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rPr>
            </w:pPr>
            <w:r>
              <w:rPr>
                <w:rFonts w:hint="eastAsia" w:ascii="Times New Roman"/>
              </w:rPr>
              <w:t>其他金属材料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7"/>
            <w:shd w:val="clear" w:color="auto" w:fill="auto"/>
          </w:tcPr>
          <w:p>
            <w:pPr>
              <w:pStyle w:val="178"/>
              <w:jc w:val="left"/>
              <w:rPr>
                <w:rFonts w:ascii="Times New Roman"/>
                <w:b/>
              </w:rPr>
            </w:pPr>
            <w:r>
              <w:rPr>
                <w:rFonts w:hint="eastAsia" w:ascii="Times New Roman"/>
                <w:b/>
              </w:rPr>
              <w:t>电池生产</w:t>
            </w:r>
            <w:r>
              <w:rPr>
                <w:rFonts w:ascii="Times New Roman"/>
                <w:b/>
                <w:vertAlign w:val="superscript"/>
              </w:rPr>
              <w:t>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电力</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（电力来源、绿电情况等）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电极生产</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电池组装</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电池化成与检验</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b/>
              </w:rPr>
            </w:pPr>
            <w:r>
              <w:rPr>
                <w:rFonts w:hint="eastAsia" w:ascii="Times New Roman"/>
                <w:b/>
              </w:rPr>
              <w:t>天然气</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b/>
              </w:rPr>
            </w:pPr>
            <w:r>
              <w:rPr>
                <w:rFonts w:hint="eastAsia" w:ascii="Times New Roman"/>
                <w:b/>
              </w:rPr>
              <w:t>蒸汽</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b/>
              </w:rPr>
            </w:pPr>
            <w:r>
              <w:rPr>
                <w:rFonts w:hint="eastAsia" w:ascii="Times New Roman"/>
                <w:b/>
              </w:rPr>
              <w:t>其他燃料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33" w:type="dxa"/>
            <w:shd w:val="clear" w:color="auto" w:fill="auto"/>
          </w:tcPr>
          <w:p>
            <w:pPr>
              <w:pStyle w:val="178"/>
              <w:jc w:val="left"/>
              <w:rPr>
                <w:rFonts w:ascii="Times New Roman"/>
                <w:b/>
              </w:rPr>
            </w:pPr>
            <w:r>
              <w:rPr>
                <w:rFonts w:hint="eastAsia" w:ascii="Times New Roman"/>
                <w:b/>
              </w:rPr>
              <w:t>水</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（类型</w:t>
            </w:r>
            <w:r>
              <w:rPr>
                <w:rFonts w:ascii="Times New Roman"/>
              </w:rPr>
              <w:t>和来源</w:t>
            </w:r>
            <w:r>
              <w:rPr>
                <w:rFonts w:hint="eastAsia" w:asci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生产辅助材料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（用途说明）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辅助材料1</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辅助材料2</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废水处理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r>
              <w:rPr>
                <w:rFonts w:ascii="Times New Roman"/>
                <w:vertAlign w:val="superscript"/>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固废处理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r>
              <w:rPr>
                <w:rFonts w:ascii="Times New Roman"/>
                <w:vertAlign w:val="superscript"/>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bottom w:val="single" w:color="auto" w:sz="8" w:space="0"/>
            </w:tcBorders>
            <w:shd w:val="clear" w:color="auto" w:fill="auto"/>
          </w:tcPr>
          <w:p>
            <w:pPr>
              <w:pStyle w:val="178"/>
              <w:jc w:val="left"/>
              <w:rPr>
                <w:rFonts w:ascii="Times New Roman"/>
                <w:b/>
              </w:rPr>
            </w:pPr>
            <w:r>
              <w:rPr>
                <w:rFonts w:hint="eastAsia" w:ascii="Times New Roman"/>
                <w:b/>
              </w:rPr>
              <w:t>废气处理</w:t>
            </w:r>
          </w:p>
        </w:tc>
        <w:tc>
          <w:tcPr>
            <w:tcW w:w="1134" w:type="dxa"/>
            <w:tcBorders>
              <w:bottom w:val="single" w:color="auto" w:sz="8" w:space="0"/>
            </w:tcBorders>
            <w:shd w:val="clear" w:color="auto" w:fill="auto"/>
            <w:vAlign w:val="center"/>
          </w:tcPr>
          <w:p>
            <w:pPr>
              <w:pStyle w:val="178"/>
              <w:jc w:val="left"/>
              <w:rPr>
                <w:rFonts w:ascii="Times New Roman"/>
              </w:rPr>
            </w:pPr>
          </w:p>
        </w:tc>
        <w:tc>
          <w:tcPr>
            <w:tcW w:w="851" w:type="dxa"/>
            <w:tcBorders>
              <w:bottom w:val="single" w:color="auto" w:sz="8" w:space="0"/>
            </w:tcBorders>
            <w:shd w:val="clear" w:color="auto" w:fill="auto"/>
            <w:vAlign w:val="center"/>
          </w:tcPr>
          <w:p>
            <w:pPr>
              <w:pStyle w:val="178"/>
              <w:jc w:val="left"/>
              <w:rPr>
                <w:rFonts w:ascii="Times New Roman"/>
              </w:rPr>
            </w:pPr>
          </w:p>
        </w:tc>
        <w:tc>
          <w:tcPr>
            <w:tcW w:w="992" w:type="dxa"/>
            <w:tcBorders>
              <w:bottom w:val="single" w:color="auto" w:sz="8" w:space="0"/>
            </w:tcBorders>
            <w:shd w:val="clear" w:color="auto" w:fill="auto"/>
            <w:vAlign w:val="center"/>
          </w:tcPr>
          <w:p>
            <w:pPr>
              <w:pStyle w:val="178"/>
              <w:jc w:val="left"/>
              <w:rPr>
                <w:rFonts w:ascii="Times New Roman"/>
              </w:rPr>
            </w:pPr>
          </w:p>
        </w:tc>
        <w:tc>
          <w:tcPr>
            <w:tcW w:w="1559" w:type="dxa"/>
            <w:tcBorders>
              <w:bottom w:val="single" w:color="auto" w:sz="8" w:space="0"/>
            </w:tcBorders>
            <w:shd w:val="clear" w:color="auto" w:fill="auto"/>
            <w:vAlign w:val="center"/>
          </w:tcPr>
          <w:p>
            <w:pPr>
              <w:pStyle w:val="178"/>
              <w:jc w:val="left"/>
              <w:rPr>
                <w:rFonts w:ascii="Times New Roman"/>
              </w:rPr>
            </w:pPr>
          </w:p>
        </w:tc>
        <w:tc>
          <w:tcPr>
            <w:tcW w:w="851" w:type="dxa"/>
            <w:tcBorders>
              <w:bottom w:val="single" w:color="auto" w:sz="8" w:space="0"/>
            </w:tcBorders>
            <w:shd w:val="clear" w:color="auto" w:fill="auto"/>
            <w:vAlign w:val="center"/>
          </w:tcPr>
          <w:p>
            <w:pPr>
              <w:pStyle w:val="178"/>
              <w:jc w:val="left"/>
              <w:rPr>
                <w:rFonts w:ascii="Times New Roman"/>
              </w:rPr>
            </w:pPr>
          </w:p>
        </w:tc>
        <w:tc>
          <w:tcPr>
            <w:tcW w:w="2114" w:type="dxa"/>
            <w:tcBorders>
              <w:bottom w:val="single" w:color="auto" w:sz="8" w:space="0"/>
            </w:tcBorders>
            <w:shd w:val="clear" w:color="auto" w:fill="auto"/>
            <w:vAlign w:val="center"/>
          </w:tcPr>
          <w:p>
            <w:pPr>
              <w:pStyle w:val="178"/>
              <w:jc w:val="left"/>
              <w:rPr>
                <w:rFonts w:ascii="Times New Roman"/>
              </w:rPr>
            </w:pPr>
            <w:r>
              <w:rPr>
                <w:rFonts w:hint="eastAsia" w:ascii="Times New Roman"/>
              </w:rPr>
              <w:t>（来源和处置）</w:t>
            </w:r>
            <w:r>
              <w:rPr>
                <w:rFonts w:ascii="Times New Roman"/>
                <w:vertAlign w:val="superscript"/>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tcPr>
          <w:p>
            <w:pPr>
              <w:pStyle w:val="101"/>
              <w:numPr>
                <w:ilvl w:val="0"/>
                <w:numId w:val="0"/>
              </w:numPr>
              <w:ind w:left="420"/>
              <w:rPr>
                <w:rFonts w:ascii="Times New Roman" w:hAnsi="Times New Roman"/>
              </w:rPr>
            </w:pPr>
            <w:r>
              <w:rPr>
                <w:rFonts w:hint="eastAsia" w:ascii="Times New Roman" w:hAnsi="Times New Roman"/>
                <w:kern w:val="0"/>
                <w:sz w:val="21"/>
                <w:szCs w:val="20"/>
                <w:vertAlign w:val="superscript"/>
              </w:rPr>
              <w:t>a</w:t>
            </w:r>
            <w:r>
              <w:rPr>
                <w:rFonts w:hint="eastAsia" w:ascii="Times New Roman" w:hAnsi="Times New Roman"/>
              </w:rPr>
              <w:t>应填报实际用量：对于材料，可基于理论用量并结合生产过程平均废料率进行估算；对于组件</w:t>
            </w:r>
            <w:r>
              <w:rPr>
                <w:rFonts w:ascii="Times New Roman" w:hAnsi="Times New Roman"/>
              </w:rPr>
              <w:t>/半成品等，填报实际重量；对于电力和水消耗，可结合电表记录、水表记录、产量等信息进行估算。应记录假设依据和计算过程，并准备必要的佐证材料。</w:t>
            </w:r>
          </w:p>
          <w:p>
            <w:pPr>
              <w:pStyle w:val="101"/>
              <w:numPr>
                <w:ilvl w:val="0"/>
                <w:numId w:val="0"/>
              </w:numPr>
              <w:ind w:left="539" w:hanging="119"/>
              <w:rPr>
                <w:rFonts w:ascii="Times New Roman" w:hAnsi="Times New Roman"/>
              </w:rPr>
            </w:pPr>
            <w:r>
              <w:rPr>
                <w:rFonts w:hint="eastAsia" w:ascii="Times New Roman" w:hAnsi="Times New Roman"/>
                <w:kern w:val="0"/>
                <w:sz w:val="21"/>
                <w:szCs w:val="20"/>
                <w:vertAlign w:val="superscript"/>
              </w:rPr>
              <w:t>b</w:t>
            </w:r>
            <w:r>
              <w:rPr>
                <w:rFonts w:hint="eastAsia" w:ascii="Times New Roman" w:hAnsi="Times New Roman"/>
              </w:rPr>
              <w:t>基于每个电池统计，即，单位为</w:t>
            </w:r>
            <w:r>
              <w:rPr>
                <w:rFonts w:ascii="Times New Roman" w:hAnsi="Times New Roman"/>
              </w:rPr>
              <w:t>kg/单个电池，kW·h/单个电池等。</w:t>
            </w:r>
          </w:p>
          <w:p>
            <w:pPr>
              <w:pStyle w:val="101"/>
              <w:numPr>
                <w:ilvl w:val="0"/>
                <w:numId w:val="0"/>
              </w:numPr>
              <w:ind w:left="420"/>
              <w:rPr>
                <w:rFonts w:ascii="Times New Roman" w:hAnsi="Times New Roman"/>
              </w:rPr>
            </w:pPr>
            <w:r>
              <w:rPr>
                <w:rFonts w:hint="eastAsia" w:ascii="Times New Roman" w:hAnsi="Times New Roman"/>
                <w:kern w:val="0"/>
                <w:sz w:val="21"/>
                <w:szCs w:val="20"/>
                <w:vertAlign w:val="superscript"/>
              </w:rPr>
              <w:t>c</w:t>
            </w:r>
            <w:r>
              <w:rPr>
                <w:rFonts w:hint="eastAsia" w:ascii="Times New Roman" w:hAnsi="Times New Roman"/>
              </w:rPr>
              <w:t>若信息可获得，外购材料需填写距离（或来源地和目的地）及运输方式（非必须）。</w:t>
            </w:r>
          </w:p>
          <w:p>
            <w:pPr>
              <w:pStyle w:val="101"/>
              <w:numPr>
                <w:ilvl w:val="0"/>
                <w:numId w:val="0"/>
              </w:numPr>
              <w:ind w:left="420"/>
              <w:rPr>
                <w:rFonts w:ascii="Times New Roman" w:hAnsi="Times New Roman"/>
              </w:rPr>
            </w:pPr>
            <w:r>
              <w:rPr>
                <w:rFonts w:ascii="Times New Roman" w:hAnsi="Times New Roman"/>
                <w:kern w:val="0"/>
                <w:sz w:val="21"/>
                <w:szCs w:val="20"/>
                <w:vertAlign w:val="superscript"/>
              </w:rPr>
              <w:t>d</w:t>
            </w:r>
            <w:r>
              <w:rPr>
                <w:rFonts w:hint="eastAsia" w:ascii="Times New Roman" w:hAnsi="Times New Roman"/>
              </w:rPr>
              <w:t>必要时，应备注材料的型号、回收材料占比、加工方式等信息；对于没有明确均质材料的数据收集条目（即标注“</w:t>
            </w:r>
            <w:r>
              <w:rPr>
                <w:rFonts w:hint="eastAsia" w:ascii="Times New Roman" w:hAnsi="Times New Roman"/>
                <w:b/>
              </w:rPr>
              <w:t>S</w:t>
            </w:r>
            <w:r>
              <w:rPr>
                <w:rFonts w:hint="eastAsia" w:ascii="Times New Roman" w:hAnsi="Times New Roman"/>
              </w:rPr>
              <w:t>”的项目），应提供额外的补充材料，提供主要组成材料、配比、化学式等信息。</w:t>
            </w:r>
          </w:p>
          <w:p>
            <w:pPr>
              <w:pStyle w:val="101"/>
              <w:numPr>
                <w:ilvl w:val="0"/>
                <w:numId w:val="0"/>
              </w:numPr>
              <w:ind w:left="420"/>
              <w:rPr>
                <w:rFonts w:ascii="Times New Roman" w:hAnsi="Times New Roman"/>
              </w:rPr>
            </w:pPr>
            <w:r>
              <w:rPr>
                <w:rFonts w:ascii="Times New Roman" w:hAnsi="Times New Roman"/>
                <w:kern w:val="0"/>
                <w:sz w:val="21"/>
                <w:szCs w:val="20"/>
                <w:vertAlign w:val="superscript"/>
              </w:rPr>
              <w:t>e</w:t>
            </w:r>
            <w:r>
              <w:rPr>
                <w:rFonts w:hint="eastAsia" w:ascii="Times New Roman" w:hAnsi="Times New Roman"/>
              </w:rPr>
              <w:t>应对锂离子电池的正极活性材料的材料类型进行明确说明，如，镍钴铝、镍钴锰、磷酸铁锂等；也可附上具体材料配比、制备工艺及能耗等信息（非必须）。</w:t>
            </w:r>
          </w:p>
          <w:p>
            <w:pPr>
              <w:pStyle w:val="101"/>
              <w:numPr>
                <w:ilvl w:val="0"/>
                <w:numId w:val="0"/>
              </w:numPr>
              <w:ind w:left="420"/>
              <w:rPr>
                <w:rFonts w:ascii="Times New Roman" w:hAnsi="Times New Roman"/>
              </w:rPr>
            </w:pPr>
            <w:r>
              <w:rPr>
                <w:rFonts w:hint="eastAsia" w:ascii="Times New Roman" w:hAnsi="Times New Roman"/>
                <w:kern w:val="0"/>
                <w:sz w:val="21"/>
                <w:szCs w:val="20"/>
                <w:vertAlign w:val="superscript"/>
              </w:rPr>
              <w:t>f</w:t>
            </w:r>
            <w:r>
              <w:rPr>
                <w:rFonts w:hint="eastAsia" w:ascii="Times New Roman" w:hAnsi="Times New Roman"/>
              </w:rPr>
              <w:t>应对电池生产过程中涉及到的电力和水的基本情况进行备注说明；尽可能区分生产环节（如分为电极生产、电池组装以及电池化成与检验）进行电耗数据统计（非必须）。</w:t>
            </w:r>
          </w:p>
          <w:p>
            <w:pPr>
              <w:pStyle w:val="101"/>
              <w:numPr>
                <w:ilvl w:val="0"/>
                <w:numId w:val="0"/>
              </w:numPr>
              <w:ind w:left="420"/>
              <w:rPr>
                <w:rFonts w:ascii="Times New Roman" w:hAnsi="Times New Roman"/>
              </w:rPr>
            </w:pPr>
            <w:r>
              <w:rPr>
                <w:rFonts w:hint="eastAsia" w:ascii="Times New Roman" w:hAnsi="Times New Roman"/>
                <w:kern w:val="0"/>
                <w:sz w:val="21"/>
                <w:szCs w:val="20"/>
                <w:vertAlign w:val="superscript"/>
              </w:rPr>
              <w:t>g</w:t>
            </w:r>
            <w:r>
              <w:rPr>
                <w:rFonts w:hint="eastAsia" w:ascii="Times New Roman" w:hAnsi="Times New Roman"/>
              </w:rPr>
              <w:t>应对三废的相关信息进行补充说明，主要包括数据来源（如：在线监测或定期环境检测报告）以及处置方式（如市政集中处置、企业回用等）。</w:t>
            </w:r>
          </w:p>
        </w:tc>
      </w:tr>
    </w:tbl>
    <w:p>
      <w:pPr>
        <w:pStyle w:val="77"/>
        <w:spacing w:before="156" w:after="156"/>
        <w:rPr>
          <w:rFonts w:ascii="Times New Roman"/>
        </w:rPr>
      </w:pPr>
      <w:r>
        <w:rPr>
          <w:rFonts w:hint="eastAsia" w:ascii="Times New Roman"/>
        </w:rPr>
        <w:t>电池组（由电池组生产企业提供）</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134"/>
        <w:gridCol w:w="851"/>
        <w:gridCol w:w="992"/>
        <w:gridCol w:w="1559"/>
        <w:gridCol w:w="85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tblHeader/>
          <w:jc w:val="center"/>
        </w:trPr>
        <w:tc>
          <w:tcPr>
            <w:tcW w:w="1833"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材料/组件/能源资源</w:t>
            </w:r>
          </w:p>
        </w:tc>
        <w:tc>
          <w:tcPr>
            <w:tcW w:w="1134"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用量</w:t>
            </w:r>
          </w:p>
        </w:tc>
        <w:tc>
          <w:tcPr>
            <w:tcW w:w="851"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单位</w:t>
            </w:r>
            <w:r>
              <w:rPr>
                <w:rFonts w:ascii="Times New Roman"/>
                <w:vertAlign w:val="superscript"/>
              </w:rPr>
              <w:t>a</w:t>
            </w:r>
          </w:p>
        </w:tc>
        <w:tc>
          <w:tcPr>
            <w:tcW w:w="3402" w:type="dxa"/>
            <w:gridSpan w:val="3"/>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获取方式</w:t>
            </w:r>
          </w:p>
        </w:tc>
        <w:tc>
          <w:tcPr>
            <w:tcW w:w="2114" w:type="dxa"/>
            <w:vMerge w:val="restart"/>
            <w:tcBorders>
              <w:top w:val="single" w:color="auto" w:sz="8" w:space="0"/>
            </w:tcBorders>
            <w:shd w:val="clear" w:color="auto" w:fill="auto"/>
            <w:vAlign w:val="center"/>
          </w:tcPr>
          <w:p>
            <w:pPr>
              <w:pStyle w:val="178"/>
              <w:rPr>
                <w:rFonts w:ascii="Times New Roman"/>
              </w:rPr>
            </w:pPr>
            <w:r>
              <w:rPr>
                <w:rFonts w:hint="eastAsia" w:ascii="Times New Roma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tblHeader/>
          <w:jc w:val="center"/>
        </w:trPr>
        <w:tc>
          <w:tcPr>
            <w:tcW w:w="1833" w:type="dxa"/>
            <w:vMerge w:val="continue"/>
            <w:tcBorders>
              <w:bottom w:val="single" w:color="auto" w:sz="8" w:space="0"/>
            </w:tcBorders>
            <w:shd w:val="clear" w:color="auto" w:fill="auto"/>
            <w:vAlign w:val="center"/>
          </w:tcPr>
          <w:p>
            <w:pPr>
              <w:pStyle w:val="178"/>
              <w:rPr>
                <w:rFonts w:ascii="Times New Roman"/>
              </w:rPr>
            </w:pPr>
          </w:p>
        </w:tc>
        <w:tc>
          <w:tcPr>
            <w:tcW w:w="1134" w:type="dxa"/>
            <w:vMerge w:val="continue"/>
            <w:tcBorders>
              <w:bottom w:val="single" w:color="auto" w:sz="8" w:space="0"/>
            </w:tcBorders>
            <w:shd w:val="clear" w:color="auto" w:fill="auto"/>
            <w:vAlign w:val="center"/>
          </w:tcPr>
          <w:p>
            <w:pPr>
              <w:pStyle w:val="178"/>
              <w:rPr>
                <w:rFonts w:ascii="Times New Roman"/>
              </w:rPr>
            </w:pPr>
          </w:p>
        </w:tc>
        <w:tc>
          <w:tcPr>
            <w:tcW w:w="851" w:type="dxa"/>
            <w:vMerge w:val="continue"/>
            <w:tcBorders>
              <w:bottom w:val="single" w:color="auto" w:sz="8" w:space="0"/>
            </w:tcBorders>
            <w:shd w:val="clear" w:color="auto" w:fill="auto"/>
            <w:vAlign w:val="center"/>
          </w:tcPr>
          <w:p>
            <w:pPr>
              <w:pStyle w:val="178"/>
              <w:rPr>
                <w:rFonts w:ascii="Times New Roman"/>
              </w:rPr>
            </w:pPr>
          </w:p>
        </w:tc>
        <w:tc>
          <w:tcPr>
            <w:tcW w:w="992" w:type="dxa"/>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自产/</w:t>
            </w:r>
          </w:p>
          <w:p>
            <w:pPr>
              <w:pStyle w:val="178"/>
              <w:rPr>
                <w:rFonts w:ascii="Times New Roman"/>
              </w:rPr>
            </w:pPr>
            <w:r>
              <w:rPr>
                <w:rFonts w:hint="eastAsia" w:ascii="Times New Roman"/>
              </w:rPr>
              <w:t>外购</w:t>
            </w:r>
          </w:p>
        </w:tc>
        <w:tc>
          <w:tcPr>
            <w:tcW w:w="1559" w:type="dxa"/>
            <w:tcBorders>
              <w:bottom w:val="single" w:color="auto" w:sz="8" w:space="0"/>
            </w:tcBorders>
            <w:shd w:val="clear" w:color="auto" w:fill="auto"/>
            <w:vAlign w:val="center"/>
          </w:tcPr>
          <w:p>
            <w:pPr>
              <w:pStyle w:val="178"/>
              <w:rPr>
                <w:rFonts w:ascii="Times New Roman"/>
              </w:rPr>
            </w:pPr>
            <w:r>
              <w:rPr>
                <w:rFonts w:hint="eastAsia" w:ascii="Times New Roman"/>
              </w:rPr>
              <w:t>距离估算/</w:t>
            </w:r>
          </w:p>
          <w:p>
            <w:pPr>
              <w:pStyle w:val="178"/>
              <w:rPr>
                <w:rFonts w:ascii="Times New Roman"/>
              </w:rPr>
            </w:pPr>
            <w:r>
              <w:rPr>
                <w:rFonts w:hint="eastAsia" w:ascii="Times New Roman"/>
              </w:rPr>
              <w:t>来源地</w:t>
            </w:r>
          </w:p>
        </w:tc>
        <w:tc>
          <w:tcPr>
            <w:tcW w:w="851" w:type="dxa"/>
            <w:tcBorders>
              <w:bottom w:val="single" w:color="auto" w:sz="8" w:space="0"/>
            </w:tcBorders>
            <w:shd w:val="clear" w:color="auto" w:fill="auto"/>
            <w:vAlign w:val="center"/>
          </w:tcPr>
          <w:p>
            <w:pPr>
              <w:pStyle w:val="178"/>
              <w:rPr>
                <w:rFonts w:ascii="Times New Roman"/>
              </w:rPr>
            </w:pPr>
            <w:r>
              <w:rPr>
                <w:rFonts w:hint="eastAsia" w:ascii="Times New Roman"/>
              </w:rPr>
              <w:t>运输</w:t>
            </w:r>
          </w:p>
          <w:p>
            <w:pPr>
              <w:pStyle w:val="178"/>
              <w:rPr>
                <w:rFonts w:ascii="Times New Roman"/>
              </w:rPr>
            </w:pPr>
            <w:r>
              <w:rPr>
                <w:rFonts w:ascii="Times New Roman"/>
              </w:rPr>
              <w:t>方式</w:t>
            </w:r>
          </w:p>
        </w:tc>
        <w:tc>
          <w:tcPr>
            <w:tcW w:w="2114" w:type="dxa"/>
            <w:vMerge w:val="continue"/>
            <w:tcBorders>
              <w:bottom w:val="single" w:color="auto" w:sz="8" w:space="0"/>
            </w:tcBorders>
            <w:shd w:val="clear" w:color="auto" w:fill="auto"/>
            <w:vAlign w:val="center"/>
          </w:tcPr>
          <w:p>
            <w:pPr>
              <w:pStyle w:val="178"/>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tcBorders>
            <w:shd w:val="clear" w:color="auto" w:fill="auto"/>
            <w:vAlign w:val="center"/>
          </w:tcPr>
          <w:p>
            <w:pPr>
              <w:pStyle w:val="178"/>
              <w:jc w:val="left"/>
              <w:rPr>
                <w:rFonts w:ascii="Times New Roman"/>
                <w:b/>
              </w:rPr>
            </w:pPr>
            <w:r>
              <w:rPr>
                <w:rFonts w:hint="eastAsia" w:ascii="Times New Roman"/>
                <w:b/>
              </w:rPr>
              <w:t>电池管理系统（BMS）的制造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b/>
              </w:rPr>
            </w:pPr>
            <w:r>
              <w:rPr>
                <w:rFonts w:hint="eastAsia" w:ascii="Times New Roman"/>
                <w:b/>
              </w:rPr>
              <w:t>BMS</w:t>
            </w:r>
            <w:r>
              <w:rPr>
                <w:rFonts w:ascii="Times New Roman"/>
                <w:vertAlign w:val="superscript"/>
              </w:rPr>
              <w:t>b</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（总重</w:t>
            </w:r>
            <w:r>
              <w:rPr>
                <w:rFonts w:ascii="Times New Roman"/>
              </w:rPr>
              <w:t>、技术参数等</w:t>
            </w:r>
            <w:r>
              <w:rPr>
                <w:rFonts w:hint="eastAsia" w:asci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集成电路（IC）</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印刷电路板（PWB）</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其他电子元件</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钢板</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b/>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铝板/铝锭</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铜</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其他金属材料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聚苯硫醚（PPS）</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聚丙烯薄膜（PP）</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聚乙烯膜（P</w:t>
            </w:r>
            <w:r>
              <w:rPr>
                <w:rFonts w:ascii="Times New Roman"/>
              </w:rPr>
              <w:t>E</w:t>
            </w:r>
            <w:r>
              <w:rPr>
                <w:rFonts w:hint="eastAsia" w:ascii="Times New Roman"/>
              </w:rPr>
              <w:t>）</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合成</w:t>
            </w:r>
            <w:r>
              <w:rPr>
                <w:rFonts w:ascii="Times New Roman"/>
              </w:rPr>
              <w:t>橡胶</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尼龙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其他聚合物材料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b/>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b/>
              </w:rPr>
            </w:pPr>
            <w:r>
              <w:rPr>
                <w:rFonts w:hint="eastAsia" w:ascii="Times New Roman"/>
                <w:b/>
              </w:rPr>
              <w:t>电力</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3402" w:type="dxa"/>
            <w:gridSpan w:val="3"/>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（电力来源、绿电情况等）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电极生产</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电池组装</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电池化成与检验</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天然气</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蒸汽</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其他燃料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水</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（类型</w:t>
            </w:r>
            <w:r>
              <w:rPr>
                <w:rFonts w:ascii="Times New Roman"/>
              </w:rPr>
              <w:t>和来源</w:t>
            </w:r>
            <w:r>
              <w:rPr>
                <w:rFonts w:hint="eastAsia" w:asci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生产辅助材料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（用途说明）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辅助材料1</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辅助材料2</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废水处理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固废处理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shd w:val="clear" w:color="auto" w:fill="auto"/>
          </w:tcPr>
          <w:p>
            <w:pPr>
              <w:pStyle w:val="178"/>
              <w:jc w:val="left"/>
              <w:rPr>
                <w:rFonts w:ascii="Times New Roman"/>
                <w:b/>
              </w:rPr>
            </w:pPr>
            <w:r>
              <w:rPr>
                <w:rFonts w:hint="eastAsia" w:ascii="Times New Roman"/>
                <w:b/>
              </w:rPr>
              <w:t>冷却</w:t>
            </w:r>
            <w:r>
              <w:rPr>
                <w:rFonts w:ascii="Times New Roman"/>
                <w:b/>
              </w:rPr>
              <w:t>系统的制造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冷却系统</w:t>
            </w:r>
            <w:r>
              <w:rPr>
                <w:rFonts w:ascii="Times New Roman"/>
                <w:vertAlign w:val="superscript"/>
              </w:rPr>
              <w:t>b</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钢铁</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铝</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聚氯乙烯（PVC）</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合成橡胶</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乙二醇</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ABS塑料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b/>
              </w:rPr>
            </w:pPr>
            <w:r>
              <w:rPr>
                <w:rFonts w:hint="eastAsia" w:ascii="Times New Roman"/>
                <w:b/>
              </w:rPr>
              <w:t>电力</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3402" w:type="dxa"/>
            <w:gridSpan w:val="3"/>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（电力来源、绿电情况等）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电极生产</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电池组装</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电池化成与检验</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天然气</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蒸汽</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其他燃料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水</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（类型</w:t>
            </w:r>
            <w:r>
              <w:rPr>
                <w:rFonts w:ascii="Times New Roman"/>
              </w:rPr>
              <w:t>和来源</w:t>
            </w:r>
            <w:r>
              <w:rPr>
                <w:rFonts w:hint="eastAsia" w:asci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生产辅助材料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（用途说明）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辅助材料1</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辅助材料2</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废水处理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固废处理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废气处理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shd w:val="clear" w:color="auto" w:fill="auto"/>
          </w:tcPr>
          <w:p>
            <w:pPr>
              <w:pStyle w:val="178"/>
              <w:jc w:val="left"/>
              <w:rPr>
                <w:rFonts w:ascii="Times New Roman"/>
              </w:rPr>
            </w:pPr>
            <w:r>
              <w:rPr>
                <w:rFonts w:hint="eastAsia" w:ascii="Times New Roman"/>
                <w:b/>
              </w:rPr>
              <w:t>电池组</w:t>
            </w:r>
            <w:r>
              <w:rPr>
                <w:rFonts w:ascii="Times New Roman"/>
                <w:b/>
              </w:rPr>
              <w:t>组装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电池组组装部件</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聚苯硫醚（PPS）</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聚丙烯薄膜（PP）</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聚乙烯膜（PE）</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聚对苯二甲酸乙二醇酯</w:t>
            </w:r>
            <w:r>
              <w:rPr>
                <w:rFonts w:ascii="Times New Roman"/>
              </w:rPr>
              <w:t>（PET）</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其他聚合物材料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钢板</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铝板</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铜</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其他金属材料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jc w:val="left"/>
              <w:rPr>
                <w:rFonts w:ascii="Times New Roman"/>
                <w:b/>
              </w:rPr>
            </w:pPr>
            <w:r>
              <w:rPr>
                <w:rFonts w:hint="eastAsia" w:ascii="Times New Roman"/>
                <w:b/>
              </w:rPr>
              <w:t>电力</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3402" w:type="dxa"/>
            <w:gridSpan w:val="3"/>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（电力来源、绿电情况等）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电极生产</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电池组装</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电池化成与检验</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天然气</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蒸汽</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其他燃料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水</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（类型</w:t>
            </w:r>
            <w:r>
              <w:rPr>
                <w:rFonts w:ascii="Times New Roman"/>
              </w:rPr>
              <w:t>和来源</w:t>
            </w:r>
            <w:r>
              <w:rPr>
                <w:rFonts w:hint="eastAsia" w:asci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生产辅助材料</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（用途说明）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辅助材料1</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rPr>
            </w:pPr>
            <w:r>
              <w:rPr>
                <w:rFonts w:hint="eastAsia" w:ascii="Times New Roman"/>
              </w:rPr>
              <w:t>辅助材料2</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废水处理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pPr>
              <w:pStyle w:val="178"/>
              <w:jc w:val="left"/>
              <w:rPr>
                <w:rFonts w:ascii="Times New Roman"/>
                <w:b/>
              </w:rPr>
            </w:pPr>
            <w:r>
              <w:rPr>
                <w:rFonts w:hint="eastAsia" w:ascii="Times New Roman"/>
                <w:b/>
              </w:rPr>
              <w:t>固废处理</w:t>
            </w:r>
          </w:p>
        </w:tc>
        <w:tc>
          <w:tcPr>
            <w:tcW w:w="1134"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992" w:type="dxa"/>
            <w:shd w:val="clear" w:color="auto" w:fill="auto"/>
            <w:vAlign w:val="center"/>
          </w:tcPr>
          <w:p>
            <w:pPr>
              <w:pStyle w:val="178"/>
              <w:jc w:val="left"/>
              <w:rPr>
                <w:rFonts w:ascii="Times New Roman"/>
              </w:rPr>
            </w:pPr>
          </w:p>
        </w:tc>
        <w:tc>
          <w:tcPr>
            <w:tcW w:w="1559" w:type="dxa"/>
            <w:shd w:val="clear" w:color="auto" w:fill="auto"/>
            <w:vAlign w:val="center"/>
          </w:tcPr>
          <w:p>
            <w:pPr>
              <w:pStyle w:val="178"/>
              <w:jc w:val="left"/>
              <w:rPr>
                <w:rFonts w:ascii="Times New Roman"/>
              </w:rPr>
            </w:pPr>
          </w:p>
        </w:tc>
        <w:tc>
          <w:tcPr>
            <w:tcW w:w="851" w:type="dxa"/>
            <w:shd w:val="clear" w:color="auto" w:fill="auto"/>
            <w:vAlign w:val="center"/>
          </w:tcPr>
          <w:p>
            <w:pPr>
              <w:pStyle w:val="178"/>
              <w:jc w:val="left"/>
              <w:rPr>
                <w:rFonts w:ascii="Times New Roman"/>
              </w:rPr>
            </w:pPr>
          </w:p>
        </w:tc>
        <w:tc>
          <w:tcPr>
            <w:tcW w:w="2114" w:type="dxa"/>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bottom w:val="single" w:color="auto" w:sz="8" w:space="0"/>
            </w:tcBorders>
            <w:shd w:val="clear" w:color="auto" w:fill="auto"/>
          </w:tcPr>
          <w:p>
            <w:pPr>
              <w:pStyle w:val="178"/>
              <w:jc w:val="left"/>
              <w:rPr>
                <w:rFonts w:ascii="Times New Roman"/>
                <w:b/>
              </w:rPr>
            </w:pPr>
            <w:r>
              <w:rPr>
                <w:rFonts w:hint="eastAsia" w:ascii="Times New Roman"/>
                <w:b/>
              </w:rPr>
              <w:t>废气处理</w:t>
            </w:r>
          </w:p>
        </w:tc>
        <w:tc>
          <w:tcPr>
            <w:tcW w:w="1134" w:type="dxa"/>
            <w:tcBorders>
              <w:bottom w:val="single" w:color="auto" w:sz="8" w:space="0"/>
            </w:tcBorders>
            <w:shd w:val="clear" w:color="auto" w:fill="auto"/>
            <w:vAlign w:val="center"/>
          </w:tcPr>
          <w:p>
            <w:pPr>
              <w:pStyle w:val="178"/>
              <w:jc w:val="left"/>
              <w:rPr>
                <w:rFonts w:ascii="Times New Roman"/>
              </w:rPr>
            </w:pPr>
          </w:p>
        </w:tc>
        <w:tc>
          <w:tcPr>
            <w:tcW w:w="851" w:type="dxa"/>
            <w:tcBorders>
              <w:bottom w:val="single" w:color="auto" w:sz="8" w:space="0"/>
            </w:tcBorders>
            <w:shd w:val="clear" w:color="auto" w:fill="auto"/>
            <w:vAlign w:val="center"/>
          </w:tcPr>
          <w:p>
            <w:pPr>
              <w:pStyle w:val="178"/>
              <w:jc w:val="left"/>
              <w:rPr>
                <w:rFonts w:ascii="Times New Roman"/>
              </w:rPr>
            </w:pPr>
          </w:p>
        </w:tc>
        <w:tc>
          <w:tcPr>
            <w:tcW w:w="992" w:type="dxa"/>
            <w:tcBorders>
              <w:bottom w:val="single" w:color="auto" w:sz="8" w:space="0"/>
            </w:tcBorders>
            <w:shd w:val="clear" w:color="auto" w:fill="auto"/>
            <w:vAlign w:val="center"/>
          </w:tcPr>
          <w:p>
            <w:pPr>
              <w:pStyle w:val="178"/>
              <w:jc w:val="left"/>
              <w:rPr>
                <w:rFonts w:ascii="Times New Roman"/>
              </w:rPr>
            </w:pPr>
          </w:p>
        </w:tc>
        <w:tc>
          <w:tcPr>
            <w:tcW w:w="1559" w:type="dxa"/>
            <w:tcBorders>
              <w:bottom w:val="single" w:color="auto" w:sz="8" w:space="0"/>
            </w:tcBorders>
            <w:shd w:val="clear" w:color="auto" w:fill="auto"/>
            <w:vAlign w:val="center"/>
          </w:tcPr>
          <w:p>
            <w:pPr>
              <w:pStyle w:val="178"/>
              <w:jc w:val="left"/>
              <w:rPr>
                <w:rFonts w:ascii="Times New Roman"/>
              </w:rPr>
            </w:pPr>
          </w:p>
        </w:tc>
        <w:tc>
          <w:tcPr>
            <w:tcW w:w="851" w:type="dxa"/>
            <w:tcBorders>
              <w:bottom w:val="single" w:color="auto" w:sz="8" w:space="0"/>
            </w:tcBorders>
            <w:shd w:val="clear" w:color="auto" w:fill="auto"/>
            <w:vAlign w:val="center"/>
          </w:tcPr>
          <w:p>
            <w:pPr>
              <w:pStyle w:val="178"/>
              <w:jc w:val="left"/>
              <w:rPr>
                <w:rFonts w:ascii="Times New Roman"/>
              </w:rPr>
            </w:pPr>
          </w:p>
        </w:tc>
        <w:tc>
          <w:tcPr>
            <w:tcW w:w="2114" w:type="dxa"/>
            <w:tcBorders>
              <w:bottom w:val="single" w:color="auto" w:sz="8" w:space="0"/>
            </w:tcBorders>
            <w:shd w:val="clear" w:color="auto" w:fill="auto"/>
            <w:vAlign w:val="center"/>
          </w:tcPr>
          <w:p>
            <w:pPr>
              <w:pStyle w:val="178"/>
              <w:jc w:val="left"/>
              <w:rPr>
                <w:rFonts w:ascii="Times New Roman"/>
              </w:rPr>
            </w:pPr>
            <w:r>
              <w:rPr>
                <w:rFonts w:hint="eastAsia" w:ascii="Times New Roman"/>
              </w:rPr>
              <w:t>（来源和处置）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tcPr>
          <w:p>
            <w:pPr>
              <w:pStyle w:val="101"/>
              <w:numPr>
                <w:ilvl w:val="0"/>
                <w:numId w:val="0"/>
              </w:numPr>
              <w:ind w:left="420"/>
              <w:rPr>
                <w:rFonts w:ascii="Times New Roman" w:hAnsi="Times New Roman"/>
              </w:rPr>
            </w:pPr>
            <w:r>
              <w:rPr>
                <w:rFonts w:hint="eastAsia" w:ascii="Times New Roman" w:hAnsi="Times New Roman"/>
                <w:kern w:val="0"/>
                <w:sz w:val="21"/>
                <w:szCs w:val="20"/>
                <w:vertAlign w:val="superscript"/>
              </w:rPr>
              <w:t>a</w:t>
            </w:r>
            <w:r>
              <w:rPr>
                <w:rFonts w:hint="eastAsia" w:ascii="Times New Roman" w:hAnsi="Times New Roman"/>
              </w:rPr>
              <w:t>基于每个电池组统计，即，单位为kg/单个电池组，kW·h/单个电池组等。</w:t>
            </w:r>
          </w:p>
          <w:p>
            <w:pPr>
              <w:pStyle w:val="101"/>
              <w:numPr>
                <w:ilvl w:val="0"/>
                <w:numId w:val="0"/>
              </w:numPr>
              <w:ind w:left="539" w:hanging="119"/>
              <w:rPr>
                <w:rFonts w:ascii="Times New Roman" w:hAnsi="Times New Roman"/>
              </w:rPr>
            </w:pPr>
            <w:r>
              <w:rPr>
                <w:rFonts w:hint="eastAsia" w:ascii="Times New Roman" w:hAnsi="Times New Roman"/>
                <w:kern w:val="0"/>
                <w:sz w:val="21"/>
                <w:szCs w:val="20"/>
                <w:vertAlign w:val="superscript"/>
              </w:rPr>
              <w:t>b</w:t>
            </w:r>
            <w:r>
              <w:rPr>
                <w:rFonts w:hint="eastAsia" w:ascii="Times New Roman" w:hAnsi="Times New Roman"/>
              </w:rPr>
              <w:t>电池组制造过程的材料/组件信息可以分为BMS、冷却系统和电池组装部件三类进行汇总，也可继续拆分成更小组件单元对材料信息进行统计，例如，将电池组装部件细分成线束、外壳、结构件等组件，并分别汇总相应材料和生产信息。</w:t>
            </w:r>
          </w:p>
        </w:tc>
      </w:tr>
    </w:tbl>
    <w:p>
      <w:pPr>
        <w:pStyle w:val="56"/>
        <w:ind w:firstLine="420"/>
        <w:rPr>
          <w:rFonts w:ascii="Times New Roman"/>
          <w:highlight w:val="yellow"/>
        </w:rPr>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94" w:name="_Toc183023605"/>
      <w:bookmarkStart w:id="195" w:name="_Toc182385865"/>
      <w:bookmarkStart w:id="196" w:name="_Toc182386878"/>
      <w:bookmarkStart w:id="197" w:name="_Toc182389401"/>
      <w:bookmarkStart w:id="198" w:name="_Toc184200490"/>
      <w:bookmarkStart w:id="199" w:name="_Toc184199779"/>
      <w:r>
        <w:rPr>
          <w:rFonts w:hint="eastAsia"/>
        </w:rPr>
        <w:t>（资料性）</w:t>
      </w:r>
      <w:r>
        <w:br w:type="textWrapping"/>
      </w:r>
      <w:r>
        <w:rPr>
          <w:rFonts w:hint="eastAsia"/>
        </w:rPr>
        <w:t>GWP 参考值</w:t>
      </w:r>
      <w:bookmarkEnd w:id="194"/>
      <w:bookmarkEnd w:id="195"/>
      <w:bookmarkEnd w:id="196"/>
      <w:bookmarkEnd w:id="197"/>
      <w:bookmarkEnd w:id="198"/>
      <w:bookmarkEnd w:id="199"/>
    </w:p>
    <w:p>
      <w:pPr>
        <w:pStyle w:val="56"/>
        <w:ind w:firstLine="420"/>
        <w:rPr>
          <w:rFonts w:ascii="Times New Roman"/>
        </w:rPr>
      </w:pPr>
      <w:r>
        <w:rPr>
          <w:rFonts w:hint="eastAsia" w:ascii="Times New Roman"/>
        </w:rPr>
        <w:t>部分</w:t>
      </w:r>
      <w:r>
        <w:rPr>
          <w:rFonts w:ascii="Times New Roman"/>
        </w:rPr>
        <w:t>GHG的GWP参考值见</w:t>
      </w:r>
      <w:r>
        <w:rPr>
          <w:rFonts w:hint="eastAsia" w:ascii="Times New Roman"/>
        </w:rPr>
        <w:t>表B.1。</w:t>
      </w:r>
    </w:p>
    <w:p>
      <w:pPr>
        <w:pStyle w:val="77"/>
        <w:spacing w:before="156" w:after="156"/>
        <w:rPr>
          <w:rFonts w:ascii="Times New Roman"/>
        </w:rPr>
      </w:pPr>
      <w:r>
        <w:rPr>
          <w:rFonts w:hint="eastAsia" w:ascii="Times New Roman"/>
        </w:rPr>
        <w:t>部分温室气体的全球增温潜势（GWP）</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气体名称</w:t>
            </w:r>
          </w:p>
        </w:tc>
        <w:tc>
          <w:tcPr>
            <w:tcW w:w="3112" w:type="dxa"/>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化学分子式</w:t>
            </w:r>
          </w:p>
        </w:tc>
        <w:tc>
          <w:tcPr>
            <w:tcW w:w="3112" w:type="dxa"/>
            <w:tcBorders>
              <w:top w:val="single" w:color="auto" w:sz="8" w:space="0"/>
              <w:bottom w:val="single" w:color="auto" w:sz="8" w:space="0"/>
            </w:tcBorders>
            <w:shd w:val="clear" w:color="auto" w:fill="auto"/>
            <w:vAlign w:val="center"/>
          </w:tcPr>
          <w:p>
            <w:pPr>
              <w:pStyle w:val="178"/>
              <w:rPr>
                <w:rFonts w:ascii="Times New Roman"/>
              </w:rPr>
            </w:pPr>
            <w:r>
              <w:rPr>
                <w:rFonts w:hint="eastAsia" w:ascii="Times New Roman"/>
              </w:rPr>
              <w:t>100年</w:t>
            </w:r>
            <w:r>
              <w:rPr>
                <w:rFonts w:ascii="Times New Roman"/>
              </w:rPr>
              <w:t>的GWP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8"/>
              <w:rPr>
                <w:rFonts w:ascii="Times New Roman"/>
              </w:rPr>
            </w:pPr>
            <w:r>
              <w:rPr>
                <w:rFonts w:hint="eastAsia" w:ascii="Times New Roman"/>
              </w:rPr>
              <w:t>二氧化碳</w:t>
            </w:r>
          </w:p>
        </w:tc>
        <w:tc>
          <w:tcPr>
            <w:tcW w:w="3112" w:type="dxa"/>
            <w:tcBorders>
              <w:top w:val="single" w:color="auto" w:sz="8" w:space="0"/>
            </w:tcBorders>
            <w:shd w:val="clear" w:color="auto" w:fill="auto"/>
            <w:vAlign w:val="center"/>
          </w:tcPr>
          <w:p>
            <w:pPr>
              <w:pStyle w:val="178"/>
              <w:rPr>
                <w:rFonts w:ascii="Times New Roman"/>
              </w:rPr>
            </w:pPr>
            <w:r>
              <w:rPr>
                <w:rFonts w:hint="eastAsia" w:ascii="Times New Roman"/>
              </w:rPr>
              <w:t>CO</w:t>
            </w:r>
            <w:r>
              <w:rPr>
                <w:rFonts w:hint="eastAsia" w:ascii="Times New Roman"/>
                <w:vertAlign w:val="subscript"/>
              </w:rPr>
              <w:t>2</w:t>
            </w:r>
          </w:p>
        </w:tc>
        <w:tc>
          <w:tcPr>
            <w:tcW w:w="3112" w:type="dxa"/>
            <w:tcBorders>
              <w:top w:val="single" w:color="auto" w:sz="8" w:space="0"/>
            </w:tcBorders>
            <w:shd w:val="clear" w:color="auto" w:fill="auto"/>
            <w:vAlign w:val="center"/>
          </w:tcPr>
          <w:p>
            <w:pPr>
              <w:pStyle w:val="178"/>
              <w:rPr>
                <w:rFonts w:ascii="Times New Roman"/>
              </w:rPr>
            </w:pPr>
            <w:r>
              <w:rPr>
                <w:rFonts w:hint="eastAsia" w:ascii="Times New Roma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甲烷</w:t>
            </w:r>
          </w:p>
        </w:tc>
        <w:tc>
          <w:tcPr>
            <w:tcW w:w="3112" w:type="dxa"/>
            <w:shd w:val="clear" w:color="auto" w:fill="auto"/>
            <w:vAlign w:val="center"/>
          </w:tcPr>
          <w:p>
            <w:pPr>
              <w:pStyle w:val="178"/>
              <w:rPr>
                <w:rFonts w:ascii="Times New Roman"/>
              </w:rPr>
            </w:pPr>
            <w:r>
              <w:rPr>
                <w:rFonts w:hint="eastAsia" w:ascii="Times New Roman"/>
              </w:rPr>
              <w:t>CH</w:t>
            </w:r>
            <w:r>
              <w:rPr>
                <w:rFonts w:hint="eastAsia" w:ascii="Times New Roman"/>
                <w:vertAlign w:val="subscript"/>
              </w:rPr>
              <w:t>4</w:t>
            </w:r>
          </w:p>
        </w:tc>
        <w:tc>
          <w:tcPr>
            <w:tcW w:w="3112" w:type="dxa"/>
            <w:shd w:val="clear" w:color="auto" w:fill="auto"/>
            <w:vAlign w:val="center"/>
          </w:tcPr>
          <w:p>
            <w:pPr>
              <w:pStyle w:val="178"/>
              <w:rPr>
                <w:rFonts w:ascii="Times New Roman"/>
              </w:rPr>
            </w:pPr>
            <w:r>
              <w:rPr>
                <w:rFonts w:hint="eastAsia" w:ascii="Times New Roman"/>
              </w:rPr>
              <w:t>27.9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氧化亚氮</w:t>
            </w:r>
          </w:p>
        </w:tc>
        <w:tc>
          <w:tcPr>
            <w:tcW w:w="3112" w:type="dxa"/>
            <w:shd w:val="clear" w:color="auto" w:fill="auto"/>
            <w:vAlign w:val="center"/>
          </w:tcPr>
          <w:p>
            <w:pPr>
              <w:pStyle w:val="178"/>
              <w:rPr>
                <w:rFonts w:ascii="Times New Roman"/>
              </w:rPr>
            </w:pPr>
            <w:r>
              <w:rPr>
                <w:rFonts w:hint="eastAsia" w:ascii="Times New Roman"/>
              </w:rPr>
              <w:t>N</w:t>
            </w:r>
            <w:r>
              <w:rPr>
                <w:rFonts w:hint="eastAsia" w:ascii="Times New Roman"/>
                <w:vertAlign w:val="subscript"/>
              </w:rPr>
              <w:t>2</w:t>
            </w:r>
            <w:r>
              <w:rPr>
                <w:rFonts w:hint="eastAsia" w:ascii="Times New Roman"/>
              </w:rPr>
              <w:t>O</w:t>
            </w:r>
          </w:p>
        </w:tc>
        <w:tc>
          <w:tcPr>
            <w:tcW w:w="3112" w:type="dxa"/>
            <w:shd w:val="clear" w:color="auto" w:fill="auto"/>
            <w:vAlign w:val="center"/>
          </w:tcPr>
          <w:p>
            <w:pPr>
              <w:pStyle w:val="178"/>
              <w:rPr>
                <w:rFonts w:ascii="Times New Roman"/>
              </w:rPr>
            </w:pPr>
            <w:r>
              <w:rPr>
                <w:rFonts w:hint="eastAsia" w:ascii="Times New Roman"/>
              </w:rPr>
              <w:t>273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三氟化氮</w:t>
            </w:r>
          </w:p>
        </w:tc>
        <w:tc>
          <w:tcPr>
            <w:tcW w:w="3112" w:type="dxa"/>
            <w:shd w:val="clear" w:color="auto" w:fill="auto"/>
            <w:vAlign w:val="center"/>
          </w:tcPr>
          <w:p>
            <w:pPr>
              <w:pStyle w:val="178"/>
              <w:rPr>
                <w:rFonts w:ascii="Times New Roman"/>
              </w:rPr>
            </w:pPr>
            <w:r>
              <w:rPr>
                <w:rFonts w:hint="eastAsia" w:ascii="Times New Roman"/>
              </w:rPr>
              <w:t>NF</w:t>
            </w:r>
            <w:r>
              <w:rPr>
                <w:rFonts w:hint="eastAsia" w:ascii="Times New Roman"/>
                <w:vertAlign w:val="subscript"/>
              </w:rPr>
              <w:t>3</w:t>
            </w:r>
          </w:p>
        </w:tc>
        <w:tc>
          <w:tcPr>
            <w:tcW w:w="3112" w:type="dxa"/>
            <w:shd w:val="clear" w:color="auto" w:fill="auto"/>
            <w:vAlign w:val="center"/>
          </w:tcPr>
          <w:p>
            <w:pPr>
              <w:pStyle w:val="178"/>
              <w:rPr>
                <w:rFonts w:ascii="Times New Roman"/>
              </w:rPr>
            </w:pPr>
            <w:r>
              <w:rPr>
                <w:rFonts w:hint="eastAsia" w:ascii="Times New Roman"/>
              </w:rPr>
              <w:t>17400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六氟化硫</w:t>
            </w:r>
          </w:p>
        </w:tc>
        <w:tc>
          <w:tcPr>
            <w:tcW w:w="3112" w:type="dxa"/>
            <w:shd w:val="clear" w:color="auto" w:fill="auto"/>
            <w:vAlign w:val="center"/>
          </w:tcPr>
          <w:p>
            <w:pPr>
              <w:pStyle w:val="178"/>
              <w:rPr>
                <w:rFonts w:ascii="Times New Roman"/>
              </w:rPr>
            </w:pPr>
            <w:r>
              <w:rPr>
                <w:rFonts w:hint="eastAsia" w:ascii="Times New Roman"/>
              </w:rPr>
              <w:t>SF</w:t>
            </w:r>
            <w:r>
              <w:rPr>
                <w:rFonts w:hint="eastAsia" w:ascii="Times New Roman"/>
                <w:vertAlign w:val="subscript"/>
              </w:rPr>
              <w:t>6</w:t>
            </w:r>
          </w:p>
        </w:tc>
        <w:tc>
          <w:tcPr>
            <w:tcW w:w="3112" w:type="dxa"/>
            <w:shd w:val="clear" w:color="auto" w:fill="auto"/>
            <w:vAlign w:val="center"/>
          </w:tcPr>
          <w:p>
            <w:pPr>
              <w:pStyle w:val="178"/>
              <w:rPr>
                <w:rFonts w:ascii="Times New Roman"/>
              </w:rPr>
            </w:pPr>
            <w:r>
              <w:rPr>
                <w:rFonts w:hint="eastAsia" w:ascii="Times New Roman"/>
              </w:rPr>
              <w:t>25200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shd w:val="clear" w:color="auto" w:fill="auto"/>
            <w:vAlign w:val="center"/>
          </w:tcPr>
          <w:p>
            <w:pPr>
              <w:pStyle w:val="178"/>
              <w:rPr>
                <w:rFonts w:ascii="Times New Roman"/>
              </w:rPr>
            </w:pPr>
            <w:r>
              <w:rPr>
                <w:rFonts w:hint="eastAsia" w:ascii="Times New Roman"/>
              </w:rPr>
              <w:t>氢氟碳化物（HFC</w:t>
            </w:r>
            <w:r>
              <w:rPr>
                <w:rFonts w:hint="eastAsia" w:ascii="Times New Roman"/>
                <w:vertAlign w:val="subscript"/>
              </w:rPr>
              <w:t>S</w:t>
            </w:r>
            <w:r>
              <w:rPr>
                <w:rFonts w:hint="eastAsia" w:asci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HFC-23</w:t>
            </w:r>
          </w:p>
        </w:tc>
        <w:tc>
          <w:tcPr>
            <w:tcW w:w="3112" w:type="dxa"/>
            <w:shd w:val="clear" w:color="auto" w:fill="auto"/>
            <w:vAlign w:val="center"/>
          </w:tcPr>
          <w:p>
            <w:pPr>
              <w:pStyle w:val="178"/>
              <w:rPr>
                <w:rFonts w:ascii="Times New Roman"/>
              </w:rPr>
            </w:pPr>
            <w:r>
              <w:rPr>
                <w:rFonts w:hint="eastAsia" w:ascii="Times New Roman"/>
              </w:rPr>
              <w:t>CHF</w:t>
            </w:r>
            <w:r>
              <w:rPr>
                <w:rFonts w:hint="eastAsia" w:ascii="Times New Roman"/>
                <w:vertAlign w:val="subscript"/>
              </w:rPr>
              <w:t>3</w:t>
            </w:r>
          </w:p>
        </w:tc>
        <w:tc>
          <w:tcPr>
            <w:tcW w:w="3112" w:type="dxa"/>
            <w:shd w:val="clear" w:color="auto" w:fill="auto"/>
            <w:vAlign w:val="center"/>
          </w:tcPr>
          <w:p>
            <w:pPr>
              <w:pStyle w:val="178"/>
              <w:rPr>
                <w:rFonts w:ascii="Times New Roman"/>
              </w:rPr>
            </w:pPr>
            <w:r>
              <w:rPr>
                <w:rFonts w:hint="eastAsia" w:ascii="Times New Roman"/>
              </w:rPr>
              <w:t>14600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HFC-32</w:t>
            </w:r>
          </w:p>
        </w:tc>
        <w:tc>
          <w:tcPr>
            <w:tcW w:w="3112" w:type="dxa"/>
            <w:shd w:val="clear" w:color="auto" w:fill="auto"/>
            <w:vAlign w:val="center"/>
          </w:tcPr>
          <w:p>
            <w:pPr>
              <w:pStyle w:val="178"/>
              <w:rPr>
                <w:rFonts w:ascii="Times New Roman"/>
              </w:rPr>
            </w:pPr>
            <w:r>
              <w:rPr>
                <w:rFonts w:hint="eastAsia" w:ascii="Times New Roman"/>
              </w:rPr>
              <w:t>CH</w:t>
            </w:r>
            <w:r>
              <w:rPr>
                <w:rFonts w:hint="eastAsia" w:ascii="Times New Roman"/>
                <w:vertAlign w:val="subscript"/>
              </w:rPr>
              <w:t>2</w:t>
            </w:r>
            <w:r>
              <w:rPr>
                <w:rFonts w:hint="eastAsia" w:ascii="Times New Roman"/>
              </w:rPr>
              <w:t>F</w:t>
            </w:r>
            <w:r>
              <w:rPr>
                <w:rFonts w:hint="eastAsia" w:ascii="Times New Roman"/>
                <w:vertAlign w:val="subscript"/>
              </w:rPr>
              <w:t>2</w:t>
            </w:r>
          </w:p>
        </w:tc>
        <w:tc>
          <w:tcPr>
            <w:tcW w:w="3112" w:type="dxa"/>
            <w:shd w:val="clear" w:color="auto" w:fill="auto"/>
            <w:vAlign w:val="center"/>
          </w:tcPr>
          <w:p>
            <w:pPr>
              <w:pStyle w:val="178"/>
              <w:rPr>
                <w:rFonts w:ascii="Times New Roman"/>
              </w:rPr>
            </w:pPr>
            <w:r>
              <w:rPr>
                <w:rFonts w:hint="eastAsia" w:ascii="Times New Roman"/>
              </w:rPr>
              <w:t>771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HFC-41</w:t>
            </w:r>
          </w:p>
        </w:tc>
        <w:tc>
          <w:tcPr>
            <w:tcW w:w="3112" w:type="dxa"/>
            <w:shd w:val="clear" w:color="auto" w:fill="auto"/>
            <w:vAlign w:val="center"/>
          </w:tcPr>
          <w:p>
            <w:pPr>
              <w:pStyle w:val="178"/>
              <w:rPr>
                <w:rFonts w:ascii="Times New Roman"/>
              </w:rPr>
            </w:pPr>
            <w:r>
              <w:rPr>
                <w:rFonts w:hint="eastAsia" w:ascii="Times New Roman"/>
              </w:rPr>
              <w:t>CH</w:t>
            </w:r>
            <w:r>
              <w:rPr>
                <w:rFonts w:hint="eastAsia" w:ascii="Times New Roman"/>
                <w:vertAlign w:val="subscript"/>
              </w:rPr>
              <w:t>3</w:t>
            </w:r>
            <w:r>
              <w:rPr>
                <w:rFonts w:hint="eastAsia" w:ascii="Times New Roman"/>
              </w:rPr>
              <w:t>F</w:t>
            </w:r>
          </w:p>
        </w:tc>
        <w:tc>
          <w:tcPr>
            <w:tcW w:w="3112" w:type="dxa"/>
            <w:shd w:val="clear" w:color="auto" w:fill="auto"/>
            <w:vAlign w:val="center"/>
          </w:tcPr>
          <w:p>
            <w:pPr>
              <w:pStyle w:val="178"/>
              <w:rPr>
                <w:rFonts w:ascii="Times New Roman"/>
              </w:rPr>
            </w:pPr>
            <w:r>
              <w:rPr>
                <w:rFonts w:hint="eastAsia" w:ascii="Times New Roman"/>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HFC-125</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2</w:t>
            </w:r>
            <w:r>
              <w:rPr>
                <w:rFonts w:hint="eastAsia" w:ascii="Times New Roman"/>
              </w:rPr>
              <w:t>HF</w:t>
            </w:r>
            <w:r>
              <w:rPr>
                <w:rFonts w:hint="eastAsia" w:ascii="Times New Roman"/>
                <w:vertAlign w:val="subscript"/>
              </w:rPr>
              <w:t>5</w:t>
            </w:r>
          </w:p>
        </w:tc>
        <w:tc>
          <w:tcPr>
            <w:tcW w:w="3112" w:type="dxa"/>
            <w:shd w:val="clear" w:color="auto" w:fill="auto"/>
            <w:vAlign w:val="center"/>
          </w:tcPr>
          <w:p>
            <w:pPr>
              <w:pStyle w:val="178"/>
              <w:rPr>
                <w:rFonts w:ascii="Times New Roman"/>
              </w:rPr>
            </w:pPr>
            <w:r>
              <w:rPr>
                <w:rFonts w:hint="eastAsia" w:ascii="Times New Roman"/>
              </w:rPr>
              <w:t>3740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HFC-134</w:t>
            </w:r>
          </w:p>
        </w:tc>
        <w:tc>
          <w:tcPr>
            <w:tcW w:w="3112" w:type="dxa"/>
            <w:shd w:val="clear" w:color="auto" w:fill="auto"/>
            <w:vAlign w:val="center"/>
          </w:tcPr>
          <w:p>
            <w:pPr>
              <w:pStyle w:val="178"/>
              <w:rPr>
                <w:rFonts w:ascii="Times New Roman"/>
              </w:rPr>
            </w:pPr>
            <w:r>
              <w:rPr>
                <w:rFonts w:hint="eastAsia" w:ascii="Times New Roman"/>
              </w:rPr>
              <w:t>CHF</w:t>
            </w:r>
            <w:r>
              <w:rPr>
                <w:rFonts w:hint="eastAsia" w:ascii="Times New Roman"/>
                <w:vertAlign w:val="subscript"/>
              </w:rPr>
              <w:t>2</w:t>
            </w:r>
            <w:r>
              <w:rPr>
                <w:rFonts w:hint="eastAsia" w:ascii="Times New Roman"/>
              </w:rPr>
              <w:t>CHF</w:t>
            </w:r>
            <w:r>
              <w:rPr>
                <w:rFonts w:hint="eastAsia" w:ascii="Times New Roman"/>
                <w:vertAlign w:val="subscript"/>
              </w:rPr>
              <w:t>2</w:t>
            </w:r>
          </w:p>
        </w:tc>
        <w:tc>
          <w:tcPr>
            <w:tcW w:w="3112" w:type="dxa"/>
            <w:shd w:val="clear" w:color="auto" w:fill="auto"/>
            <w:vAlign w:val="center"/>
          </w:tcPr>
          <w:p>
            <w:pPr>
              <w:pStyle w:val="178"/>
              <w:rPr>
                <w:rFonts w:ascii="Times New Roman"/>
              </w:rPr>
            </w:pPr>
            <w:r>
              <w:rPr>
                <w:rFonts w:hint="eastAsia" w:ascii="Times New Roman"/>
              </w:rPr>
              <w:t>1260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HFC-134a</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2</w:t>
            </w:r>
            <w:r>
              <w:rPr>
                <w:rFonts w:hint="eastAsia" w:ascii="Times New Roman"/>
              </w:rPr>
              <w:t>H</w:t>
            </w:r>
            <w:r>
              <w:rPr>
                <w:rFonts w:hint="eastAsia" w:ascii="Times New Roman"/>
                <w:vertAlign w:val="subscript"/>
              </w:rPr>
              <w:t>2</w:t>
            </w:r>
            <w:r>
              <w:rPr>
                <w:rFonts w:hint="eastAsia" w:ascii="Times New Roman"/>
              </w:rPr>
              <w:t>F</w:t>
            </w:r>
            <w:r>
              <w:rPr>
                <w:rFonts w:hint="eastAsia" w:ascii="Times New Roman"/>
                <w:vertAlign w:val="subscript"/>
              </w:rPr>
              <w:t>4</w:t>
            </w:r>
          </w:p>
        </w:tc>
        <w:tc>
          <w:tcPr>
            <w:tcW w:w="3112" w:type="dxa"/>
            <w:shd w:val="clear" w:color="auto" w:fill="auto"/>
            <w:vAlign w:val="center"/>
          </w:tcPr>
          <w:p>
            <w:pPr>
              <w:pStyle w:val="178"/>
              <w:rPr>
                <w:rFonts w:ascii="Times New Roman"/>
              </w:rPr>
            </w:pPr>
            <w:r>
              <w:rPr>
                <w:rFonts w:hint="eastAsia" w:ascii="Times New Roman"/>
              </w:rPr>
              <w:t>1530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HFC-143</w:t>
            </w:r>
          </w:p>
        </w:tc>
        <w:tc>
          <w:tcPr>
            <w:tcW w:w="3112" w:type="dxa"/>
            <w:shd w:val="clear" w:color="auto" w:fill="auto"/>
            <w:vAlign w:val="center"/>
          </w:tcPr>
          <w:p>
            <w:pPr>
              <w:pStyle w:val="178"/>
              <w:rPr>
                <w:rFonts w:ascii="Times New Roman"/>
              </w:rPr>
            </w:pPr>
            <w:r>
              <w:rPr>
                <w:rFonts w:hint="eastAsia" w:ascii="Times New Roman"/>
              </w:rPr>
              <w:t>CH</w:t>
            </w:r>
            <w:r>
              <w:rPr>
                <w:rFonts w:hint="eastAsia" w:ascii="Times New Roman"/>
                <w:vertAlign w:val="subscript"/>
              </w:rPr>
              <w:t>2</w:t>
            </w:r>
            <w:r>
              <w:rPr>
                <w:rFonts w:hint="eastAsia" w:ascii="Times New Roman"/>
              </w:rPr>
              <w:t>FCHF</w:t>
            </w:r>
            <w:r>
              <w:rPr>
                <w:rFonts w:hint="eastAsia" w:ascii="Times New Roman"/>
                <w:vertAlign w:val="subscript"/>
              </w:rPr>
              <w:t>2</w:t>
            </w:r>
          </w:p>
        </w:tc>
        <w:tc>
          <w:tcPr>
            <w:tcW w:w="3112" w:type="dxa"/>
            <w:shd w:val="clear" w:color="auto" w:fill="auto"/>
            <w:vAlign w:val="center"/>
          </w:tcPr>
          <w:p>
            <w:pPr>
              <w:pStyle w:val="178"/>
              <w:rPr>
                <w:rFonts w:ascii="Times New Roman"/>
              </w:rPr>
            </w:pPr>
            <w:r>
              <w:rPr>
                <w:rFonts w:hint="eastAsia" w:ascii="Times New Roman"/>
              </w:rPr>
              <w:t>364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HFC-143a</w:t>
            </w:r>
          </w:p>
        </w:tc>
        <w:tc>
          <w:tcPr>
            <w:tcW w:w="3112" w:type="dxa"/>
            <w:shd w:val="clear" w:color="auto" w:fill="auto"/>
            <w:vAlign w:val="center"/>
          </w:tcPr>
          <w:p>
            <w:pPr>
              <w:pStyle w:val="178"/>
              <w:rPr>
                <w:rFonts w:ascii="Times New Roman"/>
              </w:rPr>
            </w:pPr>
            <w:r>
              <w:rPr>
                <w:rFonts w:hint="eastAsia" w:ascii="Times New Roman"/>
              </w:rPr>
              <w:t>CH</w:t>
            </w:r>
            <w:r>
              <w:rPr>
                <w:rFonts w:hint="eastAsia" w:ascii="Times New Roman"/>
                <w:vertAlign w:val="subscript"/>
              </w:rPr>
              <w:t>3</w:t>
            </w:r>
            <w:r>
              <w:rPr>
                <w:rFonts w:hint="eastAsia" w:ascii="Times New Roman"/>
              </w:rPr>
              <w:t>CF</w:t>
            </w:r>
            <w:r>
              <w:rPr>
                <w:rFonts w:hint="eastAsia" w:ascii="Times New Roman"/>
                <w:vertAlign w:val="subscript"/>
              </w:rPr>
              <w:t>3</w:t>
            </w:r>
          </w:p>
        </w:tc>
        <w:tc>
          <w:tcPr>
            <w:tcW w:w="3112" w:type="dxa"/>
            <w:shd w:val="clear" w:color="auto" w:fill="auto"/>
            <w:vAlign w:val="center"/>
          </w:tcPr>
          <w:p>
            <w:pPr>
              <w:pStyle w:val="178"/>
              <w:rPr>
                <w:rFonts w:ascii="Times New Roman"/>
              </w:rPr>
            </w:pPr>
            <w:r>
              <w:rPr>
                <w:rFonts w:hint="eastAsia" w:ascii="Times New Roman"/>
              </w:rPr>
              <w:t>5810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HFC-152a</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2</w:t>
            </w:r>
            <w:r>
              <w:rPr>
                <w:rFonts w:hint="eastAsia" w:ascii="Times New Roman"/>
              </w:rPr>
              <w:t>H</w:t>
            </w:r>
            <w:r>
              <w:rPr>
                <w:rFonts w:hint="eastAsia" w:ascii="Times New Roman"/>
                <w:vertAlign w:val="subscript"/>
              </w:rPr>
              <w:t>4</w:t>
            </w:r>
            <w:r>
              <w:rPr>
                <w:rFonts w:hint="eastAsia" w:ascii="Times New Roman"/>
              </w:rPr>
              <w:t>F</w:t>
            </w:r>
            <w:r>
              <w:rPr>
                <w:rFonts w:hint="eastAsia" w:ascii="Times New Roman"/>
                <w:vertAlign w:val="subscript"/>
              </w:rPr>
              <w:t>2</w:t>
            </w:r>
          </w:p>
        </w:tc>
        <w:tc>
          <w:tcPr>
            <w:tcW w:w="3112" w:type="dxa"/>
            <w:shd w:val="clear" w:color="auto" w:fill="auto"/>
            <w:vAlign w:val="center"/>
          </w:tcPr>
          <w:p>
            <w:pPr>
              <w:pStyle w:val="178"/>
              <w:rPr>
                <w:rFonts w:ascii="Times New Roman"/>
              </w:rPr>
            </w:pPr>
            <w:r>
              <w:rPr>
                <w:rFonts w:hint="eastAsia" w:ascii="Times New Roman"/>
              </w:rPr>
              <w:t>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HFC-227ea</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3</w:t>
            </w:r>
            <w:r>
              <w:rPr>
                <w:rFonts w:hint="eastAsia" w:ascii="Times New Roman"/>
              </w:rPr>
              <w:t>HF</w:t>
            </w:r>
            <w:r>
              <w:rPr>
                <w:rFonts w:hint="eastAsia" w:ascii="Times New Roman"/>
                <w:vertAlign w:val="subscript"/>
              </w:rPr>
              <w:t>7</w:t>
            </w:r>
          </w:p>
        </w:tc>
        <w:tc>
          <w:tcPr>
            <w:tcW w:w="3112" w:type="dxa"/>
            <w:shd w:val="clear" w:color="auto" w:fill="auto"/>
            <w:vAlign w:val="center"/>
          </w:tcPr>
          <w:p>
            <w:pPr>
              <w:pStyle w:val="178"/>
              <w:rPr>
                <w:rFonts w:ascii="Times New Roman"/>
              </w:rPr>
            </w:pPr>
            <w:r>
              <w:rPr>
                <w:rFonts w:hint="eastAsia" w:ascii="Times New Roman"/>
              </w:rPr>
              <w:t>3600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HFC-236fa</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3</w:t>
            </w:r>
            <w:r>
              <w:rPr>
                <w:rFonts w:hint="eastAsia" w:ascii="Times New Roman"/>
              </w:rPr>
              <w:t>H</w:t>
            </w:r>
            <w:r>
              <w:rPr>
                <w:rFonts w:hint="eastAsia" w:ascii="Times New Roman"/>
                <w:vertAlign w:val="subscript"/>
              </w:rPr>
              <w:t>2</w:t>
            </w:r>
            <w:r>
              <w:rPr>
                <w:rFonts w:hint="eastAsia" w:ascii="Times New Roman"/>
              </w:rPr>
              <w:t>F</w:t>
            </w:r>
            <w:r>
              <w:rPr>
                <w:rFonts w:hint="eastAsia" w:ascii="Times New Roman"/>
                <w:vertAlign w:val="subscript"/>
              </w:rPr>
              <w:t>6</w:t>
            </w:r>
          </w:p>
        </w:tc>
        <w:tc>
          <w:tcPr>
            <w:tcW w:w="3112" w:type="dxa"/>
            <w:shd w:val="clear" w:color="auto" w:fill="auto"/>
            <w:vAlign w:val="center"/>
          </w:tcPr>
          <w:p>
            <w:pPr>
              <w:pStyle w:val="178"/>
              <w:rPr>
                <w:rFonts w:ascii="Times New Roman"/>
              </w:rPr>
            </w:pPr>
            <w:r>
              <w:rPr>
                <w:rFonts w:hint="eastAsia" w:ascii="Times New Roman"/>
              </w:rPr>
              <w:t>8690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shd w:val="clear" w:color="auto" w:fill="auto"/>
            <w:vAlign w:val="center"/>
          </w:tcPr>
          <w:p>
            <w:pPr>
              <w:pStyle w:val="178"/>
              <w:rPr>
                <w:rFonts w:ascii="Times New Roman"/>
              </w:rPr>
            </w:pPr>
            <w:r>
              <w:rPr>
                <w:rFonts w:hint="eastAsia" w:ascii="Times New Roman"/>
              </w:rPr>
              <w:t>全氟碳化物 （PFCs）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全氟甲烷（四氟甲烷）</w:t>
            </w:r>
          </w:p>
        </w:tc>
        <w:tc>
          <w:tcPr>
            <w:tcW w:w="3112" w:type="dxa"/>
            <w:shd w:val="clear" w:color="auto" w:fill="auto"/>
            <w:vAlign w:val="center"/>
          </w:tcPr>
          <w:p>
            <w:pPr>
              <w:pStyle w:val="178"/>
              <w:rPr>
                <w:rFonts w:ascii="Times New Roman"/>
              </w:rPr>
            </w:pPr>
            <w:r>
              <w:rPr>
                <w:rFonts w:hint="eastAsia" w:ascii="Times New Roman"/>
              </w:rPr>
              <w:t>CF</w:t>
            </w:r>
            <w:r>
              <w:rPr>
                <w:rFonts w:hint="eastAsia" w:ascii="Times New Roman"/>
                <w:vertAlign w:val="subscript"/>
              </w:rPr>
              <w:t>4</w:t>
            </w:r>
          </w:p>
        </w:tc>
        <w:tc>
          <w:tcPr>
            <w:tcW w:w="3112" w:type="dxa"/>
            <w:shd w:val="clear" w:color="auto" w:fill="auto"/>
            <w:vAlign w:val="center"/>
          </w:tcPr>
          <w:p>
            <w:pPr>
              <w:pStyle w:val="178"/>
              <w:rPr>
                <w:rFonts w:ascii="Times New Roman"/>
              </w:rPr>
            </w:pPr>
            <w:r>
              <w:rPr>
                <w:rFonts w:hint="eastAsia" w:ascii="Times New Roman"/>
              </w:rPr>
              <w:t>7380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全氟乙烷（六氟乙烷）</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2</w:t>
            </w:r>
            <w:r>
              <w:rPr>
                <w:rFonts w:hint="eastAsia" w:ascii="Times New Roman"/>
              </w:rPr>
              <w:t>F</w:t>
            </w:r>
            <w:r>
              <w:rPr>
                <w:rFonts w:hint="eastAsia" w:ascii="Times New Roman"/>
                <w:vertAlign w:val="subscript"/>
              </w:rPr>
              <w:t>6</w:t>
            </w:r>
          </w:p>
        </w:tc>
        <w:tc>
          <w:tcPr>
            <w:tcW w:w="3112" w:type="dxa"/>
            <w:shd w:val="clear" w:color="auto" w:fill="auto"/>
            <w:vAlign w:val="center"/>
          </w:tcPr>
          <w:p>
            <w:pPr>
              <w:pStyle w:val="178"/>
              <w:rPr>
                <w:rFonts w:ascii="Times New Roman"/>
              </w:rPr>
            </w:pPr>
            <w:r>
              <w:rPr>
                <w:rFonts w:hint="eastAsia" w:ascii="Times New Roman"/>
              </w:rPr>
              <w:t>12400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全氟丙烷</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3</w:t>
            </w:r>
            <w:r>
              <w:rPr>
                <w:rFonts w:hint="eastAsia" w:ascii="Times New Roman"/>
              </w:rPr>
              <w:t>F</w:t>
            </w:r>
            <w:r>
              <w:rPr>
                <w:rFonts w:hint="eastAsia" w:ascii="Times New Roman"/>
                <w:vertAlign w:val="subscript"/>
              </w:rPr>
              <w:t>8</w:t>
            </w:r>
          </w:p>
        </w:tc>
        <w:tc>
          <w:tcPr>
            <w:tcW w:w="3112" w:type="dxa"/>
            <w:shd w:val="clear" w:color="auto" w:fill="auto"/>
            <w:vAlign w:val="center"/>
          </w:tcPr>
          <w:p>
            <w:pPr>
              <w:pStyle w:val="178"/>
              <w:rPr>
                <w:rFonts w:ascii="Times New Roman"/>
              </w:rPr>
            </w:pPr>
            <w:r>
              <w:rPr>
                <w:rFonts w:hint="eastAsia" w:ascii="Times New Roman"/>
              </w:rPr>
              <w:t>9290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全氟丁烷</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4</w:t>
            </w:r>
            <w:r>
              <w:rPr>
                <w:rFonts w:hint="eastAsia" w:ascii="Times New Roman"/>
              </w:rPr>
              <w:t>F</w:t>
            </w:r>
            <w:r>
              <w:rPr>
                <w:rFonts w:hint="eastAsia" w:ascii="Times New Roman"/>
                <w:vertAlign w:val="subscript"/>
              </w:rPr>
              <w:t>10</w:t>
            </w:r>
          </w:p>
        </w:tc>
        <w:tc>
          <w:tcPr>
            <w:tcW w:w="3112" w:type="dxa"/>
            <w:shd w:val="clear" w:color="auto" w:fill="auto"/>
            <w:vAlign w:val="center"/>
          </w:tcPr>
          <w:p>
            <w:pPr>
              <w:pStyle w:val="178"/>
              <w:rPr>
                <w:rFonts w:ascii="Times New Roman"/>
              </w:rPr>
            </w:pPr>
            <w:r>
              <w:rPr>
                <w:rFonts w:hint="eastAsia" w:ascii="Times New Roman"/>
              </w:rPr>
              <w:t>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全氟环丁烷</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4</w:t>
            </w:r>
            <w:r>
              <w:rPr>
                <w:rFonts w:hint="eastAsia" w:ascii="Times New Roman"/>
              </w:rPr>
              <w:t>F</w:t>
            </w:r>
            <w:r>
              <w:rPr>
                <w:rFonts w:hint="eastAsia" w:ascii="Times New Roman"/>
                <w:vertAlign w:val="subscript"/>
              </w:rPr>
              <w:t>8</w:t>
            </w:r>
          </w:p>
        </w:tc>
        <w:tc>
          <w:tcPr>
            <w:tcW w:w="3112" w:type="dxa"/>
            <w:shd w:val="clear" w:color="auto" w:fill="auto"/>
            <w:vAlign w:val="center"/>
          </w:tcPr>
          <w:p>
            <w:pPr>
              <w:pStyle w:val="178"/>
              <w:rPr>
                <w:rFonts w:ascii="Times New Roman"/>
              </w:rPr>
            </w:pPr>
            <w:r>
              <w:rPr>
                <w:rFonts w:hint="eastAsia" w:ascii="Times New Roman"/>
              </w:rPr>
              <w:t>10200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全氟戊烷</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5</w:t>
            </w:r>
            <w:r>
              <w:rPr>
                <w:rFonts w:hint="eastAsia" w:ascii="Times New Roman"/>
              </w:rPr>
              <w:t>F</w:t>
            </w:r>
            <w:r>
              <w:rPr>
                <w:rFonts w:hint="eastAsia" w:ascii="Times New Roman"/>
                <w:vertAlign w:val="subscript"/>
              </w:rPr>
              <w:t>12</w:t>
            </w:r>
          </w:p>
        </w:tc>
        <w:tc>
          <w:tcPr>
            <w:tcW w:w="3112" w:type="dxa"/>
            <w:shd w:val="clear" w:color="auto" w:fill="auto"/>
            <w:vAlign w:val="center"/>
          </w:tcPr>
          <w:p>
            <w:pPr>
              <w:pStyle w:val="178"/>
              <w:rPr>
                <w:rFonts w:ascii="Times New Roman"/>
              </w:rPr>
            </w:pPr>
            <w:r>
              <w:rPr>
                <w:rFonts w:hint="eastAsia" w:ascii="Times New Roman"/>
              </w:rPr>
              <w:t>9220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ascii="Times New Roman"/>
              </w:rPr>
            </w:pPr>
            <w:r>
              <w:rPr>
                <w:rFonts w:hint="eastAsia" w:ascii="Times New Roman"/>
              </w:rPr>
              <w:t>全氟已烷</w:t>
            </w:r>
          </w:p>
        </w:tc>
        <w:tc>
          <w:tcPr>
            <w:tcW w:w="3112" w:type="dxa"/>
            <w:shd w:val="clear" w:color="auto" w:fill="auto"/>
            <w:vAlign w:val="center"/>
          </w:tcPr>
          <w:p>
            <w:pPr>
              <w:pStyle w:val="178"/>
              <w:rPr>
                <w:rFonts w:ascii="Times New Roman"/>
              </w:rPr>
            </w:pPr>
            <w:r>
              <w:rPr>
                <w:rFonts w:hint="eastAsia" w:ascii="Times New Roman"/>
              </w:rPr>
              <w:t>C</w:t>
            </w:r>
            <w:r>
              <w:rPr>
                <w:rFonts w:hint="eastAsia" w:ascii="Times New Roman"/>
                <w:vertAlign w:val="subscript"/>
              </w:rPr>
              <w:t>6</w:t>
            </w:r>
            <w:r>
              <w:rPr>
                <w:rFonts w:hint="eastAsia" w:ascii="Times New Roman"/>
              </w:rPr>
              <w:t>F</w:t>
            </w:r>
            <w:r>
              <w:rPr>
                <w:rFonts w:hint="eastAsia" w:ascii="Times New Roman"/>
                <w:vertAlign w:val="subscript"/>
              </w:rPr>
              <w:t>14</w:t>
            </w:r>
          </w:p>
        </w:tc>
        <w:tc>
          <w:tcPr>
            <w:tcW w:w="3112" w:type="dxa"/>
            <w:shd w:val="clear" w:color="auto" w:fill="auto"/>
            <w:vAlign w:val="center"/>
          </w:tcPr>
          <w:p>
            <w:pPr>
              <w:pStyle w:val="178"/>
              <w:rPr>
                <w:rFonts w:ascii="Times New Roman"/>
              </w:rPr>
            </w:pPr>
            <w:r>
              <w:rPr>
                <w:rFonts w:hint="eastAsia" w:ascii="Times New Roman"/>
              </w:rPr>
              <w:t>8620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pPr>
              <w:pStyle w:val="179"/>
              <w:rPr>
                <w:rFonts w:ascii="Times New Roman"/>
              </w:rPr>
            </w:pPr>
            <w:r>
              <w:rPr>
                <w:rFonts w:hint="eastAsia" w:ascii="Times New Roman"/>
              </w:rPr>
              <w:t>部分温室气体的全球变暖潜势来源于气候变化专门委员会（IPCC）《气候变化报告2021：自然科学基础 第一工作组对政府间气候变化专门委员会第六次评估报告的贡献》。</w:t>
            </w:r>
          </w:p>
        </w:tc>
      </w:tr>
    </w:tbl>
    <w:p>
      <w:pPr>
        <w:pStyle w:val="56"/>
        <w:ind w:firstLine="420"/>
        <w:rPr>
          <w:rFonts w:ascii="Times New Roman"/>
        </w:rPr>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200" w:name="_Toc182389402"/>
      <w:bookmarkStart w:id="201" w:name="_Toc182385866"/>
      <w:bookmarkStart w:id="202" w:name="_Toc182386879"/>
      <w:bookmarkStart w:id="203" w:name="_Toc184200491"/>
      <w:bookmarkStart w:id="204" w:name="_Toc184199780"/>
      <w:bookmarkStart w:id="205" w:name="_Toc180498967"/>
      <w:bookmarkStart w:id="206" w:name="_Toc183023606"/>
      <w:r>
        <w:rPr>
          <w:rFonts w:hint="eastAsia"/>
        </w:rPr>
        <w:t>（资料性）</w:t>
      </w:r>
      <w:r>
        <w:br w:type="textWrapping"/>
      </w:r>
      <w:r>
        <w:rPr>
          <w:rFonts w:hint="eastAsia"/>
        </w:rPr>
        <w:t>锂离子电池产品碳足迹报告（模板）</w:t>
      </w:r>
      <w:bookmarkEnd w:id="200"/>
      <w:bookmarkEnd w:id="201"/>
      <w:bookmarkEnd w:id="202"/>
      <w:bookmarkEnd w:id="203"/>
      <w:bookmarkEnd w:id="204"/>
      <w:bookmarkEnd w:id="205"/>
      <w:bookmarkEnd w:id="206"/>
    </w:p>
    <w:p>
      <w:pPr>
        <w:pStyle w:val="56"/>
        <w:ind w:firstLine="420"/>
      </w:pPr>
      <w:r>
        <w:rPr>
          <w:rFonts w:hint="eastAsia"/>
        </w:rPr>
        <w:t>锂离子电池产品碳足迹报告模板如下。</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883"/>
        <w:jc w:val="center"/>
        <w:rPr>
          <w:b/>
          <w:sz w:val="44"/>
          <w:szCs w:val="36"/>
        </w:rPr>
      </w:pPr>
      <w:r>
        <w:rPr>
          <w:rFonts w:hint="eastAsia"/>
          <w:b/>
          <w:sz w:val="44"/>
          <w:szCs w:val="36"/>
        </w:rPr>
        <w:t>锂离子电池产品碳足迹报告（模板）</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2240" w:firstLineChars="800"/>
        <w:jc w:val="left"/>
        <w:rPr>
          <w:sz w:val="28"/>
          <w:szCs w:val="28"/>
        </w:rPr>
      </w:pPr>
      <w:r>
        <w:rPr>
          <w:rFonts w:hint="eastAsia"/>
          <w:sz w:val="28"/>
          <w:szCs w:val="28"/>
        </w:rPr>
        <w:t>产品名称：</w:t>
      </w:r>
      <w:r>
        <w:rPr>
          <w:sz w:val="28"/>
          <w:szCs w:val="28"/>
        </w:rPr>
        <w:t xml:space="preserve"> </w:t>
      </w:r>
      <w:r>
        <w:rPr>
          <w:sz w:val="28"/>
          <w:szCs w:val="28"/>
          <w:u w:val="single"/>
        </w:rPr>
        <w:t xml:space="preserve">                            </w:t>
      </w:r>
      <w:r>
        <w:rPr>
          <w:sz w:val="28"/>
          <w:szCs w:val="28"/>
        </w:rPr>
        <w:t xml:space="preserve"> </w:t>
      </w:r>
    </w:p>
    <w:p>
      <w:pPr>
        <w:pStyle w:val="56"/>
        <w:ind w:firstLine="2240" w:firstLineChars="800"/>
        <w:jc w:val="left"/>
        <w:rPr>
          <w:sz w:val="28"/>
          <w:szCs w:val="28"/>
        </w:rPr>
      </w:pPr>
      <w:r>
        <w:rPr>
          <w:rFonts w:hint="eastAsia"/>
          <w:sz w:val="28"/>
          <w:szCs w:val="28"/>
        </w:rPr>
        <w:t>产品规格型号：</w:t>
      </w:r>
      <w:r>
        <w:rPr>
          <w:sz w:val="28"/>
          <w:szCs w:val="28"/>
          <w:u w:val="single"/>
        </w:rPr>
        <w:t xml:space="preserve">                         </w:t>
      </w:r>
    </w:p>
    <w:p>
      <w:pPr>
        <w:pStyle w:val="56"/>
        <w:ind w:firstLine="2240" w:firstLineChars="800"/>
        <w:jc w:val="left"/>
        <w:rPr>
          <w:sz w:val="28"/>
          <w:szCs w:val="28"/>
        </w:rPr>
      </w:pPr>
      <w:r>
        <w:rPr>
          <w:rFonts w:hint="eastAsia"/>
          <w:sz w:val="28"/>
          <w:szCs w:val="28"/>
        </w:rPr>
        <w:t>生产者名称：</w:t>
      </w:r>
      <w:r>
        <w:rPr>
          <w:sz w:val="28"/>
          <w:szCs w:val="28"/>
          <w:u w:val="single"/>
        </w:rPr>
        <w:t xml:space="preserve">                           </w:t>
      </w:r>
    </w:p>
    <w:p>
      <w:pPr>
        <w:pStyle w:val="56"/>
        <w:ind w:firstLine="2240" w:firstLineChars="800"/>
        <w:jc w:val="left"/>
        <w:rPr>
          <w:sz w:val="28"/>
          <w:szCs w:val="28"/>
          <w:u w:val="single"/>
        </w:rPr>
      </w:pPr>
      <w:r>
        <w:rPr>
          <w:rFonts w:hint="eastAsia"/>
          <w:sz w:val="28"/>
          <w:szCs w:val="28"/>
        </w:rPr>
        <w:t>报告编号：</w:t>
      </w:r>
      <w:r>
        <w:rPr>
          <w:sz w:val="28"/>
          <w:szCs w:val="28"/>
          <w:u w:val="single"/>
        </w:rPr>
        <w:t xml:space="preserve">                             </w:t>
      </w:r>
    </w:p>
    <w:p>
      <w:pPr>
        <w:pStyle w:val="56"/>
        <w:ind w:firstLine="2240" w:firstLineChars="800"/>
        <w:jc w:val="left"/>
        <w:rPr>
          <w:sz w:val="28"/>
          <w:szCs w:val="28"/>
          <w:u w:val="single"/>
        </w:rPr>
      </w:pPr>
    </w:p>
    <w:p>
      <w:pPr>
        <w:pStyle w:val="56"/>
        <w:ind w:firstLine="2240" w:firstLineChars="800"/>
        <w:jc w:val="left"/>
        <w:rPr>
          <w:sz w:val="28"/>
          <w:szCs w:val="28"/>
          <w:u w:val="single"/>
        </w:rPr>
      </w:pPr>
    </w:p>
    <w:p>
      <w:pPr>
        <w:pStyle w:val="56"/>
        <w:ind w:firstLine="2240" w:firstLineChars="800"/>
        <w:jc w:val="left"/>
        <w:rPr>
          <w:sz w:val="28"/>
          <w:szCs w:val="28"/>
          <w:u w:val="single"/>
        </w:rPr>
      </w:pPr>
    </w:p>
    <w:p>
      <w:pPr>
        <w:pStyle w:val="56"/>
        <w:ind w:firstLine="2240" w:firstLineChars="800"/>
        <w:jc w:val="right"/>
        <w:rPr>
          <w:sz w:val="28"/>
          <w:szCs w:val="28"/>
          <w:u w:val="single"/>
        </w:rPr>
      </w:pPr>
      <w:r>
        <w:rPr>
          <w:rFonts w:hint="eastAsia"/>
          <w:sz w:val="28"/>
          <w:szCs w:val="28"/>
        </w:rPr>
        <w:t>出具</w:t>
      </w:r>
      <w:r>
        <w:rPr>
          <w:sz w:val="28"/>
          <w:szCs w:val="28"/>
        </w:rPr>
        <w:t>报告</w:t>
      </w:r>
      <w:r>
        <w:rPr>
          <w:rFonts w:hint="eastAsia"/>
          <w:sz w:val="28"/>
          <w:szCs w:val="28"/>
        </w:rPr>
        <w:t>机构</w:t>
      </w:r>
      <w:r>
        <w:rPr>
          <w:sz w:val="28"/>
          <w:szCs w:val="28"/>
        </w:rPr>
        <w:t>：</w:t>
      </w:r>
      <w:r>
        <w:rPr>
          <w:rFonts w:hint="eastAsia"/>
          <w:sz w:val="28"/>
          <w:szCs w:val="28"/>
        </w:rPr>
        <w:t>（若有）</w:t>
      </w:r>
      <w:r>
        <w:rPr>
          <w:rFonts w:hint="eastAsia"/>
          <w:sz w:val="28"/>
          <w:szCs w:val="28"/>
          <w:u w:val="single"/>
        </w:rPr>
        <w:t xml:space="preserve">            （盖章）</w:t>
      </w:r>
    </w:p>
    <w:p>
      <w:pPr>
        <w:pStyle w:val="56"/>
        <w:ind w:firstLine="2240" w:firstLineChars="800"/>
        <w:jc w:val="right"/>
        <w:rPr>
          <w:sz w:val="28"/>
          <w:szCs w:val="28"/>
          <w:u w:val="single"/>
        </w:rPr>
      </w:pPr>
      <w:r>
        <w:rPr>
          <w:rFonts w:hint="eastAsia"/>
          <w:sz w:val="28"/>
          <w:szCs w:val="28"/>
        </w:rPr>
        <w:t>日期</w:t>
      </w:r>
      <w:r>
        <w:rPr>
          <w:sz w:val="28"/>
          <w:szCs w:val="28"/>
        </w:rPr>
        <w:t>：</w:t>
      </w:r>
      <w:r>
        <w:rPr>
          <w:rFonts w:hint="eastAsia"/>
          <w:sz w:val="28"/>
          <w:szCs w:val="28"/>
          <w:u w:val="single"/>
        </w:rPr>
        <w:t xml:space="preserve">   年   </w:t>
      </w:r>
      <w:r>
        <w:rPr>
          <w:sz w:val="28"/>
          <w:szCs w:val="28"/>
          <w:u w:val="single"/>
        </w:rPr>
        <w:t>月</w:t>
      </w:r>
      <w:r>
        <w:rPr>
          <w:rFonts w:hint="eastAsia"/>
          <w:sz w:val="28"/>
          <w:szCs w:val="28"/>
          <w:u w:val="single"/>
        </w:rPr>
        <w:t xml:space="preserve">   </w:t>
      </w:r>
      <w:r>
        <w:rPr>
          <w:sz w:val="28"/>
          <w:szCs w:val="28"/>
          <w:u w:val="single"/>
        </w:rPr>
        <w:t>日</w:t>
      </w:r>
    </w:p>
    <w:p>
      <w:pPr>
        <w:pStyle w:val="56"/>
        <w:ind w:firstLine="2240" w:firstLineChars="800"/>
        <w:jc w:val="right"/>
        <w:rPr>
          <w:sz w:val="28"/>
          <w:szCs w:val="28"/>
          <w:u w:val="single"/>
        </w:rPr>
      </w:pPr>
    </w:p>
    <w:p>
      <w:pPr>
        <w:pStyle w:val="56"/>
        <w:ind w:firstLine="2240" w:firstLineChars="800"/>
        <w:jc w:val="right"/>
        <w:rPr>
          <w:sz w:val="28"/>
          <w:szCs w:val="28"/>
          <w:u w:val="single"/>
        </w:rPr>
      </w:pPr>
    </w:p>
    <w:p>
      <w:pPr>
        <w:pStyle w:val="65"/>
        <w:numPr>
          <w:ilvl w:val="0"/>
          <w:numId w:val="0"/>
        </w:numPr>
        <w:spacing w:before="156" w:after="156"/>
        <w:outlineLvl w:val="9"/>
        <w:rPr>
          <w:rFonts w:ascii="Times New Roman"/>
        </w:rPr>
      </w:pPr>
      <w:r>
        <w:rPr>
          <w:rFonts w:hint="eastAsia" w:ascii="Times New Roman"/>
        </w:rPr>
        <w:t>一、概况</w:t>
      </w:r>
    </w:p>
    <w:p>
      <w:pPr>
        <w:pStyle w:val="65"/>
        <w:numPr>
          <w:ilvl w:val="0"/>
          <w:numId w:val="0"/>
        </w:numPr>
        <w:spacing w:before="156" w:after="156"/>
        <w:outlineLvl w:val="9"/>
        <w:rPr>
          <w:rFonts w:ascii="Times New Roman"/>
        </w:rPr>
      </w:pPr>
      <w:r>
        <w:rPr>
          <w:rFonts w:hint="eastAsia" w:ascii="Times New Roman"/>
        </w:rPr>
        <w:t>1、生产者信息</w:t>
      </w:r>
    </w:p>
    <w:p>
      <w:pPr>
        <w:pStyle w:val="56"/>
        <w:ind w:firstLine="420"/>
        <w:rPr>
          <w:rFonts w:ascii="Times New Roman"/>
        </w:rPr>
      </w:pPr>
      <w:r>
        <w:rPr>
          <w:rFonts w:hint="eastAsia" w:ascii="Times New Roman"/>
        </w:rPr>
        <w:t>生产者名称：</w:t>
      </w:r>
      <w:r>
        <w:rPr>
          <w:rFonts w:hint="eastAsia" w:ascii="Times New Roman"/>
          <w:u w:val="single"/>
        </w:rPr>
        <w:t xml:space="preserve">               </w:t>
      </w:r>
    </w:p>
    <w:p>
      <w:pPr>
        <w:pStyle w:val="56"/>
        <w:ind w:firstLine="420"/>
        <w:rPr>
          <w:rFonts w:ascii="Times New Roman"/>
        </w:rPr>
      </w:pPr>
      <w:r>
        <w:rPr>
          <w:rFonts w:hint="eastAsia" w:ascii="Times New Roman"/>
        </w:rPr>
        <w:t>地址：</w:t>
      </w:r>
      <w:r>
        <w:rPr>
          <w:rFonts w:hint="eastAsia" w:ascii="Times New Roman"/>
          <w:u w:val="single"/>
        </w:rPr>
        <w:t xml:space="preserve">                     </w:t>
      </w:r>
    </w:p>
    <w:p>
      <w:pPr>
        <w:pStyle w:val="56"/>
        <w:ind w:firstLine="420"/>
        <w:rPr>
          <w:rFonts w:ascii="Times New Roman"/>
        </w:rPr>
      </w:pPr>
      <w:r>
        <w:rPr>
          <w:rFonts w:hint="eastAsia" w:ascii="Times New Roman"/>
        </w:rPr>
        <w:t>法定代表人：</w:t>
      </w:r>
      <w:r>
        <w:rPr>
          <w:rFonts w:hint="eastAsia" w:ascii="Times New Roman"/>
          <w:u w:val="single"/>
        </w:rPr>
        <w:t xml:space="preserve">               </w:t>
      </w:r>
    </w:p>
    <w:p>
      <w:pPr>
        <w:pStyle w:val="56"/>
        <w:ind w:firstLine="420"/>
        <w:rPr>
          <w:rFonts w:ascii="Times New Roman"/>
        </w:rPr>
      </w:pPr>
      <w:r>
        <w:rPr>
          <w:rFonts w:hint="eastAsia" w:ascii="Times New Roman"/>
        </w:rPr>
        <w:t>授权人（联系人）：</w:t>
      </w:r>
      <w:r>
        <w:rPr>
          <w:rFonts w:hint="eastAsia" w:ascii="Times New Roman"/>
          <w:u w:val="single"/>
        </w:rPr>
        <w:t xml:space="preserve">         </w:t>
      </w:r>
    </w:p>
    <w:p>
      <w:pPr>
        <w:pStyle w:val="56"/>
        <w:ind w:firstLine="420"/>
        <w:rPr>
          <w:rFonts w:ascii="Times New Roman"/>
          <w:u w:val="single"/>
        </w:rPr>
      </w:pPr>
      <w:r>
        <w:rPr>
          <w:rFonts w:hint="eastAsia" w:ascii="Times New Roman"/>
        </w:rPr>
        <w:t>联系电话：</w:t>
      </w:r>
      <w:r>
        <w:rPr>
          <w:rFonts w:hint="eastAsia" w:ascii="Times New Roman"/>
          <w:u w:val="single"/>
        </w:rPr>
        <w:t xml:space="preserve">                 </w:t>
      </w:r>
    </w:p>
    <w:p>
      <w:pPr>
        <w:pStyle w:val="56"/>
        <w:ind w:firstLine="420"/>
        <w:rPr>
          <w:rFonts w:ascii="Times New Roman"/>
        </w:rPr>
      </w:pPr>
      <w:r>
        <w:rPr>
          <w:rFonts w:hint="eastAsia" w:ascii="Times New Roman"/>
        </w:rPr>
        <w:t>企业概况：</w:t>
      </w:r>
      <w:r>
        <w:rPr>
          <w:rFonts w:hint="eastAsia" w:ascii="Times New Roman"/>
          <w:u w:val="single"/>
        </w:rPr>
        <w:t xml:space="preserve">                 </w:t>
      </w:r>
    </w:p>
    <w:p>
      <w:pPr>
        <w:pStyle w:val="65"/>
        <w:numPr>
          <w:ilvl w:val="0"/>
          <w:numId w:val="0"/>
        </w:numPr>
        <w:spacing w:before="156" w:after="156"/>
        <w:outlineLvl w:val="9"/>
        <w:rPr>
          <w:rFonts w:ascii="Times New Roman"/>
        </w:rPr>
      </w:pPr>
      <w:r>
        <w:rPr>
          <w:rFonts w:hint="eastAsia" w:ascii="Times New Roman"/>
        </w:rPr>
        <w:t>2、产品信息</w:t>
      </w:r>
    </w:p>
    <w:p>
      <w:pPr>
        <w:pStyle w:val="56"/>
        <w:ind w:firstLine="420"/>
        <w:rPr>
          <w:rFonts w:ascii="Times New Roman"/>
        </w:rPr>
      </w:pPr>
      <w:r>
        <w:rPr>
          <w:rFonts w:hint="eastAsia" w:ascii="Times New Roman"/>
        </w:rPr>
        <w:t>产品名称：</w:t>
      </w:r>
      <w:r>
        <w:rPr>
          <w:rFonts w:hint="eastAsia" w:ascii="Times New Roman"/>
          <w:u w:val="single"/>
        </w:rPr>
        <w:t xml:space="preserve">                     </w:t>
      </w:r>
    </w:p>
    <w:p>
      <w:pPr>
        <w:pStyle w:val="56"/>
        <w:ind w:firstLine="420"/>
        <w:rPr>
          <w:rFonts w:ascii="Times New Roman"/>
        </w:rPr>
      </w:pPr>
      <w:r>
        <w:rPr>
          <w:rFonts w:hint="eastAsia" w:ascii="Times New Roman"/>
        </w:rPr>
        <w:t>产品功能：</w:t>
      </w:r>
      <w:r>
        <w:rPr>
          <w:rFonts w:hint="eastAsia" w:ascii="Times New Roman"/>
          <w:u w:val="single"/>
        </w:rPr>
        <w:t xml:space="preserve">                     </w:t>
      </w:r>
    </w:p>
    <w:p>
      <w:pPr>
        <w:pStyle w:val="56"/>
        <w:ind w:firstLine="420"/>
        <w:rPr>
          <w:rFonts w:ascii="Times New Roman"/>
        </w:rPr>
      </w:pPr>
      <w:r>
        <w:rPr>
          <w:rFonts w:hint="eastAsia" w:ascii="Times New Roman"/>
        </w:rPr>
        <w:t>产品介绍：</w:t>
      </w:r>
      <w:r>
        <w:rPr>
          <w:rFonts w:hint="eastAsia" w:ascii="Times New Roman"/>
          <w:u w:val="single"/>
        </w:rPr>
        <w:t xml:space="preserve">                     </w:t>
      </w:r>
    </w:p>
    <w:p>
      <w:pPr>
        <w:pStyle w:val="56"/>
        <w:ind w:firstLine="420"/>
        <w:rPr>
          <w:rFonts w:ascii="Times New Roman"/>
        </w:rPr>
      </w:pPr>
      <w:r>
        <w:rPr>
          <w:rFonts w:hint="eastAsia" w:ascii="Times New Roman"/>
        </w:rPr>
        <w:t>产品图片：</w:t>
      </w:r>
      <w:r>
        <w:rPr>
          <w:rFonts w:hint="eastAsia" w:ascii="Times New Roman"/>
          <w:u w:val="single"/>
        </w:rPr>
        <w:t xml:space="preserve">                     </w:t>
      </w:r>
    </w:p>
    <w:p>
      <w:pPr>
        <w:pStyle w:val="65"/>
        <w:numPr>
          <w:ilvl w:val="0"/>
          <w:numId w:val="0"/>
        </w:numPr>
        <w:spacing w:before="156" w:after="156"/>
        <w:outlineLvl w:val="9"/>
        <w:rPr>
          <w:rFonts w:ascii="Times New Roman"/>
        </w:rPr>
      </w:pPr>
      <w:r>
        <w:rPr>
          <w:rFonts w:hint="eastAsia" w:ascii="Times New Roman"/>
        </w:rPr>
        <w:t>3、量化方法</w:t>
      </w:r>
    </w:p>
    <w:p>
      <w:pPr>
        <w:pStyle w:val="56"/>
        <w:ind w:firstLine="420"/>
        <w:rPr>
          <w:rFonts w:ascii="Times New Roman"/>
        </w:rPr>
      </w:pPr>
      <w:r>
        <w:rPr>
          <w:rFonts w:hint="eastAsia" w:ascii="Times New Roman"/>
        </w:rPr>
        <w:t>依据标准：</w:t>
      </w:r>
      <w:r>
        <w:rPr>
          <w:rFonts w:hint="eastAsia" w:ascii="Times New Roman"/>
          <w:u w:val="single"/>
        </w:rPr>
        <w:t xml:space="preserve">                     </w:t>
      </w:r>
    </w:p>
    <w:p>
      <w:pPr>
        <w:pStyle w:val="65"/>
        <w:numPr>
          <w:ilvl w:val="0"/>
          <w:numId w:val="0"/>
        </w:numPr>
        <w:spacing w:before="156" w:after="156"/>
        <w:outlineLvl w:val="9"/>
        <w:rPr>
          <w:rFonts w:ascii="Times New Roman"/>
        </w:rPr>
      </w:pPr>
      <w:r>
        <w:rPr>
          <w:rFonts w:hint="eastAsia" w:ascii="Times New Roman"/>
        </w:rPr>
        <w:t>二、量化目的</w:t>
      </w:r>
    </w:p>
    <w:p>
      <w:pPr>
        <w:pStyle w:val="56"/>
        <w:ind w:firstLine="420"/>
        <w:rPr>
          <w:rFonts w:ascii="Times New Roman"/>
        </w:rPr>
      </w:pPr>
      <w:r>
        <w:rPr>
          <w:rFonts w:hint="eastAsia" w:ascii="Times New Roman"/>
          <w:u w:val="single"/>
        </w:rPr>
        <w:t xml:space="preserve">                                          </w:t>
      </w:r>
    </w:p>
    <w:p>
      <w:pPr>
        <w:pStyle w:val="65"/>
        <w:numPr>
          <w:ilvl w:val="0"/>
          <w:numId w:val="0"/>
        </w:numPr>
        <w:spacing w:before="156" w:after="156"/>
        <w:outlineLvl w:val="9"/>
        <w:rPr>
          <w:rFonts w:ascii="Times New Roman"/>
        </w:rPr>
      </w:pPr>
      <w:r>
        <w:rPr>
          <w:rFonts w:hint="eastAsia" w:ascii="Times New Roman"/>
        </w:rPr>
        <w:t>三、量化范围</w:t>
      </w:r>
    </w:p>
    <w:p>
      <w:pPr>
        <w:pStyle w:val="65"/>
        <w:numPr>
          <w:ilvl w:val="0"/>
          <w:numId w:val="0"/>
        </w:numPr>
        <w:spacing w:before="156" w:after="156"/>
        <w:outlineLvl w:val="9"/>
        <w:rPr>
          <w:rFonts w:ascii="Times New Roman"/>
        </w:rPr>
      </w:pPr>
      <w:r>
        <w:rPr>
          <w:rFonts w:hint="eastAsia" w:ascii="Times New Roman"/>
        </w:rPr>
        <w:t>1、功能单位或声明单位</w:t>
      </w:r>
    </w:p>
    <w:p>
      <w:pPr>
        <w:pStyle w:val="56"/>
        <w:ind w:firstLine="420"/>
        <w:rPr>
          <w:rFonts w:ascii="Times New Roman"/>
        </w:rPr>
      </w:pPr>
      <w:r>
        <w:rPr>
          <w:rFonts w:hint="eastAsia" w:ascii="Times New Roman"/>
        </w:rPr>
        <w:t>以</w:t>
      </w:r>
      <w:r>
        <w:rPr>
          <w:rFonts w:hint="eastAsia" w:ascii="Times New Roman"/>
          <w:u w:val="single"/>
        </w:rPr>
        <w:t xml:space="preserve">        </w:t>
      </w:r>
      <w:r>
        <w:rPr>
          <w:rFonts w:hint="eastAsia" w:ascii="Times New Roman"/>
        </w:rPr>
        <w:t>为功能单位或声明单位。</w:t>
      </w:r>
    </w:p>
    <w:p>
      <w:pPr>
        <w:pStyle w:val="65"/>
        <w:numPr>
          <w:ilvl w:val="0"/>
          <w:numId w:val="0"/>
        </w:numPr>
        <w:spacing w:before="156" w:after="156"/>
        <w:outlineLvl w:val="9"/>
        <w:rPr>
          <w:rFonts w:ascii="Times New Roman"/>
        </w:rPr>
      </w:pPr>
      <w:r>
        <w:rPr>
          <w:rFonts w:ascii="Times New Roman"/>
        </w:rPr>
        <w:t>2</w:t>
      </w:r>
      <w:r>
        <w:rPr>
          <w:rFonts w:hint="eastAsia" w:ascii="Times New Roman"/>
        </w:rPr>
        <w:t>、</w:t>
      </w:r>
      <w:r>
        <w:rPr>
          <w:rFonts w:ascii="Times New Roman"/>
        </w:rPr>
        <w:t>系统边界</w:t>
      </w:r>
    </w:p>
    <w:p>
      <w:pPr>
        <w:pStyle w:val="56"/>
        <w:ind w:firstLine="420"/>
        <w:rPr>
          <w:rFonts w:hAnsi="宋体"/>
        </w:rPr>
      </w:pPr>
      <w:r>
        <w:rPr>
          <w:rFonts w:hint="eastAsia" w:hAnsi="宋体"/>
        </w:rPr>
        <w:t>□原材料</w:t>
      </w:r>
      <w:r>
        <w:rPr>
          <w:rFonts w:hAnsi="宋体"/>
        </w:rPr>
        <w:t>获取阶段</w:t>
      </w:r>
      <w:r>
        <w:rPr>
          <w:rFonts w:hint="eastAsia" w:hAnsi="宋体"/>
        </w:rPr>
        <w:t xml:space="preserve"> □制造阶段 □分销阶段 □使用阶段 □生命末期阶段</w:t>
      </w:r>
    </w:p>
    <w:p>
      <w:pPr>
        <w:pStyle w:val="56"/>
        <w:ind w:firstLine="420"/>
        <w:rPr>
          <w:rFonts w:hAnsi="宋体"/>
        </w:rPr>
      </w:pPr>
      <w:r>
        <w:rPr>
          <w:rFonts w:hint="eastAsia" w:hAnsi="宋体"/>
        </w:rPr>
        <w:t>系统</w:t>
      </w:r>
      <w:r>
        <w:rPr>
          <w:rFonts w:hAnsi="宋体"/>
        </w:rPr>
        <w:t>边界图：</w:t>
      </w:r>
    </w:p>
    <w:p>
      <w:pPr>
        <w:pStyle w:val="56"/>
        <w:ind w:firstLine="420"/>
        <w:rPr>
          <w:rFonts w:hAnsi="宋体"/>
        </w:rPr>
      </w:pPr>
    </w:p>
    <w:p>
      <w:pPr>
        <w:pStyle w:val="56"/>
        <w:ind w:firstLine="420"/>
        <w:rPr>
          <w:rFonts w:hAnsi="宋体"/>
        </w:rPr>
      </w:pPr>
    </w:p>
    <w:p>
      <w:pPr>
        <w:pStyle w:val="56"/>
        <w:ind w:firstLine="420"/>
        <w:rPr>
          <w:rFonts w:hAnsi="宋体"/>
        </w:rPr>
      </w:pPr>
    </w:p>
    <w:p>
      <w:pPr>
        <w:pStyle w:val="56"/>
        <w:ind w:firstLine="420"/>
        <w:rPr>
          <w:rFonts w:hAnsi="宋体"/>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jc w:val="center"/>
        <w:rPr>
          <w:rFonts w:ascii="黑体" w:hAnsi="黑体" w:eastAsia="黑体"/>
        </w:rPr>
      </w:pPr>
      <w:r>
        <w:rPr>
          <w:rFonts w:hint="eastAsia" w:ascii="黑体" w:hAnsi="黑体" w:eastAsia="黑体"/>
        </w:rPr>
        <w:t>图1　锂离子电池产品系统边界示意图</w:t>
      </w:r>
    </w:p>
    <w:p>
      <w:pPr>
        <w:pStyle w:val="65"/>
        <w:numPr>
          <w:ilvl w:val="0"/>
          <w:numId w:val="0"/>
        </w:numPr>
        <w:spacing w:before="156" w:after="156"/>
        <w:outlineLvl w:val="9"/>
        <w:rPr>
          <w:rFonts w:ascii="Times New Roman"/>
        </w:rPr>
      </w:pPr>
      <w:r>
        <w:rPr>
          <w:rFonts w:ascii="Times New Roman"/>
        </w:rPr>
        <w:t>3</w:t>
      </w:r>
      <w:r>
        <w:rPr>
          <w:rFonts w:hint="eastAsia" w:ascii="Times New Roman"/>
        </w:rPr>
        <w:t>、取舍准则</w:t>
      </w:r>
    </w:p>
    <w:p>
      <w:pPr>
        <w:pStyle w:val="56"/>
        <w:ind w:firstLine="420"/>
        <w:rPr>
          <w:rFonts w:ascii="Times New Roman"/>
        </w:rPr>
      </w:pPr>
      <w:r>
        <w:rPr>
          <w:rFonts w:hint="eastAsia" w:ascii="Times New Roman"/>
        </w:rPr>
        <w:t>采用的取舍准则以</w:t>
      </w:r>
      <w:r>
        <w:rPr>
          <w:rFonts w:hint="eastAsia" w:ascii="Times New Roman"/>
          <w:u w:val="single"/>
        </w:rPr>
        <w:t xml:space="preserve">                </w:t>
      </w:r>
      <w:r>
        <w:rPr>
          <w:rFonts w:hint="eastAsia" w:ascii="Times New Roman"/>
        </w:rPr>
        <w:t>为依据，具体规则如下：</w:t>
      </w: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65"/>
        <w:numPr>
          <w:ilvl w:val="0"/>
          <w:numId w:val="0"/>
        </w:numPr>
        <w:spacing w:before="156" w:after="156"/>
        <w:outlineLvl w:val="9"/>
        <w:rPr>
          <w:rFonts w:ascii="Times New Roman"/>
        </w:rPr>
      </w:pPr>
      <w:r>
        <w:rPr>
          <w:rFonts w:ascii="Times New Roman"/>
        </w:rPr>
        <w:t>4</w:t>
      </w:r>
      <w:r>
        <w:rPr>
          <w:rFonts w:hint="eastAsia" w:ascii="Times New Roman"/>
        </w:rPr>
        <w:t>、时间范围</w:t>
      </w:r>
    </w:p>
    <w:p>
      <w:pPr>
        <w:pStyle w:val="56"/>
        <w:ind w:firstLine="420"/>
        <w:rPr>
          <w:rFonts w:ascii="Times New Roman"/>
        </w:rPr>
      </w:pPr>
      <w:r>
        <w:rPr>
          <w:rFonts w:hint="eastAsia" w:ascii="Times New Roman"/>
          <w:u w:val="single"/>
        </w:rPr>
        <w:t xml:space="preserve">        </w:t>
      </w:r>
      <w:r>
        <w:rPr>
          <w:rFonts w:hint="eastAsia" w:ascii="Times New Roman"/>
        </w:rPr>
        <w:t>年度。</w:t>
      </w:r>
    </w:p>
    <w:p>
      <w:pPr>
        <w:pStyle w:val="65"/>
        <w:numPr>
          <w:ilvl w:val="0"/>
          <w:numId w:val="0"/>
        </w:numPr>
        <w:spacing w:before="156" w:after="156"/>
        <w:outlineLvl w:val="9"/>
        <w:rPr>
          <w:rFonts w:ascii="Times New Roman"/>
        </w:rPr>
      </w:pPr>
      <w:r>
        <w:rPr>
          <w:rFonts w:hint="eastAsia" w:ascii="Times New Roman"/>
        </w:rPr>
        <w:t>四、清单</w:t>
      </w:r>
      <w:r>
        <w:rPr>
          <w:rFonts w:ascii="Times New Roman"/>
        </w:rPr>
        <w:t>分析</w:t>
      </w:r>
    </w:p>
    <w:p>
      <w:pPr>
        <w:pStyle w:val="65"/>
        <w:numPr>
          <w:ilvl w:val="0"/>
          <w:numId w:val="0"/>
        </w:numPr>
        <w:spacing w:before="156" w:after="156"/>
        <w:outlineLvl w:val="9"/>
        <w:rPr>
          <w:rFonts w:ascii="Times New Roman"/>
        </w:rPr>
      </w:pPr>
      <w:r>
        <w:rPr>
          <w:rFonts w:ascii="Times New Roman"/>
        </w:rPr>
        <w:t>1</w:t>
      </w:r>
      <w:r>
        <w:rPr>
          <w:rFonts w:hint="eastAsia" w:ascii="Times New Roman"/>
        </w:rPr>
        <w:t>、数据</w:t>
      </w:r>
      <w:r>
        <w:rPr>
          <w:rFonts w:ascii="Times New Roman"/>
        </w:rPr>
        <w:t>来源说明</w:t>
      </w:r>
    </w:p>
    <w:p>
      <w:pPr>
        <w:pStyle w:val="56"/>
        <w:ind w:firstLine="420"/>
      </w:pPr>
      <w:r>
        <w:rPr>
          <w:rFonts w:hint="eastAsia"/>
        </w:rPr>
        <w:t>初级</w:t>
      </w:r>
      <w:r>
        <w:t>数据</w:t>
      </w:r>
      <w:r>
        <w:rPr>
          <w:rFonts w:hint="eastAsia" w:ascii="Times New Roman"/>
        </w:rPr>
        <w:t>：</w:t>
      </w:r>
      <w:r>
        <w:rPr>
          <w:rFonts w:hint="eastAsia" w:ascii="Times New Roman"/>
          <w:u w:val="single"/>
        </w:rPr>
        <w:t xml:space="preserve">                     </w:t>
      </w:r>
    </w:p>
    <w:p>
      <w:pPr>
        <w:pStyle w:val="56"/>
        <w:ind w:firstLine="420"/>
      </w:pPr>
      <w:r>
        <w:rPr>
          <w:rFonts w:hint="eastAsia"/>
        </w:rPr>
        <w:t>次级</w:t>
      </w:r>
      <w:r>
        <w:t>数据</w:t>
      </w:r>
      <w:r>
        <w:rPr>
          <w:rFonts w:hint="eastAsia" w:ascii="Times New Roman"/>
        </w:rPr>
        <w:t>：</w:t>
      </w:r>
      <w:r>
        <w:rPr>
          <w:rFonts w:hint="eastAsia" w:ascii="Times New Roman"/>
          <w:u w:val="single"/>
        </w:rPr>
        <w:t xml:space="preserve">                     </w:t>
      </w:r>
    </w:p>
    <w:p>
      <w:pPr>
        <w:pStyle w:val="65"/>
        <w:numPr>
          <w:ilvl w:val="0"/>
          <w:numId w:val="0"/>
        </w:numPr>
        <w:spacing w:before="156" w:after="156"/>
        <w:outlineLvl w:val="9"/>
        <w:rPr>
          <w:rFonts w:ascii="Times New Roman"/>
        </w:rPr>
      </w:pPr>
      <w:r>
        <w:rPr>
          <w:rFonts w:ascii="Times New Roman"/>
        </w:rPr>
        <w:t>2</w:t>
      </w:r>
      <w:r>
        <w:rPr>
          <w:rFonts w:hint="eastAsia" w:ascii="Times New Roman"/>
        </w:rPr>
        <w:t>、分配原则</w:t>
      </w:r>
      <w:r>
        <w:rPr>
          <w:rFonts w:ascii="Times New Roman"/>
        </w:rPr>
        <w:t>与程序</w:t>
      </w:r>
    </w:p>
    <w:p>
      <w:pPr>
        <w:pStyle w:val="56"/>
        <w:ind w:firstLine="420"/>
      </w:pPr>
      <w:r>
        <w:rPr>
          <w:rFonts w:hint="eastAsia"/>
        </w:rPr>
        <w:t>分配依据</w:t>
      </w:r>
      <w:r>
        <w:rPr>
          <w:rFonts w:hint="eastAsia" w:ascii="Times New Roman"/>
        </w:rPr>
        <w:t>：</w:t>
      </w:r>
      <w:r>
        <w:rPr>
          <w:rFonts w:hint="eastAsia" w:ascii="Times New Roman"/>
          <w:u w:val="single"/>
        </w:rPr>
        <w:t xml:space="preserve">                     </w:t>
      </w:r>
    </w:p>
    <w:p>
      <w:pPr>
        <w:pStyle w:val="56"/>
        <w:ind w:firstLine="420"/>
        <w:rPr>
          <w:rFonts w:ascii="Times New Roman"/>
          <w:u w:val="single"/>
        </w:rPr>
      </w:pPr>
      <w:r>
        <w:rPr>
          <w:rFonts w:hint="eastAsia"/>
        </w:rPr>
        <w:t>分配</w:t>
      </w:r>
      <w:r>
        <w:t>程序</w:t>
      </w:r>
      <w:r>
        <w:rPr>
          <w:rFonts w:hint="eastAsia" w:ascii="Times New Roman"/>
        </w:rPr>
        <w:t>：</w:t>
      </w:r>
      <w:r>
        <w:rPr>
          <w:rFonts w:hint="eastAsia" w:ascii="Times New Roman"/>
          <w:u w:val="single"/>
        </w:rPr>
        <w:t xml:space="preserve">                     </w:t>
      </w:r>
    </w:p>
    <w:p>
      <w:pPr>
        <w:pStyle w:val="56"/>
        <w:ind w:firstLine="420"/>
      </w:pPr>
      <w:r>
        <w:rPr>
          <w:rFonts w:hint="eastAsia"/>
        </w:rPr>
        <w:t>具体分配</w:t>
      </w:r>
      <w:r>
        <w:t>情况如下</w:t>
      </w:r>
      <w:r>
        <w:rPr>
          <w:rFonts w:hint="eastAsia" w:ascii="Times New Roman"/>
        </w:rPr>
        <w:t>：</w:t>
      </w:r>
      <w:r>
        <w:rPr>
          <w:rFonts w:hint="eastAsia" w:ascii="Times New Roman"/>
          <w:u w:val="single"/>
        </w:rPr>
        <w:t xml:space="preserve">                     </w:t>
      </w:r>
    </w:p>
    <w:p>
      <w:pPr>
        <w:pStyle w:val="65"/>
        <w:numPr>
          <w:ilvl w:val="0"/>
          <w:numId w:val="0"/>
        </w:numPr>
        <w:spacing w:before="156" w:after="156"/>
        <w:outlineLvl w:val="9"/>
        <w:rPr>
          <w:rFonts w:ascii="Times New Roman"/>
        </w:rPr>
      </w:pPr>
      <w:r>
        <w:rPr>
          <w:rFonts w:ascii="Times New Roman"/>
        </w:rPr>
        <w:t>3</w:t>
      </w:r>
      <w:r>
        <w:rPr>
          <w:rFonts w:hint="eastAsia" w:ascii="Times New Roman"/>
        </w:rPr>
        <w:t>、清单结果</w:t>
      </w:r>
      <w:r>
        <w:rPr>
          <w:rFonts w:ascii="Times New Roman"/>
        </w:rPr>
        <w:t>及计算</w:t>
      </w:r>
    </w:p>
    <w:p>
      <w:pPr>
        <w:pStyle w:val="56"/>
        <w:ind w:firstLine="420"/>
      </w:pPr>
      <w:r>
        <w:rPr>
          <w:rFonts w:hint="eastAsia"/>
        </w:rPr>
        <w:t>生命</w:t>
      </w:r>
      <w:r>
        <w:t>周期各个阶段碳排放计算说明见表</w:t>
      </w:r>
      <w:r>
        <w:rPr>
          <w:rFonts w:hint="eastAsia"/>
        </w:rPr>
        <w:t>1。</w:t>
      </w:r>
    </w:p>
    <w:p>
      <w:pPr>
        <w:pStyle w:val="56"/>
        <w:ind w:firstLine="420"/>
        <w:jc w:val="center"/>
        <w:rPr>
          <w:rFonts w:ascii="黑体" w:hAnsi="黑体" w:eastAsia="黑体"/>
        </w:rPr>
      </w:pPr>
      <w:r>
        <w:rPr>
          <w:rFonts w:hint="eastAsia" w:ascii="黑体" w:hAnsi="黑体" w:eastAsia="黑体"/>
        </w:rPr>
        <w:t>表1　锂离子电池产品生命周期</w:t>
      </w:r>
      <w:r>
        <w:rPr>
          <w:rFonts w:ascii="黑体" w:hAnsi="黑体" w:eastAsia="黑体"/>
        </w:rPr>
        <w:t>碳排放清单说明</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42"/>
        <w:gridCol w:w="1984"/>
        <w:gridCol w:w="2127"/>
        <w:gridCol w:w="2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42" w:type="dxa"/>
            <w:tcBorders>
              <w:top w:val="single" w:color="auto" w:sz="8" w:space="0"/>
              <w:bottom w:val="single" w:color="auto" w:sz="8" w:space="0"/>
            </w:tcBorders>
            <w:shd w:val="clear" w:color="auto" w:fill="auto"/>
            <w:vAlign w:val="center"/>
          </w:tcPr>
          <w:p>
            <w:pPr>
              <w:pStyle w:val="178"/>
            </w:pPr>
            <w:r>
              <w:rPr>
                <w:rFonts w:hint="eastAsia"/>
              </w:rPr>
              <w:t>生命周期</w:t>
            </w:r>
            <w:r>
              <w:t>阶段</w:t>
            </w:r>
          </w:p>
        </w:tc>
        <w:tc>
          <w:tcPr>
            <w:tcW w:w="1984" w:type="dxa"/>
            <w:tcBorders>
              <w:top w:val="single" w:color="auto" w:sz="8" w:space="0"/>
              <w:bottom w:val="single" w:color="auto" w:sz="8" w:space="0"/>
            </w:tcBorders>
            <w:shd w:val="clear" w:color="auto" w:fill="auto"/>
            <w:vAlign w:val="center"/>
          </w:tcPr>
          <w:p>
            <w:pPr>
              <w:pStyle w:val="178"/>
            </w:pPr>
            <w:r>
              <w:rPr>
                <w:rFonts w:hint="eastAsia"/>
              </w:rPr>
              <w:t>活动数据</w:t>
            </w:r>
          </w:p>
        </w:tc>
        <w:tc>
          <w:tcPr>
            <w:tcW w:w="2127" w:type="dxa"/>
            <w:tcBorders>
              <w:top w:val="single" w:color="auto" w:sz="8" w:space="0"/>
              <w:bottom w:val="single" w:color="auto" w:sz="8" w:space="0"/>
            </w:tcBorders>
            <w:shd w:val="clear" w:color="auto" w:fill="auto"/>
            <w:vAlign w:val="center"/>
          </w:tcPr>
          <w:p>
            <w:pPr>
              <w:pStyle w:val="178"/>
            </w:pPr>
            <w:r>
              <w:rPr>
                <w:rFonts w:hint="eastAsia"/>
              </w:rPr>
              <w:t>排放因子</w:t>
            </w:r>
          </w:p>
        </w:tc>
        <w:tc>
          <w:tcPr>
            <w:tcW w:w="2681" w:type="dxa"/>
            <w:tcBorders>
              <w:top w:val="single" w:color="auto" w:sz="8" w:space="0"/>
              <w:bottom w:val="single" w:color="auto" w:sz="8" w:space="0"/>
            </w:tcBorders>
            <w:shd w:val="clear" w:color="auto" w:fill="auto"/>
            <w:vAlign w:val="center"/>
          </w:tcPr>
          <w:p>
            <w:pPr>
              <w:pStyle w:val="178"/>
            </w:pPr>
            <w:r>
              <w:rPr>
                <w:rFonts w:hint="eastAsia"/>
              </w:rPr>
              <w:t>温室气体量</w:t>
            </w:r>
          </w:p>
          <w:p>
            <w:pPr>
              <w:pStyle w:val="178"/>
            </w:pPr>
            <w:r>
              <w:t>kg/</w:t>
            </w:r>
            <w:r>
              <w:rPr>
                <w:rFonts w:hint="eastAsia"/>
              </w:rPr>
              <w:t>功能</w:t>
            </w:r>
            <w:r>
              <w:t>单位或声明单位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restart"/>
            <w:tcBorders>
              <w:top w:val="single" w:color="auto" w:sz="8" w:space="0"/>
            </w:tcBorders>
            <w:shd w:val="clear" w:color="auto" w:fill="auto"/>
            <w:vAlign w:val="center"/>
          </w:tcPr>
          <w:p>
            <w:pPr>
              <w:pStyle w:val="178"/>
            </w:pPr>
            <w:r>
              <w:rPr>
                <w:rFonts w:hint="eastAsia"/>
              </w:rPr>
              <w:t>原材料获取</w:t>
            </w:r>
          </w:p>
        </w:tc>
        <w:tc>
          <w:tcPr>
            <w:tcW w:w="1984" w:type="dxa"/>
            <w:tcBorders>
              <w:top w:val="single" w:color="auto" w:sz="8" w:space="0"/>
            </w:tcBorders>
            <w:shd w:val="clear" w:color="auto" w:fill="auto"/>
            <w:vAlign w:val="center"/>
          </w:tcPr>
          <w:p>
            <w:pPr>
              <w:pStyle w:val="178"/>
            </w:pPr>
          </w:p>
        </w:tc>
        <w:tc>
          <w:tcPr>
            <w:tcW w:w="2127" w:type="dxa"/>
            <w:tcBorders>
              <w:top w:val="single" w:color="auto" w:sz="8" w:space="0"/>
            </w:tcBorders>
            <w:shd w:val="clear" w:color="auto" w:fill="auto"/>
            <w:vAlign w:val="center"/>
          </w:tcPr>
          <w:p>
            <w:pPr>
              <w:pStyle w:val="178"/>
            </w:pPr>
          </w:p>
        </w:tc>
        <w:tc>
          <w:tcPr>
            <w:tcW w:w="2681"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continue"/>
            <w:shd w:val="clear" w:color="auto" w:fill="auto"/>
            <w:vAlign w:val="center"/>
          </w:tcPr>
          <w:p>
            <w:pPr>
              <w:pStyle w:val="178"/>
            </w:pP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542" w:type="dxa"/>
            <w:vMerge w:val="continue"/>
            <w:shd w:val="clear" w:color="auto" w:fill="auto"/>
            <w:vAlign w:val="center"/>
          </w:tcPr>
          <w:p>
            <w:pPr>
              <w:pStyle w:val="178"/>
            </w:pP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restart"/>
            <w:shd w:val="clear" w:color="auto" w:fill="auto"/>
            <w:vAlign w:val="center"/>
          </w:tcPr>
          <w:p>
            <w:pPr>
              <w:pStyle w:val="178"/>
            </w:pPr>
            <w:r>
              <w:rPr>
                <w:rFonts w:hint="eastAsia"/>
              </w:rPr>
              <w:t>制造</w:t>
            </w: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continue"/>
            <w:shd w:val="clear" w:color="auto" w:fill="auto"/>
            <w:vAlign w:val="center"/>
          </w:tcPr>
          <w:p>
            <w:pPr>
              <w:pStyle w:val="178"/>
            </w:pP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continue"/>
            <w:shd w:val="clear" w:color="auto" w:fill="auto"/>
            <w:vAlign w:val="center"/>
          </w:tcPr>
          <w:p>
            <w:pPr>
              <w:pStyle w:val="178"/>
            </w:pP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continue"/>
            <w:shd w:val="clear" w:color="auto" w:fill="auto"/>
            <w:vAlign w:val="center"/>
          </w:tcPr>
          <w:p>
            <w:pPr>
              <w:pStyle w:val="178"/>
            </w:pP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vAlign w:val="center"/>
          </w:tcPr>
          <w:p>
            <w:pPr>
              <w:pStyle w:val="178"/>
            </w:pPr>
            <w:r>
              <w:rPr>
                <w:rFonts w:hint="eastAsia"/>
              </w:rPr>
              <w:t>运输</w:t>
            </w: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vAlign w:val="center"/>
          </w:tcPr>
          <w:p>
            <w:pPr>
              <w:pStyle w:val="178"/>
            </w:pPr>
            <w:r>
              <w:rPr>
                <w:rFonts w:hint="eastAsia"/>
              </w:rPr>
              <w:t>使用</w:t>
            </w: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restart"/>
            <w:shd w:val="clear" w:color="auto" w:fill="auto"/>
            <w:vAlign w:val="center"/>
          </w:tcPr>
          <w:p>
            <w:pPr>
              <w:pStyle w:val="178"/>
            </w:pPr>
            <w:r>
              <w:rPr>
                <w:rFonts w:hint="eastAsia"/>
              </w:rPr>
              <w:t>生命末期</w:t>
            </w: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vMerge w:val="continue"/>
            <w:shd w:val="clear" w:color="auto" w:fill="auto"/>
            <w:vAlign w:val="center"/>
          </w:tcPr>
          <w:p>
            <w:pPr>
              <w:pStyle w:val="178"/>
            </w:pPr>
          </w:p>
        </w:tc>
        <w:tc>
          <w:tcPr>
            <w:tcW w:w="1984" w:type="dxa"/>
            <w:shd w:val="clear" w:color="auto" w:fill="auto"/>
            <w:vAlign w:val="center"/>
          </w:tcPr>
          <w:p>
            <w:pPr>
              <w:pStyle w:val="178"/>
            </w:pPr>
          </w:p>
        </w:tc>
        <w:tc>
          <w:tcPr>
            <w:tcW w:w="2127" w:type="dxa"/>
            <w:shd w:val="clear" w:color="auto" w:fill="auto"/>
            <w:vAlign w:val="center"/>
          </w:tcPr>
          <w:p>
            <w:pPr>
              <w:pStyle w:val="178"/>
            </w:pPr>
          </w:p>
        </w:tc>
        <w:tc>
          <w:tcPr>
            <w:tcW w:w="2681" w:type="dxa"/>
            <w:shd w:val="clear" w:color="auto" w:fill="auto"/>
            <w:vAlign w:val="center"/>
          </w:tcPr>
          <w:p>
            <w:pPr>
              <w:pStyle w:val="178"/>
            </w:pPr>
          </w:p>
        </w:tc>
      </w:tr>
    </w:tbl>
    <w:p>
      <w:pPr>
        <w:pStyle w:val="65"/>
        <w:numPr>
          <w:ilvl w:val="0"/>
          <w:numId w:val="0"/>
        </w:numPr>
        <w:spacing w:before="156" w:after="156"/>
        <w:outlineLvl w:val="9"/>
        <w:rPr>
          <w:rFonts w:ascii="Times New Roman"/>
        </w:rPr>
      </w:pPr>
      <w:r>
        <w:rPr>
          <w:rFonts w:ascii="Times New Roman"/>
        </w:rPr>
        <w:t>4</w:t>
      </w:r>
      <w:r>
        <w:rPr>
          <w:rFonts w:hint="eastAsia" w:ascii="Times New Roman"/>
        </w:rPr>
        <w:t>、数据质量评价</w:t>
      </w:r>
      <w:r>
        <w:rPr>
          <w:rFonts w:ascii="Times New Roman"/>
        </w:rPr>
        <w:t>（</w:t>
      </w:r>
      <w:r>
        <w:rPr>
          <w:rFonts w:hint="eastAsia" w:ascii="Times New Roman"/>
        </w:rPr>
        <w:t>可选项</w:t>
      </w:r>
      <w:r>
        <w:rPr>
          <w:rFonts w:ascii="Times New Roman"/>
        </w:rPr>
        <w:t>）</w:t>
      </w:r>
    </w:p>
    <w:p>
      <w:pPr>
        <w:pStyle w:val="56"/>
        <w:ind w:firstLine="420"/>
      </w:pPr>
      <w:r>
        <w:rPr>
          <w:rFonts w:hint="eastAsia"/>
        </w:rPr>
        <w:t>数据质量可从定性和定量两个方面对报告使用的初级数据和次级数据进行评价，具体评价内容包括：数据来源、完整性、数据代表性（时间、地理、技术）和准确性。</w:t>
      </w:r>
    </w:p>
    <w:p>
      <w:pPr>
        <w:pStyle w:val="65"/>
        <w:numPr>
          <w:ilvl w:val="0"/>
          <w:numId w:val="0"/>
        </w:numPr>
        <w:spacing w:before="156" w:after="156"/>
        <w:outlineLvl w:val="9"/>
        <w:rPr>
          <w:rFonts w:ascii="Times New Roman"/>
        </w:rPr>
      </w:pPr>
      <w:r>
        <w:rPr>
          <w:rFonts w:hint="eastAsia" w:ascii="Times New Roman"/>
        </w:rPr>
        <w:t>五、影响</w:t>
      </w:r>
      <w:r>
        <w:rPr>
          <w:rFonts w:ascii="Times New Roman"/>
        </w:rPr>
        <w:t>评价</w:t>
      </w:r>
    </w:p>
    <w:p>
      <w:pPr>
        <w:pStyle w:val="65"/>
        <w:numPr>
          <w:ilvl w:val="0"/>
          <w:numId w:val="0"/>
        </w:numPr>
        <w:spacing w:before="156" w:after="156"/>
        <w:outlineLvl w:val="9"/>
        <w:rPr>
          <w:rFonts w:ascii="Times New Roman"/>
        </w:rPr>
      </w:pPr>
      <w:r>
        <w:rPr>
          <w:rFonts w:ascii="Times New Roman"/>
        </w:rPr>
        <w:t>1</w:t>
      </w:r>
      <w:r>
        <w:rPr>
          <w:rFonts w:hint="eastAsia" w:ascii="Times New Roman"/>
        </w:rPr>
        <w:t>、影响</w:t>
      </w:r>
      <w:r>
        <w:rPr>
          <w:rFonts w:ascii="Times New Roman"/>
        </w:rPr>
        <w:t>类型和特征化因子选择</w:t>
      </w:r>
    </w:p>
    <w:p>
      <w:pPr>
        <w:pStyle w:val="56"/>
        <w:ind w:firstLine="420"/>
        <w:jc w:val="left"/>
        <w:rPr>
          <w:rFonts w:ascii="黑体" w:hAnsi="黑体" w:eastAsia="黑体"/>
        </w:rPr>
      </w:pPr>
      <w:r>
        <w:rPr>
          <w:rFonts w:hint="eastAsia"/>
        </w:rPr>
        <w:t>一般</w:t>
      </w:r>
      <w:r>
        <w:t>选择IPCC给出的</w:t>
      </w:r>
      <w:r>
        <w:rPr>
          <w:rFonts w:hint="eastAsia"/>
        </w:rPr>
        <w:t>100年</w:t>
      </w:r>
      <w:r>
        <w:t>GWP。</w:t>
      </w:r>
    </w:p>
    <w:p>
      <w:pPr>
        <w:pStyle w:val="65"/>
        <w:numPr>
          <w:ilvl w:val="0"/>
          <w:numId w:val="0"/>
        </w:numPr>
        <w:spacing w:before="156" w:after="156"/>
        <w:outlineLvl w:val="9"/>
        <w:rPr>
          <w:rFonts w:ascii="Times New Roman"/>
        </w:rPr>
      </w:pPr>
      <w:r>
        <w:rPr>
          <w:rFonts w:ascii="Times New Roman"/>
        </w:rPr>
        <w:t>2</w:t>
      </w:r>
      <w:r>
        <w:rPr>
          <w:rFonts w:hint="eastAsia" w:ascii="Times New Roman"/>
        </w:rPr>
        <w:t>、产品碳足迹</w:t>
      </w:r>
      <w:r>
        <w:rPr>
          <w:rFonts w:ascii="Times New Roman"/>
        </w:rPr>
        <w:t>结果计算</w:t>
      </w:r>
    </w:p>
    <w:p>
      <w:pPr>
        <w:pStyle w:val="56"/>
        <w:ind w:firstLine="420"/>
      </w:pPr>
    </w:p>
    <w:p>
      <w:pPr>
        <w:pStyle w:val="65"/>
        <w:numPr>
          <w:ilvl w:val="0"/>
          <w:numId w:val="0"/>
        </w:numPr>
        <w:spacing w:before="156" w:after="156"/>
        <w:outlineLvl w:val="9"/>
        <w:rPr>
          <w:rFonts w:ascii="Times New Roman"/>
        </w:rPr>
      </w:pPr>
      <w:r>
        <w:rPr>
          <w:rFonts w:hint="eastAsia" w:ascii="Times New Roman"/>
        </w:rPr>
        <w:t>六、结果解释</w:t>
      </w:r>
    </w:p>
    <w:p>
      <w:pPr>
        <w:pStyle w:val="65"/>
        <w:numPr>
          <w:ilvl w:val="0"/>
          <w:numId w:val="0"/>
        </w:numPr>
        <w:spacing w:before="156" w:after="156"/>
        <w:outlineLvl w:val="9"/>
      </w:pPr>
      <w:r>
        <w:rPr>
          <w:rFonts w:ascii="Times New Roman"/>
        </w:rPr>
        <w:t>1</w:t>
      </w:r>
      <w:r>
        <w:rPr>
          <w:rFonts w:hint="eastAsia" w:ascii="Times New Roman"/>
        </w:rPr>
        <w:t>、结果说明</w:t>
      </w:r>
    </w:p>
    <w:p>
      <w:pPr>
        <w:pStyle w:val="56"/>
        <w:ind w:firstLine="420"/>
        <w:rPr>
          <w:rFonts w:ascii="Times New Roman"/>
        </w:rPr>
      </w:pPr>
      <w:r>
        <w:rPr>
          <w:rFonts w:hint="eastAsia" w:ascii="Times New Roman"/>
          <w:u w:val="single"/>
        </w:rPr>
        <w:t xml:space="preserve">              </w:t>
      </w:r>
      <w:r>
        <w:rPr>
          <w:rFonts w:hint="eastAsia" w:ascii="Times New Roman"/>
        </w:rPr>
        <w:t>公司（填写产品生产者的全名）生产的</w:t>
      </w:r>
      <w:r>
        <w:rPr>
          <w:rFonts w:hint="eastAsia" w:ascii="Times New Roman"/>
          <w:u w:val="single"/>
        </w:rPr>
        <w:t xml:space="preserve">              </w:t>
      </w:r>
      <w:r>
        <w:rPr>
          <w:rFonts w:hint="eastAsia" w:ascii="Times New Roman"/>
        </w:rPr>
        <w:t xml:space="preserve"> （填写所评价的产品名称，每功能单位的产品），从</w:t>
      </w:r>
      <w:r>
        <w:rPr>
          <w:rFonts w:hint="eastAsia" w:ascii="Times New Roman"/>
          <w:u w:val="single"/>
        </w:rPr>
        <w:t xml:space="preserve">              </w:t>
      </w:r>
      <w:r>
        <w:rPr>
          <w:rFonts w:hint="eastAsia" w:ascii="Times New Roman"/>
        </w:rPr>
        <w:t xml:space="preserve"> （填写某生命周期阶段）到</w:t>
      </w:r>
      <w:r>
        <w:rPr>
          <w:rFonts w:hint="eastAsia" w:ascii="Times New Roman"/>
          <w:u w:val="single"/>
        </w:rPr>
        <w:t xml:space="preserve">              </w:t>
      </w:r>
      <w:r>
        <w:rPr>
          <w:rFonts w:hint="eastAsia" w:ascii="Times New Roman"/>
        </w:rPr>
        <w:t xml:space="preserve"> （填写某生命周期阶段）生命周期碳足迹为</w:t>
      </w:r>
      <w:r>
        <w:rPr>
          <w:rFonts w:hint="eastAsia" w:ascii="Times New Roman"/>
          <w:u w:val="single"/>
        </w:rPr>
        <w:t xml:space="preserve">              </w:t>
      </w:r>
      <w:r>
        <w:rPr>
          <w:rFonts w:hint="eastAsia" w:ascii="Times New Roman"/>
        </w:rPr>
        <w:t>kgCO</w:t>
      </w:r>
      <w:r>
        <w:rPr>
          <w:rFonts w:hint="eastAsia" w:ascii="Times New Roman"/>
          <w:vertAlign w:val="subscript"/>
        </w:rPr>
        <w:t>2</w:t>
      </w:r>
      <w:r>
        <w:rPr>
          <w:rFonts w:hint="eastAsia" w:ascii="Times New Roman"/>
        </w:rPr>
        <w:t>e。各生命周期阶段的温室气体排放情况如表2和图2所示。</w:t>
      </w:r>
    </w:p>
    <w:p>
      <w:pPr>
        <w:pStyle w:val="56"/>
        <w:ind w:firstLine="420"/>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锂离子电池产品生命周期各阶段</w:t>
      </w:r>
      <w:r>
        <w:rPr>
          <w:rFonts w:ascii="黑体" w:hAnsi="黑体" w:eastAsia="黑体"/>
        </w:rPr>
        <w:t>碳排放</w:t>
      </w:r>
      <w:r>
        <w:rPr>
          <w:rFonts w:hint="eastAsia" w:ascii="黑体" w:hAnsi="黑体" w:eastAsia="黑体"/>
        </w:rPr>
        <w:t>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114" w:type="dxa"/>
            <w:tcBorders>
              <w:top w:val="single" w:color="auto" w:sz="8" w:space="0"/>
              <w:bottom w:val="single" w:color="auto" w:sz="8" w:space="0"/>
            </w:tcBorders>
            <w:shd w:val="clear" w:color="auto" w:fill="auto"/>
            <w:vAlign w:val="center"/>
          </w:tcPr>
          <w:p>
            <w:pPr>
              <w:pStyle w:val="178"/>
            </w:pPr>
            <w:r>
              <w:rPr>
                <w:rFonts w:hint="eastAsia"/>
              </w:rPr>
              <w:t>生命周期</w:t>
            </w:r>
            <w:r>
              <w:t>阶段</w:t>
            </w:r>
          </w:p>
        </w:tc>
        <w:tc>
          <w:tcPr>
            <w:tcW w:w="3115" w:type="dxa"/>
            <w:tcBorders>
              <w:top w:val="single" w:color="auto" w:sz="8" w:space="0"/>
              <w:bottom w:val="single" w:color="auto" w:sz="8" w:space="0"/>
            </w:tcBorders>
            <w:shd w:val="clear" w:color="auto" w:fill="auto"/>
            <w:vAlign w:val="center"/>
          </w:tcPr>
          <w:p>
            <w:pPr>
              <w:pStyle w:val="178"/>
            </w:pPr>
            <w:r>
              <w:rPr>
                <w:rFonts w:hint="eastAsia"/>
              </w:rPr>
              <w:t>碳足迹（</w:t>
            </w:r>
            <w:r>
              <w:rPr>
                <w:rFonts w:hint="eastAsia" w:ascii="Times New Roman"/>
              </w:rPr>
              <w:t>kgCO</w:t>
            </w:r>
            <w:r>
              <w:rPr>
                <w:rFonts w:hint="eastAsia" w:ascii="Times New Roman"/>
                <w:vertAlign w:val="subscript"/>
              </w:rPr>
              <w:t>2</w:t>
            </w:r>
            <w:r>
              <w:rPr>
                <w:rFonts w:hint="eastAsia" w:ascii="Times New Roman"/>
              </w:rPr>
              <w:t>e</w:t>
            </w:r>
            <w:r>
              <w:rPr>
                <w:rFonts w:ascii="Times New Roman"/>
              </w:rPr>
              <w:t>/</w:t>
            </w:r>
            <w:r>
              <w:rPr>
                <w:rFonts w:hint="eastAsia" w:ascii="Times New Roman"/>
              </w:rPr>
              <w:t>功能</w:t>
            </w:r>
            <w:r>
              <w:rPr>
                <w:rFonts w:ascii="Times New Roman"/>
              </w:rPr>
              <w:t>单位</w:t>
            </w:r>
            <w:r>
              <w:rPr>
                <w:rFonts w:hint="eastAsia"/>
              </w:rPr>
              <w:t>）</w:t>
            </w:r>
          </w:p>
        </w:tc>
        <w:tc>
          <w:tcPr>
            <w:tcW w:w="3115" w:type="dxa"/>
            <w:tcBorders>
              <w:top w:val="single" w:color="auto" w:sz="8" w:space="0"/>
              <w:bottom w:val="single" w:color="auto" w:sz="8" w:space="0"/>
            </w:tcBorders>
            <w:shd w:val="clear" w:color="auto" w:fill="auto"/>
            <w:vAlign w:val="center"/>
          </w:tcPr>
          <w:p>
            <w:pPr>
              <w:pStyle w:val="178"/>
            </w:pPr>
            <w:r>
              <w:rPr>
                <w:rFonts w:hint="eastAsia"/>
              </w:rPr>
              <w:t>百分比/%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pPr>
              <w:pStyle w:val="178"/>
            </w:pPr>
            <w:r>
              <w:rPr>
                <w:rFonts w:hint="eastAsia"/>
              </w:rPr>
              <w:t>原材料获取</w:t>
            </w:r>
          </w:p>
        </w:tc>
        <w:tc>
          <w:tcPr>
            <w:tcW w:w="3115" w:type="dxa"/>
            <w:tcBorders>
              <w:top w:val="single" w:color="auto" w:sz="8" w:space="0"/>
            </w:tcBorders>
            <w:shd w:val="clear" w:color="auto" w:fill="auto"/>
            <w:vAlign w:val="center"/>
          </w:tcPr>
          <w:p>
            <w:pPr>
              <w:pStyle w:val="178"/>
            </w:pPr>
          </w:p>
        </w:tc>
        <w:tc>
          <w:tcPr>
            <w:tcW w:w="3115"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pPr>
            <w:r>
              <w:rPr>
                <w:rFonts w:hint="eastAsia"/>
              </w:rPr>
              <w:t>制造</w:t>
            </w:r>
          </w:p>
        </w:tc>
        <w:tc>
          <w:tcPr>
            <w:tcW w:w="3115" w:type="dxa"/>
            <w:shd w:val="clear" w:color="auto" w:fill="auto"/>
            <w:vAlign w:val="center"/>
          </w:tcPr>
          <w:p>
            <w:pPr>
              <w:pStyle w:val="178"/>
            </w:pPr>
          </w:p>
        </w:tc>
        <w:tc>
          <w:tcPr>
            <w:tcW w:w="3115"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pPr>
            <w:r>
              <w:rPr>
                <w:rFonts w:hint="eastAsia"/>
              </w:rPr>
              <w:t>运输</w:t>
            </w:r>
          </w:p>
        </w:tc>
        <w:tc>
          <w:tcPr>
            <w:tcW w:w="3115" w:type="dxa"/>
            <w:shd w:val="clear" w:color="auto" w:fill="auto"/>
            <w:vAlign w:val="center"/>
          </w:tcPr>
          <w:p>
            <w:pPr>
              <w:pStyle w:val="178"/>
            </w:pPr>
          </w:p>
        </w:tc>
        <w:tc>
          <w:tcPr>
            <w:tcW w:w="3115"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shd w:val="clear" w:color="auto" w:fill="auto"/>
            <w:vAlign w:val="center"/>
          </w:tcPr>
          <w:p>
            <w:pPr>
              <w:pStyle w:val="178"/>
            </w:pPr>
            <w:r>
              <w:rPr>
                <w:rFonts w:hint="eastAsia"/>
              </w:rPr>
              <w:t>使用</w:t>
            </w:r>
          </w:p>
        </w:tc>
        <w:tc>
          <w:tcPr>
            <w:tcW w:w="3115" w:type="dxa"/>
            <w:shd w:val="clear" w:color="auto" w:fill="auto"/>
            <w:vAlign w:val="center"/>
          </w:tcPr>
          <w:p>
            <w:pPr>
              <w:pStyle w:val="178"/>
            </w:pPr>
          </w:p>
        </w:tc>
        <w:tc>
          <w:tcPr>
            <w:tcW w:w="3115"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shd w:val="clear" w:color="auto" w:fill="auto"/>
            <w:vAlign w:val="center"/>
          </w:tcPr>
          <w:p>
            <w:pPr>
              <w:pStyle w:val="178"/>
            </w:pPr>
            <w:r>
              <w:rPr>
                <w:rFonts w:hint="eastAsia"/>
              </w:rPr>
              <w:t>生命末期</w:t>
            </w:r>
          </w:p>
        </w:tc>
        <w:tc>
          <w:tcPr>
            <w:tcW w:w="3115" w:type="dxa"/>
            <w:shd w:val="clear" w:color="auto" w:fill="auto"/>
            <w:vAlign w:val="center"/>
          </w:tcPr>
          <w:p>
            <w:pPr>
              <w:pStyle w:val="178"/>
            </w:pPr>
          </w:p>
        </w:tc>
        <w:tc>
          <w:tcPr>
            <w:tcW w:w="3115"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4" w:type="dxa"/>
            <w:shd w:val="clear" w:color="auto" w:fill="auto"/>
            <w:vAlign w:val="center"/>
          </w:tcPr>
          <w:p>
            <w:pPr>
              <w:pStyle w:val="178"/>
            </w:pPr>
            <w:r>
              <w:rPr>
                <w:rFonts w:hint="eastAsia"/>
              </w:rPr>
              <w:t>总计</w:t>
            </w:r>
          </w:p>
        </w:tc>
        <w:tc>
          <w:tcPr>
            <w:tcW w:w="3115" w:type="dxa"/>
            <w:shd w:val="clear" w:color="auto" w:fill="auto"/>
            <w:vAlign w:val="center"/>
          </w:tcPr>
          <w:p>
            <w:pPr>
              <w:pStyle w:val="178"/>
            </w:pPr>
          </w:p>
        </w:tc>
        <w:tc>
          <w:tcPr>
            <w:tcW w:w="3115" w:type="dxa"/>
            <w:shd w:val="clear" w:color="auto" w:fill="auto"/>
            <w:vAlign w:val="center"/>
          </w:tcPr>
          <w:p>
            <w:pPr>
              <w:pStyle w:val="178"/>
            </w:pPr>
          </w:p>
        </w:tc>
      </w:tr>
    </w:tbl>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179"/>
      </w:pPr>
      <w:r>
        <w:rPr>
          <w:rFonts w:hint="eastAsia"/>
        </w:rPr>
        <w:t>具体产品生命周期阶段碳排放分布图一般以饼状图或是柱形图表示各生命周期阶段的碳排放情况。</w:t>
      </w:r>
    </w:p>
    <w:p>
      <w:pPr>
        <w:pStyle w:val="56"/>
        <w:ind w:firstLine="420"/>
        <w:jc w:val="center"/>
        <w:rPr>
          <w:rFonts w:ascii="黑体" w:hAnsi="黑体" w:eastAsia="黑体"/>
        </w:rPr>
      </w:pPr>
      <w:r>
        <w:rPr>
          <w:rFonts w:hint="eastAsia" w:ascii="黑体" w:hAnsi="黑体" w:eastAsia="黑体"/>
        </w:rPr>
        <w:t>图2　锂离子电池产品</w:t>
      </w:r>
      <w:r>
        <w:rPr>
          <w:rFonts w:ascii="黑体" w:hAnsi="黑体" w:eastAsia="黑体"/>
        </w:rPr>
        <w:t>各</w:t>
      </w:r>
      <w:r>
        <w:rPr>
          <w:rFonts w:hint="eastAsia" w:ascii="黑体" w:hAnsi="黑体" w:eastAsia="黑体"/>
        </w:rPr>
        <w:t>生命周期</w:t>
      </w:r>
      <w:r>
        <w:rPr>
          <w:rFonts w:ascii="黑体" w:hAnsi="黑体" w:eastAsia="黑体"/>
        </w:rPr>
        <w:t>阶段碳排放</w:t>
      </w:r>
      <w:r>
        <w:rPr>
          <w:rFonts w:hint="eastAsia" w:ascii="黑体" w:hAnsi="黑体" w:eastAsia="黑体"/>
        </w:rPr>
        <w:t>分布图</w:t>
      </w:r>
    </w:p>
    <w:p>
      <w:pPr>
        <w:pStyle w:val="65"/>
        <w:numPr>
          <w:ilvl w:val="0"/>
          <w:numId w:val="0"/>
        </w:numPr>
        <w:spacing w:before="156" w:after="156"/>
        <w:outlineLvl w:val="9"/>
        <w:rPr>
          <w:rFonts w:ascii="Times New Roman"/>
        </w:rPr>
      </w:pPr>
      <w:r>
        <w:rPr>
          <w:rFonts w:ascii="Times New Roman"/>
        </w:rPr>
        <w:t>2</w:t>
      </w:r>
      <w:r>
        <w:rPr>
          <w:rFonts w:hint="eastAsia" w:ascii="Times New Roman"/>
        </w:rPr>
        <w:t>、假设和局限性</w:t>
      </w:r>
      <w:r>
        <w:rPr>
          <w:rFonts w:ascii="Times New Roman"/>
        </w:rPr>
        <w:t>说明（</w:t>
      </w:r>
      <w:r>
        <w:rPr>
          <w:rFonts w:hint="eastAsia" w:ascii="Times New Roman"/>
        </w:rPr>
        <w:t>可选项</w:t>
      </w:r>
      <w:r>
        <w:rPr>
          <w:rFonts w:ascii="Times New Roman"/>
        </w:rPr>
        <w:t>）</w:t>
      </w:r>
    </w:p>
    <w:p>
      <w:pPr>
        <w:pStyle w:val="56"/>
        <w:ind w:firstLine="420"/>
      </w:pPr>
      <w:r>
        <w:rPr>
          <w:rFonts w:hint="eastAsia"/>
        </w:rPr>
        <w:t>结合</w:t>
      </w:r>
      <w:r>
        <w:t>量化情况</w:t>
      </w:r>
      <w:r>
        <w:rPr>
          <w:rFonts w:hint="eastAsia"/>
        </w:rPr>
        <w:t>，对范围</w:t>
      </w:r>
      <w:r>
        <w:t>、数据选择、情景设定</w:t>
      </w:r>
      <w:r>
        <w:rPr>
          <w:rFonts w:hint="eastAsia"/>
        </w:rPr>
        <w:t>等</w:t>
      </w:r>
      <w:r>
        <w:t>相关的假设和局限进行说明。</w:t>
      </w:r>
    </w:p>
    <w:p>
      <w:pPr>
        <w:pStyle w:val="65"/>
        <w:numPr>
          <w:ilvl w:val="0"/>
          <w:numId w:val="0"/>
        </w:numPr>
        <w:spacing w:before="156" w:after="156"/>
        <w:outlineLvl w:val="9"/>
        <w:rPr>
          <w:rFonts w:ascii="Times New Roman"/>
        </w:rPr>
      </w:pPr>
      <w:r>
        <w:rPr>
          <w:rFonts w:ascii="Times New Roman"/>
        </w:rPr>
        <w:t>3</w:t>
      </w:r>
      <w:r>
        <w:rPr>
          <w:rFonts w:hint="eastAsia" w:ascii="Times New Roman"/>
        </w:rPr>
        <w:t>、改进建议</w:t>
      </w:r>
      <w:bookmarkEnd w:id="17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fT8tvkyVmz9OE2aBPcMevAZzYfco/kpL3JJjP+Ej4QXCkQSOtXEXo6HjnRWuOBinAdoGBl91p9mjz8aR4Y8dlQ==" w:salt="fQzpxEPfVpcr1M/bkMcgW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ZjFkM2Q2N2JjMGUyM2EwNWJjODVmMTU0NjU5ZGEifQ=="/>
  </w:docVars>
  <w:rsids>
    <w:rsidRoot w:val="00873FBE"/>
    <w:rsid w:val="0000040A"/>
    <w:rsid w:val="00000A94"/>
    <w:rsid w:val="00001972"/>
    <w:rsid w:val="00001D9A"/>
    <w:rsid w:val="00007B3A"/>
    <w:rsid w:val="000105D9"/>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611"/>
    <w:rsid w:val="000474D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5F7"/>
    <w:rsid w:val="00067F1E"/>
    <w:rsid w:val="00071CC0"/>
    <w:rsid w:val="000730F9"/>
    <w:rsid w:val="00073C8C"/>
    <w:rsid w:val="00073DD1"/>
    <w:rsid w:val="00077B64"/>
    <w:rsid w:val="00080A1C"/>
    <w:rsid w:val="00082317"/>
    <w:rsid w:val="00083D2C"/>
    <w:rsid w:val="00084BEF"/>
    <w:rsid w:val="00086AA1"/>
    <w:rsid w:val="00087A77"/>
    <w:rsid w:val="00090CA6"/>
    <w:rsid w:val="00092B8A"/>
    <w:rsid w:val="00092FB0"/>
    <w:rsid w:val="000934C5"/>
    <w:rsid w:val="00093D25"/>
    <w:rsid w:val="00093DAB"/>
    <w:rsid w:val="00094D73"/>
    <w:rsid w:val="00096D63"/>
    <w:rsid w:val="00097A67"/>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17D"/>
    <w:rsid w:val="000F4AEA"/>
    <w:rsid w:val="000F633F"/>
    <w:rsid w:val="000F67E9"/>
    <w:rsid w:val="00104926"/>
    <w:rsid w:val="00113B1E"/>
    <w:rsid w:val="0011603F"/>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584"/>
    <w:rsid w:val="001A4CF3"/>
    <w:rsid w:val="001B06E8"/>
    <w:rsid w:val="001B0ED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ABF"/>
    <w:rsid w:val="001E3CC4"/>
    <w:rsid w:val="001E4882"/>
    <w:rsid w:val="001E73AB"/>
    <w:rsid w:val="001F092D"/>
    <w:rsid w:val="001F143A"/>
    <w:rsid w:val="001F1605"/>
    <w:rsid w:val="001F2508"/>
    <w:rsid w:val="001F4816"/>
    <w:rsid w:val="001F4EE9"/>
    <w:rsid w:val="001F5EFB"/>
    <w:rsid w:val="001F69B4"/>
    <w:rsid w:val="001F77C7"/>
    <w:rsid w:val="00200183"/>
    <w:rsid w:val="00200333"/>
    <w:rsid w:val="0020107D"/>
    <w:rsid w:val="00202AA4"/>
    <w:rsid w:val="002031F7"/>
    <w:rsid w:val="002040E6"/>
    <w:rsid w:val="0020527B"/>
    <w:rsid w:val="00205F2C"/>
    <w:rsid w:val="00210B15"/>
    <w:rsid w:val="002142EA"/>
    <w:rsid w:val="002159B7"/>
    <w:rsid w:val="00217920"/>
    <w:rsid w:val="002204BB"/>
    <w:rsid w:val="00221B79"/>
    <w:rsid w:val="00221C6B"/>
    <w:rsid w:val="00223272"/>
    <w:rsid w:val="002253A1"/>
    <w:rsid w:val="00225CF8"/>
    <w:rsid w:val="0022794E"/>
    <w:rsid w:val="00227AE6"/>
    <w:rsid w:val="00227F22"/>
    <w:rsid w:val="00233D64"/>
    <w:rsid w:val="0023482A"/>
    <w:rsid w:val="002359CB"/>
    <w:rsid w:val="002410D6"/>
    <w:rsid w:val="00243540"/>
    <w:rsid w:val="0024497B"/>
    <w:rsid w:val="0024515B"/>
    <w:rsid w:val="00246021"/>
    <w:rsid w:val="0024666E"/>
    <w:rsid w:val="00247F52"/>
    <w:rsid w:val="00250B25"/>
    <w:rsid w:val="00250BBE"/>
    <w:rsid w:val="002515C2"/>
    <w:rsid w:val="0025194F"/>
    <w:rsid w:val="0026148A"/>
    <w:rsid w:val="0026192A"/>
    <w:rsid w:val="00262696"/>
    <w:rsid w:val="00263D25"/>
    <w:rsid w:val="002643C3"/>
    <w:rsid w:val="00264A0C"/>
    <w:rsid w:val="00266EEB"/>
    <w:rsid w:val="00267EF4"/>
    <w:rsid w:val="00270CB8"/>
    <w:rsid w:val="002723D2"/>
    <w:rsid w:val="00272B08"/>
    <w:rsid w:val="002771AC"/>
    <w:rsid w:val="0028101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860"/>
    <w:rsid w:val="002E4D5A"/>
    <w:rsid w:val="002E6326"/>
    <w:rsid w:val="002F30E0"/>
    <w:rsid w:val="002F35E4"/>
    <w:rsid w:val="002F3730"/>
    <w:rsid w:val="002F38E1"/>
    <w:rsid w:val="002F7AF6"/>
    <w:rsid w:val="00300E63"/>
    <w:rsid w:val="003019FE"/>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C3D"/>
    <w:rsid w:val="00353FC2"/>
    <w:rsid w:val="003615D2"/>
    <w:rsid w:val="0036429C"/>
    <w:rsid w:val="00364A53"/>
    <w:rsid w:val="003654CB"/>
    <w:rsid w:val="00365AA9"/>
    <w:rsid w:val="00365F86"/>
    <w:rsid w:val="00365F87"/>
    <w:rsid w:val="00366E89"/>
    <w:rsid w:val="003705F4"/>
    <w:rsid w:val="00370D58"/>
    <w:rsid w:val="00371316"/>
    <w:rsid w:val="003748BD"/>
    <w:rsid w:val="00376296"/>
    <w:rsid w:val="00376713"/>
    <w:rsid w:val="00381815"/>
    <w:rsid w:val="003819AF"/>
    <w:rsid w:val="003820E9"/>
    <w:rsid w:val="00382DE7"/>
    <w:rsid w:val="00384FFC"/>
    <w:rsid w:val="003872FC"/>
    <w:rsid w:val="00387ADC"/>
    <w:rsid w:val="00390020"/>
    <w:rsid w:val="003903D6"/>
    <w:rsid w:val="00390EE6"/>
    <w:rsid w:val="0039118F"/>
    <w:rsid w:val="00391512"/>
    <w:rsid w:val="00392AD7"/>
    <w:rsid w:val="003938D9"/>
    <w:rsid w:val="00394376"/>
    <w:rsid w:val="003943FF"/>
    <w:rsid w:val="00395700"/>
    <w:rsid w:val="003974EB"/>
    <w:rsid w:val="00397CC5"/>
    <w:rsid w:val="003A1582"/>
    <w:rsid w:val="003A4077"/>
    <w:rsid w:val="003B09AD"/>
    <w:rsid w:val="003B0BAA"/>
    <w:rsid w:val="003B1F18"/>
    <w:rsid w:val="003B5BF0"/>
    <w:rsid w:val="003B60BF"/>
    <w:rsid w:val="003B6BE3"/>
    <w:rsid w:val="003B7CDB"/>
    <w:rsid w:val="003C010C"/>
    <w:rsid w:val="003C0A6C"/>
    <w:rsid w:val="003C14F8"/>
    <w:rsid w:val="003C5A43"/>
    <w:rsid w:val="003D0519"/>
    <w:rsid w:val="003D0FF6"/>
    <w:rsid w:val="003D1846"/>
    <w:rsid w:val="003D262C"/>
    <w:rsid w:val="003D6D61"/>
    <w:rsid w:val="003D79C6"/>
    <w:rsid w:val="003E091D"/>
    <w:rsid w:val="003E1C53"/>
    <w:rsid w:val="003E2A69"/>
    <w:rsid w:val="003E2D49"/>
    <w:rsid w:val="003E2FD4"/>
    <w:rsid w:val="003E49F6"/>
    <w:rsid w:val="003E4A75"/>
    <w:rsid w:val="003E660F"/>
    <w:rsid w:val="003F0841"/>
    <w:rsid w:val="003F23D3"/>
    <w:rsid w:val="003F3F08"/>
    <w:rsid w:val="003F49F1"/>
    <w:rsid w:val="003F6272"/>
    <w:rsid w:val="003F7DF3"/>
    <w:rsid w:val="00400E72"/>
    <w:rsid w:val="00401400"/>
    <w:rsid w:val="00404869"/>
    <w:rsid w:val="00405884"/>
    <w:rsid w:val="00407D39"/>
    <w:rsid w:val="0041477A"/>
    <w:rsid w:val="0041609B"/>
    <w:rsid w:val="004167A3"/>
    <w:rsid w:val="00432DAA"/>
    <w:rsid w:val="00434305"/>
    <w:rsid w:val="00434D34"/>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E61"/>
    <w:rsid w:val="004905E4"/>
    <w:rsid w:val="00490A89"/>
    <w:rsid w:val="00490AB4"/>
    <w:rsid w:val="00492196"/>
    <w:rsid w:val="00492F02"/>
    <w:rsid w:val="004939AE"/>
    <w:rsid w:val="004A12DF"/>
    <w:rsid w:val="004A17E6"/>
    <w:rsid w:val="004A1BA8"/>
    <w:rsid w:val="004A4B57"/>
    <w:rsid w:val="004A63FA"/>
    <w:rsid w:val="004B0272"/>
    <w:rsid w:val="004B2701"/>
    <w:rsid w:val="004B2C51"/>
    <w:rsid w:val="004B2E1B"/>
    <w:rsid w:val="004B3AA8"/>
    <w:rsid w:val="004B3E93"/>
    <w:rsid w:val="004C1FBC"/>
    <w:rsid w:val="004C3F1D"/>
    <w:rsid w:val="004C458D"/>
    <w:rsid w:val="004C7556"/>
    <w:rsid w:val="004C7E8B"/>
    <w:rsid w:val="004C7E9D"/>
    <w:rsid w:val="004C7F67"/>
    <w:rsid w:val="004D076D"/>
    <w:rsid w:val="004D0EF1"/>
    <w:rsid w:val="004D194F"/>
    <w:rsid w:val="004D1F5C"/>
    <w:rsid w:val="004D2253"/>
    <w:rsid w:val="004D4406"/>
    <w:rsid w:val="004D5B80"/>
    <w:rsid w:val="004D7C42"/>
    <w:rsid w:val="004E0465"/>
    <w:rsid w:val="004E127B"/>
    <w:rsid w:val="004E1C0A"/>
    <w:rsid w:val="004E2B06"/>
    <w:rsid w:val="004E30C5"/>
    <w:rsid w:val="004E4AA5"/>
    <w:rsid w:val="004E4AEE"/>
    <w:rsid w:val="004E59E3"/>
    <w:rsid w:val="004E67C0"/>
    <w:rsid w:val="004F35D7"/>
    <w:rsid w:val="004F391A"/>
    <w:rsid w:val="004F3CFB"/>
    <w:rsid w:val="004F6456"/>
    <w:rsid w:val="004F696E"/>
    <w:rsid w:val="004F6C71"/>
    <w:rsid w:val="004F6E1C"/>
    <w:rsid w:val="00501139"/>
    <w:rsid w:val="0050363E"/>
    <w:rsid w:val="005039BC"/>
    <w:rsid w:val="005043BB"/>
    <w:rsid w:val="00504A3D"/>
    <w:rsid w:val="00505767"/>
    <w:rsid w:val="005073F0"/>
    <w:rsid w:val="00510A7B"/>
    <w:rsid w:val="00512F6E"/>
    <w:rsid w:val="00513038"/>
    <w:rsid w:val="00514174"/>
    <w:rsid w:val="00515137"/>
    <w:rsid w:val="00516088"/>
    <w:rsid w:val="00516B0B"/>
    <w:rsid w:val="005220EC"/>
    <w:rsid w:val="00523F95"/>
    <w:rsid w:val="00524D65"/>
    <w:rsid w:val="00525B16"/>
    <w:rsid w:val="00533D04"/>
    <w:rsid w:val="00534804"/>
    <w:rsid w:val="00534BDF"/>
    <w:rsid w:val="005353FB"/>
    <w:rsid w:val="005354EA"/>
    <w:rsid w:val="0053585F"/>
    <w:rsid w:val="00535EC4"/>
    <w:rsid w:val="00535ED9"/>
    <w:rsid w:val="0053692B"/>
    <w:rsid w:val="00536C6F"/>
    <w:rsid w:val="00541853"/>
    <w:rsid w:val="00543BDA"/>
    <w:rsid w:val="005441CC"/>
    <w:rsid w:val="005450E9"/>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2B9"/>
    <w:rsid w:val="005A260B"/>
    <w:rsid w:val="005A4A1B"/>
    <w:rsid w:val="005A7830"/>
    <w:rsid w:val="005A7FCE"/>
    <w:rsid w:val="005B0F3F"/>
    <w:rsid w:val="005B4903"/>
    <w:rsid w:val="005B51CE"/>
    <w:rsid w:val="005B5885"/>
    <w:rsid w:val="005B5CD7"/>
    <w:rsid w:val="005B6CF6"/>
    <w:rsid w:val="005B7422"/>
    <w:rsid w:val="005C25F9"/>
    <w:rsid w:val="005C29B8"/>
    <w:rsid w:val="005C5F21"/>
    <w:rsid w:val="005C7156"/>
    <w:rsid w:val="005D0C75"/>
    <w:rsid w:val="005D4171"/>
    <w:rsid w:val="005D6A95"/>
    <w:rsid w:val="005D6B2C"/>
    <w:rsid w:val="005D6D9C"/>
    <w:rsid w:val="005E2335"/>
    <w:rsid w:val="005E34CA"/>
    <w:rsid w:val="005E3B61"/>
    <w:rsid w:val="005E3C18"/>
    <w:rsid w:val="005E6812"/>
    <w:rsid w:val="005E7881"/>
    <w:rsid w:val="005E78E0"/>
    <w:rsid w:val="005F0D9C"/>
    <w:rsid w:val="005F18B5"/>
    <w:rsid w:val="005F284E"/>
    <w:rsid w:val="005F4712"/>
    <w:rsid w:val="00600A74"/>
    <w:rsid w:val="006015CE"/>
    <w:rsid w:val="00604784"/>
    <w:rsid w:val="00606419"/>
    <w:rsid w:val="00607A68"/>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0D3"/>
    <w:rsid w:val="00641A1F"/>
    <w:rsid w:val="00645904"/>
    <w:rsid w:val="0064626E"/>
    <w:rsid w:val="00651ACB"/>
    <w:rsid w:val="00651C47"/>
    <w:rsid w:val="00652AB2"/>
    <w:rsid w:val="00653FED"/>
    <w:rsid w:val="00654EC0"/>
    <w:rsid w:val="0065525B"/>
    <w:rsid w:val="00655D4F"/>
    <w:rsid w:val="00656D29"/>
    <w:rsid w:val="006640E5"/>
    <w:rsid w:val="006646F1"/>
    <w:rsid w:val="00664929"/>
    <w:rsid w:val="00664F62"/>
    <w:rsid w:val="006655E1"/>
    <w:rsid w:val="00667BD7"/>
    <w:rsid w:val="00670A62"/>
    <w:rsid w:val="00672060"/>
    <w:rsid w:val="00672BFD"/>
    <w:rsid w:val="006770F4"/>
    <w:rsid w:val="00677A84"/>
    <w:rsid w:val="0068026D"/>
    <w:rsid w:val="00680A27"/>
    <w:rsid w:val="006816A4"/>
    <w:rsid w:val="006819B8"/>
    <w:rsid w:val="006840A6"/>
    <w:rsid w:val="006850CD"/>
    <w:rsid w:val="00685510"/>
    <w:rsid w:val="00685AAB"/>
    <w:rsid w:val="00695C41"/>
    <w:rsid w:val="00695D22"/>
    <w:rsid w:val="006A07AA"/>
    <w:rsid w:val="006A25E5"/>
    <w:rsid w:val="006A2B46"/>
    <w:rsid w:val="006A2DC5"/>
    <w:rsid w:val="006A336D"/>
    <w:rsid w:val="006A37B9"/>
    <w:rsid w:val="006B16B2"/>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DA7"/>
    <w:rsid w:val="006F03A8"/>
    <w:rsid w:val="006F2ACA"/>
    <w:rsid w:val="006F2ADC"/>
    <w:rsid w:val="006F2BFE"/>
    <w:rsid w:val="006F31E9"/>
    <w:rsid w:val="006F6284"/>
    <w:rsid w:val="007002C5"/>
    <w:rsid w:val="00704387"/>
    <w:rsid w:val="00705362"/>
    <w:rsid w:val="00707669"/>
    <w:rsid w:val="00710364"/>
    <w:rsid w:val="00711CBA"/>
    <w:rsid w:val="00711FB5"/>
    <w:rsid w:val="00712A01"/>
    <w:rsid w:val="00714F58"/>
    <w:rsid w:val="00716C5E"/>
    <w:rsid w:val="00722FBF"/>
    <w:rsid w:val="00722FC2"/>
    <w:rsid w:val="00724879"/>
    <w:rsid w:val="00724E1B"/>
    <w:rsid w:val="00725949"/>
    <w:rsid w:val="00727FA2"/>
    <w:rsid w:val="007322D9"/>
    <w:rsid w:val="00732BC0"/>
    <w:rsid w:val="0073720F"/>
    <w:rsid w:val="00737796"/>
    <w:rsid w:val="0074165C"/>
    <w:rsid w:val="0074203B"/>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6F96"/>
    <w:rsid w:val="007600E3"/>
    <w:rsid w:val="00762B6B"/>
    <w:rsid w:val="00765C43"/>
    <w:rsid w:val="00765EFB"/>
    <w:rsid w:val="00766E2B"/>
    <w:rsid w:val="007671CA"/>
    <w:rsid w:val="00767C61"/>
    <w:rsid w:val="0077008A"/>
    <w:rsid w:val="00773C1F"/>
    <w:rsid w:val="00774DA4"/>
    <w:rsid w:val="00776599"/>
    <w:rsid w:val="0078114B"/>
    <w:rsid w:val="007816C1"/>
    <w:rsid w:val="00781DD2"/>
    <w:rsid w:val="00783ECF"/>
    <w:rsid w:val="0078413A"/>
    <w:rsid w:val="00793515"/>
    <w:rsid w:val="007959E8"/>
    <w:rsid w:val="00795E9C"/>
    <w:rsid w:val="007A0521"/>
    <w:rsid w:val="007A2990"/>
    <w:rsid w:val="007A2E12"/>
    <w:rsid w:val="007A321A"/>
    <w:rsid w:val="007A3475"/>
    <w:rsid w:val="007A41C8"/>
    <w:rsid w:val="007A54CE"/>
    <w:rsid w:val="007A56BD"/>
    <w:rsid w:val="007A6FD9"/>
    <w:rsid w:val="007A7FFA"/>
    <w:rsid w:val="007B04EB"/>
    <w:rsid w:val="007B0D4F"/>
    <w:rsid w:val="007B5A3D"/>
    <w:rsid w:val="007B5B95"/>
    <w:rsid w:val="007B6487"/>
    <w:rsid w:val="007B68EA"/>
    <w:rsid w:val="007B7453"/>
    <w:rsid w:val="007C1E8B"/>
    <w:rsid w:val="007C2D89"/>
    <w:rsid w:val="007C4593"/>
    <w:rsid w:val="007C5309"/>
    <w:rsid w:val="007C6069"/>
    <w:rsid w:val="007D06C4"/>
    <w:rsid w:val="007D1352"/>
    <w:rsid w:val="007D2508"/>
    <w:rsid w:val="007D3449"/>
    <w:rsid w:val="007D346A"/>
    <w:rsid w:val="007D6518"/>
    <w:rsid w:val="007D76BD"/>
    <w:rsid w:val="007E0BF1"/>
    <w:rsid w:val="007E0E36"/>
    <w:rsid w:val="007E2851"/>
    <w:rsid w:val="007E7859"/>
    <w:rsid w:val="007F0ED8"/>
    <w:rsid w:val="007F0F63"/>
    <w:rsid w:val="007F5A6B"/>
    <w:rsid w:val="007F75CE"/>
    <w:rsid w:val="007F7A20"/>
    <w:rsid w:val="008013A4"/>
    <w:rsid w:val="008027CE"/>
    <w:rsid w:val="00802F42"/>
    <w:rsid w:val="00804383"/>
    <w:rsid w:val="00804BB7"/>
    <w:rsid w:val="00804D41"/>
    <w:rsid w:val="00810257"/>
    <w:rsid w:val="008104F5"/>
    <w:rsid w:val="00810F24"/>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CBB"/>
    <w:rsid w:val="0083348C"/>
    <w:rsid w:val="008373D3"/>
    <w:rsid w:val="00840617"/>
    <w:rsid w:val="00840F84"/>
    <w:rsid w:val="00842A47"/>
    <w:rsid w:val="00842F34"/>
    <w:rsid w:val="00843C13"/>
    <w:rsid w:val="008454F8"/>
    <w:rsid w:val="0085173A"/>
    <w:rsid w:val="00856316"/>
    <w:rsid w:val="0085757D"/>
    <w:rsid w:val="008603CE"/>
    <w:rsid w:val="008605D2"/>
    <w:rsid w:val="00861AEC"/>
    <w:rsid w:val="008620FC"/>
    <w:rsid w:val="008627A5"/>
    <w:rsid w:val="00863E05"/>
    <w:rsid w:val="00865ACA"/>
    <w:rsid w:val="00865D28"/>
    <w:rsid w:val="00865F85"/>
    <w:rsid w:val="00867C10"/>
    <w:rsid w:val="00870439"/>
    <w:rsid w:val="00870DA1"/>
    <w:rsid w:val="00873FB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DAD"/>
    <w:rsid w:val="008B0C9C"/>
    <w:rsid w:val="008B15E5"/>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E1D"/>
    <w:rsid w:val="008F0CDC"/>
    <w:rsid w:val="008F17A3"/>
    <w:rsid w:val="008F1ED3"/>
    <w:rsid w:val="008F23A5"/>
    <w:rsid w:val="008F4C29"/>
    <w:rsid w:val="008F64B1"/>
    <w:rsid w:val="008F70BD"/>
    <w:rsid w:val="008F788F"/>
    <w:rsid w:val="008F7AA4"/>
    <w:rsid w:val="008F7EA2"/>
    <w:rsid w:val="00902167"/>
    <w:rsid w:val="00902722"/>
    <w:rsid w:val="009027BC"/>
    <w:rsid w:val="009062E6"/>
    <w:rsid w:val="00911BE5"/>
    <w:rsid w:val="00913CA9"/>
    <w:rsid w:val="009145AE"/>
    <w:rsid w:val="009146CE"/>
    <w:rsid w:val="00914CA7"/>
    <w:rsid w:val="00915C3E"/>
    <w:rsid w:val="009161A8"/>
    <w:rsid w:val="00922119"/>
    <w:rsid w:val="009245F5"/>
    <w:rsid w:val="009249EC"/>
    <w:rsid w:val="009273B3"/>
    <w:rsid w:val="009305B5"/>
    <w:rsid w:val="009429D5"/>
    <w:rsid w:val="00942BF1"/>
    <w:rsid w:val="009445EC"/>
    <w:rsid w:val="00945180"/>
    <w:rsid w:val="00945428"/>
    <w:rsid w:val="0094607B"/>
    <w:rsid w:val="0094770A"/>
    <w:rsid w:val="00953604"/>
    <w:rsid w:val="0095496B"/>
    <w:rsid w:val="009610DC"/>
    <w:rsid w:val="00961490"/>
    <w:rsid w:val="00962937"/>
    <w:rsid w:val="0096381A"/>
    <w:rsid w:val="00965E04"/>
    <w:rsid w:val="00965F8B"/>
    <w:rsid w:val="00965FC7"/>
    <w:rsid w:val="009674AD"/>
    <w:rsid w:val="00970CDC"/>
    <w:rsid w:val="00973FD1"/>
    <w:rsid w:val="00977010"/>
    <w:rsid w:val="00977D02"/>
    <w:rsid w:val="009809BB"/>
    <w:rsid w:val="009830D1"/>
    <w:rsid w:val="0098364B"/>
    <w:rsid w:val="00986A57"/>
    <w:rsid w:val="009911AF"/>
    <w:rsid w:val="00991875"/>
    <w:rsid w:val="00991F92"/>
    <w:rsid w:val="00992782"/>
    <w:rsid w:val="00992985"/>
    <w:rsid w:val="00993889"/>
    <w:rsid w:val="0099551B"/>
    <w:rsid w:val="00995CAD"/>
    <w:rsid w:val="00997BF1"/>
    <w:rsid w:val="009A089C"/>
    <w:rsid w:val="009A118E"/>
    <w:rsid w:val="009A21CD"/>
    <w:rsid w:val="009A278C"/>
    <w:rsid w:val="009A2BC2"/>
    <w:rsid w:val="009A42C1"/>
    <w:rsid w:val="009A5374"/>
    <w:rsid w:val="009A5429"/>
    <w:rsid w:val="009A72AD"/>
    <w:rsid w:val="009B09E0"/>
    <w:rsid w:val="009B0BC5"/>
    <w:rsid w:val="009B1247"/>
    <w:rsid w:val="009B46F9"/>
    <w:rsid w:val="009B5FFB"/>
    <w:rsid w:val="009B6029"/>
    <w:rsid w:val="009B6971"/>
    <w:rsid w:val="009B729A"/>
    <w:rsid w:val="009C0B6B"/>
    <w:rsid w:val="009C27F1"/>
    <w:rsid w:val="009C3152"/>
    <w:rsid w:val="009C4CFA"/>
    <w:rsid w:val="009C5070"/>
    <w:rsid w:val="009C5A3D"/>
    <w:rsid w:val="009D0332"/>
    <w:rsid w:val="009D112C"/>
    <w:rsid w:val="009D47FA"/>
    <w:rsid w:val="009D4C5B"/>
    <w:rsid w:val="009D50D2"/>
    <w:rsid w:val="009D6BCA"/>
    <w:rsid w:val="009E0923"/>
    <w:rsid w:val="009E0F62"/>
    <w:rsid w:val="009E4A58"/>
    <w:rsid w:val="009E5596"/>
    <w:rsid w:val="009E5A2D"/>
    <w:rsid w:val="009E5AB2"/>
    <w:rsid w:val="009E6219"/>
    <w:rsid w:val="009E785C"/>
    <w:rsid w:val="009F03B3"/>
    <w:rsid w:val="009F5610"/>
    <w:rsid w:val="00A0096C"/>
    <w:rsid w:val="00A00F08"/>
    <w:rsid w:val="00A01757"/>
    <w:rsid w:val="00A028C0"/>
    <w:rsid w:val="00A02BAE"/>
    <w:rsid w:val="00A06A6B"/>
    <w:rsid w:val="00A07E47"/>
    <w:rsid w:val="00A10071"/>
    <w:rsid w:val="00A101D8"/>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948"/>
    <w:rsid w:val="00A44E69"/>
    <w:rsid w:val="00A4661E"/>
    <w:rsid w:val="00A55BD6"/>
    <w:rsid w:val="00A55D50"/>
    <w:rsid w:val="00A57142"/>
    <w:rsid w:val="00A61526"/>
    <w:rsid w:val="00A648CD"/>
    <w:rsid w:val="00A6537A"/>
    <w:rsid w:val="00A67866"/>
    <w:rsid w:val="00A70B07"/>
    <w:rsid w:val="00A70F87"/>
    <w:rsid w:val="00A723F8"/>
    <w:rsid w:val="00A77CCB"/>
    <w:rsid w:val="00A83D8D"/>
    <w:rsid w:val="00A8446B"/>
    <w:rsid w:val="00A8473F"/>
    <w:rsid w:val="00A862D6"/>
    <w:rsid w:val="00A8715E"/>
    <w:rsid w:val="00A9295B"/>
    <w:rsid w:val="00A93B09"/>
    <w:rsid w:val="00A94247"/>
    <w:rsid w:val="00A94424"/>
    <w:rsid w:val="00A952D7"/>
    <w:rsid w:val="00A963F7"/>
    <w:rsid w:val="00A96AD8"/>
    <w:rsid w:val="00AA052C"/>
    <w:rsid w:val="00AA1E45"/>
    <w:rsid w:val="00AA4286"/>
    <w:rsid w:val="00AA456B"/>
    <w:rsid w:val="00AA57F5"/>
    <w:rsid w:val="00AA672E"/>
    <w:rsid w:val="00AA6EC9"/>
    <w:rsid w:val="00AB2859"/>
    <w:rsid w:val="00AB41D5"/>
    <w:rsid w:val="00AB6309"/>
    <w:rsid w:val="00AB6C5F"/>
    <w:rsid w:val="00AB7129"/>
    <w:rsid w:val="00AC1236"/>
    <w:rsid w:val="00AC27A6"/>
    <w:rsid w:val="00AC30F7"/>
    <w:rsid w:val="00AC3A5A"/>
    <w:rsid w:val="00AC4D95"/>
    <w:rsid w:val="00AC5DF4"/>
    <w:rsid w:val="00AC7B61"/>
    <w:rsid w:val="00AD0AEF"/>
    <w:rsid w:val="00AD11B7"/>
    <w:rsid w:val="00AD1A94"/>
    <w:rsid w:val="00AD1C05"/>
    <w:rsid w:val="00AD4126"/>
    <w:rsid w:val="00AD421C"/>
    <w:rsid w:val="00AD44FA"/>
    <w:rsid w:val="00AD6428"/>
    <w:rsid w:val="00AE070A"/>
    <w:rsid w:val="00AE101C"/>
    <w:rsid w:val="00AE37E5"/>
    <w:rsid w:val="00AE5EB4"/>
    <w:rsid w:val="00AF0C18"/>
    <w:rsid w:val="00AF47C5"/>
    <w:rsid w:val="00AF5398"/>
    <w:rsid w:val="00B049AF"/>
    <w:rsid w:val="00B07242"/>
    <w:rsid w:val="00B10509"/>
    <w:rsid w:val="00B10534"/>
    <w:rsid w:val="00B113DB"/>
    <w:rsid w:val="00B11D8A"/>
    <w:rsid w:val="00B12981"/>
    <w:rsid w:val="00B147DD"/>
    <w:rsid w:val="00B156FD"/>
    <w:rsid w:val="00B21F61"/>
    <w:rsid w:val="00B22736"/>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F9A"/>
    <w:rsid w:val="00B50E50"/>
    <w:rsid w:val="00B52120"/>
    <w:rsid w:val="00B54ABC"/>
    <w:rsid w:val="00B54DDE"/>
    <w:rsid w:val="00B55854"/>
    <w:rsid w:val="00B56FBE"/>
    <w:rsid w:val="00B60ACF"/>
    <w:rsid w:val="00B62B58"/>
    <w:rsid w:val="00B65149"/>
    <w:rsid w:val="00B654E7"/>
    <w:rsid w:val="00B66567"/>
    <w:rsid w:val="00B66F52"/>
    <w:rsid w:val="00B66FE5"/>
    <w:rsid w:val="00B72880"/>
    <w:rsid w:val="00B758BF"/>
    <w:rsid w:val="00B77EC8"/>
    <w:rsid w:val="00B827A6"/>
    <w:rsid w:val="00B831CE"/>
    <w:rsid w:val="00B833AE"/>
    <w:rsid w:val="00B86677"/>
    <w:rsid w:val="00B87131"/>
    <w:rsid w:val="00B9327D"/>
    <w:rsid w:val="00B939B1"/>
    <w:rsid w:val="00B96D40"/>
    <w:rsid w:val="00B97386"/>
    <w:rsid w:val="00BA263B"/>
    <w:rsid w:val="00BA42B2"/>
    <w:rsid w:val="00BA58D4"/>
    <w:rsid w:val="00BA5B9E"/>
    <w:rsid w:val="00BA7C9A"/>
    <w:rsid w:val="00BB203B"/>
    <w:rsid w:val="00BB2BEE"/>
    <w:rsid w:val="00BB5F8F"/>
    <w:rsid w:val="00BB657A"/>
    <w:rsid w:val="00BC1A4E"/>
    <w:rsid w:val="00BC4790"/>
    <w:rsid w:val="00BC5DC7"/>
    <w:rsid w:val="00BC6B8B"/>
    <w:rsid w:val="00BC73D8"/>
    <w:rsid w:val="00BD52D7"/>
    <w:rsid w:val="00BD59FB"/>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515"/>
    <w:rsid w:val="00C21540"/>
    <w:rsid w:val="00C21906"/>
    <w:rsid w:val="00C21BFA"/>
    <w:rsid w:val="00C22148"/>
    <w:rsid w:val="00C24C8D"/>
    <w:rsid w:val="00C25FE2"/>
    <w:rsid w:val="00C263BA"/>
    <w:rsid w:val="00C26B53"/>
    <w:rsid w:val="00C279B2"/>
    <w:rsid w:val="00C33E50"/>
    <w:rsid w:val="00C34C20"/>
    <w:rsid w:val="00C35A3E"/>
    <w:rsid w:val="00C42130"/>
    <w:rsid w:val="00C423A4"/>
    <w:rsid w:val="00C44BF5"/>
    <w:rsid w:val="00C4545E"/>
    <w:rsid w:val="00C50A37"/>
    <w:rsid w:val="00C521D6"/>
    <w:rsid w:val="00C53594"/>
    <w:rsid w:val="00C55232"/>
    <w:rsid w:val="00C553A4"/>
    <w:rsid w:val="00C55A06"/>
    <w:rsid w:val="00C55D03"/>
    <w:rsid w:val="00C601BC"/>
    <w:rsid w:val="00C6329F"/>
    <w:rsid w:val="00C63340"/>
    <w:rsid w:val="00C643F9"/>
    <w:rsid w:val="00C64E95"/>
    <w:rsid w:val="00C71372"/>
    <w:rsid w:val="00C72410"/>
    <w:rsid w:val="00C7287F"/>
    <w:rsid w:val="00C740FE"/>
    <w:rsid w:val="00C80CB8"/>
    <w:rsid w:val="00C819F8"/>
    <w:rsid w:val="00C8248C"/>
    <w:rsid w:val="00C84E33"/>
    <w:rsid w:val="00C86D6F"/>
    <w:rsid w:val="00C878B8"/>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0FC"/>
    <w:rsid w:val="00CE0C4F"/>
    <w:rsid w:val="00CE30EA"/>
    <w:rsid w:val="00CF048A"/>
    <w:rsid w:val="00CF155A"/>
    <w:rsid w:val="00CF2947"/>
    <w:rsid w:val="00CF686F"/>
    <w:rsid w:val="00CF6E60"/>
    <w:rsid w:val="00CF7BCA"/>
    <w:rsid w:val="00D008FD"/>
    <w:rsid w:val="00D025A3"/>
    <w:rsid w:val="00D0321C"/>
    <w:rsid w:val="00D035EC"/>
    <w:rsid w:val="00D06AB1"/>
    <w:rsid w:val="00D072ED"/>
    <w:rsid w:val="00D07A16"/>
    <w:rsid w:val="00D1067E"/>
    <w:rsid w:val="00D10F50"/>
    <w:rsid w:val="00D11272"/>
    <w:rsid w:val="00D126F5"/>
    <w:rsid w:val="00D1489E"/>
    <w:rsid w:val="00D174E9"/>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47FA5"/>
    <w:rsid w:val="00D51BF3"/>
    <w:rsid w:val="00D52017"/>
    <w:rsid w:val="00D66846"/>
    <w:rsid w:val="00D675FB"/>
    <w:rsid w:val="00D71F25"/>
    <w:rsid w:val="00D72A9C"/>
    <w:rsid w:val="00D77031"/>
    <w:rsid w:val="00D84941"/>
    <w:rsid w:val="00D84FA1"/>
    <w:rsid w:val="00D8507C"/>
    <w:rsid w:val="00D851F0"/>
    <w:rsid w:val="00D86DB7"/>
    <w:rsid w:val="00D9049C"/>
    <w:rsid w:val="00D926D0"/>
    <w:rsid w:val="00D93030"/>
    <w:rsid w:val="00D950E1"/>
    <w:rsid w:val="00D9516E"/>
    <w:rsid w:val="00D952A6"/>
    <w:rsid w:val="00D97CE2"/>
    <w:rsid w:val="00D97F99"/>
    <w:rsid w:val="00DA1E08"/>
    <w:rsid w:val="00DA24F8"/>
    <w:rsid w:val="00DA28E8"/>
    <w:rsid w:val="00DA38D3"/>
    <w:rsid w:val="00DA3932"/>
    <w:rsid w:val="00DA3AFC"/>
    <w:rsid w:val="00DA5191"/>
    <w:rsid w:val="00DA64F8"/>
    <w:rsid w:val="00DA6C15"/>
    <w:rsid w:val="00DB0258"/>
    <w:rsid w:val="00DB0FB7"/>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788"/>
    <w:rsid w:val="00DD6876"/>
    <w:rsid w:val="00DD6BCC"/>
    <w:rsid w:val="00DE0A4B"/>
    <w:rsid w:val="00DE2410"/>
    <w:rsid w:val="00DE2939"/>
    <w:rsid w:val="00DE6E81"/>
    <w:rsid w:val="00DE703F"/>
    <w:rsid w:val="00DE7595"/>
    <w:rsid w:val="00DF1961"/>
    <w:rsid w:val="00DF44DE"/>
    <w:rsid w:val="00DF5F11"/>
    <w:rsid w:val="00E007CB"/>
    <w:rsid w:val="00E01138"/>
    <w:rsid w:val="00E02A87"/>
    <w:rsid w:val="00E02DFB"/>
    <w:rsid w:val="00E030F9"/>
    <w:rsid w:val="00E0311A"/>
    <w:rsid w:val="00E03138"/>
    <w:rsid w:val="00E06404"/>
    <w:rsid w:val="00E065D2"/>
    <w:rsid w:val="00E065EB"/>
    <w:rsid w:val="00E11A85"/>
    <w:rsid w:val="00E12495"/>
    <w:rsid w:val="00E15CCD"/>
    <w:rsid w:val="00E16CB0"/>
    <w:rsid w:val="00E2007F"/>
    <w:rsid w:val="00E202EF"/>
    <w:rsid w:val="00E210B5"/>
    <w:rsid w:val="00E23241"/>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6F8"/>
    <w:rsid w:val="00E74C54"/>
    <w:rsid w:val="00E77A03"/>
    <w:rsid w:val="00E822E8"/>
    <w:rsid w:val="00E82554"/>
    <w:rsid w:val="00E82606"/>
    <w:rsid w:val="00E846C8"/>
    <w:rsid w:val="00E84957"/>
    <w:rsid w:val="00E84A55"/>
    <w:rsid w:val="00E855E8"/>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8D2"/>
    <w:rsid w:val="00EC5359"/>
    <w:rsid w:val="00EC562A"/>
    <w:rsid w:val="00ED067A"/>
    <w:rsid w:val="00ED0CF8"/>
    <w:rsid w:val="00ED2B50"/>
    <w:rsid w:val="00EE0350"/>
    <w:rsid w:val="00EE0719"/>
    <w:rsid w:val="00EE0E80"/>
    <w:rsid w:val="00EE54A6"/>
    <w:rsid w:val="00EE613F"/>
    <w:rsid w:val="00EE7295"/>
    <w:rsid w:val="00EE7869"/>
    <w:rsid w:val="00EF054A"/>
    <w:rsid w:val="00EF3235"/>
    <w:rsid w:val="00EF7E72"/>
    <w:rsid w:val="00F00033"/>
    <w:rsid w:val="00F01A7D"/>
    <w:rsid w:val="00F0205B"/>
    <w:rsid w:val="00F06D37"/>
    <w:rsid w:val="00F07B9D"/>
    <w:rsid w:val="00F10453"/>
    <w:rsid w:val="00F11586"/>
    <w:rsid w:val="00F1183B"/>
    <w:rsid w:val="00F11C9F"/>
    <w:rsid w:val="00F12263"/>
    <w:rsid w:val="00F1409D"/>
    <w:rsid w:val="00F14214"/>
    <w:rsid w:val="00F157A9"/>
    <w:rsid w:val="00F25BB6"/>
    <w:rsid w:val="00F26B7E"/>
    <w:rsid w:val="00F27A3B"/>
    <w:rsid w:val="00F33817"/>
    <w:rsid w:val="00F420D5"/>
    <w:rsid w:val="00F4301D"/>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AE1"/>
    <w:rsid w:val="00F71E22"/>
    <w:rsid w:val="00F72142"/>
    <w:rsid w:val="00F72AE7"/>
    <w:rsid w:val="00F81141"/>
    <w:rsid w:val="00F833BA"/>
    <w:rsid w:val="00F84FD0"/>
    <w:rsid w:val="00F859A8"/>
    <w:rsid w:val="00F86D87"/>
    <w:rsid w:val="00F9108B"/>
    <w:rsid w:val="00F91349"/>
    <w:rsid w:val="00F93A50"/>
    <w:rsid w:val="00F93A8A"/>
    <w:rsid w:val="00F93DB9"/>
    <w:rsid w:val="00F95248"/>
    <w:rsid w:val="00F956A9"/>
    <w:rsid w:val="00F958D6"/>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AE1"/>
    <w:rsid w:val="00FC4090"/>
    <w:rsid w:val="00FC55B4"/>
    <w:rsid w:val="00FD00E6"/>
    <w:rsid w:val="00FD09A1"/>
    <w:rsid w:val="00FD2A7C"/>
    <w:rsid w:val="00FD59EB"/>
    <w:rsid w:val="00FD7299"/>
    <w:rsid w:val="00FD766E"/>
    <w:rsid w:val="00FE1FBE"/>
    <w:rsid w:val="00FE3901"/>
    <w:rsid w:val="00FE39D3"/>
    <w:rsid w:val="00FE4BCE"/>
    <w:rsid w:val="00FE54AE"/>
    <w:rsid w:val="00FE576A"/>
    <w:rsid w:val="00FE7E79"/>
    <w:rsid w:val="00FF3E7D"/>
    <w:rsid w:val="00FF5B99"/>
    <w:rsid w:val="00FF730C"/>
    <w:rsid w:val="00FF73F4"/>
    <w:rsid w:val="00FF7CE4"/>
    <w:rsid w:val="00FF7E39"/>
    <w:rsid w:val="05DE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autoRedefin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uiPriority w:val="0"/>
    <w:pPr>
      <w:adjustRightInd/>
      <w:snapToGrid/>
      <w:ind w:firstLine="0" w:firstLineChars="0"/>
    </w:pPr>
    <w:rPr>
      <w:rFonts w:ascii="宋体" w:hAnsi="宋体"/>
      <w:kern w:val="2"/>
    </w:rPr>
  </w:style>
  <w:style w:type="paragraph" w:customStyle="1" w:styleId="58">
    <w:name w:val="标准文件_标准部门"/>
    <w:basedOn w:val="1"/>
    <w:autoRedefine/>
    <w:uiPriority w:val="0"/>
    <w:pPr>
      <w:jc w:val="center"/>
    </w:pPr>
    <w:rPr>
      <w:rFonts w:ascii="黑体" w:eastAsia="黑体"/>
      <w:kern w:val="0"/>
      <w:sz w:val="44"/>
    </w:rPr>
  </w:style>
  <w:style w:type="paragraph" w:customStyle="1" w:styleId="59">
    <w:name w:val="标准文件_标准代替"/>
    <w:basedOn w:val="1"/>
    <w:next w:val="1"/>
    <w:autoRedefine/>
    <w:uiPriority w:val="0"/>
    <w:pPr>
      <w:spacing w:line="310" w:lineRule="exact"/>
      <w:jc w:val="right"/>
    </w:pPr>
    <w:rPr>
      <w:rFonts w:ascii="宋体" w:hAnsi="宋体"/>
      <w:kern w:val="0"/>
    </w:rPr>
  </w:style>
  <w:style w:type="paragraph" w:customStyle="1" w:styleId="60">
    <w:name w:val="标准文件_标准名称标题"/>
    <w:basedOn w:val="1"/>
    <w:next w:val="1"/>
    <w:autoRedefine/>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08060CD25B4C70928D981103119B9B"/>
        <w:style w:val=""/>
        <w:category>
          <w:name w:val="常规"/>
          <w:gallery w:val="placeholder"/>
        </w:category>
        <w:types>
          <w:type w:val="bbPlcHdr"/>
        </w:types>
        <w:behaviors>
          <w:behavior w:val="content"/>
        </w:behaviors>
        <w:description w:val=""/>
        <w:guid w:val="{07153507-E5C8-45BC-84EB-B9655C80271B}"/>
      </w:docPartPr>
      <w:docPartBody>
        <w:p>
          <w:pPr>
            <w:pStyle w:val="5"/>
          </w:pPr>
          <w:r>
            <w:rPr>
              <w:rStyle w:val="4"/>
              <w:rFonts w:hint="eastAsia"/>
            </w:rPr>
            <w:t>单击或点击此处输入文字。</w:t>
          </w:r>
        </w:p>
      </w:docPartBody>
    </w:docPart>
    <w:docPart>
      <w:docPartPr>
        <w:name w:val="DCF2809227324BA08BF6920D27E1D5D3"/>
        <w:style w:val=""/>
        <w:category>
          <w:name w:val="常规"/>
          <w:gallery w:val="placeholder"/>
        </w:category>
        <w:types>
          <w:type w:val="bbPlcHdr"/>
        </w:types>
        <w:behaviors>
          <w:behavior w:val="content"/>
        </w:behaviors>
        <w:description w:val=""/>
        <w:guid w:val="{3418201B-1883-4A38-8E06-8668064597E4}"/>
      </w:docPartPr>
      <w:docPartBody>
        <w:p>
          <w:pPr>
            <w:pStyle w:val="6"/>
          </w:pPr>
          <w:r>
            <w:rPr>
              <w:rStyle w:val="4"/>
              <w:rFonts w:hint="eastAsia"/>
            </w:rPr>
            <w:t>选择一项。</w:t>
          </w:r>
        </w:p>
      </w:docPartBody>
    </w:docPart>
    <w:docPart>
      <w:docPartPr>
        <w:name w:val="7A4A1381E1344A7881C77DE25E375163"/>
        <w:style w:val=""/>
        <w:category>
          <w:name w:val="常规"/>
          <w:gallery w:val="placeholder"/>
        </w:category>
        <w:types>
          <w:type w:val="bbPlcHdr"/>
        </w:types>
        <w:behaviors>
          <w:behavior w:val="content"/>
        </w:behaviors>
        <w:description w:val=""/>
        <w:guid w:val="{C894D510-7C62-4C73-8958-78555C032AB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77"/>
    <w:rsid w:val="000B0524"/>
    <w:rsid w:val="001472B8"/>
    <w:rsid w:val="0016240C"/>
    <w:rsid w:val="00253AE5"/>
    <w:rsid w:val="003B7376"/>
    <w:rsid w:val="004A2538"/>
    <w:rsid w:val="004A5F58"/>
    <w:rsid w:val="004B1362"/>
    <w:rsid w:val="00714B8D"/>
    <w:rsid w:val="00740477"/>
    <w:rsid w:val="007C3080"/>
    <w:rsid w:val="00881C07"/>
    <w:rsid w:val="0090097B"/>
    <w:rsid w:val="0090461D"/>
    <w:rsid w:val="00A56D14"/>
    <w:rsid w:val="00BA09DB"/>
    <w:rsid w:val="00BF6D47"/>
    <w:rsid w:val="00D13B2F"/>
    <w:rsid w:val="00E57AE1"/>
    <w:rsid w:val="00F0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08060CD25B4C70928D981103119B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CF2809227324BA08BF6920D27E1D5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A4A1381E1344A7881C77DE25E37516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A4431-CC93-439E-9FE8-D0C4320ED99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25</Pages>
  <Words>2816</Words>
  <Characters>16057</Characters>
  <Lines>133</Lines>
  <Paragraphs>37</Paragraphs>
  <TotalTime>1107</TotalTime>
  <ScaleCrop>false</ScaleCrop>
  <LinksUpToDate>false</LinksUpToDate>
  <CharactersWithSpaces>18836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2024-12-03T08:10:00Z</dcterms:created>
  <dc:creator>Administrator</dc:creator>
  <dc:description>&lt;config cover="true" show_menu="true" version="1.0.0" doctype="SDKXY"&gt;_x000d_
&lt;/config&gt;</dc:description>
  <cp:lastModifiedBy>汤冰</cp:lastModifiedBy>
  <cp:lastPrinted>2024-12-04T02:27:00Z</cp:lastPrinted>
  <dcterms:modified xsi:type="dcterms:W3CDTF">2024-12-04T02:49:43Z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036ADBC9CA3943FEB1E9A45B57E14375_12</vt:lpwstr>
  </property>
</Properties>
</file>