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rFonts w:ascii="Times New Roman" w:hAnsi="Times New Roman" w:cs="Times New Roman"/>
          <w:sz w:val="56"/>
          <w:szCs w:val="56"/>
        </w:rPr>
      </w:pPr>
    </w:p>
    <w:p>
      <w:pPr>
        <w:pStyle w:val="15"/>
        <w:jc w:val="center"/>
        <w:rPr>
          <w:rFonts w:ascii="Times New Roman" w:hAnsi="Times New Roman" w:cs="Times New Roman"/>
          <w:sz w:val="56"/>
          <w:szCs w:val="56"/>
        </w:rPr>
      </w:pPr>
    </w:p>
    <w:p>
      <w:pPr>
        <w:pStyle w:val="15"/>
        <w:jc w:val="center"/>
        <w:rPr>
          <w:rFonts w:ascii="Times New Roman" w:hAnsi="Times New Roman" w:cs="Times New Roman"/>
          <w:sz w:val="84"/>
          <w:szCs w:val="84"/>
        </w:rPr>
      </w:pPr>
    </w:p>
    <w:p>
      <w:pPr>
        <w:pStyle w:val="15"/>
        <w:jc w:val="center"/>
        <w:rPr>
          <w:rFonts w:ascii="Times New Roman" w:hAnsi="Times New Roman" w:cs="Times New Roman"/>
          <w:sz w:val="84"/>
          <w:szCs w:val="84"/>
        </w:rPr>
      </w:pP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pPr>
        <w:pStyle w:val="15"/>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湖南省市场监督管理局</w:t>
      </w:r>
    </w:p>
    <w:p>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5"/>
        <w:jc w:val="center"/>
        <w:rPr>
          <w:rFonts w:ascii="Times New Roman" w:hAnsi="Times New Roman" w:eastAsia="方正小标宋_GBK" w:cs="Times New Roman"/>
          <w:sz w:val="56"/>
          <w:szCs w:val="56"/>
        </w:rPr>
      </w:pPr>
    </w:p>
    <w:p>
      <w:pPr>
        <w:pStyle w:val="15"/>
        <w:jc w:val="center"/>
        <w:rPr>
          <w:rFonts w:ascii="Times New Roman" w:hAnsi="Times New Roman" w:cs="Times New Roman"/>
          <w:sz w:val="56"/>
          <w:szCs w:val="56"/>
        </w:rPr>
      </w:pPr>
    </w:p>
    <w:p>
      <w:pPr>
        <w:pStyle w:val="15"/>
        <w:rPr>
          <w:rFonts w:ascii="Times New Roman" w:hAnsi="Times New Roman" w:cs="Times New Roman"/>
          <w:sz w:val="56"/>
          <w:szCs w:val="56"/>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pStyle w:val="15"/>
        <w:jc w:val="center"/>
        <w:rPr>
          <w:rFonts w:ascii="Times New Roman" w:hAnsi="Times New Roman" w:cs="Times New Roman"/>
          <w:sz w:val="32"/>
          <w:szCs w:val="32"/>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5"/>
        <w:spacing w:line="600" w:lineRule="exact"/>
        <w:jc w:val="both"/>
        <w:rPr>
          <w:rFonts w:ascii="Times New Roman" w:hAnsi="Times New Roman" w:cs="Times New Roman"/>
          <w:b/>
          <w:sz w:val="36"/>
          <w:szCs w:val="28"/>
        </w:rPr>
      </w:pPr>
    </w:p>
    <w:p>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5"/>
        <w:spacing w:line="600" w:lineRule="exact"/>
        <w:jc w:val="center"/>
        <w:rPr>
          <w:rFonts w:ascii="Times New Roman" w:hAnsi="Times New Roman" w:cs="Times New Roman"/>
          <w:b/>
          <w:sz w:val="36"/>
          <w:szCs w:val="28"/>
        </w:rPr>
      </w:pPr>
    </w:p>
    <w:p>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湖南省市场监督管理局</w:t>
      </w:r>
      <w:r>
        <w:rPr>
          <w:rFonts w:hint="eastAsia" w:ascii="Times New Roman" w:hAnsi="Times New Roman" w:cs="Times New Roman"/>
          <w:bCs/>
          <w:sz w:val="32"/>
          <w:szCs w:val="32"/>
          <w:lang w:eastAsia="zh-CN"/>
        </w:rPr>
        <w:t>部门</w:t>
      </w:r>
      <w:r>
        <w:rPr>
          <w:rFonts w:ascii="Times New Roman" w:hAnsi="Times New Roman" w:cs="Times New Roman"/>
          <w:bCs/>
          <w:sz w:val="32"/>
          <w:szCs w:val="32"/>
        </w:rPr>
        <w:t>概况</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5"/>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湖南省市场监督管理局</w:t>
      </w:r>
      <w:r>
        <w:rPr>
          <w:rFonts w:ascii="Times New Roman" w:hAnsi="Times New Roman" w:eastAsia="方正小标宋_GBK" w:cs="Times New Roman"/>
          <w:sz w:val="52"/>
          <w:szCs w:val="52"/>
        </w:rPr>
        <w:t>部门概况</w:t>
      </w:r>
    </w:p>
    <w:p>
      <w:pPr>
        <w:pStyle w:val="5"/>
        <w:ind w:left="0" w:leftChars="0" w:firstLine="0" w:firstLineChars="0"/>
        <w:rPr>
          <w:rFonts w:ascii="Times New Roman" w:hAnsi="Times New Roman" w:cs="Times New Roman"/>
        </w:rPr>
      </w:pPr>
    </w:p>
    <w:p>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负责市场综合监管管理。（二）负责市场主体统一登记注册。（三）负责组织和指导市场监管综合执法工作。（四）负责反垄断统一执法。（五）负责监督管理市场秩序。（六）负责宏观质量管理。（七）负责产品质量安全监督管理。（八）负责特种设备安全监督管理。（九）负责食品安全监督管理综合协调。（十）负责食品安全监督管理。（十一）负责统一管理计量工作。（十二）负责统一管理标准化工作。（十三）负责统一管理检验检测工作。（十四）负责统一管理、监督和综合协调全省认证认可工作。（十五）负责市场监督管理、知识产权领域科技和信息化建设、新闻宣传、对外交流与合作。（十六）负责实施知识产权战略，推进知识产权强省建设。（十七）负责保护知识产权。（十八）负责知识产权创造运用。（十九）负责组织开展有关服务领域消费维权工作，查处制售假冒伪劣等违法行为，指导消费者咨询、申诉、举报受理、处理和网络体系建设等工作，保护经营者、消费者合法权益。（二十）管理省药品监督管理局。（二十一）完成省委、省政府交办的其他任务。</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left="0" w:firstLine="640" w:firstLineChars="200"/>
        <w:jc w:val="both"/>
        <w:textAlignment w:val="auto"/>
        <w:rPr>
          <w:rFonts w:hint="eastAsia" w:ascii="Times New Roman" w:hAnsi="Times New Roman" w:eastAsia="方正仿宋_GBK" w:cs="方正仿宋_GBK"/>
          <w:color w:val="auto"/>
          <w:spacing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方正仿宋_GBK" w:cs="方正仿宋_GBK"/>
          <w:color w:val="auto"/>
          <w:spacing w:val="0"/>
          <w:sz w:val="32"/>
          <w:szCs w:val="32"/>
          <w:shd w:val="clear" w:color="auto" w:fill="FFFFFF"/>
        </w:rPr>
        <w:t>湖南省市场监督管理局内设机构包括：</w:t>
      </w:r>
    </w:p>
    <w:p>
      <w:pPr>
        <w:widowControl/>
        <w:spacing w:line="600" w:lineRule="exact"/>
        <w:rPr>
          <w:rFonts w:ascii="Times New Roman" w:hAnsi="Times New Roman" w:eastAsia="仿宋_GB2312" w:cs="Times New Roman"/>
          <w:bCs/>
          <w:kern w:val="0"/>
          <w:sz w:val="32"/>
          <w:szCs w:val="32"/>
        </w:rPr>
      </w:pPr>
      <w:r>
        <w:rPr>
          <w:rFonts w:hint="eastAsia" w:ascii="Times New Roman" w:hAnsi="Times New Roman" w:eastAsia="方正仿宋_GBK" w:cs="方正仿宋_GBK"/>
          <w:color w:val="auto"/>
          <w:spacing w:val="0"/>
          <w:sz w:val="32"/>
          <w:szCs w:val="32"/>
          <w:shd w:val="clear" w:color="auto" w:fill="FFFFFF"/>
        </w:rPr>
        <w:t>内设处室（31个）：办公室、综合规划处、政策法规处、执法稽查局、登记注册局、信用监督管理处、反垄断局、价格监督检查和反不正当竞争局、网络交易监督管理处、广告监督管理处、质量发展局、产品质量安全监督管理处、食品安全协调处、食品生产安全监督管理处、食品经营安全监督管理处、特殊食品安全监督管理处、食品安全抽检监测处、特种设备安全监察局、计量处、标准化处、认证认可与检验检测监督管理处、知识产权促进处、知识产权保护处、知识产权运用处、消费者权益保护处、新闻宣传处、科技</w:t>
      </w:r>
      <w:r>
        <w:rPr>
          <w:rFonts w:hint="eastAsia" w:ascii="Times New Roman" w:hAnsi="Times New Roman" w:eastAsia="方正仿宋_GBK" w:cs="方正仿宋_GBK"/>
          <w:color w:val="auto"/>
          <w:spacing w:val="0"/>
          <w:sz w:val="32"/>
          <w:szCs w:val="32"/>
          <w:shd w:val="clear" w:color="auto" w:fill="FFFFFF"/>
          <w:lang w:eastAsia="zh-CN"/>
        </w:rPr>
        <w:t>处、</w:t>
      </w:r>
      <w:r>
        <w:rPr>
          <w:rFonts w:hint="eastAsia" w:ascii="Times New Roman" w:hAnsi="Times New Roman" w:eastAsia="方正仿宋_GBK" w:cs="方正仿宋_GBK"/>
          <w:color w:val="auto"/>
          <w:spacing w:val="0"/>
          <w:sz w:val="32"/>
          <w:szCs w:val="32"/>
          <w:shd w:val="clear" w:color="auto" w:fill="FFFFFF"/>
        </w:rPr>
        <w:t>财务处、人事处、机关党委、离退休人员管理服务处。</w:t>
      </w:r>
    </w:p>
    <w:p>
      <w:pPr>
        <w:widowControl/>
        <w:spacing w:line="600" w:lineRule="exact"/>
        <w:rPr>
          <w:rFonts w:ascii="Times New Roman" w:hAnsi="Times New Roman" w:eastAsia="仿宋_GB2312" w:cs="Times New Roman"/>
          <w:sz w:val="28"/>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方正仿宋_GBK" w:cs="方正仿宋_GBK"/>
          <w:color w:val="auto"/>
          <w:spacing w:val="0"/>
          <w:sz w:val="32"/>
          <w:szCs w:val="32"/>
          <w:shd w:val="clear" w:color="auto" w:fill="FFFFFF"/>
        </w:rPr>
        <w:t>湖南省市场监督管理局</w:t>
      </w: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年部门决算汇总公开单位构成包括：</w:t>
      </w:r>
      <w:r>
        <w:rPr>
          <w:rFonts w:hint="eastAsia" w:ascii="Times New Roman" w:hAnsi="Times New Roman" w:eastAsia="方正仿宋_GBK" w:cs="方正仿宋_GBK"/>
          <w:color w:val="auto"/>
          <w:spacing w:val="0"/>
          <w:sz w:val="32"/>
          <w:szCs w:val="32"/>
          <w:shd w:val="clear" w:color="auto" w:fill="FFFFFF"/>
        </w:rPr>
        <w:t>湖南省市场监督管理局本级以及</w:t>
      </w:r>
      <w:r>
        <w:rPr>
          <w:rFonts w:hint="eastAsia" w:ascii="Times New Roman" w:hAnsi="Times New Roman" w:eastAsia="方正仿宋_GBK" w:cs="方正仿宋_GBK"/>
          <w:color w:val="auto"/>
          <w:spacing w:val="0"/>
          <w:sz w:val="32"/>
          <w:szCs w:val="32"/>
          <w:u w:val="none"/>
          <w:lang w:val="en-US" w:eastAsia="zh-CN"/>
        </w:rPr>
        <w:t>湖南省特种设备检验检测研究院、湖南省计量检测研究院、湖南省产商品质量检验研究院、湖南省质量和标准化研究院、湖南省烟花爆竹产品安全质量检验中心、湖南省产商品质量抽检中心、湖南省纤维质量监测中心、湖南省法人大数据运维中心、湖南省产商品评审中心、湖南省网络商品交易监测中心、湖南省知识产权保护中心、湖南省测绘产品质量检验中心、湖南省知识产权公共服务中心（长沙专利代办处）、湖南省消费者权益保护服务中心、湖南省市场监督管理局缺陷产品召回服务中心、湖南省市场监管事务中心</w:t>
      </w:r>
      <w:r>
        <w:rPr>
          <w:rFonts w:hint="eastAsia" w:ascii="Times New Roman" w:hAnsi="Times New Roman" w:eastAsia="方正仿宋_GBK" w:cs="方正仿宋_GBK"/>
          <w:color w:val="auto"/>
          <w:spacing w:val="0"/>
          <w:sz w:val="32"/>
          <w:szCs w:val="32"/>
          <w:shd w:val="clear" w:color="auto" w:fill="FFFFFF"/>
        </w:rPr>
        <w:t>等1</w:t>
      </w:r>
      <w:r>
        <w:rPr>
          <w:rFonts w:hint="eastAsia" w:ascii="Times New Roman" w:hAnsi="Times New Roman" w:eastAsia="方正仿宋_GBK" w:cs="方正仿宋_GBK"/>
          <w:color w:val="auto"/>
          <w:spacing w:val="0"/>
          <w:sz w:val="32"/>
          <w:szCs w:val="32"/>
          <w:shd w:val="clear" w:color="auto" w:fill="FFFFFF"/>
          <w:lang w:val="en-US" w:eastAsia="zh-CN"/>
        </w:rPr>
        <w:t>6</w:t>
      </w:r>
      <w:r>
        <w:rPr>
          <w:rFonts w:hint="eastAsia" w:ascii="Times New Roman" w:hAnsi="Times New Roman" w:eastAsia="方正仿宋_GBK" w:cs="方正仿宋_GBK"/>
          <w:color w:val="auto"/>
          <w:spacing w:val="0"/>
          <w:sz w:val="32"/>
          <w:szCs w:val="32"/>
          <w:shd w:val="clear" w:color="auto" w:fill="FFFFFF"/>
        </w:rPr>
        <w:t>个独立核算的二级预算单位。</w:t>
      </w:r>
    </w:p>
    <w:p>
      <w:pPr>
        <w:jc w:val="center"/>
        <w:rPr>
          <w:rFonts w:ascii="Times New Roman" w:hAnsi="Times New Roman" w:eastAsia="黑体" w:cs="Times New Roman"/>
          <w:sz w:val="28"/>
          <w:szCs w:val="28"/>
        </w:rPr>
      </w:pPr>
    </w:p>
    <w:p>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5"/>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hint="eastAsia" w:ascii="Times New Roman" w:hAnsi="Times New Roman" w:eastAsia="仿宋_GB2312" w:cs="Times New Roman"/>
          <w:color w:val="000000"/>
          <w:sz w:val="24"/>
          <w:szCs w:val="24"/>
          <w:lang w:val="en-US" w:eastAsia="zh-CN"/>
        </w:rPr>
        <w:t xml:space="preserve"> </w:t>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1"/>
        <w:tblW w:w="4999" w:type="pct"/>
        <w:jc w:val="center"/>
        <w:tblLayout w:type="autofit"/>
        <w:tblCellMar>
          <w:top w:w="0" w:type="dxa"/>
          <w:left w:w="108" w:type="dxa"/>
          <w:bottom w:w="0" w:type="dxa"/>
          <w:right w:w="108" w:type="dxa"/>
        </w:tblCellMar>
      </w:tblPr>
      <w:tblGrid>
        <w:gridCol w:w="3735"/>
        <w:gridCol w:w="658"/>
        <w:gridCol w:w="3203"/>
        <w:gridCol w:w="3516"/>
        <w:gridCol w:w="658"/>
        <w:gridCol w:w="2450"/>
      </w:tblGrid>
      <w:tr>
        <w:tblPrEx>
          <w:tblCellMar>
            <w:top w:w="0" w:type="dxa"/>
            <w:left w:w="108" w:type="dxa"/>
            <w:bottom w:w="0" w:type="dxa"/>
            <w:right w:w="108" w:type="dxa"/>
          </w:tblCellMar>
        </w:tblPrEx>
        <w:trPr>
          <w:trHeight w:val="340" w:hRule="exact"/>
          <w:tblHeader/>
          <w:jc w:val="center"/>
        </w:trPr>
        <w:tc>
          <w:tcPr>
            <w:tcW w:w="263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收入</w:t>
            </w:r>
          </w:p>
        </w:tc>
        <w:tc>
          <w:tcPr>
            <w:tcW w:w="236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支出</w:t>
            </w:r>
          </w:p>
        </w:tc>
      </w:tr>
      <w:tr>
        <w:tblPrEx>
          <w:tblCellMar>
            <w:top w:w="0" w:type="dxa"/>
            <w:left w:w="108" w:type="dxa"/>
            <w:bottom w:w="0" w:type="dxa"/>
            <w:right w:w="108" w:type="dxa"/>
          </w:tblCellMar>
        </w:tblPrEx>
        <w:trPr>
          <w:trHeight w:val="340" w:hRule="exact"/>
          <w:tblHeader/>
          <w:jc w:val="center"/>
        </w:trPr>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2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决算数</w:t>
            </w: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2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b/>
                <w:bCs/>
                <w:color w:val="000000"/>
                <w:sz w:val="24"/>
                <w:szCs w:val="24"/>
              </w:rPr>
            </w:pPr>
            <w:r>
              <w:rPr>
                <w:rFonts w:hint="eastAsia" w:ascii="宋体" w:hAnsi="宋体" w:eastAsia="宋体" w:cs="宋体"/>
                <w:b/>
                <w:bCs/>
                <w:i w:val="0"/>
                <w:color w:val="000000"/>
                <w:kern w:val="0"/>
                <w:sz w:val="22"/>
                <w:szCs w:val="22"/>
                <w:u w:val="none"/>
                <w:lang w:val="en-US" w:eastAsia="zh-CN" w:bidi="ar"/>
              </w:rPr>
              <w:t>决算数</w:t>
            </w:r>
          </w:p>
        </w:tc>
      </w:tr>
      <w:tr>
        <w:tblPrEx>
          <w:tblCellMar>
            <w:top w:w="0" w:type="dxa"/>
            <w:left w:w="108" w:type="dxa"/>
            <w:bottom w:w="0" w:type="dxa"/>
            <w:right w:w="108" w:type="dxa"/>
          </w:tblCellMar>
        </w:tblPrEx>
        <w:trPr>
          <w:trHeight w:val="340" w:hRule="exact"/>
          <w:tblHeader/>
          <w:jc w:val="center"/>
        </w:trPr>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栏次</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pPr>
          </w:p>
        </w:tc>
        <w:tc>
          <w:tcPr>
            <w:tcW w:w="23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1</w:t>
            </w:r>
          </w:p>
        </w:tc>
        <w:tc>
          <w:tcPr>
            <w:tcW w:w="19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栏次</w:t>
            </w:r>
          </w:p>
        </w:tc>
        <w:tc>
          <w:tcPr>
            <w:tcW w:w="1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pPr>
          </w:p>
        </w:tc>
        <w:tc>
          <w:tcPr>
            <w:tcW w:w="204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2"/>
                <w:szCs w:val="22"/>
                <w:u w:val="none"/>
                <w:lang w:val="en-US" w:eastAsia="zh-CN" w:bidi="ar"/>
              </w:rPr>
              <w:t>2</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一、一般公共预算财政拨款收入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一、一般公共服务支出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97,786.64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二、政府性基金预算财政拨款收入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二、外交支出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三、国有资本经营预算财政拨款收入</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三、国防支出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四、上级补助收入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四、公共安全支出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五、事业收入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315.51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五、教育支出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533.12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六、经营收入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36,617.79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六、科学技术支出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7.41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七、附属单位上缴收入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color w:val="000000"/>
                <w:kern w:val="0"/>
                <w:sz w:val="22"/>
                <w:szCs w:val="22"/>
                <w:u w:val="none"/>
                <w:lang w:val="en-US" w:eastAsia="zh-CN" w:bidi="ar"/>
              </w:rPr>
              <w:t>七、文化旅游体育与传媒支出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八、其他收入</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464.08 </w:t>
            </w: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八、社会保障和就业支出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5,384.05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0"/>
                <w:szCs w:val="20"/>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i w:val="0"/>
                <w:color w:val="000000"/>
                <w:kern w:val="0"/>
                <w:sz w:val="22"/>
                <w:szCs w:val="22"/>
                <w:u w:val="none"/>
                <w:lang w:val="en-US" w:eastAsia="zh-CN" w:bidi="ar"/>
              </w:rPr>
              <w:t>九、卫生健康支出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b/>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十、节能环保支出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17.89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十一、城乡社区支出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十二、农林水支出</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sz w:val="22"/>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十三、交通运输支出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十四、资源勘探工业信息等支出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十五、商业服务业等支出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十六、金融支出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十七、援助其他地区支出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十八、自然资源海洋气象等支出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385.57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十九、住房保障支出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二十、粮油物资储备支出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二十一、国有资本经营预算支出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51</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22</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二十二、灾害防治及应急管理支出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52</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23</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二十三、其他支出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53</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24</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二十四、债务还本支出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54</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25</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二十五、债务付息支出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55</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left"/>
              <w:rPr>
                <w:rFonts w:hint="eastAsia" w:ascii="仿宋_GB2312" w:hAnsi="仿宋_GB2312" w:eastAsia="仿宋_GB2312" w:cs="仿宋_GB2312"/>
                <w:b/>
                <w:color w:val="000000"/>
                <w:kern w:val="0"/>
                <w:sz w:val="22"/>
                <w:lang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0"/>
                <w:szCs w:val="20"/>
                <w:u w:val="none"/>
                <w:lang w:val="en-US" w:eastAsia="zh-CN" w:bidi="ar"/>
              </w:rPr>
              <w:t>26</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color w:val="000000"/>
                <w:sz w:val="22"/>
              </w:rPr>
            </w:pP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二十六、抗疫特别国债安排的支出</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56</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right"/>
              <w:rPr>
                <w:rFonts w:hint="eastAsia" w:ascii="仿宋_GB2312" w:hAnsi="仿宋_GB2312" w:eastAsia="仿宋_GB2312" w:cs="仿宋_GB2312"/>
                <w:b/>
                <w:color w:val="000000"/>
                <w:sz w:val="22"/>
              </w:rPr>
            </w:pP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b/>
                <w:i w:val="0"/>
                <w:color w:val="000000"/>
                <w:kern w:val="0"/>
                <w:sz w:val="22"/>
                <w:szCs w:val="22"/>
                <w:u w:val="none"/>
                <w:lang w:val="en-US" w:eastAsia="zh-CN" w:bidi="ar"/>
              </w:rPr>
              <w:t>本年收入合计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27</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114,794.20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b/>
                <w:i w:val="0"/>
                <w:color w:val="000000"/>
                <w:kern w:val="0"/>
                <w:sz w:val="22"/>
                <w:szCs w:val="22"/>
                <w:u w:val="none"/>
                <w:lang w:val="en-US" w:eastAsia="zh-CN" w:bidi="ar"/>
              </w:rPr>
              <w:t>本年支出合计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57</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108,257.42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 xml:space="preserve">   使用非财政拨款结余（含专用结余）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28</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123.54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结余分配</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58</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2,498.53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i w:val="0"/>
                <w:color w:val="000000"/>
                <w:kern w:val="0"/>
                <w:sz w:val="22"/>
                <w:szCs w:val="22"/>
                <w:u w:val="none"/>
                <w:lang w:val="en-US" w:eastAsia="zh-CN" w:bidi="ar"/>
              </w:rPr>
              <w:t xml:space="preserve">   年初结转和结余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29</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21,350.68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年末结转和结余</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59</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25,512.47 </w:t>
            </w:r>
          </w:p>
        </w:tc>
      </w:tr>
      <w:tr>
        <w:tblPrEx>
          <w:tblCellMar>
            <w:top w:w="0" w:type="dxa"/>
            <w:left w:w="108" w:type="dxa"/>
            <w:bottom w:w="0" w:type="dxa"/>
            <w:right w:w="108" w:type="dxa"/>
          </w:tblCellMar>
        </w:tblPrEx>
        <w:trPr>
          <w:trHeight w:val="340" w:hRule="exact"/>
          <w:jc w:val="center"/>
        </w:trPr>
        <w:tc>
          <w:tcPr>
            <w:tcW w:w="37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color w:val="000000"/>
                <w:kern w:val="0"/>
                <w:sz w:val="22"/>
                <w:lang w:bidi="ar"/>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30</w:t>
            </w:r>
          </w:p>
        </w:tc>
        <w:tc>
          <w:tcPr>
            <w:tcW w:w="32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136,268.42 </w:t>
            </w:r>
          </w:p>
        </w:tc>
        <w:tc>
          <w:tcPr>
            <w:tcW w:w="3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5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60</w:t>
            </w:r>
          </w:p>
        </w:tc>
        <w:tc>
          <w:tcPr>
            <w:tcW w:w="24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color w:val="000000"/>
                <w:sz w:val="22"/>
              </w:rPr>
            </w:pPr>
            <w:r>
              <w:rPr>
                <w:rFonts w:hint="eastAsia" w:ascii="仿宋_GB2312" w:hAnsi="仿宋_GB2312" w:eastAsia="仿宋_GB2312" w:cs="仿宋_GB2312"/>
                <w:i w:val="0"/>
                <w:color w:val="000000"/>
                <w:kern w:val="0"/>
                <w:sz w:val="22"/>
                <w:szCs w:val="22"/>
                <w:u w:val="none"/>
                <w:lang w:val="en-US" w:eastAsia="zh-CN" w:bidi="ar"/>
              </w:rPr>
              <w:t xml:space="preserve">136,268.42 </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1"/>
        <w:tblW w:w="4903" w:type="pct"/>
        <w:jc w:val="center"/>
        <w:tblLayout w:type="fixed"/>
        <w:tblCellMar>
          <w:top w:w="0" w:type="dxa"/>
          <w:left w:w="0" w:type="dxa"/>
          <w:bottom w:w="0" w:type="dxa"/>
          <w:right w:w="0" w:type="dxa"/>
        </w:tblCellMar>
      </w:tblPr>
      <w:tblGrid>
        <w:gridCol w:w="1179"/>
        <w:gridCol w:w="3183"/>
        <w:gridCol w:w="1383"/>
        <w:gridCol w:w="1383"/>
        <w:gridCol w:w="1383"/>
        <w:gridCol w:w="1383"/>
        <w:gridCol w:w="1383"/>
        <w:gridCol w:w="1277"/>
        <w:gridCol w:w="1208"/>
      </w:tblGrid>
      <w:tr>
        <w:tblPrEx>
          <w:tblCellMar>
            <w:top w:w="0" w:type="dxa"/>
            <w:left w:w="0" w:type="dxa"/>
            <w:bottom w:w="0" w:type="dxa"/>
            <w:right w:w="0" w:type="dxa"/>
          </w:tblCellMar>
        </w:tblPrEx>
        <w:trPr>
          <w:trHeight w:val="450" w:hRule="atLeast"/>
          <w:tblHeader/>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本年收入合计</w:t>
            </w:r>
          </w:p>
        </w:tc>
        <w:tc>
          <w:tcPr>
            <w:tcW w:w="50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财政拨款收入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上级补助收入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事业收入</w:t>
            </w:r>
          </w:p>
        </w:tc>
        <w:tc>
          <w:tcPr>
            <w:tcW w:w="50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经营收入</w:t>
            </w:r>
          </w:p>
        </w:tc>
        <w:tc>
          <w:tcPr>
            <w:tcW w:w="463"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附属单位上缴收入</w:t>
            </w:r>
          </w:p>
        </w:tc>
        <w:tc>
          <w:tcPr>
            <w:tcW w:w="438"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34" w:hRule="exact"/>
          <w:tblHeader/>
          <w:jc w:val="center"/>
        </w:trPr>
        <w:tc>
          <w:tcPr>
            <w:tcW w:w="428"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功能分类科目编码</w:t>
            </w:r>
          </w:p>
        </w:tc>
        <w:tc>
          <w:tcPr>
            <w:tcW w:w="1156" w:type="pct"/>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keepNext w:val="0"/>
              <w:keepLines w:val="0"/>
              <w:widowControl/>
              <w:suppressLineNumbers w:val="0"/>
              <w:jc w:val="center"/>
              <w:textAlignment w:val="center"/>
              <w:rPr>
                <w:rFonts w:ascii="Times New Roman" w:hAnsi="Times New Roman" w:eastAsia="仿宋_GB2312" w:cs="Times New Roman"/>
                <w:b/>
                <w:bCs/>
                <w:sz w:val="24"/>
                <w:szCs w:val="24"/>
              </w:rPr>
            </w:pPr>
            <w:r>
              <w:rPr>
                <w:rFonts w:hint="eastAsia" w:ascii="宋体" w:hAnsi="宋体" w:eastAsia="宋体" w:cs="宋体"/>
                <w:b/>
                <w:bCs/>
                <w:i w:val="0"/>
                <w:color w:val="000000"/>
                <w:kern w:val="0"/>
                <w:sz w:val="22"/>
                <w:szCs w:val="22"/>
                <w:u w:val="none"/>
                <w:lang w:val="en-US" w:eastAsia="zh-CN" w:bidi="ar"/>
              </w:rPr>
              <w:t>科目名称</w:t>
            </w: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sz w:val="24"/>
                <w:szCs w:val="24"/>
              </w:rPr>
            </w:pPr>
          </w:p>
        </w:tc>
      </w:tr>
      <w:tr>
        <w:tblPrEx>
          <w:tblCellMar>
            <w:top w:w="0" w:type="dxa"/>
            <w:left w:w="0" w:type="dxa"/>
            <w:bottom w:w="0" w:type="dxa"/>
            <w:right w:w="0" w:type="dxa"/>
          </w:tblCellMar>
        </w:tblPrEx>
        <w:trPr>
          <w:trHeight w:val="312" w:hRule="atLeast"/>
          <w:tblHeader/>
          <w:jc w:val="center"/>
        </w:trPr>
        <w:tc>
          <w:tcPr>
            <w:tcW w:w="428"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156" w:type="pct"/>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502"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438" w:type="pct"/>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97" w:hRule="atLeast"/>
          <w:tblHeader/>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50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c>
          <w:tcPr>
            <w:tcW w:w="463"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6</w:t>
            </w:r>
          </w:p>
        </w:tc>
        <w:tc>
          <w:tcPr>
            <w:tcW w:w="438"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7</w:t>
            </w:r>
          </w:p>
        </w:tc>
      </w:tr>
      <w:tr>
        <w:tblPrEx>
          <w:tblCellMar>
            <w:top w:w="0" w:type="dxa"/>
            <w:left w:w="0" w:type="dxa"/>
            <w:bottom w:w="0" w:type="dxa"/>
            <w:right w:w="0" w:type="dxa"/>
          </w:tblCellMar>
        </w:tblPrEx>
        <w:trPr>
          <w:trHeight w:val="397" w:hRule="atLeast"/>
          <w:jc w:val="center"/>
        </w:trPr>
        <w:tc>
          <w:tcPr>
            <w:tcW w:w="1584"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合计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114,794.20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77,396.82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315.51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36,617.79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0.00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464.08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2011409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106.83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102.73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4.10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2011499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234.85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234.85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2013602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8,113.27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8,112.38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1,216.21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1,216.21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2013803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1,395.75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1,395.75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2013804</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840.86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840.86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2,163.42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2,162.62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2013808</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2,495.11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2,495.11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2013810</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2,075.30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2,075.30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7,368.29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7,368.29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2013816</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4,267.50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4,267.50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2013850</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24,007.15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23,597.53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308.82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100.80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2013899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50,062.69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13,083.78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315.51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36,305.92 </w:t>
            </w: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357.48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2050803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491.73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491.73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2060799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rPr>
            </w:pP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2069999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8.33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8.33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1,765.43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1,765.43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757.44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757.44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机关事业单位基本养老保险缴费支出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2,275.27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2,275.27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2080506</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机关事业单位职业年金缴费支出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2080801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死亡抚恤</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2089999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其他社会保障和就业支出</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225.91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222.86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2101101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行政单位医疗</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476.90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476.90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2101102</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事业单位医疗</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1,148.45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1,148.45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375.10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375.10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60.00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60.00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r>
        <w:tblPrEx>
          <w:tblCellMar>
            <w:top w:w="0" w:type="dxa"/>
            <w:left w:w="0" w:type="dxa"/>
            <w:bottom w:w="0" w:type="dxa"/>
            <w:right w:w="0" w:type="dxa"/>
          </w:tblCellMar>
        </w:tblPrEx>
        <w:trPr>
          <w:trHeight w:val="397" w:hRule="atLeast"/>
          <w:jc w:val="center"/>
        </w:trPr>
        <w:tc>
          <w:tcPr>
            <w:tcW w:w="117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1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2,169.05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2,169.05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p>
        </w:tc>
        <w:tc>
          <w:tcPr>
            <w:tcW w:w="127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 </w:t>
            </w:r>
          </w:p>
        </w:tc>
        <w:tc>
          <w:tcPr>
            <w:tcW w:w="12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1"/>
        <w:tblW w:w="4833" w:type="pct"/>
        <w:jc w:val="center"/>
        <w:tblLayout w:type="fixed"/>
        <w:tblCellMar>
          <w:top w:w="0" w:type="dxa"/>
          <w:left w:w="108" w:type="dxa"/>
          <w:bottom w:w="0" w:type="dxa"/>
          <w:right w:w="108" w:type="dxa"/>
        </w:tblCellMar>
      </w:tblPr>
      <w:tblGrid>
        <w:gridCol w:w="1716"/>
        <w:gridCol w:w="3528"/>
        <w:gridCol w:w="1417"/>
        <w:gridCol w:w="1417"/>
        <w:gridCol w:w="1417"/>
        <w:gridCol w:w="1417"/>
        <w:gridCol w:w="1417"/>
        <w:gridCol w:w="1417"/>
      </w:tblGrid>
      <w:tr>
        <w:tblPrEx>
          <w:tblCellMar>
            <w:top w:w="0" w:type="dxa"/>
            <w:left w:w="108" w:type="dxa"/>
            <w:bottom w:w="0" w:type="dxa"/>
            <w:right w:w="108" w:type="dxa"/>
          </w:tblCellMar>
        </w:tblPrEx>
        <w:trPr>
          <w:trHeight w:val="595" w:hRule="atLeast"/>
          <w:tblHeader/>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本年支出合计</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基本支出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上缴上级支出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经营支出</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对附属单位补助支出</w:t>
            </w:r>
          </w:p>
        </w:tc>
      </w:tr>
      <w:tr>
        <w:tblPrEx>
          <w:tblCellMar>
            <w:top w:w="0" w:type="dxa"/>
            <w:left w:w="108" w:type="dxa"/>
            <w:bottom w:w="0" w:type="dxa"/>
            <w:right w:w="108" w:type="dxa"/>
          </w:tblCellMar>
        </w:tblPrEx>
        <w:trPr>
          <w:trHeight w:val="312" w:hRule="exact"/>
          <w:tblHeader/>
          <w:jc w:val="center"/>
        </w:trPr>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功能分类科目编码</w:t>
            </w:r>
          </w:p>
        </w:tc>
        <w:tc>
          <w:tcPr>
            <w:tcW w:w="3528" w:type="dxa"/>
            <w:vMerge w:val="restart"/>
            <w:tcBorders>
              <w:top w:val="nil"/>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tblHeader/>
          <w:jc w:val="center"/>
        </w:trPr>
        <w:tc>
          <w:tcPr>
            <w:tcW w:w="171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352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tblHeader/>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c>
          <w:tcPr>
            <w:tcW w:w="1417"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6</w:t>
            </w:r>
          </w:p>
        </w:tc>
      </w:tr>
      <w:tr>
        <w:tblPrEx>
          <w:tblCellMar>
            <w:top w:w="0" w:type="dxa"/>
            <w:left w:w="108" w:type="dxa"/>
            <w:bottom w:w="0" w:type="dxa"/>
            <w:right w:w="108" w:type="dxa"/>
          </w:tblCellMar>
        </w:tblPrEx>
        <w:trPr>
          <w:trHeight w:val="595" w:hRule="atLeast"/>
          <w:jc w:val="center"/>
        </w:trPr>
        <w:tc>
          <w:tcPr>
            <w:tcW w:w="524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合计</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108,257.42 </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40,792.77 </w:t>
            </w: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31,902.78 </w:t>
            </w:r>
          </w:p>
        </w:tc>
        <w:tc>
          <w:tcPr>
            <w:tcW w:w="1417"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b/>
                <w:i w:val="0"/>
                <w:color w:val="000000"/>
                <w:kern w:val="0"/>
                <w:sz w:val="22"/>
                <w:szCs w:val="22"/>
                <w:u w:val="none"/>
                <w:lang w:val="en-US" w:eastAsia="zh-CN" w:bidi="ar"/>
              </w:rPr>
              <w:t xml:space="preserve">35,561.87 </w:t>
            </w:r>
          </w:p>
        </w:tc>
        <w:tc>
          <w:tcPr>
            <w:tcW w:w="1417"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知识产权战略和规划</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2011409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85.26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85.26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2011499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255.09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255.09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2013602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7,737.74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7,655.51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82.23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1,106.05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1,106.05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1,644.55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98.89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1,545.66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2013804</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453.43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453.43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1,488.80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1,488.80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2013808</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1,971.09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1,971.09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1,530.06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1,530.06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7,022.12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7,022.12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2013816</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5,152.55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5,152.55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2013850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23,730.21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23,315.88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105.90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308.42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2013899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45,604.69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8.06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10,346.23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35,250.40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2050803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84.73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448.39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2060799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0.38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0.38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2069901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科技奖励</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0.20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0.20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2069999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6.83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6.83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2080501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1,736.82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1,736.82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2080502</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736.24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736.24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2,262.42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2,262.42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419.32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i w:val="0"/>
                <w:color w:val="000000"/>
                <w:kern w:val="0"/>
                <w:sz w:val="22"/>
                <w:szCs w:val="22"/>
                <w:u w:val="none"/>
                <w:lang w:val="en-US" w:eastAsia="zh-CN" w:bidi="ar"/>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7.00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2200150</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222.24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211.60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7.59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 xml:space="preserve">3.05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r>
        <w:tblPrEx>
          <w:tblCellMar>
            <w:top w:w="0" w:type="dxa"/>
            <w:left w:w="108" w:type="dxa"/>
            <w:bottom w:w="0" w:type="dxa"/>
            <w:right w:w="108" w:type="dxa"/>
          </w:tblCellMar>
        </w:tblPrEx>
        <w:trPr>
          <w:trHeight w:val="425" w:hRule="atLeast"/>
          <w:jc w:val="center"/>
        </w:trPr>
        <w:tc>
          <w:tcPr>
            <w:tcW w:w="171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52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474.72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 xml:space="preserve">474.72 </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sz w:val="20"/>
          <w:szCs w:val="20"/>
          <w:lang w:eastAsia="zh-CN"/>
        </w:rPr>
        <w:t>湖南省市场监督管理局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1"/>
        <w:tblW w:w="0" w:type="auto"/>
        <w:jc w:val="center"/>
        <w:tblLayout w:type="fixed"/>
        <w:tblCellMar>
          <w:top w:w="0" w:type="dxa"/>
          <w:left w:w="108" w:type="dxa"/>
          <w:bottom w:w="0" w:type="dxa"/>
          <w:right w:w="108" w:type="dxa"/>
        </w:tblCellMar>
      </w:tblPr>
      <w:tblGrid>
        <w:gridCol w:w="3203"/>
        <w:gridCol w:w="521"/>
        <w:gridCol w:w="1312"/>
        <w:gridCol w:w="3438"/>
        <w:gridCol w:w="667"/>
        <w:gridCol w:w="1250"/>
        <w:gridCol w:w="1270"/>
        <w:gridCol w:w="1292"/>
        <w:gridCol w:w="1267"/>
      </w:tblGrid>
      <w:tr>
        <w:tblPrEx>
          <w:tblCellMar>
            <w:top w:w="0" w:type="dxa"/>
            <w:left w:w="108" w:type="dxa"/>
            <w:bottom w:w="0" w:type="dxa"/>
            <w:right w:w="108" w:type="dxa"/>
          </w:tblCellMar>
        </w:tblPrEx>
        <w:trPr>
          <w:trHeight w:val="402" w:hRule="atLeast"/>
          <w:tblHeader/>
          <w:jc w:val="center"/>
        </w:trPr>
        <w:tc>
          <w:tcPr>
            <w:tcW w:w="503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收入</w:t>
            </w:r>
          </w:p>
        </w:tc>
        <w:tc>
          <w:tcPr>
            <w:tcW w:w="9184" w:type="dxa"/>
            <w:gridSpan w:val="6"/>
            <w:tcBorders>
              <w:top w:val="single" w:color="auto" w:sz="4" w:space="0"/>
              <w:left w:val="nil"/>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支出</w:t>
            </w:r>
          </w:p>
        </w:tc>
      </w:tr>
      <w:tr>
        <w:tblPrEx>
          <w:tblCellMar>
            <w:top w:w="0" w:type="dxa"/>
            <w:left w:w="108" w:type="dxa"/>
            <w:bottom w:w="0" w:type="dxa"/>
            <w:right w:w="108" w:type="dxa"/>
          </w:tblCellMar>
        </w:tblPrEx>
        <w:trPr>
          <w:trHeight w:val="630" w:hRule="atLeast"/>
          <w:tblHeader/>
          <w:jc w:val="center"/>
        </w:trPr>
        <w:tc>
          <w:tcPr>
            <w:tcW w:w="3203"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项目</w:t>
            </w:r>
          </w:p>
        </w:tc>
        <w:tc>
          <w:tcPr>
            <w:tcW w:w="52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行次</w:t>
            </w:r>
          </w:p>
        </w:tc>
        <w:tc>
          <w:tcPr>
            <w:tcW w:w="131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金额</w:t>
            </w:r>
          </w:p>
        </w:tc>
        <w:tc>
          <w:tcPr>
            <w:tcW w:w="343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0"/>
                <w:szCs w:val="20"/>
              </w:rPr>
            </w:pPr>
            <w:r>
              <w:rPr>
                <w:rFonts w:hint="eastAsia" w:ascii="宋体" w:hAnsi="宋体" w:eastAsia="宋体" w:cs="宋体"/>
                <w:b/>
                <w:bCs/>
                <w:i w:val="0"/>
                <w:color w:val="000000"/>
                <w:kern w:val="0"/>
                <w:sz w:val="22"/>
                <w:szCs w:val="22"/>
                <w:u w:val="none"/>
                <w:lang w:val="en-US" w:eastAsia="zh-CN" w:bidi="ar"/>
              </w:rPr>
              <w:t>项目</w:t>
            </w:r>
          </w:p>
        </w:tc>
        <w:tc>
          <w:tcPr>
            <w:tcW w:w="667"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行次</w:t>
            </w:r>
          </w:p>
        </w:tc>
        <w:tc>
          <w:tcPr>
            <w:tcW w:w="12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b/>
                <w:bCs/>
              </w:rPr>
            </w:pPr>
            <w:r>
              <w:rPr>
                <w:rFonts w:hint="eastAsia" w:ascii="宋体" w:hAnsi="宋体" w:eastAsia="宋体" w:cs="宋体"/>
                <w:b/>
                <w:bCs/>
                <w:i w:val="0"/>
                <w:color w:val="000000"/>
                <w:kern w:val="0"/>
                <w:sz w:val="22"/>
                <w:szCs w:val="22"/>
                <w:u w:val="none"/>
                <w:lang w:val="en-US" w:eastAsia="zh-CN" w:bidi="ar"/>
              </w:rPr>
              <w:t>合计</w:t>
            </w:r>
          </w:p>
        </w:tc>
        <w:tc>
          <w:tcPr>
            <w:tcW w:w="127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一般公共预算财政拨款</w:t>
            </w:r>
          </w:p>
        </w:tc>
        <w:tc>
          <w:tcPr>
            <w:tcW w:w="12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政府性基金预算财政拨款</w:t>
            </w:r>
          </w:p>
        </w:tc>
        <w:tc>
          <w:tcPr>
            <w:tcW w:w="126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Times New Roman" w:hAnsi="Times New Roman" w:eastAsia="仿宋_GB2312" w:cs="Times New Roman"/>
                <w:b/>
                <w:bCs/>
                <w:kern w:val="0"/>
                <w:sz w:val="24"/>
                <w:szCs w:val="24"/>
              </w:rPr>
            </w:pPr>
            <w:r>
              <w:rPr>
                <w:rFonts w:hint="eastAsia" w:ascii="宋体" w:hAnsi="宋体" w:eastAsia="宋体" w:cs="宋体"/>
                <w:b/>
                <w:bCs/>
                <w:i w:val="0"/>
                <w:color w:val="000000"/>
                <w:kern w:val="0"/>
                <w:sz w:val="22"/>
                <w:szCs w:val="22"/>
                <w:u w:val="none"/>
                <w:lang w:val="en-US" w:eastAsia="zh-CN" w:bidi="ar"/>
              </w:rPr>
              <w:t>国有资本经营预算财政拨款</w:t>
            </w:r>
          </w:p>
        </w:tc>
      </w:tr>
      <w:tr>
        <w:tblPrEx>
          <w:tblCellMar>
            <w:top w:w="0" w:type="dxa"/>
            <w:left w:w="108" w:type="dxa"/>
            <w:bottom w:w="0" w:type="dxa"/>
            <w:right w:w="108" w:type="dxa"/>
          </w:tblCellMar>
        </w:tblPrEx>
        <w:trPr>
          <w:trHeight w:val="402" w:hRule="atLeast"/>
          <w:tblHeader/>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仿宋_GB2312" w:eastAsia="仿宋_GB2312" w:cs="仿宋_GB2312"/>
              </w:rPr>
            </w:pP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1</w:t>
            </w: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栏次</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仿宋_GB2312" w:hAnsi="仿宋_GB2312" w:eastAsia="仿宋_GB2312" w:cs="仿宋_GB2312"/>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3</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4</w:t>
            </w: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color w:val="000000"/>
                <w:kern w:val="0"/>
                <w:sz w:val="22"/>
                <w:szCs w:val="22"/>
                <w:u w:val="none"/>
                <w:lang w:val="en-US" w:eastAsia="zh-CN" w:bidi="ar"/>
              </w:rPr>
              <w:t>5</w:t>
            </w: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一、一般公共预算财政拨款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一、一般公共服务支出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33</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60,333.40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60,333.40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二、政府性基金预算财政拨款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二、外交支出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34</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三、国有资本经营预算财政拨款</w:t>
            </w: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三、国防支出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35</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4</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四、公共安全支出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36</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5</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五、教育支出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37</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533.12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6</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六、科学技术支出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38</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7.41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7.41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7</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七、文化旅游体育与传媒支出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39</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8</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八、社会保障和就业支出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40</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5,380.99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5,380.99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9</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九、卫生健康支出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41</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1,989.98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10</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十、节能环保支出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42</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17.89 </w:t>
            </w: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17.89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11</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十一、城乡社区支出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43</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12</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十二、农林水支出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44</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13</w:t>
            </w:r>
          </w:p>
        </w:tc>
        <w:tc>
          <w:tcPr>
            <w:tcW w:w="131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十三、交通运输支出</w:t>
            </w:r>
          </w:p>
        </w:tc>
        <w:tc>
          <w:tcPr>
            <w:tcW w:w="6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45</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14</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十四、资源勘探工业信息等支出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46</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15</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十五、商业服务业等支出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47</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16</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十六、金融支出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48</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17</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十七、援助其他地区支出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49</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18</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十八、自然资源海洋气象等支出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50</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262.03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19</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十九、住房保障支出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51</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2,152.77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20</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二十、粮油物资储备支出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52</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21</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二十一、国有资本经营预算支出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53</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22</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二十二、灾害防治及应急管理支出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54</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23</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二十三、其他支出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55</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24</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二十四、债务还本支出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56</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25</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二十五、债务付息支出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57</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b/>
                <w:bCs/>
                <w:kern w:val="0"/>
                <w:sz w:val="22"/>
              </w:rPr>
            </w:pP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26</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二十六、抗疫特别国债安排的支出</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58</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b/>
                <w:i w:val="0"/>
                <w:color w:val="000000"/>
                <w:kern w:val="0"/>
                <w:sz w:val="22"/>
                <w:szCs w:val="22"/>
                <w:u w:val="none"/>
                <w:lang w:val="en-US" w:eastAsia="zh-CN" w:bidi="ar"/>
              </w:rPr>
              <w:t>本年收入合计</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27</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77,396.82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b/>
                <w:i w:val="0"/>
                <w:color w:val="000000"/>
                <w:kern w:val="0"/>
                <w:sz w:val="22"/>
                <w:szCs w:val="22"/>
                <w:u w:val="none"/>
                <w:lang w:val="en-US" w:eastAsia="zh-CN" w:bidi="ar"/>
              </w:rPr>
              <w:t>本年支出合计</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59</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70,677.59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70,677.59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90"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年初财政拨款结转和结余</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28</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6,951.94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年末财政拨款结转和结余</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60</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13,671.17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13,671.17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一般公共预算财政拨款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29</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6,951.94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61</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政府性基金预算财政拨款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30</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62</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   国有资本经营预算财政拨款</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31</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left"/>
              <w:rPr>
                <w:rFonts w:hint="eastAsia" w:ascii="仿宋_GB2312" w:hAnsi="仿宋_GB2312" w:eastAsia="仿宋_GB2312" w:cs="仿宋_GB2312"/>
                <w:kern w:val="0"/>
                <w:sz w:val="22"/>
              </w:rPr>
            </w:pP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63</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rPr>
            </w:pP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jc w:val="right"/>
              <w:rPr>
                <w:rFonts w:hint="eastAsia" w:ascii="仿宋_GB2312" w:hAnsi="仿宋_GB2312" w:eastAsia="仿宋_GB2312" w:cs="仿宋_GB2312"/>
                <w:kern w:val="0"/>
                <w:sz w:val="22"/>
              </w:rPr>
            </w:pP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r>
        <w:tblPrEx>
          <w:tblCellMar>
            <w:top w:w="0" w:type="dxa"/>
            <w:left w:w="108" w:type="dxa"/>
            <w:bottom w:w="0" w:type="dxa"/>
            <w:right w:w="108" w:type="dxa"/>
          </w:tblCellMar>
        </w:tblPrEx>
        <w:trPr>
          <w:trHeight w:val="402" w:hRule="atLeast"/>
          <w:jc w:val="center"/>
        </w:trPr>
        <w:tc>
          <w:tcPr>
            <w:tcW w:w="320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bCs/>
                <w:kern w:val="0"/>
                <w:sz w:val="22"/>
              </w:rPr>
            </w:pPr>
            <w:r>
              <w:rPr>
                <w:rFonts w:hint="eastAsia" w:ascii="仿宋_GB2312" w:hAnsi="仿宋_GB2312" w:eastAsia="仿宋_GB2312" w:cs="仿宋_GB2312"/>
                <w:b/>
                <w:i w:val="0"/>
                <w:color w:val="000000"/>
                <w:kern w:val="0"/>
                <w:sz w:val="22"/>
                <w:szCs w:val="22"/>
                <w:u w:val="none"/>
                <w:lang w:val="en-US" w:eastAsia="zh-CN" w:bidi="ar"/>
              </w:rPr>
              <w:t>总计</w:t>
            </w:r>
          </w:p>
        </w:tc>
        <w:tc>
          <w:tcPr>
            <w:tcW w:w="52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32</w:t>
            </w:r>
          </w:p>
        </w:tc>
        <w:tc>
          <w:tcPr>
            <w:tcW w:w="1312"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343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b/>
                <w:i w:val="0"/>
                <w:color w:val="000000"/>
                <w:kern w:val="0"/>
                <w:sz w:val="22"/>
                <w:szCs w:val="22"/>
                <w:u w:val="none"/>
                <w:lang w:val="en-US" w:eastAsia="zh-CN" w:bidi="ar"/>
              </w:rPr>
              <w:t>总计</w:t>
            </w:r>
          </w:p>
        </w:tc>
        <w:tc>
          <w:tcPr>
            <w:tcW w:w="667"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center"/>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64</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1270"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right"/>
              <w:textAlignment w:val="center"/>
              <w:rPr>
                <w:rFonts w:hint="eastAsia" w:ascii="仿宋_GB2312" w:hAnsi="仿宋_GB2312" w:eastAsia="仿宋_GB2312" w:cs="仿宋_GB2312"/>
                <w:kern w:val="0"/>
                <w:sz w:val="22"/>
              </w:rPr>
            </w:pPr>
            <w:r>
              <w:rPr>
                <w:rFonts w:hint="eastAsia" w:ascii="仿宋_GB2312" w:hAnsi="仿宋_GB2312" w:eastAsia="仿宋_GB2312" w:cs="仿宋_GB2312"/>
                <w:i w:val="0"/>
                <w:color w:val="000000"/>
                <w:kern w:val="0"/>
                <w:sz w:val="22"/>
                <w:szCs w:val="22"/>
                <w:u w:val="none"/>
                <w:lang w:val="en-US" w:eastAsia="zh-CN" w:bidi="ar"/>
              </w:rPr>
              <w:t xml:space="preserve">84,348.76 </w:t>
            </w:r>
          </w:p>
        </w:tc>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c>
          <w:tcPr>
            <w:tcW w:w="1267"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b/>
                <w:bCs/>
                <w:kern w:val="0"/>
                <w:sz w:val="22"/>
              </w:rPr>
            </w:pP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湖南省市场监督管理局</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1625"/>
        <w:gridCol w:w="3957"/>
        <w:gridCol w:w="2793"/>
        <w:gridCol w:w="2888"/>
        <w:gridCol w:w="2956"/>
      </w:tblGrid>
      <w:tr>
        <w:tblPrEx>
          <w:tblCellMar>
            <w:top w:w="0" w:type="dxa"/>
            <w:left w:w="108" w:type="dxa"/>
            <w:bottom w:w="0" w:type="dxa"/>
            <w:right w:w="108" w:type="dxa"/>
          </w:tblCellMar>
        </w:tblPrEx>
        <w:trPr>
          <w:trHeight w:val="454" w:hRule="atLeast"/>
          <w:tblHeader/>
          <w:jc w:val="center"/>
        </w:trPr>
        <w:tc>
          <w:tcPr>
            <w:tcW w:w="558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637"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tblHeader/>
          <w:jc w:val="center"/>
        </w:trPr>
        <w:tc>
          <w:tcPr>
            <w:tcW w:w="1625"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957"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93"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88"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956" w:type="dxa"/>
            <w:vMerge w:val="restart"/>
            <w:tcBorders>
              <w:top w:val="nil"/>
              <w:left w:val="single" w:color="auto" w:sz="4" w:space="0"/>
              <w:bottom w:val="single" w:color="000000" w:sz="4" w:space="0"/>
              <w:right w:val="single" w:color="auto"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tblHeader/>
          <w:jc w:val="center"/>
        </w:trPr>
        <w:tc>
          <w:tcPr>
            <w:tcW w:w="1625"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95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3"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88"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tblHeader/>
          <w:jc w:val="center"/>
        </w:trPr>
        <w:tc>
          <w:tcPr>
            <w:tcW w:w="1625"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95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88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auto"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97" w:hRule="atLeast"/>
          <w:tblHeader/>
          <w:jc w:val="center"/>
        </w:trPr>
        <w:tc>
          <w:tcPr>
            <w:tcW w:w="55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栏次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r>
      <w:tr>
        <w:tblPrEx>
          <w:tblCellMar>
            <w:top w:w="0" w:type="dxa"/>
            <w:left w:w="108" w:type="dxa"/>
            <w:bottom w:w="0" w:type="dxa"/>
            <w:right w:w="108" w:type="dxa"/>
          </w:tblCellMar>
        </w:tblPrEx>
        <w:trPr>
          <w:trHeight w:val="397" w:hRule="atLeast"/>
          <w:jc w:val="center"/>
        </w:trPr>
        <w:tc>
          <w:tcPr>
            <w:tcW w:w="55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70,677.59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40,571.48</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b/>
                <w:i w:val="0"/>
                <w:color w:val="000000"/>
                <w:kern w:val="0"/>
                <w:sz w:val="22"/>
                <w:szCs w:val="22"/>
                <w:u w:val="none"/>
                <w:lang w:val="en-US" w:eastAsia="zh-CN" w:bidi="ar"/>
              </w:rPr>
              <w:t>30,106.11</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知识产权战略和规划</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3.88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3.88</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2011409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知识产权宏观管理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81.94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81.94</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2011499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其他知识产权事务支出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255.09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255.09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2013602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行政运行</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7,737.68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7,655.45</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82.23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一般行政管理事务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1,106.05</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1,106.05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机关服务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1,596.44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98.89</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1,497.55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2013804</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经营主体管理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453.43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453.43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市场秩序执法</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1,488.00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1,488.00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2013808</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信息化建设</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1,971.09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1,971.09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2013810</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质量基础</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1,530.06</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1,530.06</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质量安全监管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7,022.12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7,022.12</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2013816</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食品安全监管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5,152.55</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5,152.55</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2013850</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事业运行</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23,324.12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23,218.22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105.90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2013899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其他市场监督管理事务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8,609.94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8.04</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8,601.90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2050803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培训支出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533.12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84.73</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448.39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2060799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其他科学技术普及支出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0.38</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0.38</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2069901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科技奖励</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0.20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0.20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2069999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其他科学技术支出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6.83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6.83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2080501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行政单位离退休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1,736.82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1,736.82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2080502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kern w:val="0"/>
                <w:szCs w:val="21"/>
              </w:rPr>
            </w:pPr>
            <w:r>
              <w:rPr>
                <w:rFonts w:hint="eastAsia" w:ascii="仿宋_GB2312" w:hAnsi="仿宋_GB2312" w:eastAsia="仿宋_GB2312" w:cs="仿宋_GB2312"/>
                <w:i w:val="0"/>
                <w:color w:val="000000"/>
                <w:kern w:val="0"/>
                <w:sz w:val="22"/>
                <w:szCs w:val="22"/>
                <w:u w:val="none"/>
                <w:lang w:val="en-US" w:eastAsia="zh-CN" w:bidi="ar"/>
              </w:rPr>
              <w:t>事业单位离退休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736.24</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736.24</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2080505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机关事业单位基本养老保险缴费支出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2,262.42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2,262.42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2080506</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机关事业单位职业年金缴费支出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419.32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419.32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2080801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死亡抚恤</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7.00</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7.00</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2089999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其他社会保障和就业支出</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219.19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211.60</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7.59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行政单位医疗</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474.72</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474.72</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2101102</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事业单位医疗</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1,143.29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1,143.29</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2101103</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公务员医疗补助</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371.97</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371.97</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i w:val="0"/>
                <w:color w:val="000000"/>
                <w:kern w:val="0"/>
                <w:sz w:val="22"/>
                <w:szCs w:val="22"/>
                <w:u w:val="none"/>
                <w:lang w:val="en-US" w:eastAsia="zh-CN" w:bidi="ar"/>
              </w:rPr>
            </w:pP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2110105</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环境保护法规、规划及标准</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17.89</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17.89</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2200129</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基础测绘与地理信息监管</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262.03</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i w:val="0"/>
                <w:color w:val="000000"/>
                <w:kern w:val="0"/>
                <w:sz w:val="22"/>
                <w:szCs w:val="22"/>
                <w:u w:val="none"/>
                <w:lang w:val="en-US" w:eastAsia="zh-CN" w:bidi="ar"/>
              </w:rPr>
            </w:pP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262.03</w:t>
            </w:r>
          </w:p>
        </w:tc>
      </w:tr>
      <w:tr>
        <w:tblPrEx>
          <w:tblCellMar>
            <w:top w:w="0" w:type="dxa"/>
            <w:left w:w="108" w:type="dxa"/>
            <w:bottom w:w="0" w:type="dxa"/>
            <w:right w:w="108" w:type="dxa"/>
          </w:tblCellMar>
        </w:tblPrEx>
        <w:trPr>
          <w:trHeight w:val="397" w:hRule="atLeast"/>
          <w:jc w:val="center"/>
        </w:trPr>
        <w:tc>
          <w:tcPr>
            <w:tcW w:w="16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2210201</w:t>
            </w:r>
          </w:p>
        </w:tc>
        <w:tc>
          <w:tcPr>
            <w:tcW w:w="39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住房公积金</w:t>
            </w:r>
          </w:p>
        </w:tc>
        <w:tc>
          <w:tcPr>
            <w:tcW w:w="2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2,152.77</w:t>
            </w:r>
          </w:p>
        </w:tc>
        <w:tc>
          <w:tcPr>
            <w:tcW w:w="28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2,149.77</w:t>
            </w:r>
          </w:p>
        </w:tc>
        <w:tc>
          <w:tcPr>
            <w:tcW w:w="29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3.00</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kern w:val="0"/>
          <w:szCs w:val="21"/>
        </w:rPr>
        <w:t xml:space="preserve">                                                                                                公开06表</w:t>
      </w:r>
    </w:p>
    <w:p>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1"/>
        <w:tblW w:w="14627" w:type="dxa"/>
        <w:jc w:val="center"/>
        <w:tblLayout w:type="fixed"/>
        <w:tblCellMar>
          <w:top w:w="0" w:type="dxa"/>
          <w:left w:w="108" w:type="dxa"/>
          <w:bottom w:w="0" w:type="dxa"/>
          <w:right w:w="108" w:type="dxa"/>
        </w:tblCellMar>
      </w:tblPr>
      <w:tblGrid>
        <w:gridCol w:w="1081"/>
        <w:gridCol w:w="2850"/>
        <w:gridCol w:w="1292"/>
        <w:gridCol w:w="1163"/>
        <w:gridCol w:w="2006"/>
        <w:gridCol w:w="1106"/>
        <w:gridCol w:w="1275"/>
        <w:gridCol w:w="2925"/>
        <w:gridCol w:w="929"/>
      </w:tblGrid>
      <w:tr>
        <w:tblPrEx>
          <w:tblCellMar>
            <w:top w:w="0" w:type="dxa"/>
            <w:left w:w="108" w:type="dxa"/>
            <w:bottom w:w="0" w:type="dxa"/>
            <w:right w:w="108" w:type="dxa"/>
          </w:tblCellMar>
        </w:tblPrEx>
        <w:trPr>
          <w:trHeight w:val="680" w:hRule="atLeast"/>
          <w:tblHeader/>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9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6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0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10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925"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工资福利支出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33,042.04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商品和服务支出</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4,320.61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基本工资</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8,091.85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办公费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240.20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30701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津贴补贴</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2,078.11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印刷费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77.80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30702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奖金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1,328.54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手续费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8.04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伙食补助费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50.36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水费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51.97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绩效工资</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8,368.29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电费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526.77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8.04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机关事业单位基本养老保险缴费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2,273.98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邮电费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117.50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31003</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职业年金缴费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420.61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取暖费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277.78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31005</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职工基本医疗保险缴费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1,617.27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30209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物业管理费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226.60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31006</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公务员医疗补助缴费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374.17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差旅费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269.57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其他社会保障缴费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174.63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30212</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因公出国（境）费用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31008</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住房公积金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2,151.56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30213</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维修（护）费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72.88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31009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30114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医疗费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10.42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租赁费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49.91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30199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其他工资福利支出</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6,102.25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会议费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37.14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对个人和家庭的补助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3,200.79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培训费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85.83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离休费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49.50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公务接待费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11.68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31013</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30302</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退休费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2,358.61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30218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专用材料费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31019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30303</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退职（役）费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30224</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被装购置费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31021</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30304</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抚恤金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188.00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30225</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专用燃料费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31022</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30305</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生活补助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2.45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30226</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劳务费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317.15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31099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30306</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救济费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30227</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委托业务费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72.76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30307</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医疗费补助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18.60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30228</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工会经费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806.85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39907</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30308</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助学金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30229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福利费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213.12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39908</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30309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奖励金</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25.50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30231</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公务用车运行维护费</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145.04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39909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经常性赠与</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30310</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个人农业生产补贴</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30239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其他交通费用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464.95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39910</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454"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30311</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代缴社会保险费</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30240</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税金及附加费用</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c>
          <w:tcPr>
            <w:tcW w:w="12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39999</w:t>
            </w:r>
          </w:p>
        </w:tc>
        <w:tc>
          <w:tcPr>
            <w:tcW w:w="292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0.00 </w:t>
            </w:r>
          </w:p>
        </w:tc>
      </w:tr>
      <w:tr>
        <w:tblPrEx>
          <w:tblCellMar>
            <w:top w:w="0" w:type="dxa"/>
            <w:left w:w="108" w:type="dxa"/>
            <w:bottom w:w="0" w:type="dxa"/>
            <w:right w:w="108" w:type="dxa"/>
          </w:tblCellMar>
        </w:tblPrEx>
        <w:trPr>
          <w:trHeight w:val="68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30399</w:t>
            </w:r>
          </w:p>
        </w:tc>
        <w:tc>
          <w:tcPr>
            <w:tcW w:w="2850"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其他对个人和家庭的补助</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558.13 </w:t>
            </w:r>
          </w:p>
        </w:tc>
        <w:tc>
          <w:tcPr>
            <w:tcW w:w="116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30299</w:t>
            </w:r>
          </w:p>
        </w:tc>
        <w:tc>
          <w:tcPr>
            <w:tcW w:w="20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  其他商品和服务支出</w:t>
            </w:r>
          </w:p>
        </w:tc>
        <w:tc>
          <w:tcPr>
            <w:tcW w:w="110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255.10 </w:t>
            </w:r>
          </w:p>
        </w:tc>
        <w:tc>
          <w:tcPr>
            <w:tcW w:w="1275" w:type="dxa"/>
            <w:tcBorders>
              <w:top w:val="nil"/>
              <w:left w:val="nil"/>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color w:val="000000"/>
                <w:kern w:val="0"/>
                <w:szCs w:val="18"/>
              </w:rPr>
            </w:pPr>
          </w:p>
        </w:tc>
        <w:tc>
          <w:tcPr>
            <w:tcW w:w="2925" w:type="dxa"/>
            <w:tcBorders>
              <w:top w:val="nil"/>
              <w:left w:val="nil"/>
              <w:bottom w:val="single" w:color="auto" w:sz="4" w:space="0"/>
              <w:right w:val="single" w:color="auto" w:sz="4" w:space="0"/>
            </w:tcBorders>
            <w:shd w:val="clear" w:color="auto" w:fill="auto"/>
            <w:noWrap/>
            <w:vAlign w:val="center"/>
          </w:tcPr>
          <w:p>
            <w:pPr>
              <w:jc w:val="left"/>
              <w:rPr>
                <w:rFonts w:hint="eastAsia" w:ascii="仿宋_GB2312" w:hAnsi="仿宋_GB2312" w:eastAsia="仿宋_GB2312" w:cs="仿宋_GB2312"/>
                <w:color w:val="000000"/>
                <w:kern w:val="0"/>
                <w:szCs w:val="18"/>
              </w:rPr>
            </w:pPr>
          </w:p>
        </w:tc>
        <w:tc>
          <w:tcPr>
            <w:tcW w:w="929" w:type="dxa"/>
            <w:tcBorders>
              <w:top w:val="nil"/>
              <w:left w:val="nil"/>
              <w:bottom w:val="single" w:color="auto" w:sz="4" w:space="0"/>
              <w:right w:val="single" w:color="auto" w:sz="4" w:space="0"/>
            </w:tcBorders>
            <w:shd w:val="clear" w:color="auto" w:fill="auto"/>
            <w:noWrap/>
            <w:vAlign w:val="center"/>
          </w:tcPr>
          <w:p>
            <w:pPr>
              <w:jc w:val="right"/>
              <w:rPr>
                <w:rFonts w:hint="eastAsia" w:ascii="仿宋_GB2312" w:hAnsi="仿宋_GB2312" w:eastAsia="仿宋_GB2312" w:cs="仿宋_GB2312"/>
                <w:color w:val="000000"/>
                <w:kern w:val="0"/>
                <w:szCs w:val="20"/>
              </w:rPr>
            </w:pPr>
          </w:p>
        </w:tc>
      </w:tr>
      <w:tr>
        <w:tblPrEx>
          <w:tblCellMar>
            <w:top w:w="0" w:type="dxa"/>
            <w:left w:w="108" w:type="dxa"/>
            <w:bottom w:w="0" w:type="dxa"/>
            <w:right w:w="108" w:type="dxa"/>
          </w:tblCellMar>
        </w:tblPrEx>
        <w:trPr>
          <w:trHeight w:val="454"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人员经费合计</w:t>
            </w:r>
          </w:p>
        </w:tc>
        <w:tc>
          <w:tcPr>
            <w:tcW w:w="129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 xml:space="preserve">36,242.83 </w:t>
            </w:r>
          </w:p>
        </w:tc>
        <w:tc>
          <w:tcPr>
            <w:tcW w:w="8475" w:type="dxa"/>
            <w:gridSpan w:val="5"/>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Cs w:val="20"/>
              </w:rPr>
            </w:pPr>
            <w:r>
              <w:rPr>
                <w:rFonts w:hint="eastAsia" w:ascii="仿宋_GB2312" w:hAnsi="仿宋_GB2312" w:eastAsia="仿宋_GB2312" w:cs="仿宋_GB2312"/>
                <w:i w:val="0"/>
                <w:color w:val="000000"/>
                <w:kern w:val="0"/>
                <w:sz w:val="22"/>
                <w:szCs w:val="22"/>
                <w:u w:val="none"/>
                <w:lang w:val="en-US" w:eastAsia="zh-CN" w:bidi="ar"/>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0"/>
                <w:szCs w:val="18"/>
              </w:rPr>
            </w:pPr>
            <w:r>
              <w:rPr>
                <w:rFonts w:hint="eastAsia" w:ascii="仿宋_GB2312" w:hAnsi="仿宋_GB2312" w:eastAsia="仿宋_GB2312" w:cs="仿宋_GB2312"/>
                <w:i w:val="0"/>
                <w:color w:val="000000"/>
                <w:kern w:val="0"/>
                <w:sz w:val="22"/>
                <w:szCs w:val="22"/>
                <w:u w:val="none"/>
                <w:lang w:val="en-US" w:eastAsia="zh-CN" w:bidi="ar"/>
              </w:rPr>
              <w:t xml:space="preserve">4,328.65 </w:t>
            </w:r>
          </w:p>
        </w:tc>
      </w:tr>
    </w:tbl>
    <w:p>
      <w:pPr>
        <w:widowControl/>
        <w:jc w:val="left"/>
        <w:rPr>
          <w:rFonts w:ascii="Times New Roman" w:hAnsi="Times New Roman" w:eastAsia="仿宋_GB2312" w:cs="Times New Roman"/>
          <w:color w:val="000000"/>
          <w:kern w:val="0"/>
          <w:szCs w:val="24"/>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仿宋_GB2312" w:cs="Times New Roman"/>
          <w:color w:val="000000"/>
          <w:kern w:val="0"/>
          <w:szCs w:val="24"/>
        </w:rPr>
        <w:t>注：本表反映部门本年度一般公共预算财政拨款基本支出明细情况。</w:t>
      </w:r>
    </w:p>
    <w:p>
      <w:pPr>
        <w:pStyle w:val="2"/>
      </w:pP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8"/>
                <w:rFonts w:hint="default" w:ascii="Times New Roman" w:hAnsi="Times New Roman" w:eastAsia="仿宋_GB2312" w:cs="Times New Roman"/>
                <w:b/>
                <w:bCs/>
                <w:lang w:bidi="ar"/>
              </w:rPr>
              <w:t xml:space="preserve">   </w:t>
            </w:r>
            <w:r>
              <w:rPr>
                <w:rStyle w:val="19"/>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eastAsia="仿宋_GB2312" w:cs="Times New Roman"/>
                <w:b/>
                <w:bCs/>
                <w:color w:val="000000"/>
                <w:kern w:val="0"/>
                <w:sz w:val="24"/>
                <w:szCs w:val="24"/>
                <w:lang w:eastAsia="zh-CN"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1"/>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20"/>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imes New Roman" w:hAnsi="Times New Roman" w:eastAsia="仿宋_GB2312" w:cs="Times New Roman"/>
                <w:b/>
                <w:bCs/>
                <w:color w:val="000000"/>
                <w:sz w:val="24"/>
                <w:szCs w:val="24"/>
                <w:lang w:eastAsia="zh-CN"/>
              </w:rPr>
            </w:pPr>
            <w:r>
              <w:rPr>
                <w:rFonts w:hint="eastAsia" w:ascii="Times New Roman" w:hAnsi="Times New Roman" w:eastAsia="仿宋_GB2312" w:cs="Times New Roman"/>
                <w:b/>
                <w:bCs/>
                <w:color w:val="000000"/>
                <w:kern w:val="0"/>
                <w:sz w:val="24"/>
                <w:szCs w:val="24"/>
                <w:lang w:eastAsia="zh-CN"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9"/>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湖南省市场监督管理局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1"/>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757.10</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223.00</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385.53</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79.00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306.53</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148.57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288.09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76.67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198.91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53.87</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145.04</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color w:val="000000"/>
                <w:sz w:val="22"/>
              </w:rPr>
            </w:pPr>
            <w:r>
              <w:rPr>
                <w:rFonts w:hint="default" w:ascii="Times New Roman" w:hAnsi="Times New Roman" w:eastAsia="仿宋_GB2312" w:cs="Times New Roman"/>
                <w:i w:val="0"/>
                <w:color w:val="000000"/>
                <w:kern w:val="0"/>
                <w:sz w:val="22"/>
                <w:szCs w:val="22"/>
                <w:u w:val="none"/>
                <w:lang w:val="en-US" w:eastAsia="zh-CN" w:bidi="ar"/>
              </w:rPr>
              <w:t>12.52</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rPr>
          <w:rFonts w:ascii="Times New Roman" w:hAnsi="Times New Roman" w:cs="Times New Roman"/>
          <w:sz w:val="72"/>
          <w:szCs w:val="72"/>
        </w:rPr>
      </w:pPr>
    </w:p>
    <w:p>
      <w:pPr>
        <w:pStyle w:val="15"/>
        <w:jc w:val="center"/>
        <w:rPr>
          <w:rFonts w:ascii="Times New Roman" w:hAnsi="Times New Roman" w:cs="Times New Roman"/>
          <w:sz w:val="72"/>
          <w:szCs w:val="72"/>
        </w:rPr>
      </w:pPr>
    </w:p>
    <w:p>
      <w:pPr>
        <w:pStyle w:val="15"/>
        <w:jc w:val="center"/>
        <w:rPr>
          <w:rFonts w:ascii="Times New Roman" w:hAnsi="Times New Roman" w:eastAsia="方正小标宋_GBK"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rPr>
        <w:t>136268.42</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4949.42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3.50</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行政运行、事业运行、质量安全监管和食品安全监管等重点支出，体现在有关支出科目中。</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rPr>
        <w:t>114794.2</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77396.82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67.42</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315.51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0.27%</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36617.79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31.90%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464.08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0.40%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rPr>
        <w:t>108257.42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40792.77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37.68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31902.78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29.47</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35561.87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32.85</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5"/>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rPr>
        <w:t>84348.76</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1551.00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1.81</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rPr>
        <w:t>70677.59</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83.97</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3632.14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4.89</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rPr>
        <w:t>70677.59</w:t>
      </w:r>
      <w:r>
        <w:rPr>
          <w:rFonts w:ascii="Times New Roman" w:hAnsi="Times New Roman" w:eastAsia="仿宋_GB2312" w:cs="Times New Roman"/>
          <w:sz w:val="32"/>
          <w:szCs w:val="32"/>
        </w:rPr>
        <w:t>万元，主要用于以下方面：一</w:t>
      </w:r>
      <w:r>
        <w:rPr>
          <w:rFonts w:hint="eastAsia" w:ascii="Times New Roman" w:hAnsi="Times New Roman" w:eastAsia="仿宋_GB2312" w:cs="Times New Roman"/>
          <w:sz w:val="32"/>
          <w:szCs w:val="32"/>
          <w:lang w:eastAsia="zh-CN"/>
        </w:rPr>
        <w:t>般公共服务（类）支出</w:t>
      </w:r>
      <w:r>
        <w:rPr>
          <w:rFonts w:hint="eastAsia" w:ascii="Times New Roman" w:hAnsi="Times New Roman" w:eastAsia="仿宋_GB2312" w:cs="Times New Roman"/>
          <w:sz w:val="32"/>
          <w:szCs w:val="32"/>
          <w:lang w:val="en-US" w:eastAsia="zh-CN"/>
        </w:rPr>
        <w:t>60333.40</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85.36</w:t>
      </w:r>
      <w:r>
        <w:rPr>
          <w:rFonts w:hint="eastAsia" w:ascii="Times New Roman" w:hAnsi="Times New Roman" w:eastAsia="仿宋_GB2312" w:cs="Times New Roman"/>
          <w:sz w:val="32"/>
          <w:szCs w:val="32"/>
          <w:lang w:eastAsia="zh-CN"/>
        </w:rPr>
        <w:t>%；教育（类）支出</w:t>
      </w:r>
      <w:r>
        <w:rPr>
          <w:rFonts w:hint="eastAsia" w:ascii="Times New Roman" w:hAnsi="Times New Roman" w:eastAsia="仿宋_GB2312" w:cs="Times New Roman"/>
          <w:sz w:val="32"/>
          <w:szCs w:val="32"/>
          <w:lang w:val="en-US" w:eastAsia="zh-CN"/>
        </w:rPr>
        <w:t>533.12</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0.75</w:t>
      </w:r>
      <w:r>
        <w:rPr>
          <w:rFonts w:hint="eastAsia" w:ascii="Times New Roman" w:hAnsi="Times New Roman" w:eastAsia="仿宋_GB2312" w:cs="Times New Roman"/>
          <w:sz w:val="32"/>
          <w:szCs w:val="32"/>
          <w:lang w:eastAsia="zh-CN"/>
        </w:rPr>
        <w:t>%；科学技术（类）支出</w:t>
      </w:r>
      <w:r>
        <w:rPr>
          <w:rFonts w:hint="eastAsia" w:ascii="Times New Roman" w:hAnsi="Times New Roman" w:eastAsia="仿宋_GB2312" w:cs="Times New Roman"/>
          <w:sz w:val="32"/>
          <w:szCs w:val="32"/>
          <w:lang w:val="en-US" w:eastAsia="zh-CN"/>
        </w:rPr>
        <w:t>7.41</w:t>
      </w:r>
      <w:r>
        <w:rPr>
          <w:rFonts w:hint="eastAsia" w:ascii="Times New Roman" w:hAnsi="Times New Roman" w:eastAsia="仿宋_GB2312" w:cs="Times New Roman"/>
          <w:sz w:val="32"/>
          <w:szCs w:val="32"/>
          <w:lang w:eastAsia="zh-CN"/>
        </w:rPr>
        <w:t>万元，占</w:t>
      </w:r>
      <w:r>
        <w:rPr>
          <w:rFonts w:hint="eastAsia" w:ascii="Times New Roman" w:hAnsi="Times New Roman" w:eastAsia="仿宋_GB2312" w:cs="Times New Roman"/>
          <w:sz w:val="32"/>
          <w:szCs w:val="32"/>
          <w:lang w:val="en-US" w:eastAsia="zh-CN"/>
        </w:rPr>
        <w:t>0.01</w:t>
      </w:r>
      <w:r>
        <w:rPr>
          <w:rFonts w:hint="eastAsia" w:ascii="Times New Roman" w:hAnsi="Times New Roman" w:eastAsia="仿宋_GB2312" w:cs="Times New Roman"/>
          <w:sz w:val="32"/>
          <w:szCs w:val="32"/>
          <w:lang w:eastAsia="zh-CN"/>
        </w:rPr>
        <w:t>%；社会保障和就业（类）支</w:t>
      </w:r>
      <w:r>
        <w:rPr>
          <w:rFonts w:ascii="Times New Roman" w:hAnsi="Times New Roman" w:eastAsia="仿宋_GB2312" w:cs="Times New Roman"/>
          <w:sz w:val="32"/>
          <w:szCs w:val="32"/>
        </w:rPr>
        <w:t>出</w:t>
      </w:r>
      <w:r>
        <w:rPr>
          <w:rFonts w:hint="eastAsia" w:ascii="Times New Roman" w:hAnsi="Times New Roman" w:eastAsia="仿宋_GB2312" w:cs="Times New Roman"/>
          <w:sz w:val="32"/>
          <w:szCs w:val="32"/>
          <w:lang w:val="en-US" w:eastAsia="zh-CN"/>
        </w:rPr>
        <w:t>5380.99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7.61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1989.98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节能环保支出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17.89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自然资源海洋气象等</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262.03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2152.77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年度财政拨款支出年初预算数为74718.52万元，支出决算数为70677.59万元，完成年初预算的</w:t>
      </w:r>
      <w:r>
        <w:rPr>
          <w:rFonts w:hint="eastAsia" w:ascii="Times New Roman" w:hAnsi="Times New Roman" w:eastAsia="仿宋_GB2312" w:cs="Times New Roman"/>
          <w:sz w:val="32"/>
          <w:szCs w:val="32"/>
          <w:lang w:val="en-US" w:eastAsia="zh-CN"/>
        </w:rPr>
        <w:t>94.59</w:t>
      </w:r>
      <w:r>
        <w:rPr>
          <w:rFonts w:hint="eastAsia" w:ascii="Times New Roman" w:hAnsi="Times New Roman" w:eastAsia="仿宋_GB2312" w:cs="Times New Roman"/>
          <w:sz w:val="32"/>
          <w:szCs w:val="32"/>
          <w:lang w:eastAsia="zh-CN"/>
        </w:rPr>
        <w:t>%，其中：</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1、一般公共服务（类）知识产权事务（款）知识产权战略和规划（项）。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1.92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3.88</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202.08</w:t>
      </w:r>
      <w:r>
        <w:rPr>
          <w:rFonts w:hint="eastAsia" w:ascii="Times New Roman" w:hAnsi="Times New Roman" w:eastAsia="仿宋_GB2312" w:cs="Times New Roman"/>
          <w:sz w:val="32"/>
          <w:szCs w:val="32"/>
          <w:lang w:eastAsia="zh-CN"/>
        </w:rPr>
        <w:t>%，决算数大于年初预算数的主要原因是：经省财政厅批准盘活上年结转结余资金。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2、一般公共服务（类）知识产权事务（款）知识产权宏观管理（项）。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119.81</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81.94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68.39</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、一般公共服务（类）知识产权事务（款）其他知识产权事务支出（项）。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146.39</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255.09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174.26</w:t>
      </w:r>
      <w:r>
        <w:rPr>
          <w:rFonts w:hint="eastAsia" w:ascii="Times New Roman" w:hAnsi="Times New Roman" w:eastAsia="仿宋_GB2312" w:cs="Times New Roman"/>
          <w:sz w:val="32"/>
          <w:szCs w:val="32"/>
          <w:lang w:eastAsia="zh-CN"/>
        </w:rPr>
        <w:t>%，决算数大于年初预算数的主要原因是：省财政年中追加下达省级市场监管专项资金。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、一般公共服务（类）其他共产党事务支出（款）一般行政管理事务（项）。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万元，决算数大于年初预算数的主要原因是：省财政年中追加下达省直工委机关党建立项课题研究经费。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、一般公共服务（类）市场监督管理事务（款）行政运行（项）。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7116.32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7737.68</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108.73</w:t>
      </w:r>
      <w:r>
        <w:rPr>
          <w:rFonts w:hint="eastAsia" w:ascii="Times New Roman" w:hAnsi="Times New Roman" w:eastAsia="仿宋_GB2312" w:cs="Times New Roman"/>
          <w:sz w:val="32"/>
          <w:szCs w:val="32"/>
          <w:lang w:eastAsia="zh-CN"/>
        </w:rPr>
        <w:t>%，决算数大于年初预算数的主要原因是：省财政年中追加下达人员经费。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、一般公共服务（类）市场监督管理事务（款）一般行政管理事务（项）。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1447.47</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1106.05</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76.41</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%，决算数小于年初预算数的主要原因是：贯彻中央过“紧日子”指示精神，根据省委、省政府决策部署，项目资金及一般性支出大幅压减。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、一般公共服务（类）市场监督管理事务（款）机关服务（项）。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1554.32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1596.44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102.71</w:t>
      </w:r>
      <w:r>
        <w:rPr>
          <w:rFonts w:hint="eastAsia" w:ascii="Times New Roman" w:hAnsi="Times New Roman" w:eastAsia="仿宋_GB2312" w:cs="Times New Roman"/>
          <w:sz w:val="32"/>
          <w:szCs w:val="32"/>
          <w:lang w:eastAsia="zh-CN"/>
        </w:rPr>
        <w:t>%，决算数大于年初预算数的主要原因是：因工作实际变化，年中申请追加经费。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、一般公共服务（类）市场监督管理事务（款）经营主体管理（项）。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912.92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453.43</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49.67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、一般公共服务（类）市场监督管理事务（款）市场秩序执法（项）。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2798.83</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1488.00</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53.17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eastAsia="zh-CN"/>
        </w:rPr>
        <w:t>、一般公共服务（类）市场监督管理事务（款）信息化建设（项）。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3206.73</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1971.09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61.47</w:t>
      </w:r>
      <w:r>
        <w:rPr>
          <w:rFonts w:hint="eastAsia" w:ascii="Times New Roman" w:hAnsi="Times New Roman" w:eastAsia="仿宋_GB2312" w:cs="Times New Roman"/>
          <w:sz w:val="32"/>
          <w:szCs w:val="32"/>
          <w:lang w:eastAsia="zh-CN"/>
        </w:rPr>
        <w:t>%，决算数小于年初预算数的主要原因是：贯彻中央过“紧日子”指示精神，根据省委、省政府决策部署，专项资金规模大幅压减。</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sz w:val="32"/>
          <w:szCs w:val="32"/>
          <w:lang w:eastAsia="zh-CN"/>
        </w:rPr>
        <w:t>、一般公共服务（类）市场监督管理事务（款）质量基础（项）。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1710.50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1530.06</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89.45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2、一般公共服务（类）市场监督管理事务（款）质量安全监管（项）。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7103.50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7022.12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98.85</w:t>
      </w:r>
      <w:r>
        <w:rPr>
          <w:rFonts w:hint="eastAsia" w:ascii="Times New Roman" w:hAnsi="Times New Roman" w:eastAsia="仿宋_GB2312" w:cs="Times New Roman"/>
          <w:sz w:val="32"/>
          <w:szCs w:val="32"/>
          <w:lang w:eastAsia="zh-CN"/>
        </w:rPr>
        <w:t>%，决算数小于年初预算数的主要原因是：按照年初原定计划实施项目，严格执行预算，根据厉行节约的要求，略有结余。</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、一般公共服务（类）市场监督管理事务（款）食品安全监管（项）。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5622.01</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5152.55</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91.65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14</w:t>
      </w:r>
      <w:r>
        <w:rPr>
          <w:rFonts w:hint="eastAsia" w:ascii="Times New Roman" w:hAnsi="Times New Roman" w:eastAsia="仿宋_GB2312" w:cs="Times New Roman"/>
          <w:sz w:val="32"/>
          <w:szCs w:val="32"/>
          <w:lang w:eastAsia="zh-CN"/>
        </w:rPr>
        <w:t>、一般公共服务（类）市场监督管理事务（款）事业运行（项）。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22692.74</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23324.12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102.78</w:t>
      </w:r>
      <w:r>
        <w:rPr>
          <w:rFonts w:hint="eastAsia" w:ascii="Times New Roman" w:hAnsi="Times New Roman" w:eastAsia="仿宋_GB2312" w:cs="Times New Roman"/>
          <w:sz w:val="32"/>
          <w:szCs w:val="32"/>
          <w:lang w:eastAsia="zh-CN"/>
        </w:rPr>
        <w:t>%，决算数大于年初预算数的主要原因是：因人员增减变动，年中申请追加人员经费。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15</w:t>
      </w:r>
      <w:r>
        <w:rPr>
          <w:rFonts w:hint="eastAsia" w:ascii="Times New Roman" w:hAnsi="Times New Roman" w:eastAsia="仿宋_GB2312" w:cs="Times New Roman"/>
          <w:sz w:val="32"/>
          <w:szCs w:val="32"/>
          <w:lang w:eastAsia="zh-CN"/>
        </w:rPr>
        <w:t>、一般公共服务（类）市场监督管理事务（款）其他市场监督管理事务（项）。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10135.70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8609.94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84.95</w:t>
      </w:r>
      <w:r>
        <w:rPr>
          <w:rFonts w:hint="eastAsia" w:ascii="Times New Roman" w:hAnsi="Times New Roman" w:eastAsia="仿宋_GB2312" w:cs="Times New Roman"/>
          <w:sz w:val="32"/>
          <w:szCs w:val="32"/>
          <w:lang w:eastAsia="zh-CN"/>
        </w:rPr>
        <w:t>%，决算数小于年初预算数的主要原因是：个别项目为跨年项目，按照项目实施进度，项目资金需以后年度支付。</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16</w:t>
      </w:r>
      <w:r>
        <w:rPr>
          <w:rFonts w:hint="eastAsia" w:ascii="Times New Roman" w:hAnsi="Times New Roman" w:eastAsia="仿宋_GB2312" w:cs="Times New Roman"/>
          <w:sz w:val="32"/>
          <w:szCs w:val="32"/>
          <w:lang w:eastAsia="zh-CN"/>
        </w:rPr>
        <w:t>、教育（类）进修及培训（款）培训支出（项）。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587.07</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533.12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90.81</w:t>
      </w:r>
      <w:r>
        <w:rPr>
          <w:rFonts w:hint="eastAsia" w:ascii="Times New Roman" w:hAnsi="Times New Roman" w:eastAsia="仿宋_GB2312" w:cs="Times New Roman"/>
          <w:sz w:val="32"/>
          <w:szCs w:val="32"/>
          <w:lang w:eastAsia="zh-CN"/>
        </w:rPr>
        <w:t>%，决算数小于年初预算数的主要原因是：按照年初原定计划实施项目，严格执行预算，根据厉行节约的要求，略有结余。</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17</w:t>
      </w:r>
      <w:r>
        <w:rPr>
          <w:rFonts w:hint="eastAsia" w:ascii="Times New Roman" w:hAnsi="Times New Roman" w:eastAsia="仿宋_GB2312" w:cs="Times New Roman"/>
          <w:sz w:val="32"/>
          <w:szCs w:val="32"/>
          <w:lang w:eastAsia="zh-CN"/>
        </w:rPr>
        <w:t>、科学技术（类）科学技术普及（款）其他科学技术普及支出（项）。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0.38</w:t>
      </w:r>
      <w:r>
        <w:rPr>
          <w:rFonts w:hint="eastAsia" w:ascii="Times New Roman" w:hAnsi="Times New Roman" w:eastAsia="仿宋_GB2312" w:cs="Times New Roman"/>
          <w:sz w:val="32"/>
          <w:szCs w:val="32"/>
          <w:lang w:eastAsia="zh-CN"/>
        </w:rPr>
        <w:t>万元，决算数大于年初预算数的主要原因是：省财政年中追加下达创新型省份建设专项项目经费。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18</w:t>
      </w:r>
      <w:r>
        <w:rPr>
          <w:rFonts w:hint="eastAsia" w:ascii="Times New Roman" w:hAnsi="Times New Roman" w:eastAsia="仿宋_GB2312" w:cs="Times New Roman"/>
          <w:sz w:val="32"/>
          <w:szCs w:val="32"/>
          <w:lang w:eastAsia="zh-CN"/>
        </w:rPr>
        <w:t>、科学技术（类）其他科学技术支出（款）科技奖励（项）。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0.20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0.20</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%，决算数等于年初预算数。</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19</w:t>
      </w:r>
      <w:r>
        <w:rPr>
          <w:rFonts w:hint="eastAsia" w:ascii="Times New Roman" w:hAnsi="Times New Roman" w:eastAsia="仿宋_GB2312" w:cs="Times New Roman"/>
          <w:sz w:val="32"/>
          <w:szCs w:val="32"/>
          <w:lang w:eastAsia="zh-CN"/>
        </w:rPr>
        <w:t>、科学技术（类）其他科学技术支出（款）其他科学技术支出（项）。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6.83</w:t>
      </w:r>
      <w:r>
        <w:rPr>
          <w:rFonts w:hint="eastAsia" w:ascii="Times New Roman" w:hAnsi="Times New Roman" w:eastAsia="仿宋_GB2312" w:cs="Times New Roman"/>
          <w:sz w:val="32"/>
          <w:szCs w:val="32"/>
          <w:lang w:eastAsia="zh-CN"/>
        </w:rPr>
        <w:t>万元，决算数大于年初预算数的主要原因是：省财政年中追加下达人才发展专项资金和2023年湖湘青年英才项目经费。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、社会保障和就业（类）行政事业单位养老支出（款）行政单位离退休（项）。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1766.96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1736.82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98.29</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、社会保障和就业（类）行政事业单位养老支出（款）事业单位离退休（项）。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754.16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736.24</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97.62</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、社会保障和就业（类）行政事业单位养老支出（款）机关事业单位基本养老保险缴费支出（项）。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2238.30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2262.42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101.08</w:t>
      </w:r>
      <w:r>
        <w:rPr>
          <w:rFonts w:hint="eastAsia" w:ascii="Times New Roman" w:hAnsi="Times New Roman" w:eastAsia="仿宋_GB2312" w:cs="Times New Roman"/>
          <w:sz w:val="32"/>
          <w:szCs w:val="32"/>
          <w:lang w:eastAsia="zh-CN"/>
        </w:rPr>
        <w:t>%，决算数大于年初预算数的主要原因是：社保基数调整，年中在总预算额度内进行预算调剂。</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、社会保障和就业（类）行政事业单位养老支出（款）机关事业单位职业年金缴费支出（项）。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419.32</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419.32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eastAsia="zh-CN"/>
        </w:rPr>
        <w:t>%，决算数等于年初预算数。</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、社会保障和就业（类）抚恤（款）死亡抚恤（项）。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7.00</w:t>
      </w:r>
      <w:r>
        <w:rPr>
          <w:rFonts w:hint="eastAsia" w:ascii="Times New Roman" w:hAnsi="Times New Roman" w:eastAsia="仿宋_GB2312" w:cs="Times New Roman"/>
          <w:sz w:val="32"/>
          <w:szCs w:val="32"/>
          <w:lang w:eastAsia="zh-CN"/>
        </w:rPr>
        <w:t>万元，决算数大于年初预算数的主要原因是：省财政年中根据我局实际支出追加下达抚恤金。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、社会保障和就业（类）其他社会保障和就业支出（款）其他社会保障和就业支出（项）。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221.46</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219.19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98.97</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、卫生健康（类）行政事业单位医疗（款）行政单位医疗（项）。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476.90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474.72</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99.54</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、卫生健康（类）行政事业单位医疗（款）事业单位医疗（项）。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1161.38</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1143.29</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98.44</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、卫生健康（类）行政事业单位医疗（款）公务员医疗补助（项）。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375.10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371.97</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99.17</w:t>
      </w:r>
      <w:r>
        <w:rPr>
          <w:rFonts w:hint="eastAsia" w:ascii="Times New Roman" w:hAnsi="Times New Roman" w:eastAsia="仿宋_GB2312" w:cs="Times New Roman"/>
          <w:sz w:val="32"/>
          <w:szCs w:val="32"/>
          <w:lang w:eastAsia="zh-CN"/>
        </w:rPr>
        <w:t>%，决算数小于年初预算数的主要原因是：年初人员经费按照收支基本平衡、略有结余的原则编制预算，用于应对年中人员异动情况。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lang w:eastAsia="zh-CN"/>
        </w:rPr>
        <w:t>、节能环保（类）环境保护管理事务（款）环境保护法规、规划及标准（项）。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17.89</w:t>
      </w:r>
      <w:r>
        <w:rPr>
          <w:rFonts w:hint="eastAsia" w:ascii="Times New Roman" w:hAnsi="Times New Roman" w:eastAsia="仿宋_GB2312" w:cs="Times New Roman"/>
          <w:sz w:val="32"/>
          <w:szCs w:val="32"/>
          <w:lang w:eastAsia="zh-CN"/>
        </w:rPr>
        <w:t>万元，决算数大于年初预算数的主要原因是：省财政年中追加下达省预算内基本建设专项碳达峰碳中和工作经费。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30</w:t>
      </w:r>
      <w:r>
        <w:rPr>
          <w:rFonts w:hint="eastAsia" w:ascii="Times New Roman" w:hAnsi="Times New Roman" w:eastAsia="仿宋_GB2312" w:cs="Times New Roman"/>
          <w:sz w:val="32"/>
          <w:szCs w:val="32"/>
          <w:lang w:eastAsia="zh-CN"/>
        </w:rPr>
        <w:t>、自然资源海洋气象等（类）自然资源事务（款）基础测绘与地理信息监管（项）。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262.03</w:t>
      </w:r>
      <w:r>
        <w:rPr>
          <w:rFonts w:hint="eastAsia" w:ascii="Times New Roman" w:hAnsi="Times New Roman" w:eastAsia="仿宋_GB2312" w:cs="Times New Roman"/>
          <w:sz w:val="32"/>
          <w:szCs w:val="32"/>
          <w:lang w:eastAsia="zh-CN"/>
        </w:rPr>
        <w:t>万元，决算数大于年初预算数的主要原因是：省财政年中追加下达省级自然资源专项资金。</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31</w:t>
      </w:r>
      <w:r>
        <w:rPr>
          <w:rFonts w:hint="eastAsia" w:ascii="Times New Roman" w:hAnsi="Times New Roman" w:eastAsia="仿宋_GB2312" w:cs="Times New Roman"/>
          <w:sz w:val="32"/>
          <w:szCs w:val="32"/>
          <w:lang w:eastAsia="zh-CN"/>
        </w:rPr>
        <w:t>、住房保障（类）住房改革支出（款）住房公积金（项）。</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年初预算为</w:t>
      </w:r>
      <w:r>
        <w:rPr>
          <w:rFonts w:hint="eastAsia" w:ascii="Times New Roman" w:hAnsi="Times New Roman" w:eastAsia="仿宋_GB2312" w:cs="Times New Roman"/>
          <w:sz w:val="32"/>
          <w:szCs w:val="32"/>
          <w:lang w:val="en-US" w:eastAsia="zh-CN"/>
        </w:rPr>
        <w:t>2148.49</w:t>
      </w:r>
      <w:r>
        <w:rPr>
          <w:rFonts w:hint="eastAsia" w:ascii="Times New Roman" w:hAnsi="Times New Roman" w:eastAsia="仿宋_GB2312" w:cs="Times New Roman"/>
          <w:sz w:val="32"/>
          <w:szCs w:val="32"/>
          <w:lang w:eastAsia="zh-CN"/>
        </w:rPr>
        <w:t>万元，支出决算为</w:t>
      </w:r>
      <w:r>
        <w:rPr>
          <w:rFonts w:hint="eastAsia" w:ascii="Times New Roman" w:hAnsi="Times New Roman" w:eastAsia="仿宋_GB2312" w:cs="Times New Roman"/>
          <w:sz w:val="32"/>
          <w:szCs w:val="32"/>
          <w:lang w:val="en-US" w:eastAsia="zh-CN"/>
        </w:rPr>
        <w:t>2152.77</w:t>
      </w:r>
      <w:r>
        <w:rPr>
          <w:rFonts w:hint="eastAsia" w:ascii="Times New Roman" w:hAnsi="Times New Roman" w:eastAsia="仿宋_GB2312" w:cs="Times New Roman"/>
          <w:sz w:val="32"/>
          <w:szCs w:val="32"/>
          <w:lang w:eastAsia="zh-CN"/>
        </w:rPr>
        <w:t>万元，完成年初预算的</w:t>
      </w:r>
      <w:r>
        <w:rPr>
          <w:rFonts w:hint="eastAsia" w:ascii="Times New Roman" w:hAnsi="Times New Roman" w:eastAsia="仿宋_GB2312" w:cs="Times New Roman"/>
          <w:sz w:val="32"/>
          <w:szCs w:val="32"/>
          <w:lang w:val="en-US" w:eastAsia="zh-CN"/>
        </w:rPr>
        <w:t>100.20</w:t>
      </w:r>
      <w:r>
        <w:rPr>
          <w:rFonts w:hint="eastAsia" w:ascii="Times New Roman" w:hAnsi="Times New Roman" w:eastAsia="仿宋_GB2312" w:cs="Times New Roman"/>
          <w:sz w:val="32"/>
          <w:szCs w:val="32"/>
          <w:lang w:eastAsia="zh-CN"/>
        </w:rPr>
        <w:t>%，决算数大于年初预算数的主要原因是：社保基数调整，导致住房公积金短缺，年中在总预算额度内进行预算调剂。</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按照支出功能分类，</w:t>
      </w:r>
      <w:r>
        <w:rPr>
          <w:rFonts w:hint="eastAsia" w:ascii="Times New Roman" w:hAnsi="Times New Roman" w:eastAsia="仿宋_GB2312" w:cs="Times New Roman"/>
          <w:sz w:val="32"/>
          <w:szCs w:val="32"/>
          <w:lang w:eastAsia="zh-CN"/>
        </w:rPr>
        <w:t>保安全、守底线</w:t>
      </w:r>
      <w:r>
        <w:rPr>
          <w:rFonts w:hint="eastAsia" w:ascii="Times New Roman" w:hAnsi="Times New Roman" w:eastAsia="仿宋_GB2312" w:cs="Times New Roman"/>
          <w:sz w:val="32"/>
          <w:szCs w:val="32"/>
        </w:rPr>
        <w:t>方面的支出规模较大（或占财政拨款支出总额的比重较高），主要是：质量安全监管，2025年度决算数为7022.12万元，占财政拨款支出总额的</w:t>
      </w:r>
      <w:r>
        <w:rPr>
          <w:rFonts w:hint="eastAsia" w:ascii="Times New Roman" w:hAnsi="Times New Roman" w:eastAsia="仿宋_GB2312" w:cs="Times New Roman"/>
          <w:sz w:val="32"/>
          <w:szCs w:val="32"/>
          <w:lang w:val="en-US" w:eastAsia="zh-CN"/>
        </w:rPr>
        <w:t>9.94</w:t>
      </w:r>
      <w:r>
        <w:rPr>
          <w:rFonts w:hint="eastAsia" w:ascii="Times New Roman" w:hAnsi="Times New Roman" w:eastAsia="仿宋_GB2312" w:cs="Times New Roman"/>
          <w:sz w:val="32"/>
          <w:szCs w:val="32"/>
        </w:rPr>
        <w:t>%，</w:t>
      </w:r>
      <w:r>
        <w:rPr>
          <w:rFonts w:hint="eastAsia" w:ascii="Times New Roman" w:hAnsi="Times New Roman" w:eastAsia="仿宋_GB2312" w:cs="Times New Roman"/>
          <w:color w:val="auto"/>
          <w:sz w:val="32"/>
          <w:szCs w:val="32"/>
          <w:shd w:val="clear" w:color="auto" w:fill="auto"/>
        </w:rPr>
        <w:t>主要用于</w:t>
      </w:r>
      <w:r>
        <w:rPr>
          <w:rFonts w:hint="eastAsia" w:ascii="Times New Roman" w:hAnsi="Times New Roman" w:eastAsia="仿宋_GB2312" w:cs="Times New Roman"/>
          <w:color w:val="auto"/>
          <w:sz w:val="32"/>
          <w:szCs w:val="32"/>
          <w:shd w:val="clear" w:color="auto" w:fill="auto"/>
          <w:lang w:eastAsia="zh-CN"/>
        </w:rPr>
        <w:t>产商品质量安全抽检项目；食品</w:t>
      </w:r>
      <w:r>
        <w:rPr>
          <w:rFonts w:hint="eastAsia" w:ascii="Times New Roman" w:hAnsi="Times New Roman" w:eastAsia="仿宋_GB2312" w:cs="Times New Roman"/>
          <w:color w:val="auto"/>
          <w:sz w:val="32"/>
          <w:szCs w:val="32"/>
          <w:shd w:val="clear" w:color="auto" w:fill="auto"/>
        </w:rPr>
        <w:t>安全监管，2025年度决算数为7022.12万元，占财政拨款支出总额的</w:t>
      </w:r>
      <w:r>
        <w:rPr>
          <w:rFonts w:hint="eastAsia" w:ascii="Times New Roman" w:hAnsi="Times New Roman" w:eastAsia="仿宋_GB2312" w:cs="Times New Roman"/>
          <w:color w:val="auto"/>
          <w:sz w:val="32"/>
          <w:szCs w:val="32"/>
          <w:shd w:val="clear" w:color="auto" w:fill="auto"/>
          <w:lang w:val="en-US" w:eastAsia="zh-CN"/>
        </w:rPr>
        <w:t>7.29</w:t>
      </w:r>
      <w:r>
        <w:rPr>
          <w:rFonts w:hint="eastAsia" w:ascii="Times New Roman" w:hAnsi="Times New Roman" w:eastAsia="仿宋_GB2312" w:cs="Times New Roman"/>
          <w:color w:val="auto"/>
          <w:sz w:val="32"/>
          <w:szCs w:val="32"/>
          <w:shd w:val="clear" w:color="auto" w:fill="auto"/>
        </w:rPr>
        <w:t>%，主要用于</w:t>
      </w:r>
      <w:r>
        <w:rPr>
          <w:rFonts w:hint="eastAsia" w:ascii="Times New Roman" w:hAnsi="Times New Roman" w:eastAsia="仿宋_GB2312" w:cs="Times New Roman"/>
          <w:color w:val="auto"/>
          <w:sz w:val="32"/>
          <w:szCs w:val="32"/>
          <w:shd w:val="clear" w:color="auto" w:fill="auto"/>
          <w:lang w:eastAsia="zh-CN"/>
        </w:rPr>
        <w:t>食品质量安全抽检项目。</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年度一般公共预算财政拨款基本支出40571.48万元，其中：</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eastAsia="zh-CN"/>
        </w:rPr>
        <w:t>36242.83万元，占基本支出的</w:t>
      </w:r>
      <w:r>
        <w:rPr>
          <w:rFonts w:hint="eastAsia" w:ascii="Times New Roman" w:hAnsi="Times New Roman" w:eastAsia="仿宋_GB2312" w:cs="Times New Roman"/>
          <w:sz w:val="32"/>
          <w:szCs w:val="32"/>
          <w:lang w:val="en-US" w:eastAsia="zh-CN"/>
        </w:rPr>
        <w:t>89.33</w:t>
      </w:r>
      <w:r>
        <w:rPr>
          <w:rFonts w:hint="eastAsia" w:ascii="Times New Roman" w:hAnsi="Times New Roman" w:eastAsia="仿宋_GB2312" w:cs="Times New Roman"/>
          <w:sz w:val="32"/>
          <w:szCs w:val="32"/>
          <w:lang w:eastAsia="zh-CN"/>
        </w:rPr>
        <w:t>%,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补助等。</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eastAsia="zh-CN"/>
        </w:rPr>
        <w:t>4328.65万元，占基本支出的</w:t>
      </w:r>
      <w:r>
        <w:rPr>
          <w:rFonts w:hint="eastAsia" w:ascii="Times New Roman" w:hAnsi="Times New Roman" w:eastAsia="仿宋_GB2312" w:cs="Times New Roman"/>
          <w:sz w:val="32"/>
          <w:szCs w:val="32"/>
          <w:lang w:val="en-US" w:eastAsia="zh-CN"/>
        </w:rPr>
        <w:t>10.67</w:t>
      </w:r>
      <w:r>
        <w:rPr>
          <w:rFonts w:hint="eastAsia" w:ascii="Times New Roman" w:hAnsi="Times New Roman" w:eastAsia="仿宋_GB2312" w:cs="Times New Roman"/>
          <w:sz w:val="32"/>
          <w:szCs w:val="32"/>
          <w:lang w:eastAsia="zh-CN"/>
        </w:rPr>
        <w:t>%，主要包括办公费、印刷费、水费、电费、邮电费、取暖费、物业管理费、差旅费、维修（护）费、租赁费、会议费、培训费、公务接待费、劳务费、委托业务费、工会经费、福利费、公务用车运行维护费、其他交通费用、其他商品和服务支出、办公设备购置等。</w:t>
      </w:r>
    </w:p>
    <w:p>
      <w:pPr>
        <w:pStyle w:val="15"/>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年度“三公”经费财政拨款支出预算为757.1</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万元，支出决算为288.09万元，完成预算的</w:t>
      </w:r>
      <w:r>
        <w:rPr>
          <w:rFonts w:hint="eastAsia" w:ascii="Times New Roman" w:hAnsi="Times New Roman" w:eastAsia="仿宋_GB2312" w:cs="Times New Roman"/>
          <w:sz w:val="32"/>
          <w:szCs w:val="32"/>
          <w:lang w:val="en-US" w:eastAsia="zh-CN"/>
        </w:rPr>
        <w:t>38.05</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204.46</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41.51</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w:t>
      </w:r>
    </w:p>
    <w:p>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1.因公出国（境）费支出预算为223</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lang w:eastAsia="zh-CN"/>
        </w:rPr>
        <w:t>万元，支出决算为76.67万元，完成预算的</w:t>
      </w:r>
      <w:r>
        <w:rPr>
          <w:rFonts w:hint="eastAsia" w:ascii="Times New Roman" w:hAnsi="Times New Roman" w:eastAsia="仿宋_GB2312" w:cs="Times New Roman"/>
          <w:sz w:val="32"/>
          <w:szCs w:val="32"/>
          <w:lang w:val="en-US" w:eastAsia="zh-CN"/>
        </w:rPr>
        <w:t>34.38</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71.97</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48.42</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%。决算数小于预算数的主要原因是按照厉行节约的原则严控三公经费支出。决算数小于上年数的主要原因是按照厉行节约的原则严控三公经费支出。2025年度安排因公出国（境）团组</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个，累计</w:t>
      </w:r>
      <w:r>
        <w:rPr>
          <w:rFonts w:hint="eastAsia" w:ascii="Times New Roman" w:hAnsi="Times New Roman" w:eastAsia="仿宋_GB2312" w:cs="Times New Roman"/>
          <w:sz w:val="32"/>
          <w:szCs w:val="32"/>
          <w:lang w:val="en-US" w:eastAsia="zh-CN"/>
        </w:rPr>
        <w:t>21</w:t>
      </w:r>
      <w:r>
        <w:rPr>
          <w:rFonts w:hint="eastAsia" w:ascii="Times New Roman" w:hAnsi="Times New Roman" w:eastAsia="仿宋_GB2312" w:cs="Times New Roman"/>
          <w:sz w:val="32"/>
          <w:szCs w:val="32"/>
          <w:lang w:eastAsia="zh-CN"/>
        </w:rPr>
        <w:t>人次,主要包括：</w:t>
      </w:r>
    </w:p>
    <w:p>
      <w:pPr>
        <w:pStyle w:val="15"/>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hint="eastAsia" w:ascii="Times New Roman" w:hAnsi="Times New Roman" w:eastAsia="仿宋_GB2312" w:cs="Times New Roman"/>
          <w:color w:val="auto"/>
          <w:sz w:val="32"/>
          <w:szCs w:val="32"/>
          <w:lang w:eastAsia="zh-CN"/>
        </w:rPr>
        <w:t>赴乌兹别克斯坦、俄罗斯</w:t>
      </w:r>
      <w:r>
        <w:rPr>
          <w:rFonts w:hint="eastAsia" w:ascii="Times New Roman" w:hAnsi="Times New Roman" w:eastAsia="仿宋_GB2312" w:cs="Times New Roman"/>
          <w:color w:val="auto"/>
          <w:sz w:val="32"/>
          <w:szCs w:val="32"/>
        </w:rPr>
        <w:t>就金融、医药、教育、科技、民政及区域经济等领域开展国际交流合作</w:t>
      </w:r>
      <w:r>
        <w:rPr>
          <w:rFonts w:hint="eastAsia" w:ascii="Times New Roman" w:hAnsi="Times New Roman" w:eastAsia="仿宋_GB2312" w:cs="Times New Roman"/>
          <w:color w:val="auto"/>
          <w:sz w:val="32"/>
          <w:szCs w:val="32"/>
          <w:lang w:eastAsia="zh-CN"/>
        </w:rPr>
        <w:t>支出</w:t>
      </w:r>
      <w:r>
        <w:rPr>
          <w:rFonts w:hint="eastAsia" w:ascii="Times New Roman" w:hAnsi="Times New Roman" w:eastAsia="仿宋_GB2312" w:cs="Times New Roman"/>
          <w:color w:val="auto"/>
          <w:sz w:val="32"/>
          <w:szCs w:val="32"/>
          <w:lang w:val="en-US" w:eastAsia="zh-CN"/>
        </w:rPr>
        <w:t>10.70万元，赴港参加“第十五届亚洲知识产权营商论坛”支出10.26万元</w:t>
      </w:r>
      <w:r>
        <w:rPr>
          <w:rFonts w:hint="eastAsia" w:ascii="Times New Roman" w:hAnsi="Times New Roman" w:eastAsia="仿宋_GB2312" w:cs="Times New Roman"/>
          <w:color w:val="auto"/>
          <w:sz w:val="32"/>
          <w:szCs w:val="32"/>
          <w:lang w:eastAsia="zh-CN"/>
        </w:rPr>
        <w:t>，受湖南省商务厅邀请赴港澳地区开展经贸促进活动支出</w:t>
      </w:r>
      <w:r>
        <w:rPr>
          <w:rFonts w:hint="eastAsia" w:ascii="Times New Roman" w:hAnsi="Times New Roman" w:eastAsia="仿宋_GB2312" w:cs="Times New Roman"/>
          <w:color w:val="auto"/>
          <w:sz w:val="32"/>
          <w:szCs w:val="32"/>
          <w:lang w:val="en-US" w:eastAsia="zh-CN"/>
        </w:rPr>
        <w:t>1.95万元</w:t>
      </w:r>
      <w:r>
        <w:rPr>
          <w:rFonts w:hint="eastAsia" w:ascii="Times New Roman" w:hAnsi="Times New Roman" w:eastAsia="仿宋_GB2312" w:cs="Times New Roman"/>
          <w:color w:val="auto"/>
          <w:sz w:val="32"/>
          <w:szCs w:val="32"/>
          <w:lang w:eastAsia="zh-CN"/>
        </w:rPr>
        <w:t>，赴</w:t>
      </w:r>
      <w:r>
        <w:rPr>
          <w:rFonts w:hint="eastAsia" w:ascii="Times New Roman" w:hAnsi="Times New Roman" w:eastAsia="仿宋_GB2312" w:cs="Times New Roman"/>
          <w:color w:val="auto"/>
          <w:sz w:val="32"/>
          <w:szCs w:val="32"/>
        </w:rPr>
        <w:t>澳大利亚、新西兰经贸交流活动支出</w:t>
      </w:r>
      <w:r>
        <w:rPr>
          <w:rFonts w:hint="eastAsia" w:ascii="Times New Roman" w:hAnsi="Times New Roman" w:eastAsia="仿宋_GB2312" w:cs="Times New Roman"/>
          <w:color w:val="auto"/>
          <w:sz w:val="32"/>
          <w:szCs w:val="32"/>
          <w:lang w:val="en-US" w:eastAsia="zh-CN"/>
        </w:rPr>
        <w:t>25.33</w:t>
      </w:r>
      <w:r>
        <w:rPr>
          <w:rFonts w:hint="eastAsia"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；赴德国承压类检验业务支出13万元；</w:t>
      </w:r>
      <w:r>
        <w:rPr>
          <w:rFonts w:hint="eastAsia" w:ascii="Times New Roman" w:hAnsi="Times New Roman" w:eastAsia="仿宋_GB2312" w:cs="Times New Roman"/>
          <w:color w:val="auto"/>
          <w:sz w:val="32"/>
          <w:szCs w:val="32"/>
        </w:rPr>
        <w:t>赴坦桑尼亚开展计量检测服务支出9.23万元</w:t>
      </w:r>
      <w:r>
        <w:rPr>
          <w:rFonts w:hint="eastAsia" w:ascii="Times New Roman" w:hAnsi="Times New Roman" w:eastAsia="仿宋_GB2312" w:cs="Times New Roman"/>
          <w:color w:val="auto"/>
          <w:sz w:val="32"/>
          <w:szCs w:val="32"/>
          <w:lang w:eastAsia="zh-CN"/>
        </w:rPr>
        <w:t>；赴</w:t>
      </w:r>
      <w:r>
        <w:rPr>
          <w:rFonts w:hint="eastAsia" w:ascii="Times New Roman" w:hAnsi="Times New Roman" w:eastAsia="仿宋_GB2312" w:cs="Times New Roman"/>
          <w:color w:val="auto"/>
          <w:sz w:val="32"/>
          <w:szCs w:val="32"/>
        </w:rPr>
        <w:t>澳大利亚、新西兰经贸交流活动支出6.19万元</w:t>
      </w:r>
      <w:r>
        <w:rPr>
          <w:rFonts w:ascii="Times New Roman" w:hAnsi="Times New Roman" w:eastAsia="仿宋_GB2312" w:cs="Times New Roman"/>
          <w:color w:val="auto"/>
          <w:sz w:val="32"/>
          <w:szCs w:val="32"/>
        </w:rPr>
        <w:t>，主要用于</w:t>
      </w:r>
      <w:r>
        <w:rPr>
          <w:rFonts w:hint="eastAsia" w:ascii="Times New Roman" w:hAnsi="Times New Roman" w:eastAsia="仿宋_GB2312" w:cs="Times New Roman"/>
          <w:color w:val="auto"/>
          <w:sz w:val="32"/>
          <w:szCs w:val="32"/>
        </w:rPr>
        <w:t>差旅、住宿、交通、会议等事项</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2.公务用车购置费及运行维护费支出预算为385.53万元，支出决算为198.91万元，完成预算的</w:t>
      </w:r>
      <w:r>
        <w:rPr>
          <w:rFonts w:hint="eastAsia" w:ascii="Times New Roman" w:hAnsi="Times New Roman" w:eastAsia="仿宋_GB2312" w:cs="Times New Roman"/>
          <w:sz w:val="32"/>
          <w:szCs w:val="32"/>
          <w:lang w:val="en-US" w:eastAsia="zh-CN"/>
        </w:rPr>
        <w:t>51.59</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115.31</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36.70</w:t>
      </w:r>
      <w:r>
        <w:rPr>
          <w:rFonts w:hint="eastAsia" w:ascii="Times New Roman" w:hAnsi="Times New Roman" w:eastAsia="仿宋_GB2312" w:cs="Times New Roman"/>
          <w:sz w:val="32"/>
          <w:szCs w:val="32"/>
          <w:lang w:eastAsia="zh-CN"/>
        </w:rPr>
        <w:t>%。其中：</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公务用车购置费支出预算为79</w:t>
      </w:r>
      <w:r>
        <w:rPr>
          <w:rFonts w:hint="eastAsia" w:ascii="Times New Roman" w:hAnsi="Times New Roman" w:eastAsia="仿宋_GB2312" w:cs="Times New Roman"/>
          <w:sz w:val="32"/>
          <w:szCs w:val="32"/>
          <w:lang w:val="en-US" w:eastAsia="zh-CN"/>
        </w:rPr>
        <w:t>.00</w:t>
      </w:r>
      <w:r>
        <w:rPr>
          <w:rFonts w:hint="eastAsia" w:ascii="Times New Roman" w:hAnsi="Times New Roman" w:eastAsia="仿宋_GB2312" w:cs="Times New Roman"/>
          <w:sz w:val="32"/>
          <w:szCs w:val="32"/>
          <w:lang w:eastAsia="zh-CN"/>
        </w:rPr>
        <w:t>万元，支出决算为53.87万元，完成预算的</w:t>
      </w:r>
      <w:r>
        <w:rPr>
          <w:rFonts w:hint="eastAsia" w:ascii="Times New Roman" w:hAnsi="Times New Roman" w:eastAsia="仿宋_GB2312" w:cs="Times New Roman"/>
          <w:sz w:val="32"/>
          <w:szCs w:val="32"/>
          <w:lang w:val="en-US" w:eastAsia="zh-CN"/>
        </w:rPr>
        <w:t>68.19</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89.03</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62.30</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%。决算数小于预算数的主要原因是按照厉行节约的原则严控三公经费支出。决算数小于上年数的主要原因是按照厉行节约的原则严控三公经费支出。局机关及二级单位更新公务用车</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辆。</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公务用车运行维护费支出预算为306.53万元，支出决算为145.04万元，主要是公务车的燃油费、保险、维修维护费、过桥过路费等支出，完成预算的</w:t>
      </w:r>
      <w:r>
        <w:rPr>
          <w:rFonts w:hint="eastAsia" w:ascii="Times New Roman" w:hAnsi="Times New Roman" w:eastAsia="仿宋_GB2312" w:cs="Times New Roman"/>
          <w:sz w:val="32"/>
          <w:szCs w:val="32"/>
          <w:lang w:val="en-US" w:eastAsia="zh-CN"/>
        </w:rPr>
        <w:t>47.32</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26.28</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15.34</w:t>
      </w:r>
      <w:r>
        <w:rPr>
          <w:rFonts w:hint="eastAsia" w:ascii="Times New Roman" w:hAnsi="Times New Roman" w:eastAsia="仿宋_GB2312" w:cs="Times New Roman"/>
          <w:sz w:val="32"/>
          <w:szCs w:val="32"/>
          <w:lang w:eastAsia="zh-CN"/>
        </w:rPr>
        <w:t>%。决算数小于预算数的主要原因是按照厉行节约的原则严控三公经费支出。决算数小于上年数的主要原因一是新能源车占比逐年上升，燃油费支出减少；二是按照厉行节约的原则尽量减少支出。截止202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年12月31日，我单位开支财政拨款的公务用车保有量为</w:t>
      </w:r>
      <w:r>
        <w:rPr>
          <w:rFonts w:hint="eastAsia" w:ascii="Times New Roman" w:hAnsi="Times New Roman" w:eastAsia="仿宋_GB2312" w:cs="Times New Roman"/>
          <w:sz w:val="32"/>
          <w:szCs w:val="32"/>
          <w:lang w:val="en-US" w:eastAsia="zh-CN"/>
        </w:rPr>
        <w:t>56</w:t>
      </w:r>
      <w:r>
        <w:rPr>
          <w:rFonts w:hint="eastAsia" w:ascii="Times New Roman" w:hAnsi="Times New Roman" w:eastAsia="仿宋_GB2312" w:cs="Times New Roman"/>
          <w:sz w:val="32"/>
          <w:szCs w:val="32"/>
          <w:lang w:eastAsia="zh-CN"/>
        </w:rPr>
        <w:t>辆。</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3.公务接待费支出预算为148.57万元，支出决算为12.52万元，完成预算的</w:t>
      </w:r>
      <w:r>
        <w:rPr>
          <w:rFonts w:hint="eastAsia" w:ascii="Times New Roman" w:hAnsi="Times New Roman" w:eastAsia="仿宋_GB2312" w:cs="Times New Roman"/>
          <w:sz w:val="32"/>
          <w:szCs w:val="32"/>
          <w:lang w:val="en-US" w:eastAsia="zh-CN"/>
        </w:rPr>
        <w:t>8.43</w:t>
      </w:r>
      <w:r>
        <w:rPr>
          <w:rFonts w:hint="eastAsia" w:ascii="Times New Roman" w:hAnsi="Times New Roman" w:eastAsia="仿宋_GB2312" w:cs="Times New Roman"/>
          <w:sz w:val="32"/>
          <w:szCs w:val="32"/>
          <w:lang w:eastAsia="zh-CN"/>
        </w:rPr>
        <w:t>%；与上年相比减少</w:t>
      </w:r>
      <w:r>
        <w:rPr>
          <w:rFonts w:hint="eastAsia" w:ascii="Times New Roman" w:hAnsi="Times New Roman" w:eastAsia="仿宋_GB2312" w:cs="Times New Roman"/>
          <w:sz w:val="32"/>
          <w:szCs w:val="32"/>
          <w:lang w:val="en-US" w:eastAsia="zh-CN"/>
        </w:rPr>
        <w:t>17.16</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57.82</w:t>
      </w:r>
      <w:r>
        <w:rPr>
          <w:rFonts w:hint="eastAsia" w:ascii="Times New Roman" w:hAnsi="Times New Roman" w:eastAsia="仿宋_GB2312" w:cs="Times New Roman"/>
          <w:sz w:val="32"/>
          <w:szCs w:val="32"/>
          <w:lang w:eastAsia="zh-CN"/>
        </w:rPr>
        <w:t>%。决算数小于预算数的主要原因是按照厉行节约的原则严控公务接待费支出。决算数小于上年数的主要原因是按照厉行节约的原则严控公务接待费支出。2025年度共接待来访团组</w:t>
      </w:r>
      <w:r>
        <w:rPr>
          <w:rFonts w:hint="eastAsia" w:ascii="Times New Roman" w:hAnsi="Times New Roman" w:eastAsia="仿宋_GB2312" w:cs="Times New Roman"/>
          <w:sz w:val="32"/>
          <w:szCs w:val="32"/>
          <w:lang w:val="en-US" w:eastAsia="zh-CN"/>
        </w:rPr>
        <w:t>459</w:t>
      </w:r>
      <w:r>
        <w:rPr>
          <w:rFonts w:hint="eastAsia" w:ascii="Times New Roman" w:hAnsi="Times New Roman" w:eastAsia="仿宋_GB2312" w:cs="Times New Roman"/>
          <w:sz w:val="32"/>
          <w:szCs w:val="32"/>
          <w:lang w:eastAsia="zh-CN"/>
        </w:rPr>
        <w:t>个、来宾</w:t>
      </w:r>
      <w:r>
        <w:rPr>
          <w:rFonts w:hint="eastAsia" w:ascii="Times New Roman" w:hAnsi="Times New Roman" w:eastAsia="仿宋_GB2312" w:cs="Times New Roman"/>
          <w:sz w:val="32"/>
          <w:szCs w:val="32"/>
          <w:lang w:val="en-US" w:eastAsia="zh-CN"/>
        </w:rPr>
        <w:t>2390</w:t>
      </w:r>
      <w:r>
        <w:rPr>
          <w:rFonts w:hint="eastAsia" w:ascii="Times New Roman" w:hAnsi="Times New Roman" w:eastAsia="仿宋_GB2312" w:cs="Times New Roman"/>
          <w:sz w:val="32"/>
          <w:szCs w:val="32"/>
          <w:lang w:eastAsia="zh-CN"/>
        </w:rPr>
        <w:t>人次，主要是国家总局、各市州局以及其他省份地区的兄弟单位来我单位调研、检查、工作汇报、学习交流等公务活动发生的接待支出。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年度本部门无政府性基金预算收入支出。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本部门202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年度机关运行经费支出1757.06万元，比上年决算数减少</w:t>
      </w:r>
      <w:r>
        <w:rPr>
          <w:rFonts w:hint="eastAsia" w:ascii="Times New Roman" w:hAnsi="Times New Roman" w:eastAsia="仿宋_GB2312" w:cs="Times New Roman"/>
          <w:sz w:val="32"/>
          <w:szCs w:val="32"/>
          <w:lang w:val="en-US" w:eastAsia="zh-CN"/>
        </w:rPr>
        <w:t>181.20</w:t>
      </w:r>
      <w:r>
        <w:rPr>
          <w:rFonts w:hint="eastAsia" w:ascii="Times New Roman" w:hAnsi="Times New Roman" w:eastAsia="仿宋_GB2312" w:cs="Times New Roman"/>
          <w:sz w:val="32"/>
          <w:szCs w:val="32"/>
          <w:lang w:eastAsia="zh-CN"/>
        </w:rPr>
        <w:t>万元，降低</w:t>
      </w:r>
      <w:r>
        <w:rPr>
          <w:rFonts w:hint="eastAsia" w:ascii="Times New Roman" w:hAnsi="Times New Roman" w:eastAsia="仿宋_GB2312" w:cs="Times New Roman"/>
          <w:sz w:val="32"/>
          <w:szCs w:val="32"/>
          <w:lang w:val="en-US" w:eastAsia="zh-CN"/>
        </w:rPr>
        <w:t>9.35</w:t>
      </w:r>
      <w:r>
        <w:rPr>
          <w:rFonts w:hint="eastAsia" w:ascii="Times New Roman" w:hAnsi="Times New Roman" w:eastAsia="仿宋_GB2312" w:cs="Times New Roman"/>
          <w:sz w:val="32"/>
          <w:szCs w:val="32"/>
          <w:lang w:eastAsia="zh-CN"/>
        </w:rPr>
        <w:t>%。主要原因是：贯彻中央过“紧日子”的指示精神，压减了一般性支出。</w:t>
      </w:r>
    </w:p>
    <w:p>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本部门开支会议费174.75万元，用于召开全省市场监管工作会、2025年全省消费者权益保护工作会议、全省市场监管系统执法稽查案件调度会、全省知识产权工作会、2025年度行政处罚案卷评查工作会、特种设备安全监察工作联席会议、特种设备安全监察工作、承压类、机电类检验工作协调会、特种设备相关单位2025年工作会议、湖南省电磁计量技术委员会2025年年度工作会议、湖南省热工计量技术委员会成立大会暨第一次全体委员会议、《建筑施工机械设备 固定式制浆站》等三项混泥土行业标准工作组会议、国家标准《起重机械 智能化系统第4部分：避障技术规范》讨论会、国家标准《磁悬浮输送系统通用技术规范》研讨会等；人数</w:t>
      </w:r>
      <w:r>
        <w:rPr>
          <w:rFonts w:hint="eastAsia" w:ascii="Times New Roman" w:hAnsi="Times New Roman" w:eastAsia="仿宋_GB2312" w:cs="Times New Roman"/>
          <w:sz w:val="32"/>
          <w:szCs w:val="32"/>
          <w:lang w:val="en-US" w:eastAsia="zh-CN"/>
        </w:rPr>
        <w:t>4543</w:t>
      </w:r>
      <w:r>
        <w:rPr>
          <w:rFonts w:hint="eastAsia" w:ascii="Times New Roman" w:hAnsi="Times New Roman" w:eastAsia="仿宋_GB2312" w:cs="Times New Roman"/>
          <w:sz w:val="32"/>
          <w:szCs w:val="32"/>
          <w:lang w:eastAsia="zh-CN"/>
        </w:rPr>
        <w:t>人，内容涉及市场安全监管各个领域的工作会议；</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年本部门开支培训费625.42万元，</w:t>
      </w:r>
      <w:r>
        <w:rPr>
          <w:rFonts w:hint="eastAsia" w:ascii="Times New Roman" w:hAnsi="Times New Roman" w:eastAsia="仿宋_GB2312" w:cs="Times New Roman"/>
          <w:color w:val="auto"/>
          <w:sz w:val="32"/>
          <w:szCs w:val="32"/>
          <w:lang w:eastAsia="zh-CN"/>
        </w:rPr>
        <w:t>用于开展全省市场监管系统登记注册业务培训班、全省认证与认可检验检测业务培训班、湖南省知识产权行政保护业务能力提升培训班、全省推进知识产权强省、质量发展和食品安全专题培训班、全省市场监管系统计量处监管能力提升培训班培训、湖南省市场监管系统综合能力素质提升培训、在职人员能力和综合素质培训、注册信息安全专业人员认证培训知识产权保护维权专题培训班、湖南省企业海外知识产权保护应对培训班、湖南省专利申请预审业务培训班、2025年湖南省专利申请预审业务培训班（创新主体场）、“学习贯彻党的二十届四中全会精神 助力个私经济高质量发展”专题培训班等，人数</w:t>
      </w:r>
      <w:r>
        <w:rPr>
          <w:rFonts w:hint="eastAsia" w:ascii="Times New Roman" w:hAnsi="Times New Roman" w:eastAsia="仿宋_GB2312" w:cs="Times New Roman"/>
          <w:color w:val="auto"/>
          <w:sz w:val="32"/>
          <w:szCs w:val="32"/>
          <w:lang w:val="en-US" w:eastAsia="zh-CN"/>
        </w:rPr>
        <w:t>7141</w:t>
      </w:r>
      <w:r>
        <w:rPr>
          <w:rFonts w:hint="eastAsia" w:ascii="Times New Roman" w:hAnsi="Times New Roman" w:eastAsia="仿宋_GB2312" w:cs="Times New Roman"/>
          <w:color w:val="auto"/>
          <w:sz w:val="32"/>
          <w:szCs w:val="32"/>
          <w:lang w:eastAsia="zh-CN"/>
        </w:rPr>
        <w:t>人，内容是围绕市场安全监管等各条业务线工作开展培训；未举办节庆、晚会、论坛、赛事活动，开支0万元。</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十一、关于政府采购支出说明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本部门202</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lang w:eastAsia="zh-CN"/>
        </w:rPr>
        <w:t>年度政府采购支出总额15308.05万元，其中：政府采购货物支出5697.52万元、政府采购工程支出</w:t>
      </w:r>
      <w:r>
        <w:rPr>
          <w:rFonts w:hint="eastAsia" w:ascii="Times New Roman" w:hAnsi="Times New Roman" w:eastAsia="仿宋_GB2312" w:cs="Times New Roman"/>
          <w:color w:val="auto"/>
          <w:sz w:val="32"/>
          <w:szCs w:val="32"/>
          <w:lang w:val="en-US" w:eastAsia="zh-CN"/>
        </w:rPr>
        <w:t>107.26</w:t>
      </w:r>
      <w:r>
        <w:rPr>
          <w:rFonts w:hint="eastAsia" w:ascii="Times New Roman" w:hAnsi="Times New Roman" w:eastAsia="仿宋_GB2312" w:cs="Times New Roman"/>
          <w:color w:val="auto"/>
          <w:sz w:val="32"/>
          <w:szCs w:val="32"/>
          <w:lang w:eastAsia="zh-CN"/>
        </w:rPr>
        <w:t>万元、政府采购服务支出</w:t>
      </w:r>
      <w:r>
        <w:rPr>
          <w:rFonts w:hint="eastAsia" w:ascii="Times New Roman" w:hAnsi="Times New Roman" w:eastAsia="仿宋_GB2312" w:cs="Times New Roman"/>
          <w:color w:val="auto"/>
          <w:sz w:val="32"/>
          <w:szCs w:val="32"/>
          <w:lang w:val="en-US" w:eastAsia="zh-CN"/>
        </w:rPr>
        <w:t>9503.28</w:t>
      </w:r>
      <w:r>
        <w:rPr>
          <w:rFonts w:hint="eastAsia" w:ascii="Times New Roman" w:hAnsi="Times New Roman" w:eastAsia="仿宋_GB2312" w:cs="Times New Roman"/>
          <w:color w:val="auto"/>
          <w:sz w:val="32"/>
          <w:szCs w:val="32"/>
          <w:lang w:eastAsia="zh-CN"/>
        </w:rPr>
        <w:t>万元。授予中小企业合同金额11479.08万元，占政府采购支出总额的</w:t>
      </w:r>
      <w:r>
        <w:rPr>
          <w:rFonts w:hint="eastAsia" w:ascii="Times New Roman" w:hAnsi="Times New Roman" w:eastAsia="仿宋_GB2312" w:cs="Times New Roman"/>
          <w:color w:val="auto"/>
          <w:sz w:val="32"/>
          <w:szCs w:val="32"/>
          <w:lang w:val="en-US" w:eastAsia="zh-CN"/>
        </w:rPr>
        <w:t>74.99</w:t>
      </w:r>
      <w:r>
        <w:rPr>
          <w:rFonts w:hint="eastAsia" w:ascii="Times New Roman" w:hAnsi="Times New Roman" w:eastAsia="仿宋_GB2312" w:cs="Times New Roman"/>
          <w:color w:val="auto"/>
          <w:sz w:val="32"/>
          <w:szCs w:val="32"/>
          <w:lang w:eastAsia="zh-CN"/>
        </w:rPr>
        <w:t>%，其中：授予小微企业合同金额7790.94万元，占授予中小企业合同金额的</w:t>
      </w:r>
      <w:r>
        <w:rPr>
          <w:rFonts w:hint="eastAsia" w:ascii="Times New Roman" w:hAnsi="Times New Roman" w:eastAsia="仿宋_GB2312" w:cs="Times New Roman"/>
          <w:color w:val="auto"/>
          <w:sz w:val="32"/>
          <w:szCs w:val="32"/>
          <w:lang w:val="en-US" w:eastAsia="zh-CN"/>
        </w:rPr>
        <w:t>67.87</w:t>
      </w:r>
      <w:r>
        <w:rPr>
          <w:rFonts w:hint="eastAsia" w:ascii="Times New Roman" w:hAnsi="Times New Roman" w:eastAsia="仿宋_GB2312" w:cs="Times New Roman"/>
          <w:color w:val="auto"/>
          <w:sz w:val="32"/>
          <w:szCs w:val="32"/>
          <w:lang w:eastAsia="zh-CN"/>
        </w:rPr>
        <w:t>%。货物采购授予中小企业合同金额占货物支出金额的</w:t>
      </w:r>
      <w:r>
        <w:rPr>
          <w:rFonts w:hint="eastAsia" w:ascii="Times New Roman" w:hAnsi="Times New Roman" w:eastAsia="仿宋_GB2312" w:cs="Times New Roman"/>
          <w:color w:val="auto"/>
          <w:sz w:val="32"/>
          <w:szCs w:val="32"/>
          <w:lang w:val="en-US" w:eastAsia="zh-CN"/>
        </w:rPr>
        <w:t>97.22</w:t>
      </w:r>
      <w:r>
        <w:rPr>
          <w:rFonts w:hint="eastAsia" w:ascii="Times New Roman" w:hAnsi="Times New Roman" w:eastAsia="仿宋_GB2312" w:cs="Times New Roman"/>
          <w:color w:val="auto"/>
          <w:sz w:val="32"/>
          <w:szCs w:val="32"/>
          <w:lang w:eastAsia="zh-CN"/>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hint="eastAsia" w:ascii="Times New Roman" w:hAnsi="Times New Roman" w:eastAsia="仿宋_GB2312" w:cs="Times New Roman"/>
          <w:color w:val="auto"/>
          <w:sz w:val="32"/>
          <w:szCs w:val="32"/>
          <w:lang w:eastAsia="zh-CN"/>
        </w:rPr>
        <w:t>%，服务采购授予中小企业合同金额占服务支出金额的</w:t>
      </w:r>
      <w:r>
        <w:rPr>
          <w:rFonts w:hint="eastAsia" w:ascii="Times New Roman" w:hAnsi="Times New Roman" w:eastAsia="仿宋_GB2312" w:cs="Times New Roman"/>
          <w:color w:val="auto"/>
          <w:sz w:val="32"/>
          <w:szCs w:val="32"/>
          <w:lang w:val="en-US" w:eastAsia="zh-CN"/>
        </w:rPr>
        <w:t>61.87</w:t>
      </w:r>
      <w:r>
        <w:rPr>
          <w:rFonts w:hint="eastAsia" w:ascii="Times New Roman" w:hAnsi="Times New Roman" w:eastAsia="仿宋_GB2312" w:cs="Times New Roman"/>
          <w:color w:val="auto"/>
          <w:sz w:val="32"/>
          <w:szCs w:val="32"/>
          <w:lang w:eastAsia="zh-CN"/>
        </w:rPr>
        <w:t>%。</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pPr>
        <w:pStyle w:val="15"/>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截至202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年12月31日，部门共有车辆</w:t>
      </w:r>
      <w:r>
        <w:rPr>
          <w:rFonts w:hint="eastAsia" w:ascii="Times New Roman" w:hAnsi="Times New Roman" w:eastAsia="仿宋_GB2312" w:cs="Times New Roman"/>
          <w:sz w:val="32"/>
          <w:szCs w:val="32"/>
          <w:lang w:val="en-US" w:eastAsia="zh-CN"/>
        </w:rPr>
        <w:t>192</w:t>
      </w:r>
      <w:r>
        <w:rPr>
          <w:rFonts w:hint="eastAsia" w:ascii="Times New Roman" w:hAnsi="Times New Roman" w:eastAsia="仿宋_GB2312" w:cs="Times New Roman"/>
          <w:sz w:val="32"/>
          <w:szCs w:val="32"/>
          <w:lang w:eastAsia="zh-CN"/>
        </w:rPr>
        <w:t>辆，其中，副部（省）级及以上领导用车</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辆、主要负责人用车</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辆、机要通信用车</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辆、应急保障用车</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辆、执法执勤用车</w:t>
      </w:r>
      <w:r>
        <w:rPr>
          <w:rFonts w:hint="eastAsia" w:ascii="Times New Roman" w:hAnsi="Times New Roman" w:eastAsia="仿宋_GB2312" w:cs="Times New Roman"/>
          <w:sz w:val="32"/>
          <w:szCs w:val="32"/>
          <w:lang w:val="en-US" w:eastAsia="zh-CN"/>
        </w:rPr>
        <w:t>13</w:t>
      </w:r>
      <w:r>
        <w:rPr>
          <w:rFonts w:hint="eastAsia" w:ascii="Times New Roman" w:hAnsi="Times New Roman" w:eastAsia="仿宋_GB2312" w:cs="Times New Roman"/>
          <w:sz w:val="32"/>
          <w:szCs w:val="32"/>
          <w:lang w:eastAsia="zh-CN"/>
        </w:rPr>
        <w:t>辆、特种专业技术用车</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辆、离退休干部服务用车</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辆、其他用车</w:t>
      </w:r>
      <w:r>
        <w:rPr>
          <w:rFonts w:hint="eastAsia" w:ascii="Times New Roman" w:hAnsi="Times New Roman" w:eastAsia="仿宋_GB2312" w:cs="Times New Roman"/>
          <w:sz w:val="32"/>
          <w:szCs w:val="32"/>
          <w:lang w:val="en-US" w:eastAsia="zh-CN"/>
        </w:rPr>
        <w:t>141</w:t>
      </w:r>
      <w:r>
        <w:rPr>
          <w:rFonts w:hint="eastAsia" w:ascii="Times New Roman" w:hAnsi="Times New Roman" w:eastAsia="仿宋_GB2312" w:cs="Times New Roman"/>
          <w:sz w:val="32"/>
          <w:szCs w:val="32"/>
          <w:lang w:eastAsia="zh-CN"/>
        </w:rPr>
        <w:t>辆，其他用车主要是各直属事业单位业务用车；单位价值100万元以上设备（不含车辆）</w:t>
      </w:r>
      <w:r>
        <w:rPr>
          <w:rFonts w:hint="eastAsia" w:ascii="Times New Roman" w:hAnsi="Times New Roman" w:eastAsia="仿宋_GB2312" w:cs="Times New Roman"/>
          <w:sz w:val="32"/>
          <w:szCs w:val="32"/>
          <w:lang w:val="en-US" w:eastAsia="zh-CN"/>
        </w:rPr>
        <w:t>114</w:t>
      </w:r>
      <w:r>
        <w:rPr>
          <w:rFonts w:hint="eastAsia" w:ascii="Times New Roman" w:hAnsi="Times New Roman" w:eastAsia="仿宋_GB2312" w:cs="Times New Roman"/>
          <w:sz w:val="32"/>
          <w:szCs w:val="32"/>
          <w:lang w:eastAsia="zh-CN"/>
        </w:rPr>
        <w:t>台（套）。</w:t>
      </w:r>
    </w:p>
    <w:p>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color w:val="auto"/>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color w:val="auto"/>
          <w:kern w:val="0"/>
          <w:sz w:val="32"/>
          <w:szCs w:val="32"/>
        </w:rPr>
        <w:t>组织对202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年度本部门整体支出开展绩效自评，涉及项目</w:t>
      </w:r>
      <w:r>
        <w:rPr>
          <w:rFonts w:hint="eastAsia" w:ascii="Times New Roman" w:hAnsi="Times New Roman" w:eastAsia="仿宋_GB2312" w:cs="Times New Roman"/>
          <w:color w:val="auto"/>
          <w:kern w:val="0"/>
          <w:sz w:val="32"/>
          <w:szCs w:val="32"/>
          <w:lang w:val="en-US" w:eastAsia="zh-CN"/>
        </w:rPr>
        <w:t>47</w:t>
      </w:r>
      <w:r>
        <w:rPr>
          <w:rFonts w:ascii="Times New Roman" w:hAnsi="Times New Roman" w:eastAsia="仿宋_GB2312" w:cs="Times New Roman"/>
          <w:color w:val="auto"/>
          <w:kern w:val="0"/>
          <w:sz w:val="32"/>
          <w:szCs w:val="32"/>
        </w:rPr>
        <w:t>个，共涉及资金</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万元。其中，一般公共预算项目</w:t>
      </w:r>
      <w:r>
        <w:rPr>
          <w:rFonts w:hint="eastAsia" w:ascii="Times New Roman" w:hAnsi="Times New Roman" w:eastAsia="仿宋_GB2312" w:cs="Times New Roman"/>
          <w:color w:val="auto"/>
          <w:kern w:val="0"/>
          <w:sz w:val="32"/>
          <w:szCs w:val="32"/>
          <w:lang w:val="en-US" w:eastAsia="zh-CN"/>
        </w:rPr>
        <w:t>47</w:t>
      </w:r>
      <w:r>
        <w:rPr>
          <w:rFonts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kern w:val="0"/>
          <w:sz w:val="32"/>
          <w:szCs w:val="32"/>
        </w:rPr>
        <w:t>万元，占一般公共预算支出总额的</w:t>
      </w:r>
      <w:r>
        <w:rPr>
          <w:rFonts w:hint="eastAsia" w:ascii="Times New Roman" w:hAnsi="Times New Roman" w:eastAsia="仿宋_GB2312" w:cs="Times New Roman"/>
          <w:color w:val="auto"/>
          <w:kern w:val="0"/>
          <w:sz w:val="32"/>
          <w:szCs w:val="32"/>
          <w:lang w:val="en-US" w:eastAsia="zh-CN"/>
        </w:rPr>
        <w:t>100</w:t>
      </w:r>
      <w:r>
        <w:rPr>
          <w:rFonts w:ascii="Times New Roman" w:hAnsi="Times New Roman" w:eastAsia="仿宋_GB2312" w:cs="Times New Roman"/>
          <w:color w:val="auto"/>
          <w:kern w:val="0"/>
          <w:sz w:val="32"/>
          <w:szCs w:val="32"/>
        </w:rPr>
        <w:t>%。</w:t>
      </w:r>
      <w:r>
        <w:rPr>
          <w:rFonts w:hint="eastAsia" w:ascii="Times New Roman" w:hAnsi="Times New Roman" w:eastAsia="仿宋_GB2312" w:cs="Times New Roman"/>
          <w:color w:val="auto"/>
          <w:kern w:val="0"/>
          <w:sz w:val="32"/>
          <w:szCs w:val="32"/>
        </w:rPr>
        <w:t>政府性基金预算项目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万元，占政府性基金预算支出总额的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%；国有资本经营预算项目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万元，占国有资本经营预算支出总额的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%；社会保险基金预算项目</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个</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万元，占社会保险基金预算支出总额的</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w:t>
      </w:r>
      <w:r>
        <w:rPr>
          <w:rFonts w:ascii="Times New Roman" w:hAnsi="Times New Roman" w:eastAsia="仿宋_GB2312" w:cs="Times New Roman"/>
          <w:b/>
          <w:bCs/>
          <w:color w:val="auto"/>
          <w:kern w:val="0"/>
          <w:sz w:val="32"/>
          <w:szCs w:val="32"/>
        </w:rPr>
        <w:t>二是部门评价开展情况。</w:t>
      </w:r>
      <w:r>
        <w:rPr>
          <w:rFonts w:ascii="Times New Roman" w:hAnsi="Times New Roman" w:eastAsia="仿宋_GB2312" w:cs="Times New Roman"/>
          <w:color w:val="auto"/>
          <w:kern w:val="0"/>
          <w:sz w:val="32"/>
          <w:szCs w:val="32"/>
        </w:rPr>
        <w:t>组织对所属单位202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w:t>
      </w:r>
      <w:r>
        <w:rPr>
          <w:rFonts w:hint="eastAsia" w:ascii="Times New Roman" w:hAnsi="Times New Roman" w:eastAsia="仿宋_GB2312" w:cs="Times New Roman"/>
          <w:color w:val="auto"/>
          <w:kern w:val="0"/>
          <w:sz w:val="32"/>
          <w:szCs w:val="32"/>
        </w:rPr>
        <w:t>省级市场监管专项</w:t>
      </w:r>
      <w:r>
        <w:rPr>
          <w:rFonts w:ascii="Times New Roman" w:hAnsi="Times New Roman" w:eastAsia="仿宋_GB2312" w:cs="Times New Roman"/>
          <w:color w:val="auto"/>
          <w:kern w:val="0"/>
          <w:sz w:val="32"/>
          <w:szCs w:val="32"/>
        </w:rPr>
        <w:t>开展了部门评价，涉及一般公共预算支出</w:t>
      </w:r>
      <w:r>
        <w:rPr>
          <w:rFonts w:hint="eastAsia" w:ascii="Times New Roman" w:hAnsi="Times New Roman" w:eastAsia="仿宋_GB2312" w:cs="Times New Roman"/>
          <w:color w:val="auto"/>
          <w:sz w:val="32"/>
          <w:szCs w:val="32"/>
        </w:rPr>
        <w:t>23077.34</w:t>
      </w:r>
      <w:r>
        <w:rPr>
          <w:rFonts w:ascii="Times New Roman" w:hAnsi="Times New Roman" w:eastAsia="仿宋_GB2312" w:cs="Times New Roman"/>
          <w:color w:val="auto"/>
          <w:kern w:val="0"/>
          <w:sz w:val="32"/>
          <w:szCs w:val="32"/>
        </w:rPr>
        <w:t>万元</w:t>
      </w:r>
      <w:r>
        <w:rPr>
          <w:rFonts w:hint="eastAsia" w:ascii="Times New Roman" w:hAnsi="Times New Roman" w:eastAsia="仿宋_GB2312" w:cs="Times New Roman"/>
          <w:color w:val="auto"/>
          <w:kern w:val="0"/>
          <w:sz w:val="32"/>
          <w:szCs w:val="32"/>
        </w:rPr>
        <w:t>，政府性基金预算支出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万元，国有资本经营预算支出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万元，社会保险基金预算支出</w:t>
      </w:r>
      <w:r>
        <w:rPr>
          <w:rFonts w:hint="eastAsia" w:ascii="Times New Roman" w:hAnsi="Times New Roman" w:eastAsia="仿宋_GB2312" w:cs="Times New Roman"/>
          <w:color w:val="auto"/>
          <w:kern w:val="0"/>
          <w:sz w:val="32"/>
          <w:szCs w:val="32"/>
          <w:lang w:val="en-US" w:eastAsia="zh-CN"/>
        </w:rPr>
        <w:t>0</w:t>
      </w:r>
      <w:r>
        <w:rPr>
          <w:rFonts w:hint="eastAsia" w:ascii="Times New Roman" w:hAnsi="Times New Roman" w:eastAsia="仿宋_GB2312" w:cs="Times New Roman"/>
          <w:color w:val="auto"/>
          <w:kern w:val="0"/>
          <w:sz w:val="32"/>
          <w:szCs w:val="32"/>
        </w:rPr>
        <w:t>万元</w:t>
      </w:r>
      <w:r>
        <w:rPr>
          <w:rFonts w:ascii="Times New Roman" w:hAnsi="Times New Roman" w:eastAsia="仿宋_GB2312" w:cs="Times New Roman"/>
          <w:color w:val="auto"/>
          <w:kern w:val="0"/>
          <w:sz w:val="32"/>
          <w:szCs w:val="32"/>
        </w:rPr>
        <w:t>。</w:t>
      </w:r>
    </w:p>
    <w:p>
      <w:pPr>
        <w:overflowPunct w:val="0"/>
        <w:spacing w:line="600" w:lineRule="exact"/>
        <w:ind w:firstLine="640" w:firstLineChars="200"/>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（二）绩效评价结果。</w:t>
      </w:r>
    </w:p>
    <w:p>
      <w:pPr>
        <w:overflowPunct w:val="0"/>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kern w:val="0"/>
          <w:sz w:val="32"/>
          <w:szCs w:val="32"/>
        </w:rPr>
        <w:t>一是绩效自评结果。</w:t>
      </w:r>
      <w:r>
        <w:rPr>
          <w:rFonts w:ascii="Times New Roman" w:hAnsi="Times New Roman" w:eastAsia="仿宋_GB2312" w:cs="Times New Roman"/>
          <w:color w:val="auto"/>
          <w:kern w:val="0"/>
          <w:sz w:val="32"/>
          <w:szCs w:val="32"/>
        </w:rPr>
        <w:t>202</w:t>
      </w:r>
      <w:r>
        <w:rPr>
          <w:rFonts w:hint="eastAsia" w:ascii="Times New Roman" w:hAnsi="Times New Roman" w:eastAsia="仿宋_GB2312" w:cs="Times New Roman"/>
          <w:color w:val="auto"/>
          <w:kern w:val="0"/>
          <w:sz w:val="32"/>
          <w:szCs w:val="32"/>
          <w:lang w:val="en-US" w:eastAsia="zh-CN"/>
        </w:rPr>
        <w:t>5</w:t>
      </w:r>
      <w:r>
        <w:rPr>
          <w:rFonts w:ascii="Times New Roman" w:hAnsi="Times New Roman" w:eastAsia="仿宋_GB2312" w:cs="Times New Roman"/>
          <w:color w:val="auto"/>
          <w:kern w:val="0"/>
          <w:sz w:val="32"/>
          <w:szCs w:val="32"/>
        </w:rPr>
        <w:t>年度本部门整体支出</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rPr>
        <w:t>96857.1</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rPr>
        <w:t>76909.2</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lang w:val="en-US" w:eastAsia="zh-CN"/>
        </w:rPr>
        <w:t>79.40</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，绩效自评得分</w:t>
      </w:r>
      <w:r>
        <w:rPr>
          <w:rFonts w:hint="eastAsia" w:ascii="Times New Roman" w:hAnsi="Times New Roman" w:eastAsia="仿宋_GB2312" w:cs="Times New Roman"/>
          <w:color w:val="auto"/>
          <w:kern w:val="0"/>
          <w:sz w:val="32"/>
          <w:szCs w:val="32"/>
        </w:rPr>
        <w:t>94.64</w:t>
      </w:r>
      <w:r>
        <w:rPr>
          <w:rFonts w:ascii="Times New Roman" w:hAnsi="Times New Roman" w:eastAsia="仿宋_GB2312" w:cs="Times New Roman"/>
          <w:color w:val="auto"/>
          <w:sz w:val="32"/>
          <w:szCs w:val="32"/>
        </w:rPr>
        <w:t>分</w:t>
      </w:r>
      <w:r>
        <w:rPr>
          <w:rFonts w:ascii="Times New Roman" w:hAnsi="Times New Roman" w:eastAsia="仿宋_GB2312" w:cs="Times New Roman"/>
          <w:color w:val="auto"/>
          <w:kern w:val="0"/>
          <w:sz w:val="32"/>
          <w:szCs w:val="32"/>
        </w:rPr>
        <w:t>，评价等级为</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优</w:t>
      </w:r>
      <w:r>
        <w:rPr>
          <w:rFonts w:ascii="Times New Roman" w:hAnsi="Times New Roman" w:eastAsia="仿宋_GB2312" w:cs="Times New Roman"/>
          <w:color w:val="auto"/>
          <w:sz w:val="32"/>
          <w:szCs w:val="32"/>
        </w:rPr>
        <w:t>”。</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绩效目标完成情况：</w:t>
      </w:r>
      <w:r>
        <w:rPr>
          <w:rFonts w:hint="eastAsia" w:ascii="Times New Roman" w:hAnsi="Times New Roman" w:eastAsia="仿宋_GB2312" w:cs="Times New Roman"/>
          <w:color w:val="auto"/>
          <w:kern w:val="0"/>
          <w:sz w:val="32"/>
          <w:szCs w:val="32"/>
          <w:lang w:val="en-US" w:eastAsia="zh-CN" w:bidi="ar-SA"/>
        </w:rPr>
        <w:t>一是政治机关建设走深走实。全面深化理论武装，组织开展中心组学习11次、“市场监管大讲堂”6期，组织支部理论学习1750次；指导建立党建指导站884个，选派党建工作指导员1503人。二是服务经济发展提质增效。全省实有经营主体发展到798.75万户、同比增长4.53%；推进“个转企”一件事改革，集成审批服务、金融支持、税费优惠等14项具体举措，助力5.4万户个体工商户转型升级；出台《关于支持民营企业加快发展的实施意见》，提出13条具体举措解决市场监管领域涉及民营企业发展的痛点难点问题，我省民营经营主体765.82万户，同比增加39.58万户，增幅5.47%；建立大学生初创企业统计报表制度与经营主体台账，全省登记在册大学生主体5.02万户。三是市场竞争秩序公平有序。开展整治殡葬领域违法违规行为专项行动，取消违规收费1814项，下调收费标准1214项，为群众减轻负担4970.96万元，查办违法案件464起，经验做法被国家总局推介；开展医保基金管理突出问题专项整治，查处医疗机构价格违法行为以及医药领域收受回扣、“带金销售”等不正当竞争行为案件265起，清缴追回资金2427.32万元；开展老年人药品、保健品虚假宣传等问题专项整治，发布老年人药品、保健品消费提示等活动3471次，起底问题线索695条，立案142起，罚没202.9万元；开展居民水电气收费不规范问题整治，查处违法案件312件，责令整改369起，罚没清退1934.72万元；围绕内需扩量提效，培育放心消费承诺单位8.08万家，创建放心消费商圈、街区、市场358个，发展线下无理由退货承诺商家2.1万家，召回纸杯、电取暖器等缺陷消费品3万余件，受理消费投诉举报42.15万件，为群众挽回损失6138.45万元；开展市场监管“铸剑行动”，协同推进烟草市场综合治理、金融黑灰产整治、电动自行车安全隐患等专项行动，查办案件1.23万件，案值1.35亿元；承办2025年侵权假冒伪劣商品全国统一销毁主会场活动，集中销毁侵权假冒伪劣商品总重约237吨，货值近3700万元；出台AI、软文广告监管执法指导意见，出台直播营销领域地方性标准，开展网络直播带货等监测25批次，查办网络违法案件246件；查处食品、药品、保健食品、医疗美容、教育培训、近视防控等方面违法广告681件，罚没847.25万元。四是质量强省建设成效显著。桃源县、耒阳市等5个县入选全国百城质量提升试点。汨罗市质量强县建设经验在全国质量（南京）大会上获推介；中联重科入选质量强国领军企业培育名单，工程机械、轨道交通产业链入选全国百个质量强链重点项目，21个县市区列入国家质量强县培育库；已培育中国质量奖2个，提名奖8个，获奖数量居中部六省第一。五是质量抽检工作成效凸显。完成日用消费品、工业生产资料、农业生产资料等省级产品质量监督抽查1.44万批次，发现并处置不合格产品1524批次；对电动自行车、建筑保温材料、燃气器具及配件、危险化学品、建材产品、烟花爆竹、羊毛衫、羽绒服等重点产品开展质量安全隐患排查治理行动，检查企业3.59万家次。制造业产品质量合格率达94.29%，连续6年保持增长；全面整顿钢筋市场质量秩序，共出动执法人员19124人次，建立3780家钢筋企业台账，抽查钢筋产品1865批次，依法处置54批次涉嫌“瘦身钢筋”产品，查办“瘦身钢筋”案件297件，罚没金额122.49万元；督促指导17529家生产、销售单位配备质量安全总监、质量安全员33977人，17401家生产、销售单位落实“日管控、周排查、月调度”制度；完成食品和食用农产品抽检26.3万批次，查办案件6435件。推进食品安全八大专项行动，查办食品类违法案件7854件，案件总值1,592.93万元，罚没金额6,549.59万元；围绕总局部署的突出问题整治行动，聚焦高风险食品品种、重点时段、重点区域、重点人群以及“一老一小”食品、网络销售食品等新业态，全年部署开展26项专项抽检。六是知识产权工作稳步提效。全省新增授权专利2.9万件、注册商标6.75万件、地理标志117件；数据知识产权试点工作通过验收，入选全国十大典型案例；开展重大科技创新知识产权保护行动和海外知识产权风险排查，查办知识产权案件699件；开展重点商标护航专项行动，构建地理标志保护全景生态，新增省级地理标志产品保护示范区6个；高校、科研机构专利产业化率分别从2.5%、0.8%提升至现在的15.5%、14%；扎实推进数据知识产权试点，完成首批15家企业数据知识产权登记。七是能力提升工作落地见效。举办全国计量“两会一展”，开展“5•20世界计量日”湖南主场活动，首家国家中厚钢板产业计量测试中心落户湖南，国家碳计量中心建设稳步推进，立项省部级重点科研项目132项，推动成果转化1.58亿元；主导制订国际标准41项，参与制订国际标准103项，主导和参与制订国家标准3630项，发布地方标准3185项，团体标准1160项，自我声明公开各类企业标准71000项；全省共有强制性产品认证获证组织944家、证书10526张，质量管理体系认证获证组织20934家、证书22335张；牵头制定国际标准12项，ISO/TC 264第十四次全体会议暨工作组会议在浏阳圆满完成，长沙市工程机械协会、长沙市质量和标准化协会等发布团体标准《出口工程机械二手设备评估通则》《非洲原产地咖啡生咖啡采购管理规范》等外（英）文版地方标准化工作实现新作为；采购执法装备共266台配发至基层监管所，维修维护基层监管所数量达94个。</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发现的主要问题及原因：</w:t>
      </w:r>
      <w:r>
        <w:rPr>
          <w:rFonts w:hint="eastAsia" w:ascii="Times New Roman" w:hAnsi="Times New Roman" w:eastAsia="仿宋_GB2312" w:cs="Times New Roman"/>
          <w:color w:val="auto"/>
          <w:kern w:val="0"/>
          <w:sz w:val="32"/>
          <w:szCs w:val="32"/>
          <w:lang w:val="en-US" w:eastAsia="zh-CN" w:bidi="ar-SA"/>
        </w:rPr>
        <w:t>一是部分项目预算编制精准度不足，与实际执行产生偏差；部分项目绩效目标设定模糊，有待量化和细化。主要原因：部分业务部门编制预算与绩效目标时，对工作任务拆解不够细致，未充分结合工作实际开展精细化梳理，对绩效指标体系搭建重视程度不足；二是专用设备购置项目、信息化项目、基本建设类项目资金执行率偏低，如运行维护经费执行率为39.21%，其他事业发展资金执行率20.15%。主要原因：一是年初未充分预估项目立项难度及实施进度，编制时相关工作尚处于计划阶段，部分业务无法精确预计，预算精度不足。二是省局主要领导空缺近半年，按照省纪委、</w:t>
      </w:r>
      <w:bookmarkStart w:id="3" w:name="_GoBack"/>
      <w:bookmarkEnd w:id="3"/>
      <w:r>
        <w:rPr>
          <w:rFonts w:hint="eastAsia" w:ascii="Times New Roman" w:hAnsi="Times New Roman" w:eastAsia="仿宋_GB2312" w:cs="Times New Roman"/>
          <w:color w:val="auto"/>
          <w:kern w:val="0"/>
          <w:sz w:val="32"/>
          <w:szCs w:val="32"/>
          <w:lang w:val="en-US" w:eastAsia="zh-CN" w:bidi="ar-SA"/>
        </w:rPr>
        <w:t>省委组织部要求，部分“三重一大”项目暂停，造成资金执行率偏低、年末形成资金沉淀，整体资金使用效益未能充分发挥。</w:t>
      </w:r>
    </w:p>
    <w:p>
      <w:pPr>
        <w:overflowPunct w:val="0"/>
        <w:spacing w:line="600" w:lineRule="exact"/>
        <w:ind w:firstLine="640" w:firstLineChars="200"/>
        <w:rPr>
          <w:rFonts w:hint="eastAsia" w:ascii="Times New Roman" w:hAnsi="Times New Roman" w:eastAsia="仿宋_GB2312" w:cs="Times New Roman"/>
          <w:color w:val="auto"/>
          <w:kern w:val="0"/>
          <w:sz w:val="32"/>
          <w:szCs w:val="32"/>
          <w:lang w:val="en-US" w:eastAsia="zh-CN" w:bidi="ar-SA"/>
        </w:rPr>
      </w:pPr>
      <w:r>
        <w:rPr>
          <w:rFonts w:ascii="Times New Roman" w:hAnsi="Times New Roman" w:eastAsia="仿宋_GB2312" w:cs="Times New Roman"/>
          <w:b/>
          <w:bCs/>
          <w:color w:val="auto"/>
          <w:sz w:val="32"/>
          <w:szCs w:val="32"/>
        </w:rPr>
        <w:t>下一步改进措施：</w:t>
      </w:r>
      <w:r>
        <w:rPr>
          <w:rFonts w:hint="eastAsia" w:ascii="Times New Roman" w:hAnsi="Times New Roman" w:eastAsia="仿宋_GB2312" w:cs="Times New Roman"/>
          <w:color w:val="auto"/>
          <w:kern w:val="0"/>
          <w:sz w:val="32"/>
          <w:szCs w:val="32"/>
          <w:lang w:val="en-US" w:eastAsia="zh-CN" w:bidi="ar-SA"/>
        </w:rPr>
        <w:t>一是以零为基，科学精准编制预算，打破“基数”观念和支出固化格局，资金统筹优化，按照“先定事后定钱”原则，结合年度大事要事保障清单和财力，进一步落实以零为起点改革预算编制的方法。二是以事定钱，提升项目库的管理作用，实行全生命周期管理。三是以效促用，构建“事前绩效评估+预算评审”模式，形成事前、事中、事后监管闭环全过程绩效闭环工作机制，并从严从高设置绩效目标，强化绩效目标的引导、约束与控制作用。四是严把事前审查关口，将预算评审作为预算安排前置程序，研判项目立项可行性与实施周期，科学统筹项目预算、规范设置绩效目标。五是抓实过程绩效监控。压实处室、直属单位项目支出进度管理责任，按季度通报预算执行进度；常态化开展年中绩效监控，倒逼项目按计划推进，持续提升预算资金执行效率。六是加快政府采购进度。制定政府采购工作计划时序表，转变传统采购模式，主动对接采购经办部门，压茬推进项目采购落地，全力助推预算执行提质提速。</w:t>
      </w:r>
    </w:p>
    <w:p>
      <w:pPr>
        <w:overflowPunct w:val="0"/>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b/>
          <w:bCs/>
          <w:color w:val="auto"/>
          <w:kern w:val="0"/>
          <w:sz w:val="32"/>
          <w:szCs w:val="32"/>
        </w:rPr>
        <w:t>二是部门评价结果。</w:t>
      </w: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szCs w:val="32"/>
        </w:rPr>
        <w:t>年度省市场监管专项</w:t>
      </w:r>
      <w:r>
        <w:rPr>
          <w:rFonts w:ascii="Times New Roman" w:hAnsi="Times New Roman" w:eastAsia="仿宋_GB2312" w:cs="Times New Roman"/>
          <w:color w:val="auto"/>
          <w:sz w:val="32"/>
          <w:szCs w:val="32"/>
        </w:rPr>
        <w:t>全年预算数</w:t>
      </w:r>
      <w:r>
        <w:rPr>
          <w:rFonts w:hint="eastAsia" w:ascii="Times New Roman" w:hAnsi="Times New Roman" w:eastAsia="仿宋_GB2312" w:cs="Times New Roman"/>
          <w:color w:val="auto"/>
          <w:sz w:val="32"/>
          <w:szCs w:val="32"/>
        </w:rPr>
        <w:t>26518.06</w:t>
      </w:r>
      <w:r>
        <w:rPr>
          <w:rFonts w:ascii="Times New Roman" w:hAnsi="Times New Roman" w:eastAsia="仿宋_GB2312" w:cs="Times New Roman"/>
          <w:color w:val="auto"/>
          <w:sz w:val="32"/>
          <w:szCs w:val="32"/>
        </w:rPr>
        <w:t>万元，执行数</w:t>
      </w:r>
      <w:r>
        <w:rPr>
          <w:rFonts w:hint="eastAsia" w:ascii="Times New Roman" w:hAnsi="Times New Roman" w:eastAsia="仿宋_GB2312" w:cs="Times New Roman"/>
          <w:color w:val="auto"/>
          <w:sz w:val="32"/>
          <w:szCs w:val="32"/>
        </w:rPr>
        <w:t>23077.34</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rPr>
        <w:t>87.02</w:t>
      </w:r>
      <w:r>
        <w:rPr>
          <w:rFonts w:ascii="Times New Roman" w:hAnsi="Times New Roman" w:eastAsia="仿宋_GB2312" w:cs="Times New Roman"/>
          <w:color w:val="auto"/>
          <w:sz w:val="32"/>
          <w:szCs w:val="32"/>
        </w:rPr>
        <w:t>%</w:t>
      </w:r>
      <w:r>
        <w:rPr>
          <w:rFonts w:ascii="Times New Roman" w:hAnsi="Times New Roman" w:eastAsia="仿宋_GB2312" w:cs="Times New Roman"/>
          <w:color w:val="auto"/>
          <w:kern w:val="0"/>
          <w:sz w:val="32"/>
          <w:szCs w:val="32"/>
        </w:rPr>
        <w:t>，</w:t>
      </w:r>
      <w:r>
        <w:rPr>
          <w:rFonts w:ascii="Times New Roman" w:hAnsi="Times New Roman" w:eastAsia="仿宋_GB2312" w:cs="Times New Roman"/>
          <w:color w:val="auto"/>
          <w:sz w:val="32"/>
          <w:szCs w:val="32"/>
        </w:rPr>
        <w:t>部门评价得分</w:t>
      </w:r>
      <w:r>
        <w:rPr>
          <w:rFonts w:hint="eastAsia" w:ascii="Times New Roman" w:hAnsi="Times New Roman" w:eastAsia="方正仿宋_GBK" w:cs="方正仿宋_GBK"/>
          <w:color w:val="auto"/>
          <w:sz w:val="32"/>
          <w:highlight w:val="none"/>
          <w:lang w:val="en-US" w:eastAsia="zh-CN" w:bidi="ar"/>
        </w:rPr>
        <w:t>96.2</w:t>
      </w:r>
      <w:r>
        <w:rPr>
          <w:rFonts w:ascii="Times New Roman" w:hAnsi="Times New Roman" w:eastAsia="仿宋_GB2312" w:cs="Times New Roman"/>
          <w:color w:val="auto"/>
          <w:sz w:val="32"/>
          <w:szCs w:val="32"/>
        </w:rPr>
        <w:t>分，评价等级为“</w:t>
      </w:r>
      <w:r>
        <w:rPr>
          <w:rFonts w:hint="eastAsia" w:ascii="Times New Roman" w:hAnsi="Times New Roman" w:eastAsia="仿宋_GB2312" w:cs="Times New Roman"/>
          <w:color w:val="auto"/>
          <w:sz w:val="32"/>
          <w:szCs w:val="32"/>
          <w:lang w:eastAsia="zh-CN"/>
        </w:rPr>
        <w:t>优</w:t>
      </w:r>
      <w:r>
        <w:rPr>
          <w:rFonts w:ascii="Times New Roman" w:hAnsi="Times New Roman" w:eastAsia="仿宋_GB2312" w:cs="Times New Roman"/>
          <w:color w:val="auto"/>
          <w:sz w:val="32"/>
          <w:szCs w:val="32"/>
        </w:rPr>
        <w:t>”。</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发现的主要问题及原因：一是部分市县项目资金拨付进度滞后。地方财政财力紧张，部分市县财政部门资金拨付节奏偏慢，存在年末或次年集中拨付的情况，需各项目单位跟当地财政部门反复汇报协调，才能勉强将资金拨付到位；二是个别项目预算执行进度滞后。信息化项目立项耗时超预期，资金支付延后；专用设备类政府采购项目周期较长，项目验收及付款条件设定较为严格，加之设备质保周期偏长，致使资金当期使用效率不高；知识产权战略项目和科技项目实施周期跨年度，导致部分资金当年无法足额列支。</w:t>
      </w:r>
    </w:p>
    <w:p>
      <w:pPr>
        <w:pStyle w:val="15"/>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下一步改进措施：一是加强常态化预算执行通报机制。强化绩效与预算执行双监控，加快专项资金拨付进度，每年6月份向省财政厅申请调取预算一体化系统实际预算执行数，向市县市场监管局通报专项资金预算情况，并将预算执行结果纳入年终考核，督促各单位与地方财政加强沟通协调，确保专项资金及时到位；二是健全项目全链条管控机制。严把事前审核关口。将预算评审作为预算安排前置必备程序，从严研判项目立项可行性及实施周期，科学合理测算项目预算，规范设定绩效目标，从源头筑牢预算管理防线。抓实事中绩效监控。压实预算支出主体责任，常态化管控项目支出进度，按季度通报预算执行情况，督促项目按计划推进，切实提升财政资金执行效率和使用效益。</w:t>
      </w:r>
    </w:p>
    <w:p>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sectPr>
          <w:pgSz w:w="11906" w:h="16838"/>
          <w:pgMar w:top="1417" w:right="1588" w:bottom="1417" w:left="1588" w:header="851" w:footer="992" w:gutter="0"/>
          <w:cols w:space="425" w:num="1"/>
          <w:docGrid w:type="linesAndChars" w:linePitch="312" w:charSpace="0"/>
        </w:sect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color w:val="auto"/>
          <w:sz w:val="32"/>
          <w:szCs w:val="32"/>
          <w:lang w:eastAsia="zh-CN"/>
        </w:rPr>
        <w:t>在2026年省市场监督管理专项资金分配方案中，将上年度专项资金预算执行、超范围执行情况等绩效评价因素列入2026年市场监督管理专项资金分配因素和评分指标，对预算执行情况滞后、超范围使用资金的项目单位申报的项目进行扣分，强化绩效评价结果运用，切实发挥绩效评价导向作用。具体应用如下：一是采用因素分配法的资金，对查出超范围使用资金的市州一律不安排资金，对未发现超范围使用资金的地区将绩效评价结果作为成效因素占总资金权重10%设置，强化绩效评价结果运用，切实发挥绩效评价导向作用。二是采用项目法分配的资金，将绩效评价情况列入项目预算评审的评分指标体系，对往年度存在超范围使用资金、预算执行不理想的单位申报的项目进行扣分，充分体现项目预算安排与绩效直接挂钩。三是将绩效评价情况纳入各处室、各直属单位年度考核指标，严格落实绩效考核相关制度，保障资金使用效益。</w:t>
      </w:r>
    </w:p>
    <w:p>
      <w:pPr>
        <w:pStyle w:val="15"/>
        <w:jc w:val="both"/>
        <w:rPr>
          <w:rFonts w:ascii="Times New Roman" w:hAnsi="Times New Roman" w:cs="Times New Roman"/>
          <w:color w:val="auto"/>
          <w:sz w:val="72"/>
          <w:szCs w:val="72"/>
        </w:rPr>
      </w:pPr>
    </w:p>
    <w:p>
      <w:pPr>
        <w:pStyle w:val="15"/>
        <w:spacing w:line="360" w:lineRule="auto"/>
        <w:jc w:val="center"/>
        <w:rPr>
          <w:rFonts w:ascii="Times New Roman" w:hAnsi="Times New Roman" w:eastAsia="方正小标宋_GBK" w:cs="Times New Roman"/>
          <w:color w:val="auto"/>
          <w:sz w:val="52"/>
          <w:szCs w:val="52"/>
        </w:rPr>
      </w:pPr>
      <w:r>
        <w:rPr>
          <w:rFonts w:ascii="Times New Roman" w:hAnsi="Times New Roman" w:eastAsia="方正小标宋_GBK" w:cs="Times New Roman"/>
          <w:color w:val="auto"/>
          <w:sz w:val="52"/>
          <w:szCs w:val="52"/>
        </w:rPr>
        <w:t>第四部分    名词解释</w:t>
      </w:r>
    </w:p>
    <w:p>
      <w:pPr>
        <w:widowControl/>
        <w:jc w:val="left"/>
        <w:rPr>
          <w:rFonts w:ascii="Times New Roman" w:hAnsi="Times New Roman" w:cs="Times New Roman"/>
          <w:color w:val="auto"/>
          <w:kern w:val="0"/>
          <w:sz w:val="32"/>
          <w:szCs w:val="32"/>
        </w:rPr>
      </w:pP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一、</w:t>
      </w:r>
      <w:r>
        <w:rPr>
          <w:rFonts w:hint="eastAsia" w:ascii="Times New Roman" w:hAnsi="Times New Roman" w:eastAsia="方正仿宋_GBK" w:cs="方正仿宋_GBK"/>
          <w:color w:val="auto"/>
          <w:sz w:val="32"/>
          <w:szCs w:val="32"/>
          <w:shd w:val="clear" w:color="auto" w:fill="FFFFFF"/>
        </w:rPr>
        <w:t>基本支出：指为保障机构正常运转、完成日常工作任务而发生的各项支出，包括人员支出和公用支出。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二、</w:t>
      </w:r>
      <w:r>
        <w:rPr>
          <w:rFonts w:hint="eastAsia" w:ascii="Times New Roman" w:hAnsi="Times New Roman" w:eastAsia="方正仿宋_GBK" w:cs="方正仿宋_GBK"/>
          <w:color w:val="auto"/>
          <w:sz w:val="32"/>
          <w:szCs w:val="32"/>
          <w:shd w:val="clear" w:color="auto" w:fill="FFFFFF"/>
        </w:rPr>
        <w:t>项目支出：指在基本支出以外为完成相关行政任务和事业发展目标所发生的各项支出。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ascii="Times New Roman" w:hAnsi="Times New Roman" w:eastAsia="仿宋_GB2312" w:cs="Times New Roman"/>
          <w:color w:val="auto"/>
          <w:kern w:val="0"/>
          <w:sz w:val="32"/>
          <w:szCs w:val="32"/>
        </w:rPr>
        <w:t>三、</w:t>
      </w:r>
      <w:r>
        <w:rPr>
          <w:rFonts w:hint="eastAsia" w:ascii="Times New Roman" w:hAnsi="Times New Roman" w:eastAsia="方正仿宋_GBK" w:cs="方正仿宋_GBK"/>
          <w:color w:val="auto"/>
          <w:sz w:val="32"/>
          <w:szCs w:val="32"/>
          <w:shd w:val="clear" w:color="auto" w:fill="FFFFFF"/>
        </w:rPr>
        <w:t>“三公”经费：指通过财政拨款资金安排的因公出国（境）费、公务用车购置及运行费和公务接待费支出。</w:t>
      </w:r>
    </w:p>
    <w:p>
      <w:pPr>
        <w:pStyle w:val="10"/>
        <w:keepNext w:val="0"/>
        <w:keepLines w:val="0"/>
        <w:pageBreakBefore w:val="0"/>
        <w:widowControl w:val="0"/>
        <w:shd w:val="clear" w:color="auto" w:fill="auto"/>
        <w:kinsoku/>
        <w:wordWrap/>
        <w:overflowPunct/>
        <w:topLinePunct/>
        <w:autoSpaceDE/>
        <w:autoSpaceDN/>
        <w:bidi w:val="0"/>
        <w:adjustRightInd w:val="0"/>
        <w:snapToGrid w:val="0"/>
        <w:spacing w:before="0" w:beforeAutospacing="0" w:after="0" w:afterAutospacing="0" w:line="600" w:lineRule="exact"/>
        <w:ind w:firstLine="640" w:firstLineChars="200"/>
        <w:jc w:val="both"/>
        <w:textAlignment w:val="auto"/>
        <w:rPr>
          <w:rFonts w:hint="eastAsia" w:ascii="Times New Roman" w:hAnsi="Times New Roman" w:eastAsia="方正仿宋_GBK" w:cs="方正仿宋_GBK"/>
          <w:color w:val="auto"/>
          <w:sz w:val="32"/>
          <w:szCs w:val="32"/>
        </w:rPr>
      </w:pPr>
      <w:r>
        <w:rPr>
          <w:rFonts w:hint="eastAsia" w:ascii="Times New Roman" w:hAnsi="Times New Roman" w:eastAsia="方正仿宋_GBK" w:cs="方正仿宋_GBK"/>
          <w:color w:val="auto"/>
          <w:sz w:val="32"/>
          <w:szCs w:val="32"/>
          <w:shd w:val="clear" w:color="auto" w:fill="FFFFFF"/>
          <w:lang w:eastAsia="zh-CN"/>
        </w:rPr>
        <w:t>四、</w:t>
      </w:r>
      <w:r>
        <w:rPr>
          <w:rFonts w:hint="eastAsia" w:ascii="Times New Roman" w:hAnsi="Times New Roman" w:eastAsia="方正仿宋_GBK" w:cs="方正仿宋_GBK"/>
          <w:color w:val="auto"/>
          <w:sz w:val="32"/>
          <w:szCs w:val="32"/>
          <w:shd w:val="clear" w:color="auto" w:fill="FFFFFF"/>
        </w:rPr>
        <w:t>机关运行经费：是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ind w:firstLine="640" w:firstLineChars="200"/>
        <w:jc w:val="left"/>
        <w:rPr>
          <w:rFonts w:ascii="Times New Roman" w:hAnsi="Times New Roman" w:eastAsia="仿宋_GB2312" w:cs="Times New Roman"/>
          <w:color w:val="000000"/>
          <w:kern w:val="0"/>
          <w:sz w:val="32"/>
          <w:szCs w:val="32"/>
        </w:rPr>
      </w:pPr>
    </w:p>
    <w:p>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w:t>
      </w:r>
    </w:p>
    <w:p>
      <w:pPr>
        <w:ind w:firstLine="640" w:firstLineChars="200"/>
        <w:jc w:val="left"/>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32"/>
          <w:szCs w:val="32"/>
        </w:rPr>
        <w:t>…</w:t>
      </w:r>
      <w:r>
        <w:rPr>
          <w:rFonts w:ascii="Times New Roman" w:hAnsi="Times New Roman" w:cs="Times New Roman"/>
          <w:color w:val="000000"/>
          <w:kern w:val="0"/>
          <w:sz w:val="32"/>
          <w:szCs w:val="32"/>
        </w:rPr>
        <w:t>…</w:t>
      </w:r>
    </w:p>
    <w:p>
      <w:pPr>
        <w:pStyle w:val="15"/>
        <w:ind w:firstLine="640" w:firstLineChars="200"/>
        <w:rPr>
          <w:rFonts w:ascii="Times New Roman" w:hAnsi="Times New Roman" w:cs="Times New Roman" w:eastAsiaTheme="minorEastAsia"/>
          <w:sz w:val="32"/>
          <w:szCs w:val="32"/>
        </w:rPr>
      </w:pPr>
      <w:r>
        <w:rPr>
          <w:rFonts w:ascii="Times New Roman" w:hAnsi="Times New Roman" w:cs="Times New Roman" w:eastAsiaTheme="minorEastAsia"/>
          <w:sz w:val="32"/>
          <w:szCs w:val="32"/>
        </w:rPr>
        <w:t>………</w:t>
      </w:r>
    </w:p>
    <w:p>
      <w:pPr>
        <w:pStyle w:val="15"/>
        <w:spacing w:line="600" w:lineRule="exact"/>
        <w:ind w:firstLine="640" w:firstLineChars="200"/>
        <w:rPr>
          <w:rFonts w:ascii="Times New Roman" w:hAnsi="Times New Roman" w:eastAsia="楷体_GB2312" w:cs="Times New Roman"/>
          <w:b/>
          <w:bCs/>
          <w:i/>
          <w:color w:val="auto"/>
          <w:sz w:val="32"/>
          <w:szCs w:val="32"/>
        </w:rPr>
        <w:sectPr>
          <w:pgSz w:w="11906" w:h="16838"/>
          <w:pgMar w:top="1417" w:right="1588" w:bottom="1417" w:left="1588" w:header="851" w:footer="992" w:gutter="0"/>
          <w:cols w:space="425" w:num="1"/>
          <w:docGrid w:type="linesAndChars" w:linePitch="312" w:charSpace="0"/>
        </w:sectPr>
      </w:pPr>
    </w:p>
    <w:p>
      <w:pPr>
        <w:pStyle w:val="15"/>
        <w:jc w:val="both"/>
        <w:rPr>
          <w:rFonts w:ascii="Times New Roman" w:hAnsi="Times New Roman" w:cs="Times New Roman"/>
          <w:sz w:val="72"/>
          <w:szCs w:val="72"/>
        </w:rPr>
      </w:pPr>
    </w:p>
    <w:p>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5"/>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年度部门整体支出绩效自评报告。</w:t>
      </w:r>
    </w:p>
    <w:p>
      <w:pPr>
        <w:pStyle w:val="15"/>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w:t>
      </w:r>
    </w:p>
    <w:p>
      <w:pPr>
        <w:pStyle w:val="15"/>
        <w:spacing w:line="600" w:lineRule="exact"/>
        <w:ind w:firstLine="640" w:firstLineChars="200"/>
        <w:rPr>
          <w:rFonts w:ascii="Times New Roman" w:hAnsi="Times New Roman" w:eastAsia="仿宋_GB2312" w:cs="Times New Roman"/>
          <w:sz w:val="32"/>
          <w:szCs w:val="32"/>
        </w:rPr>
      </w:pPr>
    </w:p>
    <w:p>
      <w:pPr>
        <w:pStyle w:val="15"/>
        <w:jc w:val="center"/>
        <w:rPr>
          <w:rFonts w:ascii="Times New Roman" w:hAnsi="Times New Roman" w:cs="Times New Roman"/>
          <w:sz w:val="72"/>
          <w:szCs w:val="72"/>
        </w:rPr>
      </w:pPr>
    </w:p>
    <w:p>
      <w:pPr>
        <w:pStyle w:val="15"/>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96F9D4D"/>
    <w:rsid w:val="1B3E92EB"/>
    <w:rsid w:val="1D97DEFF"/>
    <w:rsid w:val="1DFF72E5"/>
    <w:rsid w:val="1EFC6F07"/>
    <w:rsid w:val="25770B73"/>
    <w:rsid w:val="28E72530"/>
    <w:rsid w:val="2FDF85B8"/>
    <w:rsid w:val="2FFFEE04"/>
    <w:rsid w:val="34DF85B0"/>
    <w:rsid w:val="37A9C0AB"/>
    <w:rsid w:val="37FF4B56"/>
    <w:rsid w:val="3B8F36BC"/>
    <w:rsid w:val="3EAE90C1"/>
    <w:rsid w:val="3EF4E3F7"/>
    <w:rsid w:val="3F348A41"/>
    <w:rsid w:val="491FF225"/>
    <w:rsid w:val="4FFD214C"/>
    <w:rsid w:val="56F9BB33"/>
    <w:rsid w:val="5777D4F5"/>
    <w:rsid w:val="59DD8326"/>
    <w:rsid w:val="5D5BC2EC"/>
    <w:rsid w:val="5DEF592A"/>
    <w:rsid w:val="5EDF678A"/>
    <w:rsid w:val="5F3E0D84"/>
    <w:rsid w:val="5F6F5CA1"/>
    <w:rsid w:val="5F7746B9"/>
    <w:rsid w:val="5FC6BB1E"/>
    <w:rsid w:val="5FF720F1"/>
    <w:rsid w:val="5FFE6D5A"/>
    <w:rsid w:val="634D4255"/>
    <w:rsid w:val="637783FF"/>
    <w:rsid w:val="67FF5C0B"/>
    <w:rsid w:val="6BF9B9C2"/>
    <w:rsid w:val="6EFC0924"/>
    <w:rsid w:val="6EFFE1C8"/>
    <w:rsid w:val="6F676C1D"/>
    <w:rsid w:val="6FB74722"/>
    <w:rsid w:val="6FD339AF"/>
    <w:rsid w:val="6FEF8B7E"/>
    <w:rsid w:val="6FFFAB3B"/>
    <w:rsid w:val="71A6591B"/>
    <w:rsid w:val="737D59BA"/>
    <w:rsid w:val="73AD68BA"/>
    <w:rsid w:val="77B5AC22"/>
    <w:rsid w:val="77C37683"/>
    <w:rsid w:val="77FF20AC"/>
    <w:rsid w:val="79D19834"/>
    <w:rsid w:val="79FF515B"/>
    <w:rsid w:val="7BF549BF"/>
    <w:rsid w:val="7BF85EF1"/>
    <w:rsid w:val="7DBF1998"/>
    <w:rsid w:val="7E6EF4BA"/>
    <w:rsid w:val="7E9E1962"/>
    <w:rsid w:val="7E9F11B4"/>
    <w:rsid w:val="7F37EC1E"/>
    <w:rsid w:val="7F7377DD"/>
    <w:rsid w:val="7F7DCD9D"/>
    <w:rsid w:val="7F970A6F"/>
    <w:rsid w:val="7FACD391"/>
    <w:rsid w:val="7FC1FFF3"/>
    <w:rsid w:val="7FC69637"/>
    <w:rsid w:val="7FCB1637"/>
    <w:rsid w:val="7FDF8620"/>
    <w:rsid w:val="7FE8C8F7"/>
    <w:rsid w:val="7FFB242F"/>
    <w:rsid w:val="7FFDB408"/>
    <w:rsid w:val="7FFE4EEB"/>
    <w:rsid w:val="95FB2B98"/>
    <w:rsid w:val="9A639BC2"/>
    <w:rsid w:val="9BFA491D"/>
    <w:rsid w:val="9FF7D786"/>
    <w:rsid w:val="ABBFB23D"/>
    <w:rsid w:val="ADFF4A97"/>
    <w:rsid w:val="B5FE82BB"/>
    <w:rsid w:val="B6AFFE39"/>
    <w:rsid w:val="B7DB3951"/>
    <w:rsid w:val="B7EE211D"/>
    <w:rsid w:val="BB43E364"/>
    <w:rsid w:val="BE9F32B8"/>
    <w:rsid w:val="BFFE46F7"/>
    <w:rsid w:val="BFFE9823"/>
    <w:rsid w:val="BFFE9A36"/>
    <w:rsid w:val="C3B4DA5A"/>
    <w:rsid w:val="CBFF70E0"/>
    <w:rsid w:val="CFF50B82"/>
    <w:rsid w:val="CFFFAD89"/>
    <w:rsid w:val="D6FF5EEF"/>
    <w:rsid w:val="D73FDEC6"/>
    <w:rsid w:val="DB326071"/>
    <w:rsid w:val="DDB740A8"/>
    <w:rsid w:val="DDE7D67E"/>
    <w:rsid w:val="DF5EF088"/>
    <w:rsid w:val="DF7C2DD8"/>
    <w:rsid w:val="DFBBA07E"/>
    <w:rsid w:val="DFEEEF04"/>
    <w:rsid w:val="DFFD45D0"/>
    <w:rsid w:val="DFFE359E"/>
    <w:rsid w:val="DFFE4FFD"/>
    <w:rsid w:val="DFFF36B4"/>
    <w:rsid w:val="EC53D2B1"/>
    <w:rsid w:val="EEABED75"/>
    <w:rsid w:val="EEF760FD"/>
    <w:rsid w:val="EFDF470B"/>
    <w:rsid w:val="EFFE3449"/>
    <w:rsid w:val="F4DF907B"/>
    <w:rsid w:val="F56FDF51"/>
    <w:rsid w:val="F6B69F17"/>
    <w:rsid w:val="F6EB66B5"/>
    <w:rsid w:val="F77F1D61"/>
    <w:rsid w:val="F7FED3A9"/>
    <w:rsid w:val="F7FFC5F2"/>
    <w:rsid w:val="F8C9DB26"/>
    <w:rsid w:val="F97E8EAE"/>
    <w:rsid w:val="FA7382D5"/>
    <w:rsid w:val="FB36E1A6"/>
    <w:rsid w:val="FB3BE134"/>
    <w:rsid w:val="FBCF143A"/>
    <w:rsid w:val="FBD79A7B"/>
    <w:rsid w:val="FCCBE750"/>
    <w:rsid w:val="FCFF4275"/>
    <w:rsid w:val="FD354125"/>
    <w:rsid w:val="FD5FBEDA"/>
    <w:rsid w:val="FD73B29F"/>
    <w:rsid w:val="FD7FEEEA"/>
    <w:rsid w:val="FD8B6128"/>
    <w:rsid w:val="FDAD887E"/>
    <w:rsid w:val="FDFF72F4"/>
    <w:rsid w:val="FDFFB577"/>
    <w:rsid w:val="FEEA50FE"/>
    <w:rsid w:val="FEFD2E8F"/>
    <w:rsid w:val="FF3F8451"/>
    <w:rsid w:val="FF687D69"/>
    <w:rsid w:val="FF7D47A9"/>
    <w:rsid w:val="FF7F63BE"/>
    <w:rsid w:val="FFCF21CB"/>
    <w:rsid w:val="FFF4D73D"/>
    <w:rsid w:val="FFFE4CA5"/>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1463</Words>
  <Characters>8342</Characters>
  <Lines>69</Lines>
  <Paragraphs>19</Paragraphs>
  <TotalTime>0</TotalTime>
  <ScaleCrop>false</ScaleCrop>
  <LinksUpToDate>false</LinksUpToDate>
  <CharactersWithSpaces>9786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2025-08-24T10:17:00Z</dcterms:created>
  <dc:creator>李航 null</dc:creator>
  <cp:lastModifiedBy>xjkp</cp:lastModifiedBy>
  <cp:lastPrinted>2026-08-10T09:01:00Z</cp:lastPrinted>
  <dcterms:modified xsi:type="dcterms:W3CDTF">2026-09-04T11:12:15Z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4F0B27C0AAC35EFA9177686ADDD5E058</vt:lpwstr>
  </property>
</Properties>
</file>