
<file path=[Content_Types].xml><?xml version="1.0" encoding="utf-8"?>
<Types xmlns="http://schemas.openxmlformats.org/package/2006/content-types">
  <Default Extension="xml" ContentType="application/xml"/>
  <Default Extension="tiff" ContentType="image/tif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 </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点击此处添加CCS号</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49"/>
              <w:framePr w:w="0" w:hRule="auto" w:wrap="auto" w:vAnchor="margin" w:hAnchor="text" w:xAlign="left" w:yAlign="inline"/>
              <w:rPr>
                <w:rFonts w:hint="eastAsia"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43</w:t>
            </w:r>
            <w:r>
              <w:fldChar w:fldCharType="end"/>
            </w:r>
            <w:bookmarkEnd w:id="3"/>
          </w:p>
        </w:tc>
      </w:tr>
    </w:tbl>
    <w:p>
      <w:pPr>
        <w:pStyle w:val="50"/>
        <w:framePr w:w="9639" w:h="624" w:hRule="exact" w:hSpace="181" w:vSpace="181" w:wrap="around"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湖南省</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5"/>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lang w:val="fr-FR"/>
        </w:rPr>
        <w:t>43</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6"/>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0"/>
        <w:framePr w:w="9639" w:h="6976" w:hRule="exact" w:hSpace="0" w:vSpace="0" w:wrap="around" w:hAnchor="page" w:y="6408"/>
        <w:jc w:val="center"/>
        <w:rPr>
          <w:rFonts w:hint="eastAsia" w:ascii="黑体" w:hAnsi="黑体" w:eastAsia="黑体"/>
          <w:b w:val="0"/>
          <w:bCs w:val="0"/>
          <w:w w:val="100"/>
        </w:rPr>
      </w:pPr>
    </w:p>
    <w:p>
      <w:pPr>
        <w:pStyle w:val="197"/>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能源工业互联网平台数据安全技术要求</w:t>
      </w:r>
      <w:r>
        <w:fldChar w:fldCharType="end"/>
      </w:r>
      <w:bookmarkEnd w:id="9"/>
    </w:p>
    <w:p>
      <w:pPr>
        <w:framePr w:w="9639" w:h="6974" w:hRule="exact" w:wrap="around" w:vAnchor="page" w:hAnchor="page" w:x="1419" w:y="6408" w:anchorLock="1"/>
        <w:ind w:left="-1418"/>
      </w:pPr>
    </w:p>
    <w:p>
      <w:pPr>
        <w:pStyle w:val="125"/>
        <w:framePr w:w="9639" w:h="6974" w:hRule="exact" w:wrap="around" w:vAnchor="page" w:hAnchor="page" w:x="1419" w:y="6408" w:anchorLock="1"/>
        <w:textAlignment w:val="bottom"/>
        <w:rPr>
          <w:rFonts w:hint="eastAsia"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hint="eastAsia" w:ascii="黑体" w:hAnsi="黑体" w:eastAsia="黑体"/>
          <w:szCs w:val="28"/>
        </w:rPr>
        <w:t>Technical requirements for data security of energy industry internet platform</w:t>
      </w:r>
      <w:r>
        <w:rPr>
          <w:rFonts w:ascii="黑体" w:hAnsi="黑体" w:eastAsia="黑体"/>
          <w:szCs w:val="28"/>
        </w:rPr>
        <w:fldChar w:fldCharType="end"/>
      </w:r>
      <w:bookmarkEnd w:id="10"/>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p>
    <w:p>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5"/>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（本征求意见稿完成时间：202</w:t>
      </w:r>
      <w:r>
        <w:rPr>
          <w:rFonts w:hint="eastAsia"/>
          <w:sz w:val="21"/>
          <w:szCs w:val="28"/>
          <w:lang w:val="en-US" w:eastAsia="zh-CN"/>
        </w:rPr>
        <w:t>5</w:t>
      </w:r>
      <w:r>
        <w:rPr>
          <w:rFonts w:hint="eastAsia"/>
          <w:sz w:val="21"/>
          <w:szCs w:val="28"/>
        </w:rPr>
        <w:t>年</w:t>
      </w:r>
      <w:r>
        <w:rPr>
          <w:rFonts w:hint="eastAsia"/>
          <w:sz w:val="21"/>
          <w:szCs w:val="28"/>
          <w:lang w:val="en-US" w:eastAsia="zh-CN"/>
        </w:rPr>
        <w:t>2</w:t>
      </w:r>
      <w:r>
        <w:rPr>
          <w:rFonts w:hint="eastAsia"/>
          <w:sz w:val="21"/>
          <w:szCs w:val="28"/>
        </w:rPr>
        <w:t>月</w:t>
      </w:r>
      <w:r>
        <w:rPr>
          <w:rFonts w:hint="eastAsia"/>
          <w:sz w:val="21"/>
          <w:szCs w:val="28"/>
          <w:lang w:val="en-US" w:eastAsia="zh-CN"/>
        </w:rPr>
        <w:t>17</w:t>
      </w:r>
      <w:r>
        <w:rPr>
          <w:rFonts w:hint="eastAsia"/>
          <w:sz w:val="21"/>
          <w:szCs w:val="28"/>
        </w:rPr>
        <w:t>日）</w:t>
      </w:r>
      <w:r>
        <w:rPr>
          <w:sz w:val="21"/>
          <w:szCs w:val="28"/>
        </w:rPr>
        <w:fldChar w:fldCharType="end"/>
      </w:r>
      <w:bookmarkEnd w:id="12"/>
    </w:p>
    <w:p>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1"/>
        <w:framePr w:h="584" w:hRule="exact" w:hSpace="181" w:vSpace="181" w:wrap="around" w:y="15027"/>
        <w:rPr>
          <w:rFonts w:hint="eastAsia"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湖南省市场监督管理局</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1"/>
        <w:spacing w:after="468"/>
      </w:pPr>
      <w:bookmarkStart w:id="21" w:name="BookMark1"/>
      <w:r>
        <w:rPr>
          <w:rFonts w:hint="eastAsia"/>
          <w:spacing w:val="320"/>
        </w:rPr>
        <w:t>目</w:t>
      </w:r>
      <w:r>
        <w:rPr>
          <w:rFonts w:hint="eastAsia"/>
        </w:rPr>
        <w:t>次</w:t>
      </w:r>
    </w:p>
    <w:p>
      <w:pPr>
        <w:pStyle w:val="19"/>
        <w:tabs>
          <w:tab w:val="right" w:leader="dot" w:pos="9354"/>
        </w:tabs>
      </w:pPr>
      <w:r>
        <w:fldChar w:fldCharType="begin"/>
      </w:r>
      <w:r>
        <w:instrText xml:space="preserve"> </w:instrText>
      </w:r>
      <w:r>
        <w:rPr>
          <w:rFonts w:hint="eastAsia"/>
        </w:rPr>
        <w:instrText xml:space="preserve">TOC \o "1-1" \h \t "标准文件_一级条标题,2,标准文件_二级条标题,3,标准文件_附录一级条标题,2,标准文件_附录二级条标题,3,"</w:instrText>
      </w:r>
      <w:r>
        <w:instrText xml:space="preserve"> </w:instrText>
      </w:r>
      <w:r>
        <w:fldChar w:fldCharType="separate"/>
      </w:r>
      <w:r>
        <w:fldChar w:fldCharType="begin"/>
      </w:r>
      <w:r>
        <w:instrText xml:space="preserve"> HYPERLINK \l _Toc25413 </w:instrText>
      </w:r>
      <w:r>
        <w:fldChar w:fldCharType="separate"/>
      </w:r>
      <w:r>
        <w:rPr>
          <w:rFonts w:hint="eastAsia"/>
          <w:spacing w:val="320"/>
        </w:rPr>
        <w:t>前</w:t>
      </w:r>
      <w:r>
        <w:rPr>
          <w:rFonts w:hint="eastAsia"/>
        </w:rPr>
        <w:t>言</w:t>
      </w:r>
      <w:r>
        <w:tab/>
      </w:r>
      <w:r>
        <w:fldChar w:fldCharType="begin"/>
      </w:r>
      <w:r>
        <w:instrText xml:space="preserve"> PAGEREF _Toc25413 \h </w:instrText>
      </w:r>
      <w:r>
        <w:fldChar w:fldCharType="separate"/>
      </w:r>
      <w:r>
        <w:t>III</w:t>
      </w:r>
      <w:r>
        <w:fldChar w:fldCharType="end"/>
      </w:r>
      <w:r>
        <w:fldChar w:fldCharType="end"/>
      </w:r>
    </w:p>
    <w:p>
      <w:pPr>
        <w:pStyle w:val="19"/>
        <w:tabs>
          <w:tab w:val="right" w:leader="dot" w:pos="9354"/>
        </w:tabs>
      </w:pPr>
      <w:r>
        <w:fldChar w:fldCharType="begin"/>
      </w:r>
      <w:r>
        <w:instrText xml:space="preserve"> HYPERLINK \l _Toc18057 </w:instrText>
      </w:r>
      <w:r>
        <w:fldChar w:fldCharType="separate"/>
      </w:r>
      <w:r>
        <w:rPr>
          <w:rFonts w:hint="eastAsia" w:ascii="黑体" w:eastAsia="黑体"/>
          <w:i w:val="0"/>
        </w:rPr>
        <w:t xml:space="preserve">1 </w:t>
      </w:r>
      <w:r>
        <w:rPr>
          <w:rFonts w:hint="eastAsia"/>
        </w:rPr>
        <w:t>范围</w:t>
      </w:r>
      <w:r>
        <w:tab/>
      </w:r>
      <w:r>
        <w:fldChar w:fldCharType="begin"/>
      </w:r>
      <w:r>
        <w:instrText xml:space="preserve"> PAGEREF _Toc18057 \h </w:instrText>
      </w:r>
      <w:r>
        <w:fldChar w:fldCharType="separate"/>
      </w:r>
      <w:r>
        <w:t>1</w:t>
      </w:r>
      <w:r>
        <w:fldChar w:fldCharType="end"/>
      </w:r>
      <w:r>
        <w:fldChar w:fldCharType="end"/>
      </w:r>
    </w:p>
    <w:p>
      <w:pPr>
        <w:pStyle w:val="19"/>
        <w:tabs>
          <w:tab w:val="right" w:leader="dot" w:pos="9354"/>
        </w:tabs>
      </w:pPr>
      <w:r>
        <w:fldChar w:fldCharType="begin"/>
      </w:r>
      <w:r>
        <w:instrText xml:space="preserve"> HYPERLINK \l _Toc4310 </w:instrText>
      </w:r>
      <w:r>
        <w:fldChar w:fldCharType="separate"/>
      </w:r>
      <w:r>
        <w:rPr>
          <w:rFonts w:hint="eastAsia" w:ascii="黑体" w:eastAsia="黑体"/>
          <w:i w:val="0"/>
        </w:rPr>
        <w:t xml:space="preserve">2 </w:t>
      </w:r>
      <w:r>
        <w:rPr>
          <w:rFonts w:hint="eastAsia"/>
        </w:rPr>
        <w:t>规范性引用文件</w:t>
      </w:r>
      <w:r>
        <w:tab/>
      </w:r>
      <w:r>
        <w:fldChar w:fldCharType="begin"/>
      </w:r>
      <w:r>
        <w:instrText xml:space="preserve"> PAGEREF _Toc4310 \h </w:instrText>
      </w:r>
      <w:r>
        <w:fldChar w:fldCharType="separate"/>
      </w:r>
      <w:r>
        <w:t>1</w:t>
      </w:r>
      <w:r>
        <w:fldChar w:fldCharType="end"/>
      </w:r>
      <w:r>
        <w:fldChar w:fldCharType="end"/>
      </w:r>
    </w:p>
    <w:p>
      <w:pPr>
        <w:pStyle w:val="19"/>
        <w:tabs>
          <w:tab w:val="right" w:leader="dot" w:pos="9354"/>
        </w:tabs>
      </w:pPr>
      <w:r>
        <w:fldChar w:fldCharType="begin"/>
      </w:r>
      <w:r>
        <w:instrText xml:space="preserve"> HYPERLINK \l _Toc9747 </w:instrText>
      </w:r>
      <w:r>
        <w:fldChar w:fldCharType="separate"/>
      </w:r>
      <w:r>
        <w:rPr>
          <w:rFonts w:hint="eastAsia" w:ascii="黑体" w:eastAsia="黑体"/>
          <w:i w:val="0"/>
        </w:rPr>
        <w:t xml:space="preserve">3 </w:t>
      </w:r>
      <w:r>
        <w:rPr>
          <w:rFonts w:hint="eastAsia"/>
          <w:szCs w:val="21"/>
        </w:rPr>
        <w:t>术语和定义</w:t>
      </w:r>
      <w:r>
        <w:tab/>
      </w:r>
      <w:r>
        <w:fldChar w:fldCharType="begin"/>
      </w:r>
      <w:r>
        <w:instrText xml:space="preserve"> PAGEREF _Toc9747 \h </w:instrText>
      </w:r>
      <w:r>
        <w:fldChar w:fldCharType="separate"/>
      </w:r>
      <w:r>
        <w:t>1</w:t>
      </w:r>
      <w:r>
        <w:fldChar w:fldCharType="end"/>
      </w:r>
      <w:r>
        <w:fldChar w:fldCharType="end"/>
      </w:r>
    </w:p>
    <w:p>
      <w:pPr>
        <w:pStyle w:val="19"/>
        <w:tabs>
          <w:tab w:val="right" w:leader="dot" w:pos="9354"/>
        </w:tabs>
      </w:pPr>
      <w:r>
        <w:fldChar w:fldCharType="begin"/>
      </w:r>
      <w:r>
        <w:instrText xml:space="preserve"> HYPERLINK \l _Toc22688 </w:instrText>
      </w:r>
      <w:r>
        <w:fldChar w:fldCharType="separate"/>
      </w:r>
      <w:r>
        <w:rPr>
          <w:rFonts w:hint="eastAsia" w:ascii="黑体" w:eastAsia="黑体"/>
          <w:i w:val="0"/>
        </w:rPr>
        <w:t xml:space="preserve">4 </w:t>
      </w:r>
      <w:r>
        <w:rPr>
          <w:rFonts w:hint="eastAsia"/>
        </w:rPr>
        <w:t>缩略语</w:t>
      </w:r>
      <w:r>
        <w:tab/>
      </w:r>
      <w:r>
        <w:fldChar w:fldCharType="begin"/>
      </w:r>
      <w:r>
        <w:instrText xml:space="preserve"> PAGEREF _Toc22688 \h </w:instrText>
      </w:r>
      <w:r>
        <w:fldChar w:fldCharType="separate"/>
      </w:r>
      <w:r>
        <w:t>1</w:t>
      </w:r>
      <w:r>
        <w:fldChar w:fldCharType="end"/>
      </w:r>
      <w:r>
        <w:fldChar w:fldCharType="end"/>
      </w:r>
    </w:p>
    <w:p>
      <w:pPr>
        <w:pStyle w:val="19"/>
        <w:tabs>
          <w:tab w:val="right" w:leader="dot" w:pos="9354"/>
        </w:tabs>
      </w:pPr>
      <w:r>
        <w:fldChar w:fldCharType="begin"/>
      </w:r>
      <w:r>
        <w:instrText xml:space="preserve"> HYPERLINK \l _Toc15899 </w:instrText>
      </w:r>
      <w:r>
        <w:fldChar w:fldCharType="separate"/>
      </w:r>
      <w:r>
        <w:rPr>
          <w:rFonts w:hint="eastAsia" w:ascii="黑体" w:eastAsia="黑体"/>
          <w:i w:val="0"/>
        </w:rPr>
        <w:t xml:space="preserve">5 </w:t>
      </w:r>
      <w:r>
        <w:rPr>
          <w:rFonts w:hint="eastAsia"/>
        </w:rPr>
        <w:t>能源工业互联网平台平台数据安全框架</w:t>
      </w:r>
      <w:r>
        <w:tab/>
      </w:r>
      <w:r>
        <w:fldChar w:fldCharType="begin"/>
      </w:r>
      <w:r>
        <w:instrText xml:space="preserve"> PAGEREF _Toc15899 \h </w:instrText>
      </w:r>
      <w:r>
        <w:fldChar w:fldCharType="separate"/>
      </w:r>
      <w:r>
        <w:t>2</w:t>
      </w:r>
      <w:r>
        <w:fldChar w:fldCharType="end"/>
      </w:r>
      <w:r>
        <w:fldChar w:fldCharType="end"/>
      </w:r>
    </w:p>
    <w:p>
      <w:pPr>
        <w:pStyle w:val="19"/>
        <w:tabs>
          <w:tab w:val="right" w:leader="dot" w:pos="9354"/>
        </w:tabs>
      </w:pPr>
      <w:r>
        <w:fldChar w:fldCharType="begin"/>
      </w:r>
      <w:r>
        <w:instrText xml:space="preserve"> HYPERLINK \l _Toc23153 </w:instrText>
      </w:r>
      <w:r>
        <w:fldChar w:fldCharType="separate"/>
      </w:r>
      <w:r>
        <w:rPr>
          <w:rFonts w:hint="eastAsia" w:ascii="黑体" w:eastAsia="黑体"/>
          <w:i w:val="0"/>
        </w:rPr>
        <w:t xml:space="preserve">6 </w:t>
      </w:r>
      <w:r>
        <w:rPr>
          <w:rFonts w:hint="eastAsia"/>
        </w:rPr>
        <w:t>数据分类分级要求</w:t>
      </w:r>
      <w:r>
        <w:tab/>
      </w:r>
      <w:r>
        <w:fldChar w:fldCharType="begin"/>
      </w:r>
      <w:r>
        <w:instrText xml:space="preserve"> PAGEREF _Toc23153 \h </w:instrText>
      </w:r>
      <w:r>
        <w:fldChar w:fldCharType="separate"/>
      </w:r>
      <w:r>
        <w:t>2</w:t>
      </w:r>
      <w:r>
        <w:fldChar w:fldCharType="end"/>
      </w:r>
      <w:r>
        <w:fldChar w:fldCharType="end"/>
      </w:r>
    </w:p>
    <w:p>
      <w:pPr>
        <w:pStyle w:val="24"/>
        <w:tabs>
          <w:tab w:val="right" w:leader="dot" w:pos="9354"/>
          <w:tab w:val="clear" w:pos="9344"/>
        </w:tabs>
      </w:pPr>
      <w:r>
        <w:fldChar w:fldCharType="begin"/>
      </w:r>
      <w:r>
        <w:instrText xml:space="preserve"> HYPERLINK \l _Toc4750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6.1 </w:t>
      </w:r>
      <w:r>
        <w:rPr>
          <w:rFonts w:hint="eastAsia"/>
        </w:rPr>
        <w:t>数据分类</w:t>
      </w:r>
      <w:r>
        <w:tab/>
      </w:r>
      <w:r>
        <w:fldChar w:fldCharType="begin"/>
      </w:r>
      <w:r>
        <w:instrText xml:space="preserve"> PAGEREF _Toc4750 \h </w:instrText>
      </w:r>
      <w:r>
        <w:fldChar w:fldCharType="separate"/>
      </w:r>
      <w:r>
        <w:t>2</w:t>
      </w:r>
      <w:r>
        <w:fldChar w:fldCharType="end"/>
      </w:r>
      <w:r>
        <w:fldChar w:fldCharType="end"/>
      </w:r>
    </w:p>
    <w:p>
      <w:pPr>
        <w:pStyle w:val="24"/>
        <w:tabs>
          <w:tab w:val="right" w:leader="dot" w:pos="9354"/>
          <w:tab w:val="clear" w:pos="9344"/>
        </w:tabs>
      </w:pPr>
      <w:r>
        <w:fldChar w:fldCharType="begin"/>
      </w:r>
      <w:r>
        <w:instrText xml:space="preserve"> HYPERLINK \l _Toc10381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 </w:t>
      </w:r>
      <w:r>
        <w:rPr>
          <w:rFonts w:hint="eastAsia"/>
        </w:rPr>
        <w:t>数据分级</w:t>
      </w:r>
      <w:r>
        <w:tab/>
      </w:r>
      <w:r>
        <w:fldChar w:fldCharType="begin"/>
      </w:r>
      <w:r>
        <w:instrText xml:space="preserve"> PAGEREF _Toc10381 \h </w:instrText>
      </w:r>
      <w:r>
        <w:fldChar w:fldCharType="separate"/>
      </w:r>
      <w:r>
        <w:t>2</w:t>
      </w:r>
      <w:r>
        <w:fldChar w:fldCharType="end"/>
      </w:r>
      <w:r>
        <w:fldChar w:fldCharType="end"/>
      </w:r>
    </w:p>
    <w:p>
      <w:pPr>
        <w:pStyle w:val="19"/>
        <w:tabs>
          <w:tab w:val="right" w:leader="dot" w:pos="9354"/>
        </w:tabs>
      </w:pPr>
      <w:r>
        <w:fldChar w:fldCharType="begin"/>
      </w:r>
      <w:r>
        <w:instrText xml:space="preserve"> HYPERLINK \l _Toc14971 </w:instrText>
      </w:r>
      <w:r>
        <w:fldChar w:fldCharType="separate"/>
      </w:r>
      <w:r>
        <w:rPr>
          <w:rFonts w:hint="eastAsia" w:ascii="黑体" w:eastAsia="黑体"/>
          <w:i w:val="0"/>
        </w:rPr>
        <w:t xml:space="preserve">7 </w:t>
      </w:r>
      <w:r>
        <w:rPr>
          <w:rFonts w:hint="eastAsia"/>
        </w:rPr>
        <w:t>数据采集技术要求</w:t>
      </w:r>
      <w:r>
        <w:tab/>
      </w:r>
      <w:r>
        <w:fldChar w:fldCharType="begin"/>
      </w:r>
      <w:r>
        <w:instrText xml:space="preserve"> PAGEREF _Toc14971 \h </w:instrText>
      </w:r>
      <w:r>
        <w:fldChar w:fldCharType="separate"/>
      </w:r>
      <w:r>
        <w:t>3</w:t>
      </w:r>
      <w:r>
        <w:fldChar w:fldCharType="end"/>
      </w:r>
      <w:r>
        <w:fldChar w:fldCharType="end"/>
      </w:r>
    </w:p>
    <w:p>
      <w:pPr>
        <w:pStyle w:val="24"/>
        <w:tabs>
          <w:tab w:val="right" w:leader="dot" w:pos="9354"/>
          <w:tab w:val="clear" w:pos="9344"/>
        </w:tabs>
      </w:pPr>
      <w:r>
        <w:fldChar w:fldCharType="begin"/>
      </w:r>
      <w:r>
        <w:instrText xml:space="preserve"> HYPERLINK \l _Toc7200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7.1 </w:t>
      </w:r>
      <w:r>
        <w:rPr>
          <w:rFonts w:hint="eastAsia"/>
        </w:rPr>
        <w:t>生产经营数据采集</w:t>
      </w:r>
      <w:r>
        <w:tab/>
      </w:r>
      <w:r>
        <w:fldChar w:fldCharType="begin"/>
      </w:r>
      <w:r>
        <w:instrText xml:space="preserve"> PAGEREF _Toc7200 \h </w:instrText>
      </w:r>
      <w:r>
        <w:fldChar w:fldCharType="separate"/>
      </w:r>
      <w:r>
        <w:t>3</w:t>
      </w:r>
      <w:r>
        <w:fldChar w:fldCharType="end"/>
      </w:r>
      <w:r>
        <w:fldChar w:fldCharType="end"/>
      </w:r>
    </w:p>
    <w:p>
      <w:pPr>
        <w:pStyle w:val="24"/>
        <w:tabs>
          <w:tab w:val="right" w:leader="dot" w:pos="9354"/>
          <w:tab w:val="clear" w:pos="9344"/>
        </w:tabs>
      </w:pPr>
      <w:r>
        <w:fldChar w:fldCharType="begin"/>
      </w:r>
      <w:r>
        <w:instrText xml:space="preserve"> HYPERLINK \l _Toc14164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7.2 </w:t>
      </w:r>
      <w:r>
        <w:rPr>
          <w:rFonts w:hint="eastAsia"/>
        </w:rPr>
        <w:t>个人信息采集</w:t>
      </w:r>
      <w:r>
        <w:tab/>
      </w:r>
      <w:r>
        <w:fldChar w:fldCharType="begin"/>
      </w:r>
      <w:r>
        <w:instrText xml:space="preserve"> PAGEREF _Toc14164 \h </w:instrText>
      </w:r>
      <w:r>
        <w:fldChar w:fldCharType="separate"/>
      </w:r>
      <w:r>
        <w:t>3</w:t>
      </w:r>
      <w:r>
        <w:fldChar w:fldCharType="end"/>
      </w:r>
      <w:r>
        <w:fldChar w:fldCharType="end"/>
      </w:r>
    </w:p>
    <w:p>
      <w:pPr>
        <w:pStyle w:val="24"/>
        <w:tabs>
          <w:tab w:val="right" w:leader="dot" w:pos="9354"/>
          <w:tab w:val="clear" w:pos="9344"/>
        </w:tabs>
      </w:pPr>
      <w:r>
        <w:fldChar w:fldCharType="begin"/>
      </w:r>
      <w:r>
        <w:instrText xml:space="preserve"> HYPERLINK \l _Toc20989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7.3 </w:t>
      </w:r>
      <w:r>
        <w:rPr>
          <w:rFonts w:hint="eastAsia"/>
        </w:rPr>
        <w:t>第三方数据获取</w:t>
      </w:r>
      <w:r>
        <w:tab/>
      </w:r>
      <w:r>
        <w:fldChar w:fldCharType="begin"/>
      </w:r>
      <w:r>
        <w:instrText xml:space="preserve"> PAGEREF _Toc20989 \h </w:instrText>
      </w:r>
      <w:r>
        <w:fldChar w:fldCharType="separate"/>
      </w:r>
      <w:r>
        <w:t>3</w:t>
      </w:r>
      <w:r>
        <w:fldChar w:fldCharType="end"/>
      </w:r>
      <w:r>
        <w:fldChar w:fldCharType="end"/>
      </w:r>
    </w:p>
    <w:p>
      <w:pPr>
        <w:pStyle w:val="19"/>
        <w:tabs>
          <w:tab w:val="right" w:leader="dot" w:pos="9354"/>
        </w:tabs>
      </w:pPr>
      <w:r>
        <w:fldChar w:fldCharType="begin"/>
      </w:r>
      <w:r>
        <w:instrText xml:space="preserve"> HYPERLINK \l _Toc30499 </w:instrText>
      </w:r>
      <w:r>
        <w:fldChar w:fldCharType="separate"/>
      </w:r>
      <w:r>
        <w:rPr>
          <w:rFonts w:hint="eastAsia" w:ascii="黑体" w:eastAsia="黑体"/>
          <w:i w:val="0"/>
        </w:rPr>
        <w:t xml:space="preserve">8 </w:t>
      </w:r>
      <w:r>
        <w:rPr>
          <w:rFonts w:hint="eastAsia"/>
        </w:rPr>
        <w:t>数据传输技术要求</w:t>
      </w:r>
      <w:r>
        <w:tab/>
      </w:r>
      <w:r>
        <w:fldChar w:fldCharType="begin"/>
      </w:r>
      <w:r>
        <w:instrText xml:space="preserve"> PAGEREF _Toc30499 \h </w:instrText>
      </w:r>
      <w:r>
        <w:fldChar w:fldCharType="separate"/>
      </w:r>
      <w:r>
        <w:t>3</w:t>
      </w:r>
      <w:r>
        <w:fldChar w:fldCharType="end"/>
      </w:r>
      <w:r>
        <w:fldChar w:fldCharType="end"/>
      </w:r>
    </w:p>
    <w:p>
      <w:pPr>
        <w:pStyle w:val="24"/>
        <w:tabs>
          <w:tab w:val="right" w:leader="dot" w:pos="9354"/>
          <w:tab w:val="clear" w:pos="9344"/>
        </w:tabs>
      </w:pPr>
      <w:r>
        <w:fldChar w:fldCharType="begin"/>
      </w:r>
      <w:r>
        <w:instrText xml:space="preserve"> HYPERLINK \l _Toc14980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8.1 </w:t>
      </w:r>
      <w:r>
        <w:rPr>
          <w:rFonts w:hint="eastAsia"/>
        </w:rPr>
        <w:t>内部数据传输</w:t>
      </w:r>
      <w:r>
        <w:tab/>
      </w:r>
      <w:r>
        <w:fldChar w:fldCharType="begin"/>
      </w:r>
      <w:r>
        <w:instrText xml:space="preserve"> PAGEREF _Toc14980 \h </w:instrText>
      </w:r>
      <w:r>
        <w:fldChar w:fldCharType="separate"/>
      </w:r>
      <w:r>
        <w:t>3</w:t>
      </w:r>
      <w:r>
        <w:fldChar w:fldCharType="end"/>
      </w:r>
      <w:r>
        <w:fldChar w:fldCharType="end"/>
      </w:r>
    </w:p>
    <w:p>
      <w:pPr>
        <w:pStyle w:val="24"/>
        <w:tabs>
          <w:tab w:val="right" w:leader="dot" w:pos="9354"/>
          <w:tab w:val="clear" w:pos="9344"/>
        </w:tabs>
      </w:pPr>
      <w:r>
        <w:fldChar w:fldCharType="begin"/>
      </w:r>
      <w:r>
        <w:instrText xml:space="preserve"> HYPERLINK \l _Toc24917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8.2 </w:t>
      </w:r>
      <w:r>
        <w:rPr>
          <w:rFonts w:hint="eastAsia"/>
        </w:rPr>
        <w:t>终端数据传输</w:t>
      </w:r>
      <w:r>
        <w:tab/>
      </w:r>
      <w:r>
        <w:fldChar w:fldCharType="begin"/>
      </w:r>
      <w:r>
        <w:instrText xml:space="preserve"> PAGEREF _Toc24917 \h </w:instrText>
      </w:r>
      <w:r>
        <w:fldChar w:fldCharType="separate"/>
      </w:r>
      <w:r>
        <w:t>3</w:t>
      </w:r>
      <w:r>
        <w:fldChar w:fldCharType="end"/>
      </w:r>
      <w:r>
        <w:fldChar w:fldCharType="end"/>
      </w:r>
    </w:p>
    <w:p>
      <w:pPr>
        <w:pStyle w:val="24"/>
        <w:tabs>
          <w:tab w:val="right" w:leader="dot" w:pos="9354"/>
          <w:tab w:val="clear" w:pos="9344"/>
        </w:tabs>
      </w:pPr>
      <w:r>
        <w:fldChar w:fldCharType="begin"/>
      </w:r>
      <w:r>
        <w:instrText xml:space="preserve"> HYPERLINK \l _Toc15795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8.3 </w:t>
      </w:r>
      <w:r>
        <w:rPr>
          <w:rFonts w:hint="eastAsia"/>
        </w:rPr>
        <w:t>第三方数据传输</w:t>
      </w:r>
      <w:r>
        <w:tab/>
      </w:r>
      <w:r>
        <w:fldChar w:fldCharType="begin"/>
      </w:r>
      <w:r>
        <w:instrText xml:space="preserve"> PAGEREF _Toc15795 \h </w:instrText>
      </w:r>
      <w:r>
        <w:fldChar w:fldCharType="separate"/>
      </w:r>
      <w:r>
        <w:t>3</w:t>
      </w:r>
      <w:r>
        <w:fldChar w:fldCharType="end"/>
      </w:r>
      <w:r>
        <w:fldChar w:fldCharType="end"/>
      </w:r>
    </w:p>
    <w:p>
      <w:pPr>
        <w:pStyle w:val="19"/>
        <w:tabs>
          <w:tab w:val="right" w:leader="dot" w:pos="9354"/>
        </w:tabs>
      </w:pPr>
      <w:r>
        <w:fldChar w:fldCharType="begin"/>
      </w:r>
      <w:r>
        <w:instrText xml:space="preserve"> HYPERLINK \l _Toc2838 </w:instrText>
      </w:r>
      <w:r>
        <w:fldChar w:fldCharType="separate"/>
      </w:r>
      <w:r>
        <w:rPr>
          <w:rFonts w:hint="eastAsia" w:ascii="黑体" w:eastAsia="黑体"/>
          <w:i w:val="0"/>
        </w:rPr>
        <w:t xml:space="preserve">9 </w:t>
      </w:r>
      <w:r>
        <w:rPr>
          <w:rFonts w:hint="eastAsia"/>
        </w:rPr>
        <w:t>数据存储技术要求</w:t>
      </w:r>
      <w:r>
        <w:tab/>
      </w:r>
      <w:r>
        <w:fldChar w:fldCharType="begin"/>
      </w:r>
      <w:r>
        <w:instrText xml:space="preserve"> PAGEREF _Toc2838 \h </w:instrText>
      </w:r>
      <w:r>
        <w:fldChar w:fldCharType="separate"/>
      </w:r>
      <w:r>
        <w:t>4</w:t>
      </w:r>
      <w:r>
        <w:fldChar w:fldCharType="end"/>
      </w:r>
      <w:r>
        <w:fldChar w:fldCharType="end"/>
      </w:r>
    </w:p>
    <w:p>
      <w:pPr>
        <w:pStyle w:val="24"/>
        <w:tabs>
          <w:tab w:val="right" w:leader="dot" w:pos="9354"/>
          <w:tab w:val="clear" w:pos="9344"/>
        </w:tabs>
      </w:pPr>
      <w:r>
        <w:fldChar w:fldCharType="begin"/>
      </w:r>
      <w:r>
        <w:instrText xml:space="preserve"> HYPERLINK \l _Toc15522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9.1 </w:t>
      </w:r>
      <w:r>
        <w:rPr>
          <w:rFonts w:hint="eastAsia"/>
        </w:rPr>
        <w:t>一般数据存储要求</w:t>
      </w:r>
      <w:r>
        <w:tab/>
      </w:r>
      <w:r>
        <w:fldChar w:fldCharType="begin"/>
      </w:r>
      <w:r>
        <w:instrText xml:space="preserve"> PAGEREF _Toc15522 \h </w:instrText>
      </w:r>
      <w:r>
        <w:fldChar w:fldCharType="separate"/>
      </w:r>
      <w:r>
        <w:t>4</w:t>
      </w:r>
      <w:r>
        <w:fldChar w:fldCharType="end"/>
      </w:r>
      <w:r>
        <w:fldChar w:fldCharType="end"/>
      </w:r>
    </w:p>
    <w:p>
      <w:pPr>
        <w:pStyle w:val="24"/>
        <w:tabs>
          <w:tab w:val="right" w:leader="dot" w:pos="9354"/>
          <w:tab w:val="clear" w:pos="9344"/>
        </w:tabs>
      </w:pPr>
      <w:r>
        <w:fldChar w:fldCharType="begin"/>
      </w:r>
      <w:r>
        <w:instrText xml:space="preserve"> HYPERLINK \l _Toc22353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9.2 </w:t>
      </w:r>
      <w:r>
        <w:rPr>
          <w:rFonts w:hint="eastAsia"/>
        </w:rPr>
        <w:t>重要数据存储要求</w:t>
      </w:r>
      <w:r>
        <w:tab/>
      </w:r>
      <w:r>
        <w:fldChar w:fldCharType="begin"/>
      </w:r>
      <w:r>
        <w:instrText xml:space="preserve"> PAGEREF _Toc22353 \h </w:instrText>
      </w:r>
      <w:r>
        <w:fldChar w:fldCharType="separate"/>
      </w:r>
      <w:r>
        <w:t>4</w:t>
      </w:r>
      <w:r>
        <w:fldChar w:fldCharType="end"/>
      </w:r>
      <w:r>
        <w:fldChar w:fldCharType="end"/>
      </w:r>
    </w:p>
    <w:p>
      <w:pPr>
        <w:pStyle w:val="24"/>
        <w:tabs>
          <w:tab w:val="right" w:leader="dot" w:pos="9354"/>
          <w:tab w:val="clear" w:pos="9344"/>
        </w:tabs>
      </w:pPr>
      <w:r>
        <w:fldChar w:fldCharType="begin"/>
      </w:r>
      <w:r>
        <w:instrText xml:space="preserve"> HYPERLINK \l _Toc17404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9.3 </w:t>
      </w:r>
      <w:r>
        <w:rPr>
          <w:rFonts w:hint="eastAsia"/>
        </w:rPr>
        <w:t>核心数据存储要求</w:t>
      </w:r>
      <w:r>
        <w:tab/>
      </w:r>
      <w:r>
        <w:fldChar w:fldCharType="begin"/>
      </w:r>
      <w:r>
        <w:instrText xml:space="preserve"> PAGEREF _Toc17404 \h </w:instrText>
      </w:r>
      <w:r>
        <w:fldChar w:fldCharType="separate"/>
      </w:r>
      <w:r>
        <w:t>4</w:t>
      </w:r>
      <w:r>
        <w:fldChar w:fldCharType="end"/>
      </w:r>
      <w:r>
        <w:fldChar w:fldCharType="end"/>
      </w:r>
    </w:p>
    <w:p>
      <w:pPr>
        <w:pStyle w:val="19"/>
        <w:tabs>
          <w:tab w:val="right" w:leader="dot" w:pos="9354"/>
        </w:tabs>
      </w:pPr>
      <w:r>
        <w:fldChar w:fldCharType="begin"/>
      </w:r>
      <w:r>
        <w:instrText xml:space="preserve"> HYPERLINK \l _Toc10183 </w:instrText>
      </w:r>
      <w:r>
        <w:fldChar w:fldCharType="separate"/>
      </w:r>
      <w:r>
        <w:rPr>
          <w:rFonts w:hint="eastAsia" w:ascii="黑体" w:eastAsia="黑体"/>
          <w:i w:val="0"/>
        </w:rPr>
        <w:t xml:space="preserve">10 </w:t>
      </w:r>
      <w:r>
        <w:rPr>
          <w:rFonts w:hint="eastAsia"/>
        </w:rPr>
        <w:t>数据应用技术要求</w:t>
      </w:r>
      <w:r>
        <w:tab/>
      </w:r>
      <w:r>
        <w:fldChar w:fldCharType="begin"/>
      </w:r>
      <w:r>
        <w:instrText xml:space="preserve"> PAGEREF _Toc10183 \h </w:instrText>
      </w:r>
      <w:r>
        <w:fldChar w:fldCharType="separate"/>
      </w:r>
      <w:r>
        <w:t>4</w:t>
      </w:r>
      <w:r>
        <w:fldChar w:fldCharType="end"/>
      </w:r>
      <w:r>
        <w:fldChar w:fldCharType="end"/>
      </w:r>
    </w:p>
    <w:p>
      <w:pPr>
        <w:pStyle w:val="24"/>
        <w:tabs>
          <w:tab w:val="right" w:leader="dot" w:pos="9354"/>
          <w:tab w:val="clear" w:pos="9344"/>
        </w:tabs>
      </w:pPr>
      <w:r>
        <w:fldChar w:fldCharType="begin"/>
      </w:r>
      <w:r>
        <w:instrText xml:space="preserve"> HYPERLINK \l _Toc7991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10.1 </w:t>
      </w:r>
      <w:r>
        <w:rPr>
          <w:rFonts w:hint="eastAsia"/>
        </w:rPr>
        <w:t>数据交互安全技术要求</w:t>
      </w:r>
      <w:r>
        <w:tab/>
      </w:r>
      <w:r>
        <w:fldChar w:fldCharType="begin"/>
      </w:r>
      <w:r>
        <w:instrText xml:space="preserve"> PAGEREF _Toc7991 \h </w:instrText>
      </w:r>
      <w:r>
        <w:fldChar w:fldCharType="separate"/>
      </w:r>
      <w:r>
        <w:t>4</w:t>
      </w:r>
      <w:r>
        <w:fldChar w:fldCharType="end"/>
      </w:r>
      <w:r>
        <w:fldChar w:fldCharType="end"/>
      </w:r>
    </w:p>
    <w:p>
      <w:pPr>
        <w:pStyle w:val="15"/>
        <w:tabs>
          <w:tab w:val="right" w:leader="dot" w:pos="9354"/>
        </w:tabs>
      </w:pPr>
      <w:r>
        <w:fldChar w:fldCharType="begin"/>
      </w:r>
      <w:r>
        <w:instrText xml:space="preserve"> HYPERLINK \l _Toc12258 </w:instrText>
      </w:r>
      <w:r>
        <w:fldChar w:fldCharType="separate"/>
      </w:r>
      <w:r>
        <w:rPr>
          <w:rFonts w:hint="eastAsia" w:ascii="黑体" w:eastAsia="黑体"/>
          <w:i w:val="0"/>
        </w:rPr>
        <w:t xml:space="preserve">10.1.1 </w:t>
      </w:r>
      <w:r>
        <w:rPr>
          <w:rFonts w:hint="eastAsia"/>
        </w:rPr>
        <w:t>用户访问页面交互安全要求</w:t>
      </w:r>
      <w:r>
        <w:tab/>
      </w:r>
      <w:r>
        <w:fldChar w:fldCharType="begin"/>
      </w:r>
      <w:r>
        <w:instrText xml:space="preserve"> PAGEREF _Toc12258 \h </w:instrText>
      </w:r>
      <w:r>
        <w:fldChar w:fldCharType="separate"/>
      </w:r>
      <w:r>
        <w:t>4</w:t>
      </w:r>
      <w:r>
        <w:fldChar w:fldCharType="end"/>
      </w:r>
      <w:r>
        <w:fldChar w:fldCharType="end"/>
      </w:r>
    </w:p>
    <w:p>
      <w:pPr>
        <w:pStyle w:val="15"/>
        <w:tabs>
          <w:tab w:val="right" w:leader="dot" w:pos="9354"/>
        </w:tabs>
      </w:pPr>
      <w:r>
        <w:fldChar w:fldCharType="begin"/>
      </w:r>
      <w:r>
        <w:instrText xml:space="preserve"> HYPERLINK \l _Toc15002 </w:instrText>
      </w:r>
      <w:r>
        <w:fldChar w:fldCharType="separate"/>
      </w:r>
      <w:r>
        <w:rPr>
          <w:rFonts w:hint="eastAsia" w:ascii="黑体" w:eastAsia="黑体"/>
          <w:i w:val="0"/>
        </w:rPr>
        <w:t xml:space="preserve">10.1.2 </w:t>
      </w:r>
      <w:r>
        <w:rPr>
          <w:rFonts w:hint="eastAsia"/>
        </w:rPr>
        <w:t>线上接口交互安全要求</w:t>
      </w:r>
      <w:r>
        <w:tab/>
      </w:r>
      <w:r>
        <w:fldChar w:fldCharType="begin"/>
      </w:r>
      <w:r>
        <w:instrText xml:space="preserve"> PAGEREF _Toc15002 \h </w:instrText>
      </w:r>
      <w:r>
        <w:fldChar w:fldCharType="separate"/>
      </w:r>
      <w:r>
        <w:t>4</w:t>
      </w:r>
      <w:r>
        <w:fldChar w:fldCharType="end"/>
      </w:r>
      <w:r>
        <w:fldChar w:fldCharType="end"/>
      </w:r>
    </w:p>
    <w:p>
      <w:pPr>
        <w:pStyle w:val="15"/>
        <w:tabs>
          <w:tab w:val="right" w:leader="dot" w:pos="9354"/>
        </w:tabs>
      </w:pPr>
      <w:r>
        <w:fldChar w:fldCharType="begin"/>
      </w:r>
      <w:r>
        <w:instrText xml:space="preserve"> HYPERLINK \l _Toc16182 </w:instrText>
      </w:r>
      <w:r>
        <w:fldChar w:fldCharType="separate"/>
      </w:r>
      <w:r>
        <w:rPr>
          <w:rFonts w:hint="eastAsia" w:ascii="黑体" w:eastAsia="黑体"/>
          <w:i w:val="0"/>
        </w:rPr>
        <w:t xml:space="preserve">10.1.3 </w:t>
      </w:r>
      <w:r>
        <w:rPr>
          <w:rFonts w:hint="eastAsia"/>
        </w:rPr>
        <w:t>线下导出共享安全要求</w:t>
      </w:r>
      <w:r>
        <w:tab/>
      </w:r>
      <w:r>
        <w:fldChar w:fldCharType="begin"/>
      </w:r>
      <w:r>
        <w:instrText xml:space="preserve"> PAGEREF _Toc16182 \h </w:instrText>
      </w:r>
      <w:r>
        <w:fldChar w:fldCharType="separate"/>
      </w:r>
      <w:r>
        <w:t>5</w:t>
      </w:r>
      <w:r>
        <w:fldChar w:fldCharType="end"/>
      </w:r>
      <w:r>
        <w:fldChar w:fldCharType="end"/>
      </w:r>
    </w:p>
    <w:p>
      <w:pPr>
        <w:pStyle w:val="15"/>
        <w:tabs>
          <w:tab w:val="right" w:leader="dot" w:pos="9354"/>
        </w:tabs>
      </w:pPr>
      <w:r>
        <w:fldChar w:fldCharType="begin"/>
      </w:r>
      <w:r>
        <w:instrText xml:space="preserve"> HYPERLINK \l _Toc29259 </w:instrText>
      </w:r>
      <w:r>
        <w:fldChar w:fldCharType="separate"/>
      </w:r>
      <w:r>
        <w:rPr>
          <w:rFonts w:hint="eastAsia" w:ascii="黑体" w:eastAsia="黑体"/>
          <w:i w:val="0"/>
        </w:rPr>
        <w:t xml:space="preserve">10.1.4 </w:t>
      </w:r>
      <w:r>
        <w:rPr>
          <w:rFonts w:hint="eastAsia"/>
        </w:rPr>
        <w:t>数据协同应用安全要求</w:t>
      </w:r>
      <w:r>
        <w:tab/>
      </w:r>
      <w:r>
        <w:fldChar w:fldCharType="begin"/>
      </w:r>
      <w:r>
        <w:instrText xml:space="preserve"> PAGEREF _Toc29259 \h </w:instrText>
      </w:r>
      <w:r>
        <w:fldChar w:fldCharType="separate"/>
      </w:r>
      <w:r>
        <w:t>5</w:t>
      </w:r>
      <w:r>
        <w:fldChar w:fldCharType="end"/>
      </w:r>
      <w:r>
        <w:fldChar w:fldCharType="end"/>
      </w:r>
    </w:p>
    <w:p>
      <w:pPr>
        <w:pStyle w:val="24"/>
        <w:tabs>
          <w:tab w:val="right" w:leader="dot" w:pos="9354"/>
          <w:tab w:val="clear" w:pos="9344"/>
        </w:tabs>
      </w:pPr>
      <w:r>
        <w:fldChar w:fldCharType="begin"/>
      </w:r>
      <w:r>
        <w:instrText xml:space="preserve"> HYPERLINK \l _Toc18621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10.2 </w:t>
      </w:r>
      <w:r>
        <w:rPr>
          <w:rFonts w:hint="eastAsia"/>
        </w:rPr>
        <w:t>数据分析安全技术要求</w:t>
      </w:r>
      <w:r>
        <w:tab/>
      </w:r>
      <w:r>
        <w:fldChar w:fldCharType="begin"/>
      </w:r>
      <w:r>
        <w:instrText xml:space="preserve"> PAGEREF _Toc18621 \h </w:instrText>
      </w:r>
      <w:r>
        <w:fldChar w:fldCharType="separate"/>
      </w:r>
      <w:r>
        <w:t>5</w:t>
      </w:r>
      <w:r>
        <w:fldChar w:fldCharType="end"/>
      </w:r>
      <w:r>
        <w:fldChar w:fldCharType="end"/>
      </w:r>
    </w:p>
    <w:p>
      <w:pPr>
        <w:pStyle w:val="15"/>
        <w:tabs>
          <w:tab w:val="right" w:leader="dot" w:pos="9354"/>
        </w:tabs>
      </w:pPr>
      <w:r>
        <w:fldChar w:fldCharType="begin"/>
      </w:r>
      <w:r>
        <w:instrText xml:space="preserve"> HYPERLINK \l _Toc7937 </w:instrText>
      </w:r>
      <w:r>
        <w:fldChar w:fldCharType="separate"/>
      </w:r>
      <w:r>
        <w:rPr>
          <w:rFonts w:hint="eastAsia" w:ascii="黑体" w:eastAsia="黑体"/>
          <w:i w:val="0"/>
        </w:rPr>
        <w:t xml:space="preserve">10.2.1 </w:t>
      </w:r>
      <w:r>
        <w:rPr>
          <w:rFonts w:hint="eastAsia"/>
        </w:rPr>
        <w:t>数据中台分析场景</w:t>
      </w:r>
      <w:r>
        <w:tab/>
      </w:r>
      <w:r>
        <w:fldChar w:fldCharType="begin"/>
      </w:r>
      <w:r>
        <w:instrText xml:space="preserve"> PAGEREF _Toc7937 \h </w:instrText>
      </w:r>
      <w:r>
        <w:fldChar w:fldCharType="separate"/>
      </w:r>
      <w:r>
        <w:t>5</w:t>
      </w:r>
      <w:r>
        <w:fldChar w:fldCharType="end"/>
      </w:r>
      <w:r>
        <w:fldChar w:fldCharType="end"/>
      </w:r>
    </w:p>
    <w:p>
      <w:pPr>
        <w:pStyle w:val="15"/>
        <w:tabs>
          <w:tab w:val="right" w:leader="dot" w:pos="9354"/>
        </w:tabs>
      </w:pPr>
      <w:r>
        <w:fldChar w:fldCharType="begin"/>
      </w:r>
      <w:r>
        <w:instrText xml:space="preserve"> HYPERLINK \l _Toc21852 </w:instrText>
      </w:r>
      <w:r>
        <w:fldChar w:fldCharType="separate"/>
      </w:r>
      <w:r>
        <w:rPr>
          <w:rFonts w:hint="eastAsia" w:ascii="黑体" w:eastAsia="黑体"/>
          <w:i w:val="0"/>
        </w:rPr>
        <w:t xml:space="preserve">10.2.2 </w:t>
      </w:r>
      <w:r>
        <w:rPr>
          <w:rFonts w:hint="eastAsia"/>
        </w:rPr>
        <w:t>其他数据分析场景</w:t>
      </w:r>
      <w:r>
        <w:tab/>
      </w:r>
      <w:r>
        <w:fldChar w:fldCharType="begin"/>
      </w:r>
      <w:r>
        <w:instrText xml:space="preserve"> PAGEREF _Toc21852 \h </w:instrText>
      </w:r>
      <w:r>
        <w:fldChar w:fldCharType="separate"/>
      </w:r>
      <w:r>
        <w:t>5</w:t>
      </w:r>
      <w:r>
        <w:fldChar w:fldCharType="end"/>
      </w:r>
      <w:r>
        <w:fldChar w:fldCharType="end"/>
      </w:r>
    </w:p>
    <w:p>
      <w:pPr>
        <w:pStyle w:val="24"/>
        <w:tabs>
          <w:tab w:val="right" w:leader="dot" w:pos="9354"/>
          <w:tab w:val="clear" w:pos="9344"/>
        </w:tabs>
      </w:pPr>
      <w:r>
        <w:fldChar w:fldCharType="begin"/>
      </w:r>
      <w:r>
        <w:instrText xml:space="preserve"> HYPERLINK \l _Toc29961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10.3 </w:t>
      </w:r>
      <w:r>
        <w:rPr>
          <w:rFonts w:hint="eastAsia"/>
        </w:rPr>
        <w:t>数据运维安全技术要求</w:t>
      </w:r>
      <w:r>
        <w:tab/>
      </w:r>
      <w:r>
        <w:fldChar w:fldCharType="begin"/>
      </w:r>
      <w:r>
        <w:instrText xml:space="preserve"> PAGEREF _Toc29961 \h </w:instrText>
      </w:r>
      <w:r>
        <w:fldChar w:fldCharType="separate"/>
      </w:r>
      <w:r>
        <w:t>5</w:t>
      </w:r>
      <w:r>
        <w:fldChar w:fldCharType="end"/>
      </w:r>
      <w:r>
        <w:fldChar w:fldCharType="end"/>
      </w:r>
    </w:p>
    <w:p>
      <w:pPr>
        <w:pStyle w:val="15"/>
        <w:tabs>
          <w:tab w:val="right" w:leader="dot" w:pos="9354"/>
        </w:tabs>
      </w:pPr>
      <w:r>
        <w:fldChar w:fldCharType="begin"/>
      </w:r>
      <w:r>
        <w:instrText xml:space="preserve"> HYPERLINK \l _Toc17205 </w:instrText>
      </w:r>
      <w:r>
        <w:fldChar w:fldCharType="separate"/>
      </w:r>
      <w:r>
        <w:rPr>
          <w:rFonts w:hint="eastAsia" w:ascii="黑体" w:eastAsia="黑体"/>
          <w:i w:val="0"/>
        </w:rPr>
        <w:t xml:space="preserve">10.3.1 </w:t>
      </w:r>
      <w:r>
        <w:rPr>
          <w:rFonts w:hint="eastAsia"/>
        </w:rPr>
        <w:t>数据运维事前授权</w:t>
      </w:r>
      <w:r>
        <w:tab/>
      </w:r>
      <w:r>
        <w:fldChar w:fldCharType="begin"/>
      </w:r>
      <w:r>
        <w:instrText xml:space="preserve"> PAGEREF _Toc17205 \h </w:instrText>
      </w:r>
      <w:r>
        <w:fldChar w:fldCharType="separate"/>
      </w:r>
      <w:r>
        <w:t>5</w:t>
      </w:r>
      <w:r>
        <w:fldChar w:fldCharType="end"/>
      </w:r>
      <w:r>
        <w:fldChar w:fldCharType="end"/>
      </w:r>
    </w:p>
    <w:p>
      <w:pPr>
        <w:pStyle w:val="15"/>
        <w:tabs>
          <w:tab w:val="right" w:leader="dot" w:pos="9354"/>
        </w:tabs>
      </w:pPr>
      <w:r>
        <w:fldChar w:fldCharType="begin"/>
      </w:r>
      <w:r>
        <w:instrText xml:space="preserve"> HYPERLINK \l _Toc12486 </w:instrText>
      </w:r>
      <w:r>
        <w:fldChar w:fldCharType="separate"/>
      </w:r>
      <w:r>
        <w:rPr>
          <w:rFonts w:hint="eastAsia" w:ascii="黑体" w:eastAsia="黑体"/>
          <w:i w:val="0"/>
        </w:rPr>
        <w:t xml:space="preserve">10.3.2 </w:t>
      </w:r>
      <w:r>
        <w:rPr>
          <w:rFonts w:hint="eastAsia"/>
        </w:rPr>
        <w:t>数据运维事中操作</w:t>
      </w:r>
      <w:r>
        <w:tab/>
      </w:r>
      <w:r>
        <w:fldChar w:fldCharType="begin"/>
      </w:r>
      <w:r>
        <w:instrText xml:space="preserve"> PAGEREF _Toc12486 \h </w:instrText>
      </w:r>
      <w:r>
        <w:fldChar w:fldCharType="separate"/>
      </w:r>
      <w:r>
        <w:t>5</w:t>
      </w:r>
      <w:r>
        <w:fldChar w:fldCharType="end"/>
      </w:r>
      <w:r>
        <w:fldChar w:fldCharType="end"/>
      </w:r>
    </w:p>
    <w:p>
      <w:pPr>
        <w:pStyle w:val="15"/>
        <w:tabs>
          <w:tab w:val="right" w:leader="dot" w:pos="9354"/>
        </w:tabs>
      </w:pPr>
      <w:r>
        <w:fldChar w:fldCharType="begin"/>
      </w:r>
      <w:r>
        <w:instrText xml:space="preserve"> HYPERLINK \l _Toc201 </w:instrText>
      </w:r>
      <w:r>
        <w:fldChar w:fldCharType="separate"/>
      </w:r>
      <w:r>
        <w:rPr>
          <w:rFonts w:hint="eastAsia" w:ascii="黑体" w:eastAsia="黑体"/>
          <w:i w:val="0"/>
        </w:rPr>
        <w:t xml:space="preserve">10.3.3 </w:t>
      </w:r>
      <w:r>
        <w:rPr>
          <w:rFonts w:hint="eastAsia"/>
        </w:rPr>
        <w:t>数据运维事后审计</w:t>
      </w:r>
      <w:r>
        <w:tab/>
      </w:r>
      <w:r>
        <w:fldChar w:fldCharType="begin"/>
      </w:r>
      <w:r>
        <w:instrText xml:space="preserve"> PAGEREF _Toc201 \h </w:instrText>
      </w:r>
      <w:r>
        <w:fldChar w:fldCharType="separate"/>
      </w:r>
      <w:r>
        <w:t>5</w:t>
      </w:r>
      <w:r>
        <w:fldChar w:fldCharType="end"/>
      </w:r>
      <w:r>
        <w:fldChar w:fldCharType="end"/>
      </w:r>
    </w:p>
    <w:p>
      <w:pPr>
        <w:pStyle w:val="24"/>
        <w:tabs>
          <w:tab w:val="right" w:leader="dot" w:pos="9354"/>
          <w:tab w:val="clear" w:pos="9344"/>
        </w:tabs>
      </w:pPr>
      <w:r>
        <w:fldChar w:fldCharType="begin"/>
      </w:r>
      <w:r>
        <w:instrText xml:space="preserve"> HYPERLINK \l _Toc9166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10.4 </w:t>
      </w:r>
      <w:r>
        <w:rPr>
          <w:rFonts w:hint="eastAsia"/>
        </w:rPr>
        <w:t>数据测试安全技术要求</w:t>
      </w:r>
      <w:r>
        <w:tab/>
      </w:r>
      <w:r>
        <w:fldChar w:fldCharType="begin"/>
      </w:r>
      <w:r>
        <w:instrText xml:space="preserve"> PAGEREF _Toc9166 \h </w:instrText>
      </w:r>
      <w:r>
        <w:fldChar w:fldCharType="separate"/>
      </w:r>
      <w:r>
        <w:t>5</w:t>
      </w:r>
      <w:r>
        <w:fldChar w:fldCharType="end"/>
      </w:r>
      <w:r>
        <w:fldChar w:fldCharType="end"/>
      </w:r>
    </w:p>
    <w:p>
      <w:pPr>
        <w:pStyle w:val="24"/>
        <w:tabs>
          <w:tab w:val="right" w:leader="dot" w:pos="9354"/>
          <w:tab w:val="clear" w:pos="9344"/>
        </w:tabs>
      </w:pPr>
      <w:r>
        <w:fldChar w:fldCharType="begin"/>
      </w:r>
      <w:r>
        <w:instrText xml:space="preserve"> HYPERLINK \l _Toc10753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10.5 </w:t>
      </w:r>
      <w:r>
        <w:rPr>
          <w:rFonts w:hint="eastAsia"/>
        </w:rPr>
        <w:t>数据销毁技术要求</w:t>
      </w:r>
      <w:r>
        <w:tab/>
      </w:r>
      <w:r>
        <w:fldChar w:fldCharType="begin"/>
      </w:r>
      <w:r>
        <w:instrText xml:space="preserve"> PAGEREF _Toc10753 \h </w:instrText>
      </w:r>
      <w:r>
        <w:fldChar w:fldCharType="separate"/>
      </w:r>
      <w:r>
        <w:t>6</w:t>
      </w:r>
      <w:r>
        <w:fldChar w:fldCharType="end"/>
      </w:r>
      <w:r>
        <w:fldChar w:fldCharType="end"/>
      </w:r>
    </w:p>
    <w:p>
      <w:pPr>
        <w:pStyle w:val="15"/>
        <w:tabs>
          <w:tab w:val="right" w:leader="dot" w:pos="9354"/>
        </w:tabs>
      </w:pPr>
      <w:r>
        <w:fldChar w:fldCharType="begin"/>
      </w:r>
      <w:r>
        <w:instrText xml:space="preserve"> HYPERLINK \l _Toc4180 </w:instrText>
      </w:r>
      <w:r>
        <w:fldChar w:fldCharType="separate"/>
      </w:r>
      <w:r>
        <w:rPr>
          <w:rFonts w:hint="eastAsia" w:ascii="黑体" w:eastAsia="黑体"/>
          <w:i w:val="0"/>
        </w:rPr>
        <w:t xml:space="preserve">10.5.1 </w:t>
      </w:r>
      <w:r>
        <w:rPr>
          <w:rFonts w:hint="eastAsia"/>
        </w:rPr>
        <w:t>数据擦除</w:t>
      </w:r>
      <w:r>
        <w:tab/>
      </w:r>
      <w:r>
        <w:fldChar w:fldCharType="begin"/>
      </w:r>
      <w:r>
        <w:instrText xml:space="preserve"> PAGEREF _Toc4180 \h </w:instrText>
      </w:r>
      <w:r>
        <w:fldChar w:fldCharType="separate"/>
      </w:r>
      <w:r>
        <w:t>6</w:t>
      </w:r>
      <w:r>
        <w:fldChar w:fldCharType="end"/>
      </w:r>
      <w:r>
        <w:fldChar w:fldCharType="end"/>
      </w:r>
    </w:p>
    <w:p>
      <w:pPr>
        <w:pStyle w:val="15"/>
        <w:tabs>
          <w:tab w:val="right" w:leader="dot" w:pos="9354"/>
        </w:tabs>
      </w:pPr>
      <w:r>
        <w:fldChar w:fldCharType="begin"/>
      </w:r>
      <w:r>
        <w:instrText xml:space="preserve"> HYPERLINK \l _Toc24204 </w:instrText>
      </w:r>
      <w:r>
        <w:fldChar w:fldCharType="separate"/>
      </w:r>
      <w:r>
        <w:rPr>
          <w:rFonts w:hint="eastAsia" w:ascii="黑体" w:eastAsia="黑体"/>
          <w:i w:val="0"/>
        </w:rPr>
        <w:t xml:space="preserve">10.5.2 </w:t>
      </w:r>
      <w:r>
        <w:rPr>
          <w:rFonts w:hint="eastAsia"/>
        </w:rPr>
        <w:t>物理销毁</w:t>
      </w:r>
      <w:r>
        <w:tab/>
      </w:r>
      <w:r>
        <w:fldChar w:fldCharType="begin"/>
      </w:r>
      <w:r>
        <w:instrText xml:space="preserve"> PAGEREF _Toc24204 \h </w:instrText>
      </w:r>
      <w:r>
        <w:fldChar w:fldCharType="separate"/>
      </w:r>
      <w:r>
        <w:t>6</w:t>
      </w:r>
      <w:r>
        <w:fldChar w:fldCharType="end"/>
      </w:r>
      <w:r>
        <w:fldChar w:fldCharType="end"/>
      </w:r>
    </w:p>
    <w:p>
      <w:pPr>
        <w:pStyle w:val="15"/>
        <w:tabs>
          <w:tab w:val="right" w:leader="dot" w:pos="9354"/>
        </w:tabs>
      </w:pPr>
      <w:r>
        <w:fldChar w:fldCharType="begin"/>
      </w:r>
      <w:r>
        <w:instrText xml:space="preserve"> HYPERLINK \l _Toc27776 </w:instrText>
      </w:r>
      <w:r>
        <w:fldChar w:fldCharType="separate"/>
      </w:r>
      <w:r>
        <w:rPr>
          <w:rFonts w:hint="eastAsia" w:ascii="黑体" w:eastAsia="黑体"/>
          <w:i w:val="0"/>
        </w:rPr>
        <w:t xml:space="preserve">10.5.3 </w:t>
      </w:r>
      <w:r>
        <w:rPr>
          <w:rFonts w:hint="eastAsia"/>
        </w:rPr>
        <w:t>个人信息销毁</w:t>
      </w:r>
      <w:r>
        <w:tab/>
      </w:r>
      <w:r>
        <w:fldChar w:fldCharType="begin"/>
      </w:r>
      <w:r>
        <w:instrText xml:space="preserve"> PAGEREF _Toc27776 \h </w:instrText>
      </w:r>
      <w:r>
        <w:fldChar w:fldCharType="separate"/>
      </w:r>
      <w:r>
        <w:t>6</w:t>
      </w:r>
      <w:r>
        <w:fldChar w:fldCharType="end"/>
      </w:r>
      <w:r>
        <w:fldChar w:fldCharType="end"/>
      </w:r>
    </w:p>
    <w:p>
      <w:pPr>
        <w:pStyle w:val="19"/>
        <w:tabs>
          <w:tab w:val="right" w:leader="dot" w:pos="9354"/>
        </w:tabs>
      </w:pPr>
      <w:r>
        <w:fldChar w:fldCharType="begin"/>
      </w:r>
      <w:r>
        <w:instrText xml:space="preserve"> HYPERLINK \l _Toc9278 </w:instrText>
      </w:r>
      <w:r>
        <w:fldChar w:fldCharType="separate"/>
      </w:r>
      <w:r>
        <w:rPr>
          <w:rFonts w:hint="eastAsia"/>
          <w:spacing w:val="100"/>
        </w:rPr>
        <w:t>附录A</w:t>
      </w:r>
      <w:r>
        <w:rPr>
          <w:rFonts w:hint="eastAsia"/>
        </w:rPr>
        <w:t>（资料性）</w:t>
      </w:r>
      <w:r>
        <w:t xml:space="preserve"> </w:t>
      </w:r>
      <w:r>
        <w:rPr>
          <w:rFonts w:hint="eastAsia"/>
        </w:rPr>
        <w:t>能源工业互联网平台数据分级分类规则与示范</w:t>
      </w:r>
      <w:r>
        <w:tab/>
      </w:r>
      <w:r>
        <w:fldChar w:fldCharType="begin"/>
      </w:r>
      <w:r>
        <w:instrText xml:space="preserve"> PAGEREF _Toc9278 \h </w:instrText>
      </w:r>
      <w:r>
        <w:fldChar w:fldCharType="separate"/>
      </w:r>
      <w:r>
        <w:t>7</w:t>
      </w:r>
      <w:r>
        <w:fldChar w:fldCharType="end"/>
      </w:r>
      <w:r>
        <w:fldChar w:fldCharType="end"/>
      </w:r>
    </w:p>
    <w:p>
      <w:pPr>
        <w:pStyle w:val="19"/>
        <w:tabs>
          <w:tab w:val="right" w:leader="dot" w:pos="9354"/>
        </w:tabs>
      </w:pPr>
      <w:r>
        <w:fldChar w:fldCharType="begin"/>
      </w:r>
      <w:r>
        <w:instrText xml:space="preserve"> HYPERLINK \l _Toc13793 </w:instrText>
      </w:r>
      <w:r>
        <w:fldChar w:fldCharType="separate"/>
      </w:r>
      <w:r>
        <w:rPr>
          <w:rFonts w:hint="eastAsia"/>
          <w:spacing w:val="100"/>
        </w:rPr>
        <w:t>附录B</w:t>
      </w:r>
      <w:r>
        <w:rPr>
          <w:rFonts w:hint="eastAsia"/>
        </w:rPr>
        <w:t>（资料性）</w:t>
      </w:r>
      <w:r>
        <w:t xml:space="preserve"> </w:t>
      </w:r>
      <w:r>
        <w:rPr>
          <w:rFonts w:hint="eastAsia"/>
        </w:rPr>
        <w:t>典型场景数据安全防护</w:t>
      </w:r>
      <w:r>
        <w:tab/>
      </w:r>
      <w:r>
        <w:fldChar w:fldCharType="begin"/>
      </w:r>
      <w:r>
        <w:instrText xml:space="preserve"> PAGEREF _Toc13793 \h </w:instrText>
      </w:r>
      <w:r>
        <w:fldChar w:fldCharType="separate"/>
      </w:r>
      <w:r>
        <w:t>10</w:t>
      </w:r>
      <w:r>
        <w:fldChar w:fldCharType="end"/>
      </w:r>
      <w:r>
        <w:fldChar w:fldCharType="end"/>
      </w:r>
    </w:p>
    <w:p>
      <w:pPr>
        <w:pStyle w:val="24"/>
        <w:tabs>
          <w:tab w:val="right" w:leader="dot" w:pos="9354"/>
          <w:tab w:val="clear" w:pos="9344"/>
        </w:tabs>
      </w:pPr>
      <w:r>
        <w:fldChar w:fldCharType="begin"/>
      </w:r>
      <w:r>
        <w:instrText xml:space="preserve"> HYPERLINK \l _Toc32083 </w:instrText>
      </w:r>
      <w:r>
        <w:fldChar w:fldCharType="separate"/>
      </w:r>
      <w:r>
        <w:rPr>
          <w:rFonts w:hint="eastAsia" w:ascii="黑体" w:eastAsia="黑体"/>
          <w:i w:val="0"/>
        </w:rPr>
        <w:t xml:space="preserve">B.1 </w:t>
      </w:r>
      <w:r>
        <w:rPr>
          <w:rFonts w:hint="eastAsia"/>
        </w:rPr>
        <w:t>数据交互场景</w:t>
      </w:r>
      <w:r>
        <w:tab/>
      </w:r>
      <w:r>
        <w:fldChar w:fldCharType="begin"/>
      </w:r>
      <w:r>
        <w:instrText xml:space="preserve"> PAGEREF _Toc32083 \h </w:instrText>
      </w:r>
      <w:r>
        <w:fldChar w:fldCharType="separate"/>
      </w:r>
      <w:r>
        <w:t>10</w:t>
      </w:r>
      <w:r>
        <w:fldChar w:fldCharType="end"/>
      </w:r>
      <w:r>
        <w:fldChar w:fldCharType="end"/>
      </w:r>
    </w:p>
    <w:p>
      <w:pPr>
        <w:pStyle w:val="24"/>
        <w:tabs>
          <w:tab w:val="right" w:leader="dot" w:pos="9354"/>
          <w:tab w:val="clear" w:pos="9344"/>
        </w:tabs>
      </w:pPr>
      <w:r>
        <w:fldChar w:fldCharType="begin"/>
      </w:r>
      <w:r>
        <w:instrText xml:space="preserve"> HYPERLINK \l _Toc32033 </w:instrText>
      </w:r>
      <w:r>
        <w:fldChar w:fldCharType="separate"/>
      </w:r>
      <w:r>
        <w:rPr>
          <w:rFonts w:hint="eastAsia" w:ascii="黑体" w:eastAsia="黑体"/>
          <w:i w:val="0"/>
        </w:rPr>
        <w:t xml:space="preserve">B.2 </w:t>
      </w:r>
      <w:r>
        <w:rPr>
          <w:rFonts w:hint="eastAsia"/>
        </w:rPr>
        <w:t>数据分析场景</w:t>
      </w:r>
      <w:r>
        <w:tab/>
      </w:r>
      <w:r>
        <w:fldChar w:fldCharType="begin"/>
      </w:r>
      <w:r>
        <w:instrText xml:space="preserve"> PAGEREF _Toc32033 \h </w:instrText>
      </w:r>
      <w:r>
        <w:fldChar w:fldCharType="separate"/>
      </w:r>
      <w:r>
        <w:t>10</w:t>
      </w:r>
      <w:r>
        <w:fldChar w:fldCharType="end"/>
      </w:r>
      <w:r>
        <w:fldChar w:fldCharType="end"/>
      </w:r>
    </w:p>
    <w:p>
      <w:pPr>
        <w:pStyle w:val="24"/>
        <w:tabs>
          <w:tab w:val="right" w:leader="dot" w:pos="9354"/>
          <w:tab w:val="clear" w:pos="9344"/>
        </w:tabs>
      </w:pPr>
      <w:r>
        <w:fldChar w:fldCharType="begin"/>
      </w:r>
      <w:r>
        <w:instrText xml:space="preserve"> HYPERLINK \l _Toc22968 </w:instrText>
      </w:r>
      <w:r>
        <w:fldChar w:fldCharType="separate"/>
      </w:r>
      <w:r>
        <w:rPr>
          <w:rFonts w:hint="eastAsia" w:ascii="黑体" w:eastAsia="黑体"/>
          <w:i w:val="0"/>
        </w:rPr>
        <w:t xml:space="preserve">B.3 </w:t>
      </w:r>
      <w:r>
        <w:rPr>
          <w:rFonts w:hint="eastAsia"/>
        </w:rPr>
        <w:t>数据运维场景</w:t>
      </w:r>
      <w:r>
        <w:tab/>
      </w:r>
      <w:r>
        <w:fldChar w:fldCharType="begin"/>
      </w:r>
      <w:r>
        <w:instrText xml:space="preserve"> PAGEREF _Toc22968 \h </w:instrText>
      </w:r>
      <w:r>
        <w:fldChar w:fldCharType="separate"/>
      </w:r>
      <w:r>
        <w:t>11</w:t>
      </w:r>
      <w:r>
        <w:fldChar w:fldCharType="end"/>
      </w:r>
      <w:r>
        <w:fldChar w:fldCharType="end"/>
      </w:r>
    </w:p>
    <w:p>
      <w:pPr>
        <w:pStyle w:val="24"/>
        <w:tabs>
          <w:tab w:val="right" w:leader="dot" w:pos="9354"/>
          <w:tab w:val="clear" w:pos="9344"/>
        </w:tabs>
      </w:pPr>
      <w:r>
        <w:fldChar w:fldCharType="begin"/>
      </w:r>
      <w:r>
        <w:instrText xml:space="preserve"> HYPERLINK \l _Toc21664 </w:instrText>
      </w:r>
      <w:r>
        <w:fldChar w:fldCharType="separate"/>
      </w:r>
      <w:r>
        <w:rPr>
          <w:rFonts w:hint="eastAsia" w:ascii="黑体" w:eastAsia="黑体"/>
          <w:i w:val="0"/>
        </w:rPr>
        <w:t xml:space="preserve">B.4 </w:t>
      </w:r>
      <w:r>
        <w:rPr>
          <w:rFonts w:hint="eastAsia"/>
        </w:rPr>
        <w:t>研发测试场景</w:t>
      </w:r>
      <w:r>
        <w:tab/>
      </w:r>
      <w:r>
        <w:fldChar w:fldCharType="begin"/>
      </w:r>
      <w:r>
        <w:instrText xml:space="preserve"> PAGEREF _Toc21664 \h </w:instrText>
      </w:r>
      <w:r>
        <w:fldChar w:fldCharType="separate"/>
      </w:r>
      <w:r>
        <w:t>11</w:t>
      </w:r>
      <w:r>
        <w:fldChar w:fldCharType="end"/>
      </w:r>
      <w:r>
        <w:fldChar w:fldCharType="end"/>
      </w:r>
    </w:p>
    <w:p>
      <w:pPr>
        <w:pStyle w:val="91"/>
        <w:spacing w:after="468"/>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21"/>
    <w:p>
      <w:pPr>
        <w:pStyle w:val="89"/>
        <w:spacing w:before="900" w:after="468"/>
      </w:pPr>
      <w:bookmarkStart w:id="22" w:name="_Toc25413"/>
      <w:bookmarkStart w:id="23" w:name="BookMark2"/>
      <w:r>
        <w:rPr>
          <w:rFonts w:hint="eastAsia"/>
          <w:spacing w:val="320"/>
        </w:rPr>
        <w:t>前</w:t>
      </w:r>
      <w:r>
        <w:rPr>
          <w:rFonts w:hint="eastAsia"/>
        </w:rPr>
        <w:t>言</w:t>
      </w:r>
      <w:bookmarkEnd w:id="22"/>
    </w:p>
    <w:p>
      <w:pPr>
        <w:pStyle w:val="56"/>
        <w:ind w:firstLine="420"/>
      </w:pPr>
      <w:r>
        <w:rPr>
          <w:rFonts w:hint="eastAsia"/>
        </w:rPr>
        <w:t>本文件按照GB/T 1.1—2020《标准化工作导则  第1部分：标准化文件的结构和起草规则》的规定起草。</w:t>
      </w:r>
    </w:p>
    <w:p>
      <w:pPr>
        <w:pStyle w:val="56"/>
        <w:ind w:firstLine="420"/>
      </w:pPr>
      <w:r>
        <w:rPr>
          <w:rFonts w:hint="eastAsia"/>
        </w:rPr>
        <w:t>请注意本文件的某些内容可能涉及专利。本文件的发布机构不承担识别专利的责任。</w:t>
      </w:r>
    </w:p>
    <w:p>
      <w:pPr>
        <w:pStyle w:val="56"/>
        <w:ind w:firstLine="420"/>
      </w:pPr>
    </w:p>
    <w:p>
      <w:pPr>
        <w:pStyle w:val="56"/>
        <w:ind w:firstLine="420"/>
      </w:pPr>
    </w:p>
    <w:p>
      <w:pPr>
        <w:pStyle w:val="56"/>
        <w:ind w:firstLine="420"/>
      </w:pPr>
      <w:r>
        <w:rPr>
          <w:rFonts w:hint="eastAsia"/>
        </w:rPr>
        <w:t>本文件由中共湖南省委网络安全和信息化委员会办公室提出。</w:t>
      </w:r>
    </w:p>
    <w:p>
      <w:pPr>
        <w:pStyle w:val="56"/>
        <w:ind w:firstLine="420"/>
      </w:pPr>
      <w:r>
        <w:rPr>
          <w:rFonts w:hint="eastAsia"/>
        </w:rPr>
        <w:t>本文件由湖南省网络安全标准化技术委员会归口。</w:t>
      </w:r>
    </w:p>
    <w:p>
      <w:pPr>
        <w:pStyle w:val="56"/>
        <w:ind w:firstLine="420"/>
      </w:pPr>
      <w:r>
        <w:rPr>
          <w:rFonts w:hint="eastAsia"/>
        </w:rPr>
        <w:t>本文件起草单位：</w:t>
      </w:r>
    </w:p>
    <w:p>
      <w:pPr>
        <w:pStyle w:val="56"/>
        <w:ind w:firstLine="420"/>
      </w:pPr>
      <w:r>
        <w:rPr>
          <w:rFonts w:hint="eastAsia"/>
        </w:rPr>
        <w:t>本文件主要起草人：</w:t>
      </w:r>
    </w:p>
    <w:p>
      <w:pPr>
        <w:pStyle w:val="56"/>
        <w:ind w:firstLine="420"/>
      </w:pPr>
    </w:p>
    <w:p>
      <w:pPr>
        <w:pStyle w:val="56"/>
        <w:ind w:firstLine="420"/>
        <w:sectPr>
          <w:pgSz w:w="11906" w:h="16838"/>
          <w:pgMar w:top="1928" w:right="1134" w:bottom="1134" w:left="1134" w:header="1418" w:footer="1134" w:gutter="284"/>
          <w:pgNumType w:fmt="upperRoman"/>
          <w:cols w:space="425" w:num="1"/>
          <w:formProt w:val="0"/>
          <w:docGrid w:type="lines" w:linePitch="312" w:charSpace="0"/>
        </w:sectPr>
      </w:pPr>
    </w:p>
    <w:bookmarkEnd w:id="23"/>
    <w:p>
      <w:pPr>
        <w:spacing w:line="20" w:lineRule="exact"/>
        <w:jc w:val="center"/>
        <w:rPr>
          <w:rFonts w:hint="eastAsia" w:ascii="黑体" w:hAnsi="黑体" w:eastAsia="黑体"/>
          <w:sz w:val="32"/>
          <w:szCs w:val="32"/>
        </w:rPr>
      </w:pPr>
      <w:bookmarkStart w:id="24" w:name="BookMark4"/>
    </w:p>
    <w:p>
      <w:pPr>
        <w:spacing w:line="20" w:lineRule="exact"/>
        <w:jc w:val="center"/>
        <w:rPr>
          <w:rFonts w:hint="eastAsia" w:ascii="黑体" w:hAnsi="黑体" w:eastAsia="黑体"/>
          <w:sz w:val="32"/>
          <w:szCs w:val="32"/>
        </w:rPr>
      </w:pPr>
    </w:p>
    <w:sdt>
      <w:sdtPr>
        <w:tag w:val="NEW_STAND_NAME"/>
        <w:id w:val="595910757"/>
        <w:lock w:val="sdtLocked"/>
        <w:placeholder>
          <w:docPart w:val="05F923230E1D47A59C0DAE508352F7D9"/>
        </w:placeholder>
      </w:sdtPr>
      <w:sdtContent>
        <w:p>
          <w:pPr>
            <w:pStyle w:val="177"/>
            <w:spacing w:before="312" w:beforeLines="100" w:after="686" w:afterLines="220"/>
            <w:rPr>
              <w:rFonts w:hint="eastAsia"/>
            </w:rPr>
          </w:pPr>
          <w:bookmarkStart w:id="25" w:name="NEW_STAND_NAME"/>
          <w:r>
            <w:rPr>
              <w:rFonts w:hint="eastAsia"/>
            </w:rPr>
            <w:t>能源工业互联网平台数据安全技术要求</w:t>
          </w:r>
        </w:p>
      </w:sdtContent>
    </w:sdt>
    <w:bookmarkEnd w:id="25"/>
    <w:p>
      <w:pPr>
        <w:pStyle w:val="104"/>
        <w:spacing w:before="312" w:after="312"/>
      </w:pPr>
      <w:bookmarkStart w:id="26" w:name="_Toc18057"/>
      <w:bookmarkStart w:id="27" w:name="_Toc24884218"/>
      <w:bookmarkStart w:id="28" w:name="_Toc26648465"/>
      <w:bookmarkStart w:id="29" w:name="_Toc26718930"/>
      <w:bookmarkStart w:id="30" w:name="_Toc17233333"/>
      <w:bookmarkStart w:id="31" w:name="_Toc26986771"/>
      <w:bookmarkStart w:id="32" w:name="_Toc17233325"/>
      <w:bookmarkStart w:id="33" w:name="_Toc24884211"/>
      <w:bookmarkStart w:id="34" w:name="_Toc26986530"/>
      <w:bookmarkStart w:id="35" w:name="_Toc97191423"/>
      <w:r>
        <w:rPr>
          <w:rFonts w:hint="eastAsia"/>
        </w:rPr>
        <w:t>范围</w:t>
      </w:r>
      <w:bookmarkEnd w:id="26"/>
      <w:bookmarkEnd w:id="27"/>
      <w:bookmarkEnd w:id="28"/>
      <w:bookmarkEnd w:id="29"/>
      <w:bookmarkEnd w:id="30"/>
      <w:bookmarkEnd w:id="31"/>
      <w:bookmarkEnd w:id="32"/>
      <w:bookmarkEnd w:id="33"/>
      <w:bookmarkEnd w:id="34"/>
      <w:bookmarkEnd w:id="35"/>
    </w:p>
    <w:p>
      <w:pPr>
        <w:pStyle w:val="56"/>
        <w:ind w:firstLine="420"/>
      </w:pPr>
      <w:bookmarkStart w:id="36" w:name="_Toc24884212"/>
      <w:bookmarkStart w:id="37" w:name="_Toc17233326"/>
      <w:bookmarkStart w:id="38" w:name="_Toc24884219"/>
      <w:bookmarkStart w:id="39" w:name="_Toc26648466"/>
      <w:bookmarkStart w:id="40" w:name="_Toc17233334"/>
      <w:r>
        <w:rPr>
          <w:rFonts w:hint="eastAsia"/>
        </w:rPr>
        <w:t>本文件规定了能源工业互联网平台数据安全框架、数据分类分级要求、数据采集技术要求、数据传输技术要求、数据存储技术要求</w:t>
      </w:r>
      <w:r>
        <w:rPr>
          <w:rFonts w:hint="eastAsia"/>
          <w:lang w:eastAsia="zh-CN"/>
        </w:rPr>
        <w:t>、</w:t>
      </w:r>
      <w:r>
        <w:rPr>
          <w:rFonts w:hint="eastAsia"/>
        </w:rPr>
        <w:t>数据</w:t>
      </w:r>
      <w:r>
        <w:rPr>
          <w:rFonts w:hint="eastAsia"/>
          <w:lang w:eastAsia="zh-CN"/>
        </w:rPr>
        <w:t>应用</w:t>
      </w:r>
      <w:r>
        <w:rPr>
          <w:rFonts w:hint="eastAsia"/>
        </w:rPr>
        <w:t>技术要求。</w:t>
      </w:r>
    </w:p>
    <w:p>
      <w:pPr>
        <w:pStyle w:val="56"/>
        <w:ind w:firstLine="420"/>
      </w:pPr>
      <w:r>
        <w:rPr>
          <w:rFonts w:hint="eastAsia"/>
        </w:rPr>
        <w:t>本文件适用于能源企业、能源设备制造企业工业互联网平台数据安全保障工作。</w:t>
      </w:r>
    </w:p>
    <w:p>
      <w:pPr>
        <w:pStyle w:val="104"/>
        <w:spacing w:before="312" w:after="312"/>
      </w:pPr>
      <w:bookmarkStart w:id="41" w:name="_Toc26718931"/>
      <w:bookmarkStart w:id="42" w:name="_Toc4310"/>
      <w:bookmarkStart w:id="43" w:name="_Toc26986531"/>
      <w:bookmarkStart w:id="44" w:name="_Toc26986772"/>
      <w:bookmarkStart w:id="45" w:name="_Toc97191424"/>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99561139D9A54708AA808FD328DC8C7D"/>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6"/>
        <w:ind w:firstLine="420"/>
      </w:pPr>
      <w:r>
        <w:rPr>
          <w:rFonts w:hint="eastAsia"/>
        </w:rPr>
        <w:t>GB/T 25069 信息安全技术 术语</w:t>
      </w:r>
    </w:p>
    <w:p>
      <w:pPr>
        <w:pStyle w:val="56"/>
        <w:ind w:firstLine="420"/>
      </w:pPr>
      <w:r>
        <w:rPr>
          <w:rFonts w:hint="eastAsia"/>
        </w:rPr>
        <w:t>GB/T 35273 信息安全技术 个人信息安全规范</w:t>
      </w:r>
    </w:p>
    <w:p>
      <w:pPr>
        <w:pStyle w:val="56"/>
        <w:ind w:firstLine="420"/>
      </w:pPr>
      <w:r>
        <w:rPr>
          <w:rFonts w:hint="eastAsia"/>
        </w:rPr>
        <w:t>GB/T 35295 信息技术 大数据 术语</w:t>
      </w:r>
    </w:p>
    <w:p>
      <w:pPr>
        <w:pStyle w:val="56"/>
        <w:ind w:firstLine="420"/>
      </w:pPr>
      <w:r>
        <w:rPr>
          <w:rFonts w:hint="eastAsia"/>
        </w:rPr>
        <w:t>GB/T 37044 信息安全技术 物联网安全参考模型及通用要求</w:t>
      </w:r>
    </w:p>
    <w:p>
      <w:pPr>
        <w:pStyle w:val="56"/>
        <w:ind w:firstLine="420"/>
      </w:pPr>
      <w:r>
        <w:rPr>
          <w:rFonts w:hint="eastAsia"/>
        </w:rPr>
        <w:t>GB/T 37093 信息安全技术 物联网感知层接入通信网的安全要求</w:t>
      </w:r>
    </w:p>
    <w:p>
      <w:pPr>
        <w:pStyle w:val="56"/>
        <w:ind w:firstLine="420"/>
      </w:pPr>
      <w:r>
        <w:rPr>
          <w:rFonts w:hint="eastAsia"/>
        </w:rPr>
        <w:t>GB/T 43697 数据安全技术 数据分类分级规则</w:t>
      </w:r>
    </w:p>
    <w:p>
      <w:pPr>
        <w:pStyle w:val="104"/>
        <w:spacing w:before="312" w:after="312"/>
      </w:pPr>
      <w:bookmarkStart w:id="46" w:name="_Toc9747"/>
      <w:bookmarkStart w:id="47" w:name="_Toc97191425"/>
      <w:r>
        <w:rPr>
          <w:rFonts w:hint="eastAsia"/>
          <w:szCs w:val="21"/>
        </w:rPr>
        <w:t>术语和定义</w:t>
      </w:r>
      <w:bookmarkEnd w:id="46"/>
      <w:bookmarkEnd w:id="47"/>
    </w:p>
    <w:sdt>
      <w:sdtPr>
        <w:id w:val="-1909835108"/>
        <w:placeholder>
          <w:docPart w:val="94ACCE9033BE45849B2B4BC3F98D813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6"/>
            <w:ind w:firstLine="420"/>
          </w:pPr>
          <w:bookmarkStart w:id="48" w:name="_Toc26986532"/>
          <w:bookmarkEnd w:id="48"/>
          <w:r>
            <w:rPr>
              <w:rFonts w:hint="eastAsia"/>
            </w:rPr>
            <w:t>GB/T 25069、GB/T 35295</w:t>
          </w:r>
          <w:r>
            <w:t>界定的以及下列术语和定义适用于本文件。</w:t>
          </w:r>
        </w:p>
      </w:sdtContent>
    </w:sdt>
    <w:p>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能源工业互联网平台 energy industry internet platform</w:t>
      </w:r>
    </w:p>
    <w:p>
      <w:pPr>
        <w:pStyle w:val="56"/>
        <w:ind w:firstLine="420"/>
      </w:pPr>
      <w:r>
        <w:rPr>
          <w:rFonts w:hint="eastAsia"/>
        </w:rPr>
        <w:t>针对能源行业设计的工业互联网平台，聚焦能源数据的收集与管理，实现数据的感知、认知、可视化与控制，实时安全感知、协同交互、平台运营、数据共享及生态链协作</w:t>
      </w:r>
      <w:r>
        <w:rPr>
          <w:rFonts w:hint="eastAsia"/>
          <w:lang w:eastAsia="zh-CN"/>
        </w:rPr>
        <w:t>，简称平台</w:t>
      </w:r>
      <w:r>
        <w:rPr>
          <w:rFonts w:hint="eastAsia"/>
        </w:rPr>
        <w:t>。</w:t>
      </w:r>
    </w:p>
    <w:p>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核心能源数据 core energy data</w:t>
      </w:r>
    </w:p>
    <w:p>
      <w:pPr>
        <w:pStyle w:val="56"/>
        <w:ind w:firstLine="420"/>
        <w:rPr>
          <w:rFonts w:hint="default" w:eastAsia="宋体"/>
          <w:lang w:val="en-US" w:eastAsia="zh-CN"/>
        </w:rPr>
      </w:pPr>
      <w:r>
        <w:rPr>
          <w:rFonts w:hint="eastAsia"/>
        </w:rPr>
        <w:t>对领域、群体、区域具有较高覆盖度或达到较高精度、较大规模、一定深度的重要能源数据，一旦被非法使用或共享，可能直接影响政治安全。</w:t>
      </w:r>
      <w:r>
        <w:rPr>
          <w:rFonts w:hint="eastAsia"/>
          <w:lang w:val="en-US" w:eastAsia="zh-CN"/>
        </w:rPr>
        <w:t>如关联1亿人以上公民个人信息的能源消费原始数据。</w:t>
      </w:r>
    </w:p>
    <w:p>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重要能源数据 key energy data</w:t>
      </w:r>
    </w:p>
    <w:p>
      <w:pPr>
        <w:pStyle w:val="56"/>
        <w:ind w:firstLine="420"/>
        <w:rPr>
          <w:rFonts w:hint="eastAsia" w:eastAsia="宋体"/>
          <w:lang w:val="en-US" w:eastAsia="zh-CN"/>
        </w:rPr>
      </w:pPr>
      <w:r>
        <w:rPr>
          <w:rFonts w:hint="eastAsia"/>
        </w:rPr>
        <w:t>一旦被泄露或篡改、损毁，可能直接危害国家安全、经济运行、社会稳定、公共健康和安全的特定领域、特定群体、特定区域或达到一定精度和规模的能源数据。</w:t>
      </w:r>
      <w:r>
        <w:rPr>
          <w:rFonts w:hint="eastAsia"/>
          <w:lang w:val="en-US" w:eastAsia="zh-CN"/>
        </w:rPr>
        <w:t>如特级电力用户的电力及其他能源消费原始数据；及关联100万人以上公民个人信息的能源消费原始数据。</w:t>
      </w:r>
    </w:p>
    <w:p>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一般能源数据 general energy data</w:t>
      </w:r>
      <w:bookmarkStart w:id="91" w:name="_GoBack"/>
      <w:bookmarkEnd w:id="91"/>
    </w:p>
    <w:p>
      <w:pPr>
        <w:pStyle w:val="56"/>
        <w:ind w:firstLine="420"/>
      </w:pPr>
      <w:r>
        <w:rPr>
          <w:rFonts w:hint="eastAsia"/>
        </w:rPr>
        <w:t>核心能源数据、重要能源数据之外的其他数据。</w:t>
      </w:r>
    </w:p>
    <w:p>
      <w:pPr>
        <w:pStyle w:val="104"/>
        <w:spacing w:before="312" w:after="312"/>
      </w:pPr>
      <w:bookmarkStart w:id="49" w:name="_Toc22688"/>
      <w:r>
        <w:rPr>
          <w:rFonts w:hint="eastAsia"/>
        </w:rPr>
        <w:t>缩略语</w:t>
      </w:r>
      <w:bookmarkEnd w:id="49"/>
    </w:p>
    <w:p>
      <w:pPr>
        <w:pStyle w:val="56"/>
        <w:ind w:firstLine="420"/>
      </w:pPr>
      <w:r>
        <w:rPr>
          <w:rFonts w:hint="eastAsia"/>
        </w:rPr>
        <w:t>下列缩略语适用于本文件。</w:t>
      </w:r>
    </w:p>
    <w:p>
      <w:pPr>
        <w:pStyle w:val="56"/>
        <w:ind w:firstLine="420"/>
      </w:pPr>
      <w:r>
        <w:rPr>
          <w:rFonts w:hint="eastAsia"/>
        </w:rPr>
        <w:t xml:space="preserve">HTTPS：超文本传输安全协议(Hypertext Transfer Protocol Secure) </w:t>
      </w:r>
    </w:p>
    <w:p>
      <w:pPr>
        <w:pStyle w:val="56"/>
        <w:ind w:firstLine="420"/>
      </w:pPr>
      <w:r>
        <w:rPr>
          <w:rFonts w:hint="eastAsia"/>
        </w:rPr>
        <w:t>APP:应用程序(Application)</w:t>
      </w:r>
    </w:p>
    <w:p>
      <w:pPr>
        <w:pStyle w:val="104"/>
        <w:spacing w:before="312" w:after="312"/>
      </w:pPr>
      <w:bookmarkStart w:id="50" w:name="_Toc15899"/>
      <w:r>
        <w:rPr>
          <w:rFonts w:hint="eastAsia"/>
        </w:rPr>
        <w:t>能源工业互联网平台平台数据安全框架</w:t>
      </w:r>
      <w:bookmarkEnd w:id="50"/>
    </w:p>
    <w:p>
      <w:pPr>
        <w:pStyle w:val="56"/>
        <w:ind w:firstLine="420"/>
      </w:pPr>
      <w:r>
        <w:rPr>
          <w:rFonts w:hint="eastAsia"/>
          <w:lang w:eastAsia="zh-CN"/>
        </w:rPr>
        <w:t>平台</w:t>
      </w:r>
      <w:r>
        <w:rPr>
          <w:rFonts w:hint="eastAsia"/>
        </w:rPr>
        <w:t>数据安全围绕能源数据分类分级与数据采集、传输、存储、应用全环节，数据安全框架见图1。其中数据采集包括生产经营数据采集、个人信息采集、第三方数据获取。数据传输包括内部数据传输、终端数据传输、第三方数据传输等。数据应用包括数据交互、数据分析、数据运维、数据测试等。</w:t>
      </w:r>
    </w:p>
    <w:p>
      <w:pPr>
        <w:pStyle w:val="56"/>
        <w:ind w:firstLine="0" w:firstLineChars="0"/>
      </w:pPr>
      <w:r>
        <w:drawing>
          <wp:inline distT="0" distB="0" distL="0" distR="0">
            <wp:extent cx="5934075" cy="2495550"/>
            <wp:effectExtent l="0" t="0" r="9525" b="0"/>
            <wp:docPr id="10900364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36443"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34075" cy="2495550"/>
                    </a:xfrm>
                    <a:prstGeom prst="rect">
                      <a:avLst/>
                    </a:prstGeom>
                    <a:noFill/>
                    <a:ln>
                      <a:noFill/>
                    </a:ln>
                  </pic:spPr>
                </pic:pic>
              </a:graphicData>
            </a:graphic>
          </wp:inline>
        </w:drawing>
      </w:r>
    </w:p>
    <w:p>
      <w:pPr>
        <w:pStyle w:val="114"/>
        <w:spacing w:before="156" w:after="156"/>
      </w:pPr>
      <w:r>
        <w:rPr>
          <w:rFonts w:hint="eastAsia"/>
        </w:rPr>
        <w:t>平台</w:t>
      </w:r>
      <w:r>
        <w:rPr>
          <w:rFonts w:hint="eastAsia"/>
          <w:lang w:eastAsia="zh-CN"/>
        </w:rPr>
        <w:t>数据</w:t>
      </w:r>
      <w:r>
        <w:rPr>
          <w:rFonts w:hint="eastAsia"/>
        </w:rPr>
        <w:t>安全架构</w:t>
      </w:r>
    </w:p>
    <w:p>
      <w:pPr>
        <w:pStyle w:val="104"/>
        <w:spacing w:before="312" w:after="312"/>
      </w:pPr>
      <w:bookmarkStart w:id="51" w:name="_Toc23153"/>
      <w:r>
        <w:rPr>
          <w:rFonts w:hint="eastAsia"/>
        </w:rPr>
        <w:t>数据分类分级要求</w:t>
      </w:r>
      <w:bookmarkEnd w:id="51"/>
    </w:p>
    <w:p>
      <w:pPr>
        <w:pStyle w:val="105"/>
        <w:spacing w:before="156" w:after="156"/>
      </w:pPr>
      <w:bookmarkStart w:id="52" w:name="_Toc4750"/>
      <w:r>
        <w:rPr>
          <w:rFonts w:hint="eastAsia"/>
        </w:rPr>
        <w:t>数据分类</w:t>
      </w:r>
      <w:bookmarkEnd w:id="52"/>
    </w:p>
    <w:p>
      <w:pPr>
        <w:pStyle w:val="174"/>
        <w:numPr>
          <w:ilvl w:val="0"/>
          <w:numId w:val="0"/>
        </w:numPr>
        <w:ind w:left="425" w:leftChars="0"/>
        <w:rPr>
          <w:rFonts w:hint="eastAsia"/>
          <w:lang w:val="en-US" w:eastAsia="zh-CN"/>
        </w:rPr>
      </w:pPr>
      <w:r>
        <w:rPr>
          <w:rFonts w:hint="eastAsia"/>
          <w:lang w:val="en-US" w:eastAsia="zh-CN"/>
        </w:rPr>
        <w:t>6.1.1 平台数据分类应满足GB/T 43697中的要求。</w:t>
      </w:r>
    </w:p>
    <w:p>
      <w:pPr>
        <w:pStyle w:val="174"/>
        <w:numPr>
          <w:ilvl w:val="0"/>
          <w:numId w:val="0"/>
        </w:numPr>
        <w:ind w:left="425" w:leftChars="0"/>
        <w:rPr>
          <w:rFonts w:hint="eastAsia"/>
          <w:lang w:val="en-US" w:eastAsia="zh-CN"/>
        </w:rPr>
      </w:pPr>
      <w:r>
        <w:rPr>
          <w:rFonts w:hint="eastAsia"/>
          <w:lang w:val="en-US" w:eastAsia="zh-CN"/>
        </w:rPr>
        <w:t>6.1.2 平台数据分类应参考数据资源产生来源方、权利所有方等要素，在产生来源方、权利所有方存在冲突时，优先参考数据资源产权所有方进行数据分类。</w:t>
      </w:r>
    </w:p>
    <w:p>
      <w:pPr>
        <w:pStyle w:val="174"/>
        <w:numPr>
          <w:ilvl w:val="0"/>
          <w:numId w:val="0"/>
        </w:numPr>
        <w:ind w:left="425" w:leftChars="0"/>
        <w:rPr>
          <w:rFonts w:hint="eastAsia"/>
          <w:lang w:val="en-US" w:eastAsia="zh-CN"/>
        </w:rPr>
      </w:pPr>
      <w:r>
        <w:rPr>
          <w:rFonts w:hint="eastAsia"/>
          <w:lang w:val="en-US" w:eastAsia="zh-CN"/>
        </w:rPr>
        <w:t>6.1.3 宜参考A.1按照三个层级进行分类，其中个人信息和公共数据可按照自身特征调整所涉及的分类层级。</w:t>
      </w:r>
    </w:p>
    <w:p>
      <w:pPr>
        <w:pStyle w:val="174"/>
        <w:numPr>
          <w:ilvl w:val="0"/>
          <w:numId w:val="0"/>
        </w:numPr>
        <w:ind w:left="425" w:leftChars="0"/>
        <w:rPr>
          <w:rFonts w:hint="eastAsia"/>
          <w:lang w:val="en-US" w:eastAsia="zh-CN"/>
        </w:rPr>
      </w:pPr>
      <w:r>
        <w:rPr>
          <w:rFonts w:hint="eastAsia"/>
          <w:lang w:val="en-US" w:eastAsia="zh-CN"/>
        </w:rPr>
        <w:t>6.1.4 分类层级宜参考A.2，按照业务特征分类，划分为专业领域、业务主题和业务对象，并依据数据规模划分为数据集和数据项。</w:t>
      </w:r>
    </w:p>
    <w:p>
      <w:pPr>
        <w:pStyle w:val="105"/>
        <w:spacing w:before="156" w:after="156"/>
      </w:pPr>
      <w:bookmarkStart w:id="53" w:name="_Toc10381"/>
      <w:r>
        <w:rPr>
          <w:rFonts w:hint="eastAsia"/>
        </w:rPr>
        <w:t>数据分级</w:t>
      </w:r>
      <w:bookmarkEnd w:id="53"/>
    </w:p>
    <w:p>
      <w:pPr>
        <w:pStyle w:val="174"/>
        <w:numPr>
          <w:ilvl w:val="0"/>
          <w:numId w:val="0"/>
        </w:numPr>
        <w:ind w:left="425" w:leftChars="0"/>
        <w:rPr>
          <w:rFonts w:hint="eastAsia"/>
          <w:lang w:val="en-US" w:eastAsia="zh-CN"/>
        </w:rPr>
      </w:pPr>
      <w:r>
        <w:rPr>
          <w:rFonts w:hint="eastAsia"/>
          <w:lang w:val="en-US" w:eastAsia="zh-CN"/>
        </w:rPr>
        <w:t>6.2.1 平台数据分级应符合GB/T 43697中的数据分级要求。</w:t>
      </w:r>
    </w:p>
    <w:p>
      <w:pPr>
        <w:pStyle w:val="174"/>
        <w:numPr>
          <w:ilvl w:val="0"/>
          <w:numId w:val="0"/>
        </w:numPr>
        <w:ind w:left="425" w:leftChars="0"/>
        <w:rPr>
          <w:rFonts w:hint="eastAsia"/>
          <w:lang w:val="en-US" w:eastAsia="zh-CN"/>
        </w:rPr>
      </w:pPr>
      <w:r>
        <w:rPr>
          <w:rFonts w:hint="eastAsia"/>
          <w:lang w:val="en-US" w:eastAsia="zh-CN"/>
        </w:rPr>
        <w:t>6.2.2 平台数据应总体分为核心数据、重要数据、一般数据三大级，并从高到低分为6级，其中核心数据为6级，重要数据为5级，一般数据根据影响程度分为1~4级。</w:t>
      </w:r>
    </w:p>
    <w:p>
      <w:pPr>
        <w:pStyle w:val="174"/>
        <w:numPr>
          <w:ilvl w:val="0"/>
          <w:numId w:val="0"/>
        </w:numPr>
        <w:ind w:left="425" w:leftChars="0"/>
        <w:rPr>
          <w:rFonts w:hint="eastAsia"/>
          <w:lang w:val="en-US" w:eastAsia="zh-CN"/>
        </w:rPr>
      </w:pPr>
      <w:r>
        <w:rPr>
          <w:rFonts w:hint="eastAsia"/>
          <w:lang w:val="en-US" w:eastAsia="zh-CN"/>
        </w:rPr>
        <w:t>6.2.3 应结合业务实际，采用自顶向下和自底而上相结合的方法进行数据分级。</w:t>
      </w:r>
    </w:p>
    <w:p>
      <w:pPr>
        <w:pStyle w:val="174"/>
        <w:numPr>
          <w:ilvl w:val="0"/>
          <w:numId w:val="0"/>
        </w:numPr>
        <w:ind w:left="425" w:leftChars="0"/>
        <w:rPr>
          <w:rFonts w:hint="eastAsia"/>
          <w:lang w:val="en-US" w:eastAsia="zh-CN"/>
        </w:rPr>
      </w:pPr>
      <w:r>
        <w:rPr>
          <w:rFonts w:hint="eastAsia"/>
          <w:lang w:val="en-US" w:eastAsia="zh-CN"/>
        </w:rPr>
        <w:t>6.2.4 数据分级应包括对数据集进行分级、对数据项进行分级，其中数据项分级最高级别为4级数据，数据集级别在数据项级别的基础上，综合考虑该数据集的数据规模、影响对象、影响程度，可上升为重要数据（5级）或核心数据（6级）。</w:t>
      </w:r>
    </w:p>
    <w:p>
      <w:pPr>
        <w:pStyle w:val="174"/>
        <w:numPr>
          <w:ilvl w:val="0"/>
          <w:numId w:val="0"/>
        </w:numPr>
        <w:ind w:left="425" w:leftChars="0"/>
        <w:rPr>
          <w:rFonts w:hint="eastAsia"/>
          <w:lang w:val="en-US" w:eastAsia="zh-CN"/>
        </w:rPr>
      </w:pPr>
      <w:r>
        <w:rPr>
          <w:rFonts w:hint="eastAsia"/>
          <w:lang w:val="en-US" w:eastAsia="zh-CN"/>
        </w:rPr>
        <w:t>6.2.5 数据分级判定宜参考A.3,数据分级中影响程度要素判断宜参考A.4。</w:t>
      </w:r>
    </w:p>
    <w:p>
      <w:pPr>
        <w:pStyle w:val="104"/>
        <w:spacing w:before="312" w:after="312"/>
      </w:pPr>
      <w:bookmarkStart w:id="54" w:name="_Toc14971"/>
      <w:r>
        <w:rPr>
          <w:rFonts w:hint="eastAsia"/>
        </w:rPr>
        <w:t>数据采集技术要求</w:t>
      </w:r>
      <w:bookmarkEnd w:id="54"/>
    </w:p>
    <w:p>
      <w:pPr>
        <w:pStyle w:val="105"/>
        <w:spacing w:before="156" w:after="156"/>
      </w:pPr>
      <w:bookmarkStart w:id="55" w:name="_Toc7200"/>
      <w:r>
        <w:rPr>
          <w:rFonts w:hint="eastAsia"/>
        </w:rPr>
        <w:t>生产经营数据采集</w:t>
      </w:r>
      <w:bookmarkEnd w:id="55"/>
    </w:p>
    <w:p>
      <w:pPr>
        <w:pStyle w:val="174"/>
        <w:numPr>
          <w:ilvl w:val="0"/>
          <w:numId w:val="0"/>
        </w:numPr>
        <w:ind w:left="425" w:leftChars="0"/>
        <w:rPr>
          <w:rFonts w:hint="eastAsia"/>
          <w:lang w:val="en-US" w:eastAsia="zh-CN"/>
        </w:rPr>
      </w:pPr>
      <w:r>
        <w:rPr>
          <w:rFonts w:hint="eastAsia"/>
          <w:lang w:val="en-US" w:eastAsia="zh-CN"/>
        </w:rPr>
        <w:t>7.1.1 物联终端采集生产经营数据时,应遵循GB/T 3704 、GB/T 37093中物联终端安全防护要求，加强终端准入管控和安全监测；</w:t>
      </w:r>
    </w:p>
    <w:p>
      <w:pPr>
        <w:pStyle w:val="174"/>
        <w:numPr>
          <w:ilvl w:val="0"/>
          <w:numId w:val="0"/>
        </w:numPr>
        <w:ind w:left="425" w:leftChars="0"/>
        <w:rPr>
          <w:rFonts w:hint="eastAsia"/>
          <w:lang w:val="en-US" w:eastAsia="zh-CN"/>
        </w:rPr>
      </w:pPr>
      <w:r>
        <w:rPr>
          <w:rFonts w:hint="eastAsia"/>
          <w:lang w:val="en-US" w:eastAsia="zh-CN"/>
        </w:rPr>
        <w:t>7.1.2 通过无线网络采集物联终端的生产经营数据时应采取加密、认证及访问控制等安全措施。</w:t>
      </w:r>
    </w:p>
    <w:p>
      <w:pPr>
        <w:pStyle w:val="105"/>
        <w:spacing w:before="156" w:after="156"/>
      </w:pPr>
      <w:bookmarkStart w:id="56" w:name="_Toc14164"/>
      <w:r>
        <w:rPr>
          <w:rFonts w:hint="eastAsia"/>
        </w:rPr>
        <w:t>个人信息采集</w:t>
      </w:r>
      <w:bookmarkEnd w:id="56"/>
    </w:p>
    <w:p>
      <w:pPr>
        <w:pStyle w:val="56"/>
        <w:ind w:firstLine="420"/>
      </w:pPr>
      <w:r>
        <w:rPr>
          <w:rFonts w:hint="eastAsia"/>
        </w:rPr>
        <w:t>平台采集个人信息应遵循GB/T 35273相关要求，并满足如下安全要求：</w:t>
      </w:r>
    </w:p>
    <w:p>
      <w:pPr>
        <w:pStyle w:val="174"/>
        <w:numPr>
          <w:ilvl w:val="0"/>
          <w:numId w:val="32"/>
        </w:numPr>
      </w:pPr>
      <w:r>
        <w:rPr>
          <w:rFonts w:hint="eastAsia"/>
        </w:rPr>
        <w:t>通过APP等应用采集用户个人信息时，应通过弹窗等明显方式向用户明示采集方主体名称和联系方式、个人信息处理目的、处理方式、处理的个人信息种类、保存期限、个人行使权利的方式和程序以及法律、行政法规规定应当告知的其他事项，并征得用户同意；</w:t>
      </w:r>
    </w:p>
    <w:p>
      <w:pPr>
        <w:pStyle w:val="174"/>
      </w:pPr>
      <w:r>
        <w:rPr>
          <w:rFonts w:hint="eastAsia"/>
        </w:rPr>
        <w:t>采集用户个人信息时，应限于实现处理个人信息目的的最小范围，</w:t>
      </w:r>
      <w:r>
        <w:rPr>
          <w:rFonts w:hint="eastAsia"/>
          <w:lang w:eastAsia="zh-CN"/>
        </w:rPr>
        <w:t>不应</w:t>
      </w:r>
      <w:r>
        <w:rPr>
          <w:rFonts w:hint="eastAsia"/>
        </w:rPr>
        <w:t>过度收集个人信息，</w:t>
      </w:r>
      <w:r>
        <w:rPr>
          <w:rFonts w:hint="eastAsia"/>
          <w:lang w:eastAsia="zh-CN"/>
        </w:rPr>
        <w:t>不应</w:t>
      </w:r>
      <w:r>
        <w:rPr>
          <w:rFonts w:hint="eastAsia"/>
        </w:rPr>
        <w:t>以欺诈、诱骗、误导的方式收集个人信息，</w:t>
      </w:r>
      <w:r>
        <w:rPr>
          <w:rFonts w:hint="eastAsia"/>
          <w:lang w:eastAsia="zh-CN"/>
        </w:rPr>
        <w:t>不应</w:t>
      </w:r>
      <w:r>
        <w:rPr>
          <w:rFonts w:hint="eastAsia"/>
        </w:rPr>
        <w:t>隐瞒产品或服务所收集个人信息的用途。</w:t>
      </w:r>
    </w:p>
    <w:p>
      <w:pPr>
        <w:pStyle w:val="105"/>
        <w:spacing w:before="156" w:after="156"/>
      </w:pPr>
      <w:bookmarkStart w:id="57" w:name="_Toc20989"/>
      <w:r>
        <w:rPr>
          <w:rFonts w:hint="eastAsia"/>
        </w:rPr>
        <w:t>第三方数据获取</w:t>
      </w:r>
      <w:bookmarkEnd w:id="57"/>
    </w:p>
    <w:p>
      <w:pPr>
        <w:pStyle w:val="56"/>
        <w:ind w:firstLine="420"/>
      </w:pPr>
      <w:r>
        <w:rPr>
          <w:rFonts w:hint="eastAsia"/>
        </w:rPr>
        <w:t>平台获取第三方数据的安全要求如下：</w:t>
      </w:r>
    </w:p>
    <w:p>
      <w:pPr>
        <w:pStyle w:val="174"/>
        <w:numPr>
          <w:ilvl w:val="0"/>
          <w:numId w:val="33"/>
        </w:numPr>
      </w:pPr>
      <w:r>
        <w:rPr>
          <w:rFonts w:hint="eastAsia"/>
        </w:rPr>
        <w:t>应通过合法、正当方式从政府、企业等第三方单位获取数据，不应窃取或者以其他非法方式获取，不应将数据进行二次传播；</w:t>
      </w:r>
    </w:p>
    <w:p>
      <w:pPr>
        <w:pStyle w:val="174"/>
      </w:pPr>
      <w:r>
        <w:rPr>
          <w:rFonts w:hint="eastAsia"/>
        </w:rPr>
        <w:t>应建立获取数据的合规管控流程，确认数据来源、安全要求、授权时限范围及各方安全责任等，通过签订合同、协议等方式明确数据用途和双方权益；</w:t>
      </w:r>
    </w:p>
    <w:p>
      <w:pPr>
        <w:pStyle w:val="174"/>
      </w:pPr>
      <w:r>
        <w:rPr>
          <w:rFonts w:hint="eastAsia"/>
        </w:rPr>
        <w:t>从第三方获取个人信息时，应确认个人信息提供方已向个人告知接收方的名称和联系方式、处理目的、处理方式和个人信息种类，并取得本人的同意。</w:t>
      </w:r>
    </w:p>
    <w:p>
      <w:pPr>
        <w:pStyle w:val="104"/>
        <w:spacing w:before="312" w:after="312"/>
      </w:pPr>
      <w:bookmarkStart w:id="58" w:name="_Toc30499"/>
      <w:r>
        <w:rPr>
          <w:rFonts w:hint="eastAsia"/>
        </w:rPr>
        <w:t>数据传输技术要求</w:t>
      </w:r>
      <w:bookmarkEnd w:id="58"/>
    </w:p>
    <w:p>
      <w:pPr>
        <w:pStyle w:val="105"/>
        <w:spacing w:before="156" w:after="156"/>
      </w:pPr>
      <w:bookmarkStart w:id="59" w:name="_Toc14980"/>
      <w:r>
        <w:rPr>
          <w:rFonts w:hint="eastAsia"/>
        </w:rPr>
        <w:t>内部数据传输</w:t>
      </w:r>
      <w:bookmarkEnd w:id="59"/>
    </w:p>
    <w:p>
      <w:pPr>
        <w:pStyle w:val="174"/>
        <w:numPr>
          <w:ilvl w:val="0"/>
          <w:numId w:val="0"/>
        </w:numPr>
        <w:ind w:left="425" w:leftChars="0"/>
      </w:pPr>
      <w:r>
        <w:rPr>
          <w:rFonts w:hint="eastAsia"/>
        </w:rPr>
        <w:t>应加强数据传输过程的安全监测，及时发现和预警核心数据、重要数据违规传输等行为。</w:t>
      </w:r>
    </w:p>
    <w:p>
      <w:pPr>
        <w:pStyle w:val="105"/>
        <w:spacing w:before="156" w:after="156"/>
      </w:pPr>
      <w:bookmarkStart w:id="60" w:name="_Toc24917"/>
      <w:r>
        <w:rPr>
          <w:rFonts w:hint="eastAsia"/>
        </w:rPr>
        <w:t>终端数据传输</w:t>
      </w:r>
      <w:bookmarkEnd w:id="60"/>
    </w:p>
    <w:p>
      <w:pPr>
        <w:pStyle w:val="56"/>
        <w:ind w:firstLine="420"/>
      </w:pPr>
      <w:r>
        <w:rPr>
          <w:rFonts w:hint="eastAsia"/>
        </w:rPr>
        <w:t>从终端采集的生产经营数据、个人信息数据传输安全要求如下：</w:t>
      </w:r>
    </w:p>
    <w:p>
      <w:pPr>
        <w:pStyle w:val="174"/>
        <w:numPr>
          <w:ilvl w:val="0"/>
          <w:numId w:val="34"/>
        </w:numPr>
      </w:pPr>
      <w:r>
        <w:rPr>
          <w:rFonts w:hint="eastAsia"/>
        </w:rPr>
        <w:t>物联终端采集的生产经营数据，应对核心数据、重要数据进行加密；</w:t>
      </w:r>
    </w:p>
    <w:p>
      <w:pPr>
        <w:pStyle w:val="174"/>
      </w:pPr>
      <w:r>
        <w:rPr>
          <w:rFonts w:hint="eastAsia"/>
        </w:rPr>
        <w:t>互联网移动APP采集的个人信息等敏感数据传输时，应采取接入认证、数据加密传输等措施，加强数据保护；</w:t>
      </w:r>
    </w:p>
    <w:p>
      <w:pPr>
        <w:pStyle w:val="174"/>
      </w:pPr>
      <w:r>
        <w:rPr>
          <w:rFonts w:hint="eastAsia"/>
        </w:rPr>
        <w:t>业务系统采集的互联网个人信息，应优先采用HTTPS协议传输。</w:t>
      </w:r>
    </w:p>
    <w:p>
      <w:pPr>
        <w:pStyle w:val="105"/>
        <w:spacing w:before="156" w:after="156"/>
      </w:pPr>
      <w:bookmarkStart w:id="61" w:name="_Toc15795"/>
      <w:r>
        <w:rPr>
          <w:rFonts w:hint="eastAsia"/>
        </w:rPr>
        <w:t>第三方数据传输</w:t>
      </w:r>
      <w:bookmarkEnd w:id="61"/>
    </w:p>
    <w:p>
      <w:pPr>
        <w:pStyle w:val="56"/>
        <w:ind w:firstLine="420"/>
      </w:pPr>
      <w:r>
        <w:rPr>
          <w:rFonts w:hint="eastAsia"/>
        </w:rPr>
        <w:t>第三方获取的数据传输安全要求如下：</w:t>
      </w:r>
    </w:p>
    <w:p>
      <w:pPr>
        <w:pStyle w:val="174"/>
        <w:numPr>
          <w:ilvl w:val="0"/>
          <w:numId w:val="35"/>
        </w:numPr>
      </w:pPr>
      <w:r>
        <w:rPr>
          <w:rFonts w:hint="eastAsia"/>
        </w:rPr>
        <w:t>与政府、银行等第三方单位进行能源数据传输时，宜采用专用光纤、第三方专线等方式建立安全通道，应采取校验技术、密码技术、安全传输通道或者安全传输协议等措施保障数据安全。</w:t>
      </w:r>
    </w:p>
    <w:p>
      <w:pPr>
        <w:pStyle w:val="104"/>
        <w:spacing w:before="312" w:after="312"/>
      </w:pPr>
      <w:bookmarkStart w:id="62" w:name="_Toc2838"/>
      <w:r>
        <w:rPr>
          <w:rFonts w:hint="eastAsia"/>
        </w:rPr>
        <w:t>数据存储技术要求</w:t>
      </w:r>
      <w:bookmarkEnd w:id="62"/>
    </w:p>
    <w:p>
      <w:pPr>
        <w:pStyle w:val="105"/>
        <w:spacing w:before="156" w:after="156"/>
      </w:pPr>
      <w:bookmarkStart w:id="63" w:name="_Toc15522"/>
      <w:r>
        <w:rPr>
          <w:rFonts w:hint="eastAsia"/>
        </w:rPr>
        <w:t>一般数据存储要求</w:t>
      </w:r>
      <w:bookmarkEnd w:id="63"/>
    </w:p>
    <w:p>
      <w:pPr>
        <w:pStyle w:val="56"/>
        <w:ind w:firstLine="420"/>
      </w:pPr>
      <w:r>
        <w:rPr>
          <w:rFonts w:hint="eastAsia"/>
        </w:rPr>
        <w:t>一般数据存储安全要求如下：</w:t>
      </w:r>
    </w:p>
    <w:p>
      <w:pPr>
        <w:pStyle w:val="174"/>
        <w:numPr>
          <w:ilvl w:val="0"/>
          <w:numId w:val="36"/>
        </w:numPr>
      </w:pPr>
      <w:r>
        <w:rPr>
          <w:rFonts w:hint="eastAsia"/>
        </w:rPr>
        <w:t xml:space="preserve">可存储于专用网络，可采取通用安全保护措施进行适度防护； </w:t>
      </w:r>
    </w:p>
    <w:p>
      <w:pPr>
        <w:pStyle w:val="174"/>
      </w:pPr>
      <w:r>
        <w:rPr>
          <w:rFonts w:hint="eastAsia"/>
        </w:rPr>
        <w:t xml:space="preserve">应根据数据安全级别和敏感程度建立数据访问授权机制，制定数据访问控制策略； </w:t>
      </w:r>
    </w:p>
    <w:p>
      <w:pPr>
        <w:pStyle w:val="174"/>
      </w:pPr>
      <w:r>
        <w:rPr>
          <w:rFonts w:hint="eastAsia"/>
        </w:rPr>
        <w:t>应定期执行数据复制、备份和恢复，实现对存储数据的冗余性管理，保护数据的可用性</w:t>
      </w:r>
      <w:r>
        <w:rPr>
          <w:rFonts w:hint="eastAsia"/>
          <w:lang w:eastAsia="zh-CN"/>
        </w:rPr>
        <w:t>。</w:t>
      </w:r>
    </w:p>
    <w:p>
      <w:pPr>
        <w:pStyle w:val="105"/>
        <w:spacing w:before="156" w:after="156"/>
      </w:pPr>
      <w:bookmarkStart w:id="64" w:name="_Toc22353"/>
      <w:r>
        <w:rPr>
          <w:rFonts w:hint="eastAsia"/>
        </w:rPr>
        <w:t>重要数据存储要求</w:t>
      </w:r>
      <w:bookmarkEnd w:id="64"/>
    </w:p>
    <w:p>
      <w:pPr>
        <w:pStyle w:val="56"/>
        <w:ind w:firstLine="420"/>
      </w:pPr>
      <w:r>
        <w:rPr>
          <w:rFonts w:hint="eastAsia"/>
        </w:rPr>
        <w:t>重要数据存储安全要求如下：</w:t>
      </w:r>
    </w:p>
    <w:p>
      <w:pPr>
        <w:pStyle w:val="174"/>
        <w:numPr>
          <w:ilvl w:val="0"/>
          <w:numId w:val="37"/>
        </w:numPr>
      </w:pPr>
      <w:r>
        <w:rPr>
          <w:rFonts w:hint="eastAsia"/>
        </w:rPr>
        <w:t xml:space="preserve">原则上应存储于专用网络； </w:t>
      </w:r>
    </w:p>
    <w:p>
      <w:pPr>
        <w:pStyle w:val="174"/>
      </w:pPr>
      <w:r>
        <w:rPr>
          <w:rFonts w:hint="eastAsia"/>
        </w:rPr>
        <w:t>应具有</w:t>
      </w:r>
      <w:r>
        <w:rPr>
          <w:rFonts w:hint="eastAsia"/>
          <w:lang w:eastAsia="zh-CN"/>
        </w:rPr>
        <w:t>针对能源</w:t>
      </w:r>
      <w:r>
        <w:rPr>
          <w:rFonts w:hint="eastAsia"/>
        </w:rPr>
        <w:t>数据</w:t>
      </w:r>
      <w:r>
        <w:rPr>
          <w:rFonts w:hint="eastAsia"/>
          <w:lang w:eastAsia="zh-CN"/>
        </w:rPr>
        <w:t>的</w:t>
      </w:r>
      <w:r>
        <w:rPr>
          <w:rFonts w:hint="eastAsia"/>
        </w:rPr>
        <w:t xml:space="preserve">完整性检测、告警和恢复机制，保证在检测到数据完整性受到破坏时采取必要的恢复措施； </w:t>
      </w:r>
    </w:p>
    <w:p>
      <w:pPr>
        <w:pStyle w:val="174"/>
      </w:pPr>
      <w:r>
        <w:rPr>
          <w:rFonts w:hint="eastAsia"/>
        </w:rPr>
        <w:t xml:space="preserve">应提供异地备份功能，利用通信网络将数据备份至备份场地； </w:t>
      </w:r>
    </w:p>
    <w:p>
      <w:pPr>
        <w:pStyle w:val="174"/>
      </w:pPr>
      <w:r>
        <w:rPr>
          <w:rFonts w:hint="eastAsia"/>
        </w:rPr>
        <w:t xml:space="preserve">应采用国家密码主管部门认可的密码技术保证数据存储的完整性和保密性。 </w:t>
      </w:r>
    </w:p>
    <w:p>
      <w:pPr>
        <w:pStyle w:val="105"/>
        <w:spacing w:before="156" w:after="156"/>
      </w:pPr>
      <w:bookmarkStart w:id="65" w:name="_Toc17404"/>
      <w:r>
        <w:rPr>
          <w:rFonts w:hint="eastAsia"/>
        </w:rPr>
        <w:t>核心数据存储要求</w:t>
      </w:r>
      <w:bookmarkEnd w:id="65"/>
    </w:p>
    <w:p>
      <w:pPr>
        <w:pStyle w:val="56"/>
        <w:ind w:firstLine="420"/>
      </w:pPr>
      <w:r>
        <w:rPr>
          <w:rFonts w:hint="eastAsia"/>
        </w:rPr>
        <w:t>核心数据存储安全要求如下：</w:t>
      </w:r>
    </w:p>
    <w:p>
      <w:pPr>
        <w:pStyle w:val="174"/>
        <w:numPr>
          <w:ilvl w:val="0"/>
          <w:numId w:val="38"/>
        </w:numPr>
      </w:pPr>
      <w:r>
        <w:rPr>
          <w:rFonts w:hint="eastAsia"/>
        </w:rPr>
        <w:t xml:space="preserve">应采用国家密码主管部门认可的密码技术加密存储于专用网络； </w:t>
      </w:r>
    </w:p>
    <w:p>
      <w:pPr>
        <w:pStyle w:val="174"/>
      </w:pPr>
      <w:r>
        <w:rPr>
          <w:rFonts w:hint="eastAsia"/>
        </w:rPr>
        <w:t xml:space="preserve">应提供有效的磁盘保护方法或数据碎片化存储等措施，保证即使磁盘被窃取，非法用户也无法从磁盘中获取有效的数据； </w:t>
      </w:r>
    </w:p>
    <w:p>
      <w:pPr>
        <w:pStyle w:val="174"/>
      </w:pPr>
      <w:r>
        <w:rPr>
          <w:rFonts w:hint="eastAsia"/>
        </w:rPr>
        <w:t>应建立异地灾难备份机制，建立数据容灾备份及恢复机制，保障业务的连续运行</w:t>
      </w:r>
      <w:r>
        <w:rPr>
          <w:rFonts w:hint="eastAsia"/>
          <w:lang w:eastAsia="zh-CN"/>
        </w:rPr>
        <w:t>。</w:t>
      </w:r>
    </w:p>
    <w:p>
      <w:pPr>
        <w:pStyle w:val="104"/>
        <w:spacing w:before="312" w:after="312"/>
      </w:pPr>
      <w:bookmarkStart w:id="66" w:name="_Toc10183"/>
      <w:r>
        <w:rPr>
          <w:rFonts w:hint="eastAsia"/>
        </w:rPr>
        <w:t>数据应用技术要求</w:t>
      </w:r>
      <w:bookmarkEnd w:id="66"/>
    </w:p>
    <w:p>
      <w:pPr>
        <w:pStyle w:val="105"/>
        <w:spacing w:before="156" w:after="156"/>
      </w:pPr>
      <w:bookmarkStart w:id="67" w:name="_Toc7991"/>
      <w:r>
        <w:rPr>
          <w:rFonts w:hint="eastAsia"/>
        </w:rPr>
        <w:t>数据交互安全技术要求</w:t>
      </w:r>
      <w:bookmarkEnd w:id="67"/>
    </w:p>
    <w:p>
      <w:pPr>
        <w:pStyle w:val="65"/>
        <w:spacing w:before="156" w:after="156"/>
      </w:pPr>
      <w:bookmarkStart w:id="68" w:name="_Toc12258"/>
      <w:r>
        <w:rPr>
          <w:rFonts w:hint="eastAsia"/>
        </w:rPr>
        <w:t>用户访问页面交互安全要求</w:t>
      </w:r>
      <w:bookmarkEnd w:id="68"/>
    </w:p>
    <w:p>
      <w:pPr>
        <w:pStyle w:val="56"/>
        <w:ind w:firstLine="420"/>
      </w:pPr>
      <w:r>
        <w:rPr>
          <w:rFonts w:hint="eastAsia"/>
        </w:rPr>
        <w:t>用户访问页面交互的安全要求如下：</w:t>
      </w:r>
    </w:p>
    <w:p>
      <w:pPr>
        <w:pStyle w:val="174"/>
        <w:numPr>
          <w:ilvl w:val="0"/>
          <w:numId w:val="39"/>
        </w:numPr>
      </w:pPr>
      <w:r>
        <w:rPr>
          <w:rFonts w:hint="eastAsia"/>
        </w:rPr>
        <w:t>应结合数据级别、用户角色设置数据访问权限，按需对数据进行脱敏处理；</w:t>
      </w:r>
    </w:p>
    <w:p>
      <w:pPr>
        <w:pStyle w:val="174"/>
      </w:pPr>
      <w:r>
        <w:rPr>
          <w:rFonts w:hint="eastAsia"/>
        </w:rPr>
        <w:t>涉及重要数据、核心数据时，对浏览页面添加页面水印，确保因拍照、截屏造成数据泄露后能够定位溯源。</w:t>
      </w:r>
    </w:p>
    <w:p>
      <w:pPr>
        <w:pStyle w:val="65"/>
        <w:spacing w:before="156" w:after="156"/>
      </w:pPr>
      <w:bookmarkStart w:id="69" w:name="_Toc15002"/>
      <w:r>
        <w:rPr>
          <w:rFonts w:hint="eastAsia"/>
        </w:rPr>
        <w:t>线上接口交互安全要求</w:t>
      </w:r>
      <w:bookmarkEnd w:id="69"/>
    </w:p>
    <w:p>
      <w:pPr>
        <w:pStyle w:val="56"/>
        <w:ind w:firstLine="409" w:firstLineChars="195"/>
      </w:pPr>
      <w:r>
        <w:rPr>
          <w:rFonts w:hint="eastAsia"/>
        </w:rPr>
        <w:t>线上接口交互按数据共享对象分为对内共享、对外共享，安全要求如下：</w:t>
      </w:r>
    </w:p>
    <w:p>
      <w:pPr>
        <w:pStyle w:val="174"/>
        <w:numPr>
          <w:ilvl w:val="0"/>
          <w:numId w:val="40"/>
        </w:numPr>
      </w:pPr>
      <w:r>
        <w:rPr>
          <w:rFonts w:hint="eastAsia"/>
        </w:rPr>
        <w:t>应严格执行数据共享审批流程，按需对数据进行脱敏、水印处理后再共享；</w:t>
      </w:r>
    </w:p>
    <w:p>
      <w:pPr>
        <w:pStyle w:val="174"/>
      </w:pPr>
      <w:r>
        <w:rPr>
          <w:rFonts w:hint="eastAsia"/>
        </w:rPr>
        <w:t>应具备数据防泄露能力，对异常交互行为进行识别和阻断；</w:t>
      </w:r>
    </w:p>
    <w:p>
      <w:pPr>
        <w:pStyle w:val="174"/>
      </w:pPr>
      <w:r>
        <w:rPr>
          <w:rFonts w:hint="eastAsia"/>
        </w:rPr>
        <w:t>对外共享时需对数据接收方数据安全防护能力进行评估确认</w:t>
      </w:r>
      <w:r>
        <w:rPr>
          <w:rFonts w:hint="eastAsia"/>
          <w:lang w:eastAsia="zh-CN"/>
        </w:rPr>
        <w:t>。</w:t>
      </w:r>
    </w:p>
    <w:p>
      <w:pPr>
        <w:pStyle w:val="65"/>
        <w:spacing w:before="156" w:after="156"/>
      </w:pPr>
      <w:bookmarkStart w:id="70" w:name="_Toc16182"/>
      <w:r>
        <w:rPr>
          <w:rFonts w:hint="eastAsia"/>
        </w:rPr>
        <w:t>线下导出共享安全要求</w:t>
      </w:r>
      <w:bookmarkEnd w:id="70"/>
    </w:p>
    <w:p>
      <w:pPr>
        <w:pStyle w:val="56"/>
        <w:ind w:firstLine="409" w:firstLineChars="195"/>
      </w:pPr>
      <w:r>
        <w:rPr>
          <w:rFonts w:hint="eastAsia"/>
        </w:rPr>
        <w:t>线下导出共享安全要求如下：</w:t>
      </w:r>
    </w:p>
    <w:p>
      <w:pPr>
        <w:pStyle w:val="174"/>
        <w:numPr>
          <w:ilvl w:val="0"/>
          <w:numId w:val="41"/>
        </w:numPr>
      </w:pPr>
      <w:r>
        <w:rPr>
          <w:rFonts w:hint="eastAsia"/>
        </w:rPr>
        <w:t>应严格执行数据共享审批流程，按需对数据进行脱敏、水印处理后再共享；</w:t>
      </w:r>
    </w:p>
    <w:p>
      <w:pPr>
        <w:pStyle w:val="174"/>
      </w:pPr>
      <w:r>
        <w:rPr>
          <w:rFonts w:hint="eastAsia"/>
        </w:rPr>
        <w:t>数据导出目的终端应具备数据保护能力，实现终端外发管控、外发审计等。</w:t>
      </w:r>
    </w:p>
    <w:p>
      <w:pPr>
        <w:pStyle w:val="65"/>
        <w:spacing w:before="156" w:after="156"/>
      </w:pPr>
      <w:bookmarkStart w:id="71" w:name="_Toc29259"/>
      <w:r>
        <w:rPr>
          <w:rFonts w:hint="eastAsia"/>
        </w:rPr>
        <w:t>数据协同应用安全要求</w:t>
      </w:r>
      <w:bookmarkEnd w:id="71"/>
    </w:p>
    <w:p>
      <w:pPr>
        <w:pStyle w:val="56"/>
        <w:ind w:firstLine="420"/>
      </w:pPr>
      <w:r>
        <w:rPr>
          <w:rFonts w:hint="eastAsia"/>
        </w:rPr>
        <w:t>宜采取隐私计算等技术对数据协同应用进行防护，实现各参与方数据可用不可见。</w:t>
      </w:r>
    </w:p>
    <w:p>
      <w:pPr>
        <w:pStyle w:val="105"/>
        <w:spacing w:before="156" w:after="156"/>
      </w:pPr>
      <w:bookmarkStart w:id="72" w:name="_Toc18621"/>
      <w:r>
        <w:rPr>
          <w:rFonts w:hint="eastAsia"/>
        </w:rPr>
        <w:t>数据分析安全技术要求</w:t>
      </w:r>
      <w:bookmarkEnd w:id="72"/>
    </w:p>
    <w:p>
      <w:pPr>
        <w:pStyle w:val="65"/>
        <w:spacing w:before="156" w:after="156"/>
      </w:pPr>
      <w:bookmarkStart w:id="73" w:name="_Toc7937"/>
      <w:r>
        <w:rPr>
          <w:rFonts w:hint="eastAsia"/>
        </w:rPr>
        <w:t>数据中台分析场景</w:t>
      </w:r>
      <w:bookmarkEnd w:id="73"/>
    </w:p>
    <w:p>
      <w:pPr>
        <w:pStyle w:val="56"/>
        <w:ind w:firstLine="420"/>
      </w:pPr>
      <w:r>
        <w:rPr>
          <w:rFonts w:hint="eastAsia"/>
        </w:rPr>
        <w:t>采用数据中台进行数据分析时安全要求如下：</w:t>
      </w:r>
    </w:p>
    <w:p>
      <w:pPr>
        <w:pStyle w:val="174"/>
        <w:numPr>
          <w:ilvl w:val="0"/>
          <w:numId w:val="42"/>
        </w:numPr>
      </w:pPr>
      <w:r>
        <w:rPr>
          <w:rFonts w:hint="eastAsia"/>
        </w:rPr>
        <w:t>应对数据中台违规流转、数据高危操作、数据异常访问等行为进行安全风险监测；</w:t>
      </w:r>
    </w:p>
    <w:p>
      <w:pPr>
        <w:pStyle w:val="174"/>
      </w:pPr>
      <w:r>
        <w:rPr>
          <w:rFonts w:hint="eastAsia"/>
        </w:rPr>
        <w:t>应加强数据中台数据使用权限以及账号权限的管控，规范数据分析权限申请、审批和授权流程；</w:t>
      </w:r>
    </w:p>
    <w:p>
      <w:pPr>
        <w:pStyle w:val="174"/>
      </w:pPr>
      <w:r>
        <w:rPr>
          <w:rFonts w:hint="eastAsia"/>
        </w:rPr>
        <w:t>在数据分析终端上，应具备终端敏感数据发现、截屏管控、外发管控等数据安全防护措施；</w:t>
      </w:r>
    </w:p>
    <w:p>
      <w:pPr>
        <w:pStyle w:val="174"/>
      </w:pPr>
      <w:r>
        <w:rPr>
          <w:rFonts w:hint="eastAsia"/>
        </w:rPr>
        <w:t>数据分析结果应进行安全评估，涉及重要数据、核心数据时应按需进行数据脱敏等处理。</w:t>
      </w:r>
    </w:p>
    <w:p>
      <w:pPr>
        <w:pStyle w:val="65"/>
        <w:spacing w:before="156" w:after="156"/>
      </w:pPr>
      <w:bookmarkStart w:id="74" w:name="_Toc21852"/>
      <w:r>
        <w:rPr>
          <w:rFonts w:hint="eastAsia"/>
        </w:rPr>
        <w:t>其他数据分析场景</w:t>
      </w:r>
      <w:bookmarkEnd w:id="74"/>
    </w:p>
    <w:p>
      <w:pPr>
        <w:pStyle w:val="174"/>
        <w:numPr>
          <w:ilvl w:val="0"/>
          <w:numId w:val="0"/>
        </w:numPr>
        <w:ind w:left="425" w:leftChars="0"/>
      </w:pPr>
      <w:r>
        <w:rPr>
          <w:rFonts w:hint="eastAsia"/>
        </w:rPr>
        <w:t>未采用数据中台进行数据分析，在满足 10.2.1 中 c)、d)的前提下，还应采用敏感数据识别、数据脱敏、水印溯源、终端敏感数据保护、数据库安全审计等数据防护措施，开展防护工作。</w:t>
      </w:r>
    </w:p>
    <w:p>
      <w:pPr>
        <w:pStyle w:val="105"/>
        <w:spacing w:before="156" w:after="156"/>
      </w:pPr>
      <w:bookmarkStart w:id="75" w:name="_Toc29961"/>
      <w:r>
        <w:rPr>
          <w:rFonts w:hint="eastAsia"/>
        </w:rPr>
        <w:t>数据运维安全技术要求</w:t>
      </w:r>
      <w:bookmarkEnd w:id="75"/>
    </w:p>
    <w:p>
      <w:pPr>
        <w:pStyle w:val="65"/>
        <w:spacing w:before="156" w:after="156"/>
      </w:pPr>
      <w:bookmarkStart w:id="76" w:name="_Toc17205"/>
      <w:r>
        <w:rPr>
          <w:rFonts w:hint="eastAsia"/>
        </w:rPr>
        <w:t>数据运维事前授权</w:t>
      </w:r>
      <w:bookmarkEnd w:id="76"/>
    </w:p>
    <w:p>
      <w:pPr>
        <w:pStyle w:val="174"/>
        <w:numPr>
          <w:ilvl w:val="0"/>
          <w:numId w:val="0"/>
        </w:numPr>
        <w:ind w:left="425" w:leftChars="0"/>
        <w:rPr>
          <w:rFonts w:hint="eastAsia" w:eastAsia="宋体"/>
          <w:lang w:eastAsia="zh-CN"/>
        </w:rPr>
      </w:pPr>
      <w:r>
        <w:rPr>
          <w:rFonts w:hint="eastAsia"/>
          <w:lang w:val="en-US" w:eastAsia="zh-CN"/>
        </w:rPr>
        <w:t xml:space="preserve">10.3.1.1 </w:t>
      </w:r>
      <w:r>
        <w:rPr>
          <w:rFonts w:hint="eastAsia"/>
        </w:rPr>
        <w:t>应执行数据运维申请授权审批流程，按照权限最小化和权限分离原则进行账号授权</w:t>
      </w:r>
      <w:r>
        <w:rPr>
          <w:rFonts w:hint="eastAsia"/>
          <w:lang w:eastAsia="zh-CN"/>
        </w:rPr>
        <w:t>。</w:t>
      </w:r>
    </w:p>
    <w:p>
      <w:pPr>
        <w:pStyle w:val="174"/>
        <w:numPr>
          <w:ilvl w:val="0"/>
          <w:numId w:val="0"/>
        </w:numPr>
        <w:ind w:left="425" w:leftChars="0"/>
        <w:rPr>
          <w:rFonts w:hint="eastAsia" w:eastAsia="宋体"/>
          <w:lang w:eastAsia="zh-CN"/>
        </w:rPr>
      </w:pPr>
      <w:r>
        <w:rPr>
          <w:rFonts w:hint="eastAsia"/>
          <w:lang w:val="en-US" w:eastAsia="zh-CN"/>
        </w:rPr>
        <w:t xml:space="preserve">10.3.1.2 </w:t>
      </w:r>
      <w:r>
        <w:rPr>
          <w:rFonts w:hint="eastAsia"/>
        </w:rPr>
        <w:t>应对运维人员批量修改数据、导出数据、删除数据、查看核心数据及重要数据等需求严格审核</w:t>
      </w:r>
      <w:r>
        <w:rPr>
          <w:rFonts w:hint="eastAsia"/>
          <w:lang w:eastAsia="zh-CN"/>
        </w:rPr>
        <w:t>。</w:t>
      </w:r>
    </w:p>
    <w:p>
      <w:pPr>
        <w:pStyle w:val="65"/>
        <w:spacing w:before="156" w:after="156"/>
      </w:pPr>
      <w:bookmarkStart w:id="77" w:name="_Toc12486"/>
      <w:r>
        <w:rPr>
          <w:rFonts w:hint="eastAsia"/>
        </w:rPr>
        <w:t>数据运维事中操作</w:t>
      </w:r>
      <w:bookmarkEnd w:id="77"/>
    </w:p>
    <w:p>
      <w:pPr>
        <w:pStyle w:val="56"/>
        <w:ind w:firstLine="420"/>
      </w:pPr>
      <w:r>
        <w:rPr>
          <w:rFonts w:hint="eastAsia"/>
        </w:rPr>
        <w:t>数据运维事中操作安全要求如下：</w:t>
      </w:r>
    </w:p>
    <w:p>
      <w:pPr>
        <w:pStyle w:val="174"/>
        <w:numPr>
          <w:ilvl w:val="0"/>
          <w:numId w:val="43"/>
        </w:numPr>
      </w:pPr>
      <w:r>
        <w:rPr>
          <w:rFonts w:hint="eastAsia"/>
        </w:rPr>
        <w:t>应采取技术措施加强对运维人员批量修改、导出、删除数据等高危操作的管控，采取访问权限认证、高危操作告警阻断等措施；</w:t>
      </w:r>
    </w:p>
    <w:p>
      <w:pPr>
        <w:pStyle w:val="174"/>
      </w:pPr>
      <w:r>
        <w:rPr>
          <w:rFonts w:hint="eastAsia"/>
        </w:rPr>
        <w:t>应对运维过程中涉及的核心数据、重要数据进行脱敏处理；</w:t>
      </w:r>
    </w:p>
    <w:p>
      <w:pPr>
        <w:pStyle w:val="174"/>
      </w:pPr>
      <w:r>
        <w:rPr>
          <w:rFonts w:hint="eastAsia"/>
        </w:rPr>
        <w:t>应采用终端敏感数据发现、截屏管控、外发管控等措施，加强运维终端的数据保护。</w:t>
      </w:r>
    </w:p>
    <w:p>
      <w:pPr>
        <w:pStyle w:val="65"/>
        <w:spacing w:before="156" w:after="156"/>
      </w:pPr>
      <w:bookmarkStart w:id="78" w:name="_Toc201"/>
      <w:r>
        <w:rPr>
          <w:rFonts w:hint="eastAsia"/>
        </w:rPr>
        <w:t>数据运维事后审计</w:t>
      </w:r>
      <w:bookmarkEnd w:id="78"/>
    </w:p>
    <w:p>
      <w:pPr>
        <w:pStyle w:val="174"/>
        <w:numPr>
          <w:ilvl w:val="0"/>
          <w:numId w:val="0"/>
        </w:numPr>
        <w:ind w:left="425" w:leftChars="0"/>
        <w:rPr>
          <w:rFonts w:hint="eastAsia" w:eastAsia="宋体"/>
          <w:lang w:eastAsia="zh-CN"/>
        </w:rPr>
      </w:pPr>
      <w:r>
        <w:rPr>
          <w:rFonts w:hint="eastAsia"/>
          <w:lang w:val="en-US" w:eastAsia="zh-CN"/>
        </w:rPr>
        <w:t xml:space="preserve">10.3.3.1 </w:t>
      </w:r>
      <w:r>
        <w:rPr>
          <w:rFonts w:hint="eastAsia"/>
        </w:rPr>
        <w:t>应加强运维安全审计，及时发现和追溯非法访问、违规导出等行为</w:t>
      </w:r>
      <w:r>
        <w:rPr>
          <w:rFonts w:hint="eastAsia"/>
          <w:lang w:eastAsia="zh-CN"/>
        </w:rPr>
        <w:t>。</w:t>
      </w:r>
    </w:p>
    <w:p>
      <w:pPr>
        <w:pStyle w:val="174"/>
        <w:numPr>
          <w:ilvl w:val="0"/>
          <w:numId w:val="0"/>
        </w:numPr>
        <w:ind w:left="425" w:leftChars="0"/>
      </w:pPr>
      <w:r>
        <w:rPr>
          <w:rFonts w:hint="eastAsia"/>
          <w:lang w:val="en-US" w:eastAsia="zh-CN"/>
        </w:rPr>
        <w:t xml:space="preserve">10.3.3.2 </w:t>
      </w:r>
      <w:r>
        <w:rPr>
          <w:rFonts w:hint="eastAsia"/>
        </w:rPr>
        <w:t>应定期清理未实名账号、建设期临时账号，回收高风险权限。</w:t>
      </w:r>
    </w:p>
    <w:p>
      <w:pPr>
        <w:pStyle w:val="105"/>
        <w:spacing w:before="156" w:after="156"/>
      </w:pPr>
      <w:bookmarkStart w:id="79" w:name="_Toc9166"/>
      <w:r>
        <w:rPr>
          <w:rFonts w:hint="eastAsia"/>
        </w:rPr>
        <w:t>数据测试安全技术要求</w:t>
      </w:r>
      <w:bookmarkEnd w:id="79"/>
    </w:p>
    <w:p>
      <w:pPr>
        <w:pStyle w:val="56"/>
        <w:ind w:firstLine="420"/>
      </w:pPr>
      <w:r>
        <w:rPr>
          <w:rFonts w:hint="eastAsia"/>
        </w:rPr>
        <w:t>研发仿真环境对数据进行测试安全要求如下：</w:t>
      </w:r>
    </w:p>
    <w:p>
      <w:pPr>
        <w:pStyle w:val="174"/>
        <w:numPr>
          <w:ilvl w:val="0"/>
          <w:numId w:val="44"/>
        </w:numPr>
      </w:pPr>
      <w:r>
        <w:rPr>
          <w:rFonts w:hint="eastAsia"/>
        </w:rPr>
        <w:t>研发环境禁止使用真实生产数据和脱敏数据,仅允许使用样例仿真数据；</w:t>
      </w:r>
    </w:p>
    <w:p>
      <w:pPr>
        <w:pStyle w:val="174"/>
      </w:pPr>
      <w:r>
        <w:rPr>
          <w:rFonts w:hint="eastAsia"/>
        </w:rPr>
        <w:t>测试环境禁止直接使用真实生产数据，确需使用的，按照最小化原则申请数据接入，并进行脱敏处理；</w:t>
      </w:r>
    </w:p>
    <w:p>
      <w:pPr>
        <w:pStyle w:val="174"/>
      </w:pPr>
      <w:r>
        <w:rPr>
          <w:rFonts w:hint="eastAsia"/>
        </w:rPr>
        <w:t>应加强测试人员账号权限管控和违规操作监测，对测试人员私自下载、拷贝数据等风险行为进行监测；</w:t>
      </w:r>
    </w:p>
    <w:p>
      <w:pPr>
        <w:pStyle w:val="174"/>
      </w:pPr>
      <w:r>
        <w:rPr>
          <w:rFonts w:hint="eastAsia"/>
        </w:rPr>
        <w:t>应将测试终端与测试人员角色强制绑定，并采取敏感数据识别、导出管控等措施，防范研发人员违规操作造成数据泄露；</w:t>
      </w:r>
    </w:p>
    <w:p>
      <w:pPr>
        <w:pStyle w:val="174"/>
      </w:pPr>
      <w:r>
        <w:rPr>
          <w:rFonts w:hint="eastAsia"/>
        </w:rPr>
        <w:t>应采用数据脱敏、水印溯源、敏感数据识别等措施，对测试环境不同区域进行差异化防护；</w:t>
      </w:r>
    </w:p>
    <w:p>
      <w:pPr>
        <w:pStyle w:val="174"/>
      </w:pPr>
      <w:r>
        <w:rPr>
          <w:rFonts w:hint="eastAsia"/>
        </w:rPr>
        <w:t>应采用终端敏感数据发现、截屏管控、外发管控等措施，加强测试终端的数据保护。</w:t>
      </w:r>
    </w:p>
    <w:p>
      <w:pPr>
        <w:pStyle w:val="105"/>
        <w:spacing w:before="156" w:after="156"/>
      </w:pPr>
      <w:bookmarkStart w:id="80" w:name="_Toc10753"/>
      <w:r>
        <w:rPr>
          <w:rFonts w:hint="eastAsia"/>
        </w:rPr>
        <w:t>数据销毁技术要求</w:t>
      </w:r>
      <w:bookmarkEnd w:id="80"/>
    </w:p>
    <w:p>
      <w:pPr>
        <w:pStyle w:val="65"/>
        <w:spacing w:before="156" w:after="156"/>
      </w:pPr>
      <w:bookmarkStart w:id="81" w:name="_Toc4180"/>
      <w:r>
        <w:rPr>
          <w:rFonts w:hint="eastAsia"/>
        </w:rPr>
        <w:t>数据擦除</w:t>
      </w:r>
      <w:bookmarkEnd w:id="81"/>
    </w:p>
    <w:p>
      <w:pPr>
        <w:pStyle w:val="174"/>
        <w:numPr>
          <w:ilvl w:val="0"/>
          <w:numId w:val="0"/>
        </w:numPr>
        <w:ind w:left="425" w:leftChars="0"/>
        <w:rPr>
          <w:rFonts w:hint="eastAsia" w:eastAsia="宋体"/>
          <w:lang w:eastAsia="zh-CN"/>
        </w:rPr>
      </w:pPr>
      <w:r>
        <w:rPr>
          <w:rFonts w:hint="eastAsia"/>
          <w:lang w:val="en-US" w:eastAsia="zh-CN"/>
        </w:rPr>
        <w:t xml:space="preserve">10.5.1.1 </w:t>
      </w:r>
      <w:r>
        <w:rPr>
          <w:rFonts w:hint="eastAsia"/>
        </w:rPr>
        <w:t>数据不再继续使用时，应采取覆写等逻辑销毁方式及时销毁，防范数据泄露</w:t>
      </w:r>
      <w:r>
        <w:rPr>
          <w:rFonts w:hint="eastAsia"/>
          <w:lang w:eastAsia="zh-CN"/>
        </w:rPr>
        <w:t>。</w:t>
      </w:r>
    </w:p>
    <w:p>
      <w:pPr>
        <w:pStyle w:val="174"/>
        <w:numPr>
          <w:ilvl w:val="0"/>
          <w:numId w:val="0"/>
        </w:numPr>
        <w:ind w:left="425" w:leftChars="0"/>
      </w:pPr>
      <w:r>
        <w:rPr>
          <w:rFonts w:hint="eastAsia"/>
          <w:lang w:val="en-US" w:eastAsia="zh-CN"/>
        </w:rPr>
        <w:t xml:space="preserve">10.5.1.2 </w:t>
      </w:r>
      <w:r>
        <w:rPr>
          <w:rFonts w:hint="eastAsia"/>
        </w:rPr>
        <w:t>涉及核心数据、重要数据的应重点进行销毁结果验证。</w:t>
      </w:r>
    </w:p>
    <w:p>
      <w:pPr>
        <w:pStyle w:val="65"/>
        <w:spacing w:before="156" w:after="156"/>
      </w:pPr>
      <w:bookmarkStart w:id="82" w:name="_Toc24204"/>
      <w:r>
        <w:rPr>
          <w:rFonts w:hint="eastAsia"/>
        </w:rPr>
        <w:t>物理销毁</w:t>
      </w:r>
      <w:bookmarkEnd w:id="82"/>
    </w:p>
    <w:p>
      <w:pPr>
        <w:pStyle w:val="174"/>
        <w:numPr>
          <w:ilvl w:val="0"/>
          <w:numId w:val="0"/>
        </w:numPr>
        <w:ind w:left="425" w:leftChars="0"/>
        <w:rPr>
          <w:rFonts w:hint="eastAsia"/>
        </w:rPr>
      </w:pPr>
      <w:r>
        <w:rPr>
          <w:rFonts w:hint="eastAsia"/>
        </w:rPr>
        <w:t>需要彻底销毁存储介质以及相关数据时，应采用物理摧毁、消磁等存储介质销毁手段，将存储介质中电子数据予以彻底删除，并确保存储介质不可以再次使用。</w:t>
      </w:r>
    </w:p>
    <w:p>
      <w:pPr>
        <w:pStyle w:val="65"/>
        <w:spacing w:before="156" w:after="156"/>
      </w:pPr>
      <w:bookmarkStart w:id="83" w:name="_Toc27776"/>
      <w:r>
        <w:rPr>
          <w:rFonts w:hint="eastAsia"/>
        </w:rPr>
        <w:t>个人信息销毁</w:t>
      </w:r>
      <w:bookmarkEnd w:id="83"/>
    </w:p>
    <w:p>
      <w:pPr>
        <w:pStyle w:val="56"/>
        <w:ind w:firstLine="420"/>
        <w:rPr>
          <w:rFonts w:hint="eastAsia" w:eastAsia="宋体"/>
          <w:lang w:eastAsia="zh-CN"/>
        </w:rPr>
      </w:pPr>
      <w:r>
        <w:rPr>
          <w:rFonts w:hint="eastAsia"/>
          <w:lang w:val="en-US" w:eastAsia="zh-CN"/>
        </w:rPr>
        <w:t xml:space="preserve">10.5.3.1 </w:t>
      </w:r>
      <w:r>
        <w:rPr>
          <w:rFonts w:hint="eastAsia"/>
        </w:rPr>
        <w:t>个人信息销毁应</w:t>
      </w:r>
      <w:r>
        <w:rPr>
          <w:rFonts w:hint="eastAsia"/>
          <w:lang w:eastAsia="zh-CN"/>
        </w:rPr>
        <w:t>符合</w:t>
      </w:r>
      <w:r>
        <w:rPr>
          <w:rFonts w:hint="eastAsia"/>
        </w:rPr>
        <w:t>GB/T 35273相关要求</w:t>
      </w:r>
      <w:r>
        <w:rPr>
          <w:rFonts w:hint="eastAsia"/>
          <w:lang w:eastAsia="zh-CN"/>
        </w:rPr>
        <w:t>。</w:t>
      </w:r>
    </w:p>
    <w:p>
      <w:pPr>
        <w:pStyle w:val="174"/>
        <w:numPr>
          <w:ilvl w:val="0"/>
          <w:numId w:val="0"/>
        </w:numPr>
        <w:ind w:left="425" w:leftChars="0"/>
        <w:rPr>
          <w:rFonts w:hint="eastAsia" w:eastAsia="宋体"/>
          <w:lang w:eastAsia="zh-CN"/>
        </w:rPr>
      </w:pPr>
      <w:r>
        <w:rPr>
          <w:rFonts w:hint="eastAsia"/>
          <w:lang w:val="en-US" w:eastAsia="zh-CN"/>
        </w:rPr>
        <w:t xml:space="preserve">10.5.3.2 </w:t>
      </w:r>
      <w:r>
        <w:rPr>
          <w:rFonts w:hint="eastAsia"/>
        </w:rPr>
        <w:t>信息系统、网站、APP等通过注册账号提供服务的，应设置便捷明显的注销功能界面，在用户注销账号后应及时对个人信息进行删除或匿名化处理</w:t>
      </w:r>
      <w:r>
        <w:rPr>
          <w:rFonts w:hint="eastAsia"/>
          <w:lang w:eastAsia="zh-CN"/>
        </w:rPr>
        <w:t>。</w:t>
      </w:r>
    </w:p>
    <w:p>
      <w:pPr>
        <w:pStyle w:val="174"/>
        <w:numPr>
          <w:ilvl w:val="0"/>
          <w:numId w:val="0"/>
        </w:numPr>
        <w:ind w:left="425" w:leftChars="0"/>
      </w:pPr>
      <w:r>
        <w:rPr>
          <w:rFonts w:hint="eastAsia"/>
          <w:lang w:val="en-US" w:eastAsia="zh-CN"/>
        </w:rPr>
        <w:t xml:space="preserve">10.5.3.3 </w:t>
      </w:r>
      <w:r>
        <w:rPr>
          <w:rFonts w:hint="eastAsia"/>
        </w:rPr>
        <w:t>因监管要求或个人信息主体权利要求对采集的个人信息进行删除、注销时，应及时响应，需要人工处理的，应在承诺时限内完成核查和处理。</w:t>
      </w:r>
    </w:p>
    <w:p>
      <w:pPr>
        <w:pStyle w:val="56"/>
        <w:ind w:firstLine="420"/>
      </w:pPr>
    </w:p>
    <w:p>
      <w:pPr>
        <w:pStyle w:val="56"/>
        <w:ind w:firstLine="420"/>
        <w:sectPr>
          <w:pgSz w:w="11906" w:h="16838"/>
          <w:pgMar w:top="1928" w:right="1134" w:bottom="1134" w:left="1134" w:header="1418" w:footer="1134" w:gutter="284"/>
          <w:pgNumType w:start="1"/>
          <w:cols w:space="425" w:num="1"/>
          <w:formProt w:val="0"/>
          <w:docGrid w:type="lines" w:linePitch="312" w:charSpace="0"/>
        </w:sectPr>
      </w:pPr>
    </w:p>
    <w:bookmarkEnd w:id="24"/>
    <w:p>
      <w:pPr>
        <w:pStyle w:val="198"/>
        <w:rPr>
          <w:rFonts w:hint="eastAsia"/>
          <w:vanish w:val="0"/>
        </w:rPr>
      </w:pPr>
      <w:bookmarkStart w:id="84" w:name="BookMark5"/>
    </w:p>
    <w:p>
      <w:pPr>
        <w:pStyle w:val="199"/>
        <w:rPr>
          <w:vanish w:val="0"/>
        </w:rPr>
      </w:pPr>
    </w:p>
    <w:p>
      <w:pPr>
        <w:pStyle w:val="76"/>
        <w:spacing w:after="156"/>
      </w:pPr>
      <w:bookmarkStart w:id="85" w:name="_Toc9278"/>
      <w:r>
        <w:br w:type="textWrapping"/>
      </w:r>
      <w:r>
        <w:rPr>
          <w:rFonts w:hint="eastAsia"/>
        </w:rPr>
        <w:t>（资料性）</w:t>
      </w:r>
      <w:r>
        <w:br w:type="textWrapping"/>
      </w:r>
      <w:r>
        <w:rPr>
          <w:rFonts w:hint="eastAsia"/>
        </w:rPr>
        <w:t>能源工业互联网平台数据分级分类规则与示范</w:t>
      </w:r>
      <w:bookmarkEnd w:id="85"/>
    </w:p>
    <w:p>
      <w:pPr>
        <w:pStyle w:val="56"/>
        <w:ind w:firstLine="420"/>
      </w:pPr>
      <w:r>
        <w:rPr>
          <w:rFonts w:hint="eastAsia"/>
        </w:rPr>
        <w:t>能源工业互联网平台数据分级分类规则与示范，如表A.1</w:t>
      </w:r>
      <w:r>
        <w:rPr>
          <w:rFonts w:hint="eastAsia"/>
          <w:lang w:eastAsia="zh-CN"/>
        </w:rPr>
        <w:t>、</w:t>
      </w:r>
      <w:r>
        <w:rPr>
          <w:rFonts w:hint="eastAsia"/>
        </w:rPr>
        <w:t>表A.</w:t>
      </w:r>
      <w:r>
        <w:rPr>
          <w:rFonts w:hint="eastAsia"/>
          <w:lang w:val="en-US" w:eastAsia="zh-CN"/>
        </w:rPr>
        <w:t>2</w:t>
      </w:r>
      <w:r>
        <w:rPr>
          <w:rFonts w:hint="eastAsia"/>
          <w:lang w:eastAsia="zh-CN"/>
        </w:rPr>
        <w:t>、</w:t>
      </w:r>
      <w:r>
        <w:rPr>
          <w:rFonts w:hint="eastAsia"/>
        </w:rPr>
        <w:t>表A.</w:t>
      </w:r>
      <w:r>
        <w:rPr>
          <w:rFonts w:hint="eastAsia"/>
          <w:lang w:val="en-US" w:eastAsia="zh-CN"/>
        </w:rPr>
        <w:t>3</w:t>
      </w:r>
      <w:r>
        <w:rPr>
          <w:rFonts w:hint="eastAsia"/>
          <w:lang w:eastAsia="zh-CN"/>
        </w:rPr>
        <w:t>、</w:t>
      </w:r>
      <w:r>
        <w:rPr>
          <w:rFonts w:hint="eastAsia"/>
        </w:rPr>
        <w:t>表A.</w:t>
      </w:r>
      <w:r>
        <w:rPr>
          <w:rFonts w:hint="eastAsia"/>
          <w:lang w:val="en-US" w:eastAsia="zh-CN"/>
        </w:rPr>
        <w:t>4所示</w:t>
      </w:r>
      <w:r>
        <w:rPr>
          <w:rFonts w:hint="eastAsia"/>
        </w:rPr>
        <w:t>。</w:t>
      </w:r>
    </w:p>
    <w:p>
      <w:pPr>
        <w:pStyle w:val="77"/>
        <w:spacing w:before="156" w:after="156"/>
      </w:pPr>
      <w:r>
        <w:rPr>
          <w:rFonts w:hint="eastAsia"/>
        </w:rPr>
        <w:t>平台数据分类判定规则</w:t>
      </w:r>
    </w:p>
    <w:tbl>
      <w:tblPr>
        <w:tblStyle w:val="27"/>
        <w:tblW w:w="93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50"/>
        <w:gridCol w:w="81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250" w:type="dxa"/>
            <w:tcBorders>
              <w:top w:val="single" w:color="auto" w:sz="8" w:space="0"/>
              <w:bottom w:val="single" w:color="auto" w:sz="8" w:space="0"/>
            </w:tcBorders>
            <w:shd w:val="clear" w:color="auto" w:fill="auto"/>
          </w:tcPr>
          <w:p>
            <w:pPr>
              <w:pStyle w:val="178"/>
            </w:pPr>
            <w:r>
              <w:rPr>
                <w:rFonts w:hint="eastAsia"/>
              </w:rPr>
              <w:t>数据分类</w:t>
            </w:r>
          </w:p>
        </w:tc>
        <w:tc>
          <w:tcPr>
            <w:tcW w:w="8100" w:type="dxa"/>
            <w:tcBorders>
              <w:top w:val="single" w:color="auto" w:sz="8" w:space="0"/>
              <w:bottom w:val="single" w:color="auto" w:sz="8" w:space="0"/>
            </w:tcBorders>
            <w:shd w:val="clear" w:color="auto" w:fill="auto"/>
          </w:tcPr>
          <w:p>
            <w:pPr>
              <w:pStyle w:val="178"/>
            </w:pPr>
            <w:r>
              <w:rPr>
                <w:rFonts w:hint="eastAsia"/>
              </w:rPr>
              <w:t>判断标准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50" w:type="dxa"/>
            <w:tcBorders>
              <w:top w:val="single" w:color="auto" w:sz="8" w:space="0"/>
            </w:tcBorders>
            <w:shd w:val="clear" w:color="auto" w:fill="auto"/>
            <w:vAlign w:val="center"/>
          </w:tcPr>
          <w:p>
            <w:pPr>
              <w:pStyle w:val="178"/>
            </w:pPr>
            <w:r>
              <w:rPr>
                <w:rFonts w:hint="eastAsia"/>
              </w:rPr>
              <w:t>平台数据</w:t>
            </w:r>
          </w:p>
        </w:tc>
        <w:tc>
          <w:tcPr>
            <w:tcW w:w="8100" w:type="dxa"/>
            <w:tcBorders>
              <w:top w:val="single" w:color="auto" w:sz="8" w:space="0"/>
            </w:tcBorders>
            <w:shd w:val="clear" w:color="auto" w:fill="auto"/>
          </w:tcPr>
          <w:p>
            <w:pPr>
              <w:pStyle w:val="178"/>
              <w:jc w:val="left"/>
            </w:pPr>
            <w:r>
              <w:rPr>
                <w:rFonts w:hint="eastAsia"/>
              </w:rPr>
              <w:t>是指平台在业务运行、客户服务等活动中收集、产生的原始数据和衍生数据。平台数据涵盖平台中包含的全量数据，按照业务条线进行分类和定级，包括个人信息和公共数据。平台数据与个人信息、公共数据中相同数据项的定级应保持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50" w:type="dxa"/>
            <w:shd w:val="clear" w:color="auto" w:fill="auto"/>
            <w:vAlign w:val="center"/>
          </w:tcPr>
          <w:p>
            <w:pPr>
              <w:pStyle w:val="178"/>
            </w:pPr>
            <w:r>
              <w:rPr>
                <w:rFonts w:hint="eastAsia"/>
              </w:rPr>
              <w:t>个人信息</w:t>
            </w:r>
          </w:p>
        </w:tc>
        <w:tc>
          <w:tcPr>
            <w:tcW w:w="8100" w:type="dxa"/>
            <w:shd w:val="clear" w:color="auto" w:fill="auto"/>
          </w:tcPr>
          <w:p>
            <w:pPr>
              <w:pStyle w:val="178"/>
              <w:jc w:val="left"/>
            </w:pPr>
            <w:r>
              <w:rPr>
                <w:rFonts w:hint="eastAsia"/>
              </w:rPr>
              <w:t>是指以电子或者其他方式记录的、与已识别或者可识别的自然人有关的个人信息，不包括匿名化处理后的信息。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50" w:type="dxa"/>
            <w:shd w:val="clear" w:color="auto" w:fill="auto"/>
            <w:vAlign w:val="center"/>
          </w:tcPr>
          <w:p>
            <w:pPr>
              <w:pStyle w:val="178"/>
            </w:pPr>
            <w:r>
              <w:rPr>
                <w:rFonts w:hint="eastAsia"/>
              </w:rPr>
              <w:t>公共数据</w:t>
            </w:r>
          </w:p>
        </w:tc>
        <w:tc>
          <w:tcPr>
            <w:tcW w:w="8100" w:type="dxa"/>
            <w:shd w:val="clear" w:color="auto" w:fill="auto"/>
          </w:tcPr>
          <w:p>
            <w:pPr>
              <w:pStyle w:val="178"/>
              <w:jc w:val="left"/>
            </w:pPr>
            <w:r>
              <w:rPr>
                <w:rFonts w:hint="eastAsia"/>
              </w:rPr>
              <w:t>是指按照国家法律法规要求披露，或公司在提供公共服务中收集、产生，被纳入国家及地方公共数据范畴的数据，但不包含依照国家法律法规禁止披露或共享开放的数据，且不涉及个人信息。公共数据需按照国家和地方有关要求汇集或共享开放。</w:t>
            </w:r>
          </w:p>
        </w:tc>
      </w:tr>
    </w:tbl>
    <w:p>
      <w:pPr>
        <w:pStyle w:val="77"/>
        <w:spacing w:before="156" w:after="156"/>
      </w:pPr>
      <w:r>
        <w:rPr>
          <w:rFonts w:hint="eastAsia"/>
        </w:rPr>
        <w:t>平台数据分类参考示范</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0"/>
        <w:gridCol w:w="1170"/>
        <w:gridCol w:w="1350"/>
        <w:gridCol w:w="4860"/>
        <w:gridCol w:w="9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980" w:type="dxa"/>
            <w:tcBorders>
              <w:top w:val="single" w:color="auto" w:sz="8" w:space="0"/>
              <w:bottom w:val="single" w:color="auto" w:sz="8" w:space="0"/>
            </w:tcBorders>
            <w:shd w:val="clear" w:color="auto" w:fill="auto"/>
            <w:vAlign w:val="center"/>
          </w:tcPr>
          <w:p>
            <w:pPr>
              <w:pStyle w:val="178"/>
            </w:pPr>
            <w:r>
              <w:rPr>
                <w:rFonts w:hint="eastAsia" w:hAnsi="宋体"/>
                <w:szCs w:val="18"/>
              </w:rPr>
              <w:t>一层子类</w:t>
            </w:r>
          </w:p>
        </w:tc>
        <w:tc>
          <w:tcPr>
            <w:tcW w:w="1170" w:type="dxa"/>
            <w:tcBorders>
              <w:top w:val="single" w:color="auto" w:sz="8" w:space="0"/>
              <w:bottom w:val="single" w:color="auto" w:sz="8" w:space="0"/>
            </w:tcBorders>
            <w:shd w:val="clear" w:color="auto" w:fill="auto"/>
            <w:vAlign w:val="center"/>
          </w:tcPr>
          <w:p>
            <w:pPr>
              <w:pStyle w:val="178"/>
            </w:pPr>
            <w:r>
              <w:rPr>
                <w:rFonts w:hint="eastAsia" w:hAnsi="宋体"/>
                <w:szCs w:val="18"/>
              </w:rPr>
              <w:t>三层子类</w:t>
            </w:r>
          </w:p>
        </w:tc>
        <w:tc>
          <w:tcPr>
            <w:tcW w:w="1350" w:type="dxa"/>
            <w:tcBorders>
              <w:top w:val="single" w:color="auto" w:sz="8" w:space="0"/>
              <w:bottom w:val="single" w:color="auto" w:sz="8" w:space="0"/>
            </w:tcBorders>
            <w:shd w:val="clear" w:color="auto" w:fill="auto"/>
            <w:vAlign w:val="center"/>
          </w:tcPr>
          <w:p>
            <w:pPr>
              <w:pStyle w:val="178"/>
            </w:pPr>
            <w:r>
              <w:rPr>
                <w:rFonts w:hint="eastAsia" w:hAnsi="宋体"/>
                <w:szCs w:val="18"/>
              </w:rPr>
              <w:t>四层子类</w:t>
            </w:r>
          </w:p>
        </w:tc>
        <w:tc>
          <w:tcPr>
            <w:tcW w:w="4860" w:type="dxa"/>
            <w:tcBorders>
              <w:top w:val="single" w:color="auto" w:sz="8" w:space="0"/>
              <w:bottom w:val="single" w:color="auto" w:sz="8" w:space="0"/>
            </w:tcBorders>
            <w:shd w:val="clear" w:color="auto" w:fill="auto"/>
            <w:vAlign w:val="center"/>
          </w:tcPr>
          <w:p>
            <w:pPr>
              <w:pStyle w:val="178"/>
            </w:pPr>
            <w:r>
              <w:rPr>
                <w:rFonts w:hint="eastAsia" w:hAnsi="宋体"/>
                <w:szCs w:val="18"/>
              </w:rPr>
              <w:t>五层子类</w:t>
            </w:r>
          </w:p>
        </w:tc>
        <w:tc>
          <w:tcPr>
            <w:tcW w:w="974" w:type="dxa"/>
            <w:tcBorders>
              <w:top w:val="single" w:color="auto" w:sz="8" w:space="0"/>
              <w:bottom w:val="single" w:color="auto" w:sz="8" w:space="0"/>
            </w:tcBorders>
            <w:shd w:val="clear" w:color="auto" w:fill="auto"/>
            <w:vAlign w:val="center"/>
          </w:tcPr>
          <w:p>
            <w:pPr>
              <w:pStyle w:val="178"/>
            </w:pPr>
            <w:r>
              <w:rPr>
                <w:rFonts w:hint="eastAsia" w:hAnsi="宋体"/>
                <w:szCs w:val="18"/>
              </w:rPr>
              <w:t>建议级别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restart"/>
            <w:tcBorders>
              <w:top w:val="single" w:color="auto" w:sz="8" w:space="0"/>
            </w:tcBorders>
            <w:shd w:val="clear" w:color="auto" w:fill="auto"/>
            <w:vAlign w:val="center"/>
          </w:tcPr>
          <w:p>
            <w:pPr>
              <w:pStyle w:val="178"/>
              <w:rPr>
                <w:rFonts w:hint="eastAsia" w:eastAsia="宋体"/>
                <w:lang w:eastAsia="zh-CN"/>
              </w:rPr>
            </w:pPr>
            <w:r>
              <w:rPr>
                <w:rFonts w:hint="eastAsia"/>
                <w:lang w:eastAsia="zh-CN"/>
              </w:rPr>
              <w:t>能源</w:t>
            </w:r>
            <w:r>
              <w:rPr>
                <w:rFonts w:hint="eastAsia"/>
              </w:rPr>
              <w:t>发展</w:t>
            </w:r>
            <w:r>
              <w:rPr>
                <w:rFonts w:hint="eastAsia"/>
                <w:lang w:eastAsia="zh-CN"/>
              </w:rPr>
              <w:t>数据</w:t>
            </w:r>
          </w:p>
        </w:tc>
        <w:tc>
          <w:tcPr>
            <w:tcW w:w="1170" w:type="dxa"/>
            <w:vMerge w:val="restart"/>
            <w:tcBorders>
              <w:top w:val="single" w:color="auto" w:sz="8" w:space="0"/>
            </w:tcBorders>
            <w:shd w:val="clear" w:color="auto" w:fill="auto"/>
            <w:vAlign w:val="center"/>
          </w:tcPr>
          <w:p>
            <w:pPr>
              <w:pStyle w:val="178"/>
            </w:pPr>
            <w:r>
              <w:rPr>
                <w:rFonts w:hint="eastAsia" w:hAnsi="宋体"/>
                <w:szCs w:val="18"/>
              </w:rPr>
              <w:t>发展战略</w:t>
            </w:r>
          </w:p>
        </w:tc>
        <w:tc>
          <w:tcPr>
            <w:tcW w:w="1350" w:type="dxa"/>
            <w:tcBorders>
              <w:top w:val="single" w:color="auto" w:sz="8" w:space="0"/>
            </w:tcBorders>
            <w:shd w:val="clear" w:color="auto" w:fill="auto"/>
            <w:vAlign w:val="center"/>
          </w:tcPr>
          <w:p>
            <w:pPr>
              <w:pStyle w:val="178"/>
            </w:pPr>
            <w:r>
              <w:rPr>
                <w:rFonts w:hint="eastAsia" w:hAnsi="宋体"/>
                <w:szCs w:val="18"/>
              </w:rPr>
              <w:t>发展规划</w:t>
            </w:r>
          </w:p>
        </w:tc>
        <w:tc>
          <w:tcPr>
            <w:tcW w:w="4860" w:type="dxa"/>
            <w:tcBorders>
              <w:top w:val="single" w:color="auto" w:sz="8" w:space="0"/>
            </w:tcBorders>
            <w:shd w:val="clear" w:color="auto" w:fill="auto"/>
            <w:vAlign w:val="center"/>
          </w:tcPr>
          <w:p>
            <w:pPr>
              <w:pStyle w:val="178"/>
            </w:pPr>
            <w:r>
              <w:rPr>
                <w:rFonts w:hint="eastAsia" w:hAnsi="宋体"/>
                <w:szCs w:val="18"/>
              </w:rPr>
              <w:t>电网、产业、金融、国际化等业务中长期发展规划等；</w:t>
            </w:r>
          </w:p>
        </w:tc>
        <w:tc>
          <w:tcPr>
            <w:tcW w:w="974" w:type="dxa"/>
            <w:tcBorders>
              <w:top w:val="single" w:color="auto" w:sz="8" w:space="0"/>
            </w:tcBorders>
            <w:shd w:val="clear" w:color="auto" w:fill="auto"/>
            <w:vAlign w:val="center"/>
          </w:tcPr>
          <w:p>
            <w:pPr>
              <w:pStyle w:val="178"/>
            </w:pPr>
            <w:r>
              <w:rPr>
                <w:rFonts w:hint="eastAsia" w:hAnsi="宋体"/>
                <w:szCs w:val="18"/>
              </w:rPr>
              <w:t>4级数据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vMerge w:val="continue"/>
            <w:shd w:val="clear" w:color="auto" w:fill="auto"/>
            <w:vAlign w:val="center"/>
          </w:tcPr>
          <w:p>
            <w:pPr>
              <w:pStyle w:val="178"/>
            </w:pPr>
          </w:p>
        </w:tc>
        <w:tc>
          <w:tcPr>
            <w:tcW w:w="1350" w:type="dxa"/>
            <w:shd w:val="clear" w:color="auto" w:fill="auto"/>
            <w:vAlign w:val="center"/>
          </w:tcPr>
          <w:p>
            <w:pPr>
              <w:pStyle w:val="178"/>
            </w:pPr>
            <w:r>
              <w:rPr>
                <w:rFonts w:hint="eastAsia" w:hAnsi="宋体"/>
                <w:szCs w:val="18"/>
              </w:rPr>
              <w:t>发展实施</w:t>
            </w:r>
          </w:p>
        </w:tc>
        <w:tc>
          <w:tcPr>
            <w:tcW w:w="4860" w:type="dxa"/>
            <w:shd w:val="clear" w:color="auto" w:fill="auto"/>
            <w:vAlign w:val="center"/>
          </w:tcPr>
          <w:p>
            <w:pPr>
              <w:pStyle w:val="178"/>
            </w:pPr>
            <w:r>
              <w:rPr>
                <w:rFonts w:hint="eastAsia" w:hAnsi="宋体"/>
                <w:szCs w:val="18"/>
              </w:rPr>
              <w:t>发展实施意见、批复意见、发布单位（部门）等；</w:t>
            </w:r>
          </w:p>
        </w:tc>
        <w:tc>
          <w:tcPr>
            <w:tcW w:w="974" w:type="dxa"/>
            <w:shd w:val="clear" w:color="auto" w:fill="auto"/>
            <w:vAlign w:val="center"/>
          </w:tcPr>
          <w:p>
            <w:pPr>
              <w:pStyle w:val="178"/>
            </w:pPr>
            <w:r>
              <w:rPr>
                <w:rFonts w:hint="eastAsia" w:hAnsi="宋体"/>
                <w:szCs w:val="18"/>
              </w:rPr>
              <w:t>4级数据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vMerge w:val="restart"/>
            <w:shd w:val="clear" w:color="auto" w:fill="auto"/>
            <w:vAlign w:val="center"/>
          </w:tcPr>
          <w:p>
            <w:pPr>
              <w:pStyle w:val="178"/>
            </w:pPr>
            <w:r>
              <w:rPr>
                <w:rFonts w:hint="eastAsia" w:hAnsi="宋体"/>
                <w:szCs w:val="18"/>
              </w:rPr>
              <w:t>发展计划</w:t>
            </w:r>
          </w:p>
        </w:tc>
        <w:tc>
          <w:tcPr>
            <w:tcW w:w="1350" w:type="dxa"/>
            <w:shd w:val="clear" w:color="auto" w:fill="auto"/>
            <w:vAlign w:val="center"/>
          </w:tcPr>
          <w:p>
            <w:pPr>
              <w:pStyle w:val="178"/>
            </w:pPr>
            <w:r>
              <w:rPr>
                <w:rFonts w:hint="eastAsia" w:hAnsi="宋体"/>
                <w:szCs w:val="18"/>
              </w:rPr>
              <w:t>发展计划</w:t>
            </w:r>
          </w:p>
        </w:tc>
        <w:tc>
          <w:tcPr>
            <w:tcW w:w="4860" w:type="dxa"/>
            <w:shd w:val="clear" w:color="auto" w:fill="auto"/>
            <w:vAlign w:val="center"/>
          </w:tcPr>
          <w:p>
            <w:pPr>
              <w:pStyle w:val="178"/>
            </w:pPr>
            <w:r>
              <w:rPr>
                <w:rFonts w:hint="eastAsia" w:hAnsi="宋体"/>
                <w:szCs w:val="18"/>
              </w:rPr>
              <w:t>公司发展计划、批复意见、发布单位（部门）等；</w:t>
            </w:r>
          </w:p>
        </w:tc>
        <w:tc>
          <w:tcPr>
            <w:tcW w:w="974" w:type="dxa"/>
            <w:shd w:val="clear" w:color="auto" w:fill="auto"/>
            <w:vAlign w:val="center"/>
          </w:tcPr>
          <w:p>
            <w:pPr>
              <w:pStyle w:val="178"/>
            </w:pPr>
            <w:r>
              <w:rPr>
                <w:rFonts w:hint="eastAsia" w:hAnsi="宋体"/>
                <w:szCs w:val="18"/>
              </w:rPr>
              <w:t>4级数据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vMerge w:val="continue"/>
            <w:shd w:val="clear" w:color="auto" w:fill="auto"/>
            <w:vAlign w:val="center"/>
          </w:tcPr>
          <w:p>
            <w:pPr>
              <w:pStyle w:val="178"/>
            </w:pPr>
          </w:p>
        </w:tc>
        <w:tc>
          <w:tcPr>
            <w:tcW w:w="1350" w:type="dxa"/>
            <w:shd w:val="clear" w:color="auto" w:fill="auto"/>
            <w:vAlign w:val="center"/>
          </w:tcPr>
          <w:p>
            <w:pPr>
              <w:pStyle w:val="178"/>
            </w:pPr>
            <w:r>
              <w:rPr>
                <w:rFonts w:hint="eastAsia" w:hAnsi="宋体"/>
                <w:szCs w:val="18"/>
              </w:rPr>
              <w:t>发展方案</w:t>
            </w:r>
          </w:p>
        </w:tc>
        <w:tc>
          <w:tcPr>
            <w:tcW w:w="4860" w:type="dxa"/>
            <w:shd w:val="clear" w:color="auto" w:fill="auto"/>
            <w:vAlign w:val="center"/>
          </w:tcPr>
          <w:p>
            <w:pPr>
              <w:pStyle w:val="178"/>
            </w:pPr>
            <w:r>
              <w:rPr>
                <w:rFonts w:hint="eastAsia" w:hAnsi="宋体"/>
                <w:szCs w:val="18"/>
              </w:rPr>
              <w:t>党建、建设、调控运行、检修、营销、人力资源、财务、物资、科技、信息化、后勤、法治、企业文化等专业发展方案；</w:t>
            </w:r>
          </w:p>
        </w:tc>
        <w:tc>
          <w:tcPr>
            <w:tcW w:w="974" w:type="dxa"/>
            <w:shd w:val="clear" w:color="auto" w:fill="auto"/>
            <w:vAlign w:val="center"/>
          </w:tcPr>
          <w:p>
            <w:pPr>
              <w:pStyle w:val="178"/>
            </w:pPr>
            <w:r>
              <w:rPr>
                <w:rFonts w:hint="eastAsia" w:hAnsi="宋体"/>
                <w:szCs w:val="18"/>
              </w:rPr>
              <w:t>4级数据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restart"/>
            <w:shd w:val="clear" w:color="auto" w:fill="auto"/>
            <w:vAlign w:val="center"/>
          </w:tcPr>
          <w:p>
            <w:pPr>
              <w:pStyle w:val="178"/>
              <w:rPr>
                <w:rFonts w:hint="eastAsia" w:eastAsia="宋体"/>
                <w:lang w:eastAsia="zh-CN"/>
              </w:rPr>
            </w:pPr>
            <w:r>
              <w:rPr>
                <w:rFonts w:hint="eastAsia"/>
                <w:lang w:eastAsia="zh-CN"/>
              </w:rPr>
              <w:t>电力</w:t>
            </w:r>
            <w:r>
              <w:rPr>
                <w:rFonts w:hint="eastAsia"/>
              </w:rPr>
              <w:t>设备</w:t>
            </w:r>
            <w:r>
              <w:rPr>
                <w:rFonts w:hint="eastAsia"/>
                <w:lang w:eastAsia="zh-CN"/>
              </w:rPr>
              <w:t>数据</w:t>
            </w:r>
          </w:p>
        </w:tc>
        <w:tc>
          <w:tcPr>
            <w:tcW w:w="1170" w:type="dxa"/>
            <w:shd w:val="clear" w:color="auto" w:fill="auto"/>
            <w:vAlign w:val="center"/>
          </w:tcPr>
          <w:p>
            <w:pPr>
              <w:pStyle w:val="178"/>
            </w:pPr>
            <w:r>
              <w:rPr>
                <w:rFonts w:hint="eastAsia" w:hAnsi="宋体"/>
                <w:szCs w:val="18"/>
              </w:rPr>
              <w:t>变电运维</w:t>
            </w:r>
          </w:p>
        </w:tc>
        <w:tc>
          <w:tcPr>
            <w:tcW w:w="1350" w:type="dxa"/>
            <w:shd w:val="clear" w:color="auto" w:fill="auto"/>
            <w:vAlign w:val="center"/>
          </w:tcPr>
          <w:p>
            <w:pPr>
              <w:pStyle w:val="178"/>
            </w:pPr>
            <w:r>
              <w:rPr>
                <w:rFonts w:hint="eastAsia" w:hAnsi="宋体"/>
                <w:szCs w:val="18"/>
              </w:rPr>
              <w:t>变电运维信息</w:t>
            </w:r>
          </w:p>
        </w:tc>
        <w:tc>
          <w:tcPr>
            <w:tcW w:w="4860" w:type="dxa"/>
            <w:shd w:val="clear" w:color="auto" w:fill="auto"/>
            <w:vAlign w:val="center"/>
          </w:tcPr>
          <w:p>
            <w:pPr>
              <w:pStyle w:val="178"/>
            </w:pPr>
            <w:r>
              <w:rPr>
                <w:rFonts w:hint="eastAsia" w:hAnsi="宋体"/>
                <w:szCs w:val="18"/>
              </w:rPr>
              <w:t>变压器、变压器绕组、并联电抗器、并联电容器、串联电抗器、串联电容器、调相机、断路器、发电机组、隔离开关交流滤波器、接地刀闸、母线等等运维；</w:t>
            </w:r>
          </w:p>
        </w:tc>
        <w:tc>
          <w:tcPr>
            <w:tcW w:w="974" w:type="dxa"/>
            <w:shd w:val="clear" w:color="auto" w:fill="auto"/>
            <w:vAlign w:val="center"/>
          </w:tcPr>
          <w:p>
            <w:pPr>
              <w:pStyle w:val="178"/>
            </w:pPr>
            <w:r>
              <w:rPr>
                <w:rFonts w:hint="eastAsia" w:hAnsi="宋体"/>
                <w:szCs w:val="18"/>
              </w:rPr>
              <w:t>3级数据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shd w:val="clear" w:color="auto" w:fill="auto"/>
            <w:vAlign w:val="center"/>
          </w:tcPr>
          <w:p>
            <w:pPr>
              <w:pStyle w:val="178"/>
            </w:pPr>
            <w:r>
              <w:rPr>
                <w:rFonts w:hint="eastAsia" w:hAnsi="宋体"/>
                <w:szCs w:val="18"/>
              </w:rPr>
              <w:t>变电检修</w:t>
            </w:r>
          </w:p>
        </w:tc>
        <w:tc>
          <w:tcPr>
            <w:tcW w:w="1350" w:type="dxa"/>
            <w:shd w:val="clear" w:color="auto" w:fill="auto"/>
            <w:vAlign w:val="center"/>
          </w:tcPr>
          <w:p>
            <w:pPr>
              <w:pStyle w:val="178"/>
            </w:pPr>
            <w:r>
              <w:rPr>
                <w:rFonts w:hint="eastAsia" w:hAnsi="宋体"/>
                <w:szCs w:val="18"/>
              </w:rPr>
              <w:t>变电检修信息</w:t>
            </w:r>
          </w:p>
        </w:tc>
        <w:tc>
          <w:tcPr>
            <w:tcW w:w="4860" w:type="dxa"/>
            <w:shd w:val="clear" w:color="auto" w:fill="auto"/>
            <w:vAlign w:val="center"/>
          </w:tcPr>
          <w:p>
            <w:pPr>
              <w:pStyle w:val="178"/>
            </w:pPr>
            <w:r>
              <w:rPr>
                <w:rFonts w:hint="eastAsia" w:hAnsi="宋体"/>
                <w:szCs w:val="18"/>
              </w:rPr>
              <w:t>变电检修工单、变电检修设备名称、检修单位、设备厂商、检修内容、检修问题及检修结果等；</w:t>
            </w:r>
          </w:p>
        </w:tc>
        <w:tc>
          <w:tcPr>
            <w:tcW w:w="974" w:type="dxa"/>
            <w:shd w:val="clear" w:color="auto" w:fill="auto"/>
            <w:vAlign w:val="center"/>
          </w:tcPr>
          <w:p>
            <w:pPr>
              <w:pStyle w:val="178"/>
            </w:pPr>
            <w:r>
              <w:rPr>
                <w:rFonts w:hint="eastAsia" w:hAnsi="宋体"/>
                <w:szCs w:val="18"/>
              </w:rPr>
              <w:t>3级数据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shd w:val="clear" w:color="auto" w:fill="auto"/>
            <w:vAlign w:val="center"/>
          </w:tcPr>
          <w:p>
            <w:pPr>
              <w:pStyle w:val="178"/>
            </w:pPr>
            <w:r>
              <w:rPr>
                <w:rFonts w:hint="eastAsia" w:hAnsi="宋体"/>
                <w:szCs w:val="18"/>
              </w:rPr>
              <w:t>变电检测</w:t>
            </w:r>
          </w:p>
        </w:tc>
        <w:tc>
          <w:tcPr>
            <w:tcW w:w="1350" w:type="dxa"/>
            <w:shd w:val="clear" w:color="auto" w:fill="auto"/>
            <w:vAlign w:val="center"/>
          </w:tcPr>
          <w:p>
            <w:pPr>
              <w:pStyle w:val="178"/>
            </w:pPr>
            <w:r>
              <w:rPr>
                <w:rFonts w:hint="eastAsia" w:hAnsi="宋体"/>
                <w:szCs w:val="18"/>
              </w:rPr>
              <w:t>变电检测信息</w:t>
            </w:r>
          </w:p>
        </w:tc>
        <w:tc>
          <w:tcPr>
            <w:tcW w:w="4860" w:type="dxa"/>
            <w:shd w:val="clear" w:color="auto" w:fill="auto"/>
            <w:vAlign w:val="center"/>
          </w:tcPr>
          <w:p>
            <w:pPr>
              <w:pStyle w:val="178"/>
            </w:pPr>
            <w:r>
              <w:rPr>
                <w:rFonts w:hint="eastAsia" w:hAnsi="宋体"/>
                <w:szCs w:val="18"/>
              </w:rPr>
              <w:t>变电检测工单、资产ID、所属变压器、所属厂站、所属换流站、许可机构、中性点接地方式等；</w:t>
            </w:r>
          </w:p>
        </w:tc>
        <w:tc>
          <w:tcPr>
            <w:tcW w:w="974" w:type="dxa"/>
            <w:shd w:val="clear" w:color="auto" w:fill="auto"/>
            <w:vAlign w:val="center"/>
          </w:tcPr>
          <w:p>
            <w:pPr>
              <w:pStyle w:val="178"/>
            </w:pPr>
            <w:r>
              <w:rPr>
                <w:rFonts w:hint="eastAsia" w:hAnsi="宋体"/>
                <w:szCs w:val="18"/>
              </w:rPr>
              <w:t>3级数据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shd w:val="clear" w:color="auto" w:fill="auto"/>
            <w:vAlign w:val="center"/>
          </w:tcPr>
          <w:p>
            <w:pPr>
              <w:pStyle w:val="178"/>
            </w:pPr>
            <w:r>
              <w:rPr>
                <w:rFonts w:hint="eastAsia" w:hAnsi="宋体"/>
                <w:szCs w:val="18"/>
              </w:rPr>
              <w:t>变电验收</w:t>
            </w:r>
          </w:p>
        </w:tc>
        <w:tc>
          <w:tcPr>
            <w:tcW w:w="1350" w:type="dxa"/>
            <w:shd w:val="clear" w:color="auto" w:fill="auto"/>
            <w:vAlign w:val="center"/>
          </w:tcPr>
          <w:p>
            <w:pPr>
              <w:pStyle w:val="178"/>
            </w:pPr>
            <w:r>
              <w:rPr>
                <w:rFonts w:hint="eastAsia" w:hAnsi="宋体"/>
                <w:szCs w:val="18"/>
              </w:rPr>
              <w:t>变电验收信息</w:t>
            </w:r>
          </w:p>
        </w:tc>
        <w:tc>
          <w:tcPr>
            <w:tcW w:w="4860" w:type="dxa"/>
            <w:shd w:val="clear" w:color="auto" w:fill="auto"/>
            <w:vAlign w:val="center"/>
          </w:tcPr>
          <w:p>
            <w:pPr>
              <w:pStyle w:val="178"/>
            </w:pPr>
            <w:r>
              <w:rPr>
                <w:rFonts w:hint="eastAsia" w:hAnsi="宋体"/>
                <w:szCs w:val="18"/>
              </w:rPr>
              <w:t>变电验收电压等级、电源类型、调度机构、额定功率、额定功率因数、发电机型号、分接头额定档位、生效时间、失效时间等；</w:t>
            </w:r>
          </w:p>
        </w:tc>
        <w:tc>
          <w:tcPr>
            <w:tcW w:w="974" w:type="dxa"/>
            <w:shd w:val="clear" w:color="auto" w:fill="auto"/>
            <w:vAlign w:val="center"/>
          </w:tcPr>
          <w:p>
            <w:pPr>
              <w:pStyle w:val="178"/>
            </w:pPr>
            <w:r>
              <w:rPr>
                <w:rFonts w:hint="eastAsia" w:hAnsi="宋体"/>
                <w:szCs w:val="18"/>
              </w:rPr>
              <w:t>3级数据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shd w:val="clear" w:color="auto" w:fill="auto"/>
            <w:vAlign w:val="center"/>
          </w:tcPr>
          <w:p>
            <w:pPr>
              <w:pStyle w:val="178"/>
            </w:pPr>
            <w:r>
              <w:rPr>
                <w:rFonts w:hint="eastAsia" w:hAnsi="宋体"/>
                <w:szCs w:val="18"/>
              </w:rPr>
              <w:t>变电评价</w:t>
            </w:r>
          </w:p>
        </w:tc>
        <w:tc>
          <w:tcPr>
            <w:tcW w:w="1350" w:type="dxa"/>
            <w:shd w:val="clear" w:color="auto" w:fill="auto"/>
            <w:vAlign w:val="center"/>
          </w:tcPr>
          <w:p>
            <w:pPr>
              <w:pStyle w:val="178"/>
            </w:pPr>
            <w:r>
              <w:rPr>
                <w:rFonts w:hint="eastAsia" w:hAnsi="宋体"/>
                <w:szCs w:val="18"/>
              </w:rPr>
              <w:t>变电评价信息</w:t>
            </w:r>
          </w:p>
        </w:tc>
        <w:tc>
          <w:tcPr>
            <w:tcW w:w="4860" w:type="dxa"/>
            <w:shd w:val="clear" w:color="auto" w:fill="auto"/>
            <w:vAlign w:val="center"/>
          </w:tcPr>
          <w:p>
            <w:pPr>
              <w:pStyle w:val="178"/>
            </w:pPr>
            <w:r>
              <w:rPr>
                <w:rFonts w:hint="eastAsia" w:hAnsi="宋体"/>
                <w:szCs w:val="18"/>
              </w:rPr>
              <w:t>变电评价设备名称、设备状态、设备缺陷、设备使用寿命等；</w:t>
            </w:r>
          </w:p>
        </w:tc>
        <w:tc>
          <w:tcPr>
            <w:tcW w:w="974" w:type="dxa"/>
            <w:shd w:val="clear" w:color="auto" w:fill="auto"/>
            <w:vAlign w:val="center"/>
          </w:tcPr>
          <w:p>
            <w:pPr>
              <w:pStyle w:val="178"/>
            </w:pPr>
            <w:r>
              <w:rPr>
                <w:rFonts w:hint="eastAsia" w:hAnsi="宋体"/>
                <w:szCs w:val="18"/>
              </w:rPr>
              <w:t>2级数据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shd w:val="clear" w:color="auto" w:fill="auto"/>
            <w:vAlign w:val="center"/>
          </w:tcPr>
          <w:p>
            <w:pPr>
              <w:pStyle w:val="178"/>
            </w:pPr>
            <w:r>
              <w:rPr>
                <w:rFonts w:hint="eastAsia" w:hAnsi="宋体"/>
                <w:szCs w:val="18"/>
              </w:rPr>
              <w:t>变电可靠性管理</w:t>
            </w:r>
          </w:p>
        </w:tc>
        <w:tc>
          <w:tcPr>
            <w:tcW w:w="1350" w:type="dxa"/>
            <w:shd w:val="clear" w:color="auto" w:fill="auto"/>
            <w:vAlign w:val="center"/>
          </w:tcPr>
          <w:p>
            <w:pPr>
              <w:pStyle w:val="178"/>
            </w:pPr>
            <w:r>
              <w:rPr>
                <w:rFonts w:hint="eastAsia" w:hAnsi="宋体"/>
                <w:szCs w:val="18"/>
              </w:rPr>
              <w:t>变电可靠性信息</w:t>
            </w:r>
          </w:p>
        </w:tc>
        <w:tc>
          <w:tcPr>
            <w:tcW w:w="4860" w:type="dxa"/>
            <w:shd w:val="clear" w:color="auto" w:fill="auto"/>
            <w:vAlign w:val="center"/>
          </w:tcPr>
          <w:p>
            <w:pPr>
              <w:pStyle w:val="178"/>
            </w:pPr>
            <w:r>
              <w:rPr>
                <w:rFonts w:hint="eastAsia" w:hAnsi="宋体"/>
                <w:szCs w:val="18"/>
              </w:rPr>
              <w:t>全额运行状态、降额运行状态、输送电量、可用小时、运行小时、不可用小时、计划停用小时及非计划停用小时等；</w:t>
            </w:r>
          </w:p>
        </w:tc>
        <w:tc>
          <w:tcPr>
            <w:tcW w:w="974" w:type="dxa"/>
            <w:shd w:val="clear" w:color="auto" w:fill="auto"/>
            <w:vAlign w:val="center"/>
          </w:tcPr>
          <w:p>
            <w:pPr>
              <w:pStyle w:val="178"/>
            </w:pPr>
            <w:r>
              <w:rPr>
                <w:rFonts w:hint="eastAsia" w:hAnsi="宋体"/>
                <w:szCs w:val="18"/>
              </w:rPr>
              <w:t>3级数据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restart"/>
            <w:shd w:val="clear" w:color="auto" w:fill="auto"/>
            <w:vAlign w:val="center"/>
          </w:tcPr>
          <w:p>
            <w:pPr>
              <w:pStyle w:val="178"/>
            </w:pPr>
            <w:r>
              <w:rPr>
                <w:rFonts w:hint="eastAsia"/>
                <w:lang w:eastAsia="zh-CN"/>
              </w:rPr>
              <w:t>电力用户数据</w:t>
            </w:r>
          </w:p>
        </w:tc>
        <w:tc>
          <w:tcPr>
            <w:tcW w:w="1170" w:type="dxa"/>
            <w:vMerge w:val="restart"/>
            <w:shd w:val="clear" w:color="auto" w:fill="auto"/>
            <w:vAlign w:val="center"/>
          </w:tcPr>
          <w:p>
            <w:pPr>
              <w:pStyle w:val="178"/>
            </w:pPr>
            <w:r>
              <w:rPr>
                <w:rFonts w:hint="eastAsia" w:hAnsi="宋体"/>
                <w:szCs w:val="18"/>
              </w:rPr>
              <w:t>客户管理</w:t>
            </w:r>
          </w:p>
          <w:p>
            <w:pPr>
              <w:pStyle w:val="178"/>
            </w:pPr>
          </w:p>
        </w:tc>
        <w:tc>
          <w:tcPr>
            <w:tcW w:w="1350" w:type="dxa"/>
            <w:shd w:val="clear" w:color="auto" w:fill="auto"/>
            <w:vAlign w:val="center"/>
          </w:tcPr>
          <w:p>
            <w:pPr>
              <w:jc w:val="center"/>
              <w:rPr>
                <w:rFonts w:hint="eastAsia" w:ascii="宋体" w:hAnsi="宋体"/>
                <w:sz w:val="18"/>
                <w:szCs w:val="18"/>
              </w:rPr>
            </w:pPr>
            <w:r>
              <w:rPr>
                <w:rFonts w:hint="eastAsia" w:ascii="宋体" w:hAnsi="宋体"/>
                <w:sz w:val="18"/>
                <w:szCs w:val="18"/>
              </w:rPr>
              <w:t>用电户</w:t>
            </w:r>
          </w:p>
          <w:p>
            <w:pPr>
              <w:pStyle w:val="178"/>
            </w:pPr>
            <w:r>
              <w:rPr>
                <w:rFonts w:hint="eastAsia" w:hAnsi="宋体"/>
                <w:szCs w:val="18"/>
              </w:rPr>
              <w:t>档案管理</w:t>
            </w:r>
          </w:p>
        </w:tc>
        <w:tc>
          <w:tcPr>
            <w:tcW w:w="4860" w:type="dxa"/>
            <w:shd w:val="clear" w:color="auto" w:fill="auto"/>
            <w:vAlign w:val="center"/>
          </w:tcPr>
          <w:p>
            <w:pPr>
              <w:pStyle w:val="178"/>
            </w:pPr>
            <w:r>
              <w:rPr>
                <w:rFonts w:hint="eastAsia" w:hAnsi="宋体"/>
                <w:szCs w:val="18"/>
              </w:rPr>
              <w:t>客户名称、客户编号、客户类型、重要性等级、台区名称、线路名称、负荷特性，立户日期、费控标识、电价类别、行业类别、电压等级、账户状态、用电地址、额定容量、运行容量，证件号码、增值税号、联系号码等；</w:t>
            </w:r>
          </w:p>
        </w:tc>
        <w:tc>
          <w:tcPr>
            <w:tcW w:w="974" w:type="dxa"/>
            <w:shd w:val="clear" w:color="auto" w:fill="auto"/>
            <w:vAlign w:val="center"/>
          </w:tcPr>
          <w:p>
            <w:pPr>
              <w:pStyle w:val="178"/>
            </w:pPr>
            <w:r>
              <w:rPr>
                <w:rFonts w:hint="eastAsia" w:hAnsi="宋体"/>
                <w:szCs w:val="18"/>
              </w:rPr>
              <w:t>3级数据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vMerge w:val="continue"/>
            <w:shd w:val="clear" w:color="auto" w:fill="auto"/>
            <w:vAlign w:val="center"/>
          </w:tcPr>
          <w:p>
            <w:pPr>
              <w:pStyle w:val="178"/>
            </w:pPr>
          </w:p>
        </w:tc>
        <w:tc>
          <w:tcPr>
            <w:tcW w:w="1350" w:type="dxa"/>
            <w:shd w:val="clear" w:color="auto" w:fill="auto"/>
            <w:vAlign w:val="center"/>
          </w:tcPr>
          <w:p>
            <w:pPr>
              <w:jc w:val="center"/>
              <w:rPr>
                <w:rFonts w:hint="eastAsia" w:ascii="宋体" w:hAnsi="宋体"/>
                <w:sz w:val="18"/>
                <w:szCs w:val="18"/>
              </w:rPr>
            </w:pPr>
            <w:r>
              <w:rPr>
                <w:rFonts w:hint="eastAsia" w:ascii="宋体" w:hAnsi="宋体"/>
                <w:sz w:val="18"/>
                <w:szCs w:val="18"/>
              </w:rPr>
              <w:t>发电户</w:t>
            </w:r>
          </w:p>
          <w:p>
            <w:pPr>
              <w:pStyle w:val="178"/>
            </w:pPr>
            <w:r>
              <w:rPr>
                <w:rFonts w:hint="eastAsia" w:hAnsi="宋体"/>
                <w:szCs w:val="18"/>
              </w:rPr>
              <w:t>档案管理</w:t>
            </w:r>
          </w:p>
        </w:tc>
        <w:tc>
          <w:tcPr>
            <w:tcW w:w="4860" w:type="dxa"/>
            <w:shd w:val="clear" w:color="auto" w:fill="auto"/>
            <w:vAlign w:val="center"/>
          </w:tcPr>
          <w:p>
            <w:pPr>
              <w:pStyle w:val="178"/>
            </w:pPr>
            <w:r>
              <w:rPr>
                <w:rFonts w:hint="eastAsia" w:hAnsi="宋体"/>
                <w:szCs w:val="18"/>
              </w:rPr>
              <w:t>发电户编号、发电户名称、客户编号、客户地址、银行账户、合同账户编号、证件号码、并网电压等级、介入方式、消纳方式、发电户状态、供电单位、合同容量、台区名称、并网日期、立户日期、电能资产编号等</w:t>
            </w:r>
          </w:p>
        </w:tc>
        <w:tc>
          <w:tcPr>
            <w:tcW w:w="974" w:type="dxa"/>
            <w:shd w:val="clear" w:color="auto" w:fill="auto"/>
            <w:vAlign w:val="center"/>
          </w:tcPr>
          <w:p>
            <w:pPr>
              <w:pStyle w:val="178"/>
            </w:pPr>
            <w:r>
              <w:rPr>
                <w:rFonts w:hint="eastAsia" w:hAnsi="宋体"/>
                <w:szCs w:val="18"/>
              </w:rPr>
              <w:t>3级数据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shd w:val="clear" w:color="auto" w:fill="auto"/>
            <w:vAlign w:val="center"/>
          </w:tcPr>
          <w:p>
            <w:pPr>
              <w:pStyle w:val="178"/>
            </w:pPr>
            <w:r>
              <w:rPr>
                <w:rFonts w:hint="eastAsia" w:hAnsi="宋体"/>
                <w:szCs w:val="18"/>
              </w:rPr>
              <w:t>资产管理</w:t>
            </w:r>
          </w:p>
        </w:tc>
        <w:tc>
          <w:tcPr>
            <w:tcW w:w="1350" w:type="dxa"/>
            <w:shd w:val="clear" w:color="auto" w:fill="auto"/>
            <w:vAlign w:val="center"/>
          </w:tcPr>
          <w:p>
            <w:pPr>
              <w:jc w:val="center"/>
              <w:rPr>
                <w:rFonts w:hint="eastAsia" w:ascii="宋体" w:hAnsi="宋体"/>
                <w:sz w:val="18"/>
                <w:szCs w:val="18"/>
              </w:rPr>
            </w:pPr>
            <w:r>
              <w:rPr>
                <w:rFonts w:hint="eastAsia" w:ascii="宋体" w:hAnsi="宋体"/>
                <w:sz w:val="18"/>
                <w:szCs w:val="18"/>
              </w:rPr>
              <w:t>用电客户</w:t>
            </w:r>
          </w:p>
          <w:p>
            <w:pPr>
              <w:pStyle w:val="178"/>
            </w:pPr>
            <w:r>
              <w:rPr>
                <w:rFonts w:hint="eastAsia" w:hAnsi="宋体"/>
                <w:szCs w:val="18"/>
              </w:rPr>
              <w:t>资产管理</w:t>
            </w:r>
          </w:p>
        </w:tc>
        <w:tc>
          <w:tcPr>
            <w:tcW w:w="4860" w:type="dxa"/>
            <w:shd w:val="clear" w:color="auto" w:fill="auto"/>
            <w:vAlign w:val="center"/>
          </w:tcPr>
          <w:p>
            <w:pPr>
              <w:pStyle w:val="178"/>
            </w:pPr>
            <w:r>
              <w:rPr>
                <w:rFonts w:hint="eastAsia" w:hAnsi="宋体"/>
                <w:szCs w:val="18"/>
              </w:rPr>
              <w:t>资产编号、管理单位、设备码、设备明策划才能够、组箱码、合同编号、设备状态、逻辑地址码、生产厂家、建档日期、型号、出厂日期等；</w:t>
            </w:r>
          </w:p>
        </w:tc>
        <w:tc>
          <w:tcPr>
            <w:tcW w:w="974" w:type="dxa"/>
            <w:shd w:val="clear" w:color="auto" w:fill="auto"/>
            <w:vAlign w:val="center"/>
          </w:tcPr>
          <w:p>
            <w:pPr>
              <w:pStyle w:val="178"/>
            </w:pPr>
            <w:r>
              <w:rPr>
                <w:rFonts w:hint="eastAsia" w:hAnsi="宋体"/>
                <w:szCs w:val="18"/>
              </w:rPr>
              <w:t>3级数据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vMerge w:val="restart"/>
            <w:shd w:val="clear" w:color="auto" w:fill="auto"/>
            <w:vAlign w:val="center"/>
          </w:tcPr>
          <w:p>
            <w:pPr>
              <w:pStyle w:val="178"/>
            </w:pPr>
            <w:r>
              <w:rPr>
                <w:rFonts w:hint="eastAsia" w:hAnsi="宋体"/>
                <w:szCs w:val="18"/>
              </w:rPr>
              <w:t>计费结算管理</w:t>
            </w:r>
          </w:p>
        </w:tc>
        <w:tc>
          <w:tcPr>
            <w:tcW w:w="1350" w:type="dxa"/>
            <w:shd w:val="clear" w:color="auto" w:fill="auto"/>
            <w:vAlign w:val="center"/>
          </w:tcPr>
          <w:p>
            <w:pPr>
              <w:pStyle w:val="178"/>
            </w:pPr>
            <w:r>
              <w:rPr>
                <w:rFonts w:hint="eastAsia" w:hAnsi="宋体"/>
                <w:szCs w:val="18"/>
              </w:rPr>
              <w:t>量费核算管理</w:t>
            </w:r>
          </w:p>
        </w:tc>
        <w:tc>
          <w:tcPr>
            <w:tcW w:w="4860" w:type="dxa"/>
            <w:shd w:val="clear" w:color="auto" w:fill="auto"/>
            <w:vAlign w:val="center"/>
          </w:tcPr>
          <w:p>
            <w:pPr>
              <w:pStyle w:val="178"/>
            </w:pPr>
            <w:r>
              <w:rPr>
                <w:rFonts w:hint="eastAsia" w:hAnsi="宋体"/>
                <w:szCs w:val="18"/>
              </w:rPr>
              <w:t>用户编号、用户名称、用电地址、合同容量、电费年月、本月电量、同期电量、本月电量同比增减、本月电量同比增长率、累计电量、同期累计电量，累计电量同比增减，累计电量同比增长率，本月平均电价、同期平均电价、累计平均电价等</w:t>
            </w:r>
          </w:p>
        </w:tc>
        <w:tc>
          <w:tcPr>
            <w:tcW w:w="974" w:type="dxa"/>
            <w:shd w:val="clear" w:color="auto" w:fill="auto"/>
            <w:vAlign w:val="center"/>
          </w:tcPr>
          <w:p>
            <w:pPr>
              <w:pStyle w:val="178"/>
            </w:pPr>
            <w:r>
              <w:rPr>
                <w:rFonts w:hint="eastAsia" w:hAnsi="宋体"/>
                <w:szCs w:val="18"/>
                <w:lang w:val="en-US" w:eastAsia="zh-CN"/>
              </w:rPr>
              <w:t>3</w:t>
            </w:r>
            <w:r>
              <w:rPr>
                <w:rFonts w:hint="eastAsia" w:hAnsi="宋体"/>
                <w:szCs w:val="18"/>
              </w:rPr>
              <w:t>级数据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0" w:type="dxa"/>
            <w:vMerge w:val="continue"/>
            <w:shd w:val="clear" w:color="auto" w:fill="auto"/>
            <w:vAlign w:val="center"/>
          </w:tcPr>
          <w:p>
            <w:pPr>
              <w:pStyle w:val="178"/>
            </w:pPr>
          </w:p>
        </w:tc>
        <w:tc>
          <w:tcPr>
            <w:tcW w:w="1170" w:type="dxa"/>
            <w:vMerge w:val="continue"/>
            <w:shd w:val="clear" w:color="auto" w:fill="auto"/>
            <w:vAlign w:val="center"/>
          </w:tcPr>
          <w:p>
            <w:pPr>
              <w:pStyle w:val="178"/>
            </w:pPr>
          </w:p>
        </w:tc>
        <w:tc>
          <w:tcPr>
            <w:tcW w:w="1350" w:type="dxa"/>
            <w:shd w:val="clear" w:color="auto" w:fill="auto"/>
            <w:vAlign w:val="center"/>
          </w:tcPr>
          <w:p>
            <w:pPr>
              <w:pStyle w:val="178"/>
            </w:pPr>
            <w:r>
              <w:rPr>
                <w:rFonts w:hint="eastAsia" w:hAnsi="宋体"/>
                <w:szCs w:val="18"/>
              </w:rPr>
              <w:t>支付结算管理</w:t>
            </w:r>
          </w:p>
        </w:tc>
        <w:tc>
          <w:tcPr>
            <w:tcW w:w="4860" w:type="dxa"/>
            <w:shd w:val="clear" w:color="auto" w:fill="auto"/>
            <w:vAlign w:val="center"/>
          </w:tcPr>
          <w:p>
            <w:pPr>
              <w:pStyle w:val="178"/>
            </w:pPr>
            <w:r>
              <w:rPr>
                <w:rFonts w:hint="eastAsia" w:hAnsi="宋体"/>
                <w:szCs w:val="18"/>
              </w:rPr>
              <w:t>供电单位、用户编号、用户名称、用电地址、行业分类、用电类别、发型日期、总电量（千瓦时）、总电费（元）、欠费金额（元），本年累计电量、电费年月</w:t>
            </w:r>
          </w:p>
        </w:tc>
        <w:tc>
          <w:tcPr>
            <w:tcW w:w="974" w:type="dxa"/>
            <w:shd w:val="clear" w:color="auto" w:fill="auto"/>
            <w:vAlign w:val="center"/>
          </w:tcPr>
          <w:p>
            <w:pPr>
              <w:pStyle w:val="178"/>
            </w:pPr>
            <w:r>
              <w:rPr>
                <w:rFonts w:hint="eastAsia" w:hAnsi="宋体"/>
                <w:szCs w:val="18"/>
                <w:lang w:val="en-US" w:eastAsia="zh-CN"/>
              </w:rPr>
              <w:t>3</w:t>
            </w:r>
            <w:r>
              <w:rPr>
                <w:rFonts w:hint="eastAsia" w:hAnsi="宋体"/>
                <w:szCs w:val="18"/>
              </w:rPr>
              <w:t>级数据</w:t>
            </w:r>
          </w:p>
        </w:tc>
      </w:tr>
    </w:tbl>
    <w:p>
      <w:pPr>
        <w:pStyle w:val="77"/>
        <w:spacing w:before="156" w:after="156"/>
      </w:pPr>
      <w:r>
        <w:rPr>
          <w:rFonts w:hint="eastAsia"/>
        </w:rPr>
        <w:t>平台数据分级</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90"/>
        <w:gridCol w:w="1775"/>
        <w:gridCol w:w="1333"/>
        <w:gridCol w:w="1334"/>
        <w:gridCol w:w="1334"/>
        <w:gridCol w:w="1334"/>
        <w:gridCol w:w="1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2665" w:type="dxa"/>
            <w:gridSpan w:val="2"/>
            <w:vMerge w:val="restart"/>
            <w:tcBorders>
              <w:top w:val="single" w:color="auto" w:sz="8" w:space="0"/>
            </w:tcBorders>
            <w:shd w:val="clear" w:color="auto" w:fill="auto"/>
            <w:vAlign w:val="center"/>
          </w:tcPr>
          <w:p>
            <w:pPr>
              <w:pStyle w:val="178"/>
            </w:pPr>
            <w:r>
              <w:rPr>
                <w:rFonts w:hint="eastAsia" w:hAnsi="宋体"/>
                <w:szCs w:val="18"/>
              </w:rPr>
              <w:t>平台数据级别划分</w:t>
            </w:r>
          </w:p>
        </w:tc>
        <w:tc>
          <w:tcPr>
            <w:tcW w:w="5335" w:type="dxa"/>
            <w:gridSpan w:val="4"/>
            <w:tcBorders>
              <w:top w:val="single" w:color="auto" w:sz="8" w:space="0"/>
              <w:bottom w:val="single" w:color="auto" w:sz="8" w:space="0"/>
            </w:tcBorders>
            <w:shd w:val="clear" w:color="auto" w:fill="auto"/>
            <w:vAlign w:val="center"/>
          </w:tcPr>
          <w:p>
            <w:pPr>
              <w:pStyle w:val="178"/>
            </w:pPr>
            <w:r>
              <w:rPr>
                <w:rFonts w:hint="eastAsia"/>
              </w:rPr>
              <w:t>影响对象</w:t>
            </w:r>
          </w:p>
        </w:tc>
        <w:tc>
          <w:tcPr>
            <w:tcW w:w="1334" w:type="dxa"/>
            <w:vMerge w:val="restart"/>
            <w:tcBorders>
              <w:top w:val="single" w:color="auto" w:sz="8" w:space="0"/>
            </w:tcBorders>
            <w:shd w:val="clear" w:color="auto" w:fill="auto"/>
            <w:vAlign w:val="center"/>
          </w:tcPr>
          <w:p>
            <w:pPr>
              <w:pStyle w:val="178"/>
              <w:rPr>
                <w:rFonts w:hint="eastAsia" w:hAnsi="宋体"/>
                <w:szCs w:val="18"/>
              </w:rPr>
            </w:pPr>
            <w:r>
              <w:rPr>
                <w:rFonts w:hint="eastAsia" w:hAnsi="宋体"/>
                <w:szCs w:val="18"/>
              </w:rPr>
              <w:t>数据范围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665" w:type="dxa"/>
            <w:gridSpan w:val="2"/>
            <w:vMerge w:val="continue"/>
            <w:shd w:val="clear" w:color="auto" w:fill="auto"/>
            <w:vAlign w:val="center"/>
          </w:tcPr>
          <w:p>
            <w:pPr>
              <w:pStyle w:val="178"/>
            </w:pPr>
          </w:p>
        </w:tc>
        <w:tc>
          <w:tcPr>
            <w:tcW w:w="1333" w:type="dxa"/>
            <w:tcBorders>
              <w:top w:val="single" w:color="auto" w:sz="8" w:space="0"/>
            </w:tcBorders>
            <w:shd w:val="clear" w:color="auto" w:fill="auto"/>
            <w:vAlign w:val="center"/>
          </w:tcPr>
          <w:p>
            <w:pPr>
              <w:pStyle w:val="178"/>
            </w:pPr>
            <w:r>
              <w:rPr>
                <w:rFonts w:hint="eastAsia" w:hAnsi="宋体"/>
                <w:szCs w:val="18"/>
              </w:rPr>
              <w:t>国家安全</w:t>
            </w:r>
          </w:p>
        </w:tc>
        <w:tc>
          <w:tcPr>
            <w:tcW w:w="1334" w:type="dxa"/>
            <w:tcBorders>
              <w:top w:val="single" w:color="auto" w:sz="8" w:space="0"/>
            </w:tcBorders>
            <w:shd w:val="clear" w:color="auto" w:fill="auto"/>
            <w:vAlign w:val="center"/>
          </w:tcPr>
          <w:p>
            <w:pPr>
              <w:pStyle w:val="178"/>
            </w:pPr>
            <w:r>
              <w:rPr>
                <w:rFonts w:hint="eastAsia" w:hAnsi="宋体"/>
                <w:szCs w:val="18"/>
              </w:rPr>
              <w:t>公共利益</w:t>
            </w:r>
          </w:p>
        </w:tc>
        <w:tc>
          <w:tcPr>
            <w:tcW w:w="1334" w:type="dxa"/>
            <w:tcBorders>
              <w:top w:val="single" w:color="auto" w:sz="8" w:space="0"/>
            </w:tcBorders>
            <w:shd w:val="clear" w:color="auto" w:fill="auto"/>
            <w:vAlign w:val="center"/>
          </w:tcPr>
          <w:p>
            <w:pPr>
              <w:pStyle w:val="178"/>
            </w:pPr>
            <w:r>
              <w:rPr>
                <w:rFonts w:hint="eastAsia" w:hAnsi="宋体"/>
                <w:szCs w:val="18"/>
              </w:rPr>
              <w:t>个人合法权益</w:t>
            </w:r>
          </w:p>
        </w:tc>
        <w:tc>
          <w:tcPr>
            <w:tcW w:w="1334" w:type="dxa"/>
            <w:tcBorders>
              <w:top w:val="single" w:color="auto" w:sz="8" w:space="0"/>
            </w:tcBorders>
            <w:shd w:val="clear" w:color="auto" w:fill="auto"/>
            <w:vAlign w:val="center"/>
          </w:tcPr>
          <w:p>
            <w:pPr>
              <w:pStyle w:val="178"/>
            </w:pPr>
            <w:r>
              <w:rPr>
                <w:rFonts w:hint="eastAsia" w:hAnsi="宋体"/>
                <w:szCs w:val="18"/>
              </w:rPr>
              <w:t>组织合法权益</w:t>
            </w:r>
          </w:p>
        </w:tc>
        <w:tc>
          <w:tcPr>
            <w:tcW w:w="1334" w:type="dxa"/>
            <w:vMerge w:val="continue"/>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665" w:type="dxa"/>
            <w:gridSpan w:val="2"/>
            <w:tcBorders>
              <w:top w:val="single" w:color="auto" w:sz="8" w:space="0"/>
            </w:tcBorders>
            <w:shd w:val="clear" w:color="auto" w:fill="auto"/>
            <w:vAlign w:val="center"/>
          </w:tcPr>
          <w:p>
            <w:pPr>
              <w:pStyle w:val="178"/>
              <w:rPr>
                <w:rFonts w:hint="eastAsia" w:hAnsi="宋体"/>
                <w:szCs w:val="18"/>
              </w:rPr>
            </w:pPr>
            <w:r>
              <w:rPr>
                <w:rFonts w:hint="eastAsia" w:hAnsi="宋体"/>
                <w:szCs w:val="18"/>
              </w:rPr>
              <w:t>核心数据（6级）</w:t>
            </w:r>
          </w:p>
        </w:tc>
        <w:tc>
          <w:tcPr>
            <w:tcW w:w="1333" w:type="dxa"/>
            <w:tcBorders>
              <w:top w:val="single" w:color="auto" w:sz="8" w:space="0"/>
            </w:tcBorders>
            <w:shd w:val="clear" w:color="auto" w:fill="auto"/>
            <w:vAlign w:val="center"/>
          </w:tcPr>
          <w:p>
            <w:pPr>
              <w:jc w:val="center"/>
            </w:pPr>
            <w:r>
              <w:rPr>
                <w:rFonts w:hint="eastAsia" w:ascii="宋体" w:hAnsi="宋体"/>
                <w:sz w:val="18"/>
                <w:szCs w:val="18"/>
              </w:rPr>
              <w:t>严重危害</w:t>
            </w:r>
          </w:p>
          <w:p>
            <w:pPr>
              <w:jc w:val="center"/>
              <w:rPr>
                <w:rFonts w:hint="eastAsia" w:ascii="宋体" w:hAnsi="宋体"/>
                <w:sz w:val="18"/>
                <w:szCs w:val="18"/>
              </w:rPr>
            </w:pPr>
            <w:r>
              <w:rPr>
                <w:rFonts w:hint="eastAsia" w:ascii="宋体" w:hAnsi="宋体"/>
                <w:sz w:val="18"/>
                <w:szCs w:val="18"/>
              </w:rPr>
              <w:t>一般危害</w:t>
            </w:r>
          </w:p>
        </w:tc>
        <w:tc>
          <w:tcPr>
            <w:tcW w:w="1334" w:type="dxa"/>
            <w:tcBorders>
              <w:top w:val="single" w:color="auto" w:sz="8" w:space="0"/>
            </w:tcBorders>
            <w:shd w:val="clear" w:color="auto" w:fill="auto"/>
            <w:vAlign w:val="center"/>
          </w:tcPr>
          <w:p>
            <w:pPr>
              <w:pStyle w:val="178"/>
              <w:rPr>
                <w:rFonts w:hint="eastAsia" w:hAnsi="宋体"/>
                <w:szCs w:val="18"/>
              </w:rPr>
            </w:pPr>
            <w:r>
              <w:rPr>
                <w:rFonts w:hint="eastAsia" w:hAnsi="宋体"/>
                <w:szCs w:val="18"/>
              </w:rPr>
              <w:t>严重危害</w:t>
            </w:r>
          </w:p>
        </w:tc>
        <w:tc>
          <w:tcPr>
            <w:tcW w:w="1334" w:type="dxa"/>
            <w:tcBorders>
              <w:top w:val="single" w:color="auto" w:sz="8" w:space="0"/>
            </w:tcBorders>
            <w:shd w:val="clear" w:color="auto" w:fill="auto"/>
            <w:vAlign w:val="center"/>
          </w:tcPr>
          <w:p>
            <w:pPr>
              <w:pStyle w:val="178"/>
              <w:rPr>
                <w:rFonts w:hint="eastAsia" w:hAnsi="宋体"/>
                <w:szCs w:val="18"/>
              </w:rPr>
            </w:pPr>
            <w:r>
              <w:rPr>
                <w:rFonts w:hint="eastAsia" w:hAnsi="宋体"/>
                <w:szCs w:val="18"/>
              </w:rPr>
              <w:t>-</w:t>
            </w:r>
          </w:p>
        </w:tc>
        <w:tc>
          <w:tcPr>
            <w:tcW w:w="1334" w:type="dxa"/>
            <w:tcBorders>
              <w:top w:val="single" w:color="auto" w:sz="8" w:space="0"/>
            </w:tcBorders>
            <w:shd w:val="clear" w:color="auto" w:fill="auto"/>
            <w:vAlign w:val="center"/>
          </w:tcPr>
          <w:p>
            <w:pPr>
              <w:pStyle w:val="178"/>
              <w:rPr>
                <w:rFonts w:hint="eastAsia" w:hAnsi="宋体"/>
                <w:szCs w:val="18"/>
              </w:rPr>
            </w:pPr>
            <w:r>
              <w:rPr>
                <w:rFonts w:hint="eastAsia" w:hAnsi="宋体"/>
                <w:szCs w:val="18"/>
              </w:rPr>
              <w:t>-</w:t>
            </w:r>
          </w:p>
        </w:tc>
        <w:tc>
          <w:tcPr>
            <w:tcW w:w="1334" w:type="dxa"/>
            <w:tcBorders>
              <w:top w:val="single" w:color="auto" w:sz="8" w:space="0"/>
            </w:tcBorders>
            <w:shd w:val="clear" w:color="auto" w:fill="auto"/>
            <w:vAlign w:val="center"/>
          </w:tcPr>
          <w:p>
            <w:pPr>
              <w:pStyle w:val="178"/>
              <w:rPr>
                <w:rFonts w:hint="eastAsia" w:hAnsi="宋体"/>
                <w:szCs w:val="18"/>
              </w:rPr>
            </w:pPr>
            <w:r>
              <w:rPr>
                <w:rFonts w:hint="eastAsia" w:hAnsi="宋体"/>
                <w:szCs w:val="18"/>
              </w:rPr>
              <w:t>数据集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665" w:type="dxa"/>
            <w:gridSpan w:val="2"/>
            <w:shd w:val="clear" w:color="auto" w:fill="auto"/>
            <w:vAlign w:val="center"/>
          </w:tcPr>
          <w:p>
            <w:pPr>
              <w:pStyle w:val="178"/>
            </w:pPr>
            <w:r>
              <w:rPr>
                <w:rFonts w:hint="eastAsia" w:hAnsi="宋体"/>
                <w:szCs w:val="18"/>
              </w:rPr>
              <w:t>重要数据（5级）</w:t>
            </w:r>
          </w:p>
        </w:tc>
        <w:tc>
          <w:tcPr>
            <w:tcW w:w="1333" w:type="dxa"/>
            <w:shd w:val="clear" w:color="auto" w:fill="auto"/>
            <w:vAlign w:val="center"/>
          </w:tcPr>
          <w:p>
            <w:pPr>
              <w:pStyle w:val="178"/>
            </w:pPr>
            <w:r>
              <w:rPr>
                <w:rFonts w:hint="eastAsia" w:hAnsi="宋体"/>
                <w:szCs w:val="18"/>
              </w:rPr>
              <w:t>轻微危害</w:t>
            </w:r>
          </w:p>
        </w:tc>
        <w:tc>
          <w:tcPr>
            <w:tcW w:w="1334" w:type="dxa"/>
            <w:shd w:val="clear" w:color="auto" w:fill="auto"/>
            <w:vAlign w:val="center"/>
          </w:tcPr>
          <w:p>
            <w:pPr>
              <w:jc w:val="center"/>
            </w:pPr>
            <w:r>
              <w:rPr>
                <w:rFonts w:hint="eastAsia" w:ascii="宋体" w:hAnsi="宋体"/>
                <w:sz w:val="18"/>
                <w:szCs w:val="18"/>
              </w:rPr>
              <w:t>一般危害</w:t>
            </w:r>
          </w:p>
          <w:p>
            <w:pPr>
              <w:pStyle w:val="178"/>
            </w:pPr>
            <w:r>
              <w:rPr>
                <w:rFonts w:hint="eastAsia" w:hAnsi="宋体"/>
                <w:szCs w:val="18"/>
              </w:rPr>
              <w:t>轻微危害</w:t>
            </w:r>
          </w:p>
        </w:tc>
        <w:tc>
          <w:tcPr>
            <w:tcW w:w="1334" w:type="dxa"/>
            <w:shd w:val="clear" w:color="auto" w:fill="auto"/>
            <w:vAlign w:val="center"/>
          </w:tcPr>
          <w:p>
            <w:pPr>
              <w:pStyle w:val="178"/>
            </w:pPr>
            <w:r>
              <w:rPr>
                <w:rFonts w:hint="eastAsia" w:hAnsi="宋体"/>
                <w:szCs w:val="18"/>
              </w:rPr>
              <w:t>-</w:t>
            </w:r>
          </w:p>
        </w:tc>
        <w:tc>
          <w:tcPr>
            <w:tcW w:w="1334" w:type="dxa"/>
            <w:shd w:val="clear" w:color="auto" w:fill="auto"/>
            <w:vAlign w:val="center"/>
          </w:tcPr>
          <w:p>
            <w:pPr>
              <w:pStyle w:val="178"/>
            </w:pPr>
            <w:r>
              <w:rPr>
                <w:rFonts w:hint="eastAsia" w:hAnsi="宋体"/>
                <w:szCs w:val="18"/>
              </w:rPr>
              <w:t>-</w:t>
            </w:r>
          </w:p>
        </w:tc>
        <w:tc>
          <w:tcPr>
            <w:tcW w:w="1334" w:type="dxa"/>
            <w:shd w:val="clear" w:color="auto" w:fill="auto"/>
            <w:vAlign w:val="center"/>
          </w:tcPr>
          <w:p>
            <w:pPr>
              <w:pStyle w:val="178"/>
            </w:pPr>
            <w:r>
              <w:rPr>
                <w:rFonts w:hint="eastAsia" w:hAnsi="宋体"/>
                <w:szCs w:val="18"/>
              </w:rPr>
              <w:t>数据集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90" w:type="dxa"/>
            <w:vMerge w:val="restart"/>
            <w:shd w:val="clear" w:color="auto" w:fill="auto"/>
            <w:vAlign w:val="center"/>
          </w:tcPr>
          <w:p>
            <w:pPr>
              <w:pStyle w:val="178"/>
            </w:pPr>
            <w:r>
              <w:rPr>
                <w:rFonts w:hint="eastAsia"/>
              </w:rPr>
              <w:t>一般数据</w:t>
            </w:r>
          </w:p>
        </w:tc>
        <w:tc>
          <w:tcPr>
            <w:tcW w:w="1775" w:type="dxa"/>
            <w:shd w:val="clear" w:color="auto" w:fill="auto"/>
            <w:vAlign w:val="center"/>
          </w:tcPr>
          <w:p>
            <w:pPr>
              <w:pStyle w:val="178"/>
            </w:pPr>
            <w:r>
              <w:rPr>
                <w:rFonts w:hint="eastAsia" w:hAnsi="宋体"/>
                <w:szCs w:val="18"/>
              </w:rPr>
              <w:t>4级数据</w:t>
            </w:r>
          </w:p>
        </w:tc>
        <w:tc>
          <w:tcPr>
            <w:tcW w:w="1333" w:type="dxa"/>
            <w:shd w:val="clear" w:color="auto" w:fill="auto"/>
            <w:vAlign w:val="center"/>
          </w:tcPr>
          <w:p>
            <w:pPr>
              <w:pStyle w:val="178"/>
            </w:pPr>
            <w:r>
              <w:rPr>
                <w:rFonts w:hint="eastAsia" w:hAnsi="宋体"/>
                <w:szCs w:val="18"/>
              </w:rPr>
              <w:t>无危害</w:t>
            </w:r>
          </w:p>
        </w:tc>
        <w:tc>
          <w:tcPr>
            <w:tcW w:w="1334" w:type="dxa"/>
            <w:shd w:val="clear" w:color="auto" w:fill="auto"/>
            <w:vAlign w:val="center"/>
          </w:tcPr>
          <w:p>
            <w:pPr>
              <w:pStyle w:val="178"/>
            </w:pPr>
            <w:r>
              <w:rPr>
                <w:rFonts w:hint="eastAsia" w:hAnsi="宋体"/>
                <w:szCs w:val="18"/>
              </w:rPr>
              <w:t>无危害</w:t>
            </w:r>
          </w:p>
        </w:tc>
        <w:tc>
          <w:tcPr>
            <w:tcW w:w="1334" w:type="dxa"/>
            <w:shd w:val="clear" w:color="auto" w:fill="auto"/>
            <w:vAlign w:val="center"/>
          </w:tcPr>
          <w:p>
            <w:pPr>
              <w:pStyle w:val="178"/>
            </w:pPr>
            <w:r>
              <w:rPr>
                <w:rFonts w:hint="eastAsia" w:hAnsi="宋体"/>
                <w:szCs w:val="18"/>
              </w:rPr>
              <w:t>严重危害</w:t>
            </w:r>
          </w:p>
        </w:tc>
        <w:tc>
          <w:tcPr>
            <w:tcW w:w="1334" w:type="dxa"/>
            <w:shd w:val="clear" w:color="auto" w:fill="auto"/>
            <w:vAlign w:val="center"/>
          </w:tcPr>
          <w:p>
            <w:pPr>
              <w:pStyle w:val="178"/>
            </w:pPr>
            <w:r>
              <w:rPr>
                <w:rFonts w:hint="eastAsia" w:hAnsi="宋体"/>
                <w:szCs w:val="18"/>
              </w:rPr>
              <w:t>严重危害</w:t>
            </w:r>
          </w:p>
        </w:tc>
        <w:tc>
          <w:tcPr>
            <w:tcW w:w="1334" w:type="dxa"/>
            <w:shd w:val="clear" w:color="auto" w:fill="auto"/>
            <w:vAlign w:val="center"/>
          </w:tcPr>
          <w:p>
            <w:pPr>
              <w:pStyle w:val="178"/>
            </w:pPr>
            <w:r>
              <w:rPr>
                <w:rFonts w:hint="eastAsia" w:hAnsi="宋体"/>
                <w:szCs w:val="18"/>
              </w:rPr>
              <w:t>数据项、数据集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90" w:type="dxa"/>
            <w:vMerge w:val="continue"/>
            <w:shd w:val="clear" w:color="auto" w:fill="auto"/>
            <w:vAlign w:val="center"/>
          </w:tcPr>
          <w:p>
            <w:pPr>
              <w:pStyle w:val="178"/>
            </w:pPr>
          </w:p>
        </w:tc>
        <w:tc>
          <w:tcPr>
            <w:tcW w:w="1775" w:type="dxa"/>
            <w:shd w:val="clear" w:color="auto" w:fill="auto"/>
            <w:vAlign w:val="center"/>
          </w:tcPr>
          <w:p>
            <w:pPr>
              <w:pStyle w:val="178"/>
            </w:pPr>
            <w:r>
              <w:rPr>
                <w:rFonts w:hint="eastAsia" w:hAnsi="宋体"/>
                <w:szCs w:val="18"/>
              </w:rPr>
              <w:t>3级数据</w:t>
            </w:r>
          </w:p>
        </w:tc>
        <w:tc>
          <w:tcPr>
            <w:tcW w:w="1333" w:type="dxa"/>
            <w:shd w:val="clear" w:color="auto" w:fill="auto"/>
            <w:vAlign w:val="center"/>
          </w:tcPr>
          <w:p>
            <w:pPr>
              <w:pStyle w:val="178"/>
            </w:pPr>
            <w:r>
              <w:rPr>
                <w:rFonts w:hint="eastAsia" w:hAnsi="宋体"/>
                <w:szCs w:val="18"/>
              </w:rPr>
              <w:t>无危害</w:t>
            </w:r>
          </w:p>
        </w:tc>
        <w:tc>
          <w:tcPr>
            <w:tcW w:w="1334" w:type="dxa"/>
            <w:shd w:val="clear" w:color="auto" w:fill="auto"/>
            <w:vAlign w:val="center"/>
          </w:tcPr>
          <w:p>
            <w:pPr>
              <w:pStyle w:val="178"/>
            </w:pPr>
            <w:r>
              <w:rPr>
                <w:rFonts w:hint="eastAsia" w:hAnsi="宋体"/>
                <w:szCs w:val="18"/>
              </w:rPr>
              <w:t>无危害</w:t>
            </w:r>
          </w:p>
        </w:tc>
        <w:tc>
          <w:tcPr>
            <w:tcW w:w="1334" w:type="dxa"/>
            <w:shd w:val="clear" w:color="auto" w:fill="auto"/>
            <w:vAlign w:val="center"/>
          </w:tcPr>
          <w:p>
            <w:pPr>
              <w:pStyle w:val="178"/>
            </w:pPr>
            <w:r>
              <w:rPr>
                <w:rFonts w:hint="eastAsia" w:hAnsi="宋体"/>
                <w:szCs w:val="18"/>
              </w:rPr>
              <w:t>一般危害</w:t>
            </w:r>
          </w:p>
        </w:tc>
        <w:tc>
          <w:tcPr>
            <w:tcW w:w="1334" w:type="dxa"/>
            <w:shd w:val="clear" w:color="auto" w:fill="auto"/>
            <w:vAlign w:val="center"/>
          </w:tcPr>
          <w:p>
            <w:pPr>
              <w:pStyle w:val="178"/>
            </w:pPr>
            <w:r>
              <w:rPr>
                <w:rFonts w:hint="eastAsia" w:hAnsi="宋体"/>
                <w:szCs w:val="18"/>
              </w:rPr>
              <w:t>一般危害</w:t>
            </w:r>
          </w:p>
        </w:tc>
        <w:tc>
          <w:tcPr>
            <w:tcW w:w="1334" w:type="dxa"/>
            <w:shd w:val="clear" w:color="auto" w:fill="auto"/>
            <w:vAlign w:val="center"/>
          </w:tcPr>
          <w:p>
            <w:pPr>
              <w:pStyle w:val="178"/>
            </w:pPr>
            <w:r>
              <w:rPr>
                <w:rFonts w:hint="eastAsia" w:hAnsi="宋体"/>
                <w:szCs w:val="18"/>
              </w:rPr>
              <w:t>数据项、数据集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90" w:type="dxa"/>
            <w:vMerge w:val="continue"/>
            <w:shd w:val="clear" w:color="auto" w:fill="auto"/>
            <w:vAlign w:val="center"/>
          </w:tcPr>
          <w:p>
            <w:pPr>
              <w:pStyle w:val="178"/>
            </w:pPr>
          </w:p>
        </w:tc>
        <w:tc>
          <w:tcPr>
            <w:tcW w:w="1775" w:type="dxa"/>
            <w:shd w:val="clear" w:color="auto" w:fill="auto"/>
            <w:vAlign w:val="center"/>
          </w:tcPr>
          <w:p>
            <w:pPr>
              <w:pStyle w:val="178"/>
            </w:pPr>
            <w:r>
              <w:rPr>
                <w:rFonts w:hint="eastAsia" w:hAnsi="宋体"/>
                <w:szCs w:val="18"/>
              </w:rPr>
              <w:t>2级数据</w:t>
            </w:r>
          </w:p>
        </w:tc>
        <w:tc>
          <w:tcPr>
            <w:tcW w:w="1333" w:type="dxa"/>
            <w:shd w:val="clear" w:color="auto" w:fill="auto"/>
            <w:vAlign w:val="center"/>
          </w:tcPr>
          <w:p>
            <w:pPr>
              <w:pStyle w:val="178"/>
            </w:pPr>
            <w:r>
              <w:rPr>
                <w:rFonts w:hint="eastAsia" w:hAnsi="宋体"/>
                <w:szCs w:val="18"/>
              </w:rPr>
              <w:t>无危害</w:t>
            </w:r>
          </w:p>
        </w:tc>
        <w:tc>
          <w:tcPr>
            <w:tcW w:w="1334" w:type="dxa"/>
            <w:shd w:val="clear" w:color="auto" w:fill="auto"/>
            <w:vAlign w:val="center"/>
          </w:tcPr>
          <w:p>
            <w:pPr>
              <w:pStyle w:val="178"/>
            </w:pPr>
            <w:r>
              <w:rPr>
                <w:rFonts w:hint="eastAsia" w:hAnsi="宋体"/>
                <w:szCs w:val="18"/>
              </w:rPr>
              <w:t>无危害</w:t>
            </w:r>
          </w:p>
        </w:tc>
        <w:tc>
          <w:tcPr>
            <w:tcW w:w="1334" w:type="dxa"/>
            <w:shd w:val="clear" w:color="auto" w:fill="auto"/>
            <w:vAlign w:val="center"/>
          </w:tcPr>
          <w:p>
            <w:pPr>
              <w:pStyle w:val="178"/>
            </w:pPr>
            <w:r>
              <w:rPr>
                <w:rFonts w:hint="eastAsia" w:hAnsi="宋体"/>
                <w:szCs w:val="18"/>
              </w:rPr>
              <w:t>轻微危害</w:t>
            </w:r>
          </w:p>
        </w:tc>
        <w:tc>
          <w:tcPr>
            <w:tcW w:w="1334" w:type="dxa"/>
            <w:shd w:val="clear" w:color="auto" w:fill="auto"/>
            <w:vAlign w:val="center"/>
          </w:tcPr>
          <w:p>
            <w:pPr>
              <w:pStyle w:val="178"/>
            </w:pPr>
            <w:r>
              <w:rPr>
                <w:rFonts w:hint="eastAsia" w:hAnsi="宋体"/>
                <w:szCs w:val="18"/>
              </w:rPr>
              <w:t>轻微危害</w:t>
            </w:r>
          </w:p>
        </w:tc>
        <w:tc>
          <w:tcPr>
            <w:tcW w:w="1334" w:type="dxa"/>
            <w:shd w:val="clear" w:color="auto" w:fill="auto"/>
            <w:vAlign w:val="center"/>
          </w:tcPr>
          <w:p>
            <w:pPr>
              <w:pStyle w:val="178"/>
            </w:pPr>
            <w:r>
              <w:rPr>
                <w:rFonts w:hint="eastAsia" w:hAnsi="宋体"/>
                <w:szCs w:val="18"/>
              </w:rPr>
              <w:t>数据项、数据集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90" w:type="dxa"/>
            <w:vMerge w:val="continue"/>
            <w:shd w:val="clear" w:color="auto" w:fill="auto"/>
            <w:vAlign w:val="center"/>
          </w:tcPr>
          <w:p>
            <w:pPr>
              <w:pStyle w:val="178"/>
            </w:pPr>
          </w:p>
        </w:tc>
        <w:tc>
          <w:tcPr>
            <w:tcW w:w="1775" w:type="dxa"/>
            <w:shd w:val="clear" w:color="auto" w:fill="auto"/>
            <w:vAlign w:val="center"/>
          </w:tcPr>
          <w:p>
            <w:pPr>
              <w:pStyle w:val="178"/>
            </w:pPr>
            <w:r>
              <w:rPr>
                <w:rFonts w:hint="eastAsia" w:hAnsi="宋体"/>
                <w:szCs w:val="18"/>
              </w:rPr>
              <w:t>1级数据</w:t>
            </w:r>
          </w:p>
        </w:tc>
        <w:tc>
          <w:tcPr>
            <w:tcW w:w="1333" w:type="dxa"/>
            <w:shd w:val="clear" w:color="auto" w:fill="auto"/>
            <w:vAlign w:val="center"/>
          </w:tcPr>
          <w:p>
            <w:pPr>
              <w:pStyle w:val="178"/>
            </w:pPr>
            <w:r>
              <w:rPr>
                <w:rFonts w:hint="eastAsia" w:hAnsi="宋体"/>
                <w:szCs w:val="18"/>
              </w:rPr>
              <w:t>无危害</w:t>
            </w:r>
          </w:p>
        </w:tc>
        <w:tc>
          <w:tcPr>
            <w:tcW w:w="1334" w:type="dxa"/>
            <w:shd w:val="clear" w:color="auto" w:fill="auto"/>
            <w:vAlign w:val="center"/>
          </w:tcPr>
          <w:p>
            <w:pPr>
              <w:pStyle w:val="178"/>
            </w:pPr>
            <w:r>
              <w:rPr>
                <w:rFonts w:hint="eastAsia" w:hAnsi="宋体"/>
                <w:szCs w:val="18"/>
              </w:rPr>
              <w:t>无危害</w:t>
            </w:r>
          </w:p>
        </w:tc>
        <w:tc>
          <w:tcPr>
            <w:tcW w:w="1334" w:type="dxa"/>
            <w:shd w:val="clear" w:color="auto" w:fill="auto"/>
            <w:vAlign w:val="center"/>
          </w:tcPr>
          <w:p>
            <w:pPr>
              <w:pStyle w:val="178"/>
            </w:pPr>
            <w:r>
              <w:rPr>
                <w:rFonts w:hint="eastAsia" w:hAnsi="宋体"/>
                <w:szCs w:val="18"/>
              </w:rPr>
              <w:t>无危害</w:t>
            </w:r>
          </w:p>
        </w:tc>
        <w:tc>
          <w:tcPr>
            <w:tcW w:w="1334" w:type="dxa"/>
            <w:shd w:val="clear" w:color="auto" w:fill="auto"/>
            <w:vAlign w:val="center"/>
          </w:tcPr>
          <w:p>
            <w:pPr>
              <w:pStyle w:val="178"/>
            </w:pPr>
            <w:r>
              <w:rPr>
                <w:rFonts w:hint="eastAsia" w:hAnsi="宋体"/>
                <w:szCs w:val="18"/>
              </w:rPr>
              <w:t>无危害</w:t>
            </w:r>
          </w:p>
        </w:tc>
        <w:tc>
          <w:tcPr>
            <w:tcW w:w="1334" w:type="dxa"/>
            <w:shd w:val="clear" w:color="auto" w:fill="auto"/>
            <w:vAlign w:val="center"/>
          </w:tcPr>
          <w:p>
            <w:pPr>
              <w:pStyle w:val="178"/>
            </w:pPr>
            <w:r>
              <w:rPr>
                <w:rFonts w:hint="eastAsia" w:hAnsi="宋体"/>
                <w:szCs w:val="18"/>
              </w:rPr>
              <w:t>数据项、数据集</w:t>
            </w:r>
          </w:p>
        </w:tc>
      </w:tr>
    </w:tbl>
    <w:p>
      <w:pPr>
        <w:pStyle w:val="77"/>
        <w:spacing w:before="156" w:after="156"/>
      </w:pPr>
      <w:r>
        <w:rPr>
          <w:rFonts w:hint="eastAsia"/>
          <w:lang w:eastAsia="zh-CN"/>
        </w:rPr>
        <w:t>平台</w:t>
      </w:r>
      <w:r>
        <w:rPr>
          <w:rFonts w:hint="eastAsia"/>
        </w:rPr>
        <w:t>数据分级影响程度说明</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20"/>
        <w:gridCol w:w="78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1520" w:type="dxa"/>
            <w:tcBorders>
              <w:top w:val="single" w:color="auto" w:sz="8" w:space="0"/>
              <w:bottom w:val="single" w:color="auto" w:sz="8" w:space="0"/>
            </w:tcBorders>
            <w:shd w:val="clear" w:color="auto" w:fill="auto"/>
            <w:vAlign w:val="center"/>
          </w:tcPr>
          <w:p>
            <w:pPr>
              <w:pStyle w:val="178"/>
            </w:pPr>
            <w:r>
              <w:rPr>
                <w:rFonts w:hAnsi="宋体"/>
                <w:szCs w:val="18"/>
              </w:rPr>
              <w:t>影响程度</w:t>
            </w:r>
          </w:p>
        </w:tc>
        <w:tc>
          <w:tcPr>
            <w:tcW w:w="7814" w:type="dxa"/>
            <w:tcBorders>
              <w:top w:val="single" w:color="auto" w:sz="8" w:space="0"/>
              <w:bottom w:val="single" w:color="auto" w:sz="8" w:space="0"/>
            </w:tcBorders>
            <w:shd w:val="clear" w:color="auto" w:fill="auto"/>
          </w:tcPr>
          <w:p>
            <w:pPr>
              <w:pStyle w:val="178"/>
            </w:pPr>
            <w:r>
              <w:rPr>
                <w:rFonts w:hAnsi="宋体"/>
                <w:szCs w:val="18"/>
              </w:rPr>
              <w:t>参考说明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520" w:type="dxa"/>
            <w:tcBorders>
              <w:top w:val="single" w:color="auto" w:sz="8" w:space="0"/>
            </w:tcBorders>
            <w:shd w:val="clear" w:color="auto" w:fill="auto"/>
            <w:vAlign w:val="center"/>
          </w:tcPr>
          <w:p>
            <w:pPr>
              <w:pStyle w:val="178"/>
            </w:pPr>
            <w:r>
              <w:rPr>
                <w:rFonts w:hAnsi="宋体"/>
                <w:szCs w:val="18"/>
              </w:rPr>
              <w:t>严重危害</w:t>
            </w:r>
          </w:p>
        </w:tc>
        <w:tc>
          <w:tcPr>
            <w:tcW w:w="7814" w:type="dxa"/>
            <w:tcBorders>
              <w:top w:val="single" w:color="auto" w:sz="8" w:space="0"/>
            </w:tcBorders>
            <w:shd w:val="clear" w:color="auto" w:fill="auto"/>
          </w:tcPr>
          <w:p>
            <w:r>
              <w:rPr>
                <w:sz w:val="18"/>
                <w:szCs w:val="18"/>
              </w:rPr>
              <w:t>1.</w:t>
            </w:r>
            <w:r>
              <w:rPr>
                <w:rFonts w:ascii="宋体" w:hAnsi="宋体"/>
                <w:sz w:val="18"/>
                <w:szCs w:val="18"/>
              </w:rPr>
              <w:t>可能导致危及国家安全的重大事件，发生危害国家利益或造成重大损失的情况。</w:t>
            </w:r>
          </w:p>
          <w:p>
            <w:r>
              <w:rPr>
                <w:sz w:val="18"/>
                <w:szCs w:val="18"/>
              </w:rPr>
              <w:t>2.</w:t>
            </w:r>
            <w:r>
              <w:rPr>
                <w:rFonts w:ascii="宋体" w:hAnsi="宋体"/>
                <w:sz w:val="18"/>
                <w:szCs w:val="18"/>
              </w:rPr>
              <w:t>可能导致严重危害社会秩序和公共利益，引发公众广泛诉讼等事件，或者导致购售电市场秩序遭到严重破坏等情况。</w:t>
            </w:r>
          </w:p>
          <w:p>
            <w:r>
              <w:rPr>
                <w:sz w:val="18"/>
                <w:szCs w:val="18"/>
              </w:rPr>
              <w:t>3.</w:t>
            </w:r>
            <w:r>
              <w:rPr>
                <w:rFonts w:ascii="宋体" w:hAnsi="宋体"/>
                <w:sz w:val="18"/>
                <w:szCs w:val="18"/>
              </w:rPr>
              <w:t>可能遭到监管部门严重处罚，或者影响重要</w:t>
            </w:r>
            <w:r>
              <w:rPr>
                <w:rFonts w:cs="Calibri"/>
                <w:sz w:val="18"/>
                <w:szCs w:val="18"/>
              </w:rPr>
              <w:t>/</w:t>
            </w:r>
            <w:r>
              <w:rPr>
                <w:rFonts w:ascii="宋体" w:hAnsi="宋体"/>
                <w:sz w:val="18"/>
                <w:szCs w:val="18"/>
              </w:rPr>
              <w:t>关键业务无法正常开展的情况。</w:t>
            </w:r>
          </w:p>
          <w:p>
            <w:pPr>
              <w:pStyle w:val="178"/>
              <w:jc w:val="both"/>
            </w:pPr>
            <w:r>
              <w:rPr>
                <w:rFonts w:hint="eastAsia"/>
                <w:szCs w:val="18"/>
              </w:rPr>
              <w:t>4.</w:t>
            </w:r>
            <w:r>
              <w:rPr>
                <w:rFonts w:hAnsi="宋体"/>
                <w:szCs w:val="18"/>
              </w:rPr>
              <w:t>可能导致重大个人信息安全风险、侵犯个人隐私等严重危害个人权益的事件。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520" w:type="dxa"/>
            <w:shd w:val="clear" w:color="auto" w:fill="auto"/>
            <w:vAlign w:val="center"/>
          </w:tcPr>
          <w:p>
            <w:pPr>
              <w:pStyle w:val="178"/>
            </w:pPr>
            <w:r>
              <w:rPr>
                <w:rFonts w:hAnsi="宋体"/>
                <w:szCs w:val="18"/>
              </w:rPr>
              <w:t>一般危害</w:t>
            </w:r>
          </w:p>
        </w:tc>
        <w:tc>
          <w:tcPr>
            <w:tcW w:w="7814" w:type="dxa"/>
            <w:shd w:val="clear" w:color="auto" w:fill="auto"/>
          </w:tcPr>
          <w:p>
            <w:pPr>
              <w:jc w:val="left"/>
            </w:pPr>
            <w:r>
              <w:rPr>
                <w:sz w:val="18"/>
                <w:szCs w:val="18"/>
              </w:rPr>
              <w:t>1.</w:t>
            </w:r>
            <w:r>
              <w:rPr>
                <w:rFonts w:ascii="宋体" w:hAnsi="宋体"/>
                <w:sz w:val="18"/>
                <w:szCs w:val="18"/>
              </w:rPr>
              <w:t>可能导致危害社会秩序和公共利益的事件，引发区域性集体诉讼事件，或者导致购售电市场秩序遭到破坏等情况。</w:t>
            </w:r>
          </w:p>
          <w:p>
            <w:pPr>
              <w:jc w:val="left"/>
            </w:pPr>
            <w:r>
              <w:rPr>
                <w:sz w:val="18"/>
                <w:szCs w:val="18"/>
              </w:rPr>
              <w:t>2.</w:t>
            </w:r>
            <w:r>
              <w:rPr>
                <w:rFonts w:ascii="宋体" w:hAnsi="宋体"/>
                <w:sz w:val="18"/>
                <w:szCs w:val="18"/>
              </w:rPr>
              <w:t>可能遭到监管部门处罚，或者影响部分业务无法正常开展的情况。</w:t>
            </w:r>
          </w:p>
          <w:p>
            <w:pPr>
              <w:pStyle w:val="178"/>
            </w:pPr>
            <w:r>
              <w:rPr>
                <w:szCs w:val="18"/>
              </w:rPr>
              <w:t>3.</w:t>
            </w:r>
            <w:r>
              <w:rPr>
                <w:rFonts w:hAnsi="宋体"/>
                <w:szCs w:val="18"/>
              </w:rPr>
              <w:t>可能导致一定规模的个人信息泄漏、滥用等安全风险，或对个人权益可能造成一定影响的事件。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520" w:type="dxa"/>
            <w:shd w:val="clear" w:color="auto" w:fill="auto"/>
            <w:vAlign w:val="center"/>
          </w:tcPr>
          <w:p>
            <w:pPr>
              <w:pStyle w:val="178"/>
            </w:pPr>
            <w:r>
              <w:rPr>
                <w:rFonts w:hAnsi="宋体"/>
                <w:szCs w:val="18"/>
              </w:rPr>
              <w:t>轻微危害</w:t>
            </w:r>
          </w:p>
        </w:tc>
        <w:tc>
          <w:tcPr>
            <w:tcW w:w="7814" w:type="dxa"/>
            <w:shd w:val="clear" w:color="auto" w:fill="auto"/>
          </w:tcPr>
          <w:p>
            <w:r>
              <w:rPr>
                <w:sz w:val="18"/>
                <w:szCs w:val="18"/>
              </w:rPr>
              <w:t>1.</w:t>
            </w:r>
            <w:r>
              <w:rPr>
                <w:rFonts w:ascii="宋体" w:hAnsi="宋体"/>
                <w:sz w:val="18"/>
                <w:szCs w:val="18"/>
              </w:rPr>
              <w:t>可能导致个别诉讼事件，使企业经济利益、声誉等轻微受损。</w:t>
            </w:r>
          </w:p>
          <w:p>
            <w:r>
              <w:rPr>
                <w:sz w:val="18"/>
                <w:szCs w:val="18"/>
              </w:rPr>
              <w:t>2.</w:t>
            </w:r>
            <w:r>
              <w:rPr>
                <w:rFonts w:ascii="宋体" w:hAnsi="宋体"/>
                <w:sz w:val="18"/>
                <w:szCs w:val="18"/>
              </w:rPr>
              <w:t>可能导致部分业务临时性中断等情况。</w:t>
            </w:r>
          </w:p>
          <w:p>
            <w:pPr>
              <w:pStyle w:val="178"/>
              <w:jc w:val="both"/>
            </w:pPr>
            <w:r>
              <w:rPr>
                <w:szCs w:val="18"/>
              </w:rPr>
              <w:t>3.</w:t>
            </w:r>
            <w:r>
              <w:rPr>
                <w:rFonts w:hAnsi="宋体"/>
                <w:szCs w:val="18"/>
              </w:rPr>
              <w:t>可能导致超出个人客户授权加工、处理、使用数据等情况，对个人权益造成部分或潜在影响。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520" w:type="dxa"/>
            <w:shd w:val="clear" w:color="auto" w:fill="auto"/>
            <w:vAlign w:val="center"/>
          </w:tcPr>
          <w:p>
            <w:pPr>
              <w:pStyle w:val="178"/>
            </w:pPr>
            <w:r>
              <w:rPr>
                <w:rFonts w:hAnsi="宋体"/>
                <w:szCs w:val="18"/>
              </w:rPr>
              <w:t>无危害</w:t>
            </w:r>
          </w:p>
        </w:tc>
        <w:tc>
          <w:tcPr>
            <w:tcW w:w="7814" w:type="dxa"/>
            <w:shd w:val="clear" w:color="auto" w:fill="auto"/>
          </w:tcPr>
          <w:p>
            <w:pPr>
              <w:pStyle w:val="178"/>
              <w:jc w:val="both"/>
            </w:pPr>
            <w:r>
              <w:rPr>
                <w:rFonts w:hAnsi="宋体"/>
                <w:szCs w:val="18"/>
              </w:rPr>
              <w:t>对国家安全、公共利益、个人合法权益、组织合法权益不造成影响。</w:t>
            </w:r>
          </w:p>
        </w:tc>
      </w:tr>
    </w:tbl>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sectPr>
          <w:pgSz w:w="11906" w:h="16838"/>
          <w:pgMar w:top="1928" w:right="1134" w:bottom="1134" w:left="1134" w:header="1418" w:footer="1134" w:gutter="284"/>
          <w:cols w:space="425" w:num="1"/>
          <w:formProt w:val="0"/>
          <w:docGrid w:type="lines" w:linePitch="312" w:charSpace="0"/>
        </w:sectPr>
      </w:pPr>
    </w:p>
    <w:p>
      <w:pPr>
        <w:pStyle w:val="198"/>
        <w:rPr>
          <w:rFonts w:hint="eastAsia"/>
          <w:vanish w:val="0"/>
        </w:rPr>
      </w:pPr>
    </w:p>
    <w:p>
      <w:pPr>
        <w:pStyle w:val="199"/>
        <w:rPr>
          <w:vanish w:val="0"/>
        </w:rPr>
      </w:pPr>
    </w:p>
    <w:p>
      <w:pPr>
        <w:pStyle w:val="76"/>
        <w:spacing w:after="156"/>
      </w:pPr>
      <w:bookmarkStart w:id="86" w:name="_Toc13793"/>
      <w:r>
        <w:br w:type="textWrapping"/>
      </w:r>
      <w:r>
        <w:rPr>
          <w:rFonts w:hint="eastAsia"/>
        </w:rPr>
        <w:t>（资料性）</w:t>
      </w:r>
      <w:r>
        <w:br w:type="textWrapping"/>
      </w:r>
      <w:r>
        <w:rPr>
          <w:rFonts w:hint="eastAsia"/>
        </w:rPr>
        <w:t>典型场景数据安全防护</w:t>
      </w:r>
      <w:bookmarkEnd w:id="86"/>
    </w:p>
    <w:p>
      <w:pPr>
        <w:pStyle w:val="78"/>
        <w:spacing w:before="156" w:after="156"/>
      </w:pPr>
      <w:bookmarkStart w:id="87" w:name="_Toc32083"/>
      <w:r>
        <w:rPr>
          <w:rFonts w:hint="eastAsia"/>
        </w:rPr>
        <w:t>数据交互场景</w:t>
      </w:r>
      <w:bookmarkEnd w:id="87"/>
    </w:p>
    <w:p>
      <w:pPr>
        <w:pStyle w:val="56"/>
        <w:ind w:firstLine="420"/>
      </w:pPr>
      <w:r>
        <w:rPr>
          <w:rFonts w:hint="eastAsia"/>
        </w:rPr>
        <w:t>数据交互是指数据在企业内外部进行数据共享和访问等行为，包括用户访问页面、线上接口交互、线下导出共享、数据协同应用等方式。应采用敏感数据识别、数据脱敏、水印溯源、数据库安全审计、终端敏感数据保护、数据防泄露、隐私计算等数据安全防护能力，加强对数据交互场景的防护</w:t>
      </w:r>
      <w:r>
        <w:rPr>
          <w:rFonts w:hint="eastAsia"/>
          <w:lang w:eastAsia="zh-CN"/>
        </w:rPr>
        <w:t>，见图</w:t>
      </w:r>
      <w:r>
        <w:rPr>
          <w:rFonts w:hint="eastAsia"/>
          <w:lang w:val="en-US" w:eastAsia="zh-CN"/>
        </w:rPr>
        <w:t>B.1</w:t>
      </w:r>
      <w:r>
        <w:rPr>
          <w:rFonts w:hint="eastAsia"/>
        </w:rPr>
        <w:t>。</w:t>
      </w:r>
    </w:p>
    <w:p>
      <w:pPr>
        <w:pStyle w:val="56"/>
        <w:ind w:firstLine="0" w:firstLineChars="0"/>
        <w:jc w:val="center"/>
      </w:pPr>
      <w:r>
        <w:rPr>
          <w:rFonts w:ascii="方正仿宋_GBK"/>
          <w:szCs w:val="32"/>
        </w:rPr>
        <w:object>
          <v:shape id="_x0000_i1025" o:spt="75" type="#_x0000_t75" style="height:155.7pt;width:467.15pt;" o:ole="t" filled="f" o:preferrelative="t" stroked="f" coordsize="21600,21600">
            <v:path/>
            <v:fill on="f" focussize="0,0"/>
            <v:stroke on="f" joinstyle="miter"/>
            <v:imagedata r:id="rId18" o:title=""/>
            <o:lock v:ext="edit" aspectratio="f"/>
            <w10:wrap type="none"/>
            <w10:anchorlock/>
          </v:shape>
          <o:OLEObject Type="Embed" ProgID="Visio.Drawing.15" ShapeID="_x0000_i1025" DrawAspect="Content" ObjectID="_1468075725" r:id="rId17">
            <o:LockedField>false</o:LockedField>
          </o:OLEObject>
        </w:object>
      </w:r>
    </w:p>
    <w:p>
      <w:pPr>
        <w:pStyle w:val="83"/>
        <w:spacing w:before="156" w:after="156"/>
      </w:pPr>
      <w:r>
        <w:rPr>
          <w:rFonts w:hint="eastAsia"/>
        </w:rPr>
        <w:t>数据交互场景安全防护示意图</w:t>
      </w:r>
    </w:p>
    <w:p>
      <w:pPr>
        <w:pStyle w:val="78"/>
        <w:spacing w:before="156" w:after="156"/>
      </w:pPr>
      <w:bookmarkStart w:id="88" w:name="_Toc32033"/>
      <w:r>
        <w:rPr>
          <w:rFonts w:hint="eastAsia"/>
        </w:rPr>
        <w:t>数据分析场景</w:t>
      </w:r>
      <w:bookmarkEnd w:id="88"/>
    </w:p>
    <w:p>
      <w:pPr>
        <w:pStyle w:val="56"/>
        <w:ind w:firstLine="420"/>
      </w:pPr>
      <w:r>
        <w:rPr>
          <w:rFonts w:hint="eastAsia"/>
        </w:rPr>
        <w:t>数据分析是指数据分析人员基于数据仓库、中台或其他环境开展数据分析、数据产品设计等行为。开展数据分析时，应采用敏感数据识别、数据脱敏、水印溯源、终端敏感数据保护等数据安全防护能力，防范人员违规查看、导出明细数据等导致数据泄露。在其他环境开展数据分析业务时，应参照数据安全防护措施，采用敏感数据识别、数据脱敏、水印溯源、终端敏感数据保护、数据库安全审计等数据安全防护能力，开展防护工作</w:t>
      </w:r>
      <w:r>
        <w:rPr>
          <w:rFonts w:hint="eastAsia"/>
          <w:lang w:eastAsia="zh-CN"/>
        </w:rPr>
        <w:t>，见图</w:t>
      </w:r>
      <w:r>
        <w:rPr>
          <w:rFonts w:hint="eastAsia"/>
          <w:lang w:val="en-US" w:eastAsia="zh-CN"/>
        </w:rPr>
        <w:t>B.2</w:t>
      </w:r>
      <w:r>
        <w:rPr>
          <w:rFonts w:hint="eastAsia"/>
        </w:rPr>
        <w:t>。</w:t>
      </w:r>
    </w:p>
    <w:p>
      <w:pPr>
        <w:pStyle w:val="56"/>
        <w:ind w:firstLine="0" w:firstLineChars="0"/>
        <w:jc w:val="center"/>
      </w:pPr>
      <w:r>
        <w:rPr>
          <w:rFonts w:ascii="方正仿宋_GBK"/>
          <w:szCs w:val="32"/>
        </w:rPr>
        <w:object>
          <v:shape id="_x0000_i1026" o:spt="75" type="#_x0000_t75" style="height:244.45pt;width:467.15pt;" o:ole="t" filled="f" o:preferrelative="t" stroked="f" coordsize="21600,21600">
            <v:path/>
            <v:fill on="f" focussize="0,0"/>
            <v:stroke on="f" joinstyle="miter"/>
            <v:imagedata r:id="rId20" o:title=""/>
            <o:lock v:ext="edit" aspectratio="f"/>
            <w10:wrap type="none"/>
            <w10:anchorlock/>
          </v:shape>
          <o:OLEObject Type="Embed" ProgID="Visio.Drawing.15" ShapeID="_x0000_i1026" DrawAspect="Content" ObjectID="_1468075726" r:id="rId19">
            <o:LockedField>false</o:LockedField>
          </o:OLEObject>
        </w:object>
      </w:r>
    </w:p>
    <w:p>
      <w:pPr>
        <w:pStyle w:val="83"/>
        <w:spacing w:before="156" w:after="156"/>
      </w:pPr>
      <w:r>
        <w:rPr>
          <w:rFonts w:hint="eastAsia"/>
        </w:rPr>
        <w:t>数据分析场景安全防护示意图</w:t>
      </w:r>
    </w:p>
    <w:p>
      <w:pPr>
        <w:pStyle w:val="78"/>
        <w:spacing w:before="156" w:after="156"/>
      </w:pPr>
      <w:bookmarkStart w:id="89" w:name="_Toc22968"/>
      <w:r>
        <w:rPr>
          <w:rFonts w:hint="eastAsia"/>
        </w:rPr>
        <w:t>数据运维场景</w:t>
      </w:r>
      <w:bookmarkEnd w:id="89"/>
    </w:p>
    <w:p>
      <w:pPr>
        <w:pStyle w:val="56"/>
        <w:ind w:firstLine="420"/>
      </w:pPr>
      <w:r>
        <w:rPr>
          <w:rFonts w:hint="eastAsia"/>
        </w:rPr>
        <w:t>数据运维是指对信息系统中涉及的数据进行运营和维护等行为。应严格按照企业信息系统运维相关要求开展数据相关运维工作。开展数据运维工作时，应采用数据库安全审计、运维安全审计、终端敏感数据保护等数据安全防护能力，加强数据运维过程管控和审计，防止运维人员越权查看、批量导出、恶意修改数据</w:t>
      </w:r>
      <w:r>
        <w:rPr>
          <w:rFonts w:hint="eastAsia"/>
          <w:lang w:eastAsia="zh-CN"/>
        </w:rPr>
        <w:t>，见图</w:t>
      </w:r>
      <w:r>
        <w:rPr>
          <w:rFonts w:hint="eastAsia"/>
          <w:lang w:val="en-US" w:eastAsia="zh-CN"/>
        </w:rPr>
        <w:t>B.3</w:t>
      </w:r>
      <w:r>
        <w:rPr>
          <w:rFonts w:hint="eastAsia"/>
        </w:rPr>
        <w:t>。</w:t>
      </w:r>
    </w:p>
    <w:p>
      <w:pPr>
        <w:pStyle w:val="56"/>
        <w:ind w:firstLine="0" w:firstLineChars="0"/>
        <w:jc w:val="center"/>
      </w:pPr>
      <w:r>
        <w:rPr>
          <w:rFonts w:ascii="方正仿宋_GBK"/>
          <w:szCs w:val="32"/>
        </w:rPr>
        <w:object>
          <v:shape id="_x0000_i1027" o:spt="75" type="#_x0000_t75" style="height:259.55pt;width:467.15pt;" o:ole="t" filled="f" o:preferrelative="t" stroked="f" coordsize="21600,21600">
            <v:path/>
            <v:fill on="f" focussize="0,0"/>
            <v:stroke on="f" joinstyle="miter"/>
            <v:imagedata r:id="rId22" o:title=""/>
            <o:lock v:ext="edit" aspectratio="f"/>
            <w10:wrap type="none"/>
            <w10:anchorlock/>
          </v:shape>
          <o:OLEObject Type="Embed" ProgID="Visio.Drawing.15" ShapeID="_x0000_i1027" DrawAspect="Content" ObjectID="_1468075727" r:id="rId21">
            <o:LockedField>false</o:LockedField>
          </o:OLEObject>
        </w:object>
      </w:r>
    </w:p>
    <w:p>
      <w:pPr>
        <w:pStyle w:val="83"/>
        <w:spacing w:before="156" w:after="156"/>
      </w:pPr>
      <w:r>
        <w:rPr>
          <w:rFonts w:hint="eastAsia"/>
        </w:rPr>
        <w:t>数据运维场景安全防护示意图</w:t>
      </w:r>
    </w:p>
    <w:p>
      <w:pPr>
        <w:pStyle w:val="78"/>
        <w:spacing w:before="156" w:after="156"/>
      </w:pPr>
      <w:bookmarkStart w:id="90" w:name="_Toc21664"/>
      <w:r>
        <w:rPr>
          <w:rFonts w:hint="eastAsia"/>
        </w:rPr>
        <w:t>研发测试场景</w:t>
      </w:r>
      <w:bookmarkEnd w:id="90"/>
    </w:p>
    <w:p>
      <w:pPr>
        <w:pStyle w:val="56"/>
        <w:ind w:firstLine="420"/>
      </w:pPr>
      <w:r>
        <w:rPr>
          <w:rFonts w:hint="eastAsia"/>
        </w:rPr>
        <w:t>研发测试是指研发人员在研发测试环境中开展数字化系统或应用等研发测试行为。应遵循企业数字化项目研发安全防护要求开展研发测试工作。开展研发测试工作时，应采用数据脱敏、水印溯源、敏感数据识别、终端敏感数据保护等数据安全防护能力，加强研发测试环境数据安全防护</w:t>
      </w:r>
      <w:r>
        <w:rPr>
          <w:rFonts w:hint="eastAsia"/>
          <w:lang w:eastAsia="zh-CN"/>
        </w:rPr>
        <w:t>，见图</w:t>
      </w:r>
      <w:r>
        <w:rPr>
          <w:rFonts w:hint="eastAsia"/>
          <w:lang w:val="en-US" w:eastAsia="zh-CN"/>
        </w:rPr>
        <w:t>B.4</w:t>
      </w:r>
      <w:r>
        <w:rPr>
          <w:rFonts w:hint="eastAsia"/>
        </w:rPr>
        <w:t>。</w:t>
      </w:r>
    </w:p>
    <w:p>
      <w:pPr>
        <w:pStyle w:val="56"/>
        <w:ind w:firstLine="0" w:firstLineChars="0"/>
        <w:jc w:val="center"/>
      </w:pPr>
      <w:r>
        <w:object>
          <v:shape id="_x0000_i1028" o:spt="75" type="#_x0000_t75" style="height:222.7pt;width:467.15pt;" o:ole="t" filled="f" o:preferrelative="t" stroked="f" coordsize="21600,21600">
            <v:path/>
            <v:fill on="f" focussize="0,0"/>
            <v:stroke on="f" joinstyle="miter"/>
            <v:imagedata r:id="rId24" o:title=""/>
            <o:lock v:ext="edit" aspectratio="f"/>
            <w10:wrap type="none"/>
            <w10:anchorlock/>
          </v:shape>
          <o:OLEObject Type="Embed" ProgID="Visio.Drawing.15" ShapeID="_x0000_i1028" DrawAspect="Content" ObjectID="_1468075728" r:id="rId23">
            <o:LockedField>false</o:LockedField>
          </o:OLEObject>
        </w:object>
      </w:r>
    </w:p>
    <w:p>
      <w:pPr>
        <w:pStyle w:val="83"/>
        <w:spacing w:before="156" w:after="156"/>
      </w:pPr>
      <w:r>
        <w:rPr>
          <w:rFonts w:hint="eastAsia"/>
        </w:rPr>
        <w:t>数据研发测试场景安全防护示意图</w:t>
      </w:r>
    </w:p>
    <w:p>
      <w:pPr>
        <w:pStyle w:val="56"/>
        <w:ind w:firstLine="420"/>
      </w:pPr>
    </w:p>
    <w:p>
      <w:pPr>
        <w:pStyle w:val="56"/>
        <w:ind w:firstLine="420"/>
      </w:pPr>
    </w:p>
    <w:p>
      <w:pPr>
        <w:pStyle w:val="56"/>
        <w:ind w:firstLine="420"/>
      </w:pPr>
    </w:p>
    <w:bookmarkEnd w:id="84"/>
    <w:p>
      <w:pPr>
        <w:pStyle w:val="56"/>
        <w:ind w:firstLine="420"/>
      </w:pPr>
    </w:p>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rPr>
        <w:rFonts w:hint="eastAsia"/>
      </w:rPr>
    </w:pPr>
    <w:r>
      <w:fldChar w:fldCharType="begin"/>
    </w:r>
    <w:r>
      <w:instrText xml:space="preserve"> STYLEREF  标准文件_文件编号  \* MERGEFORMAT </w:instrText>
    </w:r>
    <w:r>
      <w:fldChar w:fldCharType="separate"/>
    </w:r>
    <w:r>
      <w:t>DB 43/T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43/T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5"/>
      <w:suff w:val="nothing"/>
      <w:lvlText w:val="%1%2.%3.%4　"/>
      <w:lvlJc w:val="left"/>
      <w:pPr>
        <w:ind w:left="54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4"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attachedTemplate r:id="rId1"/>
  <w:documentProtection w:edit="forms" w:enforcement="1" w:cryptProviderType="rsaAES" w:cryptAlgorithmClass="hash" w:cryptAlgorithmType="typeAny" w:cryptAlgorithmSid="14" w:cryptSpinCount="100000" w:hash="6CyW0x/fLGy87a0vjgnfAoofhuxVQwBLJnuSSLflMOkeMd1pZAWqWDzmdfjs5mcyiozGkzhUCgB/tqqZx2g2OQ==" w:salt="Uz57bYcNuR4xiSj9mc+HAw=="/>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577"/>
    <w:rsid w:val="0000040A"/>
    <w:rsid w:val="00000A94"/>
    <w:rsid w:val="00001972"/>
    <w:rsid w:val="00001D9A"/>
    <w:rsid w:val="00007B3A"/>
    <w:rsid w:val="000107E0"/>
    <w:rsid w:val="00011FDE"/>
    <w:rsid w:val="00012FFD"/>
    <w:rsid w:val="00014162"/>
    <w:rsid w:val="00014340"/>
    <w:rsid w:val="00016A9C"/>
    <w:rsid w:val="00022184"/>
    <w:rsid w:val="00022312"/>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B7577"/>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2052"/>
    <w:rsid w:val="000F4AEA"/>
    <w:rsid w:val="000F633F"/>
    <w:rsid w:val="000F67E9"/>
    <w:rsid w:val="00104926"/>
    <w:rsid w:val="00113B1E"/>
    <w:rsid w:val="0011486F"/>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86B"/>
    <w:rsid w:val="001A4CF3"/>
    <w:rsid w:val="001B06E8"/>
    <w:rsid w:val="001B71D0"/>
    <w:rsid w:val="001B71EE"/>
    <w:rsid w:val="001C04A8"/>
    <w:rsid w:val="001C2C03"/>
    <w:rsid w:val="001C42F7"/>
    <w:rsid w:val="001C49E5"/>
    <w:rsid w:val="001C680C"/>
    <w:rsid w:val="001C728F"/>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11D"/>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6EA2"/>
    <w:rsid w:val="00317988"/>
    <w:rsid w:val="003221B4"/>
    <w:rsid w:val="0032258D"/>
    <w:rsid w:val="00322E62"/>
    <w:rsid w:val="00324D13"/>
    <w:rsid w:val="00324D2A"/>
    <w:rsid w:val="00324EDD"/>
    <w:rsid w:val="003331E4"/>
    <w:rsid w:val="00336C64"/>
    <w:rsid w:val="00337162"/>
    <w:rsid w:val="0034194F"/>
    <w:rsid w:val="00344605"/>
    <w:rsid w:val="00344E79"/>
    <w:rsid w:val="003474AA"/>
    <w:rsid w:val="00350D1D"/>
    <w:rsid w:val="00352C83"/>
    <w:rsid w:val="00353930"/>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8D7"/>
    <w:rsid w:val="00400E72"/>
    <w:rsid w:val="00401400"/>
    <w:rsid w:val="00404869"/>
    <w:rsid w:val="00405884"/>
    <w:rsid w:val="00407D39"/>
    <w:rsid w:val="0041477A"/>
    <w:rsid w:val="004167A3"/>
    <w:rsid w:val="00432DAA"/>
    <w:rsid w:val="00434305"/>
    <w:rsid w:val="00435DF7"/>
    <w:rsid w:val="00437A05"/>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91E"/>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133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1D94"/>
    <w:rsid w:val="00543BDA"/>
    <w:rsid w:val="005441CC"/>
    <w:rsid w:val="005479DA"/>
    <w:rsid w:val="00547BCC"/>
    <w:rsid w:val="0055013B"/>
    <w:rsid w:val="00551F6F"/>
    <w:rsid w:val="00555044"/>
    <w:rsid w:val="00561475"/>
    <w:rsid w:val="005622FC"/>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67C6"/>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15E8"/>
    <w:rsid w:val="00604784"/>
    <w:rsid w:val="00605D53"/>
    <w:rsid w:val="00606419"/>
    <w:rsid w:val="00607D29"/>
    <w:rsid w:val="00612952"/>
    <w:rsid w:val="00614CC1"/>
    <w:rsid w:val="00615A9D"/>
    <w:rsid w:val="00617387"/>
    <w:rsid w:val="006205D6"/>
    <w:rsid w:val="00622794"/>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E5B98"/>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316"/>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574A"/>
    <w:rsid w:val="007C6069"/>
    <w:rsid w:val="007D06C4"/>
    <w:rsid w:val="007D1352"/>
    <w:rsid w:val="007D2508"/>
    <w:rsid w:val="007D346A"/>
    <w:rsid w:val="007D5035"/>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6C"/>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977F2"/>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26F7"/>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D7CB0"/>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23B0"/>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C7522"/>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1B6F"/>
    <w:rsid w:val="00B4346D"/>
    <w:rsid w:val="00B440F4"/>
    <w:rsid w:val="00B447A5"/>
    <w:rsid w:val="00B4654C"/>
    <w:rsid w:val="00B46AF0"/>
    <w:rsid w:val="00B46BD4"/>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06CC"/>
    <w:rsid w:val="00B824F7"/>
    <w:rsid w:val="00B827A6"/>
    <w:rsid w:val="00B831CE"/>
    <w:rsid w:val="00B86677"/>
    <w:rsid w:val="00B87131"/>
    <w:rsid w:val="00B939B1"/>
    <w:rsid w:val="00B96D40"/>
    <w:rsid w:val="00B97386"/>
    <w:rsid w:val="00BA263B"/>
    <w:rsid w:val="00BA42B2"/>
    <w:rsid w:val="00BA58D4"/>
    <w:rsid w:val="00BA5B9E"/>
    <w:rsid w:val="00BA7C9A"/>
    <w:rsid w:val="00BB203B"/>
    <w:rsid w:val="00BB4C01"/>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1CA8"/>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3660F"/>
    <w:rsid w:val="00D4162B"/>
    <w:rsid w:val="00D4514F"/>
    <w:rsid w:val="00D451E2"/>
    <w:rsid w:val="00D45D73"/>
    <w:rsid w:val="00D45E89"/>
    <w:rsid w:val="00D45E8D"/>
    <w:rsid w:val="00D466AE"/>
    <w:rsid w:val="00D4734F"/>
    <w:rsid w:val="00D50778"/>
    <w:rsid w:val="00D51BF3"/>
    <w:rsid w:val="00D6080C"/>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5523"/>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320A"/>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09C"/>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141B"/>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4CE0F70"/>
    <w:rsid w:val="0D5450EC"/>
    <w:rsid w:val="1F1E1BFD"/>
    <w:rsid w:val="1F477FE0"/>
    <w:rsid w:val="22467649"/>
    <w:rsid w:val="3006055A"/>
    <w:rsid w:val="30CB701E"/>
    <w:rsid w:val="372344D9"/>
    <w:rsid w:val="379366B0"/>
    <w:rsid w:val="424D72D5"/>
    <w:rsid w:val="435B618D"/>
    <w:rsid w:val="5A2A7C7B"/>
    <w:rsid w:val="60A403D3"/>
    <w:rsid w:val="661A1961"/>
    <w:rsid w:val="71D71745"/>
    <w:rsid w:val="755D20F1"/>
    <w:rsid w:val="770B2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Subtle Reference"/>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qFormat/>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ind w:left="737"/>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6.emf"/><Relationship Id="rId23" Type="http://schemas.openxmlformats.org/officeDocument/2006/relationships/package" Target="embeddings/Microsoft_Visio___4.vsdx"/><Relationship Id="rId22" Type="http://schemas.openxmlformats.org/officeDocument/2006/relationships/image" Target="media/image5.emf"/><Relationship Id="rId21" Type="http://schemas.openxmlformats.org/officeDocument/2006/relationships/package" Target="embeddings/Microsoft_Visio___3.vsdx"/><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package" Target="embeddings/Microsoft_Visio___2.vsdx"/><Relationship Id="rId18" Type="http://schemas.openxmlformats.org/officeDocument/2006/relationships/image" Target="media/image3.emf"/><Relationship Id="rId17" Type="http://schemas.openxmlformats.org/officeDocument/2006/relationships/package" Target="embeddings/Microsoft_Visio___1.vsdx"/><Relationship Id="rId16" Type="http://schemas.openxmlformats.org/officeDocument/2006/relationships/image" Target="media/image2.png"/><Relationship Id="rId15" Type="http://schemas.openxmlformats.org/officeDocument/2006/relationships/image" Target="media/image1.tiff"/><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5F923230E1D47A59C0DAE508352F7D9"/>
        <w:style w:val=""/>
        <w:category>
          <w:name w:val="常规"/>
          <w:gallery w:val="placeholder"/>
        </w:category>
        <w:types>
          <w:type w:val="bbPlcHdr"/>
        </w:types>
        <w:behaviors>
          <w:behavior w:val="content"/>
        </w:behaviors>
        <w:description w:val=""/>
        <w:guid w:val="{1C3CDE7F-2706-4734-999A-AD98F3F01958}"/>
      </w:docPartPr>
      <w:docPartBody>
        <w:p>
          <w:pPr>
            <w:pStyle w:val="5"/>
            <w:rPr>
              <w:rFonts w:hint="eastAsia"/>
            </w:rPr>
          </w:pPr>
          <w:r>
            <w:rPr>
              <w:rStyle w:val="4"/>
              <w:rFonts w:hint="eastAsia"/>
            </w:rPr>
            <w:t>单击或点击此处输入文字。</w:t>
          </w:r>
        </w:p>
      </w:docPartBody>
    </w:docPart>
    <w:docPart>
      <w:docPartPr>
        <w:name w:val="99561139D9A54708AA808FD328DC8C7D"/>
        <w:style w:val=""/>
        <w:category>
          <w:name w:val="常规"/>
          <w:gallery w:val="placeholder"/>
        </w:category>
        <w:types>
          <w:type w:val="bbPlcHdr"/>
        </w:types>
        <w:behaviors>
          <w:behavior w:val="content"/>
        </w:behaviors>
        <w:description w:val=""/>
        <w:guid w:val="{957B97DC-7050-4D55-A2C7-8BF24C75E6BD}"/>
      </w:docPartPr>
      <w:docPartBody>
        <w:p>
          <w:pPr>
            <w:pStyle w:val="6"/>
            <w:rPr>
              <w:rFonts w:hint="eastAsia"/>
            </w:rPr>
          </w:pPr>
          <w:r>
            <w:rPr>
              <w:rStyle w:val="4"/>
              <w:rFonts w:hint="eastAsia"/>
            </w:rPr>
            <w:t>选择一项。</w:t>
          </w:r>
        </w:p>
      </w:docPartBody>
    </w:docPart>
    <w:docPart>
      <w:docPartPr>
        <w:name w:val="94ACCE9033BE45849B2B4BC3F98D8134"/>
        <w:style w:val=""/>
        <w:category>
          <w:name w:val="常规"/>
          <w:gallery w:val="placeholder"/>
        </w:category>
        <w:types>
          <w:type w:val="bbPlcHdr"/>
        </w:types>
        <w:behaviors>
          <w:behavior w:val="content"/>
        </w:behaviors>
        <w:description w:val=""/>
        <w:guid w:val="{E7726D21-7368-47B6-9D67-51C3E1E2FEDC}"/>
      </w:docPartPr>
      <w:docPartBody>
        <w:p>
          <w:pPr>
            <w:pStyle w:val="7"/>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2C7"/>
    <w:rsid w:val="002872C7"/>
    <w:rsid w:val="002C3537"/>
    <w:rsid w:val="003424A1"/>
    <w:rsid w:val="00344E79"/>
    <w:rsid w:val="00725EE4"/>
    <w:rsid w:val="007D5035"/>
    <w:rsid w:val="008977F2"/>
    <w:rsid w:val="009626F7"/>
    <w:rsid w:val="00AB6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05F923230E1D47A59C0DAE508352F7D9"/>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6">
    <w:name w:val="99561139D9A54708AA808FD328DC8C7D"/>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7">
    <w:name w:val="94ACCE9033BE45849B2B4BC3F98D8134"/>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F03465-9310-430F-A8A0-DFC80D2CA8A6}">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16</Pages>
  <Words>1909</Words>
  <Characters>10887</Characters>
  <Lines>90</Lines>
  <Paragraphs>25</Paragraphs>
  <TotalTime>26</TotalTime>
  <ScaleCrop>false</ScaleCrop>
  <LinksUpToDate>false</LinksUpToDate>
  <CharactersWithSpaces>12771</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2024-11-04T07:28:00Z</dcterms:created>
  <dc:creator>yingang</dc:creator>
  <dc:description>&lt;config cover="true" show_menu="true" version="1.0.0" doctype="SDKXY"&gt;_x000d_
&lt;/config&gt;</dc:description>
  <cp:lastModifiedBy>孙毅臻</cp:lastModifiedBy>
  <cp:lastPrinted>2020-08-30T10:00:00Z</cp:lastPrinted>
  <dcterms:modified xsi:type="dcterms:W3CDTF">2025-02-17T03:49:10Z</dcterms:modified>
  <dc:title>地方标准</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2052-11.8.2.12085</vt:lpwstr>
  </property>
  <property fmtid="{D5CDD505-2E9C-101B-9397-08002B2CF9AE}" pid="15" name="ICV">
    <vt:lpwstr>108D379132E045698B30CCDEB2F16C1C</vt:lpwstr>
  </property>
</Properties>
</file>