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3F053">
      <w:pPr>
        <w:jc w:val="both"/>
        <w:rPr>
          <w:rFonts w:hint="default" w:eastAsia="宋体"/>
          <w:b/>
          <w:sz w:val="28"/>
          <w:szCs w:val="28"/>
          <w:lang w:val="en-US" w:eastAsia="zh-CN"/>
        </w:rPr>
      </w:pPr>
      <w:r>
        <w:rPr>
          <w:rFonts w:hint="eastAsia"/>
          <w:b/>
          <w:sz w:val="28"/>
          <w:szCs w:val="28"/>
          <w:lang w:eastAsia="zh-CN"/>
        </w:rPr>
        <w:t>附件</w:t>
      </w:r>
      <w:r>
        <w:rPr>
          <w:rFonts w:hint="eastAsia"/>
          <w:b/>
          <w:sz w:val="28"/>
          <w:szCs w:val="28"/>
          <w:lang w:val="en-US" w:eastAsia="zh-CN"/>
        </w:rPr>
        <w:t>2</w:t>
      </w:r>
    </w:p>
    <w:p w14:paraId="01A755F4">
      <w:pPr>
        <w:jc w:val="center"/>
        <w:rPr>
          <w:b/>
          <w:sz w:val="48"/>
          <w:szCs w:val="48"/>
        </w:rPr>
      </w:pPr>
    </w:p>
    <w:p w14:paraId="0B993528">
      <w:pPr>
        <w:jc w:val="center"/>
        <w:rPr>
          <w:b/>
          <w:sz w:val="48"/>
          <w:szCs w:val="48"/>
        </w:rPr>
      </w:pPr>
    </w:p>
    <w:p w14:paraId="0F98E5E6">
      <w:pPr>
        <w:spacing w:line="360" w:lineRule="auto"/>
        <w:jc w:val="center"/>
        <w:rPr>
          <w:rFonts w:ascii="黑体" w:hAnsi="黑体" w:eastAsia="黑体" w:cs="黑体"/>
          <w:b/>
          <w:sz w:val="48"/>
          <w:szCs w:val="48"/>
        </w:rPr>
      </w:pPr>
      <w:r>
        <w:rPr>
          <w:rFonts w:hint="eastAsia" w:ascii="黑体" w:hAnsi="黑体" w:eastAsia="黑体" w:cs="黑体"/>
          <w:b/>
          <w:bCs/>
          <w:sz w:val="48"/>
          <w:szCs w:val="48"/>
        </w:rPr>
        <w:t>《放射性气溶胶监测仪校准规范》</w:t>
      </w:r>
    </w:p>
    <w:p w14:paraId="77B86787">
      <w:pPr>
        <w:jc w:val="center"/>
        <w:rPr>
          <w:b/>
          <w:sz w:val="36"/>
          <w:szCs w:val="36"/>
        </w:rPr>
      </w:pPr>
    </w:p>
    <w:p w14:paraId="7868ACB9">
      <w:pPr>
        <w:jc w:val="center"/>
        <w:rPr>
          <w:b/>
          <w:sz w:val="36"/>
          <w:szCs w:val="36"/>
        </w:rPr>
      </w:pPr>
    </w:p>
    <w:p w14:paraId="62B73568">
      <w:pPr>
        <w:jc w:val="center"/>
        <w:rPr>
          <w:b/>
          <w:sz w:val="36"/>
          <w:szCs w:val="36"/>
        </w:rPr>
      </w:pPr>
    </w:p>
    <w:p w14:paraId="2988CEE5">
      <w:pPr>
        <w:jc w:val="center"/>
        <w:rPr>
          <w:b/>
          <w:sz w:val="36"/>
          <w:szCs w:val="36"/>
        </w:rPr>
      </w:pPr>
    </w:p>
    <w:p w14:paraId="0075E131">
      <w:pPr>
        <w:jc w:val="center"/>
        <w:rPr>
          <w:b/>
          <w:sz w:val="72"/>
          <w:szCs w:val="72"/>
        </w:rPr>
      </w:pPr>
      <w:r>
        <w:rPr>
          <w:rFonts w:hint="eastAsia"/>
          <w:b/>
          <w:sz w:val="72"/>
          <w:szCs w:val="72"/>
        </w:rPr>
        <w:t>编制</w:t>
      </w:r>
      <w:r>
        <w:rPr>
          <w:b/>
          <w:sz w:val="72"/>
          <w:szCs w:val="72"/>
        </w:rPr>
        <w:t>说明</w:t>
      </w:r>
    </w:p>
    <w:p w14:paraId="454CB88B">
      <w:pPr>
        <w:jc w:val="center"/>
        <w:rPr>
          <w:sz w:val="36"/>
          <w:szCs w:val="36"/>
        </w:rPr>
      </w:pPr>
    </w:p>
    <w:p w14:paraId="2B5078A0">
      <w:pPr>
        <w:jc w:val="center"/>
        <w:rPr>
          <w:sz w:val="36"/>
          <w:szCs w:val="36"/>
        </w:rPr>
      </w:pPr>
    </w:p>
    <w:p w14:paraId="4930660B">
      <w:pPr>
        <w:jc w:val="center"/>
        <w:rPr>
          <w:sz w:val="36"/>
          <w:szCs w:val="36"/>
        </w:rPr>
      </w:pPr>
    </w:p>
    <w:p w14:paraId="60C79E9E">
      <w:pPr>
        <w:jc w:val="center"/>
        <w:rPr>
          <w:sz w:val="36"/>
          <w:szCs w:val="36"/>
        </w:rPr>
      </w:pPr>
    </w:p>
    <w:p w14:paraId="651CFF71">
      <w:pPr>
        <w:jc w:val="center"/>
        <w:rPr>
          <w:sz w:val="36"/>
          <w:szCs w:val="36"/>
        </w:rPr>
      </w:pPr>
    </w:p>
    <w:p w14:paraId="24808F68">
      <w:pPr>
        <w:jc w:val="center"/>
        <w:rPr>
          <w:rFonts w:ascii="宋体" w:hAnsi="宋体" w:cs="宋体"/>
          <w:b/>
          <w:sz w:val="32"/>
          <w:szCs w:val="32"/>
        </w:rPr>
      </w:pPr>
      <w:r>
        <w:rPr>
          <w:rFonts w:hint="eastAsia" w:ascii="宋体" w:hAnsi="宋体" w:cs="宋体"/>
          <w:b/>
          <w:sz w:val="32"/>
          <w:szCs w:val="32"/>
        </w:rPr>
        <w:t>《放射性气溶胶监测仪校准规范》起草组</w:t>
      </w:r>
    </w:p>
    <w:p w14:paraId="730A5E32">
      <w:pPr>
        <w:rPr>
          <w:b/>
          <w:sz w:val="30"/>
          <w:szCs w:val="30"/>
        </w:rPr>
      </w:pPr>
    </w:p>
    <w:p w14:paraId="6FCCA710">
      <w:pPr>
        <w:jc w:val="center"/>
        <w:rPr>
          <w:b/>
          <w:sz w:val="32"/>
          <w:szCs w:val="32"/>
        </w:rPr>
        <w:sectPr>
          <w:footerReference r:id="rId3" w:type="default"/>
          <w:footerReference r:id="rId4" w:type="even"/>
          <w:pgSz w:w="11906" w:h="16838"/>
          <w:pgMar w:top="1440" w:right="1418" w:bottom="1440" w:left="1620" w:header="851" w:footer="992" w:gutter="0"/>
          <w:cols w:space="720" w:num="1"/>
          <w:docGrid w:type="lines" w:linePitch="312" w:charSpace="0"/>
        </w:sectPr>
      </w:pPr>
      <w:r>
        <w:rPr>
          <w:b/>
          <w:sz w:val="32"/>
          <w:szCs w:val="32"/>
        </w:rPr>
        <w:t>202</w:t>
      </w:r>
      <w:r>
        <w:rPr>
          <w:rFonts w:hint="eastAsia"/>
          <w:b/>
          <w:sz w:val="32"/>
          <w:szCs w:val="32"/>
        </w:rPr>
        <w:t>5</w:t>
      </w:r>
      <w:r>
        <w:rPr>
          <w:b/>
          <w:sz w:val="32"/>
          <w:szCs w:val="32"/>
        </w:rPr>
        <w:t>年</w:t>
      </w:r>
      <w:r>
        <w:rPr>
          <w:rFonts w:hint="eastAsia"/>
          <w:b/>
          <w:sz w:val="32"/>
          <w:szCs w:val="32"/>
          <w:lang w:val="en-US" w:eastAsia="zh-CN"/>
        </w:rPr>
        <w:t>11</w:t>
      </w:r>
      <w:r>
        <w:rPr>
          <w:b/>
          <w:sz w:val="32"/>
          <w:szCs w:val="32"/>
        </w:rPr>
        <w:t>月</w:t>
      </w:r>
      <w:bookmarkStart w:id="0" w:name="_GoBack"/>
      <w:bookmarkEnd w:id="0"/>
    </w:p>
    <w:p w14:paraId="1931F73E">
      <w:pPr>
        <w:jc w:val="center"/>
        <w:rPr>
          <w:rFonts w:ascii="宋体" w:hAnsi="宋体" w:cs="宋体"/>
          <w:bCs/>
          <w:sz w:val="32"/>
          <w:szCs w:val="32"/>
        </w:rPr>
      </w:pPr>
      <w:r>
        <w:rPr>
          <w:rFonts w:hint="eastAsia" w:ascii="宋体" w:hAnsi="宋体" w:cs="宋体"/>
          <w:bCs/>
          <w:sz w:val="32"/>
          <w:szCs w:val="32"/>
        </w:rPr>
        <w:t>湖南省地方计量技术规范</w:t>
      </w:r>
    </w:p>
    <w:p w14:paraId="2CE6C4B1">
      <w:pPr>
        <w:spacing w:line="360" w:lineRule="auto"/>
        <w:jc w:val="center"/>
        <w:rPr>
          <w:rFonts w:ascii="宋体" w:hAnsi="宋体" w:cs="宋体"/>
          <w:bCs/>
          <w:sz w:val="32"/>
          <w:szCs w:val="32"/>
        </w:rPr>
      </w:pPr>
      <w:r>
        <w:rPr>
          <w:rFonts w:hint="eastAsia" w:ascii="宋体" w:hAnsi="宋体" w:cs="宋体"/>
          <w:bCs/>
          <w:sz w:val="32"/>
          <w:szCs w:val="32"/>
        </w:rPr>
        <w:t>《放射性气溶胶监测仪校准规范》</w:t>
      </w:r>
    </w:p>
    <w:p w14:paraId="2C147280">
      <w:pPr>
        <w:spacing w:line="360" w:lineRule="auto"/>
        <w:jc w:val="center"/>
        <w:rPr>
          <w:rFonts w:ascii="宋体" w:hAnsi="宋体" w:cs="宋体"/>
          <w:bCs/>
          <w:sz w:val="32"/>
          <w:szCs w:val="32"/>
        </w:rPr>
      </w:pPr>
      <w:r>
        <w:rPr>
          <w:rFonts w:hint="eastAsia" w:ascii="宋体" w:hAnsi="宋体" w:cs="宋体"/>
          <w:bCs/>
          <w:sz w:val="32"/>
          <w:szCs w:val="32"/>
        </w:rPr>
        <w:t>编制说明</w:t>
      </w:r>
    </w:p>
    <w:p w14:paraId="277954D2">
      <w:pPr>
        <w:spacing w:line="360" w:lineRule="auto"/>
        <w:rPr>
          <w:rFonts w:ascii="黑体" w:hAnsi="黑体" w:eastAsia="黑体" w:cs="黑体"/>
          <w:b/>
          <w:bCs/>
          <w:sz w:val="28"/>
          <w:szCs w:val="28"/>
        </w:rPr>
      </w:pPr>
      <w:r>
        <w:rPr>
          <w:rFonts w:hint="eastAsia" w:ascii="黑体" w:hAnsi="黑体" w:eastAsia="黑体" w:cs="黑体"/>
          <w:b/>
          <w:bCs/>
          <w:sz w:val="28"/>
          <w:szCs w:val="28"/>
        </w:rPr>
        <w:t>一、任务来源</w:t>
      </w:r>
    </w:p>
    <w:p w14:paraId="74B7B83B">
      <w:pPr>
        <w:spacing w:line="360" w:lineRule="auto"/>
        <w:ind w:firstLine="570"/>
        <w:jc w:val="left"/>
        <w:rPr>
          <w:rFonts w:hint="default" w:ascii="Times New Roman" w:hAnsi="Times New Roman" w:cs="Times New Roman"/>
          <w:sz w:val="28"/>
          <w:szCs w:val="28"/>
        </w:rPr>
      </w:pPr>
      <w:r>
        <w:rPr>
          <w:rFonts w:hint="default" w:ascii="Times New Roman" w:hAnsi="Times New Roman" w:cs="Times New Roman" w:eastAsiaTheme="minorEastAsia"/>
          <w:sz w:val="28"/>
          <w:szCs w:val="28"/>
          <w:shd w:val="clear" w:color="auto" w:fill="FFFFFF"/>
        </w:rPr>
        <w:t>根据《湖南省市场监督管理局关于下达2025年度湖南省地方计量技术规范项目计划的通知》（湘市监计量函〔2025〕22号）的要求</w:t>
      </w:r>
      <w:r>
        <w:rPr>
          <w:rFonts w:hint="default" w:ascii="Times New Roman" w:hAnsi="Times New Roman" w:cs="Times New Roman" w:eastAsiaTheme="minorEastAsia"/>
          <w:sz w:val="28"/>
          <w:szCs w:val="28"/>
        </w:rPr>
        <w:t>，</w:t>
      </w:r>
      <w:r>
        <w:rPr>
          <w:rFonts w:hint="default" w:ascii="Times New Roman" w:hAnsi="Times New Roman" w:cs="Times New Roman"/>
          <w:sz w:val="28"/>
          <w:szCs w:val="28"/>
        </w:rPr>
        <w:t>由南华大学，湖南省计量检测研究院，湖南省电离辐射计量站牵头负责，承担“放射性气溶胶监测仪校准规范”的编制工作。</w:t>
      </w:r>
    </w:p>
    <w:p w14:paraId="47239543">
      <w:pPr>
        <w:numPr>
          <w:ilvl w:val="0"/>
          <w:numId w:val="1"/>
        </w:numPr>
        <w:tabs>
          <w:tab w:val="left" w:pos="2505"/>
        </w:tabs>
        <w:spacing w:line="360" w:lineRule="auto"/>
        <w:rPr>
          <w:rFonts w:eastAsia="黑体"/>
          <w:sz w:val="28"/>
          <w:szCs w:val="28"/>
        </w:rPr>
      </w:pPr>
      <w:r>
        <w:rPr>
          <w:rFonts w:hint="eastAsia" w:eastAsia="黑体"/>
          <w:sz w:val="28"/>
          <w:szCs w:val="28"/>
        </w:rPr>
        <w:t>采纳国际建议说明</w:t>
      </w:r>
    </w:p>
    <w:p w14:paraId="3B21FF7C">
      <w:pPr>
        <w:tabs>
          <w:tab w:val="left" w:pos="2505"/>
        </w:tabs>
        <w:spacing w:line="360" w:lineRule="auto"/>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mallCaps/>
          <w:sz w:val="28"/>
          <w:szCs w:val="28"/>
        </w:rPr>
        <w:t>编写组通过查询OIML网站公布的文件，未发现有关的国际建议，特此说明。</w:t>
      </w:r>
    </w:p>
    <w:p w14:paraId="22531137">
      <w:pPr>
        <w:numPr>
          <w:ilvl w:val="0"/>
          <w:numId w:val="1"/>
        </w:numPr>
        <w:tabs>
          <w:tab w:val="left" w:pos="2505"/>
        </w:tabs>
        <w:spacing w:line="360" w:lineRule="auto"/>
        <w:rPr>
          <w:rFonts w:eastAsia="黑体"/>
          <w:sz w:val="28"/>
          <w:szCs w:val="28"/>
        </w:rPr>
      </w:pPr>
      <w:r>
        <w:rPr>
          <w:rFonts w:hint="eastAsia" w:eastAsia="黑体"/>
          <w:sz w:val="28"/>
          <w:szCs w:val="28"/>
        </w:rPr>
        <w:t>制定的必要性</w:t>
      </w:r>
    </w:p>
    <w:p w14:paraId="67C8244C">
      <w:pPr>
        <w:autoSpaceDN w:val="0"/>
        <w:spacing w:line="330" w:lineRule="atLeast"/>
        <w:ind w:firstLine="560" w:firstLineChars="200"/>
        <w:jc w:val="left"/>
        <w:rPr>
          <w:rFonts w:ascii="宋体" w:hAnsi="宋体" w:cs="宋体"/>
          <w:sz w:val="28"/>
          <w:szCs w:val="28"/>
        </w:rPr>
      </w:pPr>
      <w:r>
        <w:rPr>
          <w:rFonts w:hint="eastAsia" w:asciiTheme="minorEastAsia" w:hAnsiTheme="minorEastAsia" w:eastAsiaTheme="minorEastAsia"/>
          <w:bCs/>
          <w:sz w:val="28"/>
          <w:szCs w:val="28"/>
        </w:rPr>
        <w:t>放射性气溶胶是核设施运行、核医学应用及环境辐射测量中的关键对象，其准确测量直接关系核事故应急响应、职业人员辐射防护及公众健康安全。制定统一的校准规范可确保测量仪器的量值准确性和数据可比性，为放射性污染防控提供技术支撑。当前虽存在部分放射性检测标准，但针对气溶胶测量仪器的专项校准方法、性能评价指标及现场校准要求仍不完善。地方规范的制定将细化仪器灵敏度、能量响应、稳定性等关键参数的校准流程，补充现有标准体系的技术缺口。国外发布有辐射测量聚焦通用原则和基础方法，但对放射性气溶胶测量仪的关键性能校准缺乏专项技术细则，未针对气溶胶测量的特殊性制定规范。国内规范标准有</w:t>
      </w:r>
      <w:r>
        <w:rPr>
          <w:rFonts w:hint="default" w:ascii="Times New Roman" w:hAnsi="Times New Roman" w:cs="Times New Roman" w:eastAsiaTheme="minorEastAsia"/>
          <w:bCs/>
          <w:sz w:val="28"/>
          <w:szCs w:val="28"/>
        </w:rPr>
        <w:t>T/BSRS116-2024</w:t>
      </w:r>
      <w:r>
        <w:rPr>
          <w:rFonts w:hint="eastAsia" w:asciiTheme="minorEastAsia" w:hAnsiTheme="minorEastAsia" w:eastAsiaTheme="minorEastAsia"/>
          <w:bCs/>
          <w:sz w:val="28"/>
          <w:szCs w:val="28"/>
        </w:rPr>
        <w:t>《放射性气溶胶监测仪校准规范》、</w:t>
      </w:r>
      <w:r>
        <w:rPr>
          <w:rFonts w:hint="default" w:ascii="Times New Roman" w:hAnsi="Times New Roman" w:cs="Times New Roman" w:eastAsiaTheme="minorEastAsia"/>
          <w:bCs/>
          <w:sz w:val="28"/>
          <w:szCs w:val="28"/>
        </w:rPr>
        <w:t>JJF(鄂）86-2021</w:t>
      </w:r>
      <w:r>
        <w:rPr>
          <w:rFonts w:hint="eastAsia" w:asciiTheme="minorEastAsia" w:hAnsiTheme="minorEastAsia" w:eastAsiaTheme="minorEastAsia"/>
          <w:bCs/>
          <w:sz w:val="28"/>
          <w:szCs w:val="28"/>
        </w:rPr>
        <w:t>《放射性气溶胶监测仪动态校准规范》，但这些规范在仪器参数方面存在覆盖不全的问题，对于现场校准上也存在诸多有待完善之处。在地方层面，针对放射性气溶胶测量仪相关技术的规范与指导，更是处于空白状态。对放射性气溶胶测量仪的检定方法进行研究</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制定一套可操作性强</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具备较好兼容性</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标准化的检定方法</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进而形成湖南省地方检定规程。该规程的出台</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将规范我省放射性气溶胶测量仪的检定</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形成省内一致意见</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填补我省没有放射性气溶胶监测仪校准规范的空白</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建立体积修正仪量溯源体系。</w:t>
      </w:r>
    </w:p>
    <w:p w14:paraId="04257618">
      <w:pPr>
        <w:numPr>
          <w:ilvl w:val="0"/>
          <w:numId w:val="1"/>
        </w:numPr>
        <w:tabs>
          <w:tab w:val="left" w:pos="2505"/>
        </w:tabs>
        <w:spacing w:line="360" w:lineRule="auto"/>
        <w:rPr>
          <w:rFonts w:eastAsia="黑体"/>
          <w:sz w:val="28"/>
          <w:szCs w:val="28"/>
        </w:rPr>
      </w:pPr>
      <w:r>
        <w:rPr>
          <w:rFonts w:eastAsia="黑体"/>
          <w:sz w:val="28"/>
          <w:szCs w:val="28"/>
        </w:rPr>
        <w:t>主要技术依据及原则</w:t>
      </w:r>
    </w:p>
    <w:p w14:paraId="2C301B36">
      <w:pPr>
        <w:spacing w:line="360" w:lineRule="auto"/>
        <w:ind w:firstLine="560" w:firstLineChars="200"/>
        <w:rPr>
          <w:rFonts w:hint="default" w:ascii="Times New Roman" w:hAnsi="Times New Roman" w:cs="Times New Roman" w:eastAsiaTheme="minorEastAsia"/>
          <w:smallCaps/>
          <w:sz w:val="28"/>
          <w:szCs w:val="28"/>
          <w:lang w:val="zh-CN"/>
        </w:rPr>
      </w:pPr>
      <w:r>
        <w:rPr>
          <w:rFonts w:asciiTheme="minorEastAsia" w:hAnsiTheme="minorEastAsia" w:eastAsiaTheme="minorEastAsia"/>
          <w:bCs/>
          <w:sz w:val="28"/>
          <w:szCs w:val="28"/>
        </w:rPr>
        <w:t>本</w:t>
      </w:r>
      <w:r>
        <w:rPr>
          <w:rFonts w:hint="eastAsia" w:asciiTheme="minorEastAsia" w:hAnsiTheme="minorEastAsia" w:eastAsiaTheme="minorEastAsia"/>
          <w:bCs/>
          <w:sz w:val="28"/>
          <w:szCs w:val="28"/>
        </w:rPr>
        <w:t>规范</w:t>
      </w:r>
      <w:r>
        <w:rPr>
          <w:rFonts w:asciiTheme="minorEastAsia" w:hAnsiTheme="minorEastAsia" w:eastAsiaTheme="minorEastAsia"/>
          <w:bCs/>
          <w:sz w:val="28"/>
          <w:szCs w:val="28"/>
        </w:rPr>
        <w:t>以</w:t>
      </w:r>
      <w:r>
        <w:rPr>
          <w:rFonts w:hint="default" w:ascii="Times New Roman" w:hAnsi="Times New Roman" w:cs="Times New Roman" w:eastAsiaTheme="minorEastAsia"/>
          <w:bCs/>
          <w:sz w:val="28"/>
          <w:szCs w:val="28"/>
        </w:rPr>
        <w:t>JJF 1001-2011《通用计量术语及定义》、</w:t>
      </w:r>
      <w:r>
        <w:rPr>
          <w:rFonts w:hint="default" w:ascii="Times New Roman" w:hAnsi="Times New Roman" w:cs="Times New Roman" w:eastAsiaTheme="minorEastAsia"/>
          <w:sz w:val="28"/>
          <w:szCs w:val="28"/>
        </w:rPr>
        <w:t>JJF 1004</w:t>
      </w:r>
      <w:r>
        <w:rPr>
          <w:rFonts w:hint="default" w:ascii="Times New Roman" w:hAnsi="Times New Roman" w:cs="Times New Roman" w:eastAsiaTheme="minorEastAsia"/>
          <w:bCs/>
          <w:sz w:val="28"/>
          <w:szCs w:val="28"/>
        </w:rPr>
        <w:t>-</w:t>
      </w:r>
      <w:r>
        <w:rPr>
          <w:rFonts w:hint="default" w:ascii="Times New Roman" w:hAnsi="Times New Roman" w:cs="Times New Roman" w:eastAsiaTheme="minorEastAsia"/>
          <w:sz w:val="28"/>
          <w:szCs w:val="28"/>
        </w:rPr>
        <w:t>2004  流量计量名词术语及定义、</w:t>
      </w:r>
      <w:r>
        <w:rPr>
          <w:rFonts w:hint="default" w:ascii="Times New Roman" w:hAnsi="Times New Roman" w:cs="Times New Roman" w:eastAsiaTheme="minorEastAsia"/>
          <w:bCs/>
          <w:sz w:val="28"/>
          <w:szCs w:val="28"/>
        </w:rPr>
        <w:t>JJF 1059.1-2012《测量不确定度评定与表示》共同构成支撑本规程制定工作的基础性文件，以JJF 1002-2010《国家计量检定规程编写规则》规定的规则进行编写。</w:t>
      </w:r>
      <w:r>
        <w:rPr>
          <w:rFonts w:hint="default" w:ascii="Times New Roman" w:hAnsi="Times New Roman" w:cs="Times New Roman" w:eastAsiaTheme="minorEastAsia"/>
          <w:sz w:val="28"/>
          <w:szCs w:val="28"/>
        </w:rPr>
        <w:t>本着科学合理，便于操作的原则，根据现有的国家计量技术规范、国标、企业标准和专家意见、建议，以现有的生产技术、检定技术为前提，本着提高生产水平，鼓励进步，完善放射性气溶胶监测仪校准的溯源体系。</w:t>
      </w:r>
    </w:p>
    <w:p w14:paraId="4C90ABB3">
      <w:pPr>
        <w:spacing w:line="360" w:lineRule="auto"/>
        <w:ind w:firstLine="560" w:firstLineChars="200"/>
        <w:rPr>
          <w:rFonts w:hint="default" w:ascii="Times New Roman" w:hAnsi="Times New Roman" w:cs="Times New Roman" w:eastAsiaTheme="minorEastAsia"/>
          <w:smallCaps/>
          <w:sz w:val="28"/>
          <w:szCs w:val="28"/>
          <w:lang w:val="zh-CN"/>
        </w:rPr>
      </w:pPr>
      <w:r>
        <w:rPr>
          <w:rFonts w:hint="default" w:ascii="Times New Roman" w:hAnsi="Times New Roman" w:cs="Times New Roman"/>
          <w:sz w:val="28"/>
          <w:szCs w:val="28"/>
        </w:rPr>
        <w:t>目前放射性气溶胶监测仪尚无相应完备校准规程，</w:t>
      </w:r>
      <w:r>
        <w:rPr>
          <w:rFonts w:hint="default" w:ascii="Times New Roman" w:hAnsi="Times New Roman" w:cs="Times New Roman" w:eastAsiaTheme="minorEastAsia"/>
          <w:bCs/>
          <w:sz w:val="28"/>
          <w:szCs w:val="28"/>
        </w:rPr>
        <w:t>结合实际，</w:t>
      </w:r>
      <w:r>
        <w:rPr>
          <w:rFonts w:hint="default" w:ascii="Times New Roman" w:hAnsi="Times New Roman" w:cs="Times New Roman" w:eastAsiaTheme="minorEastAsia"/>
          <w:smallCaps/>
          <w:sz w:val="28"/>
          <w:szCs w:val="28"/>
          <w:lang w:val="zh-CN"/>
        </w:rPr>
        <w:t>本规范引用了下列文件：</w:t>
      </w:r>
    </w:p>
    <w:p w14:paraId="6517DDFF">
      <w:pPr>
        <w:tabs>
          <w:tab w:val="left" w:pos="2505"/>
        </w:tabs>
        <w:spacing w:line="360" w:lineRule="auto"/>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GB/T 7165.1-2005 气态排出流放射性活度连续监测设备第一部分一般要求</w:t>
      </w:r>
    </w:p>
    <w:p w14:paraId="5FAC7606">
      <w:pPr>
        <w:tabs>
          <w:tab w:val="left" w:pos="2505"/>
        </w:tabs>
        <w:spacing w:line="360" w:lineRule="auto"/>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GB/T 7165.2-2008 气态排出流放射性活度连续监测设备第二部分放射性气溶胶监测仪（包括超铀气溶胶）的特殊要求</w:t>
      </w:r>
    </w:p>
    <w:p w14:paraId="76389DB7">
      <w:pPr>
        <w:tabs>
          <w:tab w:val="left" w:pos="2505"/>
        </w:tabs>
        <w:spacing w:line="360" w:lineRule="auto"/>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 18871-2002 电离辐射防护与辐射源安全基本标准</w:t>
      </w:r>
    </w:p>
    <w:p w14:paraId="75077801">
      <w:pPr>
        <w:tabs>
          <w:tab w:val="left" w:pos="2505"/>
        </w:tabs>
        <w:spacing w:line="360" w:lineRule="auto"/>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JJG（军工）143-2017 放射性气溶胶监测仪</w:t>
      </w:r>
    </w:p>
    <w:p w14:paraId="3A93A863">
      <w:pPr>
        <w:tabs>
          <w:tab w:val="left" w:pos="2505"/>
        </w:tabs>
        <w:spacing w:line="360" w:lineRule="auto"/>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JJF（鄂）86-2021《放射性气溶胶监测仪校准规范》</w:t>
      </w:r>
    </w:p>
    <w:p w14:paraId="4DAFB8B4">
      <w:pPr>
        <w:tabs>
          <w:tab w:val="left" w:pos="2505"/>
        </w:tabs>
        <w:spacing w:line="360" w:lineRule="auto"/>
        <w:rPr>
          <w:b/>
          <w:bCs/>
          <w:sz w:val="28"/>
          <w:szCs w:val="28"/>
        </w:rPr>
      </w:pPr>
      <w:r>
        <w:rPr>
          <w:rFonts w:hint="eastAsia" w:eastAsia="黑体"/>
          <w:sz w:val="28"/>
          <w:szCs w:val="28"/>
        </w:rPr>
        <w:t>五、</w:t>
      </w:r>
      <w:r>
        <w:rPr>
          <w:rFonts w:eastAsia="黑体"/>
          <w:sz w:val="28"/>
          <w:szCs w:val="28"/>
        </w:rPr>
        <w:t>制定的进度情况</w:t>
      </w:r>
    </w:p>
    <w:p w14:paraId="694DA9F4">
      <w:pPr>
        <w:spacing w:line="360" w:lineRule="auto"/>
        <w:ind w:firstLine="560" w:firstLineChars="200"/>
        <w:rPr>
          <w:rFonts w:ascii="宋体" w:hAnsi="宋体" w:cs="宋体"/>
          <w:bCs/>
          <w:sz w:val="28"/>
          <w:szCs w:val="21"/>
        </w:rPr>
      </w:pPr>
      <w:r>
        <w:rPr>
          <w:rFonts w:hint="eastAsia" w:ascii="宋体" w:hAnsi="宋体" w:cs="宋体"/>
          <w:bCs/>
          <w:sz w:val="28"/>
          <w:szCs w:val="21"/>
        </w:rPr>
        <w:t>从接受起草任务、组成起草组到完成</w:t>
      </w:r>
      <w:r>
        <w:rPr>
          <w:rFonts w:hint="eastAsia" w:ascii="宋体" w:hAnsi="宋体" w:cs="宋体"/>
          <w:sz w:val="28"/>
          <w:szCs w:val="21"/>
        </w:rPr>
        <w:t>《</w:t>
      </w:r>
      <w:r>
        <w:rPr>
          <w:rFonts w:hint="eastAsia" w:ascii="宋体" w:hAnsi="宋体" w:cs="宋体"/>
          <w:bCs/>
          <w:sz w:val="28"/>
          <w:szCs w:val="28"/>
        </w:rPr>
        <w:t>放射性气溶胶监测仪校准规范</w:t>
      </w:r>
      <w:r>
        <w:rPr>
          <w:rFonts w:hint="eastAsia" w:ascii="宋体" w:hAnsi="宋体" w:cs="宋体"/>
          <w:sz w:val="28"/>
          <w:szCs w:val="21"/>
        </w:rPr>
        <w:t>》</w:t>
      </w:r>
      <w:r>
        <w:rPr>
          <w:rFonts w:hint="eastAsia" w:ascii="宋体" w:hAnsi="宋体" w:cs="宋体"/>
          <w:sz w:val="28"/>
          <w:szCs w:val="21"/>
          <w:lang w:val="zh-CN"/>
        </w:rPr>
        <w:t>（送审稿）</w:t>
      </w:r>
      <w:r>
        <w:rPr>
          <w:rFonts w:hint="eastAsia" w:ascii="宋体" w:hAnsi="宋体" w:cs="宋体"/>
          <w:bCs/>
          <w:sz w:val="28"/>
          <w:szCs w:val="21"/>
        </w:rPr>
        <w:t>，大致分三个阶段：</w:t>
      </w:r>
    </w:p>
    <w:p w14:paraId="637DEA4D">
      <w:pPr>
        <w:numPr>
          <w:ilvl w:val="0"/>
          <w:numId w:val="2"/>
        </w:numPr>
        <w:spacing w:line="360" w:lineRule="auto"/>
        <w:jc w:val="left"/>
        <w:rPr>
          <w:rFonts w:ascii="宋体" w:hAnsi="宋体" w:cs="宋体"/>
          <w:b/>
          <w:sz w:val="28"/>
          <w:szCs w:val="21"/>
        </w:rPr>
      </w:pPr>
      <w:r>
        <w:rPr>
          <w:rFonts w:hint="eastAsia" w:ascii="宋体" w:hAnsi="宋体" w:cs="宋体"/>
          <w:b/>
          <w:sz w:val="28"/>
          <w:szCs w:val="21"/>
        </w:rPr>
        <w:t>接收起草任务及组成起草组阶段</w:t>
      </w:r>
    </w:p>
    <w:p w14:paraId="7092850E">
      <w:pPr>
        <w:spacing w:line="360" w:lineRule="auto"/>
        <w:ind w:firstLine="570"/>
        <w:rPr>
          <w:rFonts w:hint="default" w:ascii="Times New Roman" w:hAnsi="Times New Roman" w:cs="Times New Roman"/>
          <w:sz w:val="28"/>
          <w:szCs w:val="21"/>
        </w:rPr>
      </w:pPr>
      <w:r>
        <w:rPr>
          <w:rFonts w:hint="default" w:ascii="Times New Roman" w:hAnsi="Times New Roman" w:cs="Times New Roman"/>
          <w:bCs/>
          <w:sz w:val="28"/>
          <w:szCs w:val="21"/>
        </w:rPr>
        <w:t>2025年1月至2月，</w:t>
      </w:r>
      <w:r>
        <w:rPr>
          <w:rFonts w:hint="default" w:ascii="Times New Roman" w:hAnsi="Times New Roman" w:cs="Times New Roman"/>
          <w:sz w:val="28"/>
          <w:szCs w:val="21"/>
        </w:rPr>
        <w:t>组成起草组，进行</w:t>
      </w:r>
      <w:r>
        <w:rPr>
          <w:rFonts w:hint="default" w:ascii="Times New Roman" w:hAnsi="Times New Roman" w:cs="Times New Roman"/>
          <w:bCs/>
          <w:sz w:val="28"/>
          <w:szCs w:val="21"/>
        </w:rPr>
        <w:t>调研工作；</w:t>
      </w:r>
      <w:r>
        <w:rPr>
          <w:rFonts w:hint="default" w:ascii="Times New Roman" w:hAnsi="Times New Roman" w:cs="Times New Roman"/>
          <w:sz w:val="28"/>
          <w:szCs w:val="21"/>
        </w:rPr>
        <w:t>查阅相关研究资料，调研放射性气溶胶监测仪使用客户、安装情况、标准文件、法律法规等相关内容。</w:t>
      </w:r>
    </w:p>
    <w:p w14:paraId="4007584E">
      <w:pPr>
        <w:spacing w:line="360" w:lineRule="auto"/>
        <w:rPr>
          <w:rFonts w:ascii="宋体" w:hAnsi="宋体" w:cs="宋体"/>
          <w:b/>
          <w:sz w:val="28"/>
          <w:szCs w:val="21"/>
        </w:rPr>
      </w:pPr>
      <w:r>
        <w:rPr>
          <w:rFonts w:hint="eastAsia" w:ascii="宋体" w:hAnsi="宋体" w:cs="宋体"/>
          <w:b/>
          <w:sz w:val="28"/>
          <w:szCs w:val="21"/>
        </w:rPr>
        <w:t>2、检定方案论证阶段</w:t>
      </w:r>
    </w:p>
    <w:p w14:paraId="74D389AA">
      <w:pPr>
        <w:autoSpaceDE w:val="0"/>
        <w:autoSpaceDN w:val="0"/>
        <w:adjustRightInd w:val="0"/>
        <w:spacing w:line="360" w:lineRule="auto"/>
        <w:ind w:firstLine="480"/>
        <w:rPr>
          <w:rFonts w:hint="default" w:ascii="Times New Roman" w:hAnsi="Times New Roman" w:cs="Times New Roman"/>
          <w:bCs/>
          <w:sz w:val="28"/>
          <w:szCs w:val="21"/>
        </w:rPr>
      </w:pPr>
      <w:r>
        <w:rPr>
          <w:rFonts w:hint="default" w:ascii="Times New Roman" w:hAnsi="Times New Roman" w:cs="Times New Roman"/>
          <w:bCs/>
          <w:sz w:val="28"/>
          <w:szCs w:val="21"/>
        </w:rPr>
        <w:t>2025年3月至5月，</w:t>
      </w:r>
      <w:r>
        <w:rPr>
          <w:rFonts w:hint="default" w:ascii="Times New Roman" w:hAnsi="Times New Roman" w:cs="Times New Roman"/>
          <w:sz w:val="28"/>
          <w:szCs w:val="21"/>
        </w:rPr>
        <w:t>调研、</w:t>
      </w:r>
      <w:r>
        <w:rPr>
          <w:rFonts w:hint="default" w:ascii="Times New Roman" w:hAnsi="Times New Roman" w:cs="Times New Roman"/>
          <w:bCs/>
          <w:sz w:val="28"/>
          <w:szCs w:val="21"/>
        </w:rPr>
        <w:t>试验，整理试验数据，确定检定方法。</w:t>
      </w:r>
    </w:p>
    <w:p w14:paraId="72553D16">
      <w:pPr>
        <w:autoSpaceDE w:val="0"/>
        <w:autoSpaceDN w:val="0"/>
        <w:adjustRightInd w:val="0"/>
        <w:spacing w:line="360" w:lineRule="auto"/>
        <w:ind w:firstLine="480"/>
        <w:rPr>
          <w:rFonts w:hint="default" w:ascii="Times New Roman" w:hAnsi="Times New Roman" w:cs="Times New Roman"/>
          <w:sz w:val="28"/>
          <w:szCs w:val="21"/>
        </w:rPr>
      </w:pPr>
      <w:r>
        <w:rPr>
          <w:rFonts w:hint="default" w:ascii="Times New Roman" w:hAnsi="Times New Roman" w:cs="Times New Roman"/>
          <w:sz w:val="28"/>
          <w:szCs w:val="21"/>
          <w:lang w:val="zh-CN"/>
        </w:rPr>
        <w:t>起草组召开了方案论证会。在项目任务书的基础上，确定了规程起草的如下要求：</w:t>
      </w:r>
    </w:p>
    <w:p w14:paraId="4B15586C">
      <w:pPr>
        <w:autoSpaceDE w:val="0"/>
        <w:autoSpaceDN w:val="0"/>
        <w:adjustRightInd w:val="0"/>
        <w:spacing w:line="360" w:lineRule="auto"/>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1</w:t>
      </w:r>
      <w:r>
        <w:rPr>
          <w:rFonts w:hint="default" w:ascii="Times New Roman" w:hAnsi="Times New Roman" w:cs="Times New Roman"/>
          <w:sz w:val="28"/>
          <w:szCs w:val="21"/>
          <w:lang w:val="zh-CN"/>
        </w:rPr>
        <w:t>）规程的适用范围；</w:t>
      </w:r>
    </w:p>
    <w:p w14:paraId="0CEE0293">
      <w:pPr>
        <w:autoSpaceDE w:val="0"/>
        <w:autoSpaceDN w:val="0"/>
        <w:adjustRightInd w:val="0"/>
        <w:spacing w:line="360" w:lineRule="auto"/>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2</w:t>
      </w:r>
      <w:r>
        <w:rPr>
          <w:rFonts w:hint="default" w:ascii="Times New Roman" w:hAnsi="Times New Roman" w:cs="Times New Roman"/>
          <w:sz w:val="28"/>
          <w:szCs w:val="21"/>
          <w:lang w:val="zh-CN"/>
        </w:rPr>
        <w:t>）放射性气溶胶监测仪的计量特性；</w:t>
      </w:r>
    </w:p>
    <w:p w14:paraId="21E584FD">
      <w:pPr>
        <w:autoSpaceDE w:val="0"/>
        <w:autoSpaceDN w:val="0"/>
        <w:adjustRightInd w:val="0"/>
        <w:spacing w:line="360" w:lineRule="auto"/>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3</w:t>
      </w:r>
      <w:r>
        <w:rPr>
          <w:rFonts w:hint="default" w:ascii="Times New Roman" w:hAnsi="Times New Roman" w:cs="Times New Roman"/>
          <w:sz w:val="28"/>
          <w:szCs w:val="21"/>
          <w:lang w:val="zh-CN"/>
        </w:rPr>
        <w:t>）主要检定项目和检定方法；</w:t>
      </w:r>
    </w:p>
    <w:p w14:paraId="7D2BB19A">
      <w:pPr>
        <w:autoSpaceDE w:val="0"/>
        <w:autoSpaceDN w:val="0"/>
        <w:adjustRightInd w:val="0"/>
        <w:spacing w:line="360" w:lineRule="auto"/>
        <w:ind w:firstLine="560" w:firstLineChars="200"/>
        <w:rPr>
          <w:rFonts w:ascii="宋体" w:hAnsi="宋体" w:cs="宋体"/>
          <w:sz w:val="28"/>
          <w:szCs w:val="21"/>
          <w:lang w:val="zh-CN"/>
        </w:rPr>
      </w:pPr>
      <w:r>
        <w:rPr>
          <w:rFonts w:hint="default" w:ascii="Times New Roman" w:hAnsi="Times New Roman" w:cs="Times New Roman"/>
          <w:sz w:val="28"/>
          <w:szCs w:val="21"/>
        </w:rPr>
        <w:t>4</w:t>
      </w:r>
      <w:r>
        <w:rPr>
          <w:rFonts w:hint="default" w:ascii="Times New Roman" w:hAnsi="Times New Roman" w:cs="Times New Roman"/>
          <w:sz w:val="28"/>
          <w:szCs w:val="21"/>
          <w:lang w:val="zh-CN"/>
        </w:rPr>
        <w:t>）</w:t>
      </w:r>
      <w:r>
        <w:rPr>
          <w:rFonts w:hint="default" w:ascii="Times New Roman" w:hAnsi="Times New Roman" w:cs="Times New Roman"/>
          <w:sz w:val="28"/>
          <w:szCs w:val="28"/>
        </w:rPr>
        <w:t>计量标准器及配套设备</w:t>
      </w:r>
      <w:r>
        <w:rPr>
          <w:rFonts w:hint="default" w:ascii="Times New Roman" w:hAnsi="Times New Roman" w:cs="Times New Roman"/>
          <w:sz w:val="28"/>
          <w:szCs w:val="21"/>
          <w:lang w:val="zh-CN"/>
        </w:rPr>
        <w:t>的技术要求。</w:t>
      </w:r>
    </w:p>
    <w:p w14:paraId="10495D08">
      <w:pPr>
        <w:spacing w:line="360" w:lineRule="auto"/>
        <w:outlineLvl w:val="0"/>
        <w:rPr>
          <w:rFonts w:ascii="宋体" w:hAnsi="宋体" w:cs="宋体"/>
          <w:b/>
          <w:sz w:val="28"/>
          <w:szCs w:val="21"/>
        </w:rPr>
      </w:pPr>
      <w:r>
        <w:rPr>
          <w:rFonts w:hint="eastAsia" w:ascii="宋体" w:hAnsi="宋体" w:cs="宋体"/>
          <w:b/>
          <w:sz w:val="28"/>
          <w:szCs w:val="21"/>
        </w:rPr>
        <w:t>3、检定规程编制实施阶段</w:t>
      </w:r>
    </w:p>
    <w:p w14:paraId="6982A796">
      <w:pPr>
        <w:autoSpaceDE w:val="0"/>
        <w:autoSpaceDN w:val="0"/>
        <w:adjustRightInd w:val="0"/>
        <w:spacing w:line="360" w:lineRule="auto"/>
        <w:ind w:firstLine="560" w:firstLineChars="200"/>
        <w:rPr>
          <w:rFonts w:hint="default" w:ascii="Times New Roman" w:hAnsi="Times New Roman" w:cs="Times New Roman"/>
          <w:sz w:val="28"/>
          <w:szCs w:val="21"/>
          <w:lang w:val="zh-CN"/>
        </w:rPr>
      </w:pPr>
      <w:r>
        <w:rPr>
          <w:rFonts w:hint="default" w:ascii="Times New Roman" w:hAnsi="Times New Roman" w:cs="Times New Roman"/>
          <w:sz w:val="28"/>
          <w:szCs w:val="21"/>
          <w:lang w:val="zh-CN"/>
        </w:rPr>
        <w:t>1）</w:t>
      </w:r>
      <w:r>
        <w:rPr>
          <w:rFonts w:hint="eastAsia" w:ascii="Times New Roman" w:hAnsi="Times New Roman" w:cs="Times New Roman"/>
          <w:sz w:val="28"/>
          <w:szCs w:val="21"/>
          <w:lang w:val="en-US" w:eastAsia="zh-CN"/>
        </w:rPr>
        <w:t>2025年3月</w:t>
      </w:r>
      <w:r>
        <w:rPr>
          <w:rFonts w:hint="default" w:ascii="Times New Roman" w:hAnsi="Times New Roman" w:cs="Times New Roman"/>
          <w:sz w:val="28"/>
          <w:szCs w:val="21"/>
          <w:lang w:val="zh-CN"/>
        </w:rPr>
        <w:t>，根据检定规程技术方案完成主要检定项目试验验证及检定方法研究，</w:t>
      </w:r>
      <w:r>
        <w:rPr>
          <w:rFonts w:hint="default" w:ascii="Times New Roman" w:hAnsi="Times New Roman" w:cs="Times New Roman"/>
          <w:sz w:val="28"/>
          <w:szCs w:val="21"/>
        </w:rPr>
        <w:t>起草组讨论并小范围征求意见。</w:t>
      </w:r>
      <w:r>
        <w:rPr>
          <w:rFonts w:hint="default" w:ascii="Times New Roman" w:hAnsi="Times New Roman" w:cs="Times New Roman"/>
          <w:sz w:val="28"/>
          <w:szCs w:val="21"/>
          <w:lang w:val="zh-CN"/>
        </w:rPr>
        <w:t xml:space="preserve"> </w:t>
      </w:r>
    </w:p>
    <w:p w14:paraId="546421B9">
      <w:pPr>
        <w:autoSpaceDE w:val="0"/>
        <w:autoSpaceDN w:val="0"/>
        <w:adjustRightInd w:val="0"/>
        <w:spacing w:line="360" w:lineRule="auto"/>
        <w:ind w:firstLine="560" w:firstLineChars="200"/>
        <w:rPr>
          <w:rFonts w:hint="default" w:ascii="Times New Roman" w:hAnsi="Times New Roman" w:cs="Times New Roman"/>
          <w:sz w:val="28"/>
          <w:szCs w:val="21"/>
          <w:lang w:val="zh-CN"/>
        </w:rPr>
      </w:pPr>
      <w:r>
        <w:rPr>
          <w:rFonts w:hint="default" w:ascii="Times New Roman" w:hAnsi="Times New Roman" w:cs="Times New Roman"/>
          <w:sz w:val="28"/>
          <w:szCs w:val="21"/>
        </w:rPr>
        <w:t>2</w:t>
      </w:r>
      <w:r>
        <w:rPr>
          <w:rFonts w:hint="default" w:ascii="Times New Roman" w:hAnsi="Times New Roman" w:cs="Times New Roman"/>
          <w:sz w:val="28"/>
          <w:szCs w:val="21"/>
          <w:lang w:val="zh-CN"/>
        </w:rPr>
        <w:t>）</w:t>
      </w:r>
      <w:r>
        <w:rPr>
          <w:rFonts w:hint="eastAsia" w:cs="Times New Roman"/>
          <w:sz w:val="28"/>
          <w:szCs w:val="21"/>
          <w:lang w:val="en-US" w:eastAsia="zh-CN"/>
        </w:rPr>
        <w:t>2025年8月</w:t>
      </w:r>
      <w:r>
        <w:rPr>
          <w:rFonts w:hint="default" w:ascii="Times New Roman" w:hAnsi="Times New Roman" w:cs="Times New Roman"/>
          <w:sz w:val="28"/>
          <w:szCs w:val="21"/>
          <w:lang w:val="zh-CN"/>
        </w:rPr>
        <w:t>，完成</w:t>
      </w:r>
      <w:r>
        <w:rPr>
          <w:rFonts w:hint="default" w:ascii="Times New Roman" w:hAnsi="Times New Roman" w:cs="Times New Roman"/>
          <w:sz w:val="28"/>
          <w:szCs w:val="21"/>
        </w:rPr>
        <w:t>《</w:t>
      </w:r>
      <w:r>
        <w:rPr>
          <w:rFonts w:hint="default" w:ascii="Times New Roman" w:hAnsi="Times New Roman" w:cs="Times New Roman"/>
          <w:bCs/>
          <w:sz w:val="28"/>
          <w:szCs w:val="28"/>
        </w:rPr>
        <w:t>放射性气溶胶监测仪校准规范</w:t>
      </w:r>
      <w:r>
        <w:rPr>
          <w:rFonts w:hint="default" w:ascii="Times New Roman" w:hAnsi="Times New Roman" w:cs="Times New Roman"/>
          <w:sz w:val="28"/>
          <w:szCs w:val="21"/>
        </w:rPr>
        <w:t>》</w:t>
      </w:r>
      <w:r>
        <w:rPr>
          <w:rFonts w:hint="default" w:ascii="Times New Roman" w:hAnsi="Times New Roman" w:cs="Times New Roman"/>
          <w:sz w:val="28"/>
          <w:szCs w:val="21"/>
          <w:lang w:val="zh-CN"/>
        </w:rPr>
        <w:t>初稿内审形成征求意见稿，完成意见征求并根据反馈意见完成送审稿；</w:t>
      </w:r>
    </w:p>
    <w:p w14:paraId="206E9631">
      <w:pPr>
        <w:autoSpaceDE w:val="0"/>
        <w:autoSpaceDN w:val="0"/>
        <w:adjustRightInd w:val="0"/>
        <w:spacing w:line="360" w:lineRule="auto"/>
        <w:ind w:firstLine="560" w:firstLineChars="200"/>
        <w:rPr>
          <w:rFonts w:hint="default" w:ascii="Times New Roman" w:hAnsi="Times New Roman" w:cs="Times New Roman"/>
          <w:sz w:val="28"/>
          <w:szCs w:val="21"/>
          <w:lang w:val="zh-CN"/>
        </w:rPr>
      </w:pPr>
      <w:r>
        <w:rPr>
          <w:rFonts w:hint="default" w:ascii="Times New Roman" w:hAnsi="Times New Roman" w:cs="Times New Roman"/>
          <w:sz w:val="28"/>
          <w:szCs w:val="21"/>
        </w:rPr>
        <w:t>3</w:t>
      </w:r>
      <w:r>
        <w:rPr>
          <w:rFonts w:hint="default" w:ascii="Times New Roman" w:hAnsi="Times New Roman" w:cs="Times New Roman"/>
          <w:sz w:val="28"/>
          <w:szCs w:val="21"/>
          <w:lang w:val="zh-CN"/>
        </w:rPr>
        <w:t>）202</w:t>
      </w:r>
      <w:r>
        <w:rPr>
          <w:rFonts w:hint="eastAsia" w:cs="Times New Roman"/>
          <w:sz w:val="28"/>
          <w:szCs w:val="21"/>
          <w:lang w:val="en-US" w:eastAsia="zh-CN"/>
        </w:rPr>
        <w:t>5</w:t>
      </w:r>
      <w:r>
        <w:rPr>
          <w:rFonts w:hint="default" w:ascii="Times New Roman" w:hAnsi="Times New Roman" w:cs="Times New Roman"/>
          <w:sz w:val="28"/>
          <w:szCs w:val="21"/>
          <w:lang w:val="zh-CN"/>
        </w:rPr>
        <w:t>年</w:t>
      </w:r>
      <w:r>
        <w:rPr>
          <w:rFonts w:hint="default" w:ascii="Times New Roman" w:hAnsi="Times New Roman" w:cs="Times New Roman"/>
          <w:sz w:val="28"/>
          <w:szCs w:val="21"/>
        </w:rPr>
        <w:t>9</w:t>
      </w:r>
      <w:r>
        <w:rPr>
          <w:rFonts w:hint="default" w:ascii="Times New Roman" w:hAnsi="Times New Roman" w:cs="Times New Roman"/>
          <w:sz w:val="28"/>
          <w:szCs w:val="21"/>
          <w:lang w:val="zh-CN"/>
        </w:rPr>
        <w:t>月，完成</w:t>
      </w:r>
      <w:r>
        <w:rPr>
          <w:rFonts w:hint="default" w:ascii="Times New Roman" w:hAnsi="Times New Roman" w:cs="Times New Roman"/>
          <w:sz w:val="28"/>
          <w:szCs w:val="21"/>
        </w:rPr>
        <w:t>《</w:t>
      </w:r>
      <w:r>
        <w:rPr>
          <w:rFonts w:hint="default" w:ascii="Times New Roman" w:hAnsi="Times New Roman" w:cs="Times New Roman"/>
          <w:bCs/>
          <w:sz w:val="28"/>
          <w:szCs w:val="28"/>
        </w:rPr>
        <w:t>放射性气溶胶监测仪校准规范</w:t>
      </w:r>
      <w:r>
        <w:rPr>
          <w:rFonts w:hint="default" w:ascii="Times New Roman" w:hAnsi="Times New Roman" w:cs="Times New Roman"/>
          <w:sz w:val="28"/>
          <w:szCs w:val="21"/>
        </w:rPr>
        <w:t>》</w:t>
      </w:r>
      <w:r>
        <w:rPr>
          <w:rFonts w:hint="default" w:ascii="Times New Roman" w:hAnsi="Times New Roman" w:cs="Times New Roman"/>
          <w:sz w:val="28"/>
          <w:szCs w:val="21"/>
          <w:lang w:val="zh-CN"/>
        </w:rPr>
        <w:t>（送审稿）预审。</w:t>
      </w:r>
    </w:p>
    <w:p w14:paraId="4D84A36D">
      <w:pPr>
        <w:tabs>
          <w:tab w:val="left" w:pos="2505"/>
        </w:tabs>
        <w:spacing w:line="360" w:lineRule="auto"/>
        <w:rPr>
          <w:rFonts w:eastAsia="黑体"/>
          <w:sz w:val="28"/>
          <w:szCs w:val="28"/>
        </w:rPr>
      </w:pPr>
      <w:r>
        <w:rPr>
          <w:rFonts w:hint="eastAsia" w:eastAsia="黑体"/>
          <w:sz w:val="28"/>
          <w:szCs w:val="28"/>
        </w:rPr>
        <w:t>六</w:t>
      </w:r>
      <w:r>
        <w:rPr>
          <w:rFonts w:eastAsia="黑体"/>
          <w:sz w:val="28"/>
          <w:szCs w:val="28"/>
        </w:rPr>
        <w:t>、</w:t>
      </w:r>
      <w:r>
        <w:rPr>
          <w:rFonts w:hint="eastAsia" w:eastAsia="黑体"/>
          <w:sz w:val="28"/>
          <w:szCs w:val="28"/>
        </w:rPr>
        <w:t>规程</w:t>
      </w:r>
      <w:r>
        <w:rPr>
          <w:rFonts w:eastAsia="黑体"/>
          <w:sz w:val="28"/>
          <w:szCs w:val="28"/>
        </w:rPr>
        <w:t>起草的要点及说明</w:t>
      </w:r>
    </w:p>
    <w:p w14:paraId="747E6D54">
      <w:pPr>
        <w:tabs>
          <w:tab w:val="left" w:pos="2505"/>
        </w:tabs>
        <w:spacing w:line="360" w:lineRule="auto"/>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规程计划的检定对象为全省范围内用于</w:t>
      </w:r>
      <w:r>
        <w:rPr>
          <w:rFonts w:hint="default" w:ascii="Times New Roman" w:hAnsi="Times New Roman" w:cs="Times New Roman" w:eastAsiaTheme="minorEastAsia"/>
          <w:bCs/>
          <w:sz w:val="28"/>
          <w:szCs w:val="28"/>
        </w:rPr>
        <w:t>α、β</w:t>
      </w:r>
      <w:r>
        <w:rPr>
          <w:rFonts w:hint="default" w:ascii="Times New Roman" w:hAnsi="Times New Roman" w:cs="Times New Roman" w:eastAsiaTheme="minorEastAsia"/>
          <w:sz w:val="28"/>
          <w:szCs w:val="28"/>
        </w:rPr>
        <w:t>型放射性气溶胶监测仪。</w:t>
      </w:r>
    </w:p>
    <w:p w14:paraId="31351C76">
      <w:pPr>
        <w:spacing w:line="360" w:lineRule="auto"/>
        <w:jc w:val="left"/>
        <w:rPr>
          <w:rFonts w:hint="default" w:ascii="Times New Roman" w:hAnsi="Times New Roman" w:cs="Times New Roman"/>
          <w:sz w:val="28"/>
          <w:szCs w:val="28"/>
        </w:rPr>
      </w:pPr>
      <w:r>
        <w:rPr>
          <w:rFonts w:hint="default" w:ascii="Times New Roman" w:hAnsi="Times New Roman" w:cs="Times New Roman"/>
          <w:sz w:val="28"/>
          <w:szCs w:val="28"/>
        </w:rPr>
        <w:t>1.适用范围</w:t>
      </w:r>
    </w:p>
    <w:p w14:paraId="5D91B8E7">
      <w:pPr>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本规程适用于</w:t>
      </w:r>
      <w:r>
        <w:rPr>
          <w:rFonts w:hint="default" w:ascii="Times New Roman" w:hAnsi="Times New Roman" w:cs="Times New Roman" w:eastAsiaTheme="minorEastAsia"/>
          <w:bCs/>
          <w:sz w:val="28"/>
          <w:szCs w:val="28"/>
        </w:rPr>
        <w:t>α、β</w:t>
      </w:r>
      <w:r>
        <w:rPr>
          <w:rFonts w:hint="default" w:ascii="Times New Roman" w:hAnsi="Times New Roman" w:cs="Times New Roman" w:eastAsiaTheme="minorEastAsia"/>
          <w:sz w:val="28"/>
          <w:szCs w:val="28"/>
        </w:rPr>
        <w:t>型放射性气溶胶监测仪</w:t>
      </w:r>
      <w:r>
        <w:rPr>
          <w:rFonts w:hint="default" w:ascii="Times New Roman" w:hAnsi="Times New Roman" w:cs="Times New Roman"/>
          <w:sz w:val="28"/>
          <w:szCs w:val="28"/>
        </w:rPr>
        <w:t>的首次检定、后续检定和使用中检查。</w:t>
      </w:r>
    </w:p>
    <w:p w14:paraId="3A6F4E2F">
      <w:pPr>
        <w:spacing w:line="360" w:lineRule="auto"/>
        <w:jc w:val="left"/>
        <w:rPr>
          <w:rFonts w:hint="default" w:ascii="Times New Roman" w:hAnsi="Times New Roman" w:cs="Times New Roman"/>
          <w:sz w:val="28"/>
          <w:szCs w:val="28"/>
        </w:rPr>
      </w:pPr>
      <w:r>
        <w:rPr>
          <w:rFonts w:hint="default" w:ascii="Times New Roman" w:hAnsi="Times New Roman" w:cs="Times New Roman"/>
          <w:sz w:val="28"/>
          <w:szCs w:val="28"/>
        </w:rPr>
        <w:t>2.概述</w:t>
      </w:r>
    </w:p>
    <w:p w14:paraId="5B1739DD">
      <w:pPr>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放射性气溶胶监测仪是一种用于连续监测环境中放射性气溶胶浓度的设备，主要应用于核设施、环保、生物产业等领域。</w:t>
      </w:r>
    </w:p>
    <w:p w14:paraId="004CC623">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14:paraId="1C59CF56">
      <w:pPr>
        <w:spacing w:before="156" w:beforeLines="50" w:line="360" w:lineRule="auto"/>
        <w:jc w:val="left"/>
        <w:rPr>
          <w:rFonts w:hint="default" w:ascii="Times New Roman" w:hAnsi="Times New Roman" w:cs="Times New Roman"/>
          <w:sz w:val="28"/>
          <w:szCs w:val="28"/>
        </w:rPr>
      </w:pPr>
      <w:r>
        <w:rPr>
          <w:rFonts w:hint="default" w:ascii="Times New Roman" w:hAnsi="Times New Roman" w:cs="Times New Roman"/>
          <w:sz w:val="28"/>
          <w:szCs w:val="28"/>
        </w:rPr>
        <w:t>3.计量标准器及配套设备</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1"/>
        <w:gridCol w:w="2329"/>
        <w:gridCol w:w="2844"/>
        <w:gridCol w:w="2058"/>
      </w:tblGrid>
      <w:tr w14:paraId="46DDD7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1" w:type="dxa"/>
          </w:tcPr>
          <w:p w14:paraId="3C73C693">
            <w:pPr>
              <w:spacing w:before="156" w:beforeLines="50" w:line="360" w:lineRule="auto"/>
              <w:jc w:val="left"/>
              <w:rPr>
                <w:rFonts w:ascii="宋体" w:hAnsi="宋体" w:eastAsia="Times New Roman" w:cs="宋体"/>
                <w:sz w:val="28"/>
                <w:szCs w:val="28"/>
              </w:rPr>
            </w:pPr>
            <w:r>
              <w:rPr>
                <w:rFonts w:hint="eastAsia" w:cs="宋体" w:asciiTheme="minorEastAsia" w:hAnsiTheme="minorEastAsia" w:eastAsiaTheme="minorEastAsia"/>
                <w:sz w:val="28"/>
                <w:szCs w:val="28"/>
              </w:rPr>
              <w:t>类别</w:t>
            </w:r>
          </w:p>
        </w:tc>
        <w:tc>
          <w:tcPr>
            <w:tcW w:w="2217" w:type="dxa"/>
          </w:tcPr>
          <w:p w14:paraId="4095BD55">
            <w:pPr>
              <w:spacing w:before="156" w:beforeLines="50" w:line="360" w:lineRule="auto"/>
              <w:jc w:val="left"/>
              <w:rPr>
                <w:rFonts w:ascii="宋体" w:hAnsi="宋体" w:eastAsia="Times New Roman" w:cs="宋体"/>
                <w:sz w:val="28"/>
                <w:szCs w:val="28"/>
              </w:rPr>
            </w:pPr>
            <w:r>
              <w:rPr>
                <w:rFonts w:hint="eastAsia" w:cs="宋体" w:asciiTheme="minorEastAsia" w:hAnsiTheme="minorEastAsia" w:eastAsiaTheme="minorEastAsia"/>
                <w:sz w:val="28"/>
                <w:szCs w:val="28"/>
              </w:rPr>
              <w:t>仪器名称</w:t>
            </w:r>
          </w:p>
        </w:tc>
        <w:tc>
          <w:tcPr>
            <w:tcW w:w="2876" w:type="dxa"/>
          </w:tcPr>
          <w:p w14:paraId="4B8D4E1B">
            <w:pPr>
              <w:spacing w:before="156" w:beforeLines="50" w:line="360" w:lineRule="auto"/>
              <w:jc w:val="left"/>
              <w:rPr>
                <w:rFonts w:ascii="宋体" w:hAnsi="宋体" w:eastAsia="Times New Roman" w:cs="宋体"/>
                <w:sz w:val="28"/>
                <w:szCs w:val="28"/>
              </w:rPr>
            </w:pPr>
            <w:r>
              <w:rPr>
                <w:rFonts w:hint="eastAsia" w:cs="宋体" w:asciiTheme="minorEastAsia" w:hAnsiTheme="minorEastAsia" w:eastAsiaTheme="minorEastAsia"/>
                <w:sz w:val="28"/>
                <w:szCs w:val="28"/>
              </w:rPr>
              <w:t>技术参数</w:t>
            </w:r>
          </w:p>
        </w:tc>
        <w:tc>
          <w:tcPr>
            <w:tcW w:w="1962" w:type="dxa"/>
          </w:tcPr>
          <w:p w14:paraId="06FA2EB0">
            <w:pPr>
              <w:spacing w:before="156" w:beforeLines="50" w:line="360" w:lineRule="auto"/>
              <w:jc w:val="left"/>
              <w:rPr>
                <w:rFonts w:ascii="宋体" w:hAnsi="宋体" w:eastAsia="Times New Roman" w:cs="宋体"/>
                <w:sz w:val="28"/>
                <w:szCs w:val="28"/>
              </w:rPr>
            </w:pPr>
            <w:r>
              <w:rPr>
                <w:rFonts w:hint="eastAsia" w:cs="宋体" w:asciiTheme="minorEastAsia" w:hAnsiTheme="minorEastAsia" w:eastAsiaTheme="minorEastAsia"/>
                <w:sz w:val="28"/>
                <w:szCs w:val="28"/>
              </w:rPr>
              <w:t>备注</w:t>
            </w:r>
          </w:p>
        </w:tc>
      </w:tr>
      <w:tr w14:paraId="30D0D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21" w:type="dxa"/>
            <w:vMerge w:val="restart"/>
          </w:tcPr>
          <w:p w14:paraId="479B6120">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计量标准装置</w:t>
            </w:r>
          </w:p>
        </w:tc>
        <w:tc>
          <w:tcPr>
            <w:tcW w:w="2399" w:type="dxa"/>
          </w:tcPr>
          <w:p w14:paraId="2EE9E2C4">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气溶胶发生装置</w:t>
            </w:r>
          </w:p>
        </w:tc>
        <w:tc>
          <w:tcPr>
            <w:tcW w:w="2685" w:type="dxa"/>
          </w:tcPr>
          <w:p w14:paraId="5DAD4062">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液体容器：玻璃</w:t>
            </w:r>
          </w:p>
          <w:p w14:paraId="5A8BDEDE">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体积流量：3L/min-10L/min</w:t>
            </w:r>
          </w:p>
          <w:p w14:paraId="42F1E0BC">
            <w:pPr>
              <w:spacing w:before="156" w:beforeLines="50" w:line="360" w:lineRule="auto"/>
              <w:jc w:val="left"/>
              <w:rPr>
                <w:rFonts w:hint="default" w:ascii="Times New Roman" w:hAnsi="Times New Roman" w:eastAsia="Times New Roman" w:cs="Times New Roman"/>
                <w:sz w:val="24"/>
              </w:rPr>
            </w:pPr>
            <w:r>
              <w:rPr>
                <w:rFonts w:hint="default" w:ascii="Times New Roman" w:hAnsi="Times New Roman" w:eastAsia="Times New Roman" w:cs="Times New Roman"/>
                <w:sz w:val="24"/>
                <w:szCs w:val="28"/>
              </w:rPr>
              <w:t>浓度：10</w:t>
            </w:r>
            <w:r>
              <w:rPr>
                <w:rFonts w:hint="default" w:ascii="Times New Roman" w:hAnsi="Times New Roman" w:eastAsia="Times New Roman" w:cs="Times New Roman"/>
                <w:sz w:val="24"/>
                <w:szCs w:val="28"/>
                <w:vertAlign w:val="superscript"/>
              </w:rPr>
              <w:t>2</w:t>
            </w:r>
            <w:r>
              <w:rPr>
                <w:rFonts w:hint="default" w:ascii="Times New Roman" w:hAnsi="Times New Roman" w:cs="Times New Roman" w:eastAsiaTheme="minorEastAsia"/>
                <w:sz w:val="24"/>
              </w:rPr>
              <w:t>~</w:t>
            </w:r>
            <w:r>
              <w:rPr>
                <w:rFonts w:hint="default" w:ascii="Times New Roman" w:hAnsi="Times New Roman" w:eastAsia="Times New Roman" w:cs="Times New Roman"/>
                <w:sz w:val="24"/>
                <w:szCs w:val="28"/>
              </w:rPr>
              <w:t>10</w:t>
            </w:r>
            <w:r>
              <w:rPr>
                <w:rFonts w:hint="default" w:ascii="Times New Roman" w:hAnsi="Times New Roman" w:eastAsia="Times New Roman" w:cs="Times New Roman"/>
                <w:sz w:val="24"/>
                <w:szCs w:val="28"/>
                <w:vertAlign w:val="superscript"/>
              </w:rPr>
              <w:t>7</w:t>
            </w:r>
            <w:r>
              <w:rPr>
                <w:rFonts w:hint="default" w:ascii="Times New Roman" w:hAnsi="Times New Roman" w:eastAsia="Times New Roman" w:cs="Times New Roman"/>
                <w:color w:val="000000"/>
                <w:kern w:val="0"/>
                <w:sz w:val="24"/>
                <w:szCs w:val="22"/>
              </w:rPr>
              <w:t>个/cm</w:t>
            </w:r>
            <w:r>
              <w:rPr>
                <w:rFonts w:hint="default" w:ascii="Times New Roman" w:hAnsi="Times New Roman" w:eastAsia="Times New Roman" w:cs="Times New Roman"/>
                <w:color w:val="000000"/>
                <w:kern w:val="0"/>
                <w:sz w:val="24"/>
                <w:szCs w:val="22"/>
                <w:vertAlign w:val="superscript"/>
              </w:rPr>
              <w:t>3</w:t>
            </w:r>
          </w:p>
          <w:p w14:paraId="54477053">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压缩空气接口：4 bar~6bar绝对值，1.5 m³/h</w:t>
            </w:r>
          </w:p>
        </w:tc>
        <w:tc>
          <w:tcPr>
            <w:tcW w:w="2117" w:type="dxa"/>
          </w:tcPr>
          <w:p w14:paraId="53AD0CCC">
            <w:pPr>
              <w:spacing w:before="156" w:beforeLines="50" w:line="360" w:lineRule="auto"/>
              <w:jc w:val="left"/>
              <w:rPr>
                <w:rFonts w:ascii="宋体" w:hAnsi="宋体" w:eastAsia="Times New Roman" w:cs="宋体"/>
                <w:sz w:val="28"/>
                <w:szCs w:val="28"/>
              </w:rPr>
            </w:pPr>
          </w:p>
        </w:tc>
      </w:tr>
      <w:tr w14:paraId="592438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21" w:type="dxa"/>
            <w:vMerge w:val="continue"/>
          </w:tcPr>
          <w:p w14:paraId="56C12DDC">
            <w:pPr>
              <w:spacing w:before="156" w:beforeLines="50" w:line="360" w:lineRule="auto"/>
              <w:jc w:val="left"/>
              <w:rPr>
                <w:rFonts w:ascii="宋体" w:hAnsi="宋体" w:eastAsia="Times New Roman" w:cs="宋体"/>
                <w:sz w:val="24"/>
                <w:szCs w:val="28"/>
              </w:rPr>
            </w:pPr>
          </w:p>
        </w:tc>
        <w:tc>
          <w:tcPr>
            <w:tcW w:w="2399" w:type="dxa"/>
          </w:tcPr>
          <w:p w14:paraId="4C093074">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放射源</w:t>
            </w:r>
          </w:p>
        </w:tc>
        <w:tc>
          <w:tcPr>
            <w:tcW w:w="2685" w:type="dxa"/>
          </w:tcPr>
          <w:p w14:paraId="1794C2B0">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i/>
                <w:iCs/>
                <w:color w:val="000000" w:themeColor="text1"/>
                <w:kern w:val="0"/>
                <w:sz w:val="24"/>
                <w:szCs w:val="22"/>
                <w14:textFill>
                  <w14:solidFill>
                    <w14:schemeClr w14:val="tx1"/>
                  </w14:solidFill>
                </w14:textFill>
              </w:rPr>
              <w:t>U</w:t>
            </w:r>
            <w:r>
              <w:rPr>
                <w:rFonts w:hint="default" w:ascii="Times New Roman" w:hAnsi="Times New Roman" w:eastAsia="Times New Roman" w:cs="Times New Roman"/>
                <w:color w:val="000000" w:themeColor="text1"/>
                <w:kern w:val="0"/>
                <w:sz w:val="24"/>
                <w:szCs w:val="22"/>
                <w:vertAlign w:val="subscript"/>
                <w14:textFill>
                  <w14:solidFill>
                    <w14:schemeClr w14:val="tx1"/>
                  </w14:solidFill>
                </w14:textFill>
              </w:rPr>
              <w:t>r</w:t>
            </w:r>
            <w:r>
              <w:rPr>
                <w:rFonts w:hint="default" w:ascii="Times New Roman" w:hAnsi="Times New Roman" w:eastAsia="Times New Roman" w:cs="Times New Roman"/>
                <w:color w:val="000000" w:themeColor="text1"/>
                <w:kern w:val="0"/>
                <w:sz w:val="24"/>
                <w:szCs w:val="22"/>
                <w14:textFill>
                  <w14:solidFill>
                    <w14:schemeClr w14:val="tx1"/>
                  </w14:solidFill>
                </w14:textFill>
              </w:rPr>
              <w:t>≤10%（</w:t>
            </w:r>
            <w:r>
              <w:rPr>
                <w:rFonts w:hint="default" w:ascii="Times New Roman" w:hAnsi="Times New Roman" w:eastAsia="Times New Roman" w:cs="Times New Roman"/>
                <w:i/>
                <w:iCs/>
                <w:color w:val="000000" w:themeColor="text1"/>
                <w:kern w:val="0"/>
                <w:sz w:val="24"/>
                <w:szCs w:val="22"/>
                <w14:textFill>
                  <w14:solidFill>
                    <w14:schemeClr w14:val="tx1"/>
                  </w14:solidFill>
                </w14:textFill>
              </w:rPr>
              <w:t>k</w:t>
            </w:r>
            <w:r>
              <w:rPr>
                <w:rFonts w:hint="default" w:ascii="Times New Roman" w:hAnsi="Times New Roman" w:eastAsia="Times New Roman" w:cs="Times New Roman"/>
                <w:color w:val="000000" w:themeColor="text1"/>
                <w:kern w:val="0"/>
                <w:sz w:val="24"/>
                <w:szCs w:val="22"/>
                <w14:textFill>
                  <w14:solidFill>
                    <w14:schemeClr w14:val="tx1"/>
                  </w14:solidFill>
                </w14:textFill>
              </w:rPr>
              <w:t>=2）</w:t>
            </w:r>
            <w:r>
              <w:rPr>
                <w:rFonts w:hint="default" w:ascii="Times New Roman" w:hAnsi="Times New Roman" w:cs="Times New Roman" w:eastAsiaTheme="minorEastAsia"/>
                <w:color w:val="000000" w:themeColor="text1"/>
                <w:kern w:val="0"/>
                <w:sz w:val="24"/>
                <w:szCs w:val="22"/>
                <w14:textFill>
                  <w14:solidFill>
                    <w14:schemeClr w14:val="tx1"/>
                  </w14:solidFill>
                </w14:textFill>
              </w:rPr>
              <w:t>；</w:t>
            </w:r>
            <w:r>
              <w:rPr>
                <w:rFonts w:hint="default" w:ascii="Times New Roman" w:hAnsi="Times New Roman" w:eastAsia="宋体" w:cs="Times New Roman"/>
                <w:spacing w:val="-3"/>
                <w:sz w:val="24"/>
                <w:szCs w:val="24"/>
              </w:rPr>
              <w:t>α源活度范围：</w:t>
            </w:r>
            <w:r>
              <w:rPr>
                <w:rFonts w:hint="default" w:ascii="Times New Roman" w:hAnsi="Times New Roman" w:eastAsia="宋体" w:cs="Times New Roman"/>
                <w:spacing w:val="-1"/>
                <w:sz w:val="24"/>
                <w:szCs w:val="24"/>
              </w:rPr>
              <w:t>（</w:t>
            </w:r>
            <w:r>
              <w:rPr>
                <w:rFonts w:hint="default" w:ascii="Times New Roman" w:hAnsi="Times New Roman" w:eastAsia="Times New Roman" w:cs="Times New Roman"/>
                <w:spacing w:val="-1"/>
                <w:sz w:val="24"/>
                <w:szCs w:val="24"/>
              </w:rPr>
              <w:t>1×10</w:t>
            </w:r>
            <w:r>
              <w:rPr>
                <w:rFonts w:hint="default" w:ascii="Times New Roman" w:hAnsi="Times New Roman" w:cs="Times New Roman"/>
                <w:spacing w:val="-1"/>
                <w:sz w:val="24"/>
                <w:szCs w:val="24"/>
                <w:vertAlign w:val="superscript"/>
                <w:lang w:val="en-US" w:eastAsia="zh-CN"/>
              </w:rPr>
              <w:t>-2</w:t>
            </w:r>
            <w:r>
              <w:rPr>
                <w:rFonts w:hint="default" w:ascii="Times New Roman" w:hAnsi="Times New Roman" w:eastAsia="Times New Roman" w:cs="Times New Roman"/>
                <w:spacing w:val="-1"/>
                <w:sz w:val="24"/>
                <w:szCs w:val="24"/>
              </w:rPr>
              <w:t>~1×10</w:t>
            </w:r>
            <w:r>
              <w:rPr>
                <w:rFonts w:hint="default" w:ascii="Times New Roman" w:hAnsi="Times New Roman" w:cs="Times New Roman"/>
                <w:spacing w:val="-1"/>
                <w:sz w:val="24"/>
                <w:szCs w:val="24"/>
                <w:vertAlign w:val="superscript"/>
                <w:lang w:val="en-US" w:eastAsia="zh-CN"/>
              </w:rPr>
              <w:t>4</w:t>
            </w:r>
            <w:r>
              <w:rPr>
                <w:rFonts w:hint="default" w:ascii="Times New Roman" w:hAnsi="Times New Roman" w:eastAsia="宋体" w:cs="Times New Roman"/>
                <w:spacing w:val="-1"/>
                <w:sz w:val="24"/>
                <w:szCs w:val="24"/>
              </w:rPr>
              <w:t>）</w:t>
            </w:r>
            <w:r>
              <w:rPr>
                <w:rFonts w:hint="default" w:ascii="Times New Roman" w:hAnsi="Times New Roman" w:eastAsia="Times New Roman" w:cs="Times New Roman"/>
                <w:spacing w:val="-1"/>
                <w:sz w:val="24"/>
                <w:szCs w:val="24"/>
              </w:rPr>
              <w:t>Bq/m</w:t>
            </w:r>
            <w:r>
              <w:rPr>
                <w:rFonts w:hint="default" w:ascii="Times New Roman" w:hAnsi="Times New Roman" w:cs="Times New Roman"/>
                <w:spacing w:val="-1"/>
                <w:sz w:val="24"/>
                <w:szCs w:val="24"/>
                <w:vertAlign w:val="superscript"/>
                <w:lang w:val="en-US" w:eastAsia="zh-CN"/>
              </w:rPr>
              <w:t>3</w:t>
            </w:r>
            <w:r>
              <w:rPr>
                <w:rFonts w:hint="default" w:ascii="Times New Roman" w:hAnsi="Times New Roman" w:eastAsia="宋体" w:cs="Times New Roman"/>
                <w:spacing w:val="-3"/>
                <w:sz w:val="24"/>
                <w:szCs w:val="24"/>
              </w:rPr>
              <w:t>；β源活度范围：(1</w:t>
            </w:r>
            <w:r>
              <w:rPr>
                <w:rFonts w:hint="default" w:ascii="Times New Roman" w:hAnsi="Times New Roman" w:eastAsia="Times New Roman" w:cs="Times New Roman"/>
                <w:spacing w:val="-1"/>
                <w:sz w:val="24"/>
                <w:szCs w:val="24"/>
              </w:rPr>
              <w:t>~</w:t>
            </w:r>
            <w:r>
              <w:rPr>
                <w:rFonts w:hint="default" w:ascii="Times New Roman" w:hAnsi="Times New Roman" w:eastAsia="宋体" w:cs="Times New Roman"/>
                <w:spacing w:val="-3"/>
                <w:sz w:val="24"/>
                <w:szCs w:val="24"/>
              </w:rPr>
              <w:t>1×10</w:t>
            </w:r>
            <w:r>
              <w:rPr>
                <w:rFonts w:hint="default" w:ascii="Times New Roman" w:hAnsi="Times New Roman" w:eastAsia="MS Gothic" w:cs="Times New Roman"/>
                <w:spacing w:val="-3"/>
                <w:sz w:val="24"/>
                <w:szCs w:val="24"/>
                <w:vertAlign w:val="superscript"/>
              </w:rPr>
              <w:t>6</w:t>
            </w:r>
            <w:r>
              <w:rPr>
                <w:rFonts w:hint="default" w:ascii="Times New Roman" w:hAnsi="Times New Roman" w:eastAsia="宋体" w:cs="Times New Roman"/>
                <w:spacing w:val="-3"/>
                <w:sz w:val="24"/>
                <w:szCs w:val="24"/>
              </w:rPr>
              <w:t>) Bq/m³</w:t>
            </w:r>
          </w:p>
        </w:tc>
        <w:tc>
          <w:tcPr>
            <w:tcW w:w="2117" w:type="dxa"/>
          </w:tcPr>
          <w:p w14:paraId="40FD86AC">
            <w:pPr>
              <w:spacing w:before="156" w:beforeLines="50" w:line="360" w:lineRule="auto"/>
              <w:jc w:val="left"/>
              <w:rPr>
                <w:rFonts w:ascii="宋体" w:hAnsi="宋体" w:eastAsia="Times New Roman" w:cs="宋体"/>
                <w:sz w:val="28"/>
                <w:szCs w:val="28"/>
              </w:rPr>
            </w:pPr>
          </w:p>
        </w:tc>
      </w:tr>
      <w:tr w14:paraId="17AB6E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21" w:type="dxa"/>
            <w:vMerge w:val="continue"/>
          </w:tcPr>
          <w:p w14:paraId="5DA49CF0">
            <w:pPr>
              <w:spacing w:before="156" w:beforeLines="50" w:line="360" w:lineRule="auto"/>
              <w:jc w:val="left"/>
              <w:rPr>
                <w:rFonts w:ascii="宋体" w:hAnsi="宋体" w:eastAsia="Times New Roman" w:cs="宋体"/>
                <w:sz w:val="24"/>
                <w:szCs w:val="28"/>
              </w:rPr>
            </w:pPr>
          </w:p>
        </w:tc>
        <w:tc>
          <w:tcPr>
            <w:tcW w:w="2399" w:type="dxa"/>
          </w:tcPr>
          <w:p w14:paraId="0F259C6D">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放射性气溶胶测量装置</w:t>
            </w:r>
          </w:p>
        </w:tc>
        <w:tc>
          <w:tcPr>
            <w:tcW w:w="2685" w:type="dxa"/>
          </w:tcPr>
          <w:p w14:paraId="30EEB107">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α探测效率≥30%</w:t>
            </w:r>
          </w:p>
          <w:p w14:paraId="500A328F">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灵敏度≤0.02Bq/m</w:t>
            </w:r>
            <w:r>
              <w:rPr>
                <w:rFonts w:hint="default" w:ascii="Times New Roman" w:hAnsi="Times New Roman" w:eastAsia="Times New Roman" w:cs="Times New Roman"/>
                <w:sz w:val="24"/>
                <w:szCs w:val="28"/>
                <w:vertAlign w:val="superscript"/>
              </w:rPr>
              <w:t>3</w:t>
            </w:r>
          </w:p>
          <w:p w14:paraId="324269B2">
            <w:pPr>
              <w:spacing w:before="156" w:beforeLines="50" w:line="360" w:lineRule="auto"/>
              <w:jc w:val="left"/>
              <w:rPr>
                <w:rFonts w:hint="default" w:ascii="Times New Roman" w:hAnsi="Times New Roman" w:cs="Times New Roman" w:eastAsiaTheme="minorEastAsia"/>
                <w:sz w:val="24"/>
                <w:szCs w:val="28"/>
              </w:rPr>
            </w:pPr>
            <w:r>
              <w:rPr>
                <w:rFonts w:hint="default" w:ascii="Times New Roman" w:hAnsi="Times New Roman" w:eastAsia="Times New Roman" w:cs="Times New Roman"/>
                <w:sz w:val="24"/>
                <w:szCs w:val="28"/>
              </w:rPr>
              <w:t>β探测效率≥5%</w:t>
            </w:r>
          </w:p>
          <w:p w14:paraId="38DDB206">
            <w:pPr>
              <w:spacing w:before="156" w:beforeLines="50" w:line="360" w:lineRule="auto"/>
              <w:jc w:val="left"/>
              <w:rPr>
                <w:rFonts w:hint="default" w:ascii="Times New Roman" w:hAnsi="Times New Roman" w:eastAsia="Times New Roman" w:cs="Times New Roman"/>
                <w:sz w:val="24"/>
                <w:szCs w:val="28"/>
              </w:rPr>
            </w:pPr>
            <w:r>
              <w:rPr>
                <w:rFonts w:hint="default" w:ascii="Times New Roman" w:hAnsi="Times New Roman" w:eastAsia="Times New Roman" w:cs="Times New Roman"/>
                <w:sz w:val="24"/>
                <w:szCs w:val="28"/>
              </w:rPr>
              <w:t>灵敏度≤0.1Bq/m</w:t>
            </w:r>
            <w:r>
              <w:rPr>
                <w:rFonts w:hint="default" w:ascii="Times New Roman" w:hAnsi="Times New Roman" w:eastAsia="Times New Roman" w:cs="Times New Roman"/>
                <w:sz w:val="24"/>
                <w:szCs w:val="28"/>
                <w:vertAlign w:val="superscript"/>
              </w:rPr>
              <w:t>3</w:t>
            </w:r>
          </w:p>
        </w:tc>
        <w:tc>
          <w:tcPr>
            <w:tcW w:w="2117" w:type="dxa"/>
          </w:tcPr>
          <w:p w14:paraId="2C035A49">
            <w:pPr>
              <w:spacing w:before="156" w:beforeLines="50" w:line="360" w:lineRule="auto"/>
              <w:jc w:val="left"/>
              <w:rPr>
                <w:rFonts w:ascii="宋体" w:hAnsi="宋体" w:eastAsia="Times New Roman" w:cs="宋体"/>
                <w:sz w:val="28"/>
                <w:szCs w:val="28"/>
              </w:rPr>
            </w:pPr>
          </w:p>
        </w:tc>
      </w:tr>
      <w:tr w14:paraId="57DFD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21" w:type="dxa"/>
            <w:vMerge w:val="restart"/>
          </w:tcPr>
          <w:p w14:paraId="26C09EC3">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配套设施</w:t>
            </w:r>
          </w:p>
        </w:tc>
        <w:tc>
          <w:tcPr>
            <w:tcW w:w="2399" w:type="dxa"/>
          </w:tcPr>
          <w:p w14:paraId="46976B1E">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稳压电源</w:t>
            </w:r>
          </w:p>
        </w:tc>
        <w:tc>
          <w:tcPr>
            <w:tcW w:w="2685" w:type="dxa"/>
          </w:tcPr>
          <w:p w14:paraId="39F5344B">
            <w:pPr>
              <w:spacing w:before="156" w:beforeLines="50" w:line="360" w:lineRule="auto"/>
              <w:jc w:val="left"/>
              <w:rPr>
                <w:rFonts w:hint="default" w:ascii="Times New Roman" w:hAnsi="Times New Roman" w:eastAsia="Times New Roman" w:cs="Times New Roman"/>
                <w:sz w:val="24"/>
                <w:szCs w:val="28"/>
              </w:rPr>
            </w:pPr>
          </w:p>
        </w:tc>
        <w:tc>
          <w:tcPr>
            <w:tcW w:w="2117" w:type="dxa"/>
          </w:tcPr>
          <w:p w14:paraId="0EE3E549">
            <w:pPr>
              <w:spacing w:before="156" w:beforeLines="50" w:line="360" w:lineRule="auto"/>
              <w:jc w:val="left"/>
              <w:rPr>
                <w:rFonts w:ascii="宋体" w:hAnsi="宋体" w:eastAsia="Times New Roman" w:cs="宋体"/>
                <w:sz w:val="28"/>
                <w:szCs w:val="28"/>
              </w:rPr>
            </w:pPr>
          </w:p>
        </w:tc>
      </w:tr>
      <w:tr w14:paraId="6DF00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1" w:type="dxa"/>
            <w:vMerge w:val="continue"/>
          </w:tcPr>
          <w:p w14:paraId="409390F7">
            <w:pPr>
              <w:spacing w:before="156" w:beforeLines="50" w:line="360" w:lineRule="auto"/>
              <w:jc w:val="left"/>
              <w:rPr>
                <w:rFonts w:ascii="宋体" w:hAnsi="宋体" w:eastAsia="Times New Roman" w:cs="宋体"/>
                <w:sz w:val="24"/>
                <w:szCs w:val="28"/>
              </w:rPr>
            </w:pPr>
          </w:p>
        </w:tc>
        <w:tc>
          <w:tcPr>
            <w:tcW w:w="2217" w:type="dxa"/>
          </w:tcPr>
          <w:p w14:paraId="782D2806">
            <w:pPr>
              <w:spacing w:before="156" w:beforeLines="50" w:line="360" w:lineRule="auto"/>
              <w:jc w:val="left"/>
              <w:rPr>
                <w:rFonts w:ascii="宋体" w:hAnsi="宋体" w:eastAsia="Times New Roman" w:cs="宋体"/>
                <w:sz w:val="24"/>
                <w:szCs w:val="28"/>
              </w:rPr>
            </w:pPr>
            <w:r>
              <w:rPr>
                <w:rFonts w:hint="eastAsia" w:cs="宋体" w:asciiTheme="minorEastAsia" w:hAnsiTheme="minorEastAsia" w:eastAsiaTheme="minorEastAsia"/>
                <w:sz w:val="24"/>
                <w:szCs w:val="28"/>
              </w:rPr>
              <w:t>测试软件</w:t>
            </w:r>
          </w:p>
        </w:tc>
        <w:tc>
          <w:tcPr>
            <w:tcW w:w="2876" w:type="dxa"/>
          </w:tcPr>
          <w:p w14:paraId="77655547">
            <w:pPr>
              <w:spacing w:before="156" w:beforeLines="50" w:line="360" w:lineRule="auto"/>
              <w:jc w:val="left"/>
              <w:rPr>
                <w:rFonts w:hint="default" w:ascii="Times New Roman" w:hAnsi="Times New Roman" w:eastAsia="Times New Roman" w:cs="Times New Roman"/>
                <w:sz w:val="24"/>
                <w:szCs w:val="28"/>
              </w:rPr>
            </w:pPr>
          </w:p>
        </w:tc>
        <w:tc>
          <w:tcPr>
            <w:tcW w:w="1962" w:type="dxa"/>
          </w:tcPr>
          <w:p w14:paraId="0585829A">
            <w:pPr>
              <w:spacing w:before="156" w:beforeLines="50" w:line="360" w:lineRule="auto"/>
              <w:jc w:val="left"/>
              <w:rPr>
                <w:rFonts w:ascii="宋体" w:hAnsi="宋体" w:eastAsia="Times New Roman" w:cs="宋体"/>
                <w:sz w:val="28"/>
                <w:szCs w:val="28"/>
              </w:rPr>
            </w:pPr>
          </w:p>
        </w:tc>
      </w:tr>
      <w:tr w14:paraId="32BCAF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1" w:type="dxa"/>
            <w:vMerge w:val="continue"/>
          </w:tcPr>
          <w:p w14:paraId="1FCEAE62">
            <w:pPr>
              <w:spacing w:before="156" w:beforeLines="50" w:line="360" w:lineRule="auto"/>
              <w:jc w:val="left"/>
              <w:rPr>
                <w:rFonts w:ascii="宋体" w:hAnsi="宋体" w:eastAsia="Times New Roman" w:cs="宋体"/>
                <w:sz w:val="24"/>
                <w:szCs w:val="28"/>
              </w:rPr>
            </w:pPr>
          </w:p>
        </w:tc>
        <w:tc>
          <w:tcPr>
            <w:tcW w:w="2217" w:type="dxa"/>
          </w:tcPr>
          <w:p w14:paraId="5704B8D9">
            <w:pPr>
              <w:spacing w:before="156" w:beforeLines="50" w:line="360" w:lineRule="auto"/>
              <w:jc w:val="left"/>
              <w:rPr>
                <w:rFonts w:hint="eastAsia" w:cs="宋体" w:asciiTheme="minorEastAsia" w:hAnsiTheme="minorEastAsia" w:eastAsiaTheme="minorEastAsia"/>
                <w:sz w:val="24"/>
                <w:szCs w:val="28"/>
              </w:rPr>
            </w:pPr>
            <w:r>
              <w:rPr>
                <w:rFonts w:hint="eastAsia" w:cs="宋体" w:asciiTheme="minorEastAsia" w:hAnsiTheme="minorEastAsia" w:eastAsiaTheme="minorEastAsia"/>
                <w:sz w:val="24"/>
                <w:szCs w:val="28"/>
              </w:rPr>
              <w:t>流量计</w:t>
            </w:r>
          </w:p>
        </w:tc>
        <w:tc>
          <w:tcPr>
            <w:tcW w:w="2876" w:type="dxa"/>
          </w:tcPr>
          <w:p w14:paraId="6B342F1A">
            <w:pPr>
              <w:spacing w:before="156" w:beforeLines="50" w:line="360" w:lineRule="auto"/>
              <w:jc w:val="left"/>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0.5级</w:t>
            </w:r>
          </w:p>
        </w:tc>
        <w:tc>
          <w:tcPr>
            <w:tcW w:w="1962" w:type="dxa"/>
          </w:tcPr>
          <w:p w14:paraId="4BFFE338">
            <w:pPr>
              <w:spacing w:before="156" w:beforeLines="50" w:line="360" w:lineRule="auto"/>
              <w:jc w:val="left"/>
              <w:rPr>
                <w:rFonts w:ascii="宋体" w:hAnsi="宋体" w:eastAsia="Times New Roman" w:cs="宋体"/>
                <w:sz w:val="28"/>
                <w:szCs w:val="28"/>
              </w:rPr>
            </w:pPr>
          </w:p>
        </w:tc>
      </w:tr>
    </w:tbl>
    <w:p w14:paraId="58997022">
      <w:pPr>
        <w:spacing w:line="360" w:lineRule="auto"/>
        <w:jc w:val="left"/>
        <w:rPr>
          <w:rFonts w:hint="default" w:ascii="Times New Roman" w:hAnsi="Times New Roman" w:cs="Times New Roman"/>
          <w:sz w:val="28"/>
          <w:szCs w:val="28"/>
        </w:rPr>
      </w:pP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.检定项目</w:t>
      </w:r>
    </w:p>
    <w:p w14:paraId="116FA005">
      <w:pPr>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根据制定的计量特性要求，选取如下检定项目：详见《放射性气溶胶监测仪校准规范》（征求意见稿）相关条款</w:t>
      </w:r>
    </w:p>
    <w:p w14:paraId="025AA7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eastAsia" w:cs="Times New Roman"/>
          <w:sz w:val="28"/>
          <w:szCs w:val="28"/>
          <w:lang w:val="en-US" w:eastAsia="zh-CN"/>
        </w:rPr>
        <w:t>5</w:t>
      </w:r>
      <w:r>
        <w:rPr>
          <w:rFonts w:hint="default" w:ascii="Times New Roman" w:hAnsi="Times New Roman" w:cs="Times New Roman"/>
          <w:sz w:val="28"/>
          <w:szCs w:val="28"/>
        </w:rPr>
        <w:t>.检定方法</w:t>
      </w:r>
    </w:p>
    <w:p w14:paraId="75F5AF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根据选定的检定项目分别编制对应的检定方法，详见《放射性气溶胶监测仪校准规范》（征求意见稿）相关条款。</w:t>
      </w:r>
    </w:p>
    <w:p w14:paraId="0EECDB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rPr>
        <w:t>.推荐校准周期理由：</w:t>
      </w:r>
    </w:p>
    <w:p w14:paraId="64F9AA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由于暂无放射性气溶胶监测仪检定规程或校准规范，无放射性气溶胶监测仪校准周期体现文献。考虑到放射性气溶胶监测对公众健康和生产安全的必要性，建议暂时对放射性气溶胶监测仪按照强检计量管理器具办法管理，建议校准周期为12个月。</w:t>
      </w:r>
    </w:p>
    <w:p w14:paraId="27BBC9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eastAsia" w:cs="Times New Roman"/>
          <w:sz w:val="28"/>
          <w:szCs w:val="28"/>
          <w:lang w:val="en-US" w:eastAsia="zh-CN"/>
        </w:rPr>
        <w:t>7</w:t>
      </w:r>
      <w:r>
        <w:rPr>
          <w:rFonts w:hint="default" w:ascii="Times New Roman" w:hAnsi="Times New Roman" w:cs="Times New Roman"/>
          <w:sz w:val="28"/>
          <w:szCs w:val="28"/>
        </w:rPr>
        <w:t>.抗干扰性</w:t>
      </w:r>
    </w:p>
    <w:p w14:paraId="178380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 xml:space="preserve">    在干扰环境下的放射性气溶胶的监测是国际上研究的难点问题。因为环境中放射性气溶胶往往是目标放射性气溶胶的10</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-10</w:t>
      </w:r>
      <w:r>
        <w:rPr>
          <w:rFonts w:hint="default" w:ascii="Times New Roman" w:hAnsi="Times New Roman" w:cs="Times New Roman"/>
          <w:sz w:val="28"/>
          <w:szCs w:val="28"/>
          <w:vertAlign w:val="superscript"/>
        </w:rPr>
        <w:t>4</w:t>
      </w:r>
      <w:r>
        <w:rPr>
          <w:rFonts w:hint="default" w:ascii="Times New Roman" w:hAnsi="Times New Roman" w:cs="Times New Roman"/>
          <w:sz w:val="28"/>
          <w:szCs w:val="28"/>
        </w:rPr>
        <w:t>倍，干扰项的存在导致放射性气溶胶监测仪器对在低浓度的目标放射性气溶胶环境下由于扣除不彻底导致误判、在高浓度的放射性气溶胶环境下扣除过多发生导致漏判。因此加入抗干扰性这一计量指标，已满足特定放射性气溶胶监测仪的实际工作需要。</w:t>
      </w:r>
      <w:r>
        <w:rPr>
          <w:rFonts w:hint="default" w:ascii="Times New Roman" w:hAnsi="Times New Roman" w:cs="Times New Roman"/>
          <w:sz w:val="28"/>
          <w:szCs w:val="28"/>
          <w:lang w:val="en-US" w:eastAsia="zh-CN"/>
        </w:rPr>
        <w:t>采用</w:t>
      </w:r>
      <w:r>
        <w:rPr>
          <w:rFonts w:hint="default" w:ascii="Times New Roman" w:hAnsi="Times New Roman" w:cs="Times New Roman"/>
          <w:sz w:val="28"/>
          <w:szCs w:val="28"/>
          <w:vertAlign w:val="superscript"/>
          <w:lang w:val="en-US" w:eastAsia="zh-CN"/>
        </w:rPr>
        <w:t>220</w:t>
      </w:r>
      <w:r>
        <w:rPr>
          <w:rFonts w:hint="default" w:ascii="Times New Roman" w:hAnsi="Times New Roman" w:cs="Times New Roman"/>
          <w:sz w:val="28"/>
          <w:szCs w:val="28"/>
          <w:lang w:val="en-US" w:eastAsia="zh-CN"/>
        </w:rPr>
        <w:t>Rn作为抗干扰性添加物是由于氡是环境中普遍存在的放射性气体，物理性质稳定。</w:t>
      </w:r>
    </w:p>
    <w:p w14:paraId="7ECF98AD">
      <w:pPr>
        <w:tabs>
          <w:tab w:val="left" w:pos="2505"/>
        </w:tabs>
        <w:spacing w:line="36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七、征求意见情况</w:t>
      </w:r>
    </w:p>
    <w:p w14:paraId="7D212100">
      <w:pPr>
        <w:spacing w:line="360" w:lineRule="auto"/>
        <w:ind w:firstLine="540"/>
        <w:rPr>
          <w:rFonts w:hint="default" w:ascii="Times New Roman" w:hAnsi="Times New Roman" w:cs="Times New Roman"/>
          <w:smallCaps/>
          <w:color w:val="000000" w:themeColor="text1"/>
          <w:sz w:val="28"/>
          <w:szCs w:val="21"/>
          <w14:textFill>
            <w14:solidFill>
              <w14:schemeClr w14:val="tx1"/>
            </w14:solidFill>
          </w14:textFill>
        </w:rPr>
      </w:pPr>
      <w:r>
        <w:rPr>
          <w:rFonts w:hint="default" w:ascii="Times New Roman" w:hAnsi="Times New Roman" w:cs="Times New Roman"/>
          <w:smallCaps/>
          <w:color w:val="000000" w:themeColor="text1"/>
          <w:sz w:val="28"/>
          <w:szCs w:val="21"/>
          <w14:textFill>
            <w14:solidFill>
              <w14:schemeClr w14:val="tx1"/>
            </w14:solidFill>
          </w14:textFill>
        </w:rPr>
        <w:t>2025年7月向</w:t>
      </w:r>
      <w:r>
        <w:rPr>
          <w:rFonts w:hint="default" w:ascii="Times New Roman" w:hAnsi="Times New Roman" w:cs="Times New Roman"/>
          <w:smallCaps/>
          <w:color w:val="000000" w:themeColor="text1"/>
          <w:sz w:val="28"/>
          <w:szCs w:val="21"/>
          <w:lang w:val="en-US" w:eastAsia="zh-CN"/>
          <w14:textFill>
            <w14:solidFill>
              <w14:schemeClr w14:val="tx1"/>
            </w14:solidFill>
          </w14:textFill>
        </w:rPr>
        <w:t>16</w:t>
      </w:r>
      <w:r>
        <w:rPr>
          <w:rFonts w:hint="default" w:ascii="Times New Roman" w:hAnsi="Times New Roman" w:cs="Times New Roman"/>
          <w:smallCaps/>
          <w:color w:val="000000" w:themeColor="text1"/>
          <w:sz w:val="28"/>
          <w:szCs w:val="21"/>
          <w14:textFill>
            <w14:solidFill>
              <w14:schemeClr w14:val="tx1"/>
            </w14:solidFill>
          </w14:textFill>
        </w:rPr>
        <w:t>个单位有关专家发出征求意见稿，其中</w:t>
      </w:r>
      <w:r>
        <w:rPr>
          <w:rFonts w:hint="default" w:ascii="Times New Roman" w:hAnsi="Times New Roman" w:cs="Times New Roman"/>
          <w:smallCaps/>
          <w:color w:val="000000" w:themeColor="text1"/>
          <w:sz w:val="28"/>
          <w:szCs w:val="21"/>
          <w:lang w:val="en-US" w:eastAsia="zh-CN"/>
          <w14:textFill>
            <w14:solidFill>
              <w14:schemeClr w14:val="tx1"/>
            </w14:solidFill>
          </w14:textFill>
        </w:rPr>
        <w:t>16</w:t>
      </w:r>
      <w:r>
        <w:rPr>
          <w:rFonts w:hint="default" w:ascii="Times New Roman" w:hAnsi="Times New Roman" w:cs="Times New Roman"/>
          <w:smallCaps/>
          <w:color w:val="000000" w:themeColor="text1"/>
          <w:sz w:val="28"/>
          <w:szCs w:val="21"/>
          <w14:textFill>
            <w14:solidFill>
              <w14:schemeClr w14:val="tx1"/>
            </w14:solidFill>
          </w14:textFill>
        </w:rPr>
        <w:t>个单位给出意见或建议，</w:t>
      </w:r>
      <w:r>
        <w:rPr>
          <w:rFonts w:hint="default" w:ascii="Times New Roman" w:hAnsi="Times New Roman" w:cs="Times New Roman"/>
          <w:smallCaps/>
          <w:color w:val="000000" w:themeColor="text1"/>
          <w:sz w:val="28"/>
          <w:szCs w:val="21"/>
          <w:lang w:val="en-US" w:eastAsia="zh-CN"/>
          <w14:textFill>
            <w14:solidFill>
              <w14:schemeClr w14:val="tx1"/>
            </w14:solidFill>
          </w14:textFill>
        </w:rPr>
        <w:t>0</w:t>
      </w:r>
      <w:r>
        <w:rPr>
          <w:rFonts w:hint="default" w:ascii="Times New Roman" w:hAnsi="Times New Roman" w:cs="Times New Roman"/>
          <w:smallCaps/>
          <w:color w:val="000000" w:themeColor="text1"/>
          <w:sz w:val="28"/>
          <w:szCs w:val="21"/>
          <w14:textFill>
            <w14:solidFill>
              <w14:schemeClr w14:val="tx1"/>
            </w14:solidFill>
          </w14:textFill>
        </w:rPr>
        <w:t>个单位无意见或建议。共收到意见或建议</w:t>
      </w:r>
      <w:r>
        <w:rPr>
          <w:rFonts w:hint="default" w:ascii="Times New Roman" w:hAnsi="Times New Roman" w:cs="Times New Roman"/>
          <w:smallCaps/>
          <w:color w:val="000000" w:themeColor="text1"/>
          <w:sz w:val="28"/>
          <w:szCs w:val="21"/>
          <w:lang w:val="en-US" w:eastAsia="zh-CN"/>
          <w14:textFill>
            <w14:solidFill>
              <w14:schemeClr w14:val="tx1"/>
            </w14:solidFill>
          </w14:textFill>
        </w:rPr>
        <w:t>71</w:t>
      </w:r>
      <w:r>
        <w:rPr>
          <w:rFonts w:hint="default" w:ascii="Times New Roman" w:hAnsi="Times New Roman" w:cs="Times New Roman"/>
          <w:smallCaps/>
          <w:color w:val="000000" w:themeColor="text1"/>
          <w:sz w:val="28"/>
          <w:szCs w:val="21"/>
          <w14:textFill>
            <w14:solidFill>
              <w14:schemeClr w14:val="tx1"/>
            </w14:solidFill>
          </w14:textFill>
        </w:rPr>
        <w:t>条，采纳或部分采纳</w:t>
      </w:r>
      <w:r>
        <w:rPr>
          <w:rFonts w:hint="default" w:ascii="Times New Roman" w:hAnsi="Times New Roman" w:cs="Times New Roman"/>
          <w:smallCaps/>
          <w:color w:val="000000" w:themeColor="text1"/>
          <w:sz w:val="28"/>
          <w:szCs w:val="21"/>
          <w:lang w:val="en-US" w:eastAsia="zh-CN"/>
          <w14:textFill>
            <w14:solidFill>
              <w14:schemeClr w14:val="tx1"/>
            </w14:solidFill>
          </w14:textFill>
        </w:rPr>
        <w:t>59</w:t>
      </w:r>
      <w:r>
        <w:rPr>
          <w:rFonts w:hint="default" w:ascii="Times New Roman" w:hAnsi="Times New Roman" w:cs="Times New Roman"/>
          <w:smallCaps/>
          <w:color w:val="000000" w:themeColor="text1"/>
          <w:sz w:val="28"/>
          <w:szCs w:val="21"/>
          <w14:textFill>
            <w14:solidFill>
              <w14:schemeClr w14:val="tx1"/>
            </w14:solidFill>
          </w14:textFill>
        </w:rPr>
        <w:t>条，不采纳</w:t>
      </w:r>
      <w:r>
        <w:rPr>
          <w:rFonts w:hint="default" w:ascii="Times New Roman" w:hAnsi="Times New Roman" w:cs="Times New Roman"/>
          <w:smallCaps/>
          <w:color w:val="000000" w:themeColor="text1"/>
          <w:sz w:val="28"/>
          <w:szCs w:val="21"/>
          <w:lang w:val="en-US" w:eastAsia="zh-CN"/>
          <w14:textFill>
            <w14:solidFill>
              <w14:schemeClr w14:val="tx1"/>
            </w14:solidFill>
          </w14:textFill>
        </w:rPr>
        <w:t>12</w:t>
      </w:r>
      <w:r>
        <w:rPr>
          <w:rFonts w:hint="default" w:ascii="Times New Roman" w:hAnsi="Times New Roman" w:cs="Times New Roman"/>
          <w:smallCaps/>
          <w:color w:val="000000" w:themeColor="text1"/>
          <w:sz w:val="28"/>
          <w:szCs w:val="21"/>
          <w14:textFill>
            <w14:solidFill>
              <w14:schemeClr w14:val="tx1"/>
            </w14:solidFill>
          </w14:textFill>
        </w:rPr>
        <w:t>条。</w:t>
      </w:r>
    </w:p>
    <w:p w14:paraId="7AFBFC73">
      <w:pPr>
        <w:spacing w:line="360" w:lineRule="auto"/>
        <w:ind w:firstLine="540"/>
        <w:rPr>
          <w:rFonts w:hint="default" w:ascii="Times New Roman" w:hAnsi="Times New Roman" w:cs="Times New Roman"/>
          <w:sz w:val="28"/>
          <w:szCs w:val="21"/>
        </w:rPr>
      </w:pPr>
      <w:r>
        <w:rPr>
          <w:rFonts w:hint="default" w:ascii="Times New Roman" w:hAnsi="Times New Roman" w:cs="Times New Roman"/>
          <w:sz w:val="28"/>
          <w:szCs w:val="21"/>
        </w:rPr>
        <w:t>编写组对合理的意见或建议予以采纳并遵照专家意见进行了认真修改，对不采纳的条款均做出了相应说明。</w:t>
      </w:r>
    </w:p>
    <w:p w14:paraId="3010C6EF">
      <w:pPr>
        <w:spacing w:line="300" w:lineRule="auto"/>
        <w:outlineLvl w:val="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八、验证情况和结果</w:t>
      </w:r>
    </w:p>
    <w:p w14:paraId="0EAC7BBF">
      <w:pPr>
        <w:spacing w:line="360" w:lineRule="auto"/>
        <w:ind w:firstLine="540"/>
        <w:rPr>
          <w:rFonts w:hint="default" w:ascii="Times New Roman" w:hAnsi="Times New Roman" w:cs="Times New Roman"/>
          <w:sz w:val="28"/>
          <w:szCs w:val="28"/>
        </w:rPr>
      </w:pPr>
      <w:r>
        <w:rPr>
          <w:rFonts w:hint="default" w:ascii="Times New Roman" w:hAnsi="Times New Roman" w:cs="Times New Roman"/>
          <w:sz w:val="28"/>
          <w:szCs w:val="28"/>
        </w:rPr>
        <w:t>为验证本《放射性气溶胶监测仪校准规范》中所规定的检定项目以及检定方法的正确性和可行性，起草组随机选择21台放射性气溶胶监测仪</w:t>
      </w:r>
      <w:r>
        <w:rPr>
          <w:rFonts w:hint="default" w:ascii="Times New Roman" w:hAnsi="Times New Roman" w:cs="Times New Roman"/>
          <w:kern w:val="0"/>
          <w:sz w:val="28"/>
          <w:szCs w:val="28"/>
        </w:rPr>
        <w:t>作</w:t>
      </w:r>
      <w:r>
        <w:rPr>
          <w:rFonts w:hint="default" w:ascii="Times New Roman" w:hAnsi="Times New Roman" w:cs="Times New Roman"/>
          <w:sz w:val="28"/>
          <w:szCs w:val="28"/>
        </w:rPr>
        <w:t>为实验对象，验证了全部检定项目，并编制了实验报告。验证实验结果表明：规程规定的检定项目和技术要求合理，检定方法正确、可操作。</w:t>
      </w:r>
    </w:p>
    <w:p w14:paraId="0A13F55A">
      <w:pPr>
        <w:spacing w:line="300" w:lineRule="auto"/>
        <w:outlineLvl w:val="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九、参考资料</w:t>
      </w:r>
    </w:p>
    <w:p w14:paraId="0698E792">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JJF1001-2011 通用计量术语及定义</w:t>
      </w:r>
    </w:p>
    <w:p w14:paraId="2844395B">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JJF 1035-2006 电离辐射计量术语及定义</w:t>
      </w:r>
    </w:p>
    <w:p w14:paraId="6B53947E">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 18871-2002 辐射防护与辐射源安全基本标准</w:t>
      </w:r>
    </w:p>
    <w:p w14:paraId="2E2B0E27">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GB/T 7165. 1-2005 气态排出流放射性活度连续监测设备第一部分一般要求</w:t>
      </w:r>
    </w:p>
    <w:p w14:paraId="7718C8BA">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GB/T 7165.2-2008 气态排出流放射性活度连续监测设备第二部分放射性气溶胶监测仪（包括超铀气溶胶）的特殊要求</w:t>
      </w:r>
    </w:p>
    <w:p w14:paraId="7127844E">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EJ/T 1010-1996</w:t>
      </w:r>
      <w:r>
        <w:rPr>
          <w:rFonts w:hint="eastAsia"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 xml:space="preserve">《α、β放射性气溶胶监测仪校准与氡子体补偿有效性的检验方法》 </w:t>
      </w:r>
    </w:p>
    <w:p w14:paraId="2F40C0C5">
      <w:pPr>
        <w:autoSpaceDE w:val="0"/>
        <w:autoSpaceDN w:val="0"/>
        <w:adjustRightInd w:val="0"/>
        <w:spacing w:line="360" w:lineRule="auto"/>
        <w:ind w:firstLine="560" w:firstLineChars="20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rPr>
        <w:t>JJG（军工）143-2017</w:t>
      </w:r>
      <w:r>
        <w:rPr>
          <w:rFonts w:hint="eastAsia"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放射性气溶胶监测仪</w:t>
      </w:r>
      <w:r>
        <w:rPr>
          <w:rFonts w:hint="eastAsia"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tab/>
      </w:r>
    </w:p>
    <w:p w14:paraId="49276265">
      <w:pPr>
        <w:autoSpaceDE w:val="0"/>
        <w:autoSpaceDN w:val="0"/>
        <w:adjustRightInd w:val="0"/>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本规程调研、制订及征求意见的过程中，得到了相关领导和专家的支持和帮助，在此表示衷心的感谢！</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altName w:val="宋体"/>
    <w:panose1 w:val="020B0609070205080204"/>
    <w:charset w:val="80"/>
    <w:family w:val="modern"/>
    <w:pitch w:val="default"/>
    <w:sig w:usb0="00000000" w:usb1="00000000" w:usb2="08000012" w:usb3="00000000" w:csb0="4002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ACAD">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0209648F">
    <w:pPr>
      <w:pStyle w:val="5"/>
      <w:framePr w:wrap="around" w:vAnchor="text" w:hAnchor="margin" w:xAlign="center" w:y="1"/>
      <w:ind w:right="360"/>
      <w:rPr>
        <w:rStyle w:val="10"/>
      </w:rPr>
    </w:pPr>
  </w:p>
  <w:p w14:paraId="3D63713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54E37">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35766F3E">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2596">
    <w:pPr>
      <w:pStyle w:val="5"/>
      <w:jc w:val="right"/>
    </w:pPr>
    <w:r>
      <w:fldChar w:fldCharType="begin"/>
    </w:r>
    <w:r>
      <w:instrText xml:space="preserve"> PAGE   \* MERGEFORMAT </w:instrText>
    </w:r>
    <w:r>
      <w:fldChar w:fldCharType="separate"/>
    </w:r>
    <w:r>
      <w:rPr>
        <w:lang w:val="zh-CN"/>
      </w:rPr>
      <w:t>9</w:t>
    </w:r>
    <w:r>
      <w:rPr>
        <w:lang w:val="zh-CN"/>
      </w:rPr>
      <w:fldChar w:fldCharType="end"/>
    </w:r>
  </w:p>
  <w:p w14:paraId="6C739BA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1C871"/>
    <w:multiLevelType w:val="singleLevel"/>
    <w:tmpl w:val="EF21C871"/>
    <w:lvl w:ilvl="0" w:tentative="0">
      <w:start w:val="1"/>
      <w:numFmt w:val="decimal"/>
      <w:suff w:val="nothing"/>
      <w:lvlText w:val="%1、"/>
      <w:lvlJc w:val="left"/>
    </w:lvl>
  </w:abstractNum>
  <w:abstractNum w:abstractNumId="1">
    <w:nsid w:val="2D60C8D3"/>
    <w:multiLevelType w:val="singleLevel"/>
    <w:tmpl w:val="2D60C8D3"/>
    <w:lvl w:ilvl="0" w:tentative="0">
      <w:start w:val="2"/>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YWE1NTIyMDExOTIyNDAxNWFiZWNmOTYxZjY2ZTIifQ=="/>
  </w:docVars>
  <w:rsids>
    <w:rsidRoot w:val="00C04C54"/>
    <w:rsid w:val="00000046"/>
    <w:rsid w:val="00001001"/>
    <w:rsid w:val="00007F6D"/>
    <w:rsid w:val="00015032"/>
    <w:rsid w:val="000172E4"/>
    <w:rsid w:val="00026632"/>
    <w:rsid w:val="00026695"/>
    <w:rsid w:val="00032A7F"/>
    <w:rsid w:val="000409B9"/>
    <w:rsid w:val="00041A33"/>
    <w:rsid w:val="0007459B"/>
    <w:rsid w:val="000A76A0"/>
    <w:rsid w:val="000C4935"/>
    <w:rsid w:val="000C6ADA"/>
    <w:rsid w:val="000E128A"/>
    <w:rsid w:val="000E1B05"/>
    <w:rsid w:val="001309BC"/>
    <w:rsid w:val="00137F0A"/>
    <w:rsid w:val="001455E0"/>
    <w:rsid w:val="00152602"/>
    <w:rsid w:val="001549EE"/>
    <w:rsid w:val="00170D22"/>
    <w:rsid w:val="00171ACF"/>
    <w:rsid w:val="00184176"/>
    <w:rsid w:val="00187CB3"/>
    <w:rsid w:val="001E5C5D"/>
    <w:rsid w:val="001E69FE"/>
    <w:rsid w:val="001F7D94"/>
    <w:rsid w:val="002031EB"/>
    <w:rsid w:val="0022012A"/>
    <w:rsid w:val="0022392B"/>
    <w:rsid w:val="00230D3B"/>
    <w:rsid w:val="0024439F"/>
    <w:rsid w:val="002472FB"/>
    <w:rsid w:val="002675BE"/>
    <w:rsid w:val="0027672A"/>
    <w:rsid w:val="00280C76"/>
    <w:rsid w:val="002B59FE"/>
    <w:rsid w:val="002D0980"/>
    <w:rsid w:val="002D5FDF"/>
    <w:rsid w:val="002E60D8"/>
    <w:rsid w:val="00307917"/>
    <w:rsid w:val="00350456"/>
    <w:rsid w:val="003A6978"/>
    <w:rsid w:val="003C61FC"/>
    <w:rsid w:val="003E7D0A"/>
    <w:rsid w:val="003F20ED"/>
    <w:rsid w:val="00402AC6"/>
    <w:rsid w:val="0040493E"/>
    <w:rsid w:val="004218D7"/>
    <w:rsid w:val="0043405C"/>
    <w:rsid w:val="004428D0"/>
    <w:rsid w:val="004437C5"/>
    <w:rsid w:val="00473987"/>
    <w:rsid w:val="00492FC7"/>
    <w:rsid w:val="004A3499"/>
    <w:rsid w:val="004B4B6B"/>
    <w:rsid w:val="004B517D"/>
    <w:rsid w:val="004E1F94"/>
    <w:rsid w:val="004F4478"/>
    <w:rsid w:val="004F5F34"/>
    <w:rsid w:val="004F6610"/>
    <w:rsid w:val="00503FC1"/>
    <w:rsid w:val="00510792"/>
    <w:rsid w:val="00510DC5"/>
    <w:rsid w:val="00515922"/>
    <w:rsid w:val="00534DA4"/>
    <w:rsid w:val="005350B9"/>
    <w:rsid w:val="005478D6"/>
    <w:rsid w:val="00555053"/>
    <w:rsid w:val="00575B9F"/>
    <w:rsid w:val="005C2D5B"/>
    <w:rsid w:val="005C3C5B"/>
    <w:rsid w:val="006140F9"/>
    <w:rsid w:val="00621265"/>
    <w:rsid w:val="0062331A"/>
    <w:rsid w:val="00624DBA"/>
    <w:rsid w:val="006257C9"/>
    <w:rsid w:val="00667D0D"/>
    <w:rsid w:val="006B027B"/>
    <w:rsid w:val="006F68A5"/>
    <w:rsid w:val="00702B4C"/>
    <w:rsid w:val="007057D0"/>
    <w:rsid w:val="0070613E"/>
    <w:rsid w:val="00720191"/>
    <w:rsid w:val="007538E7"/>
    <w:rsid w:val="00773BBD"/>
    <w:rsid w:val="00774453"/>
    <w:rsid w:val="0077645A"/>
    <w:rsid w:val="00777A74"/>
    <w:rsid w:val="00782A88"/>
    <w:rsid w:val="0079736A"/>
    <w:rsid w:val="007A5D19"/>
    <w:rsid w:val="007B0A39"/>
    <w:rsid w:val="007C13D9"/>
    <w:rsid w:val="007C270B"/>
    <w:rsid w:val="007C3359"/>
    <w:rsid w:val="007D2DCD"/>
    <w:rsid w:val="007D4BFB"/>
    <w:rsid w:val="00812124"/>
    <w:rsid w:val="00842871"/>
    <w:rsid w:val="00862E05"/>
    <w:rsid w:val="00875B59"/>
    <w:rsid w:val="00891848"/>
    <w:rsid w:val="00895D6E"/>
    <w:rsid w:val="008A379B"/>
    <w:rsid w:val="008A691C"/>
    <w:rsid w:val="008D3861"/>
    <w:rsid w:val="008E2A6C"/>
    <w:rsid w:val="008E4FBF"/>
    <w:rsid w:val="009034BA"/>
    <w:rsid w:val="0092094E"/>
    <w:rsid w:val="009348E9"/>
    <w:rsid w:val="009450BB"/>
    <w:rsid w:val="00955AB3"/>
    <w:rsid w:val="00984A39"/>
    <w:rsid w:val="009B2496"/>
    <w:rsid w:val="009D11CE"/>
    <w:rsid w:val="009E31B6"/>
    <w:rsid w:val="009F046D"/>
    <w:rsid w:val="00A12568"/>
    <w:rsid w:val="00A129D4"/>
    <w:rsid w:val="00A17BF0"/>
    <w:rsid w:val="00A237AA"/>
    <w:rsid w:val="00A31B80"/>
    <w:rsid w:val="00A5007D"/>
    <w:rsid w:val="00A5216A"/>
    <w:rsid w:val="00A86B22"/>
    <w:rsid w:val="00A87EF2"/>
    <w:rsid w:val="00AB6F60"/>
    <w:rsid w:val="00AC0D1C"/>
    <w:rsid w:val="00AF0E59"/>
    <w:rsid w:val="00AF7192"/>
    <w:rsid w:val="00B04B73"/>
    <w:rsid w:val="00B06A91"/>
    <w:rsid w:val="00B438AB"/>
    <w:rsid w:val="00B824A0"/>
    <w:rsid w:val="00B95FE9"/>
    <w:rsid w:val="00BB2756"/>
    <w:rsid w:val="00BB5E45"/>
    <w:rsid w:val="00BD2942"/>
    <w:rsid w:val="00BE0654"/>
    <w:rsid w:val="00BE7524"/>
    <w:rsid w:val="00C04C54"/>
    <w:rsid w:val="00C11C37"/>
    <w:rsid w:val="00C4020C"/>
    <w:rsid w:val="00C66E33"/>
    <w:rsid w:val="00CB00DB"/>
    <w:rsid w:val="00CC4EAA"/>
    <w:rsid w:val="00CC6847"/>
    <w:rsid w:val="00CF070E"/>
    <w:rsid w:val="00CF6294"/>
    <w:rsid w:val="00CF72E2"/>
    <w:rsid w:val="00D13B3B"/>
    <w:rsid w:val="00D16C89"/>
    <w:rsid w:val="00D1718C"/>
    <w:rsid w:val="00D325AF"/>
    <w:rsid w:val="00D43674"/>
    <w:rsid w:val="00D65A09"/>
    <w:rsid w:val="00D72A7C"/>
    <w:rsid w:val="00D806B2"/>
    <w:rsid w:val="00DB081A"/>
    <w:rsid w:val="00DB0D59"/>
    <w:rsid w:val="00DE1A80"/>
    <w:rsid w:val="00DE40AF"/>
    <w:rsid w:val="00E05170"/>
    <w:rsid w:val="00E16A28"/>
    <w:rsid w:val="00E51E30"/>
    <w:rsid w:val="00E54780"/>
    <w:rsid w:val="00E60BF8"/>
    <w:rsid w:val="00E87338"/>
    <w:rsid w:val="00E928CE"/>
    <w:rsid w:val="00EA6FC1"/>
    <w:rsid w:val="00EC2138"/>
    <w:rsid w:val="00F04F5F"/>
    <w:rsid w:val="00F30ABE"/>
    <w:rsid w:val="00F3219B"/>
    <w:rsid w:val="00F367B6"/>
    <w:rsid w:val="00F52970"/>
    <w:rsid w:val="00F5348E"/>
    <w:rsid w:val="00F642DD"/>
    <w:rsid w:val="00F677D1"/>
    <w:rsid w:val="00F70AD1"/>
    <w:rsid w:val="00F8275A"/>
    <w:rsid w:val="00F91D23"/>
    <w:rsid w:val="00FB3AB6"/>
    <w:rsid w:val="00FB5163"/>
    <w:rsid w:val="00FC34DD"/>
    <w:rsid w:val="00FD3D9B"/>
    <w:rsid w:val="00FD7EE5"/>
    <w:rsid w:val="00FE0CF7"/>
    <w:rsid w:val="00FF1689"/>
    <w:rsid w:val="00FF2CE7"/>
    <w:rsid w:val="013813B7"/>
    <w:rsid w:val="029925B5"/>
    <w:rsid w:val="07E46002"/>
    <w:rsid w:val="093077C4"/>
    <w:rsid w:val="0A1604E4"/>
    <w:rsid w:val="0AE64C25"/>
    <w:rsid w:val="0B52649D"/>
    <w:rsid w:val="0B9E269F"/>
    <w:rsid w:val="0D1110AE"/>
    <w:rsid w:val="0D934307"/>
    <w:rsid w:val="11BC7929"/>
    <w:rsid w:val="12732266"/>
    <w:rsid w:val="16A157BE"/>
    <w:rsid w:val="191E6BCD"/>
    <w:rsid w:val="19EC70B7"/>
    <w:rsid w:val="1C890801"/>
    <w:rsid w:val="1F970019"/>
    <w:rsid w:val="227752FD"/>
    <w:rsid w:val="22D60519"/>
    <w:rsid w:val="24670AD0"/>
    <w:rsid w:val="24D34D10"/>
    <w:rsid w:val="259E5DA8"/>
    <w:rsid w:val="26162421"/>
    <w:rsid w:val="274902E2"/>
    <w:rsid w:val="27A20F57"/>
    <w:rsid w:val="27D03995"/>
    <w:rsid w:val="28C34FFA"/>
    <w:rsid w:val="2BD160FB"/>
    <w:rsid w:val="2DAE0748"/>
    <w:rsid w:val="2E8015E9"/>
    <w:rsid w:val="2EEA3BBF"/>
    <w:rsid w:val="30BF5DE0"/>
    <w:rsid w:val="324E00CB"/>
    <w:rsid w:val="35B4113B"/>
    <w:rsid w:val="391E0E1D"/>
    <w:rsid w:val="39693A3D"/>
    <w:rsid w:val="399B2DF2"/>
    <w:rsid w:val="39BF2A99"/>
    <w:rsid w:val="3A431ED6"/>
    <w:rsid w:val="3A6741AE"/>
    <w:rsid w:val="3FE221FD"/>
    <w:rsid w:val="44A04A17"/>
    <w:rsid w:val="49664E53"/>
    <w:rsid w:val="49C91194"/>
    <w:rsid w:val="4AED41C9"/>
    <w:rsid w:val="4C9170DB"/>
    <w:rsid w:val="4D697710"/>
    <w:rsid w:val="4EA07161"/>
    <w:rsid w:val="53265BB7"/>
    <w:rsid w:val="54370DC9"/>
    <w:rsid w:val="557538B9"/>
    <w:rsid w:val="58BF40F7"/>
    <w:rsid w:val="5BBA55DA"/>
    <w:rsid w:val="5C081D13"/>
    <w:rsid w:val="5C620370"/>
    <w:rsid w:val="5D854A84"/>
    <w:rsid w:val="5E3D6E70"/>
    <w:rsid w:val="65150451"/>
    <w:rsid w:val="667B12A9"/>
    <w:rsid w:val="6689181B"/>
    <w:rsid w:val="680B6443"/>
    <w:rsid w:val="6A6752C5"/>
    <w:rsid w:val="6A8755D3"/>
    <w:rsid w:val="6B865903"/>
    <w:rsid w:val="6C4F71BB"/>
    <w:rsid w:val="6DF9756C"/>
    <w:rsid w:val="6E276AFF"/>
    <w:rsid w:val="6E915F85"/>
    <w:rsid w:val="6EFA06B8"/>
    <w:rsid w:val="707447F9"/>
    <w:rsid w:val="70C215AA"/>
    <w:rsid w:val="71CF5FA5"/>
    <w:rsid w:val="72485187"/>
    <w:rsid w:val="72A83940"/>
    <w:rsid w:val="73E852C3"/>
    <w:rsid w:val="74837354"/>
    <w:rsid w:val="75744461"/>
    <w:rsid w:val="77CE623E"/>
    <w:rsid w:val="7A2E132D"/>
    <w:rsid w:val="7CB3731C"/>
    <w:rsid w:val="7D787683"/>
    <w:rsid w:val="7D7B6E68"/>
    <w:rsid w:val="7DA55AFE"/>
    <w:rsid w:val="7DCB7015"/>
    <w:rsid w:val="7E3E7348"/>
    <w:rsid w:val="7F6A0F42"/>
    <w:rsid w:val="FEFE1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15"/>
    <w:unhideWhenUsed/>
    <w:qFormat/>
    <w:uiPriority w:val="9"/>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unhideWhenUsed/>
    <w:qFormat/>
    <w:uiPriority w:val="99"/>
    <w:rPr>
      <w:sz w:val="24"/>
      <w:szCs w:val="24"/>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qFormat/>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Char"/>
    <w:basedOn w:val="1"/>
    <w:qFormat/>
    <w:uiPriority w:val="0"/>
    <w:pPr>
      <w:widowControl/>
    </w:pPr>
    <w:rPr>
      <w:szCs w:val="24"/>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15">
    <w:name w:val="标题 2 字符"/>
    <w:basedOn w:val="9"/>
    <w:link w:val="3"/>
    <w:qFormat/>
    <w:uiPriority w:val="9"/>
    <w:rPr>
      <w:rFonts w:ascii="Arial" w:hAnsi="Arial" w:eastAsia="黑体"/>
      <w:b/>
      <w:kern w:val="2"/>
      <w:sz w:val="32"/>
    </w:rPr>
  </w:style>
  <w:style w:type="paragraph" w:customStyle="1" w:styleId="16">
    <w:name w:val="正文表标题"/>
    <w:next w:val="14"/>
    <w:qFormat/>
    <w:uiPriority w:val="0"/>
    <w:pPr>
      <w:tabs>
        <w:tab w:val="left" w:pos="420"/>
      </w:tabs>
      <w:spacing w:beforeLines="50" w:line="360" w:lineRule="auto"/>
      <w:jc w:val="center"/>
    </w:pPr>
    <w:rPr>
      <w:rFonts w:ascii="黑体" w:hAnsi="Times New Roman" w:eastAsia="黑体" w:cs="Times New Roman"/>
      <w:sz w:val="21"/>
      <w:lang w:val="en-US" w:eastAsia="zh-CN" w:bidi="ar-SA"/>
    </w:rPr>
  </w:style>
  <w:style w:type="paragraph" w:styleId="17">
    <w:name w:val="List Paragraph"/>
    <w:basedOn w:val="1"/>
    <w:unhideWhenUsed/>
    <w:qFormat/>
    <w:uiPriority w:val="99"/>
    <w:pPr>
      <w:ind w:firstLine="420" w:firstLineChars="200"/>
    </w:pPr>
  </w:style>
  <w:style w:type="character" w:customStyle="1" w:styleId="18">
    <w:name w:val="fontstyle11"/>
    <w:qFormat/>
    <w:uiPriority w:val="0"/>
    <w:rPr>
      <w:rFonts w:hint="default" w:ascii="Times New Roman" w:hAnsi="Times New Roman" w:cs="Times New Roman"/>
      <w:color w:val="000000"/>
      <w:sz w:val="24"/>
      <w:szCs w:val="24"/>
    </w:rPr>
  </w:style>
  <w:style w:type="character" w:customStyle="1" w:styleId="19">
    <w:name w:val="正文文本 字符"/>
    <w:basedOn w:val="9"/>
    <w:link w:val="4"/>
    <w:qFormat/>
    <w:uiPriority w:val="99"/>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2731</Words>
  <Characters>3072</Characters>
  <Lines>22</Lines>
  <Paragraphs>6</Paragraphs>
  <TotalTime>0</TotalTime>
  <ScaleCrop>false</ScaleCrop>
  <LinksUpToDate>false</LinksUpToDate>
  <CharactersWithSpaces>3112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2025-11-10T11:51:00Z</dcterms:created>
  <dc:creator>g.dzdq</dc:creator>
  <cp:lastModifiedBy>kylin</cp:lastModifiedBy>
  <dcterms:modified xsi:type="dcterms:W3CDTF">2025-11-24T16:05:20Z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45A1B674D2A94806A47D4444A8F14E47_13</vt:lpwstr>
  </property>
  <property fmtid="{D5CDD505-2E9C-101B-9397-08002B2CF9AE}" pid="4" name="KSOTemplateDocerSaveRecord">
    <vt:lpwstr>eyJoZGlkIjoiODAwZTliZTMyZGVhZTM1YzAxMTRlOTg2NzIxYTZiNTciLCJ1c2VySWQiOiI0NDk3MTY4MDcifQ==</vt:lpwstr>
  </property>
</Properties>
</file>