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4984F">
      <w:pPr>
        <w:rPr>
          <w:rFonts w:hint="eastAsia" w:asciiTheme="minorEastAsia" w:hAnsiTheme="minorEastAsia"/>
          <w:b/>
          <w:sz w:val="28"/>
          <w:szCs w:val="28"/>
          <w:lang w:val="en-US" w:eastAsia="zh-CN"/>
        </w:rPr>
      </w:pPr>
      <w:r>
        <w:rPr>
          <w:rFonts w:hint="eastAsia" w:asciiTheme="minorEastAsia" w:hAnsiTheme="minorEastAsia"/>
          <w:b/>
          <w:sz w:val="28"/>
          <w:szCs w:val="28"/>
          <w:lang w:eastAsia="zh-CN"/>
        </w:rPr>
        <w:t>附件</w:t>
      </w:r>
      <w:r>
        <w:rPr>
          <w:rFonts w:hint="eastAsia" w:asciiTheme="minorEastAsia" w:hAnsiTheme="minorEastAsia"/>
          <w:b/>
          <w:sz w:val="28"/>
          <w:szCs w:val="28"/>
          <w:lang w:val="en-US" w:eastAsia="zh-CN"/>
        </w:rPr>
        <w:t>2</w:t>
      </w:r>
    </w:p>
    <w:p w14:paraId="523D47B8">
      <w:pPr>
        <w:rPr>
          <w:rFonts w:hint="eastAsia" w:asciiTheme="minorEastAsia" w:hAnsiTheme="minorEastAsia"/>
          <w:b/>
          <w:sz w:val="28"/>
          <w:szCs w:val="28"/>
          <w:lang w:val="en-US" w:eastAsia="zh-CN"/>
        </w:rPr>
      </w:pPr>
    </w:p>
    <w:p w14:paraId="25141DAF">
      <w:pPr>
        <w:rPr>
          <w:rFonts w:hint="default" w:asciiTheme="minorEastAsia" w:hAnsiTheme="minorEastAsia"/>
          <w:b/>
          <w:sz w:val="28"/>
          <w:szCs w:val="28"/>
          <w:lang w:val="en-US" w:eastAsia="zh-CN"/>
        </w:rPr>
      </w:pPr>
    </w:p>
    <w:p w14:paraId="24A7363E">
      <w:pPr>
        <w:spacing w:before="312" w:beforeLines="100" w:after="312" w:afterLines="100"/>
        <w:jc w:val="center"/>
        <w:rPr>
          <w:rFonts w:asciiTheme="minorEastAsia" w:hAnsiTheme="minorEastAsia"/>
          <w:b/>
          <w:sz w:val="44"/>
          <w:szCs w:val="44"/>
        </w:rPr>
      </w:pPr>
      <w:r>
        <w:rPr>
          <w:rFonts w:hint="eastAsia" w:asciiTheme="minorEastAsia" w:hAnsiTheme="minorEastAsia"/>
          <w:b/>
          <w:sz w:val="44"/>
          <w:szCs w:val="44"/>
        </w:rPr>
        <w:t>《水质全自动实验室（高锰酸盐指数、氨氮、总磷、总氮、六价铬、氟化物）校准规范》</w:t>
      </w:r>
    </w:p>
    <w:p w14:paraId="164B924B">
      <w:pPr>
        <w:rPr>
          <w:rFonts w:asciiTheme="minorEastAsia" w:hAnsiTheme="minorEastAsia"/>
          <w:b/>
          <w:sz w:val="72"/>
          <w:szCs w:val="72"/>
        </w:rPr>
      </w:pPr>
    </w:p>
    <w:p w14:paraId="66B28C98">
      <w:pPr>
        <w:rPr>
          <w:rFonts w:asciiTheme="minorEastAsia" w:hAnsiTheme="minorEastAsia"/>
          <w:b/>
          <w:sz w:val="72"/>
          <w:szCs w:val="72"/>
        </w:rPr>
      </w:pPr>
    </w:p>
    <w:p w14:paraId="5694A876">
      <w:pPr>
        <w:jc w:val="center"/>
        <w:rPr>
          <w:rFonts w:asciiTheme="minorEastAsia" w:hAnsiTheme="minorEastAsia"/>
          <w:b/>
          <w:sz w:val="72"/>
          <w:szCs w:val="72"/>
        </w:rPr>
      </w:pPr>
      <w:r>
        <w:rPr>
          <w:rFonts w:hint="eastAsia" w:asciiTheme="minorEastAsia" w:hAnsiTheme="minorEastAsia"/>
          <w:b/>
          <w:sz w:val="72"/>
          <w:szCs w:val="72"/>
        </w:rPr>
        <w:t>编制说明</w:t>
      </w:r>
    </w:p>
    <w:p w14:paraId="0F986744">
      <w:pPr>
        <w:spacing w:before="312" w:beforeLines="100" w:after="312" w:afterLines="100"/>
        <w:jc w:val="center"/>
        <w:rPr>
          <w:rFonts w:asciiTheme="minorEastAsia" w:hAnsiTheme="minorEastAsia"/>
          <w:b/>
          <w:sz w:val="28"/>
          <w:szCs w:val="28"/>
        </w:rPr>
      </w:pPr>
    </w:p>
    <w:p w14:paraId="171BEFAB">
      <w:pPr>
        <w:spacing w:before="312" w:beforeLines="100" w:after="312" w:afterLines="100"/>
        <w:jc w:val="center"/>
        <w:rPr>
          <w:rFonts w:asciiTheme="minorEastAsia" w:hAnsiTheme="minorEastAsia"/>
          <w:b/>
          <w:sz w:val="28"/>
          <w:szCs w:val="28"/>
        </w:rPr>
      </w:pPr>
    </w:p>
    <w:p w14:paraId="7B330CA9">
      <w:pPr>
        <w:spacing w:before="312" w:beforeLines="100" w:after="312" w:afterLines="100"/>
        <w:jc w:val="both"/>
        <w:rPr>
          <w:rFonts w:asciiTheme="minorEastAsia" w:hAnsiTheme="minorEastAsia"/>
          <w:b/>
          <w:sz w:val="28"/>
          <w:szCs w:val="28"/>
        </w:rPr>
      </w:pPr>
    </w:p>
    <w:p w14:paraId="65091F8B">
      <w:pPr>
        <w:spacing w:before="312" w:beforeLines="100" w:after="312" w:afterLines="100"/>
        <w:jc w:val="center"/>
        <w:rPr>
          <w:rFonts w:asciiTheme="minorEastAsia" w:hAnsiTheme="minorEastAsia"/>
          <w:b/>
          <w:sz w:val="28"/>
          <w:szCs w:val="28"/>
        </w:rPr>
      </w:pPr>
    </w:p>
    <w:p w14:paraId="7F9A93DC">
      <w:pPr>
        <w:spacing w:before="312" w:beforeLines="100" w:after="312" w:afterLines="100"/>
        <w:jc w:val="center"/>
        <w:rPr>
          <w:rFonts w:asciiTheme="minorEastAsia" w:hAnsiTheme="minorEastAsia"/>
          <w:b/>
          <w:sz w:val="28"/>
          <w:szCs w:val="28"/>
        </w:rPr>
      </w:pPr>
    </w:p>
    <w:p w14:paraId="5B4BCD84">
      <w:pPr>
        <w:spacing w:before="312" w:beforeLines="100" w:after="312" w:afterLines="100"/>
        <w:jc w:val="both"/>
        <w:rPr>
          <w:rFonts w:asciiTheme="minorEastAsia" w:hAnsiTheme="minorEastAsia"/>
          <w:b/>
          <w:sz w:val="28"/>
          <w:szCs w:val="28"/>
        </w:rPr>
      </w:pPr>
    </w:p>
    <w:p w14:paraId="2A658D14">
      <w:pPr>
        <w:spacing w:before="312" w:beforeLines="100" w:after="312" w:afterLines="100"/>
        <w:jc w:val="center"/>
        <w:rPr>
          <w:rFonts w:asciiTheme="minorEastAsia" w:hAnsiTheme="minorEastAsia"/>
          <w:b/>
          <w:sz w:val="28"/>
          <w:szCs w:val="28"/>
        </w:rPr>
      </w:pPr>
    </w:p>
    <w:p w14:paraId="3E553707">
      <w:pPr>
        <w:spacing w:before="312" w:beforeLines="100" w:after="156" w:afterLines="50"/>
        <w:jc w:val="center"/>
        <w:rPr>
          <w:rFonts w:asciiTheme="minorEastAsia" w:hAnsiTheme="minorEastAsia"/>
          <w:b/>
          <w:sz w:val="28"/>
          <w:szCs w:val="28"/>
        </w:rPr>
      </w:pPr>
      <w:r>
        <w:rPr>
          <w:rFonts w:hint="eastAsia" w:asciiTheme="minorEastAsia" w:hAnsiTheme="minorEastAsia"/>
          <w:b/>
          <w:sz w:val="28"/>
          <w:szCs w:val="28"/>
        </w:rPr>
        <w:t>规范编制组</w:t>
      </w:r>
    </w:p>
    <w:p w14:paraId="1486595B">
      <w:pPr>
        <w:widowControl/>
        <w:jc w:val="center"/>
        <w:rPr>
          <w:rFonts w:asciiTheme="minorEastAsia" w:hAnsiTheme="minorEastAsia"/>
          <w:b/>
          <w:sz w:val="28"/>
          <w:szCs w:val="28"/>
        </w:rPr>
      </w:pPr>
      <w:r>
        <w:rPr>
          <w:rFonts w:hint="eastAsia" w:asciiTheme="minorEastAsia" w:hAnsiTheme="minorEastAsia"/>
          <w:b/>
          <w:sz w:val="28"/>
          <w:szCs w:val="28"/>
        </w:rPr>
        <w:t>202</w:t>
      </w:r>
      <w:r>
        <w:rPr>
          <w:rFonts w:hint="eastAsia" w:asciiTheme="minorEastAsia" w:hAnsiTheme="minorEastAsia"/>
          <w:b/>
          <w:sz w:val="28"/>
          <w:szCs w:val="28"/>
          <w:lang w:val="en-US" w:eastAsia="zh-CN"/>
        </w:rPr>
        <w:t>5</w:t>
      </w:r>
      <w:r>
        <w:rPr>
          <w:rFonts w:hint="eastAsia" w:asciiTheme="minorEastAsia" w:hAnsiTheme="minorEastAsia"/>
          <w:b/>
          <w:sz w:val="28"/>
          <w:szCs w:val="28"/>
        </w:rPr>
        <w:t>年</w:t>
      </w:r>
      <w:r>
        <w:rPr>
          <w:rFonts w:asciiTheme="minorEastAsia" w:hAnsiTheme="minorEastAsia"/>
          <w:b/>
          <w:sz w:val="28"/>
          <w:szCs w:val="28"/>
        </w:rPr>
        <w:t>1</w:t>
      </w:r>
      <w:r>
        <w:rPr>
          <w:rFonts w:hint="eastAsia" w:asciiTheme="minorEastAsia" w:hAnsiTheme="minorEastAsia"/>
          <w:b/>
          <w:sz w:val="28"/>
          <w:szCs w:val="28"/>
          <w:lang w:val="en-US" w:eastAsia="zh-CN"/>
        </w:rPr>
        <w:t>0</w:t>
      </w:r>
      <w:r>
        <w:rPr>
          <w:rFonts w:hint="eastAsia" w:asciiTheme="minorEastAsia" w:hAnsiTheme="minorEastAsia"/>
          <w:b/>
          <w:sz w:val="28"/>
          <w:szCs w:val="28"/>
        </w:rPr>
        <w:t>月</w:t>
      </w:r>
    </w:p>
    <w:p w14:paraId="0350A70A">
      <w:pPr>
        <w:widowControl/>
        <w:jc w:val="left"/>
        <w:rPr>
          <w:rFonts w:asciiTheme="minorEastAsia" w:hAnsiTheme="minorEastAsia"/>
          <w:sz w:val="28"/>
          <w:szCs w:val="28"/>
        </w:rPr>
      </w:pPr>
      <w:r>
        <w:rPr>
          <w:rFonts w:asciiTheme="minorEastAsia" w:hAnsiTheme="minorEastAsia"/>
          <w:sz w:val="28"/>
          <w:szCs w:val="28"/>
        </w:rPr>
        <w:br w:type="page"/>
      </w:r>
    </w:p>
    <w:p w14:paraId="02006CBA">
      <w:pPr>
        <w:widowControl/>
        <w:jc w:val="center"/>
        <w:rPr>
          <w:rFonts w:asciiTheme="minorEastAsia" w:hAnsiTheme="minorEastAsia"/>
          <w:sz w:val="28"/>
          <w:szCs w:val="28"/>
        </w:rPr>
      </w:pPr>
    </w:p>
    <w:p w14:paraId="15082F59">
      <w:pPr>
        <w:pStyle w:val="11"/>
        <w:numPr>
          <w:ilvl w:val="0"/>
          <w:numId w:val="1"/>
        </w:numPr>
        <w:ind w:firstLineChars="0"/>
        <w:rPr>
          <w:rFonts w:asciiTheme="minorEastAsia" w:hAnsiTheme="minorEastAsia"/>
          <w:b/>
          <w:sz w:val="28"/>
          <w:szCs w:val="28"/>
        </w:rPr>
      </w:pPr>
      <w:r>
        <w:rPr>
          <w:rFonts w:hint="eastAsia" w:asciiTheme="minorEastAsia" w:hAnsiTheme="minorEastAsia"/>
          <w:b/>
          <w:sz w:val="28"/>
          <w:szCs w:val="28"/>
        </w:rPr>
        <w:t>任务来源</w:t>
      </w:r>
    </w:p>
    <w:p w14:paraId="243DD5B7">
      <w:pPr>
        <w:pStyle w:val="11"/>
        <w:spacing w:line="500" w:lineRule="exact"/>
        <w:ind w:left="720" w:leftChars="343" w:firstLine="360" w:firstLineChars="150"/>
        <w:rPr>
          <w:rFonts w:asciiTheme="minorEastAsia" w:hAnsiTheme="minorEastAsia"/>
          <w:sz w:val="24"/>
          <w:szCs w:val="24"/>
        </w:rPr>
      </w:pPr>
      <w:r>
        <w:rPr>
          <w:rFonts w:hint="eastAsia" w:asciiTheme="minorEastAsia" w:hAnsiTheme="minorEastAsia"/>
          <w:sz w:val="24"/>
          <w:szCs w:val="24"/>
        </w:rPr>
        <w:t>根据湘市监计量函〔</w:t>
      </w:r>
      <w:r>
        <w:rPr>
          <w:rFonts w:asciiTheme="minorEastAsia" w:hAnsiTheme="minorEastAsia"/>
          <w:sz w:val="24"/>
          <w:szCs w:val="24"/>
        </w:rPr>
        <w:t>202</w:t>
      </w:r>
      <w:r>
        <w:rPr>
          <w:rFonts w:hint="eastAsia" w:asciiTheme="minorEastAsia" w:hAnsiTheme="minorEastAsia"/>
          <w:sz w:val="24"/>
          <w:szCs w:val="24"/>
          <w:lang w:val="en-US" w:eastAsia="zh-CN"/>
        </w:rPr>
        <w:t>5</w:t>
      </w:r>
      <w:r>
        <w:rPr>
          <w:rFonts w:hint="eastAsia" w:asciiTheme="minorEastAsia" w:hAnsiTheme="minorEastAsia"/>
          <w:sz w:val="24"/>
          <w:szCs w:val="24"/>
        </w:rPr>
        <w:t>〕</w:t>
      </w:r>
      <w:r>
        <w:rPr>
          <w:rFonts w:hint="eastAsia" w:asciiTheme="minorEastAsia" w:hAnsiTheme="minorEastAsia"/>
          <w:sz w:val="24"/>
          <w:szCs w:val="24"/>
          <w:lang w:val="en-US" w:eastAsia="zh-CN"/>
        </w:rPr>
        <w:t>22</w:t>
      </w:r>
      <w:r>
        <w:rPr>
          <w:rFonts w:hint="eastAsia" w:asciiTheme="minorEastAsia" w:hAnsiTheme="minorEastAsia"/>
          <w:sz w:val="24"/>
          <w:szCs w:val="24"/>
        </w:rPr>
        <w:t>号文件下达的计量技术法规制（修）定任务的要求，由湖南省计量检测研究院、湖南省药品检验检测研究院</w:t>
      </w:r>
      <w:r>
        <w:rPr>
          <w:rFonts w:hint="eastAsia" w:asciiTheme="minorEastAsia" w:hAnsiTheme="minorEastAsia"/>
          <w:sz w:val="24"/>
          <w:szCs w:val="24"/>
          <w:lang w:val="en-US" w:eastAsia="zh-CN"/>
        </w:rPr>
        <w:t>、力合科技（湖南）股份有限公司</w:t>
      </w:r>
      <w:r>
        <w:rPr>
          <w:rFonts w:hint="eastAsia" w:asciiTheme="minorEastAsia" w:hAnsiTheme="minorEastAsia"/>
          <w:sz w:val="24"/>
          <w:szCs w:val="24"/>
        </w:rPr>
        <w:t>为主要起草单位，负责《水质全自动实验室（高锰酸盐指数、氨氮、总磷、总氮、六价铬、氟化物）校准规范》的制定工作，该项工作于202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lang w:val="en-US" w:eastAsia="zh-CN"/>
        </w:rPr>
        <w:t>2</w:t>
      </w:r>
      <w:r>
        <w:rPr>
          <w:rFonts w:hint="eastAsia" w:asciiTheme="minorEastAsia" w:hAnsiTheme="minorEastAsia"/>
          <w:sz w:val="24"/>
          <w:szCs w:val="24"/>
        </w:rPr>
        <w:t>月开始，202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asciiTheme="minorEastAsia" w:hAnsiTheme="minorEastAsia"/>
          <w:sz w:val="24"/>
          <w:szCs w:val="24"/>
        </w:rPr>
        <w:t>1</w:t>
      </w:r>
      <w:r>
        <w:rPr>
          <w:rFonts w:hint="eastAsia" w:asciiTheme="minorEastAsia" w:hAnsiTheme="minorEastAsia"/>
          <w:sz w:val="24"/>
          <w:szCs w:val="24"/>
          <w:lang w:val="en-US" w:eastAsia="zh-CN"/>
        </w:rPr>
        <w:t>0</w:t>
      </w:r>
      <w:r>
        <w:rPr>
          <w:rFonts w:hint="eastAsia" w:asciiTheme="minorEastAsia" w:hAnsiTheme="minorEastAsia"/>
          <w:sz w:val="24"/>
          <w:szCs w:val="24"/>
        </w:rPr>
        <w:t>月完成。</w:t>
      </w:r>
    </w:p>
    <w:p w14:paraId="47341813">
      <w:pPr>
        <w:pStyle w:val="11"/>
        <w:numPr>
          <w:ilvl w:val="0"/>
          <w:numId w:val="1"/>
        </w:numPr>
        <w:spacing w:before="312" w:beforeLines="100"/>
        <w:ind w:firstLineChars="0"/>
        <w:rPr>
          <w:rFonts w:asciiTheme="minorEastAsia" w:hAnsiTheme="minorEastAsia"/>
          <w:b/>
          <w:sz w:val="28"/>
          <w:szCs w:val="28"/>
        </w:rPr>
      </w:pPr>
      <w:r>
        <w:rPr>
          <w:rFonts w:hint="eastAsia" w:asciiTheme="minorEastAsia" w:hAnsiTheme="minorEastAsia"/>
          <w:b/>
          <w:sz w:val="28"/>
          <w:szCs w:val="28"/>
        </w:rPr>
        <w:t>编制规范的目的和意义</w:t>
      </w:r>
    </w:p>
    <w:p w14:paraId="10B6C600">
      <w:pPr>
        <w:keepNext w:val="0"/>
        <w:keepLines w:val="0"/>
        <w:pageBreakBefore w:val="0"/>
        <w:widowControl/>
        <w:kinsoku/>
        <w:wordWrap/>
        <w:overflowPunct/>
        <w:topLinePunct w:val="0"/>
        <w:autoSpaceDE/>
        <w:autoSpaceDN/>
        <w:bidi w:val="0"/>
        <w:adjustRightInd/>
        <w:snapToGrid/>
        <w:spacing w:beforeAutospacing="0" w:afterAutospacing="0" w:line="500" w:lineRule="exact"/>
        <w:ind w:left="703" w:leftChars="335" w:firstLine="480" w:firstLineChars="200"/>
        <w:textAlignment w:val="auto"/>
        <w:rPr>
          <w:rFonts w:hint="eastAsia" w:ascii="宋体" w:cs="宋体"/>
          <w:kern w:val="0"/>
          <w:sz w:val="24"/>
        </w:rPr>
      </w:pPr>
      <w:r>
        <w:rPr>
          <w:rFonts w:hint="eastAsia" w:ascii="宋体" w:cs="宋体"/>
          <w:kern w:val="0"/>
          <w:sz w:val="24"/>
        </w:rPr>
        <w:t>近年来，为适应新时期环保工作对环境监测提出的新要求，加快建立先进的现代化生态环境监测体系，全面提升环境监测能力和智能化水平，切实服务于经济建设和社会发展，更好地服务于民生，国家生态环境部发布了《生态环境监测规划纲要（2020-2035年）》、《“十四五”生态环境监测规划》、《关于加快建立现代化生态环境监测体系的实施意见》、《关于推进生态环境监测体系与监测能力现代化的若干意见》等文件，着重系统提升生态环境监测现代化能力，推进人工智能、物联网等新技术在监测领域的应用，加大集成化、自动化、智能化监测装备研发与推广力度，加强遥感遥测、全自动实验室等设备技术验证和推广。</w:t>
      </w:r>
    </w:p>
    <w:p w14:paraId="2C10A1A8">
      <w:pPr>
        <w:keepNext w:val="0"/>
        <w:keepLines w:val="0"/>
        <w:pageBreakBefore w:val="0"/>
        <w:widowControl/>
        <w:kinsoku/>
        <w:wordWrap/>
        <w:overflowPunct/>
        <w:topLinePunct w:val="0"/>
        <w:autoSpaceDE/>
        <w:autoSpaceDN/>
        <w:bidi w:val="0"/>
        <w:adjustRightInd/>
        <w:snapToGrid/>
        <w:spacing w:beforeAutospacing="0" w:afterAutospacing="0" w:line="500" w:lineRule="exact"/>
        <w:ind w:left="703" w:leftChars="335" w:firstLine="480" w:firstLineChars="200"/>
        <w:textAlignment w:val="auto"/>
        <w:rPr>
          <w:rFonts w:hint="eastAsia" w:ascii="宋体" w:cs="宋体"/>
          <w:kern w:val="0"/>
          <w:sz w:val="24"/>
        </w:rPr>
      </w:pPr>
      <w:r>
        <w:rPr>
          <w:rFonts w:hint="eastAsia" w:ascii="宋体" w:cs="宋体"/>
          <w:kern w:val="0"/>
          <w:sz w:val="24"/>
        </w:rPr>
        <w:t>随着科技的不断进步，自动化实验室已经成为现代科学研究与应用的重要组成部分。自动化实验室通过利用各种自动检测仪器、设备和计算机等手段，实现了实验操作的自动化，显著提高了工作效率和数据的准确性。全自动实验室在医学检验、基因检测、环境监测等多个领域得到了广泛应用，市场需求持续增长，推动了行业的快速发展。全自动实验室是一种可以极大程度提高现代实验室工作效率、减少流程、提升准确性的有效解决方案。十多年前，全自动实验室的概念被首次提出。在环境监测领域，水质全自动实验室起步较晚，但其大通量、自动化的分析技术不仅减少了人为误差在检测过程中的引入，同时还解放了分析人员、提高了效率、提升了质量，对监测行业的未来发展具有重要意义。目前，浙江、江苏、北京、湖南等地都有多参数水质全自动实验室的建设。水质全自动实验室由全自动分液工作站、全自动流转工作站、全自动水质分析仪器系统等组成。全自动水质分析仪器系统一般配置高锰酸盐指数、氨氮、总磷、总氮、六价铬、氟化物等全自动水质分析仪。高锰酸盐指数采用氧化滴定法原理分析，总磷、总氮采用消解分光原理分析，氨氮、六价铬采用分光原理分析，氟化物采用电极法分析。目前国内已经制定的水质分析仪相关计量技术规范有：</w:t>
      </w:r>
    </w:p>
    <w:p w14:paraId="5A4C1D02">
      <w:pPr>
        <w:keepNext w:val="0"/>
        <w:keepLines w:val="0"/>
        <w:pageBreakBefore w:val="0"/>
        <w:widowControl/>
        <w:kinsoku/>
        <w:wordWrap/>
        <w:overflowPunct/>
        <w:topLinePunct w:val="0"/>
        <w:autoSpaceDE/>
        <w:autoSpaceDN/>
        <w:bidi w:val="0"/>
        <w:adjustRightInd/>
        <w:snapToGrid/>
        <w:spacing w:beforeAutospacing="0" w:afterAutospacing="0" w:line="500" w:lineRule="exact"/>
        <w:ind w:left="703" w:leftChars="335" w:firstLine="480" w:firstLineChars="200"/>
        <w:textAlignment w:val="auto"/>
        <w:rPr>
          <w:rFonts w:hint="eastAsia" w:ascii="宋体" w:cs="宋体"/>
          <w:kern w:val="0"/>
          <w:sz w:val="24"/>
        </w:rPr>
      </w:pPr>
      <w:r>
        <w:rPr>
          <w:rFonts w:hint="eastAsia" w:ascii="宋体" w:cs="宋体"/>
          <w:kern w:val="0"/>
          <w:sz w:val="24"/>
        </w:rPr>
        <w:t>1）《JJF 1875-2020高锰酸盐指数在线自动监测仪校准规范》，适用于高锰酸盐指数在线自动监测仪（氧化还原滴定法或光电比色法）的校准；2）《JJG 631-2013 氨氮自动监测仪检定规程》，适用于基于电极法和光度法的在线氨氮自动监测仪的首次检定、后续检定和使用中检查；3）《JJG 1094-2013总磷总氮在线分析仪》，适用于总磷总氮水质在线分析仪的首次检定、后续检定和使用中检查；</w:t>
      </w:r>
    </w:p>
    <w:p w14:paraId="51C42408">
      <w:pPr>
        <w:keepNext w:val="0"/>
        <w:keepLines w:val="0"/>
        <w:pageBreakBefore w:val="0"/>
        <w:widowControl/>
        <w:kinsoku/>
        <w:wordWrap/>
        <w:overflowPunct/>
        <w:topLinePunct w:val="0"/>
        <w:autoSpaceDE/>
        <w:autoSpaceDN/>
        <w:bidi w:val="0"/>
        <w:adjustRightInd/>
        <w:snapToGrid/>
        <w:spacing w:beforeAutospacing="0" w:afterAutospacing="0" w:line="500" w:lineRule="exact"/>
        <w:ind w:left="703" w:leftChars="335" w:firstLine="480" w:firstLineChars="200"/>
        <w:textAlignment w:val="auto"/>
        <w:rPr>
          <w:rFonts w:ascii="宋体" w:cs="宋体"/>
          <w:kern w:val="0"/>
          <w:sz w:val="24"/>
        </w:rPr>
      </w:pPr>
      <w:r>
        <w:rPr>
          <w:rFonts w:hint="eastAsia" w:ascii="宋体" w:cs="宋体"/>
          <w:kern w:val="0"/>
          <w:sz w:val="24"/>
        </w:rPr>
        <w:t>但针对整个水质全自动实验室（高锰酸盐指数、氨氮、总磷、总氮、六价铬、氟化物等）的溯源一直处于空缺状态，对于进样针定位准确性（进样部分）、定位准确性（传输部分）、温度示值误差和消解时间误差（消解部分）、波长准确性（分光法原理）、吸光度示值误差（分光法原理）、滴定体积误差（滴定法原理）、抗干扰性的考核等关键因素，以上已有的计量技术规范均未提及，因此均不适用于水质全自动实验室。为了保证该计量器具的准确可靠，尽早尽快地规范我国的水质全自动实验室使用情况，急需针对水质全自动实验室有专门的校准规范，以确保其量值溯源准确可靠以及检测结果准确性，从而规范水质全自动实验室系统的使用，使其尽早应用于环境监测领域，提升我们的监测能力和水平，填补国内该项标准空白。项目组于2024年9月申请了国家市场监督管理总局科技计划项目《智能水质检测分析仪器量值溯源体系关键技术研究》，水质全自动实验室（高锰酸盐指数、氨氮、总磷、总氮、六价铬、氟化物等）地方计量技术规范是该项目任务之一。。</w:t>
      </w:r>
    </w:p>
    <w:p w14:paraId="51923983">
      <w:pPr>
        <w:pStyle w:val="11"/>
        <w:keepNext w:val="0"/>
        <w:keepLines w:val="0"/>
        <w:pageBreakBefore w:val="0"/>
        <w:widowControl w:val="0"/>
        <w:numPr>
          <w:ilvl w:val="0"/>
          <w:numId w:val="1"/>
        </w:numPr>
        <w:kinsoku/>
        <w:wordWrap/>
        <w:overflowPunct/>
        <w:topLinePunct w:val="0"/>
        <w:autoSpaceDE/>
        <w:autoSpaceDN/>
        <w:bidi w:val="0"/>
        <w:adjustRightInd/>
        <w:snapToGrid/>
        <w:spacing w:before="313" w:beforeLines="100"/>
        <w:ind w:firstLineChars="0"/>
        <w:textAlignment w:val="auto"/>
        <w:rPr>
          <w:rFonts w:asciiTheme="minorEastAsia" w:hAnsiTheme="minorEastAsia"/>
          <w:b/>
          <w:sz w:val="28"/>
          <w:szCs w:val="28"/>
        </w:rPr>
      </w:pPr>
      <w:r>
        <w:rPr>
          <w:rFonts w:hint="eastAsia" w:asciiTheme="minorEastAsia" w:hAnsiTheme="minorEastAsia"/>
          <w:b/>
          <w:sz w:val="28"/>
          <w:szCs w:val="28"/>
        </w:rPr>
        <w:t>规范编制过程</w:t>
      </w:r>
    </w:p>
    <w:p w14:paraId="6AD7DA8C">
      <w:pPr>
        <w:pStyle w:val="11"/>
        <w:spacing w:line="500" w:lineRule="exact"/>
        <w:ind w:left="720" w:leftChars="343" w:firstLine="360" w:firstLineChars="150"/>
        <w:rPr>
          <w:rFonts w:asciiTheme="minorEastAsia" w:hAnsiTheme="minorEastAsia"/>
          <w:b/>
          <w:sz w:val="28"/>
          <w:szCs w:val="28"/>
        </w:rPr>
      </w:pPr>
      <w:r>
        <w:rPr>
          <w:rFonts w:hint="eastAsia"/>
          <w:sz w:val="24"/>
        </w:rPr>
        <w:t>接到任务下达通知后，成立规范起草小组，起草小组成员迅速制定规范编写实施计划，开展文献查阅和相关调研工作，收集国内外相关标准和文献资料，对国内外生产厂家，技术指标等进行充分的调研。202</w:t>
      </w:r>
      <w:r>
        <w:rPr>
          <w:rFonts w:hint="eastAsia"/>
          <w:sz w:val="24"/>
          <w:lang w:val="en-US" w:eastAsia="zh-CN"/>
        </w:rPr>
        <w:t>5</w:t>
      </w:r>
      <w:r>
        <w:rPr>
          <w:rFonts w:hint="eastAsia"/>
          <w:sz w:val="24"/>
        </w:rPr>
        <w:t>年</w:t>
      </w:r>
      <w:r>
        <w:rPr>
          <w:rFonts w:hint="eastAsia"/>
          <w:sz w:val="24"/>
          <w:lang w:val="en-US" w:eastAsia="zh-CN"/>
        </w:rPr>
        <w:t>3</w:t>
      </w:r>
      <w:r>
        <w:rPr>
          <w:rFonts w:hint="eastAsia"/>
          <w:sz w:val="24"/>
        </w:rPr>
        <w:t>月初，形成初步方案并组织开展试验工作，在编写过程中，也征求了生产厂家、用户等专家意见和建议。202</w:t>
      </w:r>
      <w:r>
        <w:rPr>
          <w:rFonts w:hint="eastAsia"/>
          <w:sz w:val="24"/>
          <w:lang w:val="en-US" w:eastAsia="zh-CN"/>
        </w:rPr>
        <w:t>5</w:t>
      </w:r>
      <w:r>
        <w:rPr>
          <w:rFonts w:hint="eastAsia"/>
          <w:sz w:val="24"/>
        </w:rPr>
        <w:t>年</w:t>
      </w:r>
      <w:r>
        <w:rPr>
          <w:rFonts w:hint="eastAsia"/>
          <w:sz w:val="24"/>
          <w:lang w:val="en-US" w:eastAsia="zh-CN"/>
        </w:rPr>
        <w:t>4</w:t>
      </w:r>
      <w:r>
        <w:rPr>
          <w:rFonts w:hint="eastAsia"/>
          <w:sz w:val="24"/>
        </w:rPr>
        <w:t>月至</w:t>
      </w:r>
      <w:r>
        <w:rPr>
          <w:sz w:val="24"/>
        </w:rPr>
        <w:t>10</w:t>
      </w:r>
      <w:r>
        <w:rPr>
          <w:rFonts w:hint="eastAsia"/>
          <w:sz w:val="24"/>
        </w:rPr>
        <w:t>月对不同厂家生产的仪器，进行了</w:t>
      </w:r>
      <w:r>
        <w:rPr>
          <w:rFonts w:hint="eastAsia"/>
          <w:sz w:val="24"/>
          <w:lang w:val="en-US" w:eastAsia="zh-CN"/>
        </w:rPr>
        <w:t>温度</w:t>
      </w:r>
      <w:r>
        <w:rPr>
          <w:rFonts w:hint="eastAsia"/>
          <w:sz w:val="24"/>
        </w:rPr>
        <w:t>示值误差、</w:t>
      </w:r>
      <w:r>
        <w:rPr>
          <w:rFonts w:hint="eastAsia"/>
          <w:sz w:val="24"/>
          <w:lang w:val="en-US" w:eastAsia="zh-CN"/>
        </w:rPr>
        <w:t>消解时间示值误差、仪器示值误差、仪器</w:t>
      </w:r>
      <w:r>
        <w:rPr>
          <w:rFonts w:hint="eastAsia"/>
          <w:sz w:val="24"/>
        </w:rPr>
        <w:t>示值重复性、</w:t>
      </w:r>
      <w:r>
        <w:rPr>
          <w:rFonts w:hint="eastAsia"/>
          <w:sz w:val="24"/>
          <w:lang w:val="en-US" w:eastAsia="zh-CN"/>
        </w:rPr>
        <w:t>加液管容量误差、记忆效应</w:t>
      </w:r>
      <w:r>
        <w:rPr>
          <w:rFonts w:hint="eastAsia"/>
          <w:sz w:val="24"/>
        </w:rPr>
        <w:t>等技术特性试验，形成征求意见稿。</w:t>
      </w:r>
    </w:p>
    <w:p w14:paraId="4E85DCD4">
      <w:pPr>
        <w:pStyle w:val="11"/>
        <w:numPr>
          <w:ilvl w:val="0"/>
          <w:numId w:val="1"/>
        </w:numPr>
        <w:spacing w:before="312" w:beforeLines="100"/>
        <w:ind w:firstLineChars="0"/>
        <w:rPr>
          <w:rFonts w:asciiTheme="minorEastAsia" w:hAnsiTheme="minorEastAsia"/>
          <w:b/>
          <w:sz w:val="28"/>
          <w:szCs w:val="28"/>
        </w:rPr>
      </w:pPr>
      <w:r>
        <w:rPr>
          <w:rFonts w:hint="eastAsia" w:asciiTheme="minorEastAsia" w:hAnsiTheme="minorEastAsia"/>
          <w:b/>
          <w:sz w:val="28"/>
          <w:szCs w:val="28"/>
        </w:rPr>
        <w:t>社会需求与市场分析</w:t>
      </w:r>
    </w:p>
    <w:p w14:paraId="75EB93C8">
      <w:pPr>
        <w:keepNext w:val="0"/>
        <w:keepLines w:val="0"/>
        <w:pageBreakBefore w:val="0"/>
        <w:widowControl w:val="0"/>
        <w:kinsoku/>
        <w:wordWrap/>
        <w:overflowPunct/>
        <w:topLinePunct w:val="0"/>
        <w:autoSpaceDE/>
        <w:autoSpaceDN/>
        <w:bidi w:val="0"/>
        <w:adjustRightInd/>
        <w:snapToGrid/>
        <w:spacing w:line="500" w:lineRule="exact"/>
        <w:ind w:left="720" w:leftChars="343" w:firstLine="361" w:firstLineChars="150"/>
        <w:textAlignment w:val="auto"/>
        <w:rPr>
          <w:rFonts w:hint="eastAsia" w:ascii="宋体" w:hAnsi="宋体" w:eastAsia="宋体" w:cs="宋体"/>
          <w:sz w:val="24"/>
          <w:szCs w:val="24"/>
          <w:lang w:val="en-US" w:eastAsia="zh-CN"/>
        </w:rPr>
      </w:pPr>
      <w:r>
        <w:rPr>
          <w:rFonts w:hint="eastAsia" w:ascii="宋体" w:cs="宋体"/>
          <w:b/>
          <w:kern w:val="0"/>
          <w:sz w:val="24"/>
        </w:rPr>
        <w:t> </w:t>
      </w:r>
      <w:r>
        <w:rPr>
          <w:rFonts w:hint="eastAsia" w:ascii="宋体" w:hAnsi="宋体" w:eastAsia="宋体" w:cs="宋体"/>
          <w:sz w:val="24"/>
          <w:vertAlign w:val="baseline"/>
        </w:rPr>
        <w:t>目前，国内生产水质全自动实验室（高锰酸盐指数、氨氮、总磷、总氮</w:t>
      </w:r>
      <w:r>
        <w:rPr>
          <w:rFonts w:hint="eastAsia" w:ascii="宋体" w:hAnsi="宋体" w:eastAsia="宋体" w:cs="宋体"/>
          <w:sz w:val="24"/>
          <w:vertAlign w:val="baseline"/>
          <w:lang w:val="en-US" w:eastAsia="zh-CN"/>
        </w:rPr>
        <w:t>、六价铬、氟化物</w:t>
      </w:r>
      <w:r>
        <w:rPr>
          <w:rFonts w:hint="eastAsia" w:ascii="宋体" w:hAnsi="宋体" w:eastAsia="宋体" w:cs="宋体"/>
          <w:sz w:val="24"/>
          <w:vertAlign w:val="baseline"/>
        </w:rPr>
        <w:t>）的企业主要有：力合科技(湖南)股份有限公司</w:t>
      </w:r>
      <w:r>
        <w:rPr>
          <w:rFonts w:hint="eastAsia" w:ascii="宋体" w:hAnsi="宋体" w:eastAsia="宋体" w:cs="宋体"/>
          <w:sz w:val="24"/>
          <w:vertAlign w:val="baseline"/>
          <w:lang w:val="en-US" w:eastAsia="zh-CN"/>
        </w:rPr>
        <w:t>、</w:t>
      </w:r>
      <w:r>
        <w:rPr>
          <w:rFonts w:hint="eastAsia" w:ascii="宋体" w:hAnsi="宋体" w:eastAsia="宋体" w:cs="宋体"/>
          <w:sz w:val="24"/>
          <w:vertAlign w:val="baseline"/>
        </w:rPr>
        <w:t>杭州谱育科技发展有限公司、上海北裕分析仪器股份有限公司等。</w:t>
      </w:r>
      <w:r>
        <w:rPr>
          <w:rFonts w:hint="eastAsia" w:ascii="宋体" w:hAnsi="宋体" w:eastAsia="宋体" w:cs="宋体"/>
          <w:sz w:val="24"/>
          <w:vertAlign w:val="baseline"/>
          <w:lang w:val="en-US" w:eastAsia="zh-CN"/>
        </w:rPr>
        <w:t>其中</w:t>
      </w:r>
      <w:r>
        <w:rPr>
          <w:rFonts w:hint="eastAsia" w:ascii="宋体" w:hAnsi="宋体" w:eastAsia="宋体" w:cs="宋体"/>
          <w:sz w:val="24"/>
          <w:vertAlign w:val="baseline"/>
        </w:rPr>
        <w:t>力合科技(湖南)股份有限公司</w:t>
      </w:r>
      <w:r>
        <w:rPr>
          <w:rFonts w:hint="eastAsia" w:ascii="宋体" w:hAnsi="宋体" w:eastAsia="宋体" w:cs="宋体"/>
          <w:sz w:val="24"/>
          <w:szCs w:val="24"/>
          <w:lang w:val="en-US" w:eastAsia="zh-CN"/>
        </w:rPr>
        <w:t>市场占有率约67%。</w:t>
      </w:r>
    </w:p>
    <w:p w14:paraId="364B529B">
      <w:pPr>
        <w:pStyle w:val="3"/>
        <w:keepNext w:val="0"/>
        <w:keepLines w:val="0"/>
        <w:pageBreakBefore w:val="0"/>
        <w:widowControl w:val="0"/>
        <w:kinsoku/>
        <w:wordWrap/>
        <w:overflowPunct/>
        <w:topLinePunct w:val="0"/>
        <w:autoSpaceDE/>
        <w:autoSpaceDN/>
        <w:bidi w:val="0"/>
        <w:adjustRightInd/>
        <w:snapToGrid/>
        <w:spacing w:after="0" w:line="500" w:lineRule="exact"/>
        <w:ind w:left="720" w:leftChars="343" w:firstLine="360" w:firstLineChars="150"/>
        <w:textAlignment w:val="auto"/>
        <w:rPr>
          <w:rFonts w:hint="eastAsia"/>
          <w:lang w:val="en-US" w:eastAsia="zh-CN"/>
        </w:rPr>
      </w:pPr>
      <w:r>
        <w:rPr>
          <w:rFonts w:hint="eastAsia" w:ascii="宋体" w:hAnsi="宋体" w:eastAsia="宋体" w:cs="宋体"/>
          <w:sz w:val="24"/>
          <w:szCs w:val="24"/>
          <w:vertAlign w:val="baseline"/>
        </w:rPr>
        <w:t>水质全自动实验室（高锰酸盐指数、氨氮、总磷、总氮</w:t>
      </w:r>
      <w:r>
        <w:rPr>
          <w:rFonts w:hint="eastAsia" w:ascii="宋体" w:hAnsi="宋体" w:eastAsia="宋体" w:cs="宋体"/>
          <w:sz w:val="24"/>
          <w:szCs w:val="24"/>
          <w:vertAlign w:val="baseline"/>
          <w:lang w:val="en-US" w:eastAsia="zh-CN"/>
        </w:rPr>
        <w:t>、六价铬、氟化物</w:t>
      </w:r>
      <w:r>
        <w:rPr>
          <w:rFonts w:hint="eastAsia" w:ascii="宋体" w:hAnsi="宋体" w:eastAsia="宋体" w:cs="宋体"/>
          <w:sz w:val="24"/>
          <w:szCs w:val="24"/>
          <w:vertAlign w:val="baseline"/>
        </w:rPr>
        <w:t>）开始逐步广泛应用于环境监测领域，如中国环境监测总站（南京基地）、北京市生态监测中心、北京通州生态环境局、北京市平谷生态环境局、雄安生态环境局、唐山市曹妃甸区农业农村局、沈阳生态环境监测中心、重庆市生态环境监测中心、云南省生态环境监测中心、昆明环科院、安宁市监测站、无锡市新吴生态环境局、长沙市环境监测站</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丽江市监测站、云南省生态环境监测中心、苏州生态环境监测中心</w:t>
      </w:r>
      <w:r>
        <w:rPr>
          <w:rFonts w:hint="eastAsia" w:ascii="宋体" w:hAnsi="宋体" w:eastAsia="宋体" w:cs="宋体"/>
          <w:sz w:val="24"/>
          <w:szCs w:val="24"/>
          <w:vertAlign w:val="baseline"/>
          <w:lang w:val="en-US" w:eastAsia="zh-CN"/>
        </w:rPr>
        <w:t>、杭州市生态环境监测中心、河南省郑州生态环境监测中心、长江委水文汉江局、南京市生态环境监测中心、北京市延庆区生态环境局、苏州工业园区生态环境局、北仑区生态监测站、深圳市生态环境监测中心、四川省生态环境监测总站</w:t>
      </w:r>
      <w:r>
        <w:rPr>
          <w:rFonts w:hint="eastAsia" w:ascii="宋体" w:hAnsi="宋体" w:eastAsia="宋体" w:cs="宋体"/>
          <w:sz w:val="24"/>
          <w:szCs w:val="24"/>
          <w:vertAlign w:val="baseline"/>
        </w:rPr>
        <w:t>等都购置了相应的仪器设备应用于</w:t>
      </w:r>
      <w:r>
        <w:rPr>
          <w:rFonts w:hint="eastAsia" w:ascii="宋体" w:hAnsi="宋体" w:eastAsia="宋体" w:cs="宋体"/>
          <w:sz w:val="24"/>
          <w:szCs w:val="24"/>
          <w:vertAlign w:val="baseline"/>
          <w:lang w:val="en-US" w:eastAsia="zh-CN"/>
        </w:rPr>
        <w:t>水质</w:t>
      </w:r>
      <w:r>
        <w:rPr>
          <w:rFonts w:hint="eastAsia" w:ascii="宋体" w:hAnsi="宋体" w:eastAsia="宋体" w:cs="宋体"/>
          <w:sz w:val="24"/>
          <w:szCs w:val="24"/>
          <w:vertAlign w:val="baseline"/>
        </w:rPr>
        <w:t>常规监测。</w:t>
      </w:r>
    </w:p>
    <w:p w14:paraId="51ABAABA">
      <w:pPr>
        <w:pStyle w:val="11"/>
        <w:keepNext w:val="0"/>
        <w:keepLines w:val="0"/>
        <w:pageBreakBefore w:val="0"/>
        <w:widowControl w:val="0"/>
        <w:numPr>
          <w:ilvl w:val="0"/>
          <w:numId w:val="1"/>
        </w:numPr>
        <w:kinsoku/>
        <w:wordWrap/>
        <w:overflowPunct/>
        <w:topLinePunct w:val="0"/>
        <w:autoSpaceDE/>
        <w:autoSpaceDN/>
        <w:bidi w:val="0"/>
        <w:adjustRightInd/>
        <w:snapToGrid/>
        <w:spacing w:before="312" w:beforeLines="100"/>
        <w:ind w:firstLineChars="0"/>
        <w:textAlignment w:val="auto"/>
        <w:rPr>
          <w:rFonts w:asciiTheme="minorEastAsia" w:hAnsiTheme="minorEastAsia"/>
          <w:b/>
          <w:sz w:val="28"/>
          <w:szCs w:val="28"/>
        </w:rPr>
      </w:pPr>
      <w:r>
        <w:rPr>
          <w:rFonts w:hint="eastAsia" w:asciiTheme="minorEastAsia" w:hAnsiTheme="minorEastAsia"/>
          <w:b/>
          <w:sz w:val="28"/>
          <w:szCs w:val="28"/>
        </w:rPr>
        <w:t>制定依据与原则</w:t>
      </w:r>
    </w:p>
    <w:p w14:paraId="2279BD1A">
      <w:pPr>
        <w:keepNext w:val="0"/>
        <w:keepLines w:val="0"/>
        <w:pageBreakBefore w:val="0"/>
        <w:widowControl w:val="0"/>
        <w:kinsoku/>
        <w:wordWrap/>
        <w:overflowPunct/>
        <w:topLinePunct w:val="0"/>
        <w:autoSpaceDE/>
        <w:autoSpaceDN/>
        <w:bidi w:val="0"/>
        <w:adjustRightInd/>
        <w:snapToGrid/>
        <w:spacing w:line="500" w:lineRule="atLeast"/>
        <w:ind w:left="720" w:leftChars="343" w:firstLine="360" w:firstLineChars="150"/>
        <w:textAlignment w:val="auto"/>
        <w:rPr>
          <w:sz w:val="24"/>
        </w:rPr>
      </w:pPr>
      <w:r>
        <w:rPr>
          <w:rFonts w:hint="eastAsia"/>
          <w:sz w:val="24"/>
        </w:rPr>
        <w:t>本规范制定以国内实际情况为出发点，体现科学性、合理性、实用性。使规范校准项目、技术要求及校准方法与国家、行业标准相符合。</w:t>
      </w:r>
    </w:p>
    <w:p w14:paraId="3E235F02">
      <w:pPr>
        <w:keepNext w:val="0"/>
        <w:keepLines w:val="0"/>
        <w:pageBreakBefore w:val="0"/>
        <w:widowControl w:val="0"/>
        <w:kinsoku/>
        <w:wordWrap/>
        <w:overflowPunct/>
        <w:topLinePunct w:val="0"/>
        <w:autoSpaceDE/>
        <w:autoSpaceDN/>
        <w:bidi w:val="0"/>
        <w:adjustRightInd/>
        <w:snapToGrid/>
        <w:spacing w:line="500" w:lineRule="atLeast"/>
        <w:ind w:left="720" w:leftChars="343" w:firstLine="360" w:firstLineChars="150"/>
        <w:textAlignment w:val="auto"/>
        <w:rPr>
          <w:rFonts w:hint="eastAsia"/>
          <w:sz w:val="24"/>
        </w:rPr>
      </w:pPr>
      <w:r>
        <w:rPr>
          <w:rFonts w:hint="eastAsia"/>
          <w:sz w:val="24"/>
        </w:rPr>
        <w:t>目前，针对水质全自动实验室（高锰酸盐指数、氨氮、总磷、总氮、六价铬、氟化物）尚未出台相关的国际标准、国家标准及建议，所以在制定校准规范时，主要依据行业检测标准，在制定过程中主要技术依据如下：</w:t>
      </w:r>
    </w:p>
    <w:p w14:paraId="52C09C5C">
      <w:pPr>
        <w:pStyle w:val="2"/>
        <w:keepNext w:val="0"/>
        <w:keepLines w:val="0"/>
        <w:pageBreakBefore w:val="0"/>
        <w:widowControl w:val="0"/>
        <w:kinsoku/>
        <w:wordWrap/>
        <w:overflowPunct/>
        <w:topLinePunct w:val="0"/>
        <w:autoSpaceDE/>
        <w:autoSpaceDN/>
        <w:bidi w:val="0"/>
        <w:adjustRightInd/>
        <w:snapToGrid/>
        <w:spacing w:line="500" w:lineRule="atLeast"/>
        <w:ind w:left="720" w:leftChars="343" w:firstLine="360" w:firstLineChars="150"/>
        <w:textAlignment w:val="auto"/>
        <w:rPr>
          <w:rFonts w:hint="default" w:ascii="Times New Roman" w:hAnsi="Times New Roman" w:eastAsia="宋体"/>
          <w:sz w:val="24"/>
          <w:lang w:val="en-US" w:eastAsia="zh-CN"/>
        </w:rPr>
      </w:pPr>
      <w:r>
        <w:rPr>
          <w:rFonts w:hint="eastAsia" w:ascii="Times New Roman" w:hAnsi="Times New Roman"/>
          <w:sz w:val="24"/>
          <w:lang w:val="en-US" w:eastAsia="zh-CN"/>
        </w:rPr>
        <w:t>GB/T 6682 分析实验室用水规格和试验方法</w:t>
      </w:r>
    </w:p>
    <w:p w14:paraId="5B009649">
      <w:pPr>
        <w:pStyle w:val="2"/>
        <w:keepNext w:val="0"/>
        <w:keepLines w:val="0"/>
        <w:pageBreakBefore w:val="0"/>
        <w:widowControl w:val="0"/>
        <w:kinsoku/>
        <w:wordWrap/>
        <w:overflowPunct/>
        <w:topLinePunct w:val="0"/>
        <w:autoSpaceDE/>
        <w:autoSpaceDN/>
        <w:bidi w:val="0"/>
        <w:adjustRightInd/>
        <w:snapToGrid/>
        <w:spacing w:line="500" w:lineRule="atLeast"/>
        <w:ind w:left="720" w:leftChars="343" w:firstLine="360" w:firstLineChars="150"/>
        <w:textAlignment w:val="auto"/>
        <w:rPr>
          <w:rFonts w:hint="default" w:ascii="Times New Roman" w:hAnsi="Times New Roman" w:eastAsia="宋体"/>
          <w:sz w:val="24"/>
          <w:lang w:val="en-US" w:eastAsia="zh-CN"/>
        </w:rPr>
      </w:pPr>
      <w:r>
        <w:rPr>
          <w:rFonts w:ascii="Times New Roman" w:hAnsi="Times New Roman"/>
          <w:sz w:val="24"/>
        </w:rPr>
        <w:t>JJ</w:t>
      </w:r>
      <w:r>
        <w:rPr>
          <w:rFonts w:hint="eastAsia" w:ascii="Times New Roman" w:hAnsi="Times New Roman"/>
          <w:sz w:val="24"/>
          <w:lang w:val="en-US" w:eastAsia="zh-CN"/>
        </w:rPr>
        <w:t>F</w:t>
      </w:r>
      <w:r>
        <w:rPr>
          <w:rFonts w:ascii="Times New Roman" w:hAnsi="Times New Roman"/>
          <w:sz w:val="24"/>
        </w:rPr>
        <w:t xml:space="preserve"> </w:t>
      </w:r>
      <w:r>
        <w:rPr>
          <w:rFonts w:hint="eastAsia" w:ascii="Times New Roman" w:hAnsi="Times New Roman"/>
          <w:sz w:val="24"/>
          <w:lang w:val="en-US" w:eastAsia="zh-CN"/>
        </w:rPr>
        <w:t>1875</w:t>
      </w:r>
      <w:r>
        <w:rPr>
          <w:rFonts w:hint="eastAsia" w:ascii="Times New Roman" w:hAnsi="Times New Roman"/>
          <w:sz w:val="24"/>
        </w:rPr>
        <w:t>-20</w:t>
      </w:r>
      <w:r>
        <w:rPr>
          <w:rFonts w:hint="eastAsia" w:ascii="Times New Roman" w:hAnsi="Times New Roman"/>
          <w:sz w:val="24"/>
          <w:lang w:val="en-US" w:eastAsia="zh-CN"/>
        </w:rPr>
        <w:t>20</w:t>
      </w:r>
      <w:r>
        <w:rPr>
          <w:rFonts w:hint="eastAsia" w:ascii="Times New Roman" w:hAnsi="Times New Roman"/>
          <w:sz w:val="24"/>
        </w:rPr>
        <w:t xml:space="preserve"> </w:t>
      </w:r>
      <w:r>
        <w:rPr>
          <w:rFonts w:hint="eastAsia" w:ascii="Times New Roman" w:hAnsi="Times New Roman"/>
          <w:sz w:val="24"/>
          <w:lang w:val="en-US" w:eastAsia="zh-CN"/>
        </w:rPr>
        <w:t>高锰酸盐指数在线自动监测仪校准规范</w:t>
      </w:r>
    </w:p>
    <w:p w14:paraId="5DAE4DC3">
      <w:pPr>
        <w:pStyle w:val="2"/>
        <w:keepNext w:val="0"/>
        <w:keepLines w:val="0"/>
        <w:pageBreakBefore w:val="0"/>
        <w:widowControl w:val="0"/>
        <w:kinsoku/>
        <w:wordWrap/>
        <w:overflowPunct/>
        <w:topLinePunct w:val="0"/>
        <w:autoSpaceDE/>
        <w:autoSpaceDN/>
        <w:bidi w:val="0"/>
        <w:adjustRightInd/>
        <w:snapToGrid/>
        <w:spacing w:line="500" w:lineRule="atLeast"/>
        <w:ind w:left="720" w:leftChars="343" w:firstLine="360" w:firstLineChars="150"/>
        <w:textAlignment w:val="auto"/>
        <w:rPr>
          <w:rFonts w:hint="eastAsia" w:ascii="Times New Roman" w:hAnsi="Times New Roman"/>
          <w:sz w:val="24"/>
          <w:lang w:val="en-US" w:eastAsia="zh-CN"/>
        </w:rPr>
      </w:pPr>
      <w:r>
        <w:rPr>
          <w:rFonts w:hint="eastAsia" w:ascii="Times New Roman" w:hAnsi="Times New Roman"/>
          <w:sz w:val="24"/>
          <w:lang w:val="en-US" w:eastAsia="zh-CN"/>
        </w:rPr>
        <w:t>JJG 631-2013</w:t>
      </w:r>
      <w:r>
        <w:rPr>
          <w:rFonts w:hint="eastAsia" w:ascii="Times New Roman" w:hAnsi="Times New Roman"/>
          <w:sz w:val="24"/>
        </w:rPr>
        <w:t xml:space="preserve"> </w:t>
      </w:r>
      <w:r>
        <w:rPr>
          <w:rFonts w:hint="eastAsia" w:ascii="Times New Roman" w:hAnsi="Times New Roman"/>
          <w:sz w:val="24"/>
          <w:lang w:val="en-US" w:eastAsia="zh-CN"/>
        </w:rPr>
        <w:t>氨氮自动监测仪检定规程</w:t>
      </w:r>
    </w:p>
    <w:p w14:paraId="2DAFF5EC">
      <w:pPr>
        <w:pStyle w:val="2"/>
        <w:keepNext w:val="0"/>
        <w:keepLines w:val="0"/>
        <w:pageBreakBefore w:val="0"/>
        <w:widowControl w:val="0"/>
        <w:kinsoku/>
        <w:wordWrap/>
        <w:overflowPunct/>
        <w:topLinePunct w:val="0"/>
        <w:autoSpaceDE/>
        <w:autoSpaceDN/>
        <w:bidi w:val="0"/>
        <w:adjustRightInd/>
        <w:snapToGrid/>
        <w:spacing w:line="500" w:lineRule="atLeast"/>
        <w:ind w:left="720" w:leftChars="343" w:firstLine="360" w:firstLineChars="150"/>
        <w:textAlignment w:val="auto"/>
        <w:rPr>
          <w:rFonts w:hint="eastAsia" w:ascii="Times New Roman" w:hAnsi="Times New Roman"/>
          <w:sz w:val="24"/>
          <w:lang w:val="en-US" w:eastAsia="zh-CN"/>
        </w:rPr>
      </w:pPr>
      <w:r>
        <w:rPr>
          <w:rFonts w:hint="eastAsia" w:ascii="Times New Roman" w:hAnsi="Times New Roman"/>
          <w:sz w:val="24"/>
          <w:lang w:val="en-US" w:eastAsia="zh-CN"/>
        </w:rPr>
        <w:t>JJG 1094-2013 总磷总氮水质在线分析仪检定规程</w:t>
      </w:r>
    </w:p>
    <w:p w14:paraId="6C4C64C8">
      <w:pPr>
        <w:pStyle w:val="2"/>
        <w:keepNext w:val="0"/>
        <w:keepLines w:val="0"/>
        <w:pageBreakBefore w:val="0"/>
        <w:widowControl w:val="0"/>
        <w:kinsoku/>
        <w:wordWrap/>
        <w:overflowPunct/>
        <w:topLinePunct w:val="0"/>
        <w:autoSpaceDE/>
        <w:autoSpaceDN/>
        <w:bidi w:val="0"/>
        <w:adjustRightInd/>
        <w:snapToGrid/>
        <w:spacing w:line="500" w:lineRule="atLeast"/>
        <w:ind w:left="720" w:leftChars="343" w:firstLine="360" w:firstLineChars="150"/>
        <w:textAlignment w:val="auto"/>
        <w:rPr>
          <w:rFonts w:hint="eastAsia" w:ascii="Times New Roman" w:hAnsi="Times New Roman"/>
          <w:sz w:val="24"/>
          <w:lang w:val="en-US" w:eastAsia="zh-CN"/>
        </w:rPr>
      </w:pPr>
      <w:r>
        <w:rPr>
          <w:rFonts w:hint="eastAsia" w:ascii="Times New Roman" w:hAnsi="Times New Roman"/>
          <w:sz w:val="24"/>
          <w:lang w:val="en-US" w:eastAsia="zh-CN"/>
        </w:rPr>
        <w:t>JJG（湘）22-2015 六价铬水质自动监测仪检定规程</w:t>
      </w:r>
    </w:p>
    <w:p w14:paraId="45349131">
      <w:pPr>
        <w:pStyle w:val="2"/>
        <w:keepNext w:val="0"/>
        <w:keepLines w:val="0"/>
        <w:pageBreakBefore w:val="0"/>
        <w:widowControl w:val="0"/>
        <w:kinsoku/>
        <w:wordWrap/>
        <w:overflowPunct/>
        <w:topLinePunct w:val="0"/>
        <w:autoSpaceDE/>
        <w:autoSpaceDN/>
        <w:bidi w:val="0"/>
        <w:adjustRightInd/>
        <w:snapToGrid/>
        <w:spacing w:line="500" w:lineRule="atLeast"/>
        <w:ind w:left="720" w:leftChars="343" w:firstLine="360" w:firstLineChars="150"/>
        <w:textAlignment w:val="auto"/>
        <w:rPr>
          <w:rFonts w:hint="default" w:ascii="Times New Roman" w:hAnsi="Times New Roman"/>
          <w:sz w:val="24"/>
          <w:lang w:val="en-US" w:eastAsia="zh-CN"/>
        </w:rPr>
      </w:pPr>
      <w:r>
        <w:rPr>
          <w:rFonts w:hint="eastAsia" w:ascii="Times New Roman" w:hAnsi="Times New Roman"/>
          <w:sz w:val="24"/>
          <w:lang w:val="en-US" w:eastAsia="zh-CN"/>
        </w:rPr>
        <w:t>JJG（湘）33-2018 氟化物水质自动监测仪检定规程</w:t>
      </w:r>
    </w:p>
    <w:p w14:paraId="4FD0D554">
      <w:pPr>
        <w:spacing w:line="440" w:lineRule="exact"/>
        <w:ind w:left="720" w:leftChars="343" w:firstLine="360" w:firstLineChars="150"/>
        <w:rPr>
          <w:rFonts w:hint="eastAsia"/>
          <w:sz w:val="24"/>
        </w:rPr>
      </w:pPr>
    </w:p>
    <w:p w14:paraId="462B3601">
      <w:pPr>
        <w:pStyle w:val="11"/>
        <w:numPr>
          <w:ilvl w:val="0"/>
          <w:numId w:val="1"/>
        </w:numPr>
        <w:ind w:firstLineChars="0"/>
        <w:rPr>
          <w:rFonts w:asciiTheme="minorEastAsia" w:hAnsiTheme="minorEastAsia"/>
          <w:b/>
          <w:sz w:val="28"/>
          <w:szCs w:val="28"/>
        </w:rPr>
      </w:pPr>
      <w:r>
        <w:rPr>
          <w:rFonts w:hint="eastAsia" w:asciiTheme="minorEastAsia" w:hAnsiTheme="minorEastAsia"/>
          <w:b/>
          <w:sz w:val="28"/>
          <w:szCs w:val="28"/>
        </w:rPr>
        <w:t>制定主要内容及技术关键</w:t>
      </w:r>
    </w:p>
    <w:p w14:paraId="2B1E3EC1">
      <w:pPr>
        <w:pStyle w:val="2"/>
        <w:keepNext w:val="0"/>
        <w:keepLines w:val="0"/>
        <w:pageBreakBefore w:val="0"/>
        <w:widowControl w:val="0"/>
        <w:kinsoku/>
        <w:wordWrap/>
        <w:overflowPunct/>
        <w:topLinePunct w:val="0"/>
        <w:autoSpaceDE/>
        <w:autoSpaceDN/>
        <w:bidi w:val="0"/>
        <w:adjustRightInd/>
        <w:snapToGrid w:val="0"/>
        <w:spacing w:line="500" w:lineRule="exact"/>
        <w:ind w:left="720" w:leftChars="343" w:firstLine="360" w:firstLineChars="150"/>
        <w:jc w:val="left"/>
        <w:textAlignment w:val="auto"/>
        <w:rPr>
          <w:rFonts w:hint="eastAsia" w:ascii="宋体" w:hAnsi="宋体" w:eastAsia="宋体" w:cs="宋体"/>
          <w:sz w:val="24"/>
          <w:szCs w:val="24"/>
        </w:rPr>
      </w:pPr>
      <w:r>
        <w:rPr>
          <w:rFonts w:hint="eastAsia" w:ascii="宋体" w:hAnsi="宋体" w:eastAsia="宋体" w:cs="宋体"/>
          <w:sz w:val="24"/>
          <w:szCs w:val="24"/>
        </w:rPr>
        <w:t>规范起草小组考虑水质全自动实验室（高锰酸盐指数、氨氮、总磷、总氮、六价铬、氟化物）产品使用特点、目前国内外的主要厂家制造技术水平等因素，确定了科学合理的技术指标和校准方法。同时考虑计量特性与校准方法与现行的国家和行业标准的协调一致性，通过对</w:t>
      </w:r>
      <w:r>
        <w:rPr>
          <w:rFonts w:hint="eastAsia" w:ascii="宋体" w:hAnsi="宋体" w:eastAsia="宋体" w:cs="宋体"/>
          <w:sz w:val="24"/>
          <w:szCs w:val="24"/>
          <w:lang w:val="en-US" w:eastAsia="zh-CN"/>
        </w:rPr>
        <w:t>力合科技（湖南）股份有限公司</w:t>
      </w:r>
      <w:r>
        <w:rPr>
          <w:rFonts w:hint="eastAsia" w:ascii="宋体" w:hAnsi="宋体" w:eastAsia="宋体" w:cs="宋体"/>
          <w:sz w:val="24"/>
          <w:szCs w:val="24"/>
        </w:rPr>
        <w:t>、杭州谱育科技发展有限公司、上海北裕分析仪器股份有限公司等企业的水质全自动实验室（高锰酸盐指数、氨氮、总磷、总氮、六价铬、氟化物）进行试验和论证，确定计量特性。</w:t>
      </w:r>
    </w:p>
    <w:p w14:paraId="0684F81B">
      <w:pPr>
        <w:keepNext w:val="0"/>
        <w:keepLines w:val="0"/>
        <w:pageBreakBefore w:val="0"/>
        <w:widowControl w:val="0"/>
        <w:kinsoku/>
        <w:wordWrap/>
        <w:overflowPunct/>
        <w:topLinePunct w:val="0"/>
        <w:autoSpaceDE/>
        <w:autoSpaceDN/>
        <w:bidi w:val="0"/>
        <w:adjustRightInd/>
        <w:snapToGrid/>
        <w:spacing w:line="500" w:lineRule="exact"/>
        <w:ind w:left="720" w:leftChars="343" w:firstLine="339" w:firstLineChars="150"/>
        <w:textAlignment w:val="auto"/>
        <w:rPr>
          <w:rFonts w:ascii="宋体" w:hAnsi="宋体" w:eastAsia="宋体" w:cs="宋体"/>
          <w:sz w:val="24"/>
          <w:szCs w:val="24"/>
        </w:rPr>
      </w:pPr>
      <w:r>
        <w:rPr>
          <w:rFonts w:ascii="Times New Roman" w:hAnsi="Times New Roman" w:eastAsia="Times New Roman" w:cs="Times New Roman"/>
          <w:spacing w:val="-7"/>
          <w:position w:val="1"/>
          <w:sz w:val="24"/>
          <w:szCs w:val="24"/>
        </w:rPr>
        <w:t>1</w:t>
      </w:r>
      <w:r>
        <w:rPr>
          <w:rFonts w:ascii="Times New Roman" w:hAnsi="Times New Roman" w:eastAsia="Times New Roman" w:cs="Times New Roman"/>
          <w:spacing w:val="-4"/>
          <w:position w:val="1"/>
          <w:sz w:val="24"/>
          <w:szCs w:val="24"/>
        </w:rPr>
        <w:t xml:space="preserve"> </w:t>
      </w:r>
      <w:r>
        <w:rPr>
          <w:rFonts w:ascii="宋体" w:hAnsi="宋体" w:eastAsia="宋体" w:cs="宋体"/>
          <w:spacing w:val="-4"/>
          <w:position w:val="1"/>
          <w:sz w:val="24"/>
          <w:szCs w:val="24"/>
        </w:rPr>
        <w:t>、</w:t>
      </w:r>
      <w:r>
        <w:rPr>
          <w:rFonts w:hint="eastAsia" w:ascii="宋体" w:hAnsi="宋体" w:eastAsia="宋体" w:cs="宋体"/>
          <w:spacing w:val="-4"/>
          <w:position w:val="1"/>
          <w:sz w:val="24"/>
          <w:szCs w:val="24"/>
          <w:lang w:val="en-US" w:eastAsia="zh-CN"/>
        </w:rPr>
        <w:t>仪器</w:t>
      </w:r>
      <w:r>
        <w:rPr>
          <w:rFonts w:ascii="宋体" w:hAnsi="宋体" w:eastAsia="宋体" w:cs="宋体"/>
          <w:spacing w:val="-4"/>
          <w:position w:val="1"/>
          <w:sz w:val="24"/>
          <w:szCs w:val="24"/>
        </w:rPr>
        <w:t>示值误差</w:t>
      </w:r>
    </w:p>
    <w:p w14:paraId="4023DE26">
      <w:pPr>
        <w:keepNext w:val="0"/>
        <w:keepLines w:val="0"/>
        <w:pageBreakBefore w:val="0"/>
        <w:widowControl w:val="0"/>
        <w:kinsoku/>
        <w:wordWrap/>
        <w:overflowPunct/>
        <w:topLinePunct w:val="0"/>
        <w:autoSpaceDE/>
        <w:autoSpaceDN/>
        <w:bidi w:val="0"/>
        <w:adjustRightInd/>
        <w:snapToGrid/>
        <w:spacing w:before="48" w:line="500" w:lineRule="exact"/>
        <w:ind w:left="958" w:leftChars="456" w:firstLine="508" w:firstLineChars="200"/>
        <w:textAlignment w:val="auto"/>
        <w:rPr>
          <w:rFonts w:hint="eastAsia" w:ascii="宋体" w:hAnsi="宋体" w:eastAsia="宋体" w:cs="宋体"/>
          <w:spacing w:val="6"/>
          <w:sz w:val="24"/>
          <w:szCs w:val="24"/>
          <w:lang w:eastAsia="zh-CN"/>
        </w:rPr>
      </w:pPr>
      <w:r>
        <w:rPr>
          <w:rFonts w:hint="eastAsia" w:ascii="宋体" w:hAnsi="宋体" w:eastAsia="宋体" w:cs="宋体"/>
          <w:spacing w:val="7"/>
          <w:sz w:val="24"/>
          <w:szCs w:val="24"/>
        </w:rPr>
        <w:t>全水质自动</w:t>
      </w:r>
      <w:r>
        <w:rPr>
          <w:rFonts w:hint="eastAsia" w:ascii="宋体" w:hAnsi="宋体" w:eastAsia="宋体" w:cs="宋体"/>
          <w:spacing w:val="7"/>
          <w:sz w:val="24"/>
          <w:szCs w:val="24"/>
          <w:lang w:val="en-US" w:eastAsia="zh-CN"/>
        </w:rPr>
        <w:t>实验室</w:t>
      </w:r>
      <w:r>
        <w:rPr>
          <w:rFonts w:hint="eastAsia" w:ascii="宋体" w:hAnsi="宋体" w:eastAsia="宋体" w:cs="宋体"/>
          <w:spacing w:val="7"/>
          <w:sz w:val="24"/>
          <w:szCs w:val="24"/>
        </w:rPr>
        <w:t>基于国标、行标进行水质自动分析测量，测量</w:t>
      </w:r>
      <w:r>
        <w:rPr>
          <w:rFonts w:hint="eastAsia" w:ascii="宋体" w:hAnsi="宋体" w:eastAsia="宋体" w:cs="宋体"/>
          <w:spacing w:val="3"/>
          <w:sz w:val="24"/>
          <w:szCs w:val="24"/>
        </w:rPr>
        <w:t>围</w:t>
      </w:r>
      <w:r>
        <w:rPr>
          <w:rFonts w:hint="eastAsia" w:ascii="宋体" w:hAnsi="宋体" w:eastAsia="宋体" w:cs="宋体"/>
          <w:spacing w:val="12"/>
          <w:sz w:val="24"/>
          <w:szCs w:val="24"/>
        </w:rPr>
        <w:t>都满足</w:t>
      </w:r>
      <w:r>
        <w:rPr>
          <w:rFonts w:hint="eastAsia" w:ascii="宋体" w:hAnsi="宋体" w:eastAsia="宋体" w:cs="宋体"/>
          <w:spacing w:val="7"/>
          <w:sz w:val="24"/>
          <w:szCs w:val="24"/>
        </w:rPr>
        <w:t>国</w:t>
      </w:r>
      <w:r>
        <w:rPr>
          <w:rFonts w:hint="eastAsia" w:ascii="宋体" w:hAnsi="宋体" w:eastAsia="宋体" w:cs="宋体"/>
          <w:spacing w:val="6"/>
          <w:sz w:val="24"/>
          <w:szCs w:val="24"/>
        </w:rPr>
        <w:t>标、行标的要求，我们选择在仪器测量范围或实际使用范围内对 20%、</w:t>
      </w:r>
      <w:r>
        <w:rPr>
          <w:rFonts w:hint="eastAsia" w:ascii="宋体" w:hAnsi="宋体" w:eastAsia="宋体" w:cs="宋体"/>
          <w:sz w:val="24"/>
          <w:szCs w:val="24"/>
        </w:rPr>
        <w:t xml:space="preserve"> </w:t>
      </w:r>
      <w:r>
        <w:rPr>
          <w:rFonts w:hint="eastAsia" w:ascii="宋体" w:hAnsi="宋体" w:eastAsia="宋体" w:cs="宋体"/>
          <w:spacing w:val="7"/>
          <w:sz w:val="24"/>
          <w:szCs w:val="24"/>
        </w:rPr>
        <w:t>50% 、80%上限值的测量点的示值误差进行检测，以保证示值误差测量点</w:t>
      </w:r>
      <w:r>
        <w:rPr>
          <w:rFonts w:hint="eastAsia" w:ascii="宋体" w:hAnsi="宋体" w:eastAsia="宋体" w:cs="宋体"/>
          <w:spacing w:val="7"/>
          <w:sz w:val="24"/>
          <w:szCs w:val="24"/>
          <w:lang w:val="en-US" w:eastAsia="zh-CN"/>
        </w:rPr>
        <w:t>均</w:t>
      </w:r>
      <w:r>
        <w:rPr>
          <w:rFonts w:hint="eastAsia" w:ascii="宋体" w:hAnsi="宋体" w:eastAsia="宋体" w:cs="宋体"/>
          <w:spacing w:val="9"/>
          <w:sz w:val="24"/>
          <w:szCs w:val="24"/>
        </w:rPr>
        <w:t>匀</w:t>
      </w:r>
      <w:r>
        <w:rPr>
          <w:rFonts w:hint="eastAsia" w:ascii="宋体" w:hAnsi="宋体" w:eastAsia="宋体" w:cs="宋体"/>
          <w:spacing w:val="8"/>
          <w:sz w:val="24"/>
          <w:szCs w:val="24"/>
        </w:rPr>
        <w:t>覆盖整个测量或使用范围。</w:t>
      </w:r>
      <w:r>
        <w:rPr>
          <w:rFonts w:hint="eastAsia" w:ascii="宋体" w:hAnsi="宋体" w:eastAsia="宋体" w:cs="宋体"/>
          <w:spacing w:val="6"/>
          <w:sz w:val="24"/>
          <w:szCs w:val="24"/>
        </w:rPr>
        <w:t>由于测量范围基本一致，不像一般的水质分析仪测量范围具有较大差异，</w:t>
      </w:r>
      <w:r>
        <w:rPr>
          <w:rFonts w:hint="eastAsia" w:ascii="宋体" w:hAnsi="宋体" w:eastAsia="宋体" w:cs="宋体"/>
          <w:spacing w:val="5"/>
          <w:sz w:val="24"/>
          <w:szCs w:val="24"/>
        </w:rPr>
        <w:t>因</w:t>
      </w:r>
      <w:r>
        <w:rPr>
          <w:rFonts w:hint="eastAsia" w:ascii="宋体" w:hAnsi="宋体" w:eastAsia="宋体" w:cs="宋体"/>
          <w:spacing w:val="4"/>
          <w:sz w:val="24"/>
          <w:szCs w:val="24"/>
        </w:rPr>
        <w:t>此结合实际校准试验情况以</w:t>
      </w:r>
      <w:r>
        <w:rPr>
          <w:rFonts w:hint="eastAsia" w:ascii="宋体" w:hAnsi="宋体" w:eastAsia="宋体" w:cs="宋体"/>
          <w:spacing w:val="2"/>
          <w:sz w:val="24"/>
          <w:szCs w:val="24"/>
        </w:rPr>
        <w:t>及不确定度评定情况，将高锰酸盐指数、氨氮、总磷、</w:t>
      </w:r>
      <w:r>
        <w:rPr>
          <w:rFonts w:hint="eastAsia" w:ascii="宋体" w:hAnsi="宋体" w:eastAsia="宋体" w:cs="宋体"/>
          <w:sz w:val="24"/>
          <w:szCs w:val="24"/>
        </w:rPr>
        <w:t xml:space="preserve"> </w:t>
      </w:r>
      <w:r>
        <w:rPr>
          <w:rFonts w:hint="eastAsia" w:ascii="宋体" w:hAnsi="宋体" w:eastAsia="宋体" w:cs="宋体"/>
          <w:spacing w:val="12"/>
          <w:sz w:val="24"/>
          <w:szCs w:val="24"/>
        </w:rPr>
        <w:t>总</w:t>
      </w:r>
      <w:r>
        <w:rPr>
          <w:rFonts w:hint="eastAsia" w:ascii="宋体" w:hAnsi="宋体" w:eastAsia="宋体" w:cs="宋体"/>
          <w:spacing w:val="7"/>
          <w:sz w:val="24"/>
          <w:szCs w:val="24"/>
        </w:rPr>
        <w:t>氮</w:t>
      </w:r>
      <w:r>
        <w:rPr>
          <w:rFonts w:hint="eastAsia" w:ascii="宋体" w:hAnsi="宋体" w:eastAsia="宋体" w:cs="宋体"/>
          <w:spacing w:val="7"/>
          <w:sz w:val="24"/>
          <w:szCs w:val="24"/>
          <w:lang w:val="en-US" w:eastAsia="zh-CN"/>
        </w:rPr>
        <w:t>、六价铬、氟化物</w:t>
      </w:r>
      <w:r>
        <w:rPr>
          <w:rFonts w:hint="eastAsia" w:ascii="宋体" w:hAnsi="宋体" w:eastAsia="宋体" w:cs="宋体"/>
          <w:spacing w:val="6"/>
          <w:sz w:val="24"/>
          <w:szCs w:val="24"/>
        </w:rPr>
        <w:t>的示值误差的指标定为不超过±10% ，不进行分段</w:t>
      </w:r>
      <w:r>
        <w:rPr>
          <w:rFonts w:hint="eastAsia" w:ascii="宋体" w:hAnsi="宋体" w:eastAsia="宋体" w:cs="宋体"/>
          <w:spacing w:val="6"/>
          <w:sz w:val="24"/>
          <w:szCs w:val="24"/>
          <w:lang w:eastAsia="zh-CN"/>
        </w:rPr>
        <w:t>。</w:t>
      </w:r>
    </w:p>
    <w:p w14:paraId="487C720A">
      <w:pPr>
        <w:keepNext w:val="0"/>
        <w:keepLines w:val="0"/>
        <w:pageBreakBefore w:val="0"/>
        <w:widowControl w:val="0"/>
        <w:kinsoku/>
        <w:wordWrap/>
        <w:overflowPunct/>
        <w:topLinePunct w:val="0"/>
        <w:autoSpaceDE/>
        <w:autoSpaceDN/>
        <w:bidi w:val="0"/>
        <w:adjustRightInd/>
        <w:snapToGrid/>
        <w:spacing w:line="500" w:lineRule="exact"/>
        <w:ind w:left="720" w:leftChars="343" w:firstLine="378" w:firstLineChars="150"/>
        <w:textAlignment w:val="auto"/>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 、</w:t>
      </w:r>
      <w:r>
        <w:rPr>
          <w:rFonts w:hint="eastAsia" w:ascii="宋体" w:hAnsi="宋体" w:eastAsia="宋体" w:cs="宋体"/>
          <w:spacing w:val="6"/>
          <w:sz w:val="24"/>
          <w:szCs w:val="24"/>
          <w:lang w:val="en-US" w:eastAsia="zh-CN"/>
        </w:rPr>
        <w:t>仪器示值</w:t>
      </w:r>
      <w:r>
        <w:rPr>
          <w:rFonts w:hint="eastAsia" w:ascii="宋体" w:hAnsi="宋体" w:eastAsia="宋体" w:cs="宋体"/>
          <w:spacing w:val="6"/>
          <w:sz w:val="24"/>
          <w:szCs w:val="24"/>
          <w:lang w:eastAsia="zh-CN"/>
        </w:rPr>
        <w:t>重复性</w:t>
      </w:r>
    </w:p>
    <w:p w14:paraId="23D3609D">
      <w:pPr>
        <w:keepNext w:val="0"/>
        <w:keepLines w:val="0"/>
        <w:pageBreakBefore w:val="0"/>
        <w:widowControl w:val="0"/>
        <w:kinsoku/>
        <w:wordWrap/>
        <w:overflowPunct/>
        <w:topLinePunct w:val="0"/>
        <w:autoSpaceDE/>
        <w:autoSpaceDN/>
        <w:bidi w:val="0"/>
        <w:adjustRightInd/>
        <w:snapToGrid/>
        <w:spacing w:before="48" w:line="500" w:lineRule="exact"/>
        <w:ind w:left="958" w:leftChars="456" w:firstLine="504" w:firstLineChars="200"/>
        <w:textAlignment w:val="auto"/>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仪器</w:t>
      </w:r>
      <w:r>
        <w:rPr>
          <w:rFonts w:hint="eastAsia" w:ascii="宋体" w:hAnsi="宋体" w:eastAsia="宋体" w:cs="宋体"/>
          <w:spacing w:val="6"/>
          <w:sz w:val="24"/>
          <w:szCs w:val="24"/>
          <w:lang w:val="en-US" w:eastAsia="zh-CN"/>
        </w:rPr>
        <w:t>示值</w:t>
      </w:r>
      <w:r>
        <w:rPr>
          <w:rFonts w:hint="eastAsia" w:ascii="宋体" w:hAnsi="宋体" w:eastAsia="宋体" w:cs="宋体"/>
          <w:spacing w:val="6"/>
          <w:sz w:val="24"/>
          <w:szCs w:val="24"/>
          <w:lang w:eastAsia="zh-CN"/>
        </w:rPr>
        <w:t>重复性评价选择浓度为测量范围(或使用范围)上限值50%的测量点，</w:t>
      </w:r>
    </w:p>
    <w:p w14:paraId="4B38D5DE">
      <w:pPr>
        <w:keepNext w:val="0"/>
        <w:keepLines w:val="0"/>
        <w:pageBreakBefore w:val="0"/>
        <w:widowControl w:val="0"/>
        <w:kinsoku/>
        <w:wordWrap/>
        <w:overflowPunct/>
        <w:topLinePunct w:val="0"/>
        <w:autoSpaceDE/>
        <w:autoSpaceDN/>
        <w:bidi w:val="0"/>
        <w:adjustRightInd/>
        <w:snapToGrid/>
        <w:spacing w:before="48" w:line="500" w:lineRule="exact"/>
        <w:ind w:left="958" w:leftChars="456" w:firstLine="0" w:firstLineChars="0"/>
        <w:textAlignment w:val="auto"/>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进行独立重复测量7次。根据水质全自动</w:t>
      </w:r>
      <w:r>
        <w:rPr>
          <w:rFonts w:hint="eastAsia" w:ascii="宋体" w:hAnsi="宋体" w:eastAsia="宋体" w:cs="宋体"/>
          <w:spacing w:val="6"/>
          <w:sz w:val="24"/>
          <w:szCs w:val="24"/>
          <w:lang w:val="en-US" w:eastAsia="zh-CN"/>
        </w:rPr>
        <w:t>实验室</w:t>
      </w:r>
      <w:r>
        <w:rPr>
          <w:rFonts w:hint="eastAsia" w:ascii="宋体" w:hAnsi="宋体" w:eastAsia="宋体" w:cs="宋体"/>
          <w:spacing w:val="6"/>
          <w:sz w:val="24"/>
          <w:szCs w:val="24"/>
          <w:lang w:eastAsia="zh-CN"/>
        </w:rPr>
        <w:t>的技术指标以及实际仪器的测量结果，建议重复性技术要求为不大于</w:t>
      </w:r>
      <w:r>
        <w:rPr>
          <w:rFonts w:hint="eastAsia" w:ascii="宋体" w:hAnsi="宋体" w:eastAsia="宋体" w:cs="宋体"/>
          <w:spacing w:val="6"/>
          <w:sz w:val="24"/>
          <w:szCs w:val="24"/>
          <w:lang w:val="en-US" w:eastAsia="zh-CN"/>
        </w:rPr>
        <w:t>3</w:t>
      </w:r>
      <w:r>
        <w:rPr>
          <w:rFonts w:hint="eastAsia" w:ascii="宋体" w:hAnsi="宋体" w:eastAsia="宋体" w:cs="宋体"/>
          <w:spacing w:val="6"/>
          <w:sz w:val="24"/>
          <w:szCs w:val="24"/>
          <w:lang w:eastAsia="zh-CN"/>
        </w:rPr>
        <w:t>%。</w:t>
      </w:r>
    </w:p>
    <w:p w14:paraId="73CB88BF">
      <w:pPr>
        <w:keepNext w:val="0"/>
        <w:keepLines w:val="0"/>
        <w:pageBreakBefore w:val="0"/>
        <w:widowControl w:val="0"/>
        <w:kinsoku/>
        <w:wordWrap/>
        <w:overflowPunct/>
        <w:topLinePunct w:val="0"/>
        <w:autoSpaceDE/>
        <w:autoSpaceDN/>
        <w:bidi w:val="0"/>
        <w:adjustRightInd/>
        <w:snapToGrid/>
        <w:spacing w:before="48" w:line="500" w:lineRule="exact"/>
        <w:ind w:firstLine="1008" w:firstLineChars="400"/>
        <w:textAlignment w:val="auto"/>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3 、</w:t>
      </w:r>
      <w:r>
        <w:rPr>
          <w:rFonts w:hint="eastAsia" w:ascii="宋体" w:hAnsi="宋体" w:eastAsia="宋体" w:cs="宋体"/>
          <w:spacing w:val="6"/>
          <w:sz w:val="24"/>
          <w:szCs w:val="24"/>
          <w:lang w:val="en-US" w:eastAsia="zh-CN"/>
        </w:rPr>
        <w:t>记忆效应</w:t>
      </w:r>
    </w:p>
    <w:p w14:paraId="10429E6D">
      <w:pPr>
        <w:keepNext w:val="0"/>
        <w:keepLines w:val="0"/>
        <w:pageBreakBefore w:val="0"/>
        <w:widowControl w:val="0"/>
        <w:kinsoku/>
        <w:wordWrap/>
        <w:overflowPunct/>
        <w:topLinePunct w:val="0"/>
        <w:autoSpaceDE/>
        <w:autoSpaceDN/>
        <w:bidi w:val="0"/>
        <w:adjustRightInd/>
        <w:snapToGrid/>
        <w:spacing w:before="48" w:line="500" w:lineRule="exact"/>
        <w:ind w:left="958" w:leftChars="456" w:firstLine="504" w:firstLineChars="200"/>
        <w:textAlignment w:val="auto"/>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水质全自动实验室由全自动分液工作站、全自动流转工作站、全自动水质分析仪器系统等组成，对水样进行自动分液、流转、分析测量。测量高锰酸盐指数的</w:t>
      </w:r>
      <w:r>
        <w:rPr>
          <w:rFonts w:hint="eastAsia" w:ascii="宋体" w:hAnsi="宋体" w:eastAsia="宋体" w:cs="宋体"/>
          <w:spacing w:val="6"/>
          <w:sz w:val="24"/>
          <w:szCs w:val="24"/>
          <w:lang w:val="en-US" w:eastAsia="zh-CN"/>
        </w:rPr>
        <w:t>记忆效应</w:t>
      </w:r>
      <w:r>
        <w:rPr>
          <w:rFonts w:hint="eastAsia" w:ascii="宋体" w:hAnsi="宋体" w:eastAsia="宋体" w:cs="宋体"/>
          <w:spacing w:val="6"/>
          <w:sz w:val="24"/>
          <w:szCs w:val="24"/>
          <w:lang w:eastAsia="zh-CN"/>
        </w:rPr>
        <w:t>：在分析系统测量范围 (或使用范围) 内选取参考值约为测量范围 (或使用范围) 上限值 80%的高锰酸盐指数标准溶液，按照水质全自动实验室的使用说明书进行溶液的分液、流转、测量高锰酸盐指数、氨氮、总磷、总氮</w:t>
      </w:r>
      <w:r>
        <w:rPr>
          <w:rFonts w:hint="eastAsia" w:ascii="宋体" w:hAnsi="宋体" w:eastAsia="宋体" w:cs="宋体"/>
          <w:spacing w:val="6"/>
          <w:sz w:val="24"/>
          <w:szCs w:val="24"/>
          <w:lang w:val="en-US" w:eastAsia="zh-CN"/>
        </w:rPr>
        <w:t>、六价铬、氟化物</w:t>
      </w:r>
      <w:r>
        <w:rPr>
          <w:rFonts w:hint="eastAsia" w:ascii="宋体" w:hAnsi="宋体" w:eastAsia="宋体" w:cs="宋体"/>
          <w:spacing w:val="6"/>
          <w:sz w:val="24"/>
          <w:szCs w:val="24"/>
          <w:lang w:eastAsia="zh-CN"/>
        </w:rPr>
        <w:t>。紧接着上述测量，进行第二个样品的测量。第二个样品选取空白样，每个参数重复测量 3 次，计算 3 次测量值的算术平均值，即为样品前后的</w:t>
      </w:r>
      <w:r>
        <w:rPr>
          <w:rFonts w:hint="eastAsia" w:ascii="宋体" w:hAnsi="宋体" w:eastAsia="宋体" w:cs="宋体"/>
          <w:spacing w:val="6"/>
          <w:sz w:val="24"/>
          <w:szCs w:val="24"/>
          <w:lang w:val="en-US" w:eastAsia="zh-CN"/>
        </w:rPr>
        <w:t>记忆效应</w:t>
      </w:r>
      <w:r>
        <w:rPr>
          <w:rFonts w:hint="eastAsia" w:ascii="宋体" w:hAnsi="宋体" w:eastAsia="宋体" w:cs="宋体"/>
          <w:spacing w:val="6"/>
          <w:sz w:val="24"/>
          <w:szCs w:val="24"/>
          <w:lang w:eastAsia="zh-CN"/>
        </w:rPr>
        <w:t>。根据实际校准试验情况以及相关国标、行标的检出限要求，建议</w:t>
      </w:r>
      <w:r>
        <w:rPr>
          <w:rFonts w:hint="eastAsia" w:ascii="宋体" w:hAnsi="宋体" w:eastAsia="宋体" w:cs="宋体"/>
          <w:spacing w:val="6"/>
          <w:sz w:val="24"/>
          <w:szCs w:val="24"/>
          <w:lang w:val="en-US" w:eastAsia="zh-CN"/>
        </w:rPr>
        <w:t>记忆效应</w:t>
      </w:r>
      <w:r>
        <w:rPr>
          <w:rFonts w:hint="eastAsia" w:ascii="宋体" w:hAnsi="宋体" w:eastAsia="宋体" w:cs="宋体"/>
          <w:spacing w:val="6"/>
          <w:sz w:val="24"/>
          <w:szCs w:val="24"/>
          <w:lang w:eastAsia="zh-CN"/>
        </w:rPr>
        <w:t>为：高锰酸盐指数＜0.3 mg/L ；氨氮＜ 0.02mg/L；总磷＜0.01mg/L；总氮＜0.05mg/L；六价铬＜0.05mg/L；氟化物＜0.1mg/L。</w:t>
      </w:r>
    </w:p>
    <w:p w14:paraId="1E42DC65">
      <w:pPr>
        <w:keepNext w:val="0"/>
        <w:keepLines w:val="0"/>
        <w:pageBreakBefore w:val="0"/>
        <w:widowControl w:val="0"/>
        <w:kinsoku/>
        <w:wordWrap/>
        <w:overflowPunct/>
        <w:topLinePunct w:val="0"/>
        <w:autoSpaceDE/>
        <w:autoSpaceDN/>
        <w:bidi w:val="0"/>
        <w:adjustRightInd/>
        <w:snapToGrid/>
        <w:spacing w:before="48" w:line="500" w:lineRule="exact"/>
        <w:ind w:left="958" w:leftChars="456" w:firstLine="504" w:firstLineChars="200"/>
        <w:textAlignment w:val="auto"/>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 、温度示值误差</w:t>
      </w:r>
    </w:p>
    <w:p w14:paraId="643BEC7C">
      <w:pPr>
        <w:keepNext w:val="0"/>
        <w:keepLines w:val="0"/>
        <w:pageBreakBefore w:val="0"/>
        <w:widowControl w:val="0"/>
        <w:kinsoku/>
        <w:wordWrap/>
        <w:overflowPunct/>
        <w:topLinePunct w:val="0"/>
        <w:autoSpaceDE/>
        <w:autoSpaceDN/>
        <w:bidi w:val="0"/>
        <w:adjustRightInd/>
        <w:snapToGrid/>
        <w:spacing w:before="48" w:line="500" w:lineRule="exact"/>
        <w:ind w:left="958" w:leftChars="456" w:firstLine="504" w:firstLineChars="200"/>
        <w:textAlignment w:val="auto"/>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仪器消解温度的准确性直接影响测量结果，因此我们将温度示值误差作为校准项目之一。按照使用说明书要求设定消解单元温度，均匀分布选取消解孔，将温度计分别插入消解孔中；对采用密封容器通过高压升温的消解单元，将无线温度数据采集仪测量端放置在被校温度计附近，如不了解被校温度计的放置位置，则将温度计安置在舱室中心处。建议温度示值误差不超过±</w:t>
      </w:r>
      <w:r>
        <w:rPr>
          <w:rFonts w:hint="eastAsia" w:ascii="宋体" w:hAnsi="宋体" w:eastAsia="宋体" w:cs="宋体"/>
          <w:spacing w:val="6"/>
          <w:sz w:val="24"/>
          <w:szCs w:val="24"/>
          <w:lang w:val="en-US" w:eastAsia="zh-CN"/>
        </w:rPr>
        <w:t>1</w:t>
      </w:r>
      <w:r>
        <w:rPr>
          <w:rFonts w:hint="eastAsia" w:ascii="宋体" w:hAnsi="宋体" w:eastAsia="宋体" w:cs="宋体"/>
          <w:spacing w:val="6"/>
          <w:sz w:val="24"/>
          <w:szCs w:val="24"/>
          <w:lang w:eastAsia="zh-CN"/>
        </w:rPr>
        <w:t>℃。</w:t>
      </w:r>
    </w:p>
    <w:p w14:paraId="546BC7BF">
      <w:pPr>
        <w:keepNext w:val="0"/>
        <w:keepLines w:val="0"/>
        <w:pageBreakBefore w:val="0"/>
        <w:widowControl w:val="0"/>
        <w:kinsoku/>
        <w:wordWrap/>
        <w:overflowPunct/>
        <w:topLinePunct w:val="0"/>
        <w:autoSpaceDE/>
        <w:autoSpaceDN/>
        <w:bidi w:val="0"/>
        <w:adjustRightInd/>
        <w:snapToGrid/>
        <w:spacing w:before="48" w:line="500" w:lineRule="exact"/>
        <w:ind w:left="958" w:leftChars="456" w:firstLine="504" w:firstLineChars="200"/>
        <w:textAlignment w:val="auto"/>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5 、消解时间示值误差</w:t>
      </w:r>
    </w:p>
    <w:p w14:paraId="38C8CB9E">
      <w:pPr>
        <w:keepNext w:val="0"/>
        <w:keepLines w:val="0"/>
        <w:pageBreakBefore w:val="0"/>
        <w:widowControl w:val="0"/>
        <w:kinsoku/>
        <w:wordWrap/>
        <w:overflowPunct/>
        <w:topLinePunct w:val="0"/>
        <w:autoSpaceDE/>
        <w:autoSpaceDN/>
        <w:bidi w:val="0"/>
        <w:adjustRightInd/>
        <w:snapToGrid/>
        <w:spacing w:before="48" w:line="500" w:lineRule="exact"/>
        <w:ind w:left="958" w:leftChars="456" w:firstLine="504" w:firstLineChars="200"/>
        <w:textAlignment w:val="auto"/>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同样地，仪器消解时间的准确性也会直接影响测量结果，因此我们将消解时 间示值误差作为校准项目之一，建议消解时间示值误差不超过±2%。</w:t>
      </w:r>
    </w:p>
    <w:p w14:paraId="63AB11D2">
      <w:pPr>
        <w:keepNext w:val="0"/>
        <w:keepLines w:val="0"/>
        <w:pageBreakBefore w:val="0"/>
        <w:widowControl w:val="0"/>
        <w:kinsoku/>
        <w:wordWrap/>
        <w:overflowPunct/>
        <w:topLinePunct w:val="0"/>
        <w:autoSpaceDE/>
        <w:autoSpaceDN/>
        <w:bidi w:val="0"/>
        <w:adjustRightInd/>
        <w:snapToGrid/>
        <w:spacing w:before="48" w:line="500" w:lineRule="exact"/>
        <w:ind w:left="958" w:leftChars="456" w:firstLine="504" w:firstLineChars="200"/>
        <w:textAlignment w:val="auto"/>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6 、加液管容量误差</w:t>
      </w:r>
    </w:p>
    <w:p w14:paraId="479E316F">
      <w:pPr>
        <w:keepNext w:val="0"/>
        <w:keepLines w:val="0"/>
        <w:pageBreakBefore w:val="0"/>
        <w:widowControl w:val="0"/>
        <w:kinsoku/>
        <w:wordWrap/>
        <w:overflowPunct/>
        <w:topLinePunct w:val="0"/>
        <w:autoSpaceDE/>
        <w:autoSpaceDN/>
        <w:bidi w:val="0"/>
        <w:adjustRightInd/>
        <w:snapToGrid/>
        <w:spacing w:before="48" w:line="500" w:lineRule="exact"/>
        <w:ind w:left="958" w:leftChars="456" w:firstLine="504" w:firstLineChars="200"/>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水质全自动实验室，其添加反应试剂是不需要人工参与的，用加液管代替人工加试剂时使用的移液器，加液管的容量准确性直接影响测量结果。因实际添加试剂的范围在(1-100)mL 不等，参考 JJG 646-2006 《移液器检定规程》中移液器的测量方法和技术指标要求，同时根据厂家提供的技术指标及实际测量结果，建议加液管容量误差不超过±2%。</w:t>
      </w:r>
    </w:p>
    <w:p w14:paraId="29EBFAFD">
      <w:pPr>
        <w:pStyle w:val="11"/>
        <w:numPr>
          <w:ilvl w:val="0"/>
          <w:numId w:val="1"/>
        </w:numPr>
        <w:spacing w:before="312" w:beforeLines="100"/>
        <w:ind w:firstLineChars="0"/>
        <w:rPr>
          <w:rFonts w:asciiTheme="minorEastAsia" w:hAnsiTheme="minorEastAsia"/>
          <w:b/>
          <w:sz w:val="28"/>
          <w:szCs w:val="28"/>
        </w:rPr>
      </w:pPr>
      <w:r>
        <w:rPr>
          <w:rFonts w:hint="eastAsia" w:asciiTheme="minorEastAsia" w:hAnsiTheme="minorEastAsia"/>
          <w:b/>
          <w:sz w:val="28"/>
          <w:szCs w:val="28"/>
        </w:rPr>
        <w:t>总结</w:t>
      </w:r>
    </w:p>
    <w:p w14:paraId="7248F7B1">
      <w:pPr>
        <w:pStyle w:val="11"/>
        <w:numPr>
          <w:ilvl w:val="0"/>
          <w:numId w:val="2"/>
        </w:numPr>
        <w:spacing w:line="500" w:lineRule="exact"/>
        <w:ind w:left="804" w:leftChars="383" w:firstLine="480"/>
        <w:rPr>
          <w:sz w:val="24"/>
        </w:rPr>
      </w:pPr>
      <w:r>
        <w:rPr>
          <w:rFonts w:hint="eastAsia"/>
          <w:sz w:val="24"/>
        </w:rPr>
        <w:t>本规范按照JJF1071-2000《国家计量校准规范编写规则》的要求制定</w:t>
      </w:r>
      <w:r>
        <w:rPr>
          <w:rFonts w:hint="eastAsia" w:ascii="宋体" w:hAnsi="宋体" w:eastAsia="宋体" w:cs="宋体"/>
          <w:sz w:val="24"/>
          <w:szCs w:val="24"/>
        </w:rPr>
        <w:t>水质全自动实验室（高锰酸盐指数、氨氮、总磷、总氮、六价铬、氟化物）</w:t>
      </w:r>
      <w:r>
        <w:rPr>
          <w:rFonts w:hint="eastAsia"/>
          <w:sz w:val="24"/>
        </w:rPr>
        <w:t>校准规范。在内容与格式上与编写规则保持一致，校准规范的具体内容有范围、术语、概述、计量特性、校准条件、校准项目、校准方法和校准结果的标准、建议复校准时间间隔。</w:t>
      </w:r>
    </w:p>
    <w:p w14:paraId="76572CFE">
      <w:pPr>
        <w:pStyle w:val="11"/>
        <w:numPr>
          <w:ilvl w:val="0"/>
          <w:numId w:val="2"/>
        </w:numPr>
        <w:spacing w:line="500" w:lineRule="exact"/>
        <w:ind w:left="804" w:leftChars="383" w:firstLine="480"/>
        <w:rPr>
          <w:sz w:val="24"/>
        </w:rPr>
      </w:pPr>
      <w:r>
        <w:rPr>
          <w:rFonts w:hint="eastAsia"/>
          <w:sz w:val="24"/>
        </w:rPr>
        <w:t>对给出的校准项目，确定了相应的校准条件、校准用标准及校准方法。</w:t>
      </w:r>
    </w:p>
    <w:p w14:paraId="4082F95D">
      <w:pPr>
        <w:pStyle w:val="11"/>
        <w:numPr>
          <w:ilvl w:val="0"/>
          <w:numId w:val="2"/>
        </w:numPr>
        <w:spacing w:line="500" w:lineRule="exact"/>
        <w:ind w:left="804" w:leftChars="383" w:firstLine="480"/>
        <w:rPr>
          <w:sz w:val="24"/>
        </w:rPr>
      </w:pPr>
      <w:r>
        <w:rPr>
          <w:rFonts w:hint="eastAsia"/>
          <w:sz w:val="24"/>
        </w:rPr>
        <w:t>在确定技术指标的基础上，编写人员除了在日常校准工作以外，于202</w:t>
      </w:r>
      <w:r>
        <w:rPr>
          <w:rFonts w:hint="eastAsia"/>
          <w:sz w:val="24"/>
          <w:lang w:val="en-US" w:eastAsia="zh-CN"/>
        </w:rPr>
        <w:t>5</w:t>
      </w:r>
      <w:r>
        <w:rPr>
          <w:rFonts w:hint="eastAsia"/>
          <w:sz w:val="24"/>
        </w:rPr>
        <w:t>年</w:t>
      </w:r>
      <w:r>
        <w:rPr>
          <w:rFonts w:hint="eastAsia"/>
          <w:sz w:val="24"/>
          <w:lang w:val="en-US" w:eastAsia="zh-CN"/>
        </w:rPr>
        <w:t>4</w:t>
      </w:r>
      <w:r>
        <w:rPr>
          <w:rFonts w:hint="eastAsia"/>
          <w:sz w:val="24"/>
        </w:rPr>
        <w:t>月至202</w:t>
      </w:r>
      <w:r>
        <w:rPr>
          <w:rFonts w:hint="eastAsia"/>
          <w:sz w:val="24"/>
          <w:lang w:val="en-US" w:eastAsia="zh-CN"/>
        </w:rPr>
        <w:t>5</w:t>
      </w:r>
      <w:r>
        <w:rPr>
          <w:rFonts w:hint="eastAsia"/>
          <w:sz w:val="24"/>
        </w:rPr>
        <w:t>年</w:t>
      </w:r>
      <w:r>
        <w:rPr>
          <w:sz w:val="24"/>
        </w:rPr>
        <w:t>10</w:t>
      </w:r>
      <w:r>
        <w:rPr>
          <w:rFonts w:hint="eastAsia"/>
          <w:sz w:val="24"/>
        </w:rPr>
        <w:t>月前往</w:t>
      </w:r>
      <w:r>
        <w:rPr>
          <w:rFonts w:hint="eastAsia"/>
          <w:sz w:val="24"/>
          <w:lang w:val="en-US" w:eastAsia="zh-CN"/>
        </w:rPr>
        <w:t>企业</w:t>
      </w:r>
      <w:r>
        <w:rPr>
          <w:rFonts w:hint="eastAsia"/>
          <w:sz w:val="24"/>
        </w:rPr>
        <w:t>开展方法的实验验证，并依据</w:t>
      </w:r>
      <w:r>
        <w:rPr>
          <w:rFonts w:ascii="Times New Roman" w:hAnsi="Times New Roman" w:cs="Times New Roman"/>
          <w:sz w:val="24"/>
        </w:rPr>
        <w:t>JJF1059.1-2012《</w:t>
      </w:r>
      <w:r>
        <w:rPr>
          <w:rFonts w:hint="eastAsia"/>
          <w:sz w:val="24"/>
        </w:rPr>
        <w:t>测量不确定度评定与表示》进行了测量不确定度评定示例分析。</w:t>
      </w:r>
    </w:p>
    <w:p w14:paraId="3D2552EA">
      <w:pPr>
        <w:pStyle w:val="11"/>
        <w:spacing w:line="500" w:lineRule="exact"/>
        <w:ind w:left="804" w:leftChars="383" w:firstLine="480"/>
        <w:rPr>
          <w:rFonts w:hint="eastAsia" w:ascii="宋体" w:hAnsi="宋体" w:cs="宋体" w:eastAsiaTheme="minorEastAsia"/>
          <w:spacing w:val="6"/>
          <w:sz w:val="24"/>
          <w:szCs w:val="24"/>
          <w:lang w:val="en-US" w:eastAsia="zh-CN"/>
        </w:rPr>
        <w:sectPr>
          <w:footerReference r:id="rId3" w:type="default"/>
          <w:pgSz w:w="11906" w:h="16839"/>
          <w:pgMar w:top="1201" w:right="1048" w:bottom="1155" w:left="1047" w:header="0" w:footer="994" w:gutter="0"/>
          <w:cols w:space="720" w:num="1"/>
        </w:sectPr>
      </w:pPr>
      <w:r>
        <w:rPr>
          <w:rFonts w:hint="eastAsia"/>
          <w:sz w:val="24"/>
        </w:rPr>
        <w:t>根据实验结果，验证了规范制定的仪器计量特性指标合理，校准方法和校准设备也满足现场开展校准要求，操作性及适用性强，为今后该仪器的溯源工作开展提供了可靠的技术依据</w:t>
      </w:r>
      <w:r>
        <w:rPr>
          <w:rFonts w:hint="eastAsia"/>
          <w:sz w:val="24"/>
          <w:lang w:eastAsia="zh-CN"/>
        </w:rPr>
        <w:t>。</w:t>
      </w:r>
    </w:p>
    <w:p w14:paraId="4A8A2EB9">
      <w:pPr>
        <w:pStyle w:val="11"/>
        <w:spacing w:line="500" w:lineRule="exact"/>
        <w:ind w:left="0" w:leftChars="0" w:firstLine="0" w:firstLineChars="0"/>
        <w:rPr>
          <w:rFonts w:ascii="Times New Roman" w:cs="Times New Roman"/>
          <w:sz w:val="24"/>
        </w:rPr>
      </w:pPr>
      <w:bookmarkStart w:id="0" w:name="_GoBack"/>
      <w:bookmarkEnd w:id="0"/>
    </w:p>
    <w:sectPr>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BB9A0">
    <w:pPr>
      <w:spacing w:line="186" w:lineRule="auto"/>
      <w:ind w:left="4868"/>
      <w:rPr>
        <w:rFonts w:ascii="Calibri" w:hAnsi="Calibri" w:eastAsia="Calibri" w:cs="Calibri"/>
        <w:sz w:val="17"/>
        <w:szCs w:val="17"/>
      </w:rPr>
    </w:pPr>
    <w:r>
      <w:rPr>
        <w:rFonts w:ascii="Calibri" w:hAnsi="Calibri" w:eastAsia="Calibri" w:cs="Calibri"/>
        <w:sz w:val="17"/>
        <w:szCs w:val="17"/>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06F13">
    <w:pPr>
      <w:spacing w:line="188" w:lineRule="auto"/>
      <w:ind w:left="4129"/>
      <w:rPr>
        <w:rFonts w:ascii="Calibri" w:hAnsi="Calibri" w:eastAsia="Calibri" w:cs="Calibri"/>
        <w:sz w:val="17"/>
        <w:szCs w:val="17"/>
      </w:rPr>
    </w:pPr>
    <w:r>
      <w:rPr>
        <w:rFonts w:ascii="Calibri" w:hAnsi="Calibri" w:eastAsia="Calibri" w:cs="Calibri"/>
        <w:sz w:val="17"/>
        <w:szCs w:val="17"/>
      </w:rPr>
      <w:t>6</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1450E7"/>
    <w:multiLevelType w:val="multilevel"/>
    <w:tmpl w:val="241450E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F25FEA"/>
    <w:multiLevelType w:val="multilevel"/>
    <w:tmpl w:val="5DF25FE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5ZWM1NWI2MDc3NjdkMDQ3MTI5OTM0MjEzMWNiNDkifQ=="/>
  </w:docVars>
  <w:rsids>
    <w:rsidRoot w:val="00E61448"/>
    <w:rsid w:val="000231E5"/>
    <w:rsid w:val="00025CF8"/>
    <w:rsid w:val="000311F3"/>
    <w:rsid w:val="000334BD"/>
    <w:rsid w:val="00044A32"/>
    <w:rsid w:val="00046136"/>
    <w:rsid w:val="0005000A"/>
    <w:rsid w:val="00060F1C"/>
    <w:rsid w:val="00065703"/>
    <w:rsid w:val="00072EDC"/>
    <w:rsid w:val="000B33B3"/>
    <w:rsid w:val="000B5510"/>
    <w:rsid w:val="000C6C78"/>
    <w:rsid w:val="000D4116"/>
    <w:rsid w:val="0010692D"/>
    <w:rsid w:val="0011343E"/>
    <w:rsid w:val="00114AEA"/>
    <w:rsid w:val="001563FD"/>
    <w:rsid w:val="00182212"/>
    <w:rsid w:val="00194485"/>
    <w:rsid w:val="001B4BC3"/>
    <w:rsid w:val="001C3629"/>
    <w:rsid w:val="001F35B2"/>
    <w:rsid w:val="00201C00"/>
    <w:rsid w:val="002134FD"/>
    <w:rsid w:val="00225DD9"/>
    <w:rsid w:val="0023615C"/>
    <w:rsid w:val="0024222C"/>
    <w:rsid w:val="00301788"/>
    <w:rsid w:val="00317A05"/>
    <w:rsid w:val="0034452F"/>
    <w:rsid w:val="00363AC9"/>
    <w:rsid w:val="003A7F74"/>
    <w:rsid w:val="003B53CC"/>
    <w:rsid w:val="003B77A2"/>
    <w:rsid w:val="003C68F2"/>
    <w:rsid w:val="003C69A2"/>
    <w:rsid w:val="003E1B3B"/>
    <w:rsid w:val="003F0AE6"/>
    <w:rsid w:val="004135D7"/>
    <w:rsid w:val="00451F6B"/>
    <w:rsid w:val="00455326"/>
    <w:rsid w:val="004607A0"/>
    <w:rsid w:val="004637FA"/>
    <w:rsid w:val="00465A43"/>
    <w:rsid w:val="00485605"/>
    <w:rsid w:val="004C712B"/>
    <w:rsid w:val="004D72C5"/>
    <w:rsid w:val="004F169B"/>
    <w:rsid w:val="00506872"/>
    <w:rsid w:val="00507A60"/>
    <w:rsid w:val="00511403"/>
    <w:rsid w:val="00527CDB"/>
    <w:rsid w:val="00537828"/>
    <w:rsid w:val="00541FAC"/>
    <w:rsid w:val="00552F54"/>
    <w:rsid w:val="00561904"/>
    <w:rsid w:val="00574091"/>
    <w:rsid w:val="00575982"/>
    <w:rsid w:val="00576CCD"/>
    <w:rsid w:val="00587555"/>
    <w:rsid w:val="005C065D"/>
    <w:rsid w:val="005C34E0"/>
    <w:rsid w:val="005D6769"/>
    <w:rsid w:val="005E67D4"/>
    <w:rsid w:val="00604FA8"/>
    <w:rsid w:val="00612AB5"/>
    <w:rsid w:val="00614C63"/>
    <w:rsid w:val="00617271"/>
    <w:rsid w:val="00620A0A"/>
    <w:rsid w:val="006319C1"/>
    <w:rsid w:val="00660033"/>
    <w:rsid w:val="006635C0"/>
    <w:rsid w:val="00670020"/>
    <w:rsid w:val="00683459"/>
    <w:rsid w:val="006961A4"/>
    <w:rsid w:val="006A4DAB"/>
    <w:rsid w:val="006D2103"/>
    <w:rsid w:val="006F1D54"/>
    <w:rsid w:val="00706F02"/>
    <w:rsid w:val="00720534"/>
    <w:rsid w:val="007475D9"/>
    <w:rsid w:val="00777DF4"/>
    <w:rsid w:val="007A0178"/>
    <w:rsid w:val="007A12F3"/>
    <w:rsid w:val="007A2C60"/>
    <w:rsid w:val="007B0E41"/>
    <w:rsid w:val="007B2FED"/>
    <w:rsid w:val="007C0F65"/>
    <w:rsid w:val="007C35D8"/>
    <w:rsid w:val="007C3F72"/>
    <w:rsid w:val="007D028B"/>
    <w:rsid w:val="007D2E9E"/>
    <w:rsid w:val="007D7FD5"/>
    <w:rsid w:val="007F07E2"/>
    <w:rsid w:val="008015D0"/>
    <w:rsid w:val="00833739"/>
    <w:rsid w:val="00843703"/>
    <w:rsid w:val="008463F2"/>
    <w:rsid w:val="008507B4"/>
    <w:rsid w:val="00870C82"/>
    <w:rsid w:val="008A0758"/>
    <w:rsid w:val="008A3083"/>
    <w:rsid w:val="008B5BC2"/>
    <w:rsid w:val="008C0CD5"/>
    <w:rsid w:val="008C6FD3"/>
    <w:rsid w:val="008C779F"/>
    <w:rsid w:val="008D0B69"/>
    <w:rsid w:val="008D0FC0"/>
    <w:rsid w:val="008D2128"/>
    <w:rsid w:val="008D2DC7"/>
    <w:rsid w:val="008D3B36"/>
    <w:rsid w:val="008E215A"/>
    <w:rsid w:val="008F4601"/>
    <w:rsid w:val="0092088F"/>
    <w:rsid w:val="00941C4F"/>
    <w:rsid w:val="009445FF"/>
    <w:rsid w:val="009A7B6C"/>
    <w:rsid w:val="009B4939"/>
    <w:rsid w:val="009D2598"/>
    <w:rsid w:val="009E3DF9"/>
    <w:rsid w:val="009F2248"/>
    <w:rsid w:val="00A0717F"/>
    <w:rsid w:val="00A25BFB"/>
    <w:rsid w:val="00A30535"/>
    <w:rsid w:val="00A35A2D"/>
    <w:rsid w:val="00A4187C"/>
    <w:rsid w:val="00A65AFD"/>
    <w:rsid w:val="00A71BDB"/>
    <w:rsid w:val="00A74EDE"/>
    <w:rsid w:val="00A86464"/>
    <w:rsid w:val="00A925BE"/>
    <w:rsid w:val="00AA432D"/>
    <w:rsid w:val="00AA6494"/>
    <w:rsid w:val="00AA7995"/>
    <w:rsid w:val="00AA7FF9"/>
    <w:rsid w:val="00AE7DC7"/>
    <w:rsid w:val="00AF0E88"/>
    <w:rsid w:val="00AF22CF"/>
    <w:rsid w:val="00AF551C"/>
    <w:rsid w:val="00AF5A95"/>
    <w:rsid w:val="00B1138D"/>
    <w:rsid w:val="00B11ECD"/>
    <w:rsid w:val="00B27934"/>
    <w:rsid w:val="00B36102"/>
    <w:rsid w:val="00B47E75"/>
    <w:rsid w:val="00B540FA"/>
    <w:rsid w:val="00B65C56"/>
    <w:rsid w:val="00B7456B"/>
    <w:rsid w:val="00B80D2B"/>
    <w:rsid w:val="00B9207E"/>
    <w:rsid w:val="00BA0FA1"/>
    <w:rsid w:val="00BA7267"/>
    <w:rsid w:val="00BE4EFD"/>
    <w:rsid w:val="00C16B0C"/>
    <w:rsid w:val="00C253F3"/>
    <w:rsid w:val="00C45533"/>
    <w:rsid w:val="00C719FC"/>
    <w:rsid w:val="00C8788C"/>
    <w:rsid w:val="00C923BC"/>
    <w:rsid w:val="00CA07F9"/>
    <w:rsid w:val="00CA6E6F"/>
    <w:rsid w:val="00CF1617"/>
    <w:rsid w:val="00CF4249"/>
    <w:rsid w:val="00D113E7"/>
    <w:rsid w:val="00D20937"/>
    <w:rsid w:val="00D459C9"/>
    <w:rsid w:val="00D928B3"/>
    <w:rsid w:val="00D931DC"/>
    <w:rsid w:val="00D95476"/>
    <w:rsid w:val="00D96355"/>
    <w:rsid w:val="00D9679A"/>
    <w:rsid w:val="00DA4384"/>
    <w:rsid w:val="00DA4F98"/>
    <w:rsid w:val="00DC51EE"/>
    <w:rsid w:val="00DD0ADA"/>
    <w:rsid w:val="00DD4B87"/>
    <w:rsid w:val="00DE007B"/>
    <w:rsid w:val="00DE6786"/>
    <w:rsid w:val="00DF3895"/>
    <w:rsid w:val="00E01623"/>
    <w:rsid w:val="00E02CA1"/>
    <w:rsid w:val="00E1502D"/>
    <w:rsid w:val="00E169E3"/>
    <w:rsid w:val="00E17E8A"/>
    <w:rsid w:val="00E465B4"/>
    <w:rsid w:val="00E539C2"/>
    <w:rsid w:val="00E53A4B"/>
    <w:rsid w:val="00E61448"/>
    <w:rsid w:val="00EB74FE"/>
    <w:rsid w:val="00EE1508"/>
    <w:rsid w:val="00EE39F1"/>
    <w:rsid w:val="00EE3A60"/>
    <w:rsid w:val="00EE4CE7"/>
    <w:rsid w:val="00EF54C2"/>
    <w:rsid w:val="00F04C27"/>
    <w:rsid w:val="00F35A73"/>
    <w:rsid w:val="00F470A2"/>
    <w:rsid w:val="00F63D30"/>
    <w:rsid w:val="00F6741A"/>
    <w:rsid w:val="00F7344C"/>
    <w:rsid w:val="00F75A2E"/>
    <w:rsid w:val="00F96684"/>
    <w:rsid w:val="00FB1201"/>
    <w:rsid w:val="00FC19D0"/>
    <w:rsid w:val="00FE2644"/>
    <w:rsid w:val="01CB1ACE"/>
    <w:rsid w:val="0601675C"/>
    <w:rsid w:val="0FD321F3"/>
    <w:rsid w:val="12970A0C"/>
    <w:rsid w:val="15187618"/>
    <w:rsid w:val="161835E8"/>
    <w:rsid w:val="1BBA312A"/>
    <w:rsid w:val="22E84C54"/>
    <w:rsid w:val="25C37501"/>
    <w:rsid w:val="2E2E2FB7"/>
    <w:rsid w:val="30146D95"/>
    <w:rsid w:val="311E37B6"/>
    <w:rsid w:val="57BBA832"/>
    <w:rsid w:val="68F0235C"/>
    <w:rsid w:val="70D41951"/>
    <w:rsid w:val="71B46CE6"/>
    <w:rsid w:val="8ABFF654"/>
    <w:rsid w:val="F8BF4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rPr>
      <w:rFonts w:ascii="宋体" w:hAnsi="Courier New" w:eastAsia="宋体" w:cs="Courier New"/>
      <w:szCs w:val="21"/>
    </w:rPr>
  </w:style>
  <w:style w:type="paragraph" w:styleId="3">
    <w:name w:val="Body Text Indent 2"/>
    <w:basedOn w:val="1"/>
    <w:qFormat/>
    <w:uiPriority w:val="0"/>
    <w:pPr>
      <w:spacing w:after="120" w:afterLines="0" w:afterAutospacing="0" w:line="480" w:lineRule="auto"/>
      <w:ind w:left="420" w:leftChars="2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rPr>
      <w:rFonts w:ascii="宋体" w:hAnsi="Times New Roman" w:eastAsia="宋体" w:cs="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纯文本 字符"/>
    <w:basedOn w:val="8"/>
    <w:link w:val="2"/>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4195</Words>
  <Characters>4412</Characters>
  <Lines>27</Lines>
  <Paragraphs>7</Paragraphs>
  <TotalTime>0</TotalTime>
  <ScaleCrop>false</ScaleCrop>
  <LinksUpToDate>false</LinksUpToDate>
  <CharactersWithSpaces>4462</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2022-12-02T00:09:00Z</dcterms:created>
  <dc:creator>李娅</dc:creator>
  <cp:lastModifiedBy>kylin</cp:lastModifiedBy>
  <dcterms:modified xsi:type="dcterms:W3CDTF">2025-11-03T14:57:53Z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6958A3507B7645AC9120A20A2CA76E4A_13</vt:lpwstr>
  </property>
  <property fmtid="{D5CDD505-2E9C-101B-9397-08002B2CF9AE}" pid="4" name="KSOTemplateDocerSaveRecord">
    <vt:lpwstr>eyJoZGlkIjoiYTQ5NmY4ZTAyMDM1ODgxYTI0MzYzZWI1MGU1OGU0ZTYiLCJ1c2VySWQiOiI0NDA1NDc2MDMifQ==</vt:lpwstr>
  </property>
</Properties>
</file>