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18F" w:rsidRDefault="002E4460">
      <w:pPr>
        <w:jc w:val="center"/>
        <w:rPr>
          <w:rFonts w:ascii="宋体" w:hAnsi="宋体"/>
          <w:b/>
          <w:sz w:val="28"/>
        </w:rPr>
      </w:pPr>
      <w:r>
        <w:rPr>
          <w:rFonts w:ascii="宋体" w:hAnsi="宋体" w:hint="eastAsia"/>
          <w:b/>
          <w:sz w:val="28"/>
        </w:rPr>
        <w:t>新能源汽车运行安全性能检验设备充电功率校准不确定度评定</w:t>
      </w:r>
    </w:p>
    <w:p w:rsidR="0022218F" w:rsidRDefault="0022218F">
      <w:pPr>
        <w:jc w:val="center"/>
        <w:rPr>
          <w:rFonts w:ascii="宋体" w:hAnsi="宋体"/>
          <w:b/>
          <w:sz w:val="28"/>
        </w:rPr>
      </w:pPr>
      <w:bookmarkStart w:id="0" w:name="_GoBack"/>
      <w:bookmarkEnd w:id="0"/>
    </w:p>
    <w:p w:rsidR="0022218F" w:rsidRDefault="002E4460">
      <w:pPr>
        <w:rPr>
          <w:rFonts w:ascii="宋体" w:hAnsi="宋体"/>
          <w:b/>
          <w:sz w:val="28"/>
        </w:rPr>
      </w:pPr>
      <w:r>
        <w:rPr>
          <w:rFonts w:ascii="宋体" w:hAnsi="宋体"/>
          <w:b/>
          <w:sz w:val="28"/>
        </w:rPr>
        <w:t>1</w:t>
      </w:r>
      <w:r>
        <w:rPr>
          <w:rFonts w:ascii="宋体" w:hAnsi="宋体" w:hint="eastAsia"/>
          <w:b/>
          <w:sz w:val="28"/>
        </w:rPr>
        <w:t>（测量方法）概述</w:t>
      </w:r>
    </w:p>
    <w:p w:rsidR="0022218F" w:rsidRDefault="002E4460">
      <w:pPr>
        <w:spacing w:line="360" w:lineRule="auto"/>
        <w:rPr>
          <w:sz w:val="24"/>
        </w:rPr>
      </w:pPr>
      <w:r>
        <w:rPr>
          <w:rFonts w:hint="eastAsia"/>
          <w:sz w:val="24"/>
        </w:rPr>
        <w:t>测量过程：在给定负载下，</w:t>
      </w:r>
      <w:r>
        <w:rPr>
          <w:sz w:val="24"/>
        </w:rPr>
        <w:t>被</w:t>
      </w:r>
      <w:r>
        <w:rPr>
          <w:rFonts w:hint="eastAsia"/>
          <w:sz w:val="24"/>
        </w:rPr>
        <w:t>校</w:t>
      </w:r>
      <w:r>
        <w:rPr>
          <w:sz w:val="24"/>
        </w:rPr>
        <w:t>新能源汽车</w:t>
      </w:r>
      <w:r>
        <w:rPr>
          <w:rFonts w:hint="eastAsia"/>
          <w:sz w:val="24"/>
        </w:rPr>
        <w:t>运行安全性能检验</w:t>
      </w:r>
      <w:r>
        <w:rPr>
          <w:sz w:val="24"/>
        </w:rPr>
        <w:t>设备</w:t>
      </w:r>
      <w:r>
        <w:rPr>
          <w:rFonts w:hint="eastAsia"/>
          <w:sz w:val="24"/>
        </w:rPr>
        <w:t>充电功率</w:t>
      </w:r>
      <w:r>
        <w:rPr>
          <w:sz w:val="24"/>
        </w:rPr>
        <w:t>与</w:t>
      </w:r>
      <w:r>
        <w:rPr>
          <w:rFonts w:hint="eastAsia"/>
          <w:sz w:val="24"/>
        </w:rPr>
        <w:t>非车载充电机现场检测仪</w:t>
      </w:r>
      <w:r>
        <w:rPr>
          <w:sz w:val="24"/>
        </w:rPr>
        <w:t>测得的</w:t>
      </w:r>
      <w:r>
        <w:rPr>
          <w:rFonts w:hint="eastAsia"/>
          <w:sz w:val="24"/>
        </w:rPr>
        <w:t>功率</w:t>
      </w:r>
      <w:r>
        <w:rPr>
          <w:sz w:val="24"/>
        </w:rPr>
        <w:t>相比较，确定被</w:t>
      </w:r>
      <w:r>
        <w:rPr>
          <w:rFonts w:hint="eastAsia"/>
          <w:sz w:val="24"/>
        </w:rPr>
        <w:t>校</w:t>
      </w:r>
      <w:r>
        <w:rPr>
          <w:sz w:val="24"/>
        </w:rPr>
        <w:t>新能源汽车</w:t>
      </w:r>
      <w:r>
        <w:rPr>
          <w:rFonts w:hint="eastAsia"/>
          <w:sz w:val="24"/>
        </w:rPr>
        <w:t>运行安全性能检验</w:t>
      </w:r>
      <w:r>
        <w:rPr>
          <w:sz w:val="24"/>
        </w:rPr>
        <w:t>设备</w:t>
      </w:r>
      <w:r>
        <w:rPr>
          <w:rFonts w:hint="eastAsia"/>
          <w:sz w:val="24"/>
        </w:rPr>
        <w:t>充电功率</w:t>
      </w:r>
      <w:r>
        <w:rPr>
          <w:sz w:val="24"/>
        </w:rPr>
        <w:t>的</w:t>
      </w:r>
      <w:r>
        <w:rPr>
          <w:rFonts w:hint="eastAsia"/>
          <w:sz w:val="24"/>
        </w:rPr>
        <w:t>工作</w:t>
      </w:r>
      <w:r>
        <w:rPr>
          <w:sz w:val="24"/>
        </w:rPr>
        <w:t>误差</w:t>
      </w:r>
      <m:oMath>
        <m:r>
          <w:rPr>
            <w:rFonts w:ascii="Cambria Math" w:hAnsi="Cambria Math" w:hint="eastAsia"/>
            <w:sz w:val="24"/>
          </w:rPr>
          <m:t>γ</m:t>
        </m:r>
      </m:oMath>
      <w:r>
        <w:rPr>
          <w:sz w:val="24"/>
        </w:rPr>
        <w:t>（</w:t>
      </w:r>
      <w:r>
        <w:rPr>
          <w:sz w:val="24"/>
        </w:rPr>
        <w:t>%</w:t>
      </w:r>
      <w:r>
        <w:rPr>
          <w:sz w:val="24"/>
        </w:rPr>
        <w:t>）。</w:t>
      </w:r>
    </w:p>
    <w:p w:rsidR="0022218F" w:rsidRDefault="002E4460">
      <w:pPr>
        <w:tabs>
          <w:tab w:val="left" w:pos="425"/>
        </w:tabs>
        <w:spacing w:line="360" w:lineRule="auto"/>
        <w:rPr>
          <w:sz w:val="28"/>
        </w:rPr>
      </w:pPr>
      <w:r>
        <w:rPr>
          <w:b/>
          <w:sz w:val="28"/>
        </w:rPr>
        <w:t>2</w:t>
      </w:r>
      <w:r>
        <w:rPr>
          <w:b/>
          <w:sz w:val="28"/>
        </w:rPr>
        <w:t>建立数学模型</w:t>
      </w:r>
      <w:r>
        <w:rPr>
          <w:rFonts w:hint="eastAsia"/>
          <w:b/>
          <w:sz w:val="28"/>
        </w:rPr>
        <w:t>，</w:t>
      </w:r>
      <w:r>
        <w:rPr>
          <w:b/>
          <w:sz w:val="28"/>
        </w:rPr>
        <w:t>列出不确定度传播律</w:t>
      </w:r>
      <w:r w:rsidR="0022218F" w:rsidRPr="0022218F">
        <w:rPr>
          <w:position w:val="-10"/>
          <w:sz w:val="28"/>
        </w:rPr>
        <w:object w:dxaOrig="1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5.75pt" o:ole="" fillcolor="#000005">
            <v:imagedata r:id="rId6" o:title=""/>
          </v:shape>
          <o:OLEObject Type="Embed" ProgID="Equation.2" ShapeID="_x0000_i1025" DrawAspect="Content" ObjectID="_1823317423" r:id="rId7"/>
        </w:object>
      </w:r>
    </w:p>
    <w:p w:rsidR="0022218F" w:rsidRDefault="002E4460">
      <w:pPr>
        <w:spacing w:line="360" w:lineRule="auto"/>
        <w:rPr>
          <w:sz w:val="24"/>
        </w:rPr>
      </w:pPr>
      <w:r>
        <w:rPr>
          <w:sz w:val="24"/>
        </w:rPr>
        <w:t>2.1</w:t>
      </w:r>
      <w:r>
        <w:rPr>
          <w:sz w:val="24"/>
        </w:rPr>
        <w:t>数学模型</w:t>
      </w:r>
    </w:p>
    <w:p w:rsidR="0022218F" w:rsidRDefault="002E4460">
      <w:pPr>
        <w:spacing w:line="360" w:lineRule="auto"/>
        <w:jc w:val="center"/>
        <w:rPr>
          <w:sz w:val="24"/>
        </w:rPr>
      </w:pPr>
      <m:oMath>
        <m:r>
          <w:rPr>
            <w:rFonts w:ascii="Cambria Math" w:hAnsi="Cambria Math" w:hint="eastAsia"/>
            <w:sz w:val="24"/>
          </w:rPr>
          <m:t>γ</m:t>
        </m:r>
        <m:r>
          <w:rPr>
            <w:rFonts w:ascii="Cambria Math" w:hAnsi="Cambria Math"/>
            <w:sz w:val="24"/>
          </w:rPr>
          <m:t>=</m:t>
        </m:r>
        <m:f>
          <m:fPr>
            <m:ctrlPr>
              <w:rPr>
                <w:rFonts w:ascii="Cambria Math" w:hAnsi="Cambria Math"/>
                <w:i/>
                <w:sz w:val="24"/>
              </w:rPr>
            </m:ctrlPr>
          </m:fPr>
          <m:num>
            <m:sSub>
              <m:sSubPr>
                <m:ctrlPr>
                  <w:rPr>
                    <w:rFonts w:ascii="Cambria Math" w:hAnsi="Cambria Math"/>
                    <w:i/>
                    <w:iCs/>
                    <w:sz w:val="24"/>
                  </w:rPr>
                </m:ctrlPr>
              </m:sSubPr>
              <m:e>
                <m:r>
                  <w:rPr>
                    <w:rFonts w:ascii="Cambria Math" w:hAnsi="Cambria Math"/>
                    <w:sz w:val="24"/>
                  </w:rPr>
                  <m:t>p</m:t>
                </m:r>
              </m:e>
              <m:sub>
                <m:r>
                  <w:rPr>
                    <w:rFonts w:ascii="Cambria Math" w:hAnsi="Cambria Math"/>
                    <w:sz w:val="24"/>
                  </w:rPr>
                  <m:t>x</m:t>
                </m:r>
              </m:sub>
            </m:sSub>
            <m:r>
              <w:rPr>
                <w:rFonts w:ascii="Cambria Math" w:hAnsi="Cambria Math"/>
                <w:sz w:val="24"/>
              </w:rPr>
              <m:t>-</m:t>
            </m:r>
            <m:sSub>
              <m:sSubPr>
                <m:ctrlPr>
                  <w:rPr>
                    <w:rFonts w:ascii="Cambria Math" w:hAnsi="Cambria Math"/>
                    <w:i/>
                    <w:iCs/>
                    <w:sz w:val="24"/>
                  </w:rPr>
                </m:ctrlPr>
              </m:sSubPr>
              <m:e>
                <m:r>
                  <w:rPr>
                    <w:rFonts w:ascii="Cambria Math" w:hAnsi="Cambria Math"/>
                    <w:sz w:val="24"/>
                  </w:rPr>
                  <m:t>p</m:t>
                </m:r>
              </m:e>
              <m:sub>
                <m:r>
                  <w:rPr>
                    <w:rFonts w:ascii="Cambria Math" w:hAnsi="Cambria Math" w:hint="eastAsia"/>
                    <w:sz w:val="24"/>
                  </w:rPr>
                  <m:t>0</m:t>
                </m:r>
              </m:sub>
            </m:sSub>
          </m:num>
          <m:den>
            <m:sSub>
              <m:sSubPr>
                <m:ctrlPr>
                  <w:rPr>
                    <w:rFonts w:ascii="Cambria Math" w:hAnsi="Cambria Math"/>
                    <w:i/>
                    <w:iCs/>
                    <w:sz w:val="24"/>
                  </w:rPr>
                </m:ctrlPr>
              </m:sSubPr>
              <m:e>
                <m:r>
                  <w:rPr>
                    <w:rFonts w:ascii="Cambria Math" w:hAnsi="Cambria Math"/>
                    <w:sz w:val="24"/>
                  </w:rPr>
                  <m:t>p</m:t>
                </m:r>
              </m:e>
              <m:sub>
                <m:r>
                  <w:rPr>
                    <w:rFonts w:ascii="Cambria Math" w:hAnsi="Cambria Math" w:hint="eastAsia"/>
                    <w:sz w:val="24"/>
                  </w:rPr>
                  <m:t>0</m:t>
                </m:r>
              </m:sub>
            </m:sSub>
          </m:den>
        </m:f>
      </m:oMath>
      <w:r w:rsidR="0022218F">
        <w:rPr>
          <w:rFonts w:hAnsi="Cambria Math"/>
          <w:sz w:val="24"/>
        </w:rPr>
        <w:fldChar w:fldCharType="begin"/>
      </w:r>
      <w:r>
        <w:rPr>
          <w:rFonts w:hAnsi="Cambria Math"/>
          <w:sz w:val="24"/>
        </w:rPr>
        <w:instrText xml:space="preserve"> QUOTE </w:instrText>
      </w:r>
      <w:r w:rsidR="007356E5" w:rsidRPr="0022218F">
        <w:rPr>
          <w:position w:val="-26"/>
        </w:rPr>
        <w:pict>
          <v:shape id="_x0000_i1026" type="#_x0000_t75" style="width:47.25pt;height:32.25pt" equationxml="&lt;">
            <v:imagedata r:id="rId8" o:title="" chromakey="white"/>
          </v:shape>
        </w:pict>
      </w:r>
      <w:r w:rsidR="0022218F">
        <w:rPr>
          <w:rFonts w:hAnsi="Cambria Math"/>
          <w:sz w:val="24"/>
        </w:rPr>
        <w:fldChar w:fldCharType="end"/>
      </w:r>
    </w:p>
    <w:p w:rsidR="0022218F" w:rsidRDefault="002E4460">
      <w:pPr>
        <w:spacing w:line="360" w:lineRule="auto"/>
        <w:rPr>
          <w:rFonts w:hAnsi="Cambria Math" w:hint="eastAsia"/>
          <w:sz w:val="24"/>
        </w:rPr>
      </w:pPr>
      <w:r>
        <w:rPr>
          <w:rFonts w:hAnsi="Cambria Math" w:hint="eastAsia"/>
          <w:sz w:val="24"/>
        </w:rPr>
        <w:t>式中，</w:t>
      </w:r>
      <m:oMath>
        <m:sSub>
          <m:sSubPr>
            <m:ctrlPr>
              <w:rPr>
                <w:rFonts w:ascii="Cambria Math" w:hAnsi="Cambria Math"/>
                <w:i/>
                <w:iCs/>
                <w:sz w:val="24"/>
              </w:rPr>
            </m:ctrlPr>
          </m:sSubPr>
          <m:e>
            <m:r>
              <w:rPr>
                <w:rFonts w:ascii="Cambria Math" w:hAnsi="Cambria Math"/>
                <w:sz w:val="24"/>
              </w:rPr>
              <m:t>p</m:t>
            </m:r>
          </m:e>
          <m:sub>
            <m:r>
              <w:rPr>
                <w:rFonts w:ascii="Cambria Math" w:hAnsi="Cambria Math" w:hint="eastAsia"/>
                <w:sz w:val="24"/>
              </w:rPr>
              <m:t>0</m:t>
            </m:r>
          </m:sub>
        </m:sSub>
      </m:oMath>
      <w:r>
        <w:rPr>
          <w:sz w:val="24"/>
        </w:rPr>
        <w:t>——</w:t>
      </w:r>
      <w:r>
        <w:rPr>
          <w:rFonts w:hint="eastAsia"/>
        </w:rPr>
        <w:t>非车载充电机现场检测仪</w:t>
      </w:r>
      <w:r>
        <w:rPr>
          <w:rFonts w:hAnsi="Cambria Math" w:hint="eastAsia"/>
          <w:sz w:val="24"/>
        </w:rPr>
        <w:t>的显示值，</w:t>
      </w:r>
      <w:r>
        <w:rPr>
          <w:rFonts w:hint="eastAsia"/>
        </w:rPr>
        <w:t>kW</w:t>
      </w:r>
      <w:r>
        <w:rPr>
          <w:rFonts w:hAnsi="Cambria Math" w:hint="eastAsia"/>
          <w:sz w:val="24"/>
        </w:rPr>
        <w:t>；</w:t>
      </w:r>
    </w:p>
    <w:p w:rsidR="0022218F" w:rsidRDefault="0022218F">
      <w:pPr>
        <w:spacing w:line="360" w:lineRule="auto"/>
        <w:ind w:firstLineChars="300" w:firstLine="720"/>
        <w:rPr>
          <w:rFonts w:hAnsi="Cambria Math" w:hint="eastAsia"/>
          <w:sz w:val="24"/>
        </w:rPr>
      </w:pPr>
      <m:oMath>
        <m:sSub>
          <m:sSubPr>
            <m:ctrlPr>
              <w:rPr>
                <w:rFonts w:ascii="Cambria Math" w:hAnsi="Cambria Math"/>
                <w:i/>
                <w:iCs/>
                <w:sz w:val="24"/>
              </w:rPr>
            </m:ctrlPr>
          </m:sSubPr>
          <m:e>
            <m:r>
              <w:rPr>
                <w:rFonts w:ascii="Cambria Math" w:hAnsi="Cambria Math"/>
                <w:sz w:val="24"/>
              </w:rPr>
              <m:t>p</m:t>
            </m:r>
          </m:e>
          <m:sub>
            <m:r>
              <w:rPr>
                <w:rFonts w:ascii="Cambria Math" w:hAnsi="Cambria Math"/>
                <w:sz w:val="24"/>
              </w:rPr>
              <m:t>x</m:t>
            </m:r>
          </m:sub>
        </m:sSub>
      </m:oMath>
      <w:r w:rsidR="002E4460">
        <w:rPr>
          <w:sz w:val="24"/>
        </w:rPr>
        <w:t>——</w:t>
      </w:r>
      <w:r w:rsidR="002E4460">
        <w:rPr>
          <w:rFonts w:hAnsi="Cambria Math" w:hint="eastAsia"/>
          <w:sz w:val="24"/>
        </w:rPr>
        <w:t>被校设备的显示值，</w:t>
      </w:r>
      <w:r w:rsidR="002E4460">
        <w:rPr>
          <w:rFonts w:hint="eastAsia"/>
        </w:rPr>
        <w:t>kW</w:t>
      </w:r>
      <w:r w:rsidR="002E4460">
        <w:rPr>
          <w:rFonts w:hAnsi="Cambria Math" w:hint="eastAsia"/>
          <w:sz w:val="24"/>
        </w:rPr>
        <w:t>；</w:t>
      </w:r>
    </w:p>
    <w:p w:rsidR="0022218F" w:rsidRDefault="002E4460">
      <w:pPr>
        <w:spacing w:line="360" w:lineRule="auto"/>
        <w:ind w:leftChars="342" w:left="1558" w:hangingChars="350" w:hanging="840"/>
        <w:rPr>
          <w:sz w:val="24"/>
        </w:rPr>
      </w:pPr>
      <w:r>
        <w:rPr>
          <w:rFonts w:hAnsi="Cambria Math" w:hint="eastAsia"/>
          <w:sz w:val="24"/>
        </w:rPr>
        <w:t>γ</w:t>
      </w:r>
      <w:r>
        <w:rPr>
          <w:sz w:val="24"/>
        </w:rPr>
        <w:t>——</w:t>
      </w:r>
      <w:r>
        <w:rPr>
          <w:rFonts w:hAnsi="Cambria Math" w:hint="eastAsia"/>
          <w:sz w:val="24"/>
        </w:rPr>
        <w:t>被校设备的功率误差，</w:t>
      </w:r>
      <w:r>
        <w:rPr>
          <w:rFonts w:hint="eastAsia"/>
        </w:rPr>
        <w:t>%</w:t>
      </w:r>
      <w:r>
        <w:rPr>
          <w:rFonts w:hAnsi="Cambria Math" w:hint="eastAsia"/>
          <w:sz w:val="24"/>
        </w:rPr>
        <w:t>。</w:t>
      </w:r>
    </w:p>
    <w:p w:rsidR="0022218F" w:rsidRDefault="002E4460">
      <w:pPr>
        <w:spacing w:line="360" w:lineRule="auto"/>
        <w:rPr>
          <w:sz w:val="24"/>
        </w:rPr>
      </w:pPr>
      <w:r>
        <w:rPr>
          <w:sz w:val="24"/>
        </w:rPr>
        <w:t xml:space="preserve">2.2 </w:t>
      </w:r>
      <w:r>
        <w:rPr>
          <w:sz w:val="24"/>
        </w:rPr>
        <w:t>列出不确定度的传播律：</w:t>
      </w:r>
    </w:p>
    <w:p w:rsidR="0022218F" w:rsidRDefault="0022218F">
      <w:pPr>
        <w:spacing w:line="360" w:lineRule="auto"/>
        <w:jc w:val="center"/>
        <w:rPr>
          <w:sz w:val="24"/>
        </w:rPr>
      </w:pPr>
      <w:r w:rsidRPr="0022218F">
        <w:rPr>
          <w:rFonts w:hint="eastAsia"/>
          <w:position w:val="-12"/>
          <w:sz w:val="24"/>
        </w:rPr>
        <w:object w:dxaOrig="2720" w:dyaOrig="380">
          <v:shape id="_x0000_i1027" type="#_x0000_t75" style="width:135.75pt;height:18.75pt" o:ole="">
            <v:imagedata r:id="rId9" o:title=""/>
          </v:shape>
          <o:OLEObject Type="Embed" ProgID="Equation.3" ShapeID="_x0000_i1027" DrawAspect="Content" ObjectID="_1823317424" r:id="rId10"/>
        </w:object>
      </w:r>
    </w:p>
    <w:p w:rsidR="0022218F" w:rsidRDefault="002E4460">
      <w:pPr>
        <w:spacing w:line="360" w:lineRule="auto"/>
        <w:ind w:firstLineChars="300" w:firstLine="720"/>
        <w:rPr>
          <w:sz w:val="24"/>
        </w:rPr>
      </w:pPr>
      <w:r>
        <w:rPr>
          <w:rFonts w:hint="eastAsia"/>
          <w:sz w:val="24"/>
        </w:rPr>
        <w:t>其中</w:t>
      </w:r>
      <w:r w:rsidR="0022218F" w:rsidRPr="0022218F">
        <w:rPr>
          <w:rFonts w:hint="eastAsia"/>
          <w:position w:val="-30"/>
          <w:sz w:val="24"/>
        </w:rPr>
        <w:object w:dxaOrig="780" w:dyaOrig="680">
          <v:shape id="_x0000_i1028" type="#_x0000_t75" style="width:39pt;height:33.75pt" o:ole="">
            <v:imagedata r:id="rId11" o:title=""/>
          </v:shape>
          <o:OLEObject Type="Embed" ProgID="Equation.3" ShapeID="_x0000_i1028" DrawAspect="Content" ObjectID="_1823317425" r:id="rId12"/>
        </w:object>
      </w:r>
      <w:r>
        <w:rPr>
          <w:rFonts w:hint="eastAsia"/>
          <w:sz w:val="24"/>
        </w:rPr>
        <w:t>，</w:t>
      </w:r>
      <w:r w:rsidR="0022218F" w:rsidRPr="0022218F">
        <w:rPr>
          <w:rFonts w:hint="eastAsia"/>
          <w:position w:val="-30"/>
          <w:sz w:val="24"/>
        </w:rPr>
        <w:object w:dxaOrig="920" w:dyaOrig="680">
          <v:shape id="_x0000_i1029" type="#_x0000_t75" style="width:45.75pt;height:33.75pt" o:ole="">
            <v:imagedata r:id="rId13" o:title=""/>
          </v:shape>
          <o:OLEObject Type="Embed" ProgID="Equation.3" ShapeID="_x0000_i1029" DrawAspect="Content" ObjectID="_1823317426" r:id="rId14"/>
        </w:object>
      </w:r>
    </w:p>
    <w:p w:rsidR="0022218F" w:rsidRDefault="002E4460">
      <w:pPr>
        <w:rPr>
          <w:rFonts w:ascii="宋体" w:hAnsi="宋体"/>
          <w:b/>
          <w:sz w:val="28"/>
        </w:rPr>
      </w:pPr>
      <w:r>
        <w:rPr>
          <w:rFonts w:ascii="宋体" w:hAnsi="宋体" w:hint="eastAsia"/>
          <w:b/>
          <w:sz w:val="28"/>
        </w:rPr>
        <w:t>3.</w:t>
      </w:r>
      <w:r>
        <w:rPr>
          <w:rFonts w:ascii="宋体" w:hAnsi="宋体"/>
          <w:b/>
          <w:sz w:val="28"/>
        </w:rPr>
        <w:t>标准不确定度的来源及评定</w:t>
      </w:r>
    </w:p>
    <w:p w:rsidR="0022218F" w:rsidRDefault="002E4460">
      <w:pPr>
        <w:spacing w:line="360" w:lineRule="auto"/>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被校新能源电动汽车运行安全检测设备测量重复性引入的标准不确定度</w:t>
      </w:r>
      <w:r>
        <w:rPr>
          <w:rFonts w:ascii="Times New Roman" w:hAnsi="Times New Roman" w:cs="Times New Roman"/>
          <w:i/>
          <w:iCs/>
          <w:sz w:val="24"/>
        </w:rPr>
        <w:t>u(pxA)</w:t>
      </w:r>
      <w:r>
        <w:rPr>
          <w:rFonts w:ascii="Times New Roman" w:hAnsi="Times New Roman" w:cs="Times New Roman"/>
          <w:sz w:val="24"/>
        </w:rPr>
        <w:t>，按</w:t>
      </w:r>
      <w:r>
        <w:rPr>
          <w:rFonts w:ascii="Times New Roman" w:hAnsi="Times New Roman" w:cs="Times New Roman"/>
          <w:sz w:val="24"/>
        </w:rPr>
        <w:t>A</w:t>
      </w:r>
      <w:r>
        <w:rPr>
          <w:rFonts w:ascii="Times New Roman" w:hAnsi="Times New Roman" w:cs="Times New Roman"/>
          <w:sz w:val="24"/>
        </w:rPr>
        <w:t>类不确定度评定；</w:t>
      </w:r>
    </w:p>
    <w:p w:rsidR="0022218F" w:rsidRDefault="002E4460">
      <w:pPr>
        <w:spacing w:line="360" w:lineRule="auto"/>
        <w:rPr>
          <w:rFonts w:ascii="Times New Roman" w:hAnsi="Times New Roman" w:cs="Times New Roman"/>
          <w:sz w:val="24"/>
        </w:rPr>
      </w:pPr>
      <w:r>
        <w:rPr>
          <w:rFonts w:ascii="Times New Roman" w:hAnsi="Times New Roman" w:cs="Times New Roman"/>
          <w:sz w:val="24"/>
        </w:rPr>
        <w:t>对被校</w:t>
      </w:r>
      <w:r>
        <w:rPr>
          <w:rFonts w:ascii="Times New Roman" w:hAnsi="Times New Roman" w:cs="Times New Roman" w:hint="eastAsia"/>
          <w:sz w:val="24"/>
        </w:rPr>
        <w:t>系统</w:t>
      </w:r>
      <w:r>
        <w:rPr>
          <w:rFonts w:ascii="Times New Roman" w:hAnsi="Times New Roman" w:cs="Times New Roman"/>
          <w:sz w:val="24"/>
        </w:rPr>
        <w:t>选取充电电压</w:t>
      </w:r>
      <w:r>
        <w:rPr>
          <w:rFonts w:ascii="Times New Roman" w:hAnsi="Times New Roman" w:cs="Times New Roman"/>
          <w:i/>
          <w:iCs/>
          <w:sz w:val="24"/>
        </w:rPr>
        <w:t>V</w:t>
      </w:r>
      <w:r>
        <w:rPr>
          <w:rFonts w:ascii="Times New Roman" w:hAnsi="Times New Roman" w:cs="Times New Roman"/>
          <w:sz w:val="24"/>
        </w:rPr>
        <w:t>=500V</w:t>
      </w:r>
      <w:r>
        <w:rPr>
          <w:rFonts w:ascii="Times New Roman" w:hAnsi="Times New Roman" w:cs="Times New Roman"/>
          <w:sz w:val="24"/>
        </w:rPr>
        <w:t>，充电电流</w:t>
      </w:r>
      <w:r>
        <w:rPr>
          <w:rFonts w:ascii="Times New Roman" w:hAnsi="Times New Roman" w:cs="Times New Roman"/>
          <w:i/>
          <w:iCs/>
          <w:sz w:val="24"/>
        </w:rPr>
        <w:t>I</w:t>
      </w:r>
      <w:r>
        <w:rPr>
          <w:rFonts w:ascii="Times New Roman" w:hAnsi="Times New Roman" w:cs="Times New Roman"/>
          <w:sz w:val="24"/>
        </w:rPr>
        <w:t>=100A</w:t>
      </w:r>
      <w:r>
        <w:rPr>
          <w:rFonts w:ascii="Times New Roman" w:hAnsi="Times New Roman" w:cs="Times New Roman"/>
          <w:sz w:val="24"/>
        </w:rPr>
        <w:t>，重复条件下测量</w:t>
      </w:r>
      <w:r>
        <w:rPr>
          <w:rFonts w:ascii="Times New Roman" w:hAnsi="Times New Roman" w:cs="Times New Roman"/>
          <w:sz w:val="24"/>
        </w:rPr>
        <w:t>10</w:t>
      </w:r>
      <w:r>
        <w:rPr>
          <w:rFonts w:ascii="Times New Roman" w:hAnsi="Times New Roman" w:cs="Times New Roman"/>
          <w:sz w:val="24"/>
        </w:rPr>
        <w:t>次，所得数据如表</w:t>
      </w:r>
      <w:r>
        <w:rPr>
          <w:rFonts w:ascii="Times New Roman" w:hAnsi="Times New Roman" w:cs="Times New Roman"/>
          <w:sz w:val="24"/>
        </w:rPr>
        <w:t>1</w:t>
      </w:r>
      <w:r>
        <w:rPr>
          <w:rFonts w:ascii="Times New Roman" w:hAnsi="Times New Roman" w:cs="Times New Roman"/>
          <w:sz w:val="24"/>
        </w:rPr>
        <w:t>所示：</w:t>
      </w:r>
    </w:p>
    <w:p w:rsidR="0022218F" w:rsidRDefault="002E4460">
      <w:pPr>
        <w:jc w:val="center"/>
        <w:rPr>
          <w:rFonts w:ascii="Times New Roman" w:hAnsi="Times New Roman" w:cs="Times New Roman"/>
          <w:sz w:val="24"/>
        </w:rPr>
      </w:pPr>
      <w:r>
        <w:rPr>
          <w:rFonts w:ascii="Times New Roman" w:hAnsi="Times New Roman" w:cs="Times New Roman" w:hint="eastAsia"/>
          <w:szCs w:val="24"/>
        </w:rPr>
        <w:t>表</w:t>
      </w:r>
      <w:r>
        <w:rPr>
          <w:rFonts w:ascii="Times New Roman" w:hAnsi="Times New Roman" w:cs="Times New Roman" w:hint="eastAsia"/>
          <w:szCs w:val="24"/>
        </w:rPr>
        <w:t>1</w:t>
      </w:r>
    </w:p>
    <w:tbl>
      <w:tblPr>
        <w:tblStyle w:val="a6"/>
        <w:tblW w:w="0" w:type="auto"/>
        <w:jc w:val="center"/>
        <w:tblLook w:val="04A0"/>
      </w:tblPr>
      <w:tblGrid>
        <w:gridCol w:w="1312"/>
        <w:gridCol w:w="721"/>
        <w:gridCol w:w="721"/>
        <w:gridCol w:w="721"/>
        <w:gridCol w:w="721"/>
        <w:gridCol w:w="721"/>
        <w:gridCol w:w="721"/>
        <w:gridCol w:w="721"/>
        <w:gridCol w:w="721"/>
        <w:gridCol w:w="721"/>
        <w:gridCol w:w="721"/>
      </w:tblGrid>
      <w:tr w:rsidR="0022218F">
        <w:trPr>
          <w:jc w:val="center"/>
        </w:trPr>
        <w:tc>
          <w:tcPr>
            <w:tcW w:w="1466" w:type="dxa"/>
            <w:vAlign w:val="center"/>
          </w:tcPr>
          <w:p w:rsidR="0022218F" w:rsidRDefault="002E4460">
            <w:pPr>
              <w:jc w:val="center"/>
              <w:rPr>
                <w:sz w:val="24"/>
              </w:rPr>
            </w:pPr>
            <w:r>
              <w:rPr>
                <w:rFonts w:ascii="Times New Roman" w:hAnsi="Times New Roman" w:cs="Times New Roman" w:hint="eastAsia"/>
                <w:szCs w:val="24"/>
              </w:rPr>
              <w:t>序号</w:t>
            </w:r>
          </w:p>
        </w:tc>
        <w:tc>
          <w:tcPr>
            <w:tcW w:w="728" w:type="dxa"/>
            <w:vAlign w:val="center"/>
          </w:tcPr>
          <w:p w:rsidR="0022218F" w:rsidRDefault="002E4460">
            <w:pPr>
              <w:jc w:val="center"/>
              <w:rPr>
                <w:sz w:val="24"/>
              </w:rPr>
            </w:pPr>
            <w:r>
              <w:rPr>
                <w:rFonts w:ascii="Times New Roman" w:hAnsi="Times New Roman" w:cs="Times New Roman" w:hint="eastAsia"/>
                <w:szCs w:val="24"/>
              </w:rPr>
              <w:t>1</w:t>
            </w:r>
          </w:p>
        </w:tc>
        <w:tc>
          <w:tcPr>
            <w:tcW w:w="728" w:type="dxa"/>
            <w:vAlign w:val="center"/>
          </w:tcPr>
          <w:p w:rsidR="0022218F" w:rsidRDefault="002E4460">
            <w:pPr>
              <w:jc w:val="center"/>
              <w:rPr>
                <w:sz w:val="24"/>
              </w:rPr>
            </w:pPr>
            <w:r>
              <w:rPr>
                <w:rFonts w:ascii="Times New Roman" w:hAnsi="Times New Roman" w:cs="Times New Roman" w:hint="eastAsia"/>
                <w:szCs w:val="24"/>
              </w:rPr>
              <w:t>2</w:t>
            </w:r>
          </w:p>
        </w:tc>
        <w:tc>
          <w:tcPr>
            <w:tcW w:w="729" w:type="dxa"/>
            <w:vAlign w:val="center"/>
          </w:tcPr>
          <w:p w:rsidR="0022218F" w:rsidRDefault="002E4460">
            <w:pPr>
              <w:jc w:val="center"/>
              <w:rPr>
                <w:sz w:val="24"/>
              </w:rPr>
            </w:pPr>
            <w:r>
              <w:rPr>
                <w:rFonts w:ascii="Times New Roman" w:hAnsi="Times New Roman" w:cs="Times New Roman" w:hint="eastAsia"/>
                <w:szCs w:val="24"/>
              </w:rPr>
              <w:t>3</w:t>
            </w:r>
          </w:p>
        </w:tc>
        <w:tc>
          <w:tcPr>
            <w:tcW w:w="729" w:type="dxa"/>
            <w:vAlign w:val="center"/>
          </w:tcPr>
          <w:p w:rsidR="0022218F" w:rsidRDefault="002E4460">
            <w:pPr>
              <w:jc w:val="center"/>
              <w:rPr>
                <w:sz w:val="24"/>
              </w:rPr>
            </w:pPr>
            <w:r>
              <w:rPr>
                <w:rFonts w:ascii="Times New Roman" w:hAnsi="Times New Roman" w:cs="Times New Roman" w:hint="eastAsia"/>
                <w:szCs w:val="24"/>
              </w:rPr>
              <w:t>4</w:t>
            </w:r>
          </w:p>
        </w:tc>
        <w:tc>
          <w:tcPr>
            <w:tcW w:w="729" w:type="dxa"/>
            <w:vAlign w:val="center"/>
          </w:tcPr>
          <w:p w:rsidR="0022218F" w:rsidRDefault="002E4460">
            <w:pPr>
              <w:jc w:val="center"/>
              <w:rPr>
                <w:sz w:val="24"/>
              </w:rPr>
            </w:pPr>
            <w:r>
              <w:rPr>
                <w:rFonts w:ascii="Times New Roman" w:hAnsi="Times New Roman" w:cs="Times New Roman" w:hint="eastAsia"/>
                <w:szCs w:val="24"/>
              </w:rPr>
              <w:t>5</w:t>
            </w:r>
          </w:p>
        </w:tc>
        <w:tc>
          <w:tcPr>
            <w:tcW w:w="729" w:type="dxa"/>
            <w:vAlign w:val="center"/>
          </w:tcPr>
          <w:p w:rsidR="0022218F" w:rsidRDefault="002E4460">
            <w:pPr>
              <w:jc w:val="center"/>
              <w:rPr>
                <w:sz w:val="24"/>
              </w:rPr>
            </w:pPr>
            <w:r>
              <w:rPr>
                <w:rFonts w:ascii="Times New Roman" w:hAnsi="Times New Roman" w:cs="Times New Roman" w:hint="eastAsia"/>
                <w:szCs w:val="24"/>
              </w:rPr>
              <w:t>6</w:t>
            </w:r>
          </w:p>
        </w:tc>
        <w:tc>
          <w:tcPr>
            <w:tcW w:w="729" w:type="dxa"/>
            <w:vAlign w:val="center"/>
          </w:tcPr>
          <w:p w:rsidR="0022218F" w:rsidRDefault="002E4460">
            <w:pPr>
              <w:jc w:val="center"/>
              <w:rPr>
                <w:sz w:val="24"/>
              </w:rPr>
            </w:pPr>
            <w:r>
              <w:rPr>
                <w:rFonts w:ascii="Times New Roman" w:hAnsi="Times New Roman" w:cs="Times New Roman" w:hint="eastAsia"/>
                <w:szCs w:val="24"/>
              </w:rPr>
              <w:t>7</w:t>
            </w:r>
          </w:p>
        </w:tc>
        <w:tc>
          <w:tcPr>
            <w:tcW w:w="729" w:type="dxa"/>
            <w:vAlign w:val="center"/>
          </w:tcPr>
          <w:p w:rsidR="0022218F" w:rsidRDefault="002E4460">
            <w:pPr>
              <w:jc w:val="center"/>
              <w:rPr>
                <w:sz w:val="24"/>
              </w:rPr>
            </w:pPr>
            <w:r>
              <w:rPr>
                <w:rFonts w:ascii="Times New Roman" w:hAnsi="Times New Roman" w:cs="Times New Roman" w:hint="eastAsia"/>
                <w:szCs w:val="24"/>
              </w:rPr>
              <w:t>8</w:t>
            </w:r>
          </w:p>
        </w:tc>
        <w:tc>
          <w:tcPr>
            <w:tcW w:w="729" w:type="dxa"/>
            <w:vAlign w:val="center"/>
          </w:tcPr>
          <w:p w:rsidR="0022218F" w:rsidRDefault="002E4460">
            <w:pPr>
              <w:jc w:val="center"/>
              <w:rPr>
                <w:sz w:val="24"/>
              </w:rPr>
            </w:pPr>
            <w:r>
              <w:rPr>
                <w:rFonts w:ascii="Times New Roman" w:hAnsi="Times New Roman" w:cs="Times New Roman" w:hint="eastAsia"/>
                <w:szCs w:val="24"/>
              </w:rPr>
              <w:t>9</w:t>
            </w:r>
          </w:p>
        </w:tc>
        <w:tc>
          <w:tcPr>
            <w:tcW w:w="729" w:type="dxa"/>
            <w:vAlign w:val="center"/>
          </w:tcPr>
          <w:p w:rsidR="0022218F" w:rsidRDefault="002E4460">
            <w:pPr>
              <w:jc w:val="center"/>
              <w:rPr>
                <w:sz w:val="24"/>
              </w:rPr>
            </w:pPr>
            <w:r>
              <w:rPr>
                <w:rFonts w:ascii="Times New Roman" w:hAnsi="Times New Roman" w:cs="Times New Roman" w:hint="eastAsia"/>
                <w:szCs w:val="24"/>
              </w:rPr>
              <w:t>10</w:t>
            </w:r>
          </w:p>
        </w:tc>
      </w:tr>
      <w:tr w:rsidR="0022218F">
        <w:trPr>
          <w:trHeight w:val="486"/>
          <w:jc w:val="center"/>
        </w:trPr>
        <w:tc>
          <w:tcPr>
            <w:tcW w:w="1466" w:type="dxa"/>
            <w:vAlign w:val="center"/>
          </w:tcPr>
          <w:p w:rsidR="0022218F" w:rsidRDefault="002E4460">
            <w:pPr>
              <w:jc w:val="center"/>
              <w:rPr>
                <w:sz w:val="24"/>
              </w:rPr>
            </w:pPr>
            <w:r>
              <w:rPr>
                <w:rFonts w:ascii="Times New Roman" w:hAnsi="Times New Roman" w:cs="Times New Roman" w:hint="eastAsia"/>
                <w:szCs w:val="24"/>
              </w:rPr>
              <w:t>功率</w:t>
            </w:r>
            <w:r>
              <w:rPr>
                <w:rFonts w:ascii="Times New Roman" w:hAnsi="Times New Roman" w:cs="Times New Roman" w:hint="eastAsia"/>
                <w:szCs w:val="24"/>
              </w:rPr>
              <w:t>(kW)</w:t>
            </w:r>
          </w:p>
        </w:tc>
        <w:tc>
          <w:tcPr>
            <w:tcW w:w="728" w:type="dxa"/>
            <w:vAlign w:val="center"/>
          </w:tcPr>
          <w:p w:rsidR="0022218F" w:rsidRDefault="002E4460">
            <w:pPr>
              <w:jc w:val="center"/>
              <w:rPr>
                <w:sz w:val="24"/>
              </w:rPr>
            </w:pPr>
            <w:r>
              <w:rPr>
                <w:rFonts w:ascii="Times New Roman" w:hAnsi="Times New Roman" w:cs="Times New Roman" w:hint="eastAsia"/>
                <w:szCs w:val="24"/>
              </w:rPr>
              <w:t>49.50</w:t>
            </w:r>
          </w:p>
        </w:tc>
        <w:tc>
          <w:tcPr>
            <w:tcW w:w="728" w:type="dxa"/>
            <w:vAlign w:val="center"/>
          </w:tcPr>
          <w:p w:rsidR="0022218F" w:rsidRDefault="002E4460">
            <w:pPr>
              <w:jc w:val="center"/>
              <w:rPr>
                <w:sz w:val="24"/>
              </w:rPr>
            </w:pPr>
            <w:r>
              <w:rPr>
                <w:rFonts w:ascii="Times New Roman" w:hAnsi="Times New Roman" w:cs="Times New Roman" w:hint="eastAsia"/>
                <w:szCs w:val="24"/>
              </w:rPr>
              <w:t>49.45</w:t>
            </w:r>
          </w:p>
        </w:tc>
        <w:tc>
          <w:tcPr>
            <w:tcW w:w="729" w:type="dxa"/>
            <w:vAlign w:val="center"/>
          </w:tcPr>
          <w:p w:rsidR="0022218F" w:rsidRDefault="002E4460">
            <w:pPr>
              <w:jc w:val="center"/>
              <w:rPr>
                <w:sz w:val="24"/>
              </w:rPr>
            </w:pPr>
            <w:r>
              <w:rPr>
                <w:rFonts w:ascii="Times New Roman" w:hAnsi="Times New Roman" w:cs="Times New Roman" w:hint="eastAsia"/>
                <w:szCs w:val="24"/>
              </w:rPr>
              <w:t>49.48</w:t>
            </w:r>
          </w:p>
        </w:tc>
        <w:tc>
          <w:tcPr>
            <w:tcW w:w="729" w:type="dxa"/>
            <w:vAlign w:val="center"/>
          </w:tcPr>
          <w:p w:rsidR="0022218F" w:rsidRDefault="002E4460">
            <w:pPr>
              <w:jc w:val="center"/>
              <w:rPr>
                <w:sz w:val="24"/>
              </w:rPr>
            </w:pPr>
            <w:r>
              <w:rPr>
                <w:rFonts w:ascii="Times New Roman" w:hAnsi="Times New Roman" w:cs="Times New Roman" w:hint="eastAsia"/>
                <w:szCs w:val="24"/>
              </w:rPr>
              <w:t>49.52</w:t>
            </w:r>
          </w:p>
        </w:tc>
        <w:tc>
          <w:tcPr>
            <w:tcW w:w="729" w:type="dxa"/>
            <w:vAlign w:val="center"/>
          </w:tcPr>
          <w:p w:rsidR="0022218F" w:rsidRDefault="002E4460">
            <w:pPr>
              <w:jc w:val="center"/>
              <w:rPr>
                <w:sz w:val="24"/>
              </w:rPr>
            </w:pPr>
            <w:r>
              <w:rPr>
                <w:rFonts w:ascii="Times New Roman" w:hAnsi="Times New Roman" w:cs="Times New Roman" w:hint="eastAsia"/>
                <w:szCs w:val="24"/>
              </w:rPr>
              <w:t>49.55</w:t>
            </w:r>
          </w:p>
        </w:tc>
        <w:tc>
          <w:tcPr>
            <w:tcW w:w="729" w:type="dxa"/>
            <w:vAlign w:val="center"/>
          </w:tcPr>
          <w:p w:rsidR="0022218F" w:rsidRDefault="002E4460">
            <w:pPr>
              <w:jc w:val="center"/>
              <w:rPr>
                <w:sz w:val="24"/>
              </w:rPr>
            </w:pPr>
            <w:r>
              <w:rPr>
                <w:rFonts w:ascii="Times New Roman" w:hAnsi="Times New Roman" w:cs="Times New Roman" w:hint="eastAsia"/>
                <w:szCs w:val="24"/>
              </w:rPr>
              <w:t>49.38</w:t>
            </w:r>
          </w:p>
        </w:tc>
        <w:tc>
          <w:tcPr>
            <w:tcW w:w="729" w:type="dxa"/>
            <w:vAlign w:val="center"/>
          </w:tcPr>
          <w:p w:rsidR="0022218F" w:rsidRDefault="002E4460">
            <w:pPr>
              <w:jc w:val="center"/>
              <w:rPr>
                <w:sz w:val="24"/>
              </w:rPr>
            </w:pPr>
            <w:r>
              <w:rPr>
                <w:rFonts w:ascii="Times New Roman" w:hAnsi="Times New Roman" w:cs="Times New Roman" w:hint="eastAsia"/>
                <w:szCs w:val="24"/>
              </w:rPr>
              <w:t>49.40</w:t>
            </w:r>
          </w:p>
        </w:tc>
        <w:tc>
          <w:tcPr>
            <w:tcW w:w="729" w:type="dxa"/>
            <w:vAlign w:val="center"/>
          </w:tcPr>
          <w:p w:rsidR="0022218F" w:rsidRDefault="002E4460">
            <w:pPr>
              <w:jc w:val="center"/>
              <w:rPr>
                <w:sz w:val="24"/>
              </w:rPr>
            </w:pPr>
            <w:r>
              <w:rPr>
                <w:rFonts w:ascii="Times New Roman" w:hAnsi="Times New Roman" w:cs="Times New Roman" w:hint="eastAsia"/>
                <w:szCs w:val="24"/>
              </w:rPr>
              <w:t>49.60</w:t>
            </w:r>
          </w:p>
        </w:tc>
        <w:tc>
          <w:tcPr>
            <w:tcW w:w="729" w:type="dxa"/>
            <w:vAlign w:val="center"/>
          </w:tcPr>
          <w:p w:rsidR="0022218F" w:rsidRDefault="002E4460">
            <w:pPr>
              <w:jc w:val="center"/>
              <w:rPr>
                <w:sz w:val="24"/>
              </w:rPr>
            </w:pPr>
            <w:r>
              <w:rPr>
                <w:rFonts w:ascii="Times New Roman" w:hAnsi="Times New Roman" w:cs="Times New Roman" w:hint="eastAsia"/>
                <w:szCs w:val="24"/>
              </w:rPr>
              <w:t>49.62</w:t>
            </w:r>
          </w:p>
        </w:tc>
        <w:tc>
          <w:tcPr>
            <w:tcW w:w="729" w:type="dxa"/>
            <w:vAlign w:val="center"/>
          </w:tcPr>
          <w:p w:rsidR="0022218F" w:rsidRDefault="002E4460">
            <w:pPr>
              <w:jc w:val="center"/>
              <w:rPr>
                <w:sz w:val="24"/>
              </w:rPr>
            </w:pPr>
            <w:r>
              <w:rPr>
                <w:rFonts w:ascii="Times New Roman" w:hAnsi="Times New Roman" w:cs="Times New Roman" w:hint="eastAsia"/>
                <w:szCs w:val="24"/>
              </w:rPr>
              <w:t>49.51</w:t>
            </w:r>
          </w:p>
        </w:tc>
      </w:tr>
      <w:tr w:rsidR="0022218F">
        <w:trPr>
          <w:trHeight w:val="386"/>
          <w:jc w:val="center"/>
        </w:trPr>
        <w:tc>
          <w:tcPr>
            <w:tcW w:w="1466" w:type="dxa"/>
            <w:vAlign w:val="center"/>
          </w:tcPr>
          <w:p w:rsidR="0022218F" w:rsidRDefault="002E4460">
            <w:pPr>
              <w:spacing w:line="360" w:lineRule="auto"/>
              <w:jc w:val="center"/>
              <w:rPr>
                <w:sz w:val="24"/>
              </w:rPr>
            </w:pPr>
            <w:r>
              <w:rPr>
                <w:rFonts w:ascii="Times New Roman" w:hAnsi="Times New Roman" w:cs="Times New Roman" w:hint="eastAsia"/>
                <w:szCs w:val="24"/>
              </w:rPr>
              <w:t>平均值</w:t>
            </w:r>
            <w:r>
              <w:rPr>
                <w:rFonts w:ascii="Times New Roman" w:hAnsi="Times New Roman" w:cs="Times New Roman" w:hint="eastAsia"/>
                <w:szCs w:val="24"/>
              </w:rPr>
              <w:t>(kW)</w:t>
            </w:r>
          </w:p>
        </w:tc>
        <w:tc>
          <w:tcPr>
            <w:tcW w:w="7288" w:type="dxa"/>
            <w:gridSpan w:val="10"/>
            <w:vAlign w:val="center"/>
          </w:tcPr>
          <w:p w:rsidR="0022218F" w:rsidRDefault="002E4460">
            <w:pPr>
              <w:spacing w:line="360" w:lineRule="auto"/>
              <w:jc w:val="center"/>
              <w:rPr>
                <w:sz w:val="24"/>
              </w:rPr>
            </w:pPr>
            <w:r>
              <w:rPr>
                <w:rFonts w:ascii="Times New Roman" w:hAnsi="Times New Roman" w:cs="Times New Roman"/>
              </w:rPr>
              <w:t>49.50</w:t>
            </w:r>
          </w:p>
        </w:tc>
      </w:tr>
    </w:tbl>
    <w:p w:rsidR="0022218F" w:rsidRDefault="002E4460">
      <w:pPr>
        <w:spacing w:line="360" w:lineRule="auto"/>
        <w:rPr>
          <w:rFonts w:ascii="Times New Roman" w:hAnsi="Times New Roman" w:cs="Times New Roman"/>
          <w:sz w:val="24"/>
        </w:rPr>
      </w:pPr>
      <w:r>
        <w:rPr>
          <w:rFonts w:ascii="Times New Roman" w:hAnsi="Times New Roman" w:cs="Times New Roman" w:hint="eastAsia"/>
          <w:sz w:val="24"/>
        </w:rPr>
        <w:t>则实验室标准偏差：</w:t>
      </w:r>
      <w:r w:rsidR="0022218F" w:rsidRPr="0022218F">
        <w:rPr>
          <w:rFonts w:ascii="Times New Roman" w:hAnsi="Times New Roman" w:cs="Times New Roman" w:hint="eastAsia"/>
          <w:position w:val="-26"/>
          <w:sz w:val="24"/>
        </w:rPr>
        <w:object w:dxaOrig="4220" w:dyaOrig="740">
          <v:shape id="_x0000_i1030" type="#_x0000_t75" style="width:210.75pt;height:36.75pt" o:ole="">
            <v:imagedata r:id="rId15" o:title=""/>
          </v:shape>
          <o:OLEObject Type="Embed" ProgID="Equation.3" ShapeID="_x0000_i1030" DrawAspect="Content" ObjectID="_1823317427" r:id="rId16"/>
        </w:object>
      </w:r>
    </w:p>
    <w:p w:rsidR="0022218F" w:rsidRDefault="002E4460">
      <w:pPr>
        <w:spacing w:line="360" w:lineRule="auto"/>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电动汽车非车载充电机现场测试仪测量误差引入的标准不确定度</w:t>
      </w:r>
      <m:oMath>
        <m:sSub>
          <m:sSubPr>
            <m:ctrlPr>
              <w:rPr>
                <w:rFonts w:ascii="Cambria Math" w:hAnsi="Cambria Math" w:cs="Times New Roman"/>
                <w:sz w:val="24"/>
              </w:rPr>
            </m:ctrlPr>
          </m:sSubPr>
          <m:e>
            <m:r>
              <m:rPr>
                <m:sty m:val="p"/>
              </m:rPr>
              <w:rPr>
                <w:rFonts w:ascii="Cambria Math" w:hAnsi="Cambria Math" w:cs="Times New Roman"/>
                <w:sz w:val="24"/>
              </w:rPr>
              <m:t>u</m:t>
            </m:r>
          </m:e>
          <m:sub>
            <m:sSub>
              <m:sSubPr>
                <m:ctrlPr>
                  <w:rPr>
                    <w:rFonts w:ascii="Cambria Math" w:hAnsi="Cambria Math" w:cs="Times New Roman"/>
                    <w:sz w:val="24"/>
                  </w:rPr>
                </m:ctrlPr>
              </m:sSubPr>
              <m:e>
                <m:r>
                  <m:rPr>
                    <m:sty m:val="p"/>
                  </m:rPr>
                  <w:rPr>
                    <w:rFonts w:ascii="Cambria Math" w:hAnsi="Cambria Math" w:cs="Times New Roman"/>
                    <w:sz w:val="24"/>
                  </w:rPr>
                  <m:t>p</m:t>
                </m:r>
              </m:e>
              <m:sub>
                <m:r>
                  <m:rPr>
                    <m:sty m:val="p"/>
                  </m:rPr>
                  <w:rPr>
                    <w:rFonts w:ascii="Cambria Math" w:hAnsi="Cambria Math" w:cs="Times New Roman"/>
                    <w:sz w:val="24"/>
                  </w:rPr>
                  <m:t>0</m:t>
                </m:r>
              </m:sub>
            </m:sSub>
          </m:sub>
        </m:sSub>
      </m:oMath>
    </w:p>
    <w:p w:rsidR="0022218F" w:rsidRDefault="002E4460">
      <w:pPr>
        <w:spacing w:line="360" w:lineRule="auto"/>
        <w:rPr>
          <w:rFonts w:ascii="Times New Roman" w:hAnsi="Times New Roman" w:cs="Times New Roman"/>
          <w:sz w:val="24"/>
        </w:rPr>
      </w:pPr>
      <w:r>
        <w:rPr>
          <w:rFonts w:ascii="Times New Roman" w:hAnsi="Times New Roman" w:cs="Times New Roman"/>
          <w:sz w:val="24"/>
        </w:rPr>
        <w:lastRenderedPageBreak/>
        <w:t>因为选用的标准器的最大允许误差为</w:t>
      </w:r>
      <w:r>
        <w:rPr>
          <w:rFonts w:ascii="Times New Roman" w:hAnsi="Times New Roman" w:cs="Times New Roman"/>
          <w:sz w:val="24"/>
        </w:rPr>
        <w:t>±0.1%</w:t>
      </w:r>
      <w:r>
        <w:rPr>
          <w:rFonts w:ascii="Times New Roman" w:hAnsi="Times New Roman" w:cs="Times New Roman"/>
          <w:sz w:val="24"/>
        </w:rPr>
        <w:t>，那么</w:t>
      </w:r>
      <w:r>
        <w:rPr>
          <w:rFonts w:ascii="Times New Roman" w:hAnsi="Times New Roman" w:cs="Times New Roman"/>
          <w:i/>
          <w:iCs/>
          <w:sz w:val="24"/>
        </w:rPr>
        <w:t>U</w:t>
      </w:r>
      <w:r>
        <w:rPr>
          <w:rFonts w:ascii="Times New Roman" w:hAnsi="Times New Roman" w:cs="Times New Roman"/>
          <w:sz w:val="24"/>
        </w:rPr>
        <w:t>=500V</w:t>
      </w:r>
      <w:r>
        <w:rPr>
          <w:rFonts w:ascii="Times New Roman" w:hAnsi="Times New Roman" w:cs="Times New Roman"/>
          <w:sz w:val="24"/>
        </w:rPr>
        <w:t>、</w:t>
      </w:r>
      <w:r>
        <w:rPr>
          <w:rFonts w:ascii="Times New Roman" w:hAnsi="Times New Roman" w:cs="Times New Roman"/>
          <w:i/>
          <w:iCs/>
          <w:sz w:val="24"/>
        </w:rPr>
        <w:t>I</w:t>
      </w:r>
      <w:r>
        <w:rPr>
          <w:rFonts w:ascii="Times New Roman" w:hAnsi="Times New Roman" w:cs="Times New Roman"/>
          <w:sz w:val="24"/>
        </w:rPr>
        <w:t>=100A</w:t>
      </w:r>
      <w:r>
        <w:rPr>
          <w:rFonts w:ascii="Times New Roman" w:hAnsi="Times New Roman" w:cs="Times New Roman"/>
          <w:sz w:val="24"/>
        </w:rPr>
        <w:t>，校准点带来的不确定度区间半宽为：</w:t>
      </w:r>
      <w:r>
        <w:rPr>
          <w:rFonts w:ascii="Times New Roman" w:hAnsi="Times New Roman" w:cs="Times New Roman"/>
          <w:sz w:val="24"/>
        </w:rPr>
        <w:t>1.0%×50kW</w:t>
      </w:r>
      <w:r>
        <w:rPr>
          <w:rFonts w:ascii="Times New Roman" w:hAnsi="Times New Roman" w:cs="Times New Roman"/>
          <w:sz w:val="24"/>
        </w:rPr>
        <w:t>，按均匀分布评估，</w:t>
      </w:r>
      <w:r>
        <w:rPr>
          <w:rFonts w:ascii="Times New Roman" w:hAnsi="Times New Roman" w:cs="Times New Roman" w:hint="eastAsia"/>
          <w:i/>
          <w:iCs/>
          <w:sz w:val="24"/>
        </w:rPr>
        <w:t>k</w:t>
      </w:r>
      <w:r>
        <w:rPr>
          <w:rFonts w:ascii="Times New Roman" w:hAnsi="Times New Roman" w:cs="Times New Roman" w:hint="eastAsia"/>
          <w:sz w:val="24"/>
        </w:rPr>
        <w:t>=</w:t>
      </w:r>
      <w:r w:rsidR="0022218F" w:rsidRPr="0022218F">
        <w:rPr>
          <w:rFonts w:ascii="Times New Roman" w:hAnsi="Times New Roman" w:cs="Times New Roman" w:hint="eastAsia"/>
          <w:position w:val="-8"/>
          <w:sz w:val="24"/>
        </w:rPr>
        <w:object w:dxaOrig="360" w:dyaOrig="360">
          <v:shape id="_x0000_i1031" type="#_x0000_t75" style="width:18pt;height:18pt" o:ole="">
            <v:imagedata r:id="rId17" o:title=""/>
          </v:shape>
          <o:OLEObject Type="Embed" ProgID="Equation.3" ShapeID="_x0000_i1031" DrawAspect="Content" ObjectID="_1823317428" r:id="rId18"/>
        </w:object>
      </w:r>
      <w:r>
        <w:rPr>
          <w:rFonts w:ascii="Times New Roman" w:hAnsi="Times New Roman" w:cs="Times New Roman" w:hint="eastAsia"/>
          <w:sz w:val="24"/>
        </w:rPr>
        <w:t>，</w:t>
      </w:r>
      <w:r>
        <w:rPr>
          <w:rFonts w:ascii="Times New Roman" w:hAnsi="Times New Roman" w:cs="Times New Roman"/>
          <w:sz w:val="24"/>
        </w:rPr>
        <w:t>则</w:t>
      </w:r>
      <w:r>
        <w:rPr>
          <w:rFonts w:ascii="Times New Roman" w:hAnsi="Times New Roman" w:cs="Times New Roman" w:hint="eastAsia"/>
          <w:sz w:val="24"/>
        </w:rPr>
        <w:t>：</w:t>
      </w:r>
    </w:p>
    <w:p w:rsidR="0022218F" w:rsidRDefault="0022218F">
      <w:pPr>
        <w:spacing w:line="360" w:lineRule="auto"/>
        <w:jc w:val="center"/>
        <w:rPr>
          <w:rFonts w:ascii="Times New Roman" w:hAnsi="Times New Roman" w:cs="Times New Roman"/>
          <w:sz w:val="24"/>
        </w:rPr>
      </w:pPr>
      <w:r w:rsidRPr="0022218F">
        <w:rPr>
          <w:rFonts w:ascii="Times New Roman" w:hAnsi="Times New Roman" w:cs="Times New Roman" w:hint="eastAsia"/>
          <w:position w:val="-28"/>
          <w:sz w:val="24"/>
        </w:rPr>
        <w:object w:dxaOrig="3220" w:dyaOrig="660">
          <v:shape id="_x0000_i1032" type="#_x0000_t75" style="width:161.25pt;height:33pt" o:ole="">
            <v:imagedata r:id="rId19" o:title=""/>
          </v:shape>
          <o:OLEObject Type="Embed" ProgID="Equation.3" ShapeID="_x0000_i1032" DrawAspect="Content" ObjectID="_1823317429" r:id="rId20"/>
        </w:object>
      </w:r>
    </w:p>
    <w:p w:rsidR="0022218F" w:rsidRDefault="002E4460">
      <w:pPr>
        <w:spacing w:line="360" w:lineRule="auto"/>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被校准新能源电动汽车运行安全检测设备的修约引入的不确定度</w:t>
      </w:r>
    </w:p>
    <w:p w:rsidR="0022218F" w:rsidRDefault="002E4460">
      <w:pPr>
        <w:spacing w:line="360" w:lineRule="auto"/>
        <w:rPr>
          <w:rFonts w:ascii="Times New Roman" w:hAnsi="Times New Roman" w:cs="Times New Roman"/>
          <w:sz w:val="24"/>
        </w:rPr>
      </w:pPr>
      <w:r>
        <w:rPr>
          <w:rFonts w:ascii="Times New Roman" w:hAnsi="Times New Roman" w:cs="Times New Roman"/>
          <w:sz w:val="24"/>
        </w:rPr>
        <w:t>因为被被校</w:t>
      </w:r>
      <w:r>
        <w:rPr>
          <w:rFonts w:ascii="Times New Roman" w:hAnsi="Times New Roman" w:cs="Times New Roman" w:hint="eastAsia"/>
          <w:sz w:val="24"/>
        </w:rPr>
        <w:t>系统</w:t>
      </w:r>
      <w:r>
        <w:rPr>
          <w:rFonts w:ascii="Times New Roman" w:hAnsi="Times New Roman" w:cs="Times New Roman"/>
          <w:sz w:val="24"/>
        </w:rPr>
        <w:t>的最大允许误差为</w:t>
      </w:r>
      <w:r>
        <w:rPr>
          <w:rFonts w:ascii="Times New Roman" w:hAnsi="Times New Roman" w:cs="Times New Roman"/>
          <w:sz w:val="24"/>
        </w:rPr>
        <w:t>±2.0%</w:t>
      </w:r>
      <w:r>
        <w:rPr>
          <w:rFonts w:ascii="Times New Roman" w:hAnsi="Times New Roman" w:cs="Times New Roman"/>
          <w:sz w:val="24"/>
        </w:rPr>
        <w:t>，其显示结果修约间隔为</w:t>
      </w:r>
      <w:r>
        <w:rPr>
          <w:rFonts w:ascii="Times New Roman" w:hAnsi="Times New Roman" w:cs="Times New Roman"/>
          <w:sz w:val="24"/>
        </w:rPr>
        <w:t>1.0</w:t>
      </w:r>
      <w:r>
        <w:rPr>
          <w:rFonts w:ascii="Times New Roman" w:hAnsi="Times New Roman" w:cs="Times New Roman" w:hint="eastAsia"/>
          <w:color w:val="000000" w:themeColor="text1"/>
          <w:sz w:val="24"/>
        </w:rPr>
        <w:t>%</w:t>
      </w:r>
      <w:r>
        <w:rPr>
          <w:rFonts w:ascii="Times New Roman" w:hAnsi="Times New Roman" w:cs="Times New Roman"/>
          <w:sz w:val="24"/>
        </w:rPr>
        <w:t>×50</w:t>
      </w:r>
      <w:r>
        <w:rPr>
          <w:rFonts w:ascii="Times New Roman" w:hAnsi="Times New Roman" w:cs="Times New Roman"/>
          <w:sz w:val="24"/>
        </w:rPr>
        <w:t>，按均匀分布评估，</w:t>
      </w:r>
      <w:r>
        <w:rPr>
          <w:rFonts w:ascii="Times New Roman" w:hAnsi="Times New Roman" w:cs="Times New Roman" w:hint="eastAsia"/>
          <w:i/>
          <w:iCs/>
          <w:sz w:val="24"/>
        </w:rPr>
        <w:t>k</w:t>
      </w:r>
      <w:r>
        <w:rPr>
          <w:rFonts w:ascii="Times New Roman" w:hAnsi="Times New Roman" w:cs="Times New Roman" w:hint="eastAsia"/>
          <w:sz w:val="24"/>
        </w:rPr>
        <w:t>=</w:t>
      </w:r>
      <w:r w:rsidR="0022218F" w:rsidRPr="0022218F">
        <w:rPr>
          <w:rFonts w:ascii="Times New Roman" w:hAnsi="Times New Roman" w:cs="Times New Roman" w:hint="eastAsia"/>
          <w:position w:val="-8"/>
          <w:sz w:val="24"/>
        </w:rPr>
        <w:object w:dxaOrig="360" w:dyaOrig="360">
          <v:shape id="_x0000_i1033" type="#_x0000_t75" style="width:18pt;height:18pt" o:ole="">
            <v:imagedata r:id="rId17" o:title=""/>
          </v:shape>
          <o:OLEObject Type="Embed" ProgID="Equation.3" ShapeID="_x0000_i1033" DrawAspect="Content" ObjectID="_1823317430" r:id="rId21"/>
        </w:object>
      </w:r>
      <w:r>
        <w:rPr>
          <w:rFonts w:ascii="Times New Roman" w:hAnsi="Times New Roman" w:cs="Times New Roman" w:hint="eastAsia"/>
          <w:sz w:val="24"/>
        </w:rPr>
        <w:t>，</w:t>
      </w:r>
      <w:r>
        <w:rPr>
          <w:rFonts w:ascii="Times New Roman" w:hAnsi="Times New Roman" w:cs="Times New Roman"/>
          <w:sz w:val="24"/>
        </w:rPr>
        <w:t>则</w:t>
      </w:r>
      <w:r>
        <w:rPr>
          <w:rFonts w:ascii="Times New Roman" w:hAnsi="Times New Roman" w:cs="Times New Roman" w:hint="eastAsia"/>
          <w:sz w:val="24"/>
        </w:rPr>
        <w:t>：</w:t>
      </w:r>
    </w:p>
    <w:p w:rsidR="0022218F" w:rsidRDefault="0022218F">
      <w:pPr>
        <w:spacing w:line="360" w:lineRule="auto"/>
        <w:jc w:val="center"/>
        <w:rPr>
          <w:rFonts w:ascii="Times New Roman" w:hAnsi="Times New Roman" w:cs="Times New Roman"/>
          <w:sz w:val="24"/>
        </w:rPr>
      </w:pPr>
      <w:r w:rsidRPr="0022218F">
        <w:rPr>
          <w:rFonts w:ascii="Times New Roman" w:hAnsi="Times New Roman" w:cs="Times New Roman" w:hint="eastAsia"/>
          <w:position w:val="-28"/>
          <w:sz w:val="24"/>
        </w:rPr>
        <w:object w:dxaOrig="2820" w:dyaOrig="660">
          <v:shape id="_x0000_i1034" type="#_x0000_t75" style="width:141pt;height:33pt" o:ole="">
            <v:imagedata r:id="rId22" o:title=""/>
          </v:shape>
          <o:OLEObject Type="Embed" ProgID="Equation.3" ShapeID="_x0000_i1034" DrawAspect="Content" ObjectID="_1823317431" r:id="rId23"/>
        </w:object>
      </w:r>
    </w:p>
    <w:p w:rsidR="0022218F" w:rsidRDefault="002E4460">
      <w:pPr>
        <w:rPr>
          <w:rFonts w:ascii="宋体" w:hAnsi="宋体"/>
          <w:b/>
          <w:sz w:val="28"/>
        </w:rPr>
      </w:pPr>
      <w:r>
        <w:rPr>
          <w:rFonts w:ascii="宋体" w:hAnsi="宋体"/>
          <w:b/>
          <w:sz w:val="28"/>
        </w:rPr>
        <w:t>4</w:t>
      </w:r>
      <w:r>
        <w:rPr>
          <w:rFonts w:ascii="宋体" w:hAnsi="宋体"/>
          <w:b/>
          <w:sz w:val="28"/>
        </w:rPr>
        <w:t>合成标准不确定度</w:t>
      </w:r>
    </w:p>
    <w:p w:rsidR="0022218F" w:rsidRDefault="0022218F">
      <w:pPr>
        <w:spacing w:line="360" w:lineRule="auto"/>
        <w:jc w:val="center"/>
        <w:rPr>
          <w:sz w:val="24"/>
        </w:rPr>
      </w:pPr>
      <w:r w:rsidRPr="0022218F">
        <w:rPr>
          <w:rFonts w:hint="eastAsia"/>
          <w:position w:val="-30"/>
          <w:sz w:val="24"/>
        </w:rPr>
        <w:object w:dxaOrig="6520" w:dyaOrig="680">
          <v:shape id="_x0000_i1035" type="#_x0000_t75" style="width:326.25pt;height:33.75pt" o:ole="">
            <v:imagedata r:id="rId24" o:title=""/>
          </v:shape>
          <o:OLEObject Type="Embed" ProgID="Equation.3" ShapeID="_x0000_i1035" DrawAspect="Content" ObjectID="_1823317432" r:id="rId25"/>
        </w:object>
      </w:r>
    </w:p>
    <w:p w:rsidR="0022218F" w:rsidRDefault="002E4460">
      <w:pPr>
        <w:spacing w:line="360" w:lineRule="auto"/>
        <w:rPr>
          <w:sz w:val="24"/>
        </w:rPr>
      </w:pPr>
      <w:r>
        <w:rPr>
          <w:rFonts w:hint="eastAsia"/>
          <w:sz w:val="24"/>
        </w:rPr>
        <w:t>此处</w:t>
      </w:r>
      <w:r>
        <w:rPr>
          <w:rFonts w:hint="eastAsia"/>
          <w:i/>
          <w:iCs/>
          <w:sz w:val="24"/>
        </w:rPr>
        <w:t>p</w:t>
      </w:r>
      <w:r>
        <w:rPr>
          <w:rFonts w:hint="eastAsia"/>
          <w:sz w:val="24"/>
          <w:vertAlign w:val="subscript"/>
        </w:rPr>
        <w:t>0</w:t>
      </w:r>
      <w:r>
        <w:rPr>
          <w:rFonts w:hint="eastAsia"/>
          <w:sz w:val="24"/>
        </w:rPr>
        <w:t>≈</w:t>
      </w:r>
      <w:r>
        <w:rPr>
          <w:rFonts w:hint="eastAsia"/>
          <w:i/>
          <w:iCs/>
          <w:sz w:val="24"/>
        </w:rPr>
        <w:t>p</w:t>
      </w:r>
      <w:r>
        <w:rPr>
          <w:rFonts w:hint="eastAsia"/>
          <w:sz w:val="24"/>
          <w:vertAlign w:val="subscript"/>
        </w:rPr>
        <w:t>x</w:t>
      </w:r>
      <w:r>
        <w:rPr>
          <w:rFonts w:hint="eastAsia"/>
          <w:sz w:val="24"/>
        </w:rPr>
        <w:t>=50</w:t>
      </w:r>
      <w:r>
        <w:rPr>
          <w:rFonts w:hint="eastAsia"/>
          <w:i/>
          <w:iCs/>
          <w:sz w:val="24"/>
        </w:rPr>
        <w:t>kw</w:t>
      </w:r>
    </w:p>
    <w:p w:rsidR="0022218F" w:rsidRDefault="0022218F">
      <w:pPr>
        <w:spacing w:line="360" w:lineRule="auto"/>
        <w:jc w:val="center"/>
        <w:rPr>
          <w:rFonts w:ascii="Times New Roman" w:hAnsi="Times New Roman" w:cs="Times New Roman"/>
          <w:sz w:val="24"/>
        </w:rPr>
      </w:pPr>
      <w:r w:rsidRPr="0022218F">
        <w:rPr>
          <w:rFonts w:ascii="Times New Roman" w:hAnsi="Times New Roman" w:cs="Times New Roman" w:hint="eastAsia"/>
          <w:position w:val="-26"/>
          <w:sz w:val="24"/>
        </w:rPr>
        <w:object w:dxaOrig="2600" w:dyaOrig="700">
          <v:shape id="_x0000_i1036" type="#_x0000_t75" style="width:129.75pt;height:35.25pt" o:ole="">
            <v:imagedata r:id="rId26" o:title=""/>
          </v:shape>
          <o:OLEObject Type="Embed" ProgID="Equation.3" ShapeID="_x0000_i1036" DrawAspect="Content" ObjectID="_1823317433" r:id="rId27"/>
        </w:object>
      </w:r>
    </w:p>
    <w:p w:rsidR="0022218F" w:rsidRDefault="002E4460">
      <w:pPr>
        <w:rPr>
          <w:rFonts w:ascii="宋体" w:hAnsi="宋体"/>
          <w:b/>
          <w:sz w:val="28"/>
        </w:rPr>
      </w:pPr>
      <w:r>
        <w:rPr>
          <w:rFonts w:ascii="宋体" w:hAnsi="宋体"/>
          <w:b/>
          <w:sz w:val="28"/>
        </w:rPr>
        <w:t>5</w:t>
      </w:r>
      <w:r>
        <w:rPr>
          <w:rFonts w:ascii="宋体" w:hAnsi="宋体"/>
          <w:b/>
          <w:sz w:val="28"/>
        </w:rPr>
        <w:t>扩展不确定度（</w:t>
      </w:r>
      <w:r>
        <w:rPr>
          <w:rFonts w:ascii="宋体" w:hAnsi="宋体"/>
          <w:b/>
          <w:i/>
          <w:iCs/>
          <w:sz w:val="28"/>
        </w:rPr>
        <w:t>k</w:t>
      </w:r>
      <w:r>
        <w:rPr>
          <w:rFonts w:ascii="宋体" w:hAnsi="宋体"/>
          <w:b/>
          <w:sz w:val="28"/>
        </w:rPr>
        <w:t>=2</w:t>
      </w:r>
      <w:r>
        <w:rPr>
          <w:rFonts w:ascii="宋体" w:hAnsi="宋体"/>
          <w:b/>
          <w:sz w:val="28"/>
        </w:rPr>
        <w:t>）</w:t>
      </w:r>
    </w:p>
    <w:p w:rsidR="0022218F" w:rsidRDefault="0022218F">
      <w:pPr>
        <w:spacing w:line="360" w:lineRule="auto"/>
        <w:jc w:val="center"/>
        <w:rPr>
          <w:rFonts w:ascii="Times New Roman" w:hAnsi="Times New Roman" w:cs="Times New Roman"/>
          <w:sz w:val="24"/>
        </w:rPr>
      </w:pPr>
      <w:r w:rsidRPr="0022218F">
        <w:rPr>
          <w:rFonts w:ascii="Times New Roman" w:hAnsi="Times New Roman" w:cs="Times New Roman" w:hint="eastAsia"/>
          <w:position w:val="-10"/>
          <w:sz w:val="24"/>
        </w:rPr>
        <w:object w:dxaOrig="1740" w:dyaOrig="340">
          <v:shape id="_x0000_i1037" type="#_x0000_t75" style="width:87pt;height:17.25pt" o:ole="">
            <v:imagedata r:id="rId28" o:title=""/>
          </v:shape>
          <o:OLEObject Type="Embed" ProgID="Equation.3" ShapeID="_x0000_i1037" DrawAspect="Content" ObjectID="_1823317434" r:id="rId29"/>
        </w:object>
      </w:r>
    </w:p>
    <w:p w:rsidR="0022218F" w:rsidRDefault="0022218F">
      <w:pPr>
        <w:spacing w:line="360" w:lineRule="auto"/>
        <w:rPr>
          <w:rFonts w:ascii="Times New Roman" w:hAnsi="Times New Roman" w:cs="Times New Roman"/>
          <w:sz w:val="24"/>
        </w:rPr>
      </w:pPr>
    </w:p>
    <w:p w:rsidR="0022218F" w:rsidRDefault="0022218F">
      <w:pPr>
        <w:spacing w:line="360" w:lineRule="auto"/>
        <w:rPr>
          <w:sz w:val="24"/>
        </w:rPr>
      </w:pPr>
    </w:p>
    <w:p w:rsidR="0022218F" w:rsidRDefault="0022218F">
      <w:pPr>
        <w:spacing w:line="360" w:lineRule="auto"/>
        <w:rPr>
          <w:sz w:val="24"/>
        </w:rPr>
      </w:pPr>
    </w:p>
    <w:sectPr w:rsidR="0022218F" w:rsidSect="002221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460" w:rsidRDefault="002E4460" w:rsidP="007356E5">
      <w:r>
        <w:separator/>
      </w:r>
    </w:p>
  </w:endnote>
  <w:endnote w:type="continuationSeparator" w:id="1">
    <w:p w:rsidR="002E4460" w:rsidRDefault="002E4460" w:rsidP="007356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460" w:rsidRDefault="002E4460" w:rsidP="007356E5">
      <w:r>
        <w:separator/>
      </w:r>
    </w:p>
  </w:footnote>
  <w:footnote w:type="continuationSeparator" w:id="1">
    <w:p w:rsidR="002E4460" w:rsidRDefault="002E4460" w:rsidP="00735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Y5OGI0MDE3NTM5ZmQ0NmZiNTI4MmY3MzQ3OWVhMWUifQ=="/>
  </w:docVars>
  <w:rsids>
    <w:rsidRoot w:val="00B20357"/>
    <w:rsid w:val="0022218F"/>
    <w:rsid w:val="002E4460"/>
    <w:rsid w:val="0032328F"/>
    <w:rsid w:val="00381F1C"/>
    <w:rsid w:val="003C6266"/>
    <w:rsid w:val="004A10DC"/>
    <w:rsid w:val="0070465D"/>
    <w:rsid w:val="007356E5"/>
    <w:rsid w:val="008F3D78"/>
    <w:rsid w:val="00991C12"/>
    <w:rsid w:val="00B20357"/>
    <w:rsid w:val="00C7670B"/>
    <w:rsid w:val="00D7098B"/>
    <w:rsid w:val="03E4704A"/>
    <w:rsid w:val="063B6CF5"/>
    <w:rsid w:val="08A01D04"/>
    <w:rsid w:val="0BD00F66"/>
    <w:rsid w:val="45D5660A"/>
    <w:rsid w:val="6D5B4F74"/>
    <w:rsid w:val="76A62092"/>
    <w:rsid w:val="7D6B47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1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2218F"/>
    <w:rPr>
      <w:sz w:val="18"/>
      <w:szCs w:val="18"/>
    </w:rPr>
  </w:style>
  <w:style w:type="paragraph" w:styleId="a4">
    <w:name w:val="footer"/>
    <w:basedOn w:val="a"/>
    <w:link w:val="Char0"/>
    <w:uiPriority w:val="99"/>
    <w:semiHidden/>
    <w:unhideWhenUsed/>
    <w:qFormat/>
    <w:rsid w:val="0022218F"/>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22218F"/>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2221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日期1"/>
    <w:basedOn w:val="a"/>
    <w:next w:val="a"/>
    <w:qFormat/>
    <w:rsid w:val="0022218F"/>
    <w:rPr>
      <w:rFonts w:ascii="宋体" w:eastAsia="宋体" w:hAnsi="Times New Roman" w:cs="Times New Roman"/>
      <w:sz w:val="24"/>
      <w:szCs w:val="24"/>
    </w:rPr>
  </w:style>
  <w:style w:type="character" w:customStyle="1" w:styleId="Char">
    <w:name w:val="批注框文本 Char"/>
    <w:basedOn w:val="a0"/>
    <w:link w:val="a3"/>
    <w:uiPriority w:val="99"/>
    <w:semiHidden/>
    <w:qFormat/>
    <w:rsid w:val="0022218F"/>
    <w:rPr>
      <w:sz w:val="18"/>
      <w:szCs w:val="18"/>
    </w:rPr>
  </w:style>
  <w:style w:type="character" w:customStyle="1" w:styleId="Char1">
    <w:name w:val="页眉 Char"/>
    <w:basedOn w:val="a0"/>
    <w:link w:val="a5"/>
    <w:uiPriority w:val="99"/>
    <w:semiHidden/>
    <w:qFormat/>
    <w:rsid w:val="0022218F"/>
    <w:rPr>
      <w:kern w:val="2"/>
      <w:sz w:val="18"/>
      <w:szCs w:val="18"/>
    </w:rPr>
  </w:style>
  <w:style w:type="character" w:customStyle="1" w:styleId="Char0">
    <w:name w:val="页脚 Char"/>
    <w:basedOn w:val="a0"/>
    <w:link w:val="a4"/>
    <w:uiPriority w:val="99"/>
    <w:semiHidden/>
    <w:qFormat/>
    <w:rsid w:val="0022218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image" Target="media/image10.wmf"/><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李银轩</dc:creator>
  <cp:lastModifiedBy>微软用户</cp:lastModifiedBy>
  <cp:revision>6</cp:revision>
  <dcterms:created xsi:type="dcterms:W3CDTF">2025-10-09T08:20:00Z</dcterms:created>
  <dcterms:modified xsi:type="dcterms:W3CDTF">2025-10-30T00:17:00Z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3AEBE4424AAA4A74B21248EED4A280E1_12</vt:lpwstr>
  </property>
</Properties>
</file>