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8A515">
      <w:pPr>
        <w:jc w:val="left"/>
        <w:rPr>
          <w:rFonts w:hint="default" w:ascii="Times New Roman" w:hAnsi="Times New Roman" w:eastAsia="宋体" w:cs="Times New Roman"/>
          <w:b/>
          <w:bCs/>
          <w:sz w:val="28"/>
          <w:szCs w:val="28"/>
          <w:lang w:val="en-US" w:eastAsia="zh-CN"/>
        </w:rPr>
      </w:pPr>
      <w:r>
        <w:rPr>
          <w:rFonts w:hint="eastAsia" w:ascii="宋体" w:hAnsi="宋体" w:eastAsia="宋体" w:cs="宋体"/>
          <w:b w:val="0"/>
          <w:bCs w:val="0"/>
          <w:sz w:val="28"/>
          <w:szCs w:val="28"/>
          <w:lang w:val="en-US" w:eastAsia="zh-CN"/>
        </w:rPr>
        <w:t>附件</w:t>
      </w:r>
      <w:r>
        <w:rPr>
          <w:rFonts w:hint="eastAsia" w:ascii="宋体" w:hAnsi="宋体" w:cs="宋体"/>
          <w:b w:val="0"/>
          <w:bCs w:val="0"/>
          <w:sz w:val="28"/>
          <w:szCs w:val="28"/>
          <w:lang w:val="en-US" w:eastAsia="zh-CN"/>
        </w:rPr>
        <w:t>2</w:t>
      </w:r>
    </w:p>
    <w:p w14:paraId="6F79370F">
      <w:pPr>
        <w:jc w:val="center"/>
        <w:rPr>
          <w:b/>
          <w:sz w:val="48"/>
          <w:szCs w:val="48"/>
        </w:rPr>
      </w:pPr>
    </w:p>
    <w:p w14:paraId="543F4143">
      <w:pPr>
        <w:jc w:val="center"/>
        <w:rPr>
          <w:b/>
          <w:sz w:val="48"/>
          <w:szCs w:val="48"/>
        </w:rPr>
      </w:pPr>
    </w:p>
    <w:p w14:paraId="0E4BA405">
      <w:pPr>
        <w:jc w:val="center"/>
        <w:rPr>
          <w:b/>
          <w:sz w:val="48"/>
          <w:szCs w:val="48"/>
        </w:rPr>
      </w:pPr>
    </w:p>
    <w:p w14:paraId="3133A588">
      <w:pPr>
        <w:spacing w:line="360" w:lineRule="auto"/>
        <w:jc w:val="center"/>
        <w:rPr>
          <w:rFonts w:hint="eastAsia" w:ascii="宋体" w:hAnsi="宋体" w:eastAsia="宋体" w:cs="宋体"/>
          <w:b/>
          <w:sz w:val="44"/>
          <w:szCs w:val="44"/>
        </w:rPr>
      </w:pPr>
      <w:r>
        <w:rPr>
          <w:rFonts w:hint="eastAsia" w:ascii="宋体" w:hAnsi="宋体" w:eastAsia="宋体" w:cs="宋体"/>
          <w:b/>
          <w:bCs/>
          <w:sz w:val="44"/>
          <w:szCs w:val="44"/>
        </w:rPr>
        <w:t>《</w:t>
      </w:r>
      <w:r>
        <w:rPr>
          <w:rFonts w:hint="eastAsia" w:ascii="方正小标宋简体" w:hAnsi="方正小标宋简体" w:eastAsia="方正小标宋简体" w:cs="方正小标宋简体"/>
          <w:bCs/>
          <w:sz w:val="44"/>
          <w:szCs w:val="44"/>
          <w:lang w:val="en-US" w:eastAsia="zh-CN"/>
        </w:rPr>
        <w:t>水中</w:t>
      </w:r>
      <w:r>
        <w:rPr>
          <w:rFonts w:hint="eastAsia" w:ascii="方正小标宋简体" w:hAnsi="方正小标宋简体" w:eastAsia="方正小标宋简体" w:cs="方正小标宋简体"/>
          <w:bCs/>
          <w:sz w:val="44"/>
          <w:szCs w:val="44"/>
        </w:rPr>
        <w:t>悬浮物在线分析仪校准规范</w:t>
      </w:r>
      <w:r>
        <w:rPr>
          <w:rFonts w:hint="eastAsia" w:ascii="宋体" w:hAnsi="宋体" w:eastAsia="宋体" w:cs="宋体"/>
          <w:b/>
          <w:bCs/>
          <w:sz w:val="44"/>
          <w:szCs w:val="44"/>
        </w:rPr>
        <w:t>》</w:t>
      </w:r>
    </w:p>
    <w:p w14:paraId="7EC13891">
      <w:pPr>
        <w:jc w:val="center"/>
        <w:rPr>
          <w:b/>
          <w:sz w:val="36"/>
          <w:szCs w:val="36"/>
        </w:rPr>
      </w:pPr>
    </w:p>
    <w:p w14:paraId="10E0804A">
      <w:pPr>
        <w:jc w:val="center"/>
        <w:rPr>
          <w:b/>
          <w:sz w:val="36"/>
          <w:szCs w:val="36"/>
        </w:rPr>
      </w:pPr>
    </w:p>
    <w:p w14:paraId="16B39239">
      <w:pPr>
        <w:jc w:val="center"/>
        <w:rPr>
          <w:b/>
          <w:sz w:val="36"/>
          <w:szCs w:val="36"/>
        </w:rPr>
      </w:pPr>
    </w:p>
    <w:p w14:paraId="24501868">
      <w:pPr>
        <w:jc w:val="center"/>
        <w:rPr>
          <w:b/>
          <w:sz w:val="36"/>
          <w:szCs w:val="36"/>
        </w:rPr>
      </w:pPr>
    </w:p>
    <w:p w14:paraId="65151E03">
      <w:pPr>
        <w:jc w:val="center"/>
        <w:rPr>
          <w:b/>
          <w:sz w:val="44"/>
          <w:szCs w:val="44"/>
        </w:rPr>
      </w:pPr>
      <w:r>
        <w:rPr>
          <w:rFonts w:hint="eastAsia"/>
          <w:b/>
          <w:sz w:val="44"/>
          <w:szCs w:val="44"/>
        </w:rPr>
        <w:t>编制</w:t>
      </w:r>
      <w:r>
        <w:rPr>
          <w:b/>
          <w:sz w:val="44"/>
          <w:szCs w:val="44"/>
        </w:rPr>
        <w:t>说明</w:t>
      </w:r>
    </w:p>
    <w:p w14:paraId="6F888E54">
      <w:pPr>
        <w:spacing w:line="720" w:lineRule="auto"/>
        <w:jc w:val="center"/>
        <w:rPr>
          <w:rFonts w:hint="eastAsia" w:ascii="宋体" w:hAnsi="宋体"/>
          <w:color w:val="000000"/>
          <w:sz w:val="44"/>
          <w:szCs w:val="44"/>
        </w:rPr>
      </w:pPr>
    </w:p>
    <w:p w14:paraId="40A7DAEC">
      <w:pPr>
        <w:jc w:val="center"/>
        <w:rPr>
          <w:rFonts w:hint="eastAsia" w:ascii="宋体" w:hAnsi="宋体"/>
          <w:color w:val="000000"/>
          <w:sz w:val="72"/>
        </w:rPr>
      </w:pPr>
      <w:bookmarkStart w:id="2" w:name="_GoBack"/>
      <w:bookmarkEnd w:id="2"/>
    </w:p>
    <w:p w14:paraId="21802302">
      <w:pPr>
        <w:jc w:val="center"/>
        <w:rPr>
          <w:rFonts w:hint="eastAsia" w:ascii="宋体" w:hAnsi="宋体"/>
          <w:color w:val="000000"/>
          <w:sz w:val="72"/>
        </w:rPr>
      </w:pPr>
    </w:p>
    <w:p w14:paraId="654EA8E4">
      <w:pPr>
        <w:jc w:val="center"/>
        <w:rPr>
          <w:rFonts w:hint="eastAsia" w:ascii="宋体" w:hAnsi="宋体"/>
          <w:color w:val="000000"/>
          <w:sz w:val="72"/>
        </w:rPr>
      </w:pPr>
    </w:p>
    <w:p w14:paraId="25A4AD91">
      <w:pPr>
        <w:jc w:val="center"/>
        <w:rPr>
          <w:rFonts w:hint="eastAsia" w:ascii="宋体" w:hAnsi="宋体"/>
          <w:color w:val="000000"/>
          <w:sz w:val="72"/>
        </w:rPr>
      </w:pPr>
    </w:p>
    <w:p w14:paraId="0EB90683">
      <w:pPr>
        <w:jc w:val="center"/>
        <w:rPr>
          <w:b/>
          <w:sz w:val="30"/>
          <w:szCs w:val="30"/>
        </w:rPr>
      </w:pPr>
      <w:r>
        <w:rPr>
          <w:rFonts w:hint="eastAsia" w:ascii="宋体" w:hAnsi="宋体" w:cs="宋体"/>
          <w:b/>
          <w:sz w:val="28"/>
          <w:szCs w:val="28"/>
        </w:rPr>
        <w:t>《</w:t>
      </w:r>
      <w:r>
        <w:rPr>
          <w:rFonts w:hint="eastAsia" w:ascii="方正小标宋简体" w:hAnsi="方正小标宋简体" w:eastAsia="方正小标宋简体" w:cs="方正小标宋简体"/>
          <w:bCs/>
          <w:sz w:val="28"/>
          <w:szCs w:val="28"/>
          <w:lang w:val="en-US" w:eastAsia="zh-CN"/>
        </w:rPr>
        <w:t>水中</w:t>
      </w:r>
      <w:r>
        <w:rPr>
          <w:rFonts w:hint="eastAsia" w:ascii="方正小标宋简体" w:hAnsi="方正小标宋简体" w:eastAsia="方正小标宋简体" w:cs="方正小标宋简体"/>
          <w:bCs/>
          <w:sz w:val="28"/>
          <w:szCs w:val="28"/>
        </w:rPr>
        <w:t>悬浮物在线分析仪校准规范</w:t>
      </w:r>
      <w:r>
        <w:rPr>
          <w:rFonts w:hint="eastAsia" w:ascii="宋体" w:hAnsi="宋体" w:cs="宋体"/>
          <w:b/>
          <w:sz w:val="28"/>
          <w:szCs w:val="28"/>
        </w:rPr>
        <w:t>》起草组</w:t>
      </w:r>
    </w:p>
    <w:p w14:paraId="6EE82264">
      <w:pPr>
        <w:jc w:val="center"/>
        <w:rPr>
          <w:b/>
          <w:sz w:val="32"/>
          <w:szCs w:val="32"/>
        </w:rPr>
        <w:sectPr>
          <w:footerReference r:id="rId3" w:type="default"/>
          <w:footerReference r:id="rId4" w:type="even"/>
          <w:pgSz w:w="11906" w:h="16838"/>
          <w:pgMar w:top="1440" w:right="1418" w:bottom="1440" w:left="1620" w:header="851" w:footer="992" w:gutter="0"/>
          <w:cols w:space="720" w:num="1"/>
          <w:docGrid w:type="lines" w:linePitch="312" w:charSpace="0"/>
        </w:sectPr>
      </w:pPr>
      <w:r>
        <w:rPr>
          <w:rFonts w:hint="eastAsia" w:ascii="宋体" w:hAnsi="宋体" w:eastAsia="宋体" w:cs="宋体"/>
          <w:b/>
          <w:sz w:val="28"/>
          <w:szCs w:val="28"/>
        </w:rPr>
        <w:t>2025年</w:t>
      </w:r>
      <w:r>
        <w:rPr>
          <w:rFonts w:hint="eastAsia" w:ascii="宋体" w:hAnsi="宋体" w:eastAsia="宋体" w:cs="宋体"/>
          <w:b/>
          <w:sz w:val="28"/>
          <w:szCs w:val="28"/>
          <w:lang w:val="en-US" w:eastAsia="zh-CN"/>
        </w:rPr>
        <w:t>10</w:t>
      </w:r>
      <w:r>
        <w:rPr>
          <w:rFonts w:hint="eastAsia" w:ascii="宋体" w:hAnsi="宋体" w:eastAsia="宋体" w:cs="宋体"/>
          <w:b/>
          <w:sz w:val="28"/>
          <w:szCs w:val="28"/>
        </w:rPr>
        <w:t>月</w:t>
      </w:r>
    </w:p>
    <w:p w14:paraId="30D11E1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w:t>
      </w:r>
      <w:r>
        <w:rPr>
          <w:rFonts w:hint="eastAsia" w:ascii="方正小标宋简体" w:hAnsi="方正小标宋简体" w:eastAsia="方正小标宋简体" w:cs="方正小标宋简体"/>
          <w:bCs/>
          <w:sz w:val="44"/>
          <w:szCs w:val="44"/>
          <w:lang w:val="en-US" w:eastAsia="zh-CN"/>
        </w:rPr>
        <w:t>水中</w:t>
      </w:r>
      <w:r>
        <w:rPr>
          <w:rFonts w:hint="eastAsia" w:ascii="方正小标宋简体" w:hAnsi="方正小标宋简体" w:eastAsia="方正小标宋简体" w:cs="方正小标宋简体"/>
          <w:bCs/>
          <w:sz w:val="44"/>
          <w:szCs w:val="44"/>
        </w:rPr>
        <w:t>悬浮物在线分析仪校准规范 》</w:t>
      </w:r>
    </w:p>
    <w:p w14:paraId="617B55FB">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地方标准编制说明</w:t>
      </w:r>
    </w:p>
    <w:p w14:paraId="1EEA82A6">
      <w:pPr>
        <w:rPr>
          <w:rFonts w:ascii="黑体" w:hAnsi="Arial" w:eastAsia="黑体" w:cs="Arial"/>
          <w:bCs/>
          <w:sz w:val="36"/>
          <w:szCs w:val="36"/>
        </w:rPr>
      </w:pPr>
    </w:p>
    <w:p w14:paraId="25A2DE1E">
      <w:pPr>
        <w:pStyle w:val="23"/>
        <w:numPr>
          <w:ilvl w:val="0"/>
          <w:numId w:val="3"/>
        </w:numPr>
        <w:ind w:firstLineChars="0"/>
        <w:rPr>
          <w:rFonts w:ascii="黑体" w:hAnsi="黑体" w:eastAsia="黑体" w:cs="黑体"/>
          <w:sz w:val="32"/>
          <w:szCs w:val="32"/>
        </w:rPr>
      </w:pPr>
      <w:bookmarkStart w:id="0" w:name="_Toc198631169"/>
      <w:r>
        <w:rPr>
          <w:rFonts w:hint="eastAsia" w:ascii="黑体" w:hAnsi="黑体" w:eastAsia="黑体" w:cs="黑体"/>
          <w:sz w:val="32"/>
          <w:szCs w:val="32"/>
        </w:rPr>
        <w:t>项目背景</w:t>
      </w:r>
      <w:r>
        <w:rPr>
          <w:rFonts w:hint="eastAsia" w:ascii="黑体" w:hAnsi="黑体" w:eastAsia="黑体" w:cs="黑体"/>
          <w:sz w:val="28"/>
          <w:szCs w:val="28"/>
        </w:rPr>
        <w:t>（包括全区域产业现状、立项背景及必要性等）</w:t>
      </w:r>
    </w:p>
    <w:p w14:paraId="45FCBAD8">
      <w:pPr>
        <w:spacing w:line="360" w:lineRule="auto"/>
        <w:ind w:firstLine="564" w:firstLineChars="200"/>
        <w:rPr>
          <w:rFonts w:ascii="仿宋_GB2312" w:hAnsi="华文仿宋" w:eastAsia="仿宋_GB2312"/>
          <w:sz w:val="30"/>
          <w:szCs w:val="30"/>
        </w:rPr>
      </w:pPr>
      <w:r>
        <w:rPr>
          <w:rFonts w:hint="eastAsia" w:ascii="仿宋_GB2312" w:hAnsi="华文仿宋" w:eastAsia="仿宋_GB2312"/>
          <w:sz w:val="30"/>
          <w:szCs w:val="30"/>
        </w:rPr>
        <w:t>水中悬浮物在线分析仪是一种用于实时监测液体中悬浮物含量的仪器。它能够连续自动地对流经管道或流通系统的待测液体进行悬浮物浓度的测量和分析，提供实时的监测结果。水中悬浮物在线分析仪包括传感器和探头、自动采样系统、数据处理和显示等，它能够实时监测液体中悬浮物含量，在环境监测、工业生产等领域中广泛应用。</w:t>
      </w:r>
    </w:p>
    <w:p w14:paraId="0B98DAB8">
      <w:pPr>
        <w:spacing w:line="360" w:lineRule="auto"/>
        <w:ind w:firstLine="564" w:firstLineChars="200"/>
        <w:rPr>
          <w:rFonts w:ascii="仿宋_GB2312" w:hAnsi="华文仿宋" w:eastAsia="仿宋_GB2312"/>
          <w:sz w:val="30"/>
          <w:szCs w:val="30"/>
        </w:rPr>
      </w:pPr>
      <w:r>
        <w:rPr>
          <w:rFonts w:hint="eastAsia" w:ascii="仿宋_GB2312" w:hAnsi="华文仿宋" w:eastAsia="仿宋_GB2312"/>
          <w:sz w:val="30"/>
          <w:szCs w:val="30"/>
        </w:rPr>
        <w:t xml:space="preserve">为了使水中悬浮物在线分析仪的测量结果能溯源到国家或国际标准，保证不同仪器、不同实验室、不同地区测量结果的一致性；通过标准确定仪器的准确度，及时发现并调整测量偏差，确保仪器给出更准确的悬浮物浓度测量数据，为此需要制定水中悬浮物在线分析仪校准规范。  </w:t>
      </w:r>
    </w:p>
    <w:p w14:paraId="020B8E0E">
      <w:pPr>
        <w:spacing w:line="360" w:lineRule="auto"/>
        <w:ind w:firstLine="564" w:firstLineChars="200"/>
        <w:rPr>
          <w:rFonts w:hint="eastAsia" w:ascii="仿宋_GB2312" w:hAnsi="华文仿宋" w:eastAsia="仿宋_GB2312"/>
          <w:sz w:val="30"/>
          <w:szCs w:val="30"/>
        </w:rPr>
      </w:pPr>
      <w:r>
        <w:rPr>
          <w:rFonts w:hint="eastAsia" w:ascii="仿宋_GB2312" w:hAnsi="华文仿宋" w:eastAsia="仿宋_GB2312"/>
          <w:sz w:val="30"/>
          <w:szCs w:val="30"/>
        </w:rPr>
        <w:t>准确的悬浮物浓度数据对评价水体污染程度、了解水质状况、制定环保政策和措施等至关重要，校准规范可确保环境监测数据的准确性和可靠性，为环境管理和决策提供科学依据。相关部门对环境监测、工业生产等领域的仪器设备有严格的计量认证和质量控制要求，制定校准规范有助于仪器使用者满足法规和标准要求，避免法律风险。</w:t>
      </w:r>
    </w:p>
    <w:p w14:paraId="529FCDCF">
      <w:pPr>
        <w:spacing w:line="360" w:lineRule="auto"/>
        <w:ind w:firstLine="564" w:firstLineChars="200"/>
        <w:rPr>
          <w:rFonts w:hint="eastAsia" w:ascii="仿宋_GB2312" w:hAnsi="华文仿宋" w:eastAsia="仿宋_GB2312"/>
          <w:sz w:val="30"/>
          <w:szCs w:val="30"/>
        </w:rPr>
      </w:pPr>
      <w:r>
        <w:rPr>
          <w:rFonts w:hint="eastAsia" w:ascii="仿宋_GB2312" w:hAnsi="华文仿宋" w:eastAsia="仿宋_GB2312"/>
          <w:sz w:val="30"/>
          <w:szCs w:val="30"/>
        </w:rPr>
        <w:t>随着水处理技术和环境监测行业的发展，国内的水中悬浮物测定仪种类较多，包括光学传感型、电阻电容型等，光学型通过测量水中悬浮物对光的散射或吸收程度来推算悬浮物的浓度，这是目前最常用的技术之一，适用于较为清澈水体；电阻电容型通过测量水中悬浮物的电学特性（如电阻、电容变化）来检测浓度，适用于较为浑浊的水体。在国际上，尤其是欧美等发达国家，水质在线监测技术更加成熟。</w:t>
      </w:r>
    </w:p>
    <w:p w14:paraId="397B1E3D">
      <w:pPr>
        <w:spacing w:line="360" w:lineRule="auto"/>
        <w:ind w:firstLine="564" w:firstLineChars="200"/>
        <w:rPr>
          <w:rFonts w:hint="eastAsia" w:ascii="仿宋_GB2312" w:hAnsi="华文仿宋" w:eastAsia="仿宋_GB2312"/>
          <w:sz w:val="30"/>
          <w:szCs w:val="30"/>
        </w:rPr>
      </w:pPr>
      <w:r>
        <w:rPr>
          <w:rFonts w:hint="eastAsia" w:ascii="仿宋_GB2312" w:hAnsi="华文仿宋" w:eastAsia="仿宋_GB2312"/>
          <w:sz w:val="30"/>
          <w:szCs w:val="30"/>
        </w:rPr>
        <w:t>光学传感器型包括：光散射法、透射法、积分球式散射-透射法和激光衍射法。</w:t>
      </w:r>
    </w:p>
    <w:p w14:paraId="4166EBA7">
      <w:pPr>
        <w:spacing w:line="360" w:lineRule="auto"/>
        <w:ind w:firstLine="564" w:firstLineChars="200"/>
        <w:rPr>
          <w:rFonts w:hint="eastAsia" w:ascii="仿宋_GB2312" w:hAnsi="华文仿宋" w:eastAsia="仿宋_GB2312"/>
          <w:sz w:val="30"/>
          <w:szCs w:val="30"/>
        </w:rPr>
      </w:pPr>
      <w:r>
        <w:rPr>
          <w:rFonts w:hint="eastAsia" w:ascii="仿宋_GB2312" w:hAnsi="华文仿宋" w:eastAsia="仿宋_GB2312"/>
          <w:sz w:val="30"/>
          <w:szCs w:val="30"/>
        </w:rPr>
        <w:t>光散射法（Scattering Method），这是目前最主流、应用最广泛的技术。基本原理：一束特定波长的光（通常是近红外光，如860nm，以减少水色和溶解性物质的干扰）照射到水样中的悬浮颗粒上。颗粒物会使光发生散射（包括瑞利散射和米氏散射）。在与入射光成特定角度（如90°）的位置设置一个检测器，用来测量散射光的强度。散射光的强度与样品中悬浮颗粒物的浓度成正比。颗粒物浓度越高，产生的散射光信号就越强。光源通常采用稳定的LED或激光二极管，发出单色性好的光束，确保测量的稳定性和准确性。</w:t>
      </w:r>
    </w:p>
    <w:p w14:paraId="0F07AA91">
      <w:pPr>
        <w:spacing w:line="360" w:lineRule="auto"/>
        <w:rPr>
          <w:rFonts w:ascii="仿宋_GB2312" w:hAnsi="华文仿宋" w:eastAsia="仿宋_GB2312"/>
          <w:sz w:val="30"/>
          <w:szCs w:val="30"/>
        </w:rPr>
      </w:pPr>
      <w:r>
        <w:rPr>
          <w:rFonts w:hint="eastAsia" w:ascii="仿宋_GB2312" w:hAnsi="华文仿宋" w:eastAsia="仿宋_GB2312"/>
          <w:sz w:val="30"/>
          <w:szCs w:val="30"/>
        </w:rPr>
        <w:t>检测器放置在特定的角度，常见的有：90°散射（侧向散射），这是最常用的角度，对颗粒物浓度变化非常敏感，尤其适用于中低浓度范围的测量；前向散射对较大颗粒更敏感；后向散射常用于高浓度或浊度非常大的水样。</w:t>
      </w:r>
    </w:p>
    <w:p w14:paraId="789B6548">
      <w:pPr>
        <w:spacing w:line="360" w:lineRule="auto"/>
        <w:ind w:firstLine="564" w:firstLineChars="200"/>
        <w:rPr>
          <w:rFonts w:hint="eastAsia" w:ascii="仿宋_GB2312" w:hAnsi="华文仿宋" w:eastAsia="仿宋_GB2312"/>
          <w:sz w:val="30"/>
          <w:szCs w:val="30"/>
        </w:rPr>
      </w:pPr>
      <w:r>
        <w:rPr>
          <w:rFonts w:hint="eastAsia" w:ascii="仿宋_GB2312" w:hAnsi="华文仿宋" w:eastAsia="仿宋_GB2312"/>
          <w:sz w:val="30"/>
          <w:szCs w:val="30"/>
        </w:rPr>
        <w:t>透射法（透光度法）/吸收法（Transmission / Absorption Method）。基本原理：测量光穿过一定厚度的水样后的衰减程度。根据朗伯-比尔定律（Lambert-Beer Law），光强的衰减与悬浮物的浓度成正比。悬浮颗粒会吸收和散射光线，导致透射光强度减弱。透射光越弱，表示悬浮物浓度越高。</w:t>
      </w:r>
    </w:p>
    <w:p w14:paraId="18D4CD4E">
      <w:pPr>
        <w:spacing w:line="360" w:lineRule="auto"/>
        <w:rPr>
          <w:rFonts w:ascii="仿宋_GB2312" w:hAnsi="华文仿宋" w:eastAsia="仿宋_GB2312"/>
          <w:sz w:val="30"/>
          <w:szCs w:val="30"/>
        </w:rPr>
      </w:pPr>
      <w:r>
        <w:rPr>
          <w:rFonts w:hint="eastAsia" w:ascii="仿宋_GB2312" w:hAnsi="华文仿宋" w:eastAsia="仿宋_GB2312"/>
          <w:sz w:val="30"/>
          <w:szCs w:val="30"/>
        </w:rPr>
        <w:t>使用单色光源，检测器放置在入射光的正对面（180°），直接测量透射光的光强。即光在水中传播的距离。对于高浓度水样，必须使用非常短的光程（如几毫米），否则光会被完全吸收，无法测量。对于低浓度水样，可以使用较长的光程以提高灵敏度。</w:t>
      </w:r>
    </w:p>
    <w:p w14:paraId="304C72DD">
      <w:pPr>
        <w:spacing w:line="360" w:lineRule="auto"/>
        <w:ind w:firstLine="564" w:firstLineChars="200"/>
        <w:rPr>
          <w:rFonts w:hint="eastAsia" w:ascii="仿宋_GB2312" w:hAnsi="华文仿宋" w:eastAsia="仿宋_GB2312"/>
          <w:sz w:val="30"/>
          <w:szCs w:val="30"/>
        </w:rPr>
      </w:pPr>
      <w:r>
        <w:rPr>
          <w:rFonts w:hint="eastAsia" w:ascii="仿宋_GB2312" w:hAnsi="华文仿宋" w:eastAsia="仿宋_GB2312"/>
          <w:sz w:val="30"/>
          <w:szCs w:val="30"/>
        </w:rPr>
        <w:t>积分球式散射-透射法（Dual Technology with Integrating Sphere），这是一种更先进的技术，结合了散射和透射法的优点，主要用于实验室高端仪器，部分在线仪器也采用此原理。基本原理：使用一个内部涂有高反射材料的空腔（积分球）来收集所有角度的散射光。光源照射样品后，透射光和所有方向的散射光都被积分球收集并由一个检测器测量总的光信号衰减。通过复杂的光学和数学模型，可以最大限度地减少颗粒物颜色和粒径的干扰，提供更准确的测量结果。它测量的是光束与样品相互作用后的总衰减，而不仅仅是某个角度的散射或直线方向的透射。这种方法有效地补偿了因颗粒颜色不同（如暗色颗粒吸收强、散射弱）带来的测量误差。</w:t>
      </w:r>
    </w:p>
    <w:p w14:paraId="07995F69">
      <w:pPr>
        <w:spacing w:line="360" w:lineRule="auto"/>
        <w:ind w:firstLine="564" w:firstLineChars="200"/>
        <w:rPr>
          <w:rFonts w:hint="eastAsia" w:ascii="仿宋_GB2312" w:hAnsi="华文仿宋" w:eastAsia="仿宋_GB2312"/>
          <w:sz w:val="30"/>
          <w:szCs w:val="30"/>
        </w:rPr>
      </w:pPr>
      <w:r>
        <w:rPr>
          <w:rFonts w:hint="eastAsia" w:ascii="仿宋_GB2312" w:hAnsi="华文仿宋" w:eastAsia="仿宋_GB2312"/>
          <w:sz w:val="30"/>
          <w:szCs w:val="30"/>
        </w:rPr>
        <w:t>激光衍射法（Laser Diffraction），此方法更侧重于颗粒粒径分布的测量，但同时也能得出悬浮固体的浓度信息。基本原理：基于夫琅禾费衍射原理。一束激光穿过水样，悬浮颗粒会使激光发生衍射，颗粒尺寸越大，产生的衍射角越小。用一个多元检测器阵列测量不同角度上的衍射光能分布，通过复杂的数学模型（如Mie理论）反演出颗粒的粒径分布和总体积浓度。</w:t>
      </w:r>
    </w:p>
    <w:p w14:paraId="104AB3FD">
      <w:pPr>
        <w:spacing w:line="360" w:lineRule="auto"/>
        <w:rPr>
          <w:rFonts w:hint="eastAsia" w:ascii="仿宋_GB2312" w:hAnsi="华文仿宋" w:eastAsia="仿宋_GB2312"/>
          <w:sz w:val="30"/>
          <w:szCs w:val="30"/>
        </w:rPr>
      </w:pPr>
      <w:r>
        <w:rPr>
          <w:rFonts w:hint="eastAsia" w:ascii="仿宋_GB2312" w:hAnsi="华文仿宋" w:eastAsia="仿宋_GB2312"/>
          <w:sz w:val="30"/>
          <w:szCs w:val="30"/>
        </w:rPr>
        <w:t>通常用于需要同时知道浓度和粒度分布的场合，如泥沙研究、工业过程控制等。</w:t>
      </w:r>
    </w:p>
    <w:p w14:paraId="339C838D">
      <w:pPr>
        <w:spacing w:line="360" w:lineRule="auto"/>
        <w:ind w:firstLine="564" w:firstLineChars="200"/>
        <w:rPr>
          <w:rFonts w:ascii="仿宋_GB2312" w:hAnsi="华文仿宋" w:eastAsia="仿宋_GB2312"/>
          <w:sz w:val="30"/>
          <w:szCs w:val="30"/>
        </w:rPr>
      </w:pPr>
      <w:r>
        <w:rPr>
          <w:rFonts w:hint="eastAsia" w:ascii="仿宋_GB2312" w:hAnsi="华文仿宋" w:eastAsia="仿宋_GB2312"/>
          <w:sz w:val="30"/>
          <w:szCs w:val="30"/>
        </w:rPr>
        <w:t>国内有GB11901《地表水和废水监测分析方法》等标准，规定了悬浮物测定的重量法等测量方法，但针对悬浮物在线分析仪的校准规范还是空缺的，由于悬浮物的测量需求，市面上涌现了多种测量仪器，但仪器的准确性、可靠性、稳定性等指标没有标准提出明确要求，导致仪器在使用过程中存在一定的不确定性。因此相关校准方法的建立是非常有必要的。</w:t>
      </w:r>
    </w:p>
    <w:p w14:paraId="166F9703">
      <w:pPr>
        <w:pStyle w:val="37"/>
        <w:ind w:firstLine="563"/>
        <w:rPr>
          <w:rFonts w:ascii="仿宋_GB2312" w:hAnsi="华文仿宋" w:eastAsia="仿宋_GB2312" w:cs="Times New Roman"/>
          <w:sz w:val="30"/>
          <w:szCs w:val="30"/>
        </w:rPr>
      </w:pPr>
      <w:r>
        <w:rPr>
          <w:rFonts w:hint="eastAsia" w:ascii="仿宋_GB2312" w:hAnsi="华文仿宋" w:eastAsia="仿宋_GB2312" w:cs="Times New Roman"/>
          <w:sz w:val="30"/>
          <w:szCs w:val="30"/>
        </w:rPr>
        <w:t>在环境监测中，准确的悬浮物浓度数据对了解水质状况、评价水体污染程度等意义重大。此规范可保证仪器测量准确，为环境管理部门提供可靠数据，助其制定科学环保政策和污染控制措施。化工、制药等行业生产过程中，需依据悬浮物浓度控制生产工艺和产品质量。校准规范可保证仪器准确测量，帮助企业优化生产，提高产品质量，降低成本，避免因测量不准确导致的生产事故和质量问题。</w:t>
      </w:r>
    </w:p>
    <w:p w14:paraId="15F4D798">
      <w:pPr>
        <w:pStyle w:val="37"/>
        <w:ind w:firstLine="563"/>
        <w:rPr>
          <w:rFonts w:ascii="仿宋_GB2312" w:hAnsi="华文仿宋" w:eastAsia="仿宋_GB2312" w:cs="Times New Roman"/>
          <w:sz w:val="30"/>
          <w:szCs w:val="30"/>
        </w:rPr>
      </w:pPr>
      <w:r>
        <w:rPr>
          <w:rFonts w:hint="eastAsia" w:ascii="仿宋_GB2312" w:hAnsi="华文仿宋" w:eastAsia="仿宋_GB2312" w:cs="Times New Roman"/>
          <w:sz w:val="30"/>
          <w:szCs w:val="30"/>
        </w:rPr>
        <w:t>从行业标准化的需求来看，水中悬浮物在线分析仪的生产和使用涉及多个行业和领域，如食品、环境、第三方检测、电力、轨道交通、航天、汽车、新能源等，为了提高质量和生产效率，</w:t>
      </w:r>
      <w:r>
        <w:rPr>
          <w:rFonts w:ascii="仿宋_GB2312" w:hAnsi="华文仿宋" w:eastAsia="仿宋_GB2312" w:cs="Times New Roman"/>
          <w:sz w:val="30"/>
          <w:szCs w:val="30"/>
        </w:rPr>
        <w:t>避免因标准不统一而造成的混乱和差异，</w:t>
      </w:r>
      <w:r>
        <w:rPr>
          <w:rFonts w:hint="eastAsia" w:ascii="仿宋_GB2312" w:hAnsi="华文仿宋" w:eastAsia="仿宋_GB2312" w:cs="Times New Roman"/>
          <w:sz w:val="30"/>
          <w:szCs w:val="30"/>
        </w:rPr>
        <w:t>需要建立统一的标准来规范水中悬浮物在线分析仪的技术要求和校准方法。此外，随着科技的发展、新的检测技术和方法不断涌现，水中悬浮物在线分析仪校准规范可以帮助企业提高检测效率和准确性。为了加强对水中悬浮物在线分析仪的市场监督和管理，需要建立一套科学、合理的技术规范，以保障消费者的权益和行业的健康发展。因此</w:t>
      </w:r>
      <w:r>
        <w:rPr>
          <w:rFonts w:ascii="仿宋_GB2312" w:hAnsi="华文仿宋" w:eastAsia="仿宋_GB2312" w:cs="Times New Roman"/>
          <w:sz w:val="30"/>
          <w:szCs w:val="30"/>
        </w:rPr>
        <w:t>，</w:t>
      </w:r>
      <w:r>
        <w:rPr>
          <w:rFonts w:hint="eastAsia" w:ascii="仿宋_GB2312" w:hAnsi="华文仿宋" w:eastAsia="仿宋_GB2312" w:cs="Times New Roman"/>
          <w:sz w:val="30"/>
          <w:szCs w:val="30"/>
        </w:rPr>
        <w:t>水中悬浮物在线分析仪校准规范</w:t>
      </w:r>
      <w:r>
        <w:rPr>
          <w:rFonts w:ascii="仿宋_GB2312" w:hAnsi="华文仿宋" w:eastAsia="仿宋_GB2312" w:cs="Times New Roman"/>
          <w:sz w:val="30"/>
          <w:szCs w:val="30"/>
        </w:rPr>
        <w:t>的建立</w:t>
      </w:r>
      <w:r>
        <w:rPr>
          <w:rFonts w:hint="eastAsia" w:ascii="仿宋_GB2312" w:hAnsi="华文仿宋" w:eastAsia="仿宋_GB2312" w:cs="Times New Roman"/>
          <w:sz w:val="30"/>
          <w:szCs w:val="30"/>
        </w:rPr>
        <w:t>是非常有必要的，</w:t>
      </w:r>
      <w:r>
        <w:rPr>
          <w:rFonts w:ascii="仿宋_GB2312" w:hAnsi="华文仿宋" w:eastAsia="仿宋_GB2312" w:cs="Times New Roman"/>
          <w:sz w:val="30"/>
          <w:szCs w:val="30"/>
        </w:rPr>
        <w:t>对于提高产品质量、促进地方标准化建设、确保安全环保、推动技术创新以及加强市场管理和监督都具有重要意义。</w:t>
      </w:r>
    </w:p>
    <w:p w14:paraId="5D040D5D">
      <w:pPr>
        <w:spacing w:line="440" w:lineRule="exact"/>
      </w:pPr>
      <w:r>
        <w:rPr>
          <w:rFonts w:hint="eastAsia" w:ascii="黑体" w:hAnsi="黑体" w:eastAsia="黑体" w:cs="黑体"/>
          <w:sz w:val="32"/>
          <w:szCs w:val="32"/>
        </w:rPr>
        <w:t>二、工作简况</w:t>
      </w:r>
      <w:r>
        <w:rPr>
          <w:rFonts w:hint="eastAsia" w:ascii="黑体" w:hAnsi="黑体" w:eastAsia="黑体" w:cs="黑体"/>
          <w:sz w:val="28"/>
          <w:szCs w:val="28"/>
        </w:rPr>
        <w:t>（包括任务来源、协作单位、主要工作过程、主要起草人及其所做的工作等）</w:t>
      </w:r>
      <w:bookmarkStart w:id="1" w:name="_Toc278537138"/>
    </w:p>
    <w:bookmarkEnd w:id="1"/>
    <w:p w14:paraId="2BC98B63">
      <w:pPr>
        <w:pStyle w:val="3"/>
        <w:ind w:firstLine="452" w:firstLineChars="160"/>
        <w:rPr>
          <w:rFonts w:ascii="仿宋_GB2312" w:hAnsi="华文仿宋" w:eastAsia="仿宋_GB2312"/>
          <w:b/>
          <w:bCs/>
          <w:sz w:val="30"/>
          <w:szCs w:val="30"/>
        </w:rPr>
      </w:pPr>
      <w:r>
        <w:rPr>
          <w:rFonts w:hint="eastAsia" w:ascii="仿宋_GB2312" w:hAnsi="华文仿宋" w:eastAsia="仿宋_GB2312"/>
          <w:b/>
          <w:bCs/>
          <w:sz w:val="30"/>
          <w:szCs w:val="30"/>
        </w:rPr>
        <w:t>（一）</w:t>
      </w:r>
      <w:r>
        <w:rPr>
          <w:rFonts w:ascii="仿宋_GB2312" w:hAnsi="华文仿宋" w:eastAsia="仿宋_GB2312"/>
          <w:b/>
          <w:bCs/>
          <w:sz w:val="30"/>
          <w:szCs w:val="30"/>
        </w:rPr>
        <w:t>任务来源</w:t>
      </w:r>
    </w:p>
    <w:p w14:paraId="5B39872B">
      <w:pPr>
        <w:pStyle w:val="3"/>
        <w:spacing w:line="360" w:lineRule="auto"/>
        <w:ind w:firstLine="452" w:firstLineChars="160"/>
        <w:rPr>
          <w:rFonts w:ascii="仿宋_GB2312" w:hAnsi="华文仿宋" w:eastAsia="仿宋_GB2312"/>
          <w:sz w:val="30"/>
          <w:szCs w:val="30"/>
        </w:rPr>
      </w:pPr>
      <w:r>
        <w:rPr>
          <w:rFonts w:ascii="仿宋_GB2312" w:hAnsi="华文仿宋" w:eastAsia="仿宋_GB2312"/>
          <w:sz w:val="30"/>
          <w:szCs w:val="30"/>
        </w:rPr>
        <w:t>湖南省市场监督管理局依据相关规定，在收到有关单位的申请以及行业主管部门的推荐后，组织专家对众多项目进行立项评审。最终确定《水中悬浮物在线分析仪校准规范》项目列入 202</w:t>
      </w:r>
      <w:r>
        <w:rPr>
          <w:rFonts w:hint="eastAsia" w:ascii="仿宋_GB2312" w:hAnsi="华文仿宋" w:eastAsia="仿宋_GB2312"/>
          <w:sz w:val="30"/>
          <w:szCs w:val="30"/>
        </w:rPr>
        <w:t>5</w:t>
      </w:r>
      <w:r>
        <w:rPr>
          <w:rFonts w:ascii="仿宋_GB2312" w:hAnsi="华文仿宋" w:eastAsia="仿宋_GB2312"/>
          <w:sz w:val="30"/>
          <w:szCs w:val="30"/>
        </w:rPr>
        <w:t xml:space="preserve"> 年度湖南省地方计量技术规范项目计划。</w:t>
      </w:r>
    </w:p>
    <w:p w14:paraId="59C48346">
      <w:pPr>
        <w:pStyle w:val="3"/>
        <w:ind w:firstLine="452" w:firstLineChars="160"/>
        <w:rPr>
          <w:rFonts w:ascii="仿宋_GB2312" w:hAnsi="华文仿宋" w:eastAsia="仿宋_GB2312"/>
          <w:b/>
          <w:bCs/>
          <w:sz w:val="30"/>
          <w:szCs w:val="30"/>
        </w:rPr>
      </w:pPr>
      <w:r>
        <w:rPr>
          <w:rFonts w:hint="eastAsia" w:ascii="仿宋_GB2312" w:hAnsi="华文仿宋" w:eastAsia="仿宋_GB2312"/>
          <w:b/>
          <w:bCs/>
          <w:sz w:val="30"/>
          <w:szCs w:val="30"/>
        </w:rPr>
        <w:t>（二）协作单位</w:t>
      </w:r>
    </w:p>
    <w:p w14:paraId="36572122">
      <w:pPr>
        <w:spacing w:line="480" w:lineRule="auto"/>
        <w:ind w:right="-1055"/>
        <w:rPr>
          <w:rFonts w:hint="eastAsia" w:ascii="仿宋" w:hAnsi="仿宋" w:eastAsia="仿宋" w:cs="仿宋"/>
          <w:sz w:val="30"/>
          <w:szCs w:val="30"/>
          <w:lang w:val="en-US" w:eastAsia="zh-CN"/>
        </w:rPr>
      </w:pPr>
      <w:r>
        <w:rPr>
          <w:rFonts w:hint="eastAsia" w:ascii="仿宋_GB2312" w:hAnsi="华文仿宋" w:eastAsia="仿宋_GB2312"/>
          <w:sz w:val="30"/>
          <w:szCs w:val="30"/>
        </w:rPr>
        <w:t>本标准起草单位主要有广电计量检测（湖南）有限公司、</w:t>
      </w:r>
      <w:r>
        <w:rPr>
          <w:rFonts w:hint="eastAsia" w:ascii="仿宋" w:hAnsi="仿宋" w:eastAsia="仿宋" w:cs="仿宋"/>
          <w:b w:val="0"/>
          <w:bCs w:val="0"/>
          <w:sz w:val="30"/>
          <w:szCs w:val="30"/>
          <w:lang w:val="en-US" w:eastAsia="zh-CN"/>
        </w:rPr>
        <w:t>岳阳市检验检测中心</w:t>
      </w:r>
    </w:p>
    <w:p w14:paraId="04ECB925">
      <w:pPr>
        <w:spacing w:line="480" w:lineRule="auto"/>
        <w:ind w:right="-1055"/>
        <w:rPr>
          <w:rFonts w:ascii="仿宋_GB2312" w:hAnsi="华文仿宋" w:eastAsia="仿宋_GB2312"/>
          <w:sz w:val="30"/>
          <w:szCs w:val="30"/>
        </w:rPr>
      </w:pPr>
      <w:r>
        <w:rPr>
          <w:rFonts w:hint="eastAsia" w:ascii="仿宋" w:hAnsi="仿宋" w:eastAsia="仿宋" w:cs="仿宋"/>
          <w:sz w:val="30"/>
          <w:szCs w:val="30"/>
          <w:lang w:eastAsia="zh-CN"/>
        </w:rPr>
        <w:t>、</w:t>
      </w:r>
      <w:r>
        <w:rPr>
          <w:rFonts w:hint="eastAsia" w:ascii="仿宋" w:hAnsi="仿宋" w:eastAsia="仿宋" w:cs="仿宋"/>
          <w:sz w:val="30"/>
          <w:szCs w:val="30"/>
        </w:rPr>
        <w:t>广电计量检测集团股份有限公司</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湖南省湘核检测科技有限公司、</w:t>
      </w:r>
      <w:r>
        <w:rPr>
          <w:rFonts w:hint="eastAsia" w:ascii="仿宋" w:hAnsi="仿宋" w:eastAsia="仿宋" w:cs="仿宋"/>
          <w:sz w:val="30"/>
          <w:szCs w:val="30"/>
        </w:rPr>
        <w:t>湖南省长沙市生态环境监测</w:t>
      </w:r>
      <w:r>
        <w:rPr>
          <w:rFonts w:hint="eastAsia" w:ascii="仿宋" w:hAnsi="仿宋" w:eastAsia="仿宋" w:cs="仿宋"/>
          <w:sz w:val="30"/>
          <w:szCs w:val="30"/>
          <w:lang w:val="en-US" w:eastAsia="zh-CN"/>
        </w:rPr>
        <w:t>中心、</w:t>
      </w:r>
      <w:r>
        <w:rPr>
          <w:rFonts w:hint="eastAsia" w:ascii="仿宋" w:hAnsi="仿宋" w:eastAsia="仿宋" w:cs="仿宋"/>
          <w:sz w:val="30"/>
          <w:szCs w:val="30"/>
        </w:rPr>
        <w:t>娄底市计量测试检定所</w:t>
      </w:r>
      <w:r>
        <w:rPr>
          <w:rFonts w:hint="eastAsia" w:ascii="仿宋" w:hAnsi="仿宋" w:eastAsia="仿宋" w:cs="仿宋"/>
          <w:sz w:val="30"/>
          <w:szCs w:val="30"/>
          <w:lang w:eastAsia="zh-CN"/>
        </w:rPr>
        <w:t>、</w:t>
      </w:r>
      <w:r>
        <w:rPr>
          <w:rFonts w:hint="eastAsia" w:hAnsi="宋体"/>
          <w:sz w:val="28"/>
          <w:lang w:val="en-US" w:eastAsia="zh-CN"/>
        </w:rPr>
        <w:t>衡阳市计量测试中心。</w:t>
      </w:r>
    </w:p>
    <w:p w14:paraId="450291B7">
      <w:pPr>
        <w:pStyle w:val="3"/>
        <w:ind w:firstLine="452" w:firstLineChars="160"/>
        <w:rPr>
          <w:rFonts w:ascii="仿宋_GB2312" w:hAnsi="华文仿宋" w:eastAsia="仿宋_GB2312"/>
          <w:b/>
          <w:bCs/>
          <w:sz w:val="30"/>
          <w:szCs w:val="30"/>
        </w:rPr>
      </w:pPr>
      <w:r>
        <w:rPr>
          <w:rFonts w:hint="eastAsia" w:ascii="仿宋_GB2312" w:hAnsi="华文仿宋" w:eastAsia="仿宋_GB2312"/>
          <w:b/>
          <w:bCs/>
          <w:sz w:val="30"/>
          <w:szCs w:val="30"/>
        </w:rPr>
        <w:t>（三）</w:t>
      </w:r>
      <w:r>
        <w:rPr>
          <w:rFonts w:ascii="仿宋_GB2312" w:hAnsi="华文仿宋" w:eastAsia="仿宋_GB2312"/>
          <w:b/>
          <w:bCs/>
          <w:sz w:val="30"/>
          <w:szCs w:val="30"/>
        </w:rPr>
        <w:t>主要工作过程</w:t>
      </w:r>
    </w:p>
    <w:p w14:paraId="2DE061DF">
      <w:pPr>
        <w:pStyle w:val="3"/>
        <w:spacing w:line="360" w:lineRule="auto"/>
        <w:ind w:firstLine="563"/>
        <w:rPr>
          <w:rFonts w:ascii="仿宋_GB2312" w:hAnsi="华文仿宋" w:eastAsia="仿宋_GB2312"/>
          <w:sz w:val="30"/>
          <w:szCs w:val="30"/>
        </w:rPr>
      </w:pPr>
      <w:r>
        <w:rPr>
          <w:rFonts w:hint="eastAsia" w:ascii="仿宋_GB2312" w:hAnsi="华文仿宋" w:eastAsia="仿宋_GB2312"/>
          <w:sz w:val="30"/>
          <w:szCs w:val="30"/>
        </w:rPr>
        <w:t>查阅和市场调研：2025年1月~3月，成立规范编制小组，成员由多年从事水质计量校准、水质检测分析的专业人员组成。收集了国内外有关水中悬浮物在线分析仪的资料，检索了国内外最新发布的相关技术，对有关的内容进行学习，消化吸收，对编制的标准体系及内容进行反复研究，确定了标准编写大纲，制定了规范编制实施计划，同时开展文献查阅和相关调研工作，并对国内外生产厂家的技术指标等进行了充分的调研后，提出了立项申请。</w:t>
      </w:r>
    </w:p>
    <w:p w14:paraId="22BE8AA6">
      <w:pPr>
        <w:pStyle w:val="3"/>
        <w:spacing w:line="360" w:lineRule="auto"/>
        <w:ind w:firstLine="452" w:firstLineChars="160"/>
        <w:rPr>
          <w:rFonts w:ascii="仿宋_GB2312" w:hAnsi="华文仿宋" w:eastAsia="仿宋_GB2312"/>
          <w:sz w:val="30"/>
          <w:szCs w:val="30"/>
        </w:rPr>
      </w:pPr>
      <w:r>
        <w:rPr>
          <w:rFonts w:hint="eastAsia" w:ascii="仿宋_GB2312" w:hAnsi="华文仿宋" w:eastAsia="仿宋_GB2312"/>
          <w:sz w:val="30"/>
          <w:szCs w:val="30"/>
        </w:rPr>
        <w:t>2025年2月，《水中悬浮物在线分析仪校准规范》通过立项审批.</w:t>
      </w:r>
    </w:p>
    <w:p w14:paraId="1C8FFA26">
      <w:pPr>
        <w:spacing w:line="360" w:lineRule="auto"/>
        <w:ind w:firstLine="282" w:firstLineChars="100"/>
        <w:rPr>
          <w:rFonts w:ascii="仿宋_GB2312" w:hAnsi="华文仿宋" w:eastAsia="仿宋_GB2312"/>
          <w:sz w:val="30"/>
          <w:szCs w:val="30"/>
        </w:rPr>
      </w:pPr>
      <w:r>
        <w:rPr>
          <w:rFonts w:ascii="仿宋_GB2312" w:hAnsi="华文仿宋" w:eastAsia="仿宋_GB2312"/>
          <w:sz w:val="30"/>
          <w:szCs w:val="30"/>
        </w:rPr>
        <w:t xml:space="preserve"> </w:t>
      </w:r>
      <w:r>
        <w:rPr>
          <w:rFonts w:hint="eastAsia" w:ascii="仿宋_GB2312" w:hAnsi="华文仿宋" w:eastAsia="仿宋_GB2312"/>
          <w:sz w:val="30"/>
          <w:szCs w:val="30"/>
        </w:rPr>
        <w:t>2025年2月-3月，编制小组形成了初步方案并组织开展试验工作，在规程的修订过程中，也征求了生产厂家、用户等专家的意见和建议，确保标准具有实际可操作性。</w:t>
      </w:r>
    </w:p>
    <w:p w14:paraId="44F2638E">
      <w:pPr>
        <w:spacing w:line="360" w:lineRule="auto"/>
        <w:ind w:firstLine="480"/>
        <w:rPr>
          <w:sz w:val="30"/>
          <w:szCs w:val="30"/>
        </w:rPr>
      </w:pPr>
      <w:r>
        <w:rPr>
          <w:rFonts w:hint="eastAsia" w:ascii="仿宋_GB2312" w:hAnsi="华文仿宋" w:eastAsia="仿宋_GB2312"/>
          <w:sz w:val="30"/>
          <w:szCs w:val="30"/>
        </w:rPr>
        <w:t>2025年4月-7月，编制小组对不同厂家生产的水中悬浮物在线分析仪进行大量试验，形成修订初稿。期间，编制小组分别召开2次内部沟通会议，对编制的技术问题进行讨论，形成一致意见，最终形成初稿。</w:t>
      </w:r>
    </w:p>
    <w:p w14:paraId="65CE25BA">
      <w:pPr>
        <w:pStyle w:val="3"/>
        <w:spacing w:line="360" w:lineRule="auto"/>
        <w:ind w:firstLine="452" w:firstLineChars="160"/>
        <w:rPr>
          <w:rFonts w:ascii="仿宋_GB2312" w:hAnsi="华文仿宋" w:eastAsia="仿宋_GB2312"/>
          <w:sz w:val="30"/>
          <w:szCs w:val="30"/>
        </w:rPr>
      </w:pPr>
      <w:r>
        <w:rPr>
          <w:rFonts w:hint="eastAsia" w:ascii="仿宋_GB2312" w:hAnsi="华文仿宋" w:eastAsia="仿宋_GB2312"/>
          <w:sz w:val="30"/>
          <w:szCs w:val="30"/>
        </w:rPr>
        <w:t>2025年8月，邀请</w:t>
      </w:r>
      <w:r>
        <w:rPr>
          <w:rFonts w:hint="eastAsia" w:ascii="仿宋_GB2312" w:hAnsi="华文仿宋" w:eastAsia="仿宋_GB2312"/>
          <w:sz w:val="30"/>
          <w:szCs w:val="30"/>
          <w:lang w:val="en-US" w:eastAsia="zh-CN"/>
        </w:rPr>
        <w:t>外部专家，组织标准起草组开展一次外部评审，在认真听取现场专家的意见后进行完善，最终形成征求意见稿。</w:t>
      </w:r>
    </w:p>
    <w:p w14:paraId="308A42FD">
      <w:pPr>
        <w:spacing w:line="360" w:lineRule="auto"/>
        <w:ind w:firstLine="480"/>
        <w:rPr>
          <w:rFonts w:ascii="仿宋_GB2312" w:hAnsi="华文仿宋" w:eastAsia="仿宋_GB2312"/>
          <w:sz w:val="30"/>
          <w:szCs w:val="30"/>
        </w:rPr>
      </w:pPr>
    </w:p>
    <w:p w14:paraId="6C0FD531">
      <w:pPr>
        <w:spacing w:line="360" w:lineRule="auto"/>
        <w:ind w:firstLine="480"/>
        <w:rPr>
          <w:rFonts w:ascii="仿宋_GB2312" w:hAnsi="华文仿宋" w:eastAsia="仿宋_GB2312"/>
          <w:b/>
          <w:bCs/>
          <w:sz w:val="30"/>
          <w:szCs w:val="30"/>
        </w:rPr>
      </w:pPr>
      <w:r>
        <w:rPr>
          <w:rFonts w:hint="eastAsia" w:ascii="仿宋_GB2312" w:hAnsi="华文仿宋" w:eastAsia="仿宋_GB2312"/>
          <w:b/>
          <w:bCs/>
          <w:sz w:val="30"/>
          <w:szCs w:val="30"/>
        </w:rPr>
        <w:t>（四）项目参加单位及人员分工</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276"/>
        <w:gridCol w:w="4252"/>
        <w:gridCol w:w="3055"/>
      </w:tblGrid>
      <w:tr w14:paraId="12852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7408A2F6">
            <w:pPr>
              <w:spacing w:line="360" w:lineRule="auto"/>
              <w:jc w:val="center"/>
              <w:rPr>
                <w:rFonts w:ascii="仿宋_GB2312" w:hAnsi="华文仿宋" w:eastAsia="仿宋_GB2312"/>
                <w:sz w:val="28"/>
                <w:szCs w:val="28"/>
              </w:rPr>
            </w:pPr>
            <w:r>
              <w:rPr>
                <w:rFonts w:hint="eastAsia" w:ascii="仿宋_GB2312" w:hAnsi="华文仿宋" w:eastAsia="仿宋_GB2312"/>
                <w:sz w:val="28"/>
                <w:szCs w:val="28"/>
              </w:rPr>
              <w:t>序号</w:t>
            </w:r>
          </w:p>
        </w:tc>
        <w:tc>
          <w:tcPr>
            <w:tcW w:w="1276" w:type="dxa"/>
          </w:tcPr>
          <w:p w14:paraId="0A60BF4A">
            <w:pPr>
              <w:spacing w:line="360" w:lineRule="auto"/>
              <w:jc w:val="center"/>
              <w:rPr>
                <w:rFonts w:ascii="仿宋_GB2312" w:hAnsi="华文仿宋" w:eastAsia="仿宋_GB2312"/>
                <w:sz w:val="28"/>
                <w:szCs w:val="28"/>
              </w:rPr>
            </w:pPr>
            <w:r>
              <w:rPr>
                <w:rFonts w:hint="eastAsia" w:ascii="仿宋_GB2312" w:hAnsi="华文仿宋" w:eastAsia="仿宋_GB2312"/>
                <w:sz w:val="28"/>
                <w:szCs w:val="28"/>
              </w:rPr>
              <w:t>姓名</w:t>
            </w:r>
          </w:p>
        </w:tc>
        <w:tc>
          <w:tcPr>
            <w:tcW w:w="4252" w:type="dxa"/>
          </w:tcPr>
          <w:p w14:paraId="3C974064">
            <w:pPr>
              <w:spacing w:line="360" w:lineRule="auto"/>
              <w:jc w:val="center"/>
              <w:rPr>
                <w:rFonts w:ascii="仿宋_GB2312" w:hAnsi="华文仿宋" w:eastAsia="仿宋_GB2312"/>
                <w:sz w:val="28"/>
                <w:szCs w:val="28"/>
              </w:rPr>
            </w:pPr>
            <w:r>
              <w:rPr>
                <w:rFonts w:hint="eastAsia" w:ascii="仿宋_GB2312" w:hAnsi="华文仿宋" w:eastAsia="仿宋_GB2312"/>
                <w:sz w:val="28"/>
                <w:szCs w:val="28"/>
              </w:rPr>
              <w:t>单位名称</w:t>
            </w:r>
          </w:p>
        </w:tc>
        <w:tc>
          <w:tcPr>
            <w:tcW w:w="3055" w:type="dxa"/>
          </w:tcPr>
          <w:p w14:paraId="118E1340">
            <w:pPr>
              <w:spacing w:line="360" w:lineRule="auto"/>
              <w:jc w:val="center"/>
              <w:rPr>
                <w:rFonts w:ascii="仿宋_GB2312" w:hAnsi="华文仿宋" w:eastAsia="仿宋_GB2312"/>
                <w:sz w:val="28"/>
                <w:szCs w:val="28"/>
              </w:rPr>
            </w:pPr>
            <w:r>
              <w:rPr>
                <w:rFonts w:hint="eastAsia" w:ascii="仿宋_GB2312" w:hAnsi="华文仿宋" w:eastAsia="仿宋_GB2312"/>
                <w:sz w:val="28"/>
                <w:szCs w:val="28"/>
              </w:rPr>
              <w:t>分工</w:t>
            </w:r>
          </w:p>
        </w:tc>
      </w:tr>
      <w:tr w14:paraId="5CE3D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191C91E7">
            <w:pPr>
              <w:spacing w:line="360" w:lineRule="auto"/>
              <w:rPr>
                <w:rFonts w:ascii="仿宋_GB2312" w:hAnsi="华文仿宋" w:eastAsia="仿宋_GB2312"/>
                <w:sz w:val="28"/>
                <w:szCs w:val="28"/>
              </w:rPr>
            </w:pPr>
            <w:r>
              <w:rPr>
                <w:rFonts w:hint="eastAsia" w:ascii="仿宋_GB2312" w:hAnsi="华文仿宋" w:eastAsia="仿宋_GB2312"/>
                <w:sz w:val="28"/>
                <w:szCs w:val="28"/>
              </w:rPr>
              <w:t>1</w:t>
            </w:r>
          </w:p>
        </w:tc>
        <w:tc>
          <w:tcPr>
            <w:tcW w:w="1276" w:type="dxa"/>
          </w:tcPr>
          <w:p w14:paraId="78160A87">
            <w:pPr>
              <w:spacing w:line="360" w:lineRule="auto"/>
              <w:rPr>
                <w:rFonts w:ascii="仿宋_GB2312" w:hAnsi="华文仿宋" w:eastAsia="仿宋_GB2312"/>
                <w:sz w:val="28"/>
                <w:szCs w:val="28"/>
              </w:rPr>
            </w:pPr>
            <w:r>
              <w:rPr>
                <w:rFonts w:hint="eastAsia" w:ascii="仿宋_GB2312" w:hAnsi="华文仿宋" w:eastAsia="仿宋_GB2312"/>
                <w:sz w:val="28"/>
                <w:szCs w:val="28"/>
              </w:rPr>
              <w:t>江贤志</w:t>
            </w:r>
          </w:p>
        </w:tc>
        <w:tc>
          <w:tcPr>
            <w:tcW w:w="4252" w:type="dxa"/>
          </w:tcPr>
          <w:p w14:paraId="009EE56B">
            <w:pPr>
              <w:spacing w:line="360" w:lineRule="auto"/>
              <w:rPr>
                <w:rFonts w:ascii="仿宋_GB2312" w:hAnsi="华文仿宋" w:eastAsia="仿宋_GB2312"/>
                <w:sz w:val="28"/>
                <w:szCs w:val="28"/>
              </w:rPr>
            </w:pPr>
            <w:r>
              <w:rPr>
                <w:rFonts w:hint="eastAsia" w:ascii="仿宋_GB2312" w:hAnsi="华文仿宋" w:eastAsia="仿宋_GB2312"/>
                <w:sz w:val="28"/>
                <w:szCs w:val="28"/>
              </w:rPr>
              <w:t>广电计量检测（湖南）有限公司</w:t>
            </w:r>
          </w:p>
        </w:tc>
        <w:tc>
          <w:tcPr>
            <w:tcW w:w="3055" w:type="dxa"/>
          </w:tcPr>
          <w:p w14:paraId="6AD3DD76">
            <w:pPr>
              <w:spacing w:line="360" w:lineRule="auto"/>
              <w:rPr>
                <w:rFonts w:ascii="仿宋_GB2312" w:hAnsi="华文仿宋" w:eastAsia="仿宋_GB2312"/>
                <w:sz w:val="28"/>
                <w:szCs w:val="28"/>
              </w:rPr>
            </w:pPr>
            <w:r>
              <w:rPr>
                <w:rFonts w:hint="eastAsia" w:ascii="仿宋_GB2312" w:hAnsi="华文仿宋" w:eastAsia="仿宋_GB2312"/>
                <w:sz w:val="28"/>
                <w:szCs w:val="28"/>
              </w:rPr>
              <w:t>项目整体规划与推进</w:t>
            </w:r>
          </w:p>
        </w:tc>
      </w:tr>
      <w:tr w14:paraId="162CF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2C8BF779">
            <w:pPr>
              <w:spacing w:line="360" w:lineRule="auto"/>
              <w:rPr>
                <w:rFonts w:ascii="仿宋_GB2312" w:hAnsi="华文仿宋" w:eastAsia="仿宋_GB2312"/>
                <w:sz w:val="28"/>
                <w:szCs w:val="28"/>
              </w:rPr>
            </w:pPr>
            <w:r>
              <w:rPr>
                <w:rFonts w:hint="eastAsia" w:ascii="仿宋_GB2312" w:hAnsi="华文仿宋" w:eastAsia="仿宋_GB2312"/>
                <w:sz w:val="28"/>
                <w:szCs w:val="28"/>
              </w:rPr>
              <w:t>2</w:t>
            </w:r>
          </w:p>
        </w:tc>
        <w:tc>
          <w:tcPr>
            <w:tcW w:w="1276" w:type="dxa"/>
          </w:tcPr>
          <w:p w14:paraId="10A1A770">
            <w:pPr>
              <w:spacing w:line="360" w:lineRule="auto"/>
              <w:rPr>
                <w:rFonts w:ascii="仿宋_GB2312" w:hAnsi="华文仿宋" w:eastAsia="仿宋_GB2312"/>
                <w:sz w:val="28"/>
                <w:szCs w:val="28"/>
              </w:rPr>
            </w:pPr>
            <w:r>
              <w:rPr>
                <w:rFonts w:hint="eastAsia" w:ascii="仿宋_GB2312" w:hAnsi="华文仿宋" w:eastAsia="仿宋_GB2312"/>
                <w:sz w:val="28"/>
                <w:szCs w:val="28"/>
              </w:rPr>
              <w:t>袁姣</w:t>
            </w:r>
          </w:p>
        </w:tc>
        <w:tc>
          <w:tcPr>
            <w:tcW w:w="4252" w:type="dxa"/>
          </w:tcPr>
          <w:p w14:paraId="24A13C4C">
            <w:pPr>
              <w:spacing w:line="360" w:lineRule="auto"/>
              <w:rPr>
                <w:rFonts w:ascii="仿宋_GB2312" w:hAnsi="华文仿宋" w:eastAsia="仿宋_GB2312"/>
                <w:sz w:val="28"/>
                <w:szCs w:val="28"/>
              </w:rPr>
            </w:pPr>
            <w:r>
              <w:rPr>
                <w:rFonts w:hint="eastAsia" w:ascii="仿宋_GB2312" w:hAnsi="华文仿宋" w:eastAsia="仿宋_GB2312"/>
                <w:sz w:val="28"/>
                <w:szCs w:val="28"/>
              </w:rPr>
              <w:t>广电计量检测（湖南）有限公司</w:t>
            </w:r>
          </w:p>
        </w:tc>
        <w:tc>
          <w:tcPr>
            <w:tcW w:w="3055" w:type="dxa"/>
          </w:tcPr>
          <w:p w14:paraId="5892E375">
            <w:pPr>
              <w:spacing w:line="360" w:lineRule="auto"/>
              <w:rPr>
                <w:rFonts w:ascii="仿宋_GB2312" w:hAnsi="华文仿宋" w:eastAsia="仿宋_GB2312"/>
                <w:sz w:val="28"/>
                <w:szCs w:val="28"/>
              </w:rPr>
            </w:pPr>
            <w:r>
              <w:rPr>
                <w:rFonts w:hint="eastAsia" w:ascii="仿宋_GB2312" w:hAnsi="华文仿宋" w:eastAsia="仿宋_GB2312"/>
                <w:sz w:val="28"/>
                <w:szCs w:val="28"/>
              </w:rPr>
              <w:t>项目技术指导、数据分析</w:t>
            </w:r>
          </w:p>
        </w:tc>
      </w:tr>
      <w:tr w14:paraId="1482D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559A2899">
            <w:pPr>
              <w:spacing w:line="360" w:lineRule="auto"/>
              <w:rPr>
                <w:rFonts w:ascii="仿宋_GB2312" w:hAnsi="华文仿宋" w:eastAsia="仿宋_GB2312"/>
                <w:sz w:val="28"/>
                <w:szCs w:val="28"/>
              </w:rPr>
            </w:pPr>
            <w:r>
              <w:rPr>
                <w:rFonts w:hint="eastAsia" w:ascii="仿宋_GB2312" w:hAnsi="华文仿宋" w:eastAsia="仿宋_GB2312"/>
                <w:sz w:val="28"/>
                <w:szCs w:val="28"/>
              </w:rPr>
              <w:t>3</w:t>
            </w:r>
          </w:p>
        </w:tc>
        <w:tc>
          <w:tcPr>
            <w:tcW w:w="1276" w:type="dxa"/>
          </w:tcPr>
          <w:p w14:paraId="16146C0C">
            <w:pPr>
              <w:spacing w:line="360" w:lineRule="auto"/>
              <w:rPr>
                <w:rFonts w:ascii="仿宋_GB2312" w:hAnsi="华文仿宋" w:eastAsia="仿宋_GB2312"/>
                <w:sz w:val="28"/>
                <w:szCs w:val="28"/>
              </w:rPr>
            </w:pPr>
            <w:r>
              <w:rPr>
                <w:rFonts w:hint="eastAsia" w:ascii="宋体"/>
                <w:sz w:val="28"/>
                <w:lang w:val="en-US" w:eastAsia="zh-CN"/>
              </w:rPr>
              <w:t>何成树</w:t>
            </w:r>
          </w:p>
        </w:tc>
        <w:tc>
          <w:tcPr>
            <w:tcW w:w="4252" w:type="dxa"/>
          </w:tcPr>
          <w:p w14:paraId="2881C281">
            <w:pPr>
              <w:spacing w:line="360" w:lineRule="auto"/>
              <w:rPr>
                <w:rFonts w:ascii="仿宋_GB2312" w:hAnsi="华文仿宋" w:eastAsia="仿宋_GB2312"/>
                <w:sz w:val="28"/>
                <w:szCs w:val="28"/>
              </w:rPr>
            </w:pPr>
            <w:r>
              <w:rPr>
                <w:rFonts w:hint="eastAsia" w:ascii="宋体" w:hAnsi="宋体" w:eastAsia="宋体" w:cs="宋体"/>
                <w:b w:val="0"/>
                <w:bCs w:val="0"/>
                <w:sz w:val="28"/>
                <w:lang w:val="en-US" w:eastAsia="zh-CN"/>
              </w:rPr>
              <w:t>岳阳市检验检测中心</w:t>
            </w:r>
          </w:p>
        </w:tc>
        <w:tc>
          <w:tcPr>
            <w:tcW w:w="3055" w:type="dxa"/>
          </w:tcPr>
          <w:p w14:paraId="150FA6E8">
            <w:pPr>
              <w:spacing w:line="360" w:lineRule="auto"/>
              <w:rPr>
                <w:rFonts w:ascii="仿宋_GB2312" w:hAnsi="华文仿宋" w:eastAsia="仿宋_GB2312"/>
                <w:sz w:val="28"/>
                <w:szCs w:val="28"/>
              </w:rPr>
            </w:pPr>
            <w:r>
              <w:rPr>
                <w:rFonts w:hint="eastAsia" w:ascii="仿宋_GB2312" w:hAnsi="华文仿宋" w:eastAsia="仿宋_GB2312"/>
                <w:sz w:val="28"/>
                <w:szCs w:val="28"/>
              </w:rPr>
              <w:t>项目的调研与分析</w:t>
            </w:r>
          </w:p>
        </w:tc>
      </w:tr>
      <w:tr w14:paraId="7EFEB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7A5EF8D3">
            <w:pPr>
              <w:spacing w:line="360" w:lineRule="auto"/>
              <w:rPr>
                <w:rFonts w:ascii="仿宋_GB2312" w:hAnsi="华文仿宋" w:eastAsia="仿宋_GB2312"/>
                <w:sz w:val="28"/>
                <w:szCs w:val="28"/>
              </w:rPr>
            </w:pPr>
            <w:r>
              <w:rPr>
                <w:rFonts w:hint="eastAsia" w:ascii="仿宋_GB2312" w:hAnsi="华文仿宋" w:eastAsia="仿宋_GB2312"/>
                <w:sz w:val="28"/>
                <w:szCs w:val="28"/>
              </w:rPr>
              <w:t>4</w:t>
            </w:r>
          </w:p>
        </w:tc>
        <w:tc>
          <w:tcPr>
            <w:tcW w:w="1276" w:type="dxa"/>
          </w:tcPr>
          <w:p w14:paraId="287CA240">
            <w:pPr>
              <w:spacing w:line="360" w:lineRule="auto"/>
              <w:rPr>
                <w:rFonts w:ascii="仿宋_GB2312" w:hAnsi="华文仿宋" w:eastAsia="仿宋_GB2312"/>
                <w:sz w:val="28"/>
                <w:szCs w:val="28"/>
              </w:rPr>
            </w:pPr>
            <w:r>
              <w:rPr>
                <w:rFonts w:hint="eastAsia" w:ascii="宋体"/>
                <w:sz w:val="28"/>
                <w:lang w:val="en-US" w:eastAsia="zh-CN"/>
              </w:rPr>
              <w:t>吴少聪</w:t>
            </w:r>
          </w:p>
        </w:tc>
        <w:tc>
          <w:tcPr>
            <w:tcW w:w="4252" w:type="dxa"/>
          </w:tcPr>
          <w:p w14:paraId="506944CB">
            <w:pPr>
              <w:spacing w:line="360" w:lineRule="auto"/>
              <w:rPr>
                <w:rFonts w:ascii="仿宋_GB2312" w:hAnsi="华文仿宋" w:eastAsia="仿宋_GB2312"/>
                <w:sz w:val="28"/>
                <w:szCs w:val="28"/>
              </w:rPr>
            </w:pPr>
            <w:r>
              <w:rPr>
                <w:rFonts w:hint="eastAsia" w:ascii="宋体"/>
                <w:sz w:val="28"/>
              </w:rPr>
              <w:t>广电计量检测(湖南)有限公司</w:t>
            </w:r>
          </w:p>
        </w:tc>
        <w:tc>
          <w:tcPr>
            <w:tcW w:w="3055" w:type="dxa"/>
          </w:tcPr>
          <w:p w14:paraId="71810DE3">
            <w:pPr>
              <w:spacing w:line="360" w:lineRule="auto"/>
              <w:rPr>
                <w:rFonts w:ascii="仿宋_GB2312" w:hAnsi="华文仿宋" w:eastAsia="仿宋_GB2312"/>
                <w:sz w:val="28"/>
                <w:szCs w:val="28"/>
              </w:rPr>
            </w:pPr>
            <w:r>
              <w:rPr>
                <w:rFonts w:hint="eastAsia" w:ascii="仿宋_GB2312" w:hAnsi="华文仿宋" w:eastAsia="仿宋_GB2312"/>
                <w:sz w:val="28"/>
                <w:szCs w:val="28"/>
                <w:lang w:val="en-US" w:eastAsia="zh-CN"/>
              </w:rPr>
              <w:t>现场试验与</w:t>
            </w:r>
            <w:r>
              <w:rPr>
                <w:rFonts w:hint="eastAsia" w:ascii="仿宋_GB2312" w:hAnsi="华文仿宋" w:eastAsia="仿宋_GB2312"/>
                <w:sz w:val="28"/>
                <w:szCs w:val="28"/>
              </w:rPr>
              <w:t>数据分析</w:t>
            </w:r>
          </w:p>
        </w:tc>
      </w:tr>
      <w:tr w14:paraId="431D2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0C291927">
            <w:pPr>
              <w:spacing w:line="360" w:lineRule="auto"/>
              <w:rPr>
                <w:rFonts w:ascii="仿宋_GB2312" w:hAnsi="华文仿宋" w:eastAsia="仿宋_GB2312"/>
                <w:sz w:val="28"/>
                <w:szCs w:val="28"/>
              </w:rPr>
            </w:pPr>
            <w:r>
              <w:rPr>
                <w:rFonts w:hint="eastAsia" w:ascii="仿宋_GB2312" w:hAnsi="华文仿宋" w:eastAsia="仿宋_GB2312"/>
                <w:sz w:val="28"/>
                <w:szCs w:val="28"/>
              </w:rPr>
              <w:t>5</w:t>
            </w:r>
          </w:p>
        </w:tc>
        <w:tc>
          <w:tcPr>
            <w:tcW w:w="1276" w:type="dxa"/>
          </w:tcPr>
          <w:p w14:paraId="1FB69209">
            <w:pPr>
              <w:spacing w:line="360" w:lineRule="auto"/>
              <w:rPr>
                <w:rFonts w:ascii="仿宋_GB2312" w:hAnsi="华文仿宋" w:eastAsia="仿宋_GB2312"/>
                <w:sz w:val="28"/>
                <w:szCs w:val="28"/>
              </w:rPr>
            </w:pPr>
            <w:r>
              <w:rPr>
                <w:rFonts w:hint="eastAsia" w:ascii="宋体"/>
                <w:sz w:val="28"/>
                <w:lang w:val="en-US" w:eastAsia="zh-CN"/>
              </w:rPr>
              <w:t>杜宝华</w:t>
            </w:r>
          </w:p>
        </w:tc>
        <w:tc>
          <w:tcPr>
            <w:tcW w:w="4252" w:type="dxa"/>
          </w:tcPr>
          <w:p w14:paraId="3A0D24D5">
            <w:pPr>
              <w:spacing w:line="360" w:lineRule="auto"/>
              <w:rPr>
                <w:rFonts w:ascii="仿宋_GB2312" w:hAnsi="华文仿宋" w:eastAsia="仿宋_GB2312"/>
                <w:sz w:val="28"/>
                <w:szCs w:val="28"/>
              </w:rPr>
            </w:pPr>
            <w:r>
              <w:rPr>
                <w:rFonts w:hint="eastAsia" w:ascii="宋体" w:hAnsi="宋体" w:cs="宋体"/>
                <w:sz w:val="28"/>
                <w:lang w:val="en-US" w:eastAsia="zh-CN"/>
              </w:rPr>
              <w:t>湖南省湘核检测科技有限公司</w:t>
            </w:r>
          </w:p>
        </w:tc>
        <w:tc>
          <w:tcPr>
            <w:tcW w:w="3055" w:type="dxa"/>
          </w:tcPr>
          <w:p w14:paraId="254AD6BF">
            <w:pPr>
              <w:spacing w:line="360" w:lineRule="auto"/>
              <w:rPr>
                <w:rFonts w:ascii="仿宋_GB2312" w:hAnsi="华文仿宋" w:eastAsia="仿宋_GB2312"/>
                <w:sz w:val="28"/>
                <w:szCs w:val="28"/>
              </w:rPr>
            </w:pPr>
            <w:r>
              <w:rPr>
                <w:rFonts w:hint="eastAsia" w:ascii="仿宋_GB2312" w:hAnsi="华文仿宋" w:eastAsia="仿宋_GB2312"/>
                <w:sz w:val="28"/>
                <w:szCs w:val="28"/>
                <w:lang w:val="en-US" w:eastAsia="zh-CN"/>
              </w:rPr>
              <w:t>现场试验与</w:t>
            </w:r>
            <w:r>
              <w:rPr>
                <w:rFonts w:hint="eastAsia" w:ascii="仿宋_GB2312" w:hAnsi="华文仿宋" w:eastAsia="仿宋_GB2312"/>
                <w:sz w:val="28"/>
                <w:szCs w:val="28"/>
              </w:rPr>
              <w:t>技术指导</w:t>
            </w:r>
          </w:p>
        </w:tc>
      </w:tr>
      <w:tr w14:paraId="3D0AF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51ABCB73">
            <w:pPr>
              <w:spacing w:line="360" w:lineRule="auto"/>
              <w:rPr>
                <w:rFonts w:ascii="仿宋_GB2312" w:hAnsi="华文仿宋" w:eastAsia="仿宋_GB2312"/>
                <w:sz w:val="28"/>
                <w:szCs w:val="28"/>
              </w:rPr>
            </w:pPr>
            <w:r>
              <w:rPr>
                <w:rFonts w:hint="eastAsia" w:ascii="仿宋_GB2312" w:hAnsi="华文仿宋" w:eastAsia="仿宋_GB2312"/>
                <w:sz w:val="28"/>
                <w:szCs w:val="28"/>
              </w:rPr>
              <w:t>6</w:t>
            </w:r>
          </w:p>
        </w:tc>
        <w:tc>
          <w:tcPr>
            <w:tcW w:w="1276" w:type="dxa"/>
          </w:tcPr>
          <w:p w14:paraId="46A8E301">
            <w:pPr>
              <w:spacing w:line="360" w:lineRule="auto"/>
              <w:rPr>
                <w:rFonts w:ascii="仿宋_GB2312" w:hAnsi="华文仿宋" w:eastAsia="仿宋_GB2312"/>
                <w:sz w:val="28"/>
                <w:szCs w:val="28"/>
              </w:rPr>
            </w:pPr>
            <w:r>
              <w:rPr>
                <w:rFonts w:hint="eastAsia" w:ascii="宋体"/>
                <w:sz w:val="28"/>
              </w:rPr>
              <w:t xml:space="preserve">李启武 </w:t>
            </w:r>
          </w:p>
        </w:tc>
        <w:tc>
          <w:tcPr>
            <w:tcW w:w="4252" w:type="dxa"/>
          </w:tcPr>
          <w:p w14:paraId="58196A3D">
            <w:pPr>
              <w:tabs>
                <w:tab w:val="left" w:pos="1126"/>
              </w:tabs>
              <w:spacing w:line="360" w:lineRule="auto"/>
              <w:rPr>
                <w:rFonts w:hint="eastAsia" w:ascii="仿宋_GB2312" w:hAnsi="华文仿宋" w:eastAsia="宋体"/>
                <w:sz w:val="28"/>
                <w:szCs w:val="28"/>
                <w:lang w:val="en-US" w:eastAsia="zh-CN"/>
              </w:rPr>
            </w:pPr>
            <w:r>
              <w:rPr>
                <w:rFonts w:hint="eastAsia" w:ascii="宋体"/>
                <w:sz w:val="28"/>
              </w:rPr>
              <w:t>湖南省长沙市生态环境监测</w:t>
            </w:r>
            <w:r>
              <w:rPr>
                <w:rFonts w:hint="eastAsia" w:ascii="宋体"/>
                <w:sz w:val="28"/>
                <w:lang w:val="en-US" w:eastAsia="zh-CN"/>
              </w:rPr>
              <w:t>中心</w:t>
            </w:r>
          </w:p>
        </w:tc>
        <w:tc>
          <w:tcPr>
            <w:tcW w:w="3055" w:type="dxa"/>
          </w:tcPr>
          <w:p w14:paraId="620D8DEF">
            <w:pPr>
              <w:spacing w:line="360" w:lineRule="auto"/>
              <w:rPr>
                <w:rFonts w:ascii="仿宋_GB2312" w:hAnsi="华文仿宋" w:eastAsia="仿宋_GB2312"/>
                <w:sz w:val="28"/>
                <w:szCs w:val="28"/>
              </w:rPr>
            </w:pPr>
            <w:r>
              <w:rPr>
                <w:rFonts w:hint="eastAsia" w:ascii="仿宋_GB2312" w:hAnsi="华文仿宋" w:eastAsia="仿宋_GB2312"/>
                <w:sz w:val="28"/>
                <w:szCs w:val="28"/>
                <w:lang w:val="en-US" w:eastAsia="zh-CN"/>
              </w:rPr>
              <w:t>现场试验与</w:t>
            </w:r>
            <w:r>
              <w:rPr>
                <w:rFonts w:hint="eastAsia" w:ascii="仿宋_GB2312" w:hAnsi="华文仿宋" w:eastAsia="仿宋_GB2312"/>
                <w:sz w:val="28"/>
                <w:szCs w:val="28"/>
              </w:rPr>
              <w:t>技术指导</w:t>
            </w:r>
          </w:p>
        </w:tc>
      </w:tr>
      <w:tr w14:paraId="76C4A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06501C56">
            <w:pPr>
              <w:spacing w:line="360" w:lineRule="auto"/>
              <w:rPr>
                <w:rFonts w:hint="eastAsia" w:ascii="仿宋_GB2312" w:hAnsi="华文仿宋" w:eastAsia="仿宋_GB2312"/>
                <w:sz w:val="28"/>
                <w:szCs w:val="28"/>
                <w:lang w:val="en-US" w:eastAsia="zh-CN"/>
              </w:rPr>
            </w:pPr>
            <w:r>
              <w:rPr>
                <w:rFonts w:hint="eastAsia" w:ascii="仿宋_GB2312" w:hAnsi="华文仿宋" w:eastAsia="仿宋_GB2312"/>
                <w:sz w:val="28"/>
                <w:szCs w:val="28"/>
                <w:lang w:val="en-US" w:eastAsia="zh-CN"/>
              </w:rPr>
              <w:t>7</w:t>
            </w:r>
          </w:p>
        </w:tc>
        <w:tc>
          <w:tcPr>
            <w:tcW w:w="1276" w:type="dxa"/>
          </w:tcPr>
          <w:p w14:paraId="4A5BC1F8">
            <w:pPr>
              <w:spacing w:line="360" w:lineRule="auto"/>
              <w:rPr>
                <w:rFonts w:ascii="仿宋_GB2312" w:hAnsi="华文仿宋" w:eastAsia="仿宋_GB2312"/>
                <w:sz w:val="28"/>
                <w:szCs w:val="28"/>
              </w:rPr>
            </w:pPr>
            <w:r>
              <w:rPr>
                <w:rFonts w:hint="eastAsia" w:ascii="宋体"/>
                <w:sz w:val="28"/>
                <w:lang w:val="en-US" w:eastAsia="zh-CN"/>
              </w:rPr>
              <w:t>钟  华</w:t>
            </w:r>
          </w:p>
        </w:tc>
        <w:tc>
          <w:tcPr>
            <w:tcW w:w="4252" w:type="dxa"/>
          </w:tcPr>
          <w:p w14:paraId="3D2D1FCF">
            <w:pPr>
              <w:spacing w:line="360" w:lineRule="auto"/>
              <w:rPr>
                <w:rFonts w:ascii="仿宋_GB2312" w:hAnsi="华文仿宋" w:eastAsia="仿宋_GB2312"/>
                <w:sz w:val="28"/>
                <w:szCs w:val="28"/>
              </w:rPr>
            </w:pPr>
            <w:r>
              <w:rPr>
                <w:rFonts w:hint="eastAsia" w:hAnsi="宋体"/>
                <w:sz w:val="28"/>
              </w:rPr>
              <w:t>娄底市计量测试检定所</w:t>
            </w:r>
          </w:p>
        </w:tc>
        <w:tc>
          <w:tcPr>
            <w:tcW w:w="3055" w:type="dxa"/>
          </w:tcPr>
          <w:p w14:paraId="072A2471">
            <w:pPr>
              <w:spacing w:line="360" w:lineRule="auto"/>
              <w:rPr>
                <w:rFonts w:ascii="仿宋_GB2312" w:hAnsi="华文仿宋" w:eastAsia="仿宋_GB2312"/>
                <w:sz w:val="28"/>
                <w:szCs w:val="28"/>
              </w:rPr>
            </w:pPr>
            <w:r>
              <w:rPr>
                <w:rFonts w:hint="eastAsia" w:ascii="仿宋_GB2312" w:hAnsi="华文仿宋" w:eastAsia="仿宋_GB2312"/>
                <w:sz w:val="28"/>
                <w:szCs w:val="28"/>
              </w:rPr>
              <w:t>技术指导</w:t>
            </w:r>
          </w:p>
        </w:tc>
      </w:tr>
      <w:tr w14:paraId="6E386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7" w:type="dxa"/>
          </w:tcPr>
          <w:p w14:paraId="2619E197">
            <w:pPr>
              <w:spacing w:line="360" w:lineRule="auto"/>
              <w:rPr>
                <w:rFonts w:hint="eastAsia" w:ascii="仿宋_GB2312" w:hAnsi="华文仿宋" w:eastAsia="仿宋_GB2312"/>
                <w:sz w:val="28"/>
                <w:szCs w:val="28"/>
                <w:lang w:val="en-US" w:eastAsia="zh-CN"/>
              </w:rPr>
            </w:pPr>
            <w:r>
              <w:rPr>
                <w:rFonts w:hint="eastAsia" w:ascii="仿宋_GB2312" w:hAnsi="华文仿宋" w:eastAsia="仿宋_GB2312"/>
                <w:sz w:val="28"/>
                <w:szCs w:val="28"/>
                <w:lang w:val="en-US" w:eastAsia="zh-CN"/>
              </w:rPr>
              <w:t>8</w:t>
            </w:r>
          </w:p>
        </w:tc>
        <w:tc>
          <w:tcPr>
            <w:tcW w:w="1276" w:type="dxa"/>
          </w:tcPr>
          <w:p w14:paraId="4744F789">
            <w:pPr>
              <w:spacing w:line="360" w:lineRule="auto"/>
              <w:rPr>
                <w:rFonts w:ascii="仿宋_GB2312" w:hAnsi="华文仿宋" w:eastAsia="仿宋_GB2312"/>
                <w:sz w:val="28"/>
                <w:szCs w:val="28"/>
              </w:rPr>
            </w:pPr>
            <w:r>
              <w:rPr>
                <w:rFonts w:hint="eastAsia" w:ascii="宋体"/>
                <w:sz w:val="28"/>
                <w:lang w:val="en-US" w:eastAsia="zh-CN"/>
              </w:rPr>
              <w:t>耿海伟</w:t>
            </w:r>
          </w:p>
        </w:tc>
        <w:tc>
          <w:tcPr>
            <w:tcW w:w="4252" w:type="dxa"/>
          </w:tcPr>
          <w:p w14:paraId="31AFFC29">
            <w:pPr>
              <w:spacing w:line="360" w:lineRule="auto"/>
              <w:rPr>
                <w:rFonts w:ascii="仿宋_GB2312" w:hAnsi="华文仿宋" w:eastAsia="仿宋_GB2312"/>
                <w:sz w:val="28"/>
                <w:szCs w:val="28"/>
              </w:rPr>
            </w:pPr>
            <w:r>
              <w:rPr>
                <w:rFonts w:hint="eastAsia" w:hAnsi="宋体"/>
                <w:sz w:val="28"/>
                <w:lang w:val="en-US" w:eastAsia="zh-CN"/>
              </w:rPr>
              <w:t>衡阳市计量测试中心</w:t>
            </w:r>
          </w:p>
        </w:tc>
        <w:tc>
          <w:tcPr>
            <w:tcW w:w="3055" w:type="dxa"/>
          </w:tcPr>
          <w:p w14:paraId="55F50F13">
            <w:pPr>
              <w:spacing w:line="360" w:lineRule="auto"/>
              <w:rPr>
                <w:rFonts w:ascii="仿宋_GB2312" w:hAnsi="华文仿宋" w:eastAsia="仿宋_GB2312"/>
                <w:sz w:val="28"/>
                <w:szCs w:val="28"/>
              </w:rPr>
            </w:pPr>
            <w:r>
              <w:rPr>
                <w:rFonts w:hint="eastAsia" w:ascii="仿宋_GB2312" w:hAnsi="华文仿宋" w:eastAsia="仿宋_GB2312"/>
                <w:sz w:val="28"/>
                <w:szCs w:val="28"/>
              </w:rPr>
              <w:t>技术指导</w:t>
            </w:r>
          </w:p>
        </w:tc>
      </w:tr>
    </w:tbl>
    <w:p w14:paraId="04BD9562">
      <w:pPr>
        <w:spacing w:line="440" w:lineRule="exact"/>
        <w:rPr>
          <w:rFonts w:ascii="黑体" w:hAnsi="黑体" w:eastAsia="黑体" w:cs="黑体"/>
          <w:sz w:val="28"/>
          <w:szCs w:val="28"/>
        </w:rPr>
      </w:pPr>
      <w:r>
        <w:rPr>
          <w:rFonts w:hint="eastAsia" w:ascii="黑体" w:hAnsi="黑体" w:eastAsia="黑体" w:cs="黑体"/>
          <w:sz w:val="32"/>
          <w:szCs w:val="32"/>
        </w:rPr>
        <w:t>三、标准编制原则和确定地方标准主要内容</w:t>
      </w:r>
      <w:r>
        <w:rPr>
          <w:rFonts w:hint="eastAsia" w:ascii="黑体" w:hAnsi="黑体" w:eastAsia="黑体" w:cs="黑体"/>
          <w:sz w:val="28"/>
          <w:szCs w:val="28"/>
        </w:rPr>
        <w:t>（如技术指标、参数、公示、性能要求、试验方法、检验规则等）的依据，地方标准修订项目，还应当列出和原标准主要差异情况</w:t>
      </w:r>
    </w:p>
    <w:p w14:paraId="15BA67BB">
      <w:pPr>
        <w:pStyle w:val="3"/>
        <w:spacing w:line="360" w:lineRule="auto"/>
        <w:ind w:firstLine="563"/>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标准编写原则</w:t>
      </w:r>
    </w:p>
    <w:p w14:paraId="52C32D43">
      <w:pPr>
        <w:pStyle w:val="3"/>
        <w:spacing w:line="360" w:lineRule="auto"/>
        <w:ind w:firstLine="563"/>
        <w:rPr>
          <w:rFonts w:ascii="仿宋" w:hAnsi="仿宋" w:eastAsia="仿宋"/>
          <w:color w:val="000000"/>
          <w:sz w:val="30"/>
          <w:szCs w:val="30"/>
        </w:rPr>
      </w:pPr>
      <w:r>
        <w:rPr>
          <w:rFonts w:hint="eastAsia" w:ascii="仿宋" w:hAnsi="仿宋" w:eastAsia="仿宋"/>
          <w:sz w:val="30"/>
          <w:szCs w:val="30"/>
        </w:rPr>
        <w:t>本标准</w:t>
      </w:r>
      <w:r>
        <w:rPr>
          <w:rFonts w:hint="eastAsia" w:ascii="仿宋" w:hAnsi="仿宋" w:eastAsia="仿宋"/>
          <w:color w:val="000000"/>
          <w:sz w:val="30"/>
          <w:szCs w:val="30"/>
        </w:rPr>
        <w:t>编制遵循“统一性、协调性、适用性、一致性、规范性”的原则，注重标准的可操作性，本标准严格本规范依据国家计量技术规范JJF 1071-2010《国家计量校准规范编写规则》、JJF 1001-2011《通用计量术语及定义》和JJF 1059.1-2012《测量不确定度评定与表示》的规定编写。</w:t>
      </w:r>
    </w:p>
    <w:p w14:paraId="08EA1A02">
      <w:pPr>
        <w:pStyle w:val="3"/>
        <w:spacing w:line="360" w:lineRule="auto"/>
        <w:ind w:firstLine="563"/>
        <w:rPr>
          <w:rFonts w:ascii="仿宋" w:hAnsi="仿宋" w:eastAsia="仿宋"/>
          <w:sz w:val="30"/>
          <w:szCs w:val="30"/>
        </w:rPr>
      </w:pPr>
      <w:r>
        <w:rPr>
          <w:rFonts w:hint="eastAsia" w:ascii="仿宋" w:hAnsi="仿宋" w:eastAsia="仿宋"/>
          <w:sz w:val="30"/>
          <w:szCs w:val="30"/>
        </w:rPr>
        <w:t>（二）标准主要内容：本标准设置8个章节，4个附录，具体包括：</w:t>
      </w:r>
    </w:p>
    <w:p w14:paraId="229DD334">
      <w:pPr>
        <w:pStyle w:val="3"/>
        <w:numPr>
          <w:ilvl w:val="0"/>
          <w:numId w:val="4"/>
        </w:numPr>
        <w:spacing w:line="360" w:lineRule="auto"/>
        <w:ind w:firstLineChars="0"/>
        <w:rPr>
          <w:rFonts w:ascii="仿宋" w:hAnsi="仿宋" w:eastAsia="仿宋"/>
          <w:sz w:val="30"/>
          <w:szCs w:val="30"/>
        </w:rPr>
      </w:pPr>
      <w:r>
        <w:rPr>
          <w:rFonts w:hint="eastAsia" w:ascii="仿宋" w:hAnsi="仿宋" w:eastAsia="仿宋"/>
          <w:sz w:val="30"/>
          <w:szCs w:val="30"/>
        </w:rPr>
        <w:t>范围</w:t>
      </w:r>
    </w:p>
    <w:p w14:paraId="16910A99">
      <w:pPr>
        <w:pStyle w:val="3"/>
        <w:spacing w:line="360" w:lineRule="auto"/>
        <w:ind w:left="524" w:leftChars="273" w:firstLine="846" w:firstLineChars="300"/>
        <w:rPr>
          <w:rFonts w:ascii="仿宋" w:hAnsi="仿宋" w:eastAsia="仿宋"/>
          <w:sz w:val="30"/>
          <w:szCs w:val="30"/>
        </w:rPr>
      </w:pPr>
      <w:r>
        <w:rPr>
          <w:rFonts w:hint="eastAsia" w:ascii="仿宋" w:hAnsi="仿宋" w:eastAsia="仿宋"/>
          <w:sz w:val="30"/>
          <w:szCs w:val="30"/>
        </w:rPr>
        <w:t>明确标准的适用范围，</w:t>
      </w:r>
      <w:r>
        <w:rPr>
          <w:rFonts w:ascii="仿宋" w:hAnsi="仿宋" w:eastAsia="仿宋"/>
          <w:sz w:val="30"/>
          <w:szCs w:val="30"/>
        </w:rPr>
        <w:t>确保标准能够覆盖主要的</w:t>
      </w:r>
      <w:r>
        <w:rPr>
          <w:rFonts w:hint="eastAsia" w:ascii="仿宋_GB2312" w:hAnsi="华文仿宋" w:eastAsia="仿宋_GB2312"/>
          <w:sz w:val="30"/>
          <w:szCs w:val="30"/>
        </w:rPr>
        <w:t>水中悬浮物在线分析仪</w:t>
      </w:r>
      <w:r>
        <w:rPr>
          <w:rFonts w:ascii="仿宋" w:hAnsi="仿宋" w:eastAsia="仿宋"/>
          <w:sz w:val="30"/>
          <w:szCs w:val="30"/>
        </w:rPr>
        <w:t>产品，满足不同行业的使用需求</w:t>
      </w:r>
      <w:r>
        <w:rPr>
          <w:rFonts w:hint="eastAsia" w:ascii="仿宋" w:hAnsi="仿宋" w:eastAsia="仿宋"/>
          <w:sz w:val="30"/>
          <w:szCs w:val="30"/>
        </w:rPr>
        <w:t>。</w:t>
      </w:r>
    </w:p>
    <w:p w14:paraId="574E5586">
      <w:pPr>
        <w:pStyle w:val="3"/>
        <w:numPr>
          <w:ilvl w:val="0"/>
          <w:numId w:val="4"/>
        </w:numPr>
        <w:spacing w:line="360" w:lineRule="auto"/>
        <w:ind w:firstLineChars="0"/>
        <w:rPr>
          <w:rFonts w:ascii="仿宋" w:hAnsi="仿宋" w:eastAsia="仿宋"/>
          <w:sz w:val="30"/>
          <w:szCs w:val="30"/>
        </w:rPr>
      </w:pPr>
      <w:r>
        <w:rPr>
          <w:rFonts w:ascii="仿宋" w:hAnsi="仿宋" w:eastAsia="仿宋"/>
          <w:sz w:val="30"/>
          <w:szCs w:val="30"/>
        </w:rPr>
        <w:t>引用文件</w:t>
      </w:r>
    </w:p>
    <w:p w14:paraId="1FD7D501">
      <w:pPr>
        <w:pStyle w:val="3"/>
        <w:spacing w:line="360" w:lineRule="auto"/>
        <w:ind w:left="524" w:leftChars="273" w:firstLine="563"/>
        <w:rPr>
          <w:rFonts w:ascii="仿宋" w:hAnsi="仿宋" w:eastAsia="仿宋"/>
          <w:sz w:val="30"/>
          <w:szCs w:val="30"/>
        </w:rPr>
      </w:pPr>
      <w:r>
        <w:rPr>
          <w:rFonts w:hint="eastAsia" w:ascii="仿宋" w:hAnsi="仿宋" w:eastAsia="仿宋"/>
          <w:sz w:val="30"/>
          <w:szCs w:val="30"/>
        </w:rPr>
        <w:t>详细列出本标准使用所涉及的规范性文件。</w:t>
      </w:r>
    </w:p>
    <w:p w14:paraId="6BC8F6A4">
      <w:pPr>
        <w:pStyle w:val="3"/>
        <w:numPr>
          <w:ilvl w:val="0"/>
          <w:numId w:val="4"/>
        </w:numPr>
        <w:spacing w:line="360" w:lineRule="auto"/>
        <w:ind w:firstLineChars="0"/>
        <w:rPr>
          <w:rFonts w:ascii="仿宋" w:hAnsi="仿宋" w:eastAsia="仿宋"/>
          <w:sz w:val="30"/>
          <w:szCs w:val="30"/>
        </w:rPr>
      </w:pPr>
      <w:r>
        <w:rPr>
          <w:rFonts w:ascii="仿宋" w:hAnsi="仿宋" w:eastAsia="仿宋"/>
          <w:sz w:val="30"/>
          <w:szCs w:val="30"/>
        </w:rPr>
        <w:t>术语和定义</w:t>
      </w:r>
    </w:p>
    <w:p w14:paraId="101DDA43">
      <w:pPr>
        <w:pStyle w:val="3"/>
        <w:spacing w:line="360" w:lineRule="auto"/>
        <w:ind w:left="524" w:leftChars="273" w:firstLine="563"/>
        <w:rPr>
          <w:rFonts w:ascii="仿宋" w:hAnsi="仿宋" w:eastAsia="仿宋"/>
          <w:sz w:val="30"/>
          <w:szCs w:val="30"/>
        </w:rPr>
      </w:pPr>
      <w:r>
        <w:rPr>
          <w:rFonts w:ascii="仿宋" w:hAnsi="仿宋" w:eastAsia="仿宋"/>
          <w:sz w:val="30"/>
          <w:szCs w:val="30"/>
        </w:rPr>
        <w:t>对水中悬浮物术语和定义做出规范。</w:t>
      </w:r>
    </w:p>
    <w:p w14:paraId="0BD3A101">
      <w:pPr>
        <w:pStyle w:val="3"/>
        <w:numPr>
          <w:ilvl w:val="0"/>
          <w:numId w:val="4"/>
        </w:numPr>
        <w:spacing w:line="360" w:lineRule="auto"/>
        <w:ind w:firstLineChars="0"/>
        <w:rPr>
          <w:rFonts w:ascii="仿宋" w:hAnsi="仿宋" w:eastAsia="仿宋"/>
          <w:sz w:val="30"/>
          <w:szCs w:val="30"/>
        </w:rPr>
      </w:pPr>
      <w:r>
        <w:rPr>
          <w:rFonts w:ascii="仿宋" w:hAnsi="仿宋" w:eastAsia="仿宋"/>
          <w:sz w:val="30"/>
          <w:szCs w:val="30"/>
        </w:rPr>
        <w:t>概述</w:t>
      </w:r>
    </w:p>
    <w:p w14:paraId="7E250E62">
      <w:pPr>
        <w:pStyle w:val="3"/>
        <w:spacing w:line="360" w:lineRule="auto"/>
        <w:ind w:left="1243" w:firstLine="0" w:firstLineChars="0"/>
        <w:rPr>
          <w:rFonts w:ascii="仿宋" w:hAnsi="仿宋" w:eastAsia="仿宋"/>
          <w:sz w:val="30"/>
          <w:szCs w:val="30"/>
        </w:rPr>
      </w:pPr>
      <w:r>
        <w:rPr>
          <w:rFonts w:hint="eastAsia" w:ascii="仿宋" w:hAnsi="仿宋" w:eastAsia="仿宋"/>
          <w:sz w:val="30"/>
          <w:szCs w:val="30"/>
        </w:rPr>
        <w:t>对</w:t>
      </w:r>
      <w:r>
        <w:rPr>
          <w:rFonts w:ascii="仿宋" w:hAnsi="仿宋" w:eastAsia="仿宋"/>
          <w:sz w:val="30"/>
          <w:szCs w:val="30"/>
        </w:rPr>
        <w:t>水中悬浮物在线分析仪的原理和结构进行说明。</w:t>
      </w:r>
    </w:p>
    <w:p w14:paraId="2A25907E">
      <w:pPr>
        <w:pStyle w:val="3"/>
        <w:numPr>
          <w:ilvl w:val="0"/>
          <w:numId w:val="4"/>
        </w:numPr>
        <w:spacing w:line="360" w:lineRule="auto"/>
        <w:ind w:firstLineChars="0"/>
        <w:rPr>
          <w:rFonts w:ascii="仿宋" w:hAnsi="仿宋" w:eastAsia="仿宋"/>
          <w:sz w:val="30"/>
          <w:szCs w:val="30"/>
        </w:rPr>
      </w:pPr>
      <w:r>
        <w:rPr>
          <w:rFonts w:ascii="仿宋" w:hAnsi="仿宋" w:eastAsia="仿宋"/>
          <w:sz w:val="30"/>
          <w:szCs w:val="30"/>
        </w:rPr>
        <w:t>技术特性</w:t>
      </w:r>
    </w:p>
    <w:p w14:paraId="4D949BBE">
      <w:pPr>
        <w:pStyle w:val="3"/>
        <w:spacing w:line="360" w:lineRule="auto"/>
        <w:ind w:left="1243" w:firstLine="0" w:firstLineChars="0"/>
        <w:rPr>
          <w:rFonts w:ascii="仿宋" w:hAnsi="仿宋" w:eastAsia="仿宋"/>
          <w:sz w:val="30"/>
          <w:szCs w:val="30"/>
        </w:rPr>
      </w:pPr>
      <w:r>
        <w:rPr>
          <w:rFonts w:hint="eastAsia" w:ascii="仿宋" w:hAnsi="仿宋" w:eastAsia="仿宋"/>
          <w:sz w:val="30"/>
          <w:szCs w:val="30"/>
        </w:rPr>
        <w:t>规定技术指标。</w:t>
      </w:r>
    </w:p>
    <w:p w14:paraId="3B939B44">
      <w:pPr>
        <w:pStyle w:val="3"/>
        <w:numPr>
          <w:ilvl w:val="0"/>
          <w:numId w:val="4"/>
        </w:numPr>
        <w:spacing w:line="360" w:lineRule="auto"/>
        <w:ind w:firstLineChars="0"/>
        <w:rPr>
          <w:rFonts w:ascii="仿宋" w:hAnsi="仿宋" w:eastAsia="仿宋"/>
          <w:sz w:val="30"/>
          <w:szCs w:val="30"/>
        </w:rPr>
      </w:pPr>
      <w:r>
        <w:rPr>
          <w:rFonts w:hint="eastAsia" w:ascii="仿宋" w:hAnsi="仿宋" w:eastAsia="仿宋"/>
          <w:sz w:val="30"/>
          <w:szCs w:val="30"/>
        </w:rPr>
        <w:t>校准条件</w:t>
      </w:r>
    </w:p>
    <w:p w14:paraId="262339F9">
      <w:pPr>
        <w:pStyle w:val="3"/>
        <w:spacing w:line="360" w:lineRule="auto"/>
        <w:ind w:left="1243" w:firstLine="0" w:firstLineChars="0"/>
        <w:rPr>
          <w:rFonts w:ascii="仿宋" w:hAnsi="仿宋" w:eastAsia="仿宋"/>
          <w:sz w:val="30"/>
          <w:szCs w:val="30"/>
        </w:rPr>
      </w:pPr>
      <w:r>
        <w:rPr>
          <w:rFonts w:hint="eastAsia" w:ascii="仿宋" w:hAnsi="仿宋" w:eastAsia="仿宋"/>
          <w:sz w:val="30"/>
          <w:szCs w:val="30"/>
        </w:rPr>
        <w:t>对校准环境条件及</w:t>
      </w:r>
      <w:r>
        <w:rPr>
          <w:rFonts w:ascii="仿宋" w:hAnsi="仿宋" w:eastAsia="仿宋"/>
          <w:sz w:val="30"/>
          <w:szCs w:val="30"/>
        </w:rPr>
        <w:t>校</w:t>
      </w:r>
      <w:r>
        <w:rPr>
          <w:rFonts w:hint="eastAsia" w:ascii="仿宋" w:hAnsi="仿宋" w:eastAsia="仿宋"/>
          <w:sz w:val="30"/>
          <w:szCs w:val="30"/>
        </w:rPr>
        <w:t>准用计量器具及配套设备进行规定。</w:t>
      </w:r>
    </w:p>
    <w:p w14:paraId="59279D37">
      <w:pPr>
        <w:pStyle w:val="3"/>
        <w:numPr>
          <w:ilvl w:val="0"/>
          <w:numId w:val="4"/>
        </w:numPr>
        <w:spacing w:line="360" w:lineRule="auto"/>
        <w:ind w:firstLineChars="0"/>
        <w:rPr>
          <w:rFonts w:ascii="仿宋" w:hAnsi="仿宋" w:eastAsia="仿宋"/>
          <w:sz w:val="30"/>
          <w:szCs w:val="30"/>
        </w:rPr>
      </w:pPr>
      <w:r>
        <w:rPr>
          <w:rFonts w:hint="eastAsia" w:ascii="仿宋" w:hAnsi="仿宋" w:eastAsia="仿宋"/>
          <w:sz w:val="30"/>
          <w:szCs w:val="30"/>
        </w:rPr>
        <w:t>校准项目和校准方法</w:t>
      </w:r>
    </w:p>
    <w:p w14:paraId="7AD372DC">
      <w:pPr>
        <w:pStyle w:val="3"/>
        <w:spacing w:line="360" w:lineRule="auto"/>
        <w:ind w:left="523" w:firstLine="0" w:firstLineChars="0"/>
        <w:rPr>
          <w:rFonts w:ascii="仿宋" w:hAnsi="仿宋" w:eastAsia="仿宋"/>
          <w:sz w:val="30"/>
          <w:szCs w:val="30"/>
        </w:rPr>
      </w:pPr>
      <w:r>
        <w:rPr>
          <w:rFonts w:hint="eastAsia" w:ascii="仿宋" w:hAnsi="仿宋" w:eastAsia="仿宋"/>
          <w:sz w:val="30"/>
          <w:szCs w:val="30"/>
        </w:rPr>
        <w:t>7.1 对外观要求进行了说明。</w:t>
      </w:r>
    </w:p>
    <w:p w14:paraId="09F8FC57">
      <w:pPr>
        <w:pStyle w:val="3"/>
        <w:spacing w:line="360" w:lineRule="auto"/>
        <w:ind w:firstLineChars="0"/>
        <w:rPr>
          <w:rFonts w:ascii="仿宋" w:hAnsi="仿宋" w:eastAsia="仿宋"/>
          <w:sz w:val="30"/>
          <w:szCs w:val="30"/>
        </w:rPr>
      </w:pPr>
      <w:r>
        <w:rPr>
          <w:rFonts w:hint="eastAsia" w:ascii="仿宋" w:hAnsi="仿宋" w:eastAsia="仿宋"/>
          <w:sz w:val="30"/>
          <w:szCs w:val="30"/>
        </w:rPr>
        <w:t>7.2 相对示值误差。</w:t>
      </w:r>
    </w:p>
    <w:p w14:paraId="0EE138A0">
      <w:pPr>
        <w:pStyle w:val="3"/>
        <w:spacing w:line="360" w:lineRule="auto"/>
        <w:ind w:firstLineChars="0"/>
        <w:rPr>
          <w:rFonts w:ascii="仿宋" w:hAnsi="仿宋" w:eastAsia="仿宋"/>
          <w:sz w:val="30"/>
          <w:szCs w:val="30"/>
        </w:rPr>
      </w:pPr>
      <w:r>
        <w:rPr>
          <w:rFonts w:hint="eastAsia" w:ascii="仿宋" w:hAnsi="仿宋" w:eastAsia="仿宋"/>
          <w:sz w:val="30"/>
          <w:szCs w:val="30"/>
        </w:rPr>
        <w:t>7.3 重复性。</w:t>
      </w:r>
    </w:p>
    <w:p w14:paraId="36264AAD">
      <w:pPr>
        <w:pStyle w:val="3"/>
        <w:spacing w:line="360" w:lineRule="auto"/>
        <w:ind w:firstLineChars="0"/>
        <w:rPr>
          <w:rFonts w:ascii="仿宋" w:hAnsi="仿宋" w:eastAsia="仿宋"/>
          <w:sz w:val="30"/>
          <w:szCs w:val="30"/>
        </w:rPr>
      </w:pPr>
      <w:r>
        <w:rPr>
          <w:rFonts w:hint="eastAsia" w:ascii="仿宋" w:hAnsi="仿宋" w:eastAsia="仿宋"/>
          <w:sz w:val="30"/>
          <w:szCs w:val="30"/>
        </w:rPr>
        <w:t>7.4 稳定性。</w:t>
      </w:r>
    </w:p>
    <w:p w14:paraId="3ECA01DA">
      <w:pPr>
        <w:pStyle w:val="3"/>
        <w:numPr>
          <w:ilvl w:val="0"/>
          <w:numId w:val="4"/>
        </w:numPr>
        <w:spacing w:line="360" w:lineRule="auto"/>
        <w:ind w:firstLineChars="0"/>
        <w:rPr>
          <w:rFonts w:ascii="仿宋" w:hAnsi="仿宋" w:eastAsia="仿宋"/>
          <w:sz w:val="30"/>
          <w:szCs w:val="30"/>
        </w:rPr>
      </w:pPr>
      <w:r>
        <w:rPr>
          <w:rFonts w:ascii="仿宋" w:hAnsi="仿宋" w:eastAsia="仿宋"/>
          <w:sz w:val="30"/>
          <w:szCs w:val="30"/>
        </w:rPr>
        <w:t>校准结果的表达。</w:t>
      </w:r>
    </w:p>
    <w:p w14:paraId="1EA2D20C">
      <w:pPr>
        <w:rPr>
          <w:rFonts w:ascii="黑体" w:hAnsi="黑体" w:eastAsia="黑体" w:cs="黑体"/>
          <w:sz w:val="32"/>
          <w:szCs w:val="32"/>
        </w:rPr>
      </w:pPr>
      <w:r>
        <w:rPr>
          <w:rFonts w:hint="eastAsia" w:ascii="黑体" w:hAnsi="黑体" w:eastAsia="黑体" w:cs="黑体"/>
          <w:sz w:val="32"/>
          <w:szCs w:val="32"/>
        </w:rPr>
        <w:t>四、主要实验（或验证）分析报告、相关技术和经济影响论证情况</w:t>
      </w:r>
    </w:p>
    <w:p w14:paraId="2729C13D">
      <w:pPr>
        <w:ind w:firstLine="533"/>
        <w:rPr>
          <w:rFonts w:ascii="仿宋_GB2312" w:hAnsi="华文仿宋" w:eastAsia="仿宋_GB2312"/>
          <w:b/>
          <w:bCs/>
          <w:sz w:val="30"/>
          <w:szCs w:val="30"/>
        </w:rPr>
      </w:pPr>
      <w:r>
        <w:rPr>
          <w:rFonts w:hint="eastAsia" w:ascii="仿宋_GB2312" w:hAnsi="华文仿宋" w:eastAsia="仿宋_GB2312"/>
          <w:b/>
          <w:bCs/>
          <w:sz w:val="30"/>
          <w:szCs w:val="30"/>
        </w:rPr>
        <w:t>（一）技术论证</w:t>
      </w:r>
    </w:p>
    <w:p w14:paraId="1CE1ABFF">
      <w:pPr>
        <w:spacing w:line="360" w:lineRule="auto"/>
        <w:ind w:firstLine="533"/>
        <w:rPr>
          <w:rFonts w:ascii="仿宋_GB2312" w:hAnsi="华文仿宋" w:eastAsia="仿宋_GB2312"/>
          <w:sz w:val="30"/>
          <w:szCs w:val="30"/>
        </w:rPr>
      </w:pPr>
      <w:r>
        <w:rPr>
          <w:rFonts w:hint="eastAsia" w:ascii="仿宋_GB2312" w:hAnsi="华文仿宋" w:eastAsia="仿宋_GB2312"/>
          <w:sz w:val="30"/>
          <w:szCs w:val="30"/>
        </w:rPr>
        <w:t>本标准基于称重法或者标准直接测量法的水中悬浮物在线分析仪的校准技术方法，实现对水中悬浮物在线分析仪的快速、准确检测，有效提高其使用精度和可靠性，满足各个行业对水中悬浮物在线分析仪准确性的要求。主要对以下内容进行研究：</w:t>
      </w:r>
    </w:p>
    <w:p w14:paraId="569B2B79">
      <w:pPr>
        <w:spacing w:line="360" w:lineRule="auto"/>
        <w:ind w:firstLine="533"/>
        <w:rPr>
          <w:rFonts w:ascii="仿宋_GB2312" w:hAnsi="华文仿宋" w:eastAsia="仿宋_GB2312"/>
          <w:sz w:val="30"/>
          <w:szCs w:val="30"/>
        </w:rPr>
      </w:pPr>
      <w:r>
        <w:rPr>
          <w:rFonts w:hint="eastAsia" w:ascii="仿宋_GB2312" w:hAnsi="华文仿宋" w:eastAsia="仿宋_GB2312"/>
          <w:sz w:val="30"/>
          <w:szCs w:val="30"/>
        </w:rPr>
        <w:t>1、采用什么物质进行称重溯源比较可靠；</w:t>
      </w:r>
    </w:p>
    <w:p w14:paraId="361F294B">
      <w:pPr>
        <w:spacing w:line="360" w:lineRule="auto"/>
        <w:ind w:firstLine="533"/>
        <w:rPr>
          <w:rFonts w:ascii="仿宋_GB2312" w:hAnsi="华文仿宋" w:eastAsia="仿宋_GB2312"/>
          <w:sz w:val="30"/>
          <w:szCs w:val="30"/>
        </w:rPr>
      </w:pPr>
      <w:r>
        <w:rPr>
          <w:rFonts w:hint="eastAsia" w:ascii="仿宋_GB2312" w:hAnsi="华文仿宋" w:eastAsia="仿宋_GB2312"/>
          <w:sz w:val="30"/>
          <w:szCs w:val="30"/>
        </w:rPr>
        <w:t>2、验证采用高岭土作为标准物质溯源的适用性；</w:t>
      </w:r>
    </w:p>
    <w:p w14:paraId="034C7CEA">
      <w:pPr>
        <w:spacing w:line="360" w:lineRule="auto"/>
        <w:ind w:firstLine="533"/>
        <w:rPr>
          <w:rFonts w:ascii="仿宋_GB2312" w:hAnsi="华文仿宋" w:eastAsia="仿宋_GB2312"/>
          <w:sz w:val="30"/>
          <w:szCs w:val="30"/>
        </w:rPr>
      </w:pPr>
      <w:r>
        <w:rPr>
          <w:rFonts w:hint="eastAsia" w:ascii="仿宋_GB2312" w:hAnsi="华文仿宋" w:eastAsia="仿宋_GB2312"/>
          <w:sz w:val="30"/>
          <w:szCs w:val="30"/>
        </w:rPr>
        <w:t>3、技术指标的确认分析。</w:t>
      </w:r>
    </w:p>
    <w:p w14:paraId="53998732">
      <w:pPr>
        <w:ind w:firstLine="282" w:firstLineChars="100"/>
        <w:rPr>
          <w:rFonts w:ascii="仿宋_GB2312" w:hAnsi="华文仿宋" w:eastAsia="仿宋_GB2312"/>
          <w:sz w:val="30"/>
          <w:szCs w:val="30"/>
        </w:rPr>
      </w:pPr>
      <w:r>
        <w:rPr>
          <w:rFonts w:hint="eastAsia" w:ascii="仿宋_GB2312" w:hAnsi="华文仿宋" w:eastAsia="仿宋_GB2312"/>
          <w:b/>
          <w:bCs/>
          <w:sz w:val="30"/>
          <w:szCs w:val="30"/>
        </w:rPr>
        <w:t xml:space="preserve">  （二）经济影响论证</w:t>
      </w:r>
    </w:p>
    <w:p w14:paraId="2AFD1DAB">
      <w:pPr>
        <w:ind w:firstLine="564" w:firstLineChars="200"/>
        <w:rPr>
          <w:rFonts w:ascii="仿宋_GB2312" w:hAnsi="华文仿宋" w:eastAsia="仿宋_GB2312"/>
          <w:sz w:val="30"/>
          <w:szCs w:val="30"/>
        </w:rPr>
      </w:pPr>
      <w:r>
        <w:rPr>
          <w:rFonts w:hint="eastAsia" w:ascii="仿宋_GB2312" w:hAnsi="华文仿宋" w:eastAsia="仿宋_GB2312"/>
          <w:sz w:val="30"/>
          <w:szCs w:val="30"/>
        </w:rPr>
        <w:t>本标准的实施将对行业产生积极的经济影响，有助于提高企业生产质量，</w:t>
      </w:r>
      <w:r>
        <w:rPr>
          <w:rFonts w:ascii="仿宋_GB2312" w:hAnsi="华文仿宋" w:eastAsia="仿宋_GB2312"/>
          <w:sz w:val="30"/>
          <w:szCs w:val="30"/>
        </w:rPr>
        <w:t>通过规范生产过程中的检测环节，减少不合格产品的出现，降低生产成本，提高企业的市场竞争力</w:t>
      </w:r>
      <w:r>
        <w:rPr>
          <w:rFonts w:hint="eastAsia" w:ascii="仿宋_GB2312" w:hAnsi="华文仿宋" w:eastAsia="仿宋_GB2312"/>
          <w:sz w:val="30"/>
          <w:szCs w:val="30"/>
        </w:rPr>
        <w:t>；更有助于推动标准化和统一性，促进市场竞争，从而带来较好的社会经济效益。</w:t>
      </w:r>
    </w:p>
    <w:p w14:paraId="18203857">
      <w:pPr>
        <w:rPr>
          <w:rFonts w:ascii="黑体" w:hAnsi="黑体" w:eastAsia="黑体" w:cs="黑体"/>
          <w:sz w:val="32"/>
          <w:szCs w:val="32"/>
          <w:lang w:val="da-DK"/>
        </w:rPr>
      </w:pPr>
      <w:r>
        <w:rPr>
          <w:rFonts w:hint="eastAsia" w:ascii="黑体" w:hAnsi="黑体" w:eastAsia="黑体" w:cs="黑体"/>
          <w:sz w:val="32"/>
          <w:szCs w:val="32"/>
          <w:lang w:val="da-DK"/>
        </w:rPr>
        <w:t>五、国内外现行相关法律、法规和标准情况</w:t>
      </w:r>
    </w:p>
    <w:p w14:paraId="2B8ADC9D">
      <w:pPr>
        <w:pStyle w:val="37"/>
        <w:ind w:firstLine="765" w:firstLineChars="271"/>
        <w:rPr>
          <w:rFonts w:ascii="仿宋_GB2312" w:hAnsi="华文仿宋" w:eastAsia="仿宋_GB2312" w:cs="Times New Roman"/>
          <w:sz w:val="30"/>
          <w:szCs w:val="30"/>
        </w:rPr>
      </w:pPr>
      <w:r>
        <w:rPr>
          <w:rFonts w:hint="eastAsia" w:ascii="仿宋_GB2312" w:hAnsi="华文仿宋" w:eastAsia="仿宋_GB2312" w:cs="Times New Roman"/>
          <w:sz w:val="30"/>
          <w:szCs w:val="30"/>
        </w:rPr>
        <w:t>经查阅，国内外暂无相关法律、法规和标准。</w:t>
      </w:r>
    </w:p>
    <w:p w14:paraId="3FFCD564">
      <w:pPr>
        <w:rPr>
          <w:rFonts w:ascii="黑体" w:hAnsi="黑体" w:eastAsia="黑体" w:cs="黑体"/>
          <w:sz w:val="32"/>
          <w:szCs w:val="32"/>
        </w:rPr>
      </w:pPr>
      <w:r>
        <w:rPr>
          <w:rFonts w:hint="eastAsia" w:ascii="黑体" w:hAnsi="黑体" w:eastAsia="黑体" w:cs="黑体"/>
          <w:sz w:val="32"/>
          <w:szCs w:val="32"/>
        </w:rPr>
        <w:t>六、重大意见分歧及处理结果</w:t>
      </w:r>
    </w:p>
    <w:p w14:paraId="1C27AAEA">
      <w:pPr>
        <w:pStyle w:val="37"/>
        <w:ind w:firstLine="563"/>
        <w:rPr>
          <w:rFonts w:ascii="仿宋_GB2312" w:hAnsi="华文仿宋" w:eastAsia="仿宋_GB2312" w:cs="Times New Roman"/>
          <w:sz w:val="30"/>
          <w:szCs w:val="30"/>
        </w:rPr>
      </w:pPr>
      <w:r>
        <w:rPr>
          <w:rFonts w:ascii="仿宋_GB2312" w:hAnsi="华文仿宋" w:eastAsia="仿宋_GB2312" w:cs="Times New Roman"/>
          <w:sz w:val="30"/>
          <w:szCs w:val="30"/>
        </w:rPr>
        <w:t>本</w:t>
      </w:r>
      <w:r>
        <w:rPr>
          <w:rFonts w:hint="eastAsia" w:ascii="仿宋_GB2312" w:hAnsi="华文仿宋" w:eastAsia="仿宋_GB2312" w:cs="Times New Roman"/>
          <w:sz w:val="30"/>
          <w:szCs w:val="30"/>
        </w:rPr>
        <w:t>标准</w:t>
      </w:r>
      <w:r>
        <w:rPr>
          <w:rFonts w:ascii="仿宋_GB2312" w:hAnsi="华文仿宋" w:eastAsia="仿宋_GB2312" w:cs="Times New Roman"/>
          <w:sz w:val="30"/>
          <w:szCs w:val="30"/>
        </w:rPr>
        <w:t>在制定过程中，充分开展了市场和生产调研，广泛查阅、收集现有标准、权威论文和技术资料，借鉴现有的科技成果及实践经验</w:t>
      </w:r>
      <w:r>
        <w:rPr>
          <w:rFonts w:hint="eastAsia" w:ascii="仿宋_GB2312" w:hAnsi="华文仿宋" w:eastAsia="仿宋_GB2312" w:cs="Times New Roman"/>
          <w:sz w:val="30"/>
          <w:szCs w:val="30"/>
        </w:rPr>
        <w:t>，</w:t>
      </w:r>
      <w:r>
        <w:rPr>
          <w:rFonts w:ascii="仿宋_GB2312" w:hAnsi="华文仿宋" w:eastAsia="仿宋_GB2312" w:cs="Times New Roman"/>
          <w:sz w:val="30"/>
          <w:szCs w:val="30"/>
        </w:rPr>
        <w:t>在充分调研和试验验证的基础上形成了标准草案，之后又广泛征求了国内相关专家、生产和管理人员的意见。在整个过程中，通过不断沟通、讨论和协商，对标准内容进行逐步修改和完善，未出现重大意见分歧。</w:t>
      </w:r>
    </w:p>
    <w:bookmarkEnd w:id="0"/>
    <w:p w14:paraId="3F879D7E">
      <w:pPr>
        <w:spacing w:line="440" w:lineRule="exact"/>
        <w:rPr>
          <w:rFonts w:ascii="黑体" w:hAnsi="黑体" w:eastAsia="黑体" w:cs="黑体"/>
          <w:sz w:val="28"/>
          <w:szCs w:val="28"/>
        </w:rPr>
      </w:pPr>
      <w:r>
        <w:rPr>
          <w:rFonts w:hint="eastAsia" w:ascii="黑体" w:hAnsi="黑体" w:eastAsia="黑体" w:cs="黑体"/>
          <w:sz w:val="32"/>
          <w:szCs w:val="32"/>
        </w:rPr>
        <w:t>七、实施地方标准要求和措施建议</w:t>
      </w:r>
      <w:r>
        <w:rPr>
          <w:rFonts w:hint="eastAsia" w:ascii="黑体" w:hAnsi="黑体" w:eastAsia="黑体" w:cs="黑体"/>
          <w:sz w:val="28"/>
          <w:szCs w:val="28"/>
        </w:rPr>
        <w:t>（包括实施主体、组织措施、技术措施、实施时间、过渡办法、风险评估等内容）</w:t>
      </w:r>
    </w:p>
    <w:p w14:paraId="284C0190">
      <w:pPr>
        <w:pStyle w:val="37"/>
        <w:ind w:firstLine="563"/>
        <w:rPr>
          <w:rFonts w:ascii="仿宋_GB2312" w:hAnsi="华文仿宋" w:eastAsia="仿宋_GB2312" w:cs="Times New Roman"/>
          <w:sz w:val="30"/>
          <w:szCs w:val="30"/>
        </w:rPr>
      </w:pPr>
      <w:r>
        <w:rPr>
          <w:rFonts w:ascii="仿宋_GB2312" w:hAnsi="华文仿宋" w:eastAsia="仿宋_GB2312" w:cs="Times New Roman"/>
          <w:sz w:val="30"/>
          <w:szCs w:val="30"/>
        </w:rPr>
        <w:t>本标准的实施主体主要包括</w:t>
      </w:r>
      <w:r>
        <w:rPr>
          <w:rFonts w:hint="eastAsia" w:ascii="仿宋_GB2312" w:hAnsi="华文仿宋" w:eastAsia="仿宋_GB2312"/>
          <w:sz w:val="30"/>
          <w:szCs w:val="30"/>
        </w:rPr>
        <w:t>水中悬浮物在线分析仪</w:t>
      </w:r>
      <w:r>
        <w:rPr>
          <w:rFonts w:ascii="仿宋_GB2312" w:hAnsi="华文仿宋" w:eastAsia="仿宋_GB2312" w:cs="Times New Roman"/>
          <w:sz w:val="30"/>
          <w:szCs w:val="30"/>
        </w:rPr>
        <w:t>的生产企业、使用单位、计量检测机构以及相关行业监管部门。</w:t>
      </w:r>
      <w:r>
        <w:rPr>
          <w:rFonts w:hint="eastAsia" w:ascii="仿宋_GB2312" w:hAnsi="华文仿宋" w:eastAsia="仿宋_GB2312" w:cs="Times New Roman"/>
          <w:sz w:val="30"/>
          <w:szCs w:val="30"/>
        </w:rPr>
        <w:t>本标准是推荐性标准，建议发布后即开始实施。建议由行业协会牵头，对该项标准组织宣贯培训活动。</w:t>
      </w:r>
    </w:p>
    <w:p w14:paraId="4E54F244">
      <w:pPr>
        <w:rPr>
          <w:rFonts w:ascii="黑体" w:hAnsi="黑体" w:eastAsia="黑体" w:cs="黑体"/>
          <w:sz w:val="32"/>
          <w:szCs w:val="32"/>
        </w:rPr>
      </w:pPr>
      <w:r>
        <w:rPr>
          <w:rFonts w:hint="eastAsia" w:ascii="黑体" w:hAnsi="黑体" w:eastAsia="黑体" w:cs="黑体"/>
          <w:sz w:val="32"/>
          <w:szCs w:val="32"/>
        </w:rPr>
        <w:t>八、其他需要说明的内容</w:t>
      </w:r>
    </w:p>
    <w:p w14:paraId="2DAE6AE8">
      <w:pPr>
        <w:tabs>
          <w:tab w:val="left" w:pos="3546"/>
        </w:tabs>
        <w:spacing w:line="360" w:lineRule="auto"/>
        <w:ind w:firstLine="564" w:firstLineChars="200"/>
        <w:rPr>
          <w:rFonts w:ascii="仿宋_GB2312" w:hAnsi="华文仿宋" w:eastAsia="仿宋_GB2312"/>
          <w:sz w:val="30"/>
          <w:szCs w:val="30"/>
        </w:rPr>
      </w:pPr>
      <w:r>
        <w:rPr>
          <w:rFonts w:ascii="仿宋_GB2312" w:hAnsi="华文仿宋" w:eastAsia="仿宋_GB2312"/>
          <w:sz w:val="30"/>
          <w:szCs w:val="30"/>
        </w:rPr>
        <w:t>无</w:t>
      </w:r>
    </w:p>
    <w:sectPr>
      <w:pgSz w:w="11906" w:h="16838"/>
      <w:pgMar w:top="1701" w:right="1361" w:bottom="1191" w:left="1361" w:header="851" w:footer="992" w:gutter="0"/>
      <w:cols w:space="720" w:num="1"/>
      <w:docGrid w:type="linesAndChars" w:linePitch="290" w:charSpace="-3823"/>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C1B84">
    <w:pPr>
      <w:pStyle w:val="10"/>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1</w:t>
    </w:r>
    <w:r>
      <w:rPr>
        <w:rStyle w:val="15"/>
      </w:rPr>
      <w:fldChar w:fldCharType="end"/>
    </w:r>
  </w:p>
  <w:p w14:paraId="0380F6F6">
    <w:pPr>
      <w:pStyle w:val="10"/>
      <w:framePr w:wrap="around" w:vAnchor="text" w:hAnchor="margin" w:xAlign="center" w:y="1"/>
      <w:ind w:right="360"/>
      <w:rPr>
        <w:rStyle w:val="15"/>
      </w:rPr>
    </w:pPr>
  </w:p>
  <w:p w14:paraId="2A577B6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5629E">
    <w:pPr>
      <w:pStyle w:val="10"/>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72A2096D">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5A0FB3"/>
    <w:multiLevelType w:val="multilevel"/>
    <w:tmpl w:val="045A0FB3"/>
    <w:lvl w:ilvl="0" w:tentative="0">
      <w:start w:val="1"/>
      <w:numFmt w:val="decimal"/>
      <w:lvlText w:val="%1）"/>
      <w:lvlJc w:val="left"/>
      <w:pPr>
        <w:ind w:left="1243" w:hanging="720"/>
      </w:pPr>
      <w:rPr>
        <w:rFonts w:hint="default"/>
      </w:rPr>
    </w:lvl>
    <w:lvl w:ilvl="1" w:tentative="0">
      <w:start w:val="1"/>
      <w:numFmt w:val="lowerLetter"/>
      <w:lvlText w:val="%2)"/>
      <w:lvlJc w:val="left"/>
      <w:pPr>
        <w:ind w:left="1363" w:hanging="420"/>
      </w:pPr>
    </w:lvl>
    <w:lvl w:ilvl="2" w:tentative="0">
      <w:start w:val="1"/>
      <w:numFmt w:val="lowerRoman"/>
      <w:lvlText w:val="%3."/>
      <w:lvlJc w:val="right"/>
      <w:pPr>
        <w:ind w:left="1783" w:hanging="420"/>
      </w:pPr>
    </w:lvl>
    <w:lvl w:ilvl="3" w:tentative="0">
      <w:start w:val="1"/>
      <w:numFmt w:val="decimal"/>
      <w:lvlText w:val="%4."/>
      <w:lvlJc w:val="left"/>
      <w:pPr>
        <w:ind w:left="2203" w:hanging="420"/>
      </w:pPr>
    </w:lvl>
    <w:lvl w:ilvl="4" w:tentative="0">
      <w:start w:val="1"/>
      <w:numFmt w:val="lowerLetter"/>
      <w:lvlText w:val="%5)"/>
      <w:lvlJc w:val="left"/>
      <w:pPr>
        <w:ind w:left="2623" w:hanging="420"/>
      </w:pPr>
    </w:lvl>
    <w:lvl w:ilvl="5" w:tentative="0">
      <w:start w:val="1"/>
      <w:numFmt w:val="lowerRoman"/>
      <w:lvlText w:val="%6."/>
      <w:lvlJc w:val="right"/>
      <w:pPr>
        <w:ind w:left="3043" w:hanging="420"/>
      </w:pPr>
    </w:lvl>
    <w:lvl w:ilvl="6" w:tentative="0">
      <w:start w:val="1"/>
      <w:numFmt w:val="decimal"/>
      <w:lvlText w:val="%7."/>
      <w:lvlJc w:val="left"/>
      <w:pPr>
        <w:ind w:left="3463" w:hanging="420"/>
      </w:pPr>
    </w:lvl>
    <w:lvl w:ilvl="7" w:tentative="0">
      <w:start w:val="1"/>
      <w:numFmt w:val="lowerLetter"/>
      <w:lvlText w:val="%8)"/>
      <w:lvlJc w:val="left"/>
      <w:pPr>
        <w:ind w:left="3883" w:hanging="420"/>
      </w:pPr>
    </w:lvl>
    <w:lvl w:ilvl="8" w:tentative="0">
      <w:start w:val="1"/>
      <w:numFmt w:val="lowerRoman"/>
      <w:lvlText w:val="%9."/>
      <w:lvlJc w:val="right"/>
      <w:pPr>
        <w:ind w:left="4303" w:hanging="420"/>
      </w:pPr>
    </w:lvl>
  </w:abstractNum>
  <w:abstractNum w:abstractNumId="1">
    <w:nsid w:val="0D896A84"/>
    <w:multiLevelType w:val="multilevel"/>
    <w:tmpl w:val="0D896A84"/>
    <w:lvl w:ilvl="0" w:tentative="0">
      <w:start w:val="1"/>
      <w:numFmt w:val="decimal"/>
      <w:pStyle w:val="2"/>
      <w:lvlText w:val="%1"/>
      <w:lvlJc w:val="left"/>
      <w:pPr>
        <w:tabs>
          <w:tab w:val="left" w:pos="425"/>
        </w:tabs>
        <w:ind w:left="425" w:hanging="425"/>
      </w:pPr>
      <w:rPr>
        <w:rFonts w:hint="eastAsia" w:ascii="黑体" w:hAnsi="黑体" w:eastAsia="黑体"/>
      </w:rPr>
    </w:lvl>
    <w:lvl w:ilvl="1" w:tentative="0">
      <w:start w:val="1"/>
      <w:numFmt w:val="decimal"/>
      <w:pStyle w:val="4"/>
      <w:lvlText w:val="%1.%2"/>
      <w:lvlJc w:val="left"/>
      <w:pPr>
        <w:tabs>
          <w:tab w:val="left" w:pos="567"/>
        </w:tabs>
        <w:ind w:left="567" w:hanging="567"/>
      </w:pPr>
      <w:rPr>
        <w:rFonts w:hint="eastAsia" w:ascii="黑体" w:hAnsi="黑体" w:eastAsia="黑体"/>
        <w:sz w:val="24"/>
        <w:szCs w:val="24"/>
      </w:rPr>
    </w:lvl>
    <w:lvl w:ilvl="2" w:tentative="0">
      <w:start w:val="1"/>
      <w:numFmt w:val="decimal"/>
      <w:lvlText w:val="%1.%2.%3"/>
      <w:lvlJc w:val="left"/>
      <w:pPr>
        <w:tabs>
          <w:tab w:val="left" w:pos="1069"/>
        </w:tabs>
        <w:ind w:left="1069" w:hanging="709"/>
      </w:pPr>
      <w:rPr>
        <w:rFonts w:hint="eastAsia" w:ascii="黑体" w:hAnsi="黑体" w:eastAsia="黑体"/>
      </w:rPr>
    </w:lvl>
    <w:lvl w:ilvl="3" w:tentative="0">
      <w:start w:val="1"/>
      <w:numFmt w:val="decimal"/>
      <w:pStyle w:val="5"/>
      <w:suff w:val="nothing"/>
      <w:lvlText w:val="（%4）"/>
      <w:lvlJc w:val="left"/>
      <w:pPr>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496869CD"/>
    <w:multiLevelType w:val="multilevel"/>
    <w:tmpl w:val="496869CD"/>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CEA2025"/>
    <w:multiLevelType w:val="multilevel"/>
    <w:tmpl w:val="6CEA2025"/>
    <w:lvl w:ilvl="0" w:tentative="0">
      <w:start w:val="1"/>
      <w:numFmt w:val="none"/>
      <w:pStyle w:val="36"/>
      <w:suff w:val="nothing"/>
      <w:lvlText w:val="%1"/>
      <w:lvlJc w:val="left"/>
      <w:pPr>
        <w:ind w:left="0" w:firstLine="0"/>
      </w:pPr>
      <w:rPr>
        <w:rFonts w:hint="eastAsia"/>
      </w:rPr>
    </w:lvl>
    <w:lvl w:ilvl="1" w:tentative="0">
      <w:start w:val="1"/>
      <w:numFmt w:val="decimal"/>
      <w:pStyle w:val="34"/>
      <w:suff w:val="nothing"/>
      <w:lvlText w:val="%1%2　"/>
      <w:lvlJc w:val="left"/>
      <w:pPr>
        <w:ind w:left="0" w:firstLine="0"/>
      </w:pPr>
      <w:rPr>
        <w:rFonts w:hint="eastAsia" w:ascii="黑体" w:eastAsia="黑体"/>
        <w:b w:val="0"/>
        <w:i w:val="0"/>
        <w:sz w:val="21"/>
      </w:rPr>
    </w:lvl>
    <w:lvl w:ilvl="2" w:tentative="0">
      <w:start w:val="1"/>
      <w:numFmt w:val="decimal"/>
      <w:pStyle w:val="3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30"/>
      <w:suff w:val="nothing"/>
      <w:lvlText w:val="%1%2.%3.%4　"/>
      <w:lvlJc w:val="left"/>
      <w:pPr>
        <w:ind w:left="0" w:firstLine="0"/>
      </w:pPr>
      <w:rPr>
        <w:rFonts w:hint="eastAsia" w:ascii="黑体" w:eastAsia="黑体"/>
        <w:b w:val="0"/>
        <w:i w:val="0"/>
        <w:sz w:val="21"/>
      </w:rPr>
    </w:lvl>
    <w:lvl w:ilvl="4" w:tentative="0">
      <w:start w:val="1"/>
      <w:numFmt w:val="decimal"/>
      <w:pStyle w:val="31"/>
      <w:suff w:val="nothing"/>
      <w:lvlText w:val="%1%2.%3.%4.%5　"/>
      <w:lvlJc w:val="left"/>
      <w:pPr>
        <w:ind w:left="0" w:firstLine="0"/>
      </w:pPr>
      <w:rPr>
        <w:rFonts w:hint="eastAsia" w:ascii="黑体" w:eastAsia="黑体"/>
        <w:b w:val="0"/>
        <w:i w:val="0"/>
        <w:sz w:val="21"/>
      </w:rPr>
    </w:lvl>
    <w:lvl w:ilvl="5" w:tentative="0">
      <w:start w:val="1"/>
      <w:numFmt w:val="decimal"/>
      <w:pStyle w:val="32"/>
      <w:suff w:val="nothing"/>
      <w:lvlText w:val="%1%2.%3.%4.%5.%6　"/>
      <w:lvlJc w:val="left"/>
      <w:pPr>
        <w:ind w:left="0" w:firstLine="0"/>
      </w:pPr>
      <w:rPr>
        <w:rFonts w:hint="eastAsia" w:ascii="黑体" w:eastAsia="黑体"/>
        <w:b w:val="0"/>
        <w:i w:val="0"/>
        <w:sz w:val="21"/>
      </w:rPr>
    </w:lvl>
    <w:lvl w:ilvl="6" w:tentative="0">
      <w:start w:val="1"/>
      <w:numFmt w:val="decimal"/>
      <w:pStyle w:val="3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6"/>
  <w:drawingGridVerticalSpacing w:val="14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FC6"/>
    <w:rsid w:val="00001AAA"/>
    <w:rsid w:val="00032406"/>
    <w:rsid w:val="00060029"/>
    <w:rsid w:val="000641ED"/>
    <w:rsid w:val="000650E9"/>
    <w:rsid w:val="00066335"/>
    <w:rsid w:val="00066FF2"/>
    <w:rsid w:val="00070DCF"/>
    <w:rsid w:val="00080333"/>
    <w:rsid w:val="000910C4"/>
    <w:rsid w:val="00092796"/>
    <w:rsid w:val="000948ED"/>
    <w:rsid w:val="000C03AF"/>
    <w:rsid w:val="000C2108"/>
    <w:rsid w:val="000D0087"/>
    <w:rsid w:val="000D1968"/>
    <w:rsid w:val="000D4945"/>
    <w:rsid w:val="000D73C0"/>
    <w:rsid w:val="000E1ABC"/>
    <w:rsid w:val="000E7864"/>
    <w:rsid w:val="000F5162"/>
    <w:rsid w:val="0010132D"/>
    <w:rsid w:val="0010334D"/>
    <w:rsid w:val="001100F3"/>
    <w:rsid w:val="00122B4D"/>
    <w:rsid w:val="001244A1"/>
    <w:rsid w:val="0013301E"/>
    <w:rsid w:val="001449C7"/>
    <w:rsid w:val="00147775"/>
    <w:rsid w:val="0015038A"/>
    <w:rsid w:val="001538D3"/>
    <w:rsid w:val="0016334E"/>
    <w:rsid w:val="00163C80"/>
    <w:rsid w:val="00176FA0"/>
    <w:rsid w:val="001824F7"/>
    <w:rsid w:val="00191523"/>
    <w:rsid w:val="001A2F30"/>
    <w:rsid w:val="001A3104"/>
    <w:rsid w:val="001A50CF"/>
    <w:rsid w:val="001B0BA6"/>
    <w:rsid w:val="001B0F72"/>
    <w:rsid w:val="001B6176"/>
    <w:rsid w:val="001C1416"/>
    <w:rsid w:val="001D148C"/>
    <w:rsid w:val="001D3DFE"/>
    <w:rsid w:val="001D5194"/>
    <w:rsid w:val="001F63D9"/>
    <w:rsid w:val="00207C24"/>
    <w:rsid w:val="00231D44"/>
    <w:rsid w:val="00242C83"/>
    <w:rsid w:val="00243120"/>
    <w:rsid w:val="002835CA"/>
    <w:rsid w:val="002843D0"/>
    <w:rsid w:val="00291342"/>
    <w:rsid w:val="002943FC"/>
    <w:rsid w:val="002A2B88"/>
    <w:rsid w:val="002B66DA"/>
    <w:rsid w:val="002C3325"/>
    <w:rsid w:val="002D36E6"/>
    <w:rsid w:val="002D5352"/>
    <w:rsid w:val="002D65ED"/>
    <w:rsid w:val="002E1A40"/>
    <w:rsid w:val="002F2480"/>
    <w:rsid w:val="002F302C"/>
    <w:rsid w:val="002F5B29"/>
    <w:rsid w:val="00300210"/>
    <w:rsid w:val="003003EC"/>
    <w:rsid w:val="003016B1"/>
    <w:rsid w:val="00314FD3"/>
    <w:rsid w:val="0032027A"/>
    <w:rsid w:val="0032484E"/>
    <w:rsid w:val="0032761E"/>
    <w:rsid w:val="00333D3B"/>
    <w:rsid w:val="003378A6"/>
    <w:rsid w:val="0034006E"/>
    <w:rsid w:val="00341EB1"/>
    <w:rsid w:val="003463FC"/>
    <w:rsid w:val="00347706"/>
    <w:rsid w:val="00371520"/>
    <w:rsid w:val="003776AE"/>
    <w:rsid w:val="003852D8"/>
    <w:rsid w:val="003B5267"/>
    <w:rsid w:val="003C6240"/>
    <w:rsid w:val="003D77CF"/>
    <w:rsid w:val="003F20C6"/>
    <w:rsid w:val="00400E60"/>
    <w:rsid w:val="00414374"/>
    <w:rsid w:val="00415383"/>
    <w:rsid w:val="0042198F"/>
    <w:rsid w:val="004329A4"/>
    <w:rsid w:val="00440FA6"/>
    <w:rsid w:val="0044684F"/>
    <w:rsid w:val="00453E0D"/>
    <w:rsid w:val="00457E87"/>
    <w:rsid w:val="00466B4C"/>
    <w:rsid w:val="00480244"/>
    <w:rsid w:val="00484621"/>
    <w:rsid w:val="00492A8A"/>
    <w:rsid w:val="0049779E"/>
    <w:rsid w:val="004A0533"/>
    <w:rsid w:val="004A4315"/>
    <w:rsid w:val="004A56F9"/>
    <w:rsid w:val="004B06A9"/>
    <w:rsid w:val="004B7076"/>
    <w:rsid w:val="004C21DB"/>
    <w:rsid w:val="004C4572"/>
    <w:rsid w:val="004C5AB4"/>
    <w:rsid w:val="004E3995"/>
    <w:rsid w:val="004E64DA"/>
    <w:rsid w:val="004E6EB6"/>
    <w:rsid w:val="004E7909"/>
    <w:rsid w:val="004F4C34"/>
    <w:rsid w:val="004F4E49"/>
    <w:rsid w:val="0050590F"/>
    <w:rsid w:val="0051751A"/>
    <w:rsid w:val="005252F1"/>
    <w:rsid w:val="0053754E"/>
    <w:rsid w:val="005378F7"/>
    <w:rsid w:val="00540B4F"/>
    <w:rsid w:val="00542496"/>
    <w:rsid w:val="00550740"/>
    <w:rsid w:val="00584CB8"/>
    <w:rsid w:val="005909F9"/>
    <w:rsid w:val="005937BF"/>
    <w:rsid w:val="0059596C"/>
    <w:rsid w:val="005A0E40"/>
    <w:rsid w:val="005A454A"/>
    <w:rsid w:val="005C1019"/>
    <w:rsid w:val="005D0A62"/>
    <w:rsid w:val="005E0C05"/>
    <w:rsid w:val="005E5FC6"/>
    <w:rsid w:val="005F5EF8"/>
    <w:rsid w:val="0060415F"/>
    <w:rsid w:val="006079C7"/>
    <w:rsid w:val="00607F2A"/>
    <w:rsid w:val="00616046"/>
    <w:rsid w:val="006238DB"/>
    <w:rsid w:val="006305A7"/>
    <w:rsid w:val="00631CCC"/>
    <w:rsid w:val="0064229D"/>
    <w:rsid w:val="00647A87"/>
    <w:rsid w:val="006505BB"/>
    <w:rsid w:val="006546A1"/>
    <w:rsid w:val="006569A6"/>
    <w:rsid w:val="006577C1"/>
    <w:rsid w:val="006715DB"/>
    <w:rsid w:val="006730F4"/>
    <w:rsid w:val="0067541C"/>
    <w:rsid w:val="00680446"/>
    <w:rsid w:val="00684171"/>
    <w:rsid w:val="006A0B16"/>
    <w:rsid w:val="006A2B42"/>
    <w:rsid w:val="006D04FF"/>
    <w:rsid w:val="006E16AE"/>
    <w:rsid w:val="006E2793"/>
    <w:rsid w:val="006E38FE"/>
    <w:rsid w:val="006E64B1"/>
    <w:rsid w:val="006F5CB1"/>
    <w:rsid w:val="00705793"/>
    <w:rsid w:val="00714213"/>
    <w:rsid w:val="00714AD6"/>
    <w:rsid w:val="00717A87"/>
    <w:rsid w:val="00724170"/>
    <w:rsid w:val="00745C6F"/>
    <w:rsid w:val="0078746C"/>
    <w:rsid w:val="007909AC"/>
    <w:rsid w:val="007A38AD"/>
    <w:rsid w:val="007A7873"/>
    <w:rsid w:val="007B22B4"/>
    <w:rsid w:val="007B793B"/>
    <w:rsid w:val="007B7990"/>
    <w:rsid w:val="007C2215"/>
    <w:rsid w:val="007C44D4"/>
    <w:rsid w:val="007C5BE2"/>
    <w:rsid w:val="007E2619"/>
    <w:rsid w:val="007E47B0"/>
    <w:rsid w:val="008058B7"/>
    <w:rsid w:val="00806F24"/>
    <w:rsid w:val="00821981"/>
    <w:rsid w:val="00826510"/>
    <w:rsid w:val="00827D43"/>
    <w:rsid w:val="00832B0D"/>
    <w:rsid w:val="008462CD"/>
    <w:rsid w:val="0085220E"/>
    <w:rsid w:val="0085414E"/>
    <w:rsid w:val="00870BC3"/>
    <w:rsid w:val="00871D07"/>
    <w:rsid w:val="008952BC"/>
    <w:rsid w:val="008A3AFF"/>
    <w:rsid w:val="008A43FC"/>
    <w:rsid w:val="008A47F1"/>
    <w:rsid w:val="008B2EDF"/>
    <w:rsid w:val="008B4568"/>
    <w:rsid w:val="008C45A0"/>
    <w:rsid w:val="008D18BF"/>
    <w:rsid w:val="008D7C9C"/>
    <w:rsid w:val="008E2030"/>
    <w:rsid w:val="00916D35"/>
    <w:rsid w:val="00920161"/>
    <w:rsid w:val="0092116B"/>
    <w:rsid w:val="00922896"/>
    <w:rsid w:val="009307F7"/>
    <w:rsid w:val="00937A6A"/>
    <w:rsid w:val="00940401"/>
    <w:rsid w:val="0094483C"/>
    <w:rsid w:val="00944F8B"/>
    <w:rsid w:val="0094719F"/>
    <w:rsid w:val="00960787"/>
    <w:rsid w:val="00967C45"/>
    <w:rsid w:val="00975B9E"/>
    <w:rsid w:val="00991809"/>
    <w:rsid w:val="00995670"/>
    <w:rsid w:val="009B2425"/>
    <w:rsid w:val="009B6626"/>
    <w:rsid w:val="009C57D3"/>
    <w:rsid w:val="009D6F2F"/>
    <w:rsid w:val="009D77F9"/>
    <w:rsid w:val="009E340F"/>
    <w:rsid w:val="009E764B"/>
    <w:rsid w:val="009F6990"/>
    <w:rsid w:val="009F782D"/>
    <w:rsid w:val="00A00055"/>
    <w:rsid w:val="00A0743F"/>
    <w:rsid w:val="00A109FD"/>
    <w:rsid w:val="00A2317E"/>
    <w:rsid w:val="00A25A39"/>
    <w:rsid w:val="00A262A9"/>
    <w:rsid w:val="00A37592"/>
    <w:rsid w:val="00A420F6"/>
    <w:rsid w:val="00A50730"/>
    <w:rsid w:val="00A50FBE"/>
    <w:rsid w:val="00A5603C"/>
    <w:rsid w:val="00A5612F"/>
    <w:rsid w:val="00A5683A"/>
    <w:rsid w:val="00A66E8B"/>
    <w:rsid w:val="00A70128"/>
    <w:rsid w:val="00A85AFC"/>
    <w:rsid w:val="00AA3833"/>
    <w:rsid w:val="00AA68F3"/>
    <w:rsid w:val="00AB5AAA"/>
    <w:rsid w:val="00AE1F27"/>
    <w:rsid w:val="00AE79E5"/>
    <w:rsid w:val="00AF6212"/>
    <w:rsid w:val="00B060AF"/>
    <w:rsid w:val="00B1005F"/>
    <w:rsid w:val="00B10CE6"/>
    <w:rsid w:val="00B1235B"/>
    <w:rsid w:val="00B125B4"/>
    <w:rsid w:val="00B12DC6"/>
    <w:rsid w:val="00B16316"/>
    <w:rsid w:val="00B20409"/>
    <w:rsid w:val="00B422AA"/>
    <w:rsid w:val="00B6672C"/>
    <w:rsid w:val="00B702D5"/>
    <w:rsid w:val="00B72811"/>
    <w:rsid w:val="00B8149C"/>
    <w:rsid w:val="00B83F2E"/>
    <w:rsid w:val="00B87D60"/>
    <w:rsid w:val="00B910C5"/>
    <w:rsid w:val="00BA38DF"/>
    <w:rsid w:val="00BB461F"/>
    <w:rsid w:val="00BB7D99"/>
    <w:rsid w:val="00BC5067"/>
    <w:rsid w:val="00BD08E1"/>
    <w:rsid w:val="00BD6BBE"/>
    <w:rsid w:val="00BD7E4F"/>
    <w:rsid w:val="00BF0F5A"/>
    <w:rsid w:val="00BF17A8"/>
    <w:rsid w:val="00C04D80"/>
    <w:rsid w:val="00C156CC"/>
    <w:rsid w:val="00C16939"/>
    <w:rsid w:val="00C3381A"/>
    <w:rsid w:val="00C413E4"/>
    <w:rsid w:val="00C43E15"/>
    <w:rsid w:val="00C44CAE"/>
    <w:rsid w:val="00C65301"/>
    <w:rsid w:val="00C6619D"/>
    <w:rsid w:val="00C83D0F"/>
    <w:rsid w:val="00C9149B"/>
    <w:rsid w:val="00C93AD2"/>
    <w:rsid w:val="00C961B4"/>
    <w:rsid w:val="00CA2E48"/>
    <w:rsid w:val="00CB29B5"/>
    <w:rsid w:val="00CC124D"/>
    <w:rsid w:val="00CC3AEB"/>
    <w:rsid w:val="00CC59F5"/>
    <w:rsid w:val="00CD5402"/>
    <w:rsid w:val="00CD6FD2"/>
    <w:rsid w:val="00CD72B3"/>
    <w:rsid w:val="00CF0CC5"/>
    <w:rsid w:val="00CF1CB6"/>
    <w:rsid w:val="00CF552F"/>
    <w:rsid w:val="00D011A8"/>
    <w:rsid w:val="00D01888"/>
    <w:rsid w:val="00D21409"/>
    <w:rsid w:val="00D21651"/>
    <w:rsid w:val="00D34DC1"/>
    <w:rsid w:val="00D4051C"/>
    <w:rsid w:val="00D4374F"/>
    <w:rsid w:val="00D43827"/>
    <w:rsid w:val="00D52DAB"/>
    <w:rsid w:val="00D57C58"/>
    <w:rsid w:val="00D67C74"/>
    <w:rsid w:val="00D80E40"/>
    <w:rsid w:val="00D85C8B"/>
    <w:rsid w:val="00D90EC6"/>
    <w:rsid w:val="00D930FE"/>
    <w:rsid w:val="00DB442E"/>
    <w:rsid w:val="00DC0EBC"/>
    <w:rsid w:val="00DD2887"/>
    <w:rsid w:val="00DE139B"/>
    <w:rsid w:val="00DE443B"/>
    <w:rsid w:val="00DE5336"/>
    <w:rsid w:val="00DE6CB2"/>
    <w:rsid w:val="00E05532"/>
    <w:rsid w:val="00E05FEB"/>
    <w:rsid w:val="00E11530"/>
    <w:rsid w:val="00E16A4A"/>
    <w:rsid w:val="00E35DB7"/>
    <w:rsid w:val="00E41674"/>
    <w:rsid w:val="00E5261F"/>
    <w:rsid w:val="00E53934"/>
    <w:rsid w:val="00E66FF0"/>
    <w:rsid w:val="00E70701"/>
    <w:rsid w:val="00E73714"/>
    <w:rsid w:val="00E91733"/>
    <w:rsid w:val="00EA4308"/>
    <w:rsid w:val="00EC25CB"/>
    <w:rsid w:val="00EC4DD4"/>
    <w:rsid w:val="00EF3DDF"/>
    <w:rsid w:val="00F0517D"/>
    <w:rsid w:val="00F11F17"/>
    <w:rsid w:val="00F21954"/>
    <w:rsid w:val="00F261FF"/>
    <w:rsid w:val="00F330B0"/>
    <w:rsid w:val="00F35EE8"/>
    <w:rsid w:val="00F44223"/>
    <w:rsid w:val="00F478A6"/>
    <w:rsid w:val="00F61ADD"/>
    <w:rsid w:val="00F71D26"/>
    <w:rsid w:val="00F76F5C"/>
    <w:rsid w:val="00F86CAD"/>
    <w:rsid w:val="00F94300"/>
    <w:rsid w:val="00FB074E"/>
    <w:rsid w:val="00FB1807"/>
    <w:rsid w:val="00FB6F5E"/>
    <w:rsid w:val="00FC571D"/>
    <w:rsid w:val="00FC5CB2"/>
    <w:rsid w:val="00FC6EE6"/>
    <w:rsid w:val="00FD2645"/>
    <w:rsid w:val="00FD40E7"/>
    <w:rsid w:val="00FD686D"/>
    <w:rsid w:val="00FE1B3B"/>
    <w:rsid w:val="00FF41C4"/>
    <w:rsid w:val="129F1444"/>
    <w:rsid w:val="1C585EF8"/>
    <w:rsid w:val="2A292AA0"/>
    <w:rsid w:val="30EA3AB2"/>
    <w:rsid w:val="365409A4"/>
    <w:rsid w:val="4F044BC9"/>
    <w:rsid w:val="57AD5E9F"/>
    <w:rsid w:val="7DCF3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0"/>
    <w:pPr>
      <w:keepLines/>
      <w:numPr>
        <w:ilvl w:val="0"/>
        <w:numId w:val="1"/>
      </w:numPr>
      <w:spacing w:before="60" w:after="60"/>
      <w:outlineLvl w:val="0"/>
    </w:pPr>
    <w:rPr>
      <w:rFonts w:eastAsia="黑体"/>
      <w:bCs/>
      <w:kern w:val="44"/>
      <w:sz w:val="28"/>
      <w:szCs w:val="44"/>
    </w:rPr>
  </w:style>
  <w:style w:type="paragraph" w:styleId="4">
    <w:name w:val="heading 2"/>
    <w:basedOn w:val="1"/>
    <w:next w:val="3"/>
    <w:qFormat/>
    <w:uiPriority w:val="0"/>
    <w:pPr>
      <w:keepLines/>
      <w:numPr>
        <w:ilvl w:val="1"/>
        <w:numId w:val="1"/>
      </w:numPr>
      <w:spacing w:before="60" w:after="60"/>
      <w:outlineLvl w:val="1"/>
    </w:pPr>
    <w:rPr>
      <w:rFonts w:eastAsia="黑体"/>
      <w:bCs/>
      <w:sz w:val="24"/>
      <w:szCs w:val="32"/>
    </w:rPr>
  </w:style>
  <w:style w:type="paragraph" w:styleId="5">
    <w:name w:val="heading 4"/>
    <w:basedOn w:val="1"/>
    <w:next w:val="3"/>
    <w:qFormat/>
    <w:uiPriority w:val="0"/>
    <w:pPr>
      <w:keepNext/>
      <w:keepLines/>
      <w:numPr>
        <w:ilvl w:val="3"/>
        <w:numId w:val="1"/>
      </w:numPr>
      <w:outlineLvl w:val="3"/>
    </w:pPr>
    <w:rPr>
      <w:rFonts w:eastAsia="黑体"/>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6">
    <w:name w:val="Document Map"/>
    <w:basedOn w:val="1"/>
    <w:semiHidden/>
    <w:qFormat/>
    <w:uiPriority w:val="0"/>
    <w:pPr>
      <w:shd w:val="clear" w:color="auto" w:fill="000080"/>
    </w:pPr>
  </w:style>
  <w:style w:type="paragraph" w:styleId="7">
    <w:name w:val="Body Text"/>
    <w:basedOn w:val="1"/>
    <w:link w:val="24"/>
    <w:qFormat/>
    <w:uiPriority w:val="0"/>
    <w:pPr>
      <w:spacing w:after="120"/>
    </w:pPr>
    <w:rPr>
      <w:szCs w:val="20"/>
    </w:rPr>
  </w:style>
  <w:style w:type="paragraph" w:styleId="8">
    <w:name w:val="Plain Text"/>
    <w:basedOn w:val="1"/>
    <w:qFormat/>
    <w:uiPriority w:val="0"/>
    <w:rPr>
      <w:rFonts w:ascii="宋体" w:hAnsi="Courier New" w:cs="Courier New"/>
      <w:szCs w:val="21"/>
    </w:rPr>
  </w:style>
  <w:style w:type="paragraph" w:styleId="9">
    <w:name w:val="Date"/>
    <w:basedOn w:val="1"/>
    <w:next w:val="1"/>
    <w:link w:val="22"/>
    <w:unhideWhenUsed/>
    <w:qFormat/>
    <w:uiPriority w:val="99"/>
    <w:pPr>
      <w:ind w:left="100" w:leftChars="2500"/>
    </w:pPr>
    <w:rPr>
      <w:rFonts w:ascii="等线" w:hAnsi="等线" w:eastAsia="等线"/>
      <w:szCs w:val="22"/>
    </w:rPr>
  </w:style>
  <w:style w:type="paragraph" w:styleId="10">
    <w:name w:val="footer"/>
    <w:basedOn w:val="1"/>
    <w:link w:val="18"/>
    <w:qFormat/>
    <w:uiPriority w:val="0"/>
    <w:pPr>
      <w:tabs>
        <w:tab w:val="center" w:pos="4153"/>
        <w:tab w:val="right" w:pos="8306"/>
      </w:tabs>
      <w:snapToGrid w:val="0"/>
      <w:jc w:val="left"/>
    </w:pPr>
    <w:rPr>
      <w:sz w:val="18"/>
      <w:szCs w:val="18"/>
    </w:rPr>
  </w:style>
  <w:style w:type="paragraph" w:styleId="11">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qFormat/>
    <w:uiPriority w:val="0"/>
    <w:rPr>
      <w:rFonts w:ascii="Times New Roman" w:hAnsi="Times New Roman" w:eastAsia="宋体"/>
      <w:sz w:val="18"/>
    </w:rPr>
  </w:style>
  <w:style w:type="character" w:styleId="16">
    <w:name w:val="Emphasis"/>
    <w:qFormat/>
    <w:uiPriority w:val="20"/>
    <w:rPr>
      <w:i/>
      <w:iCs/>
    </w:rPr>
  </w:style>
  <w:style w:type="character" w:customStyle="1" w:styleId="17">
    <w:name w:val="页眉 Char"/>
    <w:link w:val="11"/>
    <w:qFormat/>
    <w:uiPriority w:val="0"/>
    <w:rPr>
      <w:kern w:val="2"/>
      <w:sz w:val="18"/>
      <w:szCs w:val="18"/>
    </w:rPr>
  </w:style>
  <w:style w:type="character" w:customStyle="1" w:styleId="18">
    <w:name w:val="页脚 Char"/>
    <w:link w:val="10"/>
    <w:qFormat/>
    <w:uiPriority w:val="0"/>
    <w:rPr>
      <w:kern w:val="2"/>
      <w:sz w:val="18"/>
      <w:szCs w:val="18"/>
    </w:rPr>
  </w:style>
  <w:style w:type="character" w:customStyle="1" w:styleId="19">
    <w:name w:val="段 Char"/>
    <w:link w:val="20"/>
    <w:qFormat/>
    <w:uiPriority w:val="0"/>
    <w:rPr>
      <w:rFonts w:ascii="宋体" w:eastAsia="宋体"/>
      <w:sz w:val="21"/>
      <w:lang w:val="en-US" w:eastAsia="zh-CN" w:bidi="ar-SA"/>
    </w:rPr>
  </w:style>
  <w:style w:type="paragraph" w:customStyle="1" w:styleId="20">
    <w:name w:val="段"/>
    <w:link w:val="1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1">
    <w:name w:val="Char Char2"/>
    <w:basedOn w:val="1"/>
    <w:qFormat/>
    <w:uiPriority w:val="0"/>
    <w:rPr>
      <w:sz w:val="24"/>
    </w:rPr>
  </w:style>
  <w:style w:type="character" w:customStyle="1" w:styleId="22">
    <w:name w:val="日期 Char"/>
    <w:link w:val="9"/>
    <w:qFormat/>
    <w:uiPriority w:val="99"/>
    <w:rPr>
      <w:rFonts w:ascii="等线" w:hAnsi="等线" w:eastAsia="等线"/>
      <w:kern w:val="2"/>
      <w:sz w:val="21"/>
      <w:szCs w:val="22"/>
    </w:rPr>
  </w:style>
  <w:style w:type="paragraph" w:styleId="23">
    <w:name w:val="List Paragraph"/>
    <w:basedOn w:val="1"/>
    <w:qFormat/>
    <w:uiPriority w:val="34"/>
    <w:pPr>
      <w:ind w:firstLine="420" w:firstLineChars="200"/>
    </w:pPr>
    <w:rPr>
      <w:rFonts w:ascii="等线" w:hAnsi="等线" w:eastAsia="等线"/>
      <w:szCs w:val="22"/>
    </w:rPr>
  </w:style>
  <w:style w:type="character" w:customStyle="1" w:styleId="24">
    <w:name w:val="正文文本 Char"/>
    <w:link w:val="7"/>
    <w:qFormat/>
    <w:uiPriority w:val="0"/>
    <w:rPr>
      <w:kern w:val="2"/>
      <w:sz w:val="21"/>
    </w:rPr>
  </w:style>
  <w:style w:type="character" w:customStyle="1" w:styleId="25">
    <w:name w:val="content-right_8zs40"/>
    <w:basedOn w:val="14"/>
    <w:qFormat/>
    <w:uiPriority w:val="0"/>
  </w:style>
  <w:style w:type="paragraph" w:customStyle="1" w:styleId="26">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27">
    <w:name w:val="标准文件_段"/>
    <w:link w:val="2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
    <w:name w:val="标准文件_段 Char"/>
    <w:link w:val="27"/>
    <w:qFormat/>
    <w:uiPriority w:val="0"/>
    <w:rPr>
      <w:rFonts w:ascii="宋体"/>
      <w:sz w:val="21"/>
    </w:rPr>
  </w:style>
  <w:style w:type="paragraph" w:customStyle="1" w:styleId="29">
    <w:name w:val="Char Char21"/>
    <w:basedOn w:val="1"/>
    <w:qFormat/>
    <w:uiPriority w:val="0"/>
    <w:rPr>
      <w:sz w:val="24"/>
    </w:rPr>
  </w:style>
  <w:style w:type="paragraph" w:customStyle="1" w:styleId="30">
    <w:name w:val="标准文件_二级条标题"/>
    <w:next w:val="2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1">
    <w:name w:val="标准文件_三级条标题"/>
    <w:basedOn w:val="30"/>
    <w:next w:val="27"/>
    <w:qFormat/>
    <w:uiPriority w:val="0"/>
    <w:pPr>
      <w:widowControl/>
      <w:numPr>
        <w:ilvl w:val="4"/>
      </w:numPr>
      <w:outlineLvl w:val="3"/>
    </w:pPr>
  </w:style>
  <w:style w:type="paragraph" w:customStyle="1" w:styleId="32">
    <w:name w:val="标准文件_四级条标题"/>
    <w:next w:val="2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3">
    <w:name w:val="标准文件_五级条标题"/>
    <w:next w:val="2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34">
    <w:name w:val="标准文件_章标题"/>
    <w:next w:val="2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35">
    <w:name w:val="标准文件_一级条标题"/>
    <w:basedOn w:val="34"/>
    <w:next w:val="27"/>
    <w:qFormat/>
    <w:uiPriority w:val="0"/>
    <w:pPr>
      <w:numPr>
        <w:ilvl w:val="2"/>
      </w:numPr>
      <w:spacing w:before="50" w:beforeLines="50" w:after="50" w:afterLines="50"/>
      <w:outlineLvl w:val="1"/>
    </w:pPr>
  </w:style>
  <w:style w:type="paragraph" w:customStyle="1" w:styleId="3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7">
    <w:name w:val="Text"/>
    <w:link w:val="38"/>
    <w:qFormat/>
    <w:uiPriority w:val="0"/>
    <w:pPr>
      <w:widowControl w:val="0"/>
      <w:spacing w:line="360" w:lineRule="auto"/>
      <w:ind w:firstLine="200" w:firstLineChars="200"/>
      <w:jc w:val="both"/>
    </w:pPr>
    <w:rPr>
      <w:rFonts w:ascii="Arial" w:hAnsi="Arial" w:eastAsia="宋体" w:cs="Arial"/>
      <w:kern w:val="2"/>
      <w:sz w:val="24"/>
      <w:szCs w:val="24"/>
      <w:lang w:val="en-US" w:eastAsia="zh-CN" w:bidi="ar-SA"/>
    </w:rPr>
  </w:style>
  <w:style w:type="character" w:customStyle="1" w:styleId="38">
    <w:name w:val="Text Char Char"/>
    <w:link w:val="37"/>
    <w:qFormat/>
    <w:uiPriority w:val="0"/>
    <w:rPr>
      <w:rFonts w:ascii="Arial" w:hAnsi="Arial" w:cs="Arial"/>
      <w:kern w:val="2"/>
      <w:sz w:val="24"/>
      <w:szCs w:val="24"/>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AF92F483-23A5-423B-94C9-B73A82E1F9E2}">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9</Pages>
  <Words>4257</Words>
  <Characters>4432</Characters>
  <Lines>32</Lines>
  <Paragraphs>9</Paragraphs>
  <TotalTime>0</TotalTime>
  <ScaleCrop>false</ScaleCrop>
  <LinksUpToDate>false</LinksUpToDate>
  <CharactersWithSpaces>4457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2025-08-13T15:17:00Z</dcterms:created>
  <dc:creator>admin</dc:creator>
  <cp:lastModifiedBy>kylin</cp:lastModifiedBy>
  <dcterms:modified xsi:type="dcterms:W3CDTF">2025-10-17T15:39:25Z</dcterms:modified>
  <dc:title>《品牌管理体系 要求与实施》</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KSOTemplateDocerSaveRecord">
    <vt:lpwstr>eyJoZGlkIjoiZTczZGJiMzk3NmE4MTFmY2I0NmVkOTVhODY4OTk3OTcifQ==</vt:lpwstr>
  </property>
  <property fmtid="{D5CDD505-2E9C-101B-9397-08002B2CF9AE}" pid="4" name="ICV">
    <vt:lpwstr>0C006F2E0A8C4DFFB7DE7E5F3C376E73_12</vt:lpwstr>
  </property>
</Properties>
</file>