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D69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3A858E8">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A2B8942">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0A4C1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A48A9B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3EEBD1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 </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6982AF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28E42ADD">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7FB313A8">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5408B5A">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A33D824">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318CC1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4445"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3D273C9D">
      <w:pPr>
        <w:pStyle w:val="50"/>
        <w:framePr w:w="9639" w:h="6976" w:hRule="exact" w:hSpace="0" w:vSpace="0" w:wrap="around" w:hAnchor="page" w:y="6408"/>
        <w:jc w:val="center"/>
        <w:rPr>
          <w:rFonts w:ascii="黑体" w:hAnsi="黑体" w:eastAsia="黑体"/>
          <w:b w:val="0"/>
          <w:bCs w:val="0"/>
          <w:w w:val="100"/>
        </w:rPr>
      </w:pPr>
    </w:p>
    <w:p w14:paraId="216B2EC6">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认知障碍老年人照料场所</w:t>
      </w:r>
    </w:p>
    <w:p w14:paraId="3EB34F4F">
      <w:pPr>
        <w:pStyle w:val="197"/>
        <w:framePr w:h="6974" w:hRule="exact" w:wrap="around" w:x="1419" w:anchorLock="1"/>
      </w:pPr>
      <w:r>
        <w:rPr>
          <w:rFonts w:hint="eastAsia"/>
        </w:rPr>
        <w:t>建设规范</w:t>
      </w:r>
      <w:r>
        <w:fldChar w:fldCharType="end"/>
      </w:r>
      <w:bookmarkEnd w:id="9"/>
    </w:p>
    <w:p w14:paraId="49F0CD05">
      <w:pPr>
        <w:framePr w:w="9639" w:h="6974" w:hRule="exact" w:wrap="around" w:vAnchor="page" w:hAnchor="page" w:x="1419" w:y="6408" w:anchorLock="1"/>
        <w:ind w:left="-1418"/>
      </w:pPr>
    </w:p>
    <w:p w14:paraId="5AB48ECA">
      <w:pPr>
        <w:pStyle w:val="125"/>
        <w:framePr w:w="9639" w:h="6974" w:hRule="exact" w:wrap="around" w:vAnchor="page" w:hAnchor="page" w:x="1419" w:y="6408" w:anchorLock="1"/>
        <w:ind w:left="2380" w:hanging="2380" w:hangingChars="850"/>
        <w:jc w:val="both"/>
        <w:textAlignment w:val="bottom"/>
        <w:rPr>
          <w:rFonts w:hint="eastAsia" w:eastAsia="黑体"/>
          <w:szCs w:val="28"/>
          <w:lang w:val="en-US" w:eastAsia="zh-CN"/>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     </w:t>
      </w:r>
      <w:r>
        <w:rPr>
          <w:rFonts w:hint="eastAsia" w:eastAsia="黑体"/>
          <w:szCs w:val="28"/>
          <w:lang w:val="en-US" w:eastAsia="zh-CN"/>
        </w:rPr>
        <w:t xml:space="preserve">   </w:t>
      </w:r>
      <w:r>
        <w:rPr>
          <w:rFonts w:hint="eastAsia" w:eastAsia="黑体"/>
          <w:szCs w:val="28"/>
        </w:rPr>
        <w:t xml:space="preserve"> Specification for the construction of care places for elderly people</w:t>
      </w:r>
      <w:r>
        <w:rPr>
          <w:rFonts w:hint="eastAsia" w:eastAsia="黑体"/>
          <w:szCs w:val="28"/>
          <w:lang w:val="en-US" w:eastAsia="zh-CN"/>
        </w:rPr>
        <w:t xml:space="preserve"> </w:t>
      </w:r>
    </w:p>
    <w:p w14:paraId="6D0040D9">
      <w:pPr>
        <w:pStyle w:val="125"/>
        <w:framePr w:w="9639" w:h="6974" w:hRule="exact" w:wrap="around" w:vAnchor="page" w:hAnchor="page" w:x="1419" w:y="6408" w:anchorLock="1"/>
        <w:ind w:firstLine="3360" w:firstLineChars="1200"/>
        <w:jc w:val="both"/>
        <w:textAlignment w:val="bottom"/>
        <w:rPr>
          <w:rFonts w:eastAsia="黑体"/>
          <w:szCs w:val="28"/>
        </w:rPr>
      </w:pPr>
      <w:r>
        <w:rPr>
          <w:rFonts w:hint="eastAsia" w:eastAsia="黑体"/>
          <w:szCs w:val="28"/>
          <w:lang w:val="en-US" w:eastAsia="zh-CN"/>
        </w:rPr>
        <w:t xml:space="preserve">with cognitive impairment       </w:t>
      </w:r>
      <w:r>
        <w:rPr>
          <w:rFonts w:hint="eastAsia" w:eastAsia="黑体"/>
          <w:szCs w:val="28"/>
        </w:rPr>
        <w:t xml:space="preserve">             </w:t>
      </w:r>
    </w:p>
    <w:p w14:paraId="10D563A2">
      <w:pPr>
        <w:pStyle w:val="125"/>
        <w:framePr w:w="9639" w:h="6974" w:hRule="exact" w:wrap="around" w:vAnchor="page" w:hAnchor="page" w:x="1419" w:y="6408" w:anchorLock="1"/>
        <w:ind w:left="1785" w:leftChars="850" w:firstLine="1400" w:firstLineChars="500"/>
        <w:jc w:val="both"/>
        <w:textAlignment w:val="bottom"/>
        <w:rPr>
          <w:rFonts w:eastAsia="黑体"/>
          <w:szCs w:val="28"/>
        </w:rPr>
      </w:pPr>
      <w:r>
        <w:rPr>
          <w:rFonts w:eastAsia="黑体"/>
          <w:szCs w:val="28"/>
        </w:rPr>
        <w:fldChar w:fldCharType="end"/>
      </w:r>
      <w:bookmarkEnd w:id="10"/>
    </w:p>
    <w:p w14:paraId="5BB70ECF">
      <w:pPr>
        <w:framePr w:w="9639" w:h="6974" w:hRule="exact" w:wrap="around" w:vAnchor="page" w:hAnchor="page" w:x="1419" w:y="6408" w:anchorLock="1"/>
        <w:spacing w:line="760" w:lineRule="exact"/>
        <w:ind w:left="-1418"/>
      </w:pPr>
    </w:p>
    <w:p w14:paraId="2A6D1A74">
      <w:pPr>
        <w:pStyle w:val="125"/>
        <w:framePr w:w="9639" w:h="6974" w:hRule="exact" w:wrap="around" w:vAnchor="page" w:hAnchor="page" w:x="1419" w:y="6408" w:anchorLock="1"/>
        <w:textAlignment w:val="bottom"/>
        <w:rPr>
          <w:rFonts w:eastAsia="黑体"/>
          <w:szCs w:val="28"/>
        </w:rPr>
      </w:pPr>
    </w:p>
    <w:p w14:paraId="36FE283F">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25AD161">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0EB45DD">
      <w:pPr>
        <w:pStyle w:val="125"/>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4AED5D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DD3208">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3F738F9">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01358AB">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4445"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5FA6F4B7">
      <w:pPr>
        <w:pStyle w:val="91"/>
        <w:spacing w:after="468"/>
      </w:pPr>
      <w:bookmarkStart w:id="21" w:name="BookMark1"/>
      <w:bookmarkStart w:id="22" w:name="_Toc225438818"/>
      <w:bookmarkStart w:id="23" w:name="_Toc225438864"/>
      <w:bookmarkStart w:id="24" w:name="_Toc217658483"/>
      <w:bookmarkStart w:id="25" w:name="_Toc217658266"/>
      <w:r>
        <w:rPr>
          <w:rFonts w:hint="eastAsia"/>
          <w:spacing w:val="320"/>
        </w:rPr>
        <w:t>目</w:t>
      </w:r>
      <w:r>
        <w:rPr>
          <w:rFonts w:hint="eastAsia"/>
        </w:rPr>
        <w:t>次</w:t>
      </w:r>
    </w:p>
    <w:p w14:paraId="5647A7CD">
      <w:pPr>
        <w:pStyle w:val="19"/>
        <w:tabs>
          <w:tab w:val="right" w:leader="dot" w:pos="9354"/>
        </w:tabs>
        <w:jc w:val="right"/>
      </w:pPr>
      <w:r>
        <w:fldChar w:fldCharType="begin"/>
      </w:r>
      <w:r>
        <w:instrText xml:space="preserve"> TOC \o "1-1" \h \t "标准文件_一级条标题,2,标准文件_附录一级条标题,2," </w:instrText>
      </w:r>
      <w:r>
        <w:fldChar w:fldCharType="separate"/>
      </w:r>
      <w:r>
        <w:fldChar w:fldCharType="begin"/>
      </w:r>
      <w:r>
        <w:instrText xml:space="preserve"> HYPERLINK \l "_Toc3002" </w:instrText>
      </w:r>
      <w:r>
        <w:fldChar w:fldCharType="separate"/>
      </w:r>
      <w:r>
        <w:rPr>
          <w:rFonts w:hint="eastAsia"/>
          <w:spacing w:val="320"/>
        </w:rPr>
        <w:t>前</w:t>
      </w:r>
      <w:r>
        <w:rPr>
          <w:rFonts w:hint="eastAsia"/>
        </w:rPr>
        <w:t>言</w:t>
      </w:r>
      <w:r>
        <w:tab/>
      </w:r>
      <w:r>
        <w:fldChar w:fldCharType="begin"/>
      </w:r>
      <w:r>
        <w:instrText xml:space="preserve"> PAGEREF _Toc3002 \h </w:instrText>
      </w:r>
      <w:r>
        <w:fldChar w:fldCharType="separate"/>
      </w:r>
      <w:r>
        <w:t>II</w:t>
      </w:r>
      <w:r>
        <w:fldChar w:fldCharType="end"/>
      </w:r>
      <w:r>
        <w:fldChar w:fldCharType="end"/>
      </w:r>
    </w:p>
    <w:p w14:paraId="16724881">
      <w:pPr>
        <w:pStyle w:val="19"/>
        <w:tabs>
          <w:tab w:val="right" w:leader="dot" w:pos="9354"/>
        </w:tabs>
      </w:pPr>
      <w:r>
        <w:fldChar w:fldCharType="begin"/>
      </w:r>
      <w:r>
        <w:instrText xml:space="preserve"> HYPERLINK \l "_Toc16693" </w:instrText>
      </w:r>
      <w:r>
        <w:fldChar w:fldCharType="separate"/>
      </w:r>
      <w:r>
        <w:rPr>
          <w:rFonts w:hint="eastAsia" w:ascii="黑体" w:eastAsia="黑体"/>
        </w:rPr>
        <w:t xml:space="preserve">1 </w:t>
      </w:r>
      <w:r>
        <w:rPr>
          <w:rFonts w:hint="eastAsia"/>
        </w:rPr>
        <w:t>范围</w:t>
      </w:r>
      <w:r>
        <w:tab/>
      </w:r>
      <w:r>
        <w:fldChar w:fldCharType="begin"/>
      </w:r>
      <w:r>
        <w:instrText xml:space="preserve"> PAGEREF _Toc16693 \h </w:instrText>
      </w:r>
      <w:r>
        <w:fldChar w:fldCharType="separate"/>
      </w:r>
      <w:r>
        <w:t>3</w:t>
      </w:r>
      <w:r>
        <w:fldChar w:fldCharType="end"/>
      </w:r>
      <w:r>
        <w:fldChar w:fldCharType="end"/>
      </w:r>
    </w:p>
    <w:p w14:paraId="73A7F539">
      <w:pPr>
        <w:pStyle w:val="19"/>
        <w:tabs>
          <w:tab w:val="right" w:leader="dot" w:pos="9354"/>
        </w:tabs>
      </w:pPr>
      <w:r>
        <w:fldChar w:fldCharType="begin"/>
      </w:r>
      <w:r>
        <w:instrText xml:space="preserve"> HYPERLINK \l "_Toc19850"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_Toc19850 \h </w:instrText>
      </w:r>
      <w:r>
        <w:fldChar w:fldCharType="separate"/>
      </w:r>
      <w:r>
        <w:t>3</w:t>
      </w:r>
      <w:r>
        <w:fldChar w:fldCharType="end"/>
      </w:r>
      <w:r>
        <w:fldChar w:fldCharType="end"/>
      </w:r>
    </w:p>
    <w:p w14:paraId="49288BB2">
      <w:pPr>
        <w:pStyle w:val="19"/>
        <w:tabs>
          <w:tab w:val="right" w:leader="dot" w:pos="9354"/>
        </w:tabs>
      </w:pPr>
      <w:r>
        <w:fldChar w:fldCharType="begin"/>
      </w:r>
      <w:r>
        <w:instrText xml:space="preserve"> HYPERLINK \l "_Toc20264"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_Toc20264 \h </w:instrText>
      </w:r>
      <w:r>
        <w:fldChar w:fldCharType="separate"/>
      </w:r>
      <w:r>
        <w:t>3</w:t>
      </w:r>
      <w:r>
        <w:fldChar w:fldCharType="end"/>
      </w:r>
      <w:r>
        <w:fldChar w:fldCharType="end"/>
      </w:r>
    </w:p>
    <w:p w14:paraId="4A8BB44A">
      <w:pPr>
        <w:pStyle w:val="19"/>
        <w:tabs>
          <w:tab w:val="right" w:leader="dot" w:pos="9354"/>
        </w:tabs>
      </w:pPr>
      <w:r>
        <w:fldChar w:fldCharType="begin"/>
      </w:r>
      <w:r>
        <w:instrText xml:space="preserve"> HYPERLINK \l "_Toc4010" </w:instrText>
      </w:r>
      <w:r>
        <w:fldChar w:fldCharType="separate"/>
      </w:r>
      <w:r>
        <w:rPr>
          <w:rFonts w:hint="eastAsia" w:ascii="黑体" w:eastAsia="黑体"/>
        </w:rPr>
        <w:t xml:space="preserve">4 </w:t>
      </w:r>
      <w:r>
        <w:t>总体原则</w:t>
      </w:r>
      <w:r>
        <w:tab/>
      </w:r>
      <w:r>
        <w:fldChar w:fldCharType="begin"/>
      </w:r>
      <w:r>
        <w:instrText xml:space="preserve"> PAGEREF _Toc4010 \h </w:instrText>
      </w:r>
      <w:r>
        <w:fldChar w:fldCharType="separate"/>
      </w:r>
      <w:r>
        <w:t>3</w:t>
      </w:r>
      <w:r>
        <w:fldChar w:fldCharType="end"/>
      </w:r>
      <w:r>
        <w:fldChar w:fldCharType="end"/>
      </w:r>
    </w:p>
    <w:p w14:paraId="22819EA4">
      <w:pPr>
        <w:pStyle w:val="19"/>
        <w:tabs>
          <w:tab w:val="right" w:leader="dot" w:pos="9354"/>
        </w:tabs>
      </w:pPr>
      <w:r>
        <w:fldChar w:fldCharType="begin"/>
      </w:r>
      <w:r>
        <w:instrText xml:space="preserve"> HYPERLINK \l "_Toc4741" </w:instrText>
      </w:r>
      <w:r>
        <w:fldChar w:fldCharType="separate"/>
      </w:r>
      <w:r>
        <w:rPr>
          <w:rFonts w:hint="eastAsia" w:ascii="黑体" w:eastAsia="黑体"/>
        </w:rPr>
        <w:t xml:space="preserve">5 </w:t>
      </w:r>
      <w:r>
        <w:rPr>
          <w:rFonts w:hint="eastAsia"/>
        </w:rPr>
        <w:t>通用要求</w:t>
      </w:r>
      <w:r>
        <w:tab/>
      </w:r>
      <w:r>
        <w:fldChar w:fldCharType="begin"/>
      </w:r>
      <w:r>
        <w:instrText xml:space="preserve"> PAGEREF _Toc4741 \h </w:instrText>
      </w:r>
      <w:r>
        <w:fldChar w:fldCharType="separate"/>
      </w:r>
      <w:r>
        <w:t>3</w:t>
      </w:r>
      <w:r>
        <w:fldChar w:fldCharType="end"/>
      </w:r>
      <w:r>
        <w:fldChar w:fldCharType="end"/>
      </w:r>
    </w:p>
    <w:p w14:paraId="5C7AA9FE">
      <w:pPr>
        <w:pStyle w:val="19"/>
        <w:tabs>
          <w:tab w:val="right" w:leader="dot" w:pos="9354"/>
        </w:tabs>
      </w:pPr>
      <w:r>
        <w:fldChar w:fldCharType="begin"/>
      </w:r>
      <w:r>
        <w:instrText xml:space="preserve"> HYPERLINK \l "_Toc16257" </w:instrText>
      </w:r>
      <w:r>
        <w:fldChar w:fldCharType="separate"/>
      </w:r>
      <w:r>
        <w:rPr>
          <w:rFonts w:hint="eastAsia" w:ascii="黑体" w:eastAsia="黑体"/>
        </w:rPr>
        <w:t xml:space="preserve">6 </w:t>
      </w:r>
      <w:r>
        <w:rPr>
          <w:rFonts w:hint="eastAsia"/>
        </w:rPr>
        <w:t>居住空间</w:t>
      </w:r>
      <w:r>
        <w:tab/>
      </w:r>
      <w:r>
        <w:fldChar w:fldCharType="begin"/>
      </w:r>
      <w:r>
        <w:instrText xml:space="preserve"> PAGEREF _Toc16257 \h </w:instrText>
      </w:r>
      <w:r>
        <w:fldChar w:fldCharType="separate"/>
      </w:r>
      <w:r>
        <w:t>4</w:t>
      </w:r>
      <w:r>
        <w:fldChar w:fldCharType="end"/>
      </w:r>
      <w:r>
        <w:fldChar w:fldCharType="end"/>
      </w:r>
    </w:p>
    <w:p w14:paraId="11878095">
      <w:pPr>
        <w:pStyle w:val="19"/>
        <w:tabs>
          <w:tab w:val="right" w:leader="dot" w:pos="9354"/>
        </w:tabs>
      </w:pPr>
      <w:r>
        <w:fldChar w:fldCharType="begin"/>
      </w:r>
      <w:r>
        <w:instrText xml:space="preserve"> HYPERLINK \l "_Toc20438" </w:instrText>
      </w:r>
      <w:r>
        <w:fldChar w:fldCharType="separate"/>
      </w:r>
      <w:r>
        <w:rPr>
          <w:rFonts w:hint="eastAsia" w:ascii="黑体" w:eastAsia="黑体"/>
        </w:rPr>
        <w:t xml:space="preserve">7 </w:t>
      </w:r>
      <w:r>
        <w:rPr>
          <w:rFonts w:hint="eastAsia"/>
        </w:rPr>
        <w:t>卫浴空间</w:t>
      </w:r>
      <w:r>
        <w:tab/>
      </w:r>
      <w:r>
        <w:fldChar w:fldCharType="begin"/>
      </w:r>
      <w:r>
        <w:instrText xml:space="preserve"> PAGEREF _Toc20438 \h </w:instrText>
      </w:r>
      <w:r>
        <w:fldChar w:fldCharType="separate"/>
      </w:r>
      <w:r>
        <w:t>4</w:t>
      </w:r>
      <w:r>
        <w:fldChar w:fldCharType="end"/>
      </w:r>
      <w:r>
        <w:fldChar w:fldCharType="end"/>
      </w:r>
    </w:p>
    <w:p w14:paraId="5AF483B8">
      <w:pPr>
        <w:pStyle w:val="19"/>
        <w:tabs>
          <w:tab w:val="right" w:leader="dot" w:pos="9354"/>
        </w:tabs>
      </w:pPr>
      <w:r>
        <w:fldChar w:fldCharType="begin"/>
      </w:r>
      <w:r>
        <w:instrText xml:space="preserve"> HYPERLINK \l "_Toc28974" </w:instrText>
      </w:r>
      <w:r>
        <w:fldChar w:fldCharType="separate"/>
      </w:r>
      <w:r>
        <w:rPr>
          <w:rFonts w:hint="eastAsia" w:ascii="黑体" w:eastAsia="黑体"/>
        </w:rPr>
        <w:t xml:space="preserve">8 </w:t>
      </w:r>
      <w:r>
        <w:rPr>
          <w:rFonts w:hint="eastAsia"/>
        </w:rPr>
        <w:t>餐饮空间</w:t>
      </w:r>
      <w:r>
        <w:tab/>
      </w:r>
      <w:r>
        <w:fldChar w:fldCharType="begin"/>
      </w:r>
      <w:r>
        <w:instrText xml:space="preserve"> PAGEREF _Toc28974 \h </w:instrText>
      </w:r>
      <w:r>
        <w:fldChar w:fldCharType="separate"/>
      </w:r>
      <w:r>
        <w:t>5</w:t>
      </w:r>
      <w:r>
        <w:fldChar w:fldCharType="end"/>
      </w:r>
      <w:r>
        <w:fldChar w:fldCharType="end"/>
      </w:r>
    </w:p>
    <w:p w14:paraId="1570C16A">
      <w:pPr>
        <w:pStyle w:val="19"/>
        <w:tabs>
          <w:tab w:val="right" w:leader="dot" w:pos="9354"/>
        </w:tabs>
      </w:pPr>
      <w:r>
        <w:fldChar w:fldCharType="begin"/>
      </w:r>
      <w:r>
        <w:instrText xml:space="preserve"> HYPERLINK \l "_Toc3473" </w:instrText>
      </w:r>
      <w:r>
        <w:fldChar w:fldCharType="separate"/>
      </w:r>
      <w:r>
        <w:rPr>
          <w:rFonts w:hint="eastAsia" w:ascii="黑体" w:eastAsia="黑体"/>
        </w:rPr>
        <w:t xml:space="preserve">9 </w:t>
      </w:r>
      <w:r>
        <w:rPr>
          <w:rFonts w:hint="eastAsia"/>
        </w:rPr>
        <w:t>活动空间</w:t>
      </w:r>
      <w:r>
        <w:tab/>
      </w:r>
      <w:r>
        <w:fldChar w:fldCharType="begin"/>
      </w:r>
      <w:r>
        <w:instrText xml:space="preserve"> PAGEREF _Toc3473 \h </w:instrText>
      </w:r>
      <w:r>
        <w:fldChar w:fldCharType="separate"/>
      </w:r>
      <w:r>
        <w:t>5</w:t>
      </w:r>
      <w:r>
        <w:fldChar w:fldCharType="end"/>
      </w:r>
      <w:r>
        <w:fldChar w:fldCharType="end"/>
      </w:r>
    </w:p>
    <w:p w14:paraId="03E887D9">
      <w:pPr>
        <w:pStyle w:val="19"/>
        <w:tabs>
          <w:tab w:val="right" w:leader="dot" w:pos="9354"/>
        </w:tabs>
      </w:pPr>
      <w:r>
        <w:fldChar w:fldCharType="begin"/>
      </w:r>
      <w:r>
        <w:instrText xml:space="preserve"> HYPERLINK \l "_Toc4312" </w:instrText>
      </w:r>
      <w:r>
        <w:fldChar w:fldCharType="separate"/>
      </w:r>
      <w:r>
        <w:rPr>
          <w:rFonts w:hint="eastAsia" w:ascii="黑体" w:eastAsia="黑体"/>
        </w:rPr>
        <w:t xml:space="preserve">10 </w:t>
      </w:r>
      <w:r>
        <w:rPr>
          <w:rFonts w:hint="eastAsia"/>
        </w:rPr>
        <w:t>康复空间</w:t>
      </w:r>
      <w:r>
        <w:tab/>
      </w:r>
      <w:r>
        <w:fldChar w:fldCharType="begin"/>
      </w:r>
      <w:r>
        <w:instrText xml:space="preserve"> PAGEREF _Toc4312 \h </w:instrText>
      </w:r>
      <w:r>
        <w:fldChar w:fldCharType="separate"/>
      </w:r>
      <w:r>
        <w:t>6</w:t>
      </w:r>
      <w:r>
        <w:fldChar w:fldCharType="end"/>
      </w:r>
      <w:r>
        <w:fldChar w:fldCharType="end"/>
      </w:r>
    </w:p>
    <w:p w14:paraId="34CABC58">
      <w:pPr>
        <w:pStyle w:val="19"/>
        <w:tabs>
          <w:tab w:val="right" w:leader="dot" w:pos="9354"/>
        </w:tabs>
      </w:pPr>
      <w:r>
        <w:fldChar w:fldCharType="begin"/>
      </w:r>
      <w:r>
        <w:instrText xml:space="preserve"> HYPERLINK \l "_Toc12451" </w:instrText>
      </w:r>
      <w:r>
        <w:fldChar w:fldCharType="separate"/>
      </w:r>
      <w:r>
        <w:rPr>
          <w:rFonts w:hint="eastAsia" w:ascii="黑体" w:eastAsia="黑体"/>
        </w:rPr>
        <w:t xml:space="preserve">11 </w:t>
      </w:r>
      <w:r>
        <w:rPr>
          <w:rFonts w:hint="eastAsia"/>
        </w:rPr>
        <w:t>喘息空间</w:t>
      </w:r>
      <w:r>
        <w:tab/>
      </w:r>
      <w:r>
        <w:fldChar w:fldCharType="begin"/>
      </w:r>
      <w:r>
        <w:instrText xml:space="preserve"> PAGEREF _Toc12451 \h </w:instrText>
      </w:r>
      <w:r>
        <w:fldChar w:fldCharType="separate"/>
      </w:r>
      <w:r>
        <w:t>6</w:t>
      </w:r>
      <w:r>
        <w:fldChar w:fldCharType="end"/>
      </w:r>
      <w:r>
        <w:fldChar w:fldCharType="end"/>
      </w:r>
    </w:p>
    <w:p w14:paraId="1C9D4AF5">
      <w:pPr>
        <w:pStyle w:val="19"/>
        <w:tabs>
          <w:tab w:val="right" w:leader="dot" w:pos="9354"/>
        </w:tabs>
      </w:pPr>
      <w:r>
        <w:fldChar w:fldCharType="begin"/>
      </w:r>
      <w:r>
        <w:instrText xml:space="preserve"> HYPERLINK \l "_Toc31633" </w:instrText>
      </w:r>
      <w:r>
        <w:fldChar w:fldCharType="separate"/>
      </w:r>
      <w:r>
        <w:rPr>
          <w:rFonts w:hint="eastAsia" w:ascii="黑体" w:eastAsia="黑体"/>
        </w:rPr>
        <w:t xml:space="preserve">12 </w:t>
      </w:r>
      <w:r>
        <w:t>环境营造</w:t>
      </w:r>
      <w:r>
        <w:tab/>
      </w:r>
      <w:r>
        <w:fldChar w:fldCharType="begin"/>
      </w:r>
      <w:r>
        <w:instrText xml:space="preserve"> PAGEREF _Toc31633 \h </w:instrText>
      </w:r>
      <w:r>
        <w:fldChar w:fldCharType="separate"/>
      </w:r>
      <w:r>
        <w:t>6</w:t>
      </w:r>
      <w:r>
        <w:fldChar w:fldCharType="end"/>
      </w:r>
      <w:r>
        <w:fldChar w:fldCharType="end"/>
      </w:r>
    </w:p>
    <w:p w14:paraId="667551E9">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079DEA8A">
      <w:pPr>
        <w:pStyle w:val="89"/>
        <w:spacing w:after="468"/>
      </w:pPr>
      <w:bookmarkStart w:id="26" w:name="_Toc3002"/>
      <w:bookmarkStart w:id="27" w:name="BookMark2"/>
      <w:r>
        <w:rPr>
          <w:rFonts w:hint="eastAsia"/>
          <w:spacing w:val="320"/>
        </w:rPr>
        <w:t>前</w:t>
      </w:r>
      <w:r>
        <w:rPr>
          <w:rFonts w:hint="eastAsia"/>
        </w:rPr>
        <w:t>言</w:t>
      </w:r>
      <w:bookmarkEnd w:id="22"/>
      <w:bookmarkEnd w:id="23"/>
      <w:bookmarkEnd w:id="24"/>
      <w:bookmarkEnd w:id="25"/>
      <w:bookmarkEnd w:id="26"/>
    </w:p>
    <w:p w14:paraId="29AC7379">
      <w:pPr>
        <w:pStyle w:val="56"/>
        <w:ind w:firstLine="420"/>
      </w:pPr>
      <w:r>
        <w:rPr>
          <w:rFonts w:hint="eastAsia"/>
        </w:rPr>
        <w:t>本文件按照GB/T 1.1—2020《标准化工作导则  第1部分：标准化文件的结构和起草规则》的规定起草。</w:t>
      </w:r>
    </w:p>
    <w:p w14:paraId="208118D7">
      <w:pPr>
        <w:pStyle w:val="56"/>
        <w:ind w:firstLine="420"/>
      </w:pPr>
      <w:r>
        <w:rPr>
          <w:rFonts w:hint="eastAsia"/>
        </w:rPr>
        <w:t>请注意本文件的某些内容可能涉及专利。本文件的发布机构不承担识别专利的责任。</w:t>
      </w:r>
      <w:bookmarkStart w:id="113" w:name="_GoBack"/>
      <w:bookmarkEnd w:id="113"/>
    </w:p>
    <w:p w14:paraId="4E902034">
      <w:pPr>
        <w:pStyle w:val="56"/>
        <w:ind w:firstLine="420"/>
      </w:pPr>
      <w:r>
        <w:rPr>
          <w:rFonts w:hint="eastAsia"/>
        </w:rPr>
        <w:t>本文件由湖南省民政厅提出并归口。</w:t>
      </w:r>
    </w:p>
    <w:p w14:paraId="2E40CB60">
      <w:pPr>
        <w:pStyle w:val="56"/>
        <w:ind w:firstLine="420"/>
      </w:pPr>
      <w:r>
        <w:rPr>
          <w:rFonts w:hint="eastAsia"/>
        </w:rPr>
        <w:t>本文件起草单位：长沙市第一社会福利院</w:t>
      </w:r>
      <w:r>
        <w:rPr>
          <w:rFonts w:hint="eastAsia"/>
          <w:lang w:eastAsia="zh-CN"/>
        </w:rPr>
        <w:t>、湖南中和创远管理技术咨询有限公司</w:t>
      </w:r>
      <w:r>
        <w:rPr>
          <w:rFonts w:hint="eastAsia"/>
        </w:rPr>
        <w:t>。</w:t>
      </w:r>
    </w:p>
    <w:p w14:paraId="4AAE9420">
      <w:pPr>
        <w:pStyle w:val="56"/>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本文件主要起草人：易荣、罗格、彭勇攀、严</w:t>
      </w:r>
      <w:r>
        <w:rPr>
          <w:rFonts w:hint="eastAsia"/>
          <w:lang w:eastAsia="zh-CN"/>
        </w:rPr>
        <w:t>瑾</w:t>
      </w:r>
      <w:r>
        <w:rPr>
          <w:rFonts w:hint="eastAsia"/>
        </w:rPr>
        <w:t>、卢云芳、郭益芝</w:t>
      </w:r>
      <w:r>
        <w:rPr>
          <w:rFonts w:hint="eastAsia"/>
          <w:lang w:eastAsia="zh-CN"/>
        </w:rPr>
        <w:t>、肖天乐</w:t>
      </w:r>
      <w:r>
        <w:rPr>
          <w:rFonts w:hint="eastAsia"/>
        </w:rPr>
        <w:t>。</w:t>
      </w:r>
    </w:p>
    <w:bookmarkEnd w:id="27"/>
    <w:p w14:paraId="6A71191A">
      <w:pPr>
        <w:spacing w:line="20" w:lineRule="exact"/>
        <w:jc w:val="center"/>
        <w:rPr>
          <w:rFonts w:ascii="黑体" w:hAnsi="黑体" w:eastAsia="黑体"/>
          <w:sz w:val="32"/>
          <w:szCs w:val="32"/>
        </w:rPr>
      </w:pPr>
      <w:bookmarkStart w:id="28" w:name="BookMark4"/>
    </w:p>
    <w:p w14:paraId="3BA51883">
      <w:pPr>
        <w:spacing w:line="20" w:lineRule="exact"/>
        <w:jc w:val="center"/>
        <w:rPr>
          <w:rFonts w:ascii="黑体" w:hAnsi="黑体" w:eastAsia="黑体"/>
          <w:sz w:val="32"/>
          <w:szCs w:val="32"/>
        </w:rPr>
      </w:pPr>
    </w:p>
    <w:sdt>
      <w:sdtPr>
        <w:tag w:val="NEW_STAND_NAME"/>
        <w:id w:val="595910757"/>
        <w:lock w:val="sdtLocked"/>
        <w:placeholder>
          <w:docPart w:val="F37C7C17CE5441C38DED6371C1CE3155"/>
        </w:placeholder>
      </w:sdtPr>
      <w:sdtContent>
        <w:p w14:paraId="266ABFF1">
          <w:pPr>
            <w:pStyle w:val="177"/>
            <w:bidi w:val="0"/>
            <w:spacing w:before="313" w:beforeLines="100" w:after="4" w:afterLines="1"/>
          </w:pPr>
          <w:bookmarkStart w:id="29" w:name="NEW_STAND_NAME"/>
          <w:bookmarkStart w:id="30" w:name="OLE_LINK1"/>
          <w:r>
            <w:rPr>
              <w:rFonts w:hint="eastAsia"/>
              <w:lang w:eastAsia="zh-CN"/>
            </w:rPr>
            <w:t>认知障碍老年人照料场所建设规范</w:t>
          </w:r>
        </w:p>
      </w:sdtContent>
    </w:sdt>
    <w:bookmarkEnd w:id="29"/>
    <w:bookmarkEnd w:id="30"/>
    <w:p w14:paraId="52A23A5C">
      <w:pPr>
        <w:pStyle w:val="104"/>
        <w:spacing w:before="312" w:after="312"/>
      </w:pPr>
      <w:bookmarkStart w:id="31" w:name="_Toc24884218"/>
      <w:bookmarkStart w:id="32" w:name="_Toc26648465"/>
      <w:bookmarkStart w:id="33" w:name="_Toc225438865"/>
      <w:bookmarkStart w:id="34" w:name="_Toc26718930"/>
      <w:bookmarkStart w:id="35" w:name="_Toc24884211"/>
      <w:bookmarkStart w:id="36" w:name="_Toc26986771"/>
      <w:bookmarkStart w:id="37" w:name="_Toc97191423"/>
      <w:bookmarkStart w:id="38" w:name="_Toc17233333"/>
      <w:bookmarkStart w:id="39" w:name="_Toc17233325"/>
      <w:bookmarkStart w:id="40" w:name="_Toc16693"/>
      <w:bookmarkStart w:id="41" w:name="_Toc217658267"/>
      <w:bookmarkStart w:id="42" w:name="_Toc217658484"/>
      <w:bookmarkStart w:id="43" w:name="_Toc225438819"/>
      <w:bookmarkStart w:id="44" w:name="_Toc26986530"/>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D3A339F">
      <w:pPr>
        <w:pStyle w:val="56"/>
        <w:ind w:firstLine="420"/>
      </w:pPr>
      <w:bookmarkStart w:id="45" w:name="_Toc24884212"/>
      <w:bookmarkStart w:id="46" w:name="_Toc17233334"/>
      <w:bookmarkStart w:id="47" w:name="_Toc17233326"/>
      <w:bookmarkStart w:id="48" w:name="_Toc26648466"/>
      <w:bookmarkStart w:id="49" w:name="_Toc24884219"/>
      <w:r>
        <w:t>本文件</w:t>
      </w:r>
      <w:r>
        <w:rPr>
          <w:rFonts w:hint="eastAsia"/>
        </w:rPr>
        <w:t>对养老机构</w:t>
      </w:r>
      <w:r>
        <w:t>认知障碍老年人场所建设</w:t>
      </w:r>
      <w:r>
        <w:rPr>
          <w:rFonts w:hint="eastAsia"/>
        </w:rPr>
        <w:t>的总体</w:t>
      </w:r>
      <w:r>
        <w:t>原则，</w:t>
      </w:r>
      <w:r>
        <w:rPr>
          <w:rFonts w:hint="eastAsia"/>
        </w:rPr>
        <w:t>通用设置、居住空间</w:t>
      </w:r>
      <w:r>
        <w:t>、</w:t>
      </w:r>
      <w:r>
        <w:rPr>
          <w:rFonts w:hint="eastAsia"/>
        </w:rPr>
        <w:t>卫浴空间、餐饮空间、活动空间、康复空间、环境营造和标识系统进行了规定</w:t>
      </w:r>
      <w:r>
        <w:t>。</w:t>
      </w:r>
    </w:p>
    <w:p w14:paraId="7E8C59C2">
      <w:pPr>
        <w:pStyle w:val="56"/>
        <w:ind w:firstLine="420"/>
      </w:pPr>
      <w:r>
        <w:t>本文件适用于</w:t>
      </w:r>
      <w:r>
        <w:rPr>
          <w:rFonts w:hint="eastAsia"/>
        </w:rPr>
        <w:t>养老机构</w:t>
      </w:r>
      <w:r>
        <w:t>认知障碍老年人场所</w:t>
      </w:r>
      <w:r>
        <w:rPr>
          <w:rFonts w:hint="eastAsia"/>
        </w:rPr>
        <w:t>的</w:t>
      </w:r>
      <w:r>
        <w:t>新建、改建</w:t>
      </w:r>
      <w:r>
        <w:rPr>
          <w:rFonts w:hint="eastAsia"/>
        </w:rPr>
        <w:t>和</w:t>
      </w:r>
      <w:r>
        <w:t>扩建。</w:t>
      </w:r>
    </w:p>
    <w:p w14:paraId="1C8630DD">
      <w:pPr>
        <w:pStyle w:val="104"/>
        <w:spacing w:before="312" w:after="312"/>
      </w:pPr>
      <w:bookmarkStart w:id="50" w:name="_Toc97191424"/>
      <w:bookmarkStart w:id="51" w:name="_Toc225438866"/>
      <w:bookmarkStart w:id="52" w:name="_Toc217658268"/>
      <w:bookmarkStart w:id="53" w:name="_Toc26718931"/>
      <w:bookmarkStart w:id="54" w:name="_Toc26986772"/>
      <w:bookmarkStart w:id="55" w:name="_Toc225438820"/>
      <w:bookmarkStart w:id="56" w:name="_Toc217658485"/>
      <w:bookmarkStart w:id="57" w:name="_Toc26986531"/>
      <w:bookmarkStart w:id="58" w:name="_Toc19850"/>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p>
    <w:sdt>
      <w:sdtPr>
        <w:rPr>
          <w:rFonts w:hint="eastAsia"/>
        </w:rPr>
        <w:id w:val="715848253"/>
        <w:placeholder>
          <w:docPart w:val="A3629AE7D2DA478CA77FE403342B2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AEB91C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86D70C">
      <w:pPr>
        <w:pStyle w:val="56"/>
        <w:ind w:firstLine="420"/>
      </w:pPr>
      <w:bookmarkStart w:id="59" w:name="_Hlk217553769"/>
      <w:bookmarkStart w:id="60" w:name="_Hlk217653639"/>
      <w:r>
        <w:rPr>
          <w:rFonts w:hint="eastAsia"/>
        </w:rPr>
        <w:t xml:space="preserve">GB 24436 </w:t>
      </w:r>
      <w:r>
        <w:t>康复训练器械 安全通用要求</w:t>
      </w:r>
    </w:p>
    <w:p w14:paraId="7E9477E4">
      <w:pPr>
        <w:pStyle w:val="56"/>
        <w:ind w:firstLine="420"/>
      </w:pPr>
      <w:r>
        <w:rPr>
          <w:rFonts w:hint="eastAsia"/>
        </w:rPr>
        <w:t>GB/T 4471</w:t>
      </w:r>
      <w:bookmarkEnd w:id="59"/>
      <w:r>
        <w:rPr>
          <w:rFonts w:hint="eastAsia"/>
        </w:rPr>
        <w:t>4</w:t>
      </w:r>
      <w:bookmarkEnd w:id="60"/>
      <w:r>
        <w:rPr>
          <w:rFonts w:hint="eastAsia"/>
        </w:rPr>
        <w:t>-2024 养老机构 认知障碍友好环境设置导则</w:t>
      </w:r>
    </w:p>
    <w:p w14:paraId="354D16A2">
      <w:pPr>
        <w:pStyle w:val="56"/>
        <w:ind w:firstLine="420"/>
      </w:pPr>
      <w:bookmarkStart w:id="61" w:name="_Hlk217553019"/>
      <w:r>
        <w:rPr>
          <w:rFonts w:hint="eastAsia"/>
        </w:rPr>
        <w:t xml:space="preserve">JGJ 450-2018 </w:t>
      </w:r>
      <w:bookmarkEnd w:id="61"/>
      <w:r>
        <w:rPr>
          <w:rFonts w:hint="eastAsia"/>
        </w:rPr>
        <w:t>老年人照料设施建筑设计标准</w:t>
      </w:r>
    </w:p>
    <w:p w14:paraId="4B7206F3">
      <w:pPr>
        <w:pStyle w:val="56"/>
        <w:ind w:firstLine="420"/>
      </w:pPr>
      <w:r>
        <w:rPr>
          <w:rFonts w:hint="eastAsia"/>
        </w:rPr>
        <w:t>MZ/T 131 养老服务常用图形符号及标志</w:t>
      </w:r>
    </w:p>
    <w:p w14:paraId="73877708">
      <w:pPr>
        <w:pStyle w:val="56"/>
        <w:ind w:firstLine="420"/>
      </w:pPr>
      <w:r>
        <w:rPr>
          <w:rFonts w:hint="eastAsia"/>
        </w:rPr>
        <w:t xml:space="preserve">MZ/T 174 养老机构康复辅助器具基本配置 </w:t>
      </w:r>
    </w:p>
    <w:p w14:paraId="687AEBFB">
      <w:pPr>
        <w:pStyle w:val="104"/>
        <w:spacing w:before="312" w:after="312"/>
      </w:pPr>
      <w:bookmarkStart w:id="62" w:name="_Toc225438867"/>
      <w:bookmarkStart w:id="63" w:name="_Toc20264"/>
      <w:bookmarkStart w:id="64" w:name="_Toc225438821"/>
      <w:bookmarkStart w:id="65" w:name="_Toc97191425"/>
      <w:bookmarkStart w:id="66" w:name="_Toc217658486"/>
      <w:bookmarkStart w:id="67" w:name="_Toc217658269"/>
      <w:r>
        <w:rPr>
          <w:rFonts w:hint="eastAsia"/>
          <w:szCs w:val="21"/>
        </w:rPr>
        <w:t>术语和定义</w:t>
      </w:r>
      <w:bookmarkEnd w:id="62"/>
      <w:bookmarkEnd w:id="63"/>
      <w:bookmarkEnd w:id="64"/>
      <w:bookmarkEnd w:id="65"/>
      <w:bookmarkEnd w:id="66"/>
      <w:bookmarkEnd w:id="67"/>
    </w:p>
    <w:sdt>
      <w:sdtPr>
        <w:id w:val="-1909835108"/>
        <w:placeholder>
          <w:docPart w:val="F53DBA58346D4E1C9173C27DDFBBF91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80928B4">
          <w:pPr>
            <w:pStyle w:val="56"/>
            <w:ind w:firstLine="420"/>
          </w:pPr>
          <w:bookmarkStart w:id="68" w:name="_Toc26986532"/>
          <w:bookmarkEnd w:id="68"/>
          <w:r>
            <w:t>下列术语和定义适用于本文件。</w:t>
          </w:r>
        </w:p>
      </w:sdtContent>
    </w:sdt>
    <w:p w14:paraId="65E3B20F">
      <w:pPr>
        <w:pStyle w:val="223"/>
        <w:ind w:left="420" w:hanging="420" w:hangingChars="200"/>
        <w:rPr>
          <w:rFonts w:ascii="黑体" w:hAnsi="黑体" w:eastAsia="黑体"/>
        </w:rPr>
      </w:pPr>
    </w:p>
    <w:p w14:paraId="0D589646">
      <w:pPr>
        <w:pStyle w:val="223"/>
        <w:numPr>
          <w:ilvl w:val="0"/>
          <w:numId w:val="0"/>
        </w:numPr>
        <w:ind w:left="420"/>
        <w:rPr>
          <w:rFonts w:ascii="黑体" w:hAnsi="黑体" w:eastAsia="黑体"/>
        </w:rPr>
      </w:pPr>
      <w:r>
        <w:rPr>
          <w:rFonts w:hint="eastAsia" w:ascii="黑体" w:hAnsi="黑体" w:eastAsia="黑体"/>
        </w:rPr>
        <w:t>防游走回路 anti-wandering loop path</w:t>
      </w:r>
    </w:p>
    <w:p w14:paraId="0ED9CF1F">
      <w:pPr>
        <w:pStyle w:val="56"/>
        <w:ind w:firstLine="420"/>
      </w:pPr>
      <w:r>
        <w:rPr>
          <w:rFonts w:hint="eastAsia"/>
        </w:rPr>
        <w:t>为降低老年人走失风险，在养老机构室内或室外设置的方便老年人游走时折返或可连续行进的闭环路径。</w:t>
      </w:r>
    </w:p>
    <w:p w14:paraId="75CCFFC5">
      <w:pPr>
        <w:pStyle w:val="104"/>
        <w:spacing w:before="312" w:after="312"/>
      </w:pPr>
      <w:bookmarkStart w:id="69" w:name="_Toc217658270"/>
      <w:bookmarkStart w:id="70" w:name="_Toc225438868"/>
      <w:bookmarkStart w:id="71" w:name="_Toc217658487"/>
      <w:bookmarkStart w:id="72" w:name="_Toc225438822"/>
      <w:bookmarkStart w:id="73" w:name="_Toc4010"/>
      <w:r>
        <w:t>总体原则</w:t>
      </w:r>
      <w:bookmarkEnd w:id="69"/>
      <w:bookmarkEnd w:id="70"/>
      <w:bookmarkEnd w:id="71"/>
      <w:bookmarkEnd w:id="72"/>
      <w:bookmarkEnd w:id="73"/>
    </w:p>
    <w:p w14:paraId="3BEC6065">
      <w:pPr>
        <w:pStyle w:val="162"/>
      </w:pPr>
      <w:r>
        <w:t>安全优先，</w:t>
      </w:r>
      <w:r>
        <w:rPr>
          <w:rFonts w:hint="eastAsia"/>
        </w:rPr>
        <w:t>控制</w:t>
      </w:r>
      <w:r>
        <w:t>风险</w:t>
      </w:r>
      <w:r>
        <w:rPr>
          <w:rFonts w:hint="eastAsia"/>
        </w:rPr>
        <w:t>。保障老年人身心安全，在场所建设中充分考虑老年人在各种活动中可能出现的风险，并通过合理的规划建设加以控制。</w:t>
      </w:r>
    </w:p>
    <w:p w14:paraId="407ACC57">
      <w:pPr>
        <w:pStyle w:val="162"/>
      </w:pPr>
      <w:r>
        <w:rPr>
          <w:rFonts w:hint="eastAsia"/>
        </w:rPr>
        <w:t>相对稳定</w:t>
      </w:r>
      <w:r>
        <w:t>，减少激越</w:t>
      </w:r>
      <w:r>
        <w:rPr>
          <w:rFonts w:hint="eastAsia"/>
        </w:rPr>
        <w:t>。为老年人营造相对稳定的居住、生活和活动环境，减少老年人因环境变化造成的激越。</w:t>
      </w:r>
    </w:p>
    <w:p w14:paraId="265A7A2D">
      <w:pPr>
        <w:pStyle w:val="162"/>
      </w:pPr>
      <w:r>
        <w:rPr>
          <w:rFonts w:hint="eastAsia"/>
        </w:rPr>
        <w:t>醒目便捷，便于使用</w:t>
      </w:r>
      <w:r>
        <w:t>。</w:t>
      </w:r>
      <w:r>
        <w:rPr>
          <w:rFonts w:hint="eastAsia"/>
        </w:rPr>
        <w:t>标识设计及设置易于识别，通道路线到达方便，设施设备使用方法简单。</w:t>
      </w:r>
    </w:p>
    <w:p w14:paraId="1534CA12">
      <w:pPr>
        <w:pStyle w:val="104"/>
        <w:spacing w:before="312" w:after="312"/>
      </w:pPr>
      <w:bookmarkStart w:id="74" w:name="_Toc217658489"/>
      <w:bookmarkStart w:id="75" w:name="_Toc225438823"/>
      <w:bookmarkStart w:id="76" w:name="_Toc217658272"/>
      <w:bookmarkStart w:id="77" w:name="_Toc225438869"/>
      <w:bookmarkStart w:id="78" w:name="_Toc4741"/>
      <w:r>
        <w:rPr>
          <w:rFonts w:hint="eastAsia"/>
        </w:rPr>
        <w:t>通用</w:t>
      </w:r>
      <w:bookmarkEnd w:id="74"/>
      <w:bookmarkEnd w:id="75"/>
      <w:bookmarkEnd w:id="76"/>
      <w:bookmarkEnd w:id="77"/>
      <w:r>
        <w:rPr>
          <w:rFonts w:hint="eastAsia"/>
        </w:rPr>
        <w:t>要求</w:t>
      </w:r>
      <w:bookmarkEnd w:id="78"/>
    </w:p>
    <w:p w14:paraId="242DD468">
      <w:pPr>
        <w:pStyle w:val="162"/>
      </w:pPr>
      <w:r>
        <w:rPr>
          <w:rFonts w:hint="eastAsia"/>
        </w:rPr>
        <w:t>选址与布局应符合JGJ 450-2018的要求。宜靠近社区公共服务设施与社区绿地或与开敞空间相邻，方便提供就近户外活动的条件。</w:t>
      </w:r>
    </w:p>
    <w:p w14:paraId="5510C76E">
      <w:pPr>
        <w:pStyle w:val="162"/>
      </w:pPr>
      <w:r>
        <w:rPr>
          <w:rFonts w:hint="eastAsia"/>
        </w:rPr>
        <w:t>交通空间布局和设置应符合GB/T 44714-2024中第8章的规定。平面布局、设施设备、物理环境和软装设计应符合</w:t>
      </w:r>
      <w:r>
        <w:t>GB/T 4471</w:t>
      </w:r>
      <w:r>
        <w:rPr>
          <w:rFonts w:hint="eastAsia"/>
        </w:rPr>
        <w:t>4-2024中第5章的规定。</w:t>
      </w:r>
    </w:p>
    <w:p w14:paraId="62B32072">
      <w:pPr>
        <w:pStyle w:val="162"/>
      </w:pPr>
      <w:r>
        <w:rPr>
          <w:rFonts w:hint="eastAsia"/>
        </w:rPr>
        <w:t>各功能区域应满足如下要求：</w:t>
      </w:r>
    </w:p>
    <w:p w14:paraId="4A67F634">
      <w:pPr>
        <w:pStyle w:val="132"/>
      </w:pPr>
      <w:r>
        <w:rPr>
          <w:rFonts w:hint="eastAsia"/>
        </w:rPr>
        <w:t>相关区域、道路等应设置符合MZ/T 131要求的相关标志，宜</w:t>
      </w:r>
      <w:r>
        <w:t>采用简洁、大尺寸、高对比的图形符号</w:t>
      </w:r>
      <w:r>
        <w:rPr>
          <w:rFonts w:hint="eastAsia"/>
        </w:rPr>
        <w:t>设置适宜的提示信息。</w:t>
      </w:r>
      <w:r>
        <w:t>关键信息</w:t>
      </w:r>
      <w:r>
        <w:rPr>
          <w:rFonts w:hint="eastAsia"/>
        </w:rPr>
        <w:t>应</w:t>
      </w:r>
      <w:r>
        <w:t>同时配有文字，文字与背景对比明显。</w:t>
      </w:r>
    </w:p>
    <w:p w14:paraId="40C408D6">
      <w:pPr>
        <w:pStyle w:val="132"/>
      </w:pPr>
      <w:r>
        <w:rPr>
          <w:rFonts w:hint="eastAsia"/>
        </w:rPr>
        <w:t>家具及墙体阳角应做圆角或进行防撞处理，活动区域避免裸露尖锐构件。</w:t>
      </w:r>
    </w:p>
    <w:p w14:paraId="76A39109">
      <w:pPr>
        <w:pStyle w:val="132"/>
      </w:pPr>
      <w:r>
        <w:rPr>
          <w:rFonts w:hint="eastAsia"/>
        </w:rPr>
        <w:t>地面材料应平整、反光度低，不宜使用小规格高对比拼花，应采用防滑材料，防滑等级应符合</w:t>
      </w:r>
      <w:bookmarkStart w:id="79" w:name="_Hlk225438773"/>
      <w:r>
        <w:rPr>
          <w:rFonts w:hint="eastAsia"/>
        </w:rPr>
        <w:t>JGJ 450-2018</w:t>
      </w:r>
      <w:bookmarkEnd w:id="79"/>
      <w:r>
        <w:rPr>
          <w:rFonts w:hint="eastAsia"/>
        </w:rPr>
        <w:t>中6.1.6的规定。</w:t>
      </w:r>
    </w:p>
    <w:p w14:paraId="051C1700">
      <w:pPr>
        <w:pStyle w:val="132"/>
      </w:pPr>
      <w:r>
        <w:t>导向色带或材质变化应连续设置，避免在走廊出现无提示的空白段</w:t>
      </w:r>
      <w:r>
        <w:rPr>
          <w:rFonts w:hint="eastAsia"/>
        </w:rPr>
        <w:t>，</w:t>
      </w:r>
      <w:r>
        <w:t>不宜设置方向箭头，可采用墙面连续木纹或色彩条引导</w:t>
      </w:r>
    </w:p>
    <w:p w14:paraId="62EE83E3">
      <w:pPr>
        <w:pStyle w:val="132"/>
      </w:pPr>
      <w:r>
        <w:rPr>
          <w:rFonts w:hint="eastAsia"/>
        </w:rPr>
        <w:t>所有外窗应有开启宽度限位措施。</w:t>
      </w:r>
    </w:p>
    <w:p w14:paraId="77B6782B">
      <w:pPr>
        <w:pStyle w:val="132"/>
      </w:pPr>
      <w:r>
        <w:rPr>
          <w:rFonts w:hint="eastAsia"/>
        </w:rPr>
        <w:t>应使用安全型电源插座，插座电回路应有防触电保护装置。</w:t>
      </w:r>
    </w:p>
    <w:p w14:paraId="55094AB0">
      <w:pPr>
        <w:pStyle w:val="132"/>
      </w:pPr>
      <w:r>
        <w:rPr>
          <w:rFonts w:hint="eastAsia"/>
        </w:rPr>
        <w:t>环境噪声、温度和湿度控制应符合JGJ 450-2018的规定。</w:t>
      </w:r>
    </w:p>
    <w:p w14:paraId="7E4F5B5B">
      <w:pPr>
        <w:pStyle w:val="132"/>
      </w:pPr>
      <w:r>
        <w:rPr>
          <w:rFonts w:hint="eastAsia"/>
        </w:rPr>
        <w:t>具备良好的自然通风条件。自然通风条件不好时，应设置新风或机械排风系统，确保换气量，宜设置可清洗过滤装置。</w:t>
      </w:r>
    </w:p>
    <w:p w14:paraId="3195CF4E">
      <w:pPr>
        <w:pStyle w:val="162"/>
      </w:pPr>
      <w:r>
        <w:rPr>
          <w:rFonts w:hint="eastAsia"/>
        </w:rPr>
        <w:t>进出口和通住室外的门应设置安全门禁系统，宜设置内侧开门延时装置。公共区域应安装监控摄像头。</w:t>
      </w:r>
    </w:p>
    <w:p w14:paraId="27987045">
      <w:pPr>
        <w:pStyle w:val="162"/>
      </w:pPr>
      <w:r>
        <w:rPr>
          <w:rFonts w:hint="eastAsia"/>
        </w:rPr>
        <w:t>老年人生活、活动的老年人居室、卫生间、洗浴间应配备紧急呼叫装置，紧急呼叫装置宜采用按钮和拉绳结合式。</w:t>
      </w:r>
    </w:p>
    <w:p w14:paraId="726B2FA0">
      <w:pPr>
        <w:pStyle w:val="162"/>
      </w:pPr>
      <w:r>
        <w:rPr>
          <w:rFonts w:hint="eastAsia"/>
        </w:rPr>
        <w:t>厨房、工具间等存放有安全风险物品的空间应上锁，防止老年人误入、误用。</w:t>
      </w:r>
    </w:p>
    <w:p w14:paraId="6D9AB9B6">
      <w:pPr>
        <w:pStyle w:val="104"/>
        <w:spacing w:before="312" w:after="312"/>
      </w:pPr>
      <w:bookmarkStart w:id="80" w:name="_Toc225438870"/>
      <w:bookmarkStart w:id="81" w:name="_Toc217658273"/>
      <w:bookmarkStart w:id="82" w:name="_Toc225438824"/>
      <w:bookmarkStart w:id="83" w:name="_Toc217658490"/>
      <w:bookmarkStart w:id="84" w:name="_Toc16257"/>
      <w:r>
        <w:rPr>
          <w:rFonts w:hint="eastAsia"/>
        </w:rPr>
        <w:t>居住空间</w:t>
      </w:r>
      <w:bookmarkEnd w:id="80"/>
      <w:bookmarkEnd w:id="81"/>
      <w:bookmarkEnd w:id="82"/>
      <w:bookmarkEnd w:id="83"/>
      <w:bookmarkEnd w:id="84"/>
    </w:p>
    <w:p w14:paraId="0E21CB0B">
      <w:pPr>
        <w:pStyle w:val="162"/>
      </w:pPr>
      <w:r>
        <w:rPr>
          <w:rFonts w:hint="eastAsia"/>
        </w:rPr>
        <w:t>宜设置单人间或小单元居住。</w:t>
      </w:r>
    </w:p>
    <w:p w14:paraId="0207AA69">
      <w:pPr>
        <w:pStyle w:val="162"/>
      </w:pPr>
      <w:r>
        <w:rPr>
          <w:rFonts w:hint="eastAsia"/>
        </w:rPr>
        <w:t>多人间不同床单元之间宜有物理分隔和视觉区分。</w:t>
      </w:r>
    </w:p>
    <w:p w14:paraId="47E4958C">
      <w:pPr>
        <w:pStyle w:val="162"/>
      </w:pPr>
      <w:r>
        <w:rPr>
          <w:rFonts w:hint="eastAsia"/>
        </w:rPr>
        <w:t>房间内的床位及其他家具的布置摆放应便于老年人的起居活动和照护需求。</w:t>
      </w:r>
    </w:p>
    <w:p w14:paraId="6E9B734A">
      <w:pPr>
        <w:pStyle w:val="162"/>
      </w:pPr>
      <w:r>
        <w:rPr>
          <w:rFonts w:hint="eastAsia"/>
        </w:rPr>
        <w:t>橱柜门和抽屉应方便开启和关闭，宜划分独立的物品分类摆放空间，设置明显标识，引导老年人识别自己的物品。</w:t>
      </w:r>
    </w:p>
    <w:p w14:paraId="3920BB71">
      <w:pPr>
        <w:pStyle w:val="162"/>
      </w:pPr>
      <w:r>
        <w:rPr>
          <w:rFonts w:hint="eastAsia"/>
        </w:rPr>
        <w:t>房间门应有可视窗口，宜采用双向开门方式并标识开启方向。门的开启净宽不应小于0.8m,护理型床位居室门的开启净宽不应小于1.10m。</w:t>
      </w:r>
    </w:p>
    <w:p w14:paraId="5BF6FAF3">
      <w:pPr>
        <w:pStyle w:val="162"/>
      </w:pPr>
      <w:r>
        <w:rPr>
          <w:rFonts w:hint="eastAsia"/>
        </w:rPr>
        <w:t>房间门或其周边墙面应设置易于老年人识别区分的明显标识。如：老年人的照片、不同颜色的装饰、老年人喜爱的饰物、不同的门号牌等。</w:t>
      </w:r>
    </w:p>
    <w:p w14:paraId="0C0AE70B">
      <w:pPr>
        <w:pStyle w:val="162"/>
      </w:pPr>
      <w:r>
        <w:rPr>
          <w:rFonts w:hint="eastAsia"/>
        </w:rPr>
        <w:t>房间墙面宜选用柔和的浅色和哑光材质。</w:t>
      </w:r>
    </w:p>
    <w:p w14:paraId="2B559039">
      <w:pPr>
        <w:pStyle w:val="162"/>
      </w:pPr>
      <w:r>
        <w:rPr>
          <w:rFonts w:hint="eastAsia"/>
        </w:rPr>
        <w:t>房间不应放置和使用裸露或无安全保护装置的加热器，不应设置配电箱。</w:t>
      </w:r>
    </w:p>
    <w:p w14:paraId="025C3C75">
      <w:pPr>
        <w:pStyle w:val="104"/>
        <w:spacing w:before="312" w:after="312"/>
      </w:pPr>
      <w:bookmarkStart w:id="85" w:name="_Toc217658491"/>
      <w:bookmarkStart w:id="86" w:name="_Toc225438871"/>
      <w:bookmarkStart w:id="87" w:name="_Toc225438825"/>
      <w:bookmarkStart w:id="88" w:name="_Toc20438"/>
      <w:bookmarkStart w:id="89" w:name="_Toc217658274"/>
      <w:r>
        <w:rPr>
          <w:rFonts w:hint="eastAsia"/>
        </w:rPr>
        <w:t>卫浴空间</w:t>
      </w:r>
      <w:bookmarkEnd w:id="85"/>
      <w:bookmarkEnd w:id="86"/>
      <w:bookmarkEnd w:id="87"/>
      <w:bookmarkEnd w:id="88"/>
      <w:bookmarkEnd w:id="89"/>
    </w:p>
    <w:p w14:paraId="00CE55EC">
      <w:pPr>
        <w:pStyle w:val="162"/>
      </w:pPr>
      <w:r>
        <w:rPr>
          <w:rFonts w:hint="eastAsia"/>
        </w:rPr>
        <w:t>卫生间与洗浴间应设置明显、易区分的标识，宜在多方向设置明显导向标识，便于寻找和到达。宜设置提示洗漱、如厕流程的图文信息。公共卫生间、公共洗浴间宜提供使用状态标识。</w:t>
      </w:r>
    </w:p>
    <w:p w14:paraId="40D54E45">
      <w:pPr>
        <w:pStyle w:val="162"/>
      </w:pPr>
      <w:r>
        <w:rPr>
          <w:rFonts w:hint="eastAsia"/>
        </w:rPr>
        <w:t>卫生间与洗浴间应满足通行和安全需求，如安装可双向开启门锁、</w:t>
      </w:r>
      <w:r>
        <w:t>避免内外部、内部各功能区之间的地面高差</w:t>
      </w:r>
      <w:r>
        <w:rPr>
          <w:rFonts w:hint="eastAsia"/>
        </w:rPr>
        <w:t>等。</w:t>
      </w:r>
    </w:p>
    <w:p w14:paraId="4CF1046D">
      <w:pPr>
        <w:pStyle w:val="162"/>
      </w:pPr>
      <w:r>
        <w:rPr>
          <w:rFonts w:hint="eastAsia"/>
        </w:rPr>
        <w:t>公共卫生间应设置独立厕位，宜实行男女分区。</w:t>
      </w:r>
    </w:p>
    <w:p w14:paraId="32DAFDDD">
      <w:pPr>
        <w:pStyle w:val="162"/>
      </w:pPr>
      <w:r>
        <w:rPr>
          <w:rFonts w:hint="eastAsia"/>
        </w:rPr>
        <w:t>居室卫生间及坐便器的位置应便于视线直接看到或设有明显导向标识。</w:t>
      </w:r>
    </w:p>
    <w:p w14:paraId="7744E406">
      <w:pPr>
        <w:pStyle w:val="162"/>
        <w:rPr>
          <w:rFonts w:ascii="黑体" w:eastAsia="黑体"/>
        </w:rPr>
      </w:pPr>
      <w:r>
        <w:rPr>
          <w:rFonts w:hint="eastAsia"/>
        </w:rPr>
        <w:t>公共洗浴间应留有至少两名工作人员同时进行操作的空间。</w:t>
      </w:r>
    </w:p>
    <w:p w14:paraId="056C564D">
      <w:pPr>
        <w:pStyle w:val="162"/>
      </w:pPr>
      <w:r>
        <w:rPr>
          <w:rFonts w:hint="eastAsia"/>
        </w:rPr>
        <w:t>公共洗浴间浴位之间应相对独立或安装遮挡浴帘，门口应安装隔帘，避免开门时外部视线贯穿。</w:t>
      </w:r>
    </w:p>
    <w:p w14:paraId="1E3D7BD1">
      <w:pPr>
        <w:pStyle w:val="162"/>
      </w:pPr>
      <w:r>
        <w:rPr>
          <w:rFonts w:hint="eastAsia"/>
        </w:rPr>
        <w:t>宜配置使用简单，易于辨识、方便清洁的坐便器、面盆等卫具、洁具。</w:t>
      </w:r>
    </w:p>
    <w:p w14:paraId="553E2893">
      <w:pPr>
        <w:pStyle w:val="162"/>
        <w:rPr>
          <w:rFonts w:ascii="黑体" w:eastAsia="黑体"/>
        </w:rPr>
      </w:pPr>
      <w:r>
        <w:rPr>
          <w:rFonts w:hint="eastAsia"/>
        </w:rPr>
        <w:t>宜配置易于易于辨识、操作简单的水龙头、花洒、把手等五金配件。水龙头宜设置恒温或限高温装置。</w:t>
      </w:r>
    </w:p>
    <w:p w14:paraId="7BFB86F4">
      <w:pPr>
        <w:pStyle w:val="104"/>
        <w:spacing w:before="312" w:after="312"/>
      </w:pPr>
      <w:bookmarkStart w:id="90" w:name="_Toc225438826"/>
      <w:bookmarkStart w:id="91" w:name="_Toc225438872"/>
      <w:bookmarkStart w:id="92" w:name="_Toc28974"/>
      <w:bookmarkStart w:id="93" w:name="_Toc217658492"/>
      <w:bookmarkStart w:id="94" w:name="_Toc217658275"/>
      <w:r>
        <w:rPr>
          <w:rFonts w:hint="eastAsia"/>
        </w:rPr>
        <w:t>餐饮空间</w:t>
      </w:r>
      <w:bookmarkEnd w:id="90"/>
      <w:bookmarkEnd w:id="91"/>
      <w:bookmarkEnd w:id="92"/>
      <w:bookmarkEnd w:id="93"/>
      <w:bookmarkEnd w:id="94"/>
    </w:p>
    <w:p w14:paraId="14E66F8D">
      <w:pPr>
        <w:pStyle w:val="162"/>
      </w:pPr>
      <w:r>
        <w:rPr>
          <w:rFonts w:hint="eastAsia"/>
        </w:rPr>
        <w:t>宜设置小规模的家庭化餐厅，餐厅宜为相对独立的开放式区域，位置明显、易找。</w:t>
      </w:r>
    </w:p>
    <w:p w14:paraId="4E3C8D40">
      <w:pPr>
        <w:pStyle w:val="162"/>
      </w:pPr>
      <w:r>
        <w:rPr>
          <w:rFonts w:hint="eastAsia"/>
        </w:rPr>
        <w:t>宜在餐厅设置开放式的备餐区或操作台，鼓励老年人参与力所能及的备餐操作或餐后清理。</w:t>
      </w:r>
    </w:p>
    <w:p w14:paraId="4371BAD2">
      <w:pPr>
        <w:pStyle w:val="162"/>
      </w:pPr>
      <w:r>
        <w:rPr>
          <w:rFonts w:hint="eastAsia"/>
        </w:rPr>
        <w:t>宜配置微波炉、电饭煲、冰箱、饮水机、清毒柜等日用电器。</w:t>
      </w:r>
    </w:p>
    <w:p w14:paraId="43CDD23D">
      <w:pPr>
        <w:pStyle w:val="162"/>
      </w:pPr>
      <w:r>
        <w:rPr>
          <w:rFonts w:hint="eastAsia"/>
        </w:rPr>
        <w:t>应设置充足的餐位，餐桌宜多样化且组合灵活，可满足老年人单独用餐和集体用餐的需求。</w:t>
      </w:r>
    </w:p>
    <w:p w14:paraId="7310301C">
      <w:pPr>
        <w:pStyle w:val="162"/>
      </w:pPr>
      <w:r>
        <w:rPr>
          <w:rFonts w:hint="eastAsia"/>
        </w:rPr>
        <w:t>餐厅墙面、餐桌椅、橱柜、操作台色彩搭配应协调且形成对比。桌面、餐垫、餐具的颜色宜选用便于老年人区分的对比色。</w:t>
      </w:r>
    </w:p>
    <w:p w14:paraId="73B34885">
      <w:pPr>
        <w:pStyle w:val="162"/>
      </w:pPr>
      <w:r>
        <w:rPr>
          <w:rFonts w:hint="eastAsia"/>
        </w:rPr>
        <w:t>餐桌台面宜选择不会反光的材料。</w:t>
      </w:r>
    </w:p>
    <w:p w14:paraId="67421BDA">
      <w:pPr>
        <w:pStyle w:val="162"/>
      </w:pPr>
      <w:r>
        <w:rPr>
          <w:rFonts w:hint="eastAsia"/>
        </w:rPr>
        <w:t>橱柜宜设置部分开放格摆放餐具鼓励老年人自主取用，有柜门时应在柜门表面配置相应的图文标识。</w:t>
      </w:r>
    </w:p>
    <w:p w14:paraId="1426B0E7">
      <w:pPr>
        <w:pStyle w:val="162"/>
      </w:pPr>
      <w:r>
        <w:rPr>
          <w:rFonts w:hint="eastAsia"/>
        </w:rPr>
        <w:t>餐饮具材质应安全、轻便、防摔、防滑，易握持，应无破损、锐边、尖头和毛刺等 。</w:t>
      </w:r>
    </w:p>
    <w:p w14:paraId="288BE39E">
      <w:pPr>
        <w:pStyle w:val="104"/>
        <w:spacing w:before="312" w:after="312"/>
      </w:pPr>
      <w:bookmarkStart w:id="95" w:name="_Toc217658493"/>
      <w:bookmarkStart w:id="96" w:name="_Toc225438873"/>
      <w:bookmarkStart w:id="97" w:name="_Toc225438827"/>
      <w:bookmarkStart w:id="98" w:name="_Toc3473"/>
      <w:bookmarkStart w:id="99" w:name="_Toc217658276"/>
      <w:r>
        <w:rPr>
          <w:rFonts w:hint="eastAsia"/>
        </w:rPr>
        <w:t>活动空间</w:t>
      </w:r>
      <w:bookmarkEnd w:id="95"/>
      <w:bookmarkEnd w:id="96"/>
      <w:bookmarkEnd w:id="97"/>
      <w:bookmarkEnd w:id="98"/>
      <w:bookmarkEnd w:id="99"/>
    </w:p>
    <w:p w14:paraId="0554EB0D">
      <w:pPr>
        <w:pStyle w:val="162"/>
      </w:pPr>
      <w:r>
        <w:rPr>
          <w:rFonts w:hint="eastAsia"/>
        </w:rPr>
        <w:t>应提供阅读、手工、观影、游戏等室内活动空间或区域，宜提供健身、园艺、休闲、社交等室外活动空间或区域，以满足老年人多元化喜好与需求。</w:t>
      </w:r>
    </w:p>
    <w:p w14:paraId="574C36E3">
      <w:pPr>
        <w:pStyle w:val="162"/>
      </w:pPr>
      <w:r>
        <w:rPr>
          <w:rFonts w:hint="eastAsia"/>
        </w:rPr>
        <w:t>活动空间与场地宜满足以下要求：</w:t>
      </w:r>
    </w:p>
    <w:p w14:paraId="11E53C9E">
      <w:pPr>
        <w:pStyle w:val="132"/>
      </w:pPr>
      <w:r>
        <w:rPr>
          <w:rFonts w:hint="eastAsia"/>
        </w:rPr>
        <w:t>布局宜满足老年人不同规模活动与层次的社交需求。</w:t>
      </w:r>
    </w:p>
    <w:p w14:paraId="51B4CBD0">
      <w:pPr>
        <w:pStyle w:val="132"/>
      </w:pPr>
      <w:r>
        <w:rPr>
          <w:rFonts w:hint="eastAsia"/>
        </w:rPr>
        <w:t>装饰风格宜具有熟悉感与亲切感。不同活动区域的装饰风格宜各具特色且有所区别，并配设图文标识说明活动内容与功能。</w:t>
      </w:r>
    </w:p>
    <w:p w14:paraId="62D8EA8E">
      <w:pPr>
        <w:pStyle w:val="132"/>
      </w:pPr>
      <w:r>
        <w:rPr>
          <w:rFonts w:hint="eastAsia"/>
        </w:rPr>
        <w:t>宜动静分区，为喜欢安静或需要独处的老年人提供相对独立的区域。</w:t>
      </w:r>
    </w:p>
    <w:p w14:paraId="707B544C">
      <w:pPr>
        <w:pStyle w:val="132"/>
      </w:pPr>
      <w:r>
        <w:rPr>
          <w:rFonts w:hint="eastAsia"/>
        </w:rPr>
        <w:t>宜摆放多种类型与组合的坐具，坐具应安全、稳固。</w:t>
      </w:r>
    </w:p>
    <w:p w14:paraId="3CC7A08A">
      <w:pPr>
        <w:pStyle w:val="132"/>
      </w:pPr>
      <w:r>
        <w:rPr>
          <w:rFonts w:hint="eastAsia"/>
        </w:rPr>
        <w:t>宜配置多种类型的文化娱乐设施与用具，满足老年人的不同兴趣爱好，并支持非药物干预的实施。</w:t>
      </w:r>
    </w:p>
    <w:p w14:paraId="52B630F7">
      <w:pPr>
        <w:pStyle w:val="132"/>
      </w:pPr>
      <w:r>
        <w:rPr>
          <w:rFonts w:hint="eastAsia"/>
        </w:rPr>
        <w:t>宜摆放绿植或播放适宜的音乐或影像，宜提供与动、植物的接触互动，可设置康复景观，强化活动空间内的疗愈性元素。</w:t>
      </w:r>
    </w:p>
    <w:p w14:paraId="69E08F3F">
      <w:pPr>
        <w:pStyle w:val="132"/>
      </w:pPr>
      <w:r>
        <w:rPr>
          <w:rFonts w:hint="eastAsia"/>
        </w:rPr>
        <w:t>宜设置显示当前季节及节庆日的图片及装饰物、大尺寸大数字时钟等明显的时间线索。</w:t>
      </w:r>
    </w:p>
    <w:p w14:paraId="57D4E815">
      <w:pPr>
        <w:pStyle w:val="132"/>
      </w:pPr>
      <w:r>
        <w:rPr>
          <w:rFonts w:hint="eastAsia"/>
        </w:rPr>
        <w:t>宜设置明显且方便取用的活动物品储物柜或收纳箱，设置标识提示内置的物品与使用方法，方便老年人发现与使用。</w:t>
      </w:r>
    </w:p>
    <w:p w14:paraId="3F748268">
      <w:pPr>
        <w:pStyle w:val="162"/>
      </w:pPr>
      <w:r>
        <w:rPr>
          <w:rFonts w:hint="eastAsia"/>
        </w:rPr>
        <w:t>活动空间内主要公共活动空间宜相对集中，且之间宜彼此相邻或连通。室内公共活动空间宜集中置在同一楼层。</w:t>
      </w:r>
    </w:p>
    <w:p w14:paraId="469FA4A3">
      <w:pPr>
        <w:pStyle w:val="162"/>
      </w:pPr>
      <w:r>
        <w:rPr>
          <w:rFonts w:hint="eastAsia"/>
        </w:rPr>
        <w:t>连通室内外的出入口位置宜通过建筑造型或标识加以凸显。设有多处出入口时，不同出入口宜设置不同的色彩或标识，便于老年人找到返回的路线。</w:t>
      </w:r>
    </w:p>
    <w:p w14:paraId="0CABE633">
      <w:pPr>
        <w:pStyle w:val="162"/>
      </w:pPr>
      <w:r>
        <w:rPr>
          <w:rFonts w:hint="eastAsia"/>
        </w:rPr>
        <w:t>宜在面积较大的活动空间设置防游走回路，并设置提示方向和位置标识。</w:t>
      </w:r>
    </w:p>
    <w:p w14:paraId="4DAF00C0">
      <w:pPr>
        <w:pStyle w:val="162"/>
      </w:pPr>
      <w:r>
        <w:rPr>
          <w:rFonts w:hint="eastAsia"/>
        </w:rPr>
        <w:t>宜设置风雨连廊、阳光房、廊架、配遮阳伞的休憩座椅等设施，方便老年人在不同天气下进行室外活动。</w:t>
      </w:r>
    </w:p>
    <w:p w14:paraId="31E36EE1">
      <w:pPr>
        <w:pStyle w:val="162"/>
      </w:pPr>
      <w:r>
        <w:rPr>
          <w:rFonts w:hint="eastAsia"/>
        </w:rPr>
        <w:t>室外活动空间宜满足以下要求，</w:t>
      </w:r>
    </w:p>
    <w:p w14:paraId="1BE089E5">
      <w:pPr>
        <w:pStyle w:val="132"/>
      </w:pPr>
      <w:r>
        <w:rPr>
          <w:rFonts w:hint="eastAsia"/>
        </w:rPr>
        <w:t>采用围合形式，围挡应稳固且不宜攀爬。</w:t>
      </w:r>
    </w:p>
    <w:p w14:paraId="3B2D78A3">
      <w:pPr>
        <w:pStyle w:val="132"/>
      </w:pPr>
      <w:r>
        <w:rPr>
          <w:rFonts w:hint="eastAsia"/>
        </w:rPr>
        <w:t>步道或台阶宜边界清晰，方便老年人辨识，避免误踏。</w:t>
      </w:r>
    </w:p>
    <w:p w14:paraId="36C37DD2">
      <w:pPr>
        <w:pStyle w:val="132"/>
      </w:pPr>
      <w:r>
        <w:rPr>
          <w:rFonts w:hint="eastAsia"/>
        </w:rPr>
        <w:t>存在安全风险的设施设备，如：井盖、消防栓、管道、排水设施、配电设施、空调外机宜设有隔离防护装置，并做好隐藏化处理。</w:t>
      </w:r>
    </w:p>
    <w:p w14:paraId="55377FD8">
      <w:pPr>
        <w:pStyle w:val="104"/>
        <w:spacing w:before="312" w:after="312"/>
      </w:pPr>
      <w:bookmarkStart w:id="100" w:name="_Toc217658495"/>
      <w:bookmarkStart w:id="101" w:name="_Toc4312"/>
      <w:bookmarkStart w:id="102" w:name="_Toc225438828"/>
      <w:bookmarkStart w:id="103" w:name="_Toc217658278"/>
      <w:bookmarkStart w:id="104" w:name="_Toc225438874"/>
      <w:r>
        <w:rPr>
          <w:rFonts w:hint="eastAsia"/>
        </w:rPr>
        <w:t>康复空间</w:t>
      </w:r>
      <w:bookmarkEnd w:id="100"/>
      <w:bookmarkEnd w:id="101"/>
      <w:bookmarkEnd w:id="102"/>
      <w:bookmarkEnd w:id="103"/>
      <w:bookmarkEnd w:id="104"/>
    </w:p>
    <w:p w14:paraId="78C61B0C">
      <w:pPr>
        <w:pStyle w:val="162"/>
      </w:pPr>
      <w:r>
        <w:rPr>
          <w:rFonts w:hint="eastAsia"/>
        </w:rPr>
        <w:t>宜设置为老年人提供开展运动康复、认知训练、音乐疗愈等的康复空间。</w:t>
      </w:r>
    </w:p>
    <w:p w14:paraId="3191C268">
      <w:pPr>
        <w:pStyle w:val="162"/>
      </w:pPr>
      <w:r>
        <w:rPr>
          <w:rFonts w:hint="eastAsia"/>
        </w:rPr>
        <w:t>宜配置运动康复器材、认知训练用品、音乐播放等设施设备。</w:t>
      </w:r>
    </w:p>
    <w:p w14:paraId="02ABD53F">
      <w:pPr>
        <w:pStyle w:val="162"/>
      </w:pPr>
      <w:r>
        <w:rPr>
          <w:rFonts w:hint="eastAsia"/>
        </w:rPr>
        <w:t>康复训练器械的配置应符合GB 24436的相关要求。</w:t>
      </w:r>
    </w:p>
    <w:p w14:paraId="417309D3">
      <w:pPr>
        <w:pStyle w:val="162"/>
      </w:pPr>
      <w:r>
        <w:rPr>
          <w:rFonts w:hint="eastAsia"/>
        </w:rPr>
        <w:t>康复辅助器具配置可参考MZ/T 174的相关规定。</w:t>
      </w:r>
    </w:p>
    <w:p w14:paraId="23D5E784">
      <w:pPr>
        <w:pStyle w:val="162"/>
      </w:pPr>
      <w:r>
        <w:rPr>
          <w:rFonts w:hint="eastAsia"/>
        </w:rPr>
        <w:t>宜设置相对独立的心理咨询空间。</w:t>
      </w:r>
    </w:p>
    <w:p w14:paraId="5C6AC220">
      <w:pPr>
        <w:pStyle w:val="104"/>
        <w:spacing w:before="312" w:after="312"/>
      </w:pPr>
      <w:bookmarkStart w:id="105" w:name="_Toc12451"/>
      <w:r>
        <w:rPr>
          <w:rFonts w:hint="eastAsia"/>
        </w:rPr>
        <w:t>喘息空间</w:t>
      </w:r>
      <w:bookmarkEnd w:id="105"/>
    </w:p>
    <w:p w14:paraId="62DC9028">
      <w:pPr>
        <w:pStyle w:val="162"/>
      </w:pPr>
      <w:r>
        <w:t>应设置喘息空间,喘息空间应</w:t>
      </w:r>
      <w:r>
        <w:rPr>
          <w:rFonts w:hint="eastAsia"/>
        </w:rPr>
        <w:t>满足以下要求：</w:t>
      </w:r>
    </w:p>
    <w:p w14:paraId="2AA47002">
      <w:pPr>
        <w:pStyle w:val="132"/>
      </w:pPr>
      <w:r>
        <w:t>配置照护人员休息、放松所需的环境、家具、用品</w:t>
      </w:r>
      <w:r>
        <w:rPr>
          <w:rFonts w:hint="eastAsia"/>
        </w:rPr>
        <w:t>。</w:t>
      </w:r>
    </w:p>
    <w:p w14:paraId="4CD37C58">
      <w:pPr>
        <w:pStyle w:val="132"/>
      </w:pPr>
      <w:r>
        <w:t>隔音效果良好或配备隔音设备</w:t>
      </w:r>
      <w:r>
        <w:rPr>
          <w:rFonts w:hint="eastAsia"/>
        </w:rPr>
        <w:t>。</w:t>
      </w:r>
    </w:p>
    <w:p w14:paraId="02B86FAA">
      <w:pPr>
        <w:pStyle w:val="132"/>
      </w:pPr>
      <w:r>
        <w:t>保持与</w:t>
      </w:r>
      <w:r>
        <w:rPr>
          <w:rFonts w:hint="eastAsia"/>
        </w:rPr>
        <w:t>老年人</w:t>
      </w:r>
      <w:r>
        <w:t>及外界的通畅联络。</w:t>
      </w:r>
    </w:p>
    <w:p w14:paraId="60584AFE">
      <w:pPr>
        <w:pStyle w:val="162"/>
      </w:pPr>
      <w:r>
        <w:rPr>
          <w:rFonts w:hint="eastAsia"/>
        </w:rPr>
        <w:t>宜</w:t>
      </w:r>
      <w:r>
        <w:t>设置可供自然通风、采光的外窗或阳台;</w:t>
      </w:r>
    </w:p>
    <w:p w14:paraId="0E6C4022">
      <w:pPr>
        <w:pStyle w:val="162"/>
      </w:pPr>
      <w:r>
        <w:rPr>
          <w:rFonts w:hint="eastAsia"/>
        </w:rPr>
        <w:t>宜</w:t>
      </w:r>
      <w:r>
        <w:t>配置照护人员兴趣爱好所需的环境、家具用品。</w:t>
      </w:r>
    </w:p>
    <w:p w14:paraId="34693F5B">
      <w:pPr>
        <w:pStyle w:val="179"/>
      </w:pPr>
      <w:r>
        <w:t>充分享受阅读、绘画、乐器演奏、刺绣、书法、烘焙</w:t>
      </w:r>
      <w:r>
        <w:rPr>
          <w:rFonts w:hint="eastAsia"/>
        </w:rPr>
        <w:t>、</w:t>
      </w:r>
      <w:r>
        <w:t>园艺、摄影、冥想、瑜伽等兴趣爱好，能够帮助照护人员维持心理健康。</w:t>
      </w:r>
    </w:p>
    <w:p w14:paraId="4F0DA0A6">
      <w:pPr>
        <w:pStyle w:val="104"/>
        <w:spacing w:before="312" w:after="312"/>
      </w:pPr>
      <w:bookmarkStart w:id="106" w:name="_Toc31633"/>
      <w:bookmarkStart w:id="107" w:name="_Toc225438829"/>
      <w:bookmarkStart w:id="108" w:name="_Toc217658279"/>
      <w:bookmarkStart w:id="109" w:name="_Toc217658496"/>
      <w:bookmarkStart w:id="110" w:name="_Toc225438875"/>
      <w:r>
        <w:t>环境营造</w:t>
      </w:r>
      <w:bookmarkEnd w:id="106"/>
      <w:bookmarkEnd w:id="107"/>
      <w:bookmarkEnd w:id="108"/>
      <w:bookmarkEnd w:id="109"/>
      <w:bookmarkEnd w:id="110"/>
      <w:r>
        <w:t xml:space="preserve"> </w:t>
      </w:r>
    </w:p>
    <w:p w14:paraId="6F8E807C">
      <w:pPr>
        <w:pStyle w:val="162"/>
      </w:pPr>
      <w:r>
        <w:rPr>
          <w:rFonts w:hint="eastAsia"/>
        </w:rPr>
        <w:t>宜在建设规划时考虑色彩在方便认知障碍老年人生活、活动中的辅助作用，运用美工设计，合理配置场所内各功能区的颜色，形成与各功能区布局相协调的色彩环境。</w:t>
      </w:r>
    </w:p>
    <w:p w14:paraId="429375A3">
      <w:pPr>
        <w:pStyle w:val="162"/>
      </w:pPr>
      <w:r>
        <w:rPr>
          <w:rFonts w:hint="eastAsia"/>
        </w:rPr>
        <w:t>整体色彩应柔和，不使用复杂、易引发误解的色彩和/或图案，色彩应有利于营造温馨、宜居的环境氛围，宜以暖色调为主，如黄色和红色，避免使用蓝色和紫色。</w:t>
      </w:r>
    </w:p>
    <w:p w14:paraId="39062E18">
      <w:pPr>
        <w:pStyle w:val="179"/>
      </w:pPr>
      <w:r>
        <w:rPr>
          <w:rFonts w:hint="eastAsia"/>
        </w:rPr>
        <w:t>局部深色地面可能被认知症人群误认为凹陷、坑洞，密集花纹的窗帘可能被认知症人群误认为落虫。</w:t>
      </w:r>
    </w:p>
    <w:p w14:paraId="1408CFE0">
      <w:pPr>
        <w:pStyle w:val="162"/>
      </w:pPr>
      <w:r>
        <w:rPr>
          <w:rFonts w:hint="eastAsia"/>
        </w:rPr>
        <w:t>对关键构件（设施）与周围背景之间，如墙面、地面与家具之间、餐具与桌面之间、洁具设施及扶手和墙面、地面之间、居室和卫生间出入口、室外散步道边缘等，应保持足够色彩或亮度对比度，提高可识别性。</w:t>
      </w:r>
    </w:p>
    <w:p w14:paraId="6AE3BCB6">
      <w:pPr>
        <w:pStyle w:val="179"/>
      </w:pPr>
      <w:r>
        <w:rPr>
          <w:rFonts w:hint="eastAsia"/>
        </w:rPr>
        <w:t>采用色彩对比时，通常采取叠加纹理等方式帮助有色觉障碍的认知症人群识别关键信息。</w:t>
      </w:r>
    </w:p>
    <w:p w14:paraId="5068220B">
      <w:pPr>
        <w:pStyle w:val="162"/>
      </w:pPr>
      <w:r>
        <w:rPr>
          <w:rFonts w:hint="eastAsia"/>
        </w:rPr>
        <w:t>对不希望老年人使用的空间，如楼梯间出入口、清洁间、设备管井、电表箱等，宜降低色彩对比。</w:t>
      </w:r>
    </w:p>
    <w:p w14:paraId="23D54655">
      <w:pPr>
        <w:pStyle w:val="162"/>
      </w:pPr>
      <w:r>
        <w:rPr>
          <w:rFonts w:hint="eastAsia"/>
        </w:rPr>
        <w:t>应配有持续稳定、均匀充足的照明，</w:t>
      </w:r>
      <w:r>
        <w:t>充分利用天然采光，</w:t>
      </w:r>
      <w:r>
        <w:rPr>
          <w:rFonts w:hint="eastAsia"/>
        </w:rPr>
        <w:t>避免大面积阴影、暗区或眩光。</w:t>
      </w:r>
    </w:p>
    <w:p w14:paraId="7BA1E0DB">
      <w:pPr>
        <w:pStyle w:val="179"/>
      </w:pPr>
      <w:r>
        <w:rPr>
          <w:rFonts w:hint="eastAsia"/>
        </w:rPr>
        <w:t>灯具遮光角过小、亮度过高，室内材质反光等均易造成眩光。</w:t>
      </w:r>
    </w:p>
    <w:p w14:paraId="0BD887D4">
      <w:pPr>
        <w:pStyle w:val="162"/>
      </w:pPr>
      <w:r>
        <w:rPr>
          <w:rFonts w:hint="eastAsia"/>
        </w:rPr>
        <w:t>开关应带荧光指示或位于常亮位置，方便夜间寻找，宜能够分区、</w:t>
      </w:r>
      <w:r>
        <w:t>分组控制，以适应不同时间和场景下的使用及管理需求。</w:t>
      </w:r>
    </w:p>
    <w:p w14:paraId="38C43D2A">
      <w:pPr>
        <w:pStyle w:val="162"/>
      </w:pPr>
      <w:r>
        <w:t>不同空间中光照宜平缓过渡，避免强烈的明暗、色温差别。</w:t>
      </w:r>
    </w:p>
    <w:p w14:paraId="556A5BBA">
      <w:pPr>
        <w:pStyle w:val="162"/>
      </w:pPr>
      <w:r>
        <w:t>夜间走道</w:t>
      </w:r>
      <w:r>
        <w:rPr>
          <w:rFonts w:hint="eastAsia"/>
        </w:rPr>
        <w:t>应设置</w:t>
      </w:r>
      <w:r>
        <w:t>设低照度</w:t>
      </w:r>
      <w:r>
        <w:rPr>
          <w:rFonts w:hint="eastAsia"/>
        </w:rPr>
        <w:t>感应</w:t>
      </w:r>
      <w:r>
        <w:t>暖色夜灯，光源隐蔽，避免</w:t>
      </w:r>
      <w:r>
        <w:rPr>
          <w:rFonts w:hint="eastAsia"/>
        </w:rPr>
        <w:t>蓝</w:t>
      </w:r>
      <w:r>
        <w:t>光干扰睡眠</w:t>
      </w:r>
      <w:r>
        <w:rPr>
          <w:rFonts w:hint="eastAsia"/>
        </w:rPr>
        <w:t>。</w:t>
      </w:r>
      <w:bookmarkEnd w:id="28"/>
      <w:bookmarkStart w:id="111" w:name="BookMark5"/>
    </w:p>
    <w:p w14:paraId="2BA6599D">
      <w:pPr>
        <w:pStyle w:val="199"/>
        <w:rPr>
          <w:vanish w:val="0"/>
        </w:rPr>
      </w:pPr>
    </w:p>
    <w:bookmarkEnd w:id="111"/>
    <w:p w14:paraId="0612E368">
      <w:pPr>
        <w:pStyle w:val="56"/>
        <w:ind w:firstLine="0" w:firstLineChars="0"/>
        <w:jc w:val="center"/>
      </w:pPr>
      <w:bookmarkStart w:id="112" w:name="BookMark8"/>
      <w:r>
        <w:drawing>
          <wp:inline distT="0" distB="0" distL="0" distR="0">
            <wp:extent cx="1485900" cy="317500"/>
            <wp:effectExtent l="0" t="0" r="0" b="6350"/>
            <wp:docPr id="1411803438" name="图片 3"/>
            <wp:cNvGraphicFramePr/>
            <a:graphic xmlns:a="http://schemas.openxmlformats.org/drawingml/2006/main">
              <a:graphicData uri="http://schemas.openxmlformats.org/drawingml/2006/picture">
                <pic:pic xmlns:pic="http://schemas.openxmlformats.org/drawingml/2006/picture">
                  <pic:nvPicPr>
                    <pic:cNvPr id="1411803438" name="图片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2"/>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F43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9EA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FE37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7499B">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5853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0CF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95210">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3931">
    <w:pPr>
      <w:pStyle w:val="61"/>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FDF8">
    <w:pPr>
      <w:pStyle w:val="18"/>
      <w:jc w:val="right"/>
      <w:rPr>
        <w:lang w:val="fr-FR"/>
      </w:rPr>
    </w:pPr>
    <w:r>
      <w:fldChar w:fldCharType="begin"/>
    </w:r>
    <w:r>
      <w:instrText xml:space="preserve"> STYLEREF  标准文件_文件编号  \* MERGEFORMAT </w:instrText>
    </w:r>
    <w:r>
      <w:fldChar w:fldCharType="separate"/>
    </w:r>
    <w: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56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141"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An1pIH1Q7QBqEoqym+J96+bPFKZ6EyvvW+OaPcVJ8Z0NXHQ8O2qwcHybaf1BT9TKZ6JuU1dT2gGl&#10;DUPfqhb4vA=====" w:salt="yozQqPOitSeqllJKsx3C7g=="/>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06A"/>
    <w:rsid w:val="0000040A"/>
    <w:rsid w:val="00000A94"/>
    <w:rsid w:val="00001972"/>
    <w:rsid w:val="00001D9A"/>
    <w:rsid w:val="00007B3A"/>
    <w:rsid w:val="000107E0"/>
    <w:rsid w:val="00011FDE"/>
    <w:rsid w:val="00012D28"/>
    <w:rsid w:val="00012FFD"/>
    <w:rsid w:val="00014162"/>
    <w:rsid w:val="00014340"/>
    <w:rsid w:val="00016A9C"/>
    <w:rsid w:val="00022184"/>
    <w:rsid w:val="00022762"/>
    <w:rsid w:val="000238E0"/>
    <w:rsid w:val="000249DB"/>
    <w:rsid w:val="0002595E"/>
    <w:rsid w:val="00026A24"/>
    <w:rsid w:val="000303C3"/>
    <w:rsid w:val="000331D3"/>
    <w:rsid w:val="000346A5"/>
    <w:rsid w:val="000359C3"/>
    <w:rsid w:val="00035A7D"/>
    <w:rsid w:val="000365ED"/>
    <w:rsid w:val="0004249A"/>
    <w:rsid w:val="00043282"/>
    <w:rsid w:val="00044286"/>
    <w:rsid w:val="00047F28"/>
    <w:rsid w:val="000503AA"/>
    <w:rsid w:val="000506A1"/>
    <w:rsid w:val="000515DD"/>
    <w:rsid w:val="00051E02"/>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DF8"/>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EED"/>
    <w:rsid w:val="000E6244"/>
    <w:rsid w:val="000E6FD7"/>
    <w:rsid w:val="000E7519"/>
    <w:rsid w:val="000F06E1"/>
    <w:rsid w:val="000F0E3C"/>
    <w:rsid w:val="000F19D5"/>
    <w:rsid w:val="000F4AEA"/>
    <w:rsid w:val="000F633F"/>
    <w:rsid w:val="000F67E9"/>
    <w:rsid w:val="000F7692"/>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A96"/>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1F785E"/>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36224"/>
    <w:rsid w:val="00236AE3"/>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95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2A49"/>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71B"/>
    <w:rsid w:val="003B09AD"/>
    <w:rsid w:val="003B1F18"/>
    <w:rsid w:val="003B2F1E"/>
    <w:rsid w:val="003B5372"/>
    <w:rsid w:val="003B5BF0"/>
    <w:rsid w:val="003B60BF"/>
    <w:rsid w:val="003B6BE3"/>
    <w:rsid w:val="003C010C"/>
    <w:rsid w:val="003C0A6C"/>
    <w:rsid w:val="003C14F8"/>
    <w:rsid w:val="003C5A43"/>
    <w:rsid w:val="003D0519"/>
    <w:rsid w:val="003D0BEE"/>
    <w:rsid w:val="003D0FF6"/>
    <w:rsid w:val="003D262C"/>
    <w:rsid w:val="003D505F"/>
    <w:rsid w:val="003D6D61"/>
    <w:rsid w:val="003D6D9E"/>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45D"/>
    <w:rsid w:val="00404869"/>
    <w:rsid w:val="00405884"/>
    <w:rsid w:val="00407D39"/>
    <w:rsid w:val="0041477A"/>
    <w:rsid w:val="004167A3"/>
    <w:rsid w:val="00432DAA"/>
    <w:rsid w:val="00434305"/>
    <w:rsid w:val="00435DF7"/>
    <w:rsid w:val="0044083F"/>
    <w:rsid w:val="00440C95"/>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7D71"/>
    <w:rsid w:val="00481C44"/>
    <w:rsid w:val="00484936"/>
    <w:rsid w:val="00485C89"/>
    <w:rsid w:val="00486272"/>
    <w:rsid w:val="00486BE3"/>
    <w:rsid w:val="004905E4"/>
    <w:rsid w:val="00490A89"/>
    <w:rsid w:val="00490AB4"/>
    <w:rsid w:val="00492F02"/>
    <w:rsid w:val="004939AE"/>
    <w:rsid w:val="0049706A"/>
    <w:rsid w:val="00497455"/>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3EAE"/>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77F"/>
    <w:rsid w:val="00525B16"/>
    <w:rsid w:val="00525D65"/>
    <w:rsid w:val="0053364C"/>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BB3"/>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E26"/>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33B"/>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2F3A"/>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51D4"/>
    <w:rsid w:val="006D6593"/>
    <w:rsid w:val="006E23EA"/>
    <w:rsid w:val="006F03A8"/>
    <w:rsid w:val="006F2ACA"/>
    <w:rsid w:val="006F2ADC"/>
    <w:rsid w:val="006F2BFE"/>
    <w:rsid w:val="006F31E9"/>
    <w:rsid w:val="006F6284"/>
    <w:rsid w:val="007002C5"/>
    <w:rsid w:val="00702129"/>
    <w:rsid w:val="00704387"/>
    <w:rsid w:val="00707669"/>
    <w:rsid w:val="00711CBA"/>
    <w:rsid w:val="00711FB5"/>
    <w:rsid w:val="00712A01"/>
    <w:rsid w:val="00714F58"/>
    <w:rsid w:val="00722FBF"/>
    <w:rsid w:val="00722FC2"/>
    <w:rsid w:val="00724879"/>
    <w:rsid w:val="00724E1B"/>
    <w:rsid w:val="00724EB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D2C"/>
    <w:rsid w:val="00765C43"/>
    <w:rsid w:val="00765EFB"/>
    <w:rsid w:val="007671CA"/>
    <w:rsid w:val="00767C61"/>
    <w:rsid w:val="0077008A"/>
    <w:rsid w:val="00771331"/>
    <w:rsid w:val="00773C1F"/>
    <w:rsid w:val="00774DA4"/>
    <w:rsid w:val="00776599"/>
    <w:rsid w:val="0078114B"/>
    <w:rsid w:val="00781DD2"/>
    <w:rsid w:val="00783ECF"/>
    <w:rsid w:val="0078413A"/>
    <w:rsid w:val="007959E8"/>
    <w:rsid w:val="00795E9C"/>
    <w:rsid w:val="0079665D"/>
    <w:rsid w:val="007A0521"/>
    <w:rsid w:val="007A1EDC"/>
    <w:rsid w:val="007A2E12"/>
    <w:rsid w:val="007A3475"/>
    <w:rsid w:val="007A41C8"/>
    <w:rsid w:val="007A54CE"/>
    <w:rsid w:val="007A6FD9"/>
    <w:rsid w:val="007A7FFA"/>
    <w:rsid w:val="007B04EB"/>
    <w:rsid w:val="007B0D4F"/>
    <w:rsid w:val="007B5A3D"/>
    <w:rsid w:val="007B5B95"/>
    <w:rsid w:val="007B68EA"/>
    <w:rsid w:val="007B7453"/>
    <w:rsid w:val="007C007A"/>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506A"/>
    <w:rsid w:val="00810257"/>
    <w:rsid w:val="008104F5"/>
    <w:rsid w:val="00811072"/>
    <w:rsid w:val="00811369"/>
    <w:rsid w:val="00813C7B"/>
    <w:rsid w:val="00815419"/>
    <w:rsid w:val="008163C8"/>
    <w:rsid w:val="008164A1"/>
    <w:rsid w:val="00817325"/>
    <w:rsid w:val="008209E6"/>
    <w:rsid w:val="00823303"/>
    <w:rsid w:val="008233B2"/>
    <w:rsid w:val="00823A9F"/>
    <w:rsid w:val="00823C85"/>
    <w:rsid w:val="00825138"/>
    <w:rsid w:val="008269DD"/>
    <w:rsid w:val="00830621"/>
    <w:rsid w:val="00831175"/>
    <w:rsid w:val="0083348C"/>
    <w:rsid w:val="00834F58"/>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2E36"/>
    <w:rsid w:val="008A3215"/>
    <w:rsid w:val="008A57E6"/>
    <w:rsid w:val="008A5E3E"/>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F90"/>
    <w:rsid w:val="008F0CDC"/>
    <w:rsid w:val="008F17A3"/>
    <w:rsid w:val="008F1ED3"/>
    <w:rsid w:val="008F23A5"/>
    <w:rsid w:val="008F4C29"/>
    <w:rsid w:val="008F70BD"/>
    <w:rsid w:val="008F788F"/>
    <w:rsid w:val="008F7EA2"/>
    <w:rsid w:val="00902722"/>
    <w:rsid w:val="009027BC"/>
    <w:rsid w:val="009062E6"/>
    <w:rsid w:val="00910294"/>
    <w:rsid w:val="00911BE5"/>
    <w:rsid w:val="00913CA9"/>
    <w:rsid w:val="009145AE"/>
    <w:rsid w:val="009146CE"/>
    <w:rsid w:val="00914CA7"/>
    <w:rsid w:val="00914CE8"/>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806"/>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11D"/>
    <w:rsid w:val="009A5429"/>
    <w:rsid w:val="009A72AD"/>
    <w:rsid w:val="009B09E0"/>
    <w:rsid w:val="009B0BC5"/>
    <w:rsid w:val="009B1247"/>
    <w:rsid w:val="009B46F9"/>
    <w:rsid w:val="009B6029"/>
    <w:rsid w:val="009B6971"/>
    <w:rsid w:val="009B6D76"/>
    <w:rsid w:val="009C27F1"/>
    <w:rsid w:val="009C3152"/>
    <w:rsid w:val="009C4CFA"/>
    <w:rsid w:val="009C5070"/>
    <w:rsid w:val="009D112C"/>
    <w:rsid w:val="009D47FA"/>
    <w:rsid w:val="009D4C5B"/>
    <w:rsid w:val="009D50D2"/>
    <w:rsid w:val="009D6BCA"/>
    <w:rsid w:val="009E0F62"/>
    <w:rsid w:val="009E3509"/>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C62"/>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C82"/>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0854"/>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6BFB"/>
    <w:rsid w:val="00AF0C18"/>
    <w:rsid w:val="00AF47C5"/>
    <w:rsid w:val="00AF5398"/>
    <w:rsid w:val="00B049AF"/>
    <w:rsid w:val="00B07242"/>
    <w:rsid w:val="00B0731E"/>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1F72"/>
    <w:rsid w:val="00BA263B"/>
    <w:rsid w:val="00BA42B2"/>
    <w:rsid w:val="00BA58D4"/>
    <w:rsid w:val="00BA5B9E"/>
    <w:rsid w:val="00BA7C9A"/>
    <w:rsid w:val="00BB203B"/>
    <w:rsid w:val="00BB5F8F"/>
    <w:rsid w:val="00BB657A"/>
    <w:rsid w:val="00BC1A4E"/>
    <w:rsid w:val="00BC4790"/>
    <w:rsid w:val="00BC5DC7"/>
    <w:rsid w:val="00BC62DF"/>
    <w:rsid w:val="00BC6B8B"/>
    <w:rsid w:val="00BC73D8"/>
    <w:rsid w:val="00BD52D7"/>
    <w:rsid w:val="00BD5AD2"/>
    <w:rsid w:val="00BE22F3"/>
    <w:rsid w:val="00BE5B52"/>
    <w:rsid w:val="00BE7B8D"/>
    <w:rsid w:val="00BE7E02"/>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1507"/>
    <w:rsid w:val="00C6329F"/>
    <w:rsid w:val="00C63340"/>
    <w:rsid w:val="00C643F9"/>
    <w:rsid w:val="00C64E95"/>
    <w:rsid w:val="00C676E1"/>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107B"/>
    <w:rsid w:val="00CA1485"/>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46E"/>
    <w:rsid w:val="00CC5DE6"/>
    <w:rsid w:val="00CC6E4E"/>
    <w:rsid w:val="00CC6FE8"/>
    <w:rsid w:val="00CC7202"/>
    <w:rsid w:val="00CD1A71"/>
    <w:rsid w:val="00CD2808"/>
    <w:rsid w:val="00CD28BF"/>
    <w:rsid w:val="00CD4092"/>
    <w:rsid w:val="00CD4A20"/>
    <w:rsid w:val="00CD50A1"/>
    <w:rsid w:val="00CD519E"/>
    <w:rsid w:val="00CD561D"/>
    <w:rsid w:val="00CE0C4F"/>
    <w:rsid w:val="00CE30EA"/>
    <w:rsid w:val="00CF048A"/>
    <w:rsid w:val="00CF155A"/>
    <w:rsid w:val="00CF2947"/>
    <w:rsid w:val="00CF686F"/>
    <w:rsid w:val="00CF6D5D"/>
    <w:rsid w:val="00CF6E60"/>
    <w:rsid w:val="00CF7BCA"/>
    <w:rsid w:val="00D008FD"/>
    <w:rsid w:val="00D02B96"/>
    <w:rsid w:val="00D0321C"/>
    <w:rsid w:val="00D035EC"/>
    <w:rsid w:val="00D06AB1"/>
    <w:rsid w:val="00D072ED"/>
    <w:rsid w:val="00D07A16"/>
    <w:rsid w:val="00D1067E"/>
    <w:rsid w:val="00D10F50"/>
    <w:rsid w:val="00D11272"/>
    <w:rsid w:val="00D126F5"/>
    <w:rsid w:val="00D1441C"/>
    <w:rsid w:val="00D1489E"/>
    <w:rsid w:val="00D20737"/>
    <w:rsid w:val="00D21E81"/>
    <w:rsid w:val="00D223DE"/>
    <w:rsid w:val="00D25E37"/>
    <w:rsid w:val="00D2661A"/>
    <w:rsid w:val="00D27582"/>
    <w:rsid w:val="00D27EC4"/>
    <w:rsid w:val="00D32719"/>
    <w:rsid w:val="00D33333"/>
    <w:rsid w:val="00D33457"/>
    <w:rsid w:val="00D352A2"/>
    <w:rsid w:val="00D37B21"/>
    <w:rsid w:val="00D4162B"/>
    <w:rsid w:val="00D4514F"/>
    <w:rsid w:val="00D451E2"/>
    <w:rsid w:val="00D45E89"/>
    <w:rsid w:val="00D45E8D"/>
    <w:rsid w:val="00D466AE"/>
    <w:rsid w:val="00D4734F"/>
    <w:rsid w:val="00D51BF3"/>
    <w:rsid w:val="00D52BB6"/>
    <w:rsid w:val="00D66846"/>
    <w:rsid w:val="00D675FB"/>
    <w:rsid w:val="00D7170E"/>
    <w:rsid w:val="00D71F25"/>
    <w:rsid w:val="00D72A9C"/>
    <w:rsid w:val="00D77031"/>
    <w:rsid w:val="00D81049"/>
    <w:rsid w:val="00D84941"/>
    <w:rsid w:val="00D84FA1"/>
    <w:rsid w:val="00D851F0"/>
    <w:rsid w:val="00D86DB7"/>
    <w:rsid w:val="00D926D0"/>
    <w:rsid w:val="00D93030"/>
    <w:rsid w:val="00D950E1"/>
    <w:rsid w:val="00D952A6"/>
    <w:rsid w:val="00D968F7"/>
    <w:rsid w:val="00D97F99"/>
    <w:rsid w:val="00DA1E08"/>
    <w:rsid w:val="00DA24F8"/>
    <w:rsid w:val="00DA28E8"/>
    <w:rsid w:val="00DA38D3"/>
    <w:rsid w:val="00DA3932"/>
    <w:rsid w:val="00DA3AFC"/>
    <w:rsid w:val="00DA5191"/>
    <w:rsid w:val="00DA6221"/>
    <w:rsid w:val="00DA62CC"/>
    <w:rsid w:val="00DA64F8"/>
    <w:rsid w:val="00DA6C15"/>
    <w:rsid w:val="00DB0258"/>
    <w:rsid w:val="00DB38EE"/>
    <w:rsid w:val="00DB42F8"/>
    <w:rsid w:val="00DB498B"/>
    <w:rsid w:val="00DB66CA"/>
    <w:rsid w:val="00DB6BCA"/>
    <w:rsid w:val="00DB73F7"/>
    <w:rsid w:val="00DC0321"/>
    <w:rsid w:val="00DC3067"/>
    <w:rsid w:val="00DC370B"/>
    <w:rsid w:val="00DC5324"/>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684"/>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5738"/>
    <w:rsid w:val="00E502C1"/>
    <w:rsid w:val="00E502DD"/>
    <w:rsid w:val="00E50D3A"/>
    <w:rsid w:val="00E51387"/>
    <w:rsid w:val="00E51E68"/>
    <w:rsid w:val="00E52EFD"/>
    <w:rsid w:val="00E5408A"/>
    <w:rsid w:val="00E55148"/>
    <w:rsid w:val="00E551F1"/>
    <w:rsid w:val="00E56800"/>
    <w:rsid w:val="00E60C63"/>
    <w:rsid w:val="00E62FF9"/>
    <w:rsid w:val="00E635D6"/>
    <w:rsid w:val="00E639BC"/>
    <w:rsid w:val="00E664CC"/>
    <w:rsid w:val="00E70388"/>
    <w:rsid w:val="00E70F92"/>
    <w:rsid w:val="00E74C54"/>
    <w:rsid w:val="00E77A03"/>
    <w:rsid w:val="00E822E8"/>
    <w:rsid w:val="00E82554"/>
    <w:rsid w:val="00E82606"/>
    <w:rsid w:val="00E8416D"/>
    <w:rsid w:val="00E846C8"/>
    <w:rsid w:val="00E84957"/>
    <w:rsid w:val="00E84A55"/>
    <w:rsid w:val="00E85BFF"/>
    <w:rsid w:val="00E90391"/>
    <w:rsid w:val="00E906C2"/>
    <w:rsid w:val="00E9311F"/>
    <w:rsid w:val="00E934D1"/>
    <w:rsid w:val="00E94AF0"/>
    <w:rsid w:val="00E95D13"/>
    <w:rsid w:val="00E95DD3"/>
    <w:rsid w:val="00E969D5"/>
    <w:rsid w:val="00EA3EDF"/>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3CC"/>
    <w:rsid w:val="00F07B9D"/>
    <w:rsid w:val="00F11586"/>
    <w:rsid w:val="00F1183B"/>
    <w:rsid w:val="00F11C9F"/>
    <w:rsid w:val="00F12263"/>
    <w:rsid w:val="00F1409D"/>
    <w:rsid w:val="00F14214"/>
    <w:rsid w:val="00F157A9"/>
    <w:rsid w:val="00F25BB6"/>
    <w:rsid w:val="00F26B7E"/>
    <w:rsid w:val="00F27A3B"/>
    <w:rsid w:val="00F33817"/>
    <w:rsid w:val="00F41054"/>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909"/>
    <w:rsid w:val="00F71E22"/>
    <w:rsid w:val="00F72142"/>
    <w:rsid w:val="00F72AE7"/>
    <w:rsid w:val="00F73D95"/>
    <w:rsid w:val="00F81141"/>
    <w:rsid w:val="00F833BA"/>
    <w:rsid w:val="00F84B45"/>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1338"/>
    <w:rsid w:val="00FB231D"/>
    <w:rsid w:val="00FB45F1"/>
    <w:rsid w:val="00FB4A72"/>
    <w:rsid w:val="00FB54E8"/>
    <w:rsid w:val="00FB7054"/>
    <w:rsid w:val="00FC17B7"/>
    <w:rsid w:val="00FC2CB7"/>
    <w:rsid w:val="00FC3561"/>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AF0438"/>
    <w:rsid w:val="08CC4A1B"/>
    <w:rsid w:val="097A6225"/>
    <w:rsid w:val="1E2F362A"/>
    <w:rsid w:val="235D0380"/>
    <w:rsid w:val="25DF76E4"/>
    <w:rsid w:val="289A0D00"/>
    <w:rsid w:val="2BFF463C"/>
    <w:rsid w:val="2C7072E8"/>
    <w:rsid w:val="2CB06294"/>
    <w:rsid w:val="2CF9795E"/>
    <w:rsid w:val="2DCE2967"/>
    <w:rsid w:val="2E5B2E08"/>
    <w:rsid w:val="31496359"/>
    <w:rsid w:val="322A0DB1"/>
    <w:rsid w:val="329A645C"/>
    <w:rsid w:val="329D37FE"/>
    <w:rsid w:val="366B2BB0"/>
    <w:rsid w:val="3AA56888"/>
    <w:rsid w:val="3BE87899"/>
    <w:rsid w:val="3CB44FCF"/>
    <w:rsid w:val="42FE6612"/>
    <w:rsid w:val="44A43B7B"/>
    <w:rsid w:val="4C646910"/>
    <w:rsid w:val="4CDC1EC8"/>
    <w:rsid w:val="4E354BBD"/>
    <w:rsid w:val="4E4A7541"/>
    <w:rsid w:val="4FA26D3E"/>
    <w:rsid w:val="57AB01C0"/>
    <w:rsid w:val="5A721BD2"/>
    <w:rsid w:val="64BC23C3"/>
    <w:rsid w:val="65623A7D"/>
    <w:rsid w:val="667473F9"/>
    <w:rsid w:val="6B137038"/>
    <w:rsid w:val="6CC96D6C"/>
    <w:rsid w:val="6E384D2A"/>
    <w:rsid w:val="6F9A6345"/>
    <w:rsid w:val="783B791D"/>
    <w:rsid w:val="7855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37C7C17CE5441C38DED6371C1CE3155"/>
        <w:style w:val=""/>
        <w:category>
          <w:name w:val="常规"/>
          <w:gallery w:val="placeholder"/>
        </w:category>
        <w:types>
          <w:type w:val="bbPlcHdr"/>
        </w:types>
        <w:behaviors>
          <w:behavior w:val="content"/>
        </w:behaviors>
        <w:description w:val=""/>
        <w:guid w:val="{621264C8-971D-47F8-8992-7D6E6AEAFC13}"/>
      </w:docPartPr>
      <w:docPartBody>
        <w:p w14:paraId="5EE92383">
          <w:pPr>
            <w:pStyle w:val="5"/>
          </w:pPr>
          <w:r>
            <w:rPr>
              <w:rStyle w:val="4"/>
              <w:rFonts w:hint="eastAsia"/>
            </w:rPr>
            <w:t>单击或点击此处输入文字。</w:t>
          </w:r>
        </w:p>
      </w:docPartBody>
    </w:docPart>
    <w:docPart>
      <w:docPartPr>
        <w:name w:val="A3629AE7D2DA478CA77FE403342B2FA5"/>
        <w:style w:val=""/>
        <w:category>
          <w:name w:val="常规"/>
          <w:gallery w:val="placeholder"/>
        </w:category>
        <w:types>
          <w:type w:val="bbPlcHdr"/>
        </w:types>
        <w:behaviors>
          <w:behavior w:val="content"/>
        </w:behaviors>
        <w:description w:val=""/>
        <w:guid w:val="{20B5C8B1-23FD-41CB-8D44-01065E1CF2DE}"/>
      </w:docPartPr>
      <w:docPartBody>
        <w:p w14:paraId="643045BE">
          <w:pPr>
            <w:pStyle w:val="6"/>
          </w:pPr>
          <w:r>
            <w:rPr>
              <w:rStyle w:val="4"/>
              <w:rFonts w:hint="eastAsia"/>
            </w:rPr>
            <w:t>选择一项。</w:t>
          </w:r>
        </w:p>
      </w:docPartBody>
    </w:docPart>
    <w:docPart>
      <w:docPartPr>
        <w:name w:val="F53DBA58346D4E1C9173C27DDFBBF913"/>
        <w:style w:val=""/>
        <w:category>
          <w:name w:val="常规"/>
          <w:gallery w:val="placeholder"/>
        </w:category>
        <w:types>
          <w:type w:val="bbPlcHdr"/>
        </w:types>
        <w:behaviors>
          <w:behavior w:val="content"/>
        </w:behaviors>
        <w:description w:val=""/>
        <w:guid w:val="{5E0C77FA-2AC0-4526-8588-400D91870349}"/>
      </w:docPartPr>
      <w:docPartBody>
        <w:p w14:paraId="673086D2">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
  <w:rsids>
    <w:rsidRoot w:val="00152F95"/>
    <w:rsid w:val="000E6244"/>
    <w:rsid w:val="00110FDE"/>
    <w:rsid w:val="00152F95"/>
    <w:rsid w:val="00236AE3"/>
    <w:rsid w:val="0037480C"/>
    <w:rsid w:val="004214E5"/>
    <w:rsid w:val="004471FC"/>
    <w:rsid w:val="00492A35"/>
    <w:rsid w:val="00525D65"/>
    <w:rsid w:val="0066577D"/>
    <w:rsid w:val="007D6EEC"/>
    <w:rsid w:val="0080506A"/>
    <w:rsid w:val="00BC62DF"/>
    <w:rsid w:val="00BD56A9"/>
    <w:rsid w:val="00CC546E"/>
    <w:rsid w:val="00CD4A86"/>
    <w:rsid w:val="00D37B21"/>
    <w:rsid w:val="00D462CE"/>
    <w:rsid w:val="00E03330"/>
    <w:rsid w:val="00E20538"/>
    <w:rsid w:val="00E55148"/>
    <w:rsid w:val="00E55170"/>
    <w:rsid w:val="00E97AF3"/>
    <w:rsid w:val="00EF1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37C7C17CE5441C38DED6371C1CE315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6">
    <w:name w:val="A3629AE7D2DA478CA77FE403342B2FA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7">
    <w:name w:val="F53DBA58346D4E1C9173C27DDFBBF91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F03DD8-17EE-4508-BE40-9932CC8233A7}">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7</Pages>
  <Words>3831</Words>
  <Characters>4079</Characters>
  <Lines>38</Lines>
  <Paragraphs>10</Paragraphs>
  <TotalTime>3</TotalTime>
  <ScaleCrop>false</ScaleCrop>
  <LinksUpToDate>false</LinksUpToDate>
  <CharactersWithSpaces>4191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2026-03-26T07:52:00Z</dcterms:created>
  <dc:creator>Lvjq</dc:creator>
  <dc:description>&lt;config cover="true" show_menu="true" version="1.0.0" doctype="SDKXY"&gt;_x000d_
&lt;/config&gt;</dc:description>
  <cp:lastModifiedBy>WPS_1728460203</cp:lastModifiedBy>
  <cp:lastPrinted>2020-08-30T10:00:00Z</cp:lastPrinted>
  <dcterms:modified xsi:type="dcterms:W3CDTF">2026-04-29T05:39:35Z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eyJoZGlkIjoiYzkzYTVlYmU0ZTRiNjA3M2VjZmUzMjlkYzY5MjQ5MDIiLCJ1c2VySWQiOiIxNjQwODA2MjIxIn0=</vt:lpwstr>
  </property>
  <property fmtid="{D5CDD505-2E9C-101B-9397-08002B2CF9AE}" pid="15" name="KSOProductBuildVer">
    <vt:lpwstr>2052-12.1.0.25865</vt:lpwstr>
  </property>
  <property fmtid="{D5CDD505-2E9C-101B-9397-08002B2CF9AE}" pid="16" name="ICV">
    <vt:lpwstr>B1B08978FD624D4CB008776FF1DC75FD_13</vt:lpwstr>
  </property>
</Properties>
</file>