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val="0"/>
        <w:pageBreakBefore/>
        <w:widowControl/>
        <w:kinsoku/>
        <w:wordWrap/>
        <w:overflowPunct/>
        <w:topLinePunct w:val="0"/>
        <w:autoSpaceDE/>
        <w:autoSpaceDN/>
        <w:bidi w:val="0"/>
        <w:adjustRightInd/>
        <w:snapToGrid/>
        <w:spacing w:before="0" w:after="0" w:line="240" w:lineRule="auto"/>
        <w:jc w:val="right"/>
        <w:textAlignment w:val="auto"/>
        <w:outlineLvl w:val="9"/>
        <w:rPr>
          <w:rFonts w:hint="default" w:ascii="Times New Roman" w:hAnsi="Times New Roman" w:eastAsia="黑体" w:cs="Times New Roman"/>
          <w:b/>
          <w:bCs/>
          <w:sz w:val="96"/>
          <w:szCs w:val="96"/>
          <w:lang w:val="en-US" w:eastAsia="zh-CN"/>
        </w:rPr>
      </w:pPr>
      <w:bookmarkStart w:id="0" w:name="_Toc1683"/>
      <w:r>
        <w:rPr>
          <w:rFonts w:hint="default" w:ascii="Times New Roman" w:hAnsi="Times New Roman" w:eastAsia="黑体" w:cs="Times New Roman"/>
          <w:b/>
          <w:bCs/>
          <w:sz w:val="96"/>
          <w:szCs w:val="96"/>
          <w:lang w:val="en-US" w:eastAsia="zh-CN"/>
        </w:rPr>
        <w:t>DB43</w:t>
      </w:r>
    </w:p>
    <w:p>
      <w:pPr>
        <w:pStyle w:val="10"/>
        <w:keepNext w:val="0"/>
        <w:keepLines w:val="0"/>
        <w:pageBreakBefore w:val="0"/>
        <w:widowControl/>
        <w:kinsoku/>
        <w:wordWrap/>
        <w:overflowPunct/>
        <w:topLinePunct w:val="0"/>
        <w:autoSpaceDE w:val="0"/>
        <w:autoSpaceDN w:val="0"/>
        <w:bidi w:val="0"/>
        <w:adjustRightInd/>
        <w:snapToGrid/>
        <w:ind w:firstLine="0" w:firstLineChars="0"/>
        <w:jc w:val="distribute"/>
        <w:textAlignment w:val="auto"/>
        <w:rPr>
          <w:rFonts w:hint="eastAsia" w:ascii="黑体" w:hAnsi="黑体" w:eastAsia="黑体" w:cs="黑体"/>
          <w:w w:val="100"/>
          <w:sz w:val="48"/>
          <w:szCs w:val="48"/>
          <w:lang w:val="en-US" w:eastAsia="zh-CN"/>
        </w:rPr>
      </w:pPr>
      <w:r>
        <w:rPr>
          <w:rFonts w:hint="eastAsia" w:ascii="黑体" w:hAnsi="黑体" w:eastAsia="黑体" w:cs="黑体"/>
          <w:b w:val="0"/>
          <w:bCs w:val="0"/>
          <w:w w:val="100"/>
          <w:sz w:val="48"/>
          <w:szCs w:val="48"/>
          <w:lang w:val="en-US" w:eastAsia="zh-CN"/>
        </w:rPr>
        <w:t>湖南省地方标准</w:t>
      </w:r>
    </w:p>
    <w:p>
      <w:pPr>
        <w:pStyle w:val="10"/>
        <w:keepNext w:val="0"/>
        <w:keepLines w:val="0"/>
        <w:pageBreakBefore w:val="0"/>
        <w:widowControl/>
        <w:pBdr>
          <w:bottom w:val="single" w:color="auto" w:sz="4" w:space="0"/>
        </w:pBdr>
        <w:kinsoku/>
        <w:wordWrap/>
        <w:overflowPunct/>
        <w:topLinePunct w:val="0"/>
        <w:autoSpaceDE w:val="0"/>
        <w:autoSpaceDN w:val="0"/>
        <w:bidi w:val="0"/>
        <w:adjustRightInd/>
        <w:snapToGrid w:val="0"/>
        <w:ind w:firstLine="0" w:firstLineChars="0"/>
        <w:jc w:val="right"/>
        <w:textAlignment w:val="auto"/>
        <w:rPr>
          <w:rFonts w:hint="default" w:ascii="Times New Roman" w:hAnsi="Times New Roman" w:eastAsia="黑体" w:cs="Times New Roman"/>
          <w:b w:val="0"/>
          <w:bCs w:val="0"/>
          <w:sz w:val="28"/>
          <w:szCs w:val="28"/>
          <w:lang w:val="en-US" w:eastAsia="zh-CN"/>
        </w:rPr>
      </w:pPr>
    </w:p>
    <w:p>
      <w:pPr>
        <w:pStyle w:val="10"/>
        <w:keepNext w:val="0"/>
        <w:keepLines w:val="0"/>
        <w:pageBreakBefore w:val="0"/>
        <w:widowControl/>
        <w:pBdr>
          <w:bottom w:val="single" w:color="auto" w:sz="4" w:space="0"/>
        </w:pBdr>
        <w:kinsoku/>
        <w:wordWrap/>
        <w:overflowPunct/>
        <w:topLinePunct w:val="0"/>
        <w:autoSpaceDE w:val="0"/>
        <w:autoSpaceDN w:val="0"/>
        <w:bidi w:val="0"/>
        <w:adjustRightInd w:val="0"/>
        <w:snapToGrid w:val="0"/>
        <w:ind w:firstLine="0" w:firstLineChars="0"/>
        <w:jc w:val="right"/>
        <w:textAlignment w:val="auto"/>
        <w:rPr>
          <w:rFonts w:hint="eastAsia" w:ascii="黑体" w:hAnsi="黑体" w:eastAsia="黑体" w:cs="黑体"/>
          <w:b w:val="0"/>
          <w:bCs w:val="0"/>
          <w:sz w:val="28"/>
          <w:szCs w:val="28"/>
          <w:lang w:val="en-US" w:eastAsia="zh-CN"/>
        </w:rPr>
      </w:pPr>
      <w:r>
        <w:rPr>
          <w:rFonts w:hint="default" w:ascii="Times New Roman" w:hAnsi="Times New Roman" w:eastAsia="黑体" w:cs="Times New Roman"/>
          <w:b w:val="0"/>
          <w:bCs w:val="0"/>
          <w:sz w:val="28"/>
          <w:szCs w:val="28"/>
          <w:lang w:val="en-US" w:eastAsia="zh-CN"/>
        </w:rPr>
        <w:t>DB</w:t>
      </w:r>
      <w:r>
        <w:rPr>
          <w:rFonts w:hint="eastAsia" w:ascii="黑体" w:hAnsi="黑体" w:eastAsia="黑体" w:cs="黑体"/>
          <w:b w:val="0"/>
          <w:bCs w:val="0"/>
          <w:sz w:val="28"/>
          <w:szCs w:val="28"/>
          <w:lang w:val="en-US" w:eastAsia="zh-CN"/>
        </w:rPr>
        <w:t xml:space="preserve"> 43/XXXXX-2026</w:t>
      </w:r>
    </w:p>
    <w:p>
      <w:pPr>
        <w:pStyle w:val="10"/>
        <w:keepNext w:val="0"/>
        <w:keepLines w:val="0"/>
        <w:pageBreakBefore w:val="0"/>
        <w:widowControl/>
        <w:pBdr>
          <w:bottom w:val="single" w:color="auto" w:sz="4" w:space="0"/>
        </w:pBdr>
        <w:kinsoku/>
        <w:wordWrap/>
        <w:overflowPunct/>
        <w:topLinePunct w:val="0"/>
        <w:autoSpaceDE w:val="0"/>
        <w:autoSpaceDN w:val="0"/>
        <w:bidi w:val="0"/>
        <w:adjustRightInd w:val="0"/>
        <w:snapToGrid w:val="0"/>
        <w:ind w:firstLine="0" w:firstLineChars="0"/>
        <w:jc w:val="right"/>
        <w:textAlignment w:val="auto"/>
        <w:rPr>
          <w:rFonts w:hint="eastAsia" w:ascii="Times New Roman" w:cs="Times New Roman"/>
          <w:sz w:val="28"/>
          <w:szCs w:val="28"/>
          <w:lang w:val="en-US" w:eastAsia="zh-CN"/>
        </w:rPr>
      </w:pPr>
    </w:p>
    <w:p>
      <w:pPr>
        <w:pStyle w:val="10"/>
        <w:jc w:val="right"/>
        <w:rPr>
          <w:rFonts w:hint="default" w:ascii="Times New Roman" w:cs="Times New Roman"/>
          <w:sz w:val="24"/>
          <w:szCs w:val="24"/>
          <w:lang w:val="en-US" w:eastAsia="zh-CN"/>
        </w:rPr>
      </w:pPr>
    </w:p>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52"/>
          <w:szCs w:val="52"/>
          <w:lang w:val="en-US" w:eastAsia="zh-CN"/>
        </w:rPr>
      </w:pPr>
      <w:r>
        <w:rPr>
          <w:rFonts w:hint="eastAsia" w:ascii="Times New Roman" w:eastAsia="黑体" w:cs="Times New Roman"/>
          <w:sz w:val="52"/>
          <w:szCs w:val="52"/>
          <w:lang w:val="en-US" w:eastAsia="zh-CN"/>
        </w:rPr>
        <w:t>高校</w:t>
      </w:r>
      <w:r>
        <w:rPr>
          <w:rFonts w:hint="eastAsia" w:ascii="Times New Roman" w:hAnsi="Times New Roman" w:eastAsia="黑体" w:cs="Times New Roman"/>
          <w:sz w:val="52"/>
          <w:szCs w:val="52"/>
        </w:rPr>
        <w:t>安全文化创建</w:t>
      </w:r>
      <w:r>
        <w:rPr>
          <w:rFonts w:hint="eastAsia" w:ascii="Times New Roman" w:hAnsi="Times New Roman" w:eastAsia="黑体" w:cs="Times New Roman"/>
          <w:sz w:val="52"/>
          <w:szCs w:val="52"/>
          <w:lang w:val="en-US" w:eastAsia="zh-CN"/>
        </w:rPr>
        <w:t>规范</w:t>
      </w:r>
    </w:p>
    <w:p>
      <w:pPr>
        <w:pStyle w:val="10"/>
        <w:keepNext w:val="0"/>
        <w:keepLines w:val="0"/>
        <w:pageBreakBefore w:val="0"/>
        <w:widowControl/>
        <w:kinsoku/>
        <w:wordWrap/>
        <w:overflowPunct/>
        <w:topLinePunct w:val="0"/>
        <w:autoSpaceDE w:val="0"/>
        <w:autoSpaceDN w:val="0"/>
        <w:bidi w:val="0"/>
        <w:adjustRightInd/>
        <w:snapToGrid w:val="0"/>
        <w:ind w:firstLine="0" w:firstLineChars="0"/>
        <w:textAlignment w:val="auto"/>
        <w:rPr>
          <w:rFonts w:hint="default" w:ascii="Times New Roman" w:hAnsi="Times New Roman" w:eastAsia="黑体" w:cs="Times New Roman"/>
          <w:sz w:val="32"/>
          <w:szCs w:val="32"/>
          <w:lang w:val="en-US" w:eastAsia="zh-CN"/>
        </w:rPr>
      </w:pPr>
    </w:p>
    <w:p>
      <w:pPr>
        <w:pStyle w:val="10"/>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Specification for </w:t>
      </w:r>
      <w:r>
        <w:rPr>
          <w:rFonts w:hint="default" w:ascii="Times New Roman" w:hAnsi="Times New Roman" w:cs="Times New Roman"/>
          <w:sz w:val="28"/>
          <w:szCs w:val="28"/>
          <w:lang w:val="en-US" w:eastAsia="zh-CN"/>
        </w:rPr>
        <w:t>the</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establishment of safety culture</w:t>
      </w:r>
      <w:r>
        <w:rPr>
          <w:rFonts w:hint="default" w:ascii="Times New Roman" w:hAnsi="Times New Roman" w:cs="Times New Roman"/>
          <w:sz w:val="28"/>
          <w:szCs w:val="28"/>
        </w:rPr>
        <w:t xml:space="preserve"> in colleges and universities</w:t>
      </w: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****-**-**发布                                     ****-**-**实施</w:t>
      </w:r>
    </w:p>
    <w:p>
      <w:pPr>
        <w:pStyle w:val="10"/>
        <w:rPr>
          <w:rFonts w:hint="eastAsia"/>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171450</wp:posOffset>
                </wp:positionV>
                <wp:extent cx="6120130" cy="0"/>
                <wp:effectExtent l="0" t="9525" r="1270" b="15875"/>
                <wp:wrapNone/>
                <wp:docPr id="3" name="直接连接符 3"/>
                <wp:cNvGraphicFramePr/>
                <a:graphic xmlns:a="http://schemas.openxmlformats.org/drawingml/2006/main">
                  <a:graphicData uri="http://schemas.microsoft.com/office/word/2010/wordprocessingShape">
                    <wps:wsp>
                      <wps:cNvCnPr/>
                      <wps:spPr>
                        <a:xfrm>
                          <a:off x="862965" y="7496175"/>
                          <a:ext cx="612013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5pt;margin-top:13.5pt;height:0pt;width:481.9pt;z-index:251659264;mso-width-relative:page;mso-height-relative:page;" filled="f" stroked="t" coordsize="21600,21600" o:gfxdata="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vkhs7YAAAACAEAAA8AAAAAAAAAAQAg&#10;AAAAIgAAAGRycy9kb3ducmV2LnhtbFBLAQIUABQAAAAIAIdO4kBllXMn1QEAAG8DAAAOAAAAAAAA&#10;AAEAIAAAACcBAABkcnMvZTJvRG9jLnhtbFBLBQYAAAAABgAGAFkBAABuBQAAAAA=&#10;">
                <v:fill on="f" focussize="0,0"/>
                <v:stroke weight="1.5pt" color="#000000 [3213]" miterlimit="8" joinstyle="miter"/>
                <v:imagedata o:title=""/>
                <o:lock v:ext="edit" aspectratio="f"/>
              </v:line>
            </w:pict>
          </mc:Fallback>
        </mc:AlternateContent>
      </w:r>
    </w:p>
    <w:p>
      <w:pPr>
        <w:pStyle w:val="10"/>
        <w:rPr>
          <w:rFonts w:hint="eastAsia"/>
          <w:lang w:val="en-US" w:eastAsia="zh-CN"/>
        </w:rPr>
      </w:pPr>
    </w:p>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湖南省市场监督管理</w:t>
      </w:r>
      <w:bookmarkStart w:id="12" w:name="_GoBack"/>
      <w:bookmarkEnd w:id="12"/>
      <w:r>
        <w:rPr>
          <w:rFonts w:hint="eastAsia" w:ascii="黑体" w:hAnsi="黑体" w:eastAsia="黑体" w:cs="黑体"/>
          <w:sz w:val="28"/>
          <w:szCs w:val="28"/>
          <w:lang w:val="en-US" w:eastAsia="zh-CN"/>
        </w:rPr>
        <w:t>局   发 布</w:t>
      </w:r>
    </w:p>
    <w:p>
      <w:pPr>
        <w:pStyle w:val="9"/>
        <w:keepNext/>
        <w:keepLines w:val="0"/>
        <w:pageBreakBefore/>
        <w:widowControl/>
        <w:kinsoku/>
        <w:wordWrap/>
        <w:overflowPunct/>
        <w:topLinePunct w:val="0"/>
        <w:autoSpaceDE/>
        <w:autoSpaceDN/>
        <w:bidi w:val="0"/>
        <w:adjustRightInd/>
        <w:snapToGrid/>
        <w:textAlignment w:val="auto"/>
        <w:outlineLvl w:val="9"/>
        <w:rPr>
          <w:rFonts w:hint="default" w:ascii="Times New Roman" w:hAnsi="Times New Roman" w:cs="Times New Roma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9"/>
        <w:keepNext/>
        <w:keepLines w:val="0"/>
        <w:pageBreakBefore/>
        <w:widowControl/>
        <w:kinsoku/>
        <w:wordWrap/>
        <w:overflowPunct/>
        <w:topLinePunct w:val="0"/>
        <w:autoSpaceDE/>
        <w:autoSpaceDN/>
        <w:bidi w:val="0"/>
        <w:adjustRightInd/>
        <w:snapToGrid/>
        <w:textAlignment w:val="auto"/>
        <w:outlineLvl w:val="9"/>
        <w:rPr>
          <w:rFonts w:hint="default" w:ascii="Times New Roman" w:hAnsi="Times New Roman" w:cs="Times New Roman"/>
        </w:rPr>
      </w:pPr>
      <w:r>
        <w:rPr>
          <w:rFonts w:hint="default" w:ascii="Times New Roman" w:hAnsi="Times New Roman" w:cs="Times New Roman"/>
        </w:rPr>
        <w:t>目　次</w:t>
      </w:r>
      <w:bookmarkEnd w:id="0"/>
    </w:p>
    <w:p>
      <w:pPr>
        <w:pStyle w:val="10"/>
        <w:rPr>
          <w:rFonts w:hint="default" w:ascii="Times New Roman" w:hAnsi="Times New Roman" w:cs="Times New Roman"/>
        </w:rPr>
      </w:pP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TOC \o "1-1" \h \u </w:instrText>
      </w:r>
      <w:r>
        <w:rPr>
          <w:rFonts w:hint="default" w:ascii="Times New Roman" w:hAnsi="Times New Roman" w:cs="Times New Roman"/>
          <w:b/>
          <w:sz w:val="24"/>
          <w:szCs w:val="24"/>
        </w:rPr>
        <w:fldChar w:fldCharType="separate"/>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_Toc15900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1 范围</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_Toc15900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1</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_Toc18430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 规范性引用文件</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_Toc18430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1</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_Toc10677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3 术语和定义</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_Toc10677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1</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_Toc18984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4 一般要求</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_Toc18984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2</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_Toc3318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 xml:space="preserve">5 </w:t>
      </w:r>
      <w:r>
        <w:rPr>
          <w:rFonts w:hint="eastAsia" w:ascii="Times New Roman" w:hAnsi="Times New Roman" w:eastAsia="宋体" w:cs="Times New Roman"/>
          <w:lang w:val="en-US" w:eastAsia="zh-CN"/>
        </w:rPr>
        <w:t>创建要求</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_Toc3318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2</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_Toc14665 </w:instrText>
      </w:r>
      <w:r>
        <w:rPr>
          <w:rFonts w:hint="default"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评价指标</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_Toc14665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5</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pStyle w:val="5"/>
        <w:tabs>
          <w:tab w:val="right" w:leader="dot" w:pos="9354"/>
          <w:tab w:val="clear" w:pos="9242"/>
        </w:tabs>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_Toc29324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7 评估程序</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PAGEREF _Toc29324 \h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10</w:t>
      </w:r>
      <w:r>
        <w:rPr>
          <w:rFonts w:hint="eastAsia"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fldChar w:fldCharType="end"/>
      </w:r>
    </w:p>
    <w:p>
      <w:pPr>
        <w:tabs>
          <w:tab w:val="left" w:leader="dot" w:pos="8820"/>
        </w:tabs>
        <w:spacing w:line="360" w:lineRule="auto"/>
        <w:rPr>
          <w:rFonts w:hint="default" w:ascii="Times New Roman" w:hAnsi="Times New Roman" w:cs="Times New Roman"/>
        </w:rPr>
      </w:pPr>
      <w:r>
        <w:rPr>
          <w:rFonts w:hint="default" w:ascii="Times New Roman" w:hAnsi="Times New Roman" w:cs="Times New Roman"/>
          <w:szCs w:val="24"/>
        </w:rPr>
        <w:fldChar w:fldCharType="end"/>
      </w:r>
    </w:p>
    <w:p>
      <w:pPr>
        <w:tabs>
          <w:tab w:val="left" w:leader="dot" w:pos="8820"/>
        </w:tabs>
        <w:rPr>
          <w:rFonts w:hint="default" w:ascii="Times New Roman" w:hAnsi="Times New Roman" w:cs="Times New Roman"/>
        </w:rPr>
      </w:pPr>
    </w:p>
    <w:p>
      <w:pPr>
        <w:pStyle w:val="10"/>
        <w:outlineLvl w:val="0"/>
        <w:rPr>
          <w:rFonts w:hint="default" w:ascii="Times New Roman" w:hAnsi="Times New Roman" w:cs="Times New Roman"/>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10"/>
        <w:outlineLvl w:val="0"/>
        <w:rPr>
          <w:rFonts w:hint="default" w:ascii="Times New Roman" w:hAnsi="Times New Roman" w:cs="Times New Roman"/>
        </w:rPr>
        <w:sectPr>
          <w:pgSz w:w="11906" w:h="16838"/>
          <w:pgMar w:top="567" w:right="1134" w:bottom="1134" w:left="1418" w:header="1418" w:footer="1134" w:gutter="0"/>
          <w:pgNumType w:fmt="upperRoman"/>
          <w:cols w:space="720" w:num="1"/>
          <w:formProt w:val="0"/>
          <w:docGrid w:type="lines" w:linePitch="312" w:charSpace="0"/>
        </w:sectPr>
      </w:pPr>
    </w:p>
    <w:p>
      <w:pPr>
        <w:widowControl/>
        <w:spacing w:line="320" w:lineRule="exact"/>
        <w:jc w:val="center"/>
        <w:rPr>
          <w:rFonts w:hint="default" w:ascii="Times New Roman" w:hAnsi="Times New Roman" w:eastAsia="黑体" w:cs="Times New Roman"/>
          <w:color w:val="000000"/>
          <w:sz w:val="32"/>
          <w:szCs w:val="32"/>
        </w:rPr>
      </w:pPr>
    </w:p>
    <w:p>
      <w:pPr>
        <w:widowControl/>
        <w:spacing w:line="320" w:lineRule="exact"/>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前</w:t>
      </w:r>
      <w:bookmarkStart w:id="1" w:name="BKQY"/>
      <w:r>
        <w:rPr>
          <w:rFonts w:hint="default" w:ascii="Times New Roman" w:hAnsi="Times New Roman" w:eastAsia="黑体" w:cs="Times New Roman"/>
          <w:color w:val="000000"/>
          <w:sz w:val="32"/>
          <w:szCs w:val="32"/>
        </w:rPr>
        <w:t>  言</w:t>
      </w:r>
      <w:bookmarkEnd w:id="1"/>
    </w:p>
    <w:p>
      <w:pPr>
        <w:widowControl/>
        <w:spacing w:line="320" w:lineRule="exact"/>
        <w:jc w:val="center"/>
        <w:rPr>
          <w:rFonts w:hint="default" w:ascii="Times New Roman" w:hAnsi="Times New Roman" w:eastAsia="黑体" w:cs="Times New Roman"/>
          <w:color w:val="000000"/>
          <w:sz w:val="32"/>
          <w:szCs w:val="32"/>
        </w:rPr>
      </w:pP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本文件按照GB/T 1.1—2020《标准化工作导则  第1部分：标准化文件的结构和起草规则》的规定起草。</w:t>
      </w: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请注意本文件的某些内容可能涉及专利，本文件的发布机构不承担识别专利的责任。</w:t>
      </w: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本文件由湖南省教育厅提出并归口。</w:t>
      </w: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本文件起草单位：</w:t>
      </w:r>
      <w:r>
        <w:rPr>
          <w:rFonts w:hint="default" w:ascii="Times New Roman" w:hAnsi="Times New Roman" w:cs="Times New Roman"/>
          <w:color w:val="000000"/>
          <w:lang w:eastAsia="zh-CN"/>
        </w:rPr>
        <w:t>湖南安全技术职业学院</w:t>
      </w:r>
      <w:r>
        <w:rPr>
          <w:rFonts w:hint="default" w:ascii="Times New Roman" w:hAnsi="Times New Roman" w:cs="Times New Roman"/>
          <w:color w:val="000000"/>
        </w:rPr>
        <w:t>、</w:t>
      </w:r>
      <w:r>
        <w:rPr>
          <w:rFonts w:hint="eastAsia" w:cs="Times New Roman"/>
          <w:color w:val="000000"/>
          <w:lang w:val="en-US" w:eastAsia="zh-CN"/>
        </w:rPr>
        <w:t>中南大学</w:t>
      </w:r>
      <w:r>
        <w:rPr>
          <w:rFonts w:hint="default" w:ascii="Times New Roman" w:hAnsi="Times New Roman" w:cs="Times New Roman"/>
          <w:color w:val="000000"/>
        </w:rPr>
        <w:t>、</w:t>
      </w:r>
      <w:r>
        <w:rPr>
          <w:rFonts w:hint="eastAsia" w:cs="Times New Roman"/>
          <w:color w:val="000000"/>
          <w:lang w:val="en-US" w:eastAsia="zh-CN"/>
        </w:rPr>
        <w:t>湖南信息学院、湖南人文科技学院、长沙航空职业技术学院</w:t>
      </w:r>
      <w:r>
        <w:rPr>
          <w:rFonts w:hint="default" w:ascii="Times New Roman" w:hAnsi="Times New Roman" w:cs="Times New Roman"/>
          <w:color w:val="000000"/>
        </w:rPr>
        <w:t>。</w:t>
      </w:r>
    </w:p>
    <w:p>
      <w:pPr>
        <w:widowControl/>
        <w:spacing w:line="324" w:lineRule="exact"/>
        <w:ind w:firstLine="420" w:firstLineChars="200"/>
        <w:jc w:val="left"/>
        <w:rPr>
          <w:rFonts w:hint="default" w:ascii="Times New Roman" w:hAnsi="Times New Roman" w:cs="Times New Roman"/>
          <w:color w:val="000000"/>
        </w:rPr>
      </w:pPr>
      <w:r>
        <w:rPr>
          <w:rFonts w:hint="eastAsia" w:cs="Times New Roman"/>
          <w:color w:val="000000"/>
          <w:lang w:eastAsia="zh-CN"/>
        </w:rPr>
        <w:t>本文件</w:t>
      </w:r>
      <w:r>
        <w:rPr>
          <w:rFonts w:hint="default" w:ascii="Times New Roman" w:hAnsi="Times New Roman" w:cs="Times New Roman"/>
          <w:color w:val="000000"/>
        </w:rPr>
        <w:t>主要起草人：</w:t>
      </w:r>
      <w:r>
        <w:rPr>
          <w:rFonts w:hint="eastAsia" w:cs="Times New Roman"/>
          <w:color w:val="000000"/>
          <w:lang w:val="en-US" w:eastAsia="zh-CN"/>
        </w:rPr>
        <w:t>蒋海波</w:t>
      </w:r>
      <w:r>
        <w:rPr>
          <w:rFonts w:hint="default" w:ascii="Times New Roman" w:hAnsi="Times New Roman" w:cs="Times New Roman"/>
          <w:color w:val="000000"/>
        </w:rPr>
        <w:t>、</w:t>
      </w:r>
      <w:r>
        <w:rPr>
          <w:rFonts w:hint="eastAsia" w:cs="Times New Roman"/>
          <w:color w:val="000000"/>
          <w:lang w:val="en-US" w:eastAsia="zh-CN"/>
        </w:rPr>
        <w:t>赵妩、肖跃龙、卿惠广</w:t>
      </w:r>
      <w:r>
        <w:rPr>
          <w:rFonts w:hint="default" w:ascii="Times New Roman" w:hAnsi="Times New Roman" w:cs="Times New Roman"/>
          <w:color w:val="000000"/>
          <w:lang w:val="en-US" w:eastAsia="zh-CN"/>
        </w:rPr>
        <w:t>、</w:t>
      </w:r>
      <w:r>
        <w:rPr>
          <w:rFonts w:hint="eastAsia" w:cs="Times New Roman"/>
          <w:color w:val="000000"/>
          <w:lang w:val="en-US" w:eastAsia="zh-CN"/>
        </w:rPr>
        <w:t>陶明、崔雪姣、张沐、陈刚、林文、周哲</w:t>
      </w:r>
      <w:r>
        <w:rPr>
          <w:rFonts w:hint="default" w:ascii="Times New Roman" w:hAnsi="Times New Roman" w:cs="Times New Roman"/>
          <w:color w:val="000000"/>
        </w:rPr>
        <w:t>。</w:t>
      </w:r>
    </w:p>
    <w:p>
      <w:pPr>
        <w:widowControl/>
        <w:spacing w:line="324" w:lineRule="exact"/>
        <w:ind w:firstLine="420" w:firstLineChars="200"/>
        <w:jc w:val="left"/>
        <w:rPr>
          <w:rFonts w:hint="default" w:ascii="Times New Roman" w:hAnsi="Times New Roman" w:cs="Times New Roman"/>
          <w:color w:val="000000"/>
        </w:rPr>
        <w:sectPr>
          <w:pgSz w:w="11906" w:h="16838"/>
          <w:pgMar w:top="567" w:right="1134" w:bottom="1134" w:left="1418" w:header="1418" w:footer="1134" w:gutter="0"/>
          <w:pgNumType w:fmt="upperRoman"/>
          <w:cols w:space="720" w:num="1"/>
          <w:formProt w:val="0"/>
          <w:docGrid w:type="lines" w:linePitch="312" w:charSpace="0"/>
        </w:sectPr>
      </w:pPr>
    </w:p>
    <w:p>
      <w:pPr>
        <w:widowControl/>
        <w:spacing w:line="324" w:lineRule="exact"/>
        <w:ind w:firstLine="420" w:firstLineChars="200"/>
        <w:jc w:val="left"/>
        <w:rPr>
          <w:rFonts w:hint="default" w:ascii="Times New Roman" w:hAnsi="Times New Roman" w:cs="Times New Roman"/>
          <w:color w:val="000000"/>
        </w:rPr>
      </w:pPr>
    </w:p>
    <w:p>
      <w:pPr>
        <w:pStyle w:val="10"/>
        <w:outlineLvl w:val="0"/>
        <w:rPr>
          <w:rFonts w:hint="default" w:ascii="Times New Roman" w:hAnsi="Times New Roman" w:cs="Times New Roman"/>
        </w:rPr>
        <w:sectPr>
          <w:pgSz w:w="11906" w:h="16838"/>
          <w:pgMar w:top="567" w:right="1134" w:bottom="1134" w:left="1418" w:header="1418" w:footer="1134" w:gutter="0"/>
          <w:pgNumType w:fmt="upperRoman"/>
          <w:cols w:space="720" w:num="1"/>
          <w:formProt w:val="0"/>
          <w:docGrid w:type="lines" w:linePitch="312" w:charSpace="0"/>
        </w:sectPr>
      </w:pPr>
    </w:p>
    <w:p>
      <w:pPr>
        <w:widowControl/>
        <w:spacing w:line="420" w:lineRule="exact"/>
        <w:jc w:val="center"/>
        <w:rPr>
          <w:rFonts w:hint="default" w:ascii="Times New Roman" w:hAnsi="Times New Roman" w:eastAsia="黑体" w:cs="Times New Roman"/>
          <w:sz w:val="32"/>
          <w:szCs w:val="32"/>
        </w:rPr>
      </w:pPr>
      <w:bookmarkStart w:id="2" w:name="_Toc30758"/>
      <w:bookmarkStart w:id="3" w:name="_Toc10105"/>
    </w:p>
    <w:p>
      <w:pPr>
        <w:keepNext w:val="0"/>
        <w:keepLines w:val="0"/>
        <w:pageBreakBefore w:val="0"/>
        <w:widowControl/>
        <w:kinsoku/>
        <w:wordWrap/>
        <w:overflowPunct/>
        <w:topLinePunct w:val="0"/>
        <w:autoSpaceDE/>
        <w:autoSpaceDN/>
        <w:bidi w:val="0"/>
        <w:adjustRightInd/>
        <w:snapToGrid/>
        <w:spacing w:before="313" w:beforeLines="100" w:after="313" w:afterLines="100" w:line="420" w:lineRule="exact"/>
        <w:jc w:val="center"/>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高校安全文化创建</w:t>
      </w:r>
      <w:bookmarkEnd w:id="2"/>
      <w:bookmarkEnd w:id="3"/>
      <w:r>
        <w:rPr>
          <w:rFonts w:hint="eastAsia" w:eastAsia="黑体" w:cs="Times New Roman"/>
          <w:sz w:val="32"/>
          <w:szCs w:val="32"/>
          <w:lang w:val="en-US" w:eastAsia="zh-CN"/>
        </w:rPr>
        <w:t>规范</w:t>
      </w:r>
    </w:p>
    <w:p>
      <w:pPr>
        <w:widowControl/>
        <w:spacing w:line="420" w:lineRule="exact"/>
        <w:jc w:val="center"/>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rPr>
      </w:pPr>
      <w:bookmarkStart w:id="4" w:name="_Toc15900"/>
      <w:r>
        <w:rPr>
          <w:rFonts w:hint="default" w:ascii="Times New Roman" w:hAnsi="Times New Roman" w:eastAsia="黑体" w:cs="Times New Roman"/>
          <w:color w:val="000000"/>
          <w:lang w:val="en-US" w:eastAsia="zh-CN"/>
        </w:rPr>
        <w:t xml:space="preserve">1 </w:t>
      </w:r>
      <w:r>
        <w:rPr>
          <w:rFonts w:hint="default" w:ascii="Times New Roman" w:hAnsi="Times New Roman" w:eastAsia="黑体" w:cs="Times New Roman"/>
          <w:color w:val="000000"/>
        </w:rPr>
        <w:t>范围</w:t>
      </w:r>
      <w:bookmarkEnd w:id="4"/>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eastAsia="zh-CN"/>
        </w:rPr>
        <w:t>本文件规定了普通高等学校（以下简称“高校”）安全文化创建的术语与定义、一般要求、创建要求、评价指标、评估程序等内容。</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eastAsia="zh-CN"/>
        </w:rPr>
        <w:t>本文件适用于湖南省普通高等学校安全文化的创建、实施与自评工作。</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5" w:name="_Toc18430"/>
      <w:r>
        <w:rPr>
          <w:rFonts w:hint="default" w:ascii="Times New Roman" w:hAnsi="Times New Roman" w:eastAsia="黑体" w:cs="Times New Roman"/>
          <w:color w:val="000000"/>
          <w:lang w:val="en-US" w:eastAsia="zh-CN"/>
        </w:rPr>
        <w:t>2 规范性引用文件</w:t>
      </w:r>
      <w:bookmarkEnd w:id="5"/>
    </w:p>
    <w:p>
      <w:pPr>
        <w:pStyle w:val="10"/>
        <w:rPr>
          <w:rFonts w:hint="default" w:ascii="Times New Roman" w:hAnsi="Times New Roman" w:cs="Times New Roman"/>
          <w:color w:val="auto"/>
        </w:rPr>
      </w:pPr>
      <w:r>
        <w:rPr>
          <w:rFonts w:hint="default" w:ascii="Times New Roman" w:hAnsi="Times New Roman" w:cs="Times New Roman"/>
          <w:color w:val="000000"/>
        </w:rPr>
        <w:t>下列文件对于本文件的应用是必不可少的。凡是注日期的引用文件，仅注日期的版本适用于本文件；凡是不注日期的引用文件，其最新版本（包括所有的修改单）适用于本文件。</w:t>
      </w:r>
    </w:p>
    <w:p>
      <w:pPr>
        <w:pStyle w:val="10"/>
        <w:rPr>
          <w:rFonts w:hint="default" w:ascii="Times New Roman" w:hAnsi="Times New Roman" w:cs="Times New Roman"/>
          <w:color w:val="auto"/>
        </w:rPr>
      </w:pPr>
      <w:r>
        <w:rPr>
          <w:rFonts w:hint="default" w:ascii="Times New Roman" w:hAnsi="Times New Roman" w:cs="Times New Roman"/>
          <w:color w:val="auto"/>
        </w:rPr>
        <w:t>GB/T 31068  普通高等学校安全技术防范系统要求</w:t>
      </w:r>
    </w:p>
    <w:p>
      <w:pPr>
        <w:pStyle w:val="1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000000"/>
          <w:kern w:val="2"/>
          <w:sz w:val="21"/>
          <w:szCs w:val="24"/>
        </w:rPr>
        <w:t>GB/T 45001</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职业健康安全管理体系</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要求及使用指南</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6" w:name="_Toc10677"/>
      <w:r>
        <w:rPr>
          <w:rFonts w:hint="default" w:ascii="Times New Roman" w:hAnsi="Times New Roman" w:eastAsia="黑体" w:cs="Times New Roman"/>
          <w:color w:val="000000"/>
          <w:lang w:val="en-US" w:eastAsia="zh-CN"/>
        </w:rPr>
        <w:t>3 术语和定义</w:t>
      </w:r>
      <w:bookmarkEnd w:id="6"/>
    </w:p>
    <w:p>
      <w:pPr>
        <w:pStyle w:val="1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下列术语和定义适用于</w:t>
      </w:r>
      <w:r>
        <w:rPr>
          <w:rFonts w:hint="eastAsia" w:ascii="Times New Roman" w:cs="Times New Roman"/>
          <w:color w:val="000000"/>
          <w:lang w:val="en-US" w:eastAsia="zh-CN"/>
        </w:rPr>
        <w:t>本文件</w:t>
      </w:r>
      <w:r>
        <w:rPr>
          <w:rFonts w:hint="default" w:ascii="Times New Roman" w:hAnsi="Times New Roman" w:cs="Times New Roman"/>
          <w:color w:val="000000"/>
          <w:lang w:val="en-US" w:eastAsia="zh-CN"/>
        </w:rPr>
        <w:t>。</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3.1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高校安全文化 university safety culture</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在长期安全管理实践中形成的，以安全理念为核心，涵盖安全目标、安全制度、安全行为、安全环境等方面的价值观念、行为准则和物质载体的总和，贯穿校园教学、科研、管理、服务全流程，体现全体师生员工对安全的共同追求和自觉行动。</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3.2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安全理念 safety concept</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高校在安全管理活动中所秉持的核心思想和价值导向，是安全文化的精神内核，明确安全工作的价值取向，指导安全工作的开展方向和实践路径。</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3.3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安全投入 security investment</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高校为保障校园安全、提升安全管理水平、推进安全文化创建，所投入的人力、物力、财力及技术等各类资源的总和。</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3.4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安全行为 safety behavior</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高校师生员工在教学、科研、生活、管理等各类活动中，符合安全制度、行为准则及安全技术要求的各类行动表现。</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3.5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安全保障与预警机制 safety guarantee and early warning mechanism</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cs="Times New Roman"/>
          <w:color w:val="000000"/>
          <w:lang w:val="en-US" w:eastAsia="zh-CN"/>
        </w:rPr>
      </w:pPr>
      <w:r>
        <w:rPr>
          <w:rFonts w:hint="default" w:ascii="Times New Roman" w:hAnsi="Times New Roman" w:eastAsia="宋体" w:cs="Times New Roman"/>
          <w:color w:val="000000"/>
          <w:kern w:val="2"/>
          <w:sz w:val="21"/>
          <w:szCs w:val="24"/>
          <w:lang w:val="en-US" w:eastAsia="zh-CN"/>
        </w:rPr>
        <w:t>高校为防范安全风险、排查安全隐患、应对突发事件而建立的组织保障、资源支持、风险监测、预警响应及处置善后等一系列制度和措施的总称。</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3.6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安全绩效 safety performance</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基于组织的安全承诺和行为规范，与组织安全文化建设、安全管理工作相关的组织管理手段、工作实施过程及实际成效的可测量结果。</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3.7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安全承诺 safety commitment</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由学校及各岗位公开作出的、代表全体师生员工在关注校园安全、践行安全责任、追求安全绩效方面所具有的稳定意愿及实践行动的明确表示。</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3.8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安全目标 safety goal</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为实现高校的安全使命、推进安全文化创建，所确定的阶段性、系统性安全绩效标准和工作要求。</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3.9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危险源 hazard</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可能导致人身伤害、健康损害或财产损失的根源、状态或行为，或其组合。</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3.10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隐患 potential accidents</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工作场所、设备或设施的不安全状态，人的不安全行为，以及安全管理上的缺陷，可能引发安全事故的各类潜在风险。</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 xml:space="preserve">3.11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黑体" w:cs="Times New Roman"/>
          <w:color w:val="000000"/>
          <w:kern w:val="2"/>
          <w:sz w:val="21"/>
          <w:szCs w:val="24"/>
          <w:lang w:val="en-US" w:eastAsia="zh-CN"/>
        </w:rPr>
      </w:pPr>
      <w:r>
        <w:rPr>
          <w:rFonts w:hint="default" w:ascii="Times New Roman" w:hAnsi="Times New Roman" w:eastAsia="黑体" w:cs="Times New Roman"/>
          <w:color w:val="000000"/>
          <w:kern w:val="2"/>
          <w:sz w:val="21"/>
          <w:szCs w:val="24"/>
          <w:lang w:val="en-US" w:eastAsia="zh-CN"/>
        </w:rPr>
        <w:t>持续改进 continuous improvement</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为实现整体安全文化创建绩效的持续提升，不断对安全文化建设、安全管理工作进行检查、分析、优化、强化的闭环循环过程。</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7" w:name="_Toc18984"/>
      <w:r>
        <w:rPr>
          <w:rFonts w:hint="default" w:ascii="Times New Roman" w:hAnsi="Times New Roman" w:eastAsia="黑体" w:cs="Times New Roman"/>
          <w:color w:val="000000"/>
          <w:lang w:val="en-US" w:eastAsia="zh-CN"/>
        </w:rPr>
        <w:t>4 一般要求</w:t>
      </w:r>
      <w:bookmarkEnd w:id="7"/>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开展安全文化创建工作，应遵循以人为本、安全发展、预防为主、综合治理的方针，落实学校主体责任；遵循系统性、全员性、持续性、创新性原则，将安全文化创建融入学校教育教学、管理服务全过程，实现安全文化与校园文化深度融合，推动安全理念入脑入心、安全行为自觉自律。</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8" w:name="_Toc3318"/>
      <w:r>
        <w:rPr>
          <w:rFonts w:hint="default" w:ascii="Times New Roman" w:hAnsi="Times New Roman" w:eastAsia="黑体" w:cs="Times New Roman"/>
          <w:color w:val="000000"/>
          <w:lang w:val="en-US" w:eastAsia="zh-CN"/>
        </w:rPr>
        <w:t xml:space="preserve">5 </w:t>
      </w:r>
      <w:r>
        <w:rPr>
          <w:rFonts w:hint="eastAsia" w:eastAsia="黑体" w:cs="Times New Roman"/>
          <w:color w:val="000000"/>
          <w:lang w:val="en-US" w:eastAsia="zh-CN"/>
        </w:rPr>
        <w:t>创建要求</w:t>
      </w:r>
      <w:bookmarkEnd w:id="8"/>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高校安全文化创建应围绕安全理念培育、目标职责落实、安全投入保障、制度体系完善、安全环境营造、安全教育实施、安全行为规范、保障预警强化、持续改进提升九大环节开展，确保创建工作有序推进、落地见效，提升校园安全文化水平。</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5.1 安全理念培育</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5.1.1 结合学校办学特色、校园安全实际，构建完整的安全理念体系，明确安全理念、安全愿景、安全使命、安全目标四大核心要素，形成书面手册并通过校园官网、公示栏等渠道公示，确保理念内容通俗易懂、具有感召力和针对性。</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5.1.2 安全理念体系应充分体现“以人为本”“安全发展”“风险预控”核心价值观，将总体国家安全观融入安全使命与目标表述，明确校园安全与国家安全、公共安全的衔接逻辑，彰显高校安全责任担当。</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5.1.3 强化安全理念传播宣贯，通过入学培训、入职培训、安全主题活动、校园宣传阵地、新媒体平台等3种及以上形式，实现理念传播全员覆盖；定期开展师生员工理念认同度调查，及时收集反馈意见并优化理念宣贯方式。</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5.2 目标职责落实</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5.2.1 明确安全文化创建核心目标、总体目标，构建“校园教育—家庭延伸—社会辐射”的传导机制，推动安全文化建设与安全管理工作协同推进，3年内实现“安全氛围浓厚、安全意识强化、安全技能提升、辐射社会有效”的阶段性成果。</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5.2.2 学校主要负责人、各岗位人员应公开作出安全承诺，签订《安全承诺书》，明确法定职责、岗位责任、承诺兑现措施；建立师生监督机制，保障师生员工对学校安全法律法规落实、安全承诺履行、安全规划实施、安全目标推进、安全投入保障等情况的监督权利。</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5.2.3 设置安全文化建设领导小组及办公室，制定《安全文化创建工作管理办法》，明确职责划分、流程规范、考核要求；办公室可单独设置或挂靠安全保卫部门，配备专职不少于2人或兼职不少于3人，明确岗位职责分工并形成书面文件。</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5.2.4 构建“校级—职能部门（二级学院）—教研室—师生个体”四级责任体系，制定各级责任清单，明确责任内容、考核标准；建立“线上+线下”安全信息沟通机制，鼓励师生员工积极参与安全事务、提出合理化建议，建立安全观察与报告制度，明确响应时限并及时处理反馈。</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5.2.5 制定安全文化创建责任制奖惩细则，明确表彰条件和处罚标准，将安全文化建设责任制落实情况纳入安全绩效考核指标，强化考核结果运用。</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5.3 安全投入保障</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5.3.1 设立安全文化创建专项经费，由学校主要负责人签署经费保障责任书，确保经费足额提取、专款专用，保障安全文化创建各项工作有序开展。</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5.3.2 安全文化建设办公室制定《专项经费使用管理办法》，明确经费审批流程、使用范围、监督要求；财务部门建立专项台账，详细记录经费提取金额、使用项目、票据编号、支出金额等信息，实现经费使用全程可追溯。</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5.3.3 专项经费使用范围限定为安全环境营造、安全教育培训、安全主题活动开展、隐患评估与治理、安全文化宣传、安全技能演练等与安全文化创建直接相关的支出，确保支出明细清晰、分类规范。</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5.3.4 安全文化建设办公室每年定期对安全文化创建专项经费的投入、提取和使用情况进行检查，形成《经费使用评估报告》，评估结果与安全绩效考核直接挂钩。</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5.4 安全制度完善</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5.4.1 建立健全综合管理、责任落实、风险防控、应急处置、考核奖惩、培训教育等6类及以上安全管理制度，确保制度符合国家法律、法规及行业标准要求；定期开展制度合规性评审，形成评审报告，根据评审结果及实际情况及时修订完善制度。</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5.4.2 实行安全责任书逐级签订制度，明确领导层、职能部门（二级学院）、教研室（或专业）的责任边界与考核指标，每年3月31日前完成签订工作，责任书存档年限不低于5年。</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5.4.3 制定安全检查制度、隐患排查治理及效果评估制度，明确日常检查、专项检查、综合检查的流程、频次、责任主体，定期对隐患治理情况进行验收，实现隐患排查治理闭环管理。</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5.4.4 建立安全事故报告机制，严格执行“1小时初报、24小时详报”要求，详细记录事故经过、原因分析、整改措施、处理结果；建立整改跟踪台账，实现事故处理、隐患整改闭环管理。</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5.4.5 编制突发公共卫生事件、自然灾害、事故灾难、社会安全事件等各类应急预案，明确响应流程、责任分工、处置措施，每3年组织1次评审修订；建立安全绩效考核制度，将安全绩效考核纳入教职员工收入分配体系。</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5.4.6 对违反安全规章制度的行为、无伤害和轻微伤害事故，实行“原因分析—缺陷整改—全员教育”三步处置法；建立典型案例库，通过案例警示强化全员安全意识。</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5.5 安全环境营造</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5.5.1 加强校园各类场所安全管理，确保实验室、实训室、计算机房、教学楼、学生宿舍、食堂及其他公共场所环境符合高校安全技术标准，设备设施运行可靠、维护到位，消除各类环境安全隐患。</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5.5.2 规范危险源（点）标识管理，明确标识规范、悬挂位置，确保标识完好无损、清晰醒目；操作规程、安全警示标识应张贴在对应场所显著位置，便于师生员工查看、遵守。</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5.5.3 加强安全文化阵地建设，在教学、生活等公共区域设置安全文化廊、安全角、黑板报、宣传栏等阵地，定期更新宣传内容；黑板报、宣传栏宣传内容存档年限不少于1年。</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5.5.4 采用“传统媒体+新媒体”双渠道开展安全宣传，通过校园广播、校报、微信公众号、短视频平台等载体，宣传安全理念、安全知识、安全技能；定期开展演讲、展览、征文、书画、文艺汇演等安全主题活动，创新宣传方式方法。</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5.5.5 完善安全文化资料建设，配备充足的安全类书籍、音像资料及省级以上安全知识传播报纸、杂志；每年在省级（含）以上新闻媒体刊发不少于2篇安全文化建设创新成果、经验做法或理论研究文章。</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5.6 安全教育实施</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5.6.1 制定学校安全教育年度培训计划，明确培训对象、培训内容、培训课时、培训方式，建立“训前测试—训中记录—训后考核”的全流程培训管理机制，确保师生员工培训合格、掌握必备安全知识技能。</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5.6.2 加强安全管理和技术人员教育培训，培训内容应包含安全文化建设相关内容，确保其具备适应岗位要求的安全知识、安全职责和安全技能；实验室、实训室安全管理和技术人员必须100%依法培训并取得上岗资格，证书保持在有效期内。</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5.6.3 扩大安全教育培训覆盖范围，实现在编在岗教职员工、编外人员、外聘人员、在校学生全覆盖；设置固定的安全文化培训场所，配备必要的多媒体、模拟教具等教学设施设备，建立专（兼）职师资队伍。</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5.6.4 设置师生阅览室，配备专门的安全文化类报刊、图书、影像资料，每年更新资料，完善借阅记录；院系每季度开展不少于1次安全文化教育培训或主题活动，校级每年开展不少于1次专题培训或大型安全主题活动，留存活动方案、签到表、总结报告等相关资料。</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5.6.5 加强新生安全教育，向新生发放安全文化手册或安全常识手册，开展新生安全知识测试，检验教育成效并留存相关记录；每年开展不少于1次全员应急演练和不少于1次风险辨识活动，完善演练、隐患排查记录并规范存档。</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5.6.6 制定“安全文化进校园”年度实施方案，明确活动主题、活动形式、责任部门、实施步骤、预期成效，活动结束后提交总结报告，包含成效数据、存在问题及改进建议。</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5.7 安全行为规范</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5.7.1 决策层应带头践行安全理念，学校法定代表人（实际控制人）组织制定安全承诺，每年向职工代表大会通报校园安全工作及安全文化创建情况不少于1次；定期组织安全文化建设工作专题研究，及时通报安全检查与隐患整改情况，接受工会和师生员工监督。</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5.7.2 决策层应重视安全文化建设，明确目标任务，保障经费与人员投入，强化保障措施，落实安全责任，营造浓厚安全文化氛围；每年组织开展安全文化创建成效评估，推动工作持续优化。</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5.7.3 管理层应明确本部门安全管理目标，与下属签订安全责任书，每月检查责任落实情况；建立健全本部门安全规章制度与操作规程，提升自身安全管理知识和技能，组织管理层开展安全知识测试。</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5.7.4 管理层应严格执行现场安全巡查、隐患排查等制度，杜绝安全隐患死角和盲区；组织开展多种形式的安全技能训练，提高师生员工安全技术水平；设立意见箱或线上反馈渠道，自觉接受师生监督，师生意见响应时限不超过48小时，持续改进本部门安全管理工作。</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5.7.5 员工层应熟知学校安全理念和岗位安全承诺，参加岗位安全培训教育并测试合格；严格履行岗位安全职责，熟练掌握岗位安全操作规程，养成良好执业行为习惯，杜绝违反安全规章制度和劳动纪律的行为。</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5.7.6 员工层应具备岗位执业风险认知能力和防范能力，掌握应急处置、自救互救和逃生知识技能；实验室、实训室管理人员应自觉正确使用和佩戴劳动防护用品，及时发现并报告事故隐患和不安全因素，提出合理化建议，积极参加各类安全活动。</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5.7.7 学生层应熟知学校安全理念和安全承诺，严格遵守学校各项安全规章制度；主动接受学校安全教育培训，掌握应急处置、自救互救和逃生知识技能；进入实验室、实训室时自觉正确使用和佩戴劳动防护用品，主动发现并报告事故隐患和不安全因素，积极参加各类安全活动。</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5.7.8 学校应建立完善的劳动安全卫生保障机制，为师生员工创造符合国家校园安全卫生标准和要求的校园环境与条件，保障师生员工在校园内工作、学习、生活的安全；工会组织依法对师生劳动保护工作进行监督，维护师生合法权益。</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5.7.9 学校应对入校新生进行健康检查，督导学生购买平安保险和医疗保险；定期对教职员工进行健康检查，确保符合岗位健康要求，切实维护师生员工身心健康。</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5.8 安全保障与预警机制建设</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5.8.1 安全文化建设办公室应牵头制定并实施校园安全应急预案，每半年至少组织或参加1次安全应急演练；演练结束后30日内完成演练评估和预案修订工作，完善演练档案，确保档案完整可追溯。</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5.8.2 建立健全校园安全预警机制，明确预警等级、响应流程、发布渠道和处置措施；制定双重预防机制实施细则，加强对校园安全保障工作的督促、检查，及时排查消除安全隐患，防范各类安全事故发生。</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cs="Times New Roman"/>
          <w:color w:val="000000"/>
          <w:lang w:val="en-US" w:eastAsia="zh-CN"/>
        </w:rPr>
      </w:pPr>
      <w:r>
        <w:rPr>
          <w:rFonts w:hint="default" w:ascii="Times New Roman" w:cs="Times New Roman"/>
          <w:color w:val="000000"/>
          <w:lang w:val="en-US" w:eastAsia="zh-CN"/>
        </w:rPr>
        <w:t>5.9 持续改进提升</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5.9.1 建立“事件收集—原因分析—措施改进—成效评估”的安全信息收集和反馈机制，制定风险分级清单，实现隐患排查治理闭环管理，从安全相关事件中吸取教训，持续改进安全工作和安全文化创建工作。</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5.9.2 建立安全文化创建考核评估机制，学校每年组织开展1次安全文化建设绩效考核评估，采用自评方式查找不符合项，分析原因、制定整改措施，跟踪整改落实情况，不断提升安全文化创建水平。</w:t>
      </w:r>
    </w:p>
    <w:p>
      <w:pPr>
        <w:pStyle w:val="1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5.9.3 加强校际、校企及与相关部门的交流合作，吸收借鉴安全文化建设先进经验和成果，结合学校实际制定改进方案并严格落实，推动安全文化创建工作提质增效。</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9" w:name="_Toc14665"/>
      <w:r>
        <w:rPr>
          <w:rFonts w:hint="eastAsia" w:eastAsia="黑体" w:cs="Times New Roman"/>
          <w:color w:val="000000"/>
          <w:lang w:val="en-US" w:eastAsia="zh-CN"/>
        </w:rPr>
        <w:t>6</w:t>
      </w:r>
      <w:r>
        <w:rPr>
          <w:rFonts w:hint="default" w:ascii="Times New Roman" w:hAnsi="Times New Roman" w:eastAsia="黑体" w:cs="Times New Roman"/>
          <w:color w:val="000000"/>
          <w:lang w:val="en-US" w:eastAsia="zh-CN"/>
        </w:rPr>
        <w:t>评价指标</w:t>
      </w:r>
      <w:bookmarkEnd w:id="9"/>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.1 安全理念</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.1.1 安全理念体系完整，包含安全理念、安全愿景、安全使命、安全目标4项核心要素，以书面手册或官网公示的形式呈现；内容通俗易懂，贴合学校办学特色与安全实际，具有感召力。</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.1.2 理念体系充分体现“以人为本”、“安全发展”、“风险预控”核心价值观，将</w:t>
      </w:r>
      <w:r>
        <w:rPr>
          <w:rFonts w:hint="eastAsia" w:ascii="Times New Roman" w:hAnsi="Times New Roman" w:eastAsia="宋体" w:cs="Times New Roman"/>
          <w:color w:val="000000"/>
          <w:kern w:val="2"/>
          <w:sz w:val="21"/>
          <w:szCs w:val="24"/>
          <w:lang w:val="en-US" w:eastAsia="zh-CN"/>
        </w:rPr>
        <w:t>总体</w:t>
      </w:r>
      <w:r>
        <w:rPr>
          <w:rFonts w:hint="default" w:ascii="Times New Roman" w:hAnsi="Times New Roman" w:eastAsia="宋体" w:cs="Times New Roman"/>
          <w:color w:val="000000"/>
          <w:kern w:val="2"/>
          <w:sz w:val="21"/>
          <w:szCs w:val="24"/>
          <w:lang w:val="en-US" w:eastAsia="zh-CN"/>
        </w:rPr>
        <w:t>国家安全观融入安全使命与目标表述，明确校园安全与国家安全的衔接逻辑。</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.1.3 安全理念应将高校的教育价值与人的生命价值和谐统一，成为践行总体国家安全观、构建高校师生命运共同体的关键环节和重要组成部分。</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.1.4 理念传播覆盖全员，通过入职或入学培训、主题活动、阵地宣传等3种以上形式宣贯，开展师生员工理念认同度调查并留存调查记录。</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.2 目标与职责</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.2.1 安全目标</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.2.1.1 核心目标：构建全域覆盖、浸润人心的安全文化氛围，培育主动防控、文明自律的安全行为生态，锻造全面过硬的应急能力体系，通过“校园教育—家庭延伸—社会辐射”的传导机制增强全社会的安全意识。</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.2.1.2 总体目标：3年内实现“安全氛围浓厚、意识强化、技能提升、辐射社会”的阶段性成果，形成可复制、可推广的安全文化创建模式。。</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.2.1.3 安全承诺：学校主要负责人、各岗位人员公开作出安全承诺，签订《安全承诺书》，内容包括法定职责、岗位责任、承诺兑现措施、承诺人签字。承诺人努力实现安全承诺内容，师生员工对学校落实校园安全法律法规、安全承诺、安全规划、安全目标、安全投入等进行监督并留存监督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.2.2 安全机构</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.2.2.1 学校应设置安全文化建设领导小组和办公室，明确全员职责制文件，制定《工作管理办法》，内容包括职责划分、流程规范、考核要求等，文件齐全并规范存档。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.2.2.2 安全文化建设办公室可单独设置或挂靠安全保卫部门，办公室主任为专职或由安全保卫部门主要负责人兼任；其他成员专职不少于2人或兼职不少于3人，职责分工文件齐全、明确具体。</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.2.3 安全职责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.2.3.1 责任覆盖：形成“校级——职能部门（二级学院）——教研室——师生个体”四级责任体系，各级责任清单明确责任内容、考核标准，责任清单规范存档。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.2.3.2 主任职责：安全文化建设领导小组主任应按规定提取、使用安全管理费用，把安全宣传教育经费、安全文化创建经费纳入年度预算并公示；组织编制责任制、实施方案、规划目标、方法措施等内容，每年更新1次并存档；定期发布安全诚信报告，接受工会组织、群众的监督并留存监督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.2.3.3 成员职责：制定具体的安全文化建设工作制度，按分工组织开展安全环境营造、安全教育培训、主题活动、安全行为督导、安全保障、安全绩效考核等事项，留存相关工作记录。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.2.3.4 全员参与：建立“线上+线下”安全信息沟通机制，确保成员之间保持良好的沟通协作，鼓励全体师生员工积极参与安全事务，实时收集师生员工建议并建立建议台账，明确处理时限和反馈方式。</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.2.3.5 考核奖惩：制定安全文化建设责任制奖惩细则，明确表彰条件和处罚标准，将安全文化建设责任制落实情况纳入安全绩效考核指标，考核结果与奖惩挂钩并留存相关记录。</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.3 安全投入</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.3.1 专项经费：学校设立安全文化建设专项经费，主要负责人签署经费保障责任书，保证安全文化建设所必需的资金投入，做到足额提取、专款专用，责任书规范存档。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.3.2 经费管理：办公室制定《经费使用管理办法》，明确审批流程与监督要求；财务部门建立专项台账，记录提取金额、使用项目、票据编号、支出金额、使用日期等信息，台账规范完整。</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.3.3 经费使用：限定专项经费使用范围包括安全环境营造、安全教育培训、安全活动开展、隐患评估与治理、其他与安全文化建设直接相关的支出，支出明细、分类清晰，相关票据规范存档。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.3.4 检查考核：办公室每年定期对安全费用投入、提取和使用情况进行检查，形成《经费使用评估报告》，评估结果与安全绩效考核直接挂钩，报告规范存档。</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.4 安全制度</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.4.1 制度体系：建立健全综合管理、责任落实、风险防控、应急处置等6类以上制度，符合国家法律、行业标准要求。定期开展合规性评审，形成评审报告，根据评审结果及时修订制度并留存相关记录。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.4.2 责任制度：逐级签订《安全责任书》，明确领导层、职能部门（二级学院）和教研室（或专业）责任边界与考核指标，签订完成时间不晚于每年3月31日，责任书存档年限不低于5年，存档规范。</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.4.3 排查制度：制定安全检查制度和隐患排查治理及效果评估制度，明确日常检查、专项检查、综合检查的流程、频次、责任主体。定期对隐患治理进行验收，实现闭环管理并留存相关记录。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.4.4 事故制度：建立事故报告“1小时初报、24小时详报”机制，记录包括事故经过、原因分析、整改措施、处理结果、整改时限；整改跟踪台账实现“闭环管理”，台账规范完整。</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.4.5 应急制度：编制突发公共类、自然灾害类、事故灾难类、社会安全类事件应急预案，明确响应流程与责任分工，每3年组织评审修订1次，修订记录规范存档。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.4.6 考核制度：明确的安全绩效考核指标，并把安全绩效考核纳入教职员工的收入分配制度，考核制度规范、可操作性强，留存考核相关记录。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.4.7 处置制度：对违反安全规章制度的行为、无伤害和轻微伤害事故，实行“原因分析—缺陷整改—全员教育”三步处置法，留存处置相关记录和案例资料。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.4.8 奖惩制度：明确奖惩条件与奖励处罚标准，对安全管理、技术或安全文化创建工作方面有突出表现的人员给予表彰奖励，对履职不力、表现失职、工作缺位的人员给予批评教育、取消评优、纪律处分等处罚；建立典型案例库并进行宣传教育，案例库规范完善。</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.5 安全环境</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.5.1 场所安全：实验室、实训室、计算机房、教学楼、学生宿舍、食堂及其他公共场所环境均应符合高校相关安全技术标准，设备设施运行可靠、定期维护，留存维护记录。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.5.2 标识管理：危险源（点）标识明确规范，操作规程悬挂位置正确、清晰醒目，标识完好无损、定期检查更换，留存检查记录。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.5.3 阵地建设：教学活动场所、生活场所等公共区域应设置宣传设施；设立安全文化廊、安全角、黑板报、宣传栏等安全文化阵地，内容定期更新（每季度至少更新1次）；黑板报、宣传栏内容应存档，年限不少于1年，存档规范。</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.5.4 宣传传播：采用“传统媒体+新媒体”双渠道宣传，开展演讲、展览、征文、书画、文艺汇演等活动，创新方式方法，加强安全理念和知识技能的宣传，留存宣传活动相关资料。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.5.5 资料建设：有充足的安全类书籍、音像资料和省级以上安全知识传播的报纸、杂志；每年有不少于2篇在省级（含）以上新闻媒体刊发安全方面的创新成果、经验做法和理论研究方面的文章，文章原件或复印件规范存档。</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.6 安全教育</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.6.1 培训管理：制定学校安全教育年度培训计划，明确培训对象、内容和课时等；建立“训前测试—训中记录—训后考核”机制，确保师生职工培训合格，留存培训计划、测试试卷、培训记录、考核成绩等相关资料。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.6.2 人员培训：学校安全管理和技术人员必须参加安全教育培训，培训内容应包含安全文化建设内容，保证具备适应岗位要求的安全知识、安全职责和安全技能，留存培训记录和考核成绩。</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.6.3 持证上岗：实验室、实训室安全管理和技术人员100%依法培训并取得上岗资格，证书在有效期内，证书复印件规范存档。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.6.4 覆盖范围：培训范围包括在编在岗教职员工、编外人员、外聘人员、在校学生等，实现全员覆盖，留存培训人员台账。</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.6.5 硬件保障：有固定的安全文化培训场所和必要的多媒体、模拟教具等教学设施设备；建立专（兼）职师资力量，明确师资名单和岗位职责，留存师资相关资料。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.6.6 阅览设施：设置师生阅览室，配备专门的安全文化类报刊、图书或影像资料，每年更新资料，借阅记录完整、规范存档。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.6.7 活动频次：院系安全文化教育培训或活动每季度不少于1次，校级专题培训或活动每年不少于1次，留存活动方案、签到表、照片、总结报告等相关资料。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.6.8 新生教育：新生发放安全文化手册或安全常识手册，测试检验合格，留存手册发放记录、测试试卷、成绩记录等相关资料。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.6.9 实战演练：每年开展全员应急演练活动不少于1次，风险辨识活动不少于1次，演练和隐患排查记录、评估报告规范存档。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.6.10 校园活动：制定“安全文化进校园”年度方案，明确主题、形式、责任部门；活动结束后提交总结报告，报告应包含成效数据、存在问题和改进建议，方案和总结报告规范存档。</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.7 安全行为</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.7.1 决策层行为表现</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.7.1.1 法定代表人（实际控制人）组织制定安全承诺，每年向职工代表大会通报校园安全情况不少于1次，留存通报记录和会议纪要。</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.7.1.2 定期组织安全文化建设工作专题研究，及时通报安全检查与隐患整改情况，接受工会和员工监督，留存专题研究记录、通报记录、监督反馈记录。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.7.1.3 重视学校安全文化建设，目标任务明确，保障安全文化建设经费与人员投入，保障措施有力，责任落实到位，文化氛围浓厚，每年对建设成效开展评估并留存评估报告。</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.7.1.4 定期组织应急预案演练并评估、修订，增强员工安全意识和应急处置能力，留存演练记录、评估报告、预案修订记录。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 xml:space="preserve">.7.2 管理层行为表现 </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.7.2.1 明确本部门的安全管理目标，与下属签订责任书，每月检查责任落实情况，留存责任书、检查记录。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.7.2.2 建立健全本部门安全规章制度与操作规程，具备相应的安全管理知识和技能；组织管理层安全知识测试，留存规章制度、操作规程、测试试卷和成绩记录。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.7.2.3 严格执行现场安全巡查、隐患排查等各项制度，杜绝出现安全隐患的死角和盲区，留存巡查记录、隐患排查记录。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.7.2.4 组织开展多种形式的安全技能训练，提高师生员工安全技术水平，留存技能训练记录、照片等相关资料。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.7.2.5 设立意见箱或线上渠道，自觉接受师生监督，师生意见响应时限不超过48小时；持续改进本部门的安全管理工作，留存意见反馈记录、改进措施记录。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.7.3 员工层行为表现</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.7.3.1 熟知学校安全理念和岗位安全承诺，参加岗位安全培训教育并测试合格，留存培训记录、考核成绩。</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.7.3.2 履行岗位安全职责，熟练掌握岗位安全操作规程，执业行为习惯良好，无违反安全规章制度和劳动纪律现象，留存岗位履职检查记录。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.7.3.3 具备岗位执业风险认知能力并能有效防范，掌握应急处置、自救互救和逃生知识技能，留存技能考核记录。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.7.3.4 实验室、实训室管理人员自觉使用和正确佩戴劳动防护用品，留存检查记录。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.7.3.5 善于发现并及时报告事故隐患和不安全因素，提出合理化建议，留存隐患报告记录、建议台账。</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.7.3.6 自觉参加校级、部门级组织的各类安全活动，留存活动签到表、参与记录。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.7.4 学生层行为表现</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.7.4.1 熟知学校安全理念和岗位安全承诺，遵守学校各项安全规章制度，留存日常行为检查记录。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.7.4.2 接受学校的安全教育培训，掌握应急处置、自救互救和逃生知识技能，留存培训记录、考核成绩。</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.7.4.3 进入实验室、实训室的学生自觉使用和正确佩戴劳动防护用品，留存检查记录。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.7.4.4 善于发现并及时报告事故隐患和不安全因素，提出合理化建议，留存隐患报告记录、建议台账。</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.7.4.5 自觉参加校级、院级组织的各类安全活动，留存活动签到表、参与记录。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eastAsia" w:eastAsia="黑体" w:cs="Times New Roman"/>
          <w:color w:val="000000"/>
          <w:kern w:val="0"/>
          <w:sz w:val="21"/>
          <w:szCs w:val="21"/>
          <w:lang w:val="en-US" w:eastAsia="zh-CN" w:bidi="ar"/>
        </w:rPr>
        <w:t>6</w:t>
      </w:r>
      <w:r>
        <w:rPr>
          <w:rFonts w:hint="default" w:ascii="Times New Roman" w:hAnsi="Times New Roman" w:eastAsia="黑体" w:cs="Times New Roman"/>
          <w:color w:val="000000"/>
          <w:kern w:val="0"/>
          <w:sz w:val="21"/>
          <w:szCs w:val="21"/>
          <w:lang w:val="en-US" w:eastAsia="zh-CN" w:bidi="ar"/>
        </w:rPr>
        <w:t>.7.5 劳动保护</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.7.5.1 学校建立完善的劳动安全卫生保障机制，为师生员工创造符合国家有关校园安全卫生标准和要求的校园环境和条件，并采取措施保障师生在校园内工作、学习、生活等行为的安全，留存相关保障措施文件、检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.7.5.2 工会组织依法对师生劳动保护工作进行监督，维护师生的合法权益，留存监督记录、反馈意见及处理记录。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.7.5.3 学校对入校新生进行健康检查并督导学生购买平安保险和医疗保险，定期对教职员工进行健康检查并达到标准要求，维护师生身心健康，留存健康检查记录、保险购买记录。</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.8 安全保障和预警机制</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.8.1 应急管理：安全文化建设办公室应制定并实施本单位的安全应急预案，每半年至少组织或参加1次安全应急演练；演练后30日内完成评估和预案修订，演练档案完整（含方案、签到表、照片、评估报告、修订记录），规范存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.8.2 预警防控：建立安全预警机制，明确预警等级、响应流程与发布渠道；制定双重预防机制实施细则，督促、检查本单位的安全保障工作，及时消除安全隐患，留存预警机制文件、实施细则、检查记录、隐患整改记录。</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cs="Times New Roman"/>
          <w:color w:val="000000"/>
          <w:lang w:val="en-US" w:eastAsia="zh-CN"/>
        </w:rPr>
        <w:t>6</w:t>
      </w:r>
      <w:r>
        <w:rPr>
          <w:rFonts w:hint="default" w:ascii="Times New Roman" w:hAnsi="Times New Roman" w:cs="Times New Roman"/>
          <w:color w:val="000000"/>
          <w:lang w:val="en-US" w:eastAsia="zh-CN"/>
        </w:rPr>
        <w:t>.9 持续改进</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.9.1 信息机制：建立“事件收集—原因分析—措施改进”信息收集和反馈机制，制定风险分级清单，实现隐患排查治理闭环管理，从与安全相关的事件中吸取教训，改进安全工作，留存信息收集台账、原因分析报告、改进措施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.9.2 考核评估：建立安全文化建设考核机制，学校每年组织开展安全文化建设绩效考核评估。考核评估采取自评的方式查找学校在安全文化建设各项指标中的不符合项，并通过对不符合项进行整改，提高安全文化建设水平，留存自评报告、不符合项汇总表、整改措施及落实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w:t>
      </w:r>
      <w:r>
        <w:rPr>
          <w:rFonts w:hint="default" w:ascii="Times New Roman" w:hAnsi="Times New Roman" w:eastAsia="宋体" w:cs="Times New Roman"/>
          <w:color w:val="000000"/>
          <w:kern w:val="2"/>
          <w:sz w:val="21"/>
          <w:szCs w:val="24"/>
          <w:lang w:val="en-US" w:eastAsia="zh-CN"/>
        </w:rPr>
        <w:t>.9.3 交流合作：加强交流合作，吸收借鉴安全文化建设的先进经验和成果，形成改进方案并落实，留存交流合作记录、改进方案、落实情况报告。</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6.10</w:t>
      </w:r>
      <w:r>
        <w:rPr>
          <w:rFonts w:hint="default" w:ascii="Times New Roman" w:hAnsi="Times New Roman" w:cs="Times New Roman"/>
          <w:color w:val="000000"/>
          <w:lang w:val="en-US" w:eastAsia="zh-CN"/>
        </w:rPr>
        <w:t xml:space="preserve"> 减分指标</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减分指标包括安全事故、违法违规记录、通报批评、举报或投诉记录等。具体包括以下四项内容，出现相关情况的，按对应标准予以减分：</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（1）当年发生1起及以上安全事故。</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（2）当年可追溯安全保卫方面违法记录1条及以上，或违规记录3条及以上。</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（3）当年安全文化建设工作被市级及以上部门（或单位）通报批评。</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（4）当年安全文化建设工作被举报或投诉，经查证属实且损害学校声誉、对学校造成负面影响。</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10" w:name="_Toc29324"/>
      <w:r>
        <w:rPr>
          <w:rFonts w:hint="default" w:ascii="Times New Roman" w:hAnsi="Times New Roman" w:eastAsia="黑体" w:cs="Times New Roman"/>
          <w:color w:val="000000"/>
          <w:lang w:val="en-US" w:eastAsia="zh-CN"/>
        </w:rPr>
        <w:t>7 评估程序</w:t>
      </w:r>
      <w:bookmarkEnd w:id="10"/>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7.1 自评方式与频次</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各高校安全文化创建考核评估采用“自评”的方式。各校应规范本单位自评工作的职责分工、实施流程、具体要求及评价方法，每年开展1次全面的安全文化建设自评，确保本校安全文化创建评估工作系统、客观、公正，留存自评相关全部资料。</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7.2 自评组织与职责</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学校主要负责人牵头组织本校安全文化创建自评工作。自评工作由本校组建的自评组具体实施，自评组可根据需要下设各院系（部门）自评小组，分层级开展评价；明确自评组及各小组职责，留存自评组织架构、职责分工文件。</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7.3 自评要素与指标</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自评内容应包括以下核心要素及对应指标：安全理念、安全目标、安全机构与人员配备、安全职责体系、安全投入保障、安全制度建设、安全环境营造、安全教育培训、安全行为规范、安全保障与预警机制、持续改进机制等，对照本文件第6章评价指标逐项开展自评。</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7.4 自评实施阶段</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7.4.1 准备阶段</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制定自评工作方案，明确评价依据、范围、方法、人员组成及时间安排；遴选具备相应能力的人员组建自评团队，开展自评前培训；完成资料收集清单拟定、现场检查路线规划等准备工作，留存自评方案、培训记录、资料收集清单、检查路线规划表。</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7.4.2 实施评价阶段</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对照既定评价标准，通过以下方式开展评价并记录过程：</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（1）资料核查：查阅 “安全责任书”“安全承诺书”“安全绩效考核制度” 等文件资料，验证其与评价标准的符合性，留存资料核查记录；</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（2）人员访谈：跨阶层随机选取师生员工，围绕学校安全文化建设与管理情况进行访谈，记录反馈意见，对合理化建议及时吸纳并纳入改进计划，留存访谈记录、建议台账、改进计划；</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（3）现场观察：检查安全设施的配置、使用及实效情况，核查各场所（教学、实验、办公、生活等）安全环境是否符合评价标准，留存现场观察记录、照片或视频资料；</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（4）问卷调查：由自评组编制符合评价指标的问卷，对不同阶层人员进行随机书面调查，确保评价结果的有效性、真实性和可靠性，留存问卷样本、调查结果统计分析报告。</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7.4.3 分析与评分阶段</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对各评价要素及指标的符合性进行定性与定量分析，逐项评价并赋分；统计各部分得分及总得分，如实填入本单位《高校安全文化创建自评表》（详见附录 A）；形成得分分析报告，明确优势项、薄弱环节，留存评分表、得分分析报告。</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7.5 不符合项处理</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对自评中发现的不符合项进行汇总，形成《自评不符合项及扣分说明汇总表》（详见附录B）；组织相关部门分析不符合项产生的原因，制定整改措施，明确责任部门、责任人和完成时限，跟踪整改落实情况，形成整改闭环，留存不符合项汇总表、原因分析报告、整改方案、整改落实记录、整改验收报告。</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7.6 结果公示</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年度自评结果应通过校内公告栏、校园网等渠道向全校师生公示，公示期限不少于5个工作日，接受监督；对公示期间收到的异议及时核查处理并反馈，留存公示照片、公示文件、异议核查处理记录。</w:t>
      </w:r>
    </w:p>
    <w:p>
      <w:pPr>
        <w:pStyle w:val="1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7.7 记录保存</w:t>
      </w:r>
    </w:p>
    <w:p>
      <w:pPr>
        <w:pStyle w:val="1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各校应妥善保存年度自评及整改相关的全部记录和资料（包括方案、原始记录、评分表、不符合项汇总表、整改报告等），保存期限不少于3年，保存方式规范、便于查阅。</w:t>
      </w:r>
    </w:p>
    <w:p>
      <w:pPr>
        <w:pStyle w:val="10"/>
        <w:ind w:left="0" w:leftChars="0" w:firstLine="0" w:firstLineChars="0"/>
        <w:rPr>
          <w:rFonts w:hint="default" w:ascii="Times New Roman" w:hAnsi="Times New Roman" w:cs="Times New Roman"/>
          <w:color w:val="auto"/>
          <w:lang w:val="en-US" w:eastAsia="zh-CN"/>
        </w:rPr>
      </w:pPr>
    </w:p>
    <w:p>
      <w:pPr>
        <w:widowControl/>
        <w:spacing w:line="324" w:lineRule="exact"/>
        <w:jc w:val="center"/>
        <w:outlineLvl w:val="1"/>
        <w:rPr>
          <w:rFonts w:hint="default" w:ascii="黑体" w:eastAsia="黑体"/>
        </w:rPr>
      </w:pPr>
      <w:r>
        <w:rPr>
          <w:rFonts w:hint="default" w:ascii="Times New Roman" w:hAnsi="Times New Roman" w:cs="Times New Roman"/>
        </w:rPr>
        <w:br w:type="page"/>
      </w:r>
      <w:r>
        <w:rPr>
          <w:rFonts w:hint="default" w:ascii="黑体" w:eastAsia="黑体"/>
        </w:rPr>
        <w:t>附录</w:t>
      </w:r>
      <w:r>
        <w:rPr>
          <w:rFonts w:hint="default" w:ascii="黑体" w:eastAsia="黑体"/>
          <w:lang w:val="en-US" w:eastAsia="zh-CN"/>
        </w:rPr>
        <w:t>A</w:t>
      </w:r>
    </w:p>
    <w:p>
      <w:pPr>
        <w:widowControl/>
        <w:spacing w:line="324" w:lineRule="exact"/>
        <w:jc w:val="center"/>
        <w:outlineLvl w:val="1"/>
        <w:rPr>
          <w:rFonts w:hint="default" w:ascii="黑体" w:eastAsia="黑体"/>
        </w:rPr>
      </w:pPr>
      <w:r>
        <w:rPr>
          <w:rFonts w:hint="default" w:ascii="黑体" w:eastAsia="黑体"/>
        </w:rPr>
        <w:t>（资料性附录）</w:t>
      </w:r>
    </w:p>
    <w:p>
      <w:pPr>
        <w:widowControl/>
        <w:spacing w:line="324" w:lineRule="exact"/>
        <w:jc w:val="center"/>
        <w:outlineLvl w:val="1"/>
        <w:rPr>
          <w:rFonts w:hint="default" w:ascii="黑体" w:eastAsia="黑体"/>
        </w:rPr>
      </w:pPr>
      <w:r>
        <w:rPr>
          <w:rFonts w:hint="default" w:ascii="黑体" w:eastAsia="黑体"/>
        </w:rPr>
        <w:t>高校安全文化创建自评表</w:t>
      </w:r>
    </w:p>
    <w:tbl>
      <w:tblPr>
        <w:tblStyle w:val="7"/>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42"/>
        <w:gridCol w:w="665"/>
        <w:gridCol w:w="6811"/>
        <w:gridCol w:w="513"/>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blHeader/>
          <w:jc w:val="center"/>
        </w:trPr>
        <w:tc>
          <w:tcPr>
            <w:tcW w:w="415" w:type="dxa"/>
            <w:vAlign w:val="center"/>
          </w:tcPr>
          <w:p>
            <w:pPr>
              <w:widowControl/>
              <w:spacing w:line="260" w:lineRule="exact"/>
              <w:jc w:val="center"/>
              <w:rPr>
                <w:rFonts w:hint="default" w:ascii="黑体" w:hAnsi="黑体" w:eastAsia="黑体" w:cs="黑体"/>
                <w:color w:val="000000"/>
                <w:kern w:val="0"/>
                <w:sz w:val="18"/>
                <w:szCs w:val="18"/>
              </w:rPr>
            </w:pPr>
            <w:r>
              <w:rPr>
                <w:rFonts w:hint="default" w:ascii="黑体" w:hAnsi="黑体" w:eastAsia="黑体" w:cs="黑体"/>
                <w:color w:val="000000"/>
                <w:kern w:val="0"/>
                <w:sz w:val="18"/>
                <w:szCs w:val="18"/>
              </w:rPr>
              <w:t>序号</w:t>
            </w:r>
          </w:p>
        </w:tc>
        <w:tc>
          <w:tcPr>
            <w:tcW w:w="642" w:type="dxa"/>
            <w:vAlign w:val="center"/>
          </w:tcPr>
          <w:p>
            <w:pPr>
              <w:widowControl/>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eastAsia="zh-CN"/>
              </w:rPr>
              <w:t>指标类别</w:t>
            </w:r>
          </w:p>
        </w:tc>
        <w:tc>
          <w:tcPr>
            <w:tcW w:w="665" w:type="dxa"/>
            <w:vAlign w:val="center"/>
          </w:tcPr>
          <w:p>
            <w:pPr>
              <w:widowControl/>
              <w:spacing w:line="260" w:lineRule="exact"/>
              <w:jc w:val="center"/>
              <w:rPr>
                <w:rFonts w:hint="default" w:ascii="黑体" w:hAnsi="黑体" w:eastAsia="黑体" w:cs="黑体"/>
                <w:color w:val="000000"/>
                <w:kern w:val="0"/>
                <w:sz w:val="18"/>
                <w:szCs w:val="18"/>
              </w:rPr>
            </w:pPr>
            <w:r>
              <w:rPr>
                <w:rFonts w:hint="default" w:ascii="黑体" w:hAnsi="黑体" w:eastAsia="黑体" w:cs="黑体"/>
                <w:color w:val="000000"/>
                <w:kern w:val="0"/>
                <w:sz w:val="18"/>
                <w:szCs w:val="18"/>
              </w:rPr>
              <w:t>一级指标</w:t>
            </w:r>
          </w:p>
        </w:tc>
        <w:tc>
          <w:tcPr>
            <w:tcW w:w="6811" w:type="dxa"/>
            <w:vAlign w:val="center"/>
          </w:tcPr>
          <w:p>
            <w:pPr>
              <w:widowControl/>
              <w:spacing w:line="260" w:lineRule="exact"/>
              <w:jc w:val="center"/>
              <w:rPr>
                <w:rFonts w:hint="default" w:ascii="黑体" w:hAnsi="黑体" w:eastAsia="黑体" w:cs="黑体"/>
                <w:color w:val="000000"/>
                <w:kern w:val="0"/>
                <w:sz w:val="18"/>
                <w:szCs w:val="18"/>
              </w:rPr>
            </w:pPr>
            <w:r>
              <w:rPr>
                <w:rFonts w:hint="default" w:ascii="黑体" w:hAnsi="黑体" w:eastAsia="黑体" w:cs="黑体"/>
                <w:color w:val="000000"/>
                <w:kern w:val="0"/>
                <w:sz w:val="18"/>
                <w:szCs w:val="18"/>
              </w:rPr>
              <w:t>二级指标</w:t>
            </w:r>
          </w:p>
        </w:tc>
        <w:tc>
          <w:tcPr>
            <w:tcW w:w="513" w:type="dxa"/>
            <w:vAlign w:val="center"/>
          </w:tcPr>
          <w:p>
            <w:pPr>
              <w:widowControl/>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rPr>
              <w:t>评</w:t>
            </w:r>
            <w:r>
              <w:rPr>
                <w:rFonts w:hint="default" w:ascii="黑体" w:hAnsi="黑体" w:eastAsia="黑体" w:cs="黑体"/>
                <w:color w:val="000000"/>
                <w:kern w:val="0"/>
                <w:sz w:val="18"/>
                <w:szCs w:val="18"/>
                <w:lang w:eastAsia="zh-CN"/>
              </w:rPr>
              <w:t>分</w:t>
            </w:r>
          </w:p>
        </w:tc>
        <w:tc>
          <w:tcPr>
            <w:tcW w:w="513" w:type="dxa"/>
            <w:vAlign w:val="center"/>
          </w:tcPr>
          <w:p>
            <w:pPr>
              <w:widowControl/>
              <w:spacing w:line="260" w:lineRule="exact"/>
              <w:jc w:val="center"/>
              <w:rPr>
                <w:rFonts w:hint="default" w:ascii="黑体" w:hAnsi="黑体" w:eastAsia="黑体" w:cs="黑体"/>
                <w:color w:val="000000"/>
                <w:kern w:val="0"/>
                <w:sz w:val="18"/>
                <w:szCs w:val="18"/>
              </w:rPr>
            </w:pPr>
            <w:r>
              <w:rPr>
                <w:rFonts w:hint="default" w:ascii="黑体" w:hAnsi="黑体" w:eastAsia="黑体" w:cs="黑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安全理念</w:t>
            </w: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1.安全理念体系完整，安全理念、安全愿景、安全使命、安全目标等内容通俗易懂，切合学校实际，具有感召力。</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2.安全文化创建工作紧紧围绕国家安全观开展，以国家安全观为指导纲领，践行总体国家安全观的使命担当。</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安全文化创建的出发点和最终目的旨在关心和保护师生员工的身体健康和生命安全，保护学校和个人的财产安全，创造优美舒适的工作学习和生活环境，将学校的教育价值与人的生命价值和谐地统一起来，成为构建高校师生命运共同体的关键环节和重要组成部分。</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eastAsia="zh-CN"/>
              </w:rPr>
              <w:t>安全目标</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4.安全文化创建以提倡和践行“以人为本”的安全理念为核心目标，既保护校园内“人”的生存或物质层面的安全，也重视“人”的价值或精神层面的安全。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5.安全文化建设总体目标旨在使学校形成浓厚的安全文化氛围，广大师生具有强烈的安全意识和文明的行为习惯，树立正确的安全理念，提高自我防范、自我救护、防护能力，并通过他们影响家庭，影响社会，增强全社会的安全意识。</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6.学校主要负责人及各岗位人员都公开作出安全承诺，签订《安全承诺书》。《安全承诺书》格式规范，内容全面、具体，承诺人签字。承诺人努力实现安全承诺内容，师生员工对学校落实校园安全法律法规以及安全承诺、安全规划、安全目标、安全投入等进行监督。</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3</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eastAsia="zh-CN"/>
              </w:rPr>
              <w:t>安全机构</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7.学校设置安全文化建设的组织管理机构和人员，建立健全并落实本单位全员安全文化建设责任制，制定相关工作制度（办法)。</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8.安全文化建设办公室可单独设置，也可设在学校安全保卫部门，办公室主任为专职或由安全保卫部门主要负责人兼任；其他成员可为专职，也可由安全保卫部门人员兼职。</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4</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eastAsia="zh-CN"/>
              </w:rPr>
              <w:t>安全职责</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9.安全文化建设责任制需将责任覆盖全员，学校各级各部门严格落实所属责任。</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10.办公室主任按规定提取、使用安全管理费用，把安全宣传教育经费纳入年度费用计划，保证安全文化建设的投入；组织制定安全文化建设责任制、实施方案、规划目标、方法措施等；定期公开发布学校安全诚信报告，接受工会组织、群众的监督。</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11.办公室其他成员负责具体制定安全文化建设相关工作制度（办法），根据各自职责分工组织开展安全环境营造、安全教育、安全培训、安全活动、安全行为督导、安全保障、安全绩效考核等事项。</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12.领导层、各职能部门、二级学院和教研室（或专业）、学生群体均参与安全文化建设，形成全员参与的良好局面。学校建立安全信息沟通机制，确保各级各部门领导和安全管理部门保持良好的沟通协作，鼓励全校师生参与安全事务，采纳师生的合理化建议，同时建立安全观察和安全报告制度，对师生员工识别的安全隐患，给予及时的处理和反馈。</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lang w:eastAsia="zh-CN"/>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13.建立健全安全文化建设责任制落实的考核体系和奖惩机制，将对责任制落实情况的考核纳入安全绩效考核指标，起到有效的奖惩作用。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5</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eastAsia="zh-CN"/>
              </w:rPr>
              <w:t>安全投入</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14.学校设立安全文化建设专项经费，主要负责人保证安全文化建设所必需的资金投入，做到专款专用。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15.学校安全文化建设办公室负责制定保障安全文化建设资金投入的相关制度，对安全投入资金的使用情况进行监督检查。财务部门负责依据安全文化建设资金投入制度建立专项经费管理台账，记录安全费用的提取和使用情况。</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16.专项经费使用范围包括：安全环境营造；安全教育培训；安全活动开展；隐患评估和治理；其他与安全文化建设直接相关的支出。</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17.每年由安全文化建设办公室对安全费用投入、提取和使用情况进行检查，检查结果与安全绩效考核挂钩。</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6</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安全制度</w:t>
            </w: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18.</w:t>
            </w:r>
            <w:r>
              <w:rPr>
                <w:rFonts w:hint="default" w:ascii="宋体" w:hAnsi="宋体" w:cs="宋体"/>
                <w:color w:val="000000"/>
                <w:kern w:val="0"/>
                <w:sz w:val="18"/>
                <w:szCs w:val="18"/>
                <w:lang w:eastAsia="zh-CN"/>
              </w:rPr>
              <w:t>建立健全科学完善的各项安全规章制度、规程、标准。</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19.</w:t>
            </w:r>
            <w:r>
              <w:rPr>
                <w:rFonts w:hint="default" w:ascii="宋体" w:hAnsi="宋体" w:cs="宋体"/>
                <w:color w:val="000000"/>
                <w:kern w:val="0"/>
                <w:sz w:val="18"/>
                <w:szCs w:val="18"/>
                <w:lang w:eastAsia="zh-CN"/>
              </w:rPr>
              <w:t>建立健全安全责任制度，领导层、各职能部门、二级学院和教研室（或专业）安全责任明确，逐级签订《安全责任书》。</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20.</w:t>
            </w:r>
            <w:r>
              <w:rPr>
                <w:rFonts w:hint="default" w:ascii="宋体" w:hAnsi="宋体" w:cs="宋体"/>
                <w:color w:val="000000"/>
                <w:kern w:val="0"/>
                <w:sz w:val="18"/>
                <w:szCs w:val="18"/>
                <w:lang w:eastAsia="zh-CN"/>
              </w:rPr>
              <w:t>制定安全检查制度和隐患排查治理及效果评估制度。</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21.</w:t>
            </w:r>
            <w:r>
              <w:rPr>
                <w:rFonts w:hint="default" w:ascii="宋体" w:hAnsi="宋体" w:cs="宋体"/>
                <w:color w:val="000000"/>
                <w:kern w:val="0"/>
                <w:sz w:val="18"/>
                <w:szCs w:val="18"/>
                <w:lang w:eastAsia="zh-CN"/>
              </w:rPr>
              <w:t>建立安全事故报告、记录制度和整改措施监督落实制度。</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22.</w:t>
            </w:r>
            <w:r>
              <w:rPr>
                <w:rFonts w:hint="default" w:ascii="宋体" w:hAnsi="宋体" w:cs="宋体"/>
                <w:color w:val="000000"/>
                <w:kern w:val="0"/>
                <w:sz w:val="18"/>
                <w:szCs w:val="18"/>
                <w:lang w:eastAsia="zh-CN"/>
              </w:rPr>
              <w:t>建立应急救援及处置程序。</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23.</w:t>
            </w:r>
            <w:r>
              <w:rPr>
                <w:rFonts w:hint="default" w:ascii="宋体" w:hAnsi="宋体" w:cs="宋体"/>
                <w:color w:val="000000"/>
                <w:kern w:val="0"/>
                <w:sz w:val="18"/>
                <w:szCs w:val="18"/>
                <w:lang w:eastAsia="zh-CN"/>
              </w:rPr>
              <w:t>制定安全绩效考核制度，设置明确的安全绩效考核指标，并把安全绩效考核纳入教职员工的收入分配制度。</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24.</w:t>
            </w:r>
            <w:r>
              <w:rPr>
                <w:rFonts w:hint="default" w:ascii="宋体" w:hAnsi="宋体" w:cs="宋体"/>
                <w:color w:val="000000"/>
                <w:kern w:val="0"/>
                <w:sz w:val="18"/>
                <w:szCs w:val="18"/>
                <w:lang w:eastAsia="zh-CN"/>
              </w:rPr>
              <w:t>对违反安全规章制度的行为、无伤害和轻微伤害事故，采取以改进缺陷、吸取经验、教育为主的处理方法。</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25.</w:t>
            </w:r>
            <w:r>
              <w:rPr>
                <w:rFonts w:hint="default" w:ascii="宋体" w:hAnsi="宋体" w:cs="宋体"/>
                <w:color w:val="000000"/>
                <w:kern w:val="0"/>
                <w:sz w:val="18"/>
                <w:szCs w:val="18"/>
                <w:lang w:eastAsia="zh-CN"/>
              </w:rPr>
              <w:t>对安全管理、技术或安全文化创建工作方面有突出表现的人员给予表彰奖励，树立榜样典型。</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7</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eastAsia="zh-CN"/>
              </w:rPr>
              <w:t>安全环境</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26.实验室、实训室、计算机房、教学楼、学生宿舍、食堂及其他公共场所环境均符合高校相关安全技术标准，设备设施运行可靠。</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27.危险源（点）标识明确，实验室、实训室等教学活动场所设置符合国家、行业标准的安全标识和安全操作规程等。</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28.教学活动场所、生活场所的墙壁、通道等设置安全警示、温情提示等宣传用品，设立安全文化廊、安全角、黑板报、宣传栏等安全文化阵地，每月至少更换一次内容。</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29.充分利用传统媒体与新兴媒体等媒介手段，采用演讲、展览、征文、书画、文艺汇演等形式，创新方式方法，加强安全理念和知识技能的宣传。</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30.有足用的安全类书籍、音像资料和省级以上安全知识传播的报纸、杂志，每年有不少于2篇在省（含）以上新闻媒体刊登安全方面的创新成果、经验做法和理论研究方面的文章。</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8</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安全教育</w:t>
            </w: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31.</w:t>
            </w:r>
            <w:r>
              <w:rPr>
                <w:rFonts w:hint="default" w:ascii="宋体" w:hAnsi="宋体" w:cs="宋体"/>
                <w:color w:val="000000"/>
                <w:kern w:val="0"/>
                <w:sz w:val="18"/>
                <w:szCs w:val="18"/>
              </w:rPr>
              <w:t>制定学校安全教育培训计划，建立培训考核机制。</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32.</w:t>
            </w:r>
            <w:r>
              <w:rPr>
                <w:rFonts w:hint="default" w:ascii="宋体" w:hAnsi="宋体" w:cs="宋体"/>
                <w:color w:val="000000"/>
                <w:kern w:val="0"/>
                <w:sz w:val="18"/>
                <w:szCs w:val="18"/>
              </w:rPr>
              <w:t>定期开展学校安全管理和技术人员培训，保证学校安全管理和技术人员具有适应岗位要求的安全知识、安全职责和安全技能。</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33.</w:t>
            </w:r>
            <w:r>
              <w:rPr>
                <w:rFonts w:hint="default" w:ascii="宋体" w:hAnsi="宋体" w:cs="宋体"/>
                <w:color w:val="000000"/>
                <w:kern w:val="0"/>
                <w:sz w:val="18"/>
                <w:szCs w:val="18"/>
              </w:rPr>
              <w:t>实验室、实训室安全管理和技术人员100%依法培训并取得上岗资格。</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34.</w:t>
            </w:r>
            <w:r>
              <w:rPr>
                <w:rFonts w:hint="default" w:ascii="宋体" w:hAnsi="宋体" w:cs="宋体"/>
                <w:color w:val="000000"/>
                <w:kern w:val="0"/>
                <w:sz w:val="18"/>
                <w:szCs w:val="18"/>
              </w:rPr>
              <w:t>安全培训包含安全文化建设相关内容，除了在编在岗教职员工、在校学生，还覆盖编外人员、外聘人员等。</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35.</w:t>
            </w:r>
            <w:r>
              <w:rPr>
                <w:rFonts w:hint="default" w:ascii="宋体" w:hAnsi="宋体" w:cs="宋体"/>
                <w:color w:val="000000"/>
                <w:kern w:val="0"/>
                <w:sz w:val="18"/>
                <w:szCs w:val="18"/>
              </w:rPr>
              <w:t>有固定的安全文化培训场所和必要的教学设施设备，建立专（兼）职师资力量。</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36.</w:t>
            </w:r>
            <w:r>
              <w:rPr>
                <w:rFonts w:hint="default" w:ascii="宋体" w:hAnsi="宋体" w:cs="宋体"/>
                <w:color w:val="000000"/>
                <w:kern w:val="0"/>
                <w:sz w:val="18"/>
                <w:szCs w:val="18"/>
              </w:rPr>
              <w:t>有师生阅览室，并配备安全文化教育内容的报刊、图书或音像资料。</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37.</w:t>
            </w:r>
            <w:r>
              <w:rPr>
                <w:rFonts w:hint="default" w:ascii="宋体" w:hAnsi="宋体" w:cs="宋体"/>
                <w:color w:val="000000"/>
                <w:kern w:val="0"/>
                <w:sz w:val="18"/>
                <w:szCs w:val="18"/>
              </w:rPr>
              <w:t>每季度不少于1次院系级安全文化教育培训或安全活动，每年不少于1次面向师生全员的安全文化专题培训和校级安全活动，有影响，有成效，有记录。</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38.</w:t>
            </w:r>
            <w:r>
              <w:rPr>
                <w:rFonts w:hint="default" w:ascii="宋体" w:hAnsi="宋体" w:cs="宋体"/>
                <w:color w:val="000000"/>
                <w:kern w:val="0"/>
                <w:sz w:val="18"/>
                <w:szCs w:val="18"/>
              </w:rPr>
              <w:t>向新生发放安全文化手册或安全常识手册，并要求学生理解掌握其中内容。</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39.</w:t>
            </w:r>
            <w:r>
              <w:rPr>
                <w:rFonts w:hint="default" w:ascii="宋体" w:hAnsi="宋体" w:cs="宋体"/>
                <w:color w:val="000000"/>
                <w:kern w:val="0"/>
                <w:sz w:val="18"/>
                <w:szCs w:val="18"/>
              </w:rPr>
              <w:t>每年举办一次全员应急演练活动和风险（隐患或危险源）辨识活动。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40.</w:t>
            </w:r>
            <w:r>
              <w:rPr>
                <w:rFonts w:hint="default" w:ascii="宋体" w:hAnsi="宋体" w:cs="宋体"/>
                <w:color w:val="000000"/>
                <w:kern w:val="0"/>
                <w:sz w:val="18"/>
                <w:szCs w:val="18"/>
              </w:rPr>
              <w:t>组织开展安全文化进校园各项活动，有方案、有总结。</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9</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安全行为</w:t>
            </w: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41.</w:t>
            </w:r>
            <w:r>
              <w:rPr>
                <w:rFonts w:hint="default" w:ascii="宋体" w:hAnsi="宋体" w:cs="宋体"/>
                <w:color w:val="000000"/>
                <w:kern w:val="0"/>
                <w:sz w:val="18"/>
                <w:szCs w:val="18"/>
                <w:lang w:eastAsia="zh-CN"/>
              </w:rPr>
              <w:t>决策层：</w:t>
            </w:r>
            <w:r>
              <w:rPr>
                <w:rFonts w:hint="default" w:ascii="宋体" w:hAnsi="宋体" w:cs="宋体"/>
                <w:color w:val="000000"/>
                <w:kern w:val="0"/>
                <w:sz w:val="18"/>
                <w:szCs w:val="18"/>
              </w:rPr>
              <w:t>法定代表人（实际控制人）组织制定和签订安全承诺</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定期向职工代表大会通报校园安全情况；及时向师生通报安全检查和隐患整改情况，接受工会和员工监督</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重视学校安全文化建设，目标任务明确，保障措施有力，责任落实到位，文化氛围浓厚</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制定完善的应急救援预案，定期组织演练并评估、修订，增强员工安全意识和应急处置能力。</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42.</w:t>
            </w:r>
            <w:r>
              <w:rPr>
                <w:rFonts w:hint="default" w:ascii="宋体" w:hAnsi="宋体" w:cs="宋体"/>
                <w:color w:val="000000"/>
                <w:kern w:val="0"/>
                <w:sz w:val="18"/>
                <w:szCs w:val="18"/>
                <w:lang w:eastAsia="zh-CN"/>
              </w:rPr>
              <w:t>管理层：明确本部门的安全管理目标，落实安全责任；建立健全本部门安全规章制度与操作规程，具备相应的安全管理知识和技能；严格执行现场安全巡查、隐患排查等各项制度，杜绝出现安全隐患的死角和盲区；组织开展多种形式的安全技能训练，提高师生安全技术水平；自觉接受师生监督，持续改进本部门的安全管理工作。</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43.</w:t>
            </w:r>
            <w:r>
              <w:rPr>
                <w:rFonts w:hint="default" w:ascii="宋体" w:hAnsi="宋体" w:cs="宋体"/>
                <w:color w:val="000000"/>
                <w:kern w:val="0"/>
                <w:sz w:val="18"/>
                <w:szCs w:val="18"/>
                <w:lang w:eastAsia="zh-CN"/>
              </w:rPr>
              <w:t>员工层：熟知学校安全理念和岗位安全承诺；履行岗位安全职责，熟练掌握岗位安全操作规程，执业行为习惯良好，无违反安全规章制度和劳动纪律现象；具备岗位执业风险认知能力并能有效防范，掌握应急处置、自救互救和逃生知识技能；实验室、实训室管理人员自觉正确佩戴和使用劳动防护用品；善于发现并及时报告事故隐患和不安全因素，提出合理化建议；自觉参加校级、部门级组织的各类安全活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44.</w:t>
            </w:r>
            <w:r>
              <w:rPr>
                <w:rFonts w:hint="default" w:ascii="宋体" w:hAnsi="宋体" w:cs="宋体"/>
                <w:color w:val="000000"/>
                <w:kern w:val="0"/>
                <w:sz w:val="18"/>
                <w:szCs w:val="18"/>
              </w:rPr>
              <w:t>学生层</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熟知学校安全理念和岗位安全承诺，遵守学校各项安全规章制度</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接受学校的安全教育培训，掌握应急处置、自救互救和逃生知识技能</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进入实验室、实训室的学生自觉正确佩戴和使用劳动防护用品</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善于发现并及时报告事故隐患和不安全因素，提出合理化建议</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自觉参加校级、院级组织的各类安全活动。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45.</w:t>
            </w:r>
            <w:r>
              <w:rPr>
                <w:rFonts w:hint="default" w:ascii="宋体" w:hAnsi="宋体" w:cs="宋体"/>
                <w:color w:val="000000"/>
                <w:kern w:val="0"/>
                <w:sz w:val="18"/>
                <w:szCs w:val="18"/>
                <w:lang w:eastAsia="zh-CN"/>
              </w:rPr>
              <w:t>劳动保护：</w:t>
            </w:r>
            <w:r>
              <w:rPr>
                <w:rFonts w:hint="default" w:ascii="宋体" w:hAnsi="宋体" w:cs="宋体"/>
                <w:color w:val="000000"/>
                <w:kern w:val="0"/>
                <w:sz w:val="18"/>
                <w:szCs w:val="18"/>
              </w:rPr>
              <w:t>学校建立完善的劳动安全</w:t>
            </w:r>
            <w:r>
              <w:rPr>
                <w:rFonts w:hint="default" w:ascii="宋体" w:hAnsi="宋体" w:cs="宋体"/>
                <w:color w:val="000000"/>
                <w:kern w:val="0"/>
                <w:sz w:val="18"/>
                <w:szCs w:val="18"/>
                <w:lang w:eastAsia="zh-CN"/>
              </w:rPr>
              <w:t>卫生</w:t>
            </w:r>
            <w:r>
              <w:rPr>
                <w:rFonts w:hint="default" w:ascii="宋体" w:hAnsi="宋体" w:cs="宋体"/>
                <w:color w:val="000000"/>
                <w:kern w:val="0"/>
                <w:sz w:val="18"/>
                <w:szCs w:val="18"/>
              </w:rPr>
              <w:t>保障机制，为师生员工创造符合国家有关校园安全卫生标准和要求的</w:t>
            </w:r>
            <w:r>
              <w:rPr>
                <w:rFonts w:hint="default" w:ascii="宋体" w:hAnsi="宋体" w:cs="宋体"/>
                <w:color w:val="000000"/>
                <w:kern w:val="0"/>
                <w:sz w:val="18"/>
                <w:szCs w:val="18"/>
                <w:lang w:eastAsia="zh-CN"/>
              </w:rPr>
              <w:t>校园</w:t>
            </w:r>
            <w:r>
              <w:rPr>
                <w:rFonts w:hint="default" w:ascii="宋体" w:hAnsi="宋体" w:cs="宋体"/>
                <w:color w:val="000000"/>
                <w:kern w:val="0"/>
                <w:sz w:val="18"/>
                <w:szCs w:val="18"/>
              </w:rPr>
              <w:t>环境和条件，并采取措施保障师生在校园内工作、学习、生活等行为的安全</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工会组织依法对师生劳动保护工作进行监督，维护师生的合法权益</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学校对入校新生进行健康检查并督导学生购买平安保险和医疗保险，定期对教职员工进行健康检查并达到标准要求，维护师生身心健康。</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10</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rPr>
              <w:t>安全</w:t>
            </w:r>
            <w:r>
              <w:rPr>
                <w:rFonts w:hint="default" w:ascii="宋体" w:hAnsi="宋体" w:cs="宋体"/>
                <w:color w:val="000000"/>
                <w:kern w:val="0"/>
                <w:sz w:val="18"/>
                <w:szCs w:val="18"/>
                <w:lang w:eastAsia="zh-CN"/>
              </w:rPr>
              <w:t>保障和预警机制</w:t>
            </w: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46.</w:t>
            </w:r>
            <w:r>
              <w:rPr>
                <w:rFonts w:hint="default" w:ascii="宋体" w:hAnsi="宋体" w:cs="宋体"/>
                <w:color w:val="000000"/>
                <w:kern w:val="0"/>
                <w:sz w:val="18"/>
                <w:szCs w:val="18"/>
                <w:lang w:eastAsia="zh-CN"/>
              </w:rPr>
              <w:t>安全文化建设办公室制定并实施本单位的安全应急预案，每半年至少组织或参加1次安全应急演练。</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47.</w:t>
            </w:r>
            <w:r>
              <w:rPr>
                <w:rFonts w:hint="default" w:ascii="宋体" w:hAnsi="宋体" w:cs="宋体"/>
                <w:color w:val="000000"/>
                <w:kern w:val="0"/>
                <w:sz w:val="18"/>
                <w:szCs w:val="18"/>
                <w:lang w:eastAsia="zh-CN"/>
              </w:rPr>
              <w:t>学校建立安全预警机制，安全文化建设办公室组织建立并实施安全风险分级管控和隐患排查治理双重预防机制，督促、检查本单位的安全保障工作，及时消除安全隐患。</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11</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I类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持续改进</w:t>
            </w: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48.</w:t>
            </w:r>
            <w:r>
              <w:rPr>
                <w:rFonts w:hint="default" w:ascii="宋体" w:hAnsi="宋体" w:cs="宋体"/>
                <w:color w:val="000000"/>
                <w:kern w:val="0"/>
                <w:sz w:val="18"/>
                <w:szCs w:val="18"/>
              </w:rPr>
              <w:t>建立信息收集和反馈机制，从与安全相关的事件中吸取教训，改进安全工作。</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lang w:val="en-US" w:eastAsia="zh-CN"/>
              </w:rPr>
              <w:t>49.</w:t>
            </w:r>
            <w:r>
              <w:rPr>
                <w:rFonts w:hint="default" w:ascii="宋体" w:hAnsi="宋体" w:cs="宋体"/>
                <w:color w:val="000000"/>
                <w:kern w:val="0"/>
                <w:sz w:val="18"/>
                <w:szCs w:val="18"/>
              </w:rPr>
              <w:t>建立安全文化建设考核机制，</w:t>
            </w:r>
            <w:r>
              <w:rPr>
                <w:rFonts w:hint="default" w:ascii="宋体" w:hAnsi="宋体" w:cs="宋体"/>
                <w:color w:val="000000"/>
                <w:kern w:val="0"/>
                <w:sz w:val="18"/>
                <w:szCs w:val="18"/>
                <w:lang w:eastAsia="zh-CN"/>
              </w:rPr>
              <w:t>学校</w:t>
            </w:r>
            <w:r>
              <w:rPr>
                <w:rFonts w:hint="default" w:ascii="宋体" w:hAnsi="宋体" w:cs="宋体"/>
                <w:color w:val="000000"/>
                <w:kern w:val="0"/>
                <w:sz w:val="18"/>
                <w:szCs w:val="18"/>
              </w:rPr>
              <w:t>每年组织开展安全文化建设绩效</w:t>
            </w:r>
            <w:r>
              <w:rPr>
                <w:rFonts w:hint="default" w:ascii="宋体" w:hAnsi="宋体" w:cs="宋体"/>
                <w:color w:val="000000"/>
                <w:kern w:val="0"/>
                <w:sz w:val="18"/>
                <w:szCs w:val="18"/>
                <w:lang w:eastAsia="zh-CN"/>
              </w:rPr>
              <w:t>考核</w:t>
            </w:r>
            <w:r>
              <w:rPr>
                <w:rFonts w:hint="default" w:ascii="宋体" w:hAnsi="宋体" w:cs="宋体"/>
                <w:color w:val="000000"/>
                <w:kern w:val="0"/>
                <w:sz w:val="18"/>
                <w:szCs w:val="18"/>
              </w:rPr>
              <w:t>评估，</w:t>
            </w:r>
            <w:r>
              <w:rPr>
                <w:rFonts w:hint="default" w:ascii="宋体" w:hAnsi="宋体" w:cs="宋体"/>
                <w:color w:val="000000"/>
                <w:kern w:val="0"/>
                <w:sz w:val="18"/>
                <w:szCs w:val="18"/>
                <w:lang w:eastAsia="zh-CN"/>
              </w:rPr>
              <w:t>并对评估发现的不符合项进行整改，</w:t>
            </w:r>
            <w:r>
              <w:rPr>
                <w:rFonts w:hint="default" w:ascii="宋体" w:hAnsi="宋体" w:cs="宋体"/>
                <w:color w:val="000000"/>
                <w:kern w:val="0"/>
                <w:sz w:val="18"/>
                <w:szCs w:val="18"/>
              </w:rPr>
              <w:t>促进安全文化建设水平的提高</w:t>
            </w:r>
            <w:r>
              <w:rPr>
                <w:rFonts w:hint="default" w:ascii="宋体" w:hAnsi="宋体" w:cs="宋体"/>
                <w:color w:val="000000"/>
                <w:kern w:val="0"/>
                <w:sz w:val="18"/>
                <w:szCs w:val="18"/>
                <w:lang w:eastAsia="zh-CN"/>
              </w:rPr>
              <w:t>。</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50.</w:t>
            </w:r>
            <w:r>
              <w:rPr>
                <w:rFonts w:hint="default" w:ascii="宋体" w:hAnsi="宋体" w:cs="宋体"/>
                <w:color w:val="000000"/>
                <w:kern w:val="0"/>
                <w:sz w:val="18"/>
                <w:szCs w:val="18"/>
              </w:rPr>
              <w:t>加强交流合作，吸收借鉴安全文化建设的先进经验和成果。</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rPr>
              <w:t>1</w:t>
            </w:r>
            <w:r>
              <w:rPr>
                <w:rFonts w:hint="default" w:ascii="宋体" w:hAnsi="宋体" w:cs="宋体"/>
                <w:color w:val="000000"/>
                <w:kern w:val="0"/>
                <w:sz w:val="18"/>
                <w:szCs w:val="18"/>
                <w:lang w:val="en-US" w:eastAsia="zh-CN"/>
              </w:rPr>
              <w:t>2</w:t>
            </w:r>
          </w:p>
        </w:tc>
        <w:tc>
          <w:tcPr>
            <w:tcW w:w="642"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Ⅱ类</w:t>
            </w:r>
          </w:p>
        </w:tc>
        <w:tc>
          <w:tcPr>
            <w:tcW w:w="665" w:type="dxa"/>
            <w:vMerge w:val="restart"/>
            <w:vAlign w:val="center"/>
          </w:tcPr>
          <w:p>
            <w:pPr>
              <w:widowControl/>
              <w:spacing w:line="260" w:lineRule="exact"/>
              <w:jc w:val="center"/>
              <w:rPr>
                <w:rFonts w:hint="default" w:ascii="宋体" w:hAnsi="宋体" w:cs="宋体"/>
                <w:color w:val="000000"/>
                <w:kern w:val="0"/>
                <w:sz w:val="18"/>
                <w:szCs w:val="18"/>
              </w:rPr>
            </w:pPr>
            <w:r>
              <w:rPr>
                <w:rFonts w:hint="default" w:ascii="宋体" w:hAnsi="宋体" w:cs="宋体"/>
                <w:color w:val="000000"/>
                <w:kern w:val="0"/>
                <w:sz w:val="18"/>
                <w:szCs w:val="18"/>
              </w:rPr>
              <w:t>加分项</w:t>
            </w:r>
          </w:p>
        </w:tc>
        <w:tc>
          <w:tcPr>
            <w:tcW w:w="6811" w:type="dxa"/>
            <w:vAlign w:val="center"/>
          </w:tcPr>
          <w:p>
            <w:pPr>
              <w:widowControl/>
              <w:spacing w:line="260" w:lineRule="exact"/>
              <w:jc w:val="both"/>
              <w:rPr>
                <w:rFonts w:hint="default" w:ascii="宋体" w:hAnsi="宋体" w:cs="宋体"/>
                <w:color w:val="000000"/>
                <w:kern w:val="0"/>
                <w:sz w:val="18"/>
                <w:szCs w:val="18"/>
                <w:lang w:eastAsia="zh-CN"/>
              </w:rPr>
            </w:pPr>
            <w:r>
              <w:rPr>
                <w:rFonts w:hint="default" w:ascii="宋体" w:hAnsi="宋体" w:cs="宋体"/>
                <w:color w:val="000000"/>
                <w:kern w:val="0"/>
                <w:sz w:val="18"/>
                <w:szCs w:val="18"/>
              </w:rPr>
              <w:t>1.</w:t>
            </w:r>
            <w:r>
              <w:rPr>
                <w:rFonts w:hint="default" w:ascii="宋体" w:hAnsi="宋体" w:cs="宋体"/>
                <w:color w:val="000000"/>
                <w:kern w:val="0"/>
                <w:sz w:val="18"/>
                <w:szCs w:val="18"/>
                <w:lang w:eastAsia="zh-CN"/>
              </w:rPr>
              <w:t>当年</w:t>
            </w:r>
            <w:r>
              <w:rPr>
                <w:rFonts w:hint="default" w:ascii="宋体" w:hAnsi="宋体" w:cs="宋体"/>
                <w:color w:val="000000"/>
                <w:kern w:val="0"/>
                <w:sz w:val="18"/>
                <w:szCs w:val="18"/>
              </w:rPr>
              <w:t>获得省（部）级及以上</w:t>
            </w:r>
            <w:r>
              <w:rPr>
                <w:rFonts w:hint="default" w:ascii="宋体" w:hAnsi="宋体" w:cs="宋体"/>
                <w:color w:val="000000"/>
                <w:kern w:val="0"/>
                <w:sz w:val="18"/>
                <w:szCs w:val="18"/>
                <w:lang w:eastAsia="zh-CN"/>
              </w:rPr>
              <w:t>平安高校建设、安全综合治理等</w:t>
            </w:r>
            <w:r>
              <w:rPr>
                <w:rFonts w:hint="default" w:ascii="宋体" w:hAnsi="宋体" w:cs="宋体"/>
                <w:color w:val="000000"/>
                <w:kern w:val="0"/>
                <w:sz w:val="18"/>
                <w:szCs w:val="18"/>
              </w:rPr>
              <w:t>方面的表彰奖励</w:t>
            </w:r>
            <w:r>
              <w:rPr>
                <w:rFonts w:hint="default" w:ascii="宋体" w:hAnsi="宋体" w:cs="宋体"/>
                <w:color w:val="000000"/>
                <w:kern w:val="0"/>
                <w:sz w:val="18"/>
                <w:szCs w:val="18"/>
                <w:lang w:eastAsia="zh-CN"/>
              </w:rPr>
              <w:t>。</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rPr>
              <w:t>2</w:t>
            </w:r>
            <w:r>
              <w:rPr>
                <w:rFonts w:hint="default" w:ascii="宋体" w:hAnsi="宋体" w:cs="宋体"/>
                <w:color w:val="000000"/>
                <w:kern w:val="0"/>
                <w:sz w:val="18"/>
                <w:szCs w:val="18"/>
                <w:lang w:val="en-US" w:eastAsia="zh-CN"/>
              </w:rPr>
              <w:t>.当年</w:t>
            </w:r>
            <w:r>
              <w:rPr>
                <w:rFonts w:hint="default" w:ascii="宋体" w:hAnsi="宋体" w:cs="宋体"/>
                <w:color w:val="000000"/>
                <w:kern w:val="0"/>
                <w:sz w:val="18"/>
                <w:szCs w:val="18"/>
                <w:lang w:eastAsia="zh-CN"/>
              </w:rPr>
              <w:t>安全文化建设先进事迹被省级及以上新闻媒体报道</w:t>
            </w:r>
            <w:r>
              <w:rPr>
                <w:rFonts w:hint="default" w:ascii="宋体" w:hAnsi="宋体" w:cs="宋体"/>
                <w:color w:val="000000"/>
                <w:kern w:val="0"/>
                <w:sz w:val="18"/>
                <w:szCs w:val="18"/>
              </w:rPr>
              <w:t>。</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rPr>
              <w:t>3</w:t>
            </w:r>
            <w:r>
              <w:rPr>
                <w:rFonts w:hint="default" w:ascii="宋体" w:hAnsi="宋体" w:cs="宋体"/>
                <w:color w:val="000000"/>
                <w:kern w:val="0"/>
                <w:sz w:val="18"/>
                <w:szCs w:val="18"/>
                <w:lang w:eastAsia="zh-CN"/>
              </w:rPr>
              <w:t>.当年未发生校园安全事故</w:t>
            </w:r>
            <w:r>
              <w:rPr>
                <w:rFonts w:hint="default" w:ascii="宋体" w:hAnsi="宋体" w:cs="宋体"/>
                <w:color w:val="000000"/>
                <w:kern w:val="0"/>
                <w:sz w:val="18"/>
                <w:szCs w:val="18"/>
              </w:rPr>
              <w:t>。</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center"/>
              <w:rPr>
                <w:rFonts w:hint="default" w:ascii="宋体" w:hAnsi="宋体" w:cs="宋体"/>
                <w:color w:val="000000"/>
                <w:kern w:val="0"/>
                <w:sz w:val="18"/>
                <w:szCs w:val="18"/>
              </w:rPr>
            </w:pPr>
          </w:p>
        </w:tc>
        <w:tc>
          <w:tcPr>
            <w:tcW w:w="642" w:type="dxa"/>
            <w:vMerge w:val="continue"/>
            <w:vAlign w:val="center"/>
          </w:tcPr>
          <w:p>
            <w:pPr>
              <w:widowControl/>
              <w:spacing w:line="260" w:lineRule="exact"/>
              <w:jc w:val="center"/>
              <w:rPr>
                <w:rFonts w:hint="default" w:ascii="宋体" w:hAnsi="宋体" w:cs="宋体"/>
                <w:color w:val="000000"/>
                <w:kern w:val="0"/>
                <w:sz w:val="18"/>
                <w:szCs w:val="18"/>
              </w:rPr>
            </w:pPr>
          </w:p>
        </w:tc>
        <w:tc>
          <w:tcPr>
            <w:tcW w:w="665" w:type="dxa"/>
            <w:vMerge w:val="continue"/>
            <w:vAlign w:val="center"/>
          </w:tcPr>
          <w:p>
            <w:pPr>
              <w:widowControl/>
              <w:spacing w:line="260" w:lineRule="exact"/>
              <w:jc w:val="center"/>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rPr>
              <w:t>4.安全文化体系具有鲜明的特色和行业特点，形成品牌</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开展</w:t>
            </w:r>
            <w:r>
              <w:rPr>
                <w:rFonts w:hint="default" w:ascii="宋体" w:hAnsi="宋体" w:cs="宋体"/>
                <w:color w:val="000000"/>
                <w:kern w:val="0"/>
                <w:sz w:val="18"/>
                <w:szCs w:val="18"/>
                <w:lang w:eastAsia="zh-CN"/>
              </w:rPr>
              <w:t>师生群体性</w:t>
            </w:r>
            <w:r>
              <w:rPr>
                <w:rFonts w:hint="default" w:ascii="宋体" w:hAnsi="宋体" w:cs="宋体"/>
                <w:color w:val="000000"/>
                <w:kern w:val="0"/>
                <w:sz w:val="18"/>
                <w:szCs w:val="18"/>
              </w:rPr>
              <w:t>的创新活动。</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restart"/>
            <w:vAlign w:val="center"/>
          </w:tcPr>
          <w:p>
            <w:pPr>
              <w:widowControl/>
              <w:spacing w:line="260" w:lineRule="exact"/>
              <w:jc w:val="center"/>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13</w:t>
            </w:r>
          </w:p>
        </w:tc>
        <w:tc>
          <w:tcPr>
            <w:tcW w:w="642"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rPr>
              <w:t>Ⅲ</w:t>
            </w:r>
            <w:r>
              <w:rPr>
                <w:rFonts w:hint="default" w:ascii="宋体" w:hAnsi="宋体" w:cs="宋体"/>
                <w:color w:val="000000"/>
                <w:kern w:val="0"/>
                <w:sz w:val="18"/>
                <w:szCs w:val="18"/>
                <w:lang w:eastAsia="zh-CN"/>
              </w:rPr>
              <w:t>类</w:t>
            </w:r>
          </w:p>
        </w:tc>
        <w:tc>
          <w:tcPr>
            <w:tcW w:w="665" w:type="dxa"/>
            <w:vMerge w:val="restart"/>
            <w:vAlign w:val="center"/>
          </w:tcPr>
          <w:p>
            <w:pPr>
              <w:widowControl/>
              <w:spacing w:line="260" w:lineRule="exact"/>
              <w:jc w:val="center"/>
              <w:rPr>
                <w:rFonts w:hint="default" w:ascii="宋体" w:hAnsi="宋体" w:cs="宋体"/>
                <w:color w:val="000000"/>
                <w:kern w:val="0"/>
                <w:sz w:val="18"/>
                <w:szCs w:val="18"/>
                <w:lang w:eastAsia="zh-CN"/>
              </w:rPr>
            </w:pPr>
            <w:r>
              <w:rPr>
                <w:rFonts w:hint="default" w:ascii="宋体" w:hAnsi="宋体" w:cs="宋体"/>
                <w:color w:val="000000"/>
                <w:kern w:val="0"/>
                <w:sz w:val="18"/>
                <w:szCs w:val="18"/>
                <w:lang w:eastAsia="zh-CN"/>
              </w:rPr>
              <w:t>减分项</w:t>
            </w: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1.当年发生1起及以上安全事故。</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both"/>
              <w:rPr>
                <w:rFonts w:hint="default" w:ascii="宋体" w:hAnsi="宋体" w:cs="宋体"/>
                <w:color w:val="000000"/>
                <w:kern w:val="0"/>
                <w:sz w:val="18"/>
                <w:szCs w:val="18"/>
              </w:rPr>
            </w:pPr>
          </w:p>
        </w:tc>
        <w:tc>
          <w:tcPr>
            <w:tcW w:w="642" w:type="dxa"/>
            <w:vMerge w:val="continue"/>
            <w:vAlign w:val="center"/>
          </w:tcPr>
          <w:p>
            <w:pPr>
              <w:widowControl/>
              <w:spacing w:line="260" w:lineRule="exact"/>
              <w:jc w:val="both"/>
              <w:rPr>
                <w:rFonts w:hint="default" w:ascii="宋体" w:hAnsi="宋体" w:cs="宋体"/>
                <w:color w:val="000000"/>
                <w:kern w:val="0"/>
                <w:sz w:val="18"/>
                <w:szCs w:val="18"/>
              </w:rPr>
            </w:pPr>
          </w:p>
        </w:tc>
        <w:tc>
          <w:tcPr>
            <w:tcW w:w="665" w:type="dxa"/>
            <w:vMerge w:val="continue"/>
            <w:vAlign w:val="center"/>
          </w:tcPr>
          <w:p>
            <w:pPr>
              <w:widowControl/>
              <w:spacing w:line="260" w:lineRule="exact"/>
              <w:jc w:val="both"/>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2.当年可追溯安全保卫方面违法记录1条及以上，或违规记录3条及以上。</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both"/>
              <w:rPr>
                <w:rFonts w:hint="default" w:ascii="宋体" w:hAnsi="宋体" w:cs="宋体"/>
                <w:color w:val="000000"/>
                <w:kern w:val="0"/>
                <w:sz w:val="18"/>
                <w:szCs w:val="18"/>
              </w:rPr>
            </w:pPr>
          </w:p>
        </w:tc>
        <w:tc>
          <w:tcPr>
            <w:tcW w:w="642" w:type="dxa"/>
            <w:vMerge w:val="continue"/>
            <w:vAlign w:val="center"/>
          </w:tcPr>
          <w:p>
            <w:pPr>
              <w:widowControl/>
              <w:spacing w:line="260" w:lineRule="exact"/>
              <w:jc w:val="both"/>
              <w:rPr>
                <w:rFonts w:hint="default" w:ascii="宋体" w:hAnsi="宋体" w:cs="宋体"/>
                <w:color w:val="000000"/>
                <w:kern w:val="0"/>
                <w:sz w:val="18"/>
                <w:szCs w:val="18"/>
              </w:rPr>
            </w:pPr>
          </w:p>
        </w:tc>
        <w:tc>
          <w:tcPr>
            <w:tcW w:w="665" w:type="dxa"/>
            <w:vMerge w:val="continue"/>
            <w:vAlign w:val="center"/>
          </w:tcPr>
          <w:p>
            <w:pPr>
              <w:widowControl/>
              <w:spacing w:line="260" w:lineRule="exact"/>
              <w:jc w:val="both"/>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3.当年安全文化建设工作被市级及以上部门（或单位）通报批评。</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15" w:type="dxa"/>
            <w:vMerge w:val="continue"/>
            <w:vAlign w:val="center"/>
          </w:tcPr>
          <w:p>
            <w:pPr>
              <w:widowControl/>
              <w:spacing w:line="260" w:lineRule="exact"/>
              <w:jc w:val="both"/>
              <w:rPr>
                <w:rFonts w:hint="default" w:ascii="宋体" w:hAnsi="宋体" w:cs="宋体"/>
                <w:color w:val="000000"/>
                <w:kern w:val="0"/>
                <w:sz w:val="18"/>
                <w:szCs w:val="18"/>
              </w:rPr>
            </w:pPr>
          </w:p>
        </w:tc>
        <w:tc>
          <w:tcPr>
            <w:tcW w:w="642" w:type="dxa"/>
            <w:vMerge w:val="continue"/>
            <w:vAlign w:val="center"/>
          </w:tcPr>
          <w:p>
            <w:pPr>
              <w:widowControl/>
              <w:spacing w:line="260" w:lineRule="exact"/>
              <w:jc w:val="both"/>
              <w:rPr>
                <w:rFonts w:hint="default" w:ascii="宋体" w:hAnsi="宋体" w:cs="宋体"/>
                <w:color w:val="000000"/>
                <w:kern w:val="0"/>
                <w:sz w:val="18"/>
                <w:szCs w:val="18"/>
              </w:rPr>
            </w:pPr>
          </w:p>
        </w:tc>
        <w:tc>
          <w:tcPr>
            <w:tcW w:w="665" w:type="dxa"/>
            <w:vMerge w:val="continue"/>
            <w:vAlign w:val="center"/>
          </w:tcPr>
          <w:p>
            <w:pPr>
              <w:widowControl/>
              <w:spacing w:line="260" w:lineRule="exact"/>
              <w:jc w:val="both"/>
              <w:rPr>
                <w:rFonts w:hint="default" w:ascii="宋体" w:hAnsi="宋体" w:cs="宋体"/>
                <w:color w:val="000000"/>
                <w:kern w:val="0"/>
                <w:sz w:val="18"/>
                <w:szCs w:val="18"/>
              </w:rPr>
            </w:pPr>
          </w:p>
        </w:tc>
        <w:tc>
          <w:tcPr>
            <w:tcW w:w="6811" w:type="dxa"/>
            <w:vAlign w:val="center"/>
          </w:tcPr>
          <w:p>
            <w:pPr>
              <w:widowControl/>
              <w:spacing w:line="260" w:lineRule="exact"/>
              <w:jc w:val="both"/>
              <w:rPr>
                <w:rFonts w:hint="default" w:ascii="宋体" w:hAnsi="宋体" w:cs="宋体"/>
                <w:color w:val="000000"/>
                <w:kern w:val="0"/>
                <w:sz w:val="18"/>
                <w:szCs w:val="18"/>
              </w:rPr>
            </w:pPr>
            <w:r>
              <w:rPr>
                <w:rFonts w:hint="default" w:ascii="宋体" w:hAnsi="宋体" w:cs="宋体"/>
                <w:color w:val="000000"/>
                <w:kern w:val="0"/>
                <w:sz w:val="18"/>
                <w:szCs w:val="18"/>
                <w:lang w:val="en-US" w:eastAsia="zh-CN"/>
              </w:rPr>
              <w:t>4.当年安全文化建设工作被举报或投诉，损害学校声誉，对学校造成负面影响。</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533" w:type="dxa"/>
            <w:gridSpan w:val="4"/>
            <w:vAlign w:val="center"/>
          </w:tcPr>
          <w:p>
            <w:pPr>
              <w:widowControl/>
              <w:spacing w:line="260" w:lineRule="exact"/>
              <w:jc w:val="both"/>
              <w:rPr>
                <w:rFonts w:hint="default"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合计</w:t>
            </w:r>
          </w:p>
        </w:tc>
        <w:tc>
          <w:tcPr>
            <w:tcW w:w="513" w:type="dxa"/>
            <w:vAlign w:val="center"/>
          </w:tcPr>
          <w:p>
            <w:pPr>
              <w:widowControl/>
              <w:spacing w:line="260" w:lineRule="exact"/>
              <w:jc w:val="both"/>
              <w:rPr>
                <w:rFonts w:hint="default" w:ascii="宋体" w:hAnsi="宋体" w:cs="宋体"/>
                <w:color w:val="000000"/>
                <w:kern w:val="0"/>
                <w:sz w:val="18"/>
                <w:szCs w:val="18"/>
              </w:rPr>
            </w:pPr>
          </w:p>
        </w:tc>
        <w:tc>
          <w:tcPr>
            <w:tcW w:w="513" w:type="dxa"/>
            <w:vAlign w:val="center"/>
          </w:tcPr>
          <w:p>
            <w:pPr>
              <w:widowControl/>
              <w:spacing w:line="260" w:lineRule="exact"/>
              <w:jc w:val="both"/>
              <w:rPr>
                <w:rFonts w:hint="default" w:ascii="宋体" w:hAnsi="宋体" w:cs="宋体"/>
                <w:color w:val="000000"/>
                <w:kern w:val="0"/>
                <w:sz w:val="18"/>
                <w:szCs w:val="18"/>
              </w:rPr>
            </w:pPr>
          </w:p>
        </w:tc>
      </w:tr>
    </w:tbl>
    <w:p>
      <w:pPr>
        <w:widowControl/>
        <w:spacing w:line="324" w:lineRule="exact"/>
        <w:jc w:val="left"/>
        <w:rPr>
          <w:rFonts w:hint="default" w:ascii="宋体"/>
          <w:color w:val="000000"/>
          <w:lang w:val="en-US" w:eastAsia="zh-CN"/>
        </w:rPr>
      </w:pPr>
      <w:r>
        <w:rPr>
          <w:rFonts w:hint="default" w:ascii="宋体"/>
          <w:color w:val="000000"/>
          <w:lang w:val="en-US" w:eastAsia="zh-CN"/>
        </w:rPr>
        <w:t>说明：</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1.《评价标准》中评价指标分为3类指标，其中Ⅰ类一级指标11个、二级指标50个，满分300分；Ⅱ类一级指标1个、二级指标4个，满分24分；Ⅲ类一级指标1个，二级指标4个，总分-24分。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2.评分办法</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（1）每个Ⅰ类二级指标评定分数为0-6分：</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6分：该指标完成出色；</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5分：该指标已完成落实并符合要求，实施情况好；</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4分：该指标已完成落实并符合要求，实施情况较好；</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3分：该指标已完成落实并符合要求，但实施效果一般；</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2分：该指标已部分完成落实；</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1分：该指标已部分完成落实，但存在严重缺陷；</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0分：该指标空白。</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（2）每个Ⅱ类二级指标评定分数为0分或6分。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（3）每个Ⅲ类二级指标评定分数为0分或-6分。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3.考核办法</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（1）安全文化体系的运行情况考核分为</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w:t>
      </w:r>
      <w:r>
        <w:rPr>
          <w:rFonts w:hint="eastAsia" w:ascii="宋体"/>
          <w:color w:val="000000"/>
          <w:lang w:val="en-US" w:eastAsia="zh-CN"/>
        </w:rPr>
        <w:t>“</w:t>
      </w:r>
      <w:r>
        <w:rPr>
          <w:rFonts w:hint="default" w:ascii="宋体"/>
          <w:color w:val="000000"/>
          <w:lang w:val="en-US" w:eastAsia="zh-CN"/>
        </w:rPr>
        <w:t>良好</w:t>
      </w:r>
      <w:r>
        <w:rPr>
          <w:rFonts w:hint="eastAsia" w:ascii="宋体"/>
          <w:color w:val="000000"/>
          <w:lang w:val="en-US" w:eastAsia="zh-CN"/>
        </w:rPr>
        <w:t>”</w:t>
      </w:r>
      <w:r>
        <w:rPr>
          <w:rFonts w:hint="default" w:ascii="宋体"/>
          <w:color w:val="000000"/>
          <w:lang w:val="en-US" w:eastAsia="zh-CN"/>
        </w:rPr>
        <w:t>、</w:t>
      </w:r>
      <w:r>
        <w:rPr>
          <w:rFonts w:hint="eastAsia" w:ascii="宋体"/>
          <w:color w:val="000000"/>
          <w:lang w:val="en-US" w:eastAsia="zh-CN"/>
        </w:rPr>
        <w:t>“</w:t>
      </w:r>
      <w:r>
        <w:rPr>
          <w:rFonts w:hint="default" w:ascii="宋体"/>
          <w:color w:val="000000"/>
          <w:lang w:val="en-US" w:eastAsia="zh-CN"/>
        </w:rPr>
        <w:t>合格</w:t>
      </w:r>
      <w:r>
        <w:rPr>
          <w:rFonts w:hint="eastAsia" w:ascii="宋体"/>
          <w:color w:val="000000"/>
          <w:lang w:val="en-US" w:eastAsia="zh-CN"/>
        </w:rPr>
        <w:t>”</w:t>
      </w:r>
      <w:r>
        <w:rPr>
          <w:rFonts w:hint="default" w:ascii="宋体"/>
          <w:color w:val="000000"/>
          <w:lang w:val="en-US" w:eastAsia="zh-CN"/>
        </w:rPr>
        <w:t>和</w:t>
      </w:r>
      <w:r>
        <w:rPr>
          <w:rFonts w:hint="eastAsia" w:ascii="宋体"/>
          <w:color w:val="000000"/>
          <w:lang w:val="en-US" w:eastAsia="zh-CN"/>
        </w:rPr>
        <w:t>“</w:t>
      </w:r>
      <w:r>
        <w:rPr>
          <w:rFonts w:hint="default" w:ascii="宋体"/>
          <w:color w:val="000000"/>
          <w:lang w:val="en-US" w:eastAsia="zh-CN"/>
        </w:rPr>
        <w:t>不合格</w:t>
      </w:r>
      <w:r>
        <w:rPr>
          <w:rFonts w:hint="eastAsia" w:ascii="宋体"/>
          <w:color w:val="000000"/>
          <w:lang w:val="en-US" w:eastAsia="zh-CN"/>
        </w:rPr>
        <w:t>”</w:t>
      </w:r>
      <w:r>
        <w:rPr>
          <w:rFonts w:hint="default" w:ascii="宋体"/>
          <w:color w:val="000000"/>
          <w:lang w:val="en-US" w:eastAsia="zh-CN"/>
        </w:rPr>
        <w:t>四个等级。各高校应将该项考核作为部门和教职员工绩效考核的重要组成部分。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（2）Ⅰ类二级指标中出现0分指标，不能评定为“优秀”等级。</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（3）按Ⅰ类、Ⅱ类、Ⅲ类指标得分总和依次排序，高分的优先评定为安全文化建设</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等级。各高校可根据本校的部门（含二级学院等）数量确定</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等级数量。</w:t>
      </w:r>
    </w:p>
    <w:p>
      <w:pPr>
        <w:pStyle w:val="10"/>
        <w:ind w:firstLine="0" w:firstLineChars="0"/>
        <w:jc w:val="left"/>
        <w:rPr>
          <w:rFonts w:hint="default" w:ascii="Times New Roman" w:hAnsi="Times New Roman" w:cs="Times New Roman"/>
          <w:szCs w:val="32"/>
        </w:rPr>
      </w:pPr>
    </w:p>
    <w:p>
      <w:pPr>
        <w:widowControl/>
        <w:spacing w:line="324" w:lineRule="exact"/>
        <w:jc w:val="center"/>
        <w:outlineLvl w:val="1"/>
        <w:rPr>
          <w:rFonts w:hint="default" w:ascii="黑体" w:eastAsia="黑体"/>
          <w:lang w:val="en-US" w:eastAsia="zh-CN"/>
        </w:rPr>
      </w:pPr>
      <w:r>
        <w:rPr>
          <w:rFonts w:hint="default" w:ascii="Times New Roman" w:hAnsi="Times New Roman" w:cs="Times New Roman"/>
          <w:szCs w:val="32"/>
        </w:rPr>
        <w:br w:type="page"/>
      </w:r>
      <w:r>
        <w:rPr>
          <w:rFonts w:hint="default" w:ascii="黑体" w:eastAsia="黑体"/>
          <w:lang w:val="en-US" w:eastAsia="zh-CN"/>
        </w:rPr>
        <w:t>附录B</w:t>
      </w:r>
    </w:p>
    <w:p>
      <w:pPr>
        <w:widowControl/>
        <w:spacing w:line="324" w:lineRule="exact"/>
        <w:jc w:val="center"/>
        <w:outlineLvl w:val="1"/>
        <w:rPr>
          <w:rFonts w:hint="default" w:ascii="黑体" w:eastAsia="黑体"/>
          <w:lang w:val="en-US" w:eastAsia="zh-CN"/>
        </w:rPr>
      </w:pPr>
      <w:bookmarkStart w:id="11" w:name="_Toc13126"/>
      <w:r>
        <w:rPr>
          <w:rFonts w:hint="default" w:ascii="黑体" w:eastAsia="黑体"/>
          <w:lang w:val="en-US" w:eastAsia="zh-CN"/>
        </w:rPr>
        <w:t>（资料性附录）</w:t>
      </w:r>
    </w:p>
    <w:p>
      <w:pPr>
        <w:widowControl/>
        <w:spacing w:line="324" w:lineRule="exact"/>
        <w:jc w:val="center"/>
        <w:outlineLvl w:val="1"/>
        <w:rPr>
          <w:rFonts w:hint="default" w:ascii="黑体" w:eastAsia="黑体"/>
          <w:lang w:val="en-US" w:eastAsia="zh-CN"/>
        </w:rPr>
      </w:pPr>
      <w:r>
        <w:rPr>
          <w:rFonts w:hint="default" w:ascii="黑体" w:eastAsia="黑体"/>
          <w:lang w:val="en-US" w:eastAsia="zh-CN"/>
        </w:rPr>
        <w:t>自评不符合项及扣分说明汇总表</w:t>
      </w:r>
      <w:bookmarkEnd w:id="11"/>
    </w:p>
    <w:tbl>
      <w:tblPr>
        <w:tblStyle w:val="8"/>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173"/>
        <w:gridCol w:w="2173"/>
        <w:gridCol w:w="2173"/>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序号</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不符合项</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扣除分值</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扣分说明</w:t>
            </w: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1</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2</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r>
              <w:rPr>
                <w:rFonts w:hint="default" w:ascii="Times New Roman" w:hAnsi="Times New Roman" w:cs="Times New Roman"/>
                <w:szCs w:val="18"/>
                <w:vertAlign w:val="baseline"/>
                <w:lang w:val="en-US" w:eastAsia="zh-CN"/>
              </w:rPr>
              <w:t>......</w:t>
            </w: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2173"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c>
          <w:tcPr>
            <w:tcW w:w="1308" w:type="dxa"/>
            <w:vAlign w:val="top"/>
          </w:tcPr>
          <w:p>
            <w:pPr>
              <w:pStyle w:val="10"/>
              <w:ind w:left="0" w:leftChars="0" w:firstLine="0" w:firstLineChars="0"/>
              <w:jc w:val="center"/>
              <w:rPr>
                <w:rFonts w:hint="default" w:ascii="Times New Roman" w:hAnsi="Times New Roman" w:cs="Times New Roman"/>
                <w:szCs w:val="18"/>
                <w:vertAlign w:val="baseline"/>
                <w:lang w:val="en-US" w:eastAsia="zh-CN"/>
              </w:rPr>
            </w:pPr>
          </w:p>
        </w:tc>
      </w:tr>
    </w:tbl>
    <w:p>
      <w:pPr>
        <w:pStyle w:val="10"/>
        <w:ind w:left="0" w:leftChars="0" w:firstLine="0" w:firstLineChars="0"/>
        <w:rPr>
          <w:rFonts w:hint="default" w:ascii="Times New Roman" w:hAnsi="Times New Roman" w:cs="Times New Roman"/>
          <w:lang w:val="en-US" w:eastAsia="zh-CN"/>
        </w:rPr>
      </w:pPr>
    </w:p>
    <w:p>
      <w:pPr>
        <w:widowControl/>
        <w:spacing w:line="324" w:lineRule="exact"/>
        <w:jc w:val="left"/>
        <w:rPr>
          <w:rFonts w:hint="default" w:ascii="宋体"/>
          <w:color w:val="000000"/>
        </w:rPr>
      </w:pPr>
      <w:r>
        <w:rPr>
          <w:rFonts w:hint="default" w:ascii="宋体"/>
          <w:color w:val="000000"/>
          <w:lang w:val="en-US" w:eastAsia="zh-CN"/>
        </w:rPr>
        <w:t>说明：“不符合项”填写附录A 《高校安全文化创建自评表》中的</w:t>
      </w:r>
      <w:r>
        <w:rPr>
          <w:rFonts w:hint="default" w:ascii="宋体"/>
          <w:color w:val="000000"/>
        </w:rPr>
        <w:t>Ⅰ类</w:t>
      </w:r>
      <w:r>
        <w:rPr>
          <w:rFonts w:hint="default" w:ascii="宋体"/>
          <w:color w:val="000000"/>
          <w:lang w:val="en-US" w:eastAsia="zh-CN"/>
        </w:rPr>
        <w:t>二级指标序号；“扣除分值”等于6分减去评价分值；“扣分说明”应根据指标要求进行详细描述，以便后续对不符合项进行整改。</w:t>
      </w:r>
    </w:p>
    <w:p>
      <w:pPr>
        <w:pStyle w:val="10"/>
        <w:ind w:firstLine="0" w:firstLineChars="0"/>
        <w:jc w:val="left"/>
        <w:rPr>
          <w:rFonts w:hint="default" w:ascii="Times New Roman" w:hAnsi="Times New Roman" w:cs="Times New Roman"/>
          <w:szCs w:val="32"/>
        </w:rPr>
      </w:pPr>
    </w:p>
    <w:p>
      <w:pPr>
        <w:pStyle w:val="10"/>
        <w:ind w:firstLine="0" w:firstLineChars="0"/>
        <w:rPr>
          <w:rFonts w:hint="default" w:ascii="Times New Roman" w:hAnsi="Times New Roman" w:cs="Times New Roman"/>
        </w:rPr>
      </w:pPr>
    </w:p>
    <w:p>
      <w:pPr>
        <w:rPr>
          <w:rFonts w:hint="default" w:ascii="Times New Roman" w:hAnsi="Times New Roman" w:cs="Times New Roman"/>
        </w:rPr>
      </w:pPr>
    </w:p>
    <w:sectPr>
      <w:headerReference r:id="rId7" w:type="default"/>
      <w:footerReference r:id="rId8" w:type="default"/>
      <w:pgSz w:w="11906" w:h="16838"/>
      <w:pgMar w:top="1701" w:right="1276" w:bottom="1417"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PAGE  \* MERGEFORMAT </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PAGE  \* MERGEFORMAT </w:instrText>
    </w:r>
    <w:r>
      <w:fldChar w:fldCharType="separate"/>
    </w:r>
    <w: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kinsoku/>
      <w:wordWrap/>
      <w:overflowPunct/>
      <w:topLinePunct w:val="0"/>
      <w:bidi w:val="0"/>
      <w:adjustRightInd w:val="0"/>
      <w:snapToGrid w:val="0"/>
      <w:spacing w:beforeAutospacing="0" w:after="0" w:afterAutospacing="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ICS </w:t>
    </w:r>
    <w:r>
      <w:rPr>
        <w:rFonts w:hint="eastAsia" w:ascii="Times New Roman" w:cs="Times New Roman"/>
        <w:lang w:val="en-US" w:eastAsia="zh-CN"/>
      </w:rPr>
      <w:t>XX.XXX.XX</w:t>
    </w:r>
  </w:p>
  <w:p>
    <w:pPr>
      <w:keepNext w:val="0"/>
      <w:keepLines w:val="0"/>
      <w:pageBreakBefore w:val="0"/>
      <w:kinsoku/>
      <w:wordWrap/>
      <w:overflowPunct/>
      <w:topLinePunct w:val="0"/>
      <w:bidi w:val="0"/>
      <w:adjustRightInd w:val="0"/>
      <w:snapToGrid w:val="0"/>
      <w:spacing w:beforeAutospacing="0"/>
      <w:jc w:val="left"/>
      <w:textAlignment w:val="auto"/>
    </w:pPr>
    <w:r>
      <w:rPr>
        <w:rFonts w:hint="default" w:ascii="Times New Roman" w:hAnsi="Times New Roman" w:cs="Times New Roman"/>
        <w:lang w:val="en-US" w:eastAsia="zh-CN"/>
      </w:rPr>
      <w:t>G0</w:t>
    </w:r>
    <w:r>
      <w:rPr>
        <w:rFonts w:hint="eastAsia" w:ascii="Times New Roman" w:hAnsi="Times New Roman"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D</w:t>
    </w:r>
    <w:r>
      <w:t>B</w:t>
    </w:r>
    <w:r>
      <w:rPr>
        <w:rFonts w:hint="eastAsia"/>
      </w:rPr>
      <w:t xml:space="preserve"> 43</w:t>
    </w:r>
    <w:r>
      <w:t>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DB </w:t>
    </w:r>
    <w:r>
      <w:rPr>
        <w:rFonts w:hint="eastAsia" w:cs="Times New Roman"/>
        <w:lang w:val="en-US" w:eastAsia="zh-CN"/>
      </w:rPr>
      <w:t>43X</w:t>
    </w:r>
    <w:r>
      <w:rPr>
        <w:rFonts w:hint="default" w:ascii="Times New Roman" w:hAnsi="Times New Roman" w:cs="Times New Roman"/>
        <w:lang w:val="en-US" w:eastAsia="zh-CN"/>
      </w:rPr>
      <w:t>XX-</w:t>
    </w:r>
    <w:r>
      <w:rPr>
        <w:rFonts w:hint="eastAsia" w:cs="Times New Roman"/>
        <w:lang w:val="en-US" w:eastAsia="zh-CN"/>
      </w:rPr>
      <w:t>XXX</w:t>
    </w:r>
    <w:r>
      <w:rPr>
        <w:rFonts w:hint="default" w:ascii="Times New Roman" w:hAnsi="Times New Roman" w:cs="Times New Roman"/>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2"/>
      <w:suff w:val="nothing"/>
      <w:lvlText w:val="%1　"/>
      <w:lvlJc w:val="left"/>
      <w:pPr>
        <w:ind w:left="1276"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24DBD"/>
    <w:rsid w:val="06CA19B2"/>
    <w:rsid w:val="0AFC368D"/>
    <w:rsid w:val="1A3343E7"/>
    <w:rsid w:val="1E256C04"/>
    <w:rsid w:val="20431A1A"/>
    <w:rsid w:val="279C5F0C"/>
    <w:rsid w:val="2DD11CB6"/>
    <w:rsid w:val="38B9003F"/>
    <w:rsid w:val="3DB936F9"/>
    <w:rsid w:val="49C16F7D"/>
    <w:rsid w:val="4E574E6C"/>
    <w:rsid w:val="53EA0E7E"/>
    <w:rsid w:val="53EB5322"/>
    <w:rsid w:val="54480506"/>
    <w:rsid w:val="5A424DBD"/>
    <w:rsid w:val="60677735"/>
    <w:rsid w:val="62EB4AA1"/>
    <w:rsid w:val="793D2193"/>
    <w:rsid w:val="7A8F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pPr>
      <w:tabs>
        <w:tab w:val="right" w:leader="dot" w:pos="9242"/>
      </w:tabs>
      <w:spacing w:before="25" w:beforeLines="25" w:after="25" w:afterLines="25"/>
      <w:jc w:val="left"/>
    </w:pPr>
    <w:rPr>
      <w:rFonts w:ascii="宋体"/>
      <w:szCs w:val="21"/>
    </w:rPr>
  </w:style>
  <w:style w:type="table" w:styleId="8">
    <w:name w:val="Table Grid"/>
    <w:basedOn w:val="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9">
    <w:name w:val="目次、标准名称标题"/>
    <w:basedOn w:val="1"/>
    <w:next w:val="1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前言、引言标题"/>
    <w:next w:val="1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章标题"/>
    <w:next w:val="10"/>
    <w:qFormat/>
    <w:uiPriority w:val="0"/>
    <w:pPr>
      <w:numPr>
        <w:ilvl w:val="0"/>
        <w:numId w:val="1"/>
      </w:numPr>
      <w:spacing w:before="312" w:beforeLines="100" w:after="312" w:afterLines="100"/>
      <w:ind w:left="2268"/>
      <w:jc w:val="both"/>
      <w:outlineLvl w:val="1"/>
    </w:pPr>
    <w:rPr>
      <w:rFonts w:ascii="黑体" w:hAnsi="Times New Roman" w:eastAsia="黑体" w:cs="Times New Roman"/>
      <w:sz w:val="21"/>
      <w:lang w:val="en-US" w:eastAsia="zh-CN" w:bidi="ar-SA"/>
    </w:rPr>
  </w:style>
  <w:style w:type="paragraph" w:customStyle="1" w:styleId="13">
    <w:name w:val="Body text|3"/>
    <w:basedOn w:val="1"/>
    <w:qFormat/>
    <w:uiPriority w:val="0"/>
    <w:pPr>
      <w:spacing w:after="100"/>
      <w:jc w:val="center"/>
    </w:pPr>
    <w:rPr>
      <w:rFonts w:ascii="Arial" w:hAnsi="Arial" w:eastAsia="Arial" w:cs="Arial"/>
      <w:kern w:val="0"/>
      <w:sz w:val="22"/>
      <w:szCs w:val="22"/>
      <w:lang w:val="zh-TW" w:eastAsia="zh-TW" w:bidi="zh-TW"/>
    </w:rPr>
  </w:style>
  <w:style w:type="paragraph" w:customStyle="1" w:styleId="14">
    <w:name w:val="Body text|1"/>
    <w:basedOn w:val="1"/>
    <w:qFormat/>
    <w:uiPriority w:val="0"/>
    <w:pPr>
      <w:spacing w:after="560"/>
      <w:jc w:val="center"/>
    </w:pPr>
    <w:rPr>
      <w:rFonts w:ascii="MingLiU" w:hAnsi="MingLiU" w:eastAsia="MingLiU" w:cs="MingLiU"/>
      <w:kern w:val="0"/>
      <w:sz w:val="26"/>
      <w:szCs w:val="26"/>
      <w:lang w:val="zh-TW" w:eastAsia="zh-TW" w:bidi="zh-TW"/>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7">
    <w:name w:val="HTML 预设格式1"/>
    <w:basedOn w:val="1"/>
    <w:qFormat/>
    <w:uiPriority w:val="0"/>
    <w:rPr>
      <w:rFonts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11959</Words>
  <Characters>12814</Characters>
  <Lines>0</Lines>
  <Paragraphs>0</Paragraphs>
  <TotalTime>7</TotalTime>
  <ScaleCrop>false</ScaleCrop>
  <LinksUpToDate>false</LinksUpToDate>
  <CharactersWithSpaces>13033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2025-10-15T10:43:00Z</dcterms:created>
  <dc:creator>海纳百川</dc:creator>
  <cp:lastModifiedBy>admin</cp:lastModifiedBy>
  <dcterms:modified xsi:type="dcterms:W3CDTF">2026-03-10T07:16:33Z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D5E3228B7E6D43B5AB8EB334F44C2C00_13</vt:lpwstr>
  </property>
  <property fmtid="{D5CDD505-2E9C-101B-9397-08002B2CF9AE}" pid="4" name="KSOTemplateDocerSaveRecord">
    <vt:lpwstr>eyJoZGlkIjoiYTM0ZTgxY2Y5ODRmOGEzNjllNjQ5NzBjY2FhZjU3MmIiLCJ1c2VySWQiOiIzMDM1MzExOTkifQ==</vt:lpwstr>
  </property>
</Properties>
</file>