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439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57E6D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F644FC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2E16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5389B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EFC51D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F1E032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0A61EB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1F5DE3AB">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D5195FD">
      <w:pPr>
        <w:pStyle w:val="195"/>
        <w:framePr/>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7DF82A48">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95C4528">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544DA5A9">
      <w:pPr>
        <w:pStyle w:val="50"/>
        <w:framePr w:w="9639" w:h="6976" w:hRule="exact" w:hSpace="0" w:vSpace="0" w:wrap="around" w:hAnchor="page" w:y="6408"/>
        <w:jc w:val="center"/>
        <w:rPr>
          <w:rFonts w:ascii="黑体" w:hAnsi="黑体" w:eastAsia="黑体"/>
          <w:b w:val="0"/>
          <w:bCs w:val="0"/>
          <w:w w:val="100"/>
        </w:rPr>
      </w:pPr>
    </w:p>
    <w:p w14:paraId="36DCDE1A">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甜茶</w:t>
      </w:r>
      <w:r>
        <w:t>加工技术规程</w:t>
      </w:r>
      <w:r>
        <w:fldChar w:fldCharType="end"/>
      </w:r>
      <w:bookmarkEnd w:id="9"/>
    </w:p>
    <w:p w14:paraId="3F265081">
      <w:pPr>
        <w:framePr w:w="9639" w:h="6974" w:hRule="exact" w:wrap="around" w:vAnchor="page" w:hAnchor="page" w:x="1419" w:y="6408" w:anchorLock="1"/>
        <w:ind w:left="-1418"/>
      </w:pPr>
    </w:p>
    <w:p w14:paraId="5098B38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of practice for processing of sweet tea</w:t>
      </w:r>
      <w:r>
        <w:rPr>
          <w:rFonts w:eastAsia="黑体"/>
          <w:szCs w:val="28"/>
        </w:rPr>
        <w:fldChar w:fldCharType="end"/>
      </w:r>
      <w:bookmarkEnd w:id="10"/>
    </w:p>
    <w:p w14:paraId="7A433191">
      <w:pPr>
        <w:framePr w:w="9639" w:h="6974" w:hRule="exact" w:wrap="around" w:vAnchor="page" w:hAnchor="page" w:x="1419" w:y="6408" w:anchorLock="1"/>
        <w:spacing w:line="760" w:lineRule="exact"/>
        <w:ind w:left="-1418"/>
      </w:pPr>
    </w:p>
    <w:p w14:paraId="01D25A4D">
      <w:pPr>
        <w:pStyle w:val="125"/>
        <w:framePr w:w="9639" w:h="6974" w:hRule="exact" w:wrap="around" w:vAnchor="page" w:hAnchor="page" w:x="1419" w:y="6408" w:anchorLock="1"/>
        <w:textAlignment w:val="bottom"/>
        <w:rPr>
          <w:rFonts w:eastAsia="黑体"/>
          <w:szCs w:val="28"/>
        </w:rPr>
      </w:pPr>
    </w:p>
    <w:p w14:paraId="017CAD6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234448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w:t>
      </w:r>
      <w:r>
        <w:rPr>
          <w:sz w:val="21"/>
          <w:szCs w:val="28"/>
        </w:rPr>
        <w:fldChar w:fldCharType="end"/>
      </w:r>
      <w:bookmarkEnd w:id="12"/>
    </w:p>
    <w:p w14:paraId="4AC6A022">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B130DF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ED0CBF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4F54FB0">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412296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083F2BD1">
      <w:pPr>
        <w:pStyle w:val="91"/>
        <w:spacing w:after="468"/>
      </w:pPr>
      <w:bookmarkStart w:id="21" w:name="BookMark1"/>
      <w:bookmarkStart w:id="22" w:name="_Toc203140282"/>
      <w:bookmarkStart w:id="23" w:name="_Toc203140239"/>
      <w:r>
        <w:rPr>
          <w:rFonts w:hint="eastAsia"/>
          <w:spacing w:val="320"/>
        </w:rPr>
        <w:t>目</w:t>
      </w:r>
      <w:r>
        <w:rPr>
          <w:rFonts w:hint="eastAsia"/>
        </w:rPr>
        <w:t>次</w:t>
      </w:r>
    </w:p>
    <w:p w14:paraId="5ADB3CE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"_Toc203467619" </w:instrText>
      </w:r>
      <w:r>
        <w:fldChar w:fldCharType="separate"/>
      </w:r>
      <w:r>
        <w:rPr>
          <w:rStyle w:val="32"/>
          <w:rFonts w:hint="eastAsia"/>
        </w:rPr>
        <w:t>前言</w:t>
      </w:r>
      <w:r>
        <w:tab/>
      </w:r>
      <w:r>
        <w:fldChar w:fldCharType="begin"/>
      </w:r>
      <w:r>
        <w:instrText xml:space="preserve"> PAGEREF _Toc203467619 \h </w:instrText>
      </w:r>
      <w:r>
        <w:fldChar w:fldCharType="separate"/>
      </w:r>
      <w:r>
        <w:t>II</w:t>
      </w:r>
      <w:r>
        <w:fldChar w:fldCharType="end"/>
      </w:r>
      <w:r>
        <w:fldChar w:fldCharType="end"/>
      </w:r>
    </w:p>
    <w:p w14:paraId="30B7F54A">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"_Toc203467620" </w:instrText>
      </w:r>
      <w:r>
        <w:fldChar w:fldCharType="separate"/>
      </w:r>
      <w:r>
        <w:rPr>
          <w:rStyle w:val="32"/>
        </w:rPr>
        <w:t xml:space="preserve">1 </w:t>
      </w:r>
      <w:r>
        <w:rPr>
          <w:rStyle w:val="32"/>
          <w:rFonts w:hint="eastAsia"/>
        </w:rPr>
        <w:t xml:space="preserve"> 范围</w:t>
      </w:r>
      <w:r>
        <w:tab/>
      </w:r>
      <w:r>
        <w:fldChar w:fldCharType="begin"/>
      </w:r>
      <w:r>
        <w:instrText xml:space="preserve"> PAGEREF _Toc203467620 \h </w:instrText>
      </w:r>
      <w:r>
        <w:fldChar w:fldCharType="separate"/>
      </w:r>
      <w:r>
        <w:t>1</w:t>
      </w:r>
      <w:r>
        <w:fldChar w:fldCharType="end"/>
      </w:r>
      <w:r>
        <w:fldChar w:fldCharType="end"/>
      </w:r>
    </w:p>
    <w:p w14:paraId="0FEFF68B">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_Toc203467621 \h </w:instrText>
      </w:r>
      <w:r>
        <w:fldChar w:fldCharType="separate"/>
      </w:r>
      <w:r>
        <w:t>1</w:t>
      </w:r>
      <w:r>
        <w:fldChar w:fldCharType="end"/>
      </w:r>
      <w:r>
        <w:fldChar w:fldCharType="end"/>
      </w:r>
    </w:p>
    <w:p w14:paraId="02406D63">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_Toc203467622 \h </w:instrText>
      </w:r>
      <w:r>
        <w:fldChar w:fldCharType="separate"/>
      </w:r>
      <w:r>
        <w:t>1</w:t>
      </w:r>
      <w:r>
        <w:fldChar w:fldCharType="end"/>
      </w:r>
      <w:r>
        <w:fldChar w:fldCharType="end"/>
      </w:r>
    </w:p>
    <w:p w14:paraId="3FF949A5">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"_Toc203467623" </w:instrText>
      </w:r>
      <w:r>
        <w:fldChar w:fldCharType="separate"/>
      </w:r>
      <w:r>
        <w:rPr>
          <w:rStyle w:val="32"/>
        </w:rPr>
        <w:t xml:space="preserve">4 </w:t>
      </w:r>
      <w:r>
        <w:rPr>
          <w:rStyle w:val="32"/>
          <w:rFonts w:hint="eastAsia"/>
        </w:rPr>
        <w:t xml:space="preserve"> 原料要求</w:t>
      </w:r>
      <w:r>
        <w:tab/>
      </w:r>
      <w:r>
        <w:rPr>
          <w:rFonts w:hint="eastAsia"/>
        </w:rPr>
        <w:t>2</w:t>
      </w:r>
      <w:r>
        <w:rPr>
          <w:rFonts w:hint="eastAsia"/>
        </w:rPr>
        <w:fldChar w:fldCharType="end"/>
      </w:r>
    </w:p>
    <w:p w14:paraId="2080112D">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"_Toc203467624" </w:instrText>
      </w:r>
      <w:r>
        <w:fldChar w:fldCharType="separate"/>
      </w:r>
      <w:r>
        <w:rPr>
          <w:rStyle w:val="32"/>
        </w:rPr>
        <w:t xml:space="preserve">5 </w:t>
      </w:r>
      <w:r>
        <w:rPr>
          <w:rStyle w:val="32"/>
          <w:rFonts w:hint="eastAsia"/>
        </w:rPr>
        <w:t xml:space="preserve"> 生产过程卫生要求</w:t>
      </w:r>
      <w:r>
        <w:tab/>
      </w:r>
      <w:r>
        <w:fldChar w:fldCharType="begin"/>
      </w:r>
      <w:r>
        <w:instrText xml:space="preserve"> PAGEREF _Toc203467624 \h </w:instrText>
      </w:r>
      <w:r>
        <w:fldChar w:fldCharType="separate"/>
      </w:r>
      <w:r>
        <w:t>2</w:t>
      </w:r>
      <w:r>
        <w:fldChar w:fldCharType="end"/>
      </w:r>
      <w:r>
        <w:fldChar w:fldCharType="end"/>
      </w:r>
    </w:p>
    <w:p w14:paraId="7E71927D">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"_Toc203467625" </w:instrText>
      </w:r>
      <w:r>
        <w:fldChar w:fldCharType="separate"/>
      </w:r>
      <w:r>
        <w:rPr>
          <w:rStyle w:val="32"/>
        </w:rPr>
        <w:t xml:space="preserve">6 </w:t>
      </w:r>
      <w:r>
        <w:rPr>
          <w:rStyle w:val="32"/>
          <w:rFonts w:hint="eastAsia"/>
        </w:rPr>
        <w:t xml:space="preserve"> 加工工艺流程</w:t>
      </w:r>
      <w:r>
        <w:tab/>
      </w:r>
      <w:r>
        <w:fldChar w:fldCharType="begin"/>
      </w:r>
      <w:r>
        <w:instrText xml:space="preserve"> PAGEREF _Toc203467625 \h </w:instrText>
      </w:r>
      <w:r>
        <w:fldChar w:fldCharType="separate"/>
      </w:r>
      <w:r>
        <w:t>2</w:t>
      </w:r>
      <w:r>
        <w:fldChar w:fldCharType="end"/>
      </w:r>
      <w:r>
        <w:fldChar w:fldCharType="end"/>
      </w:r>
    </w:p>
    <w:p w14:paraId="1155CBE0">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"_Toc203467626" </w:instrText>
      </w:r>
      <w:r>
        <w:fldChar w:fldCharType="separate"/>
      </w:r>
      <w:r>
        <w:rPr>
          <w:rStyle w:val="32"/>
        </w:rPr>
        <w:t xml:space="preserve">7 </w:t>
      </w:r>
      <w:r>
        <w:rPr>
          <w:rStyle w:val="32"/>
          <w:rFonts w:hint="eastAsia"/>
        </w:rPr>
        <w:t xml:space="preserve"> 加工工艺要求</w:t>
      </w:r>
      <w:r>
        <w:tab/>
      </w:r>
      <w:r>
        <w:fldChar w:fldCharType="begin"/>
      </w:r>
      <w:r>
        <w:instrText xml:space="preserve"> PAGEREF _Toc203467626 \h </w:instrText>
      </w:r>
      <w:r>
        <w:fldChar w:fldCharType="separate"/>
      </w:r>
      <w:r>
        <w:t>2</w:t>
      </w:r>
      <w:r>
        <w:fldChar w:fldCharType="end"/>
      </w:r>
      <w:r>
        <w:fldChar w:fldCharType="end"/>
      </w:r>
    </w:p>
    <w:p w14:paraId="03878C0D">
      <w:pPr>
        <w:pStyle w:val="19"/>
        <w:tabs>
          <w:tab w:val="right" w:leader="dot" w:pos="9344"/>
        </w:tabs>
        <w:rPr>
          <w:rFonts w:asciiTheme="minorHAnsi" w:hAnsiTheme="minorHAnsi" w:cstheme="minorBidi"/>
          <w:szCs w:val="22"/>
        </w:rPr>
      </w:pPr>
      <w:r>
        <w:rPr>
          <w:rStyle w:val="32"/>
          <w:rFonts w:hint="eastAsia"/>
        </w:rPr>
        <w:t>8  检验入库</w:t>
      </w:r>
      <w:r>
        <w:tab/>
      </w:r>
      <w:r>
        <w:rPr>
          <w:rFonts w:hint="eastAsia"/>
        </w:rPr>
        <w:t>4</w:t>
      </w:r>
    </w:p>
    <w:p w14:paraId="71107F11">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"_Toc203467629" </w:instrText>
      </w:r>
      <w:r>
        <w:fldChar w:fldCharType="separate"/>
      </w:r>
      <w:r>
        <w:rPr>
          <w:rStyle w:val="32"/>
          <w:rFonts w:hint="eastAsia"/>
        </w:rPr>
        <w:t>9</w:t>
      </w:r>
      <w:r>
        <w:rPr>
          <w:rStyle w:val="32"/>
        </w:rPr>
        <w:t xml:space="preserve"> </w:t>
      </w:r>
      <w:r>
        <w:rPr>
          <w:rStyle w:val="32"/>
          <w:rFonts w:hint="eastAsia"/>
        </w:rPr>
        <w:t xml:space="preserve"> 成品贮存</w:t>
      </w:r>
      <w:r>
        <w:tab/>
      </w:r>
      <w:r>
        <w:rPr>
          <w:rFonts w:hint="eastAsia"/>
        </w:rPr>
        <w:t>4</w:t>
      </w:r>
      <w:r>
        <w:rPr>
          <w:rFonts w:hint="eastAsia"/>
        </w:rPr>
        <w:fldChar w:fldCharType="end"/>
      </w:r>
    </w:p>
    <w:p w14:paraId="17F68B9B">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"_Toc203467630" </w:instrText>
      </w:r>
      <w:r>
        <w:fldChar w:fldCharType="separate"/>
      </w:r>
      <w:r>
        <w:rPr>
          <w:rStyle w:val="32"/>
        </w:rPr>
        <w:t>1</w:t>
      </w:r>
      <w:r>
        <w:rPr>
          <w:rStyle w:val="32"/>
          <w:rFonts w:hint="eastAsia"/>
        </w:rPr>
        <w:t>0</w:t>
      </w:r>
      <w:r>
        <w:rPr>
          <w:rStyle w:val="32"/>
        </w:rPr>
        <w:t xml:space="preserve"> </w:t>
      </w:r>
      <w:r>
        <w:rPr>
          <w:rStyle w:val="32"/>
          <w:rFonts w:hint="eastAsia"/>
        </w:rPr>
        <w:t xml:space="preserve"> 成品运输</w:t>
      </w:r>
      <w:r>
        <w:tab/>
      </w:r>
      <w:r>
        <w:rPr>
          <w:rFonts w:hint="eastAsia"/>
        </w:rPr>
        <w:t>4</w:t>
      </w:r>
      <w:r>
        <w:rPr>
          <w:rFonts w:hint="eastAsia"/>
        </w:rPr>
        <w:fldChar w:fldCharType="end"/>
      </w:r>
    </w:p>
    <w:p w14:paraId="371F9E5F">
      <w:pPr>
        <w:pStyle w:val="19"/>
        <w:tabs>
          <w:tab w:val="right" w:leader="dot" w:pos="9344"/>
        </w:tabs>
        <w:rPr>
          <w:rFonts w:asciiTheme="minorHAnsi" w:hAnsiTheme="minorHAnsi" w:eastAsiaTheme="minorEastAsia" w:cstheme="minorBidi"/>
          <w:szCs w:val="22"/>
        </w:rPr>
      </w:pPr>
      <w:r>
        <w:fldChar w:fldCharType="begin"/>
      </w:r>
      <w:r>
        <w:instrText xml:space="preserve"> HYPERLINK \l "_Toc203467631" </w:instrText>
      </w:r>
      <w:r>
        <w:fldChar w:fldCharType="separate"/>
      </w:r>
      <w:r>
        <w:rPr>
          <w:rStyle w:val="32"/>
        </w:rPr>
        <w:t>1</w:t>
      </w:r>
      <w:r>
        <w:rPr>
          <w:rStyle w:val="32"/>
          <w:rFonts w:hint="eastAsia"/>
        </w:rPr>
        <w:t>1</w:t>
      </w:r>
      <w:r>
        <w:rPr>
          <w:rStyle w:val="32"/>
        </w:rPr>
        <w:t xml:space="preserve"> </w:t>
      </w:r>
      <w:r>
        <w:rPr>
          <w:rStyle w:val="32"/>
          <w:rFonts w:hint="eastAsia"/>
        </w:rPr>
        <w:t xml:space="preserve"> 生产记录管理</w:t>
      </w:r>
      <w:r>
        <w:tab/>
      </w:r>
      <w:r>
        <w:fldChar w:fldCharType="begin"/>
      </w:r>
      <w:r>
        <w:instrText xml:space="preserve"> PAGEREF _Toc203467631 \h </w:instrText>
      </w:r>
      <w:r>
        <w:fldChar w:fldCharType="separate"/>
      </w:r>
      <w:r>
        <w:t>4</w:t>
      </w:r>
      <w:r>
        <w:fldChar w:fldCharType="end"/>
      </w:r>
      <w:r>
        <w:fldChar w:fldCharType="end"/>
      </w:r>
    </w:p>
    <w:p w14:paraId="7311731E">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96975DC">
      <w:pPr>
        <w:pStyle w:val="89"/>
        <w:spacing w:after="468"/>
      </w:pPr>
      <w:bookmarkStart w:id="24" w:name="_Toc203467619"/>
      <w:bookmarkStart w:id="25" w:name="BookMark2"/>
      <w:r>
        <w:rPr>
          <w:rFonts w:hint="eastAsia"/>
          <w:spacing w:val="320"/>
        </w:rPr>
        <w:t>前</w:t>
      </w:r>
      <w:r>
        <w:rPr>
          <w:rFonts w:hint="eastAsia"/>
        </w:rPr>
        <w:t>言</w:t>
      </w:r>
      <w:bookmarkEnd w:id="22"/>
      <w:bookmarkEnd w:id="23"/>
      <w:bookmarkEnd w:id="24"/>
    </w:p>
    <w:p w14:paraId="0C438FED">
      <w:pPr>
        <w:pStyle w:val="56"/>
        <w:ind w:firstLine="420"/>
      </w:pPr>
      <w:r>
        <w:rPr>
          <w:rFonts w:hint="eastAsia"/>
        </w:rPr>
        <w:t>本文件按照GB/T 1.1—2020《标准化工作导则  第1部分：标准化文件的结构和起草规则》的规定起草。</w:t>
      </w:r>
    </w:p>
    <w:p w14:paraId="7809D64C">
      <w:pPr>
        <w:pStyle w:val="56"/>
        <w:ind w:firstLine="420"/>
      </w:pPr>
      <w:bookmarkStart w:id="26" w:name="_Hlk203136039"/>
      <w:r>
        <w:rPr>
          <w:rFonts w:hint="eastAsia"/>
        </w:rPr>
        <w:t>请注意本文件的某些内容可能涉及专利。本文件的发布机构不承担识别专利的责任。</w:t>
      </w:r>
    </w:p>
    <w:bookmarkEnd w:id="26"/>
    <w:p w14:paraId="6D3A9387">
      <w:pPr>
        <w:pStyle w:val="56"/>
        <w:ind w:firstLine="420"/>
      </w:pPr>
      <w:bookmarkStart w:id="27" w:name="_Hlk203136046"/>
      <w:r>
        <w:rPr>
          <w:rFonts w:hint="eastAsia"/>
        </w:rPr>
        <w:t>本文件由湖南省市场监督管理局提出。</w:t>
      </w:r>
    </w:p>
    <w:bookmarkEnd w:id="27"/>
    <w:p w14:paraId="7372E6C7">
      <w:pPr>
        <w:pStyle w:val="56"/>
        <w:ind w:firstLine="420"/>
      </w:pPr>
      <w:bookmarkStart w:id="28" w:name="_Hlk203136052"/>
      <w:r>
        <w:rPr>
          <w:rFonts w:hint="eastAsia"/>
        </w:rPr>
        <w:t>本文件由</w:t>
      </w:r>
      <w:bookmarkStart w:id="29" w:name="_Hlk203136094"/>
      <w:r>
        <w:rPr>
          <w:rFonts w:hint="eastAsia"/>
        </w:rPr>
        <w:t>湖南省食品标准化技术委员会</w:t>
      </w:r>
      <w:bookmarkEnd w:id="29"/>
      <w:r>
        <w:rPr>
          <w:rFonts w:hint="eastAsia"/>
        </w:rPr>
        <w:t>归口。</w:t>
      </w:r>
    </w:p>
    <w:bookmarkEnd w:id="28"/>
    <w:p w14:paraId="148192C8">
      <w:pPr>
        <w:pStyle w:val="56"/>
        <w:ind w:firstLine="420"/>
        <w:rPr>
          <w:szCs w:val="22"/>
        </w:rPr>
      </w:pPr>
      <w:r>
        <w:rPr>
          <w:rFonts w:hint="eastAsia"/>
        </w:rPr>
        <w:t>本文件起草单位：</w:t>
      </w:r>
      <w:bookmarkStart w:id="30" w:name="_Hlk203136103"/>
      <w:r>
        <w:rPr>
          <w:rFonts w:hint="eastAsia"/>
        </w:rPr>
        <w:t>湖南省产商品质量检验研究院、湖南富农甜茶有限责任公司</w:t>
      </w:r>
      <w:r>
        <w:rPr>
          <w:rFonts w:hint="eastAsia"/>
          <w:szCs w:val="22"/>
        </w:rPr>
        <w:t>。</w:t>
      </w:r>
      <w:bookmarkEnd w:id="30"/>
    </w:p>
    <w:p w14:paraId="06CC3385">
      <w:pPr>
        <w:pStyle w:val="56"/>
        <w:ind w:firstLine="420"/>
      </w:pPr>
      <w:r>
        <w:rPr>
          <w:rFonts w:hint="eastAsia"/>
        </w:rPr>
        <w:t>本文件主要起草人：</w:t>
      </w:r>
      <w:bookmarkStart w:id="31" w:name="_Hlk203136111"/>
      <w:r>
        <w:rPr>
          <w:rFonts w:hint="eastAsia"/>
        </w:rPr>
        <w:t>徐文泱</w:t>
      </w:r>
      <w:r>
        <w:rPr>
          <w:rFonts w:hint="eastAsia"/>
          <w:lang w:val="en-US" w:eastAsia="zh-CN"/>
        </w:rPr>
        <w:t>、</w:t>
      </w:r>
      <w:r>
        <w:rPr>
          <w:rFonts w:hint="eastAsia"/>
        </w:rPr>
        <w:t>唐小兰、胡应祥。</w:t>
      </w:r>
      <w:bookmarkEnd w:id="31"/>
    </w:p>
    <w:p w14:paraId="0BA7A83B">
      <w:pPr>
        <w:pStyle w:val="56"/>
        <w:ind w:firstLine="420"/>
      </w:pPr>
    </w:p>
    <w:p w14:paraId="14DC12FA">
      <w:pPr>
        <w:pStyle w:val="56"/>
        <w:ind w:firstLine="420"/>
      </w:pPr>
    </w:p>
    <w:p w14:paraId="5AC2ED1C">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3B68B341">
      <w:pPr>
        <w:spacing w:line="20" w:lineRule="exact"/>
        <w:jc w:val="center"/>
        <w:rPr>
          <w:rFonts w:ascii="黑体" w:hAnsi="黑体" w:eastAsia="黑体"/>
          <w:sz w:val="32"/>
          <w:szCs w:val="32"/>
        </w:rPr>
      </w:pPr>
      <w:bookmarkStart w:id="32" w:name="BookMark4"/>
    </w:p>
    <w:p w14:paraId="15755429">
      <w:pPr>
        <w:spacing w:line="20" w:lineRule="exact"/>
        <w:jc w:val="center"/>
        <w:rPr>
          <w:rFonts w:ascii="黑体" w:hAnsi="黑体" w:eastAsia="黑体"/>
          <w:sz w:val="32"/>
          <w:szCs w:val="32"/>
        </w:rPr>
      </w:pPr>
    </w:p>
    <w:sdt>
      <w:sdtPr>
        <w:tag w:val="NEW_STAND_NAME"/>
        <w:id w:val="595910757"/>
        <w:lock w:val="sdtLocked"/>
        <w:placeholder>
          <w:docPart w:val="C3340E14D1D544EDB763295543DEF06E"/>
        </w:placeholder>
      </w:sdtPr>
      <w:sdtContent>
        <w:p w14:paraId="68E19F1E">
          <w:pPr>
            <w:pStyle w:val="177"/>
            <w:spacing w:beforeLines="1" w:afterLines="220"/>
          </w:pPr>
          <w:bookmarkStart w:id="33" w:name="NEW_STAND_NAME"/>
          <w:r>
            <w:rPr>
              <w:rFonts w:hint="eastAsia"/>
            </w:rPr>
            <w:t>甜茶加工技术规程</w:t>
          </w:r>
        </w:p>
      </w:sdtContent>
    </w:sdt>
    <w:bookmarkEnd w:id="33"/>
    <w:p w14:paraId="0178AF44">
      <w:pPr>
        <w:pStyle w:val="104"/>
        <w:spacing w:before="312" w:after="312"/>
      </w:pPr>
      <w:bookmarkStart w:id="34" w:name="_Toc24884211"/>
      <w:bookmarkStart w:id="35" w:name="_Toc24884218"/>
      <w:bookmarkStart w:id="36" w:name="_Toc97191423"/>
      <w:bookmarkStart w:id="37" w:name="_Toc203140283"/>
      <w:bookmarkStart w:id="38" w:name="_Toc26648465"/>
      <w:bookmarkStart w:id="39" w:name="_Toc17233325"/>
      <w:bookmarkStart w:id="40" w:name="_Toc203126223"/>
      <w:bookmarkStart w:id="41" w:name="_Toc203140240"/>
      <w:bookmarkStart w:id="42" w:name="_Toc26718930"/>
      <w:bookmarkStart w:id="43" w:name="_Toc26986771"/>
      <w:bookmarkStart w:id="44" w:name="_Toc17233333"/>
      <w:bookmarkStart w:id="45" w:name="_Toc203126415"/>
      <w:bookmarkStart w:id="46" w:name="_Toc26986530"/>
      <w:bookmarkStart w:id="47" w:name="_Toc203467620"/>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BC5AE53">
      <w:pPr>
        <w:pStyle w:val="56"/>
        <w:ind w:firstLine="420"/>
      </w:pPr>
      <w:bookmarkStart w:id="48" w:name="_Hlk203136123"/>
      <w:bookmarkStart w:id="49" w:name="_Toc24884219"/>
      <w:bookmarkStart w:id="50" w:name="_Toc24884212"/>
      <w:bookmarkStart w:id="51" w:name="_Toc17233334"/>
      <w:bookmarkStart w:id="52" w:name="_Toc26648466"/>
      <w:bookmarkStart w:id="53" w:name="_Toc17233326"/>
      <w:r>
        <w:rPr>
          <w:rFonts w:hint="eastAsia"/>
        </w:rPr>
        <w:t>本文件规定了以木姜叶柯（Lithocarpus litseifolius）鲜叶为原料的甜茶加工的术语和定义、原料要求、生产过程卫生要求、加工工艺流程、加工工艺要求、包装、检验入库、成品贮存、成品运输和生产记录管理。</w:t>
      </w:r>
    </w:p>
    <w:p w14:paraId="79B26392">
      <w:pPr>
        <w:pStyle w:val="56"/>
        <w:ind w:firstLine="420"/>
      </w:pPr>
      <w:r>
        <w:rPr>
          <w:rFonts w:hint="eastAsia"/>
        </w:rPr>
        <w:t>本文件适用于湖南省区域内以木姜叶柯为原料的甜茶生产加工。</w:t>
      </w:r>
    </w:p>
    <w:bookmarkEnd w:id="48"/>
    <w:p w14:paraId="209CB881">
      <w:pPr>
        <w:pStyle w:val="104"/>
        <w:spacing w:before="312" w:after="312"/>
      </w:pPr>
      <w:bookmarkStart w:id="54" w:name="_Toc203126416"/>
      <w:bookmarkStart w:id="55" w:name="_Toc26986772"/>
      <w:bookmarkStart w:id="56" w:name="_Toc26718931"/>
      <w:bookmarkStart w:id="57" w:name="_Toc97191424"/>
      <w:bookmarkStart w:id="58" w:name="_Toc203126224"/>
      <w:bookmarkStart w:id="59" w:name="_Toc203467621"/>
      <w:bookmarkStart w:id="60" w:name="_Toc26986531"/>
      <w:bookmarkStart w:id="61" w:name="_Toc203140241"/>
      <w:bookmarkStart w:id="62" w:name="_Toc203140284"/>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9DB4A2D3A61442738948E1CDFAE0F14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A27779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52903F">
      <w:pPr>
        <w:pStyle w:val="56"/>
        <w:ind w:firstLine="480"/>
        <w:rPr>
          <w:rFonts w:ascii="宋体" w:hAnsi="宋体" w:cs="宋体"/>
          <w:sz w:val="24"/>
          <w:szCs w:val="24"/>
        </w:rPr>
      </w:pPr>
      <w:bookmarkStart w:id="63" w:name="_Hlk203136190"/>
      <w:bookmarkStart w:id="64" w:name="_Toc203126225"/>
      <w:bookmarkStart w:id="65" w:name="_Toc97191425"/>
      <w:bookmarkStart w:id="66" w:name="_Toc203126417"/>
      <w:r>
        <w:rPr>
          <w:rFonts w:ascii="宋体" w:hAnsi="宋体" w:cs="宋体"/>
          <w:sz w:val="24"/>
          <w:szCs w:val="24"/>
        </w:rPr>
        <w:t>GB 2762 食品安全国家标准 食品中污染物限量</w:t>
      </w:r>
    </w:p>
    <w:p w14:paraId="635B49AD">
      <w:pPr>
        <w:pStyle w:val="56"/>
        <w:ind w:firstLine="480"/>
        <w:rPr>
          <w:rFonts w:ascii="宋体" w:hAnsi="宋体" w:cs="宋体"/>
          <w:sz w:val="24"/>
          <w:szCs w:val="24"/>
        </w:rPr>
      </w:pPr>
      <w:r>
        <w:rPr>
          <w:rFonts w:ascii="宋体" w:hAnsi="宋体" w:cs="宋体"/>
          <w:sz w:val="24"/>
          <w:szCs w:val="24"/>
        </w:rPr>
        <w:t>GB 2763 食品安全国家标准 食品中农药最大残留限量</w:t>
      </w:r>
    </w:p>
    <w:p w14:paraId="0423ED97">
      <w:pPr>
        <w:pStyle w:val="56"/>
        <w:ind w:firstLine="480"/>
        <w:rPr>
          <w:rFonts w:ascii="宋体" w:hAnsi="宋体" w:cs="宋体"/>
          <w:sz w:val="24"/>
          <w:szCs w:val="24"/>
        </w:rPr>
      </w:pPr>
      <w:r>
        <w:rPr>
          <w:rFonts w:ascii="宋体" w:hAnsi="宋体" w:cs="宋体"/>
          <w:sz w:val="24"/>
          <w:szCs w:val="24"/>
        </w:rPr>
        <w:t>GB 5749 生活饮用水卫生标准</w:t>
      </w:r>
    </w:p>
    <w:p w14:paraId="7EAF7B65">
      <w:pPr>
        <w:pStyle w:val="56"/>
        <w:ind w:firstLine="480"/>
        <w:rPr>
          <w:rFonts w:ascii="宋体" w:hAnsi="宋体" w:cs="宋体"/>
          <w:sz w:val="24"/>
          <w:szCs w:val="24"/>
        </w:rPr>
      </w:pPr>
      <w:r>
        <w:rPr>
          <w:rFonts w:ascii="宋体" w:hAnsi="宋体" w:cs="宋体"/>
          <w:sz w:val="24"/>
          <w:szCs w:val="24"/>
        </w:rPr>
        <w:t>GB 7718 食品安全国家标准 预包装食品标签通</w:t>
      </w:r>
      <w:r>
        <w:rPr>
          <w:rFonts w:hint="eastAsia" w:ascii="宋体" w:hAnsi="宋体" w:cs="宋体"/>
          <w:sz w:val="24"/>
          <w:szCs w:val="24"/>
        </w:rPr>
        <w:t>则</w:t>
      </w:r>
    </w:p>
    <w:p w14:paraId="65B889CB">
      <w:pPr>
        <w:pStyle w:val="56"/>
        <w:ind w:firstLine="480"/>
        <w:rPr>
          <w:rFonts w:ascii="宋体" w:hAnsi="宋体" w:cs="宋体"/>
          <w:sz w:val="24"/>
          <w:szCs w:val="24"/>
        </w:rPr>
      </w:pPr>
      <w:r>
        <w:rPr>
          <w:rFonts w:ascii="宋体" w:hAnsi="宋体" w:cs="宋体"/>
          <w:sz w:val="24"/>
          <w:szCs w:val="24"/>
        </w:rPr>
        <w:t>GB 14881 食品安全国家标准 食品生产通用卫生规范</w:t>
      </w:r>
    </w:p>
    <w:p w14:paraId="4FB663FE">
      <w:pPr>
        <w:pStyle w:val="56"/>
        <w:ind w:firstLine="480"/>
        <w:rPr>
          <w:rFonts w:hint="eastAsia" w:ascii="宋体" w:hAnsi="宋体" w:cs="宋体"/>
          <w:sz w:val="24"/>
          <w:szCs w:val="24"/>
        </w:rPr>
      </w:pPr>
      <w:r>
        <w:rPr>
          <w:rFonts w:ascii="宋体" w:hAnsi="宋体" w:cs="宋体"/>
          <w:sz w:val="24"/>
          <w:szCs w:val="24"/>
        </w:rPr>
        <w:t>GH/T 1070 茶叶包装通则</w:t>
      </w:r>
    </w:p>
    <w:p w14:paraId="4B7499AF">
      <w:pPr>
        <w:pStyle w:val="56"/>
        <w:ind w:firstLine="480"/>
        <w:rPr>
          <w:rFonts w:ascii="宋体" w:hAnsi="宋体" w:cs="宋体"/>
          <w:szCs w:val="21"/>
        </w:rPr>
      </w:pPr>
      <w:r>
        <w:rPr>
          <w:rFonts w:hint="eastAsia" w:ascii="宋体" w:hAnsi="宋体" w:cs="宋体"/>
          <w:sz w:val="24"/>
          <w:szCs w:val="24"/>
        </w:rPr>
        <w:t>GH/T 1091 代用茶</w:t>
      </w:r>
    </w:p>
    <w:bookmarkEnd w:id="63"/>
    <w:p w14:paraId="447F43EE">
      <w:pPr>
        <w:pStyle w:val="104"/>
        <w:spacing w:before="312" w:after="312"/>
        <w:rPr>
          <w:rFonts w:eastAsia="宋体"/>
        </w:rPr>
      </w:pPr>
      <w:bookmarkStart w:id="67" w:name="_Toc203140247"/>
      <w:bookmarkStart w:id="68" w:name="_Toc203467622"/>
      <w:bookmarkStart w:id="69" w:name="_Toc203140285"/>
      <w:r>
        <w:rPr>
          <w:rFonts w:hint="eastAsia"/>
          <w:szCs w:val="21"/>
        </w:rPr>
        <w:t>术语和定义</w:t>
      </w:r>
      <w:bookmarkEnd w:id="64"/>
      <w:bookmarkEnd w:id="65"/>
      <w:bookmarkEnd w:id="66"/>
      <w:bookmarkEnd w:id="67"/>
      <w:bookmarkEnd w:id="68"/>
      <w:bookmarkEnd w:id="69"/>
      <w:bookmarkStart w:id="70" w:name="_Toc26986532"/>
      <w:bookmarkEnd w:id="70"/>
    </w:p>
    <w:p w14:paraId="31BC3685">
      <w:pPr>
        <w:pStyle w:val="105"/>
        <w:spacing w:before="156" w:after="156"/>
      </w:pPr>
    </w:p>
    <w:p w14:paraId="1AFE91BA">
      <w:pPr>
        <w:pStyle w:val="105"/>
        <w:numPr>
          <w:ilvl w:val="0"/>
          <w:numId w:val="0"/>
        </w:numPr>
        <w:spacing w:before="156" w:after="156"/>
        <w:ind w:firstLine="420" w:firstLineChars="200"/>
        <w:rPr>
          <w:rStyle w:val="230"/>
          <w:rFonts w:hAnsi="黑体"/>
          <w:color w:val="000000" w:themeColor="text1"/>
          <w:kern w:val="2"/>
          <w:szCs w:val="22"/>
        </w:rPr>
      </w:pPr>
      <w:r>
        <w:rPr>
          <w:rFonts w:hint="eastAsia" w:hAnsi="黑体" w:cs="黑体"/>
          <w:szCs w:val="21"/>
        </w:rPr>
        <w:t>木姜叶柯甜茶</w:t>
      </w:r>
    </w:p>
    <w:p w14:paraId="62077CB8">
      <w:pPr>
        <w:pStyle w:val="105"/>
        <w:numPr>
          <w:ilvl w:val="0"/>
          <w:numId w:val="0"/>
        </w:numPr>
        <w:spacing w:before="156" w:after="156"/>
        <w:ind w:firstLine="420" w:firstLineChars="200"/>
        <w:rPr>
          <w:rStyle w:val="230"/>
          <w:rFonts w:ascii="Times New Roman" w:eastAsia="宋体"/>
          <w:color w:val="000000" w:themeColor="text1"/>
          <w:kern w:val="2"/>
          <w:szCs w:val="22"/>
        </w:rPr>
      </w:pPr>
      <w:bookmarkStart w:id="71" w:name="_Toc203140248"/>
      <w:bookmarkEnd w:id="71"/>
      <w:bookmarkStart w:id="72" w:name="_Hlk203136231"/>
      <w:r>
        <w:rPr>
          <w:rFonts w:hint="eastAsia" w:hAnsi="黑体" w:cs="黑体"/>
          <w:szCs w:val="21"/>
        </w:rPr>
        <w:t xml:space="preserve"> </w:t>
      </w:r>
      <w:bookmarkEnd w:id="72"/>
      <w:r>
        <w:rPr>
          <w:rStyle w:val="230"/>
          <w:rFonts w:hint="eastAsia" w:ascii="Times New Roman" w:eastAsia="宋体"/>
          <w:color w:val="000000" w:themeColor="text1"/>
          <w:kern w:val="2"/>
          <w:szCs w:val="22"/>
        </w:rPr>
        <w:t>以木姜叶柯的嫩叶为原料，经采收、揉捻、杀青、干燥等工艺加工制成的具有天然甜味和独特风味的代用茶。</w:t>
      </w:r>
    </w:p>
    <w:p w14:paraId="2989400A">
      <w:pPr>
        <w:pStyle w:val="104"/>
        <w:spacing w:before="312" w:after="312"/>
      </w:pPr>
      <w:bookmarkStart w:id="73" w:name="_Toc203140250"/>
      <w:bookmarkEnd w:id="73"/>
      <w:bookmarkStart w:id="74" w:name="_Toc203140286"/>
      <w:bookmarkStart w:id="75" w:name="_Toc203140255"/>
      <w:bookmarkStart w:id="76" w:name="_Toc203467623"/>
      <w:r>
        <w:rPr>
          <w:rFonts w:hint="eastAsia"/>
        </w:rPr>
        <w:t>原料要求</w:t>
      </w:r>
      <w:bookmarkEnd w:id="74"/>
      <w:bookmarkEnd w:id="75"/>
      <w:bookmarkEnd w:id="76"/>
    </w:p>
    <w:p w14:paraId="7FDAE305">
      <w:pPr>
        <w:pStyle w:val="105"/>
        <w:spacing w:before="156" w:after="156"/>
      </w:pPr>
      <w:r>
        <w:rPr>
          <w:rFonts w:hint="eastAsia"/>
        </w:rPr>
        <w:t>木姜叶柯鲜叶</w:t>
      </w:r>
    </w:p>
    <w:p w14:paraId="5CBC6423">
      <w:pPr>
        <w:widowControl/>
        <w:ind w:firstLine="420" w:firstLineChars="200"/>
        <w:jc w:val="left"/>
        <w:rPr>
          <w:rFonts w:ascii="宋体" w:hAnsi="宋体" w:cs="宋体"/>
          <w:color w:val="000000"/>
          <w:kern w:val="0"/>
        </w:rPr>
      </w:pPr>
      <w:bookmarkStart w:id="77" w:name="_Hlk203136408"/>
      <w:r>
        <w:rPr>
          <w:rFonts w:hint="eastAsia" w:ascii="宋体" w:hAnsi="宋体" w:cs="宋体"/>
          <w:color w:val="000000"/>
          <w:kern w:val="0"/>
        </w:rPr>
        <w:t>应采自无污染生态环境，叶片完整、无病虫害、无腐烂变质。农药残留应符合GB 2763的规定。</w:t>
      </w:r>
    </w:p>
    <w:bookmarkEnd w:id="77"/>
    <w:p w14:paraId="303CBFD6">
      <w:pPr>
        <w:pStyle w:val="105"/>
        <w:spacing w:before="156" w:after="156"/>
      </w:pPr>
      <w:r>
        <w:rPr>
          <w:rFonts w:hint="eastAsia"/>
        </w:rPr>
        <w:t>生产用水</w:t>
      </w:r>
    </w:p>
    <w:p w14:paraId="2F0D7D66">
      <w:pPr>
        <w:pStyle w:val="56"/>
        <w:ind w:firstLine="420"/>
        <w:rPr>
          <w:rFonts w:ascii="宋体" w:hAnsi="宋体" w:cs="宋体"/>
        </w:rPr>
      </w:pPr>
      <w:bookmarkStart w:id="78" w:name="_Hlk203136434"/>
      <w:r>
        <w:rPr>
          <w:rFonts w:hint="eastAsia" w:ascii="宋体" w:hAnsi="宋体" w:cs="宋体"/>
        </w:rPr>
        <w:t>应符合GB 5749的规定。</w:t>
      </w:r>
    </w:p>
    <w:bookmarkEnd w:id="78"/>
    <w:p w14:paraId="0D006D33">
      <w:pPr>
        <w:pStyle w:val="104"/>
        <w:spacing w:before="312" w:after="312"/>
      </w:pPr>
      <w:bookmarkStart w:id="79" w:name="_Toc203140287"/>
      <w:bookmarkStart w:id="80" w:name="_Toc203140259"/>
      <w:bookmarkStart w:id="81" w:name="_Toc203467624"/>
      <w:r>
        <w:rPr>
          <w:rFonts w:hint="eastAsia"/>
        </w:rPr>
        <w:t>生产过程卫生要求</w:t>
      </w:r>
      <w:bookmarkEnd w:id="79"/>
      <w:bookmarkEnd w:id="80"/>
      <w:bookmarkEnd w:id="81"/>
    </w:p>
    <w:p w14:paraId="40C39441">
      <w:pPr>
        <w:pStyle w:val="56"/>
        <w:ind w:firstLine="420"/>
        <w:rPr>
          <w:rFonts w:ascii="宋体" w:hAnsi="宋体" w:cs="宋体"/>
        </w:rPr>
      </w:pPr>
      <w:r>
        <w:rPr>
          <w:rFonts w:hint="eastAsia" w:ascii="宋体" w:hAnsi="宋体" w:cs="宋体"/>
        </w:rPr>
        <w:t>应符合 GB 14881 的规定。</w:t>
      </w:r>
    </w:p>
    <w:p w14:paraId="499FD90C">
      <w:pPr>
        <w:pStyle w:val="104"/>
        <w:spacing w:before="312" w:after="312"/>
      </w:pPr>
      <w:bookmarkStart w:id="82" w:name="_Toc203140288"/>
      <w:bookmarkStart w:id="83" w:name="_Toc203140260"/>
      <w:bookmarkStart w:id="84" w:name="_Toc203467625"/>
      <w:r>
        <w:rPr>
          <w:rFonts w:hint="eastAsia"/>
        </w:rPr>
        <w:t>加工工艺流程</w:t>
      </w:r>
      <w:bookmarkEnd w:id="82"/>
      <w:bookmarkEnd w:id="83"/>
      <w:bookmarkEnd w:id="84"/>
    </w:p>
    <w:p w14:paraId="6F5E3BF1">
      <w:pPr>
        <w:pStyle w:val="56"/>
        <w:ind w:firstLine="420"/>
      </w:pPr>
      <w:r>
        <w:rPr>
          <w:rFonts w:hint="eastAsia"/>
        </w:rPr>
        <w:t>甜茶加工工艺流程见图1。</w:t>
      </w:r>
    </w:p>
    <w:p w14:paraId="6D9E5ACB">
      <w:pPr>
        <w:pStyle w:val="56"/>
        <w:ind w:firstLine="0" w:firstLineChars="0"/>
        <w:jc w:val="center"/>
        <w:rPr>
          <w:rFonts w:ascii="黑体" w:hAnsi="黑体" w:eastAsia="黑体" w:cs="黑体"/>
        </w:rPr>
      </w:pPr>
    </w:p>
    <w:p w14:paraId="5D6375B2">
      <w:pPr>
        <w:pStyle w:val="56"/>
        <w:ind w:firstLine="0" w:firstLineChars="0"/>
        <w:jc w:val="center"/>
        <w:rPr>
          <w:rFonts w:ascii="黑体" w:hAnsi="黑体" w:eastAsia="黑体" w:cs="黑体"/>
        </w:rPr>
      </w:pPr>
      <w:r>
        <w:rPr>
          <w:rFonts w:hint="eastAsia" w:ascii="黑体" w:hAnsi="黑体" w:eastAsia="黑体" w:cs="黑体"/>
        </w:rPr>
        <w:drawing>
          <wp:inline distT="0" distB="0" distL="114300" distR="114300">
            <wp:extent cx="5701030" cy="1803400"/>
            <wp:effectExtent l="0" t="0" r="13970" b="6350"/>
            <wp:docPr id="1" name="图片 1" descr="b9c3b5cd81a247d33bc1dc9df1fc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c3b5cd81a247d33bc1dc9df1fc9527"/>
                    <pic:cNvPicPr>
                      <a:picLocks noChangeAspect="1"/>
                    </pic:cNvPicPr>
                  </pic:nvPicPr>
                  <pic:blipFill>
                    <a:blip r:embed="rId16" cstate="print"/>
                    <a:stretch>
                      <a:fillRect/>
                    </a:stretch>
                  </pic:blipFill>
                  <pic:spPr>
                    <a:xfrm>
                      <a:off x="0" y="0"/>
                      <a:ext cx="5701030" cy="1803400"/>
                    </a:xfrm>
                    <a:prstGeom prst="rect">
                      <a:avLst/>
                    </a:prstGeom>
                  </pic:spPr>
                </pic:pic>
              </a:graphicData>
            </a:graphic>
          </wp:inline>
        </w:drawing>
      </w:r>
    </w:p>
    <w:p w14:paraId="10B49686">
      <w:pPr>
        <w:pStyle w:val="56"/>
        <w:ind w:firstLine="0" w:firstLineChars="0"/>
        <w:rPr>
          <w:rFonts w:ascii="黑体" w:hAnsi="黑体" w:eastAsia="黑体" w:cs="黑体"/>
        </w:rPr>
      </w:pPr>
    </w:p>
    <w:p w14:paraId="42B212C4">
      <w:pPr>
        <w:pStyle w:val="56"/>
        <w:ind w:firstLine="0" w:firstLineChars="0"/>
        <w:jc w:val="center"/>
        <w:rPr>
          <w:rFonts w:ascii="黑体" w:hAnsi="黑体" w:eastAsia="黑体" w:cs="黑体"/>
        </w:rPr>
      </w:pPr>
    </w:p>
    <w:p w14:paraId="735D3B29">
      <w:pPr>
        <w:pStyle w:val="56"/>
        <w:ind w:firstLine="0" w:firstLineChars="0"/>
        <w:jc w:val="center"/>
      </w:pPr>
      <w:r>
        <w:rPr>
          <w:rFonts w:hint="eastAsia" w:ascii="黑体" w:hAnsi="黑体" w:eastAsia="黑体" w:cs="黑体"/>
        </w:rPr>
        <w:t>图1 甜茶加工工艺流程图</w:t>
      </w:r>
    </w:p>
    <w:p w14:paraId="2F115309">
      <w:pPr>
        <w:pStyle w:val="104"/>
        <w:spacing w:before="312" w:after="312"/>
      </w:pPr>
      <w:bookmarkStart w:id="85" w:name="_Toc203467626"/>
      <w:bookmarkStart w:id="86" w:name="_Toc203140289"/>
      <w:bookmarkStart w:id="87" w:name="_Toc203140261"/>
      <w:r>
        <w:rPr>
          <w:rFonts w:hint="eastAsia"/>
        </w:rPr>
        <w:t>加工工艺要求</w:t>
      </w:r>
      <w:bookmarkEnd w:id="85"/>
      <w:bookmarkEnd w:id="86"/>
      <w:bookmarkEnd w:id="87"/>
      <w:bookmarkStart w:id="104" w:name="_GoBack"/>
      <w:bookmarkEnd w:id="104"/>
    </w:p>
    <w:p w14:paraId="51B26328">
      <w:pPr>
        <w:pStyle w:val="105"/>
        <w:spacing w:before="156" w:after="156"/>
      </w:pPr>
      <w:r>
        <w:rPr>
          <w:rFonts w:hint="eastAsia"/>
        </w:rPr>
        <w:t>采收</w:t>
      </w:r>
    </w:p>
    <w:p w14:paraId="3A7374EA">
      <w:pPr>
        <w:pStyle w:val="56"/>
        <w:ind w:firstLine="420"/>
      </w:pPr>
      <w:r>
        <w:rPr>
          <w:rFonts w:hint="eastAsia"/>
        </w:rPr>
        <w:t>宜在春季或初夏采摘木姜叶柯的嫩梢（一芽一叶或一芽二叶），避免雨天或露水未干时采收。采收后应避免堆积发热，及时运至加工车间。采摘嫩叶带梗，不变色发红。</w:t>
      </w:r>
    </w:p>
    <w:p w14:paraId="458D193E">
      <w:pPr>
        <w:pStyle w:val="105"/>
        <w:spacing w:before="156" w:after="156"/>
      </w:pPr>
      <w:r>
        <w:rPr>
          <w:rFonts w:hint="eastAsia"/>
        </w:rPr>
        <w:t>拣选与清洗</w:t>
      </w:r>
    </w:p>
    <w:p w14:paraId="23950291">
      <w:pPr>
        <w:pStyle w:val="56"/>
        <w:ind w:firstLine="420"/>
      </w:pPr>
      <w:r>
        <w:rPr>
          <w:rFonts w:hint="eastAsia"/>
        </w:rPr>
        <w:t>剔除老叶、黄叶、病虫叶及杂物。用流动清水轻柔清洗叶片表面尘土，清洗后沥干水分。</w:t>
      </w:r>
    </w:p>
    <w:p w14:paraId="10B45AB9">
      <w:pPr>
        <w:pStyle w:val="105"/>
        <w:spacing w:before="156" w:after="156"/>
      </w:pPr>
      <w:r>
        <w:rPr>
          <w:rFonts w:hint="eastAsia"/>
        </w:rPr>
        <w:t>摊放</w:t>
      </w:r>
    </w:p>
    <w:p w14:paraId="3B4C21D1">
      <w:pPr>
        <w:pStyle w:val="56"/>
        <w:ind w:firstLine="420"/>
        <w:rPr>
          <w:rStyle w:val="230"/>
          <w:rFonts w:hAnsi="等线"/>
          <w:color w:val="000000" w:themeColor="text1"/>
          <w:kern w:val="2"/>
          <w:szCs w:val="22"/>
        </w:rPr>
      </w:pPr>
      <w:r>
        <w:rPr>
          <w:rStyle w:val="230"/>
          <w:rFonts w:hint="eastAsia" w:hAnsi="等线"/>
          <w:color w:val="000000" w:themeColor="text1"/>
          <w:kern w:val="2"/>
          <w:szCs w:val="22"/>
        </w:rPr>
        <w:t>鲜叶均匀摊放8-12 h，风吹轻翻，至叶片柔软、清香显露为度。</w:t>
      </w:r>
    </w:p>
    <w:p w14:paraId="451DB49F">
      <w:pPr>
        <w:pStyle w:val="105"/>
        <w:spacing w:before="156" w:after="156"/>
      </w:pPr>
      <w:r>
        <w:rPr>
          <w:rFonts w:hint="eastAsia"/>
        </w:rPr>
        <w:t>杀青</w:t>
      </w:r>
    </w:p>
    <w:p w14:paraId="1839D567">
      <w:pPr>
        <w:pStyle w:val="56"/>
        <w:ind w:firstLine="420"/>
      </w:pPr>
      <w:r>
        <w:rPr>
          <w:rFonts w:hint="eastAsia"/>
        </w:rPr>
        <w:t>控制温度为120</w:t>
      </w:r>
      <w:r>
        <w:rPr>
          <w:rStyle w:val="230"/>
          <w:rFonts w:hint="eastAsia"/>
          <w:color w:val="000000" w:themeColor="text1"/>
          <w:kern w:val="2"/>
          <w:szCs w:val="22"/>
        </w:rPr>
        <w:t>℃，出料口吹风冷却。</w:t>
      </w:r>
    </w:p>
    <w:p w14:paraId="310E6CA2">
      <w:pPr>
        <w:pStyle w:val="105"/>
        <w:spacing w:before="156" w:after="156"/>
      </w:pPr>
      <w:r>
        <w:rPr>
          <w:rFonts w:hint="eastAsia"/>
        </w:rPr>
        <w:t>揉捻</w:t>
      </w:r>
    </w:p>
    <w:p w14:paraId="38FA0582">
      <w:pPr>
        <w:pStyle w:val="105"/>
        <w:numPr>
          <w:ilvl w:val="0"/>
          <w:numId w:val="0"/>
        </w:numPr>
        <w:spacing w:before="156" w:after="156"/>
        <w:ind w:firstLine="420" w:firstLineChars="200"/>
        <w:rPr>
          <w:rStyle w:val="230"/>
          <w:rFonts w:ascii="宋体" w:hAnsi="宋体" w:eastAsia="宋体" w:cs="宋体"/>
          <w:color w:val="000000" w:themeColor="text1"/>
          <w:kern w:val="2"/>
          <w:szCs w:val="22"/>
        </w:rPr>
      </w:pPr>
      <w:r>
        <w:rPr>
          <w:rStyle w:val="230"/>
          <w:rFonts w:hint="eastAsia" w:ascii="Times New Roman" w:eastAsia="宋体"/>
          <w:color w:val="000000" w:themeColor="text1"/>
          <w:kern w:val="2"/>
          <w:szCs w:val="22"/>
        </w:rPr>
        <w:t>将摊放好的原料揉捻20-25分为宜。揉捻压力按“轻—重—轻”原则，时间30 min~50 min，至叶片成条形状弯曲</w:t>
      </w:r>
    </w:p>
    <w:p w14:paraId="5F8372FA">
      <w:pPr>
        <w:pStyle w:val="105"/>
        <w:spacing w:before="156" w:after="156"/>
      </w:pPr>
      <w:r>
        <w:rPr>
          <w:rFonts w:hint="eastAsia"/>
        </w:rPr>
        <w:t>解块和杀二青</w:t>
      </w:r>
    </w:p>
    <w:p w14:paraId="5CDF8FAB">
      <w:pPr>
        <w:widowControl/>
        <w:ind w:firstLine="420" w:firstLineChars="200"/>
        <w:jc w:val="left"/>
        <w:rPr>
          <w:rStyle w:val="230"/>
          <w:rFonts w:ascii="Times New Roman" w:hAnsi="Times New Roman"/>
          <w:color w:val="000000" w:themeColor="text1"/>
          <w:szCs w:val="22"/>
        </w:rPr>
      </w:pPr>
      <w:r>
        <w:rPr>
          <w:rStyle w:val="230"/>
          <w:rFonts w:ascii="Times New Roman" w:hAnsi="Times New Roman"/>
          <w:color w:val="000000" w:themeColor="text1"/>
          <w:szCs w:val="22"/>
        </w:rPr>
        <w:t>将</w:t>
      </w:r>
      <w:r>
        <w:rPr>
          <w:rStyle w:val="230"/>
          <w:rFonts w:hint="eastAsia" w:ascii="Times New Roman" w:hAnsi="Times New Roman"/>
          <w:color w:val="000000" w:themeColor="text1"/>
          <w:szCs w:val="22"/>
        </w:rPr>
        <w:t>捻好的原料手工解块后进行摊放。杀二青控制温度为100℃，控制失水率60%。</w:t>
      </w:r>
    </w:p>
    <w:p w14:paraId="5B607278">
      <w:pPr>
        <w:widowControl/>
        <w:numPr>
          <w:ilvl w:val="0"/>
          <w:numId w:val="32"/>
        </w:numPr>
        <w:ind w:left="0"/>
        <w:jc w:val="left"/>
        <w:textAlignment w:val="baseline"/>
        <w:rPr>
          <w:rFonts w:ascii="宋体" w:hAnsi="宋体" w:cs="宋体"/>
        </w:rPr>
      </w:pPr>
      <w:r>
        <w:rPr>
          <w:rStyle w:val="230"/>
          <w:rFonts w:ascii="Times New Roman" w:hAnsi="Times New Roman"/>
          <w:color w:val="000000" w:themeColor="text1"/>
          <w:szCs w:val="22"/>
        </w:rPr>
        <w:t>足干：温度80℃~90℃，时间20 min~30 min，至成品茶含水量≤8.0%。</w:t>
      </w:r>
    </w:p>
    <w:p w14:paraId="79B8AC15">
      <w:pPr>
        <w:pStyle w:val="105"/>
        <w:spacing w:before="156" w:after="156"/>
      </w:pPr>
      <w:r>
        <w:rPr>
          <w:rFonts w:hint="eastAsia"/>
        </w:rPr>
        <w:t xml:space="preserve">造型与干燥 </w:t>
      </w:r>
    </w:p>
    <w:p w14:paraId="6DDB0FB0">
      <w:pPr>
        <w:pStyle w:val="56"/>
        <w:ind w:firstLine="440"/>
        <w:rPr>
          <w:rStyle w:val="230"/>
          <w:color w:val="000000" w:themeColor="text1"/>
          <w:kern w:val="2"/>
          <w:sz w:val="22"/>
          <w:szCs w:val="24"/>
        </w:rPr>
      </w:pPr>
      <w:r>
        <w:rPr>
          <w:rStyle w:val="230"/>
          <w:rFonts w:hint="eastAsia"/>
          <w:color w:val="000000" w:themeColor="text1"/>
          <w:kern w:val="2"/>
          <w:sz w:val="22"/>
          <w:szCs w:val="24"/>
        </w:rPr>
        <w:t>控制锅温60</w:t>
      </w:r>
      <w:r>
        <w:rPr>
          <w:rStyle w:val="230"/>
          <w:rFonts w:hint="eastAsia"/>
          <w:color w:val="000000" w:themeColor="text1"/>
          <w:kern w:val="2"/>
          <w:szCs w:val="22"/>
        </w:rPr>
        <w:t>℃</w:t>
      </w:r>
      <w:r>
        <w:rPr>
          <w:rStyle w:val="230"/>
          <w:rFonts w:hint="eastAsia"/>
          <w:color w:val="000000" w:themeColor="text1"/>
          <w:kern w:val="2"/>
          <w:sz w:val="22"/>
          <w:szCs w:val="24"/>
        </w:rPr>
        <w:t>时滚成颗粒形状，在80</w:t>
      </w:r>
      <w:r>
        <w:rPr>
          <w:rStyle w:val="230"/>
          <w:rFonts w:hint="eastAsia"/>
          <w:color w:val="000000" w:themeColor="text1"/>
          <w:kern w:val="2"/>
          <w:szCs w:val="22"/>
        </w:rPr>
        <w:t>℃</w:t>
      </w:r>
      <w:r>
        <w:rPr>
          <w:rStyle w:val="230"/>
          <w:rFonts w:hint="eastAsia"/>
          <w:color w:val="000000" w:themeColor="text1"/>
          <w:kern w:val="2"/>
          <w:sz w:val="22"/>
          <w:szCs w:val="24"/>
        </w:rPr>
        <w:t>时烘干颗粒原料。</w:t>
      </w:r>
    </w:p>
    <w:p w14:paraId="673F28DC">
      <w:pPr>
        <w:pStyle w:val="105"/>
        <w:spacing w:before="156" w:after="156"/>
      </w:pPr>
      <w:r>
        <w:rPr>
          <w:rFonts w:hint="eastAsia"/>
        </w:rPr>
        <w:t>包装</w:t>
      </w:r>
    </w:p>
    <w:p w14:paraId="071CF565">
      <w:pPr>
        <w:pStyle w:val="65"/>
        <w:spacing w:before="156" w:after="156"/>
        <w:rPr>
          <w:rStyle w:val="230"/>
          <w:rFonts w:ascii="Times New Roman" w:eastAsia="宋体"/>
          <w:color w:val="000000" w:themeColor="text1"/>
          <w:kern w:val="2"/>
          <w:sz w:val="22"/>
          <w:szCs w:val="24"/>
        </w:rPr>
      </w:pPr>
      <w:r>
        <w:rPr>
          <w:rStyle w:val="230"/>
          <w:rFonts w:hint="eastAsia" w:ascii="Times New Roman" w:eastAsia="宋体"/>
          <w:color w:val="000000" w:themeColor="text1"/>
          <w:kern w:val="2"/>
          <w:sz w:val="22"/>
          <w:szCs w:val="24"/>
        </w:rPr>
        <w:t>包装材料应符合GH/T 1070及国家相关标准要求，材料特性应满足产品要求，具备防潮、阻氧、避光性能。</w:t>
      </w:r>
    </w:p>
    <w:p w14:paraId="6D17D180">
      <w:pPr>
        <w:pStyle w:val="65"/>
        <w:spacing w:before="156" w:after="156"/>
        <w:rPr>
          <w:rStyle w:val="230"/>
          <w:rFonts w:ascii="Times New Roman" w:eastAsia="宋体"/>
          <w:color w:val="000000" w:themeColor="text1"/>
          <w:kern w:val="2"/>
          <w:sz w:val="22"/>
          <w:szCs w:val="24"/>
        </w:rPr>
      </w:pPr>
      <w:r>
        <w:rPr>
          <w:rStyle w:val="230"/>
          <w:rFonts w:hint="eastAsia" w:ascii="Times New Roman" w:eastAsia="宋体"/>
          <w:color w:val="000000" w:themeColor="text1"/>
          <w:kern w:val="2"/>
          <w:sz w:val="22"/>
          <w:szCs w:val="24"/>
        </w:rPr>
        <w:t>包装</w:t>
      </w:r>
      <w:r>
        <w:rPr>
          <w:rStyle w:val="230"/>
          <w:rFonts w:hint="eastAsia" w:ascii="宋体" w:hAnsi="宋体" w:eastAsia="宋体" w:cs="宋体"/>
          <w:color w:val="000000" w:themeColor="text1"/>
          <w:kern w:val="2"/>
          <w:szCs w:val="21"/>
        </w:rPr>
        <w:t>识应符合 GB 7718要求。</w:t>
      </w:r>
    </w:p>
    <w:p w14:paraId="28F91311">
      <w:pPr>
        <w:pStyle w:val="104"/>
        <w:spacing w:before="312" w:after="312"/>
      </w:pPr>
      <w:bookmarkStart w:id="88" w:name="_Toc203140274"/>
      <w:bookmarkStart w:id="89" w:name="_Toc203467628"/>
      <w:bookmarkStart w:id="90" w:name="_Toc203140290"/>
      <w:r>
        <w:rPr>
          <w:rFonts w:hint="eastAsia"/>
        </w:rPr>
        <w:t>检验入库</w:t>
      </w:r>
      <w:bookmarkEnd w:id="88"/>
      <w:bookmarkEnd w:id="89"/>
      <w:bookmarkEnd w:id="90"/>
    </w:p>
    <w:p w14:paraId="07CC9264">
      <w:pPr>
        <w:pStyle w:val="56"/>
        <w:ind w:firstLine="420"/>
      </w:pPr>
      <w:r>
        <w:rPr>
          <w:rFonts w:hint="eastAsia"/>
        </w:rPr>
        <w:t>产品经检验合格后，方可入库。</w:t>
      </w:r>
    </w:p>
    <w:p w14:paraId="28630B66">
      <w:pPr>
        <w:pStyle w:val="104"/>
        <w:spacing w:before="312" w:after="312"/>
      </w:pPr>
      <w:bookmarkStart w:id="91" w:name="_Toc203140291"/>
      <w:bookmarkStart w:id="92" w:name="_Toc203140275"/>
      <w:bookmarkStart w:id="93" w:name="_Toc203467629"/>
      <w:r>
        <w:rPr>
          <w:rFonts w:hint="eastAsia"/>
        </w:rPr>
        <w:t>成品贮存</w:t>
      </w:r>
      <w:bookmarkEnd w:id="91"/>
      <w:bookmarkEnd w:id="92"/>
      <w:bookmarkEnd w:id="93"/>
    </w:p>
    <w:p w14:paraId="1A885187">
      <w:pPr>
        <w:pStyle w:val="56"/>
        <w:ind w:firstLine="420"/>
      </w:pPr>
      <w:r>
        <w:rPr>
          <w:rFonts w:hint="eastAsia"/>
        </w:rPr>
        <w:t>成品应贮存在阴凉、干燥、通风、清洁的专用仓库，有防鼠、防虫、防潮设施。离墙≥30 cm、离地≥10 cm存放。</w:t>
      </w:r>
    </w:p>
    <w:p w14:paraId="5A9E19DB">
      <w:pPr>
        <w:pStyle w:val="104"/>
        <w:spacing w:before="312" w:after="312"/>
      </w:pPr>
      <w:bookmarkStart w:id="94" w:name="_Toc203140292"/>
      <w:bookmarkStart w:id="95" w:name="_Toc203140276"/>
      <w:bookmarkStart w:id="96" w:name="_Toc203467630"/>
      <w:r>
        <w:rPr>
          <w:rFonts w:hint="eastAsia"/>
        </w:rPr>
        <w:t>成品运输</w:t>
      </w:r>
      <w:bookmarkEnd w:id="94"/>
      <w:bookmarkEnd w:id="95"/>
      <w:bookmarkEnd w:id="96"/>
    </w:p>
    <w:p w14:paraId="4ED4C1E1">
      <w:pPr>
        <w:pStyle w:val="56"/>
        <w:ind w:firstLine="420"/>
      </w:pPr>
      <w:r>
        <w:rPr>
          <w:rFonts w:hint="eastAsia"/>
        </w:rPr>
        <w:t>运输工具应清洁、无毒、无异味，防晒、防雨、防污染，不得与有毒有害物品混运。</w:t>
      </w:r>
    </w:p>
    <w:p w14:paraId="7530965F">
      <w:pPr>
        <w:pStyle w:val="104"/>
        <w:spacing w:before="312" w:after="312"/>
      </w:pPr>
      <w:bookmarkStart w:id="97" w:name="_Toc203140293"/>
      <w:bookmarkStart w:id="98" w:name="_Toc203467631"/>
      <w:bookmarkStart w:id="99" w:name="_Toc203140277"/>
      <w:r>
        <w:rPr>
          <w:rFonts w:hint="eastAsia"/>
        </w:rPr>
        <w:t>生产记录管理</w:t>
      </w:r>
      <w:bookmarkEnd w:id="97"/>
      <w:bookmarkEnd w:id="98"/>
      <w:bookmarkEnd w:id="99"/>
    </w:p>
    <w:p w14:paraId="4CF0165A">
      <w:pPr>
        <w:pStyle w:val="105"/>
        <w:spacing w:before="156" w:after="156"/>
      </w:pPr>
      <w:bookmarkStart w:id="100" w:name="_Toc203140278"/>
      <w:r>
        <w:rPr>
          <w:rFonts w:hint="eastAsia"/>
        </w:rPr>
        <w:t>原辅料验收记录</w:t>
      </w:r>
      <w:bookmarkEnd w:id="100"/>
    </w:p>
    <w:p w14:paraId="55376141">
      <w:pPr>
        <w:pStyle w:val="56"/>
        <w:ind w:firstLine="420"/>
      </w:pPr>
      <w:r>
        <w:rPr>
          <w:rFonts w:hint="eastAsia"/>
        </w:rPr>
        <w:t>应记录每一批次原辅料的验收信息，至少应包括：</w:t>
      </w:r>
    </w:p>
    <w:p w14:paraId="23A9D2B8">
      <w:pPr>
        <w:pStyle w:val="174"/>
      </w:pPr>
      <w:r>
        <w:rPr>
          <w:rFonts w:hint="eastAsia"/>
        </w:rPr>
        <w:t>原辅料名称、数量、规格、生产日期；</w:t>
      </w:r>
    </w:p>
    <w:p w14:paraId="2438E9F3">
      <w:pPr>
        <w:pStyle w:val="174"/>
      </w:pPr>
      <w:r>
        <w:rPr>
          <w:rFonts w:hint="eastAsia"/>
        </w:rPr>
        <w:t>供应商名称、相关资质证明、联系方式；</w:t>
      </w:r>
    </w:p>
    <w:p w14:paraId="19CF6B54">
      <w:pPr>
        <w:pStyle w:val="174"/>
      </w:pPr>
      <w:r>
        <w:rPr>
          <w:rFonts w:hint="eastAsia"/>
        </w:rPr>
        <w:t>合格的检验报告；</w:t>
      </w:r>
    </w:p>
    <w:p w14:paraId="735D1A80">
      <w:pPr>
        <w:pStyle w:val="174"/>
      </w:pPr>
      <w:r>
        <w:rPr>
          <w:rFonts w:hint="eastAsia"/>
        </w:rPr>
        <w:t>其他应该记录的内容</w:t>
      </w:r>
    </w:p>
    <w:p w14:paraId="5AC941B7">
      <w:pPr>
        <w:pStyle w:val="105"/>
        <w:spacing w:before="156" w:after="156"/>
      </w:pPr>
      <w:bookmarkStart w:id="101" w:name="_Toc203140279"/>
      <w:r>
        <w:rPr>
          <w:rFonts w:hint="eastAsia"/>
        </w:rPr>
        <w:t>关键工艺过程记录</w:t>
      </w:r>
      <w:bookmarkEnd w:id="101"/>
    </w:p>
    <w:p w14:paraId="6383A785">
      <w:pPr>
        <w:pStyle w:val="56"/>
        <w:ind w:firstLine="420"/>
        <w:rPr>
          <w:rStyle w:val="230"/>
          <w:color w:val="000000" w:themeColor="text1"/>
          <w:kern w:val="2"/>
          <w:szCs w:val="22"/>
        </w:rPr>
      </w:pPr>
      <w:r>
        <w:rPr>
          <w:rFonts w:hint="eastAsia"/>
        </w:rPr>
        <w:t>应对加工技术要求中的关键控制点</w:t>
      </w:r>
      <w:r>
        <w:rPr>
          <w:rStyle w:val="230"/>
          <w:color w:val="000000" w:themeColor="text1"/>
          <w:kern w:val="2"/>
          <w:szCs w:val="22"/>
        </w:rPr>
        <w:t>进行记录，</w:t>
      </w:r>
      <w:r>
        <w:rPr>
          <w:rStyle w:val="230"/>
          <w:rFonts w:hint="eastAsia"/>
          <w:color w:val="000000" w:themeColor="text1"/>
          <w:kern w:val="2"/>
          <w:szCs w:val="22"/>
        </w:rPr>
        <w:t>记</w:t>
      </w:r>
      <w:r>
        <w:rPr>
          <w:rStyle w:val="230"/>
          <w:color w:val="000000" w:themeColor="text1"/>
          <w:kern w:val="2"/>
          <w:szCs w:val="22"/>
        </w:rPr>
        <w:t>录内容至少包含以下方面：</w:t>
      </w:r>
    </w:p>
    <w:p w14:paraId="0A067A0E">
      <w:pPr>
        <w:pStyle w:val="174"/>
        <w:numPr>
          <w:ilvl w:val="0"/>
          <w:numId w:val="33"/>
        </w:numPr>
      </w:pPr>
      <w:r>
        <w:rPr>
          <w:rFonts w:hint="eastAsia"/>
        </w:rPr>
        <w:t>产品名称、规格、生产日期；</w:t>
      </w:r>
    </w:p>
    <w:p w14:paraId="6EF2B86B">
      <w:pPr>
        <w:pStyle w:val="174"/>
        <w:numPr>
          <w:ilvl w:val="0"/>
          <w:numId w:val="33"/>
        </w:numPr>
      </w:pPr>
      <w:r>
        <w:rPr>
          <w:rFonts w:hint="eastAsia"/>
        </w:rPr>
        <w:t>环境检测数据（如温度、湿度）；</w:t>
      </w:r>
    </w:p>
    <w:p w14:paraId="05165471">
      <w:pPr>
        <w:pStyle w:val="174"/>
        <w:numPr>
          <w:ilvl w:val="0"/>
          <w:numId w:val="33"/>
        </w:numPr>
      </w:pPr>
      <w:r>
        <w:rPr>
          <w:rFonts w:hint="eastAsia"/>
        </w:rPr>
        <w:t>关键工艺参数（如时间、温度）；</w:t>
      </w:r>
    </w:p>
    <w:p w14:paraId="2587DA39">
      <w:pPr>
        <w:pStyle w:val="174"/>
        <w:numPr>
          <w:ilvl w:val="0"/>
          <w:numId w:val="33"/>
        </w:numPr>
      </w:pPr>
      <w:r>
        <w:rPr>
          <w:rFonts w:hint="eastAsia"/>
        </w:rPr>
        <w:t>操作的结果或观察到的现象；</w:t>
      </w:r>
    </w:p>
    <w:p w14:paraId="27D7BD8E">
      <w:pPr>
        <w:pStyle w:val="174"/>
        <w:numPr>
          <w:ilvl w:val="0"/>
          <w:numId w:val="33"/>
        </w:numPr>
      </w:pPr>
      <w:r>
        <w:rPr>
          <w:rFonts w:hint="eastAsia"/>
        </w:rPr>
        <w:t>其他应该记录的内容。</w:t>
      </w:r>
    </w:p>
    <w:p w14:paraId="4CE2B4AD">
      <w:pPr>
        <w:pStyle w:val="105"/>
        <w:spacing w:before="156" w:after="156"/>
      </w:pPr>
      <w:bookmarkStart w:id="102" w:name="_Toc203140280"/>
      <w:r>
        <w:rPr>
          <w:rFonts w:hint="eastAsia"/>
        </w:rPr>
        <w:t>其他记录</w:t>
      </w:r>
      <w:bookmarkEnd w:id="102"/>
    </w:p>
    <w:p w14:paraId="4EC7B630">
      <w:pPr>
        <w:pStyle w:val="56"/>
        <w:ind w:firstLine="420"/>
        <w:rPr>
          <w:rFonts w:ascii="宋体" w:hAnsi="宋体" w:cs="宋体"/>
        </w:rPr>
      </w:pPr>
      <w:r>
        <w:rPr>
          <w:rFonts w:hint="eastAsia" w:ascii="宋体" w:hAnsi="宋体" w:cs="宋体"/>
        </w:rPr>
        <w:t>其他记录应符合 GB 14881 中第14章的相关规定。</w:t>
      </w:r>
    </w:p>
    <w:bookmarkEnd w:id="32"/>
    <w:p w14:paraId="1FC5D3CD">
      <w:pPr>
        <w:pStyle w:val="105"/>
        <w:spacing w:before="156" w:after="156"/>
      </w:pPr>
      <w:bookmarkStart w:id="103" w:name="_Toc203140281"/>
      <w:r>
        <w:rPr>
          <w:rFonts w:hint="eastAsia"/>
        </w:rPr>
        <w:t>记录档案管理</w:t>
      </w:r>
      <w:bookmarkEnd w:id="103"/>
    </w:p>
    <w:p w14:paraId="4039AF53">
      <w:pPr>
        <w:pStyle w:val="56"/>
        <w:ind w:firstLine="420"/>
        <w:rPr>
          <w:rFonts w:ascii="宋体" w:hAnsi="宋体" w:cs="宋体"/>
        </w:rPr>
      </w:pPr>
      <w:r>
        <w:rPr>
          <w:rFonts w:hint="eastAsia" w:ascii="宋体" w:hAnsi="宋体" w:cs="宋体"/>
        </w:rPr>
        <w:t>建立清楚、完整的记录档案，记录和凭证保存期限不得少于产品保质期满后6个月；没有明确保质期的，保存期限不得少于2年。</w:t>
      </w: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B37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4ADD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564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F2D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B2A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C6B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4F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7D88">
    <w:pPr>
      <w:pStyle w:val="61"/>
    </w:pPr>
    <w:r>
      <w:fldChar w:fldCharType="begin"/>
    </w:r>
    <w:r>
      <w:instrText xml:space="preserve"> STYLEREF  标准文件_文件编号  \* MERGEFORMAT </w:instrText>
    </w:r>
    <w:r>
      <w:fldChar w:fldCharType="separate"/>
    </w:r>
    <w:r>
      <w:t>DB43/T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1A65">
    <w:pPr>
      <w:pStyle w:val="18"/>
      <w:jc w:val="right"/>
      <w:rPr>
        <w:lang w:val="fr-FR"/>
      </w:rPr>
    </w:pPr>
    <w:r>
      <w:fldChar w:fldCharType="begin"/>
    </w:r>
    <w:r>
      <w:instrText xml:space="preserve"> STYLEREF  标准文件_文件编号  \* MERGEFORMAT </w:instrText>
    </w:r>
    <w:r>
      <w:fldChar w:fldCharType="separate"/>
    </w:r>
    <w:r>
      <w:t>DB43/T XXXX—2025</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73EB8"/>
    <w:multiLevelType w:val="multilevel"/>
    <w:tmpl w:val="CB073EB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wv47F8jysgfyZU0hwO2OuQOtO4TpkNmxlFtPqF9iSmDJJ84ecXb73U//6BC0RxQHdAzszv6uNN&#10;d2vW5bq4/A=====" w:salt="GRNHKI0roXe/JVodIInfz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471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1D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8E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8E"/>
    <w:rsid w:val="000C4159"/>
    <w:rsid w:val="000C4B41"/>
    <w:rsid w:val="000C57D6"/>
    <w:rsid w:val="000C6362"/>
    <w:rsid w:val="000C7666"/>
    <w:rsid w:val="000D0A9C"/>
    <w:rsid w:val="000D1795"/>
    <w:rsid w:val="000D329A"/>
    <w:rsid w:val="000D4B9C"/>
    <w:rsid w:val="000D4EB6"/>
    <w:rsid w:val="000D753B"/>
    <w:rsid w:val="000E4C9E"/>
    <w:rsid w:val="000E6FD7"/>
    <w:rsid w:val="000F06E1"/>
    <w:rsid w:val="000F0D63"/>
    <w:rsid w:val="000F0E3C"/>
    <w:rsid w:val="000F19D5"/>
    <w:rsid w:val="000F4AEA"/>
    <w:rsid w:val="000F4B38"/>
    <w:rsid w:val="000F633F"/>
    <w:rsid w:val="000F67E9"/>
    <w:rsid w:val="00104926"/>
    <w:rsid w:val="00110721"/>
    <w:rsid w:val="00113B1E"/>
    <w:rsid w:val="0011711C"/>
    <w:rsid w:val="0012059C"/>
    <w:rsid w:val="00124E4F"/>
    <w:rsid w:val="001260B7"/>
    <w:rsid w:val="001265CB"/>
    <w:rsid w:val="001321C6"/>
    <w:rsid w:val="001325C4"/>
    <w:rsid w:val="00133010"/>
    <w:rsid w:val="001338EE"/>
    <w:rsid w:val="00133AAE"/>
    <w:rsid w:val="00134BF6"/>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838"/>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E0B"/>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56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3B7C"/>
    <w:rsid w:val="002F7AF6"/>
    <w:rsid w:val="00300E63"/>
    <w:rsid w:val="00302F5F"/>
    <w:rsid w:val="0030441D"/>
    <w:rsid w:val="00306063"/>
    <w:rsid w:val="00313B85"/>
    <w:rsid w:val="00317988"/>
    <w:rsid w:val="00321085"/>
    <w:rsid w:val="003221B4"/>
    <w:rsid w:val="0032258D"/>
    <w:rsid w:val="00322E62"/>
    <w:rsid w:val="003242EF"/>
    <w:rsid w:val="00324D13"/>
    <w:rsid w:val="00324D2A"/>
    <w:rsid w:val="00324EDD"/>
    <w:rsid w:val="003331E4"/>
    <w:rsid w:val="00336C64"/>
    <w:rsid w:val="00337162"/>
    <w:rsid w:val="00340C01"/>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D7B69"/>
    <w:rsid w:val="003E091D"/>
    <w:rsid w:val="003E1C53"/>
    <w:rsid w:val="003E2A69"/>
    <w:rsid w:val="003E2D49"/>
    <w:rsid w:val="003E2FD4"/>
    <w:rsid w:val="003E49F6"/>
    <w:rsid w:val="003E660F"/>
    <w:rsid w:val="003F0841"/>
    <w:rsid w:val="003F23D3"/>
    <w:rsid w:val="003F3F08"/>
    <w:rsid w:val="003F49F1"/>
    <w:rsid w:val="003F4F40"/>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5040"/>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EE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B71"/>
    <w:rsid w:val="006015CE"/>
    <w:rsid w:val="00604784"/>
    <w:rsid w:val="00606419"/>
    <w:rsid w:val="00607D29"/>
    <w:rsid w:val="00612952"/>
    <w:rsid w:val="0061378C"/>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2EA"/>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3D4B"/>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C05"/>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14B"/>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94C"/>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B60"/>
    <w:rsid w:val="009062E6"/>
    <w:rsid w:val="00911BE5"/>
    <w:rsid w:val="00913CA9"/>
    <w:rsid w:val="009145AE"/>
    <w:rsid w:val="009146CE"/>
    <w:rsid w:val="00914CA7"/>
    <w:rsid w:val="00915C3E"/>
    <w:rsid w:val="009161A8"/>
    <w:rsid w:val="009245F5"/>
    <w:rsid w:val="009249EC"/>
    <w:rsid w:val="009265C8"/>
    <w:rsid w:val="009273B3"/>
    <w:rsid w:val="009305B5"/>
    <w:rsid w:val="00931D6E"/>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14A3"/>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A68"/>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86C"/>
    <w:rsid w:val="00A57F8F"/>
    <w:rsid w:val="00A648CD"/>
    <w:rsid w:val="00A64E2B"/>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B6E"/>
    <w:rsid w:val="00AE101C"/>
    <w:rsid w:val="00AE37E5"/>
    <w:rsid w:val="00AE5EB4"/>
    <w:rsid w:val="00AF0C18"/>
    <w:rsid w:val="00AF47C5"/>
    <w:rsid w:val="00AF5398"/>
    <w:rsid w:val="00AF639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15"/>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6F3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4334"/>
    <w:rsid w:val="00D4514F"/>
    <w:rsid w:val="00D451E2"/>
    <w:rsid w:val="00D45E89"/>
    <w:rsid w:val="00D45E8D"/>
    <w:rsid w:val="00D466AE"/>
    <w:rsid w:val="00D4734F"/>
    <w:rsid w:val="00D50164"/>
    <w:rsid w:val="00D51BF3"/>
    <w:rsid w:val="00D66846"/>
    <w:rsid w:val="00D675FB"/>
    <w:rsid w:val="00D71BB1"/>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2E50"/>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465B"/>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0F9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0C91"/>
    <w:rsid w:val="00F06D37"/>
    <w:rsid w:val="00F07B9D"/>
    <w:rsid w:val="00F10CB1"/>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1DD"/>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9875FB"/>
    <w:rsid w:val="051F459A"/>
    <w:rsid w:val="0D590976"/>
    <w:rsid w:val="12137217"/>
    <w:rsid w:val="16140086"/>
    <w:rsid w:val="1BC3091C"/>
    <w:rsid w:val="1BE47F75"/>
    <w:rsid w:val="28BA5B71"/>
    <w:rsid w:val="2B0A6D2B"/>
    <w:rsid w:val="32816142"/>
    <w:rsid w:val="346E2E6A"/>
    <w:rsid w:val="3622573F"/>
    <w:rsid w:val="36720B63"/>
    <w:rsid w:val="37061EBC"/>
    <w:rsid w:val="38C05153"/>
    <w:rsid w:val="39825EE7"/>
    <w:rsid w:val="3AA438D8"/>
    <w:rsid w:val="45056917"/>
    <w:rsid w:val="47742CD3"/>
    <w:rsid w:val="485B5C6D"/>
    <w:rsid w:val="499A4C34"/>
    <w:rsid w:val="50607D5A"/>
    <w:rsid w:val="54986705"/>
    <w:rsid w:val="5B3F57EA"/>
    <w:rsid w:val="5BAD110F"/>
    <w:rsid w:val="5DF514F8"/>
    <w:rsid w:val="6102130D"/>
    <w:rsid w:val="6427270D"/>
    <w:rsid w:val="6703252B"/>
    <w:rsid w:val="67B779CB"/>
    <w:rsid w:val="6CF20FC3"/>
    <w:rsid w:val="70985543"/>
    <w:rsid w:val="72790F53"/>
    <w:rsid w:val="76171954"/>
    <w:rsid w:val="7BC2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apple-style-span"/>
    <w:basedOn w:val="28"/>
    <w:qFormat/>
    <w:uiPriority w:val="99"/>
    <w:rPr>
      <w:rFonts w:cs="Times New Roman"/>
    </w:rPr>
  </w:style>
  <w:style w:type="paragraph" w:customStyle="1" w:styleId="23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0Downloads\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340E14D1D544EDB763295543DEF06E"/>
        <w:style w:val=""/>
        <w:category>
          <w:name w:val="常规"/>
          <w:gallery w:val="placeholder"/>
        </w:category>
        <w:types>
          <w:type w:val="bbPlcHdr"/>
        </w:types>
        <w:behaviors>
          <w:behavior w:val="content"/>
        </w:behaviors>
        <w:description w:val=""/>
        <w:guid w:val="{510E9CE0-6A9A-4DFF-9DF0-85AEDF7A6938}"/>
      </w:docPartPr>
      <w:docPartBody>
        <w:p w14:paraId="1AE1DE80">
          <w:pPr>
            <w:pStyle w:val="5"/>
          </w:pPr>
          <w:r>
            <w:rPr>
              <w:rStyle w:val="4"/>
              <w:rFonts w:hint="eastAsia"/>
            </w:rPr>
            <w:t>单击或点击此处输入文字。</w:t>
          </w:r>
        </w:p>
      </w:docPartBody>
    </w:docPart>
    <w:docPart>
      <w:docPartPr>
        <w:name w:val="9DB4A2D3A61442738948E1CDFAE0F14A"/>
        <w:style w:val=""/>
        <w:category>
          <w:name w:val="常规"/>
          <w:gallery w:val="placeholder"/>
        </w:category>
        <w:types>
          <w:type w:val="bbPlcHdr"/>
        </w:types>
        <w:behaviors>
          <w:behavior w:val="content"/>
        </w:behaviors>
        <w:description w:val=""/>
        <w:guid w:val="{E638E09D-2FFB-4BD2-8B97-1CB4F70198F8}"/>
      </w:docPartPr>
      <w:docPartBody>
        <w:p w14:paraId="1A516529">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2ACC"/>
    <w:rsid w:val="000648ED"/>
    <w:rsid w:val="000C398E"/>
    <w:rsid w:val="00181838"/>
    <w:rsid w:val="00260464"/>
    <w:rsid w:val="00262D49"/>
    <w:rsid w:val="003242EF"/>
    <w:rsid w:val="003D7B69"/>
    <w:rsid w:val="004056B7"/>
    <w:rsid w:val="0061378C"/>
    <w:rsid w:val="007537F1"/>
    <w:rsid w:val="00874F3E"/>
    <w:rsid w:val="008C194C"/>
    <w:rsid w:val="008F2ACC"/>
    <w:rsid w:val="00957DE6"/>
    <w:rsid w:val="009F24D9"/>
    <w:rsid w:val="00A57F8F"/>
    <w:rsid w:val="00AE0B6E"/>
    <w:rsid w:val="00C60D1E"/>
    <w:rsid w:val="00E84B50"/>
    <w:rsid w:val="00EC7945"/>
    <w:rsid w:val="00FE3AC2"/>
    <w:rsid w:val="00FE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340E14D1D544EDB763295543DEF06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9DB4A2D3A61442738948E1CDFAE0F14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A8CCC-EBF9-4BF7-B06F-E343381F10E0}">
  <ds:schemaRefs/>
</ds:datastoreItem>
</file>

<file path=docProps/app.xml><?xml version="1.0" encoding="utf-8"?>
<Properties xmlns="http://schemas.openxmlformats.org/officeDocument/2006/extended-properties" xmlns:vt="http://schemas.openxmlformats.org/officeDocument/2006/docPropsVTypes">
  <Template>地方标准.dotx</Template>
  <Pages>7</Pages>
  <Words>1582</Words>
  <Characters>1790</Characters>
  <Lines>10</Lines>
  <Paragraphs>5</Paragraphs>
  <TotalTime>2</TotalTime>
  <ScaleCrop>false</ScaleCrop>
  <LinksUpToDate>false</LinksUpToDate>
  <CharactersWithSpaces>1890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2025-07-11T05:06:00Z</dcterms:created>
  <dc:creator>汤婷</dc:creator>
  <cp:lastModifiedBy>岚岚</cp:lastModifiedBy>
  <cp:lastPrinted>2025-08-21T09:06:00Z</cp:lastPrinted>
  <dcterms:modified xsi:type="dcterms:W3CDTF">2025-12-09T02:08:22Z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eyJoZGlkIjoiYmZjYWM0OTFkMDZjOTQ3NzcxOWUzM2U4MWU1N2M2YWEiLCJ1c2VySWQiOiI0MjU0Njc3NTMifQ==</vt:lpwstr>
  </property>
  <property fmtid="{D5CDD505-2E9C-101B-9397-08002B2CF9AE}" pid="15" name="KSOProductBuildVer">
    <vt:lpwstr>2052-12.1.0.23542</vt:lpwstr>
  </property>
  <property fmtid="{D5CDD505-2E9C-101B-9397-08002B2CF9AE}" pid="16" name="ICV">
    <vt:lpwstr>4B60F13C4FD64B51BF6DB13738E24FAB_13</vt:lpwstr>
  </property>
</Properties>
</file>